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3A58B" w14:textId="77777777" w:rsidR="00FB2C60" w:rsidRPr="000216D2" w:rsidRDefault="005C1A53" w:rsidP="005C1A53">
      <w:pPr>
        <w:pStyle w:val="Glava"/>
        <w:tabs>
          <w:tab w:val="clear" w:pos="4536"/>
          <w:tab w:val="clear" w:pos="9072"/>
          <w:tab w:val="left" w:pos="1993"/>
        </w:tabs>
        <w:spacing w:before="120" w:line="240" w:lineRule="exact"/>
        <w:rPr>
          <w:rFonts w:ascii="Arial" w:hAnsi="Arial" w:cs="Arial"/>
          <w:sz w:val="16"/>
        </w:rPr>
      </w:pPr>
      <w:r w:rsidRPr="000216D2">
        <w:rPr>
          <w:rFonts w:ascii="Arial" w:hAnsi="Arial" w:cs="Arial"/>
          <w:sz w:val="16"/>
        </w:rPr>
        <w:tab/>
      </w:r>
    </w:p>
    <w:p w14:paraId="20DE397E" w14:textId="77777777" w:rsidR="005C1A53" w:rsidRPr="000D0CF7" w:rsidRDefault="005C1A53" w:rsidP="005C1A53">
      <w:pPr>
        <w:pStyle w:val="Telobesedila"/>
        <w:tabs>
          <w:tab w:val="left" w:pos="3825"/>
        </w:tabs>
        <w:jc w:val="left"/>
        <w:rPr>
          <w:rFonts w:ascii="Arial" w:hAnsi="Arial" w:cs="Arial"/>
          <w:bCs/>
          <w:sz w:val="20"/>
          <w:szCs w:val="20"/>
        </w:rPr>
      </w:pPr>
      <w:r w:rsidRPr="000D0CF7">
        <w:rPr>
          <w:rFonts w:ascii="Arial" w:hAnsi="Arial" w:cs="Arial"/>
          <w:bCs/>
          <w:sz w:val="20"/>
          <w:szCs w:val="20"/>
        </w:rPr>
        <w:tab/>
      </w:r>
    </w:p>
    <w:p w14:paraId="08505AF6" w14:textId="77777777" w:rsidR="005C1A53" w:rsidRPr="00EF2D0B" w:rsidRDefault="005C1A53" w:rsidP="005C1A53">
      <w:pPr>
        <w:pStyle w:val="Telobesedila"/>
        <w:jc w:val="left"/>
        <w:rPr>
          <w:rFonts w:ascii="Arial" w:hAnsi="Arial" w:cs="Arial"/>
          <w:bCs/>
          <w:sz w:val="20"/>
          <w:szCs w:val="20"/>
          <w:highlight w:val="yellow"/>
        </w:rPr>
      </w:pPr>
    </w:p>
    <w:p w14:paraId="0DBE4E16" w14:textId="188E13C0" w:rsidR="005C1A53" w:rsidRPr="00EF2D0B" w:rsidRDefault="00650A52" w:rsidP="005C1A53">
      <w:pPr>
        <w:pStyle w:val="Telobesedila"/>
        <w:jc w:val="left"/>
        <w:rPr>
          <w:rFonts w:ascii="Arial" w:hAnsi="Arial" w:cs="Arial"/>
          <w:bCs/>
          <w:sz w:val="20"/>
          <w:szCs w:val="20"/>
          <w:highlight w:val="yellow"/>
        </w:rPr>
      </w:pPr>
      <w:r w:rsidRPr="00E94653">
        <w:rPr>
          <w:rFonts w:ascii="Arial" w:hAnsi="Arial" w:cs="Arial"/>
          <w:bCs/>
          <w:sz w:val="20"/>
          <w:szCs w:val="20"/>
        </w:rPr>
        <w:t>Številka:</w:t>
      </w:r>
      <w:r w:rsidR="007A3E35" w:rsidRPr="00E94653">
        <w:rPr>
          <w:rFonts w:ascii="Arial" w:hAnsi="Arial" w:cs="Arial"/>
          <w:bCs/>
          <w:sz w:val="20"/>
          <w:szCs w:val="20"/>
        </w:rPr>
        <w:t xml:space="preserve"> 430-229/2019/</w:t>
      </w:r>
      <w:r w:rsidR="007A3E35" w:rsidRPr="00E94653">
        <w:rPr>
          <w:rFonts w:ascii="Arial" w:hAnsi="Arial" w:cs="Arial"/>
          <w:bCs/>
          <w:sz w:val="20"/>
          <w:szCs w:val="20"/>
        </w:rPr>
        <w:tab/>
      </w:r>
      <w:r w:rsidR="00213DD3">
        <w:rPr>
          <w:rFonts w:ascii="Arial" w:hAnsi="Arial" w:cs="Arial"/>
          <w:bCs/>
          <w:sz w:val="20"/>
          <w:szCs w:val="20"/>
        </w:rPr>
        <w:t>7</w:t>
      </w:r>
    </w:p>
    <w:p w14:paraId="58C656BE" w14:textId="65E33246" w:rsidR="005C1A53" w:rsidRPr="00E94653" w:rsidRDefault="00650A52" w:rsidP="005C1A53">
      <w:pPr>
        <w:pStyle w:val="Telobesedila"/>
        <w:jc w:val="left"/>
        <w:rPr>
          <w:rFonts w:ascii="Arial" w:hAnsi="Arial" w:cs="Arial"/>
          <w:bCs/>
          <w:sz w:val="20"/>
          <w:szCs w:val="20"/>
        </w:rPr>
      </w:pPr>
      <w:r w:rsidRPr="00E94653">
        <w:rPr>
          <w:rFonts w:ascii="Arial" w:hAnsi="Arial" w:cs="Arial"/>
          <w:bCs/>
          <w:sz w:val="20"/>
          <w:szCs w:val="20"/>
        </w:rPr>
        <w:t xml:space="preserve">Datum: </w:t>
      </w:r>
      <w:r w:rsidR="0021523F">
        <w:rPr>
          <w:rFonts w:ascii="Arial" w:hAnsi="Arial" w:cs="Arial"/>
          <w:bCs/>
          <w:sz w:val="20"/>
          <w:szCs w:val="20"/>
        </w:rPr>
        <w:t>3</w:t>
      </w:r>
      <w:r w:rsidR="009915D1">
        <w:rPr>
          <w:rFonts w:ascii="Arial" w:hAnsi="Arial" w:cs="Arial"/>
          <w:bCs/>
          <w:sz w:val="20"/>
          <w:szCs w:val="20"/>
        </w:rPr>
        <w:t xml:space="preserve">. </w:t>
      </w:r>
      <w:r w:rsidR="00213DD3">
        <w:rPr>
          <w:rFonts w:ascii="Arial" w:hAnsi="Arial" w:cs="Arial"/>
          <w:bCs/>
          <w:sz w:val="20"/>
          <w:szCs w:val="20"/>
        </w:rPr>
        <w:t>9</w:t>
      </w:r>
      <w:r w:rsidR="009915D1">
        <w:rPr>
          <w:rFonts w:ascii="Arial" w:hAnsi="Arial" w:cs="Arial"/>
          <w:bCs/>
          <w:sz w:val="20"/>
          <w:szCs w:val="20"/>
        </w:rPr>
        <w:t>. 2019</w:t>
      </w:r>
    </w:p>
    <w:tbl>
      <w:tblPr>
        <w:tblW w:w="9685" w:type="dxa"/>
        <w:tblLook w:val="0000" w:firstRow="0" w:lastRow="0" w:firstColumn="0" w:lastColumn="0" w:noHBand="0" w:noVBand="0"/>
      </w:tblPr>
      <w:tblGrid>
        <w:gridCol w:w="9685"/>
      </w:tblGrid>
      <w:tr w:rsidR="005C1A53" w:rsidRPr="00EF2D0B" w14:paraId="65DC483B" w14:textId="77777777" w:rsidTr="00AE378A">
        <w:trPr>
          <w:trHeight w:val="2394"/>
        </w:trPr>
        <w:tc>
          <w:tcPr>
            <w:tcW w:w="9685" w:type="dxa"/>
          </w:tcPr>
          <w:p w14:paraId="4BFA8C11" w14:textId="77777777" w:rsidR="005C1A53" w:rsidRPr="00EF2D0B" w:rsidRDefault="005C1A53" w:rsidP="00AE378A">
            <w:pPr>
              <w:rPr>
                <w:rFonts w:ascii="Arial" w:hAnsi="Arial" w:cs="Arial"/>
                <w:sz w:val="20"/>
                <w:szCs w:val="20"/>
                <w:highlight w:val="yellow"/>
              </w:rPr>
            </w:pPr>
          </w:p>
        </w:tc>
      </w:tr>
      <w:tr w:rsidR="005C1A53" w:rsidRPr="00EF2D0B" w14:paraId="0234421D" w14:textId="77777777" w:rsidTr="00AE378A">
        <w:trPr>
          <w:trHeight w:val="6401"/>
        </w:trPr>
        <w:tc>
          <w:tcPr>
            <w:tcW w:w="9685" w:type="dxa"/>
          </w:tcPr>
          <w:p w14:paraId="4ECBFA64" w14:textId="77777777" w:rsidR="005C1A53" w:rsidRPr="00EF2D0B" w:rsidRDefault="005C1A53" w:rsidP="00AE378A">
            <w:pPr>
              <w:pStyle w:val="Telobesedila"/>
              <w:jc w:val="center"/>
              <w:rPr>
                <w:rFonts w:ascii="Arial" w:hAnsi="Arial" w:cs="Arial"/>
                <w:b/>
                <w:bCs/>
                <w:sz w:val="20"/>
                <w:szCs w:val="20"/>
                <w:highlight w:val="yellow"/>
              </w:rPr>
            </w:pPr>
          </w:p>
          <w:p w14:paraId="0251AAF2" w14:textId="77777777" w:rsidR="005C1A53" w:rsidRPr="00EF2D0B" w:rsidRDefault="005C1A53" w:rsidP="00AE378A">
            <w:pPr>
              <w:pStyle w:val="Telobesedila"/>
              <w:jc w:val="center"/>
              <w:rPr>
                <w:rFonts w:ascii="Arial" w:hAnsi="Arial" w:cs="Arial"/>
                <w:b/>
                <w:bCs/>
                <w:sz w:val="20"/>
                <w:szCs w:val="20"/>
                <w:highlight w:val="yellow"/>
              </w:rPr>
            </w:pPr>
          </w:p>
          <w:p w14:paraId="1217A683" w14:textId="77777777" w:rsidR="005C1A53" w:rsidRPr="00EF2D0B" w:rsidRDefault="005C1A53" w:rsidP="00AE378A">
            <w:pPr>
              <w:pStyle w:val="Telobesedila"/>
              <w:jc w:val="center"/>
              <w:rPr>
                <w:rFonts w:ascii="Arial" w:hAnsi="Arial" w:cs="Arial"/>
                <w:b/>
                <w:bCs/>
                <w:sz w:val="20"/>
                <w:szCs w:val="20"/>
                <w:highlight w:val="yellow"/>
              </w:rPr>
            </w:pPr>
          </w:p>
          <w:p w14:paraId="305BA398" w14:textId="77777777" w:rsidR="005C1A53" w:rsidRPr="00EF2D0B" w:rsidRDefault="005C1A53" w:rsidP="00AE378A">
            <w:pPr>
              <w:pStyle w:val="Telobesedila"/>
              <w:jc w:val="center"/>
              <w:rPr>
                <w:rFonts w:ascii="Arial" w:hAnsi="Arial" w:cs="Arial"/>
                <w:b/>
                <w:bCs/>
                <w:sz w:val="20"/>
                <w:szCs w:val="20"/>
                <w:highlight w:val="yellow"/>
              </w:rPr>
            </w:pPr>
          </w:p>
          <w:p w14:paraId="469FCAF2" w14:textId="77777777" w:rsidR="005C1A53" w:rsidRPr="00EF2D0B" w:rsidRDefault="005C1A53" w:rsidP="00AE378A">
            <w:pPr>
              <w:pStyle w:val="Telobesedila"/>
              <w:jc w:val="center"/>
              <w:rPr>
                <w:rFonts w:ascii="Arial" w:hAnsi="Arial" w:cs="Arial"/>
                <w:b/>
                <w:bCs/>
                <w:sz w:val="20"/>
                <w:szCs w:val="20"/>
                <w:highlight w:val="yellow"/>
              </w:rPr>
            </w:pPr>
          </w:p>
          <w:p w14:paraId="7B397FC0" w14:textId="77777777" w:rsidR="005C1A53" w:rsidRPr="00EF2D0B" w:rsidRDefault="005C1A53" w:rsidP="00AE378A">
            <w:pPr>
              <w:pStyle w:val="Telobesedila"/>
              <w:spacing w:line="360" w:lineRule="auto"/>
              <w:jc w:val="center"/>
              <w:rPr>
                <w:rFonts w:ascii="Arial" w:hAnsi="Arial" w:cs="Arial"/>
                <w:b/>
                <w:bCs/>
                <w:sz w:val="32"/>
                <w:szCs w:val="32"/>
                <w:highlight w:val="yellow"/>
              </w:rPr>
            </w:pPr>
          </w:p>
          <w:p w14:paraId="67E6E0C8" w14:textId="77777777" w:rsidR="005C1A53" w:rsidRPr="000D0CF7" w:rsidRDefault="005C1A53" w:rsidP="00AE378A">
            <w:pPr>
              <w:pStyle w:val="Telobesedila"/>
              <w:spacing w:line="360" w:lineRule="auto"/>
              <w:jc w:val="center"/>
              <w:rPr>
                <w:rFonts w:ascii="Arial" w:hAnsi="Arial" w:cs="Arial"/>
                <w:b/>
                <w:bCs/>
                <w:sz w:val="32"/>
                <w:szCs w:val="32"/>
              </w:rPr>
            </w:pPr>
            <w:r w:rsidRPr="000D0CF7">
              <w:rPr>
                <w:rFonts w:ascii="Arial" w:hAnsi="Arial" w:cs="Arial"/>
                <w:b/>
                <w:bCs/>
                <w:sz w:val="32"/>
                <w:szCs w:val="32"/>
              </w:rPr>
              <w:t xml:space="preserve">Statistično poročilo </w:t>
            </w:r>
          </w:p>
          <w:p w14:paraId="1F4A5890" w14:textId="014C689D" w:rsidR="005C1A53" w:rsidRPr="00EF2D0B" w:rsidRDefault="005C1A53" w:rsidP="00AE378A">
            <w:pPr>
              <w:pStyle w:val="Telobesedila"/>
              <w:spacing w:line="360" w:lineRule="auto"/>
              <w:jc w:val="center"/>
              <w:rPr>
                <w:rFonts w:ascii="Arial" w:hAnsi="Arial" w:cs="Arial"/>
                <w:sz w:val="20"/>
                <w:szCs w:val="20"/>
                <w:highlight w:val="yellow"/>
              </w:rPr>
            </w:pPr>
            <w:r w:rsidRPr="000D0CF7">
              <w:rPr>
                <w:rFonts w:ascii="Arial" w:hAnsi="Arial" w:cs="Arial"/>
                <w:b/>
                <w:bCs/>
                <w:sz w:val="32"/>
                <w:szCs w:val="32"/>
              </w:rPr>
              <w:t>o javni</w:t>
            </w:r>
            <w:r w:rsidR="00650A52" w:rsidRPr="000D0CF7">
              <w:rPr>
                <w:rFonts w:ascii="Arial" w:hAnsi="Arial" w:cs="Arial"/>
                <w:b/>
                <w:bCs/>
                <w:sz w:val="32"/>
                <w:szCs w:val="32"/>
              </w:rPr>
              <w:t>h naročilih, oddanih v letu 201</w:t>
            </w:r>
            <w:r w:rsidR="00A20476" w:rsidRPr="000D0CF7">
              <w:rPr>
                <w:rFonts w:ascii="Arial" w:hAnsi="Arial" w:cs="Arial"/>
                <w:b/>
                <w:bCs/>
                <w:sz w:val="32"/>
                <w:szCs w:val="32"/>
              </w:rPr>
              <w:t>8</w:t>
            </w:r>
          </w:p>
        </w:tc>
      </w:tr>
    </w:tbl>
    <w:p w14:paraId="29D9160C" w14:textId="77777777" w:rsidR="005C1A53" w:rsidRPr="00EF2D0B" w:rsidRDefault="005C1A53" w:rsidP="005C1A53">
      <w:pPr>
        <w:pStyle w:val="Telobesedila"/>
        <w:jc w:val="left"/>
        <w:rPr>
          <w:rFonts w:ascii="Arial" w:hAnsi="Arial" w:cs="Arial"/>
          <w:b/>
          <w:bCs/>
          <w:sz w:val="20"/>
          <w:szCs w:val="20"/>
          <w:highlight w:val="yellow"/>
        </w:rPr>
      </w:pPr>
    </w:p>
    <w:p w14:paraId="082F9718" w14:textId="77777777" w:rsidR="005C1A53" w:rsidRPr="00EF2D0B" w:rsidRDefault="005C1A53" w:rsidP="005C1A53">
      <w:pPr>
        <w:pStyle w:val="Telobesedila"/>
        <w:jc w:val="left"/>
        <w:rPr>
          <w:rFonts w:ascii="Arial" w:hAnsi="Arial" w:cs="Arial"/>
          <w:b/>
          <w:bCs/>
          <w:sz w:val="20"/>
          <w:szCs w:val="20"/>
          <w:highlight w:val="yellow"/>
        </w:rPr>
      </w:pPr>
    </w:p>
    <w:p w14:paraId="24C417D6" w14:textId="77777777" w:rsidR="007E20A4" w:rsidRPr="00EF2D0B" w:rsidRDefault="007E20A4">
      <w:pPr>
        <w:rPr>
          <w:rFonts w:ascii="Arial" w:hAnsi="Arial" w:cs="Arial"/>
          <w:highlight w:val="yellow"/>
        </w:rPr>
      </w:pPr>
    </w:p>
    <w:p w14:paraId="11D3355A" w14:textId="77777777" w:rsidR="002C5FF6" w:rsidRPr="00EF2D0B" w:rsidRDefault="002C5FF6">
      <w:pPr>
        <w:rPr>
          <w:rFonts w:ascii="Arial" w:hAnsi="Arial" w:cs="Arial"/>
          <w:highlight w:val="yellow"/>
        </w:rPr>
      </w:pPr>
    </w:p>
    <w:p w14:paraId="6EB2718B" w14:textId="7DB6DEF5" w:rsidR="002B7414" w:rsidRDefault="002B7414">
      <w:pPr>
        <w:rPr>
          <w:rFonts w:ascii="Arial" w:hAnsi="Arial" w:cs="Arial"/>
          <w:highlight w:val="yellow"/>
        </w:rPr>
      </w:pPr>
      <w:r>
        <w:rPr>
          <w:rFonts w:ascii="Arial" w:hAnsi="Arial" w:cs="Arial"/>
          <w:highlight w:val="yellow"/>
        </w:rPr>
        <w:br w:type="page"/>
      </w:r>
    </w:p>
    <w:sdt>
      <w:sdtPr>
        <w:rPr>
          <w:rFonts w:ascii="Arial" w:eastAsiaTheme="minorHAnsi" w:hAnsi="Arial" w:cs="Arial"/>
          <w:color w:val="auto"/>
          <w:sz w:val="22"/>
          <w:szCs w:val="22"/>
          <w:lang w:eastAsia="en-US"/>
        </w:rPr>
        <w:id w:val="462704509"/>
        <w:docPartObj>
          <w:docPartGallery w:val="Table of Contents"/>
          <w:docPartUnique/>
        </w:docPartObj>
      </w:sdtPr>
      <w:sdtEndPr>
        <w:rPr>
          <w:bCs/>
          <w:highlight w:val="yellow"/>
        </w:rPr>
      </w:sdtEndPr>
      <w:sdtContent>
        <w:p w14:paraId="36760682" w14:textId="5E678255" w:rsidR="00206175" w:rsidRDefault="00206175">
          <w:pPr>
            <w:pStyle w:val="NaslovTOC"/>
            <w:rPr>
              <w:rFonts w:ascii="Arial" w:hAnsi="Arial" w:cs="Arial"/>
            </w:rPr>
          </w:pPr>
          <w:r w:rsidRPr="007662B8">
            <w:rPr>
              <w:rFonts w:ascii="Arial" w:hAnsi="Arial" w:cs="Arial"/>
            </w:rPr>
            <w:t>K</w:t>
          </w:r>
          <w:r w:rsidR="005C1A53" w:rsidRPr="007662B8">
            <w:rPr>
              <w:rFonts w:ascii="Arial" w:hAnsi="Arial" w:cs="Arial"/>
            </w:rPr>
            <w:t>AZALO</w:t>
          </w:r>
        </w:p>
        <w:p w14:paraId="1B598BE0" w14:textId="77777777" w:rsidR="00882470" w:rsidRPr="00882470" w:rsidRDefault="00882470" w:rsidP="00882470">
          <w:pPr>
            <w:rPr>
              <w:lang w:eastAsia="sl-SI"/>
            </w:rPr>
          </w:pPr>
        </w:p>
        <w:p w14:paraId="2C34D35C" w14:textId="595B07D7" w:rsidR="00541DF6" w:rsidRPr="00E13BB4" w:rsidRDefault="00AE378A">
          <w:pPr>
            <w:pStyle w:val="Kazalovsebine1"/>
            <w:tabs>
              <w:tab w:val="right" w:leader="dot" w:pos="9062"/>
            </w:tabs>
            <w:rPr>
              <w:rFonts w:eastAsiaTheme="minorEastAsia"/>
              <w:noProof/>
              <w:lang w:eastAsia="sl-SI"/>
            </w:rPr>
          </w:pPr>
          <w:r w:rsidRPr="00EF2D0B">
            <w:rPr>
              <w:rFonts w:ascii="Arial" w:hAnsi="Arial" w:cs="Arial"/>
              <w:highlight w:val="yellow"/>
            </w:rPr>
            <w:fldChar w:fldCharType="begin"/>
          </w:r>
          <w:r w:rsidRPr="00EF2D0B">
            <w:rPr>
              <w:rFonts w:ascii="Arial" w:hAnsi="Arial" w:cs="Arial"/>
              <w:highlight w:val="yellow"/>
            </w:rPr>
            <w:instrText xml:space="preserve"> TOC \o "1-4" \h \z \u </w:instrText>
          </w:r>
          <w:r w:rsidRPr="00EF2D0B">
            <w:rPr>
              <w:rFonts w:ascii="Arial" w:hAnsi="Arial" w:cs="Arial"/>
              <w:highlight w:val="yellow"/>
            </w:rPr>
            <w:fldChar w:fldCharType="separate"/>
          </w:r>
          <w:hyperlink w:anchor="_Toc17114039" w:history="1">
            <w:r w:rsidR="00541DF6" w:rsidRPr="00E13BB4">
              <w:rPr>
                <w:rStyle w:val="Hiperpovezava"/>
                <w:rFonts w:ascii="Arial" w:hAnsi="Arial" w:cs="Arial"/>
                <w:noProof/>
              </w:rPr>
              <w:t>Povzetek</w:t>
            </w:r>
            <w:r w:rsidR="00541DF6" w:rsidRPr="00E13BB4">
              <w:rPr>
                <w:noProof/>
                <w:webHidden/>
              </w:rPr>
              <w:tab/>
            </w:r>
            <w:r w:rsidR="00541DF6" w:rsidRPr="00E13BB4">
              <w:rPr>
                <w:noProof/>
                <w:webHidden/>
              </w:rPr>
              <w:fldChar w:fldCharType="begin"/>
            </w:r>
            <w:r w:rsidR="00541DF6" w:rsidRPr="00E13BB4">
              <w:rPr>
                <w:noProof/>
                <w:webHidden/>
              </w:rPr>
              <w:instrText xml:space="preserve"> PAGEREF _Toc17114039 \h </w:instrText>
            </w:r>
            <w:r w:rsidR="00541DF6" w:rsidRPr="00E13BB4">
              <w:rPr>
                <w:noProof/>
                <w:webHidden/>
              </w:rPr>
            </w:r>
            <w:r w:rsidR="00541DF6" w:rsidRPr="00E13BB4">
              <w:rPr>
                <w:noProof/>
                <w:webHidden/>
              </w:rPr>
              <w:fldChar w:fldCharType="separate"/>
            </w:r>
            <w:r w:rsidR="00665216">
              <w:rPr>
                <w:noProof/>
                <w:webHidden/>
              </w:rPr>
              <w:t>4</w:t>
            </w:r>
            <w:r w:rsidR="00541DF6" w:rsidRPr="00E13BB4">
              <w:rPr>
                <w:noProof/>
                <w:webHidden/>
              </w:rPr>
              <w:fldChar w:fldCharType="end"/>
            </w:r>
          </w:hyperlink>
        </w:p>
        <w:p w14:paraId="019D324A" w14:textId="16F661AA" w:rsidR="00541DF6" w:rsidRPr="00E13BB4" w:rsidRDefault="00281C97">
          <w:pPr>
            <w:pStyle w:val="Kazalovsebine1"/>
            <w:tabs>
              <w:tab w:val="right" w:leader="dot" w:pos="9062"/>
            </w:tabs>
            <w:rPr>
              <w:rFonts w:eastAsiaTheme="minorEastAsia"/>
              <w:noProof/>
              <w:lang w:eastAsia="sl-SI"/>
            </w:rPr>
          </w:pPr>
          <w:hyperlink w:anchor="_Toc17114040" w:history="1">
            <w:r w:rsidR="00541DF6" w:rsidRPr="00E13BB4">
              <w:rPr>
                <w:rStyle w:val="Hiperpovezava"/>
                <w:rFonts w:ascii="Arial" w:hAnsi="Arial" w:cs="Arial"/>
                <w:noProof/>
              </w:rPr>
              <w:t>1. Splošne ugotovitve, trendi in predlogi ukrepov za izboljšanje praks oziroma ureditve</w:t>
            </w:r>
            <w:r w:rsidR="00541DF6" w:rsidRPr="00E13BB4">
              <w:rPr>
                <w:noProof/>
                <w:webHidden/>
              </w:rPr>
              <w:tab/>
            </w:r>
            <w:r w:rsidR="00541DF6" w:rsidRPr="00E13BB4">
              <w:rPr>
                <w:noProof/>
                <w:webHidden/>
              </w:rPr>
              <w:fldChar w:fldCharType="begin"/>
            </w:r>
            <w:r w:rsidR="00541DF6" w:rsidRPr="00E13BB4">
              <w:rPr>
                <w:noProof/>
                <w:webHidden/>
              </w:rPr>
              <w:instrText xml:space="preserve"> PAGEREF _Toc17114040 \h </w:instrText>
            </w:r>
            <w:r w:rsidR="00541DF6" w:rsidRPr="00E13BB4">
              <w:rPr>
                <w:noProof/>
                <w:webHidden/>
              </w:rPr>
            </w:r>
            <w:r w:rsidR="00541DF6" w:rsidRPr="00E13BB4">
              <w:rPr>
                <w:noProof/>
                <w:webHidden/>
              </w:rPr>
              <w:fldChar w:fldCharType="separate"/>
            </w:r>
            <w:r w:rsidR="00665216">
              <w:rPr>
                <w:noProof/>
                <w:webHidden/>
              </w:rPr>
              <w:t>5</w:t>
            </w:r>
            <w:r w:rsidR="00541DF6" w:rsidRPr="00E13BB4">
              <w:rPr>
                <w:noProof/>
                <w:webHidden/>
              </w:rPr>
              <w:fldChar w:fldCharType="end"/>
            </w:r>
          </w:hyperlink>
        </w:p>
        <w:p w14:paraId="069EE766" w14:textId="34EB80C6" w:rsidR="00541DF6" w:rsidRDefault="00281C97">
          <w:pPr>
            <w:pStyle w:val="Kazalovsebine1"/>
            <w:tabs>
              <w:tab w:val="right" w:leader="dot" w:pos="9062"/>
            </w:tabs>
            <w:rPr>
              <w:rFonts w:eastAsiaTheme="minorEastAsia"/>
              <w:noProof/>
              <w:lang w:eastAsia="sl-SI"/>
            </w:rPr>
          </w:pPr>
          <w:hyperlink w:anchor="_Toc17114041" w:history="1">
            <w:r w:rsidR="00541DF6" w:rsidRPr="00E13BB4">
              <w:rPr>
                <w:rStyle w:val="Hiperpovezava"/>
                <w:rFonts w:ascii="Arial" w:hAnsi="Arial" w:cs="Arial"/>
                <w:noProof/>
              </w:rPr>
              <w:t>2. Statistična analiza</w:t>
            </w:r>
            <w:r w:rsidR="00541DF6" w:rsidRPr="00E13BB4">
              <w:rPr>
                <w:noProof/>
                <w:webHidden/>
              </w:rPr>
              <w:tab/>
            </w:r>
            <w:r w:rsidR="00541DF6" w:rsidRPr="00E13BB4">
              <w:rPr>
                <w:noProof/>
                <w:webHidden/>
              </w:rPr>
              <w:fldChar w:fldCharType="begin"/>
            </w:r>
            <w:r w:rsidR="00541DF6" w:rsidRPr="00E13BB4">
              <w:rPr>
                <w:noProof/>
                <w:webHidden/>
              </w:rPr>
              <w:instrText xml:space="preserve"> PAGEREF _Toc17114041 \h </w:instrText>
            </w:r>
            <w:r w:rsidR="00541DF6" w:rsidRPr="00E13BB4">
              <w:rPr>
                <w:noProof/>
                <w:webHidden/>
              </w:rPr>
            </w:r>
            <w:r w:rsidR="00541DF6" w:rsidRPr="00E13BB4">
              <w:rPr>
                <w:noProof/>
                <w:webHidden/>
              </w:rPr>
              <w:fldChar w:fldCharType="separate"/>
            </w:r>
            <w:r w:rsidR="00665216">
              <w:rPr>
                <w:noProof/>
                <w:webHidden/>
              </w:rPr>
              <w:t>6</w:t>
            </w:r>
            <w:r w:rsidR="00541DF6" w:rsidRPr="00E13BB4">
              <w:rPr>
                <w:noProof/>
                <w:webHidden/>
              </w:rPr>
              <w:fldChar w:fldCharType="end"/>
            </w:r>
          </w:hyperlink>
        </w:p>
        <w:p w14:paraId="191FF579" w14:textId="21587C4B" w:rsidR="00541DF6" w:rsidRDefault="00281C97">
          <w:pPr>
            <w:pStyle w:val="Kazalovsebine2"/>
            <w:tabs>
              <w:tab w:val="right" w:leader="dot" w:pos="9062"/>
            </w:tabs>
            <w:rPr>
              <w:rFonts w:eastAsiaTheme="minorEastAsia"/>
              <w:noProof/>
              <w:lang w:eastAsia="sl-SI"/>
            </w:rPr>
          </w:pPr>
          <w:hyperlink w:anchor="_Toc17114042" w:history="1">
            <w:r w:rsidR="00541DF6" w:rsidRPr="003A4B5E">
              <w:rPr>
                <w:rStyle w:val="Hiperpovezava"/>
                <w:rFonts w:ascii="Arial" w:hAnsi="Arial" w:cs="Arial"/>
                <w:noProof/>
              </w:rPr>
              <w:t>2.1 Obseg javnega naročanja</w:t>
            </w:r>
            <w:r w:rsidR="00541DF6">
              <w:rPr>
                <w:noProof/>
                <w:webHidden/>
              </w:rPr>
              <w:tab/>
            </w:r>
            <w:r w:rsidR="00541DF6">
              <w:rPr>
                <w:noProof/>
                <w:webHidden/>
              </w:rPr>
              <w:fldChar w:fldCharType="begin"/>
            </w:r>
            <w:r w:rsidR="00541DF6">
              <w:rPr>
                <w:noProof/>
                <w:webHidden/>
              </w:rPr>
              <w:instrText xml:space="preserve"> PAGEREF _Toc17114042 \h </w:instrText>
            </w:r>
            <w:r w:rsidR="00541DF6">
              <w:rPr>
                <w:noProof/>
                <w:webHidden/>
              </w:rPr>
            </w:r>
            <w:r w:rsidR="00541DF6">
              <w:rPr>
                <w:noProof/>
                <w:webHidden/>
              </w:rPr>
              <w:fldChar w:fldCharType="separate"/>
            </w:r>
            <w:r w:rsidR="00665216">
              <w:rPr>
                <w:noProof/>
                <w:webHidden/>
              </w:rPr>
              <w:t>6</w:t>
            </w:r>
            <w:r w:rsidR="00541DF6">
              <w:rPr>
                <w:noProof/>
                <w:webHidden/>
              </w:rPr>
              <w:fldChar w:fldCharType="end"/>
            </w:r>
          </w:hyperlink>
        </w:p>
        <w:p w14:paraId="7A18D184" w14:textId="5EC59BD8" w:rsidR="00541DF6" w:rsidRDefault="00281C97">
          <w:pPr>
            <w:pStyle w:val="Kazalovsebine3"/>
            <w:tabs>
              <w:tab w:val="right" w:leader="dot" w:pos="9062"/>
            </w:tabs>
            <w:rPr>
              <w:rFonts w:cstheme="minorBidi"/>
              <w:noProof/>
            </w:rPr>
          </w:pPr>
          <w:hyperlink w:anchor="_Toc17114043" w:history="1">
            <w:r w:rsidR="00541DF6" w:rsidRPr="003A4B5E">
              <w:rPr>
                <w:rStyle w:val="Hiperpovezava"/>
                <w:rFonts w:ascii="Arial" w:hAnsi="Arial" w:cs="Arial"/>
                <w:noProof/>
              </w:rPr>
              <w:t>2.1.1 Delež javnega naročanja v BDP</w:t>
            </w:r>
            <w:r w:rsidR="00541DF6">
              <w:rPr>
                <w:noProof/>
                <w:webHidden/>
              </w:rPr>
              <w:tab/>
            </w:r>
            <w:r w:rsidR="00541DF6">
              <w:rPr>
                <w:noProof/>
                <w:webHidden/>
              </w:rPr>
              <w:fldChar w:fldCharType="begin"/>
            </w:r>
            <w:r w:rsidR="00541DF6">
              <w:rPr>
                <w:noProof/>
                <w:webHidden/>
              </w:rPr>
              <w:instrText xml:space="preserve"> PAGEREF _Toc17114043 \h </w:instrText>
            </w:r>
            <w:r w:rsidR="00541DF6">
              <w:rPr>
                <w:noProof/>
                <w:webHidden/>
              </w:rPr>
            </w:r>
            <w:r w:rsidR="00541DF6">
              <w:rPr>
                <w:noProof/>
                <w:webHidden/>
              </w:rPr>
              <w:fldChar w:fldCharType="separate"/>
            </w:r>
            <w:r w:rsidR="00665216">
              <w:rPr>
                <w:noProof/>
                <w:webHidden/>
              </w:rPr>
              <w:t>7</w:t>
            </w:r>
            <w:r w:rsidR="00541DF6">
              <w:rPr>
                <w:noProof/>
                <w:webHidden/>
              </w:rPr>
              <w:fldChar w:fldCharType="end"/>
            </w:r>
          </w:hyperlink>
        </w:p>
        <w:p w14:paraId="252ABC7B" w14:textId="20A6E75F" w:rsidR="00541DF6" w:rsidRDefault="00281C97">
          <w:pPr>
            <w:pStyle w:val="Kazalovsebine3"/>
            <w:tabs>
              <w:tab w:val="right" w:leader="dot" w:pos="9062"/>
            </w:tabs>
            <w:rPr>
              <w:rFonts w:cstheme="minorBidi"/>
              <w:noProof/>
            </w:rPr>
          </w:pPr>
          <w:hyperlink w:anchor="_Toc17114044" w:history="1">
            <w:r w:rsidR="00541DF6" w:rsidRPr="003A4B5E">
              <w:rPr>
                <w:rStyle w:val="Hiperpovezava"/>
                <w:rFonts w:ascii="Arial" w:hAnsi="Arial" w:cs="Arial"/>
                <w:noProof/>
              </w:rPr>
              <w:t>2.1.2 Delež javnega naročanja v odhodkih proračuna</w:t>
            </w:r>
            <w:r w:rsidR="00541DF6">
              <w:rPr>
                <w:noProof/>
                <w:webHidden/>
              </w:rPr>
              <w:tab/>
            </w:r>
            <w:r w:rsidR="00541DF6">
              <w:rPr>
                <w:noProof/>
                <w:webHidden/>
              </w:rPr>
              <w:fldChar w:fldCharType="begin"/>
            </w:r>
            <w:r w:rsidR="00541DF6">
              <w:rPr>
                <w:noProof/>
                <w:webHidden/>
              </w:rPr>
              <w:instrText xml:space="preserve"> PAGEREF _Toc17114044 \h </w:instrText>
            </w:r>
            <w:r w:rsidR="00541DF6">
              <w:rPr>
                <w:noProof/>
                <w:webHidden/>
              </w:rPr>
            </w:r>
            <w:r w:rsidR="00541DF6">
              <w:rPr>
                <w:noProof/>
                <w:webHidden/>
              </w:rPr>
              <w:fldChar w:fldCharType="separate"/>
            </w:r>
            <w:r w:rsidR="00665216">
              <w:rPr>
                <w:noProof/>
                <w:webHidden/>
              </w:rPr>
              <w:t>8</w:t>
            </w:r>
            <w:r w:rsidR="00541DF6">
              <w:rPr>
                <w:noProof/>
                <w:webHidden/>
              </w:rPr>
              <w:fldChar w:fldCharType="end"/>
            </w:r>
          </w:hyperlink>
        </w:p>
        <w:p w14:paraId="738D8C94" w14:textId="5C18E5D5" w:rsidR="00541DF6" w:rsidRDefault="00281C97">
          <w:pPr>
            <w:pStyle w:val="Kazalovsebine3"/>
            <w:tabs>
              <w:tab w:val="right" w:leader="dot" w:pos="9062"/>
            </w:tabs>
            <w:rPr>
              <w:rFonts w:cstheme="minorBidi"/>
              <w:noProof/>
            </w:rPr>
          </w:pPr>
          <w:hyperlink w:anchor="_Toc17114045" w:history="1">
            <w:r w:rsidR="00541DF6" w:rsidRPr="003A4B5E">
              <w:rPr>
                <w:rStyle w:val="Hiperpovezava"/>
                <w:rFonts w:ascii="Arial" w:hAnsi="Arial" w:cs="Arial"/>
                <w:noProof/>
              </w:rPr>
              <w:t>2.1.3 Število naročnikov z objavljenim obvestilom o oddaji javnega naročila in s sporočenimi podatki o evidenčnih naročilih</w:t>
            </w:r>
            <w:r w:rsidR="00541DF6">
              <w:rPr>
                <w:noProof/>
                <w:webHidden/>
              </w:rPr>
              <w:tab/>
            </w:r>
            <w:r w:rsidR="00541DF6">
              <w:rPr>
                <w:noProof/>
                <w:webHidden/>
              </w:rPr>
              <w:fldChar w:fldCharType="begin"/>
            </w:r>
            <w:r w:rsidR="00541DF6">
              <w:rPr>
                <w:noProof/>
                <w:webHidden/>
              </w:rPr>
              <w:instrText xml:space="preserve"> PAGEREF _Toc17114045 \h </w:instrText>
            </w:r>
            <w:r w:rsidR="00541DF6">
              <w:rPr>
                <w:noProof/>
                <w:webHidden/>
              </w:rPr>
            </w:r>
            <w:r w:rsidR="00541DF6">
              <w:rPr>
                <w:noProof/>
                <w:webHidden/>
              </w:rPr>
              <w:fldChar w:fldCharType="separate"/>
            </w:r>
            <w:r w:rsidR="00665216">
              <w:rPr>
                <w:noProof/>
                <w:webHidden/>
              </w:rPr>
              <w:t>8</w:t>
            </w:r>
            <w:r w:rsidR="00541DF6">
              <w:rPr>
                <w:noProof/>
                <w:webHidden/>
              </w:rPr>
              <w:fldChar w:fldCharType="end"/>
            </w:r>
          </w:hyperlink>
        </w:p>
        <w:p w14:paraId="1856F810" w14:textId="2A0E1647" w:rsidR="00541DF6" w:rsidRDefault="00281C97">
          <w:pPr>
            <w:pStyle w:val="Kazalovsebine2"/>
            <w:tabs>
              <w:tab w:val="right" w:leader="dot" w:pos="9062"/>
            </w:tabs>
            <w:rPr>
              <w:rFonts w:eastAsiaTheme="minorEastAsia"/>
              <w:noProof/>
              <w:lang w:eastAsia="sl-SI"/>
            </w:rPr>
          </w:pPr>
          <w:hyperlink w:anchor="_Toc17114046" w:history="1">
            <w:r w:rsidR="00541DF6" w:rsidRPr="003A4B5E">
              <w:rPr>
                <w:rStyle w:val="Hiperpovezava"/>
                <w:rFonts w:ascii="Arial" w:hAnsi="Arial" w:cs="Arial"/>
                <w:noProof/>
              </w:rPr>
              <w:t>2.2 Objavljena javna naročila</w:t>
            </w:r>
            <w:r w:rsidR="00541DF6">
              <w:rPr>
                <w:noProof/>
                <w:webHidden/>
              </w:rPr>
              <w:tab/>
            </w:r>
            <w:r w:rsidR="00541DF6">
              <w:rPr>
                <w:noProof/>
                <w:webHidden/>
              </w:rPr>
              <w:fldChar w:fldCharType="begin"/>
            </w:r>
            <w:r w:rsidR="00541DF6">
              <w:rPr>
                <w:noProof/>
                <w:webHidden/>
              </w:rPr>
              <w:instrText xml:space="preserve"> PAGEREF _Toc17114046 \h </w:instrText>
            </w:r>
            <w:r w:rsidR="00541DF6">
              <w:rPr>
                <w:noProof/>
                <w:webHidden/>
              </w:rPr>
            </w:r>
            <w:r w:rsidR="00541DF6">
              <w:rPr>
                <w:noProof/>
                <w:webHidden/>
              </w:rPr>
              <w:fldChar w:fldCharType="separate"/>
            </w:r>
            <w:r w:rsidR="00665216">
              <w:rPr>
                <w:noProof/>
                <w:webHidden/>
              </w:rPr>
              <w:t>9</w:t>
            </w:r>
            <w:r w:rsidR="00541DF6">
              <w:rPr>
                <w:noProof/>
                <w:webHidden/>
              </w:rPr>
              <w:fldChar w:fldCharType="end"/>
            </w:r>
          </w:hyperlink>
        </w:p>
        <w:p w14:paraId="5B773FAC" w14:textId="2108414A" w:rsidR="00541DF6" w:rsidRDefault="00281C97">
          <w:pPr>
            <w:pStyle w:val="Kazalovsebine3"/>
            <w:tabs>
              <w:tab w:val="right" w:leader="dot" w:pos="9062"/>
            </w:tabs>
            <w:rPr>
              <w:rFonts w:cstheme="minorBidi"/>
              <w:noProof/>
            </w:rPr>
          </w:pPr>
          <w:hyperlink w:anchor="_Toc17114047" w:history="1">
            <w:r w:rsidR="00541DF6" w:rsidRPr="003A4B5E">
              <w:rPr>
                <w:rStyle w:val="Hiperpovezava"/>
                <w:rFonts w:ascii="Arial" w:hAnsi="Arial" w:cs="Arial"/>
                <w:noProof/>
              </w:rPr>
              <w:t>2.2.1 Naročila, objavljena le na portalu javnih naročil</w:t>
            </w:r>
            <w:r w:rsidR="00541DF6">
              <w:rPr>
                <w:noProof/>
                <w:webHidden/>
              </w:rPr>
              <w:tab/>
            </w:r>
            <w:r w:rsidR="00541DF6">
              <w:rPr>
                <w:noProof/>
                <w:webHidden/>
              </w:rPr>
              <w:fldChar w:fldCharType="begin"/>
            </w:r>
            <w:r w:rsidR="00541DF6">
              <w:rPr>
                <w:noProof/>
                <w:webHidden/>
              </w:rPr>
              <w:instrText xml:space="preserve"> PAGEREF _Toc17114047 \h </w:instrText>
            </w:r>
            <w:r w:rsidR="00541DF6">
              <w:rPr>
                <w:noProof/>
                <w:webHidden/>
              </w:rPr>
            </w:r>
            <w:r w:rsidR="00541DF6">
              <w:rPr>
                <w:noProof/>
                <w:webHidden/>
              </w:rPr>
              <w:fldChar w:fldCharType="separate"/>
            </w:r>
            <w:r w:rsidR="00665216">
              <w:rPr>
                <w:noProof/>
                <w:webHidden/>
              </w:rPr>
              <w:t>10</w:t>
            </w:r>
            <w:r w:rsidR="00541DF6">
              <w:rPr>
                <w:noProof/>
                <w:webHidden/>
              </w:rPr>
              <w:fldChar w:fldCharType="end"/>
            </w:r>
          </w:hyperlink>
        </w:p>
        <w:p w14:paraId="08D29CBA" w14:textId="05D12399" w:rsidR="00541DF6" w:rsidRDefault="00281C97">
          <w:pPr>
            <w:pStyle w:val="Kazalovsebine3"/>
            <w:tabs>
              <w:tab w:val="right" w:leader="dot" w:pos="9062"/>
            </w:tabs>
            <w:rPr>
              <w:rFonts w:cstheme="minorBidi"/>
              <w:noProof/>
            </w:rPr>
          </w:pPr>
          <w:hyperlink w:anchor="_Toc17114048" w:history="1">
            <w:r w:rsidR="00541DF6" w:rsidRPr="003A4B5E">
              <w:rPr>
                <w:rStyle w:val="Hiperpovezava"/>
                <w:rFonts w:ascii="Arial" w:hAnsi="Arial" w:cs="Arial"/>
                <w:noProof/>
              </w:rPr>
              <w:t>2.2.2 Naročila, objavljena na portalu javnih naročil in v Uradnem listu Evropske unije</w:t>
            </w:r>
            <w:r w:rsidR="00541DF6">
              <w:rPr>
                <w:noProof/>
                <w:webHidden/>
              </w:rPr>
              <w:tab/>
            </w:r>
            <w:r w:rsidR="00541DF6">
              <w:rPr>
                <w:noProof/>
                <w:webHidden/>
              </w:rPr>
              <w:fldChar w:fldCharType="begin"/>
            </w:r>
            <w:r w:rsidR="00541DF6">
              <w:rPr>
                <w:noProof/>
                <w:webHidden/>
              </w:rPr>
              <w:instrText xml:space="preserve"> PAGEREF _Toc17114048 \h </w:instrText>
            </w:r>
            <w:r w:rsidR="00541DF6">
              <w:rPr>
                <w:noProof/>
                <w:webHidden/>
              </w:rPr>
            </w:r>
            <w:r w:rsidR="00541DF6">
              <w:rPr>
                <w:noProof/>
                <w:webHidden/>
              </w:rPr>
              <w:fldChar w:fldCharType="separate"/>
            </w:r>
            <w:r w:rsidR="00665216">
              <w:rPr>
                <w:noProof/>
                <w:webHidden/>
              </w:rPr>
              <w:t>11</w:t>
            </w:r>
            <w:r w:rsidR="00541DF6">
              <w:rPr>
                <w:noProof/>
                <w:webHidden/>
              </w:rPr>
              <w:fldChar w:fldCharType="end"/>
            </w:r>
          </w:hyperlink>
        </w:p>
        <w:p w14:paraId="12D34CFC" w14:textId="080D4635" w:rsidR="00541DF6" w:rsidRDefault="00281C97">
          <w:pPr>
            <w:pStyle w:val="Kazalovsebine2"/>
            <w:tabs>
              <w:tab w:val="right" w:leader="dot" w:pos="9062"/>
            </w:tabs>
            <w:rPr>
              <w:rFonts w:eastAsiaTheme="minorEastAsia"/>
              <w:noProof/>
              <w:lang w:eastAsia="sl-SI"/>
            </w:rPr>
          </w:pPr>
          <w:hyperlink w:anchor="_Toc17114049" w:history="1">
            <w:r w:rsidR="00541DF6" w:rsidRPr="003A4B5E">
              <w:rPr>
                <w:rStyle w:val="Hiperpovezava"/>
                <w:rFonts w:ascii="Arial" w:hAnsi="Arial" w:cs="Arial"/>
                <w:noProof/>
              </w:rPr>
              <w:t>2.3 Postopki in načini oddaje javnih naročil</w:t>
            </w:r>
            <w:r w:rsidR="00541DF6">
              <w:rPr>
                <w:noProof/>
                <w:webHidden/>
              </w:rPr>
              <w:tab/>
            </w:r>
            <w:r w:rsidR="00541DF6">
              <w:rPr>
                <w:noProof/>
                <w:webHidden/>
              </w:rPr>
              <w:fldChar w:fldCharType="begin"/>
            </w:r>
            <w:r w:rsidR="00541DF6">
              <w:rPr>
                <w:noProof/>
                <w:webHidden/>
              </w:rPr>
              <w:instrText xml:space="preserve"> PAGEREF _Toc17114049 \h </w:instrText>
            </w:r>
            <w:r w:rsidR="00541DF6">
              <w:rPr>
                <w:noProof/>
                <w:webHidden/>
              </w:rPr>
            </w:r>
            <w:r w:rsidR="00541DF6">
              <w:rPr>
                <w:noProof/>
                <w:webHidden/>
              </w:rPr>
              <w:fldChar w:fldCharType="separate"/>
            </w:r>
            <w:r w:rsidR="00665216">
              <w:rPr>
                <w:noProof/>
                <w:webHidden/>
              </w:rPr>
              <w:t>11</w:t>
            </w:r>
            <w:r w:rsidR="00541DF6">
              <w:rPr>
                <w:noProof/>
                <w:webHidden/>
              </w:rPr>
              <w:fldChar w:fldCharType="end"/>
            </w:r>
          </w:hyperlink>
        </w:p>
        <w:p w14:paraId="4F3D28FA" w14:textId="1DC1F962" w:rsidR="00541DF6" w:rsidRDefault="00281C97">
          <w:pPr>
            <w:pStyle w:val="Kazalovsebine3"/>
            <w:tabs>
              <w:tab w:val="right" w:leader="dot" w:pos="9062"/>
            </w:tabs>
            <w:rPr>
              <w:rFonts w:cstheme="minorBidi"/>
              <w:noProof/>
            </w:rPr>
          </w:pPr>
          <w:hyperlink w:anchor="_Toc17114050" w:history="1">
            <w:r w:rsidR="00541DF6" w:rsidRPr="003A4B5E">
              <w:rPr>
                <w:rStyle w:val="Hiperpovezava"/>
                <w:rFonts w:ascii="Arial" w:hAnsi="Arial" w:cs="Arial"/>
                <w:noProof/>
              </w:rPr>
              <w:t>2.3.1 Postopki javnega naročanja</w:t>
            </w:r>
            <w:r w:rsidR="00541DF6">
              <w:rPr>
                <w:noProof/>
                <w:webHidden/>
              </w:rPr>
              <w:tab/>
            </w:r>
            <w:r w:rsidR="00541DF6">
              <w:rPr>
                <w:noProof/>
                <w:webHidden/>
              </w:rPr>
              <w:fldChar w:fldCharType="begin"/>
            </w:r>
            <w:r w:rsidR="00541DF6">
              <w:rPr>
                <w:noProof/>
                <w:webHidden/>
              </w:rPr>
              <w:instrText xml:space="preserve"> PAGEREF _Toc17114050 \h </w:instrText>
            </w:r>
            <w:r w:rsidR="00541DF6">
              <w:rPr>
                <w:noProof/>
                <w:webHidden/>
              </w:rPr>
            </w:r>
            <w:r w:rsidR="00541DF6">
              <w:rPr>
                <w:noProof/>
                <w:webHidden/>
              </w:rPr>
              <w:fldChar w:fldCharType="separate"/>
            </w:r>
            <w:r w:rsidR="00665216">
              <w:rPr>
                <w:noProof/>
                <w:webHidden/>
              </w:rPr>
              <w:t>11</w:t>
            </w:r>
            <w:r w:rsidR="00541DF6">
              <w:rPr>
                <w:noProof/>
                <w:webHidden/>
              </w:rPr>
              <w:fldChar w:fldCharType="end"/>
            </w:r>
          </w:hyperlink>
        </w:p>
        <w:p w14:paraId="7859D8F5" w14:textId="556C01E3" w:rsidR="00541DF6" w:rsidRDefault="00281C97">
          <w:pPr>
            <w:pStyle w:val="Kazalovsebine3"/>
            <w:tabs>
              <w:tab w:val="right" w:leader="dot" w:pos="9062"/>
            </w:tabs>
            <w:rPr>
              <w:rFonts w:cstheme="minorBidi"/>
              <w:noProof/>
            </w:rPr>
          </w:pPr>
          <w:hyperlink w:anchor="_Toc17114051" w:history="1">
            <w:r w:rsidR="00541DF6" w:rsidRPr="003A4B5E">
              <w:rPr>
                <w:rStyle w:val="Hiperpovezava"/>
                <w:rFonts w:ascii="Arial" w:hAnsi="Arial" w:cs="Arial"/>
                <w:noProof/>
              </w:rPr>
              <w:t>2.3.2 Postopki z objavo obvestila o javnem naročilu</w:t>
            </w:r>
            <w:r w:rsidR="00541DF6">
              <w:rPr>
                <w:noProof/>
                <w:webHidden/>
              </w:rPr>
              <w:tab/>
            </w:r>
            <w:r w:rsidR="00541DF6">
              <w:rPr>
                <w:noProof/>
                <w:webHidden/>
              </w:rPr>
              <w:fldChar w:fldCharType="begin"/>
            </w:r>
            <w:r w:rsidR="00541DF6">
              <w:rPr>
                <w:noProof/>
                <w:webHidden/>
              </w:rPr>
              <w:instrText xml:space="preserve"> PAGEREF _Toc17114051 \h </w:instrText>
            </w:r>
            <w:r w:rsidR="00541DF6">
              <w:rPr>
                <w:noProof/>
                <w:webHidden/>
              </w:rPr>
            </w:r>
            <w:r w:rsidR="00541DF6">
              <w:rPr>
                <w:noProof/>
                <w:webHidden/>
              </w:rPr>
              <w:fldChar w:fldCharType="separate"/>
            </w:r>
            <w:r w:rsidR="00665216">
              <w:rPr>
                <w:noProof/>
                <w:webHidden/>
              </w:rPr>
              <w:t>14</w:t>
            </w:r>
            <w:r w:rsidR="00541DF6">
              <w:rPr>
                <w:noProof/>
                <w:webHidden/>
              </w:rPr>
              <w:fldChar w:fldCharType="end"/>
            </w:r>
          </w:hyperlink>
        </w:p>
        <w:p w14:paraId="29E51C8D" w14:textId="78878CA4" w:rsidR="00541DF6" w:rsidRDefault="00281C97">
          <w:pPr>
            <w:pStyle w:val="Kazalovsebine3"/>
            <w:tabs>
              <w:tab w:val="right" w:leader="dot" w:pos="9062"/>
            </w:tabs>
            <w:rPr>
              <w:rFonts w:cstheme="minorBidi"/>
              <w:noProof/>
            </w:rPr>
          </w:pPr>
          <w:hyperlink w:anchor="_Toc17114052" w:history="1">
            <w:r w:rsidR="00541DF6" w:rsidRPr="003A4B5E">
              <w:rPr>
                <w:rStyle w:val="Hiperpovezava"/>
                <w:rFonts w:ascii="Arial" w:hAnsi="Arial" w:cs="Arial"/>
                <w:noProof/>
              </w:rPr>
              <w:t>2.3.3 Postopki brez predhodne objave obvestila o javnem naročilu</w:t>
            </w:r>
            <w:r w:rsidR="00541DF6">
              <w:rPr>
                <w:noProof/>
                <w:webHidden/>
              </w:rPr>
              <w:tab/>
            </w:r>
            <w:r w:rsidR="00541DF6">
              <w:rPr>
                <w:noProof/>
                <w:webHidden/>
              </w:rPr>
              <w:fldChar w:fldCharType="begin"/>
            </w:r>
            <w:r w:rsidR="00541DF6">
              <w:rPr>
                <w:noProof/>
                <w:webHidden/>
              </w:rPr>
              <w:instrText xml:space="preserve"> PAGEREF _Toc17114052 \h </w:instrText>
            </w:r>
            <w:r w:rsidR="00541DF6">
              <w:rPr>
                <w:noProof/>
                <w:webHidden/>
              </w:rPr>
            </w:r>
            <w:r w:rsidR="00541DF6">
              <w:rPr>
                <w:noProof/>
                <w:webHidden/>
              </w:rPr>
              <w:fldChar w:fldCharType="separate"/>
            </w:r>
            <w:r w:rsidR="00665216">
              <w:rPr>
                <w:noProof/>
                <w:webHidden/>
              </w:rPr>
              <w:t>16</w:t>
            </w:r>
            <w:r w:rsidR="00541DF6">
              <w:rPr>
                <w:noProof/>
                <w:webHidden/>
              </w:rPr>
              <w:fldChar w:fldCharType="end"/>
            </w:r>
          </w:hyperlink>
        </w:p>
        <w:p w14:paraId="55851647" w14:textId="77C24F62" w:rsidR="00541DF6" w:rsidRDefault="00281C97">
          <w:pPr>
            <w:pStyle w:val="Kazalovsebine3"/>
            <w:tabs>
              <w:tab w:val="right" w:leader="dot" w:pos="9062"/>
            </w:tabs>
            <w:rPr>
              <w:rFonts w:cstheme="minorBidi"/>
              <w:noProof/>
            </w:rPr>
          </w:pPr>
          <w:hyperlink w:anchor="_Toc17114053" w:history="1">
            <w:r w:rsidR="00541DF6" w:rsidRPr="003A4B5E">
              <w:rPr>
                <w:rStyle w:val="Hiperpovezava"/>
                <w:rFonts w:ascii="Arial" w:hAnsi="Arial" w:cs="Arial"/>
                <w:noProof/>
              </w:rPr>
              <w:t>2.3.4 Oddaja socialnih in drugih posebnih storitev</w:t>
            </w:r>
            <w:r w:rsidR="00541DF6">
              <w:rPr>
                <w:noProof/>
                <w:webHidden/>
              </w:rPr>
              <w:tab/>
            </w:r>
            <w:r w:rsidR="00541DF6">
              <w:rPr>
                <w:noProof/>
                <w:webHidden/>
              </w:rPr>
              <w:fldChar w:fldCharType="begin"/>
            </w:r>
            <w:r w:rsidR="00541DF6">
              <w:rPr>
                <w:noProof/>
                <w:webHidden/>
              </w:rPr>
              <w:instrText xml:space="preserve"> PAGEREF _Toc17114053 \h </w:instrText>
            </w:r>
            <w:r w:rsidR="00541DF6">
              <w:rPr>
                <w:noProof/>
                <w:webHidden/>
              </w:rPr>
            </w:r>
            <w:r w:rsidR="00541DF6">
              <w:rPr>
                <w:noProof/>
                <w:webHidden/>
              </w:rPr>
              <w:fldChar w:fldCharType="separate"/>
            </w:r>
            <w:r w:rsidR="00665216">
              <w:rPr>
                <w:noProof/>
                <w:webHidden/>
              </w:rPr>
              <w:t>18</w:t>
            </w:r>
            <w:r w:rsidR="00541DF6">
              <w:rPr>
                <w:noProof/>
                <w:webHidden/>
              </w:rPr>
              <w:fldChar w:fldCharType="end"/>
            </w:r>
          </w:hyperlink>
        </w:p>
        <w:p w14:paraId="6DB47F73" w14:textId="7422DD22" w:rsidR="00541DF6" w:rsidRDefault="00281C97">
          <w:pPr>
            <w:pStyle w:val="Kazalovsebine3"/>
            <w:tabs>
              <w:tab w:val="right" w:leader="dot" w:pos="9062"/>
            </w:tabs>
            <w:rPr>
              <w:rFonts w:cstheme="minorBidi"/>
              <w:noProof/>
            </w:rPr>
          </w:pPr>
          <w:hyperlink w:anchor="_Toc17114054" w:history="1">
            <w:r w:rsidR="00541DF6" w:rsidRPr="003A4B5E">
              <w:rPr>
                <w:rStyle w:val="Hiperpovezava"/>
                <w:rFonts w:ascii="Arial" w:hAnsi="Arial" w:cs="Arial"/>
                <w:noProof/>
              </w:rPr>
              <w:t>2.3.5 Okvirni sporazumi</w:t>
            </w:r>
            <w:r w:rsidR="00541DF6">
              <w:rPr>
                <w:noProof/>
                <w:webHidden/>
              </w:rPr>
              <w:tab/>
            </w:r>
            <w:r w:rsidR="00541DF6">
              <w:rPr>
                <w:noProof/>
                <w:webHidden/>
              </w:rPr>
              <w:fldChar w:fldCharType="begin"/>
            </w:r>
            <w:r w:rsidR="00541DF6">
              <w:rPr>
                <w:noProof/>
                <w:webHidden/>
              </w:rPr>
              <w:instrText xml:space="preserve"> PAGEREF _Toc17114054 \h </w:instrText>
            </w:r>
            <w:r w:rsidR="00541DF6">
              <w:rPr>
                <w:noProof/>
                <w:webHidden/>
              </w:rPr>
            </w:r>
            <w:r w:rsidR="00541DF6">
              <w:rPr>
                <w:noProof/>
                <w:webHidden/>
              </w:rPr>
              <w:fldChar w:fldCharType="separate"/>
            </w:r>
            <w:r w:rsidR="00665216">
              <w:rPr>
                <w:noProof/>
                <w:webHidden/>
              </w:rPr>
              <w:t>19</w:t>
            </w:r>
            <w:r w:rsidR="00541DF6">
              <w:rPr>
                <w:noProof/>
                <w:webHidden/>
              </w:rPr>
              <w:fldChar w:fldCharType="end"/>
            </w:r>
          </w:hyperlink>
        </w:p>
        <w:p w14:paraId="408A60EE" w14:textId="43297040" w:rsidR="00541DF6" w:rsidRDefault="00281C97">
          <w:pPr>
            <w:pStyle w:val="Kazalovsebine4"/>
            <w:tabs>
              <w:tab w:val="right" w:leader="dot" w:pos="9062"/>
            </w:tabs>
            <w:rPr>
              <w:rFonts w:eastAsiaTheme="minorEastAsia"/>
              <w:noProof/>
              <w:lang w:eastAsia="sl-SI"/>
            </w:rPr>
          </w:pPr>
          <w:hyperlink w:anchor="_Toc17114055" w:history="1">
            <w:r w:rsidR="00541DF6" w:rsidRPr="003A4B5E">
              <w:rPr>
                <w:rStyle w:val="Hiperpovezava"/>
                <w:rFonts w:ascii="Arial" w:hAnsi="Arial" w:cs="Arial"/>
                <w:noProof/>
              </w:rPr>
              <w:t>2.3.5.1 Naročila v postopkih javnega naročanja za sklenitev okvirnega sporazuma</w:t>
            </w:r>
            <w:r w:rsidR="00541DF6">
              <w:rPr>
                <w:noProof/>
                <w:webHidden/>
              </w:rPr>
              <w:tab/>
            </w:r>
            <w:r w:rsidR="00541DF6">
              <w:rPr>
                <w:noProof/>
                <w:webHidden/>
              </w:rPr>
              <w:fldChar w:fldCharType="begin"/>
            </w:r>
            <w:r w:rsidR="00541DF6">
              <w:rPr>
                <w:noProof/>
                <w:webHidden/>
              </w:rPr>
              <w:instrText xml:space="preserve"> PAGEREF _Toc17114055 \h </w:instrText>
            </w:r>
            <w:r w:rsidR="00541DF6">
              <w:rPr>
                <w:noProof/>
                <w:webHidden/>
              </w:rPr>
            </w:r>
            <w:r w:rsidR="00541DF6">
              <w:rPr>
                <w:noProof/>
                <w:webHidden/>
              </w:rPr>
              <w:fldChar w:fldCharType="separate"/>
            </w:r>
            <w:r w:rsidR="00665216">
              <w:rPr>
                <w:noProof/>
                <w:webHidden/>
              </w:rPr>
              <w:t>19</w:t>
            </w:r>
            <w:r w:rsidR="00541DF6">
              <w:rPr>
                <w:noProof/>
                <w:webHidden/>
              </w:rPr>
              <w:fldChar w:fldCharType="end"/>
            </w:r>
          </w:hyperlink>
        </w:p>
        <w:p w14:paraId="17B55192" w14:textId="5503704F" w:rsidR="00541DF6" w:rsidRDefault="00281C97">
          <w:pPr>
            <w:pStyle w:val="Kazalovsebine4"/>
            <w:tabs>
              <w:tab w:val="right" w:leader="dot" w:pos="9062"/>
            </w:tabs>
            <w:rPr>
              <w:rFonts w:eastAsiaTheme="minorEastAsia"/>
              <w:noProof/>
              <w:lang w:eastAsia="sl-SI"/>
            </w:rPr>
          </w:pPr>
          <w:hyperlink w:anchor="_Toc17114056" w:history="1">
            <w:r w:rsidR="00541DF6" w:rsidRPr="003A4B5E">
              <w:rPr>
                <w:rStyle w:val="Hiperpovezava"/>
                <w:rFonts w:ascii="Arial" w:hAnsi="Arial" w:cs="Arial"/>
                <w:noProof/>
              </w:rPr>
              <w:t>2.3.5.2 Izvajanje okvirnih sporazumov</w:t>
            </w:r>
            <w:r w:rsidR="00541DF6">
              <w:rPr>
                <w:noProof/>
                <w:webHidden/>
              </w:rPr>
              <w:tab/>
            </w:r>
            <w:r w:rsidR="00541DF6">
              <w:rPr>
                <w:noProof/>
                <w:webHidden/>
              </w:rPr>
              <w:fldChar w:fldCharType="begin"/>
            </w:r>
            <w:r w:rsidR="00541DF6">
              <w:rPr>
                <w:noProof/>
                <w:webHidden/>
              </w:rPr>
              <w:instrText xml:space="preserve"> PAGEREF _Toc17114056 \h </w:instrText>
            </w:r>
            <w:r w:rsidR="00541DF6">
              <w:rPr>
                <w:noProof/>
                <w:webHidden/>
              </w:rPr>
            </w:r>
            <w:r w:rsidR="00541DF6">
              <w:rPr>
                <w:noProof/>
                <w:webHidden/>
              </w:rPr>
              <w:fldChar w:fldCharType="separate"/>
            </w:r>
            <w:r w:rsidR="00665216">
              <w:rPr>
                <w:noProof/>
                <w:webHidden/>
              </w:rPr>
              <w:t>20</w:t>
            </w:r>
            <w:r w:rsidR="00541DF6">
              <w:rPr>
                <w:noProof/>
                <w:webHidden/>
              </w:rPr>
              <w:fldChar w:fldCharType="end"/>
            </w:r>
          </w:hyperlink>
        </w:p>
        <w:p w14:paraId="22070FFA" w14:textId="5473C120" w:rsidR="00541DF6" w:rsidRDefault="00281C97">
          <w:pPr>
            <w:pStyle w:val="Kazalovsebine3"/>
            <w:tabs>
              <w:tab w:val="right" w:leader="dot" w:pos="9062"/>
            </w:tabs>
            <w:rPr>
              <w:rFonts w:cstheme="minorBidi"/>
              <w:noProof/>
            </w:rPr>
          </w:pPr>
          <w:hyperlink w:anchor="_Toc17114057" w:history="1">
            <w:r w:rsidR="00541DF6" w:rsidRPr="003A4B5E">
              <w:rPr>
                <w:rStyle w:val="Hiperpovezava"/>
                <w:rFonts w:ascii="Arial" w:hAnsi="Arial" w:cs="Arial"/>
                <w:noProof/>
              </w:rPr>
              <w:t>2.3.6 Elektronska dražba</w:t>
            </w:r>
            <w:r w:rsidR="00541DF6">
              <w:rPr>
                <w:noProof/>
                <w:webHidden/>
              </w:rPr>
              <w:tab/>
            </w:r>
            <w:r w:rsidR="00541DF6">
              <w:rPr>
                <w:noProof/>
                <w:webHidden/>
              </w:rPr>
              <w:fldChar w:fldCharType="begin"/>
            </w:r>
            <w:r w:rsidR="00541DF6">
              <w:rPr>
                <w:noProof/>
                <w:webHidden/>
              </w:rPr>
              <w:instrText xml:space="preserve"> PAGEREF _Toc17114057 \h </w:instrText>
            </w:r>
            <w:r w:rsidR="00541DF6">
              <w:rPr>
                <w:noProof/>
                <w:webHidden/>
              </w:rPr>
            </w:r>
            <w:r w:rsidR="00541DF6">
              <w:rPr>
                <w:noProof/>
                <w:webHidden/>
              </w:rPr>
              <w:fldChar w:fldCharType="separate"/>
            </w:r>
            <w:r w:rsidR="00665216">
              <w:rPr>
                <w:noProof/>
                <w:webHidden/>
              </w:rPr>
              <w:t>21</w:t>
            </w:r>
            <w:r w:rsidR="00541DF6">
              <w:rPr>
                <w:noProof/>
                <w:webHidden/>
              </w:rPr>
              <w:fldChar w:fldCharType="end"/>
            </w:r>
          </w:hyperlink>
        </w:p>
        <w:p w14:paraId="03FCBDAB" w14:textId="70964147" w:rsidR="00541DF6" w:rsidRDefault="00281C97">
          <w:pPr>
            <w:pStyle w:val="Kazalovsebine3"/>
            <w:tabs>
              <w:tab w:val="right" w:leader="dot" w:pos="9062"/>
            </w:tabs>
            <w:rPr>
              <w:rFonts w:cstheme="minorBidi"/>
              <w:noProof/>
            </w:rPr>
          </w:pPr>
          <w:hyperlink w:anchor="_Toc17114058" w:history="1">
            <w:r w:rsidR="00541DF6" w:rsidRPr="003A4B5E">
              <w:rPr>
                <w:rStyle w:val="Hiperpovezava"/>
                <w:rFonts w:ascii="Arial" w:hAnsi="Arial" w:cs="Arial"/>
                <w:noProof/>
              </w:rPr>
              <w:t>2.3.7 Skupno javno naročanje</w:t>
            </w:r>
            <w:r w:rsidR="00541DF6">
              <w:rPr>
                <w:noProof/>
                <w:webHidden/>
              </w:rPr>
              <w:tab/>
            </w:r>
            <w:r w:rsidR="00541DF6">
              <w:rPr>
                <w:noProof/>
                <w:webHidden/>
              </w:rPr>
              <w:fldChar w:fldCharType="begin"/>
            </w:r>
            <w:r w:rsidR="00541DF6">
              <w:rPr>
                <w:noProof/>
                <w:webHidden/>
              </w:rPr>
              <w:instrText xml:space="preserve"> PAGEREF _Toc17114058 \h </w:instrText>
            </w:r>
            <w:r w:rsidR="00541DF6">
              <w:rPr>
                <w:noProof/>
                <w:webHidden/>
              </w:rPr>
            </w:r>
            <w:r w:rsidR="00541DF6">
              <w:rPr>
                <w:noProof/>
                <w:webHidden/>
              </w:rPr>
              <w:fldChar w:fldCharType="separate"/>
            </w:r>
            <w:r w:rsidR="00665216">
              <w:rPr>
                <w:noProof/>
                <w:webHidden/>
              </w:rPr>
              <w:t>21</w:t>
            </w:r>
            <w:r w:rsidR="00541DF6">
              <w:rPr>
                <w:noProof/>
                <w:webHidden/>
              </w:rPr>
              <w:fldChar w:fldCharType="end"/>
            </w:r>
          </w:hyperlink>
        </w:p>
        <w:p w14:paraId="1205066A" w14:textId="3613E380" w:rsidR="00541DF6" w:rsidRDefault="00281C97">
          <w:pPr>
            <w:pStyle w:val="Kazalovsebine2"/>
            <w:tabs>
              <w:tab w:val="right" w:leader="dot" w:pos="9062"/>
            </w:tabs>
            <w:rPr>
              <w:rFonts w:eastAsiaTheme="minorEastAsia"/>
              <w:noProof/>
              <w:lang w:eastAsia="sl-SI"/>
            </w:rPr>
          </w:pPr>
          <w:hyperlink w:anchor="_Toc17114059" w:history="1">
            <w:r w:rsidR="00541DF6" w:rsidRPr="003A4B5E">
              <w:rPr>
                <w:rStyle w:val="Hiperpovezava"/>
                <w:rFonts w:ascii="Arial" w:hAnsi="Arial" w:cs="Arial"/>
                <w:noProof/>
              </w:rPr>
              <w:t>2.4 Kategorije naročnikov ter področja in predmeti naročanja</w:t>
            </w:r>
            <w:r w:rsidR="00541DF6">
              <w:rPr>
                <w:noProof/>
                <w:webHidden/>
              </w:rPr>
              <w:tab/>
            </w:r>
            <w:r w:rsidR="00541DF6">
              <w:rPr>
                <w:noProof/>
                <w:webHidden/>
              </w:rPr>
              <w:fldChar w:fldCharType="begin"/>
            </w:r>
            <w:r w:rsidR="00541DF6">
              <w:rPr>
                <w:noProof/>
                <w:webHidden/>
              </w:rPr>
              <w:instrText xml:space="preserve"> PAGEREF _Toc17114059 \h </w:instrText>
            </w:r>
            <w:r w:rsidR="00541DF6">
              <w:rPr>
                <w:noProof/>
                <w:webHidden/>
              </w:rPr>
            </w:r>
            <w:r w:rsidR="00541DF6">
              <w:rPr>
                <w:noProof/>
                <w:webHidden/>
              </w:rPr>
              <w:fldChar w:fldCharType="separate"/>
            </w:r>
            <w:r w:rsidR="00665216">
              <w:rPr>
                <w:noProof/>
                <w:webHidden/>
              </w:rPr>
              <w:t>23</w:t>
            </w:r>
            <w:r w:rsidR="00541DF6">
              <w:rPr>
                <w:noProof/>
                <w:webHidden/>
              </w:rPr>
              <w:fldChar w:fldCharType="end"/>
            </w:r>
          </w:hyperlink>
        </w:p>
        <w:p w14:paraId="65D3DA4F" w14:textId="10CF6884" w:rsidR="00541DF6" w:rsidRDefault="00281C97">
          <w:pPr>
            <w:pStyle w:val="Kazalovsebine3"/>
            <w:tabs>
              <w:tab w:val="right" w:leader="dot" w:pos="9062"/>
            </w:tabs>
            <w:rPr>
              <w:rFonts w:cstheme="minorBidi"/>
              <w:noProof/>
            </w:rPr>
          </w:pPr>
          <w:hyperlink w:anchor="_Toc17114060" w:history="1">
            <w:r w:rsidR="00541DF6" w:rsidRPr="003A4B5E">
              <w:rPr>
                <w:rStyle w:val="Hiperpovezava"/>
                <w:rFonts w:ascii="Arial" w:hAnsi="Arial" w:cs="Arial"/>
                <w:noProof/>
              </w:rPr>
              <w:t>2.4.1 Področje javnega naročanja in dejavnosti naročnikov</w:t>
            </w:r>
            <w:r w:rsidR="00541DF6">
              <w:rPr>
                <w:noProof/>
                <w:webHidden/>
              </w:rPr>
              <w:tab/>
            </w:r>
            <w:r w:rsidR="00541DF6">
              <w:rPr>
                <w:noProof/>
                <w:webHidden/>
              </w:rPr>
              <w:fldChar w:fldCharType="begin"/>
            </w:r>
            <w:r w:rsidR="00541DF6">
              <w:rPr>
                <w:noProof/>
                <w:webHidden/>
              </w:rPr>
              <w:instrText xml:space="preserve"> PAGEREF _Toc17114060 \h </w:instrText>
            </w:r>
            <w:r w:rsidR="00541DF6">
              <w:rPr>
                <w:noProof/>
                <w:webHidden/>
              </w:rPr>
            </w:r>
            <w:r w:rsidR="00541DF6">
              <w:rPr>
                <w:noProof/>
                <w:webHidden/>
              </w:rPr>
              <w:fldChar w:fldCharType="separate"/>
            </w:r>
            <w:r w:rsidR="00665216">
              <w:rPr>
                <w:noProof/>
                <w:webHidden/>
              </w:rPr>
              <w:t>23</w:t>
            </w:r>
            <w:r w:rsidR="00541DF6">
              <w:rPr>
                <w:noProof/>
                <w:webHidden/>
              </w:rPr>
              <w:fldChar w:fldCharType="end"/>
            </w:r>
          </w:hyperlink>
        </w:p>
        <w:p w14:paraId="0B6B05AF" w14:textId="3AA7F1FD" w:rsidR="00541DF6" w:rsidRDefault="00281C97">
          <w:pPr>
            <w:pStyle w:val="Kazalovsebine3"/>
            <w:tabs>
              <w:tab w:val="right" w:leader="dot" w:pos="9062"/>
            </w:tabs>
            <w:rPr>
              <w:rFonts w:cstheme="minorBidi"/>
              <w:noProof/>
            </w:rPr>
          </w:pPr>
          <w:hyperlink w:anchor="_Toc17114061" w:history="1">
            <w:r w:rsidR="00541DF6" w:rsidRPr="003A4B5E">
              <w:rPr>
                <w:rStyle w:val="Hiperpovezava"/>
                <w:rFonts w:ascii="Arial" w:hAnsi="Arial" w:cs="Arial"/>
                <w:noProof/>
              </w:rPr>
              <w:t>2.4.2 Kategorije naročnikov</w:t>
            </w:r>
            <w:r w:rsidR="00541DF6">
              <w:rPr>
                <w:noProof/>
                <w:webHidden/>
              </w:rPr>
              <w:tab/>
            </w:r>
            <w:r w:rsidR="00541DF6">
              <w:rPr>
                <w:noProof/>
                <w:webHidden/>
              </w:rPr>
              <w:fldChar w:fldCharType="begin"/>
            </w:r>
            <w:r w:rsidR="00541DF6">
              <w:rPr>
                <w:noProof/>
                <w:webHidden/>
              </w:rPr>
              <w:instrText xml:space="preserve"> PAGEREF _Toc17114061 \h </w:instrText>
            </w:r>
            <w:r w:rsidR="00541DF6">
              <w:rPr>
                <w:noProof/>
                <w:webHidden/>
              </w:rPr>
            </w:r>
            <w:r w:rsidR="00541DF6">
              <w:rPr>
                <w:noProof/>
                <w:webHidden/>
              </w:rPr>
              <w:fldChar w:fldCharType="separate"/>
            </w:r>
            <w:r w:rsidR="00665216">
              <w:rPr>
                <w:noProof/>
                <w:webHidden/>
              </w:rPr>
              <w:t>24</w:t>
            </w:r>
            <w:r w:rsidR="00541DF6">
              <w:rPr>
                <w:noProof/>
                <w:webHidden/>
              </w:rPr>
              <w:fldChar w:fldCharType="end"/>
            </w:r>
          </w:hyperlink>
        </w:p>
        <w:p w14:paraId="23C5BD27" w14:textId="351742C3" w:rsidR="00541DF6" w:rsidRDefault="00281C97">
          <w:pPr>
            <w:pStyle w:val="Kazalovsebine3"/>
            <w:tabs>
              <w:tab w:val="right" w:leader="dot" w:pos="9062"/>
            </w:tabs>
            <w:rPr>
              <w:rFonts w:cstheme="minorBidi"/>
              <w:noProof/>
            </w:rPr>
          </w:pPr>
          <w:hyperlink w:anchor="_Toc17114062" w:history="1">
            <w:r w:rsidR="00541DF6" w:rsidRPr="003A4B5E">
              <w:rPr>
                <w:rStyle w:val="Hiperpovezava"/>
                <w:rFonts w:ascii="Arial" w:hAnsi="Arial" w:cs="Arial"/>
                <w:noProof/>
              </w:rPr>
              <w:t>2.4.3 Predmeti naročanja</w:t>
            </w:r>
            <w:r w:rsidR="00541DF6">
              <w:rPr>
                <w:noProof/>
                <w:webHidden/>
              </w:rPr>
              <w:tab/>
            </w:r>
            <w:r w:rsidR="00541DF6">
              <w:rPr>
                <w:noProof/>
                <w:webHidden/>
              </w:rPr>
              <w:fldChar w:fldCharType="begin"/>
            </w:r>
            <w:r w:rsidR="00541DF6">
              <w:rPr>
                <w:noProof/>
                <w:webHidden/>
              </w:rPr>
              <w:instrText xml:space="preserve"> PAGEREF _Toc17114062 \h </w:instrText>
            </w:r>
            <w:r w:rsidR="00541DF6">
              <w:rPr>
                <w:noProof/>
                <w:webHidden/>
              </w:rPr>
            </w:r>
            <w:r w:rsidR="00541DF6">
              <w:rPr>
                <w:noProof/>
                <w:webHidden/>
              </w:rPr>
              <w:fldChar w:fldCharType="separate"/>
            </w:r>
            <w:r w:rsidR="00665216">
              <w:rPr>
                <w:noProof/>
                <w:webHidden/>
              </w:rPr>
              <w:t>25</w:t>
            </w:r>
            <w:r w:rsidR="00541DF6">
              <w:rPr>
                <w:noProof/>
                <w:webHidden/>
              </w:rPr>
              <w:fldChar w:fldCharType="end"/>
            </w:r>
          </w:hyperlink>
        </w:p>
        <w:p w14:paraId="73F64BF2" w14:textId="380C6E27" w:rsidR="00541DF6" w:rsidRDefault="00281C97">
          <w:pPr>
            <w:pStyle w:val="Kazalovsebine2"/>
            <w:tabs>
              <w:tab w:val="right" w:leader="dot" w:pos="9062"/>
            </w:tabs>
            <w:rPr>
              <w:rFonts w:eastAsiaTheme="minorEastAsia"/>
              <w:noProof/>
              <w:lang w:eastAsia="sl-SI"/>
            </w:rPr>
          </w:pPr>
          <w:hyperlink w:anchor="_Toc17114063" w:history="1">
            <w:r w:rsidR="00541DF6" w:rsidRPr="003A4B5E">
              <w:rPr>
                <w:rStyle w:val="Hiperpovezava"/>
                <w:rFonts w:ascii="Arial" w:hAnsi="Arial" w:cs="Arial"/>
                <w:noProof/>
              </w:rPr>
              <w:t>2.5 Ocenjena vrednost</w:t>
            </w:r>
            <w:r w:rsidR="00541DF6">
              <w:rPr>
                <w:noProof/>
                <w:webHidden/>
              </w:rPr>
              <w:tab/>
            </w:r>
            <w:r w:rsidR="00541DF6">
              <w:rPr>
                <w:noProof/>
                <w:webHidden/>
              </w:rPr>
              <w:fldChar w:fldCharType="begin"/>
            </w:r>
            <w:r w:rsidR="00541DF6">
              <w:rPr>
                <w:noProof/>
                <w:webHidden/>
              </w:rPr>
              <w:instrText xml:space="preserve"> PAGEREF _Toc17114063 \h </w:instrText>
            </w:r>
            <w:r w:rsidR="00541DF6">
              <w:rPr>
                <w:noProof/>
                <w:webHidden/>
              </w:rPr>
            </w:r>
            <w:r w:rsidR="00541DF6">
              <w:rPr>
                <w:noProof/>
                <w:webHidden/>
              </w:rPr>
              <w:fldChar w:fldCharType="separate"/>
            </w:r>
            <w:r w:rsidR="00665216">
              <w:rPr>
                <w:noProof/>
                <w:webHidden/>
              </w:rPr>
              <w:t>26</w:t>
            </w:r>
            <w:r w:rsidR="00541DF6">
              <w:rPr>
                <w:noProof/>
                <w:webHidden/>
              </w:rPr>
              <w:fldChar w:fldCharType="end"/>
            </w:r>
          </w:hyperlink>
        </w:p>
        <w:p w14:paraId="4ACC6764" w14:textId="28EC5CAE" w:rsidR="00541DF6" w:rsidRDefault="00281C97">
          <w:pPr>
            <w:pStyle w:val="Kazalovsebine2"/>
            <w:tabs>
              <w:tab w:val="right" w:leader="dot" w:pos="9062"/>
            </w:tabs>
            <w:rPr>
              <w:rFonts w:eastAsiaTheme="minorEastAsia"/>
              <w:noProof/>
              <w:lang w:eastAsia="sl-SI"/>
            </w:rPr>
          </w:pPr>
          <w:hyperlink w:anchor="_Toc17114064" w:history="1">
            <w:r w:rsidR="00541DF6" w:rsidRPr="003A4B5E">
              <w:rPr>
                <w:rStyle w:val="Hiperpovezava"/>
                <w:rFonts w:ascii="Arial" w:hAnsi="Arial" w:cs="Arial"/>
                <w:noProof/>
              </w:rPr>
              <w:t>2.6 Merila za oddajo javnega naročila</w:t>
            </w:r>
            <w:r w:rsidR="00541DF6">
              <w:rPr>
                <w:noProof/>
                <w:webHidden/>
              </w:rPr>
              <w:tab/>
            </w:r>
            <w:r w:rsidR="00541DF6">
              <w:rPr>
                <w:noProof/>
                <w:webHidden/>
              </w:rPr>
              <w:fldChar w:fldCharType="begin"/>
            </w:r>
            <w:r w:rsidR="00541DF6">
              <w:rPr>
                <w:noProof/>
                <w:webHidden/>
              </w:rPr>
              <w:instrText xml:space="preserve"> PAGEREF _Toc17114064 \h </w:instrText>
            </w:r>
            <w:r w:rsidR="00541DF6">
              <w:rPr>
                <w:noProof/>
                <w:webHidden/>
              </w:rPr>
            </w:r>
            <w:r w:rsidR="00541DF6">
              <w:rPr>
                <w:noProof/>
                <w:webHidden/>
              </w:rPr>
              <w:fldChar w:fldCharType="separate"/>
            </w:r>
            <w:r w:rsidR="00665216">
              <w:rPr>
                <w:noProof/>
                <w:webHidden/>
              </w:rPr>
              <w:t>27</w:t>
            </w:r>
            <w:r w:rsidR="00541DF6">
              <w:rPr>
                <w:noProof/>
                <w:webHidden/>
              </w:rPr>
              <w:fldChar w:fldCharType="end"/>
            </w:r>
          </w:hyperlink>
        </w:p>
        <w:p w14:paraId="1EA75780" w14:textId="41921130" w:rsidR="00541DF6" w:rsidRDefault="00281C97">
          <w:pPr>
            <w:pStyle w:val="Kazalovsebine2"/>
            <w:tabs>
              <w:tab w:val="right" w:leader="dot" w:pos="9062"/>
            </w:tabs>
            <w:rPr>
              <w:rFonts w:eastAsiaTheme="minorEastAsia"/>
              <w:noProof/>
              <w:lang w:eastAsia="sl-SI"/>
            </w:rPr>
          </w:pPr>
          <w:hyperlink w:anchor="_Toc17114065" w:history="1">
            <w:r w:rsidR="00541DF6" w:rsidRPr="003A4B5E">
              <w:rPr>
                <w:rStyle w:val="Hiperpovezava"/>
                <w:rFonts w:ascii="Arial" w:hAnsi="Arial" w:cs="Arial"/>
                <w:noProof/>
              </w:rPr>
              <w:t>2.7 Ponudniki in podizvajalci</w:t>
            </w:r>
            <w:r w:rsidR="00541DF6">
              <w:rPr>
                <w:noProof/>
                <w:webHidden/>
              </w:rPr>
              <w:tab/>
            </w:r>
            <w:r w:rsidR="00541DF6">
              <w:rPr>
                <w:noProof/>
                <w:webHidden/>
              </w:rPr>
              <w:fldChar w:fldCharType="begin"/>
            </w:r>
            <w:r w:rsidR="00541DF6">
              <w:rPr>
                <w:noProof/>
                <w:webHidden/>
              </w:rPr>
              <w:instrText xml:space="preserve"> PAGEREF _Toc17114065 \h </w:instrText>
            </w:r>
            <w:r w:rsidR="00541DF6">
              <w:rPr>
                <w:noProof/>
                <w:webHidden/>
              </w:rPr>
            </w:r>
            <w:r w:rsidR="00541DF6">
              <w:rPr>
                <w:noProof/>
                <w:webHidden/>
              </w:rPr>
              <w:fldChar w:fldCharType="separate"/>
            </w:r>
            <w:r w:rsidR="00665216">
              <w:rPr>
                <w:noProof/>
                <w:webHidden/>
              </w:rPr>
              <w:t>28</w:t>
            </w:r>
            <w:r w:rsidR="00541DF6">
              <w:rPr>
                <w:noProof/>
                <w:webHidden/>
              </w:rPr>
              <w:fldChar w:fldCharType="end"/>
            </w:r>
          </w:hyperlink>
        </w:p>
        <w:p w14:paraId="14D479C2" w14:textId="56A95D18" w:rsidR="00541DF6" w:rsidRDefault="00281C97">
          <w:pPr>
            <w:pStyle w:val="Kazalovsebine3"/>
            <w:tabs>
              <w:tab w:val="right" w:leader="dot" w:pos="9062"/>
            </w:tabs>
            <w:rPr>
              <w:rFonts w:cstheme="minorBidi"/>
              <w:noProof/>
            </w:rPr>
          </w:pPr>
          <w:hyperlink w:anchor="_Toc17114066" w:history="1">
            <w:r w:rsidR="00541DF6" w:rsidRPr="003A4B5E">
              <w:rPr>
                <w:rStyle w:val="Hiperpovezava"/>
                <w:rFonts w:ascii="Arial" w:hAnsi="Arial" w:cs="Arial"/>
                <w:noProof/>
              </w:rPr>
              <w:t>2.7.1 Uresničevanje načela konkurenčnosti in združevanje naročil v postopku</w:t>
            </w:r>
            <w:r w:rsidR="00541DF6">
              <w:rPr>
                <w:noProof/>
                <w:webHidden/>
              </w:rPr>
              <w:tab/>
            </w:r>
            <w:r w:rsidR="00541DF6">
              <w:rPr>
                <w:noProof/>
                <w:webHidden/>
              </w:rPr>
              <w:fldChar w:fldCharType="begin"/>
            </w:r>
            <w:r w:rsidR="00541DF6">
              <w:rPr>
                <w:noProof/>
                <w:webHidden/>
              </w:rPr>
              <w:instrText xml:space="preserve"> PAGEREF _Toc17114066 \h </w:instrText>
            </w:r>
            <w:r w:rsidR="00541DF6">
              <w:rPr>
                <w:noProof/>
                <w:webHidden/>
              </w:rPr>
            </w:r>
            <w:r w:rsidR="00541DF6">
              <w:rPr>
                <w:noProof/>
                <w:webHidden/>
              </w:rPr>
              <w:fldChar w:fldCharType="separate"/>
            </w:r>
            <w:r w:rsidR="00665216">
              <w:rPr>
                <w:noProof/>
                <w:webHidden/>
              </w:rPr>
              <w:t>29</w:t>
            </w:r>
            <w:r w:rsidR="00541DF6">
              <w:rPr>
                <w:noProof/>
                <w:webHidden/>
              </w:rPr>
              <w:fldChar w:fldCharType="end"/>
            </w:r>
          </w:hyperlink>
        </w:p>
        <w:p w14:paraId="364FBA0E" w14:textId="7318735A" w:rsidR="00541DF6" w:rsidRDefault="00281C97">
          <w:pPr>
            <w:pStyle w:val="Kazalovsebine3"/>
            <w:tabs>
              <w:tab w:val="right" w:leader="dot" w:pos="9062"/>
            </w:tabs>
            <w:rPr>
              <w:rFonts w:cstheme="minorBidi"/>
              <w:noProof/>
            </w:rPr>
          </w:pPr>
          <w:hyperlink w:anchor="_Toc17114067" w:history="1">
            <w:r w:rsidR="00541DF6" w:rsidRPr="003A4B5E">
              <w:rPr>
                <w:rStyle w:val="Hiperpovezava"/>
                <w:rFonts w:ascii="Arial" w:hAnsi="Arial" w:cs="Arial"/>
                <w:noProof/>
              </w:rPr>
              <w:t>2.7.2 Sedež ponudnikov</w:t>
            </w:r>
            <w:r w:rsidR="00541DF6">
              <w:rPr>
                <w:noProof/>
                <w:webHidden/>
              </w:rPr>
              <w:tab/>
            </w:r>
            <w:r w:rsidR="00541DF6">
              <w:rPr>
                <w:noProof/>
                <w:webHidden/>
              </w:rPr>
              <w:fldChar w:fldCharType="begin"/>
            </w:r>
            <w:r w:rsidR="00541DF6">
              <w:rPr>
                <w:noProof/>
                <w:webHidden/>
              </w:rPr>
              <w:instrText xml:space="preserve"> PAGEREF _Toc17114067 \h </w:instrText>
            </w:r>
            <w:r w:rsidR="00541DF6">
              <w:rPr>
                <w:noProof/>
                <w:webHidden/>
              </w:rPr>
            </w:r>
            <w:r w:rsidR="00541DF6">
              <w:rPr>
                <w:noProof/>
                <w:webHidden/>
              </w:rPr>
              <w:fldChar w:fldCharType="separate"/>
            </w:r>
            <w:r w:rsidR="00665216">
              <w:rPr>
                <w:noProof/>
                <w:webHidden/>
              </w:rPr>
              <w:t>32</w:t>
            </w:r>
            <w:r w:rsidR="00541DF6">
              <w:rPr>
                <w:noProof/>
                <w:webHidden/>
              </w:rPr>
              <w:fldChar w:fldCharType="end"/>
            </w:r>
          </w:hyperlink>
        </w:p>
        <w:p w14:paraId="2BA175DE" w14:textId="006A3E57" w:rsidR="00541DF6" w:rsidRDefault="00281C97">
          <w:pPr>
            <w:pStyle w:val="Kazalovsebine3"/>
            <w:tabs>
              <w:tab w:val="right" w:leader="dot" w:pos="9062"/>
            </w:tabs>
            <w:rPr>
              <w:rFonts w:cstheme="minorBidi"/>
              <w:noProof/>
            </w:rPr>
          </w:pPr>
          <w:hyperlink w:anchor="_Toc17114068" w:history="1">
            <w:r w:rsidR="00541DF6" w:rsidRPr="003A4B5E">
              <w:rPr>
                <w:rStyle w:val="Hiperpovezava"/>
                <w:rFonts w:ascii="Arial" w:hAnsi="Arial" w:cs="Arial"/>
                <w:noProof/>
              </w:rPr>
              <w:t>2.7.3 Lokalno naročanje</w:t>
            </w:r>
            <w:r w:rsidR="00541DF6">
              <w:rPr>
                <w:noProof/>
                <w:webHidden/>
              </w:rPr>
              <w:tab/>
            </w:r>
            <w:r w:rsidR="00541DF6">
              <w:rPr>
                <w:noProof/>
                <w:webHidden/>
              </w:rPr>
              <w:fldChar w:fldCharType="begin"/>
            </w:r>
            <w:r w:rsidR="00541DF6">
              <w:rPr>
                <w:noProof/>
                <w:webHidden/>
              </w:rPr>
              <w:instrText xml:space="preserve"> PAGEREF _Toc17114068 \h </w:instrText>
            </w:r>
            <w:r w:rsidR="00541DF6">
              <w:rPr>
                <w:noProof/>
                <w:webHidden/>
              </w:rPr>
            </w:r>
            <w:r w:rsidR="00541DF6">
              <w:rPr>
                <w:noProof/>
                <w:webHidden/>
              </w:rPr>
              <w:fldChar w:fldCharType="separate"/>
            </w:r>
            <w:r w:rsidR="00665216">
              <w:rPr>
                <w:noProof/>
                <w:webHidden/>
              </w:rPr>
              <w:t>35</w:t>
            </w:r>
            <w:r w:rsidR="00541DF6">
              <w:rPr>
                <w:noProof/>
                <w:webHidden/>
              </w:rPr>
              <w:fldChar w:fldCharType="end"/>
            </w:r>
          </w:hyperlink>
        </w:p>
        <w:p w14:paraId="6C3383C3" w14:textId="3BC3AB45" w:rsidR="00541DF6" w:rsidRDefault="00281C97">
          <w:pPr>
            <w:pStyle w:val="Kazalovsebine3"/>
            <w:tabs>
              <w:tab w:val="right" w:leader="dot" w:pos="9062"/>
            </w:tabs>
            <w:rPr>
              <w:rFonts w:cstheme="minorBidi"/>
              <w:noProof/>
            </w:rPr>
          </w:pPr>
          <w:hyperlink w:anchor="_Toc17114069" w:history="1">
            <w:r w:rsidR="00541DF6" w:rsidRPr="003A4B5E">
              <w:rPr>
                <w:rStyle w:val="Hiperpovezava"/>
                <w:rFonts w:ascii="Arial" w:hAnsi="Arial" w:cs="Arial"/>
                <w:noProof/>
              </w:rPr>
              <w:t>2.7.4 Velikost ponudnikov</w:t>
            </w:r>
            <w:r w:rsidR="00541DF6">
              <w:rPr>
                <w:noProof/>
                <w:webHidden/>
              </w:rPr>
              <w:tab/>
            </w:r>
            <w:r w:rsidR="00541DF6">
              <w:rPr>
                <w:noProof/>
                <w:webHidden/>
              </w:rPr>
              <w:fldChar w:fldCharType="begin"/>
            </w:r>
            <w:r w:rsidR="00541DF6">
              <w:rPr>
                <w:noProof/>
                <w:webHidden/>
              </w:rPr>
              <w:instrText xml:space="preserve"> PAGEREF _Toc17114069 \h </w:instrText>
            </w:r>
            <w:r w:rsidR="00541DF6">
              <w:rPr>
                <w:noProof/>
                <w:webHidden/>
              </w:rPr>
            </w:r>
            <w:r w:rsidR="00541DF6">
              <w:rPr>
                <w:noProof/>
                <w:webHidden/>
              </w:rPr>
              <w:fldChar w:fldCharType="separate"/>
            </w:r>
            <w:r w:rsidR="00665216">
              <w:rPr>
                <w:noProof/>
                <w:webHidden/>
              </w:rPr>
              <w:t>36</w:t>
            </w:r>
            <w:r w:rsidR="00541DF6">
              <w:rPr>
                <w:noProof/>
                <w:webHidden/>
              </w:rPr>
              <w:fldChar w:fldCharType="end"/>
            </w:r>
          </w:hyperlink>
        </w:p>
        <w:p w14:paraId="0F52BFF0" w14:textId="7FAD0792" w:rsidR="00541DF6" w:rsidRDefault="00281C97">
          <w:pPr>
            <w:pStyle w:val="Kazalovsebine3"/>
            <w:tabs>
              <w:tab w:val="right" w:leader="dot" w:pos="9062"/>
            </w:tabs>
            <w:rPr>
              <w:rFonts w:cstheme="minorBidi"/>
              <w:noProof/>
            </w:rPr>
          </w:pPr>
          <w:hyperlink w:anchor="_Toc17114070" w:history="1">
            <w:r w:rsidR="00541DF6" w:rsidRPr="003A4B5E">
              <w:rPr>
                <w:rStyle w:val="Hiperpovezava"/>
                <w:rFonts w:ascii="Arial" w:hAnsi="Arial" w:cs="Arial"/>
                <w:noProof/>
              </w:rPr>
              <w:t>2.7.5 Izločanje ponudnikov</w:t>
            </w:r>
            <w:r w:rsidR="00541DF6">
              <w:rPr>
                <w:noProof/>
                <w:webHidden/>
              </w:rPr>
              <w:tab/>
            </w:r>
            <w:r w:rsidR="00541DF6">
              <w:rPr>
                <w:noProof/>
                <w:webHidden/>
              </w:rPr>
              <w:fldChar w:fldCharType="begin"/>
            </w:r>
            <w:r w:rsidR="00541DF6">
              <w:rPr>
                <w:noProof/>
                <w:webHidden/>
              </w:rPr>
              <w:instrText xml:space="preserve"> PAGEREF _Toc17114070 \h </w:instrText>
            </w:r>
            <w:r w:rsidR="00541DF6">
              <w:rPr>
                <w:noProof/>
                <w:webHidden/>
              </w:rPr>
            </w:r>
            <w:r w:rsidR="00541DF6">
              <w:rPr>
                <w:noProof/>
                <w:webHidden/>
              </w:rPr>
              <w:fldChar w:fldCharType="separate"/>
            </w:r>
            <w:r w:rsidR="00665216">
              <w:rPr>
                <w:noProof/>
                <w:webHidden/>
              </w:rPr>
              <w:t>37</w:t>
            </w:r>
            <w:r w:rsidR="00541DF6">
              <w:rPr>
                <w:noProof/>
                <w:webHidden/>
              </w:rPr>
              <w:fldChar w:fldCharType="end"/>
            </w:r>
          </w:hyperlink>
        </w:p>
        <w:p w14:paraId="749A0378" w14:textId="43ED261D" w:rsidR="00541DF6" w:rsidRDefault="00281C97">
          <w:pPr>
            <w:pStyle w:val="Kazalovsebine3"/>
            <w:tabs>
              <w:tab w:val="right" w:leader="dot" w:pos="9062"/>
            </w:tabs>
            <w:rPr>
              <w:rFonts w:cstheme="minorBidi"/>
              <w:noProof/>
            </w:rPr>
          </w:pPr>
          <w:hyperlink w:anchor="_Toc17114071" w:history="1">
            <w:r w:rsidR="00541DF6" w:rsidRPr="003A4B5E">
              <w:rPr>
                <w:rStyle w:val="Hiperpovezava"/>
                <w:rFonts w:ascii="Arial" w:hAnsi="Arial" w:cs="Arial"/>
                <w:noProof/>
              </w:rPr>
              <w:t>2.7.6 Podizvajalci</w:t>
            </w:r>
            <w:r w:rsidR="00541DF6">
              <w:rPr>
                <w:noProof/>
                <w:webHidden/>
              </w:rPr>
              <w:tab/>
            </w:r>
            <w:r w:rsidR="00541DF6">
              <w:rPr>
                <w:noProof/>
                <w:webHidden/>
              </w:rPr>
              <w:fldChar w:fldCharType="begin"/>
            </w:r>
            <w:r w:rsidR="00541DF6">
              <w:rPr>
                <w:noProof/>
                <w:webHidden/>
              </w:rPr>
              <w:instrText xml:space="preserve"> PAGEREF _Toc17114071 \h </w:instrText>
            </w:r>
            <w:r w:rsidR="00541DF6">
              <w:rPr>
                <w:noProof/>
                <w:webHidden/>
              </w:rPr>
            </w:r>
            <w:r w:rsidR="00541DF6">
              <w:rPr>
                <w:noProof/>
                <w:webHidden/>
              </w:rPr>
              <w:fldChar w:fldCharType="separate"/>
            </w:r>
            <w:r w:rsidR="00665216">
              <w:rPr>
                <w:noProof/>
                <w:webHidden/>
              </w:rPr>
              <w:t>38</w:t>
            </w:r>
            <w:r w:rsidR="00541DF6">
              <w:rPr>
                <w:noProof/>
                <w:webHidden/>
              </w:rPr>
              <w:fldChar w:fldCharType="end"/>
            </w:r>
          </w:hyperlink>
        </w:p>
        <w:p w14:paraId="53841604" w14:textId="0C35ACA7" w:rsidR="00541DF6" w:rsidRDefault="00281C97">
          <w:pPr>
            <w:pStyle w:val="Kazalovsebine2"/>
            <w:tabs>
              <w:tab w:val="right" w:leader="dot" w:pos="9062"/>
            </w:tabs>
            <w:rPr>
              <w:rFonts w:eastAsiaTheme="minorEastAsia"/>
              <w:noProof/>
              <w:lang w:eastAsia="sl-SI"/>
            </w:rPr>
          </w:pPr>
          <w:hyperlink w:anchor="_Toc17114072" w:history="1">
            <w:r w:rsidR="00541DF6" w:rsidRPr="003A4B5E">
              <w:rPr>
                <w:rStyle w:val="Hiperpovezava"/>
                <w:rFonts w:ascii="Arial" w:hAnsi="Arial" w:cs="Arial"/>
                <w:noProof/>
              </w:rPr>
              <w:t>2.8 Največji naročniki, najuspešnejši ponudniki in največja naročila</w:t>
            </w:r>
            <w:r w:rsidR="00541DF6">
              <w:rPr>
                <w:noProof/>
                <w:webHidden/>
              </w:rPr>
              <w:tab/>
            </w:r>
            <w:r w:rsidR="00541DF6">
              <w:rPr>
                <w:noProof/>
                <w:webHidden/>
              </w:rPr>
              <w:fldChar w:fldCharType="begin"/>
            </w:r>
            <w:r w:rsidR="00541DF6">
              <w:rPr>
                <w:noProof/>
                <w:webHidden/>
              </w:rPr>
              <w:instrText xml:space="preserve"> PAGEREF _Toc17114072 \h </w:instrText>
            </w:r>
            <w:r w:rsidR="00541DF6">
              <w:rPr>
                <w:noProof/>
                <w:webHidden/>
              </w:rPr>
            </w:r>
            <w:r w:rsidR="00541DF6">
              <w:rPr>
                <w:noProof/>
                <w:webHidden/>
              </w:rPr>
              <w:fldChar w:fldCharType="separate"/>
            </w:r>
            <w:r w:rsidR="00665216">
              <w:rPr>
                <w:noProof/>
                <w:webHidden/>
              </w:rPr>
              <w:t>39</w:t>
            </w:r>
            <w:r w:rsidR="00541DF6">
              <w:rPr>
                <w:noProof/>
                <w:webHidden/>
              </w:rPr>
              <w:fldChar w:fldCharType="end"/>
            </w:r>
          </w:hyperlink>
        </w:p>
        <w:p w14:paraId="0D4D8860" w14:textId="4DA399EA" w:rsidR="00541DF6" w:rsidRDefault="00281C97">
          <w:pPr>
            <w:pStyle w:val="Kazalovsebine3"/>
            <w:tabs>
              <w:tab w:val="right" w:leader="dot" w:pos="9062"/>
            </w:tabs>
            <w:rPr>
              <w:rFonts w:cstheme="minorBidi"/>
              <w:noProof/>
            </w:rPr>
          </w:pPr>
          <w:hyperlink w:anchor="_Toc17114073" w:history="1">
            <w:r w:rsidR="00541DF6" w:rsidRPr="003A4B5E">
              <w:rPr>
                <w:rStyle w:val="Hiperpovezava"/>
                <w:rFonts w:ascii="Arial" w:hAnsi="Arial" w:cs="Arial"/>
                <w:noProof/>
              </w:rPr>
              <w:t>2.8.1 Naročniki z največjo vrednostjo oddanih naročil v letu 2018</w:t>
            </w:r>
            <w:r w:rsidR="00541DF6">
              <w:rPr>
                <w:noProof/>
                <w:webHidden/>
              </w:rPr>
              <w:tab/>
            </w:r>
            <w:r w:rsidR="00541DF6">
              <w:rPr>
                <w:noProof/>
                <w:webHidden/>
              </w:rPr>
              <w:fldChar w:fldCharType="begin"/>
            </w:r>
            <w:r w:rsidR="00541DF6">
              <w:rPr>
                <w:noProof/>
                <w:webHidden/>
              </w:rPr>
              <w:instrText xml:space="preserve"> PAGEREF _Toc17114073 \h </w:instrText>
            </w:r>
            <w:r w:rsidR="00541DF6">
              <w:rPr>
                <w:noProof/>
                <w:webHidden/>
              </w:rPr>
            </w:r>
            <w:r w:rsidR="00541DF6">
              <w:rPr>
                <w:noProof/>
                <w:webHidden/>
              </w:rPr>
              <w:fldChar w:fldCharType="separate"/>
            </w:r>
            <w:r w:rsidR="00665216">
              <w:rPr>
                <w:noProof/>
                <w:webHidden/>
              </w:rPr>
              <w:t>39</w:t>
            </w:r>
            <w:r w:rsidR="00541DF6">
              <w:rPr>
                <w:noProof/>
                <w:webHidden/>
              </w:rPr>
              <w:fldChar w:fldCharType="end"/>
            </w:r>
          </w:hyperlink>
        </w:p>
        <w:p w14:paraId="72757415" w14:textId="2D1A578F" w:rsidR="00541DF6" w:rsidRDefault="00281C97">
          <w:pPr>
            <w:pStyle w:val="Kazalovsebine3"/>
            <w:tabs>
              <w:tab w:val="right" w:leader="dot" w:pos="9062"/>
            </w:tabs>
            <w:rPr>
              <w:rFonts w:cstheme="minorBidi"/>
              <w:noProof/>
            </w:rPr>
          </w:pPr>
          <w:hyperlink w:anchor="_Toc17114074" w:history="1">
            <w:r w:rsidR="00541DF6" w:rsidRPr="003A4B5E">
              <w:rPr>
                <w:rStyle w:val="Hiperpovezava"/>
                <w:rFonts w:ascii="Arial" w:hAnsi="Arial" w:cs="Arial"/>
                <w:noProof/>
              </w:rPr>
              <w:t>2.8.2 Ponudniki z največjo vrednostjo oddanih naročil v letu 2018</w:t>
            </w:r>
            <w:r w:rsidR="00541DF6">
              <w:rPr>
                <w:noProof/>
                <w:webHidden/>
              </w:rPr>
              <w:tab/>
            </w:r>
            <w:r w:rsidR="00541DF6">
              <w:rPr>
                <w:noProof/>
                <w:webHidden/>
              </w:rPr>
              <w:fldChar w:fldCharType="begin"/>
            </w:r>
            <w:r w:rsidR="00541DF6">
              <w:rPr>
                <w:noProof/>
                <w:webHidden/>
              </w:rPr>
              <w:instrText xml:space="preserve"> PAGEREF _Toc17114074 \h </w:instrText>
            </w:r>
            <w:r w:rsidR="00541DF6">
              <w:rPr>
                <w:noProof/>
                <w:webHidden/>
              </w:rPr>
            </w:r>
            <w:r w:rsidR="00541DF6">
              <w:rPr>
                <w:noProof/>
                <w:webHidden/>
              </w:rPr>
              <w:fldChar w:fldCharType="separate"/>
            </w:r>
            <w:r w:rsidR="00665216">
              <w:rPr>
                <w:noProof/>
                <w:webHidden/>
              </w:rPr>
              <w:t>39</w:t>
            </w:r>
            <w:r w:rsidR="00541DF6">
              <w:rPr>
                <w:noProof/>
                <w:webHidden/>
              </w:rPr>
              <w:fldChar w:fldCharType="end"/>
            </w:r>
          </w:hyperlink>
        </w:p>
        <w:p w14:paraId="1EF34616" w14:textId="65D717E9" w:rsidR="00541DF6" w:rsidRDefault="00281C97">
          <w:pPr>
            <w:pStyle w:val="Kazalovsebine3"/>
            <w:tabs>
              <w:tab w:val="right" w:leader="dot" w:pos="9062"/>
            </w:tabs>
            <w:rPr>
              <w:rFonts w:cstheme="minorBidi"/>
              <w:noProof/>
            </w:rPr>
          </w:pPr>
          <w:hyperlink w:anchor="_Toc17114075" w:history="1">
            <w:r w:rsidR="00541DF6" w:rsidRPr="003A4B5E">
              <w:rPr>
                <w:rStyle w:val="Hiperpovezava"/>
                <w:rFonts w:ascii="Arial" w:hAnsi="Arial" w:cs="Arial"/>
                <w:noProof/>
              </w:rPr>
              <w:t>2.8.3 Največja oddana naročila v letu 2018</w:t>
            </w:r>
            <w:r w:rsidR="00541DF6">
              <w:rPr>
                <w:noProof/>
                <w:webHidden/>
              </w:rPr>
              <w:tab/>
            </w:r>
            <w:r w:rsidR="00541DF6">
              <w:rPr>
                <w:noProof/>
                <w:webHidden/>
              </w:rPr>
              <w:fldChar w:fldCharType="begin"/>
            </w:r>
            <w:r w:rsidR="00541DF6">
              <w:rPr>
                <w:noProof/>
                <w:webHidden/>
              </w:rPr>
              <w:instrText xml:space="preserve"> PAGEREF _Toc17114075 \h </w:instrText>
            </w:r>
            <w:r w:rsidR="00541DF6">
              <w:rPr>
                <w:noProof/>
                <w:webHidden/>
              </w:rPr>
            </w:r>
            <w:r w:rsidR="00541DF6">
              <w:rPr>
                <w:noProof/>
                <w:webHidden/>
              </w:rPr>
              <w:fldChar w:fldCharType="separate"/>
            </w:r>
            <w:r w:rsidR="00665216">
              <w:rPr>
                <w:noProof/>
                <w:webHidden/>
              </w:rPr>
              <w:t>40</w:t>
            </w:r>
            <w:r w:rsidR="00541DF6">
              <w:rPr>
                <w:noProof/>
                <w:webHidden/>
              </w:rPr>
              <w:fldChar w:fldCharType="end"/>
            </w:r>
          </w:hyperlink>
        </w:p>
        <w:p w14:paraId="75D48897" w14:textId="1DC63664" w:rsidR="00541DF6" w:rsidRDefault="00281C97">
          <w:pPr>
            <w:pStyle w:val="Kazalovsebine2"/>
            <w:tabs>
              <w:tab w:val="right" w:leader="dot" w:pos="9062"/>
            </w:tabs>
            <w:rPr>
              <w:rFonts w:eastAsiaTheme="minorEastAsia"/>
              <w:noProof/>
              <w:lang w:eastAsia="sl-SI"/>
            </w:rPr>
          </w:pPr>
          <w:hyperlink w:anchor="_Toc17114076" w:history="1">
            <w:r w:rsidR="00541DF6" w:rsidRPr="003A4B5E">
              <w:rPr>
                <w:rStyle w:val="Hiperpovezava"/>
                <w:rFonts w:ascii="Arial" w:hAnsi="Arial" w:cs="Arial"/>
                <w:noProof/>
              </w:rPr>
              <w:t>2.9 Naročila, (so)financirana s sredstvi Evropske unije</w:t>
            </w:r>
            <w:r w:rsidR="00541DF6">
              <w:rPr>
                <w:noProof/>
                <w:webHidden/>
              </w:rPr>
              <w:tab/>
            </w:r>
            <w:r w:rsidR="00541DF6">
              <w:rPr>
                <w:noProof/>
                <w:webHidden/>
              </w:rPr>
              <w:fldChar w:fldCharType="begin"/>
            </w:r>
            <w:r w:rsidR="00541DF6">
              <w:rPr>
                <w:noProof/>
                <w:webHidden/>
              </w:rPr>
              <w:instrText xml:space="preserve"> PAGEREF _Toc17114076 \h </w:instrText>
            </w:r>
            <w:r w:rsidR="00541DF6">
              <w:rPr>
                <w:noProof/>
                <w:webHidden/>
              </w:rPr>
            </w:r>
            <w:r w:rsidR="00541DF6">
              <w:rPr>
                <w:noProof/>
                <w:webHidden/>
              </w:rPr>
              <w:fldChar w:fldCharType="separate"/>
            </w:r>
            <w:r w:rsidR="00665216">
              <w:rPr>
                <w:noProof/>
                <w:webHidden/>
              </w:rPr>
              <w:t>41</w:t>
            </w:r>
            <w:r w:rsidR="00541DF6">
              <w:rPr>
                <w:noProof/>
                <w:webHidden/>
              </w:rPr>
              <w:fldChar w:fldCharType="end"/>
            </w:r>
          </w:hyperlink>
        </w:p>
        <w:p w14:paraId="7588F772" w14:textId="1D307A63" w:rsidR="00541DF6" w:rsidRDefault="00281C97">
          <w:pPr>
            <w:pStyle w:val="Kazalovsebine2"/>
            <w:tabs>
              <w:tab w:val="right" w:leader="dot" w:pos="9062"/>
            </w:tabs>
            <w:rPr>
              <w:rFonts w:eastAsiaTheme="minorEastAsia"/>
              <w:noProof/>
              <w:lang w:eastAsia="sl-SI"/>
            </w:rPr>
          </w:pPr>
          <w:hyperlink w:anchor="_Toc17114077" w:history="1">
            <w:r w:rsidR="00541DF6" w:rsidRPr="003A4B5E">
              <w:rPr>
                <w:rStyle w:val="Hiperpovezava"/>
                <w:rFonts w:ascii="Arial" w:hAnsi="Arial" w:cs="Arial"/>
                <w:noProof/>
              </w:rPr>
              <w:t>2.10 Zeleno in družbeno odgovorno javno naročanje</w:t>
            </w:r>
            <w:r w:rsidR="00541DF6">
              <w:rPr>
                <w:noProof/>
                <w:webHidden/>
              </w:rPr>
              <w:tab/>
            </w:r>
            <w:r w:rsidR="00541DF6">
              <w:rPr>
                <w:noProof/>
                <w:webHidden/>
              </w:rPr>
              <w:fldChar w:fldCharType="begin"/>
            </w:r>
            <w:r w:rsidR="00541DF6">
              <w:rPr>
                <w:noProof/>
                <w:webHidden/>
              </w:rPr>
              <w:instrText xml:space="preserve"> PAGEREF _Toc17114077 \h </w:instrText>
            </w:r>
            <w:r w:rsidR="00541DF6">
              <w:rPr>
                <w:noProof/>
                <w:webHidden/>
              </w:rPr>
            </w:r>
            <w:r w:rsidR="00541DF6">
              <w:rPr>
                <w:noProof/>
                <w:webHidden/>
              </w:rPr>
              <w:fldChar w:fldCharType="separate"/>
            </w:r>
            <w:r w:rsidR="00665216">
              <w:rPr>
                <w:noProof/>
                <w:webHidden/>
              </w:rPr>
              <w:t>42</w:t>
            </w:r>
            <w:r w:rsidR="00541DF6">
              <w:rPr>
                <w:noProof/>
                <w:webHidden/>
              </w:rPr>
              <w:fldChar w:fldCharType="end"/>
            </w:r>
          </w:hyperlink>
        </w:p>
        <w:p w14:paraId="2289D484" w14:textId="1EBDAE52" w:rsidR="00541DF6" w:rsidRDefault="00281C97">
          <w:pPr>
            <w:pStyle w:val="Kazalovsebine2"/>
            <w:tabs>
              <w:tab w:val="right" w:leader="dot" w:pos="9062"/>
            </w:tabs>
            <w:rPr>
              <w:rFonts w:eastAsiaTheme="minorEastAsia"/>
              <w:noProof/>
              <w:lang w:eastAsia="sl-SI"/>
            </w:rPr>
          </w:pPr>
          <w:hyperlink w:anchor="_Toc17114078" w:history="1">
            <w:r w:rsidR="00541DF6" w:rsidRPr="003A4B5E">
              <w:rPr>
                <w:rStyle w:val="Hiperpovezava"/>
                <w:rFonts w:ascii="Arial" w:hAnsi="Arial" w:cs="Arial"/>
                <w:noProof/>
              </w:rPr>
              <w:t>2.10.1 Zeleno javno naročanje</w:t>
            </w:r>
            <w:r w:rsidR="00541DF6">
              <w:rPr>
                <w:noProof/>
                <w:webHidden/>
              </w:rPr>
              <w:tab/>
            </w:r>
            <w:r w:rsidR="00541DF6">
              <w:rPr>
                <w:noProof/>
                <w:webHidden/>
              </w:rPr>
              <w:fldChar w:fldCharType="begin"/>
            </w:r>
            <w:r w:rsidR="00541DF6">
              <w:rPr>
                <w:noProof/>
                <w:webHidden/>
              </w:rPr>
              <w:instrText xml:space="preserve"> PAGEREF _Toc17114078 \h </w:instrText>
            </w:r>
            <w:r w:rsidR="00541DF6">
              <w:rPr>
                <w:noProof/>
                <w:webHidden/>
              </w:rPr>
            </w:r>
            <w:r w:rsidR="00541DF6">
              <w:rPr>
                <w:noProof/>
                <w:webHidden/>
              </w:rPr>
              <w:fldChar w:fldCharType="separate"/>
            </w:r>
            <w:r w:rsidR="00665216">
              <w:rPr>
                <w:noProof/>
                <w:webHidden/>
              </w:rPr>
              <w:t>42</w:t>
            </w:r>
            <w:r w:rsidR="00541DF6">
              <w:rPr>
                <w:noProof/>
                <w:webHidden/>
              </w:rPr>
              <w:fldChar w:fldCharType="end"/>
            </w:r>
          </w:hyperlink>
        </w:p>
        <w:p w14:paraId="1CAA886C" w14:textId="656EEFE2" w:rsidR="00541DF6" w:rsidRDefault="00281C97">
          <w:pPr>
            <w:pStyle w:val="Kazalovsebine2"/>
            <w:tabs>
              <w:tab w:val="right" w:leader="dot" w:pos="9062"/>
            </w:tabs>
            <w:rPr>
              <w:rFonts w:eastAsiaTheme="minorEastAsia"/>
              <w:noProof/>
              <w:lang w:eastAsia="sl-SI"/>
            </w:rPr>
          </w:pPr>
          <w:hyperlink w:anchor="_Toc17114079" w:history="1">
            <w:r w:rsidR="00541DF6" w:rsidRPr="003A4B5E">
              <w:rPr>
                <w:rStyle w:val="Hiperpovezava"/>
                <w:rFonts w:ascii="Arial" w:hAnsi="Arial" w:cs="Arial"/>
                <w:noProof/>
              </w:rPr>
              <w:t>2.10.2 Družbeno odgovorno javno naročanje</w:t>
            </w:r>
            <w:r w:rsidR="00541DF6">
              <w:rPr>
                <w:noProof/>
                <w:webHidden/>
              </w:rPr>
              <w:tab/>
            </w:r>
            <w:r w:rsidR="00541DF6">
              <w:rPr>
                <w:noProof/>
                <w:webHidden/>
              </w:rPr>
              <w:fldChar w:fldCharType="begin"/>
            </w:r>
            <w:r w:rsidR="00541DF6">
              <w:rPr>
                <w:noProof/>
                <w:webHidden/>
              </w:rPr>
              <w:instrText xml:space="preserve"> PAGEREF _Toc17114079 \h </w:instrText>
            </w:r>
            <w:r w:rsidR="00541DF6">
              <w:rPr>
                <w:noProof/>
                <w:webHidden/>
              </w:rPr>
            </w:r>
            <w:r w:rsidR="00541DF6">
              <w:rPr>
                <w:noProof/>
                <w:webHidden/>
              </w:rPr>
              <w:fldChar w:fldCharType="separate"/>
            </w:r>
            <w:r w:rsidR="00665216">
              <w:rPr>
                <w:noProof/>
                <w:webHidden/>
              </w:rPr>
              <w:t>45</w:t>
            </w:r>
            <w:r w:rsidR="00541DF6">
              <w:rPr>
                <w:noProof/>
                <w:webHidden/>
              </w:rPr>
              <w:fldChar w:fldCharType="end"/>
            </w:r>
          </w:hyperlink>
        </w:p>
        <w:p w14:paraId="5540611D" w14:textId="52E75CB4" w:rsidR="00541DF6" w:rsidRDefault="00281C97">
          <w:pPr>
            <w:pStyle w:val="Kazalovsebine2"/>
            <w:tabs>
              <w:tab w:val="right" w:leader="dot" w:pos="9062"/>
            </w:tabs>
            <w:rPr>
              <w:rFonts w:eastAsiaTheme="minorEastAsia"/>
              <w:noProof/>
              <w:lang w:eastAsia="sl-SI"/>
            </w:rPr>
          </w:pPr>
          <w:hyperlink w:anchor="_Toc17114080" w:history="1">
            <w:r w:rsidR="00541DF6" w:rsidRPr="003A4B5E">
              <w:rPr>
                <w:rStyle w:val="Hiperpovezava"/>
                <w:rFonts w:ascii="Arial" w:hAnsi="Arial" w:cs="Arial"/>
                <w:noProof/>
              </w:rPr>
              <w:t>2.11 Evidenčna naročila</w:t>
            </w:r>
            <w:r w:rsidR="00541DF6">
              <w:rPr>
                <w:noProof/>
                <w:webHidden/>
              </w:rPr>
              <w:tab/>
            </w:r>
            <w:r w:rsidR="00541DF6">
              <w:rPr>
                <w:noProof/>
                <w:webHidden/>
              </w:rPr>
              <w:fldChar w:fldCharType="begin"/>
            </w:r>
            <w:r w:rsidR="00541DF6">
              <w:rPr>
                <w:noProof/>
                <w:webHidden/>
              </w:rPr>
              <w:instrText xml:space="preserve"> PAGEREF _Toc17114080 \h </w:instrText>
            </w:r>
            <w:r w:rsidR="00541DF6">
              <w:rPr>
                <w:noProof/>
                <w:webHidden/>
              </w:rPr>
            </w:r>
            <w:r w:rsidR="00541DF6">
              <w:rPr>
                <w:noProof/>
                <w:webHidden/>
              </w:rPr>
              <w:fldChar w:fldCharType="separate"/>
            </w:r>
            <w:r w:rsidR="00665216">
              <w:rPr>
                <w:noProof/>
                <w:webHidden/>
              </w:rPr>
              <w:t>46</w:t>
            </w:r>
            <w:r w:rsidR="00541DF6">
              <w:rPr>
                <w:noProof/>
                <w:webHidden/>
              </w:rPr>
              <w:fldChar w:fldCharType="end"/>
            </w:r>
          </w:hyperlink>
        </w:p>
        <w:p w14:paraId="21DA731F" w14:textId="7795F58E" w:rsidR="00541DF6" w:rsidRDefault="00281C97">
          <w:pPr>
            <w:pStyle w:val="Kazalovsebine2"/>
            <w:tabs>
              <w:tab w:val="right" w:leader="dot" w:pos="9062"/>
            </w:tabs>
            <w:rPr>
              <w:rFonts w:eastAsiaTheme="minorEastAsia"/>
              <w:noProof/>
              <w:lang w:eastAsia="sl-SI"/>
            </w:rPr>
          </w:pPr>
          <w:hyperlink w:anchor="_Toc17114081" w:history="1">
            <w:r w:rsidR="00541DF6" w:rsidRPr="003A4B5E">
              <w:rPr>
                <w:rStyle w:val="Hiperpovezava"/>
                <w:rFonts w:ascii="Arial" w:hAnsi="Arial" w:cs="Arial"/>
                <w:noProof/>
              </w:rPr>
              <w:t>2.12 Javni natečaji</w:t>
            </w:r>
            <w:r w:rsidR="00541DF6">
              <w:rPr>
                <w:noProof/>
                <w:webHidden/>
              </w:rPr>
              <w:tab/>
            </w:r>
            <w:r w:rsidR="00541DF6">
              <w:rPr>
                <w:noProof/>
                <w:webHidden/>
              </w:rPr>
              <w:fldChar w:fldCharType="begin"/>
            </w:r>
            <w:r w:rsidR="00541DF6">
              <w:rPr>
                <w:noProof/>
                <w:webHidden/>
              </w:rPr>
              <w:instrText xml:space="preserve"> PAGEREF _Toc17114081 \h </w:instrText>
            </w:r>
            <w:r w:rsidR="00541DF6">
              <w:rPr>
                <w:noProof/>
                <w:webHidden/>
              </w:rPr>
            </w:r>
            <w:r w:rsidR="00541DF6">
              <w:rPr>
                <w:noProof/>
                <w:webHidden/>
              </w:rPr>
              <w:fldChar w:fldCharType="separate"/>
            </w:r>
            <w:r w:rsidR="00665216">
              <w:rPr>
                <w:noProof/>
                <w:webHidden/>
              </w:rPr>
              <w:t>47</w:t>
            </w:r>
            <w:r w:rsidR="00541DF6">
              <w:rPr>
                <w:noProof/>
                <w:webHidden/>
              </w:rPr>
              <w:fldChar w:fldCharType="end"/>
            </w:r>
          </w:hyperlink>
        </w:p>
        <w:p w14:paraId="547F4114" w14:textId="6ACC9E17" w:rsidR="00541DF6" w:rsidRDefault="00281C97">
          <w:pPr>
            <w:pStyle w:val="Kazalovsebine1"/>
            <w:tabs>
              <w:tab w:val="right" w:leader="dot" w:pos="9062"/>
            </w:tabs>
            <w:rPr>
              <w:noProof/>
            </w:rPr>
          </w:pPr>
          <w:hyperlink w:anchor="_Toc17114082" w:history="1">
            <w:r w:rsidR="00541DF6" w:rsidRPr="00E13BB4">
              <w:rPr>
                <w:rStyle w:val="Hiperpovezava"/>
                <w:rFonts w:ascii="Arial" w:hAnsi="Arial" w:cs="Arial"/>
                <w:noProof/>
              </w:rPr>
              <w:t>Izhodišča in pravne podlage</w:t>
            </w:r>
            <w:r w:rsidR="00541DF6">
              <w:rPr>
                <w:noProof/>
                <w:webHidden/>
              </w:rPr>
              <w:tab/>
            </w:r>
            <w:r w:rsidR="00541DF6">
              <w:rPr>
                <w:noProof/>
                <w:webHidden/>
              </w:rPr>
              <w:fldChar w:fldCharType="begin"/>
            </w:r>
            <w:r w:rsidR="00541DF6">
              <w:rPr>
                <w:noProof/>
                <w:webHidden/>
              </w:rPr>
              <w:instrText xml:space="preserve"> PAGEREF _Toc17114082 \h </w:instrText>
            </w:r>
            <w:r w:rsidR="00541DF6">
              <w:rPr>
                <w:noProof/>
                <w:webHidden/>
              </w:rPr>
            </w:r>
            <w:r w:rsidR="00541DF6">
              <w:rPr>
                <w:noProof/>
                <w:webHidden/>
              </w:rPr>
              <w:fldChar w:fldCharType="separate"/>
            </w:r>
            <w:r w:rsidR="00665216">
              <w:rPr>
                <w:noProof/>
                <w:webHidden/>
              </w:rPr>
              <w:t>49</w:t>
            </w:r>
            <w:r w:rsidR="00541DF6">
              <w:rPr>
                <w:noProof/>
                <w:webHidden/>
              </w:rPr>
              <w:fldChar w:fldCharType="end"/>
            </w:r>
          </w:hyperlink>
        </w:p>
        <w:p w14:paraId="4F4790AC" w14:textId="411EDD40" w:rsidR="00E13BB4" w:rsidRPr="00F34F31" w:rsidRDefault="00E13BB4" w:rsidP="00F34F31">
          <w:pPr>
            <w:rPr>
              <w:rFonts w:ascii="Arial" w:hAnsi="Arial" w:cs="Arial"/>
              <w:noProof/>
            </w:rPr>
          </w:pPr>
          <w:r w:rsidRPr="00F34F31">
            <w:rPr>
              <w:rFonts w:ascii="Arial" w:hAnsi="Arial" w:cs="Arial"/>
              <w:noProof/>
            </w:rPr>
            <w:t>Priloge…………………………………………………………………………………</w:t>
          </w:r>
          <w:r w:rsidR="00F34F31" w:rsidRPr="00F34F31">
            <w:rPr>
              <w:rFonts w:ascii="Arial" w:hAnsi="Arial" w:cs="Arial"/>
              <w:noProof/>
            </w:rPr>
            <w:t>………</w:t>
          </w:r>
          <w:r w:rsidR="00F34F31">
            <w:rPr>
              <w:rFonts w:ascii="Arial" w:hAnsi="Arial" w:cs="Arial"/>
              <w:noProof/>
            </w:rPr>
            <w:t>………</w:t>
          </w:r>
          <w:r w:rsidRPr="00F34F31">
            <w:rPr>
              <w:noProof/>
            </w:rPr>
            <w:t>52</w:t>
          </w:r>
        </w:p>
        <w:p w14:paraId="1165C7CD" w14:textId="50686001" w:rsidR="00206175" w:rsidRPr="00EF2D0B" w:rsidRDefault="00AE378A" w:rsidP="006C0E49">
          <w:pPr>
            <w:pStyle w:val="Kazalovsebine2"/>
            <w:tabs>
              <w:tab w:val="right" w:leader="dot" w:pos="9062"/>
            </w:tabs>
            <w:rPr>
              <w:rFonts w:ascii="Arial" w:hAnsi="Arial" w:cs="Arial"/>
              <w:highlight w:val="yellow"/>
            </w:rPr>
          </w:pPr>
          <w:r w:rsidRPr="00EF2D0B">
            <w:rPr>
              <w:rFonts w:ascii="Arial" w:hAnsi="Arial" w:cs="Arial"/>
              <w:highlight w:val="yellow"/>
            </w:rPr>
            <w:fldChar w:fldCharType="end"/>
          </w:r>
        </w:p>
      </w:sdtContent>
    </w:sdt>
    <w:p w14:paraId="08AEB7A0" w14:textId="77777777" w:rsidR="00DD7386" w:rsidRPr="00EF2D0B" w:rsidRDefault="00DD7386" w:rsidP="00DD7386">
      <w:pPr>
        <w:pStyle w:val="ZADEVA"/>
        <w:jc w:val="both"/>
        <w:rPr>
          <w:rFonts w:cs="Arial"/>
          <w:b w:val="0"/>
          <w:szCs w:val="20"/>
          <w:highlight w:val="yellow"/>
          <w:lang w:val="sl-SI"/>
        </w:rPr>
      </w:pPr>
    </w:p>
    <w:p w14:paraId="31C738C9" w14:textId="77777777" w:rsidR="00DD7386" w:rsidRPr="00EF2D0B" w:rsidRDefault="00DD7386" w:rsidP="00DD7386">
      <w:pPr>
        <w:pStyle w:val="ZADEVA"/>
        <w:jc w:val="both"/>
        <w:rPr>
          <w:rFonts w:cs="Arial"/>
          <w:b w:val="0"/>
          <w:szCs w:val="20"/>
          <w:highlight w:val="yellow"/>
          <w:lang w:val="sl-SI"/>
        </w:rPr>
      </w:pPr>
    </w:p>
    <w:p w14:paraId="4C7C782C" w14:textId="77777777" w:rsidR="00DD7386" w:rsidRPr="00EF2D0B" w:rsidRDefault="00DD7386" w:rsidP="00DD7386">
      <w:pPr>
        <w:pStyle w:val="ZADEVA"/>
        <w:jc w:val="both"/>
        <w:rPr>
          <w:rFonts w:cs="Arial"/>
          <w:b w:val="0"/>
          <w:szCs w:val="20"/>
          <w:highlight w:val="yellow"/>
          <w:lang w:val="sl-SI"/>
        </w:rPr>
      </w:pPr>
    </w:p>
    <w:p w14:paraId="5E1B0267" w14:textId="77777777" w:rsidR="00DD7386" w:rsidRPr="00EF2D0B" w:rsidRDefault="00DD7386" w:rsidP="00DD7386">
      <w:pPr>
        <w:pStyle w:val="ZADEVA"/>
        <w:jc w:val="both"/>
        <w:rPr>
          <w:rFonts w:cs="Arial"/>
          <w:b w:val="0"/>
          <w:szCs w:val="20"/>
          <w:highlight w:val="yellow"/>
          <w:lang w:val="sl-SI"/>
        </w:rPr>
      </w:pPr>
    </w:p>
    <w:p w14:paraId="4D382221" w14:textId="77777777" w:rsidR="00DD7386" w:rsidRPr="00EF2D0B" w:rsidRDefault="00DD7386" w:rsidP="00DD7386">
      <w:pPr>
        <w:pStyle w:val="ZADEVA"/>
        <w:jc w:val="both"/>
        <w:rPr>
          <w:rFonts w:cs="Arial"/>
          <w:b w:val="0"/>
          <w:szCs w:val="20"/>
          <w:highlight w:val="yellow"/>
          <w:lang w:val="sl-SI"/>
        </w:rPr>
      </w:pPr>
    </w:p>
    <w:p w14:paraId="7D82175D" w14:textId="77777777" w:rsidR="00DD7386" w:rsidRPr="00EF2D0B" w:rsidRDefault="00DD7386" w:rsidP="00DD7386">
      <w:pPr>
        <w:pStyle w:val="ZADEVA"/>
        <w:jc w:val="both"/>
        <w:rPr>
          <w:rFonts w:cs="Arial"/>
          <w:b w:val="0"/>
          <w:szCs w:val="20"/>
          <w:highlight w:val="yellow"/>
          <w:lang w:val="sl-SI"/>
        </w:rPr>
      </w:pPr>
    </w:p>
    <w:p w14:paraId="02C740A7" w14:textId="77777777" w:rsidR="00DD7386" w:rsidRPr="00EF2D0B" w:rsidRDefault="00DD7386" w:rsidP="00DD7386">
      <w:pPr>
        <w:pStyle w:val="ZADEVA"/>
        <w:jc w:val="both"/>
        <w:rPr>
          <w:rFonts w:cs="Arial"/>
          <w:b w:val="0"/>
          <w:szCs w:val="20"/>
          <w:highlight w:val="yellow"/>
          <w:lang w:val="sl-SI"/>
        </w:rPr>
      </w:pPr>
    </w:p>
    <w:p w14:paraId="3107EF81" w14:textId="77777777" w:rsidR="00DD7386" w:rsidRPr="00EF2D0B" w:rsidRDefault="00DD7386" w:rsidP="00DD7386">
      <w:pPr>
        <w:pStyle w:val="ZADEVA"/>
        <w:jc w:val="both"/>
        <w:rPr>
          <w:rFonts w:cs="Arial"/>
          <w:b w:val="0"/>
          <w:szCs w:val="20"/>
          <w:highlight w:val="yellow"/>
          <w:lang w:val="sl-SI"/>
        </w:rPr>
      </w:pPr>
    </w:p>
    <w:p w14:paraId="187C017C" w14:textId="77777777" w:rsidR="00DD7386" w:rsidRPr="00EF2D0B" w:rsidRDefault="00DD7386" w:rsidP="00DD7386">
      <w:pPr>
        <w:pStyle w:val="ZADEVA"/>
        <w:jc w:val="both"/>
        <w:rPr>
          <w:rFonts w:cs="Arial"/>
          <w:b w:val="0"/>
          <w:szCs w:val="20"/>
          <w:highlight w:val="yellow"/>
          <w:lang w:val="sl-SI"/>
        </w:rPr>
      </w:pPr>
    </w:p>
    <w:p w14:paraId="68519F74" w14:textId="77777777" w:rsidR="00DD7386" w:rsidRPr="00EF2D0B" w:rsidRDefault="00DD7386" w:rsidP="00DD7386">
      <w:pPr>
        <w:pStyle w:val="ZADEVA"/>
        <w:jc w:val="both"/>
        <w:rPr>
          <w:rFonts w:cs="Arial"/>
          <w:b w:val="0"/>
          <w:szCs w:val="20"/>
          <w:highlight w:val="yellow"/>
          <w:lang w:val="sl-SI"/>
        </w:rPr>
      </w:pPr>
    </w:p>
    <w:p w14:paraId="1E5F01D4" w14:textId="77777777" w:rsidR="00DD7386" w:rsidRPr="00EF2D0B" w:rsidRDefault="00DD7386" w:rsidP="00DD7386">
      <w:pPr>
        <w:pStyle w:val="ZADEVA"/>
        <w:jc w:val="both"/>
        <w:rPr>
          <w:rFonts w:cs="Arial"/>
          <w:b w:val="0"/>
          <w:szCs w:val="20"/>
          <w:highlight w:val="yellow"/>
          <w:lang w:val="sl-SI"/>
        </w:rPr>
      </w:pPr>
    </w:p>
    <w:p w14:paraId="3DD5EFF1" w14:textId="77777777" w:rsidR="00DD7386" w:rsidRPr="00EF2D0B" w:rsidRDefault="00DD7386" w:rsidP="00DD7386">
      <w:pPr>
        <w:pStyle w:val="ZADEVA"/>
        <w:jc w:val="both"/>
        <w:rPr>
          <w:rFonts w:cs="Arial"/>
          <w:b w:val="0"/>
          <w:szCs w:val="20"/>
          <w:highlight w:val="yellow"/>
          <w:lang w:val="sl-SI"/>
        </w:rPr>
      </w:pPr>
    </w:p>
    <w:p w14:paraId="5362C6CB" w14:textId="77777777" w:rsidR="00DD7386" w:rsidRPr="00EF2D0B" w:rsidRDefault="00DD7386" w:rsidP="00DD7386">
      <w:pPr>
        <w:pStyle w:val="ZADEVA"/>
        <w:jc w:val="both"/>
        <w:rPr>
          <w:rFonts w:cs="Arial"/>
          <w:b w:val="0"/>
          <w:szCs w:val="20"/>
          <w:highlight w:val="yellow"/>
          <w:lang w:val="sl-SI"/>
        </w:rPr>
      </w:pPr>
    </w:p>
    <w:p w14:paraId="0F713636" w14:textId="77777777" w:rsidR="00DD7386" w:rsidRPr="00EF2D0B" w:rsidRDefault="00DD7386" w:rsidP="00DD7386">
      <w:pPr>
        <w:pStyle w:val="ZADEVA"/>
        <w:jc w:val="both"/>
        <w:rPr>
          <w:rFonts w:cs="Arial"/>
          <w:b w:val="0"/>
          <w:szCs w:val="20"/>
          <w:highlight w:val="yellow"/>
          <w:lang w:val="sl-SI"/>
        </w:rPr>
      </w:pPr>
    </w:p>
    <w:p w14:paraId="05396EA4" w14:textId="77777777" w:rsidR="00DD7386" w:rsidRPr="00EF2D0B" w:rsidRDefault="00DD7386" w:rsidP="00DD7386">
      <w:pPr>
        <w:pStyle w:val="ZADEVA"/>
        <w:jc w:val="both"/>
        <w:rPr>
          <w:rFonts w:cs="Arial"/>
          <w:b w:val="0"/>
          <w:szCs w:val="20"/>
          <w:highlight w:val="yellow"/>
          <w:lang w:val="sl-SI"/>
        </w:rPr>
      </w:pPr>
    </w:p>
    <w:p w14:paraId="075645D3" w14:textId="77777777" w:rsidR="00DD7386" w:rsidRPr="00EF2D0B" w:rsidRDefault="00DD7386" w:rsidP="00DD7386">
      <w:pPr>
        <w:pStyle w:val="ZADEVA"/>
        <w:jc w:val="both"/>
        <w:rPr>
          <w:rFonts w:cs="Arial"/>
          <w:b w:val="0"/>
          <w:szCs w:val="20"/>
          <w:highlight w:val="yellow"/>
          <w:lang w:val="sl-SI"/>
        </w:rPr>
      </w:pPr>
    </w:p>
    <w:p w14:paraId="13C164A1" w14:textId="77777777" w:rsidR="00DD7386" w:rsidRPr="00EF2D0B" w:rsidRDefault="00DD7386" w:rsidP="00DD7386">
      <w:pPr>
        <w:pStyle w:val="ZADEVA"/>
        <w:jc w:val="both"/>
        <w:rPr>
          <w:rFonts w:cs="Arial"/>
          <w:b w:val="0"/>
          <w:szCs w:val="20"/>
          <w:highlight w:val="yellow"/>
          <w:lang w:val="sl-SI"/>
        </w:rPr>
      </w:pPr>
    </w:p>
    <w:p w14:paraId="7D3E3812" w14:textId="77777777" w:rsidR="00DD7386" w:rsidRPr="00EF2D0B" w:rsidRDefault="00DD7386" w:rsidP="00DD7386">
      <w:pPr>
        <w:pStyle w:val="ZADEVA"/>
        <w:jc w:val="both"/>
        <w:rPr>
          <w:rFonts w:cs="Arial"/>
          <w:b w:val="0"/>
          <w:szCs w:val="20"/>
          <w:highlight w:val="yellow"/>
          <w:lang w:val="sl-SI"/>
        </w:rPr>
      </w:pPr>
    </w:p>
    <w:p w14:paraId="56FA0499" w14:textId="77777777" w:rsidR="00DD7386" w:rsidRPr="00EF2D0B" w:rsidRDefault="00DD7386" w:rsidP="00DD7386">
      <w:pPr>
        <w:pStyle w:val="ZADEVA"/>
        <w:jc w:val="both"/>
        <w:rPr>
          <w:rFonts w:cs="Arial"/>
          <w:b w:val="0"/>
          <w:szCs w:val="20"/>
          <w:highlight w:val="yellow"/>
          <w:lang w:val="sl-SI"/>
        </w:rPr>
      </w:pPr>
    </w:p>
    <w:p w14:paraId="508F3760" w14:textId="77777777" w:rsidR="00DD7386" w:rsidRPr="00EF2D0B" w:rsidRDefault="00DD7386" w:rsidP="00DD7386">
      <w:pPr>
        <w:pStyle w:val="ZADEVA"/>
        <w:jc w:val="both"/>
        <w:rPr>
          <w:rFonts w:cs="Arial"/>
          <w:b w:val="0"/>
          <w:szCs w:val="20"/>
          <w:highlight w:val="yellow"/>
          <w:lang w:val="sl-SI"/>
        </w:rPr>
      </w:pPr>
    </w:p>
    <w:p w14:paraId="214C36E4" w14:textId="77777777" w:rsidR="00DD7386" w:rsidRPr="00EF2D0B" w:rsidRDefault="00DD7386" w:rsidP="00DD7386">
      <w:pPr>
        <w:pStyle w:val="ZADEVA"/>
        <w:jc w:val="both"/>
        <w:rPr>
          <w:rFonts w:cs="Arial"/>
          <w:b w:val="0"/>
          <w:szCs w:val="20"/>
          <w:highlight w:val="yellow"/>
          <w:lang w:val="sl-SI"/>
        </w:rPr>
      </w:pPr>
    </w:p>
    <w:p w14:paraId="03E29A94" w14:textId="77777777" w:rsidR="00DD7386" w:rsidRPr="00EF2D0B" w:rsidRDefault="00DD7386" w:rsidP="00DD7386">
      <w:pPr>
        <w:pStyle w:val="ZADEVA"/>
        <w:jc w:val="both"/>
        <w:rPr>
          <w:rFonts w:cs="Arial"/>
          <w:b w:val="0"/>
          <w:szCs w:val="20"/>
          <w:highlight w:val="yellow"/>
          <w:lang w:val="sl-SI"/>
        </w:rPr>
      </w:pPr>
    </w:p>
    <w:p w14:paraId="2750D9C3" w14:textId="77777777" w:rsidR="00DD7386" w:rsidRPr="00EF2D0B" w:rsidRDefault="00DD7386" w:rsidP="00DD7386">
      <w:pPr>
        <w:pStyle w:val="ZADEVA"/>
        <w:jc w:val="both"/>
        <w:rPr>
          <w:rFonts w:cs="Arial"/>
          <w:b w:val="0"/>
          <w:szCs w:val="20"/>
          <w:highlight w:val="yellow"/>
          <w:lang w:val="sl-SI"/>
        </w:rPr>
      </w:pPr>
    </w:p>
    <w:p w14:paraId="63BED7F1" w14:textId="77777777" w:rsidR="00DD7386" w:rsidRPr="00EF2D0B" w:rsidRDefault="00DD7386" w:rsidP="00DD7386">
      <w:pPr>
        <w:pStyle w:val="ZADEVA"/>
        <w:jc w:val="both"/>
        <w:rPr>
          <w:rFonts w:cs="Arial"/>
          <w:b w:val="0"/>
          <w:szCs w:val="20"/>
          <w:highlight w:val="yellow"/>
          <w:lang w:val="sl-SI"/>
        </w:rPr>
      </w:pPr>
    </w:p>
    <w:p w14:paraId="2B6F2B0B" w14:textId="77777777" w:rsidR="00DD7386" w:rsidRPr="00EF2D0B" w:rsidRDefault="00DD7386" w:rsidP="00DD7386">
      <w:pPr>
        <w:pStyle w:val="ZADEVA"/>
        <w:jc w:val="both"/>
        <w:rPr>
          <w:rFonts w:cs="Arial"/>
          <w:b w:val="0"/>
          <w:szCs w:val="20"/>
          <w:highlight w:val="yellow"/>
          <w:lang w:val="sl-SI"/>
        </w:rPr>
      </w:pPr>
    </w:p>
    <w:p w14:paraId="62D30D73" w14:textId="77777777" w:rsidR="00854405" w:rsidRPr="00EF2D0B" w:rsidRDefault="00854405" w:rsidP="00854405">
      <w:pPr>
        <w:pStyle w:val="ZADEVA"/>
        <w:jc w:val="both"/>
        <w:rPr>
          <w:rFonts w:cs="Arial"/>
          <w:b w:val="0"/>
          <w:szCs w:val="20"/>
          <w:highlight w:val="yellow"/>
          <w:lang w:val="sl-SI"/>
        </w:rPr>
      </w:pPr>
    </w:p>
    <w:p w14:paraId="4AFB8182" w14:textId="77777777" w:rsidR="00500FDD" w:rsidRPr="00EF2D0B" w:rsidRDefault="00500FDD">
      <w:pPr>
        <w:rPr>
          <w:rFonts w:ascii="Arial" w:eastAsiaTheme="majorEastAsia" w:hAnsi="Arial" w:cs="Arial"/>
          <w:b/>
          <w:color w:val="2F5496" w:themeColor="accent1" w:themeShade="BF"/>
          <w:highlight w:val="yellow"/>
        </w:rPr>
      </w:pPr>
      <w:r w:rsidRPr="00EF2D0B">
        <w:rPr>
          <w:rFonts w:ascii="Arial" w:hAnsi="Arial" w:cs="Arial"/>
          <w:b/>
          <w:highlight w:val="yellow"/>
        </w:rPr>
        <w:br w:type="page"/>
      </w:r>
    </w:p>
    <w:p w14:paraId="55B7E76B" w14:textId="55CA3FB9" w:rsidR="00854405" w:rsidRPr="005E16A6" w:rsidRDefault="00854405" w:rsidP="00854405">
      <w:pPr>
        <w:pStyle w:val="Naslov1"/>
        <w:rPr>
          <w:rFonts w:ascii="Arial" w:hAnsi="Arial" w:cs="Arial"/>
          <w:b/>
          <w:sz w:val="22"/>
          <w:szCs w:val="22"/>
        </w:rPr>
      </w:pPr>
      <w:bookmarkStart w:id="0" w:name="_Toc17114039"/>
      <w:r w:rsidRPr="005E16A6">
        <w:rPr>
          <w:rFonts w:ascii="Arial" w:hAnsi="Arial" w:cs="Arial"/>
          <w:b/>
          <w:sz w:val="22"/>
          <w:szCs w:val="22"/>
        </w:rPr>
        <w:lastRenderedPageBreak/>
        <w:t>Povzetek</w:t>
      </w:r>
      <w:bookmarkEnd w:id="0"/>
    </w:p>
    <w:p w14:paraId="0B35CA44" w14:textId="77777777" w:rsidR="00854405" w:rsidRPr="005E16A6" w:rsidRDefault="00854405" w:rsidP="00854405">
      <w:pPr>
        <w:pStyle w:val="ZADEVA"/>
        <w:jc w:val="both"/>
        <w:rPr>
          <w:rFonts w:cs="Arial"/>
          <w:b w:val="0"/>
          <w:szCs w:val="20"/>
          <w:lang w:val="sl-SI"/>
        </w:rPr>
      </w:pPr>
    </w:p>
    <w:p w14:paraId="299D56BD" w14:textId="77777777" w:rsidR="003B6A8B" w:rsidRPr="005E16A6" w:rsidRDefault="003B6A8B" w:rsidP="003B6A8B">
      <w:pPr>
        <w:spacing w:line="360" w:lineRule="auto"/>
        <w:rPr>
          <w:rFonts w:ascii="Arial" w:hAnsi="Arial" w:cs="Arial"/>
          <w:b/>
          <w:sz w:val="20"/>
          <w:szCs w:val="20"/>
        </w:rPr>
      </w:pPr>
      <w:r w:rsidRPr="005E16A6">
        <w:rPr>
          <w:rFonts w:ascii="Arial" w:hAnsi="Arial" w:cs="Arial"/>
          <w:b/>
          <w:sz w:val="20"/>
          <w:szCs w:val="20"/>
        </w:rPr>
        <w:t>Obseg poročanja</w:t>
      </w:r>
    </w:p>
    <w:p w14:paraId="141567CE" w14:textId="0E99F9CC" w:rsidR="003B6A8B" w:rsidRPr="005E16A6" w:rsidRDefault="003B6A8B" w:rsidP="00B4262C">
      <w:pPr>
        <w:shd w:val="clear" w:color="auto" w:fill="FFFFFF" w:themeFill="background1"/>
        <w:spacing w:line="360" w:lineRule="auto"/>
        <w:jc w:val="both"/>
        <w:rPr>
          <w:rFonts w:ascii="Arial" w:hAnsi="Arial" w:cs="Arial"/>
          <w:sz w:val="20"/>
          <w:szCs w:val="20"/>
        </w:rPr>
      </w:pPr>
      <w:r w:rsidRPr="005E16A6">
        <w:rPr>
          <w:rFonts w:ascii="Arial" w:hAnsi="Arial" w:cs="Arial"/>
          <w:sz w:val="20"/>
          <w:szCs w:val="20"/>
        </w:rPr>
        <w:t>Iz obvestil o oddaji javnih naročil, objavljenih na portalu javnih naročil oziroma v Uradnem listu Evropske unije</w:t>
      </w:r>
      <w:r w:rsidR="00184260" w:rsidRPr="005E16A6">
        <w:rPr>
          <w:rFonts w:ascii="Arial" w:hAnsi="Arial" w:cs="Arial"/>
          <w:sz w:val="20"/>
          <w:szCs w:val="20"/>
        </w:rPr>
        <w:t>,</w:t>
      </w:r>
      <w:r w:rsidRPr="005E16A6">
        <w:rPr>
          <w:rFonts w:ascii="Arial" w:hAnsi="Arial" w:cs="Arial"/>
          <w:sz w:val="20"/>
          <w:szCs w:val="20"/>
        </w:rPr>
        <w:t xml:space="preserve"> in </w:t>
      </w:r>
      <w:r w:rsidR="009158AE" w:rsidRPr="005E16A6">
        <w:rPr>
          <w:rFonts w:ascii="Arial" w:hAnsi="Arial" w:cs="Arial"/>
          <w:sz w:val="20"/>
          <w:szCs w:val="20"/>
        </w:rPr>
        <w:t xml:space="preserve">iz </w:t>
      </w:r>
      <w:r w:rsidRPr="005E16A6">
        <w:rPr>
          <w:rFonts w:ascii="Arial" w:hAnsi="Arial" w:cs="Arial"/>
          <w:sz w:val="20"/>
          <w:szCs w:val="20"/>
        </w:rPr>
        <w:t>sporočenih statističnih podatkov o evidenčnih naročili</w:t>
      </w:r>
      <w:r w:rsidR="00662672" w:rsidRPr="005E16A6">
        <w:rPr>
          <w:rFonts w:ascii="Arial" w:hAnsi="Arial" w:cs="Arial"/>
          <w:sz w:val="20"/>
          <w:szCs w:val="20"/>
        </w:rPr>
        <w:t>h</w:t>
      </w:r>
      <w:r w:rsidR="00821A8E" w:rsidRPr="005E16A6">
        <w:rPr>
          <w:rFonts w:ascii="Arial" w:hAnsi="Arial" w:cs="Arial"/>
          <w:sz w:val="20"/>
          <w:szCs w:val="20"/>
        </w:rPr>
        <w:t xml:space="preserve"> </w:t>
      </w:r>
      <w:r w:rsidR="004E576C" w:rsidRPr="005E16A6">
        <w:rPr>
          <w:rFonts w:ascii="Arial" w:hAnsi="Arial" w:cs="Arial"/>
          <w:sz w:val="20"/>
          <w:szCs w:val="20"/>
        </w:rPr>
        <w:t>izhaja</w:t>
      </w:r>
      <w:r w:rsidR="00662672" w:rsidRPr="005E16A6">
        <w:rPr>
          <w:rFonts w:ascii="Arial" w:hAnsi="Arial" w:cs="Arial"/>
          <w:sz w:val="20"/>
          <w:szCs w:val="20"/>
        </w:rPr>
        <w:t xml:space="preserve">, da je </w:t>
      </w:r>
      <w:r w:rsidR="005E1EAD" w:rsidRPr="005E16A6">
        <w:rPr>
          <w:rFonts w:ascii="Arial" w:hAnsi="Arial" w:cs="Arial"/>
          <w:sz w:val="20"/>
          <w:szCs w:val="20"/>
        </w:rPr>
        <w:t>let</w:t>
      </w:r>
      <w:r w:rsidR="005E1EAD">
        <w:rPr>
          <w:rFonts w:ascii="Arial" w:hAnsi="Arial" w:cs="Arial"/>
          <w:sz w:val="20"/>
          <w:szCs w:val="20"/>
        </w:rPr>
        <w:t>a</w:t>
      </w:r>
      <w:r w:rsidR="005E1EAD" w:rsidRPr="005E16A6">
        <w:rPr>
          <w:rFonts w:ascii="Arial" w:hAnsi="Arial" w:cs="Arial"/>
          <w:sz w:val="20"/>
          <w:szCs w:val="20"/>
        </w:rPr>
        <w:t xml:space="preserve"> </w:t>
      </w:r>
      <w:r w:rsidR="00662672" w:rsidRPr="005E16A6">
        <w:rPr>
          <w:rFonts w:ascii="Arial" w:hAnsi="Arial" w:cs="Arial"/>
          <w:sz w:val="20"/>
          <w:szCs w:val="20"/>
        </w:rPr>
        <w:t>201</w:t>
      </w:r>
      <w:r w:rsidR="005E16A6" w:rsidRPr="005E16A6">
        <w:rPr>
          <w:rFonts w:ascii="Arial" w:hAnsi="Arial" w:cs="Arial"/>
          <w:sz w:val="20"/>
          <w:szCs w:val="20"/>
        </w:rPr>
        <w:t>8</w:t>
      </w:r>
      <w:r w:rsidRPr="005E16A6">
        <w:rPr>
          <w:rFonts w:ascii="Arial" w:hAnsi="Arial" w:cs="Arial"/>
          <w:sz w:val="20"/>
          <w:szCs w:val="20"/>
        </w:rPr>
        <w:t xml:space="preserve"> javna naročila </w:t>
      </w:r>
      <w:r w:rsidRPr="005332B8">
        <w:rPr>
          <w:rFonts w:ascii="Arial" w:hAnsi="Arial" w:cs="Arial"/>
          <w:sz w:val="20"/>
          <w:szCs w:val="20"/>
        </w:rPr>
        <w:t>oddal</w:t>
      </w:r>
      <w:r w:rsidR="00B4262C">
        <w:rPr>
          <w:rFonts w:ascii="Arial" w:hAnsi="Arial" w:cs="Arial"/>
          <w:sz w:val="20"/>
          <w:szCs w:val="20"/>
        </w:rPr>
        <w:t>o 2099 naročnikov.</w:t>
      </w:r>
    </w:p>
    <w:p w14:paraId="143C06D5" w14:textId="693830E7" w:rsidR="003B6A8B" w:rsidRPr="00186F1C" w:rsidRDefault="003B6A8B" w:rsidP="003B6A8B">
      <w:pPr>
        <w:spacing w:line="360" w:lineRule="auto"/>
        <w:jc w:val="both"/>
        <w:rPr>
          <w:rFonts w:ascii="Arial" w:hAnsi="Arial" w:cs="Arial"/>
          <w:b/>
          <w:sz w:val="20"/>
          <w:szCs w:val="20"/>
        </w:rPr>
      </w:pPr>
      <w:r w:rsidRPr="00186F1C">
        <w:rPr>
          <w:rFonts w:ascii="Arial" w:hAnsi="Arial" w:cs="Arial"/>
          <w:b/>
          <w:sz w:val="20"/>
          <w:szCs w:val="20"/>
        </w:rPr>
        <w:t xml:space="preserve">Delež </w:t>
      </w:r>
      <w:r w:rsidR="009652C4" w:rsidRPr="00186F1C">
        <w:rPr>
          <w:rFonts w:ascii="Arial" w:hAnsi="Arial" w:cs="Arial"/>
          <w:b/>
          <w:sz w:val="20"/>
          <w:szCs w:val="20"/>
        </w:rPr>
        <w:t>javnih naročil v bruto domačem</w:t>
      </w:r>
      <w:r w:rsidRPr="00186F1C">
        <w:rPr>
          <w:rFonts w:ascii="Arial" w:hAnsi="Arial" w:cs="Arial"/>
          <w:b/>
          <w:sz w:val="20"/>
          <w:szCs w:val="20"/>
        </w:rPr>
        <w:t xml:space="preserve"> proizvodu (BDP) </w:t>
      </w:r>
    </w:p>
    <w:p w14:paraId="3958058F" w14:textId="355AAAE1" w:rsidR="009652C4" w:rsidRPr="00186F1C" w:rsidRDefault="009652C4" w:rsidP="009652C4">
      <w:pPr>
        <w:spacing w:line="360" w:lineRule="auto"/>
        <w:jc w:val="both"/>
        <w:rPr>
          <w:rFonts w:ascii="Arial" w:hAnsi="Arial" w:cs="Arial"/>
          <w:strike/>
          <w:color w:val="FF0000"/>
          <w:sz w:val="20"/>
          <w:szCs w:val="20"/>
        </w:rPr>
      </w:pPr>
      <w:r w:rsidRPr="00186F1C">
        <w:rPr>
          <w:rFonts w:ascii="Arial" w:hAnsi="Arial" w:cs="Arial"/>
          <w:bCs/>
          <w:sz w:val="20"/>
          <w:szCs w:val="20"/>
        </w:rPr>
        <w:t>Na podlagi statističnih podatkov obseg javnih naročil, oddanih</w:t>
      </w:r>
      <w:r w:rsidR="00213411" w:rsidRPr="00186F1C">
        <w:rPr>
          <w:rFonts w:ascii="Arial" w:hAnsi="Arial" w:cs="Arial"/>
          <w:bCs/>
          <w:sz w:val="20"/>
          <w:szCs w:val="20"/>
        </w:rPr>
        <w:t xml:space="preserve"> let</w:t>
      </w:r>
      <w:r w:rsidR="00C95540">
        <w:rPr>
          <w:rFonts w:ascii="Arial" w:hAnsi="Arial" w:cs="Arial"/>
          <w:bCs/>
          <w:sz w:val="20"/>
          <w:szCs w:val="20"/>
        </w:rPr>
        <w:t>a</w:t>
      </w:r>
      <w:r w:rsidR="00213411" w:rsidRPr="00186F1C">
        <w:rPr>
          <w:rFonts w:ascii="Arial" w:hAnsi="Arial" w:cs="Arial"/>
          <w:bCs/>
          <w:sz w:val="20"/>
          <w:szCs w:val="20"/>
        </w:rPr>
        <w:t xml:space="preserve"> 201</w:t>
      </w:r>
      <w:r w:rsidR="00186F1C" w:rsidRPr="00186F1C">
        <w:rPr>
          <w:rFonts w:ascii="Arial" w:hAnsi="Arial" w:cs="Arial"/>
          <w:bCs/>
          <w:sz w:val="20"/>
          <w:szCs w:val="20"/>
        </w:rPr>
        <w:t>8</w:t>
      </w:r>
      <w:r w:rsidR="00213411" w:rsidRPr="00186F1C">
        <w:rPr>
          <w:rFonts w:ascii="Arial" w:hAnsi="Arial" w:cs="Arial"/>
          <w:bCs/>
          <w:sz w:val="20"/>
          <w:szCs w:val="20"/>
        </w:rPr>
        <w:t xml:space="preserve">, znaša </w:t>
      </w:r>
      <w:r w:rsidR="009C7185" w:rsidRPr="009C7185">
        <w:rPr>
          <w:rFonts w:ascii="Arial" w:hAnsi="Arial" w:cs="Arial"/>
          <w:bCs/>
          <w:sz w:val="20"/>
          <w:szCs w:val="20"/>
        </w:rPr>
        <w:t>4.605.323.264</w:t>
      </w:r>
      <w:r w:rsidR="009C7185">
        <w:rPr>
          <w:rFonts w:ascii="Arial" w:hAnsi="Arial" w:cs="Arial"/>
          <w:bCs/>
          <w:sz w:val="20"/>
          <w:szCs w:val="20"/>
        </w:rPr>
        <w:t xml:space="preserve"> </w:t>
      </w:r>
      <w:r w:rsidRPr="00186F1C">
        <w:rPr>
          <w:rFonts w:ascii="Arial" w:hAnsi="Arial" w:cs="Arial"/>
          <w:bCs/>
          <w:sz w:val="20"/>
          <w:szCs w:val="20"/>
        </w:rPr>
        <w:t>evrov. Delež javnih naročil v letu 201</w:t>
      </w:r>
      <w:r w:rsidR="00186F1C">
        <w:rPr>
          <w:rFonts w:ascii="Arial" w:hAnsi="Arial" w:cs="Arial"/>
          <w:bCs/>
          <w:sz w:val="20"/>
          <w:szCs w:val="20"/>
        </w:rPr>
        <w:t>8</w:t>
      </w:r>
      <w:r w:rsidRPr="00186F1C">
        <w:rPr>
          <w:rFonts w:ascii="Arial" w:hAnsi="Arial" w:cs="Arial"/>
          <w:bCs/>
          <w:sz w:val="20"/>
          <w:szCs w:val="20"/>
        </w:rPr>
        <w:t xml:space="preserve"> v </w:t>
      </w:r>
      <w:r w:rsidRPr="009C7185">
        <w:rPr>
          <w:rFonts w:ascii="Arial" w:hAnsi="Arial" w:cs="Arial"/>
          <w:color w:val="000000" w:themeColor="text1"/>
          <w:sz w:val="20"/>
          <w:szCs w:val="20"/>
        </w:rPr>
        <w:t>BDP je znašal 10,</w:t>
      </w:r>
      <w:r w:rsidR="00186F1C" w:rsidRPr="009C7185">
        <w:rPr>
          <w:rFonts w:ascii="Arial" w:hAnsi="Arial" w:cs="Arial"/>
          <w:color w:val="000000" w:themeColor="text1"/>
          <w:sz w:val="20"/>
          <w:szCs w:val="20"/>
        </w:rPr>
        <w:t>0</w:t>
      </w:r>
      <w:r w:rsidR="009C7185" w:rsidRPr="009C7185">
        <w:rPr>
          <w:rFonts w:ascii="Arial" w:hAnsi="Arial" w:cs="Arial"/>
          <w:color w:val="000000" w:themeColor="text1"/>
          <w:sz w:val="20"/>
          <w:szCs w:val="20"/>
        </w:rPr>
        <w:t>2</w:t>
      </w:r>
      <w:r w:rsidRPr="009C7185">
        <w:rPr>
          <w:rFonts w:ascii="Arial" w:hAnsi="Arial" w:cs="Arial"/>
          <w:color w:val="000000" w:themeColor="text1"/>
          <w:sz w:val="20"/>
          <w:szCs w:val="20"/>
        </w:rPr>
        <w:t xml:space="preserve"> %.</w:t>
      </w:r>
    </w:p>
    <w:p w14:paraId="469108CD" w14:textId="77777777" w:rsidR="003B6A8B" w:rsidRPr="00A21D6A" w:rsidRDefault="003B6A8B" w:rsidP="003B6A8B">
      <w:pPr>
        <w:jc w:val="both"/>
        <w:rPr>
          <w:rFonts w:ascii="Arial" w:hAnsi="Arial" w:cs="Arial"/>
          <w:b/>
          <w:sz w:val="20"/>
          <w:szCs w:val="20"/>
        </w:rPr>
      </w:pPr>
      <w:r w:rsidRPr="00A21D6A">
        <w:rPr>
          <w:rFonts w:ascii="Arial" w:hAnsi="Arial" w:cs="Arial"/>
          <w:b/>
          <w:sz w:val="20"/>
          <w:szCs w:val="20"/>
        </w:rPr>
        <w:t>Javna naročila, ki jih je treba objaviti na portalu javnih naročil oziroma v Uradnem listu Evropske unije</w:t>
      </w:r>
    </w:p>
    <w:p w14:paraId="450B77EA" w14:textId="0B990538" w:rsidR="003B6A8B" w:rsidRPr="00EF2D0B" w:rsidRDefault="003B6A8B" w:rsidP="003B6A8B">
      <w:pPr>
        <w:tabs>
          <w:tab w:val="left" w:pos="567"/>
          <w:tab w:val="left" w:pos="993"/>
        </w:tabs>
        <w:spacing w:line="360" w:lineRule="auto"/>
        <w:jc w:val="both"/>
        <w:rPr>
          <w:rFonts w:ascii="Arial" w:hAnsi="Arial" w:cs="Arial"/>
          <w:bCs/>
          <w:sz w:val="20"/>
          <w:szCs w:val="20"/>
          <w:highlight w:val="yellow"/>
        </w:rPr>
      </w:pPr>
      <w:r w:rsidRPr="00A21D6A">
        <w:rPr>
          <w:rFonts w:ascii="Arial" w:hAnsi="Arial" w:cs="Arial"/>
          <w:bCs/>
          <w:sz w:val="20"/>
          <w:szCs w:val="20"/>
        </w:rPr>
        <w:t xml:space="preserve">Javna naročila, </w:t>
      </w:r>
      <w:r w:rsidRPr="00A21D6A">
        <w:rPr>
          <w:rFonts w:ascii="Arial" w:hAnsi="Arial" w:cs="Arial"/>
          <w:sz w:val="20"/>
          <w:szCs w:val="20"/>
          <w:lang w:eastAsia="sl-SI"/>
        </w:rPr>
        <w:t>ki jih je treba objaviti na portalu javnih naročil oziroma</w:t>
      </w:r>
      <w:r w:rsidRPr="00A21D6A">
        <w:rPr>
          <w:rFonts w:ascii="Arial" w:hAnsi="Arial" w:cs="Arial"/>
          <w:bCs/>
          <w:sz w:val="20"/>
          <w:szCs w:val="20"/>
        </w:rPr>
        <w:t xml:space="preserve"> v Uradnem list</w:t>
      </w:r>
      <w:r w:rsidR="009D050D" w:rsidRPr="00A21D6A">
        <w:rPr>
          <w:rFonts w:ascii="Arial" w:hAnsi="Arial" w:cs="Arial"/>
          <w:bCs/>
          <w:sz w:val="20"/>
          <w:szCs w:val="20"/>
        </w:rPr>
        <w:t xml:space="preserve">u Evropske unije, je </w:t>
      </w:r>
      <w:r w:rsidR="005E1EAD" w:rsidRPr="00A21D6A">
        <w:rPr>
          <w:rFonts w:ascii="Arial" w:hAnsi="Arial" w:cs="Arial"/>
          <w:bCs/>
          <w:sz w:val="20"/>
          <w:szCs w:val="20"/>
        </w:rPr>
        <w:t>let</w:t>
      </w:r>
      <w:r w:rsidR="005E1EAD">
        <w:rPr>
          <w:rFonts w:ascii="Arial" w:hAnsi="Arial" w:cs="Arial"/>
          <w:bCs/>
          <w:sz w:val="20"/>
          <w:szCs w:val="20"/>
        </w:rPr>
        <w:t>a</w:t>
      </w:r>
      <w:r w:rsidR="005E1EAD" w:rsidRPr="00A21D6A">
        <w:rPr>
          <w:rFonts w:ascii="Arial" w:hAnsi="Arial" w:cs="Arial"/>
          <w:bCs/>
          <w:sz w:val="20"/>
          <w:szCs w:val="20"/>
        </w:rPr>
        <w:t xml:space="preserve"> </w:t>
      </w:r>
      <w:r w:rsidR="009D050D" w:rsidRPr="00A21D6A">
        <w:rPr>
          <w:rFonts w:ascii="Arial" w:hAnsi="Arial" w:cs="Arial"/>
          <w:bCs/>
          <w:sz w:val="20"/>
          <w:szCs w:val="20"/>
        </w:rPr>
        <w:t>201</w:t>
      </w:r>
      <w:r w:rsidR="00BE1D83" w:rsidRPr="00A21D6A">
        <w:rPr>
          <w:rFonts w:ascii="Arial" w:hAnsi="Arial" w:cs="Arial"/>
          <w:bCs/>
          <w:sz w:val="20"/>
          <w:szCs w:val="20"/>
        </w:rPr>
        <w:t>8</w:t>
      </w:r>
      <w:r w:rsidRPr="00A21D6A">
        <w:rPr>
          <w:rFonts w:ascii="Arial" w:hAnsi="Arial" w:cs="Arial"/>
          <w:bCs/>
          <w:sz w:val="20"/>
          <w:szCs w:val="20"/>
        </w:rPr>
        <w:t xml:space="preserve"> oddalo </w:t>
      </w:r>
      <w:r w:rsidR="00BE1D83" w:rsidRPr="00A21D6A">
        <w:rPr>
          <w:rFonts w:ascii="Arial" w:hAnsi="Arial" w:cs="Arial"/>
          <w:bCs/>
          <w:sz w:val="20"/>
          <w:szCs w:val="20"/>
        </w:rPr>
        <w:t>104</w:t>
      </w:r>
      <w:r w:rsidR="00A21D6A" w:rsidRPr="00A21D6A">
        <w:rPr>
          <w:rFonts w:ascii="Arial" w:hAnsi="Arial" w:cs="Arial"/>
          <w:bCs/>
          <w:sz w:val="20"/>
          <w:szCs w:val="20"/>
        </w:rPr>
        <w:t>1</w:t>
      </w:r>
      <w:r w:rsidRPr="00A21D6A">
        <w:rPr>
          <w:rFonts w:ascii="Arial" w:hAnsi="Arial" w:cs="Arial"/>
          <w:bCs/>
          <w:sz w:val="20"/>
          <w:szCs w:val="20"/>
        </w:rPr>
        <w:t xml:space="preserve"> naročnikov. V tem letu j</w:t>
      </w:r>
      <w:r w:rsidR="0036068D" w:rsidRPr="00A21D6A">
        <w:rPr>
          <w:rFonts w:ascii="Arial" w:hAnsi="Arial" w:cs="Arial"/>
          <w:bCs/>
          <w:sz w:val="20"/>
          <w:szCs w:val="20"/>
        </w:rPr>
        <w:t>e bilo na podlagi izvedenih 6</w:t>
      </w:r>
      <w:r w:rsidR="00A21D6A" w:rsidRPr="00A21D6A">
        <w:rPr>
          <w:rFonts w:ascii="Arial" w:hAnsi="Arial" w:cs="Arial"/>
          <w:bCs/>
          <w:sz w:val="20"/>
          <w:szCs w:val="20"/>
        </w:rPr>
        <w:t>739</w:t>
      </w:r>
      <w:r w:rsidRPr="00A21D6A">
        <w:rPr>
          <w:rFonts w:ascii="Arial" w:hAnsi="Arial" w:cs="Arial"/>
          <w:sz w:val="20"/>
          <w:szCs w:val="20"/>
          <w:lang w:eastAsia="sl-SI"/>
        </w:rPr>
        <w:t xml:space="preserve"> </w:t>
      </w:r>
      <w:r w:rsidRPr="00A21D6A">
        <w:rPr>
          <w:rFonts w:ascii="Arial" w:hAnsi="Arial" w:cs="Arial"/>
          <w:bCs/>
          <w:sz w:val="20"/>
          <w:szCs w:val="20"/>
        </w:rPr>
        <w:t xml:space="preserve">postopkov javnega naročanja oddanih </w:t>
      </w:r>
      <w:r w:rsidR="00BE1D83" w:rsidRPr="00A21D6A">
        <w:rPr>
          <w:rFonts w:ascii="Arial" w:hAnsi="Arial" w:cs="Arial"/>
          <w:bCs/>
          <w:sz w:val="20"/>
          <w:szCs w:val="20"/>
        </w:rPr>
        <w:t>16.86</w:t>
      </w:r>
      <w:r w:rsidR="00A21D6A" w:rsidRPr="00A21D6A">
        <w:rPr>
          <w:rFonts w:ascii="Arial" w:hAnsi="Arial" w:cs="Arial"/>
          <w:bCs/>
          <w:sz w:val="20"/>
          <w:szCs w:val="20"/>
        </w:rPr>
        <w:t>5</w:t>
      </w:r>
      <w:r w:rsidR="005E2277" w:rsidRPr="00A21D6A">
        <w:rPr>
          <w:rFonts w:ascii="Arial" w:hAnsi="Arial" w:cs="Arial"/>
          <w:bCs/>
          <w:sz w:val="20"/>
          <w:szCs w:val="20"/>
        </w:rPr>
        <w:t xml:space="preserve"> na</w:t>
      </w:r>
      <w:r w:rsidRPr="00A21D6A">
        <w:rPr>
          <w:rFonts w:ascii="Arial" w:hAnsi="Arial" w:cs="Arial"/>
          <w:sz w:val="20"/>
          <w:szCs w:val="20"/>
          <w:lang w:eastAsia="sl-SI"/>
        </w:rPr>
        <w:t>ročil, ki jih je treba objaviti na portalu javnih naročil oziroma</w:t>
      </w:r>
      <w:r w:rsidRPr="00A21D6A">
        <w:rPr>
          <w:rFonts w:ascii="Arial" w:hAnsi="Arial" w:cs="Arial"/>
          <w:bCs/>
          <w:sz w:val="20"/>
          <w:szCs w:val="20"/>
        </w:rPr>
        <w:t xml:space="preserve"> v Uradnem listu Evropske unije, njihova skupna pogodbena vrednost pa je</w:t>
      </w:r>
      <w:r w:rsidR="009112E2" w:rsidRPr="00A21D6A">
        <w:rPr>
          <w:rFonts w:ascii="Arial" w:hAnsi="Arial" w:cs="Arial"/>
          <w:bCs/>
          <w:sz w:val="20"/>
          <w:szCs w:val="20"/>
        </w:rPr>
        <w:t xml:space="preserve"> bila</w:t>
      </w:r>
      <w:r w:rsidRPr="00A21D6A">
        <w:rPr>
          <w:rFonts w:ascii="Arial" w:hAnsi="Arial" w:cs="Arial"/>
          <w:bCs/>
          <w:sz w:val="20"/>
          <w:szCs w:val="20"/>
        </w:rPr>
        <w:t xml:space="preserve"> </w:t>
      </w:r>
      <w:r w:rsidR="00BE1D83" w:rsidRPr="00A21D6A">
        <w:rPr>
          <w:rFonts w:ascii="Arial" w:hAnsi="Arial" w:cs="Arial"/>
          <w:bCs/>
          <w:sz w:val="20"/>
          <w:szCs w:val="20"/>
        </w:rPr>
        <w:t>2.91</w:t>
      </w:r>
      <w:r w:rsidR="00A21D6A" w:rsidRPr="00A21D6A">
        <w:rPr>
          <w:rFonts w:ascii="Arial" w:hAnsi="Arial" w:cs="Arial"/>
          <w:bCs/>
          <w:sz w:val="20"/>
          <w:szCs w:val="20"/>
        </w:rPr>
        <w:t>8</w:t>
      </w:r>
      <w:r w:rsidR="00BE1D83" w:rsidRPr="00A21D6A">
        <w:rPr>
          <w:rFonts w:ascii="Arial" w:hAnsi="Arial" w:cs="Arial"/>
          <w:bCs/>
          <w:sz w:val="20"/>
          <w:szCs w:val="20"/>
        </w:rPr>
        <w:t>.</w:t>
      </w:r>
      <w:r w:rsidR="00A21D6A" w:rsidRPr="00A21D6A">
        <w:rPr>
          <w:rFonts w:ascii="Arial" w:hAnsi="Arial" w:cs="Arial"/>
          <w:bCs/>
          <w:sz w:val="20"/>
          <w:szCs w:val="20"/>
        </w:rPr>
        <w:t>594</w:t>
      </w:r>
      <w:r w:rsidR="00BE1D83" w:rsidRPr="00A21D6A">
        <w:rPr>
          <w:rFonts w:ascii="Arial" w:hAnsi="Arial" w:cs="Arial"/>
          <w:bCs/>
          <w:sz w:val="20"/>
          <w:szCs w:val="20"/>
        </w:rPr>
        <w:t>.</w:t>
      </w:r>
      <w:r w:rsidR="00A21D6A" w:rsidRPr="00A21D6A">
        <w:rPr>
          <w:rFonts w:ascii="Arial" w:hAnsi="Arial" w:cs="Arial"/>
          <w:bCs/>
          <w:sz w:val="20"/>
          <w:szCs w:val="20"/>
        </w:rPr>
        <w:t>609</w:t>
      </w:r>
      <w:r w:rsidRPr="00A21D6A">
        <w:rPr>
          <w:rFonts w:ascii="Arial" w:hAnsi="Arial" w:cs="Arial"/>
          <w:bCs/>
          <w:sz w:val="20"/>
          <w:szCs w:val="20"/>
        </w:rPr>
        <w:t xml:space="preserve"> evrov. </w:t>
      </w:r>
    </w:p>
    <w:p w14:paraId="60BAA96F" w14:textId="77777777" w:rsidR="000B3577" w:rsidRPr="00CB1C50" w:rsidRDefault="000B3577" w:rsidP="000B3577">
      <w:pPr>
        <w:jc w:val="both"/>
        <w:rPr>
          <w:rFonts w:ascii="Arial" w:hAnsi="Arial" w:cs="Arial"/>
          <w:b/>
          <w:sz w:val="20"/>
          <w:szCs w:val="20"/>
        </w:rPr>
      </w:pPr>
      <w:r w:rsidRPr="00CB1C50">
        <w:rPr>
          <w:rFonts w:ascii="Arial" w:hAnsi="Arial" w:cs="Arial"/>
          <w:b/>
          <w:sz w:val="20"/>
          <w:szCs w:val="20"/>
        </w:rPr>
        <w:t>Naročila na podlagi sklenjenih okvirnih sporazumov</w:t>
      </w:r>
    </w:p>
    <w:p w14:paraId="5702118C" w14:textId="0869FE1A" w:rsidR="000B3577" w:rsidRPr="00CB1C50" w:rsidRDefault="005E1EAD" w:rsidP="003B6A8B">
      <w:pPr>
        <w:spacing w:line="360" w:lineRule="auto"/>
        <w:jc w:val="both"/>
        <w:rPr>
          <w:rFonts w:ascii="Arial" w:hAnsi="Arial" w:cs="Arial"/>
          <w:b/>
          <w:sz w:val="20"/>
          <w:szCs w:val="20"/>
        </w:rPr>
      </w:pPr>
      <w:r>
        <w:rPr>
          <w:rFonts w:ascii="Arial" w:hAnsi="Arial" w:cs="Arial"/>
          <w:bCs/>
          <w:sz w:val="20"/>
          <w:szCs w:val="20"/>
        </w:rPr>
        <w:t>Leta</w:t>
      </w:r>
      <w:r w:rsidR="005F5784" w:rsidRPr="00CB1C50">
        <w:rPr>
          <w:rFonts w:ascii="Arial" w:hAnsi="Arial" w:cs="Arial"/>
          <w:bCs/>
          <w:sz w:val="20"/>
          <w:szCs w:val="20"/>
        </w:rPr>
        <w:t xml:space="preserve"> 201</w:t>
      </w:r>
      <w:r w:rsidR="00CB1C50" w:rsidRPr="00CB1C50">
        <w:rPr>
          <w:rFonts w:ascii="Arial" w:hAnsi="Arial" w:cs="Arial"/>
          <w:bCs/>
          <w:sz w:val="20"/>
          <w:szCs w:val="20"/>
        </w:rPr>
        <w:t>8</w:t>
      </w:r>
      <w:r w:rsidR="00C64A51" w:rsidRPr="00CB1C50">
        <w:rPr>
          <w:rFonts w:ascii="Arial" w:hAnsi="Arial" w:cs="Arial"/>
          <w:bCs/>
          <w:sz w:val="20"/>
          <w:szCs w:val="20"/>
        </w:rPr>
        <w:t xml:space="preserve"> so naročniki na podlagi sklenjenih okvirnih sporazumov oddali za </w:t>
      </w:r>
      <w:r w:rsidR="00CB1C50" w:rsidRPr="00CB1C50">
        <w:rPr>
          <w:rFonts w:ascii="Arial" w:hAnsi="Arial" w:cs="Arial"/>
          <w:bCs/>
          <w:sz w:val="20"/>
          <w:szCs w:val="20"/>
        </w:rPr>
        <w:t xml:space="preserve">697.830.714 </w:t>
      </w:r>
      <w:r w:rsidR="00C64A51" w:rsidRPr="00CB1C50">
        <w:rPr>
          <w:rFonts w:ascii="Arial" w:hAnsi="Arial" w:cs="Arial"/>
          <w:bCs/>
          <w:sz w:val="20"/>
          <w:szCs w:val="20"/>
        </w:rPr>
        <w:t>evrov posameznih naročil.</w:t>
      </w:r>
    </w:p>
    <w:p w14:paraId="4D5B18AC" w14:textId="64DEEB9F" w:rsidR="003B6A8B" w:rsidRPr="003909CE" w:rsidRDefault="003B6A8B" w:rsidP="003B6A8B">
      <w:pPr>
        <w:spacing w:line="360" w:lineRule="auto"/>
        <w:jc w:val="both"/>
        <w:rPr>
          <w:rFonts w:ascii="Arial" w:hAnsi="Arial" w:cs="Arial"/>
          <w:b/>
          <w:sz w:val="20"/>
          <w:szCs w:val="20"/>
        </w:rPr>
      </w:pPr>
      <w:r w:rsidRPr="003909CE">
        <w:rPr>
          <w:rFonts w:ascii="Arial" w:hAnsi="Arial" w:cs="Arial"/>
          <w:b/>
          <w:sz w:val="20"/>
          <w:szCs w:val="20"/>
        </w:rPr>
        <w:t>Evidenčna naročila</w:t>
      </w:r>
    </w:p>
    <w:p w14:paraId="3ACE6E34" w14:textId="46AADCB4" w:rsidR="003B6A8B" w:rsidRPr="003909CE" w:rsidRDefault="005E1EAD" w:rsidP="003B6A8B">
      <w:pPr>
        <w:tabs>
          <w:tab w:val="left" w:pos="567"/>
          <w:tab w:val="left" w:pos="993"/>
        </w:tabs>
        <w:spacing w:line="360" w:lineRule="auto"/>
        <w:jc w:val="both"/>
        <w:rPr>
          <w:rFonts w:ascii="Arial" w:hAnsi="Arial" w:cs="Arial"/>
          <w:bCs/>
          <w:sz w:val="20"/>
          <w:szCs w:val="20"/>
        </w:rPr>
      </w:pPr>
      <w:r>
        <w:rPr>
          <w:rFonts w:ascii="Arial" w:hAnsi="Arial" w:cs="Arial"/>
          <w:bCs/>
          <w:sz w:val="20"/>
          <w:szCs w:val="20"/>
        </w:rPr>
        <w:t>Leta</w:t>
      </w:r>
      <w:r w:rsidR="001868CF" w:rsidRPr="003909CE">
        <w:rPr>
          <w:rFonts w:ascii="Arial" w:hAnsi="Arial" w:cs="Arial"/>
          <w:bCs/>
          <w:sz w:val="20"/>
          <w:szCs w:val="20"/>
        </w:rPr>
        <w:t xml:space="preserve"> 201</w:t>
      </w:r>
      <w:r w:rsidR="00B84D1C" w:rsidRPr="003909CE">
        <w:rPr>
          <w:rFonts w:ascii="Arial" w:hAnsi="Arial" w:cs="Arial"/>
          <w:bCs/>
          <w:sz w:val="20"/>
          <w:szCs w:val="20"/>
        </w:rPr>
        <w:t>8</w:t>
      </w:r>
      <w:r w:rsidR="003B6A8B" w:rsidRPr="003909CE">
        <w:rPr>
          <w:rFonts w:ascii="Arial" w:hAnsi="Arial" w:cs="Arial"/>
          <w:bCs/>
          <w:sz w:val="20"/>
          <w:szCs w:val="20"/>
        </w:rPr>
        <w:t xml:space="preserve"> je 1</w:t>
      </w:r>
      <w:r w:rsidR="004C5015" w:rsidRPr="003909CE">
        <w:rPr>
          <w:rFonts w:ascii="Arial" w:hAnsi="Arial" w:cs="Arial"/>
          <w:bCs/>
          <w:sz w:val="20"/>
          <w:szCs w:val="20"/>
        </w:rPr>
        <w:t>9</w:t>
      </w:r>
      <w:r w:rsidR="00B84D1C" w:rsidRPr="003909CE">
        <w:rPr>
          <w:rFonts w:ascii="Arial" w:hAnsi="Arial" w:cs="Arial"/>
          <w:bCs/>
          <w:sz w:val="20"/>
          <w:szCs w:val="20"/>
        </w:rPr>
        <w:t>83</w:t>
      </w:r>
      <w:r w:rsidR="003B6A8B" w:rsidRPr="003909CE">
        <w:rPr>
          <w:rFonts w:ascii="Arial" w:hAnsi="Arial" w:cs="Arial"/>
          <w:bCs/>
          <w:sz w:val="20"/>
          <w:szCs w:val="20"/>
        </w:rPr>
        <w:t xml:space="preserve"> naročnikov oddalo </w:t>
      </w:r>
      <w:r w:rsidR="00B84D1C" w:rsidRPr="003909CE">
        <w:rPr>
          <w:rFonts w:ascii="Arial" w:eastAsia="Times New Roman" w:hAnsi="Arial" w:cs="Arial"/>
          <w:color w:val="000000"/>
          <w:sz w:val="20"/>
          <w:szCs w:val="20"/>
          <w:lang w:eastAsia="sl-SI"/>
        </w:rPr>
        <w:t xml:space="preserve">1.052.365 </w:t>
      </w:r>
      <w:r w:rsidR="003B6A8B" w:rsidRPr="003909CE">
        <w:rPr>
          <w:rFonts w:ascii="Arial" w:hAnsi="Arial" w:cs="Arial"/>
          <w:bCs/>
          <w:sz w:val="20"/>
          <w:szCs w:val="20"/>
        </w:rPr>
        <w:t xml:space="preserve">evidenčnih naročil v vrednosti </w:t>
      </w:r>
      <w:r w:rsidR="00B84D1C" w:rsidRPr="003909CE">
        <w:rPr>
          <w:rFonts w:ascii="Arial" w:eastAsia="Times New Roman" w:hAnsi="Arial" w:cs="Arial"/>
          <w:color w:val="000000"/>
          <w:sz w:val="20"/>
          <w:szCs w:val="20"/>
          <w:lang w:eastAsia="sl-SI"/>
        </w:rPr>
        <w:t>1.007.513.578</w:t>
      </w:r>
      <w:r w:rsidR="00B84D1C" w:rsidRPr="003909CE">
        <w:rPr>
          <w:rFonts w:ascii="Arial" w:eastAsia="Times New Roman" w:hAnsi="Arial" w:cs="Arial"/>
          <w:b/>
          <w:color w:val="000000"/>
          <w:sz w:val="20"/>
          <w:szCs w:val="20"/>
          <w:lang w:eastAsia="sl-SI"/>
        </w:rPr>
        <w:t xml:space="preserve"> </w:t>
      </w:r>
      <w:r w:rsidR="003B6A8B" w:rsidRPr="003909CE">
        <w:rPr>
          <w:rFonts w:ascii="Arial" w:hAnsi="Arial" w:cs="Arial"/>
          <w:bCs/>
          <w:sz w:val="20"/>
          <w:szCs w:val="20"/>
        </w:rPr>
        <w:t xml:space="preserve">evrov. </w:t>
      </w:r>
      <w:r w:rsidR="006F655A" w:rsidRPr="003909CE">
        <w:rPr>
          <w:rFonts w:ascii="Arial" w:hAnsi="Arial" w:cs="Arial"/>
          <w:bCs/>
          <w:sz w:val="20"/>
          <w:szCs w:val="20"/>
        </w:rPr>
        <w:t>Povprečna vrednost evidenčnega naroč</w:t>
      </w:r>
      <w:r w:rsidR="004B1EF0" w:rsidRPr="003909CE">
        <w:rPr>
          <w:rFonts w:ascii="Arial" w:hAnsi="Arial" w:cs="Arial"/>
          <w:bCs/>
          <w:sz w:val="20"/>
          <w:szCs w:val="20"/>
        </w:rPr>
        <w:t xml:space="preserve">ila je </w:t>
      </w:r>
      <w:r w:rsidR="00F97B72" w:rsidRPr="003909CE">
        <w:rPr>
          <w:rFonts w:ascii="Arial" w:hAnsi="Arial" w:cs="Arial"/>
          <w:bCs/>
          <w:sz w:val="20"/>
          <w:szCs w:val="20"/>
        </w:rPr>
        <w:t xml:space="preserve">znašala </w:t>
      </w:r>
      <w:r w:rsidR="004B1EF0" w:rsidRPr="003909CE">
        <w:rPr>
          <w:rFonts w:ascii="Arial" w:hAnsi="Arial" w:cs="Arial"/>
          <w:bCs/>
          <w:sz w:val="20"/>
          <w:szCs w:val="20"/>
        </w:rPr>
        <w:t>9</w:t>
      </w:r>
      <w:r w:rsidR="00B84D1C" w:rsidRPr="003909CE">
        <w:rPr>
          <w:rFonts w:ascii="Arial" w:hAnsi="Arial" w:cs="Arial"/>
          <w:bCs/>
          <w:sz w:val="20"/>
          <w:szCs w:val="20"/>
        </w:rPr>
        <w:t>57</w:t>
      </w:r>
      <w:r w:rsidR="00D41EF5" w:rsidRPr="003909CE">
        <w:rPr>
          <w:rFonts w:ascii="Arial" w:hAnsi="Arial" w:cs="Arial"/>
          <w:bCs/>
          <w:sz w:val="20"/>
          <w:szCs w:val="20"/>
        </w:rPr>
        <w:t xml:space="preserve"> evrov.</w:t>
      </w:r>
      <w:r w:rsidR="003B6A8B" w:rsidRPr="003909CE">
        <w:rPr>
          <w:rFonts w:ascii="Arial" w:hAnsi="Arial" w:cs="Arial"/>
          <w:bCs/>
          <w:sz w:val="20"/>
          <w:szCs w:val="20"/>
        </w:rPr>
        <w:t xml:space="preserve"> </w:t>
      </w:r>
    </w:p>
    <w:p w14:paraId="3256E0CC" w14:textId="77777777" w:rsidR="006D2DE2" w:rsidRPr="007B6972" w:rsidRDefault="006D2DE2" w:rsidP="006D2DE2">
      <w:pPr>
        <w:spacing w:line="360" w:lineRule="auto"/>
        <w:jc w:val="both"/>
        <w:rPr>
          <w:rFonts w:ascii="Arial" w:hAnsi="Arial" w:cs="Arial"/>
          <w:b/>
          <w:sz w:val="20"/>
          <w:szCs w:val="20"/>
        </w:rPr>
      </w:pPr>
      <w:r w:rsidRPr="007B6972">
        <w:rPr>
          <w:rFonts w:ascii="Arial" w:hAnsi="Arial" w:cs="Arial"/>
          <w:b/>
          <w:sz w:val="20"/>
          <w:szCs w:val="20"/>
        </w:rPr>
        <w:t>Javna naročila, (so)financirana s sredstvi Evropske unije</w:t>
      </w:r>
    </w:p>
    <w:p w14:paraId="49FACD4C" w14:textId="546E8A3B" w:rsidR="006D2DE2" w:rsidRPr="007B6972" w:rsidRDefault="005E1EAD" w:rsidP="006D2DE2">
      <w:pPr>
        <w:spacing w:line="360" w:lineRule="auto"/>
        <w:jc w:val="both"/>
        <w:rPr>
          <w:rFonts w:ascii="Arial" w:hAnsi="Arial" w:cs="Arial"/>
          <w:sz w:val="20"/>
          <w:szCs w:val="20"/>
          <w:lang w:eastAsia="sl-SI"/>
        </w:rPr>
      </w:pPr>
      <w:r>
        <w:rPr>
          <w:rFonts w:ascii="Arial" w:hAnsi="Arial" w:cs="Arial"/>
          <w:sz w:val="20"/>
          <w:szCs w:val="20"/>
          <w:lang w:eastAsia="sl-SI"/>
        </w:rPr>
        <w:t>Leta</w:t>
      </w:r>
      <w:r w:rsidR="006D2DE2" w:rsidRPr="007B6972">
        <w:rPr>
          <w:rFonts w:ascii="Arial" w:hAnsi="Arial" w:cs="Arial"/>
          <w:sz w:val="20"/>
          <w:szCs w:val="20"/>
          <w:lang w:eastAsia="sl-SI"/>
        </w:rPr>
        <w:t xml:space="preserve"> 201</w:t>
      </w:r>
      <w:r w:rsidR="003909CE" w:rsidRPr="007B6972">
        <w:rPr>
          <w:rFonts w:ascii="Arial" w:hAnsi="Arial" w:cs="Arial"/>
          <w:sz w:val="20"/>
          <w:szCs w:val="20"/>
          <w:lang w:eastAsia="sl-SI"/>
        </w:rPr>
        <w:t>8</w:t>
      </w:r>
      <w:r w:rsidR="00C06931" w:rsidRPr="007B6972">
        <w:rPr>
          <w:rFonts w:ascii="Arial" w:hAnsi="Arial" w:cs="Arial"/>
          <w:sz w:val="20"/>
          <w:szCs w:val="20"/>
          <w:lang w:eastAsia="sl-SI"/>
        </w:rPr>
        <w:t xml:space="preserve"> </w:t>
      </w:r>
      <w:r>
        <w:rPr>
          <w:rFonts w:ascii="Arial" w:hAnsi="Arial" w:cs="Arial"/>
          <w:sz w:val="20"/>
          <w:szCs w:val="20"/>
          <w:lang w:eastAsia="sl-SI"/>
        </w:rPr>
        <w:t>sta</w:t>
      </w:r>
      <w:r w:rsidRPr="007B6972">
        <w:rPr>
          <w:rFonts w:ascii="Arial" w:hAnsi="Arial" w:cs="Arial"/>
          <w:sz w:val="20"/>
          <w:szCs w:val="20"/>
          <w:lang w:eastAsia="sl-SI"/>
        </w:rPr>
        <w:t xml:space="preserve"> bil</w:t>
      </w:r>
      <w:r>
        <w:rPr>
          <w:rFonts w:ascii="Arial" w:hAnsi="Arial" w:cs="Arial"/>
          <w:sz w:val="20"/>
          <w:szCs w:val="20"/>
          <w:lang w:eastAsia="sl-SI"/>
        </w:rPr>
        <w:t>i</w:t>
      </w:r>
      <w:r w:rsidRPr="007B6972">
        <w:rPr>
          <w:rFonts w:ascii="Arial" w:hAnsi="Arial" w:cs="Arial"/>
          <w:sz w:val="20"/>
          <w:szCs w:val="20"/>
          <w:lang w:eastAsia="sl-SI"/>
        </w:rPr>
        <w:t xml:space="preserve"> </w:t>
      </w:r>
      <w:r w:rsidR="006D2DE2" w:rsidRPr="007B6972">
        <w:rPr>
          <w:rFonts w:ascii="Arial" w:hAnsi="Arial" w:cs="Arial"/>
          <w:sz w:val="20"/>
          <w:szCs w:val="20"/>
          <w:lang w:eastAsia="sl-SI"/>
        </w:rPr>
        <w:t xml:space="preserve">oddani </w:t>
      </w:r>
      <w:r w:rsidR="007B6972" w:rsidRPr="007B6972">
        <w:rPr>
          <w:rFonts w:ascii="Arial" w:hAnsi="Arial" w:cs="Arial"/>
          <w:sz w:val="20"/>
          <w:szCs w:val="20"/>
          <w:lang w:eastAsia="sl-SI"/>
        </w:rPr>
        <w:t>902</w:t>
      </w:r>
      <w:r w:rsidR="006D2DE2" w:rsidRPr="007B6972">
        <w:rPr>
          <w:rFonts w:ascii="Arial" w:hAnsi="Arial" w:cs="Arial"/>
          <w:sz w:val="20"/>
          <w:szCs w:val="20"/>
          <w:lang w:eastAsia="sl-SI"/>
        </w:rPr>
        <w:t xml:space="preserve"> naročil</w:t>
      </w:r>
      <w:r>
        <w:rPr>
          <w:rFonts w:ascii="Arial" w:hAnsi="Arial" w:cs="Arial"/>
          <w:sz w:val="20"/>
          <w:szCs w:val="20"/>
          <w:lang w:eastAsia="sl-SI"/>
        </w:rPr>
        <w:t>i</w:t>
      </w:r>
      <w:r w:rsidR="006D2DE2" w:rsidRPr="007B6972">
        <w:rPr>
          <w:rFonts w:ascii="Arial" w:hAnsi="Arial" w:cs="Arial"/>
          <w:sz w:val="20"/>
          <w:szCs w:val="20"/>
          <w:lang w:eastAsia="sl-SI"/>
        </w:rPr>
        <w:t xml:space="preserve"> v vrednosti </w:t>
      </w:r>
      <w:r w:rsidR="007B6972" w:rsidRPr="007B6972">
        <w:rPr>
          <w:rFonts w:ascii="Arial" w:hAnsi="Arial" w:cs="Arial"/>
          <w:sz w:val="20"/>
          <w:szCs w:val="20"/>
          <w:lang w:eastAsia="sl-SI"/>
        </w:rPr>
        <w:t xml:space="preserve">354.663.683 </w:t>
      </w:r>
      <w:r w:rsidR="006D2DE2" w:rsidRPr="007B6972">
        <w:rPr>
          <w:rFonts w:ascii="Arial" w:hAnsi="Arial" w:cs="Arial"/>
          <w:sz w:val="20"/>
          <w:szCs w:val="20"/>
          <w:lang w:eastAsia="sl-SI"/>
        </w:rPr>
        <w:t xml:space="preserve">evrov, ki </w:t>
      </w:r>
      <w:r w:rsidR="00510B41" w:rsidRPr="007B6972">
        <w:rPr>
          <w:rFonts w:ascii="Arial" w:hAnsi="Arial" w:cs="Arial"/>
          <w:sz w:val="20"/>
          <w:szCs w:val="20"/>
          <w:lang w:eastAsia="sl-SI"/>
        </w:rPr>
        <w:t>s</w:t>
      </w:r>
      <w:r w:rsidR="00510B41">
        <w:rPr>
          <w:rFonts w:ascii="Arial" w:hAnsi="Arial" w:cs="Arial"/>
          <w:sz w:val="20"/>
          <w:szCs w:val="20"/>
          <w:lang w:eastAsia="sl-SI"/>
        </w:rPr>
        <w:t>ta</w:t>
      </w:r>
      <w:r w:rsidR="00510B41" w:rsidRPr="007B6972">
        <w:rPr>
          <w:rFonts w:ascii="Arial" w:hAnsi="Arial" w:cs="Arial"/>
          <w:sz w:val="20"/>
          <w:szCs w:val="20"/>
          <w:lang w:eastAsia="sl-SI"/>
        </w:rPr>
        <w:t xml:space="preserve"> bil</w:t>
      </w:r>
      <w:r w:rsidR="00510B41">
        <w:rPr>
          <w:rFonts w:ascii="Arial" w:hAnsi="Arial" w:cs="Arial"/>
          <w:sz w:val="20"/>
          <w:szCs w:val="20"/>
          <w:lang w:eastAsia="sl-SI"/>
        </w:rPr>
        <w:t>i</w:t>
      </w:r>
      <w:r w:rsidR="00510B41" w:rsidRPr="007B6972">
        <w:rPr>
          <w:rFonts w:ascii="Arial" w:hAnsi="Arial" w:cs="Arial"/>
          <w:sz w:val="20"/>
          <w:szCs w:val="20"/>
          <w:lang w:eastAsia="sl-SI"/>
        </w:rPr>
        <w:t xml:space="preserve"> </w:t>
      </w:r>
      <w:r w:rsidR="006D2DE2" w:rsidRPr="007B6972">
        <w:rPr>
          <w:rFonts w:ascii="Arial" w:hAnsi="Arial" w:cs="Arial"/>
          <w:sz w:val="20"/>
          <w:szCs w:val="20"/>
          <w:lang w:eastAsia="sl-SI"/>
        </w:rPr>
        <w:t>(so)</w:t>
      </w:r>
      <w:r w:rsidR="00510B41" w:rsidRPr="007B6972">
        <w:rPr>
          <w:rFonts w:ascii="Arial" w:hAnsi="Arial" w:cs="Arial"/>
          <w:sz w:val="20"/>
          <w:szCs w:val="20"/>
          <w:lang w:eastAsia="sl-SI"/>
        </w:rPr>
        <w:t>financiran</w:t>
      </w:r>
      <w:r w:rsidR="00510B41">
        <w:rPr>
          <w:rFonts w:ascii="Arial" w:hAnsi="Arial" w:cs="Arial"/>
          <w:sz w:val="20"/>
          <w:szCs w:val="20"/>
          <w:lang w:eastAsia="sl-SI"/>
        </w:rPr>
        <w:t>i</w:t>
      </w:r>
      <w:r w:rsidR="00510B41" w:rsidRPr="007B6972">
        <w:rPr>
          <w:rFonts w:ascii="Arial" w:hAnsi="Arial" w:cs="Arial"/>
          <w:sz w:val="20"/>
          <w:szCs w:val="20"/>
          <w:lang w:eastAsia="sl-SI"/>
        </w:rPr>
        <w:t xml:space="preserve"> </w:t>
      </w:r>
      <w:r w:rsidR="006D2DE2" w:rsidRPr="007B6972">
        <w:rPr>
          <w:rFonts w:ascii="Arial" w:hAnsi="Arial" w:cs="Arial"/>
          <w:sz w:val="20"/>
          <w:szCs w:val="20"/>
          <w:lang w:eastAsia="sl-SI"/>
        </w:rPr>
        <w:t>s sredstvi Evropske unije iz različnih skladov in programov.</w:t>
      </w:r>
    </w:p>
    <w:p w14:paraId="1BF2B343" w14:textId="0F46915F" w:rsidR="00E3737B" w:rsidRPr="006C243C" w:rsidRDefault="00E3737B" w:rsidP="003B6A8B">
      <w:pPr>
        <w:spacing w:line="360" w:lineRule="auto"/>
        <w:jc w:val="both"/>
        <w:rPr>
          <w:rFonts w:ascii="Arial" w:hAnsi="Arial" w:cs="Arial"/>
          <w:b/>
          <w:sz w:val="20"/>
          <w:szCs w:val="20"/>
        </w:rPr>
      </w:pPr>
      <w:r w:rsidRPr="006C243C">
        <w:rPr>
          <w:rFonts w:ascii="Arial" w:hAnsi="Arial" w:cs="Arial"/>
          <w:b/>
          <w:sz w:val="20"/>
          <w:szCs w:val="20"/>
        </w:rPr>
        <w:t>Postopki oddaje javnih naročil</w:t>
      </w:r>
    </w:p>
    <w:p w14:paraId="0C61533A" w14:textId="164168D7" w:rsidR="00014EFB" w:rsidRPr="006C243C" w:rsidRDefault="005E1EAD" w:rsidP="00C558DF">
      <w:pPr>
        <w:spacing w:line="360" w:lineRule="auto"/>
        <w:jc w:val="both"/>
        <w:rPr>
          <w:rFonts w:ascii="Arial" w:hAnsi="Arial" w:cs="Arial"/>
          <w:bCs/>
          <w:sz w:val="20"/>
          <w:szCs w:val="20"/>
        </w:rPr>
      </w:pPr>
      <w:r>
        <w:rPr>
          <w:rFonts w:ascii="Arial" w:hAnsi="Arial" w:cs="Arial"/>
          <w:bCs/>
          <w:sz w:val="20"/>
          <w:szCs w:val="20"/>
        </w:rPr>
        <w:t>Leta</w:t>
      </w:r>
      <w:r w:rsidR="00C558DF" w:rsidRPr="006C243C">
        <w:rPr>
          <w:rFonts w:ascii="Arial" w:hAnsi="Arial" w:cs="Arial"/>
          <w:bCs/>
          <w:sz w:val="20"/>
          <w:szCs w:val="20"/>
        </w:rPr>
        <w:t xml:space="preserve"> 201</w:t>
      </w:r>
      <w:r w:rsidR="006C243C" w:rsidRPr="006C243C">
        <w:rPr>
          <w:rFonts w:ascii="Arial" w:hAnsi="Arial" w:cs="Arial"/>
          <w:bCs/>
          <w:sz w:val="20"/>
          <w:szCs w:val="20"/>
        </w:rPr>
        <w:t>8</w:t>
      </w:r>
      <w:r w:rsidR="00C558DF" w:rsidRPr="006C243C">
        <w:rPr>
          <w:rFonts w:ascii="Arial" w:hAnsi="Arial" w:cs="Arial"/>
          <w:bCs/>
          <w:sz w:val="20"/>
          <w:szCs w:val="20"/>
        </w:rPr>
        <w:t xml:space="preserve"> so naročniki najpogosteje</w:t>
      </w:r>
      <w:r w:rsidR="009158AE" w:rsidRPr="006C243C">
        <w:rPr>
          <w:rFonts w:ascii="Arial" w:hAnsi="Arial" w:cs="Arial"/>
          <w:bCs/>
          <w:sz w:val="20"/>
          <w:szCs w:val="20"/>
        </w:rPr>
        <w:t xml:space="preserve">, in sicer v več </w:t>
      </w:r>
      <w:r>
        <w:rPr>
          <w:rFonts w:ascii="Arial" w:hAnsi="Arial" w:cs="Arial"/>
          <w:bCs/>
          <w:sz w:val="20"/>
          <w:szCs w:val="20"/>
        </w:rPr>
        <w:t>kot</w:t>
      </w:r>
      <w:r w:rsidRPr="006C243C">
        <w:rPr>
          <w:rFonts w:ascii="Arial" w:hAnsi="Arial" w:cs="Arial"/>
          <w:bCs/>
          <w:sz w:val="20"/>
          <w:szCs w:val="20"/>
        </w:rPr>
        <w:t xml:space="preserve"> </w:t>
      </w:r>
      <w:r w:rsidR="009158AE" w:rsidRPr="006C243C">
        <w:rPr>
          <w:rFonts w:ascii="Arial" w:hAnsi="Arial" w:cs="Arial"/>
          <w:bCs/>
          <w:sz w:val="20"/>
          <w:szCs w:val="20"/>
        </w:rPr>
        <w:t>polovici vseh postopkov,</w:t>
      </w:r>
      <w:r w:rsidR="00C558DF" w:rsidRPr="006C243C">
        <w:rPr>
          <w:rFonts w:ascii="Arial" w:hAnsi="Arial" w:cs="Arial"/>
          <w:bCs/>
          <w:sz w:val="20"/>
          <w:szCs w:val="20"/>
        </w:rPr>
        <w:t xml:space="preserve"> izvedli postopek oddaje naročila male vrednosti, drugi najpogosteje uporabljen</w:t>
      </w:r>
      <w:r w:rsidR="009158AE" w:rsidRPr="006C243C">
        <w:rPr>
          <w:rFonts w:ascii="Arial" w:hAnsi="Arial" w:cs="Arial"/>
          <w:bCs/>
          <w:sz w:val="20"/>
          <w:szCs w:val="20"/>
        </w:rPr>
        <w:t>i</w:t>
      </w:r>
      <w:r w:rsidR="00C558DF" w:rsidRPr="006C243C">
        <w:rPr>
          <w:rFonts w:ascii="Arial" w:hAnsi="Arial" w:cs="Arial"/>
          <w:bCs/>
          <w:sz w:val="20"/>
          <w:szCs w:val="20"/>
        </w:rPr>
        <w:t xml:space="preserve"> postopek pa je bil</w:t>
      </w:r>
      <w:r w:rsidR="009158AE" w:rsidRPr="006C243C">
        <w:rPr>
          <w:rFonts w:ascii="Arial" w:hAnsi="Arial" w:cs="Arial"/>
          <w:bCs/>
          <w:sz w:val="20"/>
          <w:szCs w:val="20"/>
        </w:rPr>
        <w:t xml:space="preserve"> s slabo četrtino vseh postopkov</w:t>
      </w:r>
      <w:r w:rsidR="00C558DF" w:rsidRPr="006C243C">
        <w:rPr>
          <w:rFonts w:ascii="Arial" w:hAnsi="Arial" w:cs="Arial"/>
          <w:bCs/>
          <w:sz w:val="20"/>
          <w:szCs w:val="20"/>
        </w:rPr>
        <w:t xml:space="preserve"> odprti postopek. Tretji najpogosteje uporabljeni postopek je bil postopek s pogajanji brez predhodne objave. Navedeni trije postopki </w:t>
      </w:r>
      <w:r>
        <w:rPr>
          <w:rFonts w:ascii="Arial" w:hAnsi="Arial" w:cs="Arial"/>
          <w:bCs/>
          <w:sz w:val="20"/>
          <w:szCs w:val="20"/>
        </w:rPr>
        <w:t>pomenijo</w:t>
      </w:r>
      <w:r w:rsidRPr="006C243C">
        <w:rPr>
          <w:rFonts w:ascii="Arial" w:hAnsi="Arial" w:cs="Arial"/>
          <w:bCs/>
          <w:sz w:val="20"/>
          <w:szCs w:val="20"/>
        </w:rPr>
        <w:t xml:space="preserve"> </w:t>
      </w:r>
      <w:r w:rsidR="006C243C" w:rsidRPr="006C243C">
        <w:rPr>
          <w:rFonts w:ascii="Arial" w:hAnsi="Arial" w:cs="Arial"/>
          <w:bCs/>
          <w:sz w:val="20"/>
          <w:szCs w:val="20"/>
        </w:rPr>
        <w:t xml:space="preserve">96,29 </w:t>
      </w:r>
      <w:r w:rsidR="00FA0EF9">
        <w:rPr>
          <w:rFonts w:ascii="Arial" w:hAnsi="Arial" w:cs="Arial"/>
          <w:bCs/>
          <w:sz w:val="20"/>
          <w:szCs w:val="20"/>
        </w:rPr>
        <w:t>%</w:t>
      </w:r>
      <w:r w:rsidR="00FA0EF9" w:rsidRPr="006C243C">
        <w:rPr>
          <w:rFonts w:ascii="Arial" w:hAnsi="Arial" w:cs="Arial"/>
          <w:bCs/>
          <w:sz w:val="20"/>
          <w:szCs w:val="20"/>
        </w:rPr>
        <w:t xml:space="preserve"> </w:t>
      </w:r>
      <w:r w:rsidR="00C558DF" w:rsidRPr="006C243C">
        <w:rPr>
          <w:rFonts w:ascii="Arial" w:hAnsi="Arial" w:cs="Arial"/>
          <w:bCs/>
          <w:sz w:val="20"/>
          <w:szCs w:val="20"/>
        </w:rPr>
        <w:t>vseh dokončanih postopkov v letu 201</w:t>
      </w:r>
      <w:r w:rsidR="00385F85">
        <w:rPr>
          <w:rFonts w:ascii="Arial" w:hAnsi="Arial" w:cs="Arial"/>
          <w:bCs/>
          <w:sz w:val="20"/>
          <w:szCs w:val="20"/>
        </w:rPr>
        <w:t>8.</w:t>
      </w:r>
    </w:p>
    <w:p w14:paraId="24AA486E" w14:textId="0D33E0E1" w:rsidR="003B6A8B" w:rsidRPr="00D93C31" w:rsidRDefault="003B6A8B" w:rsidP="003B6A8B">
      <w:pPr>
        <w:spacing w:line="360" w:lineRule="auto"/>
        <w:jc w:val="both"/>
        <w:rPr>
          <w:rFonts w:ascii="Arial" w:hAnsi="Arial" w:cs="Arial"/>
          <w:b/>
          <w:sz w:val="20"/>
          <w:szCs w:val="20"/>
        </w:rPr>
      </w:pPr>
      <w:r w:rsidRPr="00D93C31">
        <w:rPr>
          <w:rFonts w:ascii="Arial" w:hAnsi="Arial" w:cs="Arial"/>
          <w:b/>
          <w:sz w:val="20"/>
          <w:szCs w:val="20"/>
        </w:rPr>
        <w:t>Predmet naročanja</w:t>
      </w:r>
    </w:p>
    <w:p w14:paraId="2871710F" w14:textId="16659602" w:rsidR="00C64A51" w:rsidRPr="00D93C31" w:rsidRDefault="00C64A51" w:rsidP="003B6A8B">
      <w:pPr>
        <w:spacing w:line="360" w:lineRule="auto"/>
        <w:jc w:val="both"/>
        <w:rPr>
          <w:rFonts w:ascii="Arial" w:hAnsi="Arial" w:cs="Arial"/>
          <w:sz w:val="20"/>
          <w:szCs w:val="20"/>
        </w:rPr>
      </w:pPr>
      <w:r w:rsidRPr="00D93C31">
        <w:rPr>
          <w:rFonts w:ascii="Arial" w:hAnsi="Arial" w:cs="Arial"/>
          <w:sz w:val="20"/>
          <w:szCs w:val="20"/>
        </w:rPr>
        <w:t>Tako v vrednosti ko</w:t>
      </w:r>
      <w:r w:rsidR="00184260" w:rsidRPr="00D93C31">
        <w:rPr>
          <w:rFonts w:ascii="Arial" w:hAnsi="Arial" w:cs="Arial"/>
          <w:sz w:val="20"/>
          <w:szCs w:val="20"/>
        </w:rPr>
        <w:t>t</w:t>
      </w:r>
      <w:r w:rsidRPr="00D93C31">
        <w:rPr>
          <w:rFonts w:ascii="Arial" w:hAnsi="Arial" w:cs="Arial"/>
          <w:sz w:val="20"/>
          <w:szCs w:val="20"/>
        </w:rPr>
        <w:t xml:space="preserve"> </w:t>
      </w:r>
      <w:r w:rsidR="00024A2B" w:rsidRPr="00D93C31">
        <w:rPr>
          <w:rFonts w:ascii="Arial" w:hAnsi="Arial" w:cs="Arial"/>
          <w:sz w:val="20"/>
          <w:szCs w:val="20"/>
        </w:rPr>
        <w:t xml:space="preserve">v številu je bilo </w:t>
      </w:r>
      <w:r w:rsidR="005E1EAD">
        <w:rPr>
          <w:rFonts w:ascii="Arial" w:hAnsi="Arial" w:cs="Arial"/>
          <w:sz w:val="20"/>
          <w:szCs w:val="20"/>
        </w:rPr>
        <w:t>leta</w:t>
      </w:r>
      <w:r w:rsidR="00024A2B" w:rsidRPr="00D93C31">
        <w:rPr>
          <w:rFonts w:ascii="Arial" w:hAnsi="Arial" w:cs="Arial"/>
          <w:sz w:val="20"/>
          <w:szCs w:val="20"/>
        </w:rPr>
        <w:t xml:space="preserve"> 201</w:t>
      </w:r>
      <w:r w:rsidR="009318DA" w:rsidRPr="00D93C31">
        <w:rPr>
          <w:rFonts w:ascii="Arial" w:hAnsi="Arial" w:cs="Arial"/>
          <w:sz w:val="20"/>
          <w:szCs w:val="20"/>
        </w:rPr>
        <w:t>8</w:t>
      </w:r>
      <w:r w:rsidRPr="00D93C31">
        <w:rPr>
          <w:rFonts w:ascii="Arial" w:hAnsi="Arial" w:cs="Arial"/>
          <w:sz w:val="20"/>
          <w:szCs w:val="20"/>
        </w:rPr>
        <w:t xml:space="preserve"> oddanih največ naročil blaga (</w:t>
      </w:r>
      <w:r w:rsidR="00AA0EF3" w:rsidRPr="00D93C31">
        <w:rPr>
          <w:rFonts w:ascii="Arial" w:hAnsi="Arial" w:cs="Arial"/>
          <w:sz w:val="20"/>
          <w:szCs w:val="20"/>
        </w:rPr>
        <w:t>10.</w:t>
      </w:r>
      <w:r w:rsidR="009318DA" w:rsidRPr="00D93C31">
        <w:rPr>
          <w:rFonts w:ascii="Arial" w:hAnsi="Arial" w:cs="Arial"/>
          <w:sz w:val="20"/>
          <w:szCs w:val="20"/>
        </w:rPr>
        <w:t>967</w:t>
      </w:r>
      <w:r w:rsidR="00AA0EF3" w:rsidRPr="00D93C31">
        <w:rPr>
          <w:rFonts w:ascii="Arial" w:hAnsi="Arial" w:cs="Arial"/>
          <w:sz w:val="20"/>
          <w:szCs w:val="20"/>
        </w:rPr>
        <w:t xml:space="preserve"> naročil v vrednosti </w:t>
      </w:r>
      <w:r w:rsidR="009318DA" w:rsidRPr="00D93C31">
        <w:rPr>
          <w:rFonts w:ascii="Arial" w:hAnsi="Arial" w:cs="Arial"/>
          <w:sz w:val="20"/>
          <w:szCs w:val="20"/>
        </w:rPr>
        <w:t xml:space="preserve">1.197.625.996 </w:t>
      </w:r>
      <w:r w:rsidRPr="00D93C31">
        <w:rPr>
          <w:rFonts w:ascii="Arial" w:hAnsi="Arial" w:cs="Arial"/>
          <w:sz w:val="20"/>
          <w:szCs w:val="20"/>
        </w:rPr>
        <w:t xml:space="preserve">evrov), </w:t>
      </w:r>
      <w:r w:rsidR="009158AE" w:rsidRPr="00D93C31">
        <w:rPr>
          <w:rFonts w:ascii="Arial" w:hAnsi="Arial" w:cs="Arial"/>
          <w:sz w:val="20"/>
          <w:szCs w:val="20"/>
        </w:rPr>
        <w:t>na drugem mestu so bila</w:t>
      </w:r>
      <w:r w:rsidRPr="00D93C31">
        <w:rPr>
          <w:rFonts w:ascii="Arial" w:hAnsi="Arial" w:cs="Arial"/>
          <w:sz w:val="20"/>
          <w:szCs w:val="20"/>
        </w:rPr>
        <w:t xml:space="preserve"> naročila storitev (3</w:t>
      </w:r>
      <w:r w:rsidR="00D93C31" w:rsidRPr="00D93C31">
        <w:rPr>
          <w:rFonts w:ascii="Arial" w:hAnsi="Arial" w:cs="Arial"/>
          <w:sz w:val="20"/>
          <w:szCs w:val="20"/>
        </w:rPr>
        <w:t>890</w:t>
      </w:r>
      <w:r w:rsidRPr="00D93C31">
        <w:rPr>
          <w:rFonts w:ascii="Arial" w:hAnsi="Arial" w:cs="Arial"/>
          <w:sz w:val="20"/>
          <w:szCs w:val="20"/>
        </w:rPr>
        <w:t xml:space="preserve"> naročil v vrednosti </w:t>
      </w:r>
      <w:r w:rsidR="00D93C31" w:rsidRPr="00D93C31">
        <w:rPr>
          <w:rFonts w:ascii="Arial" w:hAnsi="Arial" w:cs="Arial"/>
          <w:sz w:val="20"/>
          <w:szCs w:val="20"/>
        </w:rPr>
        <w:t xml:space="preserve">763.942.082 </w:t>
      </w:r>
      <w:r w:rsidRPr="00D93C31">
        <w:rPr>
          <w:rFonts w:ascii="Arial" w:hAnsi="Arial" w:cs="Arial"/>
          <w:sz w:val="20"/>
          <w:szCs w:val="20"/>
        </w:rPr>
        <w:t xml:space="preserve">evrov), najmanj </w:t>
      </w:r>
      <w:r w:rsidR="00024A2B" w:rsidRPr="00D93C31">
        <w:rPr>
          <w:rFonts w:ascii="Arial" w:hAnsi="Arial" w:cs="Arial"/>
          <w:sz w:val="20"/>
          <w:szCs w:val="20"/>
        </w:rPr>
        <w:t>pa je bilo naročil gradenj (</w:t>
      </w:r>
      <w:r w:rsidR="00D93C31" w:rsidRPr="00D93C31">
        <w:rPr>
          <w:rFonts w:ascii="Arial" w:hAnsi="Arial" w:cs="Arial"/>
          <w:sz w:val="20"/>
          <w:szCs w:val="20"/>
        </w:rPr>
        <w:t>2008</w:t>
      </w:r>
      <w:r w:rsidRPr="00D93C31">
        <w:rPr>
          <w:rFonts w:ascii="Arial" w:hAnsi="Arial" w:cs="Arial"/>
          <w:sz w:val="20"/>
          <w:szCs w:val="20"/>
        </w:rPr>
        <w:t xml:space="preserve"> naročil v vrednosti </w:t>
      </w:r>
      <w:r w:rsidR="00D93C31" w:rsidRPr="00D93C31">
        <w:rPr>
          <w:rFonts w:ascii="Arial" w:hAnsi="Arial" w:cs="Arial"/>
          <w:sz w:val="20"/>
          <w:szCs w:val="20"/>
        </w:rPr>
        <w:t>957.026.531</w:t>
      </w:r>
      <w:r w:rsidR="005E1EAD">
        <w:rPr>
          <w:rFonts w:ascii="Arial" w:hAnsi="Arial" w:cs="Arial"/>
          <w:sz w:val="20"/>
          <w:szCs w:val="20"/>
        </w:rPr>
        <w:t xml:space="preserve"> </w:t>
      </w:r>
      <w:r w:rsidRPr="00D93C31">
        <w:rPr>
          <w:rFonts w:ascii="Arial" w:hAnsi="Arial" w:cs="Arial"/>
          <w:sz w:val="20"/>
          <w:szCs w:val="20"/>
        </w:rPr>
        <w:t>evrov).</w:t>
      </w:r>
    </w:p>
    <w:p w14:paraId="55F8B38B" w14:textId="6CDEFE48" w:rsidR="00854405" w:rsidRPr="00B4349B" w:rsidRDefault="00854405" w:rsidP="00AA5A3E">
      <w:pPr>
        <w:pStyle w:val="Naslov1"/>
        <w:rPr>
          <w:rFonts w:ascii="Arial" w:hAnsi="Arial" w:cs="Arial"/>
          <w:b/>
          <w:sz w:val="22"/>
          <w:szCs w:val="22"/>
        </w:rPr>
      </w:pPr>
      <w:bookmarkStart w:id="1" w:name="_Toc17114040"/>
      <w:r w:rsidRPr="00B4349B">
        <w:rPr>
          <w:rFonts w:ascii="Arial" w:hAnsi="Arial" w:cs="Arial"/>
          <w:b/>
          <w:sz w:val="22"/>
          <w:szCs w:val="22"/>
        </w:rPr>
        <w:lastRenderedPageBreak/>
        <w:t>1. Splošne ugotovitve</w:t>
      </w:r>
      <w:r w:rsidR="00D41EF5" w:rsidRPr="00B4349B">
        <w:rPr>
          <w:rFonts w:ascii="Arial" w:hAnsi="Arial" w:cs="Arial"/>
          <w:b/>
          <w:sz w:val="22"/>
          <w:szCs w:val="22"/>
        </w:rPr>
        <w:t>,</w:t>
      </w:r>
      <w:r w:rsidRPr="00B4349B">
        <w:rPr>
          <w:rFonts w:ascii="Arial" w:hAnsi="Arial" w:cs="Arial"/>
          <w:b/>
          <w:sz w:val="22"/>
          <w:szCs w:val="22"/>
        </w:rPr>
        <w:t xml:space="preserve"> trendi </w:t>
      </w:r>
      <w:r w:rsidR="00D41EF5" w:rsidRPr="00B4349B">
        <w:rPr>
          <w:rFonts w:ascii="Arial" w:hAnsi="Arial" w:cs="Arial"/>
          <w:b/>
          <w:sz w:val="22"/>
          <w:szCs w:val="22"/>
        </w:rPr>
        <w:t>in</w:t>
      </w:r>
      <w:r w:rsidRPr="00B4349B">
        <w:rPr>
          <w:rFonts w:ascii="Arial" w:hAnsi="Arial" w:cs="Arial"/>
          <w:b/>
          <w:sz w:val="22"/>
          <w:szCs w:val="22"/>
        </w:rPr>
        <w:t xml:space="preserve"> predlogi ukrepov za izboljšanje praks </w:t>
      </w:r>
      <w:r w:rsidR="009158AE" w:rsidRPr="00B4349B">
        <w:rPr>
          <w:rFonts w:ascii="Arial" w:hAnsi="Arial" w:cs="Arial"/>
          <w:b/>
          <w:sz w:val="22"/>
          <w:szCs w:val="22"/>
        </w:rPr>
        <w:t>oziroma</w:t>
      </w:r>
      <w:r w:rsidRPr="00B4349B">
        <w:rPr>
          <w:rFonts w:ascii="Arial" w:hAnsi="Arial" w:cs="Arial"/>
          <w:b/>
          <w:sz w:val="22"/>
          <w:szCs w:val="22"/>
        </w:rPr>
        <w:t xml:space="preserve"> ureditve</w:t>
      </w:r>
      <w:bookmarkEnd w:id="1"/>
    </w:p>
    <w:p w14:paraId="410CBAE1" w14:textId="77777777" w:rsidR="00854405" w:rsidRPr="00B4349B" w:rsidRDefault="00854405" w:rsidP="00854405">
      <w:pPr>
        <w:pStyle w:val="ZADEVA"/>
        <w:jc w:val="both"/>
        <w:rPr>
          <w:rFonts w:cs="Arial"/>
          <w:b w:val="0"/>
          <w:szCs w:val="20"/>
          <w:lang w:val="sl-SI"/>
        </w:rPr>
      </w:pPr>
    </w:p>
    <w:p w14:paraId="58B3E09F" w14:textId="5B85371E" w:rsidR="00492D1B" w:rsidRPr="00B4349B" w:rsidRDefault="00492D1B" w:rsidP="00492D1B">
      <w:pPr>
        <w:spacing w:line="360" w:lineRule="auto"/>
        <w:jc w:val="both"/>
        <w:rPr>
          <w:rFonts w:ascii="Arial" w:hAnsi="Arial" w:cs="Arial"/>
          <w:sz w:val="20"/>
          <w:szCs w:val="20"/>
        </w:rPr>
      </w:pPr>
      <w:r w:rsidRPr="00B4349B">
        <w:rPr>
          <w:rFonts w:ascii="Arial" w:hAnsi="Arial" w:cs="Arial"/>
          <w:sz w:val="20"/>
          <w:szCs w:val="20"/>
        </w:rPr>
        <w:t xml:space="preserve">Iz obvestil o oddaji javnih naročil, objavljenih na portalu javnih naročil oziroma v Uradnem listu Evropske unije, in iz sporočenih statističnih podatkov o evidenčnih naročilih izhaja, da je </w:t>
      </w:r>
      <w:r w:rsidR="005E1EAD" w:rsidRPr="00B4349B">
        <w:rPr>
          <w:rFonts w:ascii="Arial" w:hAnsi="Arial" w:cs="Arial"/>
          <w:sz w:val="20"/>
          <w:szCs w:val="20"/>
        </w:rPr>
        <w:t>let</w:t>
      </w:r>
      <w:r w:rsidR="005E1EAD">
        <w:rPr>
          <w:rFonts w:ascii="Arial" w:hAnsi="Arial" w:cs="Arial"/>
          <w:sz w:val="20"/>
          <w:szCs w:val="20"/>
        </w:rPr>
        <w:t>a</w:t>
      </w:r>
      <w:r w:rsidR="005E1EAD" w:rsidRPr="00B4349B">
        <w:rPr>
          <w:rFonts w:ascii="Arial" w:hAnsi="Arial" w:cs="Arial"/>
          <w:sz w:val="20"/>
          <w:szCs w:val="20"/>
        </w:rPr>
        <w:t xml:space="preserve"> </w:t>
      </w:r>
      <w:r w:rsidRPr="00B4349B">
        <w:rPr>
          <w:rFonts w:ascii="Arial" w:hAnsi="Arial" w:cs="Arial"/>
          <w:sz w:val="20"/>
          <w:szCs w:val="20"/>
        </w:rPr>
        <w:t>2018 javna naročila oddalo 20</w:t>
      </w:r>
      <w:r>
        <w:rPr>
          <w:rFonts w:ascii="Arial" w:hAnsi="Arial" w:cs="Arial"/>
          <w:sz w:val="20"/>
          <w:szCs w:val="20"/>
        </w:rPr>
        <w:t>99</w:t>
      </w:r>
      <w:r w:rsidRPr="00B4349B">
        <w:rPr>
          <w:rFonts w:ascii="Arial" w:hAnsi="Arial" w:cs="Arial"/>
          <w:sz w:val="20"/>
          <w:szCs w:val="20"/>
        </w:rPr>
        <w:t xml:space="preserve"> </w:t>
      </w:r>
      <w:r w:rsidRPr="0096056E">
        <w:rPr>
          <w:rFonts w:ascii="Arial" w:hAnsi="Arial" w:cs="Arial"/>
          <w:sz w:val="20"/>
          <w:szCs w:val="20"/>
        </w:rPr>
        <w:t>naročnikov.</w:t>
      </w:r>
    </w:p>
    <w:p w14:paraId="07BD21D6" w14:textId="0A8A911B" w:rsidR="00492D1B" w:rsidRPr="00370274" w:rsidRDefault="0085675B" w:rsidP="00492D1B">
      <w:pPr>
        <w:tabs>
          <w:tab w:val="left" w:pos="567"/>
          <w:tab w:val="left" w:pos="993"/>
        </w:tabs>
        <w:spacing w:line="360" w:lineRule="auto"/>
        <w:jc w:val="both"/>
        <w:rPr>
          <w:rFonts w:ascii="Arial" w:hAnsi="Arial" w:cs="Arial"/>
          <w:color w:val="000000" w:themeColor="text1"/>
          <w:sz w:val="20"/>
          <w:szCs w:val="20"/>
        </w:rPr>
      </w:pPr>
      <w:r>
        <w:rPr>
          <w:rFonts w:ascii="Arial" w:hAnsi="Arial" w:cs="Arial"/>
          <w:sz w:val="20"/>
          <w:szCs w:val="20"/>
        </w:rPr>
        <w:t>Leta</w:t>
      </w:r>
      <w:r w:rsidR="00492D1B" w:rsidRPr="00E66DE5">
        <w:rPr>
          <w:rFonts w:ascii="Arial" w:hAnsi="Arial" w:cs="Arial"/>
          <w:sz w:val="20"/>
          <w:szCs w:val="20"/>
        </w:rPr>
        <w:t xml:space="preserve"> 201</w:t>
      </w:r>
      <w:r w:rsidR="009915D1">
        <w:rPr>
          <w:rFonts w:ascii="Arial" w:hAnsi="Arial" w:cs="Arial"/>
          <w:sz w:val="20"/>
          <w:szCs w:val="20"/>
        </w:rPr>
        <w:t>8</w:t>
      </w:r>
      <w:r w:rsidR="00492D1B" w:rsidRPr="00E66DE5">
        <w:rPr>
          <w:rFonts w:ascii="Arial" w:hAnsi="Arial" w:cs="Arial"/>
          <w:sz w:val="20"/>
          <w:szCs w:val="20"/>
        </w:rPr>
        <w:t xml:space="preserve"> je razvid</w:t>
      </w:r>
      <w:r w:rsidR="009915D1">
        <w:rPr>
          <w:rFonts w:ascii="Arial" w:hAnsi="Arial" w:cs="Arial"/>
          <w:sz w:val="20"/>
          <w:szCs w:val="20"/>
        </w:rPr>
        <w:t>e</w:t>
      </w:r>
      <w:r w:rsidR="00492D1B" w:rsidRPr="00E66DE5">
        <w:rPr>
          <w:rFonts w:ascii="Arial" w:hAnsi="Arial" w:cs="Arial"/>
          <w:sz w:val="20"/>
          <w:szCs w:val="20"/>
        </w:rPr>
        <w:t xml:space="preserve">n </w:t>
      </w:r>
      <w:r w:rsidR="009915D1">
        <w:rPr>
          <w:rFonts w:ascii="Arial" w:hAnsi="Arial" w:cs="Arial"/>
          <w:sz w:val="20"/>
          <w:szCs w:val="20"/>
        </w:rPr>
        <w:t>upad</w:t>
      </w:r>
      <w:r w:rsidR="00492D1B" w:rsidRPr="00E66DE5">
        <w:rPr>
          <w:rFonts w:ascii="Arial" w:hAnsi="Arial" w:cs="Arial"/>
          <w:sz w:val="20"/>
          <w:szCs w:val="20"/>
        </w:rPr>
        <w:t xml:space="preserve"> deleža javnih naročil v BDP</w:t>
      </w:r>
      <w:r w:rsidR="00A352D4">
        <w:rPr>
          <w:rFonts w:ascii="Arial" w:hAnsi="Arial" w:cs="Arial"/>
          <w:sz w:val="20"/>
          <w:szCs w:val="20"/>
        </w:rPr>
        <w:t xml:space="preserve"> v primerjavi z letom 2017 za 0,97 odstotne točke</w:t>
      </w:r>
      <w:r w:rsidR="00492D1B" w:rsidRPr="00370274">
        <w:rPr>
          <w:rFonts w:ascii="Arial" w:hAnsi="Arial" w:cs="Arial"/>
          <w:color w:val="000000" w:themeColor="text1"/>
          <w:sz w:val="20"/>
          <w:szCs w:val="20"/>
        </w:rPr>
        <w:t>.</w:t>
      </w:r>
    </w:p>
    <w:p w14:paraId="7DC7BBB2" w14:textId="6EDE417F" w:rsidR="00492D1B" w:rsidRPr="00A73E5C" w:rsidRDefault="00492D1B" w:rsidP="00492D1B">
      <w:pPr>
        <w:tabs>
          <w:tab w:val="left" w:pos="567"/>
          <w:tab w:val="left" w:pos="993"/>
        </w:tabs>
        <w:spacing w:line="360" w:lineRule="auto"/>
        <w:jc w:val="both"/>
        <w:rPr>
          <w:rFonts w:ascii="Arial" w:hAnsi="Arial" w:cs="Arial"/>
          <w:bCs/>
          <w:sz w:val="20"/>
          <w:szCs w:val="20"/>
        </w:rPr>
      </w:pPr>
      <w:r w:rsidRPr="006128C0">
        <w:rPr>
          <w:rFonts w:ascii="Arial" w:hAnsi="Arial" w:cs="Arial"/>
          <w:bCs/>
          <w:sz w:val="20"/>
          <w:szCs w:val="20"/>
        </w:rPr>
        <w:t xml:space="preserve">Glede na vrednost vseh oddanih naročil se je vrednost tistih, ki jih je treba objaviti </w:t>
      </w:r>
      <w:r w:rsidRPr="006128C0">
        <w:rPr>
          <w:rFonts w:ascii="Arial" w:hAnsi="Arial" w:cs="Arial"/>
          <w:sz w:val="20"/>
          <w:szCs w:val="20"/>
          <w:lang w:eastAsia="sl-SI"/>
        </w:rPr>
        <w:t>na portalu javnih naročil oziroma</w:t>
      </w:r>
      <w:r w:rsidRPr="006128C0">
        <w:rPr>
          <w:rFonts w:ascii="Arial" w:hAnsi="Arial" w:cs="Arial"/>
          <w:bCs/>
          <w:sz w:val="20"/>
          <w:szCs w:val="20"/>
        </w:rPr>
        <w:t xml:space="preserve"> v Uradnem listu Evropske unije, v primerjavi z letom 2017 let</w:t>
      </w:r>
      <w:r w:rsidR="005E1EAD">
        <w:rPr>
          <w:rFonts w:ascii="Arial" w:hAnsi="Arial" w:cs="Arial"/>
          <w:bCs/>
          <w:sz w:val="20"/>
          <w:szCs w:val="20"/>
        </w:rPr>
        <w:t>a</w:t>
      </w:r>
      <w:r w:rsidRPr="006128C0">
        <w:rPr>
          <w:rFonts w:ascii="Arial" w:hAnsi="Arial" w:cs="Arial"/>
          <w:bCs/>
          <w:sz w:val="20"/>
          <w:szCs w:val="20"/>
        </w:rPr>
        <w:t xml:space="preserve"> 2018 </w:t>
      </w:r>
      <w:r w:rsidRPr="00067846">
        <w:rPr>
          <w:rFonts w:ascii="Arial" w:hAnsi="Arial" w:cs="Arial"/>
          <w:bCs/>
          <w:sz w:val="20"/>
          <w:szCs w:val="20"/>
        </w:rPr>
        <w:t>zmanjšala za 5,19</w:t>
      </w:r>
      <w:r w:rsidR="00745D4D">
        <w:rPr>
          <w:rFonts w:ascii="Arial" w:hAnsi="Arial" w:cs="Arial"/>
          <w:bCs/>
          <w:sz w:val="20"/>
          <w:szCs w:val="20"/>
        </w:rPr>
        <w:t> </w:t>
      </w:r>
      <w:r w:rsidRPr="00067846">
        <w:rPr>
          <w:rFonts w:ascii="Arial" w:hAnsi="Arial" w:cs="Arial"/>
          <w:bCs/>
          <w:sz w:val="20"/>
          <w:szCs w:val="20"/>
        </w:rPr>
        <w:t>%, povečalo pa se je število izvedenih postopkov javnega naročanja, in sicer za 5,33 %.</w:t>
      </w:r>
      <w:r w:rsidRPr="00A73E5C">
        <w:rPr>
          <w:rFonts w:ascii="Arial" w:hAnsi="Arial" w:cs="Arial"/>
          <w:bCs/>
          <w:sz w:val="20"/>
          <w:szCs w:val="20"/>
        </w:rPr>
        <w:t xml:space="preserve"> </w:t>
      </w:r>
    </w:p>
    <w:p w14:paraId="72789B44" w14:textId="580C9E57" w:rsidR="00492D1B" w:rsidRDefault="00492D1B" w:rsidP="00492D1B">
      <w:pPr>
        <w:tabs>
          <w:tab w:val="left" w:pos="567"/>
          <w:tab w:val="left" w:pos="993"/>
        </w:tabs>
        <w:spacing w:line="360" w:lineRule="auto"/>
        <w:jc w:val="both"/>
        <w:rPr>
          <w:rFonts w:ascii="Arial" w:hAnsi="Arial" w:cs="Arial"/>
          <w:bCs/>
          <w:sz w:val="20"/>
          <w:szCs w:val="20"/>
        </w:rPr>
      </w:pPr>
      <w:r w:rsidRPr="00D252D7">
        <w:rPr>
          <w:rFonts w:ascii="Arial" w:hAnsi="Arial" w:cs="Arial"/>
          <w:bCs/>
          <w:sz w:val="20"/>
          <w:szCs w:val="20"/>
        </w:rPr>
        <w:t>Število evidenčnih naročil se je v primerjavi z letom 2017 povečalo za dober</w:t>
      </w:r>
      <w:r>
        <w:rPr>
          <w:rFonts w:ascii="Arial" w:hAnsi="Arial" w:cs="Arial"/>
          <w:bCs/>
          <w:sz w:val="20"/>
          <w:szCs w:val="20"/>
        </w:rPr>
        <w:t xml:space="preserve"> odstotek</w:t>
      </w:r>
      <w:r w:rsidRPr="00881899">
        <w:rPr>
          <w:rFonts w:ascii="Arial" w:hAnsi="Arial" w:cs="Arial"/>
          <w:bCs/>
          <w:sz w:val="20"/>
          <w:szCs w:val="20"/>
        </w:rPr>
        <w:t>, skupna vrednost evidenčnih naročil se je povečala za dobre tri odstotne točke</w:t>
      </w:r>
      <w:r>
        <w:rPr>
          <w:rFonts w:ascii="Arial" w:hAnsi="Arial" w:cs="Arial"/>
          <w:bCs/>
          <w:sz w:val="20"/>
          <w:szCs w:val="20"/>
        </w:rPr>
        <w:t>,</w:t>
      </w:r>
      <w:r w:rsidRPr="00881899">
        <w:rPr>
          <w:rFonts w:ascii="Arial" w:hAnsi="Arial" w:cs="Arial"/>
          <w:bCs/>
          <w:sz w:val="20"/>
          <w:szCs w:val="20"/>
        </w:rPr>
        <w:t xml:space="preserve"> </w:t>
      </w:r>
      <w:r w:rsidRPr="006E4AF9">
        <w:rPr>
          <w:rFonts w:ascii="Arial" w:hAnsi="Arial" w:cs="Arial"/>
          <w:bCs/>
          <w:sz w:val="20"/>
          <w:szCs w:val="20"/>
        </w:rPr>
        <w:t>povprečna vrednost evidenčnega naročila pa za slabi dve odstotni točki.</w:t>
      </w:r>
      <w:r>
        <w:rPr>
          <w:rFonts w:ascii="Arial" w:hAnsi="Arial" w:cs="Arial"/>
          <w:bCs/>
          <w:sz w:val="20"/>
          <w:szCs w:val="20"/>
        </w:rPr>
        <w:t xml:space="preserve"> </w:t>
      </w:r>
    </w:p>
    <w:p w14:paraId="17E9666F" w14:textId="28097064" w:rsidR="00492D1B" w:rsidRPr="00D72C95" w:rsidRDefault="005E1EAD" w:rsidP="00492D1B">
      <w:pPr>
        <w:tabs>
          <w:tab w:val="left" w:pos="567"/>
          <w:tab w:val="left" w:pos="993"/>
        </w:tabs>
        <w:spacing w:line="360" w:lineRule="auto"/>
        <w:jc w:val="both"/>
        <w:rPr>
          <w:rFonts w:ascii="Arial" w:hAnsi="Arial" w:cs="Arial"/>
          <w:bCs/>
          <w:sz w:val="20"/>
          <w:szCs w:val="20"/>
        </w:rPr>
      </w:pPr>
      <w:r>
        <w:rPr>
          <w:rFonts w:ascii="Arial" w:hAnsi="Arial" w:cs="Arial"/>
          <w:bCs/>
          <w:sz w:val="20"/>
          <w:szCs w:val="20"/>
        </w:rPr>
        <w:t>Leta</w:t>
      </w:r>
      <w:r w:rsidR="00492D1B" w:rsidRPr="00D72C95">
        <w:rPr>
          <w:rFonts w:ascii="Arial" w:hAnsi="Arial" w:cs="Arial"/>
          <w:bCs/>
          <w:sz w:val="20"/>
          <w:szCs w:val="20"/>
        </w:rPr>
        <w:t xml:space="preserve"> 2018 so naročniki na podlagi sklenjenih okvirnih sporazumov oddali za 697.830.714 evrov posameznih naročil. Drugače kakor v preteklih letih je bilo let</w:t>
      </w:r>
      <w:r>
        <w:rPr>
          <w:rFonts w:ascii="Arial" w:hAnsi="Arial" w:cs="Arial"/>
          <w:bCs/>
          <w:sz w:val="20"/>
          <w:szCs w:val="20"/>
        </w:rPr>
        <w:t>a</w:t>
      </w:r>
      <w:r w:rsidR="00492D1B" w:rsidRPr="00D72C95">
        <w:rPr>
          <w:rFonts w:ascii="Arial" w:hAnsi="Arial" w:cs="Arial"/>
          <w:bCs/>
          <w:sz w:val="20"/>
          <w:szCs w:val="20"/>
        </w:rPr>
        <w:t xml:space="preserve"> 2018 tovrstnih naročil več, saj je bilo </w:t>
      </w:r>
      <w:r>
        <w:rPr>
          <w:rFonts w:ascii="Arial" w:hAnsi="Arial" w:cs="Arial"/>
          <w:bCs/>
          <w:sz w:val="20"/>
          <w:szCs w:val="20"/>
        </w:rPr>
        <w:t>leta</w:t>
      </w:r>
      <w:r w:rsidR="00492D1B" w:rsidRPr="00D72C95">
        <w:rPr>
          <w:rFonts w:ascii="Arial" w:hAnsi="Arial" w:cs="Arial"/>
          <w:bCs/>
          <w:sz w:val="20"/>
          <w:szCs w:val="20"/>
        </w:rPr>
        <w:t xml:space="preserve"> 2017 na podlagi sklenjenih okvirnih sporazumov oddanih za 484.721.704 evrov naročil.</w:t>
      </w:r>
    </w:p>
    <w:p w14:paraId="700B64FF" w14:textId="1F280767" w:rsidR="00492D1B" w:rsidRPr="00480CBA" w:rsidRDefault="005E1EAD" w:rsidP="00492D1B">
      <w:pPr>
        <w:spacing w:line="360" w:lineRule="auto"/>
        <w:jc w:val="both"/>
        <w:rPr>
          <w:rFonts w:ascii="Arial" w:hAnsi="Arial" w:cs="Arial"/>
          <w:sz w:val="20"/>
          <w:szCs w:val="20"/>
          <w:lang w:eastAsia="sl-SI"/>
        </w:rPr>
      </w:pPr>
      <w:r>
        <w:rPr>
          <w:rFonts w:ascii="Arial" w:hAnsi="Arial" w:cs="Arial"/>
          <w:sz w:val="20"/>
          <w:szCs w:val="20"/>
          <w:lang w:eastAsia="sl-SI"/>
        </w:rPr>
        <w:t>Leta</w:t>
      </w:r>
      <w:r w:rsidR="00492D1B" w:rsidRPr="00A66FBE">
        <w:rPr>
          <w:rFonts w:ascii="Arial" w:hAnsi="Arial" w:cs="Arial"/>
          <w:sz w:val="20"/>
          <w:szCs w:val="20"/>
          <w:lang w:eastAsia="sl-SI"/>
        </w:rPr>
        <w:t xml:space="preserve"> 2018 so se pogodbene vrednosti pri javnih naročilih, (so)financiranih s sredstvi Evropske unije, </w:t>
      </w:r>
      <w:r w:rsidR="00492D1B">
        <w:rPr>
          <w:rFonts w:ascii="Arial" w:hAnsi="Arial" w:cs="Arial"/>
          <w:sz w:val="20"/>
          <w:szCs w:val="20"/>
          <w:lang w:eastAsia="sl-SI"/>
        </w:rPr>
        <w:t xml:space="preserve">še </w:t>
      </w:r>
      <w:r w:rsidR="00492D1B" w:rsidRPr="00A66FBE">
        <w:rPr>
          <w:rFonts w:ascii="Arial" w:hAnsi="Arial" w:cs="Arial"/>
          <w:sz w:val="20"/>
          <w:szCs w:val="20"/>
          <w:lang w:eastAsia="sl-SI"/>
        </w:rPr>
        <w:t>povečale</w:t>
      </w:r>
      <w:r w:rsidR="00492D1B">
        <w:rPr>
          <w:rFonts w:ascii="Arial" w:hAnsi="Arial" w:cs="Arial"/>
          <w:sz w:val="20"/>
          <w:szCs w:val="20"/>
          <w:lang w:eastAsia="sl-SI"/>
        </w:rPr>
        <w:t xml:space="preserve"> v primerjavi z letom 2017</w:t>
      </w:r>
      <w:r w:rsidR="00492D1B" w:rsidRPr="00A66FBE">
        <w:rPr>
          <w:rFonts w:ascii="Arial" w:hAnsi="Arial" w:cs="Arial"/>
          <w:sz w:val="20"/>
          <w:szCs w:val="20"/>
          <w:lang w:eastAsia="sl-SI"/>
        </w:rPr>
        <w:t>, kar je bilo v</w:t>
      </w:r>
      <w:r w:rsidR="00FA0EF9">
        <w:rPr>
          <w:rFonts w:ascii="Arial" w:hAnsi="Arial" w:cs="Arial"/>
          <w:sz w:val="20"/>
          <w:szCs w:val="20"/>
          <w:lang w:eastAsia="sl-SI"/>
        </w:rPr>
        <w:t xml:space="preserve"> </w:t>
      </w:r>
      <w:r w:rsidR="00492D1B" w:rsidRPr="00A66FBE">
        <w:rPr>
          <w:rFonts w:ascii="Arial" w:hAnsi="Arial" w:cs="Arial"/>
          <w:sz w:val="20"/>
          <w:szCs w:val="20"/>
          <w:lang w:eastAsia="sl-SI"/>
        </w:rPr>
        <w:t>novem finančnem obdobju tudi pričakovano</w:t>
      </w:r>
      <w:r w:rsidR="00492D1B" w:rsidRPr="00480CBA">
        <w:rPr>
          <w:rFonts w:ascii="Arial" w:hAnsi="Arial" w:cs="Arial"/>
          <w:sz w:val="20"/>
          <w:szCs w:val="20"/>
          <w:lang w:eastAsia="sl-SI"/>
        </w:rPr>
        <w:t xml:space="preserve">. </w:t>
      </w:r>
      <w:r>
        <w:rPr>
          <w:rFonts w:ascii="Arial" w:hAnsi="Arial" w:cs="Arial"/>
          <w:sz w:val="20"/>
          <w:szCs w:val="20"/>
          <w:lang w:eastAsia="sl-SI"/>
        </w:rPr>
        <w:t>Leta</w:t>
      </w:r>
      <w:r w:rsidR="00492D1B" w:rsidRPr="00480CBA">
        <w:rPr>
          <w:rFonts w:ascii="Arial" w:hAnsi="Arial" w:cs="Arial"/>
          <w:sz w:val="20"/>
          <w:szCs w:val="20"/>
          <w:lang w:eastAsia="sl-SI"/>
        </w:rPr>
        <w:t xml:space="preserve"> 2016 se je namreč nadaljeval trend upadanja pogodbene vrednosti javnih naročil, (so)financiranih s sredstvi Evropske unije, ki se je začel leta 2014. Glede na vrednost oddanih javnih naročil, </w:t>
      </w:r>
      <w:r w:rsidR="00492D1B" w:rsidRPr="00480CBA">
        <w:rPr>
          <w:rFonts w:ascii="Arial" w:hAnsi="Arial" w:cs="Arial"/>
          <w:sz w:val="20"/>
          <w:szCs w:val="20"/>
        </w:rPr>
        <w:t>(so)financiranih s sredstvi Evropske unije v posameznem letu</w:t>
      </w:r>
      <w:r w:rsidR="00492D1B" w:rsidRPr="00480CBA">
        <w:rPr>
          <w:rFonts w:ascii="Arial" w:hAnsi="Arial" w:cs="Arial"/>
          <w:sz w:val="20"/>
          <w:szCs w:val="20"/>
          <w:lang w:eastAsia="sl-SI"/>
        </w:rPr>
        <w:t xml:space="preserve">, je mogoče sklepati, da so naročniki v letih 2012, 2013 in 2014 oddali javna naročila v večji vrednosti, ker se je </w:t>
      </w:r>
      <w:r w:rsidRPr="00480CBA">
        <w:rPr>
          <w:rFonts w:ascii="Arial" w:hAnsi="Arial" w:cs="Arial"/>
          <w:sz w:val="20"/>
          <w:szCs w:val="20"/>
          <w:lang w:eastAsia="sl-SI"/>
        </w:rPr>
        <w:t>let</w:t>
      </w:r>
      <w:r>
        <w:rPr>
          <w:rFonts w:ascii="Arial" w:hAnsi="Arial" w:cs="Arial"/>
          <w:sz w:val="20"/>
          <w:szCs w:val="20"/>
          <w:lang w:eastAsia="sl-SI"/>
        </w:rPr>
        <w:t>a</w:t>
      </w:r>
      <w:r w:rsidRPr="00480CBA">
        <w:rPr>
          <w:rFonts w:ascii="Arial" w:hAnsi="Arial" w:cs="Arial"/>
          <w:sz w:val="20"/>
          <w:szCs w:val="20"/>
          <w:lang w:eastAsia="sl-SI"/>
        </w:rPr>
        <w:t xml:space="preserve"> </w:t>
      </w:r>
      <w:r w:rsidR="00492D1B" w:rsidRPr="00480CBA">
        <w:rPr>
          <w:rFonts w:ascii="Arial" w:hAnsi="Arial" w:cs="Arial"/>
          <w:sz w:val="20"/>
          <w:szCs w:val="20"/>
          <w:lang w:eastAsia="sl-SI"/>
        </w:rPr>
        <w:t xml:space="preserve">2015 končeval večletni finančni okvir Evropske unije in je bilo treba vse postopke oddaje javnih naročil izvesti pravočasno, da so bili projekti pravočasno končani in naročniki upravičeni do črpanja evropskih sredstev. </w:t>
      </w:r>
    </w:p>
    <w:p w14:paraId="002E7F14" w14:textId="6511264B" w:rsidR="00492D1B" w:rsidRPr="008509C0" w:rsidRDefault="00492D1B" w:rsidP="00492D1B">
      <w:pPr>
        <w:tabs>
          <w:tab w:val="left" w:pos="567"/>
          <w:tab w:val="left" w:pos="993"/>
        </w:tabs>
        <w:spacing w:line="360" w:lineRule="auto"/>
        <w:jc w:val="both"/>
        <w:rPr>
          <w:rFonts w:ascii="Arial" w:hAnsi="Arial" w:cs="Arial"/>
          <w:bCs/>
          <w:sz w:val="20"/>
          <w:szCs w:val="20"/>
        </w:rPr>
      </w:pPr>
      <w:r w:rsidRPr="008509C0">
        <w:rPr>
          <w:rFonts w:ascii="Arial" w:hAnsi="Arial" w:cs="Arial"/>
          <w:bCs/>
          <w:sz w:val="20"/>
          <w:szCs w:val="20"/>
        </w:rPr>
        <w:t xml:space="preserve">V primerjavi z letoma 2016 in 2017 se je ohranil vrstni red </w:t>
      </w:r>
      <w:r>
        <w:rPr>
          <w:rFonts w:ascii="Arial" w:hAnsi="Arial" w:cs="Arial"/>
          <w:bCs/>
          <w:sz w:val="20"/>
          <w:szCs w:val="20"/>
        </w:rPr>
        <w:t xml:space="preserve">glede na </w:t>
      </w:r>
      <w:r w:rsidRPr="008509C0">
        <w:rPr>
          <w:rFonts w:ascii="Arial" w:hAnsi="Arial" w:cs="Arial"/>
          <w:bCs/>
          <w:sz w:val="20"/>
          <w:szCs w:val="20"/>
        </w:rPr>
        <w:t xml:space="preserve">predmet javnega naročanja, saj je bilo </w:t>
      </w:r>
      <w:r w:rsidR="005E1EAD">
        <w:rPr>
          <w:rFonts w:ascii="Arial" w:hAnsi="Arial" w:cs="Arial"/>
          <w:bCs/>
          <w:sz w:val="20"/>
          <w:szCs w:val="20"/>
        </w:rPr>
        <w:t>leta</w:t>
      </w:r>
      <w:r w:rsidRPr="008509C0">
        <w:rPr>
          <w:rFonts w:ascii="Arial" w:hAnsi="Arial" w:cs="Arial"/>
          <w:bCs/>
          <w:sz w:val="20"/>
          <w:szCs w:val="20"/>
        </w:rPr>
        <w:t xml:space="preserve"> 2018 največ naročil blaga, nato naročil storitev, najmanj pa naročil gradenj, </w:t>
      </w:r>
      <w:r w:rsidR="005E1EAD">
        <w:rPr>
          <w:rFonts w:ascii="Arial" w:hAnsi="Arial" w:cs="Arial"/>
          <w:bCs/>
          <w:sz w:val="20"/>
          <w:szCs w:val="20"/>
        </w:rPr>
        <w:t>leta</w:t>
      </w:r>
      <w:r w:rsidRPr="008509C0">
        <w:rPr>
          <w:rFonts w:ascii="Arial" w:hAnsi="Arial" w:cs="Arial"/>
          <w:bCs/>
          <w:sz w:val="20"/>
          <w:szCs w:val="20"/>
        </w:rPr>
        <w:t xml:space="preserve"> 2015 </w:t>
      </w:r>
      <w:r w:rsidR="00323C87">
        <w:rPr>
          <w:rFonts w:ascii="Arial" w:hAnsi="Arial" w:cs="Arial"/>
          <w:bCs/>
          <w:sz w:val="20"/>
          <w:szCs w:val="20"/>
        </w:rPr>
        <w:t xml:space="preserve">pa je bilo </w:t>
      </w:r>
      <w:r w:rsidRPr="008509C0">
        <w:rPr>
          <w:rFonts w:ascii="Arial" w:hAnsi="Arial" w:cs="Arial"/>
          <w:bCs/>
          <w:sz w:val="20"/>
          <w:szCs w:val="20"/>
        </w:rPr>
        <w:t xml:space="preserve">največ naročil storitev, najmanj pa gradenj. Glede na vrednost oddanih naročil pa se je </w:t>
      </w:r>
      <w:r w:rsidR="005E1EAD">
        <w:rPr>
          <w:rFonts w:ascii="Arial" w:hAnsi="Arial" w:cs="Arial"/>
          <w:bCs/>
          <w:sz w:val="20"/>
          <w:szCs w:val="20"/>
        </w:rPr>
        <w:t>leta</w:t>
      </w:r>
      <w:r w:rsidRPr="008509C0">
        <w:rPr>
          <w:rFonts w:ascii="Arial" w:hAnsi="Arial" w:cs="Arial"/>
          <w:bCs/>
          <w:sz w:val="20"/>
          <w:szCs w:val="20"/>
        </w:rPr>
        <w:t xml:space="preserve"> 2018 v primerjavi z letom 2017 vrstni red obrnil. </w:t>
      </w:r>
      <w:r w:rsidR="005E1EAD">
        <w:rPr>
          <w:rFonts w:ascii="Arial" w:hAnsi="Arial" w:cs="Arial"/>
          <w:bCs/>
          <w:sz w:val="20"/>
          <w:szCs w:val="20"/>
        </w:rPr>
        <w:t>Leta</w:t>
      </w:r>
      <w:r w:rsidRPr="008509C0">
        <w:rPr>
          <w:rFonts w:ascii="Arial" w:hAnsi="Arial" w:cs="Arial"/>
          <w:bCs/>
          <w:sz w:val="20"/>
          <w:szCs w:val="20"/>
        </w:rPr>
        <w:t xml:space="preserve"> 2017 se je vrednostno naročalo največ blaga in najmanj gradenj, </w:t>
      </w:r>
      <w:r w:rsidR="005E1EAD">
        <w:rPr>
          <w:rFonts w:ascii="Arial" w:hAnsi="Arial" w:cs="Arial"/>
          <w:bCs/>
          <w:sz w:val="20"/>
          <w:szCs w:val="20"/>
        </w:rPr>
        <w:t>leta</w:t>
      </w:r>
      <w:r w:rsidRPr="008509C0">
        <w:rPr>
          <w:rFonts w:ascii="Arial" w:hAnsi="Arial" w:cs="Arial"/>
          <w:bCs/>
          <w:sz w:val="20"/>
          <w:szCs w:val="20"/>
        </w:rPr>
        <w:t xml:space="preserve"> 2018 </w:t>
      </w:r>
      <w:r w:rsidR="00323C87">
        <w:rPr>
          <w:rFonts w:ascii="Arial" w:hAnsi="Arial" w:cs="Arial"/>
          <w:bCs/>
          <w:sz w:val="20"/>
          <w:szCs w:val="20"/>
        </w:rPr>
        <w:t xml:space="preserve">pa </w:t>
      </w:r>
      <w:r w:rsidRPr="008509C0">
        <w:rPr>
          <w:rFonts w:ascii="Arial" w:hAnsi="Arial" w:cs="Arial"/>
          <w:bCs/>
          <w:sz w:val="20"/>
          <w:szCs w:val="20"/>
        </w:rPr>
        <w:t>vrednostno največ blaga in najmanj storitev.</w:t>
      </w:r>
    </w:p>
    <w:p w14:paraId="12CDE03C" w14:textId="0BDAAEF3" w:rsidR="00492D1B" w:rsidRDefault="00492D1B" w:rsidP="00492D1B">
      <w:pPr>
        <w:tabs>
          <w:tab w:val="left" w:pos="567"/>
          <w:tab w:val="left" w:pos="993"/>
        </w:tabs>
        <w:spacing w:line="360" w:lineRule="auto"/>
        <w:jc w:val="both"/>
        <w:rPr>
          <w:rFonts w:ascii="Arial" w:hAnsi="Arial" w:cs="Arial"/>
          <w:bCs/>
          <w:sz w:val="20"/>
          <w:szCs w:val="20"/>
        </w:rPr>
      </w:pPr>
      <w:r w:rsidRPr="00F245FD">
        <w:rPr>
          <w:rFonts w:ascii="Arial" w:hAnsi="Arial" w:cs="Arial"/>
          <w:bCs/>
          <w:sz w:val="20"/>
          <w:szCs w:val="20"/>
        </w:rPr>
        <w:t xml:space="preserve">V primerjavi s preteklimi leti so naročniki tudi </w:t>
      </w:r>
      <w:r w:rsidR="005E1EAD">
        <w:rPr>
          <w:rFonts w:ascii="Arial" w:hAnsi="Arial" w:cs="Arial"/>
          <w:bCs/>
          <w:sz w:val="20"/>
          <w:szCs w:val="20"/>
        </w:rPr>
        <w:t>leta</w:t>
      </w:r>
      <w:r w:rsidRPr="00F245FD">
        <w:rPr>
          <w:rFonts w:ascii="Arial" w:hAnsi="Arial" w:cs="Arial"/>
          <w:bCs/>
          <w:sz w:val="20"/>
          <w:szCs w:val="20"/>
        </w:rPr>
        <w:t xml:space="preserve"> 201</w:t>
      </w:r>
      <w:r>
        <w:rPr>
          <w:rFonts w:ascii="Arial" w:hAnsi="Arial" w:cs="Arial"/>
          <w:bCs/>
          <w:sz w:val="20"/>
          <w:szCs w:val="20"/>
        </w:rPr>
        <w:t>8</w:t>
      </w:r>
      <w:r w:rsidRPr="00F245FD">
        <w:rPr>
          <w:rFonts w:ascii="Arial" w:hAnsi="Arial" w:cs="Arial"/>
          <w:bCs/>
          <w:sz w:val="20"/>
          <w:szCs w:val="20"/>
        </w:rPr>
        <w:t xml:space="preserve"> najpogosteje izvedli postopek oddaje naročila male vrednosti, in sicer 4139-krat oziroma v 61,42 %, delež tega postopka pa se je v primerjavi s preteklim letom povečal za 1,35</w:t>
      </w:r>
      <w:r w:rsidR="005E1EAD">
        <w:rPr>
          <w:rFonts w:ascii="Arial" w:hAnsi="Arial" w:cs="Arial"/>
          <w:bCs/>
          <w:sz w:val="20"/>
          <w:szCs w:val="20"/>
        </w:rPr>
        <w:t xml:space="preserve"> </w:t>
      </w:r>
      <w:r w:rsidRPr="00F245FD">
        <w:rPr>
          <w:rFonts w:ascii="Arial" w:hAnsi="Arial" w:cs="Arial"/>
          <w:bCs/>
          <w:sz w:val="20"/>
          <w:szCs w:val="20"/>
        </w:rPr>
        <w:t>odstotne točke</w:t>
      </w:r>
      <w:r w:rsidRPr="00254CE9">
        <w:rPr>
          <w:rFonts w:ascii="Arial" w:hAnsi="Arial" w:cs="Arial"/>
          <w:bCs/>
          <w:sz w:val="20"/>
          <w:szCs w:val="20"/>
        </w:rPr>
        <w:t xml:space="preserve">. Glede na leto 2017 se je za 0,98 odstotne točke zmanjšal delež odprtih postopkov, to je bil </w:t>
      </w:r>
      <w:r w:rsidR="005E1EAD">
        <w:rPr>
          <w:rFonts w:ascii="Arial" w:hAnsi="Arial" w:cs="Arial"/>
          <w:bCs/>
          <w:sz w:val="20"/>
          <w:szCs w:val="20"/>
        </w:rPr>
        <w:t>leta</w:t>
      </w:r>
      <w:r w:rsidRPr="00254CE9">
        <w:rPr>
          <w:rFonts w:ascii="Arial" w:hAnsi="Arial" w:cs="Arial"/>
          <w:bCs/>
          <w:sz w:val="20"/>
          <w:szCs w:val="20"/>
        </w:rPr>
        <w:t xml:space="preserve"> 2018 drugi najpogosteje uporabljeni postopek z deležem 23,86 % in 1608 izvedenimi postopki</w:t>
      </w:r>
      <w:r w:rsidRPr="00315326">
        <w:rPr>
          <w:rFonts w:ascii="Arial" w:hAnsi="Arial" w:cs="Arial"/>
          <w:bCs/>
          <w:sz w:val="20"/>
          <w:szCs w:val="20"/>
        </w:rPr>
        <w:t>. Tretji najpogosteje uporabljeni postopek je bil postopek s pogajanji brez predhodne objave z deležem 11,01 % in 742 izvedenimi postopki, ki se je glede na leto 2017 povečal za 0,32 odstotne točke</w:t>
      </w:r>
      <w:r w:rsidRPr="002E3B81">
        <w:rPr>
          <w:rFonts w:ascii="Arial" w:hAnsi="Arial" w:cs="Arial"/>
          <w:bCs/>
          <w:sz w:val="20"/>
          <w:szCs w:val="20"/>
        </w:rPr>
        <w:t>. Navedeni postopki pomenijo 96,29 % vseh dokončanih postopkov v letu 2018 in po vrednosti 87,1 %.</w:t>
      </w:r>
    </w:p>
    <w:p w14:paraId="7F201996" w14:textId="496F5371" w:rsidR="00492D1B" w:rsidRPr="00621C5A" w:rsidRDefault="00492D1B" w:rsidP="00492D1B">
      <w:pPr>
        <w:tabs>
          <w:tab w:val="left" w:pos="567"/>
          <w:tab w:val="left" w:pos="993"/>
        </w:tabs>
        <w:spacing w:line="360" w:lineRule="auto"/>
        <w:jc w:val="both"/>
        <w:rPr>
          <w:rFonts w:ascii="Arial" w:hAnsi="Arial" w:cs="Arial"/>
          <w:bCs/>
          <w:sz w:val="20"/>
          <w:szCs w:val="20"/>
        </w:rPr>
      </w:pPr>
      <w:r w:rsidRPr="00F92362">
        <w:rPr>
          <w:rFonts w:ascii="Arial" w:hAnsi="Arial" w:cs="Arial"/>
          <w:bCs/>
          <w:sz w:val="20"/>
          <w:szCs w:val="20"/>
        </w:rPr>
        <w:lastRenderedPageBreak/>
        <w:t xml:space="preserve">Ministrstvo za javno upravo ugotavlja, da </w:t>
      </w:r>
      <w:r w:rsidR="00C95540">
        <w:rPr>
          <w:rFonts w:ascii="Arial" w:hAnsi="Arial" w:cs="Arial"/>
          <w:bCs/>
          <w:sz w:val="20"/>
          <w:szCs w:val="20"/>
        </w:rPr>
        <w:t xml:space="preserve">tudi </w:t>
      </w:r>
      <w:r w:rsidR="005E1EAD">
        <w:rPr>
          <w:rFonts w:ascii="Arial" w:hAnsi="Arial" w:cs="Arial"/>
          <w:bCs/>
          <w:sz w:val="20"/>
          <w:szCs w:val="20"/>
        </w:rPr>
        <w:t>leta</w:t>
      </w:r>
      <w:r w:rsidRPr="00F92362">
        <w:rPr>
          <w:rFonts w:ascii="Arial" w:hAnsi="Arial" w:cs="Arial"/>
          <w:bCs/>
          <w:sz w:val="20"/>
          <w:szCs w:val="20"/>
        </w:rPr>
        <w:t xml:space="preserve"> 2018 v primerjavi s preteklimi leti </w:t>
      </w:r>
      <w:r w:rsidR="00C95540">
        <w:rPr>
          <w:rFonts w:ascii="Arial" w:hAnsi="Arial" w:cs="Arial"/>
          <w:bCs/>
          <w:sz w:val="20"/>
          <w:szCs w:val="20"/>
        </w:rPr>
        <w:t>delež transparentnih postopkov ostaja približno enak.</w:t>
      </w:r>
      <w:r w:rsidRPr="00EB4423">
        <w:rPr>
          <w:rFonts w:ascii="Arial" w:hAnsi="Arial" w:cs="Arial"/>
          <w:bCs/>
          <w:sz w:val="20"/>
          <w:szCs w:val="20"/>
        </w:rPr>
        <w:t xml:space="preserve"> </w:t>
      </w:r>
      <w:r w:rsidR="005E1EAD">
        <w:rPr>
          <w:rFonts w:ascii="Arial" w:hAnsi="Arial" w:cs="Arial"/>
          <w:bCs/>
          <w:sz w:val="20"/>
          <w:szCs w:val="20"/>
        </w:rPr>
        <w:t>Leta</w:t>
      </w:r>
      <w:r w:rsidRPr="00EB4423">
        <w:rPr>
          <w:rFonts w:ascii="Arial" w:hAnsi="Arial" w:cs="Arial"/>
          <w:bCs/>
          <w:sz w:val="20"/>
          <w:szCs w:val="20"/>
        </w:rPr>
        <w:t xml:space="preserve"> 2018 se je povečalo število </w:t>
      </w:r>
      <w:r w:rsidRPr="00E94653">
        <w:rPr>
          <w:rFonts w:ascii="Arial" w:hAnsi="Arial" w:cs="Arial"/>
          <w:bCs/>
          <w:sz w:val="20"/>
          <w:szCs w:val="20"/>
        </w:rPr>
        <w:t xml:space="preserve">naročil, v katerih so naročniki prejeli samo eno ponudbo, in sicer za </w:t>
      </w:r>
      <w:r w:rsidR="001C48A9" w:rsidRPr="00E94653">
        <w:rPr>
          <w:rFonts w:ascii="Arial" w:hAnsi="Arial" w:cs="Arial"/>
          <w:bCs/>
          <w:sz w:val="20"/>
          <w:szCs w:val="20"/>
        </w:rPr>
        <w:t>3,96</w:t>
      </w:r>
      <w:r w:rsidRPr="00E94653">
        <w:rPr>
          <w:rFonts w:ascii="Arial" w:hAnsi="Arial" w:cs="Arial"/>
          <w:bCs/>
          <w:sz w:val="20"/>
          <w:szCs w:val="20"/>
        </w:rPr>
        <w:t xml:space="preserve"> odstotn</w:t>
      </w:r>
      <w:r w:rsidR="005E1EAD">
        <w:rPr>
          <w:rFonts w:ascii="Arial" w:hAnsi="Arial" w:cs="Arial"/>
          <w:bCs/>
          <w:sz w:val="20"/>
          <w:szCs w:val="20"/>
        </w:rPr>
        <w:t>e</w:t>
      </w:r>
      <w:r w:rsidRPr="00E94653">
        <w:rPr>
          <w:rFonts w:ascii="Arial" w:hAnsi="Arial" w:cs="Arial"/>
          <w:bCs/>
          <w:sz w:val="20"/>
          <w:szCs w:val="20"/>
        </w:rPr>
        <w:t xml:space="preserve"> točk</w:t>
      </w:r>
      <w:r w:rsidR="005E1EAD">
        <w:rPr>
          <w:rFonts w:ascii="Arial" w:hAnsi="Arial" w:cs="Arial"/>
          <w:bCs/>
          <w:sz w:val="20"/>
          <w:szCs w:val="20"/>
        </w:rPr>
        <w:t>e</w:t>
      </w:r>
      <w:r w:rsidRPr="00E94653">
        <w:rPr>
          <w:rFonts w:ascii="Arial" w:hAnsi="Arial" w:cs="Arial"/>
          <w:bCs/>
          <w:sz w:val="20"/>
          <w:szCs w:val="20"/>
        </w:rPr>
        <w:t xml:space="preserve"> v primerjavi z letom 2017</w:t>
      </w:r>
      <w:r w:rsidRPr="00EB4423">
        <w:rPr>
          <w:rFonts w:ascii="Arial" w:hAnsi="Arial" w:cs="Arial"/>
          <w:bCs/>
          <w:sz w:val="20"/>
          <w:szCs w:val="20"/>
        </w:rPr>
        <w:t xml:space="preserve">. </w:t>
      </w:r>
      <w:r w:rsidRPr="00E94653">
        <w:rPr>
          <w:rFonts w:ascii="Arial" w:hAnsi="Arial" w:cs="Arial"/>
          <w:bCs/>
          <w:sz w:val="20"/>
          <w:szCs w:val="20"/>
        </w:rPr>
        <w:t>Še vedno je dokaj velik delež naročil pri odprtih</w:t>
      </w:r>
      <w:r w:rsidRPr="00621C5A">
        <w:rPr>
          <w:rFonts w:ascii="Arial" w:hAnsi="Arial" w:cs="Arial"/>
          <w:bCs/>
          <w:sz w:val="20"/>
          <w:szCs w:val="20"/>
        </w:rPr>
        <w:t xml:space="preserve"> postopkih in postopkih naročil male vrednosti, v katerih je naročnik prejel samo eno ponudbo. </w:t>
      </w:r>
      <w:r>
        <w:rPr>
          <w:rFonts w:ascii="Arial" w:hAnsi="Arial" w:cs="Arial"/>
          <w:bCs/>
          <w:sz w:val="20"/>
          <w:szCs w:val="20"/>
        </w:rPr>
        <w:t xml:space="preserve">Sklepamo lahko, da so razlogi za prejem zgolj ene ponudbe različni, med drugimi tudi majhnost slovenskega trga javnih naročil (tudi ob upoštevanju, da je pri naročilih male vrednosti obvestilo o javnem naročilu objavljeno samo na portalu javnih naročil) in morebitno pomanjkanje razpoložljivih kapacitet pri različnih ponudnikih zaradi obdobja večje gospodarske rasti. Kot enega </w:t>
      </w:r>
      <w:r w:rsidR="005E1EAD">
        <w:rPr>
          <w:rFonts w:ascii="Arial" w:hAnsi="Arial" w:cs="Arial"/>
          <w:bCs/>
          <w:sz w:val="20"/>
          <w:szCs w:val="20"/>
        </w:rPr>
        <w:t xml:space="preserve">od </w:t>
      </w:r>
      <w:r>
        <w:rPr>
          <w:rFonts w:ascii="Arial" w:hAnsi="Arial" w:cs="Arial"/>
          <w:bCs/>
          <w:sz w:val="20"/>
          <w:szCs w:val="20"/>
        </w:rPr>
        <w:t xml:space="preserve">mogočih razlogov pa bi bilo </w:t>
      </w:r>
      <w:r w:rsidR="005E1EAD">
        <w:rPr>
          <w:rFonts w:ascii="Arial" w:hAnsi="Arial" w:cs="Arial"/>
          <w:bCs/>
          <w:sz w:val="20"/>
          <w:szCs w:val="20"/>
        </w:rPr>
        <w:t xml:space="preserve">treba </w:t>
      </w:r>
      <w:r>
        <w:rPr>
          <w:rFonts w:ascii="Arial" w:hAnsi="Arial" w:cs="Arial"/>
          <w:bCs/>
          <w:sz w:val="20"/>
          <w:szCs w:val="20"/>
        </w:rPr>
        <w:t>upoštevati tudi morebitno oblikovanje specifikacij predmeta javnega naročila, pogojev in meril s strani posameznih naročnikov na način, da</w:t>
      </w:r>
      <w:r w:rsidRPr="00621C5A">
        <w:rPr>
          <w:rFonts w:ascii="Arial" w:hAnsi="Arial" w:cs="Arial"/>
          <w:bCs/>
          <w:sz w:val="20"/>
          <w:szCs w:val="20"/>
        </w:rPr>
        <w:t xml:space="preserve"> zmanjšujejo konkurenčnost, zato Ministrstvo za javno upravo predlaga, da organi nadzora, predvsem Državna revizijska komisija, Računsko sodišče Republike Slovenije in Urad Republike Slovenije za nadzor proračuna v postopkih preverijo tudi upoštevanje načela gospodarnosti, kar bi imelo številne pozitivne učinke (pravilna uporaba zakonodaje, zmanjšanje korupcijskega tveganja, boljša kakovost dobavljenega blaga, storitev ali gradenj, </w:t>
      </w:r>
      <w:r w:rsidR="00AB452E">
        <w:rPr>
          <w:rFonts w:ascii="Arial" w:hAnsi="Arial" w:cs="Arial"/>
          <w:bCs/>
          <w:sz w:val="20"/>
          <w:szCs w:val="20"/>
        </w:rPr>
        <w:t>manjši</w:t>
      </w:r>
      <w:r w:rsidR="00AB452E" w:rsidRPr="00621C5A">
        <w:rPr>
          <w:rFonts w:ascii="Arial" w:hAnsi="Arial" w:cs="Arial"/>
          <w:bCs/>
          <w:sz w:val="20"/>
          <w:szCs w:val="20"/>
        </w:rPr>
        <w:t xml:space="preserve"> </w:t>
      </w:r>
      <w:r w:rsidRPr="00621C5A">
        <w:rPr>
          <w:rFonts w:ascii="Arial" w:hAnsi="Arial" w:cs="Arial"/>
          <w:bCs/>
          <w:sz w:val="20"/>
          <w:szCs w:val="20"/>
        </w:rPr>
        <w:t>odhodki glede na razmerje med kakovostjo in ceno).</w:t>
      </w:r>
    </w:p>
    <w:p w14:paraId="0D829C1E" w14:textId="11A7B30F" w:rsidR="00492D1B" w:rsidRDefault="00492D1B" w:rsidP="00492D1B">
      <w:pPr>
        <w:tabs>
          <w:tab w:val="left" w:pos="567"/>
          <w:tab w:val="left" w:pos="993"/>
        </w:tabs>
        <w:spacing w:line="360" w:lineRule="auto"/>
        <w:jc w:val="both"/>
        <w:rPr>
          <w:rFonts w:ascii="Arial" w:hAnsi="Arial" w:cs="Arial"/>
          <w:bCs/>
          <w:sz w:val="20"/>
          <w:szCs w:val="20"/>
        </w:rPr>
      </w:pPr>
      <w:r w:rsidRPr="0028434A">
        <w:rPr>
          <w:rFonts w:ascii="Arial" w:hAnsi="Arial" w:cs="Arial"/>
          <w:bCs/>
          <w:sz w:val="20"/>
          <w:szCs w:val="20"/>
        </w:rPr>
        <w:t>V zvezi z merili za oddajo javnega naročila je mogoče ugotoviti, da naročniki še vedno v skoraj 90</w:t>
      </w:r>
      <w:r w:rsidR="00AB452E">
        <w:rPr>
          <w:rFonts w:ascii="Arial" w:hAnsi="Arial" w:cs="Arial"/>
          <w:bCs/>
          <w:sz w:val="20"/>
          <w:szCs w:val="20"/>
        </w:rPr>
        <w:t xml:space="preserve"> </w:t>
      </w:r>
      <w:r w:rsidR="00745D4D">
        <w:rPr>
          <w:rFonts w:ascii="Arial" w:hAnsi="Arial" w:cs="Arial"/>
          <w:bCs/>
          <w:sz w:val="20"/>
          <w:szCs w:val="20"/>
        </w:rPr>
        <w:t>%</w:t>
      </w:r>
      <w:r w:rsidRPr="0028434A">
        <w:rPr>
          <w:rFonts w:ascii="Arial" w:hAnsi="Arial" w:cs="Arial"/>
          <w:bCs/>
          <w:sz w:val="20"/>
          <w:szCs w:val="20"/>
        </w:rPr>
        <w:t xml:space="preserve"> naročil kot edino merilo uporabljajo ceno. Upoštevajoč dejstvo, da je v nekaterih primerih postopkov oddaje javnih naročil z ZJN-3 predpisana oziroma obvezna uporaba merila ekonomsko najugodnejše ponudbe (npr. v primeru izvedbe konkurenčnega dialoga </w:t>
      </w:r>
      <w:r>
        <w:rPr>
          <w:rFonts w:ascii="Arial" w:hAnsi="Arial" w:cs="Arial"/>
          <w:bCs/>
          <w:sz w:val="20"/>
          <w:szCs w:val="20"/>
        </w:rPr>
        <w:t>ali</w:t>
      </w:r>
      <w:r w:rsidRPr="0028434A">
        <w:rPr>
          <w:rFonts w:ascii="Arial" w:hAnsi="Arial" w:cs="Arial"/>
          <w:bCs/>
          <w:sz w:val="20"/>
          <w:szCs w:val="20"/>
        </w:rPr>
        <w:t xml:space="preserve"> naročanja storitev iz četrtega odstavka 84.</w:t>
      </w:r>
      <w:r w:rsidR="00AB452E">
        <w:rPr>
          <w:rFonts w:ascii="Arial" w:hAnsi="Arial" w:cs="Arial"/>
          <w:bCs/>
          <w:sz w:val="20"/>
          <w:szCs w:val="20"/>
        </w:rPr>
        <w:t xml:space="preserve"> </w:t>
      </w:r>
      <w:r w:rsidRPr="0028434A">
        <w:rPr>
          <w:rFonts w:ascii="Arial" w:hAnsi="Arial" w:cs="Arial"/>
          <w:bCs/>
          <w:sz w:val="20"/>
          <w:szCs w:val="20"/>
        </w:rPr>
        <w:t>člena ZJN-3)</w:t>
      </w:r>
      <w:r w:rsidR="00AB452E">
        <w:rPr>
          <w:rFonts w:ascii="Arial" w:hAnsi="Arial" w:cs="Arial"/>
          <w:bCs/>
          <w:sz w:val="20"/>
          <w:szCs w:val="20"/>
        </w:rPr>
        <w:t>,</w:t>
      </w:r>
      <w:r w:rsidRPr="0028434A">
        <w:rPr>
          <w:rFonts w:ascii="Arial" w:hAnsi="Arial" w:cs="Arial"/>
          <w:bCs/>
          <w:sz w:val="20"/>
          <w:szCs w:val="20"/>
        </w:rPr>
        <w:t xml:space="preserve"> lahko sklepamo, da naročniki v </w:t>
      </w:r>
      <w:r w:rsidR="00AB452E">
        <w:rPr>
          <w:rFonts w:ascii="Arial" w:hAnsi="Arial" w:cs="Arial"/>
          <w:bCs/>
          <w:sz w:val="20"/>
          <w:szCs w:val="20"/>
        </w:rPr>
        <w:t>pre</w:t>
      </w:r>
      <w:r w:rsidRPr="0028434A">
        <w:rPr>
          <w:rFonts w:ascii="Arial" w:hAnsi="Arial" w:cs="Arial"/>
          <w:bCs/>
          <w:sz w:val="20"/>
          <w:szCs w:val="20"/>
        </w:rPr>
        <w:t xml:space="preserve">ostalih primerih oddaje javnih naročil večinoma ne uporabljajo merila ekonomsko najugodnejše ponudbe, saj </w:t>
      </w:r>
      <w:r w:rsidR="00AB452E">
        <w:rPr>
          <w:rFonts w:ascii="Arial" w:hAnsi="Arial" w:cs="Arial"/>
          <w:bCs/>
          <w:sz w:val="20"/>
          <w:szCs w:val="20"/>
        </w:rPr>
        <w:t xml:space="preserve">njegova </w:t>
      </w:r>
      <w:r w:rsidRPr="0028434A">
        <w:rPr>
          <w:rFonts w:ascii="Arial" w:hAnsi="Arial" w:cs="Arial"/>
          <w:bCs/>
          <w:sz w:val="20"/>
          <w:szCs w:val="20"/>
        </w:rPr>
        <w:t xml:space="preserve">uporaba povečuje kompleksnost naročila, </w:t>
      </w:r>
      <w:r>
        <w:rPr>
          <w:rFonts w:ascii="Arial" w:hAnsi="Arial" w:cs="Arial"/>
          <w:bCs/>
          <w:sz w:val="20"/>
          <w:szCs w:val="20"/>
        </w:rPr>
        <w:t>kar za mnoge, predvsem manjše naročnike oziroma tiste, ki letno izvedejo manj</w:t>
      </w:r>
      <w:r w:rsidR="00AB452E">
        <w:rPr>
          <w:rFonts w:ascii="Arial" w:hAnsi="Arial" w:cs="Arial"/>
          <w:bCs/>
          <w:sz w:val="20"/>
          <w:szCs w:val="20"/>
        </w:rPr>
        <w:t xml:space="preserve"> </w:t>
      </w:r>
      <w:r>
        <w:rPr>
          <w:rFonts w:ascii="Arial" w:hAnsi="Arial" w:cs="Arial"/>
          <w:bCs/>
          <w:sz w:val="20"/>
          <w:szCs w:val="20"/>
        </w:rPr>
        <w:t>postopkov oddaje javnega naročila</w:t>
      </w:r>
      <w:r w:rsidR="00AB452E">
        <w:rPr>
          <w:rFonts w:ascii="Arial" w:hAnsi="Arial" w:cs="Arial"/>
          <w:bCs/>
          <w:sz w:val="20"/>
          <w:szCs w:val="20"/>
        </w:rPr>
        <w:t>,</w:t>
      </w:r>
      <w:r>
        <w:rPr>
          <w:rFonts w:ascii="Arial" w:hAnsi="Arial" w:cs="Arial"/>
          <w:bCs/>
          <w:sz w:val="20"/>
          <w:szCs w:val="20"/>
        </w:rPr>
        <w:t xml:space="preserve"> domnevno </w:t>
      </w:r>
      <w:r w:rsidR="00AB452E">
        <w:rPr>
          <w:rFonts w:ascii="Arial" w:hAnsi="Arial" w:cs="Arial"/>
          <w:bCs/>
          <w:sz w:val="20"/>
          <w:szCs w:val="20"/>
        </w:rPr>
        <w:t xml:space="preserve">pomeni </w:t>
      </w:r>
      <w:r>
        <w:rPr>
          <w:rFonts w:ascii="Arial" w:hAnsi="Arial" w:cs="Arial"/>
          <w:bCs/>
          <w:sz w:val="20"/>
          <w:szCs w:val="20"/>
        </w:rPr>
        <w:t>preveliko obremenitev: navedeno lahko kaže tudi na potrebo po povečanju aktivnosti za d</w:t>
      </w:r>
      <w:r w:rsidRPr="0028434A">
        <w:rPr>
          <w:rFonts w:ascii="Arial" w:hAnsi="Arial" w:cs="Arial"/>
          <w:bCs/>
          <w:sz w:val="20"/>
          <w:szCs w:val="20"/>
        </w:rPr>
        <w:t>vig kompetenc in spodbujanj</w:t>
      </w:r>
      <w:r>
        <w:rPr>
          <w:rFonts w:ascii="Arial" w:hAnsi="Arial" w:cs="Arial"/>
          <w:bCs/>
          <w:sz w:val="20"/>
          <w:szCs w:val="20"/>
        </w:rPr>
        <w:t>e</w:t>
      </w:r>
      <w:r w:rsidRPr="0028434A">
        <w:rPr>
          <w:rFonts w:ascii="Arial" w:hAnsi="Arial" w:cs="Arial"/>
          <w:bCs/>
          <w:sz w:val="20"/>
          <w:szCs w:val="20"/>
        </w:rPr>
        <w:t xml:space="preserve"> javnih uslužbencev za boljše naročanje</w:t>
      </w:r>
      <w:r>
        <w:rPr>
          <w:rFonts w:ascii="Arial" w:hAnsi="Arial" w:cs="Arial"/>
          <w:bCs/>
          <w:sz w:val="20"/>
          <w:szCs w:val="20"/>
        </w:rPr>
        <w:t>.</w:t>
      </w:r>
    </w:p>
    <w:p w14:paraId="24823634" w14:textId="4E3B1F33" w:rsidR="00DC4AB7" w:rsidRPr="00621C5A" w:rsidRDefault="00492D1B" w:rsidP="00492D1B">
      <w:pPr>
        <w:tabs>
          <w:tab w:val="left" w:pos="567"/>
          <w:tab w:val="left" w:pos="993"/>
        </w:tabs>
        <w:spacing w:line="360" w:lineRule="auto"/>
        <w:jc w:val="both"/>
        <w:rPr>
          <w:rFonts w:ascii="Arial" w:hAnsi="Arial" w:cs="Arial"/>
          <w:bCs/>
          <w:sz w:val="20"/>
          <w:szCs w:val="20"/>
        </w:rPr>
      </w:pPr>
      <w:r w:rsidRPr="008109C9">
        <w:rPr>
          <w:rFonts w:ascii="Arial" w:hAnsi="Arial" w:cs="Arial"/>
          <w:bCs/>
          <w:sz w:val="20"/>
          <w:szCs w:val="20"/>
        </w:rPr>
        <w:t xml:space="preserve">Na podlagi statističnih podatkov je mogoče ugotoviti tudi, da se je, čeprav je bila vzpostavljena in je v uporabi že od leta </w:t>
      </w:r>
      <w:r w:rsidRPr="008109C9">
        <w:rPr>
          <w:rFonts w:ascii="Arial" w:hAnsi="Arial" w:cs="Arial"/>
          <w:bCs/>
          <w:color w:val="000000" w:themeColor="text1"/>
          <w:sz w:val="20"/>
          <w:szCs w:val="20"/>
        </w:rPr>
        <w:t xml:space="preserve">2013 </w:t>
      </w:r>
      <w:r w:rsidRPr="008109C9">
        <w:rPr>
          <w:rFonts w:ascii="Arial" w:hAnsi="Arial" w:cs="Arial"/>
          <w:bCs/>
          <w:sz w:val="20"/>
          <w:szCs w:val="20"/>
        </w:rPr>
        <w:t xml:space="preserve">ter </w:t>
      </w:r>
      <w:r w:rsidR="00AB452E">
        <w:rPr>
          <w:rFonts w:ascii="Arial" w:hAnsi="Arial" w:cs="Arial"/>
          <w:bCs/>
          <w:sz w:val="20"/>
          <w:szCs w:val="20"/>
        </w:rPr>
        <w:t>pomeni</w:t>
      </w:r>
      <w:r w:rsidR="00AB452E" w:rsidRPr="008109C9">
        <w:rPr>
          <w:rFonts w:ascii="Arial" w:hAnsi="Arial" w:cs="Arial"/>
          <w:bCs/>
          <w:sz w:val="20"/>
          <w:szCs w:val="20"/>
        </w:rPr>
        <w:t xml:space="preserve"> </w:t>
      </w:r>
      <w:r w:rsidRPr="008109C9">
        <w:rPr>
          <w:rFonts w:ascii="Arial" w:hAnsi="Arial" w:cs="Arial"/>
          <w:bCs/>
          <w:sz w:val="20"/>
          <w:szCs w:val="20"/>
        </w:rPr>
        <w:t>tržni mehanizem, prek katerega lahko naročniki in ponudniki v</w:t>
      </w:r>
      <w:r w:rsidRPr="003131A9">
        <w:rPr>
          <w:rFonts w:ascii="Arial" w:hAnsi="Arial" w:cs="Arial"/>
          <w:bCs/>
          <w:sz w:val="20"/>
          <w:szCs w:val="20"/>
        </w:rPr>
        <w:t xml:space="preserve"> konkurenčnem okolju na dinamičen način oblikujejo končno ceno </w:t>
      </w:r>
      <w:r>
        <w:rPr>
          <w:rFonts w:ascii="Arial" w:hAnsi="Arial" w:cs="Arial"/>
          <w:bCs/>
          <w:sz w:val="20"/>
          <w:szCs w:val="20"/>
        </w:rPr>
        <w:t>blaga</w:t>
      </w:r>
      <w:r w:rsidRPr="003131A9">
        <w:rPr>
          <w:rFonts w:ascii="Arial" w:hAnsi="Arial" w:cs="Arial"/>
          <w:bCs/>
          <w:sz w:val="20"/>
          <w:szCs w:val="20"/>
        </w:rPr>
        <w:t xml:space="preserve"> ali storitve</w:t>
      </w:r>
      <w:r>
        <w:rPr>
          <w:rFonts w:ascii="Arial" w:hAnsi="Arial" w:cs="Arial"/>
          <w:bCs/>
          <w:sz w:val="20"/>
          <w:szCs w:val="20"/>
        </w:rPr>
        <w:t>, spletna aplikacija e-</w:t>
      </w:r>
      <w:r w:rsidRPr="003131A9">
        <w:rPr>
          <w:rFonts w:ascii="Arial" w:hAnsi="Arial" w:cs="Arial"/>
          <w:bCs/>
          <w:sz w:val="20"/>
          <w:szCs w:val="20"/>
        </w:rPr>
        <w:t xml:space="preserve">Dražba </w:t>
      </w:r>
      <w:r>
        <w:rPr>
          <w:rFonts w:ascii="Arial" w:hAnsi="Arial" w:cs="Arial"/>
          <w:bCs/>
          <w:sz w:val="20"/>
          <w:szCs w:val="20"/>
        </w:rPr>
        <w:t xml:space="preserve">uporabila le v manj kot 1 </w:t>
      </w:r>
      <w:r w:rsidR="00745D4D">
        <w:rPr>
          <w:rFonts w:ascii="Arial" w:hAnsi="Arial" w:cs="Arial"/>
          <w:bCs/>
          <w:sz w:val="20"/>
          <w:szCs w:val="20"/>
        </w:rPr>
        <w:t xml:space="preserve">% </w:t>
      </w:r>
      <w:r>
        <w:rPr>
          <w:rFonts w:ascii="Arial" w:hAnsi="Arial" w:cs="Arial"/>
          <w:bCs/>
          <w:sz w:val="20"/>
          <w:szCs w:val="20"/>
        </w:rPr>
        <w:t>v številu vseh oddanih javnih naročil v letu 2018.</w:t>
      </w:r>
    </w:p>
    <w:p w14:paraId="6F4E54C5" w14:textId="77777777" w:rsidR="00854405" w:rsidRPr="00371042" w:rsidRDefault="00854405" w:rsidP="00854405">
      <w:pPr>
        <w:pStyle w:val="Naslov1"/>
        <w:rPr>
          <w:rFonts w:ascii="Arial" w:hAnsi="Arial" w:cs="Arial"/>
          <w:b/>
          <w:sz w:val="22"/>
          <w:szCs w:val="22"/>
        </w:rPr>
      </w:pPr>
      <w:bookmarkStart w:id="2" w:name="_Toc17114041"/>
      <w:r w:rsidRPr="00371042">
        <w:rPr>
          <w:rFonts w:ascii="Arial" w:hAnsi="Arial" w:cs="Arial"/>
          <w:b/>
          <w:sz w:val="22"/>
          <w:szCs w:val="22"/>
        </w:rPr>
        <w:t>2. Statistična analiza</w:t>
      </w:r>
      <w:bookmarkEnd w:id="2"/>
    </w:p>
    <w:p w14:paraId="2B1708F2" w14:textId="77777777" w:rsidR="00854405" w:rsidRPr="00EF2D0B" w:rsidRDefault="00854405" w:rsidP="00854405">
      <w:pPr>
        <w:pStyle w:val="ZADEVA"/>
        <w:jc w:val="both"/>
        <w:rPr>
          <w:rFonts w:cs="Arial"/>
          <w:b w:val="0"/>
          <w:szCs w:val="20"/>
          <w:highlight w:val="yellow"/>
          <w:lang w:val="sl-SI"/>
        </w:rPr>
      </w:pPr>
    </w:p>
    <w:p w14:paraId="2DBEFDAA" w14:textId="7C4A3FCB" w:rsidR="00854405" w:rsidRPr="00FC0718" w:rsidRDefault="00854405" w:rsidP="00854405">
      <w:pPr>
        <w:pStyle w:val="Naslov2"/>
        <w:rPr>
          <w:rFonts w:ascii="Arial" w:hAnsi="Arial" w:cs="Arial"/>
          <w:sz w:val="22"/>
          <w:szCs w:val="22"/>
        </w:rPr>
      </w:pPr>
      <w:bookmarkStart w:id="3" w:name="_Toc17114042"/>
      <w:r w:rsidRPr="00FC0718">
        <w:rPr>
          <w:rFonts w:ascii="Arial" w:hAnsi="Arial" w:cs="Arial"/>
          <w:sz w:val="22"/>
          <w:szCs w:val="22"/>
        </w:rPr>
        <w:t>2.1 Obseg javnega naročanja</w:t>
      </w:r>
      <w:bookmarkEnd w:id="3"/>
    </w:p>
    <w:p w14:paraId="13161CC1" w14:textId="77777777" w:rsidR="00854405" w:rsidRPr="00EF2D0B" w:rsidRDefault="00854405" w:rsidP="00854405">
      <w:pPr>
        <w:pStyle w:val="ZADEVA"/>
        <w:jc w:val="both"/>
        <w:rPr>
          <w:rFonts w:cs="Arial"/>
          <w:b w:val="0"/>
          <w:szCs w:val="20"/>
          <w:highlight w:val="yellow"/>
          <w:lang w:val="sl-SI"/>
        </w:rPr>
      </w:pPr>
    </w:p>
    <w:p w14:paraId="18AF0BF2" w14:textId="4D28D991" w:rsidR="00AD2269" w:rsidRPr="00AE5DF3" w:rsidRDefault="00AB452E" w:rsidP="007D3FD7">
      <w:pPr>
        <w:tabs>
          <w:tab w:val="left" w:pos="567"/>
          <w:tab w:val="left" w:pos="993"/>
        </w:tabs>
        <w:spacing w:line="360" w:lineRule="auto"/>
        <w:jc w:val="both"/>
        <w:rPr>
          <w:rFonts w:ascii="Arial" w:hAnsi="Arial" w:cs="Arial"/>
          <w:sz w:val="20"/>
          <w:szCs w:val="20"/>
        </w:rPr>
      </w:pPr>
      <w:r>
        <w:rPr>
          <w:rFonts w:ascii="Arial" w:hAnsi="Arial" w:cs="Arial"/>
          <w:sz w:val="20"/>
          <w:szCs w:val="20"/>
        </w:rPr>
        <w:t>Leta</w:t>
      </w:r>
      <w:r w:rsidR="00E02A9E" w:rsidRPr="00AE5DF3">
        <w:rPr>
          <w:rFonts w:ascii="Arial" w:hAnsi="Arial" w:cs="Arial"/>
          <w:sz w:val="20"/>
          <w:szCs w:val="20"/>
        </w:rPr>
        <w:t xml:space="preserve"> 201</w:t>
      </w:r>
      <w:r w:rsidR="00AE5DF3" w:rsidRPr="00AE5DF3">
        <w:rPr>
          <w:rFonts w:ascii="Arial" w:hAnsi="Arial" w:cs="Arial"/>
          <w:sz w:val="20"/>
          <w:szCs w:val="20"/>
        </w:rPr>
        <w:t>8</w:t>
      </w:r>
      <w:r w:rsidR="00E97630" w:rsidRPr="00AE5DF3">
        <w:rPr>
          <w:rFonts w:ascii="Arial" w:hAnsi="Arial" w:cs="Arial"/>
          <w:sz w:val="20"/>
          <w:szCs w:val="20"/>
        </w:rPr>
        <w:t xml:space="preserve"> so se postopki javnega naročanja izvajali na podlagi Zakona o javnem naročanju na področju obrambe in varnosti (</w:t>
      </w:r>
      <w:r w:rsidR="003D19B9" w:rsidRPr="00AE5DF3">
        <w:rPr>
          <w:rFonts w:ascii="Arial" w:hAnsi="Arial" w:cs="Arial"/>
          <w:sz w:val="20"/>
          <w:szCs w:val="20"/>
        </w:rPr>
        <w:t xml:space="preserve">Uradni list RS, št. 90/12 in 90/14 – ZDU-1I in 52/16; </w:t>
      </w:r>
      <w:r w:rsidR="00E97630" w:rsidRPr="00AE5DF3">
        <w:rPr>
          <w:rFonts w:ascii="Arial" w:hAnsi="Arial" w:cs="Arial"/>
          <w:sz w:val="20"/>
          <w:szCs w:val="20"/>
        </w:rPr>
        <w:t>ZJNPOV) in Zakona o javnem naročanju (Uradni list RS, št. 91/15</w:t>
      </w:r>
      <w:r w:rsidR="0045294C" w:rsidRPr="00AE5DF3">
        <w:rPr>
          <w:rFonts w:ascii="Arial" w:hAnsi="Arial" w:cs="Arial"/>
          <w:sz w:val="20"/>
          <w:szCs w:val="20"/>
        </w:rPr>
        <w:t xml:space="preserve"> in 14/18</w:t>
      </w:r>
      <w:r w:rsidR="007D3FD7" w:rsidRPr="00AE5DF3">
        <w:rPr>
          <w:rFonts w:ascii="Arial" w:hAnsi="Arial" w:cs="Arial"/>
          <w:sz w:val="20"/>
          <w:szCs w:val="20"/>
        </w:rPr>
        <w:t>; ZJN-3).</w:t>
      </w:r>
    </w:p>
    <w:p w14:paraId="0833F688" w14:textId="77777777" w:rsidR="007F1388" w:rsidRDefault="007F1388">
      <w:pPr>
        <w:rPr>
          <w:rFonts w:ascii="Arial" w:eastAsiaTheme="majorEastAsia" w:hAnsi="Arial" w:cs="Arial"/>
          <w:color w:val="1F3763" w:themeColor="accent1" w:themeShade="7F"/>
        </w:rPr>
      </w:pPr>
      <w:r>
        <w:rPr>
          <w:rFonts w:ascii="Arial" w:hAnsi="Arial" w:cs="Arial"/>
        </w:rPr>
        <w:br w:type="page"/>
      </w:r>
    </w:p>
    <w:p w14:paraId="5259E237" w14:textId="213EFB1B" w:rsidR="00854405" w:rsidRPr="00900AB8" w:rsidRDefault="00854405" w:rsidP="003A6C9F">
      <w:pPr>
        <w:pStyle w:val="Naslov3"/>
        <w:rPr>
          <w:rFonts w:ascii="Arial" w:hAnsi="Arial" w:cs="Arial"/>
          <w:sz w:val="22"/>
          <w:szCs w:val="22"/>
        </w:rPr>
      </w:pPr>
      <w:bookmarkStart w:id="4" w:name="_Toc17114043"/>
      <w:r w:rsidRPr="00900AB8">
        <w:rPr>
          <w:rFonts w:ascii="Arial" w:hAnsi="Arial" w:cs="Arial"/>
          <w:sz w:val="22"/>
          <w:szCs w:val="22"/>
        </w:rPr>
        <w:lastRenderedPageBreak/>
        <w:t>2.1.1 Delež javnega naročanja v BDP</w:t>
      </w:r>
      <w:bookmarkEnd w:id="4"/>
    </w:p>
    <w:p w14:paraId="6214A8A6" w14:textId="107DB046" w:rsidR="00783B03" w:rsidRPr="00900AB8" w:rsidRDefault="00783B03" w:rsidP="00854405">
      <w:pPr>
        <w:pStyle w:val="Navadensplet"/>
        <w:spacing w:before="0" w:beforeAutospacing="0" w:after="0" w:afterAutospacing="0" w:line="276" w:lineRule="auto"/>
        <w:jc w:val="both"/>
        <w:rPr>
          <w:rFonts w:ascii="Arial" w:hAnsi="Arial" w:cs="Arial"/>
          <w:sz w:val="20"/>
          <w:szCs w:val="20"/>
        </w:rPr>
      </w:pPr>
    </w:p>
    <w:p w14:paraId="70B3C243" w14:textId="3F90605D" w:rsidR="00775DED" w:rsidRPr="00900AB8" w:rsidRDefault="00AB452E" w:rsidP="004073D3">
      <w:pPr>
        <w:tabs>
          <w:tab w:val="left" w:pos="567"/>
          <w:tab w:val="left" w:pos="993"/>
        </w:tabs>
        <w:spacing w:line="360" w:lineRule="auto"/>
        <w:jc w:val="both"/>
        <w:rPr>
          <w:rFonts w:ascii="Arial" w:hAnsi="Arial" w:cs="Arial"/>
          <w:sz w:val="20"/>
          <w:szCs w:val="20"/>
        </w:rPr>
      </w:pPr>
      <w:r>
        <w:rPr>
          <w:rFonts w:ascii="Arial" w:hAnsi="Arial" w:cs="Arial"/>
          <w:sz w:val="20"/>
          <w:szCs w:val="20"/>
        </w:rPr>
        <w:t>Leta</w:t>
      </w:r>
      <w:r w:rsidR="00F00294" w:rsidRPr="00900AB8">
        <w:rPr>
          <w:rFonts w:ascii="Arial" w:hAnsi="Arial" w:cs="Arial"/>
          <w:sz w:val="20"/>
          <w:szCs w:val="20"/>
        </w:rPr>
        <w:t xml:space="preserve"> 201</w:t>
      </w:r>
      <w:r w:rsidR="00900AB8" w:rsidRPr="00900AB8">
        <w:rPr>
          <w:rFonts w:ascii="Arial" w:hAnsi="Arial" w:cs="Arial"/>
          <w:sz w:val="20"/>
          <w:szCs w:val="20"/>
        </w:rPr>
        <w:t>8</w:t>
      </w:r>
      <w:r w:rsidR="004073D3" w:rsidRPr="00900AB8">
        <w:rPr>
          <w:rFonts w:ascii="Arial" w:hAnsi="Arial" w:cs="Arial"/>
          <w:sz w:val="20"/>
          <w:szCs w:val="20"/>
        </w:rPr>
        <w:t xml:space="preserve"> je </w:t>
      </w:r>
      <w:r w:rsidR="002B2EF1" w:rsidRPr="00900AB8">
        <w:rPr>
          <w:rFonts w:ascii="Arial" w:hAnsi="Arial" w:cs="Arial"/>
          <w:sz w:val="20"/>
          <w:szCs w:val="20"/>
        </w:rPr>
        <w:t>znašal</w:t>
      </w:r>
      <w:r w:rsidR="004073D3" w:rsidRPr="00900AB8">
        <w:rPr>
          <w:rFonts w:ascii="Arial" w:hAnsi="Arial" w:cs="Arial"/>
          <w:sz w:val="20"/>
          <w:szCs w:val="20"/>
        </w:rPr>
        <w:t xml:space="preserve"> delež javnih naročil v bruto d</w:t>
      </w:r>
      <w:r w:rsidR="002B2EF1" w:rsidRPr="00900AB8">
        <w:rPr>
          <w:rFonts w:ascii="Arial" w:hAnsi="Arial" w:cs="Arial"/>
          <w:sz w:val="20"/>
          <w:szCs w:val="20"/>
        </w:rPr>
        <w:t>omačem</w:t>
      </w:r>
      <w:r w:rsidR="004073D3" w:rsidRPr="00900AB8">
        <w:rPr>
          <w:rFonts w:ascii="Arial" w:hAnsi="Arial" w:cs="Arial"/>
          <w:sz w:val="20"/>
          <w:szCs w:val="20"/>
        </w:rPr>
        <w:t xml:space="preserve"> proizvodu (BDP) </w:t>
      </w:r>
      <w:r w:rsidR="00F00294" w:rsidRPr="00900AB8">
        <w:rPr>
          <w:rFonts w:ascii="Arial" w:hAnsi="Arial" w:cs="Arial"/>
          <w:sz w:val="20"/>
          <w:szCs w:val="20"/>
        </w:rPr>
        <w:t>10,</w:t>
      </w:r>
      <w:r w:rsidR="00900AB8" w:rsidRPr="00900AB8">
        <w:rPr>
          <w:rFonts w:ascii="Arial" w:hAnsi="Arial" w:cs="Arial"/>
          <w:sz w:val="20"/>
          <w:szCs w:val="20"/>
        </w:rPr>
        <w:t>0</w:t>
      </w:r>
      <w:r w:rsidR="00C05AFF">
        <w:rPr>
          <w:rFonts w:ascii="Arial" w:hAnsi="Arial" w:cs="Arial"/>
          <w:sz w:val="20"/>
          <w:szCs w:val="20"/>
        </w:rPr>
        <w:t>2</w:t>
      </w:r>
      <w:r w:rsidR="004073D3" w:rsidRPr="00900AB8">
        <w:rPr>
          <w:rFonts w:ascii="Arial" w:hAnsi="Arial" w:cs="Arial"/>
          <w:sz w:val="20"/>
          <w:szCs w:val="20"/>
        </w:rPr>
        <w:t xml:space="preserve"> </w:t>
      </w:r>
      <w:r w:rsidR="00FA0EF9">
        <w:rPr>
          <w:rFonts w:ascii="Arial" w:hAnsi="Arial" w:cs="Arial"/>
          <w:sz w:val="20"/>
          <w:szCs w:val="20"/>
        </w:rPr>
        <w:t>%</w:t>
      </w:r>
      <w:r w:rsidR="004073D3" w:rsidRPr="00900AB8">
        <w:rPr>
          <w:rFonts w:ascii="Arial" w:hAnsi="Arial" w:cs="Arial"/>
          <w:sz w:val="20"/>
          <w:szCs w:val="20"/>
        </w:rPr>
        <w:t xml:space="preserve">, kar </w:t>
      </w:r>
      <w:r w:rsidR="00B24A26" w:rsidRPr="00900AB8">
        <w:rPr>
          <w:rFonts w:ascii="Arial" w:hAnsi="Arial" w:cs="Arial"/>
          <w:sz w:val="20"/>
          <w:szCs w:val="20"/>
        </w:rPr>
        <w:t>v primerjavi z letom 201</w:t>
      </w:r>
      <w:r w:rsidR="00900AB8" w:rsidRPr="00900AB8">
        <w:rPr>
          <w:rFonts w:ascii="Arial" w:hAnsi="Arial" w:cs="Arial"/>
          <w:sz w:val="20"/>
          <w:szCs w:val="20"/>
        </w:rPr>
        <w:t>7</w:t>
      </w:r>
      <w:r w:rsidR="00566029" w:rsidRPr="00900AB8">
        <w:rPr>
          <w:rFonts w:ascii="Arial" w:hAnsi="Arial" w:cs="Arial"/>
          <w:sz w:val="20"/>
          <w:szCs w:val="20"/>
        </w:rPr>
        <w:t xml:space="preserve"> </w:t>
      </w:r>
      <w:r w:rsidR="00113889" w:rsidRPr="00900AB8">
        <w:rPr>
          <w:rFonts w:ascii="Arial" w:hAnsi="Arial" w:cs="Arial"/>
          <w:sz w:val="20"/>
          <w:szCs w:val="20"/>
        </w:rPr>
        <w:t xml:space="preserve">pomeni </w:t>
      </w:r>
      <w:r w:rsidR="00900AB8" w:rsidRPr="00900AB8">
        <w:rPr>
          <w:rFonts w:ascii="Arial" w:hAnsi="Arial" w:cs="Arial"/>
          <w:sz w:val="20"/>
          <w:szCs w:val="20"/>
        </w:rPr>
        <w:t>upadanje</w:t>
      </w:r>
      <w:r w:rsidR="004073D3" w:rsidRPr="00900AB8">
        <w:rPr>
          <w:rFonts w:ascii="Arial" w:hAnsi="Arial" w:cs="Arial"/>
          <w:sz w:val="20"/>
          <w:szCs w:val="20"/>
        </w:rPr>
        <w:t xml:space="preserve">. </w:t>
      </w:r>
    </w:p>
    <w:p w14:paraId="395DCC6A" w14:textId="5C1B2020" w:rsidR="004073D3" w:rsidRPr="00541D31" w:rsidRDefault="00AB452E" w:rsidP="004073D3">
      <w:pPr>
        <w:tabs>
          <w:tab w:val="left" w:pos="567"/>
          <w:tab w:val="left" w:pos="993"/>
        </w:tabs>
        <w:spacing w:line="360" w:lineRule="auto"/>
        <w:jc w:val="both"/>
        <w:rPr>
          <w:rFonts w:ascii="Arial" w:hAnsi="Arial" w:cs="Arial"/>
          <w:sz w:val="20"/>
          <w:szCs w:val="20"/>
        </w:rPr>
      </w:pPr>
      <w:r>
        <w:rPr>
          <w:rFonts w:ascii="Arial" w:hAnsi="Arial" w:cs="Arial"/>
          <w:sz w:val="20"/>
          <w:szCs w:val="20"/>
        </w:rPr>
        <w:t>Leta</w:t>
      </w:r>
      <w:r w:rsidR="009867C3" w:rsidRPr="006C5507">
        <w:rPr>
          <w:rFonts w:ascii="Arial" w:hAnsi="Arial" w:cs="Arial"/>
          <w:sz w:val="20"/>
          <w:szCs w:val="20"/>
        </w:rPr>
        <w:t xml:space="preserve"> 201</w:t>
      </w:r>
      <w:r w:rsidR="006C5507" w:rsidRPr="006C5507">
        <w:rPr>
          <w:rFonts w:ascii="Arial" w:hAnsi="Arial" w:cs="Arial"/>
          <w:sz w:val="20"/>
          <w:szCs w:val="20"/>
        </w:rPr>
        <w:t>8</w:t>
      </w:r>
      <w:r w:rsidR="009867C3" w:rsidRPr="006C5507">
        <w:rPr>
          <w:rFonts w:ascii="Arial" w:hAnsi="Arial" w:cs="Arial"/>
          <w:sz w:val="20"/>
          <w:szCs w:val="20"/>
        </w:rPr>
        <w:t xml:space="preserve"> je BDP po tekočih cenah</w:t>
      </w:r>
      <w:r w:rsidR="002F7146" w:rsidRPr="006C5507">
        <w:rPr>
          <w:rFonts w:ascii="Arial" w:hAnsi="Arial" w:cs="Arial"/>
          <w:sz w:val="20"/>
          <w:szCs w:val="20"/>
        </w:rPr>
        <w:t xml:space="preserve"> (v mio</w:t>
      </w:r>
      <w:r>
        <w:rPr>
          <w:rFonts w:ascii="Arial" w:hAnsi="Arial" w:cs="Arial"/>
          <w:sz w:val="20"/>
          <w:szCs w:val="20"/>
        </w:rPr>
        <w:t>.</w:t>
      </w:r>
      <w:r w:rsidR="002F7146" w:rsidRPr="006C5507">
        <w:rPr>
          <w:rFonts w:ascii="Arial" w:hAnsi="Arial" w:cs="Arial"/>
          <w:sz w:val="20"/>
          <w:szCs w:val="20"/>
        </w:rPr>
        <w:t xml:space="preserve"> evrih)</w:t>
      </w:r>
      <w:r w:rsidR="009867C3" w:rsidRPr="006C5507">
        <w:rPr>
          <w:rFonts w:ascii="Arial" w:hAnsi="Arial" w:cs="Arial"/>
          <w:sz w:val="20"/>
          <w:szCs w:val="20"/>
        </w:rPr>
        <w:t xml:space="preserve"> </w:t>
      </w:r>
      <w:r w:rsidR="00775DED" w:rsidRPr="006C5507">
        <w:rPr>
          <w:rFonts w:ascii="Arial" w:hAnsi="Arial" w:cs="Arial"/>
          <w:sz w:val="20"/>
          <w:szCs w:val="20"/>
        </w:rPr>
        <w:t>v R</w:t>
      </w:r>
      <w:r w:rsidR="009867C3" w:rsidRPr="006C5507">
        <w:rPr>
          <w:rFonts w:ascii="Arial" w:hAnsi="Arial" w:cs="Arial"/>
          <w:sz w:val="20"/>
          <w:szCs w:val="20"/>
        </w:rPr>
        <w:t>epub</w:t>
      </w:r>
      <w:r w:rsidR="002F7146" w:rsidRPr="006C5507">
        <w:rPr>
          <w:rFonts w:ascii="Arial" w:hAnsi="Arial" w:cs="Arial"/>
          <w:sz w:val="20"/>
          <w:szCs w:val="20"/>
        </w:rPr>
        <w:t xml:space="preserve">liki Sloveniji znašal </w:t>
      </w:r>
      <w:r w:rsidR="005A5062" w:rsidRPr="006C5507">
        <w:rPr>
          <w:rFonts w:ascii="Arial" w:hAnsi="Arial" w:cs="Arial"/>
          <w:sz w:val="20"/>
          <w:szCs w:val="20"/>
        </w:rPr>
        <w:t xml:space="preserve">45.948 </w:t>
      </w:r>
      <w:r w:rsidR="002F7146" w:rsidRPr="00541D31">
        <w:rPr>
          <w:rFonts w:ascii="Arial" w:hAnsi="Arial" w:cs="Arial"/>
          <w:sz w:val="20"/>
          <w:szCs w:val="20"/>
        </w:rPr>
        <w:t>mio</w:t>
      </w:r>
      <w:r>
        <w:rPr>
          <w:rFonts w:ascii="Arial" w:hAnsi="Arial" w:cs="Arial"/>
          <w:sz w:val="20"/>
          <w:szCs w:val="20"/>
        </w:rPr>
        <w:t>.</w:t>
      </w:r>
      <w:r w:rsidR="00775DED" w:rsidRPr="00541D31">
        <w:rPr>
          <w:rFonts w:ascii="Arial" w:hAnsi="Arial" w:cs="Arial"/>
          <w:sz w:val="20"/>
          <w:szCs w:val="20"/>
        </w:rPr>
        <w:t xml:space="preserve"> evrov</w:t>
      </w:r>
      <w:r w:rsidR="00391021" w:rsidRPr="00541D31">
        <w:rPr>
          <w:rFonts w:ascii="Arial" w:hAnsi="Arial" w:cs="Arial"/>
          <w:sz w:val="20"/>
          <w:szCs w:val="20"/>
        </w:rPr>
        <w:t>.</w:t>
      </w:r>
      <w:r w:rsidR="00775DED" w:rsidRPr="00541D31">
        <w:rPr>
          <w:rStyle w:val="Sprotnaopomba-sklic"/>
          <w:rFonts w:ascii="Arial" w:hAnsi="Arial" w:cs="Arial"/>
          <w:sz w:val="20"/>
          <w:szCs w:val="20"/>
        </w:rPr>
        <w:footnoteReference w:id="1"/>
      </w:r>
      <w:r w:rsidR="00775DED" w:rsidRPr="00541D31">
        <w:rPr>
          <w:rFonts w:ascii="Arial" w:hAnsi="Arial" w:cs="Arial"/>
          <w:sz w:val="20"/>
          <w:szCs w:val="20"/>
        </w:rPr>
        <w:t xml:space="preserve"> Glede na višino BDP v preteklih letih </w:t>
      </w:r>
      <w:r w:rsidR="00F13464" w:rsidRPr="00541D31">
        <w:rPr>
          <w:rFonts w:ascii="Arial" w:hAnsi="Arial" w:cs="Arial"/>
          <w:sz w:val="20"/>
          <w:szCs w:val="20"/>
        </w:rPr>
        <w:t xml:space="preserve">in </w:t>
      </w:r>
      <w:r w:rsidR="00775DED" w:rsidRPr="00541D31">
        <w:rPr>
          <w:rFonts w:ascii="Arial" w:hAnsi="Arial" w:cs="Arial"/>
          <w:sz w:val="20"/>
          <w:szCs w:val="20"/>
        </w:rPr>
        <w:t>vrednost oddanih javnih naročil v istem obdobju je v let</w:t>
      </w:r>
      <w:r w:rsidR="00216983">
        <w:rPr>
          <w:rFonts w:ascii="Arial" w:hAnsi="Arial" w:cs="Arial"/>
          <w:sz w:val="20"/>
          <w:szCs w:val="20"/>
        </w:rPr>
        <w:t>u</w:t>
      </w:r>
      <w:r w:rsidR="00775DED" w:rsidRPr="00541D31">
        <w:rPr>
          <w:rFonts w:ascii="Arial" w:hAnsi="Arial" w:cs="Arial"/>
          <w:sz w:val="20"/>
          <w:szCs w:val="20"/>
        </w:rPr>
        <w:t xml:space="preserve"> 201</w:t>
      </w:r>
      <w:r w:rsidR="00216983">
        <w:rPr>
          <w:rFonts w:ascii="Arial" w:hAnsi="Arial" w:cs="Arial"/>
          <w:sz w:val="20"/>
          <w:szCs w:val="20"/>
        </w:rPr>
        <w:t>8 razvidno zmanjšanje</w:t>
      </w:r>
      <w:r w:rsidR="00775DED" w:rsidRPr="00541D31">
        <w:rPr>
          <w:rFonts w:ascii="Arial" w:hAnsi="Arial" w:cs="Arial"/>
          <w:sz w:val="20"/>
          <w:szCs w:val="20"/>
        </w:rPr>
        <w:t xml:space="preserve"> deleža oddanih javnih naročil v BDP</w:t>
      </w:r>
      <w:r w:rsidR="00216983">
        <w:rPr>
          <w:rFonts w:ascii="Arial" w:hAnsi="Arial" w:cs="Arial"/>
          <w:sz w:val="20"/>
          <w:szCs w:val="20"/>
        </w:rPr>
        <w:t xml:space="preserve"> v primerjavi z letom 2017</w:t>
      </w:r>
      <w:r w:rsidR="00541D31" w:rsidRPr="00541D31">
        <w:rPr>
          <w:rFonts w:ascii="Arial" w:hAnsi="Arial" w:cs="Arial"/>
          <w:sz w:val="20"/>
          <w:szCs w:val="20"/>
        </w:rPr>
        <w:t xml:space="preserve"> za 0,9</w:t>
      </w:r>
      <w:r w:rsidR="003D2DB7">
        <w:rPr>
          <w:rFonts w:ascii="Arial" w:hAnsi="Arial" w:cs="Arial"/>
          <w:sz w:val="20"/>
          <w:szCs w:val="20"/>
        </w:rPr>
        <w:t>7</w:t>
      </w:r>
      <w:r w:rsidR="00365255">
        <w:rPr>
          <w:rFonts w:ascii="Arial" w:hAnsi="Arial" w:cs="Arial"/>
          <w:sz w:val="20"/>
          <w:szCs w:val="20"/>
        </w:rPr>
        <w:t xml:space="preserve"> </w:t>
      </w:r>
      <w:r w:rsidR="00541D31" w:rsidRPr="00541D31">
        <w:rPr>
          <w:rFonts w:ascii="Arial" w:hAnsi="Arial" w:cs="Arial"/>
          <w:sz w:val="20"/>
          <w:szCs w:val="20"/>
        </w:rPr>
        <w:t xml:space="preserve">odstotne točke. </w:t>
      </w:r>
    </w:p>
    <w:p w14:paraId="20D47F57" w14:textId="091129FE" w:rsidR="00840598" w:rsidRPr="001329E4" w:rsidRDefault="00840598" w:rsidP="00840598">
      <w:pPr>
        <w:spacing w:before="120" w:after="120" w:line="240" w:lineRule="auto"/>
        <w:rPr>
          <w:rFonts w:ascii="Arial" w:hAnsi="Arial" w:cs="Arial"/>
          <w:sz w:val="20"/>
        </w:rPr>
      </w:pPr>
      <w:r w:rsidRPr="001329E4">
        <w:rPr>
          <w:rFonts w:ascii="Arial" w:hAnsi="Arial" w:cs="Arial"/>
          <w:sz w:val="20"/>
        </w:rPr>
        <w:t>Graf </w:t>
      </w:r>
      <w:r w:rsidR="00ED4617" w:rsidRPr="001329E4">
        <w:rPr>
          <w:rFonts w:ascii="Arial" w:hAnsi="Arial" w:cs="Arial"/>
          <w:sz w:val="20"/>
        </w:rPr>
        <w:t>1</w:t>
      </w:r>
      <w:r w:rsidRPr="001329E4">
        <w:rPr>
          <w:rFonts w:ascii="Arial" w:hAnsi="Arial" w:cs="Arial"/>
          <w:sz w:val="20"/>
        </w:rPr>
        <w:t>: Delež javnih na</w:t>
      </w:r>
      <w:r w:rsidR="005B41F0" w:rsidRPr="001329E4">
        <w:rPr>
          <w:rFonts w:ascii="Arial" w:hAnsi="Arial" w:cs="Arial"/>
          <w:sz w:val="20"/>
        </w:rPr>
        <w:t>ročil, oddanih v letih 2011–201</w:t>
      </w:r>
      <w:r w:rsidR="001329E4" w:rsidRPr="001329E4">
        <w:rPr>
          <w:rFonts w:ascii="Arial" w:hAnsi="Arial" w:cs="Arial"/>
          <w:sz w:val="20"/>
        </w:rPr>
        <w:t>8</w:t>
      </w:r>
      <w:r w:rsidRPr="001329E4">
        <w:rPr>
          <w:rFonts w:ascii="Arial" w:hAnsi="Arial" w:cs="Arial"/>
          <w:sz w:val="20"/>
        </w:rPr>
        <w:t>, v BDP</w:t>
      </w:r>
    </w:p>
    <w:p w14:paraId="28CBA719" w14:textId="76AA95B1" w:rsidR="00840598" w:rsidRPr="00485C05" w:rsidRDefault="00840598" w:rsidP="005859AC">
      <w:pPr>
        <w:shd w:val="clear" w:color="auto" w:fill="FFFFFF"/>
        <w:spacing w:line="360" w:lineRule="auto"/>
        <w:ind w:left="181"/>
        <w:jc w:val="center"/>
        <w:rPr>
          <w:rFonts w:ascii="Arial" w:hAnsi="Arial" w:cs="Arial"/>
          <w:sz w:val="18"/>
        </w:rPr>
      </w:pPr>
      <w:r w:rsidRPr="00EF2D0B">
        <w:rPr>
          <w:rFonts w:ascii="Arial" w:hAnsi="Arial" w:cs="Arial"/>
          <w:noProof/>
          <w:color w:val="70AD47" w:themeColor="accent6"/>
          <w:sz w:val="20"/>
          <w:szCs w:val="20"/>
          <w:highlight w:val="yellow"/>
          <w:lang w:eastAsia="sl-SI"/>
        </w:rPr>
        <w:drawing>
          <wp:inline distT="0" distB="0" distL="0" distR="0" wp14:anchorId="27D62EF1" wp14:editId="282DCB0A">
            <wp:extent cx="5605670" cy="2656840"/>
            <wp:effectExtent l="0" t="0" r="0" b="0"/>
            <wp:docPr id="1" name="Grafikon 1" descr="Delež javnih naročil, oddanih v letih 2011–2018, v BDP."/>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85C05">
        <w:rPr>
          <w:rFonts w:ascii="Arial" w:hAnsi="Arial" w:cs="Arial"/>
          <w:sz w:val="18"/>
        </w:rPr>
        <w:t>Vir: Statistični podatki o javnih naro</w:t>
      </w:r>
      <w:r w:rsidR="005B41F0" w:rsidRPr="00485C05">
        <w:rPr>
          <w:rFonts w:ascii="Arial" w:hAnsi="Arial" w:cs="Arial"/>
          <w:sz w:val="18"/>
        </w:rPr>
        <w:t>čilih, oddanih v letih 2011–201</w:t>
      </w:r>
      <w:r w:rsidR="00485C05" w:rsidRPr="00485C05">
        <w:rPr>
          <w:rFonts w:ascii="Arial" w:hAnsi="Arial" w:cs="Arial"/>
          <w:sz w:val="18"/>
        </w:rPr>
        <w:t>8</w:t>
      </w:r>
    </w:p>
    <w:p w14:paraId="34AB576A" w14:textId="0C16BAA1" w:rsidR="004073D3" w:rsidRPr="00EF2D0B" w:rsidRDefault="004073D3" w:rsidP="004073D3">
      <w:pPr>
        <w:tabs>
          <w:tab w:val="left" w:pos="567"/>
          <w:tab w:val="left" w:pos="993"/>
        </w:tabs>
        <w:spacing w:line="360" w:lineRule="auto"/>
        <w:jc w:val="both"/>
        <w:rPr>
          <w:rFonts w:ascii="Arial" w:hAnsi="Arial" w:cs="Arial"/>
          <w:sz w:val="20"/>
          <w:szCs w:val="20"/>
          <w:highlight w:val="yellow"/>
        </w:rPr>
      </w:pPr>
      <w:r w:rsidRPr="00485C05">
        <w:rPr>
          <w:rFonts w:ascii="Arial" w:hAnsi="Arial" w:cs="Arial"/>
          <w:sz w:val="20"/>
          <w:szCs w:val="20"/>
        </w:rPr>
        <w:t>Ker statistični izračuni o oddanih javnih naročilih temeljijo na pogodbeni vrednosti brez DDV, je bila pri izračunu deleža j</w:t>
      </w:r>
      <w:r w:rsidR="0033089D" w:rsidRPr="00485C05">
        <w:rPr>
          <w:rFonts w:ascii="Arial" w:hAnsi="Arial" w:cs="Arial"/>
          <w:sz w:val="20"/>
          <w:szCs w:val="20"/>
        </w:rPr>
        <w:t>avnih naročil v BDP za leto 201</w:t>
      </w:r>
      <w:r w:rsidR="00217654" w:rsidRPr="00485C05">
        <w:rPr>
          <w:rFonts w:ascii="Arial" w:hAnsi="Arial" w:cs="Arial"/>
          <w:sz w:val="20"/>
          <w:szCs w:val="20"/>
        </w:rPr>
        <w:t>8</w:t>
      </w:r>
      <w:r w:rsidRPr="00485C05">
        <w:rPr>
          <w:rFonts w:ascii="Arial" w:hAnsi="Arial" w:cs="Arial"/>
          <w:sz w:val="20"/>
          <w:szCs w:val="20"/>
        </w:rPr>
        <w:t xml:space="preserve"> upoštevana tudi tehtana povprečna stopnja DDV, ki jo izračunava Statistični </w:t>
      </w:r>
      <w:r w:rsidR="00B63B35" w:rsidRPr="00485C05">
        <w:rPr>
          <w:rFonts w:ascii="Arial" w:hAnsi="Arial" w:cs="Arial"/>
          <w:sz w:val="20"/>
          <w:szCs w:val="20"/>
        </w:rPr>
        <w:t>u</w:t>
      </w:r>
      <w:r w:rsidRPr="00485C05">
        <w:rPr>
          <w:rFonts w:ascii="Arial" w:hAnsi="Arial" w:cs="Arial"/>
          <w:sz w:val="20"/>
          <w:szCs w:val="20"/>
        </w:rPr>
        <w:t xml:space="preserve">rad Republike Slovenije ob pripravi </w:t>
      </w:r>
      <w:r w:rsidR="00113889" w:rsidRPr="00485C05">
        <w:rPr>
          <w:rFonts w:ascii="Arial" w:hAnsi="Arial" w:cs="Arial"/>
          <w:sz w:val="20"/>
          <w:szCs w:val="20"/>
        </w:rPr>
        <w:t>p</w:t>
      </w:r>
      <w:r w:rsidRPr="00485C05">
        <w:rPr>
          <w:rFonts w:ascii="Arial" w:hAnsi="Arial" w:cs="Arial"/>
          <w:sz w:val="20"/>
          <w:szCs w:val="20"/>
        </w:rPr>
        <w:t>oročila o DDV</w:t>
      </w:r>
      <w:r w:rsidRPr="0057404D">
        <w:rPr>
          <w:rFonts w:ascii="Arial" w:hAnsi="Arial" w:cs="Arial"/>
          <w:sz w:val="20"/>
          <w:szCs w:val="20"/>
        </w:rPr>
        <w:t xml:space="preserve">, in sicer </w:t>
      </w:r>
      <w:r w:rsidRPr="0057404D">
        <w:rPr>
          <w:rFonts w:ascii="Arial" w:hAnsi="Arial" w:cs="Arial"/>
          <w:sz w:val="20"/>
          <w:szCs w:val="20"/>
          <w:shd w:val="clear" w:color="auto" w:fill="FFFFFF"/>
        </w:rPr>
        <w:t xml:space="preserve">v </w:t>
      </w:r>
      <w:r w:rsidRPr="0057404D">
        <w:rPr>
          <w:rFonts w:ascii="Arial" w:hAnsi="Arial" w:cs="Arial"/>
          <w:color w:val="000000" w:themeColor="text1"/>
          <w:sz w:val="20"/>
          <w:szCs w:val="20"/>
          <w:shd w:val="clear" w:color="auto" w:fill="FFFFFF"/>
        </w:rPr>
        <w:t xml:space="preserve">višini </w:t>
      </w:r>
      <w:r w:rsidR="0057404D" w:rsidRPr="0057404D">
        <w:rPr>
          <w:rFonts w:ascii="Arial" w:hAnsi="Arial" w:cs="Arial"/>
          <w:color w:val="000000" w:themeColor="text1"/>
          <w:sz w:val="20"/>
          <w:szCs w:val="20"/>
          <w:shd w:val="clear" w:color="auto" w:fill="FFFFFF"/>
        </w:rPr>
        <w:t xml:space="preserve">17,26 </w:t>
      </w:r>
      <w:r w:rsidR="00745D4D">
        <w:rPr>
          <w:rFonts w:ascii="Arial" w:hAnsi="Arial" w:cs="Arial"/>
          <w:color w:val="000000" w:themeColor="text1"/>
          <w:sz w:val="20"/>
          <w:szCs w:val="20"/>
          <w:shd w:val="clear" w:color="auto" w:fill="FFFFFF"/>
        </w:rPr>
        <w:t>%</w:t>
      </w:r>
      <w:r w:rsidR="0057404D" w:rsidRPr="0057404D">
        <w:rPr>
          <w:rFonts w:ascii="Arial" w:hAnsi="Arial" w:cs="Arial"/>
          <w:color w:val="000000" w:themeColor="text1"/>
          <w:sz w:val="20"/>
          <w:szCs w:val="20"/>
          <w:shd w:val="clear" w:color="auto" w:fill="FFFFFF"/>
        </w:rPr>
        <w:t>.</w:t>
      </w:r>
      <w:r w:rsidRPr="0057404D">
        <w:rPr>
          <w:rFonts w:ascii="Arial" w:hAnsi="Arial" w:cs="Arial"/>
          <w:color w:val="000000" w:themeColor="text1"/>
          <w:sz w:val="20"/>
          <w:szCs w:val="20"/>
        </w:rPr>
        <w:t xml:space="preserve"> </w:t>
      </w:r>
    </w:p>
    <w:p w14:paraId="35E8AE2B" w14:textId="5E0999A4" w:rsidR="00775DED" w:rsidRPr="005E4314" w:rsidRDefault="00775DED" w:rsidP="008A61FD">
      <w:pPr>
        <w:spacing w:before="120" w:after="120" w:line="240" w:lineRule="auto"/>
        <w:jc w:val="both"/>
        <w:rPr>
          <w:rFonts w:ascii="Arial" w:hAnsi="Arial" w:cs="Arial"/>
          <w:sz w:val="20"/>
        </w:rPr>
      </w:pPr>
      <w:r w:rsidRPr="005E4314">
        <w:rPr>
          <w:rFonts w:ascii="Arial" w:hAnsi="Arial" w:cs="Arial"/>
          <w:sz w:val="20"/>
        </w:rPr>
        <w:t xml:space="preserve">Preglednica </w:t>
      </w:r>
      <w:r w:rsidR="00ED4617" w:rsidRPr="005E4314">
        <w:rPr>
          <w:rFonts w:ascii="Arial" w:hAnsi="Arial" w:cs="Arial"/>
          <w:sz w:val="20"/>
        </w:rPr>
        <w:t>1</w:t>
      </w:r>
      <w:r w:rsidRPr="005E4314">
        <w:rPr>
          <w:rFonts w:ascii="Arial" w:hAnsi="Arial" w:cs="Arial"/>
          <w:sz w:val="20"/>
        </w:rPr>
        <w:t xml:space="preserve">: Vrste naročil </w:t>
      </w:r>
      <w:r w:rsidR="00113889" w:rsidRPr="005E4314">
        <w:rPr>
          <w:rFonts w:ascii="Arial" w:hAnsi="Arial" w:cs="Arial"/>
          <w:sz w:val="20"/>
        </w:rPr>
        <w:t>po</w:t>
      </w:r>
      <w:r w:rsidRPr="005E4314">
        <w:rPr>
          <w:rFonts w:ascii="Arial" w:hAnsi="Arial" w:cs="Arial"/>
          <w:sz w:val="20"/>
        </w:rPr>
        <w:t xml:space="preserve"> številu in vrednosti, upoštevan</w:t>
      </w:r>
      <w:r w:rsidR="00391021" w:rsidRPr="005E4314">
        <w:rPr>
          <w:rFonts w:ascii="Arial" w:hAnsi="Arial" w:cs="Arial"/>
          <w:sz w:val="20"/>
        </w:rPr>
        <w:t>ih</w:t>
      </w:r>
      <w:r w:rsidRPr="005E4314">
        <w:rPr>
          <w:rFonts w:ascii="Arial" w:hAnsi="Arial" w:cs="Arial"/>
          <w:sz w:val="20"/>
        </w:rPr>
        <w:t xml:space="preserve"> </w:t>
      </w:r>
      <w:r w:rsidR="00113889" w:rsidRPr="005E4314">
        <w:rPr>
          <w:rFonts w:ascii="Arial" w:hAnsi="Arial" w:cs="Arial"/>
          <w:sz w:val="20"/>
        </w:rPr>
        <w:t>pri</w:t>
      </w:r>
      <w:r w:rsidRPr="005E4314">
        <w:rPr>
          <w:rFonts w:ascii="Arial" w:hAnsi="Arial" w:cs="Arial"/>
          <w:sz w:val="20"/>
        </w:rPr>
        <w:t xml:space="preserve"> izračunu deleža javnih naročil v BDP</w:t>
      </w:r>
    </w:p>
    <w:tbl>
      <w:tblPr>
        <w:tblStyle w:val="Tabelamrea"/>
        <w:tblW w:w="8560" w:type="dxa"/>
        <w:tblLook w:val="04A0" w:firstRow="1" w:lastRow="0" w:firstColumn="1" w:lastColumn="0" w:noHBand="0" w:noVBand="1"/>
      </w:tblPr>
      <w:tblGrid>
        <w:gridCol w:w="5880"/>
        <w:gridCol w:w="1180"/>
        <w:gridCol w:w="1500"/>
      </w:tblGrid>
      <w:tr w:rsidR="00775DED" w:rsidRPr="005E4314" w14:paraId="0FD3B3AF" w14:textId="77777777" w:rsidTr="00E1481A">
        <w:trPr>
          <w:trHeight w:val="480"/>
        </w:trPr>
        <w:tc>
          <w:tcPr>
            <w:tcW w:w="5880" w:type="dxa"/>
            <w:hideMark/>
          </w:tcPr>
          <w:p w14:paraId="3A6E75EC" w14:textId="7DD33F2E" w:rsidR="00775DED" w:rsidRPr="005E4314" w:rsidRDefault="00775DED" w:rsidP="00226AE1">
            <w:pPr>
              <w:jc w:val="center"/>
              <w:rPr>
                <w:rFonts w:ascii="Arial" w:hAnsi="Arial" w:cs="Arial"/>
                <w:color w:val="000000"/>
                <w:sz w:val="18"/>
                <w:szCs w:val="18"/>
                <w:lang w:eastAsia="sl-SI"/>
              </w:rPr>
            </w:pPr>
            <w:r w:rsidRPr="005E4314">
              <w:rPr>
                <w:rFonts w:ascii="Arial" w:hAnsi="Arial" w:cs="Arial"/>
                <w:color w:val="000000"/>
                <w:sz w:val="18"/>
                <w:szCs w:val="18"/>
                <w:lang w:eastAsia="sl-SI"/>
              </w:rPr>
              <w:t xml:space="preserve">Upoštevano </w:t>
            </w:r>
            <w:r w:rsidR="00113889" w:rsidRPr="005E4314">
              <w:rPr>
                <w:rFonts w:ascii="Arial" w:hAnsi="Arial" w:cs="Arial"/>
                <w:color w:val="000000"/>
                <w:sz w:val="18"/>
                <w:szCs w:val="18"/>
                <w:lang w:eastAsia="sl-SI"/>
              </w:rPr>
              <w:t>pri</w:t>
            </w:r>
            <w:r w:rsidRPr="005E4314">
              <w:rPr>
                <w:rFonts w:ascii="Arial" w:hAnsi="Arial" w:cs="Arial"/>
                <w:color w:val="000000"/>
                <w:sz w:val="18"/>
                <w:szCs w:val="18"/>
                <w:lang w:eastAsia="sl-SI"/>
              </w:rPr>
              <w:t xml:space="preserve"> izračunu deleža </w:t>
            </w:r>
          </w:p>
        </w:tc>
        <w:tc>
          <w:tcPr>
            <w:tcW w:w="1180" w:type="dxa"/>
            <w:hideMark/>
          </w:tcPr>
          <w:p w14:paraId="3AAEB175" w14:textId="6FF113D3" w:rsidR="00775DED" w:rsidRPr="005E4314" w:rsidRDefault="00775DED" w:rsidP="00226AE1">
            <w:pPr>
              <w:jc w:val="center"/>
              <w:rPr>
                <w:rFonts w:ascii="Arial" w:hAnsi="Arial" w:cs="Arial"/>
                <w:color w:val="000000"/>
                <w:sz w:val="18"/>
                <w:szCs w:val="18"/>
                <w:lang w:eastAsia="sl-SI"/>
              </w:rPr>
            </w:pPr>
            <w:r w:rsidRPr="005E4314">
              <w:rPr>
                <w:rFonts w:ascii="Arial" w:hAnsi="Arial" w:cs="Arial"/>
                <w:color w:val="000000"/>
                <w:sz w:val="18"/>
                <w:szCs w:val="18"/>
                <w:lang w:eastAsia="sl-SI"/>
              </w:rPr>
              <w:t>Št</w:t>
            </w:r>
            <w:r w:rsidR="001A58CB" w:rsidRPr="005E4314">
              <w:rPr>
                <w:rFonts w:ascii="Arial" w:hAnsi="Arial" w:cs="Arial"/>
                <w:color w:val="000000"/>
                <w:sz w:val="18"/>
                <w:szCs w:val="18"/>
                <w:lang w:eastAsia="sl-SI"/>
              </w:rPr>
              <w:t>.</w:t>
            </w:r>
            <w:r w:rsidRPr="005E4314">
              <w:rPr>
                <w:rFonts w:ascii="Arial" w:hAnsi="Arial" w:cs="Arial"/>
                <w:color w:val="000000"/>
                <w:sz w:val="18"/>
                <w:szCs w:val="18"/>
                <w:lang w:eastAsia="sl-SI"/>
              </w:rPr>
              <w:t xml:space="preserve"> postopkov</w:t>
            </w:r>
          </w:p>
        </w:tc>
        <w:tc>
          <w:tcPr>
            <w:tcW w:w="1500" w:type="dxa"/>
            <w:hideMark/>
          </w:tcPr>
          <w:p w14:paraId="5ADA9D5C" w14:textId="77777777" w:rsidR="00775DED" w:rsidRPr="005E4314" w:rsidRDefault="00775DED" w:rsidP="00226AE1">
            <w:pPr>
              <w:jc w:val="center"/>
              <w:rPr>
                <w:rFonts w:ascii="Arial" w:hAnsi="Arial" w:cs="Arial"/>
                <w:color w:val="000000"/>
                <w:sz w:val="18"/>
                <w:szCs w:val="18"/>
                <w:lang w:eastAsia="sl-SI"/>
              </w:rPr>
            </w:pPr>
            <w:r w:rsidRPr="005E4314">
              <w:rPr>
                <w:rFonts w:ascii="Arial" w:hAnsi="Arial" w:cs="Arial"/>
                <w:color w:val="000000"/>
                <w:sz w:val="18"/>
                <w:szCs w:val="18"/>
                <w:lang w:eastAsia="sl-SI"/>
              </w:rPr>
              <w:t>Pogodbena vrednost</w:t>
            </w:r>
          </w:p>
        </w:tc>
      </w:tr>
      <w:tr w:rsidR="005E4314" w:rsidRPr="005E4314" w14:paraId="38862FEE" w14:textId="77777777" w:rsidTr="00E1481A">
        <w:trPr>
          <w:trHeight w:val="300"/>
        </w:trPr>
        <w:tc>
          <w:tcPr>
            <w:tcW w:w="5880" w:type="dxa"/>
            <w:hideMark/>
          </w:tcPr>
          <w:p w14:paraId="47A0EB35" w14:textId="30A657DA" w:rsidR="005E4314" w:rsidRPr="00AA74AA" w:rsidRDefault="005E4314" w:rsidP="005E4314">
            <w:pPr>
              <w:rPr>
                <w:rFonts w:ascii="Arial" w:hAnsi="Arial" w:cs="Arial"/>
                <w:color w:val="000000"/>
                <w:sz w:val="18"/>
                <w:szCs w:val="18"/>
                <w:lang w:val="sl-SI" w:eastAsia="sl-SI"/>
              </w:rPr>
            </w:pPr>
            <w:r w:rsidRPr="00AA74AA">
              <w:rPr>
                <w:rFonts w:ascii="Arial" w:hAnsi="Arial" w:cs="Arial"/>
                <w:color w:val="000000"/>
                <w:sz w:val="18"/>
                <w:szCs w:val="18"/>
                <w:lang w:val="sl-SI" w:eastAsia="sl-SI"/>
              </w:rPr>
              <w:t>Objavljena naročila na portalu javnih naročil oziroma v Uradnem listu Evropske unije</w:t>
            </w:r>
          </w:p>
        </w:tc>
        <w:tc>
          <w:tcPr>
            <w:tcW w:w="1180" w:type="dxa"/>
            <w:hideMark/>
          </w:tcPr>
          <w:p w14:paraId="036C37A9" w14:textId="041A3DA6" w:rsidR="005E4314" w:rsidRPr="005E4314" w:rsidRDefault="005E4314" w:rsidP="005E4314">
            <w:pPr>
              <w:jc w:val="right"/>
              <w:rPr>
                <w:rFonts w:ascii="Arial" w:hAnsi="Arial" w:cs="Arial"/>
                <w:color w:val="000000"/>
                <w:sz w:val="18"/>
                <w:szCs w:val="18"/>
                <w:lang w:eastAsia="sl-SI"/>
              </w:rPr>
            </w:pPr>
            <w:r w:rsidRPr="005E4314">
              <w:rPr>
                <w:rFonts w:ascii="Arial" w:hAnsi="Arial" w:cs="Arial"/>
                <w:sz w:val="18"/>
                <w:szCs w:val="18"/>
              </w:rPr>
              <w:t>6.739</w:t>
            </w:r>
          </w:p>
        </w:tc>
        <w:tc>
          <w:tcPr>
            <w:tcW w:w="1500" w:type="dxa"/>
            <w:hideMark/>
          </w:tcPr>
          <w:p w14:paraId="699FF4FB" w14:textId="2397153D" w:rsidR="005E4314" w:rsidRPr="005E4314" w:rsidRDefault="005E4314" w:rsidP="005E4314">
            <w:pPr>
              <w:jc w:val="right"/>
              <w:rPr>
                <w:rFonts w:ascii="Arial" w:hAnsi="Arial" w:cs="Arial"/>
                <w:color w:val="000000"/>
                <w:sz w:val="18"/>
                <w:szCs w:val="18"/>
                <w:lang w:eastAsia="sl-SI"/>
              </w:rPr>
            </w:pPr>
            <w:r w:rsidRPr="005E4314">
              <w:rPr>
                <w:rFonts w:ascii="Arial" w:hAnsi="Arial" w:cs="Arial"/>
                <w:sz w:val="18"/>
                <w:szCs w:val="18"/>
              </w:rPr>
              <w:t>2.918.594.609</w:t>
            </w:r>
          </w:p>
        </w:tc>
      </w:tr>
      <w:tr w:rsidR="005E4314" w:rsidRPr="005E4314" w14:paraId="67BA808B" w14:textId="77777777" w:rsidTr="00E1481A">
        <w:trPr>
          <w:trHeight w:val="300"/>
        </w:trPr>
        <w:tc>
          <w:tcPr>
            <w:tcW w:w="5880" w:type="dxa"/>
            <w:hideMark/>
          </w:tcPr>
          <w:p w14:paraId="0EE982C6" w14:textId="77777777" w:rsidR="005E4314" w:rsidRPr="005E4314" w:rsidRDefault="005E4314" w:rsidP="005E4314">
            <w:pPr>
              <w:rPr>
                <w:rFonts w:ascii="Arial" w:hAnsi="Arial" w:cs="Arial"/>
                <w:color w:val="000000"/>
                <w:sz w:val="18"/>
                <w:szCs w:val="18"/>
                <w:lang w:eastAsia="sl-SI"/>
              </w:rPr>
            </w:pPr>
            <w:r w:rsidRPr="005E4314">
              <w:rPr>
                <w:rFonts w:ascii="Arial" w:hAnsi="Arial" w:cs="Arial"/>
                <w:color w:val="000000"/>
                <w:sz w:val="18"/>
                <w:szCs w:val="18"/>
                <w:lang w:eastAsia="sl-SI"/>
              </w:rPr>
              <w:t xml:space="preserve">Evidenčna naročila </w:t>
            </w:r>
          </w:p>
        </w:tc>
        <w:tc>
          <w:tcPr>
            <w:tcW w:w="1180" w:type="dxa"/>
            <w:noWrap/>
            <w:hideMark/>
          </w:tcPr>
          <w:p w14:paraId="2F4A9A15" w14:textId="5AF02AEA" w:rsidR="005E4314" w:rsidRPr="005E4314" w:rsidRDefault="005E4314" w:rsidP="005E4314">
            <w:pPr>
              <w:jc w:val="right"/>
              <w:rPr>
                <w:rFonts w:ascii="Arial" w:hAnsi="Arial" w:cs="Arial"/>
                <w:color w:val="000000"/>
                <w:sz w:val="18"/>
                <w:szCs w:val="18"/>
                <w:lang w:eastAsia="sl-SI"/>
              </w:rPr>
            </w:pPr>
            <w:r w:rsidRPr="005E4314">
              <w:rPr>
                <w:rFonts w:ascii="Arial" w:hAnsi="Arial" w:cs="Arial"/>
                <w:sz w:val="18"/>
                <w:szCs w:val="18"/>
              </w:rPr>
              <w:t>1.052.365</w:t>
            </w:r>
          </w:p>
        </w:tc>
        <w:tc>
          <w:tcPr>
            <w:tcW w:w="1500" w:type="dxa"/>
            <w:noWrap/>
            <w:hideMark/>
          </w:tcPr>
          <w:p w14:paraId="5C05DB4A" w14:textId="26963378" w:rsidR="005E4314" w:rsidRPr="005E4314" w:rsidRDefault="005E4314" w:rsidP="005E4314">
            <w:pPr>
              <w:jc w:val="right"/>
              <w:rPr>
                <w:rFonts w:ascii="Arial" w:hAnsi="Arial" w:cs="Arial"/>
                <w:color w:val="000000"/>
                <w:sz w:val="18"/>
                <w:szCs w:val="18"/>
                <w:lang w:eastAsia="sl-SI"/>
              </w:rPr>
            </w:pPr>
            <w:r w:rsidRPr="005E4314">
              <w:rPr>
                <w:rFonts w:ascii="Arial" w:hAnsi="Arial" w:cs="Arial"/>
                <w:sz w:val="18"/>
                <w:szCs w:val="18"/>
              </w:rPr>
              <w:t>1.007.513.578</w:t>
            </w:r>
          </w:p>
        </w:tc>
      </w:tr>
      <w:tr w:rsidR="005E4314" w:rsidRPr="005E4314" w14:paraId="4D8344CB" w14:textId="77777777" w:rsidTr="00E1481A">
        <w:trPr>
          <w:trHeight w:val="300"/>
        </w:trPr>
        <w:tc>
          <w:tcPr>
            <w:tcW w:w="5880" w:type="dxa"/>
            <w:hideMark/>
          </w:tcPr>
          <w:p w14:paraId="78E24C74" w14:textId="4B3DFD4E" w:rsidR="005E4314" w:rsidRPr="005E4314" w:rsidRDefault="005E4314" w:rsidP="005E4314">
            <w:pPr>
              <w:rPr>
                <w:rFonts w:ascii="Arial" w:hAnsi="Arial" w:cs="Arial"/>
                <w:color w:val="000000"/>
                <w:sz w:val="18"/>
                <w:szCs w:val="18"/>
                <w:lang w:eastAsia="sl-SI"/>
              </w:rPr>
            </w:pPr>
            <w:r w:rsidRPr="005E4314">
              <w:rPr>
                <w:rFonts w:ascii="Arial" w:hAnsi="Arial" w:cs="Arial"/>
                <w:color w:val="000000"/>
                <w:sz w:val="18"/>
                <w:szCs w:val="18"/>
                <w:lang w:eastAsia="sl-SI"/>
              </w:rPr>
              <w:t>Neprednostne storitve</w:t>
            </w:r>
          </w:p>
        </w:tc>
        <w:tc>
          <w:tcPr>
            <w:tcW w:w="1180" w:type="dxa"/>
            <w:hideMark/>
          </w:tcPr>
          <w:p w14:paraId="1C9BF6ED" w14:textId="40F4D481" w:rsidR="005E4314" w:rsidRPr="005E4314" w:rsidRDefault="005E4314" w:rsidP="005E4314">
            <w:pPr>
              <w:jc w:val="right"/>
              <w:rPr>
                <w:rFonts w:ascii="Arial" w:hAnsi="Arial" w:cs="Arial"/>
                <w:color w:val="000000" w:themeColor="text1"/>
                <w:sz w:val="18"/>
                <w:szCs w:val="18"/>
                <w:lang w:eastAsia="sl-SI"/>
              </w:rPr>
            </w:pPr>
            <w:r w:rsidRPr="005E4314">
              <w:rPr>
                <w:rFonts w:ascii="Arial" w:hAnsi="Arial" w:cs="Arial"/>
                <w:sz w:val="18"/>
                <w:szCs w:val="18"/>
              </w:rPr>
              <w:t>2</w:t>
            </w:r>
          </w:p>
        </w:tc>
        <w:tc>
          <w:tcPr>
            <w:tcW w:w="1500" w:type="dxa"/>
            <w:hideMark/>
          </w:tcPr>
          <w:p w14:paraId="265CB472" w14:textId="27208F72" w:rsidR="005E4314" w:rsidRPr="005E4314" w:rsidRDefault="005E4314" w:rsidP="005E4314">
            <w:pPr>
              <w:jc w:val="right"/>
              <w:rPr>
                <w:rFonts w:ascii="Arial" w:hAnsi="Arial" w:cs="Arial"/>
                <w:color w:val="000000" w:themeColor="text1"/>
                <w:sz w:val="18"/>
                <w:szCs w:val="18"/>
                <w:lang w:eastAsia="sl-SI"/>
              </w:rPr>
            </w:pPr>
            <w:r w:rsidRPr="005E4314">
              <w:rPr>
                <w:rFonts w:ascii="Arial" w:hAnsi="Arial" w:cs="Arial"/>
                <w:sz w:val="18"/>
                <w:szCs w:val="18"/>
              </w:rPr>
              <w:t>1.337.885</w:t>
            </w:r>
          </w:p>
        </w:tc>
      </w:tr>
      <w:tr w:rsidR="005E4314" w:rsidRPr="005E4314" w14:paraId="60680F8C" w14:textId="77777777" w:rsidTr="00E1481A">
        <w:trPr>
          <w:trHeight w:val="300"/>
        </w:trPr>
        <w:tc>
          <w:tcPr>
            <w:tcW w:w="5880" w:type="dxa"/>
            <w:hideMark/>
          </w:tcPr>
          <w:p w14:paraId="3FF2EF3F" w14:textId="07F8D737" w:rsidR="005E4314" w:rsidRPr="005E4314" w:rsidRDefault="005E4314" w:rsidP="005E4314">
            <w:pPr>
              <w:rPr>
                <w:rFonts w:ascii="Arial" w:hAnsi="Arial" w:cs="Arial"/>
                <w:b/>
                <w:bCs/>
                <w:color w:val="000000"/>
                <w:sz w:val="18"/>
                <w:szCs w:val="18"/>
                <w:lang w:eastAsia="sl-SI"/>
              </w:rPr>
            </w:pPr>
            <w:r w:rsidRPr="005E4314">
              <w:rPr>
                <w:rFonts w:ascii="Arial" w:hAnsi="Arial" w:cs="Arial"/>
                <w:b/>
                <w:bCs/>
                <w:color w:val="000000"/>
                <w:sz w:val="18"/>
                <w:szCs w:val="18"/>
                <w:lang w:eastAsia="sl-SI"/>
              </w:rPr>
              <w:t>Skupaj</w:t>
            </w:r>
          </w:p>
        </w:tc>
        <w:tc>
          <w:tcPr>
            <w:tcW w:w="1180" w:type="dxa"/>
            <w:noWrap/>
            <w:hideMark/>
          </w:tcPr>
          <w:p w14:paraId="65D11302" w14:textId="5903EFC0" w:rsidR="005E4314" w:rsidRPr="005E4314" w:rsidRDefault="005E4314" w:rsidP="005E4314">
            <w:pPr>
              <w:jc w:val="right"/>
              <w:rPr>
                <w:rFonts w:ascii="Arial" w:hAnsi="Arial" w:cs="Arial"/>
                <w:b/>
                <w:bCs/>
                <w:color w:val="000000"/>
                <w:sz w:val="18"/>
                <w:szCs w:val="18"/>
                <w:lang w:eastAsia="sl-SI"/>
              </w:rPr>
            </w:pPr>
            <w:r w:rsidRPr="005E4314">
              <w:rPr>
                <w:rFonts w:ascii="Arial" w:hAnsi="Arial" w:cs="Arial"/>
                <w:b/>
                <w:sz w:val="18"/>
                <w:szCs w:val="18"/>
              </w:rPr>
              <w:t>1.059.106</w:t>
            </w:r>
          </w:p>
        </w:tc>
        <w:tc>
          <w:tcPr>
            <w:tcW w:w="1500" w:type="dxa"/>
            <w:noWrap/>
            <w:hideMark/>
          </w:tcPr>
          <w:p w14:paraId="20D32CBD" w14:textId="4576C4BB" w:rsidR="005E4314" w:rsidRPr="005E4314" w:rsidRDefault="005E4314" w:rsidP="005E4314">
            <w:pPr>
              <w:jc w:val="right"/>
              <w:rPr>
                <w:rFonts w:ascii="Arial" w:hAnsi="Arial" w:cs="Arial"/>
                <w:b/>
                <w:bCs/>
                <w:color w:val="000000"/>
                <w:sz w:val="18"/>
                <w:szCs w:val="18"/>
                <w:lang w:eastAsia="sl-SI"/>
              </w:rPr>
            </w:pPr>
            <w:r w:rsidRPr="005E4314">
              <w:rPr>
                <w:rFonts w:ascii="Arial" w:hAnsi="Arial" w:cs="Arial"/>
                <w:b/>
                <w:sz w:val="18"/>
                <w:szCs w:val="18"/>
              </w:rPr>
              <w:t>3.927.446.072</w:t>
            </w:r>
          </w:p>
        </w:tc>
      </w:tr>
      <w:tr w:rsidR="001A58CB" w:rsidRPr="005E4314" w14:paraId="6E70B952" w14:textId="77777777" w:rsidTr="00E1481A">
        <w:trPr>
          <w:trHeight w:val="300"/>
        </w:trPr>
        <w:tc>
          <w:tcPr>
            <w:tcW w:w="7060" w:type="dxa"/>
            <w:gridSpan w:val="2"/>
            <w:hideMark/>
          </w:tcPr>
          <w:p w14:paraId="336B1BC9" w14:textId="7DD15065" w:rsidR="001A58CB" w:rsidRPr="005E4314" w:rsidRDefault="001A58CB" w:rsidP="00226AE1">
            <w:pPr>
              <w:rPr>
                <w:rFonts w:ascii="Arial" w:hAnsi="Arial" w:cs="Arial"/>
                <w:b/>
                <w:bCs/>
                <w:color w:val="000000"/>
                <w:sz w:val="18"/>
                <w:szCs w:val="18"/>
                <w:lang w:eastAsia="sl-SI"/>
              </w:rPr>
            </w:pPr>
            <w:proofErr w:type="spellStart"/>
            <w:r w:rsidRPr="005E4314">
              <w:rPr>
                <w:rFonts w:ascii="Arial" w:hAnsi="Arial" w:cs="Arial"/>
                <w:b/>
                <w:bCs/>
                <w:color w:val="000000"/>
                <w:sz w:val="18"/>
                <w:szCs w:val="18"/>
                <w:lang w:eastAsia="sl-SI"/>
              </w:rPr>
              <w:t>Skupaj</w:t>
            </w:r>
            <w:proofErr w:type="spellEnd"/>
            <w:r w:rsidRPr="005E4314">
              <w:rPr>
                <w:rFonts w:ascii="Arial" w:hAnsi="Arial" w:cs="Arial"/>
                <w:b/>
                <w:bCs/>
                <w:color w:val="000000"/>
                <w:sz w:val="18"/>
                <w:szCs w:val="18"/>
                <w:lang w:eastAsia="sl-SI"/>
              </w:rPr>
              <w:t xml:space="preserve"> s </w:t>
            </w:r>
            <w:proofErr w:type="spellStart"/>
            <w:r w:rsidRPr="005E4314">
              <w:rPr>
                <w:rFonts w:ascii="Arial" w:hAnsi="Arial" w:cs="Arial"/>
                <w:b/>
                <w:bCs/>
                <w:color w:val="000000"/>
                <w:sz w:val="18"/>
                <w:szCs w:val="18"/>
                <w:lang w:eastAsia="sl-SI"/>
              </w:rPr>
              <w:t>tehtano</w:t>
            </w:r>
            <w:proofErr w:type="spellEnd"/>
            <w:r w:rsidRPr="005E4314">
              <w:rPr>
                <w:rFonts w:ascii="Arial" w:hAnsi="Arial" w:cs="Arial"/>
                <w:b/>
                <w:bCs/>
                <w:color w:val="000000"/>
                <w:sz w:val="18"/>
                <w:szCs w:val="18"/>
                <w:lang w:eastAsia="sl-SI"/>
              </w:rPr>
              <w:t xml:space="preserve"> </w:t>
            </w:r>
            <w:proofErr w:type="spellStart"/>
            <w:r w:rsidRPr="005E4314">
              <w:rPr>
                <w:rFonts w:ascii="Arial" w:hAnsi="Arial" w:cs="Arial"/>
                <w:b/>
                <w:bCs/>
                <w:color w:val="000000"/>
                <w:sz w:val="18"/>
                <w:szCs w:val="18"/>
                <w:lang w:eastAsia="sl-SI"/>
              </w:rPr>
              <w:t>povprečno</w:t>
            </w:r>
            <w:proofErr w:type="spellEnd"/>
            <w:r w:rsidRPr="005E4314">
              <w:rPr>
                <w:rFonts w:ascii="Arial" w:hAnsi="Arial" w:cs="Arial"/>
                <w:b/>
                <w:bCs/>
                <w:color w:val="000000"/>
                <w:sz w:val="18"/>
                <w:szCs w:val="18"/>
                <w:lang w:eastAsia="sl-SI"/>
              </w:rPr>
              <w:t xml:space="preserve"> stopnjo DDV </w:t>
            </w:r>
          </w:p>
        </w:tc>
        <w:tc>
          <w:tcPr>
            <w:tcW w:w="1500" w:type="dxa"/>
            <w:noWrap/>
          </w:tcPr>
          <w:p w14:paraId="2F15B295" w14:textId="3E27E96B" w:rsidR="001A58CB" w:rsidRPr="0042492E" w:rsidRDefault="005E5108" w:rsidP="00226AE1">
            <w:pPr>
              <w:jc w:val="right"/>
              <w:rPr>
                <w:rFonts w:ascii="Arial" w:hAnsi="Arial" w:cs="Arial"/>
                <w:b/>
                <w:bCs/>
                <w:color w:val="000000"/>
                <w:sz w:val="18"/>
                <w:szCs w:val="18"/>
                <w:highlight w:val="yellow"/>
                <w:lang w:eastAsia="sl-SI"/>
              </w:rPr>
            </w:pPr>
            <w:r w:rsidRPr="005E5108">
              <w:rPr>
                <w:rFonts w:ascii="Arial" w:hAnsi="Arial" w:cs="Arial"/>
                <w:b/>
                <w:bCs/>
                <w:color w:val="000000"/>
                <w:sz w:val="18"/>
                <w:szCs w:val="18"/>
                <w:lang w:eastAsia="sl-SI"/>
              </w:rPr>
              <w:t>4.605.323.264</w:t>
            </w:r>
          </w:p>
        </w:tc>
      </w:tr>
    </w:tbl>
    <w:p w14:paraId="7263C7D5" w14:textId="77777777" w:rsidR="003156F5" w:rsidRPr="005E4314" w:rsidRDefault="003156F5" w:rsidP="003156F5">
      <w:pPr>
        <w:spacing w:after="0" w:line="240" w:lineRule="auto"/>
        <w:jc w:val="center"/>
        <w:rPr>
          <w:rFonts w:ascii="Arial" w:hAnsi="Arial" w:cs="Arial"/>
          <w:sz w:val="18"/>
        </w:rPr>
      </w:pPr>
    </w:p>
    <w:p w14:paraId="27690963" w14:textId="3F3679D4" w:rsidR="00775DED" w:rsidRDefault="00775DED" w:rsidP="00701C10">
      <w:pPr>
        <w:spacing w:after="240" w:line="240" w:lineRule="auto"/>
        <w:jc w:val="center"/>
        <w:rPr>
          <w:rFonts w:ascii="Arial" w:hAnsi="Arial" w:cs="Arial"/>
          <w:sz w:val="18"/>
        </w:rPr>
      </w:pPr>
      <w:r w:rsidRPr="005E4314">
        <w:rPr>
          <w:rFonts w:ascii="Arial" w:hAnsi="Arial" w:cs="Arial"/>
          <w:sz w:val="18"/>
        </w:rPr>
        <w:t>Vir: Statistični podatki o javni</w:t>
      </w:r>
      <w:r w:rsidR="003A12A1" w:rsidRPr="005E4314">
        <w:rPr>
          <w:rFonts w:ascii="Arial" w:hAnsi="Arial" w:cs="Arial"/>
          <w:sz w:val="18"/>
        </w:rPr>
        <w:t>h naročilih, oddanih v letu 201</w:t>
      </w:r>
      <w:r w:rsidR="005E4314" w:rsidRPr="005E4314">
        <w:rPr>
          <w:rFonts w:ascii="Arial" w:hAnsi="Arial" w:cs="Arial"/>
          <w:sz w:val="18"/>
        </w:rPr>
        <w:t>8</w:t>
      </w:r>
    </w:p>
    <w:p w14:paraId="27EC95CE" w14:textId="77777777" w:rsidR="00E43A6E" w:rsidRPr="005E4314" w:rsidRDefault="00E43A6E" w:rsidP="00701C10">
      <w:pPr>
        <w:spacing w:after="240" w:line="240" w:lineRule="auto"/>
        <w:jc w:val="center"/>
        <w:rPr>
          <w:rFonts w:ascii="Arial" w:hAnsi="Arial" w:cs="Arial"/>
          <w:sz w:val="18"/>
        </w:rPr>
      </w:pPr>
    </w:p>
    <w:p w14:paraId="40D01365" w14:textId="57EE426E" w:rsidR="00AA5A3E" w:rsidRPr="007662B8" w:rsidRDefault="00AA5A3E" w:rsidP="003A6C9F">
      <w:pPr>
        <w:pStyle w:val="Naslov3"/>
        <w:rPr>
          <w:rFonts w:ascii="Arial" w:hAnsi="Arial" w:cs="Arial"/>
          <w:sz w:val="22"/>
          <w:szCs w:val="22"/>
        </w:rPr>
      </w:pPr>
      <w:bookmarkStart w:id="5" w:name="_Toc17114044"/>
      <w:r w:rsidRPr="007662B8">
        <w:rPr>
          <w:rFonts w:ascii="Arial" w:hAnsi="Arial" w:cs="Arial"/>
          <w:sz w:val="22"/>
          <w:szCs w:val="22"/>
        </w:rPr>
        <w:lastRenderedPageBreak/>
        <w:t>2.1.2 Delež javnega naročanja v odhodkih proračuna</w:t>
      </w:r>
      <w:bookmarkEnd w:id="5"/>
    </w:p>
    <w:p w14:paraId="0984ECD3" w14:textId="77777777" w:rsidR="00854405" w:rsidRPr="00EF2D0B" w:rsidRDefault="00854405" w:rsidP="00854405">
      <w:pPr>
        <w:pStyle w:val="ZADEVA"/>
        <w:jc w:val="both"/>
        <w:rPr>
          <w:rFonts w:cs="Arial"/>
          <w:b w:val="0"/>
          <w:szCs w:val="20"/>
          <w:highlight w:val="yellow"/>
          <w:lang w:val="sl-SI"/>
        </w:rPr>
      </w:pPr>
    </w:p>
    <w:p w14:paraId="3FC56A96" w14:textId="5F026BCF" w:rsidR="005F6B8F" w:rsidRPr="001E219B" w:rsidRDefault="00BD6B05" w:rsidP="00B24A26">
      <w:pPr>
        <w:spacing w:line="360" w:lineRule="auto"/>
        <w:jc w:val="both"/>
        <w:rPr>
          <w:rFonts w:ascii="Arial" w:hAnsi="Arial" w:cs="Arial"/>
          <w:bCs/>
          <w:color w:val="FF0000"/>
          <w:sz w:val="20"/>
          <w:szCs w:val="20"/>
        </w:rPr>
      </w:pPr>
      <w:r>
        <w:rPr>
          <w:rFonts w:ascii="Arial" w:hAnsi="Arial" w:cs="Arial"/>
          <w:bCs/>
          <w:sz w:val="20"/>
          <w:szCs w:val="20"/>
        </w:rPr>
        <w:t>Leta</w:t>
      </w:r>
      <w:r w:rsidR="009867C3" w:rsidRPr="00760B82">
        <w:rPr>
          <w:rFonts w:ascii="Arial" w:hAnsi="Arial" w:cs="Arial"/>
          <w:bCs/>
          <w:sz w:val="20"/>
          <w:szCs w:val="20"/>
        </w:rPr>
        <w:t xml:space="preserve"> 201</w:t>
      </w:r>
      <w:r w:rsidR="00F200FA" w:rsidRPr="00760B82">
        <w:rPr>
          <w:rFonts w:ascii="Arial" w:hAnsi="Arial" w:cs="Arial"/>
          <w:bCs/>
          <w:sz w:val="20"/>
          <w:szCs w:val="20"/>
        </w:rPr>
        <w:t>8</w:t>
      </w:r>
      <w:r w:rsidR="009867C3" w:rsidRPr="00760B82">
        <w:rPr>
          <w:rFonts w:ascii="Arial" w:hAnsi="Arial" w:cs="Arial"/>
          <w:bCs/>
          <w:sz w:val="20"/>
          <w:szCs w:val="20"/>
        </w:rPr>
        <w:t xml:space="preserve"> so znašali odhodki proračuna Republike Slovenije 9.</w:t>
      </w:r>
      <w:r w:rsidR="00760B82" w:rsidRPr="00760B82">
        <w:rPr>
          <w:rFonts w:ascii="Arial" w:hAnsi="Arial" w:cs="Arial"/>
          <w:bCs/>
          <w:sz w:val="20"/>
          <w:szCs w:val="20"/>
        </w:rPr>
        <w:t>463</w:t>
      </w:r>
      <w:r w:rsidR="009867C3" w:rsidRPr="00760B82">
        <w:rPr>
          <w:rFonts w:ascii="Arial" w:hAnsi="Arial" w:cs="Arial"/>
          <w:bCs/>
          <w:sz w:val="20"/>
          <w:szCs w:val="20"/>
        </w:rPr>
        <w:t>.</w:t>
      </w:r>
      <w:r w:rsidR="00760B82" w:rsidRPr="00760B82">
        <w:rPr>
          <w:rFonts w:ascii="Arial" w:hAnsi="Arial" w:cs="Arial"/>
          <w:bCs/>
          <w:sz w:val="20"/>
          <w:szCs w:val="20"/>
        </w:rPr>
        <w:t>367</w:t>
      </w:r>
      <w:r w:rsidR="009867C3" w:rsidRPr="00760B82">
        <w:rPr>
          <w:rFonts w:ascii="Arial" w:hAnsi="Arial" w:cs="Arial"/>
          <w:bCs/>
          <w:sz w:val="20"/>
          <w:szCs w:val="20"/>
        </w:rPr>
        <w:t>.</w:t>
      </w:r>
      <w:r w:rsidR="00760B82" w:rsidRPr="00760B82">
        <w:rPr>
          <w:rFonts w:ascii="Arial" w:hAnsi="Arial" w:cs="Arial"/>
          <w:bCs/>
          <w:sz w:val="20"/>
          <w:szCs w:val="20"/>
        </w:rPr>
        <w:t>275</w:t>
      </w:r>
      <w:r w:rsidR="009867C3" w:rsidRPr="00760B82">
        <w:rPr>
          <w:rFonts w:ascii="Arial" w:hAnsi="Arial" w:cs="Arial"/>
          <w:bCs/>
          <w:sz w:val="20"/>
          <w:szCs w:val="20"/>
        </w:rPr>
        <w:t xml:space="preserve"> evrov</w:t>
      </w:r>
      <w:r w:rsidR="009867C3" w:rsidRPr="00760B82">
        <w:rPr>
          <w:rStyle w:val="Sprotnaopomba-sklic"/>
          <w:rFonts w:ascii="Arial" w:hAnsi="Arial" w:cs="Arial"/>
          <w:bCs/>
          <w:sz w:val="20"/>
          <w:szCs w:val="20"/>
        </w:rPr>
        <w:footnoteReference w:id="2"/>
      </w:r>
      <w:r w:rsidR="009867C3" w:rsidRPr="00760B82">
        <w:rPr>
          <w:rFonts w:ascii="Arial" w:hAnsi="Arial" w:cs="Arial"/>
          <w:bCs/>
          <w:sz w:val="20"/>
          <w:szCs w:val="20"/>
        </w:rPr>
        <w:t xml:space="preserve">, </w:t>
      </w:r>
      <w:r w:rsidR="009867C3" w:rsidRPr="006A1B5C">
        <w:rPr>
          <w:rFonts w:ascii="Arial" w:hAnsi="Arial" w:cs="Arial"/>
          <w:bCs/>
          <w:sz w:val="20"/>
          <w:szCs w:val="20"/>
        </w:rPr>
        <w:t xml:space="preserve">odhodki samoupravnih lokalnih skupnosti pa </w:t>
      </w:r>
      <w:bookmarkStart w:id="6" w:name="_Hlk12536205"/>
      <w:r w:rsidR="006A1B5C" w:rsidRPr="006A1B5C">
        <w:rPr>
          <w:rFonts w:ascii="Arial" w:hAnsi="Arial" w:cs="Arial"/>
          <w:bCs/>
          <w:sz w:val="20"/>
          <w:szCs w:val="20"/>
        </w:rPr>
        <w:t>2.198.005.263</w:t>
      </w:r>
      <w:r w:rsidR="009867C3" w:rsidRPr="006A1B5C">
        <w:rPr>
          <w:rFonts w:ascii="Arial" w:hAnsi="Arial" w:cs="Arial"/>
          <w:sz w:val="20"/>
          <w:szCs w:val="20"/>
        </w:rPr>
        <w:t xml:space="preserve"> </w:t>
      </w:r>
      <w:r w:rsidR="009867C3" w:rsidRPr="006A1B5C">
        <w:rPr>
          <w:rFonts w:ascii="Arial" w:hAnsi="Arial" w:cs="Arial"/>
          <w:bCs/>
          <w:sz w:val="20"/>
          <w:szCs w:val="20"/>
        </w:rPr>
        <w:t>evrov</w:t>
      </w:r>
      <w:bookmarkEnd w:id="6"/>
      <w:r w:rsidR="009867C3" w:rsidRPr="006A1B5C">
        <w:rPr>
          <w:rFonts w:ascii="Arial" w:hAnsi="Arial" w:cs="Arial"/>
          <w:bCs/>
          <w:sz w:val="20"/>
          <w:szCs w:val="20"/>
        </w:rPr>
        <w:t>.</w:t>
      </w:r>
      <w:r w:rsidR="009867C3" w:rsidRPr="006A1B5C">
        <w:rPr>
          <w:rStyle w:val="Sprotnaopomba-sklic"/>
          <w:rFonts w:ascii="Arial" w:hAnsi="Arial" w:cs="Arial"/>
          <w:bCs/>
          <w:sz w:val="20"/>
          <w:szCs w:val="20"/>
        </w:rPr>
        <w:footnoteReference w:id="3"/>
      </w:r>
      <w:r w:rsidR="009867C3" w:rsidRPr="006A1B5C">
        <w:rPr>
          <w:rFonts w:ascii="Arial" w:hAnsi="Arial" w:cs="Arial"/>
          <w:bCs/>
          <w:sz w:val="20"/>
          <w:szCs w:val="20"/>
        </w:rPr>
        <w:t xml:space="preserve"> </w:t>
      </w:r>
      <w:r w:rsidR="006507A8" w:rsidRPr="006A1B5C">
        <w:rPr>
          <w:rFonts w:ascii="Arial" w:hAnsi="Arial" w:cs="Arial"/>
          <w:bCs/>
          <w:sz w:val="20"/>
          <w:szCs w:val="20"/>
        </w:rPr>
        <w:t>Na</w:t>
      </w:r>
      <w:r w:rsidR="006507A8" w:rsidRPr="001E219B">
        <w:rPr>
          <w:rFonts w:ascii="Arial" w:hAnsi="Arial" w:cs="Arial"/>
          <w:bCs/>
          <w:sz w:val="20"/>
          <w:szCs w:val="20"/>
        </w:rPr>
        <w:t xml:space="preserve"> podlagi statističnih podatkov je bilo</w:t>
      </w:r>
      <w:r w:rsidR="00663697" w:rsidRPr="001E219B">
        <w:rPr>
          <w:rFonts w:ascii="Arial" w:hAnsi="Arial" w:cs="Arial"/>
          <w:bCs/>
          <w:sz w:val="20"/>
          <w:szCs w:val="20"/>
        </w:rPr>
        <w:t xml:space="preserve"> v Republiki Sloveniji leta 201</w:t>
      </w:r>
      <w:r w:rsidR="001E219B">
        <w:rPr>
          <w:rFonts w:ascii="Arial" w:hAnsi="Arial" w:cs="Arial"/>
          <w:bCs/>
          <w:sz w:val="20"/>
          <w:szCs w:val="20"/>
        </w:rPr>
        <w:t>8</w:t>
      </w:r>
      <w:r w:rsidR="006507A8" w:rsidRPr="001E219B">
        <w:rPr>
          <w:rFonts w:ascii="Arial" w:hAnsi="Arial" w:cs="Arial"/>
          <w:bCs/>
          <w:sz w:val="20"/>
          <w:szCs w:val="20"/>
        </w:rPr>
        <w:t xml:space="preserve"> oddanih za </w:t>
      </w:r>
      <w:r w:rsidR="00032A5B" w:rsidRPr="00032A5B">
        <w:rPr>
          <w:rFonts w:ascii="Arial" w:hAnsi="Arial" w:cs="Arial"/>
          <w:bCs/>
          <w:sz w:val="20"/>
          <w:szCs w:val="20"/>
        </w:rPr>
        <w:t>4.605.323.264</w:t>
      </w:r>
      <w:r w:rsidR="00032A5B">
        <w:rPr>
          <w:rFonts w:ascii="Arial" w:hAnsi="Arial" w:cs="Arial"/>
          <w:bCs/>
          <w:sz w:val="20"/>
          <w:szCs w:val="20"/>
        </w:rPr>
        <w:t xml:space="preserve"> </w:t>
      </w:r>
      <w:r w:rsidR="006507A8" w:rsidRPr="001E219B">
        <w:rPr>
          <w:rFonts w:ascii="Arial" w:hAnsi="Arial" w:cs="Arial"/>
          <w:bCs/>
          <w:sz w:val="20"/>
          <w:szCs w:val="20"/>
        </w:rPr>
        <w:t>evrov javnih naročil, pri čemer je upoštevana tudi tehtana povp</w:t>
      </w:r>
      <w:r w:rsidR="00663697" w:rsidRPr="001E219B">
        <w:rPr>
          <w:rFonts w:ascii="Arial" w:hAnsi="Arial" w:cs="Arial"/>
          <w:bCs/>
          <w:sz w:val="20"/>
          <w:szCs w:val="20"/>
        </w:rPr>
        <w:t xml:space="preserve">rečna stopnja DDV v </w:t>
      </w:r>
      <w:r w:rsidR="00663697" w:rsidRPr="00032A5B">
        <w:rPr>
          <w:rFonts w:ascii="Arial" w:hAnsi="Arial" w:cs="Arial"/>
          <w:bCs/>
          <w:sz w:val="20"/>
          <w:szCs w:val="20"/>
        </w:rPr>
        <w:t>višini 17,</w:t>
      </w:r>
      <w:r w:rsidR="00032A5B" w:rsidRPr="00032A5B">
        <w:rPr>
          <w:rFonts w:ascii="Arial" w:hAnsi="Arial" w:cs="Arial"/>
          <w:bCs/>
          <w:sz w:val="20"/>
          <w:szCs w:val="20"/>
        </w:rPr>
        <w:t>26</w:t>
      </w:r>
      <w:r w:rsidR="006507A8" w:rsidRPr="00032A5B">
        <w:rPr>
          <w:rFonts w:ascii="Arial" w:hAnsi="Arial" w:cs="Arial"/>
          <w:bCs/>
          <w:sz w:val="20"/>
          <w:szCs w:val="20"/>
        </w:rPr>
        <w:t xml:space="preserve"> %.</w:t>
      </w:r>
    </w:p>
    <w:p w14:paraId="08461A7D" w14:textId="7AEEBC50" w:rsidR="004073D3" w:rsidRPr="007662B8" w:rsidRDefault="004073D3" w:rsidP="004073D3">
      <w:pPr>
        <w:spacing w:line="360" w:lineRule="auto"/>
        <w:jc w:val="both"/>
        <w:rPr>
          <w:rFonts w:ascii="Arial" w:hAnsi="Arial" w:cs="Arial"/>
          <w:bCs/>
          <w:sz w:val="20"/>
          <w:szCs w:val="20"/>
        </w:rPr>
      </w:pPr>
      <w:r w:rsidRPr="007662B8">
        <w:rPr>
          <w:rFonts w:ascii="Arial" w:hAnsi="Arial" w:cs="Arial"/>
          <w:bCs/>
          <w:sz w:val="20"/>
          <w:szCs w:val="20"/>
        </w:rPr>
        <w:t>V letu 201</w:t>
      </w:r>
      <w:r w:rsidR="00BD344D" w:rsidRPr="007662B8">
        <w:rPr>
          <w:rFonts w:ascii="Arial" w:hAnsi="Arial" w:cs="Arial"/>
          <w:bCs/>
          <w:sz w:val="20"/>
          <w:szCs w:val="20"/>
        </w:rPr>
        <w:t>8</w:t>
      </w:r>
      <w:r w:rsidR="00584C0D" w:rsidRPr="007662B8">
        <w:rPr>
          <w:rFonts w:ascii="Arial" w:hAnsi="Arial" w:cs="Arial"/>
          <w:bCs/>
          <w:sz w:val="20"/>
          <w:szCs w:val="20"/>
        </w:rPr>
        <w:t xml:space="preserve"> javna naročila </w:t>
      </w:r>
      <w:r w:rsidR="00BD6B05">
        <w:rPr>
          <w:rFonts w:ascii="Arial" w:hAnsi="Arial" w:cs="Arial"/>
          <w:bCs/>
          <w:sz w:val="20"/>
          <w:szCs w:val="20"/>
        </w:rPr>
        <w:t>pomenijo</w:t>
      </w:r>
      <w:r w:rsidR="00BD6B05" w:rsidRPr="007662B8">
        <w:rPr>
          <w:rFonts w:ascii="Arial" w:hAnsi="Arial" w:cs="Arial"/>
          <w:bCs/>
          <w:sz w:val="20"/>
          <w:szCs w:val="20"/>
        </w:rPr>
        <w:t xml:space="preserve"> </w:t>
      </w:r>
      <w:r w:rsidR="007662B8" w:rsidRPr="007662B8">
        <w:rPr>
          <w:rFonts w:ascii="Calibri" w:eastAsia="Times New Roman" w:hAnsi="Calibri" w:cs="Calibri"/>
          <w:color w:val="000000"/>
          <w:lang w:eastAsia="sl-SI"/>
        </w:rPr>
        <w:t xml:space="preserve">48,66 </w:t>
      </w:r>
      <w:r w:rsidRPr="007662B8">
        <w:rPr>
          <w:rFonts w:ascii="Arial" w:hAnsi="Arial" w:cs="Arial"/>
          <w:bCs/>
          <w:sz w:val="20"/>
          <w:szCs w:val="20"/>
        </w:rPr>
        <w:t>% odhodkov proračuna Republike Slovenije.</w:t>
      </w:r>
    </w:p>
    <w:p w14:paraId="0472E250" w14:textId="03E4297F" w:rsidR="004073D3" w:rsidRPr="00E94653" w:rsidRDefault="004073D3" w:rsidP="004073D3">
      <w:pPr>
        <w:spacing w:line="360" w:lineRule="auto"/>
        <w:jc w:val="both"/>
        <w:rPr>
          <w:rFonts w:ascii="Arial" w:hAnsi="Arial" w:cs="Arial"/>
          <w:sz w:val="20"/>
          <w:szCs w:val="20"/>
        </w:rPr>
      </w:pPr>
      <w:r w:rsidRPr="00E94653">
        <w:rPr>
          <w:rFonts w:ascii="Arial" w:hAnsi="Arial" w:cs="Arial"/>
          <w:sz w:val="20"/>
          <w:szCs w:val="20"/>
        </w:rPr>
        <w:t>Pri izračunu deleža javnih naročil v odhodkih proračuna Republike Slovenije in samoupravnih lokalnih skupnosti so bila v izračun vključena naročila, ki</w:t>
      </w:r>
      <w:r w:rsidRPr="00E94653">
        <w:rPr>
          <w:rFonts w:ascii="Arial" w:hAnsi="Arial" w:cs="Arial"/>
          <w:bCs/>
          <w:sz w:val="20"/>
          <w:szCs w:val="20"/>
        </w:rPr>
        <w:t xml:space="preserve"> so jih oddali proračunski uporabniki, saj odhodki proračuna zajemajo tekoče odhodke, tekoče transferje, investicijske odhodke in investicijske transferje proračunskih uporabnikov (med </w:t>
      </w:r>
      <w:r w:rsidR="00113889" w:rsidRPr="00E94653">
        <w:rPr>
          <w:rFonts w:ascii="Arial" w:hAnsi="Arial" w:cs="Arial"/>
          <w:bCs/>
          <w:sz w:val="20"/>
          <w:szCs w:val="20"/>
        </w:rPr>
        <w:t>katere</w:t>
      </w:r>
      <w:r w:rsidRPr="00E94653">
        <w:rPr>
          <w:rFonts w:ascii="Arial" w:hAnsi="Arial" w:cs="Arial"/>
          <w:bCs/>
          <w:sz w:val="20"/>
          <w:szCs w:val="20"/>
        </w:rPr>
        <w:t xml:space="preserve"> spadajo plače in drugi izdatki za zaposlene, prispevki delodajalcev – neposrednih proračunskih uporabnikov in nekaterih posrednih proračunskih uporabnikov za socialno varnost, izdatki za blago in storitve, nakup in gradnjo osnovnih sredstev javnega sektorja, subvencije javnim in zasebnim podjetjem ter posameznikom), transferje nepridobitnim organizacijam, ustanovam, posameznikom in gospodinjstvom, domače in tuje transferje, investicijske transferje proračunskim uporabnikom ter pravnim in fizičnim osebam, ki niso proračunski uporabniki, plačila domačih in tujih obresti, rezerve ter plačila sredstev v proračun Evropske unije.</w:t>
      </w:r>
    </w:p>
    <w:p w14:paraId="4E4AB9DC" w14:textId="33BB3A48" w:rsidR="00E97630" w:rsidRPr="007662B8" w:rsidRDefault="004073D3" w:rsidP="004073D3">
      <w:pPr>
        <w:spacing w:line="360" w:lineRule="auto"/>
        <w:jc w:val="both"/>
        <w:rPr>
          <w:rFonts w:ascii="Arial" w:hAnsi="Arial" w:cs="Arial"/>
          <w:bCs/>
          <w:sz w:val="20"/>
          <w:szCs w:val="20"/>
        </w:rPr>
      </w:pPr>
      <w:r w:rsidRPr="007662B8">
        <w:rPr>
          <w:rFonts w:ascii="Arial" w:hAnsi="Arial" w:cs="Arial"/>
          <w:sz w:val="20"/>
          <w:szCs w:val="20"/>
        </w:rPr>
        <w:t xml:space="preserve">Glede na </w:t>
      </w:r>
      <w:r w:rsidRPr="007662B8">
        <w:rPr>
          <w:rFonts w:ascii="Arial" w:hAnsi="Arial" w:cs="Arial"/>
          <w:bCs/>
          <w:sz w:val="20"/>
          <w:szCs w:val="20"/>
        </w:rPr>
        <w:t xml:space="preserve">odhodke državnega proračuna </w:t>
      </w:r>
      <w:r w:rsidRPr="007662B8">
        <w:rPr>
          <w:rFonts w:ascii="Arial" w:hAnsi="Arial" w:cs="Arial"/>
          <w:sz w:val="20"/>
          <w:szCs w:val="20"/>
        </w:rPr>
        <w:t>in odhodke proračuna samoupravnih lokalnih skupnosti</w:t>
      </w:r>
      <w:r w:rsidRPr="007662B8">
        <w:rPr>
          <w:rFonts w:ascii="Arial" w:hAnsi="Arial" w:cs="Arial"/>
          <w:bCs/>
          <w:sz w:val="20"/>
          <w:szCs w:val="20"/>
        </w:rPr>
        <w:t xml:space="preserve"> </w:t>
      </w:r>
      <w:r w:rsidR="00113889" w:rsidRPr="007662B8">
        <w:rPr>
          <w:rFonts w:ascii="Arial" w:hAnsi="Arial" w:cs="Arial"/>
          <w:bCs/>
          <w:sz w:val="20"/>
          <w:szCs w:val="20"/>
        </w:rPr>
        <w:t>znaša</w:t>
      </w:r>
      <w:r w:rsidR="00391021" w:rsidRPr="007662B8">
        <w:rPr>
          <w:rFonts w:ascii="Arial" w:hAnsi="Arial" w:cs="Arial"/>
          <w:bCs/>
          <w:sz w:val="20"/>
          <w:szCs w:val="20"/>
        </w:rPr>
        <w:t xml:space="preserve"> </w:t>
      </w:r>
      <w:r w:rsidRPr="007662B8">
        <w:rPr>
          <w:rFonts w:ascii="Arial" w:hAnsi="Arial" w:cs="Arial"/>
          <w:bCs/>
          <w:sz w:val="20"/>
          <w:szCs w:val="20"/>
        </w:rPr>
        <w:t xml:space="preserve">obseg vseh javnih naročil </w:t>
      </w:r>
      <w:r w:rsidR="007662B8">
        <w:rPr>
          <w:rFonts w:ascii="Arial" w:hAnsi="Arial" w:cs="Arial"/>
          <w:bCs/>
          <w:sz w:val="20"/>
          <w:szCs w:val="20"/>
        </w:rPr>
        <w:t>39</w:t>
      </w:r>
      <w:r w:rsidR="00C73889" w:rsidRPr="007662B8">
        <w:rPr>
          <w:rFonts w:ascii="Arial" w:hAnsi="Arial" w:cs="Arial"/>
          <w:bCs/>
          <w:sz w:val="20"/>
          <w:szCs w:val="20"/>
        </w:rPr>
        <w:t>,</w:t>
      </w:r>
      <w:r w:rsidR="007662B8">
        <w:rPr>
          <w:rFonts w:ascii="Arial" w:hAnsi="Arial" w:cs="Arial"/>
          <w:bCs/>
          <w:sz w:val="20"/>
          <w:szCs w:val="20"/>
        </w:rPr>
        <w:t>49</w:t>
      </w:r>
      <w:r w:rsidR="00113889" w:rsidRPr="007662B8">
        <w:rPr>
          <w:rFonts w:ascii="Arial" w:hAnsi="Arial" w:cs="Arial"/>
          <w:bCs/>
          <w:sz w:val="20"/>
          <w:szCs w:val="20"/>
        </w:rPr>
        <w:t xml:space="preserve"> </w:t>
      </w:r>
      <w:r w:rsidR="00745D4D">
        <w:rPr>
          <w:rFonts w:ascii="Arial" w:hAnsi="Arial" w:cs="Arial"/>
          <w:bCs/>
          <w:sz w:val="20"/>
          <w:szCs w:val="20"/>
        </w:rPr>
        <w:t>%</w:t>
      </w:r>
      <w:r w:rsidRPr="007662B8">
        <w:rPr>
          <w:rFonts w:ascii="Arial" w:hAnsi="Arial" w:cs="Arial"/>
          <w:bCs/>
          <w:sz w:val="20"/>
          <w:szCs w:val="20"/>
        </w:rPr>
        <w:t xml:space="preserve">. </w:t>
      </w:r>
    </w:p>
    <w:p w14:paraId="4660D3AE" w14:textId="319D919A" w:rsidR="004073D3" w:rsidRPr="007662B8" w:rsidRDefault="004073D3" w:rsidP="004073D3">
      <w:pPr>
        <w:spacing w:line="360" w:lineRule="auto"/>
        <w:jc w:val="both"/>
        <w:rPr>
          <w:rFonts w:ascii="Arial" w:hAnsi="Arial" w:cs="Arial"/>
          <w:sz w:val="20"/>
          <w:szCs w:val="20"/>
        </w:rPr>
      </w:pPr>
      <w:r w:rsidRPr="007662B8">
        <w:rPr>
          <w:rFonts w:ascii="Arial" w:hAnsi="Arial" w:cs="Arial"/>
          <w:bCs/>
          <w:sz w:val="20"/>
          <w:szCs w:val="20"/>
        </w:rPr>
        <w:t>Delež javnih naročil, ki so jih oddali proračunski uporabniki (neposredni in posredni) v odhodkih državnega proračuna</w:t>
      </w:r>
      <w:r w:rsidR="00391021" w:rsidRPr="007662B8">
        <w:rPr>
          <w:rFonts w:ascii="Arial" w:hAnsi="Arial" w:cs="Arial"/>
          <w:bCs/>
          <w:sz w:val="20"/>
          <w:szCs w:val="20"/>
        </w:rPr>
        <w:t>,</w:t>
      </w:r>
      <w:r w:rsidRPr="007662B8">
        <w:rPr>
          <w:rFonts w:ascii="Arial" w:hAnsi="Arial" w:cs="Arial"/>
          <w:bCs/>
          <w:sz w:val="20"/>
          <w:szCs w:val="20"/>
        </w:rPr>
        <w:t xml:space="preserve"> je </w:t>
      </w:r>
      <w:r w:rsidR="007834B3" w:rsidRPr="007834B3">
        <w:rPr>
          <w:rFonts w:ascii="Arial" w:hAnsi="Arial" w:cs="Arial"/>
          <w:bCs/>
          <w:sz w:val="20"/>
          <w:szCs w:val="20"/>
        </w:rPr>
        <w:t>26,64</w:t>
      </w:r>
      <w:r w:rsidR="00AD749E" w:rsidRPr="007662B8">
        <w:rPr>
          <w:rFonts w:ascii="Arial" w:hAnsi="Arial" w:cs="Arial"/>
          <w:bCs/>
          <w:sz w:val="20"/>
          <w:szCs w:val="20"/>
        </w:rPr>
        <w:t>-</w:t>
      </w:r>
      <w:r w:rsidRPr="007662B8">
        <w:rPr>
          <w:rFonts w:ascii="Arial" w:hAnsi="Arial" w:cs="Arial"/>
          <w:bCs/>
          <w:sz w:val="20"/>
          <w:szCs w:val="20"/>
        </w:rPr>
        <w:t xml:space="preserve">odstoten. Glede na navedeno so </w:t>
      </w:r>
      <w:r w:rsidR="00144095" w:rsidRPr="007662B8">
        <w:rPr>
          <w:rFonts w:ascii="Arial" w:hAnsi="Arial" w:cs="Arial"/>
          <w:bCs/>
          <w:sz w:val="20"/>
          <w:szCs w:val="20"/>
        </w:rPr>
        <w:t>dobra</w:t>
      </w:r>
      <w:r w:rsidRPr="007662B8">
        <w:rPr>
          <w:rFonts w:ascii="Arial" w:hAnsi="Arial" w:cs="Arial"/>
          <w:bCs/>
          <w:sz w:val="20"/>
          <w:szCs w:val="20"/>
        </w:rPr>
        <w:t xml:space="preserve"> </w:t>
      </w:r>
      <w:r w:rsidR="00697DCF" w:rsidRPr="007662B8">
        <w:rPr>
          <w:rFonts w:ascii="Arial" w:hAnsi="Arial" w:cs="Arial"/>
          <w:bCs/>
          <w:sz w:val="20"/>
          <w:szCs w:val="20"/>
        </w:rPr>
        <w:t>četrtina</w:t>
      </w:r>
      <w:r w:rsidRPr="007662B8">
        <w:rPr>
          <w:rFonts w:ascii="Arial" w:hAnsi="Arial" w:cs="Arial"/>
          <w:bCs/>
          <w:sz w:val="20"/>
          <w:szCs w:val="20"/>
        </w:rPr>
        <w:t xml:space="preserve"> državnega proračuna sredstva, ki jih proračunski uporabniki namenjajo dobavi blaga, storitev in grad</w:t>
      </w:r>
      <w:r w:rsidR="00AD749E" w:rsidRPr="007662B8">
        <w:rPr>
          <w:rFonts w:ascii="Arial" w:hAnsi="Arial" w:cs="Arial"/>
          <w:bCs/>
          <w:sz w:val="20"/>
          <w:szCs w:val="20"/>
        </w:rPr>
        <w:t>itvi</w:t>
      </w:r>
      <w:r w:rsidRPr="007662B8">
        <w:rPr>
          <w:rFonts w:ascii="Arial" w:hAnsi="Arial" w:cs="Arial"/>
          <w:bCs/>
          <w:sz w:val="20"/>
          <w:szCs w:val="20"/>
        </w:rPr>
        <w:t>, preostala proračunska sredstva pa se namenja</w:t>
      </w:r>
      <w:r w:rsidR="00B63B35" w:rsidRPr="007662B8">
        <w:rPr>
          <w:rFonts w:ascii="Arial" w:hAnsi="Arial" w:cs="Arial"/>
          <w:bCs/>
          <w:sz w:val="20"/>
          <w:szCs w:val="20"/>
        </w:rPr>
        <w:t>jo za</w:t>
      </w:r>
      <w:r w:rsidRPr="007662B8">
        <w:rPr>
          <w:rFonts w:ascii="Arial" w:hAnsi="Arial" w:cs="Arial"/>
          <w:bCs/>
          <w:sz w:val="20"/>
          <w:szCs w:val="20"/>
        </w:rPr>
        <w:t xml:space="preserve"> materialn</w:t>
      </w:r>
      <w:r w:rsidR="00B63B35" w:rsidRPr="007662B8">
        <w:rPr>
          <w:rFonts w:ascii="Arial" w:hAnsi="Arial" w:cs="Arial"/>
          <w:bCs/>
          <w:sz w:val="20"/>
          <w:szCs w:val="20"/>
        </w:rPr>
        <w:t>e</w:t>
      </w:r>
      <w:r w:rsidRPr="007662B8">
        <w:rPr>
          <w:rFonts w:ascii="Arial" w:hAnsi="Arial" w:cs="Arial"/>
          <w:bCs/>
          <w:sz w:val="20"/>
          <w:szCs w:val="20"/>
        </w:rPr>
        <w:t xml:space="preserve"> strošk</w:t>
      </w:r>
      <w:r w:rsidR="00B63B35" w:rsidRPr="007662B8">
        <w:rPr>
          <w:rFonts w:ascii="Arial" w:hAnsi="Arial" w:cs="Arial"/>
          <w:bCs/>
          <w:sz w:val="20"/>
          <w:szCs w:val="20"/>
        </w:rPr>
        <w:t>e</w:t>
      </w:r>
      <w:r w:rsidRPr="007662B8">
        <w:rPr>
          <w:rFonts w:ascii="Arial" w:hAnsi="Arial" w:cs="Arial"/>
          <w:bCs/>
          <w:sz w:val="20"/>
          <w:szCs w:val="20"/>
        </w:rPr>
        <w:t xml:space="preserve"> dela in v večjem delu za transferje (subvencije, državne pomoči</w:t>
      </w:r>
      <w:r w:rsidR="00113889" w:rsidRPr="007662B8">
        <w:rPr>
          <w:rFonts w:ascii="Arial" w:hAnsi="Arial" w:cs="Arial"/>
          <w:bCs/>
          <w:sz w:val="20"/>
          <w:szCs w:val="20"/>
        </w:rPr>
        <w:t xml:space="preserve"> ipd.</w:t>
      </w:r>
      <w:r w:rsidRPr="007662B8">
        <w:rPr>
          <w:rFonts w:ascii="Arial" w:hAnsi="Arial" w:cs="Arial"/>
          <w:bCs/>
          <w:sz w:val="20"/>
          <w:szCs w:val="20"/>
        </w:rPr>
        <w:t>).</w:t>
      </w:r>
    </w:p>
    <w:p w14:paraId="35BDD261" w14:textId="77777777" w:rsidR="00854405" w:rsidRPr="00EF2D0B" w:rsidRDefault="00854405" w:rsidP="000E2011">
      <w:pPr>
        <w:pStyle w:val="ZADEVA"/>
        <w:ind w:left="0" w:firstLine="0"/>
        <w:jc w:val="both"/>
        <w:rPr>
          <w:rFonts w:cs="Arial"/>
          <w:b w:val="0"/>
          <w:szCs w:val="20"/>
          <w:highlight w:val="yellow"/>
          <w:lang w:val="sl-SI"/>
        </w:rPr>
      </w:pPr>
    </w:p>
    <w:p w14:paraId="4E3CB159" w14:textId="6E359F77" w:rsidR="00AA5A3E" w:rsidRPr="007057C6" w:rsidRDefault="00AA5A3E" w:rsidP="003A6C9F">
      <w:pPr>
        <w:pStyle w:val="Naslov3"/>
        <w:rPr>
          <w:rFonts w:ascii="Arial" w:hAnsi="Arial" w:cs="Arial"/>
          <w:sz w:val="22"/>
          <w:szCs w:val="22"/>
        </w:rPr>
      </w:pPr>
      <w:bookmarkStart w:id="7" w:name="_Toc17114045"/>
      <w:r w:rsidRPr="007057C6">
        <w:rPr>
          <w:rFonts w:ascii="Arial" w:hAnsi="Arial" w:cs="Arial"/>
          <w:sz w:val="22"/>
          <w:szCs w:val="22"/>
        </w:rPr>
        <w:t xml:space="preserve">2.1.3 Število naročnikov z objavljenim obvestilom o oddaji </w:t>
      </w:r>
      <w:r w:rsidR="006507A8" w:rsidRPr="007057C6">
        <w:rPr>
          <w:rFonts w:ascii="Arial" w:hAnsi="Arial" w:cs="Arial"/>
          <w:sz w:val="22"/>
          <w:szCs w:val="22"/>
        </w:rPr>
        <w:t>javnega naročila in</w:t>
      </w:r>
      <w:r w:rsidRPr="007057C6">
        <w:rPr>
          <w:rFonts w:ascii="Arial" w:hAnsi="Arial" w:cs="Arial"/>
          <w:sz w:val="22"/>
          <w:szCs w:val="22"/>
        </w:rPr>
        <w:t xml:space="preserve"> </w:t>
      </w:r>
      <w:r w:rsidR="00113889" w:rsidRPr="007057C6">
        <w:rPr>
          <w:rFonts w:ascii="Arial" w:hAnsi="Arial" w:cs="Arial"/>
          <w:sz w:val="22"/>
          <w:szCs w:val="22"/>
        </w:rPr>
        <w:t xml:space="preserve">s </w:t>
      </w:r>
      <w:r w:rsidRPr="007057C6">
        <w:rPr>
          <w:rFonts w:ascii="Arial" w:hAnsi="Arial" w:cs="Arial"/>
          <w:sz w:val="22"/>
          <w:szCs w:val="22"/>
        </w:rPr>
        <w:t>sporočenimi podatki o evidenčnih naročilih</w:t>
      </w:r>
      <w:bookmarkEnd w:id="7"/>
    </w:p>
    <w:p w14:paraId="096C8292" w14:textId="77777777" w:rsidR="00854405" w:rsidRPr="007057C6" w:rsidRDefault="00854405" w:rsidP="00854405">
      <w:pPr>
        <w:pStyle w:val="ZADEVA"/>
        <w:jc w:val="both"/>
        <w:rPr>
          <w:rFonts w:cs="Arial"/>
          <w:b w:val="0"/>
          <w:szCs w:val="20"/>
          <w:lang w:val="sl-SI"/>
        </w:rPr>
      </w:pPr>
    </w:p>
    <w:p w14:paraId="22D9C959" w14:textId="36D9899E" w:rsidR="008E5B56" w:rsidRPr="00A4598D" w:rsidRDefault="008E5B56" w:rsidP="008E5B56">
      <w:pPr>
        <w:spacing w:line="360" w:lineRule="auto"/>
        <w:jc w:val="both"/>
        <w:rPr>
          <w:rFonts w:ascii="Arial" w:hAnsi="Arial" w:cs="Arial"/>
          <w:bCs/>
          <w:sz w:val="20"/>
          <w:szCs w:val="20"/>
        </w:rPr>
      </w:pPr>
      <w:r w:rsidRPr="007057C6">
        <w:rPr>
          <w:rFonts w:ascii="Arial" w:hAnsi="Arial" w:cs="Arial"/>
          <w:sz w:val="20"/>
          <w:szCs w:val="20"/>
        </w:rPr>
        <w:t xml:space="preserve">Iz </w:t>
      </w:r>
      <w:r w:rsidRPr="007057C6">
        <w:rPr>
          <w:rFonts w:ascii="Arial" w:hAnsi="Arial" w:cs="Arial"/>
          <w:bCs/>
          <w:sz w:val="20"/>
          <w:szCs w:val="20"/>
        </w:rPr>
        <w:t xml:space="preserve">obvestil o oddaji javnih naročil, objavljenih na portalu javnih naročil oziroma v Uradnem listu Evropske unije, in </w:t>
      </w:r>
      <w:r w:rsidR="00113889" w:rsidRPr="007057C6">
        <w:rPr>
          <w:rFonts w:ascii="Arial" w:hAnsi="Arial" w:cs="Arial"/>
          <w:bCs/>
          <w:sz w:val="20"/>
          <w:szCs w:val="20"/>
        </w:rPr>
        <w:t xml:space="preserve">iz </w:t>
      </w:r>
      <w:r w:rsidRPr="007057C6">
        <w:rPr>
          <w:rFonts w:ascii="Arial" w:hAnsi="Arial" w:cs="Arial"/>
          <w:bCs/>
          <w:sz w:val="20"/>
          <w:szCs w:val="20"/>
        </w:rPr>
        <w:t xml:space="preserve">sporočenih </w:t>
      </w:r>
      <w:r w:rsidRPr="007057C6">
        <w:rPr>
          <w:rFonts w:ascii="Arial" w:hAnsi="Arial" w:cs="Arial"/>
          <w:sz w:val="20"/>
          <w:szCs w:val="20"/>
        </w:rPr>
        <w:t xml:space="preserve">statističnih podatkov o </w:t>
      </w:r>
      <w:r w:rsidRPr="007057C6">
        <w:rPr>
          <w:rFonts w:ascii="Arial" w:hAnsi="Arial" w:cs="Arial"/>
          <w:bCs/>
          <w:sz w:val="20"/>
          <w:szCs w:val="20"/>
        </w:rPr>
        <w:t xml:space="preserve">evidenčnih </w:t>
      </w:r>
      <w:r w:rsidRPr="007057C6">
        <w:rPr>
          <w:rFonts w:ascii="Arial" w:hAnsi="Arial" w:cs="Arial"/>
          <w:sz w:val="20"/>
          <w:szCs w:val="20"/>
        </w:rPr>
        <w:t>naročili</w:t>
      </w:r>
      <w:r w:rsidR="00354C54" w:rsidRPr="007057C6">
        <w:rPr>
          <w:rFonts w:ascii="Arial" w:hAnsi="Arial" w:cs="Arial"/>
          <w:sz w:val="20"/>
          <w:szCs w:val="20"/>
        </w:rPr>
        <w:t>h</w:t>
      </w:r>
      <w:r w:rsidR="005E5708" w:rsidRPr="007057C6">
        <w:rPr>
          <w:rFonts w:ascii="Arial" w:hAnsi="Arial" w:cs="Arial"/>
          <w:sz w:val="20"/>
          <w:szCs w:val="20"/>
        </w:rPr>
        <w:t xml:space="preserve"> </w:t>
      </w:r>
      <w:r w:rsidR="004E576C" w:rsidRPr="007057C6">
        <w:rPr>
          <w:rFonts w:ascii="Arial" w:hAnsi="Arial" w:cs="Arial"/>
          <w:sz w:val="20"/>
          <w:szCs w:val="20"/>
        </w:rPr>
        <w:t>izhaja</w:t>
      </w:r>
      <w:r w:rsidR="00354C54" w:rsidRPr="007057C6">
        <w:rPr>
          <w:rFonts w:ascii="Arial" w:hAnsi="Arial" w:cs="Arial"/>
          <w:sz w:val="20"/>
          <w:szCs w:val="20"/>
        </w:rPr>
        <w:t xml:space="preserve">, da je </w:t>
      </w:r>
      <w:r w:rsidR="00BD6B05" w:rsidRPr="007057C6">
        <w:rPr>
          <w:rFonts w:ascii="Arial" w:hAnsi="Arial" w:cs="Arial"/>
          <w:sz w:val="20"/>
          <w:szCs w:val="20"/>
        </w:rPr>
        <w:t>let</w:t>
      </w:r>
      <w:r w:rsidR="00BD6B05">
        <w:rPr>
          <w:rFonts w:ascii="Arial" w:hAnsi="Arial" w:cs="Arial"/>
          <w:sz w:val="20"/>
          <w:szCs w:val="20"/>
        </w:rPr>
        <w:t>a</w:t>
      </w:r>
      <w:r w:rsidR="00BD6B05" w:rsidRPr="007057C6">
        <w:rPr>
          <w:rFonts w:ascii="Arial" w:hAnsi="Arial" w:cs="Arial"/>
          <w:sz w:val="20"/>
          <w:szCs w:val="20"/>
        </w:rPr>
        <w:t xml:space="preserve"> </w:t>
      </w:r>
      <w:r w:rsidR="00B06E63" w:rsidRPr="007057C6">
        <w:rPr>
          <w:rFonts w:ascii="Arial" w:hAnsi="Arial" w:cs="Arial"/>
          <w:sz w:val="20"/>
          <w:szCs w:val="20"/>
        </w:rPr>
        <w:t>201</w:t>
      </w:r>
      <w:r w:rsidR="00D25A8A">
        <w:rPr>
          <w:rFonts w:ascii="Arial" w:hAnsi="Arial" w:cs="Arial"/>
          <w:sz w:val="20"/>
          <w:szCs w:val="20"/>
        </w:rPr>
        <w:t>8</w:t>
      </w:r>
      <w:r w:rsidR="00B06E63" w:rsidRPr="007057C6">
        <w:rPr>
          <w:rFonts w:ascii="Arial" w:hAnsi="Arial" w:cs="Arial"/>
          <w:sz w:val="20"/>
          <w:szCs w:val="20"/>
        </w:rPr>
        <w:t xml:space="preserve"> javna naročila oddalo </w:t>
      </w:r>
      <w:r w:rsidR="003C1E1E">
        <w:rPr>
          <w:rFonts w:ascii="Arial" w:hAnsi="Arial" w:cs="Arial"/>
          <w:sz w:val="20"/>
          <w:szCs w:val="20"/>
        </w:rPr>
        <w:t xml:space="preserve">2099 </w:t>
      </w:r>
      <w:r w:rsidRPr="001A29D6">
        <w:rPr>
          <w:rFonts w:ascii="Arial" w:hAnsi="Arial" w:cs="Arial"/>
          <w:sz w:val="20"/>
          <w:szCs w:val="20"/>
        </w:rPr>
        <w:t>naročnikov.</w:t>
      </w:r>
      <w:r w:rsidRPr="001A29D6">
        <w:rPr>
          <w:rFonts w:ascii="Arial" w:hAnsi="Arial" w:cs="Arial"/>
          <w:bCs/>
          <w:sz w:val="20"/>
          <w:szCs w:val="20"/>
        </w:rPr>
        <w:t xml:space="preserve"> Podatke o evi</w:t>
      </w:r>
      <w:r w:rsidR="00055926" w:rsidRPr="001A29D6">
        <w:rPr>
          <w:rFonts w:ascii="Arial" w:hAnsi="Arial" w:cs="Arial"/>
          <w:bCs/>
          <w:sz w:val="20"/>
          <w:szCs w:val="20"/>
        </w:rPr>
        <w:t>denčnih naročilih je oddalo 19</w:t>
      </w:r>
      <w:r w:rsidR="001A29D6" w:rsidRPr="001A29D6">
        <w:rPr>
          <w:rFonts w:ascii="Arial" w:hAnsi="Arial" w:cs="Arial"/>
          <w:bCs/>
          <w:sz w:val="20"/>
          <w:szCs w:val="20"/>
        </w:rPr>
        <w:t>8</w:t>
      </w:r>
      <w:r w:rsidR="00055926" w:rsidRPr="001A29D6">
        <w:rPr>
          <w:rFonts w:ascii="Arial" w:hAnsi="Arial" w:cs="Arial"/>
          <w:bCs/>
          <w:sz w:val="20"/>
          <w:szCs w:val="20"/>
        </w:rPr>
        <w:t>3</w:t>
      </w:r>
      <w:r w:rsidRPr="001A29D6">
        <w:rPr>
          <w:rFonts w:ascii="Arial" w:hAnsi="Arial" w:cs="Arial"/>
          <w:bCs/>
          <w:sz w:val="20"/>
          <w:szCs w:val="20"/>
        </w:rPr>
        <w:t xml:space="preserve"> naročnikov</w:t>
      </w:r>
      <w:r w:rsidR="00D4172D" w:rsidRPr="00AB6F68">
        <w:rPr>
          <w:rFonts w:ascii="Arial" w:hAnsi="Arial" w:cs="Arial"/>
          <w:bCs/>
          <w:sz w:val="20"/>
          <w:szCs w:val="20"/>
        </w:rPr>
        <w:t>, od katerih jih je 1</w:t>
      </w:r>
      <w:r w:rsidR="0053070B" w:rsidRPr="00AB6F68">
        <w:rPr>
          <w:rFonts w:ascii="Arial" w:hAnsi="Arial" w:cs="Arial"/>
          <w:bCs/>
          <w:sz w:val="20"/>
          <w:szCs w:val="20"/>
        </w:rPr>
        <w:t>0</w:t>
      </w:r>
      <w:r w:rsidR="00AB6F68" w:rsidRPr="00AB6F68">
        <w:rPr>
          <w:rFonts w:ascii="Arial" w:hAnsi="Arial" w:cs="Arial"/>
          <w:bCs/>
          <w:sz w:val="20"/>
          <w:szCs w:val="20"/>
        </w:rPr>
        <w:t>58</w:t>
      </w:r>
      <w:r w:rsidR="00BC41E3" w:rsidRPr="00AB6F68">
        <w:rPr>
          <w:rFonts w:ascii="Arial" w:hAnsi="Arial" w:cs="Arial"/>
          <w:sz w:val="20"/>
          <w:szCs w:val="20"/>
        </w:rPr>
        <w:t xml:space="preserve"> oddalo samo evidenčna</w:t>
      </w:r>
      <w:r w:rsidRPr="00AB6F68">
        <w:rPr>
          <w:rFonts w:ascii="Arial" w:hAnsi="Arial" w:cs="Arial"/>
          <w:sz w:val="20"/>
          <w:szCs w:val="20"/>
        </w:rPr>
        <w:t xml:space="preserve"> naročila</w:t>
      </w:r>
      <w:r w:rsidRPr="00BE3653">
        <w:rPr>
          <w:rFonts w:ascii="Arial" w:hAnsi="Arial" w:cs="Arial"/>
          <w:sz w:val="20"/>
          <w:szCs w:val="20"/>
        </w:rPr>
        <w:t xml:space="preserve">. </w:t>
      </w:r>
      <w:r w:rsidR="0053070B" w:rsidRPr="00BE3653">
        <w:rPr>
          <w:rFonts w:ascii="Arial" w:hAnsi="Arial" w:cs="Arial"/>
          <w:sz w:val="20"/>
          <w:szCs w:val="20"/>
        </w:rPr>
        <w:t>1</w:t>
      </w:r>
      <w:r w:rsidR="00BE3653" w:rsidRPr="00BE3653">
        <w:rPr>
          <w:rFonts w:ascii="Arial" w:hAnsi="Arial" w:cs="Arial"/>
          <w:sz w:val="20"/>
          <w:szCs w:val="20"/>
        </w:rPr>
        <w:t>16</w:t>
      </w:r>
      <w:r w:rsidRPr="00BE3653">
        <w:rPr>
          <w:rFonts w:ascii="Arial" w:hAnsi="Arial" w:cs="Arial"/>
          <w:sz w:val="20"/>
          <w:szCs w:val="20"/>
        </w:rPr>
        <w:t xml:space="preserve"> naročnikov je oddalo le naročila, </w:t>
      </w:r>
      <w:r w:rsidRPr="00BE3653">
        <w:rPr>
          <w:rFonts w:ascii="Arial" w:hAnsi="Arial" w:cs="Arial"/>
          <w:sz w:val="20"/>
          <w:szCs w:val="20"/>
          <w:lang w:eastAsia="sl-SI"/>
        </w:rPr>
        <w:t>ki so bila objavljena na portalu javnih naročil oziroma</w:t>
      </w:r>
      <w:r w:rsidRPr="00BE3653">
        <w:rPr>
          <w:rFonts w:ascii="Arial" w:hAnsi="Arial" w:cs="Arial"/>
          <w:bCs/>
          <w:sz w:val="20"/>
          <w:szCs w:val="20"/>
        </w:rPr>
        <w:t xml:space="preserve"> v Uradnem list</w:t>
      </w:r>
      <w:r w:rsidR="00D4172D" w:rsidRPr="00BE3653">
        <w:rPr>
          <w:rFonts w:ascii="Arial" w:hAnsi="Arial" w:cs="Arial"/>
          <w:bCs/>
          <w:sz w:val="20"/>
          <w:szCs w:val="20"/>
        </w:rPr>
        <w:t xml:space="preserve">u Evropske unije. </w:t>
      </w:r>
      <w:r w:rsidR="0053070B" w:rsidRPr="00BE3653">
        <w:rPr>
          <w:rFonts w:ascii="Arial" w:hAnsi="Arial" w:cs="Arial"/>
          <w:bCs/>
          <w:sz w:val="20"/>
          <w:szCs w:val="20"/>
        </w:rPr>
        <w:t xml:space="preserve">Preostalih </w:t>
      </w:r>
      <w:r w:rsidR="00BE3653" w:rsidRPr="00BE3653">
        <w:rPr>
          <w:rFonts w:ascii="Arial" w:hAnsi="Arial" w:cs="Arial"/>
          <w:bCs/>
          <w:sz w:val="20"/>
          <w:szCs w:val="20"/>
        </w:rPr>
        <w:t>925</w:t>
      </w:r>
      <w:r w:rsidRPr="00BE3653">
        <w:rPr>
          <w:rFonts w:ascii="Arial" w:hAnsi="Arial" w:cs="Arial"/>
          <w:bCs/>
          <w:sz w:val="20"/>
          <w:szCs w:val="20"/>
        </w:rPr>
        <w:t xml:space="preserve"> naročnikov je oddalo evidenčna naročila in naročila, ki so </w:t>
      </w:r>
      <w:r w:rsidRPr="00BE3653">
        <w:rPr>
          <w:rFonts w:ascii="Arial" w:hAnsi="Arial" w:cs="Arial"/>
          <w:sz w:val="20"/>
          <w:szCs w:val="20"/>
          <w:lang w:eastAsia="sl-SI"/>
        </w:rPr>
        <w:t>bila objavljena na portalu javnih naročil oziroma</w:t>
      </w:r>
      <w:r w:rsidRPr="00BE3653">
        <w:rPr>
          <w:rFonts w:ascii="Arial" w:hAnsi="Arial" w:cs="Arial"/>
          <w:bCs/>
          <w:sz w:val="20"/>
          <w:szCs w:val="20"/>
        </w:rPr>
        <w:t xml:space="preserve"> v Uradnem listu Evropske </w:t>
      </w:r>
      <w:r w:rsidRPr="00A4598D">
        <w:rPr>
          <w:rFonts w:ascii="Arial" w:hAnsi="Arial" w:cs="Arial"/>
          <w:bCs/>
          <w:sz w:val="20"/>
          <w:szCs w:val="20"/>
        </w:rPr>
        <w:t xml:space="preserve">unije. Glede na navedeno in število naročnikov, vpisanih v informativni seznam naročnikov iz </w:t>
      </w:r>
      <w:r w:rsidR="00113889" w:rsidRPr="00A4598D">
        <w:rPr>
          <w:rFonts w:ascii="Arial" w:hAnsi="Arial" w:cs="Arial"/>
          <w:bCs/>
          <w:sz w:val="20"/>
          <w:szCs w:val="20"/>
        </w:rPr>
        <w:lastRenderedPageBreak/>
        <w:t>p</w:t>
      </w:r>
      <w:r w:rsidRPr="00A4598D">
        <w:rPr>
          <w:rFonts w:ascii="Arial" w:hAnsi="Arial" w:cs="Arial"/>
          <w:bCs/>
          <w:sz w:val="20"/>
          <w:szCs w:val="20"/>
        </w:rPr>
        <w:t>riloge 3 Uredbe o informativnem seznamu naročnikov in obveznih informacijah v obvestilih za postopek naročila male vrednosti (Uradni list RS, št. 37</w:t>
      </w:r>
      <w:r w:rsidR="0034014B" w:rsidRPr="00A4598D">
        <w:rPr>
          <w:rFonts w:ascii="Arial" w:hAnsi="Arial" w:cs="Arial"/>
          <w:bCs/>
          <w:sz w:val="20"/>
          <w:szCs w:val="20"/>
        </w:rPr>
        <w:t xml:space="preserve">/16), </w:t>
      </w:r>
      <w:r w:rsidR="00BD6B05">
        <w:rPr>
          <w:rFonts w:ascii="Arial" w:hAnsi="Arial" w:cs="Arial"/>
          <w:bCs/>
          <w:sz w:val="20"/>
          <w:szCs w:val="20"/>
        </w:rPr>
        <w:t>leta</w:t>
      </w:r>
      <w:r w:rsidR="0034014B" w:rsidRPr="00A4598D">
        <w:rPr>
          <w:rFonts w:ascii="Arial" w:hAnsi="Arial" w:cs="Arial"/>
          <w:bCs/>
          <w:sz w:val="20"/>
          <w:szCs w:val="20"/>
        </w:rPr>
        <w:t xml:space="preserve"> 201</w:t>
      </w:r>
      <w:r w:rsidR="00A4598D" w:rsidRPr="00A4598D">
        <w:rPr>
          <w:rFonts w:ascii="Arial" w:hAnsi="Arial" w:cs="Arial"/>
          <w:bCs/>
          <w:sz w:val="20"/>
          <w:szCs w:val="20"/>
        </w:rPr>
        <w:t>8</w:t>
      </w:r>
      <w:r w:rsidR="0034014B" w:rsidRPr="00A4598D">
        <w:rPr>
          <w:rFonts w:ascii="Arial" w:hAnsi="Arial" w:cs="Arial"/>
          <w:bCs/>
          <w:sz w:val="20"/>
          <w:szCs w:val="20"/>
        </w:rPr>
        <w:t xml:space="preserve"> približno 10</w:t>
      </w:r>
      <w:r w:rsidR="00A4598D" w:rsidRPr="00A4598D">
        <w:rPr>
          <w:rFonts w:ascii="Arial" w:hAnsi="Arial" w:cs="Arial"/>
          <w:bCs/>
          <w:sz w:val="20"/>
          <w:szCs w:val="20"/>
        </w:rPr>
        <w:t>2</w:t>
      </w:r>
      <w:r w:rsidR="0034014B" w:rsidRPr="00A4598D">
        <w:rPr>
          <w:rFonts w:ascii="Arial" w:hAnsi="Arial" w:cs="Arial"/>
          <w:bCs/>
          <w:sz w:val="20"/>
          <w:szCs w:val="20"/>
        </w:rPr>
        <w:t>0</w:t>
      </w:r>
      <w:r w:rsidRPr="00A4598D">
        <w:rPr>
          <w:rFonts w:ascii="Arial" w:hAnsi="Arial" w:cs="Arial"/>
          <w:bCs/>
          <w:sz w:val="20"/>
          <w:szCs w:val="20"/>
        </w:rPr>
        <w:t xml:space="preserve"> naročnikov ni oddalo nobenega javnega naročila.</w:t>
      </w:r>
      <w:r w:rsidR="00A0323B">
        <w:rPr>
          <w:rFonts w:ascii="Arial" w:hAnsi="Arial" w:cs="Arial"/>
          <w:bCs/>
          <w:sz w:val="20"/>
          <w:szCs w:val="20"/>
        </w:rPr>
        <w:t xml:space="preserve"> </w:t>
      </w:r>
      <w:r w:rsidR="004B3B69">
        <w:rPr>
          <w:rFonts w:ascii="Arial" w:hAnsi="Arial" w:cs="Arial"/>
          <w:bCs/>
          <w:sz w:val="20"/>
          <w:szCs w:val="20"/>
        </w:rPr>
        <w:t xml:space="preserve">Poleg že navedenega števila naročnikov je 18 naročnikov oddalo samo obvestila o izvajanju okvirnega sporazuma. </w:t>
      </w:r>
    </w:p>
    <w:p w14:paraId="180E188D" w14:textId="04ACF5B4" w:rsidR="008E5B56" w:rsidRPr="00E94653" w:rsidRDefault="00113889" w:rsidP="008E5B56">
      <w:pPr>
        <w:spacing w:line="360" w:lineRule="auto"/>
        <w:jc w:val="both"/>
        <w:rPr>
          <w:rFonts w:ascii="Arial" w:hAnsi="Arial" w:cs="Arial"/>
          <w:sz w:val="20"/>
          <w:szCs w:val="20"/>
        </w:rPr>
      </w:pPr>
      <w:r w:rsidRPr="00E94653">
        <w:rPr>
          <w:rFonts w:ascii="Arial" w:hAnsi="Arial" w:cs="Arial"/>
          <w:sz w:val="20"/>
          <w:szCs w:val="20"/>
        </w:rPr>
        <w:t>N</w:t>
      </w:r>
      <w:r w:rsidR="008E5B56" w:rsidRPr="00E94653">
        <w:rPr>
          <w:rFonts w:ascii="Arial" w:hAnsi="Arial" w:cs="Arial"/>
          <w:sz w:val="20"/>
          <w:szCs w:val="20"/>
        </w:rPr>
        <w:t xml:space="preserve">aročniki, ki niso sporočili podatkov oziroma niso oddali naročil ali so zanje oddali podatke drugi naročniki, so </w:t>
      </w:r>
      <w:r w:rsidR="00E97630" w:rsidRPr="00E94653">
        <w:rPr>
          <w:rFonts w:ascii="Arial" w:hAnsi="Arial" w:cs="Arial"/>
          <w:sz w:val="20"/>
          <w:szCs w:val="20"/>
        </w:rPr>
        <w:t xml:space="preserve">tako kot v preteklih letih </w:t>
      </w:r>
      <w:r w:rsidR="008E5B56" w:rsidRPr="00E94653">
        <w:rPr>
          <w:rFonts w:ascii="Arial" w:hAnsi="Arial" w:cs="Arial"/>
          <w:sz w:val="20"/>
          <w:szCs w:val="20"/>
        </w:rPr>
        <w:t xml:space="preserve">predvsem krajevne in četrtne skupnosti, </w:t>
      </w:r>
      <w:r w:rsidR="00AD749E" w:rsidRPr="00E94653">
        <w:rPr>
          <w:rFonts w:ascii="Arial" w:hAnsi="Arial" w:cs="Arial"/>
          <w:sz w:val="20"/>
          <w:szCs w:val="20"/>
        </w:rPr>
        <w:t>teh je</w:t>
      </w:r>
      <w:r w:rsidR="008E5B56" w:rsidRPr="00E94653">
        <w:rPr>
          <w:rFonts w:ascii="Arial" w:hAnsi="Arial" w:cs="Arial"/>
          <w:sz w:val="20"/>
          <w:szCs w:val="20"/>
        </w:rPr>
        <w:t xml:space="preserve"> približno dve tretjini vseh naročnikov, javni zavodi s področja izobraževanja (vrtci, osnovne in srednje šole, ljudske univerze, knjižnice</w:t>
      </w:r>
      <w:r w:rsidRPr="00E94653">
        <w:rPr>
          <w:rFonts w:ascii="Arial" w:hAnsi="Arial" w:cs="Arial"/>
          <w:sz w:val="20"/>
          <w:szCs w:val="20"/>
        </w:rPr>
        <w:t xml:space="preserve"> itd.</w:t>
      </w:r>
      <w:r w:rsidR="008E5B56" w:rsidRPr="00E94653">
        <w:rPr>
          <w:rFonts w:ascii="Arial" w:hAnsi="Arial" w:cs="Arial"/>
          <w:sz w:val="20"/>
          <w:szCs w:val="20"/>
        </w:rPr>
        <w:t>), javni zavodi s področja socialnega varstva in zdravstva (centri za socialno delo, zdravstveni domovi ...), javni zavodi s področja kulture (muzeji, galerije, zavodi za kulturo</w:t>
      </w:r>
      <w:r w:rsidRPr="00E94653">
        <w:rPr>
          <w:rFonts w:ascii="Arial" w:hAnsi="Arial" w:cs="Arial"/>
          <w:sz w:val="20"/>
          <w:szCs w:val="20"/>
        </w:rPr>
        <w:t xml:space="preserve"> ipd.</w:t>
      </w:r>
      <w:r w:rsidR="008E5B56" w:rsidRPr="00E94653">
        <w:rPr>
          <w:rFonts w:ascii="Arial" w:hAnsi="Arial" w:cs="Arial"/>
          <w:sz w:val="20"/>
          <w:szCs w:val="20"/>
        </w:rPr>
        <w:t>), manjše število občin, nekaj skladov, regionalnih razvoj</w:t>
      </w:r>
      <w:r w:rsidR="000C17EA">
        <w:rPr>
          <w:rFonts w:ascii="Arial" w:hAnsi="Arial" w:cs="Arial"/>
          <w:sz w:val="20"/>
          <w:szCs w:val="20"/>
        </w:rPr>
        <w:t>n</w:t>
      </w:r>
      <w:r w:rsidR="008E5B56" w:rsidRPr="00E94653">
        <w:rPr>
          <w:rFonts w:ascii="Arial" w:hAnsi="Arial" w:cs="Arial"/>
          <w:sz w:val="20"/>
          <w:szCs w:val="20"/>
        </w:rPr>
        <w:t>ih centrov in agencij</w:t>
      </w:r>
      <w:r w:rsidR="00E3737B" w:rsidRPr="00E94653">
        <w:rPr>
          <w:rFonts w:ascii="Arial" w:hAnsi="Arial" w:cs="Arial"/>
          <w:sz w:val="20"/>
          <w:szCs w:val="20"/>
        </w:rPr>
        <w:t>.</w:t>
      </w:r>
      <w:r w:rsidR="008E5B56" w:rsidRPr="00E94653">
        <w:rPr>
          <w:rFonts w:ascii="Arial" w:hAnsi="Arial" w:cs="Arial"/>
          <w:sz w:val="20"/>
          <w:szCs w:val="20"/>
        </w:rPr>
        <w:t xml:space="preserve"> </w:t>
      </w:r>
    </w:p>
    <w:p w14:paraId="6FD09C0E" w14:textId="50BB0CDB" w:rsidR="008E5B56" w:rsidRPr="00E94653" w:rsidRDefault="008E5B56" w:rsidP="008E5B56">
      <w:pPr>
        <w:spacing w:line="360" w:lineRule="auto"/>
        <w:jc w:val="both"/>
        <w:rPr>
          <w:rFonts w:ascii="Arial" w:hAnsi="Arial" w:cs="Arial"/>
          <w:sz w:val="20"/>
          <w:szCs w:val="20"/>
        </w:rPr>
      </w:pPr>
      <w:r w:rsidRPr="00E94653">
        <w:rPr>
          <w:rFonts w:ascii="Arial" w:hAnsi="Arial" w:cs="Arial"/>
          <w:sz w:val="20"/>
          <w:szCs w:val="20"/>
        </w:rPr>
        <w:t>Pri tem je treba upoštevati več vzrokov, zakaj posamezni naročniki na portalu javnih naročil niso objavili podatko</w:t>
      </w:r>
      <w:r w:rsidR="00C940DB" w:rsidRPr="00E94653">
        <w:rPr>
          <w:rFonts w:ascii="Arial" w:hAnsi="Arial" w:cs="Arial"/>
          <w:sz w:val="20"/>
          <w:szCs w:val="20"/>
        </w:rPr>
        <w:t>v o javnih naročilih v letu 201</w:t>
      </w:r>
      <w:r w:rsidR="00F01E72" w:rsidRPr="00E94653">
        <w:rPr>
          <w:rFonts w:ascii="Arial" w:hAnsi="Arial" w:cs="Arial"/>
          <w:sz w:val="20"/>
          <w:szCs w:val="20"/>
        </w:rPr>
        <w:t>8</w:t>
      </w:r>
      <w:r w:rsidRPr="00E94653">
        <w:rPr>
          <w:rFonts w:ascii="Arial" w:hAnsi="Arial" w:cs="Arial"/>
          <w:sz w:val="20"/>
          <w:szCs w:val="20"/>
        </w:rPr>
        <w:t>, ki so podobni kot v preteklih letih. Nekat</w:t>
      </w:r>
      <w:r w:rsidR="00C940DB" w:rsidRPr="00E94653">
        <w:rPr>
          <w:rFonts w:ascii="Arial" w:hAnsi="Arial" w:cs="Arial"/>
          <w:sz w:val="20"/>
          <w:szCs w:val="20"/>
        </w:rPr>
        <w:t>eri manjši naročniki v letu 201</w:t>
      </w:r>
      <w:r w:rsidR="00F01E72" w:rsidRPr="00E94653">
        <w:rPr>
          <w:rFonts w:ascii="Arial" w:hAnsi="Arial" w:cs="Arial"/>
          <w:sz w:val="20"/>
          <w:szCs w:val="20"/>
        </w:rPr>
        <w:t>8</w:t>
      </w:r>
      <w:r w:rsidRPr="00E94653">
        <w:rPr>
          <w:rFonts w:ascii="Arial" w:hAnsi="Arial" w:cs="Arial"/>
          <w:sz w:val="20"/>
          <w:szCs w:val="20"/>
        </w:rPr>
        <w:t xml:space="preserve"> niso izvedli postopkov javnega naročanja, temveč so naročila za večletno obdobje oddali v preteklih letih. Za nekatere organe v sestavi ministrstev je statistične podatke oddalo ministrstvo, ki zanje po pooblastilu izvaja javna naročila. Kot v preteklih letih nekaj naročnikov predvidoma ni sporočilo podatkov, ker niso </w:t>
      </w:r>
      <w:r w:rsidR="00003CDA" w:rsidRPr="00E94653">
        <w:rPr>
          <w:rFonts w:ascii="Arial" w:hAnsi="Arial" w:cs="Arial"/>
          <w:sz w:val="20"/>
          <w:szCs w:val="20"/>
        </w:rPr>
        <w:t>upoštevali</w:t>
      </w:r>
      <w:r w:rsidRPr="00E94653">
        <w:rPr>
          <w:rFonts w:ascii="Arial" w:hAnsi="Arial" w:cs="Arial"/>
          <w:sz w:val="20"/>
          <w:szCs w:val="20"/>
        </w:rPr>
        <w:t xml:space="preserve"> zakonodajni</w:t>
      </w:r>
      <w:r w:rsidR="00003CDA" w:rsidRPr="00E94653">
        <w:rPr>
          <w:rFonts w:ascii="Arial" w:hAnsi="Arial" w:cs="Arial"/>
          <w:sz w:val="20"/>
          <w:szCs w:val="20"/>
        </w:rPr>
        <w:t>h</w:t>
      </w:r>
      <w:r w:rsidRPr="00E94653">
        <w:rPr>
          <w:rFonts w:ascii="Arial" w:hAnsi="Arial" w:cs="Arial"/>
          <w:sz w:val="20"/>
          <w:szCs w:val="20"/>
        </w:rPr>
        <w:t xml:space="preserve"> sprememb na tem področju </w:t>
      </w:r>
      <w:r w:rsidR="00003CDA" w:rsidRPr="00E94653">
        <w:rPr>
          <w:rFonts w:ascii="Arial" w:hAnsi="Arial" w:cs="Arial"/>
          <w:sz w:val="20"/>
          <w:szCs w:val="20"/>
        </w:rPr>
        <w:t>ter</w:t>
      </w:r>
      <w:r w:rsidRPr="00E94653">
        <w:rPr>
          <w:rFonts w:ascii="Arial" w:hAnsi="Arial" w:cs="Arial"/>
          <w:sz w:val="20"/>
          <w:szCs w:val="20"/>
        </w:rPr>
        <w:t xml:space="preserve"> obvestil </w:t>
      </w:r>
      <w:r w:rsidR="00003CDA" w:rsidRPr="00E94653">
        <w:rPr>
          <w:rFonts w:ascii="Arial" w:hAnsi="Arial" w:cs="Arial"/>
          <w:sz w:val="20"/>
          <w:szCs w:val="20"/>
        </w:rPr>
        <w:t>in</w:t>
      </w:r>
      <w:r w:rsidRPr="00E94653">
        <w:rPr>
          <w:rFonts w:ascii="Arial" w:hAnsi="Arial" w:cs="Arial"/>
          <w:sz w:val="20"/>
          <w:szCs w:val="20"/>
        </w:rPr>
        <w:t xml:space="preserve"> pojasnil Ministrstva za javno upravo.</w:t>
      </w:r>
    </w:p>
    <w:p w14:paraId="1A9B8ED2" w14:textId="77777777" w:rsidR="00EC580F" w:rsidRPr="00EF2D0B" w:rsidRDefault="00EC580F" w:rsidP="00EC580F">
      <w:pPr>
        <w:pStyle w:val="ZADEVA"/>
        <w:jc w:val="both"/>
        <w:rPr>
          <w:rFonts w:cs="Arial"/>
          <w:b w:val="0"/>
          <w:szCs w:val="20"/>
          <w:highlight w:val="yellow"/>
          <w:lang w:val="sl-SI"/>
        </w:rPr>
      </w:pPr>
    </w:p>
    <w:p w14:paraId="3D192CE4" w14:textId="118A80DA" w:rsidR="001409E3" w:rsidRPr="006D4542" w:rsidRDefault="001409E3" w:rsidP="001409E3">
      <w:pPr>
        <w:pStyle w:val="Naslov2"/>
        <w:rPr>
          <w:rFonts w:ascii="Arial" w:hAnsi="Arial" w:cs="Arial"/>
          <w:sz w:val="22"/>
          <w:szCs w:val="22"/>
        </w:rPr>
      </w:pPr>
      <w:bookmarkStart w:id="8" w:name="_Toc17114046"/>
      <w:r w:rsidRPr="006D4542">
        <w:rPr>
          <w:rFonts w:ascii="Arial" w:hAnsi="Arial" w:cs="Arial"/>
          <w:sz w:val="22"/>
          <w:szCs w:val="22"/>
        </w:rPr>
        <w:t>2.2 Objavljena javna naročila</w:t>
      </w:r>
      <w:bookmarkEnd w:id="8"/>
    </w:p>
    <w:p w14:paraId="09DC0ADC" w14:textId="37F32A26" w:rsidR="00854405" w:rsidRPr="006D4542" w:rsidRDefault="00854405" w:rsidP="00854405">
      <w:pPr>
        <w:pStyle w:val="ZADEVA"/>
        <w:jc w:val="both"/>
        <w:rPr>
          <w:rFonts w:cs="Arial"/>
          <w:b w:val="0"/>
          <w:szCs w:val="20"/>
          <w:lang w:val="sl-SI"/>
        </w:rPr>
      </w:pPr>
    </w:p>
    <w:p w14:paraId="6BBE70BB" w14:textId="40BED385" w:rsidR="00DA3EE6" w:rsidRPr="006D4542" w:rsidRDefault="00AA7070" w:rsidP="00DA3EE6">
      <w:pPr>
        <w:spacing w:line="360" w:lineRule="auto"/>
        <w:jc w:val="both"/>
        <w:rPr>
          <w:rFonts w:ascii="Arial" w:hAnsi="Arial" w:cs="Arial"/>
          <w:sz w:val="20"/>
        </w:rPr>
      </w:pPr>
      <w:r w:rsidRPr="006D4542">
        <w:rPr>
          <w:rFonts w:ascii="Arial" w:hAnsi="Arial" w:cs="Arial"/>
          <w:sz w:val="20"/>
        </w:rPr>
        <w:t>S</w:t>
      </w:r>
      <w:r w:rsidR="003647F1" w:rsidRPr="006D4542">
        <w:rPr>
          <w:rFonts w:ascii="Arial" w:hAnsi="Arial" w:cs="Arial"/>
          <w:sz w:val="20"/>
        </w:rPr>
        <w:t>tatistični podatk</w:t>
      </w:r>
      <w:r w:rsidRPr="006D4542">
        <w:rPr>
          <w:rFonts w:ascii="Arial" w:hAnsi="Arial" w:cs="Arial"/>
          <w:sz w:val="20"/>
        </w:rPr>
        <w:t>i</w:t>
      </w:r>
      <w:r w:rsidR="003647F1" w:rsidRPr="006D4542">
        <w:rPr>
          <w:rFonts w:ascii="Arial" w:hAnsi="Arial" w:cs="Arial"/>
          <w:sz w:val="20"/>
        </w:rPr>
        <w:t xml:space="preserve"> </w:t>
      </w:r>
      <w:r w:rsidRPr="006D4542">
        <w:rPr>
          <w:rFonts w:ascii="Arial" w:hAnsi="Arial" w:cs="Arial"/>
          <w:sz w:val="20"/>
        </w:rPr>
        <w:t>kažejo</w:t>
      </w:r>
      <w:r w:rsidR="00930537" w:rsidRPr="006D4542">
        <w:rPr>
          <w:rFonts w:ascii="Arial" w:hAnsi="Arial" w:cs="Arial"/>
          <w:sz w:val="20"/>
        </w:rPr>
        <w:t xml:space="preserve">, da so naročniki </w:t>
      </w:r>
      <w:r w:rsidR="00BD6B05" w:rsidRPr="006D4542">
        <w:rPr>
          <w:rFonts w:ascii="Arial" w:hAnsi="Arial" w:cs="Arial"/>
          <w:sz w:val="20"/>
        </w:rPr>
        <w:t>let</w:t>
      </w:r>
      <w:r w:rsidR="00BD6B05">
        <w:rPr>
          <w:rFonts w:ascii="Arial" w:hAnsi="Arial" w:cs="Arial"/>
          <w:sz w:val="20"/>
        </w:rPr>
        <w:t>a</w:t>
      </w:r>
      <w:r w:rsidR="00BD6B05" w:rsidRPr="006D4542">
        <w:rPr>
          <w:rFonts w:ascii="Arial" w:hAnsi="Arial" w:cs="Arial"/>
          <w:sz w:val="20"/>
        </w:rPr>
        <w:t xml:space="preserve"> </w:t>
      </w:r>
      <w:r w:rsidR="00930537" w:rsidRPr="006D4542">
        <w:rPr>
          <w:rFonts w:ascii="Arial" w:hAnsi="Arial" w:cs="Arial"/>
          <w:sz w:val="20"/>
        </w:rPr>
        <w:t>201</w:t>
      </w:r>
      <w:r w:rsidR="003004C8" w:rsidRPr="006D4542">
        <w:rPr>
          <w:rFonts w:ascii="Arial" w:hAnsi="Arial" w:cs="Arial"/>
          <w:sz w:val="20"/>
        </w:rPr>
        <w:t>8</w:t>
      </w:r>
      <w:r w:rsidR="00930537" w:rsidRPr="006D4542">
        <w:rPr>
          <w:rFonts w:ascii="Arial" w:hAnsi="Arial" w:cs="Arial"/>
          <w:sz w:val="20"/>
        </w:rPr>
        <w:t xml:space="preserve"> oddali 1</w:t>
      </w:r>
      <w:r w:rsidR="003004C8" w:rsidRPr="006D4542">
        <w:rPr>
          <w:rFonts w:ascii="Arial" w:hAnsi="Arial" w:cs="Arial"/>
          <w:sz w:val="20"/>
        </w:rPr>
        <w:t>6</w:t>
      </w:r>
      <w:r w:rsidR="00930537" w:rsidRPr="006D4542">
        <w:rPr>
          <w:rFonts w:ascii="Arial" w:hAnsi="Arial" w:cs="Arial"/>
          <w:sz w:val="20"/>
        </w:rPr>
        <w:t>.8</w:t>
      </w:r>
      <w:r w:rsidR="003004C8" w:rsidRPr="006D4542">
        <w:rPr>
          <w:rFonts w:ascii="Arial" w:hAnsi="Arial" w:cs="Arial"/>
          <w:sz w:val="20"/>
        </w:rPr>
        <w:t>6</w:t>
      </w:r>
      <w:r w:rsidR="006D4542" w:rsidRPr="006D4542">
        <w:rPr>
          <w:rFonts w:ascii="Arial" w:hAnsi="Arial" w:cs="Arial"/>
          <w:sz w:val="20"/>
        </w:rPr>
        <w:t>5</w:t>
      </w:r>
      <w:r w:rsidR="003647F1" w:rsidRPr="006D4542">
        <w:rPr>
          <w:rFonts w:ascii="Arial" w:hAnsi="Arial" w:cs="Arial"/>
          <w:sz w:val="20"/>
        </w:rPr>
        <w:t xml:space="preserve"> javnih naročil. </w:t>
      </w:r>
      <w:r w:rsidR="00391021" w:rsidRPr="006D4542">
        <w:rPr>
          <w:rFonts w:ascii="Arial" w:hAnsi="Arial" w:cs="Arial"/>
          <w:sz w:val="20"/>
        </w:rPr>
        <w:t>Njihova p</w:t>
      </w:r>
      <w:r w:rsidR="003647F1" w:rsidRPr="006D4542">
        <w:rPr>
          <w:rFonts w:ascii="Arial" w:hAnsi="Arial" w:cs="Arial"/>
          <w:sz w:val="20"/>
        </w:rPr>
        <w:t xml:space="preserve">ogodbena vrednost </w:t>
      </w:r>
      <w:r w:rsidR="00DA3EE6" w:rsidRPr="006D4542">
        <w:rPr>
          <w:rFonts w:ascii="Arial" w:hAnsi="Arial" w:cs="Arial"/>
          <w:sz w:val="20"/>
        </w:rPr>
        <w:t xml:space="preserve">je </w:t>
      </w:r>
      <w:r w:rsidR="003647F1" w:rsidRPr="006D4542">
        <w:rPr>
          <w:rFonts w:ascii="Arial" w:hAnsi="Arial" w:cs="Arial"/>
          <w:sz w:val="20"/>
        </w:rPr>
        <w:t>znaša</w:t>
      </w:r>
      <w:r w:rsidR="00DA3EE6" w:rsidRPr="006D4542">
        <w:rPr>
          <w:rFonts w:ascii="Arial" w:hAnsi="Arial" w:cs="Arial"/>
          <w:sz w:val="20"/>
        </w:rPr>
        <w:t>la</w:t>
      </w:r>
      <w:r w:rsidR="003647F1" w:rsidRPr="006D4542">
        <w:rPr>
          <w:rFonts w:ascii="Arial" w:hAnsi="Arial" w:cs="Arial"/>
          <w:sz w:val="20"/>
        </w:rPr>
        <w:t xml:space="preserve"> </w:t>
      </w:r>
      <w:r w:rsidR="00303F18" w:rsidRPr="006D4542">
        <w:rPr>
          <w:rFonts w:ascii="Arial" w:hAnsi="Arial" w:cs="Arial"/>
          <w:sz w:val="20"/>
        </w:rPr>
        <w:t>2.91</w:t>
      </w:r>
      <w:r w:rsidR="006D4542" w:rsidRPr="006D4542">
        <w:rPr>
          <w:rFonts w:ascii="Arial" w:hAnsi="Arial" w:cs="Arial"/>
          <w:sz w:val="20"/>
        </w:rPr>
        <w:t>8</w:t>
      </w:r>
      <w:r w:rsidR="00303F18" w:rsidRPr="006D4542">
        <w:rPr>
          <w:rFonts w:ascii="Arial" w:hAnsi="Arial" w:cs="Arial"/>
          <w:sz w:val="20"/>
        </w:rPr>
        <w:t>.</w:t>
      </w:r>
      <w:r w:rsidR="006D4542" w:rsidRPr="006D4542">
        <w:rPr>
          <w:rFonts w:ascii="Arial" w:hAnsi="Arial" w:cs="Arial"/>
          <w:sz w:val="20"/>
        </w:rPr>
        <w:t>594</w:t>
      </w:r>
      <w:r w:rsidR="00303F18" w:rsidRPr="006D4542">
        <w:rPr>
          <w:rFonts w:ascii="Arial" w:hAnsi="Arial" w:cs="Arial"/>
          <w:sz w:val="20"/>
        </w:rPr>
        <w:t>.</w:t>
      </w:r>
      <w:r w:rsidR="006D4542" w:rsidRPr="006D4542">
        <w:rPr>
          <w:rFonts w:ascii="Arial" w:hAnsi="Arial" w:cs="Arial"/>
          <w:sz w:val="20"/>
        </w:rPr>
        <w:t>609</w:t>
      </w:r>
      <w:r w:rsidR="00303F18" w:rsidRPr="006D4542">
        <w:rPr>
          <w:rFonts w:ascii="Arial" w:hAnsi="Arial" w:cs="Arial"/>
          <w:sz w:val="20"/>
        </w:rPr>
        <w:t xml:space="preserve"> </w:t>
      </w:r>
      <w:r w:rsidR="003647F1" w:rsidRPr="006D4542">
        <w:rPr>
          <w:rFonts w:ascii="Arial" w:hAnsi="Arial" w:cs="Arial"/>
          <w:sz w:val="20"/>
        </w:rPr>
        <w:t>evrov.</w:t>
      </w:r>
      <w:r w:rsidR="0076310F" w:rsidRPr="006D4542">
        <w:rPr>
          <w:rFonts w:ascii="Arial" w:hAnsi="Arial" w:cs="Arial"/>
          <w:sz w:val="20"/>
        </w:rPr>
        <w:t xml:space="preserve"> </w:t>
      </w:r>
      <w:r w:rsidR="00DA3EE6" w:rsidRPr="006D4542">
        <w:rPr>
          <w:rFonts w:ascii="Arial" w:hAnsi="Arial" w:cs="Arial"/>
          <w:sz w:val="20"/>
        </w:rPr>
        <w:t xml:space="preserve">Naročila blaga </w:t>
      </w:r>
      <w:r w:rsidR="00BD6B05">
        <w:rPr>
          <w:rFonts w:ascii="Arial" w:hAnsi="Arial" w:cs="Arial"/>
          <w:sz w:val="20"/>
        </w:rPr>
        <w:t>so</w:t>
      </w:r>
      <w:r w:rsidR="00BD6B05" w:rsidRPr="006D4542">
        <w:rPr>
          <w:rFonts w:ascii="Arial" w:hAnsi="Arial" w:cs="Arial"/>
          <w:sz w:val="20"/>
        </w:rPr>
        <w:t xml:space="preserve"> </w:t>
      </w:r>
      <w:r w:rsidR="00DA3EE6" w:rsidRPr="006D4542">
        <w:rPr>
          <w:rFonts w:ascii="Arial" w:hAnsi="Arial" w:cs="Arial"/>
          <w:sz w:val="20"/>
        </w:rPr>
        <w:t xml:space="preserve">največji del javnih naročil tako po številu kot po vrednosti. </w:t>
      </w:r>
    </w:p>
    <w:p w14:paraId="59996034" w14:textId="32E91FAD" w:rsidR="00854405" w:rsidRPr="00052AF4" w:rsidRDefault="0076310F" w:rsidP="001F2B2F">
      <w:pPr>
        <w:spacing w:line="240" w:lineRule="auto"/>
        <w:jc w:val="both"/>
        <w:rPr>
          <w:rFonts w:ascii="Arial" w:hAnsi="Arial" w:cs="Arial"/>
          <w:sz w:val="20"/>
        </w:rPr>
      </w:pPr>
      <w:r w:rsidRPr="00052AF4">
        <w:rPr>
          <w:rFonts w:ascii="Arial" w:hAnsi="Arial" w:cs="Arial"/>
          <w:sz w:val="20"/>
        </w:rPr>
        <w:t xml:space="preserve">Preglednica </w:t>
      </w:r>
      <w:r w:rsidR="00EB4423">
        <w:rPr>
          <w:rFonts w:ascii="Arial" w:hAnsi="Arial" w:cs="Arial"/>
          <w:sz w:val="20"/>
        </w:rPr>
        <w:t>2</w:t>
      </w:r>
      <w:r w:rsidRPr="00052AF4">
        <w:rPr>
          <w:rFonts w:ascii="Arial" w:hAnsi="Arial" w:cs="Arial"/>
          <w:sz w:val="20"/>
        </w:rPr>
        <w:t>: Vrednost, število in deleži javnih naročil</w:t>
      </w:r>
      <w:r w:rsidR="00D907DA" w:rsidRPr="00052AF4">
        <w:rPr>
          <w:rFonts w:ascii="Arial" w:hAnsi="Arial" w:cs="Arial"/>
          <w:sz w:val="20"/>
        </w:rPr>
        <w:t xml:space="preserve"> </w:t>
      </w:r>
      <w:r w:rsidR="00391021" w:rsidRPr="00052AF4">
        <w:rPr>
          <w:rFonts w:ascii="Arial" w:hAnsi="Arial" w:cs="Arial"/>
          <w:sz w:val="20"/>
        </w:rPr>
        <w:t>po</w:t>
      </w:r>
      <w:r w:rsidR="00D907DA" w:rsidRPr="00052AF4">
        <w:rPr>
          <w:rFonts w:ascii="Arial" w:hAnsi="Arial" w:cs="Arial"/>
          <w:sz w:val="20"/>
        </w:rPr>
        <w:t xml:space="preserve"> predmet</w:t>
      </w:r>
      <w:r w:rsidR="00391021" w:rsidRPr="00052AF4">
        <w:rPr>
          <w:rFonts w:ascii="Arial" w:hAnsi="Arial" w:cs="Arial"/>
          <w:sz w:val="20"/>
        </w:rPr>
        <w:t>ih</w:t>
      </w:r>
      <w:r w:rsidR="00D907DA" w:rsidRPr="00052AF4">
        <w:rPr>
          <w:rFonts w:ascii="Arial" w:hAnsi="Arial" w:cs="Arial"/>
          <w:sz w:val="20"/>
        </w:rPr>
        <w:t xml:space="preserve"> naročanja</w:t>
      </w:r>
    </w:p>
    <w:tbl>
      <w:tblPr>
        <w:tblStyle w:val="Tabelamrea"/>
        <w:tblW w:w="8760" w:type="dxa"/>
        <w:tblLook w:val="04A0" w:firstRow="1" w:lastRow="0" w:firstColumn="1" w:lastColumn="0" w:noHBand="0" w:noVBand="1"/>
      </w:tblPr>
      <w:tblGrid>
        <w:gridCol w:w="1280"/>
        <w:gridCol w:w="1200"/>
        <w:gridCol w:w="920"/>
        <w:gridCol w:w="1420"/>
        <w:gridCol w:w="1600"/>
        <w:gridCol w:w="1240"/>
        <w:gridCol w:w="1100"/>
      </w:tblGrid>
      <w:tr w:rsidR="00693B40" w:rsidRPr="00052AF4" w14:paraId="2F1BE39A" w14:textId="77777777" w:rsidTr="00E1481A">
        <w:trPr>
          <w:trHeight w:val="284"/>
        </w:trPr>
        <w:tc>
          <w:tcPr>
            <w:tcW w:w="1280" w:type="dxa"/>
            <w:hideMark/>
          </w:tcPr>
          <w:p w14:paraId="4A419C16" w14:textId="56D865E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 xml:space="preserve">Predmet </w:t>
            </w:r>
          </w:p>
        </w:tc>
        <w:tc>
          <w:tcPr>
            <w:tcW w:w="1200" w:type="dxa"/>
            <w:hideMark/>
          </w:tcPr>
          <w:p w14:paraId="520DDB45" w14:textId="7777777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Št. postopkov</w:t>
            </w:r>
          </w:p>
        </w:tc>
        <w:tc>
          <w:tcPr>
            <w:tcW w:w="920" w:type="dxa"/>
            <w:hideMark/>
          </w:tcPr>
          <w:p w14:paraId="78A1D9C1" w14:textId="7777777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Št. naročil</w:t>
            </w:r>
          </w:p>
        </w:tc>
        <w:tc>
          <w:tcPr>
            <w:tcW w:w="1420" w:type="dxa"/>
            <w:hideMark/>
          </w:tcPr>
          <w:p w14:paraId="742BAC55" w14:textId="7777777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Pogodbena vrednost</w:t>
            </w:r>
          </w:p>
        </w:tc>
        <w:tc>
          <w:tcPr>
            <w:tcW w:w="1600" w:type="dxa"/>
            <w:hideMark/>
          </w:tcPr>
          <w:p w14:paraId="4A7F3662" w14:textId="7777777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Delež v št. postopkov</w:t>
            </w:r>
          </w:p>
        </w:tc>
        <w:tc>
          <w:tcPr>
            <w:tcW w:w="1240" w:type="dxa"/>
            <w:hideMark/>
          </w:tcPr>
          <w:p w14:paraId="0D563109" w14:textId="7777777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Delež v št. naročil</w:t>
            </w:r>
          </w:p>
        </w:tc>
        <w:tc>
          <w:tcPr>
            <w:tcW w:w="1100" w:type="dxa"/>
            <w:hideMark/>
          </w:tcPr>
          <w:p w14:paraId="3EA3DB2B" w14:textId="77777777" w:rsidR="00693B40" w:rsidRPr="00052AF4" w:rsidRDefault="00693B40" w:rsidP="001F2B2F">
            <w:pPr>
              <w:jc w:val="center"/>
              <w:rPr>
                <w:rFonts w:ascii="Arial" w:hAnsi="Arial" w:cs="Arial"/>
                <w:color w:val="000000"/>
                <w:sz w:val="18"/>
                <w:szCs w:val="18"/>
                <w:lang w:eastAsia="sl-SI"/>
              </w:rPr>
            </w:pPr>
            <w:r w:rsidRPr="00052AF4">
              <w:rPr>
                <w:rFonts w:ascii="Arial" w:hAnsi="Arial" w:cs="Arial"/>
                <w:color w:val="000000"/>
                <w:sz w:val="18"/>
                <w:szCs w:val="18"/>
                <w:lang w:eastAsia="sl-SI"/>
              </w:rPr>
              <w:t>Delež v vrednosti</w:t>
            </w:r>
          </w:p>
        </w:tc>
      </w:tr>
      <w:tr w:rsidR="00052AF4" w:rsidRPr="00052AF4" w14:paraId="682E3BF8" w14:textId="77777777" w:rsidTr="00E1481A">
        <w:trPr>
          <w:trHeight w:val="284"/>
        </w:trPr>
        <w:tc>
          <w:tcPr>
            <w:tcW w:w="1280" w:type="dxa"/>
            <w:hideMark/>
          </w:tcPr>
          <w:p w14:paraId="5BF762C3" w14:textId="5C3A5E40" w:rsidR="00052AF4" w:rsidRPr="00052AF4" w:rsidRDefault="00052AF4" w:rsidP="00052AF4">
            <w:pPr>
              <w:rPr>
                <w:rFonts w:ascii="Arial" w:hAnsi="Arial" w:cs="Arial"/>
                <w:color w:val="000000"/>
                <w:sz w:val="18"/>
                <w:szCs w:val="18"/>
                <w:lang w:eastAsia="sl-SI"/>
              </w:rPr>
            </w:pPr>
            <w:r w:rsidRPr="00052AF4">
              <w:rPr>
                <w:rFonts w:ascii="Arial" w:hAnsi="Arial" w:cs="Arial"/>
                <w:color w:val="000000"/>
                <w:sz w:val="18"/>
                <w:szCs w:val="18"/>
                <w:lang w:eastAsia="sl-SI"/>
              </w:rPr>
              <w:t>Blago</w:t>
            </w:r>
          </w:p>
        </w:tc>
        <w:tc>
          <w:tcPr>
            <w:tcW w:w="1200" w:type="dxa"/>
            <w:hideMark/>
          </w:tcPr>
          <w:p w14:paraId="3C94A82F" w14:textId="4C380660"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2.670</w:t>
            </w:r>
          </w:p>
        </w:tc>
        <w:tc>
          <w:tcPr>
            <w:tcW w:w="920" w:type="dxa"/>
            <w:hideMark/>
          </w:tcPr>
          <w:p w14:paraId="2E04E8A5" w14:textId="2E3196B7"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10.967</w:t>
            </w:r>
          </w:p>
        </w:tc>
        <w:tc>
          <w:tcPr>
            <w:tcW w:w="1420" w:type="dxa"/>
            <w:hideMark/>
          </w:tcPr>
          <w:p w14:paraId="0D5DC60E" w14:textId="38E327FA"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1.197.625.996</w:t>
            </w:r>
          </w:p>
        </w:tc>
        <w:tc>
          <w:tcPr>
            <w:tcW w:w="1600" w:type="dxa"/>
            <w:noWrap/>
            <w:hideMark/>
          </w:tcPr>
          <w:p w14:paraId="6183BED5" w14:textId="53114BE5"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39,62 %</w:t>
            </w:r>
          </w:p>
        </w:tc>
        <w:tc>
          <w:tcPr>
            <w:tcW w:w="1240" w:type="dxa"/>
            <w:noWrap/>
            <w:hideMark/>
          </w:tcPr>
          <w:p w14:paraId="163CD09E" w14:textId="6CFB8CC9"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65,03 %</w:t>
            </w:r>
          </w:p>
        </w:tc>
        <w:tc>
          <w:tcPr>
            <w:tcW w:w="1100" w:type="dxa"/>
            <w:noWrap/>
            <w:hideMark/>
          </w:tcPr>
          <w:p w14:paraId="361BEBB4" w14:textId="174B841A"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41,03 %</w:t>
            </w:r>
          </w:p>
        </w:tc>
      </w:tr>
      <w:tr w:rsidR="00052AF4" w:rsidRPr="00052AF4" w14:paraId="6829D565" w14:textId="77777777" w:rsidTr="00E1481A">
        <w:trPr>
          <w:trHeight w:val="284"/>
        </w:trPr>
        <w:tc>
          <w:tcPr>
            <w:tcW w:w="1280" w:type="dxa"/>
            <w:hideMark/>
          </w:tcPr>
          <w:p w14:paraId="50BF824B" w14:textId="44EC8402" w:rsidR="00052AF4" w:rsidRPr="00052AF4" w:rsidRDefault="00052AF4" w:rsidP="00052AF4">
            <w:pPr>
              <w:rPr>
                <w:rFonts w:ascii="Arial" w:hAnsi="Arial" w:cs="Arial"/>
                <w:color w:val="000000"/>
                <w:sz w:val="18"/>
                <w:szCs w:val="18"/>
                <w:lang w:eastAsia="sl-SI"/>
              </w:rPr>
            </w:pPr>
            <w:r w:rsidRPr="00052AF4">
              <w:rPr>
                <w:rFonts w:ascii="Arial" w:hAnsi="Arial" w:cs="Arial"/>
                <w:color w:val="000000"/>
                <w:sz w:val="18"/>
                <w:szCs w:val="18"/>
                <w:lang w:eastAsia="sl-SI"/>
              </w:rPr>
              <w:t>Storitve</w:t>
            </w:r>
          </w:p>
        </w:tc>
        <w:tc>
          <w:tcPr>
            <w:tcW w:w="1200" w:type="dxa"/>
            <w:hideMark/>
          </w:tcPr>
          <w:p w14:paraId="5DF651FC" w14:textId="0F673F71"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2.408</w:t>
            </w:r>
          </w:p>
        </w:tc>
        <w:tc>
          <w:tcPr>
            <w:tcW w:w="920" w:type="dxa"/>
            <w:hideMark/>
          </w:tcPr>
          <w:p w14:paraId="4DB4091D" w14:textId="2F44C98B"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3.890</w:t>
            </w:r>
          </w:p>
        </w:tc>
        <w:tc>
          <w:tcPr>
            <w:tcW w:w="1420" w:type="dxa"/>
            <w:hideMark/>
          </w:tcPr>
          <w:p w14:paraId="0ECE6BD7" w14:textId="4E242EDE"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763.942.082</w:t>
            </w:r>
          </w:p>
        </w:tc>
        <w:tc>
          <w:tcPr>
            <w:tcW w:w="1600" w:type="dxa"/>
            <w:noWrap/>
            <w:hideMark/>
          </w:tcPr>
          <w:p w14:paraId="200BC377" w14:textId="6ECADCCA"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35,73 %</w:t>
            </w:r>
          </w:p>
        </w:tc>
        <w:tc>
          <w:tcPr>
            <w:tcW w:w="1240" w:type="dxa"/>
            <w:noWrap/>
            <w:hideMark/>
          </w:tcPr>
          <w:p w14:paraId="7E567415" w14:textId="4AEEC346"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23,07 %</w:t>
            </w:r>
          </w:p>
        </w:tc>
        <w:tc>
          <w:tcPr>
            <w:tcW w:w="1100" w:type="dxa"/>
            <w:noWrap/>
            <w:hideMark/>
          </w:tcPr>
          <w:p w14:paraId="55B05140" w14:textId="7FC1F791"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26,17 %</w:t>
            </w:r>
          </w:p>
        </w:tc>
      </w:tr>
      <w:tr w:rsidR="00052AF4" w:rsidRPr="00052AF4" w14:paraId="15368C20" w14:textId="77777777" w:rsidTr="00E1481A">
        <w:trPr>
          <w:trHeight w:val="284"/>
        </w:trPr>
        <w:tc>
          <w:tcPr>
            <w:tcW w:w="1280" w:type="dxa"/>
            <w:hideMark/>
          </w:tcPr>
          <w:p w14:paraId="27EC7908" w14:textId="26C1FBBD" w:rsidR="00052AF4" w:rsidRPr="00052AF4" w:rsidRDefault="00052AF4" w:rsidP="00052AF4">
            <w:pPr>
              <w:rPr>
                <w:rFonts w:ascii="Arial" w:hAnsi="Arial" w:cs="Arial"/>
                <w:color w:val="000000"/>
                <w:sz w:val="18"/>
                <w:szCs w:val="18"/>
                <w:lang w:eastAsia="sl-SI"/>
              </w:rPr>
            </w:pPr>
            <w:r w:rsidRPr="00052AF4">
              <w:rPr>
                <w:rFonts w:ascii="Arial" w:hAnsi="Arial" w:cs="Arial"/>
                <w:color w:val="000000"/>
                <w:sz w:val="18"/>
                <w:szCs w:val="18"/>
                <w:lang w:eastAsia="sl-SI"/>
              </w:rPr>
              <w:t>Gradnje</w:t>
            </w:r>
          </w:p>
        </w:tc>
        <w:tc>
          <w:tcPr>
            <w:tcW w:w="1200" w:type="dxa"/>
            <w:hideMark/>
          </w:tcPr>
          <w:p w14:paraId="35EBEC9E" w14:textId="27040219"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1.661</w:t>
            </w:r>
          </w:p>
        </w:tc>
        <w:tc>
          <w:tcPr>
            <w:tcW w:w="920" w:type="dxa"/>
            <w:hideMark/>
          </w:tcPr>
          <w:p w14:paraId="36E13288" w14:textId="7C55BA2E"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2.008</w:t>
            </w:r>
          </w:p>
        </w:tc>
        <w:tc>
          <w:tcPr>
            <w:tcW w:w="1420" w:type="dxa"/>
            <w:hideMark/>
          </w:tcPr>
          <w:p w14:paraId="785C49AB" w14:textId="12C65912"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957.026.531</w:t>
            </w:r>
          </w:p>
        </w:tc>
        <w:tc>
          <w:tcPr>
            <w:tcW w:w="1600" w:type="dxa"/>
            <w:noWrap/>
            <w:hideMark/>
          </w:tcPr>
          <w:p w14:paraId="07832327" w14:textId="67D4E417"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24,65 %</w:t>
            </w:r>
          </w:p>
        </w:tc>
        <w:tc>
          <w:tcPr>
            <w:tcW w:w="1240" w:type="dxa"/>
            <w:noWrap/>
            <w:hideMark/>
          </w:tcPr>
          <w:p w14:paraId="4CE856B9" w14:textId="2C49B2BD"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11,91 %</w:t>
            </w:r>
          </w:p>
        </w:tc>
        <w:tc>
          <w:tcPr>
            <w:tcW w:w="1100" w:type="dxa"/>
            <w:noWrap/>
            <w:hideMark/>
          </w:tcPr>
          <w:p w14:paraId="0853E2F5" w14:textId="10DB4A13" w:rsidR="00052AF4" w:rsidRPr="00052AF4" w:rsidRDefault="00052AF4" w:rsidP="00052AF4">
            <w:pPr>
              <w:jc w:val="right"/>
              <w:rPr>
                <w:rFonts w:ascii="Arial" w:hAnsi="Arial" w:cs="Arial"/>
                <w:color w:val="000000"/>
                <w:sz w:val="18"/>
                <w:szCs w:val="18"/>
                <w:lang w:eastAsia="sl-SI"/>
              </w:rPr>
            </w:pPr>
            <w:r w:rsidRPr="00052AF4">
              <w:rPr>
                <w:rFonts w:ascii="Arial" w:hAnsi="Arial" w:cs="Arial"/>
                <w:sz w:val="18"/>
                <w:szCs w:val="18"/>
              </w:rPr>
              <w:t>32,79 %</w:t>
            </w:r>
          </w:p>
        </w:tc>
      </w:tr>
      <w:tr w:rsidR="00052AF4" w:rsidRPr="00052AF4" w14:paraId="7B241BE5" w14:textId="77777777" w:rsidTr="00E1481A">
        <w:trPr>
          <w:trHeight w:val="284"/>
        </w:trPr>
        <w:tc>
          <w:tcPr>
            <w:tcW w:w="1280" w:type="dxa"/>
            <w:hideMark/>
          </w:tcPr>
          <w:p w14:paraId="68AA6729" w14:textId="6FC411CC" w:rsidR="00052AF4" w:rsidRPr="00052AF4" w:rsidRDefault="00052AF4" w:rsidP="00052AF4">
            <w:pPr>
              <w:rPr>
                <w:rFonts w:ascii="Arial" w:hAnsi="Arial" w:cs="Arial"/>
                <w:b/>
                <w:bCs/>
                <w:color w:val="000000"/>
                <w:sz w:val="18"/>
                <w:szCs w:val="18"/>
                <w:lang w:eastAsia="sl-SI"/>
              </w:rPr>
            </w:pPr>
            <w:r w:rsidRPr="00052AF4">
              <w:rPr>
                <w:rFonts w:ascii="Arial" w:hAnsi="Arial" w:cs="Arial"/>
                <w:b/>
                <w:bCs/>
                <w:color w:val="000000"/>
                <w:sz w:val="18"/>
                <w:szCs w:val="18"/>
                <w:lang w:eastAsia="sl-SI"/>
              </w:rPr>
              <w:t>Skupaj</w:t>
            </w:r>
          </w:p>
        </w:tc>
        <w:tc>
          <w:tcPr>
            <w:tcW w:w="1200" w:type="dxa"/>
            <w:noWrap/>
            <w:hideMark/>
          </w:tcPr>
          <w:p w14:paraId="6C44914B" w14:textId="330D7E18" w:rsidR="00052AF4" w:rsidRPr="00052AF4" w:rsidRDefault="00052AF4" w:rsidP="00052AF4">
            <w:pPr>
              <w:jc w:val="right"/>
              <w:rPr>
                <w:rFonts w:ascii="Arial" w:hAnsi="Arial" w:cs="Arial"/>
                <w:b/>
                <w:bCs/>
                <w:color w:val="000000"/>
                <w:sz w:val="18"/>
                <w:szCs w:val="18"/>
                <w:lang w:eastAsia="sl-SI"/>
              </w:rPr>
            </w:pPr>
            <w:r w:rsidRPr="00052AF4">
              <w:rPr>
                <w:rFonts w:ascii="Arial" w:hAnsi="Arial" w:cs="Arial"/>
                <w:b/>
                <w:sz w:val="18"/>
                <w:szCs w:val="18"/>
              </w:rPr>
              <w:t>6.739</w:t>
            </w:r>
          </w:p>
        </w:tc>
        <w:tc>
          <w:tcPr>
            <w:tcW w:w="920" w:type="dxa"/>
            <w:noWrap/>
            <w:hideMark/>
          </w:tcPr>
          <w:p w14:paraId="1D86DEB0" w14:textId="6E80394D" w:rsidR="00052AF4" w:rsidRPr="00052AF4" w:rsidRDefault="00052AF4" w:rsidP="00052AF4">
            <w:pPr>
              <w:jc w:val="right"/>
              <w:rPr>
                <w:rFonts w:ascii="Arial" w:hAnsi="Arial" w:cs="Arial"/>
                <w:b/>
                <w:bCs/>
                <w:color w:val="000000"/>
                <w:sz w:val="18"/>
                <w:szCs w:val="18"/>
                <w:lang w:eastAsia="sl-SI"/>
              </w:rPr>
            </w:pPr>
            <w:r w:rsidRPr="00052AF4">
              <w:rPr>
                <w:rFonts w:ascii="Arial" w:hAnsi="Arial" w:cs="Arial"/>
                <w:b/>
                <w:sz w:val="18"/>
                <w:szCs w:val="18"/>
              </w:rPr>
              <w:t>16.865</w:t>
            </w:r>
          </w:p>
        </w:tc>
        <w:tc>
          <w:tcPr>
            <w:tcW w:w="1420" w:type="dxa"/>
            <w:noWrap/>
            <w:hideMark/>
          </w:tcPr>
          <w:p w14:paraId="5A19C3E7" w14:textId="07B1FBC3" w:rsidR="00052AF4" w:rsidRPr="00052AF4" w:rsidRDefault="00052AF4" w:rsidP="00052AF4">
            <w:pPr>
              <w:jc w:val="right"/>
              <w:rPr>
                <w:rFonts w:ascii="Arial" w:hAnsi="Arial" w:cs="Arial"/>
                <w:b/>
                <w:bCs/>
                <w:color w:val="000000"/>
                <w:sz w:val="18"/>
                <w:szCs w:val="18"/>
                <w:lang w:eastAsia="sl-SI"/>
              </w:rPr>
            </w:pPr>
            <w:r w:rsidRPr="00052AF4">
              <w:rPr>
                <w:rFonts w:ascii="Arial" w:hAnsi="Arial" w:cs="Arial"/>
                <w:b/>
                <w:sz w:val="18"/>
                <w:szCs w:val="18"/>
              </w:rPr>
              <w:t>2.918.594.609</w:t>
            </w:r>
          </w:p>
        </w:tc>
        <w:tc>
          <w:tcPr>
            <w:tcW w:w="1600" w:type="dxa"/>
            <w:noWrap/>
            <w:hideMark/>
          </w:tcPr>
          <w:p w14:paraId="297D5713" w14:textId="159A9973" w:rsidR="00052AF4" w:rsidRPr="00052AF4" w:rsidRDefault="00052AF4" w:rsidP="00052AF4">
            <w:pPr>
              <w:jc w:val="right"/>
              <w:rPr>
                <w:rFonts w:ascii="Arial" w:hAnsi="Arial" w:cs="Arial"/>
                <w:b/>
                <w:bCs/>
                <w:color w:val="000000"/>
                <w:sz w:val="18"/>
                <w:szCs w:val="18"/>
                <w:lang w:eastAsia="sl-SI"/>
              </w:rPr>
            </w:pPr>
            <w:r w:rsidRPr="00052AF4">
              <w:rPr>
                <w:rFonts w:ascii="Arial" w:hAnsi="Arial" w:cs="Arial"/>
                <w:b/>
                <w:sz w:val="18"/>
                <w:szCs w:val="18"/>
              </w:rPr>
              <w:t>100,00 %</w:t>
            </w:r>
          </w:p>
        </w:tc>
        <w:tc>
          <w:tcPr>
            <w:tcW w:w="1240" w:type="dxa"/>
            <w:noWrap/>
            <w:hideMark/>
          </w:tcPr>
          <w:p w14:paraId="48824BCB" w14:textId="273A7E1D" w:rsidR="00052AF4" w:rsidRPr="00052AF4" w:rsidRDefault="00052AF4" w:rsidP="00052AF4">
            <w:pPr>
              <w:jc w:val="right"/>
              <w:rPr>
                <w:rFonts w:ascii="Arial" w:hAnsi="Arial" w:cs="Arial"/>
                <w:b/>
                <w:bCs/>
                <w:color w:val="000000"/>
                <w:sz w:val="18"/>
                <w:szCs w:val="18"/>
                <w:lang w:eastAsia="sl-SI"/>
              </w:rPr>
            </w:pPr>
            <w:r w:rsidRPr="00052AF4">
              <w:rPr>
                <w:rFonts w:ascii="Arial" w:hAnsi="Arial" w:cs="Arial"/>
                <w:b/>
                <w:sz w:val="18"/>
                <w:szCs w:val="18"/>
              </w:rPr>
              <w:t>100,00 %</w:t>
            </w:r>
          </w:p>
        </w:tc>
        <w:tc>
          <w:tcPr>
            <w:tcW w:w="1100" w:type="dxa"/>
            <w:noWrap/>
            <w:hideMark/>
          </w:tcPr>
          <w:p w14:paraId="49A2870F" w14:textId="79F320FA" w:rsidR="00052AF4" w:rsidRPr="00052AF4" w:rsidRDefault="00052AF4" w:rsidP="00052AF4">
            <w:pPr>
              <w:jc w:val="right"/>
              <w:rPr>
                <w:rFonts w:ascii="Arial" w:hAnsi="Arial" w:cs="Arial"/>
                <w:b/>
                <w:bCs/>
                <w:color w:val="000000"/>
                <w:sz w:val="18"/>
                <w:szCs w:val="18"/>
                <w:lang w:eastAsia="sl-SI"/>
              </w:rPr>
            </w:pPr>
            <w:r w:rsidRPr="00052AF4">
              <w:rPr>
                <w:rFonts w:ascii="Arial" w:hAnsi="Arial" w:cs="Arial"/>
                <w:b/>
                <w:sz w:val="18"/>
                <w:szCs w:val="18"/>
              </w:rPr>
              <w:t>100,00 %</w:t>
            </w:r>
          </w:p>
        </w:tc>
      </w:tr>
    </w:tbl>
    <w:p w14:paraId="2BE16941" w14:textId="77777777" w:rsidR="00D907DA" w:rsidRPr="00052AF4" w:rsidRDefault="00D907DA" w:rsidP="00D907DA">
      <w:pPr>
        <w:shd w:val="clear" w:color="auto" w:fill="FFFFFF"/>
        <w:spacing w:after="0" w:line="240" w:lineRule="auto"/>
        <w:ind w:left="181"/>
        <w:jc w:val="center"/>
        <w:rPr>
          <w:rFonts w:ascii="Arial" w:hAnsi="Arial" w:cs="Arial"/>
          <w:noProof/>
          <w:sz w:val="18"/>
          <w:szCs w:val="18"/>
          <w:lang w:eastAsia="sl-SI"/>
        </w:rPr>
      </w:pPr>
    </w:p>
    <w:p w14:paraId="7C4B149F" w14:textId="14E66F0E" w:rsidR="00D907DA" w:rsidRPr="00052AF4" w:rsidRDefault="00D907DA" w:rsidP="003156F5">
      <w:pPr>
        <w:spacing w:after="240" w:line="240" w:lineRule="auto"/>
        <w:jc w:val="center"/>
        <w:rPr>
          <w:rFonts w:ascii="Arial" w:hAnsi="Arial" w:cs="Arial"/>
          <w:sz w:val="18"/>
        </w:rPr>
      </w:pPr>
      <w:r w:rsidRPr="00052AF4">
        <w:rPr>
          <w:rFonts w:ascii="Arial" w:hAnsi="Arial" w:cs="Arial"/>
          <w:sz w:val="18"/>
        </w:rPr>
        <w:t>Vir: Statistični podatki o javnih naročilih, oddanih v let</w:t>
      </w:r>
      <w:r w:rsidR="0076104A" w:rsidRPr="00052AF4">
        <w:rPr>
          <w:rFonts w:ascii="Arial" w:hAnsi="Arial" w:cs="Arial"/>
          <w:sz w:val="18"/>
        </w:rPr>
        <w:t>u 201</w:t>
      </w:r>
      <w:r w:rsidR="00716F4F" w:rsidRPr="00052AF4">
        <w:rPr>
          <w:rFonts w:ascii="Arial" w:hAnsi="Arial" w:cs="Arial"/>
          <w:sz w:val="18"/>
        </w:rPr>
        <w:t>8</w:t>
      </w:r>
    </w:p>
    <w:p w14:paraId="5CDA2DC9" w14:textId="7B1E270C" w:rsidR="00D907DA" w:rsidRPr="007830C2" w:rsidRDefault="00D907DA" w:rsidP="00D907DA">
      <w:pPr>
        <w:spacing w:line="360" w:lineRule="auto"/>
        <w:jc w:val="both"/>
        <w:rPr>
          <w:rFonts w:ascii="Arial" w:hAnsi="Arial" w:cs="Arial"/>
          <w:sz w:val="20"/>
        </w:rPr>
      </w:pPr>
      <w:r w:rsidRPr="007830C2">
        <w:rPr>
          <w:rFonts w:ascii="Arial" w:hAnsi="Arial" w:cs="Arial"/>
          <w:sz w:val="20"/>
        </w:rPr>
        <w:t xml:space="preserve">Oddana javna naročila na splošnem področju </w:t>
      </w:r>
      <w:r w:rsidR="00BD6B05">
        <w:rPr>
          <w:rFonts w:ascii="Arial" w:hAnsi="Arial" w:cs="Arial"/>
          <w:sz w:val="20"/>
        </w:rPr>
        <w:t>pomenijo</w:t>
      </w:r>
      <w:r w:rsidR="00BD6B05" w:rsidRPr="007830C2">
        <w:rPr>
          <w:rFonts w:ascii="Arial" w:hAnsi="Arial" w:cs="Arial"/>
          <w:sz w:val="20"/>
        </w:rPr>
        <w:t xml:space="preserve"> </w:t>
      </w:r>
      <w:r w:rsidRPr="007830C2">
        <w:rPr>
          <w:rFonts w:ascii="Arial" w:hAnsi="Arial" w:cs="Arial"/>
          <w:sz w:val="20"/>
        </w:rPr>
        <w:t>največji del vseh naročil tako</w:t>
      </w:r>
      <w:r w:rsidR="00580B35" w:rsidRPr="007830C2">
        <w:rPr>
          <w:rFonts w:ascii="Arial" w:hAnsi="Arial" w:cs="Arial"/>
          <w:sz w:val="20"/>
        </w:rPr>
        <w:t xml:space="preserve"> po</w:t>
      </w:r>
      <w:r w:rsidRPr="007830C2">
        <w:rPr>
          <w:rFonts w:ascii="Arial" w:hAnsi="Arial" w:cs="Arial"/>
          <w:sz w:val="20"/>
        </w:rPr>
        <w:t xml:space="preserve"> številu kot </w:t>
      </w:r>
      <w:r w:rsidR="00580B35" w:rsidRPr="007830C2">
        <w:rPr>
          <w:rFonts w:ascii="Arial" w:hAnsi="Arial" w:cs="Arial"/>
          <w:sz w:val="20"/>
        </w:rPr>
        <w:t xml:space="preserve">po </w:t>
      </w:r>
      <w:r w:rsidRPr="007830C2">
        <w:rPr>
          <w:rFonts w:ascii="Arial" w:hAnsi="Arial" w:cs="Arial"/>
          <w:sz w:val="20"/>
        </w:rPr>
        <w:t>vrednosti.</w:t>
      </w:r>
    </w:p>
    <w:p w14:paraId="04D64640" w14:textId="77777777" w:rsidR="007F1388" w:rsidRDefault="007F1388">
      <w:pPr>
        <w:rPr>
          <w:rFonts w:ascii="Arial" w:hAnsi="Arial" w:cs="Arial"/>
          <w:sz w:val="20"/>
        </w:rPr>
      </w:pPr>
      <w:r>
        <w:rPr>
          <w:rFonts w:ascii="Arial" w:hAnsi="Arial" w:cs="Arial"/>
          <w:sz w:val="20"/>
        </w:rPr>
        <w:br w:type="page"/>
      </w:r>
    </w:p>
    <w:p w14:paraId="5AA3FE5A" w14:textId="6B99C2E2" w:rsidR="00D907DA" w:rsidRPr="007830C2" w:rsidRDefault="00D907DA" w:rsidP="001F2B2F">
      <w:pPr>
        <w:spacing w:line="240" w:lineRule="auto"/>
        <w:jc w:val="both"/>
        <w:rPr>
          <w:rFonts w:ascii="Arial" w:hAnsi="Arial" w:cs="Arial"/>
          <w:sz w:val="20"/>
        </w:rPr>
      </w:pPr>
      <w:r w:rsidRPr="007830C2">
        <w:rPr>
          <w:rFonts w:ascii="Arial" w:hAnsi="Arial" w:cs="Arial"/>
          <w:sz w:val="20"/>
        </w:rPr>
        <w:lastRenderedPageBreak/>
        <w:t xml:space="preserve">Preglednica </w:t>
      </w:r>
      <w:r w:rsidR="00EB4423">
        <w:rPr>
          <w:rFonts w:ascii="Arial" w:hAnsi="Arial" w:cs="Arial"/>
          <w:sz w:val="20"/>
        </w:rPr>
        <w:t>3</w:t>
      </w:r>
      <w:r w:rsidRPr="007830C2">
        <w:rPr>
          <w:rFonts w:ascii="Arial" w:hAnsi="Arial" w:cs="Arial"/>
          <w:sz w:val="20"/>
        </w:rPr>
        <w:t>: Vrednost, število in de</w:t>
      </w:r>
      <w:r w:rsidR="00951392" w:rsidRPr="007830C2">
        <w:rPr>
          <w:rFonts w:ascii="Arial" w:hAnsi="Arial" w:cs="Arial"/>
          <w:sz w:val="20"/>
        </w:rPr>
        <w:t xml:space="preserve">leži javnih naročil </w:t>
      </w:r>
      <w:r w:rsidRPr="007830C2">
        <w:rPr>
          <w:rFonts w:ascii="Arial" w:hAnsi="Arial" w:cs="Arial"/>
          <w:sz w:val="20"/>
        </w:rPr>
        <w:t>po področj</w:t>
      </w:r>
      <w:r w:rsidR="00391021" w:rsidRPr="007830C2">
        <w:rPr>
          <w:rFonts w:ascii="Arial" w:hAnsi="Arial" w:cs="Arial"/>
          <w:sz w:val="20"/>
        </w:rPr>
        <w:t>ih</w:t>
      </w:r>
      <w:r w:rsidRPr="007830C2">
        <w:rPr>
          <w:rFonts w:ascii="Arial" w:hAnsi="Arial" w:cs="Arial"/>
          <w:sz w:val="20"/>
        </w:rPr>
        <w:t xml:space="preserve"> naročanja</w:t>
      </w:r>
    </w:p>
    <w:tbl>
      <w:tblPr>
        <w:tblStyle w:val="Tabelamrea"/>
        <w:tblW w:w="5000" w:type="pct"/>
        <w:tblLook w:val="04A0" w:firstRow="1" w:lastRow="0" w:firstColumn="1" w:lastColumn="0" w:noHBand="0" w:noVBand="1"/>
      </w:tblPr>
      <w:tblGrid>
        <w:gridCol w:w="1377"/>
        <w:gridCol w:w="1053"/>
        <w:gridCol w:w="990"/>
        <w:gridCol w:w="1494"/>
        <w:gridCol w:w="1685"/>
        <w:gridCol w:w="1306"/>
        <w:gridCol w:w="1157"/>
      </w:tblGrid>
      <w:tr w:rsidR="00693B40" w:rsidRPr="007830C2" w14:paraId="19EA7D15" w14:textId="77777777" w:rsidTr="00E1481A">
        <w:trPr>
          <w:trHeight w:val="284"/>
        </w:trPr>
        <w:tc>
          <w:tcPr>
            <w:tcW w:w="756" w:type="pct"/>
            <w:hideMark/>
          </w:tcPr>
          <w:p w14:paraId="0C4179C7" w14:textId="59F2CE01" w:rsidR="00693B40" w:rsidRPr="007830C2" w:rsidRDefault="0076310F"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Področje</w:t>
            </w:r>
          </w:p>
        </w:tc>
        <w:tc>
          <w:tcPr>
            <w:tcW w:w="582" w:type="pct"/>
            <w:hideMark/>
          </w:tcPr>
          <w:p w14:paraId="46E96EEE" w14:textId="77777777" w:rsidR="00693B40" w:rsidRPr="007830C2" w:rsidRDefault="00693B40"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Št. postopkov</w:t>
            </w:r>
          </w:p>
        </w:tc>
        <w:tc>
          <w:tcPr>
            <w:tcW w:w="547" w:type="pct"/>
            <w:hideMark/>
          </w:tcPr>
          <w:p w14:paraId="04517DAD" w14:textId="77777777" w:rsidR="00693B40" w:rsidRPr="007830C2" w:rsidRDefault="00693B40"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Št. naročil</w:t>
            </w:r>
          </w:p>
        </w:tc>
        <w:tc>
          <w:tcPr>
            <w:tcW w:w="825" w:type="pct"/>
            <w:hideMark/>
          </w:tcPr>
          <w:p w14:paraId="454F07D3" w14:textId="77777777" w:rsidR="00693B40" w:rsidRPr="007830C2" w:rsidRDefault="00693B40"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Pogodbena vrednost</w:t>
            </w:r>
          </w:p>
        </w:tc>
        <w:tc>
          <w:tcPr>
            <w:tcW w:w="930" w:type="pct"/>
            <w:hideMark/>
          </w:tcPr>
          <w:p w14:paraId="03EC096A" w14:textId="77777777" w:rsidR="00693B40" w:rsidRPr="007830C2" w:rsidRDefault="00693B40"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Delež v št. postopkov</w:t>
            </w:r>
          </w:p>
        </w:tc>
        <w:tc>
          <w:tcPr>
            <w:tcW w:w="721" w:type="pct"/>
            <w:hideMark/>
          </w:tcPr>
          <w:p w14:paraId="1131E03B" w14:textId="77777777" w:rsidR="00693B40" w:rsidRPr="007830C2" w:rsidRDefault="00693B40"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Delež v št. naročil</w:t>
            </w:r>
          </w:p>
        </w:tc>
        <w:tc>
          <w:tcPr>
            <w:tcW w:w="639" w:type="pct"/>
            <w:hideMark/>
          </w:tcPr>
          <w:p w14:paraId="4173FE2B" w14:textId="77777777" w:rsidR="00693B40" w:rsidRPr="007830C2" w:rsidRDefault="00693B40" w:rsidP="001F2B2F">
            <w:pPr>
              <w:jc w:val="center"/>
              <w:rPr>
                <w:rFonts w:ascii="Arial" w:hAnsi="Arial" w:cs="Arial"/>
                <w:color w:val="000000"/>
                <w:sz w:val="18"/>
                <w:szCs w:val="18"/>
                <w:lang w:eastAsia="sl-SI"/>
              </w:rPr>
            </w:pPr>
            <w:r w:rsidRPr="007830C2">
              <w:rPr>
                <w:rFonts w:ascii="Arial" w:hAnsi="Arial" w:cs="Arial"/>
                <w:color w:val="000000"/>
                <w:sz w:val="18"/>
                <w:szCs w:val="18"/>
                <w:lang w:eastAsia="sl-SI"/>
              </w:rPr>
              <w:t>Delež v vrednosti</w:t>
            </w:r>
          </w:p>
        </w:tc>
      </w:tr>
      <w:tr w:rsidR="000E3AC7" w:rsidRPr="007830C2" w14:paraId="1E9DA6A1" w14:textId="77777777" w:rsidTr="00E1481A">
        <w:trPr>
          <w:trHeight w:val="284"/>
        </w:trPr>
        <w:tc>
          <w:tcPr>
            <w:tcW w:w="756" w:type="pct"/>
            <w:hideMark/>
          </w:tcPr>
          <w:p w14:paraId="53CD50B7" w14:textId="57F71F49" w:rsidR="000E3AC7" w:rsidRPr="007830C2" w:rsidRDefault="000E3AC7" w:rsidP="000E3AC7">
            <w:pPr>
              <w:rPr>
                <w:rFonts w:ascii="Arial" w:hAnsi="Arial" w:cs="Arial"/>
                <w:color w:val="000000"/>
                <w:sz w:val="18"/>
                <w:szCs w:val="18"/>
                <w:lang w:eastAsia="sl-SI"/>
              </w:rPr>
            </w:pPr>
            <w:r w:rsidRPr="007830C2">
              <w:rPr>
                <w:rFonts w:ascii="Arial" w:hAnsi="Arial" w:cs="Arial"/>
                <w:color w:val="000000"/>
                <w:sz w:val="18"/>
                <w:szCs w:val="18"/>
                <w:lang w:eastAsia="sl-SI"/>
              </w:rPr>
              <w:t>Splošno</w:t>
            </w:r>
          </w:p>
        </w:tc>
        <w:tc>
          <w:tcPr>
            <w:tcW w:w="582" w:type="pct"/>
            <w:hideMark/>
          </w:tcPr>
          <w:p w14:paraId="069E5E44" w14:textId="7ED0A174"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5.723</w:t>
            </w:r>
          </w:p>
        </w:tc>
        <w:tc>
          <w:tcPr>
            <w:tcW w:w="547" w:type="pct"/>
            <w:hideMark/>
          </w:tcPr>
          <w:p w14:paraId="04930BC2" w14:textId="2D6CB1E4"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15.203</w:t>
            </w:r>
          </w:p>
        </w:tc>
        <w:tc>
          <w:tcPr>
            <w:tcW w:w="825" w:type="pct"/>
            <w:hideMark/>
          </w:tcPr>
          <w:p w14:paraId="1836B5AB" w14:textId="696771E0"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2.263.207.645</w:t>
            </w:r>
          </w:p>
        </w:tc>
        <w:tc>
          <w:tcPr>
            <w:tcW w:w="930" w:type="pct"/>
            <w:noWrap/>
            <w:hideMark/>
          </w:tcPr>
          <w:p w14:paraId="05E430B3" w14:textId="254D4CD4"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84,92 %</w:t>
            </w:r>
          </w:p>
        </w:tc>
        <w:tc>
          <w:tcPr>
            <w:tcW w:w="721" w:type="pct"/>
            <w:noWrap/>
            <w:hideMark/>
          </w:tcPr>
          <w:p w14:paraId="1E2CF2C2" w14:textId="2417899C"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90,15 %</w:t>
            </w:r>
          </w:p>
        </w:tc>
        <w:tc>
          <w:tcPr>
            <w:tcW w:w="639" w:type="pct"/>
            <w:noWrap/>
            <w:hideMark/>
          </w:tcPr>
          <w:p w14:paraId="3D69CB00" w14:textId="429C97C2"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77,54 %</w:t>
            </w:r>
          </w:p>
        </w:tc>
      </w:tr>
      <w:tr w:rsidR="000E3AC7" w:rsidRPr="007830C2" w14:paraId="48371067" w14:textId="77777777" w:rsidTr="00E1481A">
        <w:trPr>
          <w:trHeight w:val="284"/>
        </w:trPr>
        <w:tc>
          <w:tcPr>
            <w:tcW w:w="756" w:type="pct"/>
            <w:hideMark/>
          </w:tcPr>
          <w:p w14:paraId="210E29FC" w14:textId="2DE3F4D1" w:rsidR="000E3AC7" w:rsidRPr="007830C2" w:rsidRDefault="000E3AC7" w:rsidP="000E3AC7">
            <w:pPr>
              <w:rPr>
                <w:rFonts w:ascii="Arial" w:hAnsi="Arial" w:cs="Arial"/>
                <w:color w:val="000000"/>
                <w:sz w:val="18"/>
                <w:szCs w:val="18"/>
                <w:lang w:eastAsia="sl-SI"/>
              </w:rPr>
            </w:pPr>
            <w:r w:rsidRPr="007830C2">
              <w:rPr>
                <w:rFonts w:ascii="Arial" w:hAnsi="Arial" w:cs="Arial"/>
                <w:color w:val="000000"/>
                <w:sz w:val="18"/>
                <w:szCs w:val="18"/>
                <w:lang w:eastAsia="sl-SI"/>
              </w:rPr>
              <w:t>Infrastrukturno</w:t>
            </w:r>
          </w:p>
        </w:tc>
        <w:tc>
          <w:tcPr>
            <w:tcW w:w="582" w:type="pct"/>
            <w:hideMark/>
          </w:tcPr>
          <w:p w14:paraId="376D6491" w14:textId="36E53D63"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952</w:t>
            </w:r>
          </w:p>
        </w:tc>
        <w:tc>
          <w:tcPr>
            <w:tcW w:w="547" w:type="pct"/>
            <w:hideMark/>
          </w:tcPr>
          <w:p w14:paraId="7AB7D51B" w14:textId="685780BF"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1.579</w:t>
            </w:r>
          </w:p>
        </w:tc>
        <w:tc>
          <w:tcPr>
            <w:tcW w:w="825" w:type="pct"/>
            <w:hideMark/>
          </w:tcPr>
          <w:p w14:paraId="7977631E" w14:textId="2960DFF3"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589.350.292</w:t>
            </w:r>
          </w:p>
        </w:tc>
        <w:tc>
          <w:tcPr>
            <w:tcW w:w="930" w:type="pct"/>
            <w:noWrap/>
            <w:hideMark/>
          </w:tcPr>
          <w:p w14:paraId="74226EE8" w14:textId="42B26CA4"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14,13 %</w:t>
            </w:r>
          </w:p>
        </w:tc>
        <w:tc>
          <w:tcPr>
            <w:tcW w:w="721" w:type="pct"/>
            <w:noWrap/>
            <w:hideMark/>
          </w:tcPr>
          <w:p w14:paraId="6805A19B" w14:textId="340F0484"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9,36 %</w:t>
            </w:r>
          </w:p>
        </w:tc>
        <w:tc>
          <w:tcPr>
            <w:tcW w:w="639" w:type="pct"/>
            <w:noWrap/>
            <w:hideMark/>
          </w:tcPr>
          <w:p w14:paraId="3B15A3BB" w14:textId="3D009D12"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20,19 %</w:t>
            </w:r>
          </w:p>
        </w:tc>
      </w:tr>
      <w:tr w:rsidR="000E3AC7" w:rsidRPr="007830C2" w14:paraId="2885B181" w14:textId="77777777" w:rsidTr="00E1481A">
        <w:trPr>
          <w:trHeight w:val="284"/>
        </w:trPr>
        <w:tc>
          <w:tcPr>
            <w:tcW w:w="756" w:type="pct"/>
            <w:hideMark/>
          </w:tcPr>
          <w:p w14:paraId="037D2699" w14:textId="27DAC438" w:rsidR="000E3AC7" w:rsidRPr="007830C2" w:rsidRDefault="000E3AC7" w:rsidP="000E3AC7">
            <w:pPr>
              <w:rPr>
                <w:rFonts w:ascii="Arial" w:hAnsi="Arial" w:cs="Arial"/>
                <w:color w:val="000000"/>
                <w:sz w:val="18"/>
                <w:szCs w:val="18"/>
                <w:lang w:eastAsia="sl-SI"/>
              </w:rPr>
            </w:pPr>
            <w:r w:rsidRPr="007830C2">
              <w:rPr>
                <w:rFonts w:ascii="Arial" w:hAnsi="Arial" w:cs="Arial"/>
                <w:color w:val="000000"/>
                <w:sz w:val="18"/>
                <w:szCs w:val="18"/>
                <w:lang w:eastAsia="sl-SI"/>
              </w:rPr>
              <w:t>Obrambno</w:t>
            </w:r>
          </w:p>
        </w:tc>
        <w:tc>
          <w:tcPr>
            <w:tcW w:w="582" w:type="pct"/>
            <w:hideMark/>
          </w:tcPr>
          <w:p w14:paraId="733E73A0" w14:textId="411B3135"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64</w:t>
            </w:r>
          </w:p>
        </w:tc>
        <w:tc>
          <w:tcPr>
            <w:tcW w:w="547" w:type="pct"/>
            <w:hideMark/>
          </w:tcPr>
          <w:p w14:paraId="3DE6BC3C" w14:textId="4A71696E"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83</w:t>
            </w:r>
          </w:p>
        </w:tc>
        <w:tc>
          <w:tcPr>
            <w:tcW w:w="825" w:type="pct"/>
            <w:hideMark/>
          </w:tcPr>
          <w:p w14:paraId="57D00E0E" w14:textId="557A6B34"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66.036.672</w:t>
            </w:r>
          </w:p>
        </w:tc>
        <w:tc>
          <w:tcPr>
            <w:tcW w:w="930" w:type="pct"/>
            <w:noWrap/>
            <w:hideMark/>
          </w:tcPr>
          <w:p w14:paraId="63B81B21" w14:textId="37C00083"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0,95 %</w:t>
            </w:r>
          </w:p>
        </w:tc>
        <w:tc>
          <w:tcPr>
            <w:tcW w:w="721" w:type="pct"/>
            <w:noWrap/>
            <w:hideMark/>
          </w:tcPr>
          <w:p w14:paraId="28F5BE58" w14:textId="4A68451D"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0,49 %</w:t>
            </w:r>
          </w:p>
        </w:tc>
        <w:tc>
          <w:tcPr>
            <w:tcW w:w="639" w:type="pct"/>
            <w:noWrap/>
            <w:hideMark/>
          </w:tcPr>
          <w:p w14:paraId="76940B62" w14:textId="5D598548" w:rsidR="000E3AC7" w:rsidRPr="007830C2" w:rsidRDefault="000E3AC7" w:rsidP="000E3AC7">
            <w:pPr>
              <w:jc w:val="right"/>
              <w:rPr>
                <w:rFonts w:ascii="Arial" w:hAnsi="Arial" w:cs="Arial"/>
                <w:color w:val="000000"/>
                <w:sz w:val="18"/>
                <w:szCs w:val="18"/>
                <w:lang w:eastAsia="sl-SI"/>
              </w:rPr>
            </w:pPr>
            <w:r w:rsidRPr="007830C2">
              <w:rPr>
                <w:rFonts w:ascii="Arial" w:hAnsi="Arial" w:cs="Arial"/>
                <w:sz w:val="18"/>
                <w:szCs w:val="18"/>
              </w:rPr>
              <w:t>2,26 %</w:t>
            </w:r>
          </w:p>
        </w:tc>
      </w:tr>
      <w:tr w:rsidR="000E3AC7" w:rsidRPr="007830C2" w14:paraId="27114DD7" w14:textId="77777777" w:rsidTr="00E1481A">
        <w:trPr>
          <w:trHeight w:val="284"/>
        </w:trPr>
        <w:tc>
          <w:tcPr>
            <w:tcW w:w="756" w:type="pct"/>
            <w:hideMark/>
          </w:tcPr>
          <w:p w14:paraId="2BF761EE" w14:textId="176E344F" w:rsidR="000E3AC7" w:rsidRPr="007830C2" w:rsidRDefault="000E3AC7" w:rsidP="000E3AC7">
            <w:pPr>
              <w:rPr>
                <w:rFonts w:ascii="Arial" w:hAnsi="Arial" w:cs="Arial"/>
                <w:b/>
                <w:bCs/>
                <w:color w:val="000000"/>
                <w:sz w:val="18"/>
                <w:szCs w:val="18"/>
                <w:lang w:eastAsia="sl-SI"/>
              </w:rPr>
            </w:pPr>
            <w:r w:rsidRPr="007830C2">
              <w:rPr>
                <w:rFonts w:ascii="Arial" w:hAnsi="Arial" w:cs="Arial"/>
                <w:b/>
                <w:bCs/>
                <w:color w:val="000000"/>
                <w:sz w:val="18"/>
                <w:szCs w:val="18"/>
                <w:lang w:eastAsia="sl-SI"/>
              </w:rPr>
              <w:t>Skupaj</w:t>
            </w:r>
          </w:p>
        </w:tc>
        <w:tc>
          <w:tcPr>
            <w:tcW w:w="582" w:type="pct"/>
            <w:noWrap/>
            <w:hideMark/>
          </w:tcPr>
          <w:p w14:paraId="4C74A68D" w14:textId="30AA51FA" w:rsidR="000E3AC7" w:rsidRPr="007830C2" w:rsidRDefault="000E3AC7" w:rsidP="000E3AC7">
            <w:pPr>
              <w:jc w:val="right"/>
              <w:rPr>
                <w:rFonts w:ascii="Arial" w:hAnsi="Arial" w:cs="Arial"/>
                <w:b/>
                <w:bCs/>
                <w:color w:val="000000"/>
                <w:sz w:val="18"/>
                <w:szCs w:val="18"/>
                <w:lang w:eastAsia="sl-SI"/>
              </w:rPr>
            </w:pPr>
            <w:r w:rsidRPr="007830C2">
              <w:rPr>
                <w:rFonts w:ascii="Arial" w:hAnsi="Arial" w:cs="Arial"/>
                <w:b/>
                <w:sz w:val="18"/>
                <w:szCs w:val="18"/>
              </w:rPr>
              <w:t>6.739</w:t>
            </w:r>
          </w:p>
        </w:tc>
        <w:tc>
          <w:tcPr>
            <w:tcW w:w="547" w:type="pct"/>
            <w:noWrap/>
            <w:hideMark/>
          </w:tcPr>
          <w:p w14:paraId="322646D1" w14:textId="55022304" w:rsidR="000E3AC7" w:rsidRPr="007830C2" w:rsidRDefault="000E3AC7" w:rsidP="000E3AC7">
            <w:pPr>
              <w:jc w:val="right"/>
              <w:rPr>
                <w:rFonts w:ascii="Arial" w:hAnsi="Arial" w:cs="Arial"/>
                <w:b/>
                <w:bCs/>
                <w:color w:val="000000"/>
                <w:sz w:val="18"/>
                <w:szCs w:val="18"/>
                <w:lang w:eastAsia="sl-SI"/>
              </w:rPr>
            </w:pPr>
            <w:r w:rsidRPr="007830C2">
              <w:rPr>
                <w:rFonts w:ascii="Arial" w:hAnsi="Arial" w:cs="Arial"/>
                <w:b/>
                <w:sz w:val="18"/>
                <w:szCs w:val="18"/>
              </w:rPr>
              <w:t>16.865</w:t>
            </w:r>
          </w:p>
        </w:tc>
        <w:tc>
          <w:tcPr>
            <w:tcW w:w="825" w:type="pct"/>
            <w:noWrap/>
            <w:hideMark/>
          </w:tcPr>
          <w:p w14:paraId="0177805E" w14:textId="5FD0370D" w:rsidR="000E3AC7" w:rsidRPr="007830C2" w:rsidRDefault="000E3AC7" w:rsidP="000E3AC7">
            <w:pPr>
              <w:jc w:val="right"/>
              <w:rPr>
                <w:rFonts w:ascii="Arial" w:hAnsi="Arial" w:cs="Arial"/>
                <w:b/>
                <w:bCs/>
                <w:color w:val="000000"/>
                <w:sz w:val="18"/>
                <w:szCs w:val="18"/>
                <w:lang w:eastAsia="sl-SI"/>
              </w:rPr>
            </w:pPr>
            <w:r w:rsidRPr="007830C2">
              <w:rPr>
                <w:rFonts w:ascii="Arial" w:hAnsi="Arial" w:cs="Arial"/>
                <w:b/>
                <w:sz w:val="18"/>
                <w:szCs w:val="18"/>
              </w:rPr>
              <w:t>2.918.594.609</w:t>
            </w:r>
          </w:p>
        </w:tc>
        <w:tc>
          <w:tcPr>
            <w:tcW w:w="930" w:type="pct"/>
            <w:noWrap/>
            <w:hideMark/>
          </w:tcPr>
          <w:p w14:paraId="608451B7" w14:textId="148F3421" w:rsidR="000E3AC7" w:rsidRPr="007830C2" w:rsidRDefault="000E3AC7" w:rsidP="000E3AC7">
            <w:pPr>
              <w:jc w:val="right"/>
              <w:rPr>
                <w:rFonts w:ascii="Arial" w:hAnsi="Arial" w:cs="Arial"/>
                <w:b/>
                <w:bCs/>
                <w:color w:val="000000"/>
                <w:sz w:val="18"/>
                <w:szCs w:val="18"/>
                <w:lang w:eastAsia="sl-SI"/>
              </w:rPr>
            </w:pPr>
            <w:r w:rsidRPr="007830C2">
              <w:rPr>
                <w:rFonts w:ascii="Arial" w:hAnsi="Arial" w:cs="Arial"/>
                <w:b/>
                <w:sz w:val="18"/>
                <w:szCs w:val="18"/>
              </w:rPr>
              <w:t>100,00 %</w:t>
            </w:r>
          </w:p>
        </w:tc>
        <w:tc>
          <w:tcPr>
            <w:tcW w:w="721" w:type="pct"/>
            <w:noWrap/>
            <w:hideMark/>
          </w:tcPr>
          <w:p w14:paraId="4F3FC2D5" w14:textId="3846D280" w:rsidR="000E3AC7" w:rsidRPr="007830C2" w:rsidRDefault="000E3AC7" w:rsidP="000E3AC7">
            <w:pPr>
              <w:jc w:val="right"/>
              <w:rPr>
                <w:rFonts w:ascii="Arial" w:hAnsi="Arial" w:cs="Arial"/>
                <w:b/>
                <w:bCs/>
                <w:color w:val="000000"/>
                <w:sz w:val="18"/>
                <w:szCs w:val="18"/>
                <w:lang w:eastAsia="sl-SI"/>
              </w:rPr>
            </w:pPr>
            <w:r w:rsidRPr="007830C2">
              <w:rPr>
                <w:rFonts w:ascii="Arial" w:hAnsi="Arial" w:cs="Arial"/>
                <w:b/>
                <w:sz w:val="18"/>
                <w:szCs w:val="18"/>
              </w:rPr>
              <w:t>100,00 %</w:t>
            </w:r>
          </w:p>
        </w:tc>
        <w:tc>
          <w:tcPr>
            <w:tcW w:w="639" w:type="pct"/>
            <w:noWrap/>
            <w:hideMark/>
          </w:tcPr>
          <w:p w14:paraId="5C223327" w14:textId="5A80E895" w:rsidR="000E3AC7" w:rsidRPr="007830C2" w:rsidRDefault="000E3AC7" w:rsidP="000E3AC7">
            <w:pPr>
              <w:jc w:val="right"/>
              <w:rPr>
                <w:rFonts w:ascii="Arial" w:hAnsi="Arial" w:cs="Arial"/>
                <w:b/>
                <w:bCs/>
                <w:color w:val="000000"/>
                <w:sz w:val="18"/>
                <w:szCs w:val="18"/>
                <w:lang w:eastAsia="sl-SI"/>
              </w:rPr>
            </w:pPr>
            <w:r w:rsidRPr="007830C2">
              <w:rPr>
                <w:rFonts w:ascii="Arial" w:hAnsi="Arial" w:cs="Arial"/>
                <w:b/>
                <w:sz w:val="18"/>
                <w:szCs w:val="18"/>
              </w:rPr>
              <w:t>100,00 %</w:t>
            </w:r>
          </w:p>
        </w:tc>
      </w:tr>
    </w:tbl>
    <w:p w14:paraId="32E54C9E" w14:textId="77777777" w:rsidR="00D907DA" w:rsidRPr="007830C2" w:rsidRDefault="00D907DA" w:rsidP="00D907DA">
      <w:pPr>
        <w:shd w:val="clear" w:color="auto" w:fill="FFFFFF"/>
        <w:spacing w:after="0" w:line="240" w:lineRule="auto"/>
        <w:ind w:left="181"/>
        <w:jc w:val="center"/>
        <w:rPr>
          <w:rFonts w:ascii="Arial" w:hAnsi="Arial" w:cs="Arial"/>
          <w:noProof/>
          <w:sz w:val="18"/>
          <w:szCs w:val="18"/>
          <w:lang w:eastAsia="sl-SI"/>
        </w:rPr>
      </w:pPr>
    </w:p>
    <w:p w14:paraId="76843971" w14:textId="1EC03915" w:rsidR="00D907DA" w:rsidRPr="007830C2" w:rsidRDefault="00D907DA" w:rsidP="00701C10">
      <w:pPr>
        <w:spacing w:after="240" w:line="240" w:lineRule="auto"/>
        <w:jc w:val="center"/>
        <w:rPr>
          <w:rFonts w:ascii="Arial" w:hAnsi="Arial" w:cs="Arial"/>
          <w:sz w:val="18"/>
        </w:rPr>
      </w:pPr>
      <w:r w:rsidRPr="007830C2">
        <w:rPr>
          <w:rFonts w:ascii="Arial" w:hAnsi="Arial" w:cs="Arial"/>
          <w:sz w:val="18"/>
        </w:rPr>
        <w:t>Vir: Statistični podatki o javnih naročilih, oddanih v let</w:t>
      </w:r>
      <w:r w:rsidR="009010CD" w:rsidRPr="007830C2">
        <w:rPr>
          <w:rFonts w:ascii="Arial" w:hAnsi="Arial" w:cs="Arial"/>
          <w:sz w:val="18"/>
        </w:rPr>
        <w:t>u 201</w:t>
      </w:r>
      <w:r w:rsidR="00E81212" w:rsidRPr="007830C2">
        <w:rPr>
          <w:rFonts w:ascii="Arial" w:hAnsi="Arial" w:cs="Arial"/>
          <w:sz w:val="18"/>
        </w:rPr>
        <w:t>8</w:t>
      </w:r>
    </w:p>
    <w:p w14:paraId="2988117D" w14:textId="77777777" w:rsidR="00854405" w:rsidRPr="00EF2D0B" w:rsidRDefault="00854405" w:rsidP="008E5B56">
      <w:pPr>
        <w:pStyle w:val="ZADEVA"/>
        <w:ind w:left="0" w:firstLine="0"/>
        <w:jc w:val="both"/>
        <w:rPr>
          <w:rFonts w:cs="Arial"/>
          <w:b w:val="0"/>
          <w:szCs w:val="20"/>
          <w:highlight w:val="yellow"/>
          <w:lang w:val="sl-SI"/>
        </w:rPr>
      </w:pPr>
    </w:p>
    <w:p w14:paraId="6413B296" w14:textId="53327784" w:rsidR="001409E3" w:rsidRPr="00AB2EAF" w:rsidRDefault="001409E3" w:rsidP="001409E3">
      <w:pPr>
        <w:pStyle w:val="Naslov3"/>
        <w:rPr>
          <w:rFonts w:ascii="Arial" w:hAnsi="Arial" w:cs="Arial"/>
          <w:sz w:val="22"/>
          <w:szCs w:val="22"/>
        </w:rPr>
      </w:pPr>
      <w:bookmarkStart w:id="9" w:name="_Toc17114047"/>
      <w:r w:rsidRPr="00AB2EAF">
        <w:rPr>
          <w:rFonts w:ascii="Arial" w:hAnsi="Arial" w:cs="Arial"/>
          <w:sz w:val="22"/>
          <w:szCs w:val="22"/>
        </w:rPr>
        <w:t>2.2.1 Naročila, objavljena le na portalu ja</w:t>
      </w:r>
      <w:r w:rsidR="00B83352" w:rsidRPr="00AB2EAF">
        <w:rPr>
          <w:rFonts w:ascii="Arial" w:hAnsi="Arial" w:cs="Arial"/>
          <w:sz w:val="22"/>
          <w:szCs w:val="22"/>
        </w:rPr>
        <w:t>vnih naročil</w:t>
      </w:r>
      <w:bookmarkEnd w:id="9"/>
    </w:p>
    <w:p w14:paraId="62B71DF3" w14:textId="77777777" w:rsidR="00854405" w:rsidRPr="00AB2EAF" w:rsidRDefault="00854405" w:rsidP="00854405">
      <w:pPr>
        <w:pStyle w:val="ZADEVA"/>
        <w:jc w:val="both"/>
        <w:rPr>
          <w:rFonts w:cs="Arial"/>
          <w:b w:val="0"/>
          <w:szCs w:val="20"/>
          <w:lang w:val="sl-SI"/>
        </w:rPr>
      </w:pPr>
    </w:p>
    <w:p w14:paraId="194C6680" w14:textId="005A9052" w:rsidR="00EC3CE9" w:rsidRPr="00AB2EAF" w:rsidRDefault="001D4A09" w:rsidP="007D3FD7">
      <w:pPr>
        <w:tabs>
          <w:tab w:val="left" w:pos="567"/>
          <w:tab w:val="left" w:pos="993"/>
        </w:tabs>
        <w:spacing w:line="360" w:lineRule="auto"/>
        <w:jc w:val="both"/>
        <w:rPr>
          <w:rFonts w:ascii="Arial" w:hAnsi="Arial" w:cs="Arial"/>
          <w:bCs/>
          <w:sz w:val="20"/>
          <w:szCs w:val="20"/>
        </w:rPr>
      </w:pPr>
      <w:r w:rsidRPr="00AB2EAF">
        <w:rPr>
          <w:rFonts w:ascii="Arial" w:hAnsi="Arial" w:cs="Arial"/>
          <w:bCs/>
          <w:sz w:val="20"/>
          <w:szCs w:val="20"/>
        </w:rPr>
        <w:t>Med naročili, ki so jih naročniki let</w:t>
      </w:r>
      <w:r w:rsidR="00BD6B05">
        <w:rPr>
          <w:rFonts w:ascii="Arial" w:hAnsi="Arial" w:cs="Arial"/>
          <w:bCs/>
          <w:sz w:val="20"/>
          <w:szCs w:val="20"/>
        </w:rPr>
        <w:t>a</w:t>
      </w:r>
      <w:r w:rsidRPr="00AB2EAF">
        <w:rPr>
          <w:rFonts w:ascii="Arial" w:hAnsi="Arial" w:cs="Arial"/>
          <w:bCs/>
          <w:sz w:val="20"/>
          <w:szCs w:val="20"/>
        </w:rPr>
        <w:t xml:space="preserve"> 201</w:t>
      </w:r>
      <w:r w:rsidR="00A866E3" w:rsidRPr="00AB2EAF">
        <w:rPr>
          <w:rFonts w:ascii="Arial" w:hAnsi="Arial" w:cs="Arial"/>
          <w:bCs/>
          <w:sz w:val="20"/>
          <w:szCs w:val="20"/>
        </w:rPr>
        <w:t>8</w:t>
      </w:r>
      <w:r w:rsidRPr="00AB2EAF">
        <w:rPr>
          <w:rFonts w:ascii="Arial" w:hAnsi="Arial" w:cs="Arial"/>
          <w:bCs/>
          <w:sz w:val="20"/>
          <w:szCs w:val="20"/>
        </w:rPr>
        <w:t xml:space="preserve"> objavili na portalu javnih naročil, </w:t>
      </w:r>
      <w:r w:rsidR="00AA7070" w:rsidRPr="00AB2EAF">
        <w:rPr>
          <w:rFonts w:ascii="Arial" w:hAnsi="Arial" w:cs="Arial"/>
          <w:bCs/>
          <w:sz w:val="20"/>
          <w:szCs w:val="20"/>
        </w:rPr>
        <w:t>števi</w:t>
      </w:r>
      <w:r w:rsidR="00B63B35" w:rsidRPr="00AB2EAF">
        <w:rPr>
          <w:rFonts w:ascii="Arial" w:hAnsi="Arial" w:cs="Arial"/>
          <w:bCs/>
          <w:sz w:val="20"/>
          <w:szCs w:val="20"/>
        </w:rPr>
        <w:t>l</w:t>
      </w:r>
      <w:r w:rsidR="00AA7070" w:rsidRPr="00AB2EAF">
        <w:rPr>
          <w:rFonts w:ascii="Arial" w:hAnsi="Arial" w:cs="Arial"/>
          <w:bCs/>
          <w:sz w:val="20"/>
          <w:szCs w:val="20"/>
        </w:rPr>
        <w:t xml:space="preserve">čno </w:t>
      </w:r>
      <w:r w:rsidRPr="00AB2EAF">
        <w:rPr>
          <w:rFonts w:ascii="Arial" w:hAnsi="Arial" w:cs="Arial"/>
          <w:bCs/>
          <w:sz w:val="20"/>
          <w:szCs w:val="20"/>
        </w:rPr>
        <w:t>prevladujejo naročila blaga</w:t>
      </w:r>
      <w:r w:rsidR="00AA7070" w:rsidRPr="00AB2EAF">
        <w:rPr>
          <w:rFonts w:ascii="Arial" w:hAnsi="Arial" w:cs="Arial"/>
          <w:bCs/>
          <w:sz w:val="20"/>
          <w:szCs w:val="20"/>
        </w:rPr>
        <w:t xml:space="preserve"> s</w:t>
      </w:r>
      <w:r w:rsidRPr="00AB2EAF">
        <w:rPr>
          <w:rFonts w:ascii="Arial" w:hAnsi="Arial" w:cs="Arial"/>
          <w:bCs/>
          <w:sz w:val="20"/>
          <w:szCs w:val="20"/>
        </w:rPr>
        <w:t xml:space="preserve"> 50,</w:t>
      </w:r>
      <w:r w:rsidR="0098149D" w:rsidRPr="00AB2EAF">
        <w:rPr>
          <w:rFonts w:ascii="Arial" w:hAnsi="Arial" w:cs="Arial"/>
          <w:bCs/>
          <w:sz w:val="20"/>
          <w:szCs w:val="20"/>
        </w:rPr>
        <w:t>3</w:t>
      </w:r>
      <w:r w:rsidR="00AB2EAF" w:rsidRPr="00AB2EAF">
        <w:rPr>
          <w:rFonts w:ascii="Arial" w:hAnsi="Arial" w:cs="Arial"/>
          <w:bCs/>
          <w:sz w:val="20"/>
          <w:szCs w:val="20"/>
        </w:rPr>
        <w:t>5</w:t>
      </w:r>
      <w:r w:rsidRPr="00AB2EAF">
        <w:rPr>
          <w:rFonts w:ascii="Arial" w:hAnsi="Arial" w:cs="Arial"/>
          <w:bCs/>
          <w:sz w:val="20"/>
          <w:szCs w:val="20"/>
        </w:rPr>
        <w:t xml:space="preserve"> % vseh naročil, objavljen</w:t>
      </w:r>
      <w:r w:rsidR="00C00704" w:rsidRPr="00AB2EAF">
        <w:rPr>
          <w:rFonts w:ascii="Arial" w:hAnsi="Arial" w:cs="Arial"/>
          <w:bCs/>
          <w:sz w:val="20"/>
          <w:szCs w:val="20"/>
        </w:rPr>
        <w:t>ih le na portalu javnih naročil</w:t>
      </w:r>
      <w:r w:rsidRPr="00AB2EAF">
        <w:rPr>
          <w:rFonts w:ascii="Arial" w:hAnsi="Arial" w:cs="Arial"/>
          <w:bCs/>
          <w:sz w:val="20"/>
          <w:szCs w:val="20"/>
        </w:rPr>
        <w:t xml:space="preserve">, vrednostno pa </w:t>
      </w:r>
      <w:r w:rsidR="00BD6B05">
        <w:rPr>
          <w:rFonts w:ascii="Arial" w:hAnsi="Arial" w:cs="Arial"/>
          <w:bCs/>
          <w:sz w:val="20"/>
          <w:szCs w:val="20"/>
        </w:rPr>
        <w:t>pomenijo</w:t>
      </w:r>
      <w:r w:rsidR="00BD6B05" w:rsidRPr="00AB2EAF">
        <w:rPr>
          <w:rFonts w:ascii="Arial" w:hAnsi="Arial" w:cs="Arial"/>
          <w:bCs/>
          <w:sz w:val="20"/>
          <w:szCs w:val="20"/>
        </w:rPr>
        <w:t xml:space="preserve"> </w:t>
      </w:r>
      <w:r w:rsidR="0098149D" w:rsidRPr="00AB2EAF">
        <w:rPr>
          <w:rFonts w:ascii="Arial" w:hAnsi="Arial" w:cs="Arial"/>
          <w:bCs/>
          <w:sz w:val="20"/>
          <w:szCs w:val="20"/>
        </w:rPr>
        <w:t>1</w:t>
      </w:r>
      <w:r w:rsidR="00AB2EAF" w:rsidRPr="00AB2EAF">
        <w:rPr>
          <w:rFonts w:ascii="Arial" w:hAnsi="Arial" w:cs="Arial"/>
          <w:bCs/>
          <w:sz w:val="20"/>
          <w:szCs w:val="20"/>
        </w:rPr>
        <w:t>7</w:t>
      </w:r>
      <w:r w:rsidR="000216D2" w:rsidRPr="00AB2EAF">
        <w:rPr>
          <w:rFonts w:ascii="Arial" w:hAnsi="Arial" w:cs="Arial"/>
          <w:bCs/>
          <w:sz w:val="20"/>
          <w:szCs w:val="20"/>
        </w:rPr>
        <w:t xml:space="preserve"> </w:t>
      </w:r>
      <w:r w:rsidR="007D3FD7" w:rsidRPr="00AB2EAF">
        <w:rPr>
          <w:rFonts w:ascii="Arial" w:hAnsi="Arial" w:cs="Arial"/>
          <w:bCs/>
          <w:sz w:val="20"/>
          <w:szCs w:val="20"/>
        </w:rPr>
        <w:t xml:space="preserve">% vseh naročil. </w:t>
      </w:r>
    </w:p>
    <w:p w14:paraId="3DBE598B" w14:textId="6D79AE88" w:rsidR="007B4106" w:rsidRPr="00AB2EAF" w:rsidRDefault="007B4106" w:rsidP="001F2B2F">
      <w:pPr>
        <w:spacing w:before="120" w:after="120" w:line="240" w:lineRule="auto"/>
        <w:jc w:val="both"/>
        <w:rPr>
          <w:rFonts w:ascii="Arial" w:hAnsi="Arial" w:cs="Arial"/>
          <w:sz w:val="20"/>
        </w:rPr>
      </w:pPr>
      <w:r w:rsidRPr="00AB2EAF">
        <w:rPr>
          <w:rFonts w:ascii="Arial" w:hAnsi="Arial" w:cs="Arial"/>
          <w:sz w:val="20"/>
        </w:rPr>
        <w:t xml:space="preserve">Preglednica </w:t>
      </w:r>
      <w:r w:rsidR="00EB4423">
        <w:rPr>
          <w:rFonts w:ascii="Arial" w:hAnsi="Arial" w:cs="Arial"/>
          <w:sz w:val="20"/>
        </w:rPr>
        <w:t>4</w:t>
      </w:r>
      <w:r w:rsidRPr="00AB2EAF">
        <w:rPr>
          <w:rFonts w:ascii="Arial" w:hAnsi="Arial" w:cs="Arial"/>
          <w:sz w:val="20"/>
        </w:rPr>
        <w:t>: Vrednost, število in deleži javnih naročil, objavljenih le na portalu javnih naročil</w:t>
      </w:r>
      <w:r w:rsidR="00CC14BB" w:rsidRPr="00AB2EAF">
        <w:rPr>
          <w:rFonts w:ascii="Arial" w:hAnsi="Arial" w:cs="Arial"/>
          <w:sz w:val="20"/>
        </w:rPr>
        <w:t>,</w:t>
      </w:r>
      <w:r w:rsidRPr="00AB2EAF">
        <w:rPr>
          <w:rFonts w:ascii="Arial" w:hAnsi="Arial" w:cs="Arial"/>
          <w:sz w:val="20"/>
        </w:rPr>
        <w:t xml:space="preserve"> </w:t>
      </w:r>
      <w:r w:rsidR="00116B76" w:rsidRPr="00AB2EAF">
        <w:rPr>
          <w:rFonts w:ascii="Arial" w:hAnsi="Arial" w:cs="Arial"/>
          <w:sz w:val="20"/>
        </w:rPr>
        <w:t xml:space="preserve">po </w:t>
      </w:r>
      <w:r w:rsidR="00D05AA7" w:rsidRPr="00AB2EAF">
        <w:rPr>
          <w:rFonts w:ascii="Arial" w:hAnsi="Arial" w:cs="Arial"/>
          <w:sz w:val="20"/>
        </w:rPr>
        <w:t>predmet</w:t>
      </w:r>
      <w:r w:rsidR="00116B76" w:rsidRPr="00AB2EAF">
        <w:rPr>
          <w:rFonts w:ascii="Arial" w:hAnsi="Arial" w:cs="Arial"/>
          <w:sz w:val="20"/>
        </w:rPr>
        <w:t>ih</w:t>
      </w:r>
      <w:r w:rsidR="00D05AA7" w:rsidRPr="00AB2EAF">
        <w:rPr>
          <w:rFonts w:ascii="Arial" w:hAnsi="Arial" w:cs="Arial"/>
          <w:sz w:val="20"/>
        </w:rPr>
        <w:t xml:space="preserve"> naročanja</w:t>
      </w:r>
    </w:p>
    <w:tbl>
      <w:tblPr>
        <w:tblStyle w:val="Tabelamrea"/>
        <w:tblW w:w="7046" w:type="dxa"/>
        <w:tblLook w:val="04A0" w:firstRow="1" w:lastRow="0" w:firstColumn="1" w:lastColumn="0" w:noHBand="0" w:noVBand="1"/>
      </w:tblPr>
      <w:tblGrid>
        <w:gridCol w:w="1181"/>
        <w:gridCol w:w="1370"/>
        <w:gridCol w:w="1755"/>
        <w:gridCol w:w="1370"/>
        <w:gridCol w:w="1370"/>
      </w:tblGrid>
      <w:tr w:rsidR="00BB70C3" w:rsidRPr="00AB2EAF" w14:paraId="23B57466" w14:textId="77777777" w:rsidTr="00E1481A">
        <w:trPr>
          <w:trHeight w:val="547"/>
        </w:trPr>
        <w:tc>
          <w:tcPr>
            <w:tcW w:w="1181" w:type="dxa"/>
            <w:hideMark/>
          </w:tcPr>
          <w:p w14:paraId="3D790340" w14:textId="77777777" w:rsidR="00BB70C3" w:rsidRPr="00AB2EAF" w:rsidRDefault="00BB70C3" w:rsidP="001F2B2F">
            <w:pPr>
              <w:jc w:val="center"/>
              <w:rPr>
                <w:rFonts w:ascii="Arial" w:hAnsi="Arial" w:cs="Arial"/>
                <w:color w:val="000000"/>
                <w:sz w:val="18"/>
                <w:szCs w:val="18"/>
                <w:lang w:eastAsia="sl-SI"/>
              </w:rPr>
            </w:pPr>
            <w:r w:rsidRPr="00AB2EAF">
              <w:rPr>
                <w:rFonts w:ascii="Arial" w:hAnsi="Arial" w:cs="Arial"/>
                <w:color w:val="000000"/>
                <w:sz w:val="18"/>
                <w:szCs w:val="18"/>
                <w:lang w:eastAsia="sl-SI"/>
              </w:rPr>
              <w:t xml:space="preserve">Predmet </w:t>
            </w:r>
          </w:p>
        </w:tc>
        <w:tc>
          <w:tcPr>
            <w:tcW w:w="1370" w:type="dxa"/>
            <w:hideMark/>
          </w:tcPr>
          <w:p w14:paraId="667E701C" w14:textId="77777777" w:rsidR="00BB70C3" w:rsidRPr="00AB2EAF" w:rsidRDefault="00BB70C3" w:rsidP="001F2B2F">
            <w:pPr>
              <w:jc w:val="center"/>
              <w:rPr>
                <w:rFonts w:ascii="Arial" w:hAnsi="Arial" w:cs="Arial"/>
                <w:color w:val="000000"/>
                <w:sz w:val="18"/>
                <w:szCs w:val="18"/>
                <w:lang w:eastAsia="sl-SI"/>
              </w:rPr>
            </w:pPr>
            <w:r w:rsidRPr="00AB2EAF">
              <w:rPr>
                <w:rFonts w:ascii="Arial" w:hAnsi="Arial" w:cs="Arial"/>
                <w:color w:val="000000"/>
                <w:sz w:val="18"/>
                <w:szCs w:val="18"/>
                <w:lang w:eastAsia="sl-SI"/>
              </w:rPr>
              <w:t>Št. naročil</w:t>
            </w:r>
          </w:p>
        </w:tc>
        <w:tc>
          <w:tcPr>
            <w:tcW w:w="1755" w:type="dxa"/>
            <w:hideMark/>
          </w:tcPr>
          <w:p w14:paraId="1B9FD56A" w14:textId="77777777" w:rsidR="00BB70C3" w:rsidRPr="00AB2EAF" w:rsidRDefault="00BB70C3" w:rsidP="001F2B2F">
            <w:pPr>
              <w:jc w:val="center"/>
              <w:rPr>
                <w:rFonts w:ascii="Arial" w:hAnsi="Arial" w:cs="Arial"/>
                <w:color w:val="000000"/>
                <w:sz w:val="18"/>
                <w:szCs w:val="18"/>
                <w:lang w:eastAsia="sl-SI"/>
              </w:rPr>
            </w:pPr>
            <w:r w:rsidRPr="00AB2EAF">
              <w:rPr>
                <w:rFonts w:ascii="Arial" w:hAnsi="Arial" w:cs="Arial"/>
                <w:color w:val="000000"/>
                <w:sz w:val="18"/>
                <w:szCs w:val="18"/>
                <w:lang w:eastAsia="sl-SI"/>
              </w:rPr>
              <w:t>Pogodbena vrednost</w:t>
            </w:r>
          </w:p>
        </w:tc>
        <w:tc>
          <w:tcPr>
            <w:tcW w:w="1370" w:type="dxa"/>
            <w:hideMark/>
          </w:tcPr>
          <w:p w14:paraId="5DCB04EB" w14:textId="77777777" w:rsidR="00BB70C3" w:rsidRPr="00AB2EAF" w:rsidRDefault="00BB70C3" w:rsidP="001F2B2F">
            <w:pPr>
              <w:jc w:val="center"/>
              <w:rPr>
                <w:rFonts w:ascii="Arial" w:hAnsi="Arial" w:cs="Arial"/>
                <w:color w:val="000000"/>
                <w:sz w:val="18"/>
                <w:szCs w:val="18"/>
                <w:lang w:eastAsia="sl-SI"/>
              </w:rPr>
            </w:pPr>
            <w:r w:rsidRPr="00AB2EAF">
              <w:rPr>
                <w:rFonts w:ascii="Arial" w:hAnsi="Arial" w:cs="Arial"/>
                <w:color w:val="000000"/>
                <w:sz w:val="18"/>
                <w:szCs w:val="18"/>
                <w:lang w:eastAsia="sl-SI"/>
              </w:rPr>
              <w:t>Delež v št. naročil</w:t>
            </w:r>
          </w:p>
        </w:tc>
        <w:tc>
          <w:tcPr>
            <w:tcW w:w="1370" w:type="dxa"/>
            <w:hideMark/>
          </w:tcPr>
          <w:p w14:paraId="50889B2A" w14:textId="77777777" w:rsidR="00BB70C3" w:rsidRPr="00AB2EAF" w:rsidRDefault="00BB70C3" w:rsidP="001F2B2F">
            <w:pPr>
              <w:jc w:val="center"/>
              <w:rPr>
                <w:rFonts w:ascii="Arial" w:hAnsi="Arial" w:cs="Arial"/>
                <w:color w:val="000000"/>
                <w:sz w:val="18"/>
                <w:szCs w:val="18"/>
                <w:lang w:eastAsia="sl-SI"/>
              </w:rPr>
            </w:pPr>
            <w:r w:rsidRPr="00AB2EAF">
              <w:rPr>
                <w:rFonts w:ascii="Arial" w:hAnsi="Arial" w:cs="Arial"/>
                <w:color w:val="000000"/>
                <w:sz w:val="18"/>
                <w:szCs w:val="18"/>
                <w:lang w:eastAsia="sl-SI"/>
              </w:rPr>
              <w:t>Delež v vrednosti</w:t>
            </w:r>
          </w:p>
        </w:tc>
      </w:tr>
      <w:tr w:rsidR="00AB2EAF" w:rsidRPr="00AB2EAF" w14:paraId="7EA0ABBC" w14:textId="77777777" w:rsidTr="00E1481A">
        <w:trPr>
          <w:trHeight w:val="309"/>
        </w:trPr>
        <w:tc>
          <w:tcPr>
            <w:tcW w:w="1181" w:type="dxa"/>
            <w:hideMark/>
          </w:tcPr>
          <w:p w14:paraId="033F343E" w14:textId="77777777" w:rsidR="00AB2EAF" w:rsidRPr="00AB2EAF" w:rsidRDefault="00AB2EAF" w:rsidP="00AB2EAF">
            <w:pPr>
              <w:rPr>
                <w:rFonts w:ascii="Arial" w:hAnsi="Arial" w:cs="Arial"/>
                <w:color w:val="000000"/>
                <w:sz w:val="18"/>
                <w:szCs w:val="18"/>
                <w:lang w:eastAsia="sl-SI"/>
              </w:rPr>
            </w:pPr>
            <w:r w:rsidRPr="00AB2EAF">
              <w:rPr>
                <w:rFonts w:ascii="Arial" w:hAnsi="Arial" w:cs="Arial"/>
                <w:color w:val="000000"/>
                <w:sz w:val="18"/>
                <w:szCs w:val="18"/>
                <w:lang w:eastAsia="sl-SI"/>
              </w:rPr>
              <w:t>Blago</w:t>
            </w:r>
          </w:p>
        </w:tc>
        <w:tc>
          <w:tcPr>
            <w:tcW w:w="1370" w:type="dxa"/>
            <w:hideMark/>
          </w:tcPr>
          <w:p w14:paraId="2AC3D111" w14:textId="660179CF"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4.447</w:t>
            </w:r>
          </w:p>
        </w:tc>
        <w:tc>
          <w:tcPr>
            <w:tcW w:w="1755" w:type="dxa"/>
            <w:hideMark/>
          </w:tcPr>
          <w:p w14:paraId="353848E7" w14:textId="731F2396"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165.468.571</w:t>
            </w:r>
          </w:p>
        </w:tc>
        <w:tc>
          <w:tcPr>
            <w:tcW w:w="1370" w:type="dxa"/>
            <w:hideMark/>
          </w:tcPr>
          <w:p w14:paraId="4B519A96" w14:textId="3348C277"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50,35 %</w:t>
            </w:r>
          </w:p>
        </w:tc>
        <w:tc>
          <w:tcPr>
            <w:tcW w:w="1370" w:type="dxa"/>
            <w:hideMark/>
          </w:tcPr>
          <w:p w14:paraId="14A45013" w14:textId="3B951434"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17,00 %</w:t>
            </w:r>
          </w:p>
        </w:tc>
      </w:tr>
      <w:tr w:rsidR="00AB2EAF" w:rsidRPr="00AB2EAF" w14:paraId="2C8124F5" w14:textId="77777777" w:rsidTr="00E1481A">
        <w:trPr>
          <w:trHeight w:val="309"/>
        </w:trPr>
        <w:tc>
          <w:tcPr>
            <w:tcW w:w="1181" w:type="dxa"/>
            <w:hideMark/>
          </w:tcPr>
          <w:p w14:paraId="74E94C65" w14:textId="77777777" w:rsidR="00AB2EAF" w:rsidRPr="00AB2EAF" w:rsidRDefault="00AB2EAF" w:rsidP="00AB2EAF">
            <w:pPr>
              <w:rPr>
                <w:rFonts w:ascii="Arial" w:hAnsi="Arial" w:cs="Arial"/>
                <w:color w:val="000000"/>
                <w:sz w:val="18"/>
                <w:szCs w:val="18"/>
                <w:lang w:eastAsia="sl-SI"/>
              </w:rPr>
            </w:pPr>
            <w:r w:rsidRPr="00AB2EAF">
              <w:rPr>
                <w:rFonts w:ascii="Arial" w:hAnsi="Arial" w:cs="Arial"/>
                <w:color w:val="000000"/>
                <w:sz w:val="18"/>
                <w:szCs w:val="18"/>
                <w:lang w:eastAsia="sl-SI"/>
              </w:rPr>
              <w:t>Storitve</w:t>
            </w:r>
          </w:p>
        </w:tc>
        <w:tc>
          <w:tcPr>
            <w:tcW w:w="1370" w:type="dxa"/>
            <w:hideMark/>
          </w:tcPr>
          <w:p w14:paraId="3524BDB2" w14:textId="6C07E16E"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2.464</w:t>
            </w:r>
          </w:p>
        </w:tc>
        <w:tc>
          <w:tcPr>
            <w:tcW w:w="1755" w:type="dxa"/>
            <w:hideMark/>
          </w:tcPr>
          <w:p w14:paraId="5D8E2B02" w14:textId="534D464E"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159.616.926</w:t>
            </w:r>
          </w:p>
        </w:tc>
        <w:tc>
          <w:tcPr>
            <w:tcW w:w="1370" w:type="dxa"/>
            <w:hideMark/>
          </w:tcPr>
          <w:p w14:paraId="3214C14C" w14:textId="468077B7"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27,90 %</w:t>
            </w:r>
          </w:p>
        </w:tc>
        <w:tc>
          <w:tcPr>
            <w:tcW w:w="1370" w:type="dxa"/>
            <w:hideMark/>
          </w:tcPr>
          <w:p w14:paraId="614844B8" w14:textId="7157FB9E"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16,40 %</w:t>
            </w:r>
          </w:p>
        </w:tc>
      </w:tr>
      <w:tr w:rsidR="00AB2EAF" w:rsidRPr="00AB2EAF" w14:paraId="3A691C4F" w14:textId="77777777" w:rsidTr="00E1481A">
        <w:trPr>
          <w:trHeight w:val="309"/>
        </w:trPr>
        <w:tc>
          <w:tcPr>
            <w:tcW w:w="1181" w:type="dxa"/>
            <w:hideMark/>
          </w:tcPr>
          <w:p w14:paraId="717383DF" w14:textId="77777777" w:rsidR="00AB2EAF" w:rsidRPr="00AB2EAF" w:rsidRDefault="00AB2EAF" w:rsidP="00AB2EAF">
            <w:pPr>
              <w:rPr>
                <w:rFonts w:ascii="Arial" w:hAnsi="Arial" w:cs="Arial"/>
                <w:color w:val="000000"/>
                <w:sz w:val="18"/>
                <w:szCs w:val="18"/>
                <w:lang w:eastAsia="sl-SI"/>
              </w:rPr>
            </w:pPr>
            <w:r w:rsidRPr="00AB2EAF">
              <w:rPr>
                <w:rFonts w:ascii="Arial" w:hAnsi="Arial" w:cs="Arial"/>
                <w:color w:val="000000"/>
                <w:sz w:val="18"/>
                <w:szCs w:val="18"/>
                <w:lang w:eastAsia="sl-SI"/>
              </w:rPr>
              <w:t>Gradnje</w:t>
            </w:r>
          </w:p>
        </w:tc>
        <w:tc>
          <w:tcPr>
            <w:tcW w:w="1370" w:type="dxa"/>
            <w:hideMark/>
          </w:tcPr>
          <w:p w14:paraId="7796FD0A" w14:textId="7C448209"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1.921</w:t>
            </w:r>
          </w:p>
        </w:tc>
        <w:tc>
          <w:tcPr>
            <w:tcW w:w="1755" w:type="dxa"/>
            <w:hideMark/>
          </w:tcPr>
          <w:p w14:paraId="767672B9" w14:textId="3585CCBD"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648.388.736</w:t>
            </w:r>
          </w:p>
        </w:tc>
        <w:tc>
          <w:tcPr>
            <w:tcW w:w="1370" w:type="dxa"/>
            <w:hideMark/>
          </w:tcPr>
          <w:p w14:paraId="391C1A6B" w14:textId="20B8AF6C"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21,75 %</w:t>
            </w:r>
          </w:p>
        </w:tc>
        <w:tc>
          <w:tcPr>
            <w:tcW w:w="1370" w:type="dxa"/>
            <w:hideMark/>
          </w:tcPr>
          <w:p w14:paraId="062E546A" w14:textId="5A552E0E" w:rsidR="00AB2EAF" w:rsidRPr="00AB2EAF" w:rsidRDefault="00AB2EAF" w:rsidP="00AB2EAF">
            <w:pPr>
              <w:jc w:val="right"/>
              <w:rPr>
                <w:rFonts w:ascii="Arial" w:hAnsi="Arial" w:cs="Arial"/>
                <w:color w:val="000000"/>
                <w:sz w:val="18"/>
                <w:szCs w:val="18"/>
                <w:lang w:eastAsia="sl-SI"/>
              </w:rPr>
            </w:pPr>
            <w:r w:rsidRPr="00AB2EAF">
              <w:rPr>
                <w:rFonts w:ascii="Arial" w:hAnsi="Arial" w:cs="Arial"/>
                <w:color w:val="000000"/>
                <w:sz w:val="18"/>
                <w:szCs w:val="18"/>
              </w:rPr>
              <w:t>66,61 %</w:t>
            </w:r>
          </w:p>
        </w:tc>
      </w:tr>
      <w:tr w:rsidR="00AB2EAF" w:rsidRPr="00AB2EAF" w14:paraId="6AE90088" w14:textId="77777777" w:rsidTr="00E1481A">
        <w:trPr>
          <w:trHeight w:val="309"/>
        </w:trPr>
        <w:tc>
          <w:tcPr>
            <w:tcW w:w="1181" w:type="dxa"/>
            <w:hideMark/>
          </w:tcPr>
          <w:p w14:paraId="6D6FC635" w14:textId="77777777" w:rsidR="00AB2EAF" w:rsidRPr="00AB2EAF" w:rsidRDefault="00AB2EAF" w:rsidP="00AB2EAF">
            <w:pPr>
              <w:rPr>
                <w:rFonts w:ascii="Arial" w:hAnsi="Arial" w:cs="Arial"/>
                <w:b/>
                <w:color w:val="000000"/>
                <w:sz w:val="18"/>
                <w:szCs w:val="18"/>
                <w:lang w:eastAsia="sl-SI"/>
              </w:rPr>
            </w:pPr>
            <w:r w:rsidRPr="00AB2EAF">
              <w:rPr>
                <w:rFonts w:ascii="Arial" w:hAnsi="Arial" w:cs="Arial"/>
                <w:b/>
                <w:color w:val="000000"/>
                <w:sz w:val="18"/>
                <w:szCs w:val="18"/>
                <w:lang w:eastAsia="sl-SI"/>
              </w:rPr>
              <w:t>Skupaj</w:t>
            </w:r>
          </w:p>
        </w:tc>
        <w:tc>
          <w:tcPr>
            <w:tcW w:w="1370" w:type="dxa"/>
            <w:noWrap/>
            <w:hideMark/>
          </w:tcPr>
          <w:p w14:paraId="7413D257" w14:textId="32179417" w:rsidR="00AB2EAF" w:rsidRPr="00AB2EAF" w:rsidRDefault="00AB2EAF" w:rsidP="00AB2EAF">
            <w:pPr>
              <w:jc w:val="right"/>
              <w:rPr>
                <w:rFonts w:ascii="Arial" w:hAnsi="Arial" w:cs="Arial"/>
                <w:b/>
                <w:color w:val="000000"/>
                <w:sz w:val="18"/>
                <w:szCs w:val="18"/>
                <w:lang w:eastAsia="sl-SI"/>
              </w:rPr>
            </w:pPr>
            <w:r w:rsidRPr="00AB2EAF">
              <w:rPr>
                <w:rFonts w:ascii="Arial" w:hAnsi="Arial" w:cs="Arial"/>
                <w:b/>
                <w:color w:val="000000"/>
                <w:sz w:val="18"/>
                <w:szCs w:val="18"/>
              </w:rPr>
              <w:t>8.832</w:t>
            </w:r>
          </w:p>
        </w:tc>
        <w:tc>
          <w:tcPr>
            <w:tcW w:w="1755" w:type="dxa"/>
            <w:noWrap/>
            <w:hideMark/>
          </w:tcPr>
          <w:p w14:paraId="377953CF" w14:textId="00DEC492" w:rsidR="00AB2EAF" w:rsidRPr="00AB2EAF" w:rsidRDefault="00AB2EAF" w:rsidP="00AB2EAF">
            <w:pPr>
              <w:jc w:val="right"/>
              <w:rPr>
                <w:rFonts w:ascii="Arial" w:hAnsi="Arial" w:cs="Arial"/>
                <w:b/>
                <w:color w:val="000000"/>
                <w:sz w:val="18"/>
                <w:szCs w:val="18"/>
                <w:lang w:eastAsia="sl-SI"/>
              </w:rPr>
            </w:pPr>
            <w:r w:rsidRPr="00AB2EAF">
              <w:rPr>
                <w:rFonts w:ascii="Arial" w:hAnsi="Arial" w:cs="Arial"/>
                <w:b/>
                <w:color w:val="000000"/>
                <w:sz w:val="18"/>
                <w:szCs w:val="18"/>
              </w:rPr>
              <w:t>973.474.233</w:t>
            </w:r>
          </w:p>
        </w:tc>
        <w:tc>
          <w:tcPr>
            <w:tcW w:w="1370" w:type="dxa"/>
            <w:noWrap/>
            <w:hideMark/>
          </w:tcPr>
          <w:p w14:paraId="4490FDF2" w14:textId="49CBB8FC" w:rsidR="00AB2EAF" w:rsidRPr="00AB2EAF" w:rsidRDefault="00AB2EAF" w:rsidP="00AB2EAF">
            <w:pPr>
              <w:jc w:val="right"/>
              <w:rPr>
                <w:rFonts w:ascii="Arial" w:hAnsi="Arial" w:cs="Arial"/>
                <w:b/>
                <w:color w:val="000000"/>
                <w:sz w:val="18"/>
                <w:szCs w:val="18"/>
                <w:lang w:eastAsia="sl-SI"/>
              </w:rPr>
            </w:pPr>
            <w:r w:rsidRPr="00AB2EAF">
              <w:rPr>
                <w:rFonts w:ascii="Arial" w:hAnsi="Arial" w:cs="Arial"/>
                <w:b/>
                <w:color w:val="000000"/>
                <w:sz w:val="18"/>
                <w:szCs w:val="18"/>
              </w:rPr>
              <w:t>100,00 %</w:t>
            </w:r>
          </w:p>
        </w:tc>
        <w:tc>
          <w:tcPr>
            <w:tcW w:w="1370" w:type="dxa"/>
            <w:noWrap/>
            <w:hideMark/>
          </w:tcPr>
          <w:p w14:paraId="096B0D47" w14:textId="1FAC47BC" w:rsidR="00AB2EAF" w:rsidRPr="00AB2EAF" w:rsidRDefault="00AB2EAF" w:rsidP="00AB2EAF">
            <w:pPr>
              <w:jc w:val="right"/>
              <w:rPr>
                <w:rFonts w:ascii="Arial" w:hAnsi="Arial" w:cs="Arial"/>
                <w:b/>
                <w:color w:val="000000"/>
                <w:sz w:val="18"/>
                <w:szCs w:val="18"/>
                <w:lang w:eastAsia="sl-SI"/>
              </w:rPr>
            </w:pPr>
            <w:r w:rsidRPr="00AB2EAF">
              <w:rPr>
                <w:rFonts w:ascii="Arial" w:hAnsi="Arial" w:cs="Arial"/>
                <w:b/>
                <w:color w:val="000000"/>
                <w:sz w:val="18"/>
                <w:szCs w:val="18"/>
              </w:rPr>
              <w:t>100,00 %</w:t>
            </w:r>
          </w:p>
        </w:tc>
      </w:tr>
    </w:tbl>
    <w:p w14:paraId="04AAC8CA" w14:textId="77777777" w:rsidR="00BB70C3" w:rsidRPr="00AB2EAF" w:rsidRDefault="00BB70C3" w:rsidP="00BB70C3">
      <w:pPr>
        <w:spacing w:after="0" w:line="240" w:lineRule="auto"/>
        <w:jc w:val="center"/>
        <w:rPr>
          <w:rFonts w:ascii="Arial" w:hAnsi="Arial" w:cs="Arial"/>
          <w:sz w:val="18"/>
        </w:rPr>
      </w:pPr>
    </w:p>
    <w:p w14:paraId="42A9C391" w14:textId="2E15170B" w:rsidR="00D05AA7" w:rsidRPr="00AB2EAF" w:rsidRDefault="00D05AA7" w:rsidP="00BB70C3">
      <w:pPr>
        <w:spacing w:after="0" w:line="240" w:lineRule="auto"/>
        <w:jc w:val="center"/>
        <w:rPr>
          <w:rFonts w:ascii="Arial" w:hAnsi="Arial" w:cs="Arial"/>
          <w:sz w:val="18"/>
        </w:rPr>
      </w:pPr>
      <w:r w:rsidRPr="00AB2EAF">
        <w:rPr>
          <w:rFonts w:ascii="Arial" w:hAnsi="Arial" w:cs="Arial"/>
          <w:sz w:val="18"/>
        </w:rPr>
        <w:t>Vir: Statistični podatki o javnih naročilih, oddanih v let</w:t>
      </w:r>
      <w:r w:rsidR="008D541C" w:rsidRPr="00AB2EAF">
        <w:rPr>
          <w:rFonts w:ascii="Arial" w:hAnsi="Arial" w:cs="Arial"/>
          <w:sz w:val="18"/>
        </w:rPr>
        <w:t xml:space="preserve">u </w:t>
      </w:r>
      <w:r w:rsidR="00F86463" w:rsidRPr="00AB2EAF">
        <w:rPr>
          <w:rFonts w:ascii="Arial" w:hAnsi="Arial" w:cs="Arial"/>
          <w:sz w:val="18"/>
        </w:rPr>
        <w:t>201</w:t>
      </w:r>
      <w:r w:rsidR="00A866E3" w:rsidRPr="00AB2EAF">
        <w:rPr>
          <w:rFonts w:ascii="Arial" w:hAnsi="Arial" w:cs="Arial"/>
          <w:sz w:val="18"/>
        </w:rPr>
        <w:t>8</w:t>
      </w:r>
    </w:p>
    <w:p w14:paraId="7D9C16CE" w14:textId="77777777" w:rsidR="00BB70C3" w:rsidRPr="00EF2D0B" w:rsidRDefault="00BB70C3" w:rsidP="00A83A44">
      <w:pPr>
        <w:tabs>
          <w:tab w:val="left" w:pos="567"/>
          <w:tab w:val="left" w:pos="993"/>
        </w:tabs>
        <w:spacing w:line="360" w:lineRule="auto"/>
        <w:jc w:val="both"/>
        <w:rPr>
          <w:rFonts w:ascii="Arial" w:hAnsi="Arial" w:cs="Arial"/>
          <w:bCs/>
          <w:sz w:val="20"/>
          <w:szCs w:val="20"/>
          <w:highlight w:val="yellow"/>
        </w:rPr>
      </w:pPr>
    </w:p>
    <w:p w14:paraId="7F312B93" w14:textId="44209B4D" w:rsidR="00D05AA7" w:rsidRPr="001750C6" w:rsidRDefault="00AA7070" w:rsidP="00A83A44">
      <w:pPr>
        <w:tabs>
          <w:tab w:val="left" w:pos="567"/>
          <w:tab w:val="left" w:pos="993"/>
        </w:tabs>
        <w:spacing w:line="360" w:lineRule="auto"/>
        <w:jc w:val="both"/>
        <w:rPr>
          <w:rFonts w:ascii="Arial" w:hAnsi="Arial" w:cs="Arial"/>
          <w:bCs/>
          <w:sz w:val="20"/>
          <w:szCs w:val="20"/>
        </w:rPr>
      </w:pPr>
      <w:r w:rsidRPr="001750C6">
        <w:rPr>
          <w:rFonts w:ascii="Arial" w:hAnsi="Arial" w:cs="Arial"/>
          <w:bCs/>
          <w:sz w:val="20"/>
          <w:szCs w:val="20"/>
        </w:rPr>
        <w:t>Večina n</w:t>
      </w:r>
      <w:r w:rsidR="00D05AA7" w:rsidRPr="001750C6">
        <w:rPr>
          <w:rFonts w:ascii="Arial" w:hAnsi="Arial" w:cs="Arial"/>
          <w:bCs/>
          <w:sz w:val="20"/>
          <w:szCs w:val="20"/>
        </w:rPr>
        <w:t>aročil, ki so jih naročniki objavili le na portalu javnih naročil</w:t>
      </w:r>
      <w:r w:rsidR="002E0F8A" w:rsidRPr="001750C6">
        <w:rPr>
          <w:rFonts w:ascii="Arial" w:hAnsi="Arial" w:cs="Arial"/>
          <w:bCs/>
          <w:sz w:val="20"/>
          <w:szCs w:val="20"/>
        </w:rPr>
        <w:t>,</w:t>
      </w:r>
      <w:r w:rsidR="00D05AA7" w:rsidRPr="001750C6">
        <w:rPr>
          <w:rFonts w:ascii="Arial" w:hAnsi="Arial" w:cs="Arial"/>
          <w:bCs/>
          <w:sz w:val="20"/>
          <w:szCs w:val="20"/>
        </w:rPr>
        <w:t xml:space="preserve"> je bila </w:t>
      </w:r>
      <w:r w:rsidRPr="001750C6">
        <w:rPr>
          <w:rFonts w:ascii="Arial" w:hAnsi="Arial" w:cs="Arial"/>
          <w:bCs/>
          <w:sz w:val="20"/>
          <w:szCs w:val="20"/>
        </w:rPr>
        <w:t>s</w:t>
      </w:r>
      <w:r w:rsidR="00D05AA7" w:rsidRPr="001750C6">
        <w:rPr>
          <w:rFonts w:ascii="Arial" w:hAnsi="Arial" w:cs="Arial"/>
          <w:bCs/>
          <w:sz w:val="20"/>
          <w:szCs w:val="20"/>
        </w:rPr>
        <w:t xml:space="preserve"> splošne</w:t>
      </w:r>
      <w:r w:rsidRPr="001750C6">
        <w:rPr>
          <w:rFonts w:ascii="Arial" w:hAnsi="Arial" w:cs="Arial"/>
          <w:bCs/>
          <w:sz w:val="20"/>
          <w:szCs w:val="20"/>
        </w:rPr>
        <w:t>ga</w:t>
      </w:r>
      <w:r w:rsidR="00D05AA7" w:rsidRPr="001750C6">
        <w:rPr>
          <w:rFonts w:ascii="Arial" w:hAnsi="Arial" w:cs="Arial"/>
          <w:bCs/>
          <w:sz w:val="20"/>
          <w:szCs w:val="20"/>
        </w:rPr>
        <w:t xml:space="preserve"> področj</w:t>
      </w:r>
      <w:r w:rsidRPr="001750C6">
        <w:rPr>
          <w:rFonts w:ascii="Arial" w:hAnsi="Arial" w:cs="Arial"/>
          <w:bCs/>
          <w:sz w:val="20"/>
          <w:szCs w:val="20"/>
        </w:rPr>
        <w:t>a</w:t>
      </w:r>
      <w:r w:rsidR="00D05AA7" w:rsidRPr="001750C6">
        <w:rPr>
          <w:rFonts w:ascii="Arial" w:hAnsi="Arial" w:cs="Arial"/>
          <w:bCs/>
          <w:sz w:val="20"/>
          <w:szCs w:val="20"/>
        </w:rPr>
        <w:t xml:space="preserve">. Njihov delež v </w:t>
      </w:r>
      <w:r w:rsidR="00E61134" w:rsidRPr="001750C6">
        <w:rPr>
          <w:rFonts w:ascii="Arial" w:hAnsi="Arial" w:cs="Arial"/>
          <w:bCs/>
          <w:sz w:val="20"/>
          <w:szCs w:val="20"/>
        </w:rPr>
        <w:t xml:space="preserve">številu </w:t>
      </w:r>
      <w:r w:rsidR="00D05AA7" w:rsidRPr="001750C6">
        <w:rPr>
          <w:rFonts w:ascii="Arial" w:hAnsi="Arial" w:cs="Arial"/>
          <w:bCs/>
          <w:sz w:val="20"/>
          <w:szCs w:val="20"/>
        </w:rPr>
        <w:t>oddanih naročil, ki so bila objavljena le na portalu javnih naročil</w:t>
      </w:r>
      <w:r w:rsidR="00B737F5" w:rsidRPr="001750C6">
        <w:rPr>
          <w:rFonts w:ascii="Arial" w:hAnsi="Arial" w:cs="Arial"/>
          <w:bCs/>
          <w:sz w:val="20"/>
          <w:szCs w:val="20"/>
        </w:rPr>
        <w:t>,</w:t>
      </w:r>
      <w:r w:rsidR="00D05AA7" w:rsidRPr="001750C6">
        <w:rPr>
          <w:rFonts w:ascii="Arial" w:hAnsi="Arial" w:cs="Arial"/>
          <w:bCs/>
          <w:sz w:val="20"/>
          <w:szCs w:val="20"/>
        </w:rPr>
        <w:t xml:space="preserve"> je </w:t>
      </w:r>
      <w:r w:rsidR="00892636" w:rsidRPr="001750C6">
        <w:rPr>
          <w:rFonts w:ascii="Arial" w:eastAsia="Times New Roman" w:hAnsi="Arial" w:cs="Arial"/>
          <w:color w:val="000000"/>
          <w:sz w:val="20"/>
          <w:szCs w:val="20"/>
          <w:lang w:eastAsia="sl-SI"/>
        </w:rPr>
        <w:t>87,</w:t>
      </w:r>
      <w:r w:rsidR="003F74BC" w:rsidRPr="001750C6">
        <w:rPr>
          <w:rFonts w:ascii="Arial" w:eastAsia="Times New Roman" w:hAnsi="Arial" w:cs="Arial"/>
          <w:color w:val="000000"/>
          <w:sz w:val="20"/>
          <w:szCs w:val="20"/>
          <w:lang w:eastAsia="sl-SI"/>
        </w:rPr>
        <w:t>2</w:t>
      </w:r>
      <w:r w:rsidR="001750C6" w:rsidRPr="001750C6">
        <w:rPr>
          <w:rFonts w:ascii="Arial" w:eastAsia="Times New Roman" w:hAnsi="Arial" w:cs="Arial"/>
          <w:color w:val="000000"/>
          <w:sz w:val="20"/>
          <w:szCs w:val="20"/>
          <w:lang w:eastAsia="sl-SI"/>
        </w:rPr>
        <w:t>3</w:t>
      </w:r>
      <w:r w:rsidR="003C3423" w:rsidRPr="001750C6">
        <w:rPr>
          <w:rFonts w:ascii="Arial" w:eastAsia="Times New Roman" w:hAnsi="Arial" w:cs="Arial"/>
          <w:color w:val="000000"/>
          <w:sz w:val="20"/>
          <w:szCs w:val="20"/>
          <w:lang w:eastAsia="sl-SI"/>
        </w:rPr>
        <w:t xml:space="preserve"> </w:t>
      </w:r>
      <w:r w:rsidR="00D05AA7" w:rsidRPr="001750C6">
        <w:rPr>
          <w:rFonts w:ascii="Arial" w:eastAsia="Times New Roman" w:hAnsi="Arial" w:cs="Arial"/>
          <w:color w:val="000000"/>
          <w:sz w:val="20"/>
          <w:szCs w:val="20"/>
          <w:lang w:eastAsia="sl-SI"/>
        </w:rPr>
        <w:t>%</w:t>
      </w:r>
      <w:r w:rsidR="00E61134" w:rsidRPr="001750C6">
        <w:rPr>
          <w:rFonts w:ascii="Arial" w:eastAsia="Times New Roman" w:hAnsi="Arial" w:cs="Arial"/>
          <w:color w:val="000000"/>
          <w:sz w:val="20"/>
          <w:szCs w:val="20"/>
          <w:lang w:eastAsia="sl-SI"/>
        </w:rPr>
        <w:t xml:space="preserve">, v vrednosti pa </w:t>
      </w:r>
      <w:r w:rsidR="00892636" w:rsidRPr="001750C6">
        <w:rPr>
          <w:rFonts w:ascii="Arial" w:eastAsia="Times New Roman" w:hAnsi="Arial" w:cs="Arial"/>
          <w:color w:val="000000"/>
          <w:sz w:val="20"/>
          <w:szCs w:val="20"/>
          <w:lang w:eastAsia="sl-SI"/>
        </w:rPr>
        <w:t>83,</w:t>
      </w:r>
      <w:r w:rsidR="003F74BC" w:rsidRPr="001750C6">
        <w:rPr>
          <w:rFonts w:ascii="Arial" w:eastAsia="Times New Roman" w:hAnsi="Arial" w:cs="Arial"/>
          <w:color w:val="000000"/>
          <w:sz w:val="20"/>
          <w:szCs w:val="20"/>
          <w:lang w:eastAsia="sl-SI"/>
        </w:rPr>
        <w:t>0</w:t>
      </w:r>
      <w:r w:rsidR="001750C6" w:rsidRPr="001750C6">
        <w:rPr>
          <w:rFonts w:ascii="Arial" w:eastAsia="Times New Roman" w:hAnsi="Arial" w:cs="Arial"/>
          <w:color w:val="000000"/>
          <w:sz w:val="20"/>
          <w:szCs w:val="20"/>
          <w:lang w:eastAsia="sl-SI"/>
        </w:rPr>
        <w:t>4</w:t>
      </w:r>
      <w:r w:rsidR="00E61134" w:rsidRPr="001750C6">
        <w:rPr>
          <w:rFonts w:ascii="Arial" w:eastAsia="Times New Roman" w:hAnsi="Arial" w:cs="Arial"/>
          <w:color w:val="000000"/>
          <w:sz w:val="20"/>
          <w:szCs w:val="20"/>
          <w:lang w:eastAsia="sl-SI"/>
        </w:rPr>
        <w:t xml:space="preserve"> %.</w:t>
      </w:r>
    </w:p>
    <w:p w14:paraId="6065761C" w14:textId="70299249" w:rsidR="00D05AA7" w:rsidRPr="001750C6" w:rsidRDefault="00D05AA7" w:rsidP="008A61FD">
      <w:pPr>
        <w:spacing w:before="120" w:after="120" w:line="240" w:lineRule="auto"/>
        <w:jc w:val="both"/>
        <w:rPr>
          <w:rFonts w:ascii="Arial" w:hAnsi="Arial" w:cs="Arial"/>
          <w:sz w:val="20"/>
        </w:rPr>
      </w:pPr>
      <w:r w:rsidRPr="001750C6">
        <w:rPr>
          <w:rFonts w:ascii="Arial" w:hAnsi="Arial" w:cs="Arial"/>
          <w:sz w:val="20"/>
        </w:rPr>
        <w:t xml:space="preserve">Preglednica </w:t>
      </w:r>
      <w:r w:rsidR="00EB4423">
        <w:rPr>
          <w:rFonts w:ascii="Arial" w:hAnsi="Arial" w:cs="Arial"/>
          <w:sz w:val="20"/>
        </w:rPr>
        <w:t>5</w:t>
      </w:r>
      <w:r w:rsidRPr="001750C6">
        <w:rPr>
          <w:rFonts w:ascii="Arial" w:hAnsi="Arial" w:cs="Arial"/>
          <w:sz w:val="20"/>
        </w:rPr>
        <w:t>: Vrednost, število in deleži javnih naročil, objavljenih le na portalu javnih naročil</w:t>
      </w:r>
      <w:r w:rsidR="00AA7070" w:rsidRPr="001750C6">
        <w:rPr>
          <w:rFonts w:ascii="Arial" w:hAnsi="Arial" w:cs="Arial"/>
          <w:sz w:val="20"/>
        </w:rPr>
        <w:t>,</w:t>
      </w:r>
      <w:r w:rsidRPr="001750C6">
        <w:rPr>
          <w:rFonts w:ascii="Arial" w:hAnsi="Arial" w:cs="Arial"/>
          <w:sz w:val="20"/>
        </w:rPr>
        <w:t xml:space="preserve"> </w:t>
      </w:r>
      <w:r w:rsidR="00116B76" w:rsidRPr="001750C6">
        <w:rPr>
          <w:rFonts w:ascii="Arial" w:hAnsi="Arial" w:cs="Arial"/>
          <w:sz w:val="20"/>
        </w:rPr>
        <w:t xml:space="preserve">po </w:t>
      </w:r>
      <w:r w:rsidRPr="001750C6">
        <w:rPr>
          <w:rFonts w:ascii="Arial" w:hAnsi="Arial" w:cs="Arial"/>
          <w:sz w:val="20"/>
        </w:rPr>
        <w:t>področj</w:t>
      </w:r>
      <w:r w:rsidR="00116B76" w:rsidRPr="001750C6">
        <w:rPr>
          <w:rFonts w:ascii="Arial" w:hAnsi="Arial" w:cs="Arial"/>
          <w:sz w:val="20"/>
        </w:rPr>
        <w:t>ih</w:t>
      </w:r>
      <w:r w:rsidRPr="001750C6">
        <w:rPr>
          <w:rFonts w:ascii="Arial" w:hAnsi="Arial" w:cs="Arial"/>
          <w:sz w:val="20"/>
        </w:rPr>
        <w:t xml:space="preserve"> naročanja</w:t>
      </w:r>
    </w:p>
    <w:tbl>
      <w:tblPr>
        <w:tblW w:w="7138" w:type="dxa"/>
        <w:jc w:val="center"/>
        <w:tblCellMar>
          <w:left w:w="70" w:type="dxa"/>
          <w:right w:w="70" w:type="dxa"/>
        </w:tblCellMar>
        <w:tblLook w:val="04A0" w:firstRow="1" w:lastRow="0" w:firstColumn="1" w:lastColumn="0" w:noHBand="0" w:noVBand="1"/>
      </w:tblPr>
      <w:tblGrid>
        <w:gridCol w:w="1301"/>
        <w:gridCol w:w="1134"/>
        <w:gridCol w:w="2418"/>
        <w:gridCol w:w="1142"/>
        <w:gridCol w:w="1143"/>
      </w:tblGrid>
      <w:tr w:rsidR="00BB70C3" w:rsidRPr="001750C6" w14:paraId="16E88EE8" w14:textId="77777777" w:rsidTr="007C1875">
        <w:trPr>
          <w:trHeight w:val="539"/>
          <w:jc w:val="center"/>
        </w:trPr>
        <w:tc>
          <w:tcPr>
            <w:tcW w:w="13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46EF9C4" w14:textId="77777777" w:rsidR="00BB70C3" w:rsidRPr="001750C6" w:rsidRDefault="00BB70C3" w:rsidP="007C1875">
            <w:pPr>
              <w:spacing w:after="0" w:line="240" w:lineRule="auto"/>
              <w:jc w:val="center"/>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Področje</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070794B" w14:textId="77777777" w:rsidR="00BB70C3" w:rsidRPr="001750C6" w:rsidRDefault="00BB70C3" w:rsidP="007C1875">
            <w:pPr>
              <w:spacing w:after="0" w:line="240" w:lineRule="auto"/>
              <w:jc w:val="center"/>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Št. naročil</w:t>
            </w:r>
          </w:p>
        </w:tc>
        <w:tc>
          <w:tcPr>
            <w:tcW w:w="241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5EA08B6" w14:textId="77777777" w:rsidR="00BB70C3" w:rsidRPr="001750C6" w:rsidRDefault="00BB70C3" w:rsidP="007C1875">
            <w:pPr>
              <w:spacing w:after="0" w:line="240" w:lineRule="auto"/>
              <w:jc w:val="center"/>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Pogodbena vrednost</w:t>
            </w:r>
          </w:p>
        </w:tc>
        <w:tc>
          <w:tcPr>
            <w:tcW w:w="114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E5D1F7B" w14:textId="77777777" w:rsidR="00BB70C3" w:rsidRPr="001750C6" w:rsidRDefault="00BB70C3" w:rsidP="007C1875">
            <w:pPr>
              <w:spacing w:after="0" w:line="240" w:lineRule="auto"/>
              <w:jc w:val="center"/>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Delež v št. naročil</w:t>
            </w:r>
          </w:p>
        </w:tc>
        <w:tc>
          <w:tcPr>
            <w:tcW w:w="11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58DAB12" w14:textId="77777777" w:rsidR="00BB70C3" w:rsidRPr="001750C6" w:rsidRDefault="00BB70C3" w:rsidP="007C1875">
            <w:pPr>
              <w:spacing w:after="0" w:line="240" w:lineRule="auto"/>
              <w:jc w:val="center"/>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Delež v vrednosti</w:t>
            </w:r>
          </w:p>
        </w:tc>
      </w:tr>
      <w:tr w:rsidR="001750C6" w:rsidRPr="001750C6" w14:paraId="19AEAA3B" w14:textId="77777777" w:rsidTr="001750C6">
        <w:trPr>
          <w:trHeight w:val="309"/>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BF2B0D" w14:textId="77777777" w:rsidR="001750C6" w:rsidRPr="001750C6" w:rsidRDefault="001750C6" w:rsidP="001750C6">
            <w:pPr>
              <w:spacing w:after="0" w:line="240" w:lineRule="auto"/>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Splošno</w:t>
            </w:r>
          </w:p>
        </w:tc>
        <w:tc>
          <w:tcPr>
            <w:tcW w:w="1134" w:type="dxa"/>
            <w:tcBorders>
              <w:top w:val="nil"/>
              <w:left w:val="nil"/>
              <w:bottom w:val="single" w:sz="4" w:space="0" w:color="auto"/>
              <w:right w:val="single" w:sz="4" w:space="0" w:color="auto"/>
            </w:tcBorders>
            <w:shd w:val="clear" w:color="auto" w:fill="auto"/>
            <w:vAlign w:val="center"/>
            <w:hideMark/>
          </w:tcPr>
          <w:p w14:paraId="2AE38A95" w14:textId="2209F781"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7.704</w:t>
            </w:r>
          </w:p>
        </w:tc>
        <w:tc>
          <w:tcPr>
            <w:tcW w:w="2418" w:type="dxa"/>
            <w:tcBorders>
              <w:top w:val="nil"/>
              <w:left w:val="nil"/>
              <w:bottom w:val="single" w:sz="4" w:space="0" w:color="auto"/>
              <w:right w:val="single" w:sz="4" w:space="0" w:color="auto"/>
            </w:tcBorders>
            <w:shd w:val="clear" w:color="auto" w:fill="auto"/>
            <w:noWrap/>
            <w:vAlign w:val="center"/>
            <w:hideMark/>
          </w:tcPr>
          <w:p w14:paraId="76484F84" w14:textId="162EA5DD"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808.397.410</w:t>
            </w:r>
          </w:p>
        </w:tc>
        <w:tc>
          <w:tcPr>
            <w:tcW w:w="1142" w:type="dxa"/>
            <w:tcBorders>
              <w:top w:val="nil"/>
              <w:left w:val="nil"/>
              <w:bottom w:val="single" w:sz="4" w:space="0" w:color="auto"/>
              <w:right w:val="single" w:sz="4" w:space="0" w:color="auto"/>
            </w:tcBorders>
            <w:shd w:val="clear" w:color="auto" w:fill="auto"/>
            <w:vAlign w:val="center"/>
            <w:hideMark/>
          </w:tcPr>
          <w:p w14:paraId="4F1F6F8A" w14:textId="1DCEFB7B"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87,23 %</w:t>
            </w:r>
          </w:p>
        </w:tc>
        <w:tc>
          <w:tcPr>
            <w:tcW w:w="1143" w:type="dxa"/>
            <w:tcBorders>
              <w:top w:val="nil"/>
              <w:left w:val="nil"/>
              <w:bottom w:val="single" w:sz="4" w:space="0" w:color="auto"/>
              <w:right w:val="single" w:sz="4" w:space="0" w:color="auto"/>
            </w:tcBorders>
            <w:shd w:val="clear" w:color="auto" w:fill="auto"/>
            <w:vAlign w:val="center"/>
            <w:hideMark/>
          </w:tcPr>
          <w:p w14:paraId="0406F341" w14:textId="1231AD32"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83,04 %</w:t>
            </w:r>
          </w:p>
        </w:tc>
      </w:tr>
      <w:tr w:rsidR="001750C6" w:rsidRPr="001750C6" w14:paraId="2969D5EB" w14:textId="77777777" w:rsidTr="001750C6">
        <w:trPr>
          <w:trHeight w:val="324"/>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C553F3" w14:textId="77777777" w:rsidR="001750C6" w:rsidRPr="001750C6" w:rsidRDefault="001750C6" w:rsidP="001750C6">
            <w:pPr>
              <w:spacing w:after="0" w:line="240" w:lineRule="auto"/>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Infrastrukturno</w:t>
            </w:r>
          </w:p>
        </w:tc>
        <w:tc>
          <w:tcPr>
            <w:tcW w:w="1134" w:type="dxa"/>
            <w:tcBorders>
              <w:top w:val="nil"/>
              <w:left w:val="nil"/>
              <w:bottom w:val="single" w:sz="4" w:space="0" w:color="auto"/>
              <w:right w:val="single" w:sz="4" w:space="0" w:color="auto"/>
            </w:tcBorders>
            <w:shd w:val="clear" w:color="auto" w:fill="auto"/>
            <w:vAlign w:val="center"/>
            <w:hideMark/>
          </w:tcPr>
          <w:p w14:paraId="19328C2A" w14:textId="76FD6AF8"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1.094</w:t>
            </w:r>
          </w:p>
        </w:tc>
        <w:tc>
          <w:tcPr>
            <w:tcW w:w="2418" w:type="dxa"/>
            <w:tcBorders>
              <w:top w:val="nil"/>
              <w:left w:val="nil"/>
              <w:bottom w:val="single" w:sz="4" w:space="0" w:color="auto"/>
              <w:right w:val="single" w:sz="4" w:space="0" w:color="auto"/>
            </w:tcBorders>
            <w:shd w:val="clear" w:color="auto" w:fill="auto"/>
            <w:noWrap/>
            <w:vAlign w:val="center"/>
            <w:hideMark/>
          </w:tcPr>
          <w:p w14:paraId="4337D68A" w14:textId="09CA65B8"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158.580.892</w:t>
            </w:r>
          </w:p>
        </w:tc>
        <w:tc>
          <w:tcPr>
            <w:tcW w:w="1142" w:type="dxa"/>
            <w:tcBorders>
              <w:top w:val="nil"/>
              <w:left w:val="nil"/>
              <w:bottom w:val="single" w:sz="4" w:space="0" w:color="auto"/>
              <w:right w:val="single" w:sz="4" w:space="0" w:color="auto"/>
            </w:tcBorders>
            <w:shd w:val="clear" w:color="auto" w:fill="auto"/>
            <w:vAlign w:val="center"/>
            <w:hideMark/>
          </w:tcPr>
          <w:p w14:paraId="502E3736" w14:textId="7BCE0C7A"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12,39 %</w:t>
            </w:r>
          </w:p>
        </w:tc>
        <w:tc>
          <w:tcPr>
            <w:tcW w:w="1143" w:type="dxa"/>
            <w:tcBorders>
              <w:top w:val="nil"/>
              <w:left w:val="nil"/>
              <w:bottom w:val="single" w:sz="4" w:space="0" w:color="auto"/>
              <w:right w:val="single" w:sz="4" w:space="0" w:color="auto"/>
            </w:tcBorders>
            <w:shd w:val="clear" w:color="auto" w:fill="auto"/>
            <w:vAlign w:val="center"/>
            <w:hideMark/>
          </w:tcPr>
          <w:p w14:paraId="1808EC9C" w14:textId="60646AC6"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16,29 %</w:t>
            </w:r>
          </w:p>
        </w:tc>
      </w:tr>
      <w:tr w:rsidR="001750C6" w:rsidRPr="001750C6" w14:paraId="214307DA" w14:textId="77777777" w:rsidTr="001750C6">
        <w:trPr>
          <w:trHeight w:val="324"/>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406984" w14:textId="77777777" w:rsidR="001750C6" w:rsidRPr="001750C6" w:rsidRDefault="001750C6" w:rsidP="001750C6">
            <w:pPr>
              <w:spacing w:after="0" w:line="240" w:lineRule="auto"/>
              <w:rPr>
                <w:rFonts w:ascii="Arial" w:eastAsia="Times New Roman" w:hAnsi="Arial" w:cs="Arial"/>
                <w:color w:val="000000"/>
                <w:sz w:val="18"/>
                <w:szCs w:val="18"/>
                <w:lang w:eastAsia="sl-SI"/>
              </w:rPr>
            </w:pPr>
            <w:r w:rsidRPr="001750C6">
              <w:rPr>
                <w:rFonts w:ascii="Arial" w:eastAsia="Times New Roman" w:hAnsi="Arial" w:cs="Arial"/>
                <w:color w:val="000000"/>
                <w:sz w:val="18"/>
                <w:szCs w:val="18"/>
                <w:lang w:eastAsia="sl-SI"/>
              </w:rPr>
              <w:t>Obrambno</w:t>
            </w:r>
          </w:p>
        </w:tc>
        <w:tc>
          <w:tcPr>
            <w:tcW w:w="1134" w:type="dxa"/>
            <w:tcBorders>
              <w:top w:val="nil"/>
              <w:left w:val="nil"/>
              <w:bottom w:val="single" w:sz="4" w:space="0" w:color="auto"/>
              <w:right w:val="single" w:sz="4" w:space="0" w:color="auto"/>
            </w:tcBorders>
            <w:shd w:val="clear" w:color="auto" w:fill="auto"/>
            <w:noWrap/>
            <w:vAlign w:val="center"/>
            <w:hideMark/>
          </w:tcPr>
          <w:p w14:paraId="2E1CE24B" w14:textId="782EFBAC"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34</w:t>
            </w:r>
          </w:p>
        </w:tc>
        <w:tc>
          <w:tcPr>
            <w:tcW w:w="2418" w:type="dxa"/>
            <w:tcBorders>
              <w:top w:val="nil"/>
              <w:left w:val="nil"/>
              <w:bottom w:val="single" w:sz="4" w:space="0" w:color="auto"/>
              <w:right w:val="single" w:sz="4" w:space="0" w:color="auto"/>
            </w:tcBorders>
            <w:shd w:val="clear" w:color="auto" w:fill="auto"/>
            <w:noWrap/>
            <w:vAlign w:val="center"/>
            <w:hideMark/>
          </w:tcPr>
          <w:p w14:paraId="25221BF5" w14:textId="07525B0A"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6.495.931</w:t>
            </w:r>
          </w:p>
        </w:tc>
        <w:tc>
          <w:tcPr>
            <w:tcW w:w="1142" w:type="dxa"/>
            <w:tcBorders>
              <w:top w:val="nil"/>
              <w:left w:val="nil"/>
              <w:bottom w:val="single" w:sz="4" w:space="0" w:color="auto"/>
              <w:right w:val="single" w:sz="4" w:space="0" w:color="auto"/>
            </w:tcBorders>
            <w:shd w:val="clear" w:color="auto" w:fill="auto"/>
            <w:vAlign w:val="center"/>
            <w:hideMark/>
          </w:tcPr>
          <w:p w14:paraId="28974F23" w14:textId="34145878"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0,38 %</w:t>
            </w:r>
          </w:p>
        </w:tc>
        <w:tc>
          <w:tcPr>
            <w:tcW w:w="1143" w:type="dxa"/>
            <w:tcBorders>
              <w:top w:val="nil"/>
              <w:left w:val="nil"/>
              <w:bottom w:val="single" w:sz="4" w:space="0" w:color="auto"/>
              <w:right w:val="single" w:sz="4" w:space="0" w:color="auto"/>
            </w:tcBorders>
            <w:shd w:val="clear" w:color="auto" w:fill="auto"/>
            <w:vAlign w:val="center"/>
            <w:hideMark/>
          </w:tcPr>
          <w:p w14:paraId="4FC3AFFB" w14:textId="15CC7BF2" w:rsidR="001750C6" w:rsidRPr="001750C6" w:rsidRDefault="001750C6" w:rsidP="001750C6">
            <w:pPr>
              <w:spacing w:after="0" w:line="240" w:lineRule="auto"/>
              <w:jc w:val="right"/>
              <w:rPr>
                <w:rFonts w:ascii="Arial" w:eastAsia="Times New Roman" w:hAnsi="Arial" w:cs="Arial"/>
                <w:color w:val="000000"/>
                <w:sz w:val="18"/>
                <w:szCs w:val="18"/>
                <w:lang w:eastAsia="sl-SI"/>
              </w:rPr>
            </w:pPr>
            <w:r w:rsidRPr="001750C6">
              <w:rPr>
                <w:rFonts w:ascii="Arial" w:hAnsi="Arial" w:cs="Arial"/>
                <w:sz w:val="18"/>
                <w:szCs w:val="18"/>
              </w:rPr>
              <w:t>0,67 %</w:t>
            </w:r>
          </w:p>
        </w:tc>
      </w:tr>
      <w:tr w:rsidR="001750C6" w:rsidRPr="001750C6" w14:paraId="6F481E5A" w14:textId="77777777" w:rsidTr="00680FDE">
        <w:trPr>
          <w:trHeight w:val="309"/>
          <w:jc w:val="center"/>
        </w:trPr>
        <w:tc>
          <w:tcPr>
            <w:tcW w:w="130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390FD9B" w14:textId="77777777" w:rsidR="001750C6" w:rsidRPr="001750C6" w:rsidRDefault="001750C6" w:rsidP="001750C6">
            <w:pPr>
              <w:spacing w:after="0" w:line="240" w:lineRule="auto"/>
              <w:rPr>
                <w:rFonts w:ascii="Arial" w:eastAsia="Times New Roman" w:hAnsi="Arial" w:cs="Arial"/>
                <w:b/>
                <w:bCs/>
                <w:color w:val="000000"/>
                <w:sz w:val="18"/>
                <w:szCs w:val="18"/>
                <w:lang w:eastAsia="sl-SI"/>
              </w:rPr>
            </w:pPr>
            <w:r w:rsidRPr="001750C6">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E7E6E6" w:themeFill="background2"/>
            <w:noWrap/>
            <w:vAlign w:val="center"/>
            <w:hideMark/>
          </w:tcPr>
          <w:p w14:paraId="0C5DDAC2" w14:textId="014F5F16" w:rsidR="001750C6" w:rsidRPr="001750C6" w:rsidRDefault="001750C6" w:rsidP="001750C6">
            <w:pPr>
              <w:spacing w:after="0" w:line="240" w:lineRule="auto"/>
              <w:jc w:val="right"/>
              <w:rPr>
                <w:rFonts w:ascii="Arial" w:eastAsia="Times New Roman" w:hAnsi="Arial" w:cs="Arial"/>
                <w:b/>
                <w:bCs/>
                <w:color w:val="000000"/>
                <w:sz w:val="18"/>
                <w:szCs w:val="18"/>
                <w:lang w:eastAsia="sl-SI"/>
              </w:rPr>
            </w:pPr>
            <w:r w:rsidRPr="001750C6">
              <w:rPr>
                <w:rFonts w:ascii="Arial" w:hAnsi="Arial" w:cs="Arial"/>
                <w:b/>
                <w:sz w:val="18"/>
                <w:szCs w:val="18"/>
              </w:rPr>
              <w:t>8.832</w:t>
            </w:r>
          </w:p>
        </w:tc>
        <w:tc>
          <w:tcPr>
            <w:tcW w:w="2418" w:type="dxa"/>
            <w:tcBorders>
              <w:top w:val="nil"/>
              <w:left w:val="nil"/>
              <w:bottom w:val="single" w:sz="4" w:space="0" w:color="auto"/>
              <w:right w:val="single" w:sz="4" w:space="0" w:color="auto"/>
            </w:tcBorders>
            <w:shd w:val="clear" w:color="auto" w:fill="E7E6E6" w:themeFill="background2"/>
            <w:noWrap/>
            <w:vAlign w:val="center"/>
            <w:hideMark/>
          </w:tcPr>
          <w:p w14:paraId="079E07D7" w14:textId="529E975C" w:rsidR="001750C6" w:rsidRPr="001750C6" w:rsidRDefault="001750C6" w:rsidP="001750C6">
            <w:pPr>
              <w:spacing w:after="0" w:line="240" w:lineRule="auto"/>
              <w:jc w:val="right"/>
              <w:rPr>
                <w:rFonts w:ascii="Arial" w:eastAsia="Times New Roman" w:hAnsi="Arial" w:cs="Arial"/>
                <w:b/>
                <w:bCs/>
                <w:color w:val="000000"/>
                <w:sz w:val="18"/>
                <w:szCs w:val="18"/>
                <w:lang w:eastAsia="sl-SI"/>
              </w:rPr>
            </w:pPr>
            <w:r w:rsidRPr="001750C6">
              <w:rPr>
                <w:rFonts w:ascii="Arial" w:hAnsi="Arial" w:cs="Arial"/>
                <w:b/>
                <w:sz w:val="18"/>
                <w:szCs w:val="18"/>
              </w:rPr>
              <w:t>973.474.233</w:t>
            </w:r>
          </w:p>
        </w:tc>
        <w:tc>
          <w:tcPr>
            <w:tcW w:w="1142" w:type="dxa"/>
            <w:tcBorders>
              <w:top w:val="nil"/>
              <w:left w:val="nil"/>
              <w:bottom w:val="single" w:sz="4" w:space="0" w:color="auto"/>
              <w:right w:val="single" w:sz="4" w:space="0" w:color="auto"/>
            </w:tcBorders>
            <w:shd w:val="clear" w:color="auto" w:fill="E7E6E6" w:themeFill="background2"/>
            <w:vAlign w:val="center"/>
            <w:hideMark/>
          </w:tcPr>
          <w:p w14:paraId="549F81E5" w14:textId="19D13D2B" w:rsidR="001750C6" w:rsidRPr="001750C6" w:rsidRDefault="001750C6" w:rsidP="001750C6">
            <w:pPr>
              <w:spacing w:after="0" w:line="240" w:lineRule="auto"/>
              <w:jc w:val="right"/>
              <w:rPr>
                <w:rFonts w:ascii="Arial" w:eastAsia="Times New Roman" w:hAnsi="Arial" w:cs="Arial"/>
                <w:b/>
                <w:bCs/>
                <w:color w:val="000000"/>
                <w:sz w:val="18"/>
                <w:szCs w:val="18"/>
                <w:lang w:eastAsia="sl-SI"/>
              </w:rPr>
            </w:pPr>
            <w:r w:rsidRPr="001750C6">
              <w:rPr>
                <w:rFonts w:ascii="Arial" w:hAnsi="Arial" w:cs="Arial"/>
                <w:b/>
                <w:sz w:val="18"/>
                <w:szCs w:val="18"/>
              </w:rPr>
              <w:t>100,00 %</w:t>
            </w:r>
          </w:p>
        </w:tc>
        <w:tc>
          <w:tcPr>
            <w:tcW w:w="1143" w:type="dxa"/>
            <w:tcBorders>
              <w:top w:val="nil"/>
              <w:left w:val="nil"/>
              <w:bottom w:val="single" w:sz="4" w:space="0" w:color="auto"/>
              <w:right w:val="single" w:sz="4" w:space="0" w:color="auto"/>
            </w:tcBorders>
            <w:shd w:val="clear" w:color="auto" w:fill="E7E6E6" w:themeFill="background2"/>
            <w:vAlign w:val="center"/>
            <w:hideMark/>
          </w:tcPr>
          <w:p w14:paraId="06471047" w14:textId="0A92C9BB" w:rsidR="001750C6" w:rsidRPr="001750C6" w:rsidRDefault="001750C6" w:rsidP="001750C6">
            <w:pPr>
              <w:spacing w:after="0" w:line="240" w:lineRule="auto"/>
              <w:jc w:val="right"/>
              <w:rPr>
                <w:rFonts w:ascii="Arial" w:eastAsia="Times New Roman" w:hAnsi="Arial" w:cs="Arial"/>
                <w:b/>
                <w:bCs/>
                <w:color w:val="000000"/>
                <w:sz w:val="18"/>
                <w:szCs w:val="18"/>
                <w:lang w:eastAsia="sl-SI"/>
              </w:rPr>
            </w:pPr>
            <w:r w:rsidRPr="001750C6">
              <w:rPr>
                <w:rFonts w:ascii="Arial" w:hAnsi="Arial" w:cs="Arial"/>
                <w:b/>
                <w:sz w:val="18"/>
                <w:szCs w:val="18"/>
              </w:rPr>
              <w:t>100,00 %</w:t>
            </w:r>
          </w:p>
        </w:tc>
      </w:tr>
    </w:tbl>
    <w:p w14:paraId="487BB204" w14:textId="71682DE5" w:rsidR="00A83A44" w:rsidRPr="001750C6" w:rsidRDefault="00A83A44" w:rsidP="00A83A44">
      <w:pPr>
        <w:pStyle w:val="ZADEVA"/>
        <w:jc w:val="both"/>
        <w:rPr>
          <w:rFonts w:cs="Arial"/>
          <w:b w:val="0"/>
          <w:szCs w:val="20"/>
          <w:lang w:val="sl-SI"/>
        </w:rPr>
      </w:pPr>
    </w:p>
    <w:p w14:paraId="2EC286B6" w14:textId="401D226F" w:rsidR="00D05AA7" w:rsidRPr="001750C6" w:rsidRDefault="00D05AA7" w:rsidP="00701C10">
      <w:pPr>
        <w:spacing w:after="240" w:line="240" w:lineRule="auto"/>
        <w:jc w:val="center"/>
        <w:rPr>
          <w:rFonts w:ascii="Arial" w:hAnsi="Arial" w:cs="Arial"/>
          <w:sz w:val="18"/>
        </w:rPr>
      </w:pPr>
      <w:r w:rsidRPr="001750C6">
        <w:rPr>
          <w:rFonts w:ascii="Arial" w:hAnsi="Arial" w:cs="Arial"/>
          <w:sz w:val="18"/>
        </w:rPr>
        <w:t>Vir: Statistični podatki o javnih naročilih, oddanih v let</w:t>
      </w:r>
      <w:r w:rsidR="008D541C" w:rsidRPr="001750C6">
        <w:rPr>
          <w:rFonts w:ascii="Arial" w:hAnsi="Arial" w:cs="Arial"/>
          <w:sz w:val="18"/>
        </w:rPr>
        <w:t>u 20</w:t>
      </w:r>
      <w:r w:rsidR="008525F2" w:rsidRPr="001750C6">
        <w:rPr>
          <w:rFonts w:ascii="Arial" w:hAnsi="Arial" w:cs="Arial"/>
          <w:sz w:val="18"/>
        </w:rPr>
        <w:t>1</w:t>
      </w:r>
      <w:r w:rsidR="003F74BC" w:rsidRPr="001750C6">
        <w:rPr>
          <w:rFonts w:ascii="Arial" w:hAnsi="Arial" w:cs="Arial"/>
          <w:sz w:val="18"/>
        </w:rPr>
        <w:t>8</w:t>
      </w:r>
    </w:p>
    <w:p w14:paraId="44B5920B" w14:textId="77777777" w:rsidR="00A83A44" w:rsidRPr="00EF2D0B" w:rsidRDefault="00A83A44" w:rsidP="00A83A44">
      <w:pPr>
        <w:pStyle w:val="ZADEVA"/>
        <w:jc w:val="both"/>
        <w:rPr>
          <w:rFonts w:cs="Arial"/>
          <w:b w:val="0"/>
          <w:szCs w:val="20"/>
          <w:highlight w:val="yellow"/>
          <w:lang w:val="sl-SI"/>
        </w:rPr>
      </w:pPr>
    </w:p>
    <w:p w14:paraId="1AC7A8EF" w14:textId="77777777" w:rsidR="007F1388" w:rsidRDefault="007F1388">
      <w:pPr>
        <w:rPr>
          <w:rFonts w:ascii="Arial" w:eastAsiaTheme="majorEastAsia" w:hAnsi="Arial" w:cs="Arial"/>
          <w:color w:val="1F3763" w:themeColor="accent1" w:themeShade="7F"/>
        </w:rPr>
      </w:pPr>
      <w:r>
        <w:rPr>
          <w:rFonts w:ascii="Arial" w:hAnsi="Arial" w:cs="Arial"/>
        </w:rPr>
        <w:br w:type="page"/>
      </w:r>
    </w:p>
    <w:p w14:paraId="6EE42036" w14:textId="1559380B" w:rsidR="001409E3" w:rsidRPr="009830B6" w:rsidRDefault="001409E3" w:rsidP="001409E3">
      <w:pPr>
        <w:pStyle w:val="Naslov3"/>
        <w:rPr>
          <w:rFonts w:ascii="Arial" w:hAnsi="Arial" w:cs="Arial"/>
          <w:sz w:val="22"/>
          <w:szCs w:val="22"/>
        </w:rPr>
      </w:pPr>
      <w:bookmarkStart w:id="10" w:name="_Toc17114048"/>
      <w:r w:rsidRPr="009830B6">
        <w:rPr>
          <w:rFonts w:ascii="Arial" w:hAnsi="Arial" w:cs="Arial"/>
          <w:sz w:val="22"/>
          <w:szCs w:val="22"/>
        </w:rPr>
        <w:lastRenderedPageBreak/>
        <w:t>2.2.2 Naročila, objavljena na portalu ja</w:t>
      </w:r>
      <w:r w:rsidR="00B83352" w:rsidRPr="009830B6">
        <w:rPr>
          <w:rFonts w:ascii="Arial" w:hAnsi="Arial" w:cs="Arial"/>
          <w:sz w:val="22"/>
          <w:szCs w:val="22"/>
        </w:rPr>
        <w:t>vnih naročil in v Uradnem listu Evropske unije</w:t>
      </w:r>
      <w:bookmarkEnd w:id="10"/>
    </w:p>
    <w:p w14:paraId="40B4AFBA" w14:textId="77777777" w:rsidR="00854405" w:rsidRPr="009830B6" w:rsidRDefault="00854405" w:rsidP="00854405">
      <w:pPr>
        <w:pStyle w:val="ZADEVA"/>
        <w:jc w:val="both"/>
        <w:rPr>
          <w:rFonts w:cs="Arial"/>
          <w:b w:val="0"/>
          <w:szCs w:val="20"/>
          <w:lang w:val="sl-SI"/>
        </w:rPr>
      </w:pPr>
    </w:p>
    <w:p w14:paraId="330C303B" w14:textId="200365DC" w:rsidR="00C00704" w:rsidRPr="009830B6" w:rsidRDefault="00C00704" w:rsidP="00C00704">
      <w:pPr>
        <w:tabs>
          <w:tab w:val="left" w:pos="567"/>
          <w:tab w:val="left" w:pos="993"/>
        </w:tabs>
        <w:spacing w:line="360" w:lineRule="auto"/>
        <w:jc w:val="both"/>
        <w:rPr>
          <w:rFonts w:ascii="Arial" w:hAnsi="Arial" w:cs="Arial"/>
          <w:bCs/>
          <w:sz w:val="20"/>
          <w:szCs w:val="20"/>
        </w:rPr>
      </w:pPr>
      <w:r w:rsidRPr="009830B6">
        <w:rPr>
          <w:rFonts w:ascii="Arial" w:hAnsi="Arial" w:cs="Arial"/>
          <w:bCs/>
          <w:sz w:val="20"/>
          <w:szCs w:val="20"/>
        </w:rPr>
        <w:t xml:space="preserve">Med naročili, ki so jih naročniki </w:t>
      </w:r>
      <w:r w:rsidR="00EC1BBF" w:rsidRPr="009830B6">
        <w:rPr>
          <w:rFonts w:ascii="Arial" w:hAnsi="Arial" w:cs="Arial"/>
          <w:bCs/>
          <w:sz w:val="20"/>
          <w:szCs w:val="20"/>
        </w:rPr>
        <w:t>let</w:t>
      </w:r>
      <w:r w:rsidR="00EC1BBF">
        <w:rPr>
          <w:rFonts w:ascii="Arial" w:hAnsi="Arial" w:cs="Arial"/>
          <w:bCs/>
          <w:sz w:val="20"/>
          <w:szCs w:val="20"/>
        </w:rPr>
        <w:t>a</w:t>
      </w:r>
      <w:r w:rsidR="00EC1BBF" w:rsidRPr="009830B6">
        <w:rPr>
          <w:rFonts w:ascii="Arial" w:hAnsi="Arial" w:cs="Arial"/>
          <w:bCs/>
          <w:sz w:val="20"/>
          <w:szCs w:val="20"/>
        </w:rPr>
        <w:t xml:space="preserve"> </w:t>
      </w:r>
      <w:r w:rsidRPr="009830B6">
        <w:rPr>
          <w:rFonts w:ascii="Arial" w:hAnsi="Arial" w:cs="Arial"/>
          <w:bCs/>
          <w:sz w:val="20"/>
          <w:szCs w:val="20"/>
        </w:rPr>
        <w:t>201</w:t>
      </w:r>
      <w:r w:rsidR="008B1E31" w:rsidRPr="009830B6">
        <w:rPr>
          <w:rFonts w:ascii="Arial" w:hAnsi="Arial" w:cs="Arial"/>
          <w:bCs/>
          <w:sz w:val="20"/>
          <w:szCs w:val="20"/>
        </w:rPr>
        <w:t>8</w:t>
      </w:r>
      <w:r w:rsidRPr="009830B6">
        <w:rPr>
          <w:rFonts w:ascii="Arial" w:hAnsi="Arial" w:cs="Arial"/>
          <w:bCs/>
          <w:sz w:val="20"/>
          <w:szCs w:val="20"/>
        </w:rPr>
        <w:t xml:space="preserve"> objavili na portalu javnih naročil in v Uradnem listu Evropske unije, prevladujejo naročila blaga, ki številčno </w:t>
      </w:r>
      <w:r w:rsidR="00EC1BBF">
        <w:rPr>
          <w:rFonts w:ascii="Arial" w:hAnsi="Arial" w:cs="Arial"/>
          <w:bCs/>
          <w:sz w:val="20"/>
          <w:szCs w:val="20"/>
        </w:rPr>
        <w:t>pomenijo</w:t>
      </w:r>
      <w:r w:rsidR="00EC1BBF" w:rsidRPr="009830B6">
        <w:rPr>
          <w:rFonts w:ascii="Arial" w:hAnsi="Arial" w:cs="Arial"/>
          <w:bCs/>
          <w:sz w:val="20"/>
          <w:szCs w:val="20"/>
        </w:rPr>
        <w:t xml:space="preserve"> </w:t>
      </w:r>
      <w:r w:rsidR="00515569" w:rsidRPr="009830B6">
        <w:rPr>
          <w:rFonts w:ascii="Arial" w:hAnsi="Arial" w:cs="Arial"/>
          <w:bCs/>
          <w:sz w:val="20"/>
          <w:szCs w:val="20"/>
        </w:rPr>
        <w:t>81,17</w:t>
      </w:r>
      <w:r w:rsidRPr="009830B6">
        <w:rPr>
          <w:rFonts w:ascii="Arial" w:hAnsi="Arial" w:cs="Arial"/>
          <w:bCs/>
          <w:sz w:val="20"/>
          <w:szCs w:val="20"/>
        </w:rPr>
        <w:t xml:space="preserve"> % vseh objavljenih naročil, vrednostno pa </w:t>
      </w:r>
      <w:r w:rsidR="00515569" w:rsidRPr="009830B6">
        <w:rPr>
          <w:rFonts w:ascii="Arial" w:hAnsi="Arial" w:cs="Arial"/>
          <w:bCs/>
          <w:sz w:val="20"/>
          <w:szCs w:val="20"/>
        </w:rPr>
        <w:t>53,06</w:t>
      </w:r>
      <w:r w:rsidRPr="009830B6">
        <w:rPr>
          <w:rFonts w:ascii="Arial" w:hAnsi="Arial" w:cs="Arial"/>
          <w:bCs/>
          <w:sz w:val="20"/>
          <w:szCs w:val="20"/>
        </w:rPr>
        <w:t xml:space="preserve"> %. </w:t>
      </w:r>
    </w:p>
    <w:p w14:paraId="18BFAF95" w14:textId="0331DE8E" w:rsidR="008E7664" w:rsidRPr="00A20C47" w:rsidRDefault="00C00704" w:rsidP="008D541C">
      <w:pPr>
        <w:tabs>
          <w:tab w:val="left" w:pos="567"/>
          <w:tab w:val="left" w:pos="993"/>
        </w:tabs>
        <w:spacing w:line="360" w:lineRule="auto"/>
        <w:jc w:val="both"/>
        <w:rPr>
          <w:rFonts w:ascii="Arial" w:hAnsi="Arial" w:cs="Arial"/>
          <w:bCs/>
          <w:sz w:val="20"/>
          <w:szCs w:val="20"/>
        </w:rPr>
      </w:pPr>
      <w:r w:rsidRPr="00A20C47">
        <w:rPr>
          <w:rFonts w:ascii="Arial" w:hAnsi="Arial" w:cs="Arial"/>
          <w:bCs/>
          <w:sz w:val="20"/>
          <w:szCs w:val="20"/>
        </w:rPr>
        <w:t>V</w:t>
      </w:r>
      <w:r w:rsidR="00AA7070" w:rsidRPr="00A20C47">
        <w:rPr>
          <w:rFonts w:ascii="Arial" w:hAnsi="Arial" w:cs="Arial"/>
          <w:bCs/>
          <w:sz w:val="20"/>
          <w:szCs w:val="20"/>
        </w:rPr>
        <w:t>ečina</w:t>
      </w:r>
      <w:r w:rsidRPr="00A20C47">
        <w:rPr>
          <w:rFonts w:ascii="Arial" w:hAnsi="Arial" w:cs="Arial"/>
          <w:bCs/>
          <w:sz w:val="20"/>
          <w:szCs w:val="20"/>
        </w:rPr>
        <w:t xml:space="preserve"> naročil, ki so jih naročniki let</w:t>
      </w:r>
      <w:r w:rsidR="00EC1BBF">
        <w:rPr>
          <w:rFonts w:ascii="Arial" w:hAnsi="Arial" w:cs="Arial"/>
          <w:bCs/>
          <w:sz w:val="20"/>
          <w:szCs w:val="20"/>
        </w:rPr>
        <w:t>a</w:t>
      </w:r>
      <w:r w:rsidRPr="00A20C47">
        <w:rPr>
          <w:rFonts w:ascii="Arial" w:hAnsi="Arial" w:cs="Arial"/>
          <w:bCs/>
          <w:sz w:val="20"/>
          <w:szCs w:val="20"/>
        </w:rPr>
        <w:t xml:space="preserve"> 201</w:t>
      </w:r>
      <w:r w:rsidR="00E31395">
        <w:rPr>
          <w:rFonts w:ascii="Arial" w:hAnsi="Arial" w:cs="Arial"/>
          <w:bCs/>
          <w:sz w:val="20"/>
          <w:szCs w:val="20"/>
        </w:rPr>
        <w:t>8</w:t>
      </w:r>
      <w:r w:rsidRPr="00A20C47">
        <w:rPr>
          <w:rFonts w:ascii="Arial" w:hAnsi="Arial" w:cs="Arial"/>
          <w:bCs/>
          <w:sz w:val="20"/>
          <w:szCs w:val="20"/>
        </w:rPr>
        <w:t xml:space="preserve"> objavili na portalu javnih naročil in v Uradnem listu Evropske unije, je bila </w:t>
      </w:r>
      <w:r w:rsidR="00C44197" w:rsidRPr="00A20C47">
        <w:rPr>
          <w:rFonts w:ascii="Arial" w:hAnsi="Arial" w:cs="Arial"/>
          <w:bCs/>
          <w:sz w:val="20"/>
          <w:szCs w:val="20"/>
        </w:rPr>
        <w:t>s</w:t>
      </w:r>
      <w:r w:rsidRPr="00A20C47">
        <w:rPr>
          <w:rFonts w:ascii="Arial" w:hAnsi="Arial" w:cs="Arial"/>
          <w:bCs/>
          <w:sz w:val="20"/>
          <w:szCs w:val="20"/>
        </w:rPr>
        <w:t xml:space="preserve"> splošne</w:t>
      </w:r>
      <w:r w:rsidR="00C44197" w:rsidRPr="00A20C47">
        <w:rPr>
          <w:rFonts w:ascii="Arial" w:hAnsi="Arial" w:cs="Arial"/>
          <w:bCs/>
          <w:sz w:val="20"/>
          <w:szCs w:val="20"/>
        </w:rPr>
        <w:t>ga</w:t>
      </w:r>
      <w:r w:rsidRPr="00A20C47">
        <w:rPr>
          <w:rFonts w:ascii="Arial" w:hAnsi="Arial" w:cs="Arial"/>
          <w:bCs/>
          <w:sz w:val="20"/>
          <w:szCs w:val="20"/>
        </w:rPr>
        <w:t xml:space="preserve"> področj</w:t>
      </w:r>
      <w:r w:rsidR="00C44197" w:rsidRPr="00A20C47">
        <w:rPr>
          <w:rFonts w:ascii="Arial" w:hAnsi="Arial" w:cs="Arial"/>
          <w:bCs/>
          <w:sz w:val="20"/>
          <w:szCs w:val="20"/>
        </w:rPr>
        <w:t>a</w:t>
      </w:r>
      <w:r w:rsidRPr="00A20C47">
        <w:rPr>
          <w:rFonts w:ascii="Arial" w:hAnsi="Arial" w:cs="Arial"/>
          <w:bCs/>
          <w:sz w:val="20"/>
          <w:szCs w:val="20"/>
        </w:rPr>
        <w:t xml:space="preserve">. V skupnem številu objavljenih naročil </w:t>
      </w:r>
      <w:r w:rsidR="00EC1BBF">
        <w:rPr>
          <w:rFonts w:ascii="Arial" w:hAnsi="Arial" w:cs="Arial"/>
          <w:bCs/>
          <w:sz w:val="20"/>
          <w:szCs w:val="20"/>
        </w:rPr>
        <w:t>pomenijo</w:t>
      </w:r>
      <w:r w:rsidR="00EC1BBF" w:rsidRPr="00A20C47">
        <w:rPr>
          <w:rFonts w:ascii="Arial" w:hAnsi="Arial" w:cs="Arial"/>
          <w:bCs/>
          <w:sz w:val="20"/>
          <w:szCs w:val="20"/>
        </w:rPr>
        <w:t xml:space="preserve"> </w:t>
      </w:r>
      <w:r w:rsidR="00183ED8" w:rsidRPr="00A20C47">
        <w:rPr>
          <w:rFonts w:ascii="Arial" w:hAnsi="Arial" w:cs="Arial"/>
          <w:bCs/>
          <w:sz w:val="20"/>
          <w:szCs w:val="20"/>
        </w:rPr>
        <w:t>93,35</w:t>
      </w:r>
      <w:r w:rsidR="00102794" w:rsidRPr="00A20C47">
        <w:rPr>
          <w:rFonts w:ascii="Arial" w:hAnsi="Arial" w:cs="Arial"/>
          <w:bCs/>
          <w:sz w:val="20"/>
          <w:szCs w:val="20"/>
        </w:rPr>
        <w:t xml:space="preserve"> </w:t>
      </w:r>
      <w:r w:rsidRPr="00A20C47">
        <w:rPr>
          <w:rFonts w:ascii="Arial" w:hAnsi="Arial" w:cs="Arial"/>
          <w:bCs/>
          <w:sz w:val="20"/>
          <w:szCs w:val="20"/>
        </w:rPr>
        <w:t>%, vredn</w:t>
      </w:r>
      <w:r w:rsidR="00C44197" w:rsidRPr="00A20C47">
        <w:rPr>
          <w:rFonts w:ascii="Arial" w:hAnsi="Arial" w:cs="Arial"/>
          <w:bCs/>
          <w:sz w:val="20"/>
          <w:szCs w:val="20"/>
        </w:rPr>
        <w:t>os</w:t>
      </w:r>
      <w:r w:rsidRPr="00A20C47">
        <w:rPr>
          <w:rFonts w:ascii="Arial" w:hAnsi="Arial" w:cs="Arial"/>
          <w:bCs/>
          <w:sz w:val="20"/>
          <w:szCs w:val="20"/>
        </w:rPr>
        <w:t xml:space="preserve">tno pa </w:t>
      </w:r>
      <w:r w:rsidR="00183ED8" w:rsidRPr="00A20C47">
        <w:rPr>
          <w:rFonts w:ascii="Arial" w:hAnsi="Arial" w:cs="Arial"/>
          <w:bCs/>
          <w:sz w:val="20"/>
          <w:szCs w:val="20"/>
        </w:rPr>
        <w:t>74,79</w:t>
      </w:r>
      <w:r w:rsidRPr="00A20C47">
        <w:rPr>
          <w:rFonts w:ascii="Arial" w:hAnsi="Arial" w:cs="Arial"/>
          <w:bCs/>
          <w:sz w:val="20"/>
          <w:szCs w:val="20"/>
        </w:rPr>
        <w:t xml:space="preserve"> %. </w:t>
      </w:r>
      <w:r w:rsidR="0078692D" w:rsidRPr="00A20C47">
        <w:rPr>
          <w:rFonts w:ascii="Arial" w:hAnsi="Arial" w:cs="Arial"/>
          <w:bCs/>
          <w:sz w:val="20"/>
          <w:szCs w:val="20"/>
        </w:rPr>
        <w:t xml:space="preserve"> </w:t>
      </w:r>
    </w:p>
    <w:p w14:paraId="17FED4CB" w14:textId="05DDF688" w:rsidR="008D541C" w:rsidRPr="00F31CDB" w:rsidRDefault="008D541C" w:rsidP="008A61FD">
      <w:pPr>
        <w:spacing w:before="120" w:after="120" w:line="240" w:lineRule="auto"/>
        <w:jc w:val="both"/>
        <w:rPr>
          <w:rFonts w:ascii="Arial" w:hAnsi="Arial" w:cs="Arial"/>
          <w:sz w:val="20"/>
        </w:rPr>
      </w:pPr>
      <w:r w:rsidRPr="00F31CDB">
        <w:rPr>
          <w:rFonts w:ascii="Arial" w:hAnsi="Arial" w:cs="Arial"/>
          <w:sz w:val="20"/>
        </w:rPr>
        <w:t xml:space="preserve">Preglednica </w:t>
      </w:r>
      <w:r w:rsidR="00EB4423">
        <w:rPr>
          <w:rFonts w:ascii="Arial" w:hAnsi="Arial" w:cs="Arial"/>
          <w:sz w:val="20"/>
        </w:rPr>
        <w:t>6</w:t>
      </w:r>
      <w:r w:rsidRPr="00F31CDB">
        <w:rPr>
          <w:rFonts w:ascii="Arial" w:hAnsi="Arial" w:cs="Arial"/>
          <w:sz w:val="20"/>
        </w:rPr>
        <w:t xml:space="preserve">: Vrednost, število in deleži javnih naročil, objavljenih </w:t>
      </w:r>
      <w:r w:rsidR="00BB70C3" w:rsidRPr="00F31CDB">
        <w:rPr>
          <w:rFonts w:ascii="Arial" w:hAnsi="Arial" w:cs="Arial"/>
          <w:sz w:val="20"/>
        </w:rPr>
        <w:t xml:space="preserve">na </w:t>
      </w:r>
      <w:r w:rsidR="00E61134" w:rsidRPr="00F31CDB">
        <w:rPr>
          <w:rFonts w:ascii="Arial" w:hAnsi="Arial" w:cs="Arial"/>
          <w:sz w:val="20"/>
        </w:rPr>
        <w:t xml:space="preserve">portalu javnih naročil in v </w:t>
      </w:r>
      <w:r w:rsidR="002B7C52" w:rsidRPr="00F31CDB">
        <w:rPr>
          <w:rFonts w:ascii="Arial" w:hAnsi="Arial" w:cs="Arial"/>
          <w:sz w:val="20"/>
        </w:rPr>
        <w:t>U</w:t>
      </w:r>
      <w:r w:rsidR="00E61134" w:rsidRPr="00F31CDB">
        <w:rPr>
          <w:rFonts w:ascii="Arial" w:hAnsi="Arial" w:cs="Arial"/>
          <w:sz w:val="20"/>
        </w:rPr>
        <w:t>radnem listu Evropske unije, po področj</w:t>
      </w:r>
      <w:r w:rsidR="00116B76" w:rsidRPr="00F31CDB">
        <w:rPr>
          <w:rFonts w:ascii="Arial" w:hAnsi="Arial" w:cs="Arial"/>
          <w:sz w:val="20"/>
        </w:rPr>
        <w:t>ih</w:t>
      </w:r>
      <w:r w:rsidR="00E61134" w:rsidRPr="00F31CDB">
        <w:rPr>
          <w:rFonts w:ascii="Arial" w:hAnsi="Arial" w:cs="Arial"/>
          <w:sz w:val="20"/>
        </w:rPr>
        <w:t xml:space="preserve"> in predmet</w:t>
      </w:r>
      <w:r w:rsidR="00116B76" w:rsidRPr="00F31CDB">
        <w:rPr>
          <w:rFonts w:ascii="Arial" w:hAnsi="Arial" w:cs="Arial"/>
          <w:sz w:val="20"/>
        </w:rPr>
        <w:t>ih</w:t>
      </w:r>
      <w:r w:rsidR="00E61134" w:rsidRPr="00F31CDB">
        <w:rPr>
          <w:rFonts w:ascii="Arial" w:hAnsi="Arial" w:cs="Arial"/>
          <w:sz w:val="20"/>
        </w:rPr>
        <w:t xml:space="preserve"> naročanja</w:t>
      </w:r>
    </w:p>
    <w:tbl>
      <w:tblPr>
        <w:tblW w:w="9129" w:type="dxa"/>
        <w:tblInd w:w="70" w:type="dxa"/>
        <w:tblCellMar>
          <w:left w:w="70" w:type="dxa"/>
          <w:right w:w="70" w:type="dxa"/>
        </w:tblCellMar>
        <w:tblLook w:val="04A0" w:firstRow="1" w:lastRow="0" w:firstColumn="1" w:lastColumn="0" w:noHBand="0" w:noVBand="1"/>
      </w:tblPr>
      <w:tblGrid>
        <w:gridCol w:w="1301"/>
        <w:gridCol w:w="881"/>
        <w:gridCol w:w="980"/>
        <w:gridCol w:w="1432"/>
        <w:gridCol w:w="1133"/>
        <w:gridCol w:w="1134"/>
        <w:gridCol w:w="1134"/>
        <w:gridCol w:w="1134"/>
      </w:tblGrid>
      <w:tr w:rsidR="00BB70C3" w:rsidRPr="00F31CDB" w14:paraId="35DA941D" w14:textId="77777777" w:rsidTr="009C26D8">
        <w:trPr>
          <w:trHeight w:val="1200"/>
        </w:trPr>
        <w:tc>
          <w:tcPr>
            <w:tcW w:w="13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FBD0C5B" w14:textId="073B358E"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Področje</w:t>
            </w:r>
          </w:p>
        </w:tc>
        <w:tc>
          <w:tcPr>
            <w:tcW w:w="88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28FCA70" w14:textId="7FAA6B97"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 xml:space="preserve">Predmet </w:t>
            </w:r>
          </w:p>
        </w:tc>
        <w:tc>
          <w:tcPr>
            <w:tcW w:w="9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155FA2F" w14:textId="46B7FECA"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A6BD291" w14:textId="476B73BD"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Pogodbena vrednost</w:t>
            </w:r>
          </w:p>
        </w:tc>
        <w:tc>
          <w:tcPr>
            <w:tcW w:w="113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579B0F5" w14:textId="67872ED1"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Delež v št. naročil na vseh področjih</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8868E42" w14:textId="08C9FB68"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Delež v vrednosti na vseh področjih</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D0C38FE" w14:textId="17D3C970"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Delež v št. naročil na istem področju</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8F338E5" w14:textId="1449EAF8" w:rsidR="00BB70C3" w:rsidRPr="00F31CDB" w:rsidRDefault="00BB70C3" w:rsidP="00BB70C3">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Delež v vrednosti na istem področju</w:t>
            </w:r>
          </w:p>
        </w:tc>
      </w:tr>
      <w:tr w:rsidR="00F31CDB" w:rsidRPr="00F31CDB" w14:paraId="56B72BF9" w14:textId="77777777" w:rsidTr="00F31CDB">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1D70FE18" w14:textId="77777777" w:rsidR="00F31CDB" w:rsidRPr="00F31CDB" w:rsidRDefault="00F31CDB" w:rsidP="00F31CDB">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Splošno</w:t>
            </w:r>
          </w:p>
        </w:tc>
        <w:tc>
          <w:tcPr>
            <w:tcW w:w="881" w:type="dxa"/>
            <w:tcBorders>
              <w:top w:val="nil"/>
              <w:left w:val="nil"/>
              <w:bottom w:val="single" w:sz="4" w:space="0" w:color="auto"/>
              <w:right w:val="single" w:sz="4" w:space="0" w:color="auto"/>
            </w:tcBorders>
            <w:shd w:val="clear" w:color="auto" w:fill="auto"/>
            <w:vAlign w:val="center"/>
            <w:hideMark/>
          </w:tcPr>
          <w:p w14:paraId="12D0A53B" w14:textId="68AE5150"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Blago</w:t>
            </w:r>
          </w:p>
        </w:tc>
        <w:tc>
          <w:tcPr>
            <w:tcW w:w="980" w:type="dxa"/>
            <w:tcBorders>
              <w:top w:val="nil"/>
              <w:left w:val="nil"/>
              <w:bottom w:val="single" w:sz="4" w:space="0" w:color="auto"/>
              <w:right w:val="single" w:sz="4" w:space="0" w:color="auto"/>
            </w:tcBorders>
            <w:shd w:val="clear" w:color="auto" w:fill="auto"/>
            <w:vAlign w:val="center"/>
          </w:tcPr>
          <w:p w14:paraId="695F78FC" w14:textId="0AA8889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6.212</w:t>
            </w:r>
          </w:p>
        </w:tc>
        <w:tc>
          <w:tcPr>
            <w:tcW w:w="1432" w:type="dxa"/>
            <w:tcBorders>
              <w:top w:val="nil"/>
              <w:left w:val="nil"/>
              <w:bottom w:val="single" w:sz="4" w:space="0" w:color="auto"/>
              <w:right w:val="single" w:sz="4" w:space="0" w:color="auto"/>
            </w:tcBorders>
            <w:shd w:val="clear" w:color="auto" w:fill="auto"/>
            <w:vAlign w:val="center"/>
          </w:tcPr>
          <w:p w14:paraId="0EB1505D" w14:textId="555B8B12"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781.547.690</w:t>
            </w:r>
          </w:p>
        </w:tc>
        <w:tc>
          <w:tcPr>
            <w:tcW w:w="1133" w:type="dxa"/>
            <w:tcBorders>
              <w:top w:val="nil"/>
              <w:left w:val="nil"/>
              <w:bottom w:val="single" w:sz="4" w:space="0" w:color="auto"/>
              <w:right w:val="single" w:sz="4" w:space="0" w:color="auto"/>
            </w:tcBorders>
            <w:shd w:val="clear" w:color="auto" w:fill="auto"/>
            <w:noWrap/>
            <w:vAlign w:val="center"/>
          </w:tcPr>
          <w:p w14:paraId="4364BA14" w14:textId="20EF4DA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77,33</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A43773F" w14:textId="6CFF4A9A"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40,18</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9426787" w14:textId="6A40F56E"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82,84</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38A965C" w14:textId="0196EB7F"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53,72</w:t>
            </w:r>
            <w:r w:rsidR="007937CE">
              <w:rPr>
                <w:rFonts w:ascii="Arial" w:hAnsi="Arial" w:cs="Arial"/>
                <w:color w:val="000000"/>
                <w:sz w:val="18"/>
                <w:szCs w:val="18"/>
              </w:rPr>
              <w:t xml:space="preserve"> %</w:t>
            </w:r>
          </w:p>
        </w:tc>
      </w:tr>
      <w:tr w:rsidR="00F31CDB" w:rsidRPr="00F31CDB" w14:paraId="2173411D"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4C1EE685"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587E47D8" w14:textId="23E5A584"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Storitve</w:t>
            </w:r>
          </w:p>
        </w:tc>
        <w:tc>
          <w:tcPr>
            <w:tcW w:w="980" w:type="dxa"/>
            <w:tcBorders>
              <w:top w:val="nil"/>
              <w:left w:val="nil"/>
              <w:bottom w:val="single" w:sz="4" w:space="0" w:color="auto"/>
              <w:right w:val="single" w:sz="4" w:space="0" w:color="auto"/>
            </w:tcBorders>
            <w:shd w:val="clear" w:color="auto" w:fill="auto"/>
            <w:vAlign w:val="center"/>
          </w:tcPr>
          <w:p w14:paraId="7F9706E7" w14:textId="11EAED2B"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1.221</w:t>
            </w:r>
          </w:p>
        </w:tc>
        <w:tc>
          <w:tcPr>
            <w:tcW w:w="1432" w:type="dxa"/>
            <w:tcBorders>
              <w:top w:val="nil"/>
              <w:left w:val="nil"/>
              <w:bottom w:val="single" w:sz="4" w:space="0" w:color="auto"/>
              <w:right w:val="single" w:sz="4" w:space="0" w:color="auto"/>
            </w:tcBorders>
            <w:shd w:val="clear" w:color="auto" w:fill="auto"/>
            <w:vAlign w:val="center"/>
          </w:tcPr>
          <w:p w14:paraId="5FF0B929" w14:textId="1CE7A2A8"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400.461.264</w:t>
            </w:r>
          </w:p>
        </w:tc>
        <w:tc>
          <w:tcPr>
            <w:tcW w:w="1133" w:type="dxa"/>
            <w:tcBorders>
              <w:top w:val="nil"/>
              <w:left w:val="nil"/>
              <w:bottom w:val="single" w:sz="4" w:space="0" w:color="auto"/>
              <w:right w:val="single" w:sz="4" w:space="0" w:color="auto"/>
            </w:tcBorders>
            <w:shd w:val="clear" w:color="auto" w:fill="auto"/>
            <w:noWrap/>
            <w:vAlign w:val="center"/>
          </w:tcPr>
          <w:p w14:paraId="30FC53CE" w14:textId="14DA3155"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15,20</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B27CD9E" w14:textId="400AEB7F"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20,59</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10800B0" w14:textId="292904B4"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16,28</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B0F350E" w14:textId="7656AC0E"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27,53</w:t>
            </w:r>
            <w:r w:rsidR="007937CE">
              <w:rPr>
                <w:rFonts w:ascii="Arial" w:hAnsi="Arial" w:cs="Arial"/>
                <w:color w:val="000000"/>
                <w:sz w:val="18"/>
                <w:szCs w:val="18"/>
              </w:rPr>
              <w:t xml:space="preserve"> %</w:t>
            </w:r>
          </w:p>
        </w:tc>
      </w:tr>
      <w:tr w:rsidR="00F31CDB" w:rsidRPr="00F31CDB" w14:paraId="033EFB13"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5D95C602"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55DA17B6" w14:textId="1ACA3899"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Gradnje</w:t>
            </w:r>
          </w:p>
        </w:tc>
        <w:tc>
          <w:tcPr>
            <w:tcW w:w="980" w:type="dxa"/>
            <w:tcBorders>
              <w:top w:val="nil"/>
              <w:left w:val="nil"/>
              <w:bottom w:val="single" w:sz="4" w:space="0" w:color="auto"/>
              <w:right w:val="single" w:sz="4" w:space="0" w:color="auto"/>
            </w:tcBorders>
            <w:shd w:val="clear" w:color="auto" w:fill="auto"/>
            <w:vAlign w:val="center"/>
          </w:tcPr>
          <w:p w14:paraId="2ACC8AEB" w14:textId="28E2E72D"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66</w:t>
            </w:r>
          </w:p>
        </w:tc>
        <w:tc>
          <w:tcPr>
            <w:tcW w:w="1432" w:type="dxa"/>
            <w:tcBorders>
              <w:top w:val="nil"/>
              <w:left w:val="nil"/>
              <w:bottom w:val="single" w:sz="4" w:space="0" w:color="auto"/>
              <w:right w:val="single" w:sz="4" w:space="0" w:color="auto"/>
            </w:tcBorders>
            <w:shd w:val="clear" w:color="auto" w:fill="auto"/>
            <w:vAlign w:val="center"/>
          </w:tcPr>
          <w:p w14:paraId="03FA1F22" w14:textId="50B122E7"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272.801.281</w:t>
            </w:r>
          </w:p>
        </w:tc>
        <w:tc>
          <w:tcPr>
            <w:tcW w:w="1133" w:type="dxa"/>
            <w:tcBorders>
              <w:top w:val="nil"/>
              <w:left w:val="nil"/>
              <w:bottom w:val="single" w:sz="4" w:space="0" w:color="auto"/>
              <w:right w:val="single" w:sz="4" w:space="0" w:color="auto"/>
            </w:tcBorders>
            <w:shd w:val="clear" w:color="auto" w:fill="auto"/>
            <w:noWrap/>
            <w:vAlign w:val="center"/>
          </w:tcPr>
          <w:p w14:paraId="2D8912F3" w14:textId="5D55B2F7"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0,82</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EA8C592" w14:textId="41BA4FEE"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14,02</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BB07551" w14:textId="68DE735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0,88</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B9160E5" w14:textId="0C4A3CB3"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18,75</w:t>
            </w:r>
            <w:r w:rsidR="007937CE">
              <w:rPr>
                <w:rFonts w:ascii="Arial" w:hAnsi="Arial" w:cs="Arial"/>
                <w:color w:val="000000"/>
                <w:sz w:val="18"/>
                <w:szCs w:val="18"/>
              </w:rPr>
              <w:t xml:space="preserve"> %</w:t>
            </w:r>
          </w:p>
        </w:tc>
      </w:tr>
      <w:tr w:rsidR="00F31CDB" w:rsidRPr="00F31CDB" w14:paraId="7DCCC5BC"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2232BF20"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0FDB0373" w14:textId="1925DD3E" w:rsidR="00F31CDB" w:rsidRPr="00F31CDB" w:rsidRDefault="00F31CDB" w:rsidP="00F31CDB">
            <w:pPr>
              <w:spacing w:after="0" w:line="240" w:lineRule="auto"/>
              <w:rPr>
                <w:rFonts w:ascii="Arial" w:eastAsia="Times New Roman" w:hAnsi="Arial" w:cs="Arial"/>
                <w:b/>
                <w:bCs/>
                <w:color w:val="000000"/>
                <w:sz w:val="18"/>
                <w:szCs w:val="18"/>
                <w:lang w:eastAsia="sl-SI"/>
              </w:rPr>
            </w:pPr>
            <w:r w:rsidRPr="00F31CDB">
              <w:rPr>
                <w:rFonts w:ascii="Arial" w:eastAsia="Times New Roman" w:hAnsi="Arial" w:cs="Arial"/>
                <w:b/>
                <w:bCs/>
                <w:color w:val="000000"/>
                <w:sz w:val="18"/>
                <w:szCs w:val="18"/>
                <w:lang w:eastAsia="sl-SI"/>
              </w:rPr>
              <w:t>Skupaj</w:t>
            </w:r>
          </w:p>
        </w:tc>
        <w:tc>
          <w:tcPr>
            <w:tcW w:w="980" w:type="dxa"/>
            <w:tcBorders>
              <w:top w:val="nil"/>
              <w:left w:val="nil"/>
              <w:bottom w:val="single" w:sz="4" w:space="0" w:color="auto"/>
              <w:right w:val="single" w:sz="4" w:space="0" w:color="auto"/>
            </w:tcBorders>
            <w:shd w:val="clear" w:color="auto" w:fill="auto"/>
            <w:vAlign w:val="center"/>
          </w:tcPr>
          <w:p w14:paraId="60200E92" w14:textId="07EEFDC1"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7.499</w:t>
            </w:r>
          </w:p>
        </w:tc>
        <w:tc>
          <w:tcPr>
            <w:tcW w:w="1432" w:type="dxa"/>
            <w:tcBorders>
              <w:top w:val="nil"/>
              <w:left w:val="nil"/>
              <w:bottom w:val="single" w:sz="4" w:space="0" w:color="auto"/>
              <w:right w:val="single" w:sz="4" w:space="0" w:color="auto"/>
            </w:tcBorders>
            <w:shd w:val="clear" w:color="auto" w:fill="auto"/>
            <w:vAlign w:val="center"/>
          </w:tcPr>
          <w:p w14:paraId="48DBCEEE" w14:textId="1491E2CF"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1.454.810.235</w:t>
            </w:r>
          </w:p>
        </w:tc>
        <w:tc>
          <w:tcPr>
            <w:tcW w:w="1133" w:type="dxa"/>
            <w:tcBorders>
              <w:top w:val="nil"/>
              <w:left w:val="nil"/>
              <w:bottom w:val="single" w:sz="4" w:space="0" w:color="auto"/>
              <w:right w:val="single" w:sz="4" w:space="0" w:color="auto"/>
            </w:tcBorders>
            <w:shd w:val="clear" w:color="auto" w:fill="auto"/>
            <w:noWrap/>
            <w:vAlign w:val="center"/>
          </w:tcPr>
          <w:p w14:paraId="339E5CC6" w14:textId="47B1D93B"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93,35 %</w:t>
            </w:r>
          </w:p>
        </w:tc>
        <w:tc>
          <w:tcPr>
            <w:tcW w:w="1134" w:type="dxa"/>
            <w:tcBorders>
              <w:top w:val="nil"/>
              <w:left w:val="nil"/>
              <w:bottom w:val="single" w:sz="4" w:space="0" w:color="auto"/>
              <w:right w:val="single" w:sz="4" w:space="0" w:color="auto"/>
            </w:tcBorders>
            <w:shd w:val="clear" w:color="auto" w:fill="auto"/>
            <w:noWrap/>
            <w:vAlign w:val="center"/>
          </w:tcPr>
          <w:p w14:paraId="5D59E960" w14:textId="29E0340D"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74,79 %</w:t>
            </w:r>
          </w:p>
        </w:tc>
        <w:tc>
          <w:tcPr>
            <w:tcW w:w="1134" w:type="dxa"/>
            <w:tcBorders>
              <w:top w:val="nil"/>
              <w:left w:val="nil"/>
              <w:bottom w:val="single" w:sz="4" w:space="0" w:color="auto"/>
              <w:right w:val="single" w:sz="4" w:space="0" w:color="auto"/>
            </w:tcBorders>
            <w:shd w:val="clear" w:color="auto" w:fill="auto"/>
            <w:noWrap/>
            <w:vAlign w:val="center"/>
          </w:tcPr>
          <w:p w14:paraId="5D5AF2B9" w14:textId="0F67EB5E"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w:t>
            </w:r>
            <w:r w:rsidR="007937CE">
              <w:rPr>
                <w:rFonts w:ascii="Arial" w:hAnsi="Arial" w:cs="Arial"/>
                <w:b/>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51E7DCD" w14:textId="1206283C"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w:t>
            </w:r>
            <w:r w:rsidR="007937CE">
              <w:rPr>
                <w:rFonts w:ascii="Arial" w:hAnsi="Arial" w:cs="Arial"/>
                <w:b/>
                <w:color w:val="000000"/>
                <w:sz w:val="18"/>
                <w:szCs w:val="18"/>
              </w:rPr>
              <w:t xml:space="preserve"> %</w:t>
            </w:r>
          </w:p>
        </w:tc>
      </w:tr>
      <w:tr w:rsidR="00F31CDB" w:rsidRPr="00F31CDB" w14:paraId="0D081FBF" w14:textId="77777777" w:rsidTr="00F31CDB">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33CABA34" w14:textId="77777777" w:rsidR="00F31CDB" w:rsidRPr="00F31CDB" w:rsidRDefault="00F31CDB" w:rsidP="00F31CDB">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Infrastrukturno</w:t>
            </w:r>
          </w:p>
        </w:tc>
        <w:tc>
          <w:tcPr>
            <w:tcW w:w="881" w:type="dxa"/>
            <w:tcBorders>
              <w:top w:val="nil"/>
              <w:left w:val="nil"/>
              <w:bottom w:val="single" w:sz="4" w:space="0" w:color="auto"/>
              <w:right w:val="single" w:sz="4" w:space="0" w:color="auto"/>
            </w:tcBorders>
            <w:shd w:val="clear" w:color="auto" w:fill="auto"/>
            <w:vAlign w:val="center"/>
            <w:hideMark/>
          </w:tcPr>
          <w:p w14:paraId="03562EF1" w14:textId="353BB931"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Blago</w:t>
            </w:r>
          </w:p>
        </w:tc>
        <w:tc>
          <w:tcPr>
            <w:tcW w:w="980" w:type="dxa"/>
            <w:tcBorders>
              <w:top w:val="nil"/>
              <w:left w:val="nil"/>
              <w:bottom w:val="single" w:sz="4" w:space="0" w:color="auto"/>
              <w:right w:val="single" w:sz="4" w:space="0" w:color="auto"/>
            </w:tcBorders>
            <w:shd w:val="clear" w:color="auto" w:fill="auto"/>
            <w:vAlign w:val="center"/>
          </w:tcPr>
          <w:p w14:paraId="1C53830F" w14:textId="6EF9915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287</w:t>
            </w:r>
          </w:p>
        </w:tc>
        <w:tc>
          <w:tcPr>
            <w:tcW w:w="1432" w:type="dxa"/>
            <w:tcBorders>
              <w:top w:val="nil"/>
              <w:left w:val="nil"/>
              <w:bottom w:val="single" w:sz="4" w:space="0" w:color="auto"/>
              <w:right w:val="single" w:sz="4" w:space="0" w:color="auto"/>
            </w:tcBorders>
            <w:shd w:val="clear" w:color="auto" w:fill="auto"/>
            <w:vAlign w:val="center"/>
          </w:tcPr>
          <w:p w14:paraId="4AD79012" w14:textId="35A83344"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207.340.260</w:t>
            </w:r>
          </w:p>
        </w:tc>
        <w:tc>
          <w:tcPr>
            <w:tcW w:w="1133" w:type="dxa"/>
            <w:tcBorders>
              <w:top w:val="nil"/>
              <w:left w:val="nil"/>
              <w:bottom w:val="single" w:sz="4" w:space="0" w:color="auto"/>
              <w:right w:val="single" w:sz="4" w:space="0" w:color="auto"/>
            </w:tcBorders>
            <w:shd w:val="clear" w:color="auto" w:fill="auto"/>
            <w:noWrap/>
            <w:vAlign w:val="center"/>
          </w:tcPr>
          <w:p w14:paraId="4ABED02A" w14:textId="52297929"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3,57</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544BBFE" w14:textId="2BD8F743"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10,66</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8ECC5DC" w14:textId="346286B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59,18</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E6F4071" w14:textId="23F2C5EA"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48,13</w:t>
            </w:r>
            <w:r w:rsidR="007937CE">
              <w:rPr>
                <w:rFonts w:ascii="Arial" w:hAnsi="Arial" w:cs="Arial"/>
                <w:color w:val="000000"/>
                <w:sz w:val="18"/>
                <w:szCs w:val="18"/>
              </w:rPr>
              <w:t xml:space="preserve"> %</w:t>
            </w:r>
          </w:p>
        </w:tc>
      </w:tr>
      <w:tr w:rsidR="00F31CDB" w:rsidRPr="00F31CDB" w14:paraId="2262EBEA"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0BB69D0F"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77B4048A" w14:textId="12DB17E1"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Storitve</w:t>
            </w:r>
          </w:p>
        </w:tc>
        <w:tc>
          <w:tcPr>
            <w:tcW w:w="980" w:type="dxa"/>
            <w:tcBorders>
              <w:top w:val="nil"/>
              <w:left w:val="nil"/>
              <w:bottom w:val="single" w:sz="4" w:space="0" w:color="auto"/>
              <w:right w:val="single" w:sz="4" w:space="0" w:color="auto"/>
            </w:tcBorders>
            <w:shd w:val="clear" w:color="auto" w:fill="auto"/>
            <w:vAlign w:val="center"/>
          </w:tcPr>
          <w:p w14:paraId="501F15E5" w14:textId="3A098F4A"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178</w:t>
            </w:r>
          </w:p>
        </w:tc>
        <w:tc>
          <w:tcPr>
            <w:tcW w:w="1432" w:type="dxa"/>
            <w:tcBorders>
              <w:top w:val="nil"/>
              <w:left w:val="nil"/>
              <w:bottom w:val="single" w:sz="4" w:space="0" w:color="auto"/>
              <w:right w:val="single" w:sz="4" w:space="0" w:color="auto"/>
            </w:tcBorders>
            <w:shd w:val="clear" w:color="auto" w:fill="auto"/>
            <w:vAlign w:val="center"/>
          </w:tcPr>
          <w:p w14:paraId="5397E475" w14:textId="50361166"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189.265.078</w:t>
            </w:r>
          </w:p>
        </w:tc>
        <w:tc>
          <w:tcPr>
            <w:tcW w:w="1133" w:type="dxa"/>
            <w:tcBorders>
              <w:top w:val="nil"/>
              <w:left w:val="nil"/>
              <w:bottom w:val="single" w:sz="4" w:space="0" w:color="auto"/>
              <w:right w:val="single" w:sz="4" w:space="0" w:color="auto"/>
            </w:tcBorders>
            <w:shd w:val="clear" w:color="auto" w:fill="auto"/>
            <w:noWrap/>
            <w:vAlign w:val="center"/>
          </w:tcPr>
          <w:p w14:paraId="0524366C" w14:textId="3AA713C4"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2,22</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9487F83" w14:textId="50805E22"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9,73</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D5099DC" w14:textId="055128AF"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36,70</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82B5B86" w14:textId="2FD1F7B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43,94</w:t>
            </w:r>
            <w:r w:rsidR="007937CE">
              <w:rPr>
                <w:rFonts w:ascii="Arial" w:hAnsi="Arial" w:cs="Arial"/>
                <w:color w:val="000000"/>
                <w:sz w:val="18"/>
                <w:szCs w:val="18"/>
              </w:rPr>
              <w:t xml:space="preserve"> %</w:t>
            </w:r>
          </w:p>
        </w:tc>
      </w:tr>
      <w:tr w:rsidR="00F31CDB" w:rsidRPr="00F31CDB" w14:paraId="3697D40D"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48012761"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6F5096FE" w14:textId="536F7714"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Gradnje</w:t>
            </w:r>
          </w:p>
        </w:tc>
        <w:tc>
          <w:tcPr>
            <w:tcW w:w="980" w:type="dxa"/>
            <w:tcBorders>
              <w:top w:val="nil"/>
              <w:left w:val="nil"/>
              <w:bottom w:val="single" w:sz="4" w:space="0" w:color="auto"/>
              <w:right w:val="single" w:sz="4" w:space="0" w:color="auto"/>
            </w:tcBorders>
            <w:shd w:val="clear" w:color="auto" w:fill="auto"/>
            <w:vAlign w:val="center"/>
          </w:tcPr>
          <w:p w14:paraId="01BD778D" w14:textId="34C19DE2"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20</w:t>
            </w:r>
          </w:p>
        </w:tc>
        <w:tc>
          <w:tcPr>
            <w:tcW w:w="1432" w:type="dxa"/>
            <w:tcBorders>
              <w:top w:val="nil"/>
              <w:left w:val="nil"/>
              <w:bottom w:val="single" w:sz="4" w:space="0" w:color="auto"/>
              <w:right w:val="single" w:sz="4" w:space="0" w:color="auto"/>
            </w:tcBorders>
            <w:shd w:val="clear" w:color="auto" w:fill="auto"/>
            <w:vAlign w:val="center"/>
          </w:tcPr>
          <w:p w14:paraId="5CA017A4" w14:textId="683B468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34.164.062</w:t>
            </w:r>
          </w:p>
        </w:tc>
        <w:tc>
          <w:tcPr>
            <w:tcW w:w="1133" w:type="dxa"/>
            <w:tcBorders>
              <w:top w:val="nil"/>
              <w:left w:val="nil"/>
              <w:bottom w:val="single" w:sz="4" w:space="0" w:color="auto"/>
              <w:right w:val="single" w:sz="4" w:space="0" w:color="auto"/>
            </w:tcBorders>
            <w:shd w:val="clear" w:color="auto" w:fill="auto"/>
            <w:noWrap/>
            <w:vAlign w:val="center"/>
          </w:tcPr>
          <w:p w14:paraId="04B7C9FF" w14:textId="38C5C9AD"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0,25</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9CCF6D5" w14:textId="4A98A1DE"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1,76</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7260FE2" w14:textId="20CBE259"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4,12</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A3C4E62" w14:textId="3A15922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7,93</w:t>
            </w:r>
            <w:r w:rsidR="007937CE">
              <w:rPr>
                <w:rFonts w:ascii="Arial" w:hAnsi="Arial" w:cs="Arial"/>
                <w:color w:val="000000"/>
                <w:sz w:val="18"/>
                <w:szCs w:val="18"/>
              </w:rPr>
              <w:t xml:space="preserve"> %</w:t>
            </w:r>
          </w:p>
        </w:tc>
      </w:tr>
      <w:tr w:rsidR="00F31CDB" w:rsidRPr="00F31CDB" w14:paraId="67AF9278"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79AED761"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43898A37" w14:textId="508FDE19" w:rsidR="00F31CDB" w:rsidRPr="00F31CDB" w:rsidRDefault="00F31CDB" w:rsidP="00F31CDB">
            <w:pPr>
              <w:spacing w:after="0" w:line="240" w:lineRule="auto"/>
              <w:rPr>
                <w:rFonts w:ascii="Arial" w:eastAsia="Times New Roman" w:hAnsi="Arial" w:cs="Arial"/>
                <w:b/>
                <w:bCs/>
                <w:color w:val="000000"/>
                <w:sz w:val="18"/>
                <w:szCs w:val="18"/>
                <w:lang w:eastAsia="sl-SI"/>
              </w:rPr>
            </w:pPr>
            <w:r w:rsidRPr="00F31CDB">
              <w:rPr>
                <w:rFonts w:ascii="Arial" w:eastAsia="Times New Roman" w:hAnsi="Arial" w:cs="Arial"/>
                <w:b/>
                <w:bCs/>
                <w:color w:val="000000"/>
                <w:sz w:val="18"/>
                <w:szCs w:val="18"/>
                <w:lang w:eastAsia="sl-SI"/>
              </w:rPr>
              <w:t>Skupaj</w:t>
            </w:r>
          </w:p>
        </w:tc>
        <w:tc>
          <w:tcPr>
            <w:tcW w:w="980" w:type="dxa"/>
            <w:tcBorders>
              <w:top w:val="nil"/>
              <w:left w:val="nil"/>
              <w:bottom w:val="single" w:sz="4" w:space="0" w:color="auto"/>
              <w:right w:val="single" w:sz="4" w:space="0" w:color="auto"/>
            </w:tcBorders>
            <w:shd w:val="clear" w:color="auto" w:fill="auto"/>
            <w:vAlign w:val="center"/>
          </w:tcPr>
          <w:p w14:paraId="0E884211" w14:textId="0C01FAD1"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485</w:t>
            </w:r>
          </w:p>
        </w:tc>
        <w:tc>
          <w:tcPr>
            <w:tcW w:w="1432" w:type="dxa"/>
            <w:tcBorders>
              <w:top w:val="nil"/>
              <w:left w:val="nil"/>
              <w:bottom w:val="single" w:sz="4" w:space="0" w:color="auto"/>
              <w:right w:val="single" w:sz="4" w:space="0" w:color="auto"/>
            </w:tcBorders>
            <w:shd w:val="clear" w:color="auto" w:fill="auto"/>
            <w:vAlign w:val="center"/>
          </w:tcPr>
          <w:p w14:paraId="1C5B30BD" w14:textId="6B818164"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430.769.400</w:t>
            </w:r>
          </w:p>
        </w:tc>
        <w:tc>
          <w:tcPr>
            <w:tcW w:w="1133" w:type="dxa"/>
            <w:tcBorders>
              <w:top w:val="nil"/>
              <w:left w:val="nil"/>
              <w:bottom w:val="single" w:sz="4" w:space="0" w:color="auto"/>
              <w:right w:val="single" w:sz="4" w:space="0" w:color="auto"/>
            </w:tcBorders>
            <w:shd w:val="clear" w:color="auto" w:fill="auto"/>
            <w:noWrap/>
            <w:vAlign w:val="center"/>
          </w:tcPr>
          <w:p w14:paraId="71697CBA" w14:textId="318C6D27"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6,04 %</w:t>
            </w:r>
          </w:p>
        </w:tc>
        <w:tc>
          <w:tcPr>
            <w:tcW w:w="1134" w:type="dxa"/>
            <w:tcBorders>
              <w:top w:val="nil"/>
              <w:left w:val="nil"/>
              <w:bottom w:val="single" w:sz="4" w:space="0" w:color="auto"/>
              <w:right w:val="single" w:sz="4" w:space="0" w:color="auto"/>
            </w:tcBorders>
            <w:shd w:val="clear" w:color="auto" w:fill="auto"/>
            <w:noWrap/>
            <w:vAlign w:val="center"/>
          </w:tcPr>
          <w:p w14:paraId="76E2E301" w14:textId="1EF59247"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22,15 %</w:t>
            </w:r>
          </w:p>
        </w:tc>
        <w:tc>
          <w:tcPr>
            <w:tcW w:w="1134" w:type="dxa"/>
            <w:tcBorders>
              <w:top w:val="nil"/>
              <w:left w:val="nil"/>
              <w:bottom w:val="single" w:sz="4" w:space="0" w:color="auto"/>
              <w:right w:val="single" w:sz="4" w:space="0" w:color="auto"/>
            </w:tcBorders>
            <w:shd w:val="clear" w:color="auto" w:fill="auto"/>
            <w:noWrap/>
            <w:vAlign w:val="center"/>
          </w:tcPr>
          <w:p w14:paraId="792B8BE1" w14:textId="01106453"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w:t>
            </w:r>
            <w:r w:rsidR="007937CE">
              <w:rPr>
                <w:rFonts w:ascii="Arial" w:hAnsi="Arial" w:cs="Arial"/>
                <w:b/>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6A233F2" w14:textId="3B72DE6B"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w:t>
            </w:r>
            <w:r w:rsidR="007937CE">
              <w:rPr>
                <w:rFonts w:ascii="Arial" w:hAnsi="Arial" w:cs="Arial"/>
                <w:b/>
                <w:color w:val="000000"/>
                <w:sz w:val="18"/>
                <w:szCs w:val="18"/>
              </w:rPr>
              <w:t xml:space="preserve"> %</w:t>
            </w:r>
          </w:p>
        </w:tc>
      </w:tr>
      <w:tr w:rsidR="00F31CDB" w:rsidRPr="00F31CDB" w14:paraId="7F61325E" w14:textId="77777777" w:rsidTr="00F31CDB">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5592F157" w14:textId="77777777" w:rsidR="00F31CDB" w:rsidRPr="00F31CDB" w:rsidRDefault="00F31CDB" w:rsidP="00F31CDB">
            <w:pPr>
              <w:spacing w:after="0" w:line="240" w:lineRule="auto"/>
              <w:jc w:val="center"/>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Obrambno</w:t>
            </w:r>
          </w:p>
        </w:tc>
        <w:tc>
          <w:tcPr>
            <w:tcW w:w="881" w:type="dxa"/>
            <w:tcBorders>
              <w:top w:val="nil"/>
              <w:left w:val="nil"/>
              <w:bottom w:val="single" w:sz="4" w:space="0" w:color="auto"/>
              <w:right w:val="single" w:sz="4" w:space="0" w:color="auto"/>
            </w:tcBorders>
            <w:shd w:val="clear" w:color="auto" w:fill="auto"/>
            <w:vAlign w:val="center"/>
            <w:hideMark/>
          </w:tcPr>
          <w:p w14:paraId="01417817" w14:textId="5A632429"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Blago</w:t>
            </w:r>
          </w:p>
        </w:tc>
        <w:tc>
          <w:tcPr>
            <w:tcW w:w="980" w:type="dxa"/>
            <w:tcBorders>
              <w:top w:val="nil"/>
              <w:left w:val="nil"/>
              <w:bottom w:val="single" w:sz="4" w:space="0" w:color="auto"/>
              <w:right w:val="single" w:sz="4" w:space="0" w:color="auto"/>
            </w:tcBorders>
            <w:shd w:val="clear" w:color="auto" w:fill="auto"/>
            <w:vAlign w:val="center"/>
          </w:tcPr>
          <w:p w14:paraId="47A8C9E5" w14:textId="5C21104C"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21</w:t>
            </w:r>
          </w:p>
        </w:tc>
        <w:tc>
          <w:tcPr>
            <w:tcW w:w="1432" w:type="dxa"/>
            <w:tcBorders>
              <w:top w:val="nil"/>
              <w:left w:val="nil"/>
              <w:bottom w:val="single" w:sz="4" w:space="0" w:color="auto"/>
              <w:right w:val="single" w:sz="4" w:space="0" w:color="auto"/>
            </w:tcBorders>
            <w:shd w:val="clear" w:color="auto" w:fill="auto"/>
            <w:vAlign w:val="center"/>
          </w:tcPr>
          <w:p w14:paraId="3156313B" w14:textId="3D074C32"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43.269.475</w:t>
            </w:r>
          </w:p>
        </w:tc>
        <w:tc>
          <w:tcPr>
            <w:tcW w:w="1133" w:type="dxa"/>
            <w:tcBorders>
              <w:top w:val="nil"/>
              <w:left w:val="nil"/>
              <w:bottom w:val="single" w:sz="4" w:space="0" w:color="auto"/>
              <w:right w:val="single" w:sz="4" w:space="0" w:color="auto"/>
            </w:tcBorders>
            <w:shd w:val="clear" w:color="auto" w:fill="auto"/>
            <w:noWrap/>
            <w:vAlign w:val="center"/>
          </w:tcPr>
          <w:p w14:paraId="52AB7DF9" w14:textId="77653413"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0,26</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0C959F" w14:textId="0A6157E3"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2,22</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5D4B846" w14:textId="5B87BCF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42,86</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CAE2228" w14:textId="1B85FB9E"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72,67</w:t>
            </w:r>
            <w:r w:rsidR="007937CE">
              <w:rPr>
                <w:rFonts w:ascii="Arial" w:hAnsi="Arial" w:cs="Arial"/>
                <w:color w:val="000000"/>
                <w:sz w:val="18"/>
                <w:szCs w:val="18"/>
              </w:rPr>
              <w:t xml:space="preserve"> %</w:t>
            </w:r>
          </w:p>
        </w:tc>
      </w:tr>
      <w:tr w:rsidR="00F31CDB" w:rsidRPr="00F31CDB" w14:paraId="44F0C5E9"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4ED6382F"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0B363C9E" w14:textId="30CF89E9"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Storitve</w:t>
            </w:r>
          </w:p>
        </w:tc>
        <w:tc>
          <w:tcPr>
            <w:tcW w:w="980" w:type="dxa"/>
            <w:tcBorders>
              <w:top w:val="nil"/>
              <w:left w:val="nil"/>
              <w:bottom w:val="single" w:sz="4" w:space="0" w:color="auto"/>
              <w:right w:val="single" w:sz="4" w:space="0" w:color="auto"/>
            </w:tcBorders>
            <w:shd w:val="clear" w:color="auto" w:fill="auto"/>
            <w:vAlign w:val="center"/>
          </w:tcPr>
          <w:p w14:paraId="3AC02F33" w14:textId="7965CFE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27</w:t>
            </w:r>
          </w:p>
        </w:tc>
        <w:tc>
          <w:tcPr>
            <w:tcW w:w="1432" w:type="dxa"/>
            <w:tcBorders>
              <w:top w:val="nil"/>
              <w:left w:val="nil"/>
              <w:bottom w:val="single" w:sz="4" w:space="0" w:color="auto"/>
              <w:right w:val="single" w:sz="4" w:space="0" w:color="auto"/>
            </w:tcBorders>
            <w:shd w:val="clear" w:color="auto" w:fill="auto"/>
            <w:vAlign w:val="center"/>
          </w:tcPr>
          <w:p w14:paraId="79DF7B09" w14:textId="4FB53AC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14.598.814</w:t>
            </w:r>
          </w:p>
        </w:tc>
        <w:tc>
          <w:tcPr>
            <w:tcW w:w="1133" w:type="dxa"/>
            <w:tcBorders>
              <w:top w:val="nil"/>
              <w:left w:val="nil"/>
              <w:bottom w:val="single" w:sz="4" w:space="0" w:color="auto"/>
              <w:right w:val="single" w:sz="4" w:space="0" w:color="auto"/>
            </w:tcBorders>
            <w:shd w:val="clear" w:color="auto" w:fill="auto"/>
            <w:noWrap/>
            <w:vAlign w:val="center"/>
          </w:tcPr>
          <w:p w14:paraId="0D7FFB5D" w14:textId="5A3A7F59"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0,34</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1DAD244" w14:textId="21479B10"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0,75</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2C12603" w14:textId="2CACF8F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55,10</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6DC1A7C" w14:textId="0D6558CD"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24,52</w:t>
            </w:r>
            <w:r w:rsidR="007937CE">
              <w:rPr>
                <w:rFonts w:ascii="Arial" w:hAnsi="Arial" w:cs="Arial"/>
                <w:color w:val="000000"/>
                <w:sz w:val="18"/>
                <w:szCs w:val="18"/>
              </w:rPr>
              <w:t xml:space="preserve"> %</w:t>
            </w:r>
          </w:p>
        </w:tc>
      </w:tr>
      <w:tr w:rsidR="00F31CDB" w:rsidRPr="00F31CDB" w14:paraId="4F2C605E"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63E564B1"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7254CD76" w14:textId="77C7A65A" w:rsidR="00F31CDB" w:rsidRPr="00F31CDB" w:rsidRDefault="00F31CDB" w:rsidP="00F31CDB">
            <w:pPr>
              <w:spacing w:after="0" w:line="240" w:lineRule="auto"/>
              <w:rPr>
                <w:rFonts w:ascii="Arial" w:eastAsia="Times New Roman" w:hAnsi="Arial" w:cs="Arial"/>
                <w:color w:val="000000"/>
                <w:sz w:val="18"/>
                <w:szCs w:val="18"/>
                <w:lang w:eastAsia="sl-SI"/>
              </w:rPr>
            </w:pPr>
            <w:r w:rsidRPr="00F31CDB">
              <w:rPr>
                <w:rFonts w:ascii="Arial" w:eastAsia="Times New Roman" w:hAnsi="Arial" w:cs="Arial"/>
                <w:color w:val="000000"/>
                <w:sz w:val="18"/>
                <w:szCs w:val="18"/>
                <w:lang w:eastAsia="sl-SI"/>
              </w:rPr>
              <w:t>Gradnje</w:t>
            </w:r>
          </w:p>
        </w:tc>
        <w:tc>
          <w:tcPr>
            <w:tcW w:w="980" w:type="dxa"/>
            <w:tcBorders>
              <w:top w:val="nil"/>
              <w:left w:val="nil"/>
              <w:bottom w:val="single" w:sz="4" w:space="0" w:color="auto"/>
              <w:right w:val="single" w:sz="4" w:space="0" w:color="auto"/>
            </w:tcBorders>
            <w:shd w:val="clear" w:color="auto" w:fill="auto"/>
            <w:vAlign w:val="center"/>
          </w:tcPr>
          <w:p w14:paraId="3A5B2F0A" w14:textId="54C99107"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w:t>
            </w:r>
          </w:p>
        </w:tc>
        <w:tc>
          <w:tcPr>
            <w:tcW w:w="1432" w:type="dxa"/>
            <w:tcBorders>
              <w:top w:val="nil"/>
              <w:left w:val="nil"/>
              <w:bottom w:val="single" w:sz="4" w:space="0" w:color="auto"/>
              <w:right w:val="single" w:sz="4" w:space="0" w:color="auto"/>
            </w:tcBorders>
            <w:shd w:val="clear" w:color="auto" w:fill="auto"/>
            <w:vAlign w:val="center"/>
          </w:tcPr>
          <w:p w14:paraId="5728602F" w14:textId="0F5FB681"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1.672.452</w:t>
            </w:r>
          </w:p>
        </w:tc>
        <w:tc>
          <w:tcPr>
            <w:tcW w:w="1133" w:type="dxa"/>
            <w:tcBorders>
              <w:top w:val="nil"/>
              <w:left w:val="nil"/>
              <w:bottom w:val="single" w:sz="4" w:space="0" w:color="auto"/>
              <w:right w:val="single" w:sz="4" w:space="0" w:color="auto"/>
            </w:tcBorders>
            <w:shd w:val="clear" w:color="auto" w:fill="auto"/>
            <w:noWrap/>
            <w:vAlign w:val="center"/>
          </w:tcPr>
          <w:p w14:paraId="42FEC4D7" w14:textId="51398D52"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0,01</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2D236CF" w14:textId="267EEA1E"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0,09</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58D80B6" w14:textId="68F91A3F"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2,04</w:t>
            </w:r>
            <w:r w:rsidR="007937CE">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08F93F7" w14:textId="7CAB8A3A" w:rsidR="00F31CDB" w:rsidRPr="00F31CDB" w:rsidRDefault="00F31CDB" w:rsidP="00F31CDB">
            <w:pPr>
              <w:spacing w:after="0" w:line="240" w:lineRule="auto"/>
              <w:jc w:val="right"/>
              <w:rPr>
                <w:rFonts w:ascii="Arial" w:eastAsia="Times New Roman" w:hAnsi="Arial" w:cs="Arial"/>
                <w:color w:val="000000"/>
                <w:sz w:val="18"/>
                <w:szCs w:val="18"/>
                <w:lang w:eastAsia="sl-SI"/>
              </w:rPr>
            </w:pPr>
            <w:r w:rsidRPr="00F31CDB">
              <w:rPr>
                <w:rFonts w:ascii="Arial" w:hAnsi="Arial" w:cs="Arial"/>
                <w:color w:val="000000"/>
                <w:sz w:val="18"/>
                <w:szCs w:val="18"/>
              </w:rPr>
              <w:t>2,81</w:t>
            </w:r>
            <w:r w:rsidR="007937CE">
              <w:rPr>
                <w:rFonts w:ascii="Arial" w:hAnsi="Arial" w:cs="Arial"/>
                <w:color w:val="000000"/>
                <w:sz w:val="18"/>
                <w:szCs w:val="18"/>
              </w:rPr>
              <w:t xml:space="preserve"> %</w:t>
            </w:r>
          </w:p>
        </w:tc>
      </w:tr>
      <w:tr w:rsidR="00F31CDB" w:rsidRPr="00F31CDB" w14:paraId="1C66AF13" w14:textId="77777777" w:rsidTr="00F31CDB">
        <w:trPr>
          <w:trHeight w:val="300"/>
        </w:trPr>
        <w:tc>
          <w:tcPr>
            <w:tcW w:w="1301" w:type="dxa"/>
            <w:vMerge/>
            <w:tcBorders>
              <w:top w:val="nil"/>
              <w:left w:val="single" w:sz="4" w:space="0" w:color="auto"/>
              <w:bottom w:val="single" w:sz="4" w:space="0" w:color="auto"/>
              <w:right w:val="single" w:sz="4" w:space="0" w:color="auto"/>
            </w:tcBorders>
            <w:vAlign w:val="center"/>
            <w:hideMark/>
          </w:tcPr>
          <w:p w14:paraId="7479D6E1" w14:textId="77777777" w:rsidR="00F31CDB" w:rsidRPr="00F31CDB" w:rsidRDefault="00F31CDB" w:rsidP="00F31CDB">
            <w:pPr>
              <w:spacing w:after="0" w:line="240" w:lineRule="auto"/>
              <w:rPr>
                <w:rFonts w:ascii="Arial" w:eastAsia="Times New Roman" w:hAnsi="Arial" w:cs="Arial"/>
                <w:color w:val="000000"/>
                <w:sz w:val="18"/>
                <w:szCs w:val="18"/>
                <w:lang w:eastAsia="sl-SI"/>
              </w:rPr>
            </w:pPr>
          </w:p>
        </w:tc>
        <w:tc>
          <w:tcPr>
            <w:tcW w:w="881" w:type="dxa"/>
            <w:tcBorders>
              <w:top w:val="nil"/>
              <w:left w:val="nil"/>
              <w:bottom w:val="single" w:sz="4" w:space="0" w:color="auto"/>
              <w:right w:val="single" w:sz="4" w:space="0" w:color="auto"/>
            </w:tcBorders>
            <w:shd w:val="clear" w:color="auto" w:fill="auto"/>
            <w:vAlign w:val="center"/>
            <w:hideMark/>
          </w:tcPr>
          <w:p w14:paraId="013562B0" w14:textId="321851A4" w:rsidR="00F31CDB" w:rsidRPr="00F31CDB" w:rsidRDefault="00F31CDB" w:rsidP="00F31CDB">
            <w:pPr>
              <w:spacing w:after="0" w:line="240" w:lineRule="auto"/>
              <w:rPr>
                <w:rFonts w:ascii="Arial" w:eastAsia="Times New Roman" w:hAnsi="Arial" w:cs="Arial"/>
                <w:b/>
                <w:bCs/>
                <w:color w:val="000000"/>
                <w:sz w:val="18"/>
                <w:szCs w:val="18"/>
                <w:lang w:eastAsia="sl-SI"/>
              </w:rPr>
            </w:pPr>
            <w:r w:rsidRPr="00F31CDB">
              <w:rPr>
                <w:rFonts w:ascii="Arial" w:eastAsia="Times New Roman" w:hAnsi="Arial" w:cs="Arial"/>
                <w:b/>
                <w:bCs/>
                <w:color w:val="000000"/>
                <w:sz w:val="18"/>
                <w:szCs w:val="18"/>
                <w:lang w:eastAsia="sl-SI"/>
              </w:rPr>
              <w:t>Skupaj</w:t>
            </w:r>
          </w:p>
        </w:tc>
        <w:tc>
          <w:tcPr>
            <w:tcW w:w="980" w:type="dxa"/>
            <w:tcBorders>
              <w:top w:val="nil"/>
              <w:left w:val="nil"/>
              <w:bottom w:val="single" w:sz="4" w:space="0" w:color="auto"/>
              <w:right w:val="single" w:sz="4" w:space="0" w:color="auto"/>
            </w:tcBorders>
            <w:shd w:val="clear" w:color="auto" w:fill="auto"/>
            <w:vAlign w:val="center"/>
          </w:tcPr>
          <w:p w14:paraId="7817B19B" w14:textId="3B513636"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49</w:t>
            </w:r>
          </w:p>
        </w:tc>
        <w:tc>
          <w:tcPr>
            <w:tcW w:w="1432" w:type="dxa"/>
            <w:tcBorders>
              <w:top w:val="nil"/>
              <w:left w:val="nil"/>
              <w:bottom w:val="single" w:sz="4" w:space="0" w:color="auto"/>
              <w:right w:val="single" w:sz="4" w:space="0" w:color="auto"/>
            </w:tcBorders>
            <w:shd w:val="clear" w:color="auto" w:fill="auto"/>
            <w:vAlign w:val="center"/>
          </w:tcPr>
          <w:p w14:paraId="400585F0" w14:textId="5D949F05"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59.540.741</w:t>
            </w:r>
          </w:p>
        </w:tc>
        <w:tc>
          <w:tcPr>
            <w:tcW w:w="1133" w:type="dxa"/>
            <w:tcBorders>
              <w:top w:val="nil"/>
              <w:left w:val="nil"/>
              <w:bottom w:val="single" w:sz="4" w:space="0" w:color="auto"/>
              <w:right w:val="single" w:sz="4" w:space="0" w:color="auto"/>
            </w:tcBorders>
            <w:shd w:val="clear" w:color="auto" w:fill="auto"/>
            <w:noWrap/>
            <w:vAlign w:val="center"/>
          </w:tcPr>
          <w:p w14:paraId="2EF02C85" w14:textId="021F622D" w:rsidR="00F31CDB" w:rsidRPr="00F31CDB" w:rsidRDefault="00F31CDB" w:rsidP="00F31CDB">
            <w:pPr>
              <w:spacing w:after="0" w:line="240" w:lineRule="auto"/>
              <w:jc w:val="right"/>
              <w:rPr>
                <w:rFonts w:ascii="Arial" w:eastAsia="Times New Roman" w:hAnsi="Arial" w:cs="Arial"/>
                <w:b/>
                <w:color w:val="000000"/>
                <w:sz w:val="18"/>
                <w:szCs w:val="18"/>
                <w:lang w:eastAsia="sl-SI"/>
              </w:rPr>
            </w:pPr>
            <w:r w:rsidRPr="00F31CDB">
              <w:rPr>
                <w:rFonts w:ascii="Arial" w:hAnsi="Arial" w:cs="Arial"/>
                <w:b/>
                <w:color w:val="000000"/>
                <w:sz w:val="18"/>
                <w:szCs w:val="18"/>
              </w:rPr>
              <w:t>0,61 %</w:t>
            </w:r>
          </w:p>
        </w:tc>
        <w:tc>
          <w:tcPr>
            <w:tcW w:w="1134" w:type="dxa"/>
            <w:tcBorders>
              <w:top w:val="nil"/>
              <w:left w:val="nil"/>
              <w:bottom w:val="single" w:sz="4" w:space="0" w:color="auto"/>
              <w:right w:val="single" w:sz="4" w:space="0" w:color="auto"/>
            </w:tcBorders>
            <w:shd w:val="clear" w:color="auto" w:fill="auto"/>
            <w:noWrap/>
            <w:vAlign w:val="center"/>
          </w:tcPr>
          <w:p w14:paraId="4EE8A61C" w14:textId="4A56546D" w:rsidR="00F31CDB" w:rsidRPr="00F31CDB" w:rsidRDefault="00F31CDB" w:rsidP="00F31CDB">
            <w:pPr>
              <w:spacing w:after="0" w:line="240" w:lineRule="auto"/>
              <w:jc w:val="right"/>
              <w:rPr>
                <w:rFonts w:ascii="Arial" w:eastAsia="Times New Roman" w:hAnsi="Arial" w:cs="Arial"/>
                <w:b/>
                <w:color w:val="000000"/>
                <w:sz w:val="18"/>
                <w:szCs w:val="18"/>
                <w:lang w:eastAsia="sl-SI"/>
              </w:rPr>
            </w:pPr>
            <w:r w:rsidRPr="00F31CDB">
              <w:rPr>
                <w:rFonts w:ascii="Arial" w:hAnsi="Arial" w:cs="Arial"/>
                <w:b/>
                <w:color w:val="000000"/>
                <w:sz w:val="18"/>
                <w:szCs w:val="18"/>
              </w:rPr>
              <w:t>3,06 %</w:t>
            </w:r>
          </w:p>
        </w:tc>
        <w:tc>
          <w:tcPr>
            <w:tcW w:w="1134" w:type="dxa"/>
            <w:tcBorders>
              <w:top w:val="nil"/>
              <w:left w:val="nil"/>
              <w:bottom w:val="single" w:sz="4" w:space="0" w:color="auto"/>
              <w:right w:val="single" w:sz="4" w:space="0" w:color="auto"/>
            </w:tcBorders>
            <w:shd w:val="clear" w:color="auto" w:fill="auto"/>
            <w:noWrap/>
            <w:vAlign w:val="center"/>
          </w:tcPr>
          <w:p w14:paraId="4E395810" w14:textId="28F2490B"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w:t>
            </w:r>
            <w:r w:rsidR="007937CE">
              <w:rPr>
                <w:rFonts w:ascii="Arial" w:hAnsi="Arial" w:cs="Arial"/>
                <w:b/>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8F43A21" w14:textId="0E77B073"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w:t>
            </w:r>
            <w:r w:rsidR="007937CE">
              <w:rPr>
                <w:rFonts w:ascii="Arial" w:hAnsi="Arial" w:cs="Arial"/>
                <w:b/>
                <w:color w:val="000000"/>
                <w:sz w:val="18"/>
                <w:szCs w:val="18"/>
              </w:rPr>
              <w:t xml:space="preserve"> %</w:t>
            </w:r>
          </w:p>
        </w:tc>
      </w:tr>
      <w:tr w:rsidR="00F31CDB" w:rsidRPr="00F31CDB" w14:paraId="0177551D" w14:textId="77777777" w:rsidTr="00680FDE">
        <w:trPr>
          <w:gridAfter w:val="2"/>
          <w:wAfter w:w="2268" w:type="dxa"/>
          <w:trHeight w:val="300"/>
        </w:trPr>
        <w:tc>
          <w:tcPr>
            <w:tcW w:w="2182"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573063" w14:textId="72069461" w:rsidR="00F31CDB" w:rsidRPr="00F31CDB" w:rsidRDefault="00F31CDB" w:rsidP="00F31CDB">
            <w:pPr>
              <w:spacing w:after="0" w:line="240" w:lineRule="auto"/>
              <w:rPr>
                <w:rFonts w:ascii="Arial" w:eastAsia="Times New Roman" w:hAnsi="Arial" w:cs="Arial"/>
                <w:b/>
                <w:bCs/>
                <w:color w:val="000000"/>
                <w:sz w:val="18"/>
                <w:szCs w:val="18"/>
                <w:lang w:eastAsia="sl-SI"/>
              </w:rPr>
            </w:pPr>
            <w:r w:rsidRPr="00F31CDB">
              <w:rPr>
                <w:rFonts w:ascii="Arial" w:eastAsia="Times New Roman" w:hAnsi="Arial" w:cs="Arial"/>
                <w:b/>
                <w:bCs/>
                <w:color w:val="000000"/>
                <w:sz w:val="18"/>
                <w:szCs w:val="18"/>
                <w:lang w:eastAsia="sl-SI"/>
              </w:rPr>
              <w:t>Skupaj</w:t>
            </w:r>
          </w:p>
        </w:tc>
        <w:tc>
          <w:tcPr>
            <w:tcW w:w="980" w:type="dxa"/>
            <w:tcBorders>
              <w:top w:val="nil"/>
              <w:left w:val="nil"/>
              <w:bottom w:val="single" w:sz="4" w:space="0" w:color="auto"/>
              <w:right w:val="single" w:sz="4" w:space="0" w:color="auto"/>
            </w:tcBorders>
            <w:shd w:val="clear" w:color="auto" w:fill="E7E6E6" w:themeFill="background2"/>
            <w:noWrap/>
            <w:vAlign w:val="center"/>
            <w:hideMark/>
          </w:tcPr>
          <w:p w14:paraId="6DE8208D" w14:textId="299890A6"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8.033</w:t>
            </w:r>
          </w:p>
        </w:tc>
        <w:tc>
          <w:tcPr>
            <w:tcW w:w="1432" w:type="dxa"/>
            <w:tcBorders>
              <w:top w:val="nil"/>
              <w:left w:val="nil"/>
              <w:bottom w:val="single" w:sz="4" w:space="0" w:color="auto"/>
              <w:right w:val="single" w:sz="4" w:space="0" w:color="auto"/>
            </w:tcBorders>
            <w:shd w:val="clear" w:color="auto" w:fill="E7E6E6" w:themeFill="background2"/>
            <w:noWrap/>
            <w:vAlign w:val="center"/>
            <w:hideMark/>
          </w:tcPr>
          <w:p w14:paraId="7D35B236" w14:textId="49DB5D60"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1.945.120.376</w:t>
            </w:r>
          </w:p>
        </w:tc>
        <w:tc>
          <w:tcPr>
            <w:tcW w:w="1133" w:type="dxa"/>
            <w:tcBorders>
              <w:top w:val="nil"/>
              <w:left w:val="nil"/>
              <w:bottom w:val="single" w:sz="4" w:space="0" w:color="auto"/>
              <w:right w:val="single" w:sz="4" w:space="0" w:color="auto"/>
            </w:tcBorders>
            <w:shd w:val="clear" w:color="auto" w:fill="E7E6E6" w:themeFill="background2"/>
            <w:noWrap/>
            <w:vAlign w:val="center"/>
            <w:hideMark/>
          </w:tcPr>
          <w:p w14:paraId="1002BE87" w14:textId="343A468A"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bCs/>
                <w:color w:val="000000"/>
                <w:sz w:val="18"/>
                <w:szCs w:val="18"/>
              </w:rPr>
              <w:t>100,00</w:t>
            </w:r>
            <w:r w:rsidR="00755C38">
              <w:rPr>
                <w:rFonts w:ascii="Arial" w:hAnsi="Arial" w:cs="Arial"/>
                <w:b/>
                <w:bCs/>
                <w:color w:val="000000"/>
                <w:sz w:val="18"/>
                <w:szCs w:val="18"/>
              </w:rPr>
              <w:t xml:space="preserve"> </w:t>
            </w:r>
            <w:r w:rsidRPr="00F31CDB">
              <w:rPr>
                <w:rFonts w:ascii="Arial" w:hAnsi="Arial" w:cs="Arial"/>
                <w:b/>
                <w:bCs/>
                <w:color w:val="000000"/>
                <w:sz w:val="18"/>
                <w:szCs w:val="18"/>
              </w:rPr>
              <w:t>%</w:t>
            </w:r>
          </w:p>
        </w:tc>
        <w:tc>
          <w:tcPr>
            <w:tcW w:w="1134" w:type="dxa"/>
            <w:tcBorders>
              <w:top w:val="nil"/>
              <w:left w:val="nil"/>
              <w:bottom w:val="single" w:sz="4" w:space="0" w:color="auto"/>
              <w:right w:val="single" w:sz="4" w:space="0" w:color="auto"/>
            </w:tcBorders>
            <w:shd w:val="clear" w:color="auto" w:fill="E7E6E6" w:themeFill="background2"/>
            <w:noWrap/>
            <w:vAlign w:val="center"/>
            <w:hideMark/>
          </w:tcPr>
          <w:p w14:paraId="5453ECBA" w14:textId="10E4952F" w:rsidR="00F31CDB" w:rsidRPr="00F31CDB" w:rsidRDefault="00F31CDB" w:rsidP="00F31CDB">
            <w:pPr>
              <w:spacing w:after="0" w:line="240" w:lineRule="auto"/>
              <w:jc w:val="right"/>
              <w:rPr>
                <w:rFonts w:ascii="Arial" w:eastAsia="Times New Roman" w:hAnsi="Arial" w:cs="Arial"/>
                <w:b/>
                <w:bCs/>
                <w:color w:val="000000"/>
                <w:sz w:val="18"/>
                <w:szCs w:val="18"/>
                <w:lang w:eastAsia="sl-SI"/>
              </w:rPr>
            </w:pPr>
            <w:r w:rsidRPr="00F31CDB">
              <w:rPr>
                <w:rFonts w:ascii="Arial" w:hAnsi="Arial" w:cs="Arial"/>
                <w:b/>
                <w:color w:val="000000"/>
                <w:sz w:val="18"/>
                <w:szCs w:val="18"/>
              </w:rPr>
              <w:t>100,00 %</w:t>
            </w:r>
          </w:p>
        </w:tc>
      </w:tr>
    </w:tbl>
    <w:p w14:paraId="2D7B76D8" w14:textId="77777777" w:rsidR="00854405" w:rsidRPr="00F31CDB" w:rsidRDefault="00854405" w:rsidP="00854405">
      <w:pPr>
        <w:pStyle w:val="ZADEVA"/>
        <w:jc w:val="both"/>
        <w:rPr>
          <w:rFonts w:cs="Arial"/>
          <w:b w:val="0"/>
          <w:szCs w:val="20"/>
          <w:lang w:val="sl-SI"/>
        </w:rPr>
      </w:pPr>
    </w:p>
    <w:p w14:paraId="0D630880" w14:textId="06A12648" w:rsidR="008D541C" w:rsidRPr="00F31CDB" w:rsidRDefault="008D541C" w:rsidP="00701C10">
      <w:pPr>
        <w:spacing w:after="240" w:line="240" w:lineRule="auto"/>
        <w:jc w:val="center"/>
        <w:rPr>
          <w:rFonts w:ascii="Arial" w:hAnsi="Arial" w:cs="Arial"/>
          <w:sz w:val="18"/>
        </w:rPr>
      </w:pPr>
      <w:r w:rsidRPr="00F31CDB">
        <w:rPr>
          <w:rFonts w:ascii="Arial" w:hAnsi="Arial" w:cs="Arial"/>
          <w:sz w:val="18"/>
        </w:rPr>
        <w:t>Vir: Statistični podatki o javni</w:t>
      </w:r>
      <w:r w:rsidR="009C26D8" w:rsidRPr="00F31CDB">
        <w:rPr>
          <w:rFonts w:ascii="Arial" w:hAnsi="Arial" w:cs="Arial"/>
          <w:sz w:val="18"/>
        </w:rPr>
        <w:t>h naročilih, oddanih v letu 201</w:t>
      </w:r>
      <w:r w:rsidR="00966AE0" w:rsidRPr="00F31CDB">
        <w:rPr>
          <w:rFonts w:ascii="Arial" w:hAnsi="Arial" w:cs="Arial"/>
          <w:sz w:val="18"/>
        </w:rPr>
        <w:t>8</w:t>
      </w:r>
    </w:p>
    <w:p w14:paraId="0C633EFA" w14:textId="32447FA6" w:rsidR="006402BB" w:rsidRPr="00EF2D0B" w:rsidRDefault="006402BB" w:rsidP="00701C10">
      <w:pPr>
        <w:spacing w:after="240" w:line="240" w:lineRule="auto"/>
        <w:jc w:val="center"/>
        <w:rPr>
          <w:rFonts w:ascii="Arial" w:hAnsi="Arial" w:cs="Arial"/>
          <w:sz w:val="18"/>
          <w:highlight w:val="yellow"/>
        </w:rPr>
      </w:pPr>
    </w:p>
    <w:p w14:paraId="166DCBAD" w14:textId="44DF47B8" w:rsidR="00854405" w:rsidRPr="00461246" w:rsidRDefault="00B83352" w:rsidP="00B83352">
      <w:pPr>
        <w:pStyle w:val="Naslov2"/>
        <w:rPr>
          <w:rFonts w:ascii="Arial" w:hAnsi="Arial" w:cs="Arial"/>
          <w:szCs w:val="20"/>
        </w:rPr>
      </w:pPr>
      <w:bookmarkStart w:id="11" w:name="_Toc17114049"/>
      <w:r w:rsidRPr="00461246">
        <w:rPr>
          <w:rFonts w:ascii="Arial" w:hAnsi="Arial" w:cs="Arial"/>
          <w:sz w:val="22"/>
          <w:szCs w:val="22"/>
        </w:rPr>
        <w:t>2.3 Postopki in načini oddaje javnih naročil</w:t>
      </w:r>
      <w:bookmarkEnd w:id="11"/>
    </w:p>
    <w:p w14:paraId="0D2B6E76" w14:textId="77777777" w:rsidR="00854405" w:rsidRPr="00EF2D0B" w:rsidRDefault="00854405" w:rsidP="00854405">
      <w:pPr>
        <w:pStyle w:val="ZADEVA"/>
        <w:jc w:val="both"/>
        <w:rPr>
          <w:rFonts w:cs="Arial"/>
          <w:b w:val="0"/>
          <w:szCs w:val="20"/>
          <w:highlight w:val="yellow"/>
          <w:lang w:val="sl-SI"/>
        </w:rPr>
      </w:pPr>
    </w:p>
    <w:p w14:paraId="66A4B3AF" w14:textId="228B9933" w:rsidR="00C82466" w:rsidRPr="0084179E" w:rsidRDefault="00C82466" w:rsidP="00CE0F33">
      <w:pPr>
        <w:pStyle w:val="Naslov3"/>
        <w:rPr>
          <w:rFonts w:ascii="Arial" w:hAnsi="Arial" w:cs="Arial"/>
          <w:sz w:val="22"/>
          <w:szCs w:val="22"/>
        </w:rPr>
      </w:pPr>
      <w:bookmarkStart w:id="12" w:name="_Toc17114050"/>
      <w:r w:rsidRPr="0084179E">
        <w:rPr>
          <w:rFonts w:ascii="Arial" w:hAnsi="Arial" w:cs="Arial"/>
          <w:sz w:val="22"/>
          <w:szCs w:val="22"/>
        </w:rPr>
        <w:t>2.3.1 Postopki javnega naročanja</w:t>
      </w:r>
      <w:bookmarkEnd w:id="12"/>
    </w:p>
    <w:p w14:paraId="578E3A7B" w14:textId="77777777" w:rsidR="00854405" w:rsidRPr="0084179E" w:rsidRDefault="00854405" w:rsidP="00CE0F33">
      <w:pPr>
        <w:pStyle w:val="ZADEVA"/>
        <w:jc w:val="both"/>
        <w:rPr>
          <w:rFonts w:cs="Arial"/>
          <w:b w:val="0"/>
          <w:szCs w:val="20"/>
          <w:lang w:val="sl-SI"/>
        </w:rPr>
      </w:pPr>
    </w:p>
    <w:p w14:paraId="79331D01" w14:textId="588A7AF2" w:rsidR="00B346C9" w:rsidRPr="0084179E" w:rsidRDefault="00B346C9" w:rsidP="00CE0F33">
      <w:pPr>
        <w:tabs>
          <w:tab w:val="left" w:pos="567"/>
          <w:tab w:val="left" w:pos="993"/>
        </w:tabs>
        <w:spacing w:line="360" w:lineRule="auto"/>
        <w:jc w:val="both"/>
        <w:rPr>
          <w:rFonts w:ascii="Arial" w:hAnsi="Arial" w:cs="Arial"/>
          <w:bCs/>
          <w:sz w:val="20"/>
          <w:szCs w:val="20"/>
        </w:rPr>
      </w:pPr>
      <w:r w:rsidRPr="0084179E">
        <w:rPr>
          <w:rFonts w:ascii="Arial" w:hAnsi="Arial" w:cs="Arial"/>
          <w:bCs/>
          <w:sz w:val="20"/>
          <w:szCs w:val="20"/>
        </w:rPr>
        <w:t xml:space="preserve">Število postopkov javnega naročanja in njihova vrednost glede na vrsto postopkov, ki so jih naročniki uspešno </w:t>
      </w:r>
      <w:r w:rsidR="002B7C52" w:rsidRPr="0084179E">
        <w:rPr>
          <w:rFonts w:ascii="Arial" w:hAnsi="Arial" w:cs="Arial"/>
          <w:bCs/>
          <w:sz w:val="20"/>
          <w:szCs w:val="20"/>
        </w:rPr>
        <w:t xml:space="preserve">končali </w:t>
      </w:r>
      <w:r w:rsidR="00C671D1" w:rsidRPr="0084179E">
        <w:rPr>
          <w:rFonts w:ascii="Arial" w:hAnsi="Arial" w:cs="Arial"/>
          <w:bCs/>
          <w:sz w:val="20"/>
          <w:szCs w:val="20"/>
        </w:rPr>
        <w:t>let</w:t>
      </w:r>
      <w:r w:rsidR="00EC1BBF">
        <w:rPr>
          <w:rFonts w:ascii="Arial" w:hAnsi="Arial" w:cs="Arial"/>
          <w:bCs/>
          <w:sz w:val="20"/>
          <w:szCs w:val="20"/>
        </w:rPr>
        <w:t>a</w:t>
      </w:r>
      <w:r w:rsidR="00C671D1" w:rsidRPr="0084179E">
        <w:rPr>
          <w:rFonts w:ascii="Arial" w:hAnsi="Arial" w:cs="Arial"/>
          <w:bCs/>
          <w:sz w:val="20"/>
          <w:szCs w:val="20"/>
        </w:rPr>
        <w:t xml:space="preserve"> 201</w:t>
      </w:r>
      <w:r w:rsidR="00CE0F33" w:rsidRPr="0084179E">
        <w:rPr>
          <w:rFonts w:ascii="Arial" w:hAnsi="Arial" w:cs="Arial"/>
          <w:bCs/>
          <w:sz w:val="20"/>
          <w:szCs w:val="20"/>
        </w:rPr>
        <w:t>8</w:t>
      </w:r>
      <w:r w:rsidRPr="0084179E">
        <w:rPr>
          <w:rFonts w:ascii="Arial" w:hAnsi="Arial" w:cs="Arial"/>
          <w:bCs/>
          <w:sz w:val="20"/>
          <w:szCs w:val="20"/>
        </w:rPr>
        <w:t>, sta prikazana v spodnji preglednici.</w:t>
      </w:r>
    </w:p>
    <w:p w14:paraId="0A637C6E" w14:textId="2F476433" w:rsidR="00B346C9" w:rsidRPr="0084179E" w:rsidRDefault="007A666C" w:rsidP="00CE0F33">
      <w:pPr>
        <w:spacing w:before="120" w:after="120" w:line="240" w:lineRule="auto"/>
        <w:jc w:val="both"/>
        <w:rPr>
          <w:rFonts w:ascii="Arial" w:hAnsi="Arial" w:cs="Arial"/>
          <w:sz w:val="20"/>
        </w:rPr>
      </w:pPr>
      <w:r w:rsidRPr="0084179E">
        <w:rPr>
          <w:rFonts w:ascii="Arial" w:hAnsi="Arial" w:cs="Arial"/>
          <w:sz w:val="20"/>
        </w:rPr>
        <w:t xml:space="preserve">Preglednica </w:t>
      </w:r>
      <w:r w:rsidR="00EB4423">
        <w:rPr>
          <w:rFonts w:ascii="Arial" w:hAnsi="Arial" w:cs="Arial"/>
          <w:sz w:val="20"/>
        </w:rPr>
        <w:t>7</w:t>
      </w:r>
      <w:r w:rsidRPr="0084179E">
        <w:rPr>
          <w:rFonts w:ascii="Arial" w:hAnsi="Arial" w:cs="Arial"/>
          <w:sz w:val="20"/>
        </w:rPr>
        <w:t xml:space="preserve">: Javna naročila </w:t>
      </w:r>
      <w:r w:rsidR="00B346C9" w:rsidRPr="0084179E">
        <w:rPr>
          <w:rFonts w:ascii="Arial" w:hAnsi="Arial" w:cs="Arial"/>
          <w:sz w:val="20"/>
        </w:rPr>
        <w:t xml:space="preserve">glede na izvedeni postopek </w:t>
      </w:r>
    </w:p>
    <w:tbl>
      <w:tblPr>
        <w:tblW w:w="5000" w:type="pct"/>
        <w:tblCellMar>
          <w:left w:w="70" w:type="dxa"/>
          <w:right w:w="70" w:type="dxa"/>
        </w:tblCellMar>
        <w:tblLook w:val="04A0" w:firstRow="1" w:lastRow="0" w:firstColumn="1" w:lastColumn="0" w:noHBand="0" w:noVBand="1"/>
      </w:tblPr>
      <w:tblGrid>
        <w:gridCol w:w="2966"/>
        <w:gridCol w:w="1130"/>
        <w:gridCol w:w="705"/>
        <w:gridCol w:w="1412"/>
        <w:gridCol w:w="988"/>
        <w:gridCol w:w="960"/>
        <w:gridCol w:w="901"/>
      </w:tblGrid>
      <w:tr w:rsidR="00725711" w:rsidRPr="00725711" w14:paraId="00EAF290" w14:textId="77777777" w:rsidTr="007E011E">
        <w:trPr>
          <w:trHeight w:val="480"/>
          <w:tblHeader/>
        </w:trPr>
        <w:tc>
          <w:tcPr>
            <w:tcW w:w="163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2A91A3D"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Vrsta postopka</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7C603EB1"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Št. postopkov</w:t>
            </w:r>
          </w:p>
        </w:tc>
        <w:tc>
          <w:tcPr>
            <w:tcW w:w="392" w:type="pct"/>
            <w:tcBorders>
              <w:top w:val="single" w:sz="4" w:space="0" w:color="auto"/>
              <w:left w:val="nil"/>
              <w:bottom w:val="single" w:sz="4" w:space="0" w:color="auto"/>
              <w:right w:val="single" w:sz="4" w:space="0" w:color="auto"/>
            </w:tcBorders>
            <w:shd w:val="clear" w:color="000000" w:fill="EDEDED"/>
            <w:vAlign w:val="center"/>
            <w:hideMark/>
          </w:tcPr>
          <w:p w14:paraId="135216C5"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Št. naročil</w:t>
            </w:r>
          </w:p>
        </w:tc>
        <w:tc>
          <w:tcPr>
            <w:tcW w:w="782" w:type="pct"/>
            <w:tcBorders>
              <w:top w:val="single" w:sz="4" w:space="0" w:color="auto"/>
              <w:left w:val="nil"/>
              <w:bottom w:val="single" w:sz="4" w:space="0" w:color="auto"/>
              <w:right w:val="single" w:sz="4" w:space="0" w:color="auto"/>
            </w:tcBorders>
            <w:shd w:val="clear" w:color="000000" w:fill="EDEDED"/>
            <w:vAlign w:val="center"/>
            <w:hideMark/>
          </w:tcPr>
          <w:p w14:paraId="4F4050D1"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Pogodbena vrednost</w:t>
            </w:r>
          </w:p>
        </w:tc>
        <w:tc>
          <w:tcPr>
            <w:tcW w:w="548" w:type="pct"/>
            <w:tcBorders>
              <w:top w:val="single" w:sz="4" w:space="0" w:color="auto"/>
              <w:left w:val="nil"/>
              <w:bottom w:val="single" w:sz="4" w:space="0" w:color="auto"/>
              <w:right w:val="single" w:sz="4" w:space="0" w:color="auto"/>
            </w:tcBorders>
            <w:shd w:val="clear" w:color="000000" w:fill="EDEDED"/>
            <w:vAlign w:val="center"/>
            <w:hideMark/>
          </w:tcPr>
          <w:p w14:paraId="7169462D"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Delež v št. postopkov</w:t>
            </w:r>
          </w:p>
        </w:tc>
        <w:tc>
          <w:tcPr>
            <w:tcW w:w="532" w:type="pct"/>
            <w:tcBorders>
              <w:top w:val="single" w:sz="4" w:space="0" w:color="auto"/>
              <w:left w:val="nil"/>
              <w:bottom w:val="single" w:sz="4" w:space="0" w:color="auto"/>
              <w:right w:val="single" w:sz="4" w:space="0" w:color="auto"/>
            </w:tcBorders>
            <w:shd w:val="clear" w:color="000000" w:fill="EDEDED"/>
            <w:vAlign w:val="center"/>
            <w:hideMark/>
          </w:tcPr>
          <w:p w14:paraId="6EB62DE5"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5E0BACA4" w14:textId="77777777" w:rsidR="00725711" w:rsidRPr="00725711" w:rsidRDefault="00725711" w:rsidP="00725711">
            <w:pPr>
              <w:spacing w:after="0" w:line="240" w:lineRule="auto"/>
              <w:jc w:val="center"/>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Delež v vrednosti</w:t>
            </w:r>
          </w:p>
        </w:tc>
      </w:tr>
      <w:tr w:rsidR="00725711" w:rsidRPr="00725711" w14:paraId="2199A280"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50682FC4"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Konkurenčni dialog</w:t>
            </w:r>
          </w:p>
        </w:tc>
        <w:tc>
          <w:tcPr>
            <w:tcW w:w="626" w:type="pct"/>
            <w:tcBorders>
              <w:top w:val="nil"/>
              <w:left w:val="nil"/>
              <w:bottom w:val="single" w:sz="4" w:space="0" w:color="auto"/>
              <w:right w:val="single" w:sz="4" w:space="0" w:color="auto"/>
            </w:tcBorders>
            <w:shd w:val="clear" w:color="auto" w:fill="auto"/>
            <w:vAlign w:val="center"/>
            <w:hideMark/>
          </w:tcPr>
          <w:p w14:paraId="47FD478C"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5</w:t>
            </w:r>
          </w:p>
        </w:tc>
        <w:tc>
          <w:tcPr>
            <w:tcW w:w="392" w:type="pct"/>
            <w:tcBorders>
              <w:top w:val="nil"/>
              <w:left w:val="nil"/>
              <w:bottom w:val="single" w:sz="4" w:space="0" w:color="auto"/>
              <w:right w:val="single" w:sz="4" w:space="0" w:color="auto"/>
            </w:tcBorders>
            <w:shd w:val="clear" w:color="auto" w:fill="auto"/>
            <w:vAlign w:val="center"/>
            <w:hideMark/>
          </w:tcPr>
          <w:p w14:paraId="5AAEA6E4"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6</w:t>
            </w:r>
          </w:p>
        </w:tc>
        <w:tc>
          <w:tcPr>
            <w:tcW w:w="782" w:type="pct"/>
            <w:tcBorders>
              <w:top w:val="nil"/>
              <w:left w:val="nil"/>
              <w:bottom w:val="single" w:sz="4" w:space="0" w:color="auto"/>
              <w:right w:val="single" w:sz="4" w:space="0" w:color="auto"/>
            </w:tcBorders>
            <w:shd w:val="clear" w:color="auto" w:fill="auto"/>
            <w:vAlign w:val="center"/>
            <w:hideMark/>
          </w:tcPr>
          <w:p w14:paraId="79455B48"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12.673.609</w:t>
            </w:r>
          </w:p>
        </w:tc>
        <w:tc>
          <w:tcPr>
            <w:tcW w:w="548" w:type="pct"/>
            <w:tcBorders>
              <w:top w:val="nil"/>
              <w:left w:val="nil"/>
              <w:bottom w:val="single" w:sz="4" w:space="0" w:color="auto"/>
              <w:right w:val="single" w:sz="4" w:space="0" w:color="auto"/>
            </w:tcBorders>
            <w:shd w:val="clear" w:color="auto" w:fill="auto"/>
            <w:noWrap/>
            <w:vAlign w:val="center"/>
            <w:hideMark/>
          </w:tcPr>
          <w:p w14:paraId="74CBCCEB" w14:textId="4D64139B"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0,07</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498145A3" w14:textId="24B712DE"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0,04</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F595833" w14:textId="3964E2BC"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0,43</w:t>
            </w:r>
            <w:r w:rsidR="00F81DC4">
              <w:rPr>
                <w:rFonts w:ascii="Arial" w:eastAsia="Times New Roman" w:hAnsi="Arial" w:cs="Arial"/>
                <w:color w:val="000000"/>
                <w:sz w:val="18"/>
                <w:szCs w:val="18"/>
                <w:lang w:eastAsia="sl-SI"/>
              </w:rPr>
              <w:t xml:space="preserve"> %</w:t>
            </w:r>
          </w:p>
        </w:tc>
      </w:tr>
      <w:tr w:rsidR="00725711" w:rsidRPr="00725711" w14:paraId="21D83C77"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1DFBD9A6"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61D98447"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111</w:t>
            </w:r>
          </w:p>
        </w:tc>
        <w:tc>
          <w:tcPr>
            <w:tcW w:w="392" w:type="pct"/>
            <w:tcBorders>
              <w:top w:val="nil"/>
              <w:left w:val="nil"/>
              <w:bottom w:val="single" w:sz="4" w:space="0" w:color="auto"/>
              <w:right w:val="single" w:sz="4" w:space="0" w:color="auto"/>
            </w:tcBorders>
            <w:shd w:val="clear" w:color="auto" w:fill="auto"/>
            <w:vAlign w:val="center"/>
            <w:hideMark/>
          </w:tcPr>
          <w:p w14:paraId="70B482DD"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141</w:t>
            </w:r>
          </w:p>
        </w:tc>
        <w:tc>
          <w:tcPr>
            <w:tcW w:w="782" w:type="pct"/>
            <w:tcBorders>
              <w:top w:val="nil"/>
              <w:left w:val="nil"/>
              <w:bottom w:val="single" w:sz="4" w:space="0" w:color="auto"/>
              <w:right w:val="single" w:sz="4" w:space="0" w:color="auto"/>
            </w:tcBorders>
            <w:shd w:val="clear" w:color="auto" w:fill="auto"/>
            <w:vAlign w:val="center"/>
            <w:hideMark/>
          </w:tcPr>
          <w:p w14:paraId="580D47C7"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134.315.068</w:t>
            </w:r>
          </w:p>
        </w:tc>
        <w:tc>
          <w:tcPr>
            <w:tcW w:w="548" w:type="pct"/>
            <w:tcBorders>
              <w:top w:val="nil"/>
              <w:left w:val="nil"/>
              <w:bottom w:val="single" w:sz="4" w:space="0" w:color="auto"/>
              <w:right w:val="single" w:sz="4" w:space="0" w:color="auto"/>
            </w:tcBorders>
            <w:shd w:val="clear" w:color="auto" w:fill="auto"/>
            <w:noWrap/>
            <w:vAlign w:val="center"/>
            <w:hideMark/>
          </w:tcPr>
          <w:p w14:paraId="108781ED" w14:textId="386596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1,65</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39901267" w14:textId="34E95AA0"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0,84</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71EC0D3" w14:textId="66A27101"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4,60</w:t>
            </w:r>
            <w:r w:rsidR="00F81DC4">
              <w:rPr>
                <w:rFonts w:ascii="Arial" w:eastAsia="Times New Roman" w:hAnsi="Arial" w:cs="Arial"/>
                <w:color w:val="000000"/>
                <w:sz w:val="18"/>
                <w:szCs w:val="18"/>
                <w:lang w:eastAsia="sl-SI"/>
              </w:rPr>
              <w:t xml:space="preserve"> %</w:t>
            </w:r>
          </w:p>
        </w:tc>
      </w:tr>
      <w:tr w:rsidR="00725711" w:rsidRPr="00725711" w14:paraId="2F278C22"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7F946496"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7AE3DA01"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1.608</w:t>
            </w:r>
          </w:p>
        </w:tc>
        <w:tc>
          <w:tcPr>
            <w:tcW w:w="392" w:type="pct"/>
            <w:tcBorders>
              <w:top w:val="nil"/>
              <w:left w:val="nil"/>
              <w:bottom w:val="single" w:sz="4" w:space="0" w:color="auto"/>
              <w:right w:val="single" w:sz="4" w:space="0" w:color="auto"/>
            </w:tcBorders>
            <w:shd w:val="clear" w:color="auto" w:fill="auto"/>
            <w:vAlign w:val="center"/>
            <w:hideMark/>
          </w:tcPr>
          <w:p w14:paraId="122F60F6"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8.266</w:t>
            </w:r>
          </w:p>
        </w:tc>
        <w:tc>
          <w:tcPr>
            <w:tcW w:w="782" w:type="pct"/>
            <w:tcBorders>
              <w:top w:val="nil"/>
              <w:left w:val="nil"/>
              <w:bottom w:val="single" w:sz="4" w:space="0" w:color="auto"/>
              <w:right w:val="single" w:sz="4" w:space="0" w:color="auto"/>
            </w:tcBorders>
            <w:shd w:val="clear" w:color="auto" w:fill="auto"/>
            <w:vAlign w:val="center"/>
            <w:hideMark/>
          </w:tcPr>
          <w:p w14:paraId="3EA775F0"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1.777.121.148</w:t>
            </w:r>
          </w:p>
        </w:tc>
        <w:tc>
          <w:tcPr>
            <w:tcW w:w="548" w:type="pct"/>
            <w:tcBorders>
              <w:top w:val="nil"/>
              <w:left w:val="nil"/>
              <w:bottom w:val="single" w:sz="4" w:space="0" w:color="auto"/>
              <w:right w:val="single" w:sz="4" w:space="0" w:color="auto"/>
            </w:tcBorders>
            <w:shd w:val="clear" w:color="auto" w:fill="auto"/>
            <w:noWrap/>
            <w:vAlign w:val="center"/>
            <w:hideMark/>
          </w:tcPr>
          <w:p w14:paraId="39645759" w14:textId="335A20CC"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23,86</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5977BF08" w14:textId="2827FBD9"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49,01</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1E87D9B" w14:textId="04C37E32"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60,89</w:t>
            </w:r>
            <w:r w:rsidR="00F81DC4">
              <w:rPr>
                <w:rFonts w:ascii="Arial" w:eastAsia="Times New Roman" w:hAnsi="Arial" w:cs="Arial"/>
                <w:color w:val="000000"/>
                <w:sz w:val="18"/>
                <w:szCs w:val="18"/>
                <w:lang w:eastAsia="sl-SI"/>
              </w:rPr>
              <w:t xml:space="preserve"> %</w:t>
            </w:r>
          </w:p>
        </w:tc>
      </w:tr>
      <w:tr w:rsidR="00725711" w:rsidRPr="00725711" w14:paraId="68CEE4AB"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1B37D29D"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Omejeni postopek</w:t>
            </w:r>
          </w:p>
        </w:tc>
        <w:tc>
          <w:tcPr>
            <w:tcW w:w="626" w:type="pct"/>
            <w:tcBorders>
              <w:top w:val="nil"/>
              <w:left w:val="nil"/>
              <w:bottom w:val="single" w:sz="4" w:space="0" w:color="auto"/>
              <w:right w:val="single" w:sz="4" w:space="0" w:color="auto"/>
            </w:tcBorders>
            <w:shd w:val="clear" w:color="auto" w:fill="auto"/>
            <w:vAlign w:val="center"/>
            <w:hideMark/>
          </w:tcPr>
          <w:p w14:paraId="479797D8"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15</w:t>
            </w:r>
          </w:p>
        </w:tc>
        <w:tc>
          <w:tcPr>
            <w:tcW w:w="392" w:type="pct"/>
            <w:tcBorders>
              <w:top w:val="nil"/>
              <w:left w:val="nil"/>
              <w:bottom w:val="single" w:sz="4" w:space="0" w:color="auto"/>
              <w:right w:val="single" w:sz="4" w:space="0" w:color="auto"/>
            </w:tcBorders>
            <w:shd w:val="clear" w:color="auto" w:fill="auto"/>
            <w:vAlign w:val="center"/>
            <w:hideMark/>
          </w:tcPr>
          <w:p w14:paraId="1DA905E6"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46</w:t>
            </w:r>
          </w:p>
        </w:tc>
        <w:tc>
          <w:tcPr>
            <w:tcW w:w="782" w:type="pct"/>
            <w:tcBorders>
              <w:top w:val="nil"/>
              <w:left w:val="nil"/>
              <w:bottom w:val="single" w:sz="4" w:space="0" w:color="auto"/>
              <w:right w:val="single" w:sz="4" w:space="0" w:color="auto"/>
            </w:tcBorders>
            <w:shd w:val="clear" w:color="auto" w:fill="auto"/>
            <w:vAlign w:val="center"/>
            <w:hideMark/>
          </w:tcPr>
          <w:p w14:paraId="78540684"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20.084.882</w:t>
            </w:r>
          </w:p>
        </w:tc>
        <w:tc>
          <w:tcPr>
            <w:tcW w:w="548" w:type="pct"/>
            <w:tcBorders>
              <w:top w:val="nil"/>
              <w:left w:val="nil"/>
              <w:bottom w:val="single" w:sz="4" w:space="0" w:color="auto"/>
              <w:right w:val="single" w:sz="4" w:space="0" w:color="auto"/>
            </w:tcBorders>
            <w:shd w:val="clear" w:color="auto" w:fill="auto"/>
            <w:noWrap/>
            <w:vAlign w:val="center"/>
            <w:hideMark/>
          </w:tcPr>
          <w:p w14:paraId="4A8AFE79" w14:textId="01FF0A71"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0,22</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51513FFF" w14:textId="2DF350D0"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0,27</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51103E3" w14:textId="655A0B79"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0,69</w:t>
            </w:r>
            <w:r w:rsidR="00F81DC4">
              <w:rPr>
                <w:rFonts w:ascii="Arial" w:eastAsia="Times New Roman" w:hAnsi="Arial" w:cs="Arial"/>
                <w:color w:val="000000"/>
                <w:sz w:val="18"/>
                <w:szCs w:val="18"/>
                <w:lang w:eastAsia="sl-SI"/>
              </w:rPr>
              <w:t xml:space="preserve"> %</w:t>
            </w:r>
          </w:p>
        </w:tc>
      </w:tr>
      <w:tr w:rsidR="00725711" w:rsidRPr="00725711" w14:paraId="10BB9384"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64275FB7"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lastRenderedPageBreak/>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558FE963"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4.139</w:t>
            </w:r>
          </w:p>
        </w:tc>
        <w:tc>
          <w:tcPr>
            <w:tcW w:w="392" w:type="pct"/>
            <w:tcBorders>
              <w:top w:val="nil"/>
              <w:left w:val="nil"/>
              <w:bottom w:val="single" w:sz="4" w:space="0" w:color="auto"/>
              <w:right w:val="single" w:sz="4" w:space="0" w:color="auto"/>
            </w:tcBorders>
            <w:shd w:val="clear" w:color="auto" w:fill="auto"/>
            <w:vAlign w:val="center"/>
            <w:hideMark/>
          </w:tcPr>
          <w:p w14:paraId="0CF9691D"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7.343</w:t>
            </w:r>
          </w:p>
        </w:tc>
        <w:tc>
          <w:tcPr>
            <w:tcW w:w="782" w:type="pct"/>
            <w:tcBorders>
              <w:top w:val="nil"/>
              <w:left w:val="nil"/>
              <w:bottom w:val="single" w:sz="4" w:space="0" w:color="auto"/>
              <w:right w:val="single" w:sz="4" w:space="0" w:color="auto"/>
            </w:tcBorders>
            <w:shd w:val="clear" w:color="auto" w:fill="auto"/>
            <w:vAlign w:val="center"/>
            <w:hideMark/>
          </w:tcPr>
          <w:p w14:paraId="57423176"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455.786.131</w:t>
            </w:r>
          </w:p>
        </w:tc>
        <w:tc>
          <w:tcPr>
            <w:tcW w:w="548" w:type="pct"/>
            <w:tcBorders>
              <w:top w:val="nil"/>
              <w:left w:val="nil"/>
              <w:bottom w:val="single" w:sz="4" w:space="0" w:color="auto"/>
              <w:right w:val="single" w:sz="4" w:space="0" w:color="auto"/>
            </w:tcBorders>
            <w:shd w:val="clear" w:color="auto" w:fill="auto"/>
            <w:noWrap/>
            <w:vAlign w:val="center"/>
            <w:hideMark/>
          </w:tcPr>
          <w:p w14:paraId="217050FD" w14:textId="5396DDBA"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61,42</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6CDFBA92" w14:textId="6A05C74C"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43,54</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E0569E0" w14:textId="0AA490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15,62</w:t>
            </w:r>
            <w:r w:rsidR="00F81DC4">
              <w:rPr>
                <w:rFonts w:ascii="Arial" w:eastAsia="Times New Roman" w:hAnsi="Arial" w:cs="Arial"/>
                <w:color w:val="000000"/>
                <w:sz w:val="18"/>
                <w:szCs w:val="18"/>
                <w:lang w:eastAsia="sl-SI"/>
              </w:rPr>
              <w:t xml:space="preserve"> %</w:t>
            </w:r>
          </w:p>
        </w:tc>
      </w:tr>
      <w:tr w:rsidR="00725711" w:rsidRPr="00725711" w14:paraId="31C55E1F"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0716D9F7"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12B49640"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742</w:t>
            </w:r>
          </w:p>
        </w:tc>
        <w:tc>
          <w:tcPr>
            <w:tcW w:w="392" w:type="pct"/>
            <w:tcBorders>
              <w:top w:val="nil"/>
              <w:left w:val="nil"/>
              <w:bottom w:val="single" w:sz="4" w:space="0" w:color="auto"/>
              <w:right w:val="single" w:sz="4" w:space="0" w:color="auto"/>
            </w:tcBorders>
            <w:shd w:val="clear" w:color="auto" w:fill="auto"/>
            <w:vAlign w:val="center"/>
            <w:hideMark/>
          </w:tcPr>
          <w:p w14:paraId="34F4CD99"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828</w:t>
            </w:r>
          </w:p>
        </w:tc>
        <w:tc>
          <w:tcPr>
            <w:tcW w:w="782" w:type="pct"/>
            <w:tcBorders>
              <w:top w:val="nil"/>
              <w:left w:val="nil"/>
              <w:bottom w:val="single" w:sz="4" w:space="0" w:color="auto"/>
              <w:right w:val="single" w:sz="4" w:space="0" w:color="auto"/>
            </w:tcBorders>
            <w:shd w:val="clear" w:color="auto" w:fill="auto"/>
            <w:vAlign w:val="center"/>
            <w:hideMark/>
          </w:tcPr>
          <w:p w14:paraId="2E8030D6"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309.230.886</w:t>
            </w:r>
          </w:p>
        </w:tc>
        <w:tc>
          <w:tcPr>
            <w:tcW w:w="548" w:type="pct"/>
            <w:tcBorders>
              <w:top w:val="nil"/>
              <w:left w:val="nil"/>
              <w:bottom w:val="single" w:sz="4" w:space="0" w:color="auto"/>
              <w:right w:val="single" w:sz="4" w:space="0" w:color="auto"/>
            </w:tcBorders>
            <w:shd w:val="clear" w:color="auto" w:fill="auto"/>
            <w:noWrap/>
            <w:vAlign w:val="center"/>
            <w:hideMark/>
          </w:tcPr>
          <w:p w14:paraId="06DE5BCF" w14:textId="487B57D6"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11,01</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1B74D46A" w14:textId="08967AB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4,91</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C05B388" w14:textId="4A710BD9"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10,60</w:t>
            </w:r>
            <w:r w:rsidR="00F81DC4">
              <w:rPr>
                <w:rFonts w:ascii="Arial" w:eastAsia="Times New Roman" w:hAnsi="Arial" w:cs="Arial"/>
                <w:color w:val="000000"/>
                <w:sz w:val="18"/>
                <w:szCs w:val="18"/>
                <w:lang w:eastAsia="sl-SI"/>
              </w:rPr>
              <w:t xml:space="preserve"> %</w:t>
            </w:r>
          </w:p>
        </w:tc>
      </w:tr>
      <w:tr w:rsidR="00725711" w:rsidRPr="00725711" w14:paraId="1D636CD1"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7BB88C85"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Postopek s pogajanji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71F3D289"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106</w:t>
            </w:r>
          </w:p>
        </w:tc>
        <w:tc>
          <w:tcPr>
            <w:tcW w:w="392" w:type="pct"/>
            <w:tcBorders>
              <w:top w:val="nil"/>
              <w:left w:val="nil"/>
              <w:bottom w:val="single" w:sz="4" w:space="0" w:color="auto"/>
              <w:right w:val="single" w:sz="4" w:space="0" w:color="auto"/>
            </w:tcBorders>
            <w:shd w:val="clear" w:color="auto" w:fill="auto"/>
            <w:vAlign w:val="center"/>
            <w:hideMark/>
          </w:tcPr>
          <w:p w14:paraId="31E0B44D"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222</w:t>
            </w:r>
          </w:p>
        </w:tc>
        <w:tc>
          <w:tcPr>
            <w:tcW w:w="782" w:type="pct"/>
            <w:tcBorders>
              <w:top w:val="nil"/>
              <w:left w:val="nil"/>
              <w:bottom w:val="single" w:sz="4" w:space="0" w:color="auto"/>
              <w:right w:val="single" w:sz="4" w:space="0" w:color="auto"/>
            </w:tcBorders>
            <w:shd w:val="clear" w:color="auto" w:fill="auto"/>
            <w:vAlign w:val="center"/>
            <w:hideMark/>
          </w:tcPr>
          <w:p w14:paraId="1471C26B"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207.757.063</w:t>
            </w:r>
          </w:p>
        </w:tc>
        <w:tc>
          <w:tcPr>
            <w:tcW w:w="548" w:type="pct"/>
            <w:tcBorders>
              <w:top w:val="nil"/>
              <w:left w:val="nil"/>
              <w:bottom w:val="single" w:sz="4" w:space="0" w:color="auto"/>
              <w:right w:val="single" w:sz="4" w:space="0" w:color="auto"/>
            </w:tcBorders>
            <w:shd w:val="clear" w:color="auto" w:fill="auto"/>
            <w:noWrap/>
            <w:vAlign w:val="center"/>
            <w:hideMark/>
          </w:tcPr>
          <w:p w14:paraId="6B3C518B" w14:textId="5273ACCB"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1,57</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04113710" w14:textId="60AD3DB5"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1,32</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37A1424" w14:textId="3DD177A9"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7,12</w:t>
            </w:r>
            <w:r w:rsidR="00F81DC4">
              <w:rPr>
                <w:rFonts w:ascii="Arial" w:eastAsia="Times New Roman" w:hAnsi="Arial" w:cs="Arial"/>
                <w:color w:val="000000"/>
                <w:sz w:val="18"/>
                <w:szCs w:val="18"/>
                <w:lang w:eastAsia="sl-SI"/>
              </w:rPr>
              <w:t xml:space="preserve"> %</w:t>
            </w:r>
          </w:p>
        </w:tc>
      </w:tr>
      <w:tr w:rsidR="00725711" w:rsidRPr="00725711" w14:paraId="45BC93DC"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auto"/>
            <w:vAlign w:val="center"/>
            <w:hideMark/>
          </w:tcPr>
          <w:p w14:paraId="0A524933" w14:textId="77777777" w:rsidR="00725711" w:rsidRPr="00725711" w:rsidRDefault="00725711" w:rsidP="00F81DC4">
            <w:pPr>
              <w:spacing w:after="0" w:line="240" w:lineRule="auto"/>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Postopek zbiranja ponudb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11CED0A5"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13</w:t>
            </w:r>
          </w:p>
        </w:tc>
        <w:tc>
          <w:tcPr>
            <w:tcW w:w="392" w:type="pct"/>
            <w:tcBorders>
              <w:top w:val="nil"/>
              <w:left w:val="nil"/>
              <w:bottom w:val="single" w:sz="4" w:space="0" w:color="auto"/>
              <w:right w:val="single" w:sz="4" w:space="0" w:color="auto"/>
            </w:tcBorders>
            <w:shd w:val="clear" w:color="auto" w:fill="auto"/>
            <w:vAlign w:val="center"/>
            <w:hideMark/>
          </w:tcPr>
          <w:p w14:paraId="4626F660"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13</w:t>
            </w:r>
          </w:p>
        </w:tc>
        <w:tc>
          <w:tcPr>
            <w:tcW w:w="782" w:type="pct"/>
            <w:tcBorders>
              <w:top w:val="nil"/>
              <w:left w:val="nil"/>
              <w:bottom w:val="single" w:sz="4" w:space="0" w:color="auto"/>
              <w:right w:val="single" w:sz="4" w:space="0" w:color="auto"/>
            </w:tcBorders>
            <w:shd w:val="clear" w:color="auto" w:fill="auto"/>
            <w:vAlign w:val="center"/>
            <w:hideMark/>
          </w:tcPr>
          <w:p w14:paraId="5FC68FB3" w14:textId="77777777"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1.625.822</w:t>
            </w:r>
          </w:p>
        </w:tc>
        <w:tc>
          <w:tcPr>
            <w:tcW w:w="548" w:type="pct"/>
            <w:tcBorders>
              <w:top w:val="nil"/>
              <w:left w:val="nil"/>
              <w:bottom w:val="single" w:sz="4" w:space="0" w:color="auto"/>
              <w:right w:val="single" w:sz="4" w:space="0" w:color="auto"/>
            </w:tcBorders>
            <w:shd w:val="clear" w:color="auto" w:fill="auto"/>
            <w:noWrap/>
            <w:vAlign w:val="center"/>
            <w:hideMark/>
          </w:tcPr>
          <w:p w14:paraId="5F83A329" w14:textId="18BD2570"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0,19</w:t>
            </w:r>
            <w:r w:rsidR="00F81DC4">
              <w:rPr>
                <w:rFonts w:ascii="Arial" w:eastAsia="Times New Roman" w:hAnsi="Arial" w:cs="Arial"/>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auto"/>
            <w:noWrap/>
            <w:vAlign w:val="center"/>
            <w:hideMark/>
          </w:tcPr>
          <w:p w14:paraId="581753A1" w14:textId="04684EE1"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0,08</w:t>
            </w:r>
            <w:r w:rsidR="00F81DC4">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11F02B5F" w14:textId="05B44AA9" w:rsidR="00725711" w:rsidRPr="00725711" w:rsidRDefault="00725711" w:rsidP="00F81DC4">
            <w:pPr>
              <w:spacing w:after="0" w:line="240" w:lineRule="auto"/>
              <w:jc w:val="right"/>
              <w:rPr>
                <w:rFonts w:ascii="Arial" w:eastAsia="Times New Roman" w:hAnsi="Arial" w:cs="Arial"/>
                <w:color w:val="000000"/>
                <w:sz w:val="18"/>
                <w:szCs w:val="18"/>
                <w:lang w:eastAsia="sl-SI"/>
              </w:rPr>
            </w:pPr>
            <w:r w:rsidRPr="00725711">
              <w:rPr>
                <w:rFonts w:ascii="Arial" w:eastAsia="Times New Roman" w:hAnsi="Arial" w:cs="Arial"/>
                <w:color w:val="000000"/>
                <w:sz w:val="18"/>
                <w:szCs w:val="18"/>
                <w:lang w:eastAsia="sl-SI"/>
              </w:rPr>
              <w:t>0,06</w:t>
            </w:r>
            <w:r w:rsidR="00F81DC4">
              <w:rPr>
                <w:rFonts w:ascii="Arial" w:eastAsia="Times New Roman" w:hAnsi="Arial" w:cs="Arial"/>
                <w:color w:val="000000"/>
                <w:sz w:val="18"/>
                <w:szCs w:val="18"/>
                <w:lang w:eastAsia="sl-SI"/>
              </w:rPr>
              <w:t xml:space="preserve"> %</w:t>
            </w:r>
          </w:p>
        </w:tc>
      </w:tr>
      <w:tr w:rsidR="00725711" w:rsidRPr="00725711" w14:paraId="023EDF95" w14:textId="77777777" w:rsidTr="00F81DC4">
        <w:trPr>
          <w:trHeight w:val="300"/>
        </w:trPr>
        <w:tc>
          <w:tcPr>
            <w:tcW w:w="1639" w:type="pct"/>
            <w:tcBorders>
              <w:top w:val="nil"/>
              <w:left w:val="single" w:sz="4" w:space="0" w:color="auto"/>
              <w:bottom w:val="single" w:sz="4" w:space="0" w:color="auto"/>
              <w:right w:val="single" w:sz="4" w:space="0" w:color="auto"/>
            </w:tcBorders>
            <w:shd w:val="clear" w:color="auto" w:fill="E7E6E6" w:themeFill="background2"/>
            <w:vAlign w:val="center"/>
            <w:hideMark/>
          </w:tcPr>
          <w:p w14:paraId="6E81292C" w14:textId="77777777" w:rsidR="00725711" w:rsidRPr="00725711" w:rsidRDefault="00725711" w:rsidP="00F81DC4">
            <w:pPr>
              <w:spacing w:after="0" w:line="240" w:lineRule="auto"/>
              <w:rPr>
                <w:rFonts w:ascii="Arial" w:eastAsia="Times New Roman" w:hAnsi="Arial" w:cs="Arial"/>
                <w:b/>
                <w:bCs/>
                <w:color w:val="000000"/>
                <w:sz w:val="18"/>
                <w:szCs w:val="18"/>
                <w:lang w:eastAsia="sl-SI"/>
              </w:rPr>
            </w:pPr>
            <w:r w:rsidRPr="00725711">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6C157D69" w14:textId="77777777" w:rsidR="00725711" w:rsidRPr="00725711" w:rsidRDefault="00725711" w:rsidP="00F81DC4">
            <w:pPr>
              <w:spacing w:after="0" w:line="240" w:lineRule="auto"/>
              <w:jc w:val="right"/>
              <w:rPr>
                <w:rFonts w:ascii="Arial" w:eastAsia="Times New Roman" w:hAnsi="Arial" w:cs="Arial"/>
                <w:b/>
                <w:bCs/>
                <w:color w:val="000000"/>
                <w:sz w:val="18"/>
                <w:szCs w:val="18"/>
                <w:lang w:eastAsia="sl-SI"/>
              </w:rPr>
            </w:pPr>
            <w:r w:rsidRPr="00725711">
              <w:rPr>
                <w:rFonts w:ascii="Arial" w:eastAsia="Times New Roman" w:hAnsi="Arial" w:cs="Arial"/>
                <w:b/>
                <w:bCs/>
                <w:color w:val="000000"/>
                <w:sz w:val="18"/>
                <w:szCs w:val="18"/>
                <w:lang w:eastAsia="sl-SI"/>
              </w:rPr>
              <w:t>6.739</w:t>
            </w:r>
          </w:p>
        </w:tc>
        <w:tc>
          <w:tcPr>
            <w:tcW w:w="392" w:type="pct"/>
            <w:tcBorders>
              <w:top w:val="nil"/>
              <w:left w:val="nil"/>
              <w:bottom w:val="single" w:sz="4" w:space="0" w:color="auto"/>
              <w:right w:val="single" w:sz="4" w:space="0" w:color="auto"/>
            </w:tcBorders>
            <w:shd w:val="clear" w:color="auto" w:fill="E7E6E6" w:themeFill="background2"/>
            <w:noWrap/>
            <w:vAlign w:val="center"/>
            <w:hideMark/>
          </w:tcPr>
          <w:p w14:paraId="0F790BE0" w14:textId="77777777" w:rsidR="00725711" w:rsidRPr="00725711" w:rsidRDefault="00725711" w:rsidP="00F81DC4">
            <w:pPr>
              <w:spacing w:after="0" w:line="240" w:lineRule="auto"/>
              <w:jc w:val="right"/>
              <w:rPr>
                <w:rFonts w:ascii="Arial" w:eastAsia="Times New Roman" w:hAnsi="Arial" w:cs="Arial"/>
                <w:b/>
                <w:bCs/>
                <w:color w:val="000000"/>
                <w:sz w:val="18"/>
                <w:szCs w:val="18"/>
                <w:lang w:eastAsia="sl-SI"/>
              </w:rPr>
            </w:pPr>
            <w:r w:rsidRPr="00725711">
              <w:rPr>
                <w:rFonts w:ascii="Arial" w:eastAsia="Times New Roman" w:hAnsi="Arial" w:cs="Arial"/>
                <w:b/>
                <w:bCs/>
                <w:color w:val="000000"/>
                <w:sz w:val="18"/>
                <w:szCs w:val="18"/>
                <w:lang w:eastAsia="sl-SI"/>
              </w:rPr>
              <w:t>16.865</w:t>
            </w:r>
          </w:p>
        </w:tc>
        <w:tc>
          <w:tcPr>
            <w:tcW w:w="782" w:type="pct"/>
            <w:tcBorders>
              <w:top w:val="nil"/>
              <w:left w:val="nil"/>
              <w:bottom w:val="single" w:sz="4" w:space="0" w:color="auto"/>
              <w:right w:val="single" w:sz="4" w:space="0" w:color="auto"/>
            </w:tcBorders>
            <w:shd w:val="clear" w:color="auto" w:fill="E7E6E6" w:themeFill="background2"/>
            <w:noWrap/>
            <w:vAlign w:val="center"/>
            <w:hideMark/>
          </w:tcPr>
          <w:p w14:paraId="31C9450D" w14:textId="77777777" w:rsidR="00725711" w:rsidRPr="00725711" w:rsidRDefault="00725711" w:rsidP="00F81DC4">
            <w:pPr>
              <w:spacing w:after="0" w:line="240" w:lineRule="auto"/>
              <w:jc w:val="right"/>
              <w:rPr>
                <w:rFonts w:ascii="Arial" w:eastAsia="Times New Roman" w:hAnsi="Arial" w:cs="Arial"/>
                <w:b/>
                <w:bCs/>
                <w:color w:val="000000"/>
                <w:sz w:val="18"/>
                <w:szCs w:val="18"/>
                <w:lang w:eastAsia="sl-SI"/>
              </w:rPr>
            </w:pPr>
            <w:r w:rsidRPr="00725711">
              <w:rPr>
                <w:rFonts w:ascii="Arial" w:eastAsia="Times New Roman" w:hAnsi="Arial" w:cs="Arial"/>
                <w:b/>
                <w:bCs/>
                <w:color w:val="000000"/>
                <w:sz w:val="18"/>
                <w:szCs w:val="18"/>
                <w:lang w:eastAsia="sl-SI"/>
              </w:rPr>
              <w:t>2.918.594.609</w:t>
            </w:r>
          </w:p>
        </w:tc>
        <w:tc>
          <w:tcPr>
            <w:tcW w:w="548" w:type="pct"/>
            <w:tcBorders>
              <w:top w:val="nil"/>
              <w:left w:val="nil"/>
              <w:bottom w:val="single" w:sz="4" w:space="0" w:color="auto"/>
              <w:right w:val="single" w:sz="4" w:space="0" w:color="auto"/>
            </w:tcBorders>
            <w:shd w:val="clear" w:color="auto" w:fill="E7E6E6" w:themeFill="background2"/>
            <w:noWrap/>
            <w:vAlign w:val="center"/>
            <w:hideMark/>
          </w:tcPr>
          <w:p w14:paraId="116AD1CD" w14:textId="678E4AA1" w:rsidR="00725711" w:rsidRPr="00F81DC4" w:rsidRDefault="00725711" w:rsidP="00F81DC4">
            <w:pPr>
              <w:spacing w:after="0" w:line="240" w:lineRule="auto"/>
              <w:jc w:val="right"/>
              <w:rPr>
                <w:rFonts w:ascii="Arial" w:eastAsia="Times New Roman" w:hAnsi="Arial" w:cs="Arial"/>
                <w:b/>
                <w:color w:val="000000"/>
                <w:sz w:val="18"/>
                <w:szCs w:val="18"/>
                <w:lang w:eastAsia="sl-SI"/>
              </w:rPr>
            </w:pPr>
            <w:r w:rsidRPr="00F81DC4">
              <w:rPr>
                <w:rFonts w:ascii="Arial" w:eastAsia="Times New Roman" w:hAnsi="Arial" w:cs="Arial"/>
                <w:b/>
                <w:color w:val="000000"/>
                <w:sz w:val="18"/>
                <w:szCs w:val="18"/>
                <w:lang w:eastAsia="sl-SI"/>
              </w:rPr>
              <w:t>100,00</w:t>
            </w:r>
            <w:r w:rsidR="00F81DC4">
              <w:rPr>
                <w:rFonts w:ascii="Arial" w:eastAsia="Times New Roman" w:hAnsi="Arial" w:cs="Arial"/>
                <w:b/>
                <w:color w:val="000000"/>
                <w:sz w:val="18"/>
                <w:szCs w:val="18"/>
                <w:lang w:eastAsia="sl-SI"/>
              </w:rPr>
              <w:t xml:space="preserve"> %</w:t>
            </w:r>
          </w:p>
        </w:tc>
        <w:tc>
          <w:tcPr>
            <w:tcW w:w="532" w:type="pct"/>
            <w:tcBorders>
              <w:top w:val="nil"/>
              <w:left w:val="nil"/>
              <w:bottom w:val="single" w:sz="4" w:space="0" w:color="auto"/>
              <w:right w:val="single" w:sz="4" w:space="0" w:color="auto"/>
            </w:tcBorders>
            <w:shd w:val="clear" w:color="auto" w:fill="E7E6E6" w:themeFill="background2"/>
            <w:noWrap/>
            <w:vAlign w:val="center"/>
            <w:hideMark/>
          </w:tcPr>
          <w:p w14:paraId="49FF634A" w14:textId="0B5696A2" w:rsidR="00725711" w:rsidRPr="00F81DC4" w:rsidRDefault="00725711" w:rsidP="00F81DC4">
            <w:pPr>
              <w:spacing w:after="0" w:line="240" w:lineRule="auto"/>
              <w:jc w:val="right"/>
              <w:rPr>
                <w:rFonts w:ascii="Arial" w:eastAsia="Times New Roman" w:hAnsi="Arial" w:cs="Arial"/>
                <w:b/>
                <w:color w:val="000000"/>
                <w:sz w:val="18"/>
                <w:szCs w:val="18"/>
                <w:lang w:eastAsia="sl-SI"/>
              </w:rPr>
            </w:pPr>
            <w:r w:rsidRPr="00F81DC4">
              <w:rPr>
                <w:rFonts w:ascii="Arial" w:eastAsia="Times New Roman" w:hAnsi="Arial" w:cs="Arial"/>
                <w:b/>
                <w:color w:val="000000"/>
                <w:sz w:val="18"/>
                <w:szCs w:val="18"/>
                <w:lang w:eastAsia="sl-SI"/>
              </w:rPr>
              <w:t>100,00</w:t>
            </w:r>
            <w:r w:rsidR="00F81DC4">
              <w:rPr>
                <w:rFonts w:ascii="Arial" w:eastAsia="Times New Roman" w:hAnsi="Arial" w:cs="Arial"/>
                <w:b/>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E7E6E6" w:themeFill="background2"/>
            <w:noWrap/>
            <w:vAlign w:val="center"/>
            <w:hideMark/>
          </w:tcPr>
          <w:p w14:paraId="6590E21A" w14:textId="318949C2" w:rsidR="00725711" w:rsidRPr="00F81DC4" w:rsidRDefault="00725711" w:rsidP="00F81DC4">
            <w:pPr>
              <w:spacing w:after="0" w:line="240" w:lineRule="auto"/>
              <w:jc w:val="right"/>
              <w:rPr>
                <w:rFonts w:ascii="Arial" w:eastAsia="Times New Roman" w:hAnsi="Arial" w:cs="Arial"/>
                <w:b/>
                <w:color w:val="000000"/>
                <w:sz w:val="18"/>
                <w:szCs w:val="18"/>
                <w:lang w:eastAsia="sl-SI"/>
              </w:rPr>
            </w:pPr>
            <w:r w:rsidRPr="00F81DC4">
              <w:rPr>
                <w:rFonts w:ascii="Arial" w:eastAsia="Times New Roman" w:hAnsi="Arial" w:cs="Arial"/>
                <w:b/>
                <w:color w:val="000000"/>
                <w:sz w:val="18"/>
                <w:szCs w:val="18"/>
                <w:lang w:eastAsia="sl-SI"/>
              </w:rPr>
              <w:t>100,00</w:t>
            </w:r>
            <w:r w:rsidR="00F81DC4">
              <w:rPr>
                <w:rFonts w:ascii="Arial" w:eastAsia="Times New Roman" w:hAnsi="Arial" w:cs="Arial"/>
                <w:b/>
                <w:color w:val="000000"/>
                <w:sz w:val="18"/>
                <w:szCs w:val="18"/>
                <w:lang w:eastAsia="sl-SI"/>
              </w:rPr>
              <w:t xml:space="preserve"> %</w:t>
            </w:r>
          </w:p>
        </w:tc>
      </w:tr>
    </w:tbl>
    <w:p w14:paraId="26578A9A" w14:textId="77777777" w:rsidR="003156F5" w:rsidRPr="0084179E" w:rsidRDefault="003156F5" w:rsidP="00CE0F33">
      <w:pPr>
        <w:spacing w:after="0" w:line="240" w:lineRule="auto"/>
        <w:jc w:val="center"/>
        <w:rPr>
          <w:rFonts w:ascii="Arial" w:hAnsi="Arial" w:cs="Arial"/>
          <w:sz w:val="18"/>
        </w:rPr>
      </w:pPr>
    </w:p>
    <w:p w14:paraId="632BC814" w14:textId="77777777" w:rsidR="00F20CF1" w:rsidRDefault="006F709C" w:rsidP="00F20CF1">
      <w:pPr>
        <w:tabs>
          <w:tab w:val="left" w:pos="567"/>
          <w:tab w:val="left" w:pos="993"/>
        </w:tabs>
        <w:spacing w:line="360" w:lineRule="auto"/>
        <w:jc w:val="center"/>
        <w:rPr>
          <w:rFonts w:ascii="Arial" w:hAnsi="Arial" w:cs="Arial"/>
          <w:bCs/>
          <w:sz w:val="20"/>
          <w:szCs w:val="20"/>
        </w:rPr>
      </w:pPr>
      <w:r w:rsidRPr="0084179E">
        <w:rPr>
          <w:rFonts w:ascii="Arial" w:hAnsi="Arial" w:cs="Arial"/>
          <w:sz w:val="18"/>
        </w:rPr>
        <w:t>Vir: Statistični podatki o javnih naročilih, oddanih v letu 2</w:t>
      </w:r>
      <w:r w:rsidR="005D4F1D" w:rsidRPr="0084179E">
        <w:rPr>
          <w:rFonts w:ascii="Arial" w:hAnsi="Arial" w:cs="Arial"/>
          <w:sz w:val="18"/>
        </w:rPr>
        <w:t>01</w:t>
      </w:r>
      <w:r w:rsidR="00CE0F33" w:rsidRPr="0084179E">
        <w:rPr>
          <w:rFonts w:ascii="Arial" w:hAnsi="Arial" w:cs="Arial"/>
          <w:sz w:val="18"/>
        </w:rPr>
        <w:t>8</w:t>
      </w:r>
    </w:p>
    <w:p w14:paraId="21DF9EF9" w14:textId="425C39E5" w:rsidR="006F709C" w:rsidRPr="00EF2D0B" w:rsidRDefault="006F709C" w:rsidP="006F709C">
      <w:pPr>
        <w:tabs>
          <w:tab w:val="left" w:pos="567"/>
          <w:tab w:val="left" w:pos="993"/>
        </w:tabs>
        <w:spacing w:line="360" w:lineRule="auto"/>
        <w:jc w:val="both"/>
        <w:rPr>
          <w:rFonts w:ascii="Arial" w:hAnsi="Arial" w:cs="Arial"/>
          <w:bCs/>
          <w:sz w:val="20"/>
          <w:szCs w:val="20"/>
          <w:highlight w:val="yellow"/>
        </w:rPr>
      </w:pPr>
      <w:r w:rsidRPr="00F245FD">
        <w:rPr>
          <w:rFonts w:ascii="Arial" w:hAnsi="Arial" w:cs="Arial"/>
          <w:bCs/>
          <w:sz w:val="20"/>
          <w:szCs w:val="20"/>
        </w:rPr>
        <w:t xml:space="preserve">V primerjavi s preteklimi leti so naročniki </w:t>
      </w:r>
      <w:r w:rsidR="00DC4799" w:rsidRPr="00F245FD">
        <w:rPr>
          <w:rFonts w:ascii="Arial" w:hAnsi="Arial" w:cs="Arial"/>
          <w:bCs/>
          <w:sz w:val="20"/>
          <w:szCs w:val="20"/>
        </w:rPr>
        <w:t xml:space="preserve">tudi </w:t>
      </w:r>
      <w:r w:rsidR="00430814" w:rsidRPr="00F245FD">
        <w:rPr>
          <w:rFonts w:ascii="Arial" w:hAnsi="Arial" w:cs="Arial"/>
          <w:bCs/>
          <w:sz w:val="20"/>
          <w:szCs w:val="20"/>
        </w:rPr>
        <w:t>let</w:t>
      </w:r>
      <w:r w:rsidR="00EC1BBF">
        <w:rPr>
          <w:rFonts w:ascii="Arial" w:hAnsi="Arial" w:cs="Arial"/>
          <w:bCs/>
          <w:sz w:val="20"/>
          <w:szCs w:val="20"/>
        </w:rPr>
        <w:t>a</w:t>
      </w:r>
      <w:r w:rsidR="00430814" w:rsidRPr="00F245FD">
        <w:rPr>
          <w:rFonts w:ascii="Arial" w:hAnsi="Arial" w:cs="Arial"/>
          <w:bCs/>
          <w:sz w:val="20"/>
          <w:szCs w:val="20"/>
        </w:rPr>
        <w:t xml:space="preserve"> 201</w:t>
      </w:r>
      <w:r w:rsidR="001962E9">
        <w:rPr>
          <w:rFonts w:ascii="Arial" w:hAnsi="Arial" w:cs="Arial"/>
          <w:bCs/>
          <w:sz w:val="20"/>
          <w:szCs w:val="20"/>
        </w:rPr>
        <w:t>8</w:t>
      </w:r>
      <w:r w:rsidRPr="00F245FD">
        <w:rPr>
          <w:rFonts w:ascii="Arial" w:hAnsi="Arial" w:cs="Arial"/>
          <w:bCs/>
          <w:sz w:val="20"/>
          <w:szCs w:val="20"/>
        </w:rPr>
        <w:t xml:space="preserve"> najpogosteje izvedli postopek oddaje naročila male vrednosti, in sicer </w:t>
      </w:r>
      <w:r w:rsidR="00F245FD" w:rsidRPr="00F245FD">
        <w:rPr>
          <w:rFonts w:ascii="Arial" w:hAnsi="Arial" w:cs="Arial"/>
          <w:bCs/>
          <w:sz w:val="20"/>
          <w:szCs w:val="20"/>
        </w:rPr>
        <w:t>4139</w:t>
      </w:r>
      <w:r w:rsidRPr="00F245FD">
        <w:rPr>
          <w:rFonts w:ascii="Arial" w:hAnsi="Arial" w:cs="Arial"/>
          <w:bCs/>
          <w:sz w:val="20"/>
          <w:szCs w:val="20"/>
        </w:rPr>
        <w:t xml:space="preserve">-krat oziroma v </w:t>
      </w:r>
      <w:r w:rsidR="00F245FD" w:rsidRPr="00F245FD">
        <w:rPr>
          <w:rFonts w:ascii="Arial" w:hAnsi="Arial" w:cs="Arial"/>
          <w:bCs/>
          <w:sz w:val="20"/>
          <w:szCs w:val="20"/>
        </w:rPr>
        <w:t>61,42</w:t>
      </w:r>
      <w:r w:rsidRPr="00F245FD">
        <w:rPr>
          <w:rFonts w:ascii="Arial" w:hAnsi="Arial" w:cs="Arial"/>
          <w:bCs/>
          <w:sz w:val="20"/>
          <w:szCs w:val="20"/>
        </w:rPr>
        <w:t xml:space="preserve"> %, delež tega postopka pa se je v primerjavi s preteklim letom povečal za </w:t>
      </w:r>
      <w:r w:rsidR="00F245FD" w:rsidRPr="00F245FD">
        <w:rPr>
          <w:rFonts w:ascii="Arial" w:hAnsi="Arial" w:cs="Arial"/>
          <w:bCs/>
          <w:sz w:val="20"/>
          <w:szCs w:val="20"/>
        </w:rPr>
        <w:t>1,35</w:t>
      </w:r>
      <w:r w:rsidR="00755C38">
        <w:rPr>
          <w:rFonts w:ascii="Arial" w:hAnsi="Arial" w:cs="Arial"/>
          <w:bCs/>
          <w:sz w:val="20"/>
          <w:szCs w:val="20"/>
        </w:rPr>
        <w:t xml:space="preserve"> </w:t>
      </w:r>
      <w:r w:rsidRPr="00F245FD">
        <w:rPr>
          <w:rFonts w:ascii="Arial" w:hAnsi="Arial" w:cs="Arial"/>
          <w:bCs/>
          <w:sz w:val="20"/>
          <w:szCs w:val="20"/>
        </w:rPr>
        <w:t>odstotne točke</w:t>
      </w:r>
      <w:r w:rsidRPr="00254CE9">
        <w:rPr>
          <w:rFonts w:ascii="Arial" w:hAnsi="Arial" w:cs="Arial"/>
          <w:bCs/>
          <w:sz w:val="20"/>
          <w:szCs w:val="20"/>
        </w:rPr>
        <w:t>. Glede na leto 201</w:t>
      </w:r>
      <w:r w:rsidR="00F245FD" w:rsidRPr="00254CE9">
        <w:rPr>
          <w:rFonts w:ascii="Arial" w:hAnsi="Arial" w:cs="Arial"/>
          <w:bCs/>
          <w:sz w:val="20"/>
          <w:szCs w:val="20"/>
        </w:rPr>
        <w:t>7</w:t>
      </w:r>
      <w:r w:rsidRPr="00254CE9">
        <w:rPr>
          <w:rFonts w:ascii="Arial" w:hAnsi="Arial" w:cs="Arial"/>
          <w:bCs/>
          <w:sz w:val="20"/>
          <w:szCs w:val="20"/>
        </w:rPr>
        <w:t xml:space="preserve"> se</w:t>
      </w:r>
      <w:r w:rsidR="00310BEF" w:rsidRPr="00254CE9">
        <w:rPr>
          <w:rFonts w:ascii="Arial" w:hAnsi="Arial" w:cs="Arial"/>
          <w:bCs/>
          <w:sz w:val="20"/>
          <w:szCs w:val="20"/>
        </w:rPr>
        <w:t xml:space="preserve"> je</w:t>
      </w:r>
      <w:r w:rsidRPr="00254CE9">
        <w:rPr>
          <w:rFonts w:ascii="Arial" w:hAnsi="Arial" w:cs="Arial"/>
          <w:bCs/>
          <w:sz w:val="20"/>
          <w:szCs w:val="20"/>
        </w:rPr>
        <w:t xml:space="preserve"> za </w:t>
      </w:r>
      <w:r w:rsidR="00F40BCD" w:rsidRPr="00254CE9">
        <w:rPr>
          <w:rFonts w:ascii="Arial" w:hAnsi="Arial" w:cs="Arial"/>
          <w:bCs/>
          <w:sz w:val="20"/>
          <w:szCs w:val="20"/>
        </w:rPr>
        <w:t>0,98</w:t>
      </w:r>
      <w:r w:rsidRPr="00254CE9">
        <w:rPr>
          <w:rFonts w:ascii="Arial" w:hAnsi="Arial" w:cs="Arial"/>
          <w:bCs/>
          <w:sz w:val="20"/>
          <w:szCs w:val="20"/>
        </w:rPr>
        <w:t xml:space="preserve"> odstotne točke </w:t>
      </w:r>
      <w:r w:rsidR="0058437C" w:rsidRPr="00254CE9">
        <w:rPr>
          <w:rFonts w:ascii="Arial" w:hAnsi="Arial" w:cs="Arial"/>
          <w:bCs/>
          <w:sz w:val="20"/>
          <w:szCs w:val="20"/>
        </w:rPr>
        <w:t>zmanjšal</w:t>
      </w:r>
      <w:r w:rsidRPr="00254CE9">
        <w:rPr>
          <w:rFonts w:ascii="Arial" w:hAnsi="Arial" w:cs="Arial"/>
          <w:bCs/>
          <w:sz w:val="20"/>
          <w:szCs w:val="20"/>
        </w:rPr>
        <w:t xml:space="preserve"> delež odprtih postopkov, </w:t>
      </w:r>
      <w:r w:rsidR="00116B76" w:rsidRPr="00254CE9">
        <w:rPr>
          <w:rFonts w:ascii="Arial" w:hAnsi="Arial" w:cs="Arial"/>
          <w:bCs/>
          <w:sz w:val="20"/>
          <w:szCs w:val="20"/>
        </w:rPr>
        <w:t>to</w:t>
      </w:r>
      <w:r w:rsidRPr="00254CE9">
        <w:rPr>
          <w:rFonts w:ascii="Arial" w:hAnsi="Arial" w:cs="Arial"/>
          <w:bCs/>
          <w:sz w:val="20"/>
          <w:szCs w:val="20"/>
        </w:rPr>
        <w:t xml:space="preserve"> je bil let</w:t>
      </w:r>
      <w:r w:rsidR="00EC1BBF">
        <w:rPr>
          <w:rFonts w:ascii="Arial" w:hAnsi="Arial" w:cs="Arial"/>
          <w:bCs/>
          <w:sz w:val="20"/>
          <w:szCs w:val="20"/>
        </w:rPr>
        <w:t>a</w:t>
      </w:r>
      <w:r w:rsidRPr="00254CE9">
        <w:rPr>
          <w:rFonts w:ascii="Arial" w:hAnsi="Arial" w:cs="Arial"/>
          <w:bCs/>
          <w:sz w:val="20"/>
          <w:szCs w:val="20"/>
        </w:rPr>
        <w:t xml:space="preserve"> 201</w:t>
      </w:r>
      <w:r w:rsidR="00254CE9" w:rsidRPr="00254CE9">
        <w:rPr>
          <w:rFonts w:ascii="Arial" w:hAnsi="Arial" w:cs="Arial"/>
          <w:bCs/>
          <w:sz w:val="20"/>
          <w:szCs w:val="20"/>
        </w:rPr>
        <w:t>8</w:t>
      </w:r>
      <w:r w:rsidRPr="00254CE9">
        <w:rPr>
          <w:rFonts w:ascii="Arial" w:hAnsi="Arial" w:cs="Arial"/>
          <w:bCs/>
          <w:sz w:val="20"/>
          <w:szCs w:val="20"/>
        </w:rPr>
        <w:t xml:space="preserve"> drugi najpogosteje uporabljen</w:t>
      </w:r>
      <w:r w:rsidR="002B7C52" w:rsidRPr="00254CE9">
        <w:rPr>
          <w:rFonts w:ascii="Arial" w:hAnsi="Arial" w:cs="Arial"/>
          <w:bCs/>
          <w:sz w:val="20"/>
          <w:szCs w:val="20"/>
        </w:rPr>
        <w:t>i</w:t>
      </w:r>
      <w:r w:rsidRPr="00254CE9">
        <w:rPr>
          <w:rFonts w:ascii="Arial" w:hAnsi="Arial" w:cs="Arial"/>
          <w:bCs/>
          <w:sz w:val="20"/>
          <w:szCs w:val="20"/>
        </w:rPr>
        <w:t xml:space="preserve"> postopek z deležem </w:t>
      </w:r>
      <w:r w:rsidR="005E40D6" w:rsidRPr="00254CE9">
        <w:rPr>
          <w:rFonts w:ascii="Arial" w:hAnsi="Arial" w:cs="Arial"/>
          <w:bCs/>
          <w:sz w:val="20"/>
          <w:szCs w:val="20"/>
        </w:rPr>
        <w:t>2</w:t>
      </w:r>
      <w:r w:rsidR="00254CE9" w:rsidRPr="00254CE9">
        <w:rPr>
          <w:rFonts w:ascii="Arial" w:hAnsi="Arial" w:cs="Arial"/>
          <w:bCs/>
          <w:sz w:val="20"/>
          <w:szCs w:val="20"/>
        </w:rPr>
        <w:t>3,86</w:t>
      </w:r>
      <w:r w:rsidRPr="00254CE9">
        <w:rPr>
          <w:rFonts w:ascii="Arial" w:hAnsi="Arial" w:cs="Arial"/>
          <w:bCs/>
          <w:sz w:val="20"/>
          <w:szCs w:val="20"/>
        </w:rPr>
        <w:t xml:space="preserve"> % in </w:t>
      </w:r>
      <w:r w:rsidR="005E40D6" w:rsidRPr="00254CE9">
        <w:rPr>
          <w:rFonts w:ascii="Arial" w:hAnsi="Arial" w:cs="Arial"/>
          <w:bCs/>
          <w:sz w:val="20"/>
          <w:szCs w:val="20"/>
        </w:rPr>
        <w:t>1</w:t>
      </w:r>
      <w:r w:rsidR="00254CE9" w:rsidRPr="00254CE9">
        <w:rPr>
          <w:rFonts w:ascii="Arial" w:hAnsi="Arial" w:cs="Arial"/>
          <w:bCs/>
          <w:sz w:val="20"/>
          <w:szCs w:val="20"/>
        </w:rPr>
        <w:t>608</w:t>
      </w:r>
      <w:r w:rsidRPr="00254CE9">
        <w:rPr>
          <w:rFonts w:ascii="Arial" w:hAnsi="Arial" w:cs="Arial"/>
          <w:bCs/>
          <w:sz w:val="20"/>
          <w:szCs w:val="20"/>
        </w:rPr>
        <w:t xml:space="preserve"> izvedenimi postopki</w:t>
      </w:r>
      <w:r w:rsidRPr="00315326">
        <w:rPr>
          <w:rFonts w:ascii="Arial" w:hAnsi="Arial" w:cs="Arial"/>
          <w:bCs/>
          <w:sz w:val="20"/>
          <w:szCs w:val="20"/>
        </w:rPr>
        <w:t xml:space="preserve">. </w:t>
      </w:r>
      <w:r w:rsidR="00833AEB" w:rsidRPr="00315326">
        <w:rPr>
          <w:rFonts w:ascii="Arial" w:hAnsi="Arial" w:cs="Arial"/>
          <w:bCs/>
          <w:sz w:val="20"/>
          <w:szCs w:val="20"/>
        </w:rPr>
        <w:t>Tretji najpogosteje uporabljeni postopek je bil postopek s pogajanji brez predhodne objave z</w:t>
      </w:r>
      <w:r w:rsidRPr="00315326">
        <w:rPr>
          <w:rFonts w:ascii="Arial" w:hAnsi="Arial" w:cs="Arial"/>
          <w:bCs/>
          <w:sz w:val="20"/>
          <w:szCs w:val="20"/>
        </w:rPr>
        <w:t xml:space="preserve"> deležem </w:t>
      </w:r>
      <w:r w:rsidR="0058437C" w:rsidRPr="00315326">
        <w:rPr>
          <w:rFonts w:ascii="Arial" w:hAnsi="Arial" w:cs="Arial"/>
          <w:bCs/>
          <w:sz w:val="20"/>
          <w:szCs w:val="20"/>
        </w:rPr>
        <w:t>1</w:t>
      </w:r>
      <w:r w:rsidR="00315326" w:rsidRPr="00315326">
        <w:rPr>
          <w:rFonts w:ascii="Arial" w:hAnsi="Arial" w:cs="Arial"/>
          <w:bCs/>
          <w:sz w:val="20"/>
          <w:szCs w:val="20"/>
        </w:rPr>
        <w:t>1,01</w:t>
      </w:r>
      <w:r w:rsidRPr="00315326">
        <w:rPr>
          <w:rFonts w:ascii="Arial" w:hAnsi="Arial" w:cs="Arial"/>
          <w:bCs/>
          <w:sz w:val="20"/>
          <w:szCs w:val="20"/>
        </w:rPr>
        <w:t xml:space="preserve"> % in </w:t>
      </w:r>
      <w:r w:rsidR="00315326" w:rsidRPr="00315326">
        <w:rPr>
          <w:rFonts w:ascii="Arial" w:hAnsi="Arial" w:cs="Arial"/>
          <w:bCs/>
          <w:sz w:val="20"/>
          <w:szCs w:val="20"/>
        </w:rPr>
        <w:t>742</w:t>
      </w:r>
      <w:r w:rsidRPr="00315326">
        <w:rPr>
          <w:rFonts w:ascii="Arial" w:hAnsi="Arial" w:cs="Arial"/>
          <w:bCs/>
          <w:sz w:val="20"/>
          <w:szCs w:val="20"/>
        </w:rPr>
        <w:t xml:space="preserve"> izvedenimi postopki</w:t>
      </w:r>
      <w:r w:rsidR="00833AEB" w:rsidRPr="00315326">
        <w:rPr>
          <w:rFonts w:ascii="Arial" w:hAnsi="Arial" w:cs="Arial"/>
          <w:bCs/>
          <w:sz w:val="20"/>
          <w:szCs w:val="20"/>
        </w:rPr>
        <w:t>, ki se je glede na leto 201</w:t>
      </w:r>
      <w:r w:rsidR="00315326" w:rsidRPr="00315326">
        <w:rPr>
          <w:rFonts w:ascii="Arial" w:hAnsi="Arial" w:cs="Arial"/>
          <w:bCs/>
          <w:sz w:val="20"/>
          <w:szCs w:val="20"/>
        </w:rPr>
        <w:t>7</w:t>
      </w:r>
      <w:r w:rsidRPr="00315326">
        <w:rPr>
          <w:rFonts w:ascii="Arial" w:hAnsi="Arial" w:cs="Arial"/>
          <w:bCs/>
          <w:sz w:val="20"/>
          <w:szCs w:val="20"/>
        </w:rPr>
        <w:t xml:space="preserve"> </w:t>
      </w:r>
      <w:r w:rsidR="00315326" w:rsidRPr="00315326">
        <w:rPr>
          <w:rFonts w:ascii="Arial" w:hAnsi="Arial" w:cs="Arial"/>
          <w:bCs/>
          <w:sz w:val="20"/>
          <w:szCs w:val="20"/>
        </w:rPr>
        <w:t>povečal za 0,32</w:t>
      </w:r>
      <w:r w:rsidRPr="00315326">
        <w:rPr>
          <w:rFonts w:ascii="Arial" w:hAnsi="Arial" w:cs="Arial"/>
          <w:bCs/>
          <w:sz w:val="20"/>
          <w:szCs w:val="20"/>
        </w:rPr>
        <w:t> odstotne točke</w:t>
      </w:r>
      <w:r w:rsidRPr="002E3B81">
        <w:rPr>
          <w:rFonts w:ascii="Arial" w:hAnsi="Arial" w:cs="Arial"/>
          <w:bCs/>
          <w:sz w:val="20"/>
          <w:szCs w:val="20"/>
        </w:rPr>
        <w:t>. Navedeni postopki pomenijo 9</w:t>
      </w:r>
      <w:r w:rsidR="002E3B81" w:rsidRPr="002E3B81">
        <w:rPr>
          <w:rFonts w:ascii="Arial" w:hAnsi="Arial" w:cs="Arial"/>
          <w:bCs/>
          <w:sz w:val="20"/>
          <w:szCs w:val="20"/>
        </w:rPr>
        <w:t>6,29</w:t>
      </w:r>
      <w:r w:rsidRPr="002E3B81">
        <w:rPr>
          <w:rFonts w:ascii="Arial" w:hAnsi="Arial" w:cs="Arial"/>
          <w:bCs/>
          <w:sz w:val="20"/>
          <w:szCs w:val="20"/>
        </w:rPr>
        <w:t> % vseh dokončanih postopkov v letu 201</w:t>
      </w:r>
      <w:r w:rsidR="002E3B81" w:rsidRPr="002E3B81">
        <w:rPr>
          <w:rFonts w:ascii="Arial" w:hAnsi="Arial" w:cs="Arial"/>
          <w:bCs/>
          <w:sz w:val="20"/>
          <w:szCs w:val="20"/>
        </w:rPr>
        <w:t>8</w:t>
      </w:r>
      <w:r w:rsidRPr="002E3B81">
        <w:rPr>
          <w:rFonts w:ascii="Arial" w:hAnsi="Arial" w:cs="Arial"/>
          <w:bCs/>
          <w:sz w:val="20"/>
          <w:szCs w:val="20"/>
        </w:rPr>
        <w:t xml:space="preserve"> in po vrednosti </w:t>
      </w:r>
      <w:r w:rsidR="006C01B7" w:rsidRPr="002E3B81">
        <w:rPr>
          <w:rFonts w:ascii="Arial" w:hAnsi="Arial" w:cs="Arial"/>
          <w:bCs/>
          <w:sz w:val="20"/>
          <w:szCs w:val="20"/>
        </w:rPr>
        <w:t>8</w:t>
      </w:r>
      <w:r w:rsidR="002E3B81" w:rsidRPr="002E3B81">
        <w:rPr>
          <w:rFonts w:ascii="Arial" w:hAnsi="Arial" w:cs="Arial"/>
          <w:bCs/>
          <w:sz w:val="20"/>
          <w:szCs w:val="20"/>
        </w:rPr>
        <w:t>7,1</w:t>
      </w:r>
      <w:r w:rsidRPr="002E3B81">
        <w:rPr>
          <w:rFonts w:ascii="Arial" w:hAnsi="Arial" w:cs="Arial"/>
          <w:bCs/>
          <w:sz w:val="20"/>
          <w:szCs w:val="20"/>
        </w:rPr>
        <w:t> %.</w:t>
      </w:r>
    </w:p>
    <w:p w14:paraId="26BC7750" w14:textId="7B767CF0" w:rsidR="006F709C" w:rsidRPr="003E1C71" w:rsidRDefault="006F709C" w:rsidP="00E94653">
      <w:pPr>
        <w:rPr>
          <w:rFonts w:ascii="Arial" w:hAnsi="Arial" w:cs="Arial"/>
          <w:sz w:val="20"/>
        </w:rPr>
      </w:pPr>
      <w:r w:rsidRPr="003E1C71">
        <w:rPr>
          <w:rFonts w:ascii="Arial" w:hAnsi="Arial" w:cs="Arial"/>
          <w:sz w:val="20"/>
        </w:rPr>
        <w:t xml:space="preserve">Graf </w:t>
      </w:r>
      <w:r w:rsidR="00E430F6" w:rsidRPr="003E1C71">
        <w:rPr>
          <w:rFonts w:ascii="Arial" w:hAnsi="Arial" w:cs="Arial"/>
          <w:sz w:val="20"/>
        </w:rPr>
        <w:t>2</w:t>
      </w:r>
      <w:r w:rsidRPr="003E1C71">
        <w:rPr>
          <w:rFonts w:ascii="Arial" w:hAnsi="Arial" w:cs="Arial"/>
          <w:sz w:val="20"/>
        </w:rPr>
        <w:t xml:space="preserve">: Porazdelitev </w:t>
      </w:r>
      <w:r w:rsidR="00023F19" w:rsidRPr="003E1C71">
        <w:rPr>
          <w:rFonts w:ascii="Arial" w:hAnsi="Arial" w:cs="Arial"/>
          <w:sz w:val="20"/>
        </w:rPr>
        <w:t>vrst</w:t>
      </w:r>
      <w:r w:rsidR="007B5AE3" w:rsidRPr="003E1C71">
        <w:rPr>
          <w:rFonts w:ascii="Arial" w:hAnsi="Arial" w:cs="Arial"/>
          <w:sz w:val="20"/>
        </w:rPr>
        <w:t xml:space="preserve"> postopkov </w:t>
      </w:r>
      <w:r w:rsidR="0099207C" w:rsidRPr="003E1C71">
        <w:rPr>
          <w:rFonts w:ascii="Arial" w:hAnsi="Arial" w:cs="Arial"/>
          <w:sz w:val="20"/>
        </w:rPr>
        <w:t xml:space="preserve">javnega naročanja po letih </w:t>
      </w:r>
      <w:r w:rsidR="007B5AE3" w:rsidRPr="003E1C71">
        <w:rPr>
          <w:rFonts w:ascii="Arial" w:hAnsi="Arial" w:cs="Arial"/>
          <w:sz w:val="20"/>
        </w:rPr>
        <w:t>v obdobju 2013–201</w:t>
      </w:r>
      <w:r w:rsidR="00E079E2">
        <w:rPr>
          <w:rFonts w:ascii="Arial" w:hAnsi="Arial" w:cs="Arial"/>
          <w:sz w:val="20"/>
        </w:rPr>
        <w:t>9</w:t>
      </w:r>
      <w:r w:rsidRPr="003E1C71">
        <w:rPr>
          <w:rFonts w:ascii="Arial" w:hAnsi="Arial" w:cs="Arial"/>
          <w:sz w:val="20"/>
        </w:rPr>
        <w:t xml:space="preserve"> glede na število </w:t>
      </w:r>
      <w:r w:rsidR="00023F19" w:rsidRPr="003E1C71">
        <w:rPr>
          <w:rFonts w:ascii="Arial" w:hAnsi="Arial" w:cs="Arial"/>
          <w:sz w:val="20"/>
        </w:rPr>
        <w:t>vseh postopkov</w:t>
      </w:r>
      <w:r w:rsidR="00126B24" w:rsidRPr="003E1C71">
        <w:rPr>
          <w:rFonts w:ascii="Arial" w:hAnsi="Arial" w:cs="Arial"/>
          <w:sz w:val="20"/>
        </w:rPr>
        <w:t xml:space="preserve"> </w:t>
      </w:r>
    </w:p>
    <w:p w14:paraId="3214FB9A" w14:textId="1D1636C5" w:rsidR="00126B24" w:rsidRPr="003E1C71" w:rsidRDefault="00126B24" w:rsidP="00126B24">
      <w:pPr>
        <w:spacing w:after="240" w:line="240" w:lineRule="auto"/>
        <w:jc w:val="center"/>
        <w:rPr>
          <w:rFonts w:ascii="Arial" w:hAnsi="Arial" w:cs="Arial"/>
          <w:sz w:val="18"/>
        </w:rPr>
      </w:pPr>
      <w:r w:rsidRPr="003E1C71">
        <w:rPr>
          <w:rFonts w:ascii="Arial" w:hAnsi="Arial" w:cs="Arial"/>
          <w:noProof/>
          <w:lang w:eastAsia="sl-SI"/>
        </w:rPr>
        <w:drawing>
          <wp:inline distT="0" distB="0" distL="0" distR="0" wp14:anchorId="783FD850" wp14:editId="1400DE1A">
            <wp:extent cx="5374005" cy="4233553"/>
            <wp:effectExtent l="0" t="0" r="17145" b="14605"/>
            <wp:docPr id="4" name="Grafikon 4" descr="Porazdelitev vrst postopkov javnega naročanja po letih v obdobju 2013–2019 glede na število vseh postopkov.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0F1C3D" w14:textId="12B0C67A" w:rsidR="006F709C" w:rsidRPr="00EF2D0B" w:rsidRDefault="006F709C" w:rsidP="00701C10">
      <w:pPr>
        <w:spacing w:after="240" w:line="240" w:lineRule="auto"/>
        <w:jc w:val="center"/>
        <w:rPr>
          <w:rFonts w:ascii="Arial" w:hAnsi="Arial" w:cs="Arial"/>
          <w:sz w:val="18"/>
          <w:highlight w:val="yellow"/>
        </w:rPr>
      </w:pPr>
      <w:r w:rsidRPr="003E1C71">
        <w:rPr>
          <w:rFonts w:ascii="Arial" w:hAnsi="Arial" w:cs="Arial"/>
          <w:sz w:val="18"/>
        </w:rPr>
        <w:t>Vir: Statistični podatki o javnih naročilih, odda</w:t>
      </w:r>
      <w:r w:rsidR="007B5AE3" w:rsidRPr="003E1C71">
        <w:rPr>
          <w:rFonts w:ascii="Arial" w:hAnsi="Arial" w:cs="Arial"/>
          <w:sz w:val="18"/>
        </w:rPr>
        <w:t xml:space="preserve">nih v letih 2013, 2014, 2015, </w:t>
      </w:r>
      <w:r w:rsidRPr="003E1C71">
        <w:rPr>
          <w:rFonts w:ascii="Arial" w:hAnsi="Arial" w:cs="Arial"/>
          <w:sz w:val="18"/>
        </w:rPr>
        <w:t>2016</w:t>
      </w:r>
      <w:r w:rsidR="003E1C71" w:rsidRPr="003E1C71">
        <w:rPr>
          <w:rFonts w:ascii="Arial" w:hAnsi="Arial" w:cs="Arial"/>
          <w:sz w:val="18"/>
        </w:rPr>
        <w:t xml:space="preserve">, </w:t>
      </w:r>
      <w:r w:rsidR="00E079E2">
        <w:rPr>
          <w:rFonts w:ascii="Arial" w:hAnsi="Arial" w:cs="Arial"/>
          <w:sz w:val="18"/>
        </w:rPr>
        <w:t>2017, 2018 in 2019</w:t>
      </w:r>
    </w:p>
    <w:p w14:paraId="5712E3B1" w14:textId="1EE44A19" w:rsidR="006F709C" w:rsidRPr="00FB1D39" w:rsidRDefault="00C44197" w:rsidP="00B346C9">
      <w:pPr>
        <w:tabs>
          <w:tab w:val="left" w:pos="567"/>
          <w:tab w:val="left" w:pos="993"/>
        </w:tabs>
        <w:spacing w:line="360" w:lineRule="auto"/>
        <w:jc w:val="both"/>
        <w:rPr>
          <w:rFonts w:ascii="Arial" w:hAnsi="Arial" w:cs="Arial"/>
          <w:bCs/>
          <w:sz w:val="20"/>
          <w:szCs w:val="20"/>
        </w:rPr>
      </w:pPr>
      <w:r w:rsidRPr="005A70C5">
        <w:rPr>
          <w:rFonts w:ascii="Arial" w:hAnsi="Arial" w:cs="Arial"/>
          <w:bCs/>
          <w:sz w:val="20"/>
          <w:szCs w:val="20"/>
        </w:rPr>
        <w:lastRenderedPageBreak/>
        <w:t>S</w:t>
      </w:r>
      <w:r w:rsidR="008770AC" w:rsidRPr="005A70C5">
        <w:rPr>
          <w:rFonts w:ascii="Arial" w:hAnsi="Arial" w:cs="Arial"/>
          <w:bCs/>
          <w:sz w:val="20"/>
          <w:szCs w:val="20"/>
        </w:rPr>
        <w:t>podnj</w:t>
      </w:r>
      <w:r w:rsidRPr="005A70C5">
        <w:rPr>
          <w:rFonts w:ascii="Arial" w:hAnsi="Arial" w:cs="Arial"/>
          <w:bCs/>
          <w:sz w:val="20"/>
          <w:szCs w:val="20"/>
        </w:rPr>
        <w:t>a</w:t>
      </w:r>
      <w:r w:rsidR="008770AC" w:rsidRPr="005A70C5">
        <w:rPr>
          <w:rFonts w:ascii="Arial" w:hAnsi="Arial" w:cs="Arial"/>
          <w:bCs/>
          <w:sz w:val="20"/>
          <w:szCs w:val="20"/>
        </w:rPr>
        <w:t xml:space="preserve"> preglednic</w:t>
      </w:r>
      <w:r w:rsidRPr="005A70C5">
        <w:rPr>
          <w:rFonts w:ascii="Arial" w:hAnsi="Arial" w:cs="Arial"/>
          <w:bCs/>
          <w:sz w:val="20"/>
          <w:szCs w:val="20"/>
        </w:rPr>
        <w:t>a prikazuje</w:t>
      </w:r>
      <w:r w:rsidR="008770AC" w:rsidRPr="005A70C5">
        <w:rPr>
          <w:rFonts w:ascii="Arial" w:hAnsi="Arial" w:cs="Arial"/>
          <w:bCs/>
          <w:sz w:val="20"/>
          <w:szCs w:val="20"/>
        </w:rPr>
        <w:t xml:space="preserve"> število, vrednost in delež v številu ter vrednosti naročil</w:t>
      </w:r>
      <w:r w:rsidR="00D60C03" w:rsidRPr="005A70C5">
        <w:rPr>
          <w:rFonts w:ascii="Arial" w:hAnsi="Arial" w:cs="Arial"/>
          <w:bCs/>
          <w:sz w:val="20"/>
          <w:szCs w:val="20"/>
        </w:rPr>
        <w:t>, ki so jih v postopkih javnega naročanja oddali naročniki, glede na mesto objave obvestila o oddaji javnega naročila</w:t>
      </w:r>
      <w:r w:rsidR="00D60C03" w:rsidRPr="00FB1D39">
        <w:rPr>
          <w:rFonts w:ascii="Arial" w:hAnsi="Arial" w:cs="Arial"/>
          <w:bCs/>
          <w:sz w:val="20"/>
          <w:szCs w:val="20"/>
        </w:rPr>
        <w:t xml:space="preserve">. </w:t>
      </w:r>
      <w:r w:rsidR="00105F07" w:rsidRPr="00FB1D39">
        <w:rPr>
          <w:rFonts w:ascii="Arial" w:hAnsi="Arial" w:cs="Arial"/>
          <w:bCs/>
          <w:sz w:val="20"/>
          <w:szCs w:val="20"/>
        </w:rPr>
        <w:t>P</w:t>
      </w:r>
      <w:r w:rsidR="00D60C03" w:rsidRPr="00FB1D39">
        <w:rPr>
          <w:rFonts w:ascii="Arial" w:hAnsi="Arial" w:cs="Arial"/>
          <w:bCs/>
          <w:sz w:val="20"/>
          <w:szCs w:val="20"/>
        </w:rPr>
        <w:t>odatk</w:t>
      </w:r>
      <w:r w:rsidR="00105F07" w:rsidRPr="00FB1D39">
        <w:rPr>
          <w:rFonts w:ascii="Arial" w:hAnsi="Arial" w:cs="Arial"/>
          <w:bCs/>
          <w:sz w:val="20"/>
          <w:szCs w:val="20"/>
        </w:rPr>
        <w:t>i kažejo</w:t>
      </w:r>
      <w:r w:rsidR="00D60C03" w:rsidRPr="00FB1D39">
        <w:rPr>
          <w:rFonts w:ascii="Arial" w:hAnsi="Arial" w:cs="Arial"/>
          <w:bCs/>
          <w:sz w:val="20"/>
          <w:szCs w:val="20"/>
        </w:rPr>
        <w:t>, da naročniki manjše</w:t>
      </w:r>
      <w:r w:rsidR="002B7C52" w:rsidRPr="00FB1D39">
        <w:rPr>
          <w:rFonts w:ascii="Arial" w:hAnsi="Arial" w:cs="Arial"/>
          <w:bCs/>
          <w:sz w:val="20"/>
          <w:szCs w:val="20"/>
        </w:rPr>
        <w:t>ga</w:t>
      </w:r>
      <w:r w:rsidR="00D60C03" w:rsidRPr="00FB1D39">
        <w:rPr>
          <w:rFonts w:ascii="Arial" w:hAnsi="Arial" w:cs="Arial"/>
          <w:bCs/>
          <w:sz w:val="20"/>
          <w:szCs w:val="20"/>
        </w:rPr>
        <w:t xml:space="preserve"> števil</w:t>
      </w:r>
      <w:r w:rsidR="00105F07" w:rsidRPr="00FB1D39">
        <w:rPr>
          <w:rFonts w:ascii="Arial" w:hAnsi="Arial" w:cs="Arial"/>
          <w:bCs/>
          <w:sz w:val="20"/>
          <w:szCs w:val="20"/>
        </w:rPr>
        <w:t>a</w:t>
      </w:r>
      <w:r w:rsidR="00D60C03" w:rsidRPr="00FB1D39">
        <w:rPr>
          <w:rFonts w:ascii="Arial" w:hAnsi="Arial" w:cs="Arial"/>
          <w:bCs/>
          <w:sz w:val="20"/>
          <w:szCs w:val="20"/>
        </w:rPr>
        <w:t xml:space="preserve"> postopkov, ki se sicer uporabljajo za oddajo javnih naročil nad pragovi, ki so določeni za objavo v Uradnem listu Evropske unije, na tem mestu niso objavili.</w:t>
      </w:r>
    </w:p>
    <w:p w14:paraId="48C987D8" w14:textId="60DBB31F" w:rsidR="00693B40" w:rsidRPr="009A6B85" w:rsidRDefault="00B346C9" w:rsidP="00E94653">
      <w:pPr>
        <w:jc w:val="both"/>
        <w:rPr>
          <w:rFonts w:ascii="Arial" w:hAnsi="Arial" w:cs="Arial"/>
          <w:sz w:val="20"/>
        </w:rPr>
      </w:pPr>
      <w:r w:rsidRPr="009A6B85">
        <w:rPr>
          <w:rFonts w:ascii="Arial" w:hAnsi="Arial" w:cs="Arial"/>
          <w:sz w:val="20"/>
        </w:rPr>
        <w:t xml:space="preserve">Preglednica </w:t>
      </w:r>
      <w:r w:rsidR="00EB4423">
        <w:rPr>
          <w:rFonts w:ascii="Arial" w:hAnsi="Arial" w:cs="Arial"/>
          <w:sz w:val="20"/>
        </w:rPr>
        <w:t>8</w:t>
      </w:r>
      <w:r w:rsidRPr="009A6B85">
        <w:rPr>
          <w:rFonts w:ascii="Arial" w:hAnsi="Arial" w:cs="Arial"/>
          <w:sz w:val="20"/>
        </w:rPr>
        <w:t xml:space="preserve">: </w:t>
      </w:r>
      <w:r w:rsidR="0099207C" w:rsidRPr="009A6B85">
        <w:rPr>
          <w:rFonts w:ascii="Arial" w:hAnsi="Arial" w:cs="Arial"/>
          <w:sz w:val="20"/>
        </w:rPr>
        <w:t>Naročila v postopkih javne</w:t>
      </w:r>
      <w:r w:rsidR="00AD71E4" w:rsidRPr="009A6B85">
        <w:rPr>
          <w:rFonts w:ascii="Arial" w:hAnsi="Arial" w:cs="Arial"/>
          <w:sz w:val="20"/>
        </w:rPr>
        <w:t>ga naročanja, objavljena na p</w:t>
      </w:r>
      <w:r w:rsidR="0099207C" w:rsidRPr="009A6B85">
        <w:rPr>
          <w:rFonts w:ascii="Arial" w:hAnsi="Arial" w:cs="Arial"/>
          <w:sz w:val="20"/>
        </w:rPr>
        <w:t>ortalu javnih naročil in v Uradnem listu Evropske unije, glede na mesto objave in izvedeni postopek v letu 201</w:t>
      </w:r>
      <w:r w:rsidR="006E503D" w:rsidRPr="009A6B85">
        <w:rPr>
          <w:rFonts w:ascii="Arial" w:hAnsi="Arial" w:cs="Arial"/>
          <w:sz w:val="20"/>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119"/>
        <w:gridCol w:w="1133"/>
        <w:gridCol w:w="1292"/>
        <w:gridCol w:w="1269"/>
        <w:gridCol w:w="1261"/>
      </w:tblGrid>
      <w:tr w:rsidR="0080315B" w:rsidRPr="0080315B" w14:paraId="4867EF09" w14:textId="77777777" w:rsidTr="0080315B">
        <w:trPr>
          <w:trHeight w:val="960"/>
        </w:trPr>
        <w:tc>
          <w:tcPr>
            <w:tcW w:w="545" w:type="pct"/>
            <w:shd w:val="clear" w:color="000000" w:fill="EDEDED"/>
            <w:vAlign w:val="center"/>
            <w:hideMark/>
          </w:tcPr>
          <w:p w14:paraId="66B5E277"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Objava v UL EU</w:t>
            </w:r>
          </w:p>
        </w:tc>
        <w:tc>
          <w:tcPr>
            <w:tcW w:w="1720" w:type="pct"/>
            <w:shd w:val="clear" w:color="000000" w:fill="EDEDED"/>
            <w:vAlign w:val="center"/>
            <w:hideMark/>
          </w:tcPr>
          <w:p w14:paraId="6ABDDD99"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Vrsta postopka</w:t>
            </w:r>
          </w:p>
        </w:tc>
        <w:tc>
          <w:tcPr>
            <w:tcW w:w="625" w:type="pct"/>
            <w:shd w:val="clear" w:color="000000" w:fill="EDEDED"/>
            <w:vAlign w:val="center"/>
            <w:hideMark/>
          </w:tcPr>
          <w:p w14:paraId="10EB25C7"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Št. naročil</w:t>
            </w:r>
          </w:p>
        </w:tc>
        <w:tc>
          <w:tcPr>
            <w:tcW w:w="713" w:type="pct"/>
            <w:shd w:val="clear" w:color="000000" w:fill="EDEDED"/>
            <w:vAlign w:val="center"/>
            <w:hideMark/>
          </w:tcPr>
          <w:p w14:paraId="28150C0D"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Pogodbena vrednost</w:t>
            </w:r>
          </w:p>
        </w:tc>
        <w:tc>
          <w:tcPr>
            <w:tcW w:w="700" w:type="pct"/>
            <w:shd w:val="clear" w:color="000000" w:fill="EDEDED"/>
            <w:vAlign w:val="center"/>
            <w:hideMark/>
          </w:tcPr>
          <w:p w14:paraId="4A7C1082"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Delež v št. vseh naročil</w:t>
            </w:r>
          </w:p>
        </w:tc>
        <w:tc>
          <w:tcPr>
            <w:tcW w:w="697" w:type="pct"/>
            <w:shd w:val="clear" w:color="000000" w:fill="EDEDED"/>
            <w:vAlign w:val="center"/>
            <w:hideMark/>
          </w:tcPr>
          <w:p w14:paraId="14923780"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Delež v vrednosti vseh naročil</w:t>
            </w:r>
          </w:p>
        </w:tc>
      </w:tr>
      <w:tr w:rsidR="0080315B" w:rsidRPr="0080315B" w14:paraId="0BB48EAA" w14:textId="77777777" w:rsidTr="0080315B">
        <w:trPr>
          <w:trHeight w:val="300"/>
        </w:trPr>
        <w:tc>
          <w:tcPr>
            <w:tcW w:w="545" w:type="pct"/>
            <w:vMerge w:val="restart"/>
            <w:shd w:val="clear" w:color="auto" w:fill="auto"/>
            <w:vAlign w:val="center"/>
            <w:hideMark/>
          </w:tcPr>
          <w:p w14:paraId="5649F553" w14:textId="677387BF" w:rsidR="0080315B" w:rsidRPr="0080315B" w:rsidRDefault="00216983" w:rsidP="00EB4423">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1720" w:type="pct"/>
            <w:shd w:val="clear" w:color="auto" w:fill="auto"/>
            <w:vAlign w:val="center"/>
            <w:hideMark/>
          </w:tcPr>
          <w:p w14:paraId="6E554ECF"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Konkurenčni dialog</w:t>
            </w:r>
          </w:p>
        </w:tc>
        <w:tc>
          <w:tcPr>
            <w:tcW w:w="625" w:type="pct"/>
            <w:shd w:val="clear" w:color="auto" w:fill="auto"/>
            <w:vAlign w:val="center"/>
            <w:hideMark/>
          </w:tcPr>
          <w:p w14:paraId="59BD5D59"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5</w:t>
            </w:r>
          </w:p>
        </w:tc>
        <w:tc>
          <w:tcPr>
            <w:tcW w:w="713" w:type="pct"/>
            <w:shd w:val="clear" w:color="auto" w:fill="auto"/>
            <w:vAlign w:val="center"/>
            <w:hideMark/>
          </w:tcPr>
          <w:p w14:paraId="50B30CCD"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12.649.659</w:t>
            </w:r>
          </w:p>
        </w:tc>
        <w:tc>
          <w:tcPr>
            <w:tcW w:w="700" w:type="pct"/>
            <w:shd w:val="clear" w:color="auto" w:fill="auto"/>
            <w:noWrap/>
            <w:vAlign w:val="center"/>
            <w:hideMark/>
          </w:tcPr>
          <w:p w14:paraId="7FFEFCC5" w14:textId="08449B53"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74340BC6" w14:textId="4E74912B"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0,43</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2361C692" w14:textId="77777777" w:rsidTr="0080315B">
        <w:trPr>
          <w:trHeight w:val="300"/>
        </w:trPr>
        <w:tc>
          <w:tcPr>
            <w:tcW w:w="545" w:type="pct"/>
            <w:vMerge/>
            <w:vAlign w:val="center"/>
            <w:hideMark/>
          </w:tcPr>
          <w:p w14:paraId="28D1BA3E"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10E2B5FE"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Konkurenčni postopek s pogajanji</w:t>
            </w:r>
          </w:p>
        </w:tc>
        <w:tc>
          <w:tcPr>
            <w:tcW w:w="625" w:type="pct"/>
            <w:shd w:val="clear" w:color="auto" w:fill="auto"/>
            <w:vAlign w:val="center"/>
            <w:hideMark/>
          </w:tcPr>
          <w:p w14:paraId="646C801A"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36</w:t>
            </w:r>
          </w:p>
        </w:tc>
        <w:tc>
          <w:tcPr>
            <w:tcW w:w="713" w:type="pct"/>
            <w:shd w:val="clear" w:color="auto" w:fill="auto"/>
            <w:vAlign w:val="center"/>
            <w:hideMark/>
          </w:tcPr>
          <w:p w14:paraId="317B5371"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39.575.013</w:t>
            </w:r>
          </w:p>
        </w:tc>
        <w:tc>
          <w:tcPr>
            <w:tcW w:w="700" w:type="pct"/>
            <w:shd w:val="clear" w:color="auto" w:fill="auto"/>
            <w:noWrap/>
            <w:vAlign w:val="center"/>
            <w:hideMark/>
          </w:tcPr>
          <w:p w14:paraId="633CE267" w14:textId="771EA3A8"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31C666C8" w14:textId="2F91AA90"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1,36</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1F2FE8CD" w14:textId="77777777" w:rsidTr="0080315B">
        <w:trPr>
          <w:trHeight w:val="300"/>
        </w:trPr>
        <w:tc>
          <w:tcPr>
            <w:tcW w:w="545" w:type="pct"/>
            <w:vMerge/>
            <w:vAlign w:val="center"/>
            <w:hideMark/>
          </w:tcPr>
          <w:p w14:paraId="790BA68D"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4F01756B"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Odprti postopek</w:t>
            </w:r>
          </w:p>
        </w:tc>
        <w:tc>
          <w:tcPr>
            <w:tcW w:w="625" w:type="pct"/>
            <w:shd w:val="clear" w:color="auto" w:fill="auto"/>
            <w:vAlign w:val="center"/>
            <w:hideMark/>
          </w:tcPr>
          <w:p w14:paraId="06027001"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7.504</w:t>
            </w:r>
          </w:p>
        </w:tc>
        <w:tc>
          <w:tcPr>
            <w:tcW w:w="713" w:type="pct"/>
            <w:shd w:val="clear" w:color="auto" w:fill="auto"/>
            <w:vAlign w:val="center"/>
            <w:hideMark/>
          </w:tcPr>
          <w:p w14:paraId="268F7995"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1.445.983.304</w:t>
            </w:r>
          </w:p>
        </w:tc>
        <w:tc>
          <w:tcPr>
            <w:tcW w:w="700" w:type="pct"/>
            <w:shd w:val="clear" w:color="auto" w:fill="auto"/>
            <w:noWrap/>
            <w:vAlign w:val="center"/>
            <w:hideMark/>
          </w:tcPr>
          <w:p w14:paraId="69380AD7" w14:textId="6649150F"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44,49</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2604BF69" w14:textId="6B640CD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49,54</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3B7B76B0" w14:textId="77777777" w:rsidTr="0080315B">
        <w:trPr>
          <w:trHeight w:val="300"/>
        </w:trPr>
        <w:tc>
          <w:tcPr>
            <w:tcW w:w="545" w:type="pct"/>
            <w:vMerge/>
            <w:vAlign w:val="center"/>
            <w:hideMark/>
          </w:tcPr>
          <w:p w14:paraId="0C02C928"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61EBBE59"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Omejeni postopek</w:t>
            </w:r>
          </w:p>
        </w:tc>
        <w:tc>
          <w:tcPr>
            <w:tcW w:w="625" w:type="pct"/>
            <w:shd w:val="clear" w:color="auto" w:fill="auto"/>
            <w:vAlign w:val="center"/>
            <w:hideMark/>
          </w:tcPr>
          <w:p w14:paraId="2BF24CBA"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34</w:t>
            </w:r>
          </w:p>
        </w:tc>
        <w:tc>
          <w:tcPr>
            <w:tcW w:w="713" w:type="pct"/>
            <w:shd w:val="clear" w:color="auto" w:fill="auto"/>
            <w:vAlign w:val="center"/>
            <w:hideMark/>
          </w:tcPr>
          <w:p w14:paraId="097640BC"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11.136.840</w:t>
            </w:r>
          </w:p>
        </w:tc>
        <w:tc>
          <w:tcPr>
            <w:tcW w:w="700" w:type="pct"/>
            <w:shd w:val="clear" w:color="auto" w:fill="auto"/>
            <w:noWrap/>
            <w:vAlign w:val="center"/>
            <w:hideMark/>
          </w:tcPr>
          <w:p w14:paraId="189E1283" w14:textId="1CFB713F"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0338F77F" w14:textId="4E415635"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0,38</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65E30439" w14:textId="77777777" w:rsidTr="0080315B">
        <w:trPr>
          <w:trHeight w:val="300"/>
        </w:trPr>
        <w:tc>
          <w:tcPr>
            <w:tcW w:w="545" w:type="pct"/>
            <w:vMerge/>
            <w:vAlign w:val="center"/>
            <w:hideMark/>
          </w:tcPr>
          <w:p w14:paraId="0A851695"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2EC0180A"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Postopek s pogajanji brez predhodne objave</w:t>
            </w:r>
          </w:p>
        </w:tc>
        <w:tc>
          <w:tcPr>
            <w:tcW w:w="625" w:type="pct"/>
            <w:shd w:val="clear" w:color="auto" w:fill="auto"/>
            <w:vAlign w:val="center"/>
            <w:hideMark/>
          </w:tcPr>
          <w:p w14:paraId="1A66FD2B"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243</w:t>
            </w:r>
          </w:p>
        </w:tc>
        <w:tc>
          <w:tcPr>
            <w:tcW w:w="713" w:type="pct"/>
            <w:shd w:val="clear" w:color="auto" w:fill="auto"/>
            <w:vAlign w:val="center"/>
            <w:hideMark/>
          </w:tcPr>
          <w:p w14:paraId="7C0B23AC"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235.303.389</w:t>
            </w:r>
          </w:p>
        </w:tc>
        <w:tc>
          <w:tcPr>
            <w:tcW w:w="700" w:type="pct"/>
            <w:shd w:val="clear" w:color="auto" w:fill="auto"/>
            <w:noWrap/>
            <w:vAlign w:val="center"/>
            <w:hideMark/>
          </w:tcPr>
          <w:p w14:paraId="52648182" w14:textId="6FCC3DA4"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1,44</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74C93429" w14:textId="19388A74"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8,06</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3A0D3BC4" w14:textId="77777777" w:rsidTr="0080315B">
        <w:trPr>
          <w:trHeight w:val="300"/>
        </w:trPr>
        <w:tc>
          <w:tcPr>
            <w:tcW w:w="545" w:type="pct"/>
            <w:vMerge/>
            <w:vAlign w:val="center"/>
            <w:hideMark/>
          </w:tcPr>
          <w:p w14:paraId="5125FE4F"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399A035A"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Postopek s pogajanji po predhodni objavi</w:t>
            </w:r>
          </w:p>
        </w:tc>
        <w:tc>
          <w:tcPr>
            <w:tcW w:w="625" w:type="pct"/>
            <w:shd w:val="clear" w:color="auto" w:fill="auto"/>
            <w:vAlign w:val="center"/>
            <w:hideMark/>
          </w:tcPr>
          <w:p w14:paraId="647F67B0"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211</w:t>
            </w:r>
          </w:p>
        </w:tc>
        <w:tc>
          <w:tcPr>
            <w:tcW w:w="713" w:type="pct"/>
            <w:shd w:val="clear" w:color="auto" w:fill="auto"/>
            <w:vAlign w:val="center"/>
            <w:hideMark/>
          </w:tcPr>
          <w:p w14:paraId="06B9BC88"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200.472.171</w:t>
            </w:r>
          </w:p>
        </w:tc>
        <w:tc>
          <w:tcPr>
            <w:tcW w:w="700" w:type="pct"/>
            <w:shd w:val="clear" w:color="auto" w:fill="auto"/>
            <w:noWrap/>
            <w:vAlign w:val="center"/>
            <w:hideMark/>
          </w:tcPr>
          <w:p w14:paraId="1E826EF9" w14:textId="1F2A94DA"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1,25</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0CE7F777" w14:textId="24330528"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6,87</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77EDFC67" w14:textId="77777777" w:rsidTr="0080315B">
        <w:trPr>
          <w:trHeight w:val="300"/>
        </w:trPr>
        <w:tc>
          <w:tcPr>
            <w:tcW w:w="545" w:type="pct"/>
            <w:vMerge/>
            <w:vAlign w:val="center"/>
            <w:hideMark/>
          </w:tcPr>
          <w:p w14:paraId="28BA9623"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191E7E94" w14:textId="77777777" w:rsidR="0080315B" w:rsidRPr="0080315B" w:rsidRDefault="0080315B" w:rsidP="0080315B">
            <w:pPr>
              <w:spacing w:after="0" w:line="240" w:lineRule="auto"/>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Skupaj</w:t>
            </w:r>
          </w:p>
        </w:tc>
        <w:tc>
          <w:tcPr>
            <w:tcW w:w="625" w:type="pct"/>
            <w:shd w:val="clear" w:color="auto" w:fill="auto"/>
            <w:vAlign w:val="center"/>
            <w:hideMark/>
          </w:tcPr>
          <w:p w14:paraId="41EAC0A4" w14:textId="77777777"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8.033</w:t>
            </w:r>
          </w:p>
        </w:tc>
        <w:tc>
          <w:tcPr>
            <w:tcW w:w="713" w:type="pct"/>
            <w:shd w:val="clear" w:color="auto" w:fill="auto"/>
            <w:vAlign w:val="center"/>
            <w:hideMark/>
          </w:tcPr>
          <w:p w14:paraId="65ED3B5A" w14:textId="77777777"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1.945.120.376</w:t>
            </w:r>
          </w:p>
        </w:tc>
        <w:tc>
          <w:tcPr>
            <w:tcW w:w="700" w:type="pct"/>
            <w:shd w:val="clear" w:color="auto" w:fill="auto"/>
            <w:noWrap/>
            <w:vAlign w:val="center"/>
            <w:hideMark/>
          </w:tcPr>
          <w:p w14:paraId="590ADB7D" w14:textId="0F5857D5"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47,63</w:t>
            </w:r>
            <w:r>
              <w:rPr>
                <w:rFonts w:ascii="Arial" w:eastAsia="Times New Roman" w:hAnsi="Arial" w:cs="Arial"/>
                <w:b/>
                <w:bCs/>
                <w:color w:val="000000"/>
                <w:sz w:val="18"/>
                <w:szCs w:val="18"/>
                <w:lang w:eastAsia="sl-SI"/>
              </w:rPr>
              <w:t xml:space="preserve"> %</w:t>
            </w:r>
          </w:p>
        </w:tc>
        <w:tc>
          <w:tcPr>
            <w:tcW w:w="697" w:type="pct"/>
            <w:shd w:val="clear" w:color="auto" w:fill="auto"/>
            <w:noWrap/>
            <w:vAlign w:val="center"/>
            <w:hideMark/>
          </w:tcPr>
          <w:p w14:paraId="1093248D" w14:textId="51923C64"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66,65</w:t>
            </w:r>
            <w:r w:rsidR="00EC1BBF">
              <w:rPr>
                <w:rFonts w:ascii="Arial" w:eastAsia="Times New Roman" w:hAnsi="Arial" w:cs="Arial"/>
                <w:b/>
                <w:bCs/>
                <w:color w:val="000000"/>
                <w:sz w:val="18"/>
                <w:szCs w:val="18"/>
                <w:lang w:eastAsia="sl-SI"/>
              </w:rPr>
              <w:t xml:space="preserve"> </w:t>
            </w:r>
            <w:r w:rsidRPr="0080315B">
              <w:rPr>
                <w:rFonts w:ascii="Arial" w:eastAsia="Times New Roman" w:hAnsi="Arial" w:cs="Arial"/>
                <w:b/>
                <w:bCs/>
                <w:color w:val="000000"/>
                <w:sz w:val="18"/>
                <w:szCs w:val="18"/>
                <w:lang w:eastAsia="sl-SI"/>
              </w:rPr>
              <w:t>%</w:t>
            </w:r>
          </w:p>
        </w:tc>
      </w:tr>
      <w:tr w:rsidR="0080315B" w:rsidRPr="0080315B" w14:paraId="0BE54225" w14:textId="77777777" w:rsidTr="0080315B">
        <w:trPr>
          <w:trHeight w:val="300"/>
        </w:trPr>
        <w:tc>
          <w:tcPr>
            <w:tcW w:w="545" w:type="pct"/>
            <w:vMerge w:val="restart"/>
            <w:shd w:val="clear" w:color="auto" w:fill="auto"/>
            <w:vAlign w:val="center"/>
            <w:hideMark/>
          </w:tcPr>
          <w:p w14:paraId="7FF8EAAF" w14:textId="77777777" w:rsidR="0080315B" w:rsidRPr="0080315B" w:rsidRDefault="0080315B" w:rsidP="0080315B">
            <w:pPr>
              <w:spacing w:after="0" w:line="240" w:lineRule="auto"/>
              <w:jc w:val="center"/>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NE</w:t>
            </w:r>
          </w:p>
        </w:tc>
        <w:tc>
          <w:tcPr>
            <w:tcW w:w="1720" w:type="pct"/>
            <w:shd w:val="clear" w:color="auto" w:fill="auto"/>
            <w:vAlign w:val="center"/>
            <w:hideMark/>
          </w:tcPr>
          <w:p w14:paraId="0B5031BD"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Konkurenčni dialog</w:t>
            </w:r>
          </w:p>
        </w:tc>
        <w:tc>
          <w:tcPr>
            <w:tcW w:w="625" w:type="pct"/>
            <w:shd w:val="clear" w:color="auto" w:fill="auto"/>
            <w:vAlign w:val="center"/>
            <w:hideMark/>
          </w:tcPr>
          <w:p w14:paraId="1E90E45F"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w:t>
            </w:r>
          </w:p>
        </w:tc>
        <w:tc>
          <w:tcPr>
            <w:tcW w:w="713" w:type="pct"/>
            <w:shd w:val="clear" w:color="auto" w:fill="auto"/>
            <w:vAlign w:val="center"/>
            <w:hideMark/>
          </w:tcPr>
          <w:p w14:paraId="3795D9A4"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23.950</w:t>
            </w:r>
          </w:p>
        </w:tc>
        <w:tc>
          <w:tcPr>
            <w:tcW w:w="700" w:type="pct"/>
            <w:shd w:val="clear" w:color="auto" w:fill="auto"/>
            <w:noWrap/>
            <w:vAlign w:val="center"/>
            <w:hideMark/>
          </w:tcPr>
          <w:p w14:paraId="0ACB4D36" w14:textId="4A8A9468"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345DC1EC" w14:textId="3CD6F6B5"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0,00</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56367707" w14:textId="77777777" w:rsidTr="0080315B">
        <w:trPr>
          <w:trHeight w:val="300"/>
        </w:trPr>
        <w:tc>
          <w:tcPr>
            <w:tcW w:w="545" w:type="pct"/>
            <w:vMerge/>
            <w:vAlign w:val="center"/>
            <w:hideMark/>
          </w:tcPr>
          <w:p w14:paraId="75273CE3"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7D57BA2F"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Konkurenčni postopek s pogajanji</w:t>
            </w:r>
          </w:p>
        </w:tc>
        <w:tc>
          <w:tcPr>
            <w:tcW w:w="625" w:type="pct"/>
            <w:shd w:val="clear" w:color="auto" w:fill="auto"/>
            <w:vAlign w:val="center"/>
            <w:hideMark/>
          </w:tcPr>
          <w:p w14:paraId="298EA8AB"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105</w:t>
            </w:r>
          </w:p>
        </w:tc>
        <w:tc>
          <w:tcPr>
            <w:tcW w:w="713" w:type="pct"/>
            <w:shd w:val="clear" w:color="auto" w:fill="auto"/>
            <w:vAlign w:val="center"/>
            <w:hideMark/>
          </w:tcPr>
          <w:p w14:paraId="60E96AE1"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94.740.055</w:t>
            </w:r>
          </w:p>
        </w:tc>
        <w:tc>
          <w:tcPr>
            <w:tcW w:w="700" w:type="pct"/>
            <w:shd w:val="clear" w:color="auto" w:fill="auto"/>
            <w:noWrap/>
            <w:vAlign w:val="center"/>
            <w:hideMark/>
          </w:tcPr>
          <w:p w14:paraId="75B633DE" w14:textId="705B3D0B"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69F0CEB2" w14:textId="5B79BDDA"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3,25</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5CA5BFE3" w14:textId="77777777" w:rsidTr="0080315B">
        <w:trPr>
          <w:trHeight w:val="300"/>
        </w:trPr>
        <w:tc>
          <w:tcPr>
            <w:tcW w:w="545" w:type="pct"/>
            <w:vMerge/>
            <w:vAlign w:val="center"/>
            <w:hideMark/>
          </w:tcPr>
          <w:p w14:paraId="028124C2"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2F6BD874"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Odprti postopek</w:t>
            </w:r>
          </w:p>
        </w:tc>
        <w:tc>
          <w:tcPr>
            <w:tcW w:w="625" w:type="pct"/>
            <w:shd w:val="clear" w:color="auto" w:fill="auto"/>
            <w:vAlign w:val="center"/>
            <w:hideMark/>
          </w:tcPr>
          <w:p w14:paraId="575BB9E6"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762</w:t>
            </w:r>
          </w:p>
        </w:tc>
        <w:tc>
          <w:tcPr>
            <w:tcW w:w="713" w:type="pct"/>
            <w:shd w:val="clear" w:color="auto" w:fill="auto"/>
            <w:vAlign w:val="center"/>
            <w:hideMark/>
          </w:tcPr>
          <w:p w14:paraId="74F7A2A4"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331.137.844</w:t>
            </w:r>
          </w:p>
        </w:tc>
        <w:tc>
          <w:tcPr>
            <w:tcW w:w="700" w:type="pct"/>
            <w:shd w:val="clear" w:color="auto" w:fill="auto"/>
            <w:noWrap/>
            <w:vAlign w:val="center"/>
            <w:hideMark/>
          </w:tcPr>
          <w:p w14:paraId="5B27519B" w14:textId="2E24BDD6"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4,52</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0E729408" w14:textId="4BE9B0BA"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11,35</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1CAE4261" w14:textId="77777777" w:rsidTr="0080315B">
        <w:trPr>
          <w:trHeight w:val="300"/>
        </w:trPr>
        <w:tc>
          <w:tcPr>
            <w:tcW w:w="545" w:type="pct"/>
            <w:vMerge/>
            <w:vAlign w:val="center"/>
            <w:hideMark/>
          </w:tcPr>
          <w:p w14:paraId="5DBF3E28"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0CC06471"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Omejeni postopek</w:t>
            </w:r>
          </w:p>
        </w:tc>
        <w:tc>
          <w:tcPr>
            <w:tcW w:w="625" w:type="pct"/>
            <w:shd w:val="clear" w:color="auto" w:fill="auto"/>
            <w:vAlign w:val="center"/>
            <w:hideMark/>
          </w:tcPr>
          <w:p w14:paraId="4BDA09B5"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12</w:t>
            </w:r>
          </w:p>
        </w:tc>
        <w:tc>
          <w:tcPr>
            <w:tcW w:w="713" w:type="pct"/>
            <w:shd w:val="clear" w:color="auto" w:fill="auto"/>
            <w:vAlign w:val="center"/>
            <w:hideMark/>
          </w:tcPr>
          <w:p w14:paraId="06B3499C"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8.948.042</w:t>
            </w:r>
          </w:p>
        </w:tc>
        <w:tc>
          <w:tcPr>
            <w:tcW w:w="700" w:type="pct"/>
            <w:shd w:val="clear" w:color="auto" w:fill="auto"/>
            <w:noWrap/>
            <w:vAlign w:val="center"/>
            <w:hideMark/>
          </w:tcPr>
          <w:p w14:paraId="271BABE2" w14:textId="010E7CF2"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6B9DB825" w14:textId="50DAC33A"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0,31</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1065FB1D" w14:textId="77777777" w:rsidTr="0080315B">
        <w:trPr>
          <w:trHeight w:val="300"/>
        </w:trPr>
        <w:tc>
          <w:tcPr>
            <w:tcW w:w="545" w:type="pct"/>
            <w:vMerge/>
            <w:vAlign w:val="center"/>
            <w:hideMark/>
          </w:tcPr>
          <w:p w14:paraId="64353C1B"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694FD2D7"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Postopek naročila male vrednosti</w:t>
            </w:r>
          </w:p>
        </w:tc>
        <w:tc>
          <w:tcPr>
            <w:tcW w:w="625" w:type="pct"/>
            <w:shd w:val="clear" w:color="auto" w:fill="auto"/>
            <w:vAlign w:val="center"/>
            <w:hideMark/>
          </w:tcPr>
          <w:p w14:paraId="365865B0"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7.343</w:t>
            </w:r>
          </w:p>
        </w:tc>
        <w:tc>
          <w:tcPr>
            <w:tcW w:w="713" w:type="pct"/>
            <w:shd w:val="clear" w:color="auto" w:fill="auto"/>
            <w:vAlign w:val="center"/>
            <w:hideMark/>
          </w:tcPr>
          <w:p w14:paraId="7841D3C5"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455.786.131</w:t>
            </w:r>
          </w:p>
        </w:tc>
        <w:tc>
          <w:tcPr>
            <w:tcW w:w="700" w:type="pct"/>
            <w:shd w:val="clear" w:color="auto" w:fill="auto"/>
            <w:noWrap/>
            <w:vAlign w:val="center"/>
            <w:hideMark/>
          </w:tcPr>
          <w:p w14:paraId="10662DAC" w14:textId="49D42C80"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43,54</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3AF2D1C3" w14:textId="4CB700CC"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15,62</w:t>
            </w:r>
            <w:r w:rsidR="00EC1BBF">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5B057826" w14:textId="77777777" w:rsidTr="0080315B">
        <w:trPr>
          <w:trHeight w:val="300"/>
        </w:trPr>
        <w:tc>
          <w:tcPr>
            <w:tcW w:w="545" w:type="pct"/>
            <w:vMerge/>
            <w:vAlign w:val="center"/>
            <w:hideMark/>
          </w:tcPr>
          <w:p w14:paraId="335F2FC6"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65B88729"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Postopek s pogajanji brez predhodne objave</w:t>
            </w:r>
          </w:p>
        </w:tc>
        <w:tc>
          <w:tcPr>
            <w:tcW w:w="625" w:type="pct"/>
            <w:shd w:val="clear" w:color="auto" w:fill="auto"/>
            <w:vAlign w:val="center"/>
            <w:hideMark/>
          </w:tcPr>
          <w:p w14:paraId="73260DA1"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585</w:t>
            </w:r>
          </w:p>
        </w:tc>
        <w:tc>
          <w:tcPr>
            <w:tcW w:w="713" w:type="pct"/>
            <w:shd w:val="clear" w:color="auto" w:fill="auto"/>
            <w:vAlign w:val="center"/>
            <w:hideMark/>
          </w:tcPr>
          <w:p w14:paraId="15E5BC3F"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73.927.497</w:t>
            </w:r>
          </w:p>
        </w:tc>
        <w:tc>
          <w:tcPr>
            <w:tcW w:w="700" w:type="pct"/>
            <w:shd w:val="clear" w:color="auto" w:fill="auto"/>
            <w:noWrap/>
            <w:vAlign w:val="center"/>
            <w:hideMark/>
          </w:tcPr>
          <w:p w14:paraId="29737FF3" w14:textId="29FA7CFB"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3,47</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4F00568E" w14:textId="338B22E0"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2,53</w:t>
            </w:r>
            <w:r w:rsidR="00C95540">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6E296FCD" w14:textId="77777777" w:rsidTr="0080315B">
        <w:trPr>
          <w:trHeight w:val="300"/>
        </w:trPr>
        <w:tc>
          <w:tcPr>
            <w:tcW w:w="545" w:type="pct"/>
            <w:vMerge/>
            <w:vAlign w:val="center"/>
            <w:hideMark/>
          </w:tcPr>
          <w:p w14:paraId="7BDF3F97"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3E977260"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Postopek s pogajanji po predhodni objavi</w:t>
            </w:r>
          </w:p>
        </w:tc>
        <w:tc>
          <w:tcPr>
            <w:tcW w:w="625" w:type="pct"/>
            <w:shd w:val="clear" w:color="auto" w:fill="auto"/>
            <w:vAlign w:val="center"/>
            <w:hideMark/>
          </w:tcPr>
          <w:p w14:paraId="530BA3B7"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11</w:t>
            </w:r>
          </w:p>
        </w:tc>
        <w:tc>
          <w:tcPr>
            <w:tcW w:w="713" w:type="pct"/>
            <w:shd w:val="clear" w:color="auto" w:fill="auto"/>
            <w:vAlign w:val="center"/>
            <w:hideMark/>
          </w:tcPr>
          <w:p w14:paraId="00949154"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7.284.892</w:t>
            </w:r>
          </w:p>
        </w:tc>
        <w:tc>
          <w:tcPr>
            <w:tcW w:w="700" w:type="pct"/>
            <w:shd w:val="clear" w:color="auto" w:fill="auto"/>
            <w:noWrap/>
            <w:vAlign w:val="center"/>
            <w:hideMark/>
          </w:tcPr>
          <w:p w14:paraId="5E9801EE" w14:textId="5EC06BD2"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088EED12" w14:textId="7BC5C3A3"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0,25</w:t>
            </w:r>
            <w:r w:rsidR="00C95540">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1A81F841" w14:textId="77777777" w:rsidTr="0080315B">
        <w:trPr>
          <w:trHeight w:val="300"/>
        </w:trPr>
        <w:tc>
          <w:tcPr>
            <w:tcW w:w="545" w:type="pct"/>
            <w:vMerge/>
            <w:vAlign w:val="center"/>
            <w:hideMark/>
          </w:tcPr>
          <w:p w14:paraId="46B30861"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5D554349" w14:textId="77777777" w:rsidR="0080315B" w:rsidRPr="0080315B" w:rsidRDefault="0080315B" w:rsidP="0080315B">
            <w:pPr>
              <w:spacing w:after="0" w:line="240" w:lineRule="auto"/>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Postopek zbiranja ponudb po predhodni objavi</w:t>
            </w:r>
          </w:p>
        </w:tc>
        <w:tc>
          <w:tcPr>
            <w:tcW w:w="625" w:type="pct"/>
            <w:shd w:val="clear" w:color="auto" w:fill="auto"/>
            <w:vAlign w:val="center"/>
            <w:hideMark/>
          </w:tcPr>
          <w:p w14:paraId="2B031D64"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13</w:t>
            </w:r>
          </w:p>
        </w:tc>
        <w:tc>
          <w:tcPr>
            <w:tcW w:w="713" w:type="pct"/>
            <w:shd w:val="clear" w:color="auto" w:fill="auto"/>
            <w:vAlign w:val="center"/>
            <w:hideMark/>
          </w:tcPr>
          <w:p w14:paraId="318B3EF3" w14:textId="77777777"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1.625.822</w:t>
            </w:r>
          </w:p>
        </w:tc>
        <w:tc>
          <w:tcPr>
            <w:tcW w:w="700" w:type="pct"/>
            <w:shd w:val="clear" w:color="auto" w:fill="auto"/>
            <w:noWrap/>
            <w:vAlign w:val="center"/>
            <w:hideMark/>
          </w:tcPr>
          <w:p w14:paraId="45FABDE7" w14:textId="57B54D4C"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697" w:type="pct"/>
            <w:shd w:val="clear" w:color="auto" w:fill="auto"/>
            <w:noWrap/>
            <w:vAlign w:val="center"/>
            <w:hideMark/>
          </w:tcPr>
          <w:p w14:paraId="3F5427A7" w14:textId="6CEF435E" w:rsidR="0080315B" w:rsidRPr="0080315B" w:rsidRDefault="0080315B" w:rsidP="0080315B">
            <w:pPr>
              <w:spacing w:after="0" w:line="240" w:lineRule="auto"/>
              <w:jc w:val="right"/>
              <w:rPr>
                <w:rFonts w:ascii="Arial" w:eastAsia="Times New Roman" w:hAnsi="Arial" w:cs="Arial"/>
                <w:color w:val="000000"/>
                <w:sz w:val="18"/>
                <w:szCs w:val="18"/>
                <w:lang w:eastAsia="sl-SI"/>
              </w:rPr>
            </w:pPr>
            <w:r w:rsidRPr="0080315B">
              <w:rPr>
                <w:rFonts w:ascii="Arial" w:eastAsia="Times New Roman" w:hAnsi="Arial" w:cs="Arial"/>
                <w:color w:val="000000"/>
                <w:sz w:val="18"/>
                <w:szCs w:val="18"/>
                <w:lang w:eastAsia="sl-SI"/>
              </w:rPr>
              <w:t>0,06</w:t>
            </w:r>
            <w:r w:rsidR="00C95540">
              <w:rPr>
                <w:rFonts w:ascii="Arial" w:eastAsia="Times New Roman" w:hAnsi="Arial" w:cs="Arial"/>
                <w:color w:val="000000"/>
                <w:sz w:val="18"/>
                <w:szCs w:val="18"/>
                <w:lang w:eastAsia="sl-SI"/>
              </w:rPr>
              <w:t xml:space="preserve"> </w:t>
            </w:r>
            <w:r w:rsidRPr="0080315B">
              <w:rPr>
                <w:rFonts w:ascii="Arial" w:eastAsia="Times New Roman" w:hAnsi="Arial" w:cs="Arial"/>
                <w:color w:val="000000"/>
                <w:sz w:val="18"/>
                <w:szCs w:val="18"/>
                <w:lang w:eastAsia="sl-SI"/>
              </w:rPr>
              <w:t>%</w:t>
            </w:r>
          </w:p>
        </w:tc>
      </w:tr>
      <w:tr w:rsidR="0080315B" w:rsidRPr="0080315B" w14:paraId="606BA3D5" w14:textId="77777777" w:rsidTr="0080315B">
        <w:trPr>
          <w:trHeight w:val="300"/>
        </w:trPr>
        <w:tc>
          <w:tcPr>
            <w:tcW w:w="545" w:type="pct"/>
            <w:vMerge/>
            <w:vAlign w:val="center"/>
            <w:hideMark/>
          </w:tcPr>
          <w:p w14:paraId="071D8D24" w14:textId="77777777" w:rsidR="0080315B" w:rsidRPr="0080315B" w:rsidRDefault="0080315B" w:rsidP="0080315B">
            <w:pPr>
              <w:spacing w:after="0" w:line="240" w:lineRule="auto"/>
              <w:rPr>
                <w:rFonts w:ascii="Arial" w:eastAsia="Times New Roman" w:hAnsi="Arial" w:cs="Arial"/>
                <w:color w:val="000000"/>
                <w:sz w:val="18"/>
                <w:szCs w:val="18"/>
                <w:lang w:eastAsia="sl-SI"/>
              </w:rPr>
            </w:pPr>
          </w:p>
        </w:tc>
        <w:tc>
          <w:tcPr>
            <w:tcW w:w="1720" w:type="pct"/>
            <w:shd w:val="clear" w:color="auto" w:fill="auto"/>
            <w:vAlign w:val="center"/>
            <w:hideMark/>
          </w:tcPr>
          <w:p w14:paraId="13BC420C" w14:textId="77777777" w:rsidR="0080315B" w:rsidRPr="0080315B" w:rsidRDefault="0080315B" w:rsidP="0080315B">
            <w:pPr>
              <w:spacing w:after="0" w:line="240" w:lineRule="auto"/>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Skupaj</w:t>
            </w:r>
          </w:p>
        </w:tc>
        <w:tc>
          <w:tcPr>
            <w:tcW w:w="625" w:type="pct"/>
            <w:shd w:val="clear" w:color="auto" w:fill="auto"/>
            <w:noWrap/>
            <w:vAlign w:val="center"/>
            <w:hideMark/>
          </w:tcPr>
          <w:p w14:paraId="383E8107" w14:textId="77777777"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8.832</w:t>
            </w:r>
          </w:p>
        </w:tc>
        <w:tc>
          <w:tcPr>
            <w:tcW w:w="713" w:type="pct"/>
            <w:shd w:val="clear" w:color="auto" w:fill="auto"/>
            <w:noWrap/>
            <w:vAlign w:val="center"/>
            <w:hideMark/>
          </w:tcPr>
          <w:p w14:paraId="50E8CBFF" w14:textId="77777777"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973.474.233</w:t>
            </w:r>
          </w:p>
        </w:tc>
        <w:tc>
          <w:tcPr>
            <w:tcW w:w="700" w:type="pct"/>
            <w:shd w:val="clear" w:color="auto" w:fill="auto"/>
            <w:noWrap/>
            <w:vAlign w:val="center"/>
            <w:hideMark/>
          </w:tcPr>
          <w:p w14:paraId="0DE6E968" w14:textId="374C1E84"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52,37</w:t>
            </w:r>
            <w:r>
              <w:rPr>
                <w:rFonts w:ascii="Arial" w:eastAsia="Times New Roman" w:hAnsi="Arial" w:cs="Arial"/>
                <w:b/>
                <w:bCs/>
                <w:color w:val="000000"/>
                <w:sz w:val="18"/>
                <w:szCs w:val="18"/>
                <w:lang w:eastAsia="sl-SI"/>
              </w:rPr>
              <w:t xml:space="preserve"> %</w:t>
            </w:r>
          </w:p>
        </w:tc>
        <w:tc>
          <w:tcPr>
            <w:tcW w:w="697" w:type="pct"/>
            <w:shd w:val="clear" w:color="auto" w:fill="auto"/>
            <w:noWrap/>
            <w:vAlign w:val="center"/>
            <w:hideMark/>
          </w:tcPr>
          <w:p w14:paraId="6E94E03E" w14:textId="31F8506E"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33,35</w:t>
            </w:r>
            <w:r w:rsidR="00C95540">
              <w:rPr>
                <w:rFonts w:ascii="Arial" w:eastAsia="Times New Roman" w:hAnsi="Arial" w:cs="Arial"/>
                <w:b/>
                <w:bCs/>
                <w:color w:val="000000"/>
                <w:sz w:val="18"/>
                <w:szCs w:val="18"/>
                <w:lang w:eastAsia="sl-SI"/>
              </w:rPr>
              <w:t xml:space="preserve"> </w:t>
            </w:r>
            <w:r w:rsidRPr="0080315B">
              <w:rPr>
                <w:rFonts w:ascii="Arial" w:eastAsia="Times New Roman" w:hAnsi="Arial" w:cs="Arial"/>
                <w:b/>
                <w:bCs/>
                <w:color w:val="000000"/>
                <w:sz w:val="18"/>
                <w:szCs w:val="18"/>
                <w:lang w:eastAsia="sl-SI"/>
              </w:rPr>
              <w:t>%</w:t>
            </w:r>
          </w:p>
        </w:tc>
      </w:tr>
      <w:tr w:rsidR="0080315B" w:rsidRPr="0080315B" w14:paraId="08A1092F" w14:textId="77777777" w:rsidTr="009A6B85">
        <w:trPr>
          <w:trHeight w:val="300"/>
        </w:trPr>
        <w:tc>
          <w:tcPr>
            <w:tcW w:w="2266" w:type="pct"/>
            <w:gridSpan w:val="2"/>
            <w:shd w:val="clear" w:color="auto" w:fill="E7E6E6" w:themeFill="background2"/>
            <w:vAlign w:val="center"/>
            <w:hideMark/>
          </w:tcPr>
          <w:p w14:paraId="1C78FF38" w14:textId="77777777" w:rsidR="0080315B" w:rsidRPr="0080315B" w:rsidRDefault="0080315B" w:rsidP="0080315B">
            <w:pPr>
              <w:spacing w:after="0" w:line="240" w:lineRule="auto"/>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Skupaj</w:t>
            </w:r>
          </w:p>
        </w:tc>
        <w:tc>
          <w:tcPr>
            <w:tcW w:w="625" w:type="pct"/>
            <w:shd w:val="clear" w:color="auto" w:fill="E7E6E6" w:themeFill="background2"/>
            <w:noWrap/>
            <w:vAlign w:val="center"/>
            <w:hideMark/>
          </w:tcPr>
          <w:p w14:paraId="68E3BCD7" w14:textId="77777777"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16.865</w:t>
            </w:r>
          </w:p>
        </w:tc>
        <w:tc>
          <w:tcPr>
            <w:tcW w:w="713" w:type="pct"/>
            <w:shd w:val="clear" w:color="auto" w:fill="E7E6E6" w:themeFill="background2"/>
            <w:noWrap/>
            <w:vAlign w:val="center"/>
            <w:hideMark/>
          </w:tcPr>
          <w:p w14:paraId="03D07879" w14:textId="77777777"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2.918.594.609</w:t>
            </w:r>
          </w:p>
        </w:tc>
        <w:tc>
          <w:tcPr>
            <w:tcW w:w="700" w:type="pct"/>
            <w:shd w:val="clear" w:color="auto" w:fill="E7E6E6" w:themeFill="background2"/>
            <w:noWrap/>
            <w:vAlign w:val="center"/>
            <w:hideMark/>
          </w:tcPr>
          <w:p w14:paraId="6FAA70CD" w14:textId="1E32595D"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100,00</w:t>
            </w:r>
            <w:r w:rsidR="00C95540">
              <w:rPr>
                <w:rFonts w:ascii="Arial" w:eastAsia="Times New Roman" w:hAnsi="Arial" w:cs="Arial"/>
                <w:b/>
                <w:bCs/>
                <w:color w:val="000000"/>
                <w:sz w:val="18"/>
                <w:szCs w:val="18"/>
                <w:lang w:eastAsia="sl-SI"/>
              </w:rPr>
              <w:t xml:space="preserve"> </w:t>
            </w:r>
            <w:r w:rsidRPr="0080315B">
              <w:rPr>
                <w:rFonts w:ascii="Arial" w:eastAsia="Times New Roman" w:hAnsi="Arial" w:cs="Arial"/>
                <w:b/>
                <w:bCs/>
                <w:color w:val="000000"/>
                <w:sz w:val="18"/>
                <w:szCs w:val="18"/>
                <w:lang w:eastAsia="sl-SI"/>
              </w:rPr>
              <w:t>%</w:t>
            </w:r>
          </w:p>
        </w:tc>
        <w:tc>
          <w:tcPr>
            <w:tcW w:w="697" w:type="pct"/>
            <w:shd w:val="clear" w:color="auto" w:fill="E7E6E6" w:themeFill="background2"/>
            <w:noWrap/>
            <w:vAlign w:val="center"/>
            <w:hideMark/>
          </w:tcPr>
          <w:p w14:paraId="78B6672C" w14:textId="4E3F781F" w:rsidR="0080315B" w:rsidRPr="0080315B" w:rsidRDefault="0080315B" w:rsidP="0080315B">
            <w:pPr>
              <w:spacing w:after="0" w:line="240" w:lineRule="auto"/>
              <w:jc w:val="right"/>
              <w:rPr>
                <w:rFonts w:ascii="Arial" w:eastAsia="Times New Roman" w:hAnsi="Arial" w:cs="Arial"/>
                <w:b/>
                <w:bCs/>
                <w:color w:val="000000"/>
                <w:sz w:val="18"/>
                <w:szCs w:val="18"/>
                <w:lang w:eastAsia="sl-SI"/>
              </w:rPr>
            </w:pPr>
            <w:r w:rsidRPr="0080315B">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79BC4D70" w14:textId="5AFDAE55" w:rsidR="00693B40" w:rsidRPr="00EF2D0B" w:rsidRDefault="00693B40" w:rsidP="00854405">
      <w:pPr>
        <w:pStyle w:val="ZADEVA"/>
        <w:jc w:val="both"/>
        <w:rPr>
          <w:rFonts w:cs="Arial"/>
          <w:b w:val="0"/>
          <w:szCs w:val="20"/>
          <w:highlight w:val="yellow"/>
          <w:lang w:val="sl-SI"/>
        </w:rPr>
      </w:pPr>
    </w:p>
    <w:p w14:paraId="6DA0F0E3" w14:textId="42A5E59A" w:rsidR="009E6C75" w:rsidRPr="009A6B85" w:rsidRDefault="00B346C9" w:rsidP="00BA2F06">
      <w:pPr>
        <w:spacing w:after="240" w:line="240" w:lineRule="auto"/>
        <w:jc w:val="center"/>
        <w:rPr>
          <w:rFonts w:ascii="Arial" w:hAnsi="Arial" w:cs="Arial"/>
          <w:sz w:val="18"/>
        </w:rPr>
      </w:pPr>
      <w:r w:rsidRPr="009A6B85">
        <w:rPr>
          <w:rFonts w:ascii="Arial" w:hAnsi="Arial" w:cs="Arial"/>
          <w:sz w:val="18"/>
        </w:rPr>
        <w:t>Vir: Statistični podatki o javnih naročilih,</w:t>
      </w:r>
      <w:r w:rsidR="00EE75A3" w:rsidRPr="009A6B85">
        <w:rPr>
          <w:rFonts w:ascii="Arial" w:hAnsi="Arial" w:cs="Arial"/>
          <w:sz w:val="18"/>
        </w:rPr>
        <w:t xml:space="preserve"> oddanih v letu 201</w:t>
      </w:r>
      <w:r w:rsidR="006E503D" w:rsidRPr="009A6B85">
        <w:rPr>
          <w:rFonts w:ascii="Arial" w:hAnsi="Arial" w:cs="Arial"/>
          <w:sz w:val="18"/>
        </w:rPr>
        <w:t>8</w:t>
      </w:r>
    </w:p>
    <w:p w14:paraId="11CB2823" w14:textId="697ED775" w:rsidR="0031660A" w:rsidRPr="00FB1D39" w:rsidRDefault="00756490" w:rsidP="007F05F4">
      <w:pPr>
        <w:tabs>
          <w:tab w:val="left" w:pos="567"/>
          <w:tab w:val="left" w:pos="993"/>
        </w:tabs>
        <w:spacing w:line="360" w:lineRule="auto"/>
        <w:jc w:val="both"/>
        <w:rPr>
          <w:rFonts w:ascii="Arial" w:hAnsi="Arial" w:cs="Arial"/>
          <w:bCs/>
          <w:sz w:val="20"/>
          <w:szCs w:val="20"/>
        </w:rPr>
      </w:pPr>
      <w:r w:rsidRPr="00FB1D39">
        <w:rPr>
          <w:rFonts w:ascii="Arial" w:hAnsi="Arial" w:cs="Arial"/>
          <w:bCs/>
          <w:sz w:val="20"/>
          <w:szCs w:val="20"/>
        </w:rPr>
        <w:t>S</w:t>
      </w:r>
      <w:r w:rsidR="003A03FE" w:rsidRPr="00FB1D39">
        <w:rPr>
          <w:rFonts w:ascii="Arial" w:hAnsi="Arial" w:cs="Arial"/>
          <w:bCs/>
          <w:sz w:val="20"/>
          <w:szCs w:val="20"/>
        </w:rPr>
        <w:t>tatistični podatk</w:t>
      </w:r>
      <w:r w:rsidRPr="00FB1D39">
        <w:rPr>
          <w:rFonts w:ascii="Arial" w:hAnsi="Arial" w:cs="Arial"/>
          <w:bCs/>
          <w:sz w:val="20"/>
          <w:szCs w:val="20"/>
        </w:rPr>
        <w:t>i kažejo</w:t>
      </w:r>
      <w:r w:rsidR="003A03FE" w:rsidRPr="00FB1D39">
        <w:rPr>
          <w:rFonts w:ascii="Arial" w:hAnsi="Arial" w:cs="Arial"/>
          <w:bCs/>
          <w:sz w:val="20"/>
          <w:szCs w:val="20"/>
        </w:rPr>
        <w:t xml:space="preserve">, da </w:t>
      </w:r>
      <w:r w:rsidR="00413DB5" w:rsidRPr="00FB1D39">
        <w:rPr>
          <w:rFonts w:ascii="Arial" w:hAnsi="Arial" w:cs="Arial"/>
          <w:bCs/>
          <w:sz w:val="20"/>
          <w:szCs w:val="20"/>
        </w:rPr>
        <w:t xml:space="preserve">vsi </w:t>
      </w:r>
      <w:r w:rsidR="003A03FE" w:rsidRPr="00FB1D39">
        <w:rPr>
          <w:rFonts w:ascii="Arial" w:hAnsi="Arial" w:cs="Arial"/>
          <w:bCs/>
          <w:sz w:val="20"/>
          <w:szCs w:val="20"/>
        </w:rPr>
        <w:t xml:space="preserve">naročniki glede na vrednost </w:t>
      </w:r>
      <w:r w:rsidR="005D5E12" w:rsidRPr="00FB1D39">
        <w:rPr>
          <w:rFonts w:ascii="Arial" w:hAnsi="Arial" w:cs="Arial"/>
          <w:bCs/>
          <w:sz w:val="20"/>
          <w:szCs w:val="20"/>
        </w:rPr>
        <w:t xml:space="preserve">oddanega </w:t>
      </w:r>
      <w:r w:rsidR="003A03FE" w:rsidRPr="00FB1D39">
        <w:rPr>
          <w:rFonts w:ascii="Arial" w:hAnsi="Arial" w:cs="Arial"/>
          <w:bCs/>
          <w:sz w:val="20"/>
          <w:szCs w:val="20"/>
        </w:rPr>
        <w:t>naročila</w:t>
      </w:r>
      <w:r w:rsidR="005D5E12" w:rsidRPr="00FB1D39">
        <w:rPr>
          <w:rFonts w:ascii="Arial" w:hAnsi="Arial" w:cs="Arial"/>
          <w:bCs/>
          <w:sz w:val="20"/>
          <w:szCs w:val="20"/>
        </w:rPr>
        <w:t xml:space="preserve"> niso izpolnili obvezn</w:t>
      </w:r>
      <w:r w:rsidRPr="00FB1D39">
        <w:rPr>
          <w:rFonts w:ascii="Arial" w:hAnsi="Arial" w:cs="Arial"/>
          <w:bCs/>
          <w:sz w:val="20"/>
          <w:szCs w:val="20"/>
        </w:rPr>
        <w:t>osti</w:t>
      </w:r>
      <w:r w:rsidR="005D5E12" w:rsidRPr="00FB1D39">
        <w:rPr>
          <w:rFonts w:ascii="Arial" w:hAnsi="Arial" w:cs="Arial"/>
          <w:bCs/>
          <w:sz w:val="20"/>
          <w:szCs w:val="20"/>
        </w:rPr>
        <w:t xml:space="preserve"> objave obvestil o oddaji javnih naročil </w:t>
      </w:r>
      <w:r w:rsidR="003A03FE" w:rsidRPr="00FB1D39">
        <w:rPr>
          <w:rFonts w:ascii="Arial" w:hAnsi="Arial" w:cs="Arial"/>
          <w:bCs/>
          <w:sz w:val="20"/>
          <w:szCs w:val="20"/>
        </w:rPr>
        <w:t>v Uradnem listu Evropske</w:t>
      </w:r>
      <w:r w:rsidR="005D5E12" w:rsidRPr="00FB1D39">
        <w:rPr>
          <w:rFonts w:ascii="Arial" w:hAnsi="Arial" w:cs="Arial"/>
          <w:bCs/>
          <w:sz w:val="20"/>
          <w:szCs w:val="20"/>
        </w:rPr>
        <w:t xml:space="preserve"> unije. Po vrednosti je največji delež takih naročil pri postopku </w:t>
      </w:r>
      <w:r w:rsidR="005932E7" w:rsidRPr="005932E7">
        <w:rPr>
          <w:rFonts w:ascii="Arial" w:hAnsi="Arial" w:cs="Arial"/>
          <w:bCs/>
          <w:sz w:val="20"/>
          <w:szCs w:val="20"/>
        </w:rPr>
        <w:t>s pogajanji brez predhodne objave</w:t>
      </w:r>
      <w:r w:rsidR="005D5E12" w:rsidRPr="00FB1D39">
        <w:rPr>
          <w:rFonts w:ascii="Arial" w:hAnsi="Arial" w:cs="Arial"/>
          <w:bCs/>
          <w:sz w:val="20"/>
          <w:szCs w:val="20"/>
        </w:rPr>
        <w:t xml:space="preserve">, kjer v </w:t>
      </w:r>
      <w:r w:rsidR="007E151F" w:rsidRPr="00FB1D39">
        <w:rPr>
          <w:rFonts w:ascii="Arial" w:hAnsi="Arial" w:cs="Arial"/>
          <w:bCs/>
          <w:sz w:val="20"/>
          <w:szCs w:val="20"/>
        </w:rPr>
        <w:t>U</w:t>
      </w:r>
      <w:r w:rsidR="005D5E12" w:rsidRPr="00FB1D39">
        <w:rPr>
          <w:rFonts w:ascii="Arial" w:hAnsi="Arial" w:cs="Arial"/>
          <w:bCs/>
          <w:sz w:val="20"/>
          <w:szCs w:val="20"/>
        </w:rPr>
        <w:t>radnem listu Evropske unije ni bilo objavljeni</w:t>
      </w:r>
      <w:r w:rsidR="007E151F" w:rsidRPr="00FB1D39">
        <w:rPr>
          <w:rFonts w:ascii="Arial" w:hAnsi="Arial" w:cs="Arial"/>
          <w:bCs/>
          <w:sz w:val="20"/>
          <w:szCs w:val="20"/>
        </w:rPr>
        <w:t>h</w:t>
      </w:r>
      <w:r w:rsidR="003E1FC6" w:rsidRPr="00FB1D39">
        <w:rPr>
          <w:rFonts w:ascii="Arial" w:hAnsi="Arial" w:cs="Arial"/>
          <w:bCs/>
          <w:sz w:val="20"/>
          <w:szCs w:val="20"/>
        </w:rPr>
        <w:t xml:space="preserve"> </w:t>
      </w:r>
      <w:r w:rsidR="005932E7">
        <w:rPr>
          <w:rFonts w:ascii="Arial" w:hAnsi="Arial" w:cs="Arial"/>
          <w:bCs/>
          <w:sz w:val="20"/>
          <w:szCs w:val="20"/>
        </w:rPr>
        <w:t>44</w:t>
      </w:r>
      <w:r w:rsidR="005932E7" w:rsidRPr="00FB1D39">
        <w:rPr>
          <w:rFonts w:ascii="Arial" w:hAnsi="Arial" w:cs="Arial"/>
          <w:bCs/>
          <w:sz w:val="20"/>
          <w:szCs w:val="20"/>
        </w:rPr>
        <w:t xml:space="preserve"> </w:t>
      </w:r>
      <w:r w:rsidR="005D5E12" w:rsidRPr="00FB1D39">
        <w:rPr>
          <w:rFonts w:ascii="Arial" w:hAnsi="Arial" w:cs="Arial"/>
          <w:bCs/>
          <w:sz w:val="20"/>
          <w:szCs w:val="20"/>
        </w:rPr>
        <w:t xml:space="preserve">naročil v skupni vrednosti </w:t>
      </w:r>
      <w:r w:rsidR="005932E7" w:rsidRPr="005932E7">
        <w:rPr>
          <w:rFonts w:ascii="Arial" w:hAnsi="Arial" w:cs="Arial"/>
          <w:bCs/>
          <w:sz w:val="20"/>
          <w:szCs w:val="20"/>
        </w:rPr>
        <w:t>11.186.473</w:t>
      </w:r>
      <w:r w:rsidR="005932E7">
        <w:rPr>
          <w:rFonts w:ascii="Arial" w:hAnsi="Arial" w:cs="Arial"/>
          <w:bCs/>
          <w:sz w:val="20"/>
          <w:szCs w:val="20"/>
        </w:rPr>
        <w:t xml:space="preserve"> </w:t>
      </w:r>
      <w:r w:rsidR="005D5E12" w:rsidRPr="00FB1D39">
        <w:rPr>
          <w:rFonts w:ascii="Arial" w:hAnsi="Arial" w:cs="Arial"/>
          <w:bCs/>
          <w:sz w:val="20"/>
          <w:szCs w:val="20"/>
        </w:rPr>
        <w:t xml:space="preserve">evrov, kar </w:t>
      </w:r>
      <w:r w:rsidR="002C0157" w:rsidRPr="00FB1D39">
        <w:rPr>
          <w:rFonts w:ascii="Arial" w:hAnsi="Arial" w:cs="Arial"/>
          <w:bCs/>
          <w:sz w:val="20"/>
          <w:szCs w:val="20"/>
        </w:rPr>
        <w:t>je</w:t>
      </w:r>
      <w:r w:rsidR="003E1FC6" w:rsidRPr="00FB1D39">
        <w:rPr>
          <w:rFonts w:ascii="Arial" w:hAnsi="Arial" w:cs="Arial"/>
          <w:bCs/>
          <w:sz w:val="20"/>
          <w:szCs w:val="20"/>
        </w:rPr>
        <w:t xml:space="preserve"> </w:t>
      </w:r>
      <w:r w:rsidR="005932E7">
        <w:rPr>
          <w:rFonts w:ascii="Arial" w:hAnsi="Arial" w:cs="Arial"/>
          <w:bCs/>
          <w:sz w:val="20"/>
          <w:szCs w:val="20"/>
        </w:rPr>
        <w:t>5,31</w:t>
      </w:r>
      <w:r w:rsidR="002C0157" w:rsidRPr="00FB1D39">
        <w:rPr>
          <w:rFonts w:ascii="Arial" w:hAnsi="Arial" w:cs="Arial"/>
          <w:bCs/>
          <w:sz w:val="20"/>
          <w:szCs w:val="20"/>
        </w:rPr>
        <w:t>-</w:t>
      </w:r>
      <w:r w:rsidR="005D5E12" w:rsidRPr="00FB1D39">
        <w:rPr>
          <w:rFonts w:ascii="Arial" w:hAnsi="Arial" w:cs="Arial"/>
          <w:bCs/>
          <w:sz w:val="20"/>
          <w:szCs w:val="20"/>
        </w:rPr>
        <w:t>odstotni delež v številu vseh oddanih n</w:t>
      </w:r>
      <w:r w:rsidR="003E1FC6" w:rsidRPr="00FB1D39">
        <w:rPr>
          <w:rFonts w:ascii="Arial" w:hAnsi="Arial" w:cs="Arial"/>
          <w:bCs/>
          <w:sz w:val="20"/>
          <w:szCs w:val="20"/>
        </w:rPr>
        <w:t xml:space="preserve">aročil po tem postopku in </w:t>
      </w:r>
      <w:r w:rsidR="005932E7" w:rsidRPr="00FB1D39">
        <w:rPr>
          <w:rFonts w:ascii="Arial" w:hAnsi="Arial" w:cs="Arial"/>
          <w:bCs/>
          <w:sz w:val="20"/>
          <w:szCs w:val="20"/>
        </w:rPr>
        <w:t>3,</w:t>
      </w:r>
      <w:r w:rsidR="005932E7">
        <w:rPr>
          <w:rFonts w:ascii="Arial" w:hAnsi="Arial" w:cs="Arial"/>
          <w:bCs/>
          <w:sz w:val="20"/>
          <w:szCs w:val="20"/>
        </w:rPr>
        <w:t>62</w:t>
      </w:r>
      <w:r w:rsidR="007E151F" w:rsidRPr="00FB1D39">
        <w:rPr>
          <w:rFonts w:ascii="Arial" w:hAnsi="Arial" w:cs="Arial"/>
          <w:bCs/>
          <w:sz w:val="20"/>
          <w:szCs w:val="20"/>
        </w:rPr>
        <w:t>-</w:t>
      </w:r>
      <w:r w:rsidR="005D5E12" w:rsidRPr="00FB1D39">
        <w:rPr>
          <w:rFonts w:ascii="Arial" w:hAnsi="Arial" w:cs="Arial"/>
          <w:bCs/>
          <w:sz w:val="20"/>
          <w:szCs w:val="20"/>
        </w:rPr>
        <w:t>odstotni delež v vrednosti.</w:t>
      </w:r>
      <w:r w:rsidR="00EC1386" w:rsidRPr="00FB1D39">
        <w:rPr>
          <w:rFonts w:ascii="Arial" w:hAnsi="Arial" w:cs="Arial"/>
          <w:bCs/>
          <w:sz w:val="20"/>
          <w:szCs w:val="20"/>
        </w:rPr>
        <w:t xml:space="preserve"> V številu </w:t>
      </w:r>
      <w:r w:rsidR="003E1FC6" w:rsidRPr="00FB1D39">
        <w:rPr>
          <w:rFonts w:ascii="Arial" w:hAnsi="Arial" w:cs="Arial"/>
          <w:bCs/>
          <w:sz w:val="20"/>
          <w:szCs w:val="20"/>
        </w:rPr>
        <w:t>vseh oddanih naročil v letu 201</w:t>
      </w:r>
      <w:r w:rsidR="009F405C" w:rsidRPr="00FB1D39">
        <w:rPr>
          <w:rFonts w:ascii="Arial" w:hAnsi="Arial" w:cs="Arial"/>
          <w:bCs/>
          <w:sz w:val="20"/>
          <w:szCs w:val="20"/>
        </w:rPr>
        <w:t>8</w:t>
      </w:r>
      <w:r w:rsidR="00EC1386" w:rsidRPr="00FB1D39">
        <w:rPr>
          <w:rFonts w:ascii="Arial" w:hAnsi="Arial" w:cs="Arial"/>
          <w:bCs/>
          <w:sz w:val="20"/>
          <w:szCs w:val="20"/>
        </w:rPr>
        <w:t xml:space="preserve"> obsegajo naročila, ki bi jih naročniki morali objaviti v Uradn</w:t>
      </w:r>
      <w:r w:rsidR="000407CD" w:rsidRPr="00FB1D39">
        <w:rPr>
          <w:rFonts w:ascii="Arial" w:hAnsi="Arial" w:cs="Arial"/>
          <w:bCs/>
          <w:sz w:val="20"/>
          <w:szCs w:val="20"/>
        </w:rPr>
        <w:t xml:space="preserve">em listu Evropske skupnosti, </w:t>
      </w:r>
      <w:r w:rsidR="005932E7">
        <w:rPr>
          <w:rFonts w:ascii="Arial" w:hAnsi="Arial" w:cs="Arial"/>
          <w:bCs/>
          <w:sz w:val="20"/>
          <w:szCs w:val="20"/>
        </w:rPr>
        <w:t>0,9</w:t>
      </w:r>
      <w:r w:rsidR="00EC1386" w:rsidRPr="00FB1D39">
        <w:rPr>
          <w:rFonts w:ascii="Arial" w:hAnsi="Arial" w:cs="Arial"/>
          <w:bCs/>
          <w:sz w:val="20"/>
          <w:szCs w:val="20"/>
        </w:rPr>
        <w:t xml:space="preserve"> % v</w:t>
      </w:r>
      <w:r w:rsidR="000407CD" w:rsidRPr="00FB1D39">
        <w:rPr>
          <w:rFonts w:ascii="Arial" w:hAnsi="Arial" w:cs="Arial"/>
          <w:bCs/>
          <w:sz w:val="20"/>
          <w:szCs w:val="20"/>
        </w:rPr>
        <w:t>seh naročil, v vrednosti pa 1,</w:t>
      </w:r>
      <w:r w:rsidR="005932E7">
        <w:rPr>
          <w:rFonts w:ascii="Arial" w:hAnsi="Arial" w:cs="Arial"/>
          <w:bCs/>
          <w:sz w:val="20"/>
          <w:szCs w:val="20"/>
        </w:rPr>
        <w:t>01</w:t>
      </w:r>
      <w:r w:rsidR="00EC1386" w:rsidRPr="00FB1D39">
        <w:rPr>
          <w:rFonts w:ascii="Arial" w:hAnsi="Arial" w:cs="Arial"/>
          <w:bCs/>
          <w:sz w:val="20"/>
          <w:szCs w:val="20"/>
        </w:rPr>
        <w:t xml:space="preserve"> %. </w:t>
      </w:r>
    </w:p>
    <w:p w14:paraId="2E8DDAF3" w14:textId="77777777" w:rsidR="000A3944" w:rsidRDefault="000A3944" w:rsidP="008A61FD">
      <w:pPr>
        <w:spacing w:before="120" w:after="120" w:line="240" w:lineRule="auto"/>
        <w:jc w:val="both"/>
        <w:rPr>
          <w:rFonts w:ascii="Arial" w:hAnsi="Arial" w:cs="Arial"/>
          <w:sz w:val="20"/>
        </w:rPr>
      </w:pPr>
    </w:p>
    <w:p w14:paraId="3741E704" w14:textId="77777777" w:rsidR="000A3944" w:rsidRDefault="000A3944" w:rsidP="008A61FD">
      <w:pPr>
        <w:spacing w:before="120" w:after="120" w:line="240" w:lineRule="auto"/>
        <w:jc w:val="both"/>
        <w:rPr>
          <w:rFonts w:ascii="Arial" w:hAnsi="Arial" w:cs="Arial"/>
          <w:sz w:val="20"/>
        </w:rPr>
      </w:pPr>
    </w:p>
    <w:p w14:paraId="4D42C3DD" w14:textId="77777777" w:rsidR="000A3944" w:rsidRDefault="000A3944" w:rsidP="008A61FD">
      <w:pPr>
        <w:spacing w:before="120" w:after="120" w:line="240" w:lineRule="auto"/>
        <w:jc w:val="both"/>
        <w:rPr>
          <w:rFonts w:ascii="Arial" w:hAnsi="Arial" w:cs="Arial"/>
          <w:sz w:val="20"/>
        </w:rPr>
      </w:pPr>
    </w:p>
    <w:p w14:paraId="5CB58368" w14:textId="76484317" w:rsidR="003A03FE" w:rsidRPr="009630FA" w:rsidRDefault="003A03FE" w:rsidP="008A61FD">
      <w:pPr>
        <w:spacing w:before="120" w:after="120" w:line="240" w:lineRule="auto"/>
        <w:jc w:val="both"/>
        <w:rPr>
          <w:rFonts w:ascii="Arial" w:hAnsi="Arial" w:cs="Arial"/>
          <w:sz w:val="20"/>
        </w:rPr>
      </w:pPr>
      <w:r w:rsidRPr="009630FA">
        <w:rPr>
          <w:rFonts w:ascii="Arial" w:hAnsi="Arial" w:cs="Arial"/>
          <w:sz w:val="20"/>
        </w:rPr>
        <w:lastRenderedPageBreak/>
        <w:t xml:space="preserve">Preglednica </w:t>
      </w:r>
      <w:r w:rsidR="00EB4423">
        <w:rPr>
          <w:rFonts w:ascii="Arial" w:hAnsi="Arial" w:cs="Arial"/>
          <w:sz w:val="20"/>
        </w:rPr>
        <w:t>9</w:t>
      </w:r>
      <w:r w:rsidRPr="009630FA">
        <w:rPr>
          <w:rFonts w:ascii="Arial" w:hAnsi="Arial" w:cs="Arial"/>
          <w:sz w:val="20"/>
        </w:rPr>
        <w:t>: Naročila v postopkih javne</w:t>
      </w:r>
      <w:r w:rsidR="00FE4F89" w:rsidRPr="009630FA">
        <w:rPr>
          <w:rFonts w:ascii="Arial" w:hAnsi="Arial" w:cs="Arial"/>
          <w:sz w:val="20"/>
        </w:rPr>
        <w:t>ga naročanja, objavljena le na p</w:t>
      </w:r>
      <w:r w:rsidRPr="009630FA">
        <w:rPr>
          <w:rFonts w:ascii="Arial" w:hAnsi="Arial" w:cs="Arial"/>
          <w:sz w:val="20"/>
        </w:rPr>
        <w:t>ortalu javnih naročil</w:t>
      </w:r>
      <w:r w:rsidR="00756490" w:rsidRPr="009630FA">
        <w:rPr>
          <w:rFonts w:ascii="Arial" w:hAnsi="Arial" w:cs="Arial"/>
          <w:sz w:val="20"/>
        </w:rPr>
        <w:t>,</w:t>
      </w:r>
      <w:r w:rsidRPr="009630FA">
        <w:rPr>
          <w:rFonts w:ascii="Arial" w:hAnsi="Arial" w:cs="Arial"/>
          <w:sz w:val="20"/>
        </w:rPr>
        <w:t xml:space="preserve"> glede na obveznost objave v Uradnem listu Evropske unije in izvedeni postopek </w:t>
      </w:r>
      <w:r w:rsidR="00524EA4" w:rsidRPr="009630FA">
        <w:rPr>
          <w:rFonts w:ascii="Arial" w:hAnsi="Arial" w:cs="Arial"/>
          <w:sz w:val="20"/>
        </w:rPr>
        <w:t>v letu 201</w:t>
      </w:r>
      <w:r w:rsidR="007905A2" w:rsidRPr="009630FA">
        <w:rPr>
          <w:rFonts w:ascii="Arial" w:hAnsi="Arial" w:cs="Arial"/>
          <w:sz w:val="20"/>
        </w:rPr>
        <w:t>8</w:t>
      </w:r>
    </w:p>
    <w:tbl>
      <w:tblPr>
        <w:tblW w:w="5000" w:type="pct"/>
        <w:tblCellMar>
          <w:left w:w="70" w:type="dxa"/>
          <w:right w:w="70" w:type="dxa"/>
        </w:tblCellMar>
        <w:tblLook w:val="04A0" w:firstRow="1" w:lastRow="0" w:firstColumn="1" w:lastColumn="0" w:noHBand="0" w:noVBand="1"/>
      </w:tblPr>
      <w:tblGrid>
        <w:gridCol w:w="711"/>
        <w:gridCol w:w="1208"/>
        <w:gridCol w:w="3179"/>
        <w:gridCol w:w="788"/>
        <w:gridCol w:w="1272"/>
        <w:gridCol w:w="952"/>
        <w:gridCol w:w="952"/>
      </w:tblGrid>
      <w:tr w:rsidR="009630FA" w:rsidRPr="009630FA" w14:paraId="75AAAA70" w14:textId="77777777" w:rsidTr="009630FA">
        <w:trPr>
          <w:trHeight w:val="1200"/>
        </w:trPr>
        <w:tc>
          <w:tcPr>
            <w:tcW w:w="39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A73418F"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Objava v UL EU</w:t>
            </w:r>
          </w:p>
        </w:tc>
        <w:tc>
          <w:tcPr>
            <w:tcW w:w="667" w:type="pct"/>
            <w:tcBorders>
              <w:top w:val="single" w:sz="4" w:space="0" w:color="auto"/>
              <w:left w:val="nil"/>
              <w:bottom w:val="single" w:sz="4" w:space="0" w:color="auto"/>
              <w:right w:val="single" w:sz="4" w:space="0" w:color="auto"/>
            </w:tcBorders>
            <w:shd w:val="clear" w:color="000000" w:fill="EDEDED"/>
            <w:vAlign w:val="center"/>
            <w:hideMark/>
          </w:tcPr>
          <w:p w14:paraId="32A716FE"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Obveznost objave v UL EU</w:t>
            </w:r>
          </w:p>
        </w:tc>
        <w:tc>
          <w:tcPr>
            <w:tcW w:w="1753" w:type="pct"/>
            <w:tcBorders>
              <w:top w:val="single" w:sz="4" w:space="0" w:color="auto"/>
              <w:left w:val="nil"/>
              <w:bottom w:val="single" w:sz="4" w:space="0" w:color="auto"/>
              <w:right w:val="single" w:sz="4" w:space="0" w:color="auto"/>
            </w:tcBorders>
            <w:shd w:val="clear" w:color="000000" w:fill="EDEDED"/>
            <w:vAlign w:val="center"/>
            <w:hideMark/>
          </w:tcPr>
          <w:p w14:paraId="4F29D47B"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Vrsta postopka</w:t>
            </w:r>
          </w:p>
        </w:tc>
        <w:tc>
          <w:tcPr>
            <w:tcW w:w="435" w:type="pct"/>
            <w:tcBorders>
              <w:top w:val="single" w:sz="4" w:space="0" w:color="auto"/>
              <w:left w:val="nil"/>
              <w:bottom w:val="single" w:sz="4" w:space="0" w:color="auto"/>
              <w:right w:val="single" w:sz="4" w:space="0" w:color="auto"/>
            </w:tcBorders>
            <w:shd w:val="clear" w:color="000000" w:fill="EDEDED"/>
            <w:vAlign w:val="center"/>
            <w:hideMark/>
          </w:tcPr>
          <w:p w14:paraId="12C95418"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Št. naročil</w:t>
            </w:r>
          </w:p>
        </w:tc>
        <w:tc>
          <w:tcPr>
            <w:tcW w:w="702" w:type="pct"/>
            <w:tcBorders>
              <w:top w:val="single" w:sz="4" w:space="0" w:color="auto"/>
              <w:left w:val="nil"/>
              <w:bottom w:val="single" w:sz="4" w:space="0" w:color="auto"/>
              <w:right w:val="single" w:sz="4" w:space="0" w:color="auto"/>
            </w:tcBorders>
            <w:shd w:val="clear" w:color="000000" w:fill="EDEDED"/>
            <w:vAlign w:val="center"/>
            <w:hideMark/>
          </w:tcPr>
          <w:p w14:paraId="50ABD54A"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B22570A"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Delež v št. vseh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1F720EB3"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Delež v vrednosti vseh istovrstnih naročil</w:t>
            </w:r>
          </w:p>
        </w:tc>
      </w:tr>
      <w:tr w:rsidR="00834AED" w:rsidRPr="00834AED" w14:paraId="1DBBFFF4" w14:textId="77777777" w:rsidTr="009630FA">
        <w:trPr>
          <w:trHeight w:val="300"/>
        </w:trPr>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14:paraId="2F597A7B"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NE</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14:paraId="16BC9AD3" w14:textId="77777777" w:rsidR="00834AED" w:rsidRPr="00834AED" w:rsidRDefault="00834AED" w:rsidP="00834AED">
            <w:pPr>
              <w:spacing w:after="0" w:line="240" w:lineRule="auto"/>
              <w:jc w:val="center"/>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DA</w:t>
            </w:r>
          </w:p>
        </w:tc>
        <w:tc>
          <w:tcPr>
            <w:tcW w:w="1753" w:type="pct"/>
            <w:tcBorders>
              <w:top w:val="nil"/>
              <w:left w:val="nil"/>
              <w:bottom w:val="single" w:sz="4" w:space="0" w:color="auto"/>
              <w:right w:val="single" w:sz="4" w:space="0" w:color="auto"/>
            </w:tcBorders>
            <w:shd w:val="clear" w:color="auto" w:fill="auto"/>
            <w:vAlign w:val="center"/>
            <w:hideMark/>
          </w:tcPr>
          <w:p w14:paraId="5C8C57D5" w14:textId="77777777" w:rsidR="00834AED" w:rsidRPr="00834AED" w:rsidRDefault="00834AED" w:rsidP="009630FA">
            <w:pPr>
              <w:spacing w:after="0" w:line="240" w:lineRule="auto"/>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Konkurenčni postopek s pogajanji</w:t>
            </w:r>
          </w:p>
        </w:tc>
        <w:tc>
          <w:tcPr>
            <w:tcW w:w="435" w:type="pct"/>
            <w:tcBorders>
              <w:top w:val="nil"/>
              <w:left w:val="nil"/>
              <w:bottom w:val="single" w:sz="4" w:space="0" w:color="auto"/>
              <w:right w:val="single" w:sz="4" w:space="0" w:color="auto"/>
            </w:tcBorders>
            <w:shd w:val="clear" w:color="auto" w:fill="auto"/>
            <w:vAlign w:val="center"/>
            <w:hideMark/>
          </w:tcPr>
          <w:p w14:paraId="0F1275A7"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2</w:t>
            </w:r>
          </w:p>
        </w:tc>
        <w:tc>
          <w:tcPr>
            <w:tcW w:w="702" w:type="pct"/>
            <w:tcBorders>
              <w:top w:val="nil"/>
              <w:left w:val="nil"/>
              <w:bottom w:val="single" w:sz="4" w:space="0" w:color="auto"/>
              <w:right w:val="single" w:sz="4" w:space="0" w:color="auto"/>
            </w:tcBorders>
            <w:shd w:val="clear" w:color="auto" w:fill="auto"/>
            <w:vAlign w:val="center"/>
            <w:hideMark/>
          </w:tcPr>
          <w:p w14:paraId="52383107"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2.000.000</w:t>
            </w:r>
          </w:p>
        </w:tc>
        <w:tc>
          <w:tcPr>
            <w:tcW w:w="525" w:type="pct"/>
            <w:tcBorders>
              <w:top w:val="nil"/>
              <w:left w:val="nil"/>
              <w:bottom w:val="single" w:sz="4" w:space="0" w:color="auto"/>
              <w:right w:val="single" w:sz="4" w:space="0" w:color="auto"/>
            </w:tcBorders>
            <w:shd w:val="clear" w:color="auto" w:fill="auto"/>
            <w:noWrap/>
            <w:vAlign w:val="center"/>
            <w:hideMark/>
          </w:tcPr>
          <w:p w14:paraId="50BDBD92" w14:textId="13337F96"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1,42</w:t>
            </w:r>
            <w:r w:rsidR="009630FA" w:rsidRPr="009630FA">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A1E76B0" w14:textId="0B6CA7DF"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1,49</w:t>
            </w:r>
            <w:r w:rsidR="00CC3FAA">
              <w:rPr>
                <w:rFonts w:ascii="Arial" w:eastAsia="Times New Roman" w:hAnsi="Arial" w:cs="Arial"/>
                <w:color w:val="000000"/>
                <w:sz w:val="18"/>
                <w:szCs w:val="18"/>
                <w:lang w:eastAsia="sl-SI"/>
              </w:rPr>
              <w:t xml:space="preserve"> </w:t>
            </w:r>
            <w:r w:rsidRPr="00834AED">
              <w:rPr>
                <w:rFonts w:ascii="Arial" w:eastAsia="Times New Roman" w:hAnsi="Arial" w:cs="Arial"/>
                <w:color w:val="000000"/>
                <w:sz w:val="18"/>
                <w:szCs w:val="18"/>
                <w:lang w:eastAsia="sl-SI"/>
              </w:rPr>
              <w:t>%</w:t>
            </w:r>
          </w:p>
        </w:tc>
      </w:tr>
      <w:tr w:rsidR="00834AED" w:rsidRPr="00834AED" w14:paraId="6F2F2D04" w14:textId="77777777" w:rsidTr="009630FA">
        <w:trPr>
          <w:trHeight w:val="300"/>
        </w:trPr>
        <w:tc>
          <w:tcPr>
            <w:tcW w:w="392" w:type="pct"/>
            <w:vMerge/>
            <w:tcBorders>
              <w:top w:val="nil"/>
              <w:left w:val="single" w:sz="4" w:space="0" w:color="auto"/>
              <w:bottom w:val="single" w:sz="4" w:space="0" w:color="000000"/>
              <w:right w:val="single" w:sz="4" w:space="0" w:color="auto"/>
            </w:tcBorders>
            <w:vAlign w:val="center"/>
            <w:hideMark/>
          </w:tcPr>
          <w:p w14:paraId="5056E817"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667" w:type="pct"/>
            <w:vMerge/>
            <w:tcBorders>
              <w:top w:val="nil"/>
              <w:left w:val="single" w:sz="4" w:space="0" w:color="auto"/>
              <w:bottom w:val="single" w:sz="4" w:space="0" w:color="000000"/>
              <w:right w:val="single" w:sz="4" w:space="0" w:color="auto"/>
            </w:tcBorders>
            <w:vAlign w:val="center"/>
            <w:hideMark/>
          </w:tcPr>
          <w:p w14:paraId="311299E4"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1753" w:type="pct"/>
            <w:tcBorders>
              <w:top w:val="nil"/>
              <w:left w:val="nil"/>
              <w:bottom w:val="single" w:sz="4" w:space="0" w:color="auto"/>
              <w:right w:val="single" w:sz="4" w:space="0" w:color="auto"/>
            </w:tcBorders>
            <w:shd w:val="clear" w:color="auto" w:fill="auto"/>
            <w:vAlign w:val="center"/>
            <w:hideMark/>
          </w:tcPr>
          <w:p w14:paraId="31A68A02" w14:textId="77777777" w:rsidR="00834AED" w:rsidRPr="00834AED" w:rsidRDefault="00834AED" w:rsidP="009630FA">
            <w:pPr>
              <w:spacing w:after="0" w:line="240" w:lineRule="auto"/>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Odprti postopek</w:t>
            </w:r>
          </w:p>
        </w:tc>
        <w:tc>
          <w:tcPr>
            <w:tcW w:w="435" w:type="pct"/>
            <w:tcBorders>
              <w:top w:val="nil"/>
              <w:left w:val="nil"/>
              <w:bottom w:val="single" w:sz="4" w:space="0" w:color="auto"/>
              <w:right w:val="single" w:sz="4" w:space="0" w:color="auto"/>
            </w:tcBorders>
            <w:shd w:val="clear" w:color="auto" w:fill="auto"/>
            <w:vAlign w:val="center"/>
            <w:hideMark/>
          </w:tcPr>
          <w:p w14:paraId="5D0941D2"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37</w:t>
            </w:r>
          </w:p>
        </w:tc>
        <w:tc>
          <w:tcPr>
            <w:tcW w:w="702" w:type="pct"/>
            <w:tcBorders>
              <w:top w:val="nil"/>
              <w:left w:val="nil"/>
              <w:bottom w:val="single" w:sz="4" w:space="0" w:color="auto"/>
              <w:right w:val="single" w:sz="4" w:space="0" w:color="auto"/>
            </w:tcBorders>
            <w:shd w:val="clear" w:color="auto" w:fill="auto"/>
            <w:vAlign w:val="center"/>
            <w:hideMark/>
          </w:tcPr>
          <w:p w14:paraId="472EFFFD"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11.893.334</w:t>
            </w:r>
          </w:p>
        </w:tc>
        <w:tc>
          <w:tcPr>
            <w:tcW w:w="525" w:type="pct"/>
            <w:tcBorders>
              <w:top w:val="nil"/>
              <w:left w:val="nil"/>
              <w:bottom w:val="single" w:sz="4" w:space="0" w:color="auto"/>
              <w:right w:val="single" w:sz="4" w:space="0" w:color="auto"/>
            </w:tcBorders>
            <w:shd w:val="clear" w:color="auto" w:fill="auto"/>
            <w:noWrap/>
            <w:vAlign w:val="center"/>
            <w:hideMark/>
          </w:tcPr>
          <w:p w14:paraId="711F598F" w14:textId="0A461B58"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0,45</w:t>
            </w:r>
            <w:r w:rsidR="009630FA" w:rsidRPr="009630FA">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ABBBC2F" w14:textId="6270C238"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0,67</w:t>
            </w:r>
            <w:r w:rsidR="00CC3FAA">
              <w:rPr>
                <w:rFonts w:ascii="Arial" w:eastAsia="Times New Roman" w:hAnsi="Arial" w:cs="Arial"/>
                <w:color w:val="000000"/>
                <w:sz w:val="18"/>
                <w:szCs w:val="18"/>
                <w:lang w:eastAsia="sl-SI"/>
              </w:rPr>
              <w:t xml:space="preserve"> </w:t>
            </w:r>
            <w:r w:rsidRPr="00834AED">
              <w:rPr>
                <w:rFonts w:ascii="Arial" w:eastAsia="Times New Roman" w:hAnsi="Arial" w:cs="Arial"/>
                <w:color w:val="000000"/>
                <w:sz w:val="18"/>
                <w:szCs w:val="18"/>
                <w:lang w:eastAsia="sl-SI"/>
              </w:rPr>
              <w:t>%</w:t>
            </w:r>
          </w:p>
        </w:tc>
      </w:tr>
      <w:tr w:rsidR="00834AED" w:rsidRPr="00834AED" w14:paraId="55A1ADB9" w14:textId="77777777" w:rsidTr="009630FA">
        <w:trPr>
          <w:trHeight w:val="300"/>
        </w:trPr>
        <w:tc>
          <w:tcPr>
            <w:tcW w:w="392" w:type="pct"/>
            <w:vMerge/>
            <w:tcBorders>
              <w:top w:val="nil"/>
              <w:left w:val="single" w:sz="4" w:space="0" w:color="auto"/>
              <w:bottom w:val="single" w:sz="4" w:space="0" w:color="000000"/>
              <w:right w:val="single" w:sz="4" w:space="0" w:color="auto"/>
            </w:tcBorders>
            <w:vAlign w:val="center"/>
            <w:hideMark/>
          </w:tcPr>
          <w:p w14:paraId="7FDED967"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667" w:type="pct"/>
            <w:vMerge/>
            <w:tcBorders>
              <w:top w:val="nil"/>
              <w:left w:val="single" w:sz="4" w:space="0" w:color="auto"/>
              <w:bottom w:val="single" w:sz="4" w:space="0" w:color="000000"/>
              <w:right w:val="single" w:sz="4" w:space="0" w:color="auto"/>
            </w:tcBorders>
            <w:vAlign w:val="center"/>
            <w:hideMark/>
          </w:tcPr>
          <w:p w14:paraId="23473470"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1753" w:type="pct"/>
            <w:tcBorders>
              <w:top w:val="nil"/>
              <w:left w:val="nil"/>
              <w:bottom w:val="single" w:sz="4" w:space="0" w:color="auto"/>
              <w:right w:val="single" w:sz="4" w:space="0" w:color="auto"/>
            </w:tcBorders>
            <w:shd w:val="clear" w:color="auto" w:fill="auto"/>
            <w:vAlign w:val="center"/>
            <w:hideMark/>
          </w:tcPr>
          <w:p w14:paraId="7DB37570" w14:textId="77777777" w:rsidR="00834AED" w:rsidRPr="00834AED" w:rsidRDefault="00834AED" w:rsidP="009630FA">
            <w:pPr>
              <w:spacing w:after="0" w:line="240" w:lineRule="auto"/>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Postopek naročila male vrednosti</w:t>
            </w:r>
          </w:p>
        </w:tc>
        <w:tc>
          <w:tcPr>
            <w:tcW w:w="435" w:type="pct"/>
            <w:tcBorders>
              <w:top w:val="nil"/>
              <w:left w:val="nil"/>
              <w:bottom w:val="single" w:sz="4" w:space="0" w:color="auto"/>
              <w:right w:val="single" w:sz="4" w:space="0" w:color="auto"/>
            </w:tcBorders>
            <w:shd w:val="clear" w:color="auto" w:fill="auto"/>
            <w:vAlign w:val="center"/>
            <w:hideMark/>
          </w:tcPr>
          <w:p w14:paraId="68AD5833" w14:textId="5A888490" w:rsidR="00834AED" w:rsidRPr="00834AED" w:rsidRDefault="00C21F0C" w:rsidP="009630FA">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w:t>
            </w:r>
          </w:p>
        </w:tc>
        <w:tc>
          <w:tcPr>
            <w:tcW w:w="702" w:type="pct"/>
            <w:tcBorders>
              <w:top w:val="nil"/>
              <w:left w:val="nil"/>
              <w:bottom w:val="single" w:sz="4" w:space="0" w:color="auto"/>
              <w:right w:val="single" w:sz="4" w:space="0" w:color="auto"/>
            </w:tcBorders>
            <w:shd w:val="clear" w:color="auto" w:fill="auto"/>
            <w:vAlign w:val="center"/>
            <w:hideMark/>
          </w:tcPr>
          <w:p w14:paraId="5D1D88F2" w14:textId="42525FD4" w:rsidR="00834AED" w:rsidRPr="00834AED" w:rsidRDefault="001C48A9" w:rsidP="009630FA">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3.272.361</w:t>
            </w:r>
          </w:p>
        </w:tc>
        <w:tc>
          <w:tcPr>
            <w:tcW w:w="525" w:type="pct"/>
            <w:tcBorders>
              <w:top w:val="nil"/>
              <w:left w:val="nil"/>
              <w:bottom w:val="single" w:sz="4" w:space="0" w:color="auto"/>
              <w:right w:val="single" w:sz="4" w:space="0" w:color="auto"/>
            </w:tcBorders>
            <w:shd w:val="clear" w:color="auto" w:fill="auto"/>
            <w:noWrap/>
            <w:vAlign w:val="center"/>
            <w:hideMark/>
          </w:tcPr>
          <w:p w14:paraId="511BA5BF" w14:textId="6D3327D9" w:rsidR="00834AED" w:rsidRPr="00834AED" w:rsidRDefault="001C48A9" w:rsidP="009630FA">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0,89</w:t>
            </w:r>
            <w:r w:rsidR="009630FA" w:rsidRPr="009630FA">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CB27791" w14:textId="5E8C95E2" w:rsidR="00834AED" w:rsidRPr="00834AED" w:rsidRDefault="001C48A9" w:rsidP="009630FA">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0,72</w:t>
            </w:r>
            <w:r w:rsidR="00CC3FAA">
              <w:rPr>
                <w:rFonts w:ascii="Arial" w:eastAsia="Times New Roman" w:hAnsi="Arial" w:cs="Arial"/>
                <w:color w:val="000000"/>
                <w:sz w:val="18"/>
                <w:szCs w:val="18"/>
                <w:lang w:eastAsia="sl-SI"/>
              </w:rPr>
              <w:t xml:space="preserve"> </w:t>
            </w:r>
            <w:r w:rsidR="00834AED" w:rsidRPr="00834AED">
              <w:rPr>
                <w:rFonts w:ascii="Arial" w:eastAsia="Times New Roman" w:hAnsi="Arial" w:cs="Arial"/>
                <w:color w:val="000000"/>
                <w:sz w:val="18"/>
                <w:szCs w:val="18"/>
                <w:lang w:eastAsia="sl-SI"/>
              </w:rPr>
              <w:t>%</w:t>
            </w:r>
          </w:p>
        </w:tc>
      </w:tr>
      <w:tr w:rsidR="00834AED" w:rsidRPr="00834AED" w14:paraId="05268F5D" w14:textId="77777777" w:rsidTr="009630FA">
        <w:trPr>
          <w:trHeight w:val="300"/>
        </w:trPr>
        <w:tc>
          <w:tcPr>
            <w:tcW w:w="392" w:type="pct"/>
            <w:vMerge/>
            <w:tcBorders>
              <w:top w:val="nil"/>
              <w:left w:val="single" w:sz="4" w:space="0" w:color="auto"/>
              <w:bottom w:val="single" w:sz="4" w:space="0" w:color="000000"/>
              <w:right w:val="single" w:sz="4" w:space="0" w:color="auto"/>
            </w:tcBorders>
            <w:vAlign w:val="center"/>
            <w:hideMark/>
          </w:tcPr>
          <w:p w14:paraId="369266F4"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667" w:type="pct"/>
            <w:vMerge/>
            <w:tcBorders>
              <w:top w:val="nil"/>
              <w:left w:val="single" w:sz="4" w:space="0" w:color="auto"/>
              <w:bottom w:val="single" w:sz="4" w:space="0" w:color="000000"/>
              <w:right w:val="single" w:sz="4" w:space="0" w:color="auto"/>
            </w:tcBorders>
            <w:vAlign w:val="center"/>
            <w:hideMark/>
          </w:tcPr>
          <w:p w14:paraId="298462D4"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1753" w:type="pct"/>
            <w:tcBorders>
              <w:top w:val="nil"/>
              <w:left w:val="nil"/>
              <w:bottom w:val="single" w:sz="4" w:space="0" w:color="auto"/>
              <w:right w:val="single" w:sz="4" w:space="0" w:color="auto"/>
            </w:tcBorders>
            <w:shd w:val="clear" w:color="auto" w:fill="auto"/>
            <w:vAlign w:val="center"/>
            <w:hideMark/>
          </w:tcPr>
          <w:p w14:paraId="56D01DBB" w14:textId="77777777" w:rsidR="00834AED" w:rsidRPr="00834AED" w:rsidRDefault="00834AED" w:rsidP="009630FA">
            <w:pPr>
              <w:spacing w:after="0" w:line="240" w:lineRule="auto"/>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Postopek s pogajanji brez predhodne objave</w:t>
            </w:r>
          </w:p>
        </w:tc>
        <w:tc>
          <w:tcPr>
            <w:tcW w:w="435" w:type="pct"/>
            <w:tcBorders>
              <w:top w:val="nil"/>
              <w:left w:val="nil"/>
              <w:bottom w:val="single" w:sz="4" w:space="0" w:color="auto"/>
              <w:right w:val="single" w:sz="4" w:space="0" w:color="auto"/>
            </w:tcBorders>
            <w:shd w:val="clear" w:color="auto" w:fill="auto"/>
            <w:vAlign w:val="center"/>
            <w:hideMark/>
          </w:tcPr>
          <w:p w14:paraId="09116A0D"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44</w:t>
            </w:r>
          </w:p>
        </w:tc>
        <w:tc>
          <w:tcPr>
            <w:tcW w:w="702" w:type="pct"/>
            <w:tcBorders>
              <w:top w:val="nil"/>
              <w:left w:val="nil"/>
              <w:bottom w:val="single" w:sz="4" w:space="0" w:color="auto"/>
              <w:right w:val="single" w:sz="4" w:space="0" w:color="auto"/>
            </w:tcBorders>
            <w:shd w:val="clear" w:color="auto" w:fill="auto"/>
            <w:vAlign w:val="center"/>
            <w:hideMark/>
          </w:tcPr>
          <w:p w14:paraId="7C1E2366"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11.186.473</w:t>
            </w:r>
          </w:p>
        </w:tc>
        <w:tc>
          <w:tcPr>
            <w:tcW w:w="525" w:type="pct"/>
            <w:tcBorders>
              <w:top w:val="nil"/>
              <w:left w:val="nil"/>
              <w:bottom w:val="single" w:sz="4" w:space="0" w:color="auto"/>
              <w:right w:val="single" w:sz="4" w:space="0" w:color="auto"/>
            </w:tcBorders>
            <w:shd w:val="clear" w:color="auto" w:fill="auto"/>
            <w:noWrap/>
            <w:vAlign w:val="center"/>
            <w:hideMark/>
          </w:tcPr>
          <w:p w14:paraId="2B41067A" w14:textId="26323BB8"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5,31</w:t>
            </w:r>
            <w:r w:rsidR="009630FA" w:rsidRPr="009630FA">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8A24B10" w14:textId="61B8E99F"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3,62</w:t>
            </w:r>
            <w:r w:rsidR="00CC3FAA">
              <w:rPr>
                <w:rFonts w:ascii="Arial" w:eastAsia="Times New Roman" w:hAnsi="Arial" w:cs="Arial"/>
                <w:color w:val="000000"/>
                <w:sz w:val="18"/>
                <w:szCs w:val="18"/>
                <w:lang w:eastAsia="sl-SI"/>
              </w:rPr>
              <w:t xml:space="preserve"> </w:t>
            </w:r>
            <w:r w:rsidRPr="00834AED">
              <w:rPr>
                <w:rFonts w:ascii="Arial" w:eastAsia="Times New Roman" w:hAnsi="Arial" w:cs="Arial"/>
                <w:color w:val="000000"/>
                <w:sz w:val="18"/>
                <w:szCs w:val="18"/>
                <w:lang w:eastAsia="sl-SI"/>
              </w:rPr>
              <w:t>%</w:t>
            </w:r>
          </w:p>
        </w:tc>
      </w:tr>
      <w:tr w:rsidR="00834AED" w:rsidRPr="00834AED" w14:paraId="247E5B1C" w14:textId="77777777" w:rsidTr="009630FA">
        <w:trPr>
          <w:trHeight w:val="300"/>
        </w:trPr>
        <w:tc>
          <w:tcPr>
            <w:tcW w:w="392" w:type="pct"/>
            <w:vMerge/>
            <w:tcBorders>
              <w:top w:val="nil"/>
              <w:left w:val="single" w:sz="4" w:space="0" w:color="auto"/>
              <w:bottom w:val="single" w:sz="4" w:space="0" w:color="000000"/>
              <w:right w:val="single" w:sz="4" w:space="0" w:color="auto"/>
            </w:tcBorders>
            <w:vAlign w:val="center"/>
            <w:hideMark/>
          </w:tcPr>
          <w:p w14:paraId="3356A1A7"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667" w:type="pct"/>
            <w:vMerge/>
            <w:tcBorders>
              <w:top w:val="nil"/>
              <w:left w:val="single" w:sz="4" w:space="0" w:color="auto"/>
              <w:bottom w:val="single" w:sz="4" w:space="0" w:color="000000"/>
              <w:right w:val="single" w:sz="4" w:space="0" w:color="auto"/>
            </w:tcBorders>
            <w:vAlign w:val="center"/>
            <w:hideMark/>
          </w:tcPr>
          <w:p w14:paraId="1D84465B" w14:textId="77777777" w:rsidR="00834AED" w:rsidRPr="00834AED" w:rsidRDefault="00834AED" w:rsidP="00834AED">
            <w:pPr>
              <w:spacing w:after="0" w:line="240" w:lineRule="auto"/>
              <w:rPr>
                <w:rFonts w:ascii="Arial" w:eastAsia="Times New Roman" w:hAnsi="Arial" w:cs="Arial"/>
                <w:color w:val="000000"/>
                <w:sz w:val="18"/>
                <w:szCs w:val="18"/>
                <w:lang w:eastAsia="sl-SI"/>
              </w:rPr>
            </w:pPr>
          </w:p>
        </w:tc>
        <w:tc>
          <w:tcPr>
            <w:tcW w:w="1753" w:type="pct"/>
            <w:tcBorders>
              <w:top w:val="nil"/>
              <w:left w:val="nil"/>
              <w:bottom w:val="single" w:sz="4" w:space="0" w:color="auto"/>
              <w:right w:val="single" w:sz="4" w:space="0" w:color="auto"/>
            </w:tcBorders>
            <w:shd w:val="clear" w:color="auto" w:fill="auto"/>
            <w:vAlign w:val="center"/>
            <w:hideMark/>
          </w:tcPr>
          <w:p w14:paraId="768BDDDB" w14:textId="77777777" w:rsidR="00834AED" w:rsidRPr="00834AED" w:rsidRDefault="00834AED" w:rsidP="009630FA">
            <w:pPr>
              <w:spacing w:after="0" w:line="240" w:lineRule="auto"/>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Postopek s pogajanji po predhodni objavi</w:t>
            </w:r>
          </w:p>
        </w:tc>
        <w:tc>
          <w:tcPr>
            <w:tcW w:w="435" w:type="pct"/>
            <w:tcBorders>
              <w:top w:val="nil"/>
              <w:left w:val="nil"/>
              <w:bottom w:val="single" w:sz="4" w:space="0" w:color="auto"/>
              <w:right w:val="single" w:sz="4" w:space="0" w:color="auto"/>
            </w:tcBorders>
            <w:shd w:val="clear" w:color="auto" w:fill="auto"/>
            <w:vAlign w:val="center"/>
            <w:hideMark/>
          </w:tcPr>
          <w:p w14:paraId="6ECB21BA"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3</w:t>
            </w:r>
          </w:p>
        </w:tc>
        <w:tc>
          <w:tcPr>
            <w:tcW w:w="702" w:type="pct"/>
            <w:tcBorders>
              <w:top w:val="nil"/>
              <w:left w:val="nil"/>
              <w:bottom w:val="single" w:sz="4" w:space="0" w:color="auto"/>
              <w:right w:val="single" w:sz="4" w:space="0" w:color="auto"/>
            </w:tcBorders>
            <w:shd w:val="clear" w:color="auto" w:fill="auto"/>
            <w:vAlign w:val="center"/>
            <w:hideMark/>
          </w:tcPr>
          <w:p w14:paraId="01D9D07D" w14:textId="77777777"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1.068.654</w:t>
            </w:r>
          </w:p>
        </w:tc>
        <w:tc>
          <w:tcPr>
            <w:tcW w:w="525" w:type="pct"/>
            <w:tcBorders>
              <w:top w:val="nil"/>
              <w:left w:val="nil"/>
              <w:bottom w:val="single" w:sz="4" w:space="0" w:color="auto"/>
              <w:right w:val="single" w:sz="4" w:space="0" w:color="auto"/>
            </w:tcBorders>
            <w:shd w:val="clear" w:color="auto" w:fill="auto"/>
            <w:noWrap/>
            <w:vAlign w:val="center"/>
            <w:hideMark/>
          </w:tcPr>
          <w:p w14:paraId="1C1FFEE3" w14:textId="0D5422FD"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1,35</w:t>
            </w:r>
            <w:r w:rsidR="009630FA" w:rsidRPr="009630FA">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2821C24" w14:textId="0DE76F60" w:rsidR="00834AED" w:rsidRPr="00834AED" w:rsidRDefault="00834AED" w:rsidP="009630FA">
            <w:pPr>
              <w:spacing w:after="0" w:line="240" w:lineRule="auto"/>
              <w:jc w:val="right"/>
              <w:rPr>
                <w:rFonts w:ascii="Arial" w:eastAsia="Times New Roman" w:hAnsi="Arial" w:cs="Arial"/>
                <w:color w:val="000000"/>
                <w:sz w:val="18"/>
                <w:szCs w:val="18"/>
                <w:lang w:eastAsia="sl-SI"/>
              </w:rPr>
            </w:pPr>
            <w:r w:rsidRPr="00834AED">
              <w:rPr>
                <w:rFonts w:ascii="Arial" w:eastAsia="Times New Roman" w:hAnsi="Arial" w:cs="Arial"/>
                <w:color w:val="000000"/>
                <w:sz w:val="18"/>
                <w:szCs w:val="18"/>
                <w:lang w:eastAsia="sl-SI"/>
              </w:rPr>
              <w:t>0,51</w:t>
            </w:r>
            <w:r w:rsidR="00CC3FAA">
              <w:rPr>
                <w:rFonts w:ascii="Arial" w:eastAsia="Times New Roman" w:hAnsi="Arial" w:cs="Arial"/>
                <w:color w:val="000000"/>
                <w:sz w:val="18"/>
                <w:szCs w:val="18"/>
                <w:lang w:eastAsia="sl-SI"/>
              </w:rPr>
              <w:t xml:space="preserve"> </w:t>
            </w:r>
            <w:r w:rsidRPr="00834AED">
              <w:rPr>
                <w:rFonts w:ascii="Arial" w:eastAsia="Times New Roman" w:hAnsi="Arial" w:cs="Arial"/>
                <w:color w:val="000000"/>
                <w:sz w:val="18"/>
                <w:szCs w:val="18"/>
                <w:lang w:eastAsia="sl-SI"/>
              </w:rPr>
              <w:t>%</w:t>
            </w:r>
          </w:p>
        </w:tc>
      </w:tr>
      <w:tr w:rsidR="00834AED" w:rsidRPr="00834AED" w14:paraId="5107089B" w14:textId="77777777" w:rsidTr="00A11EE0">
        <w:trPr>
          <w:trHeight w:val="300"/>
        </w:trPr>
        <w:tc>
          <w:tcPr>
            <w:tcW w:w="2813" w:type="pct"/>
            <w:gridSpan w:val="3"/>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1E7A0655" w14:textId="77777777" w:rsidR="00834AED" w:rsidRPr="00834AED" w:rsidRDefault="00834AED" w:rsidP="009630FA">
            <w:pPr>
              <w:spacing w:after="0" w:line="240" w:lineRule="auto"/>
              <w:rPr>
                <w:rFonts w:ascii="Arial" w:eastAsia="Times New Roman" w:hAnsi="Arial" w:cs="Arial"/>
                <w:b/>
                <w:bCs/>
                <w:color w:val="000000"/>
                <w:sz w:val="18"/>
                <w:szCs w:val="18"/>
                <w:lang w:eastAsia="sl-SI"/>
              </w:rPr>
            </w:pPr>
            <w:r w:rsidRPr="00834AED">
              <w:rPr>
                <w:rFonts w:ascii="Arial" w:eastAsia="Times New Roman" w:hAnsi="Arial" w:cs="Arial"/>
                <w:b/>
                <w:bCs/>
                <w:color w:val="000000"/>
                <w:sz w:val="18"/>
                <w:szCs w:val="18"/>
                <w:lang w:eastAsia="sl-SI"/>
              </w:rPr>
              <w:t>Skupaj</w:t>
            </w:r>
          </w:p>
        </w:tc>
        <w:tc>
          <w:tcPr>
            <w:tcW w:w="435" w:type="pct"/>
            <w:tcBorders>
              <w:top w:val="nil"/>
              <w:left w:val="nil"/>
              <w:bottom w:val="single" w:sz="4" w:space="0" w:color="auto"/>
              <w:right w:val="single" w:sz="4" w:space="0" w:color="auto"/>
            </w:tcBorders>
            <w:shd w:val="clear" w:color="auto" w:fill="E7E6E6" w:themeFill="background2"/>
            <w:noWrap/>
            <w:vAlign w:val="center"/>
            <w:hideMark/>
          </w:tcPr>
          <w:p w14:paraId="4A51B775" w14:textId="525EE83A" w:rsidR="00834AED" w:rsidRPr="00834AED" w:rsidRDefault="001C48A9" w:rsidP="009630FA">
            <w:pPr>
              <w:spacing w:after="0" w:line="240" w:lineRule="auto"/>
              <w:jc w:val="right"/>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151</w:t>
            </w:r>
          </w:p>
        </w:tc>
        <w:tc>
          <w:tcPr>
            <w:tcW w:w="702" w:type="pct"/>
            <w:tcBorders>
              <w:top w:val="nil"/>
              <w:left w:val="nil"/>
              <w:bottom w:val="single" w:sz="4" w:space="0" w:color="auto"/>
              <w:right w:val="single" w:sz="4" w:space="0" w:color="auto"/>
            </w:tcBorders>
            <w:shd w:val="clear" w:color="auto" w:fill="E7E6E6" w:themeFill="background2"/>
            <w:noWrap/>
            <w:vAlign w:val="center"/>
            <w:hideMark/>
          </w:tcPr>
          <w:p w14:paraId="3BF7CF68" w14:textId="46F6A9AC" w:rsidR="00834AED" w:rsidRPr="00834AED" w:rsidRDefault="001C48A9" w:rsidP="009630FA">
            <w:pPr>
              <w:spacing w:after="0" w:line="240" w:lineRule="auto"/>
              <w:jc w:val="right"/>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29</w:t>
            </w:r>
            <w:r w:rsidR="00834AED" w:rsidRPr="00834AED">
              <w:rPr>
                <w:rFonts w:ascii="Arial" w:eastAsia="Times New Roman" w:hAnsi="Arial" w:cs="Arial"/>
                <w:b/>
                <w:bCs/>
                <w:color w:val="000000"/>
                <w:sz w:val="18"/>
                <w:szCs w:val="18"/>
                <w:lang w:eastAsia="sl-SI"/>
              </w:rPr>
              <w:t>.</w:t>
            </w:r>
            <w:r>
              <w:rPr>
                <w:rFonts w:ascii="Arial" w:eastAsia="Times New Roman" w:hAnsi="Arial" w:cs="Arial"/>
                <w:b/>
                <w:bCs/>
                <w:color w:val="000000"/>
                <w:sz w:val="18"/>
                <w:szCs w:val="18"/>
                <w:lang w:eastAsia="sl-SI"/>
              </w:rPr>
              <w:t>420</w:t>
            </w:r>
            <w:r w:rsidR="00834AED" w:rsidRPr="00834AED">
              <w:rPr>
                <w:rFonts w:ascii="Arial" w:eastAsia="Times New Roman" w:hAnsi="Arial" w:cs="Arial"/>
                <w:b/>
                <w:bCs/>
                <w:color w:val="000000"/>
                <w:sz w:val="18"/>
                <w:szCs w:val="18"/>
                <w:lang w:eastAsia="sl-SI"/>
              </w:rPr>
              <w:t>.</w:t>
            </w:r>
            <w:r>
              <w:rPr>
                <w:rFonts w:ascii="Arial" w:eastAsia="Times New Roman" w:hAnsi="Arial" w:cs="Arial"/>
                <w:b/>
                <w:bCs/>
                <w:color w:val="000000"/>
                <w:sz w:val="18"/>
                <w:szCs w:val="18"/>
                <w:lang w:eastAsia="sl-SI"/>
              </w:rPr>
              <w:t>822</w:t>
            </w:r>
          </w:p>
        </w:tc>
        <w:tc>
          <w:tcPr>
            <w:tcW w:w="525" w:type="pct"/>
            <w:tcBorders>
              <w:top w:val="nil"/>
              <w:left w:val="nil"/>
              <w:bottom w:val="single" w:sz="4" w:space="0" w:color="auto"/>
              <w:right w:val="single" w:sz="4" w:space="0" w:color="auto"/>
            </w:tcBorders>
            <w:shd w:val="clear" w:color="auto" w:fill="E7E6E6" w:themeFill="background2"/>
            <w:noWrap/>
            <w:vAlign w:val="center"/>
            <w:hideMark/>
          </w:tcPr>
          <w:p w14:paraId="2CDCA2B2" w14:textId="7FD801B9" w:rsidR="00834AED" w:rsidRPr="00834AED" w:rsidRDefault="001C48A9" w:rsidP="009630FA">
            <w:pPr>
              <w:spacing w:after="0" w:line="240" w:lineRule="auto"/>
              <w:jc w:val="right"/>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0,90</w:t>
            </w:r>
            <w:r w:rsidR="00A11EE0">
              <w:rPr>
                <w:rFonts w:ascii="Arial" w:eastAsia="Times New Roman" w:hAnsi="Arial" w:cs="Arial"/>
                <w:b/>
                <w:bCs/>
                <w:color w:val="000000"/>
                <w:sz w:val="18"/>
                <w:szCs w:val="18"/>
                <w:lang w:eastAsia="sl-SI"/>
              </w:rPr>
              <w:t xml:space="preserve"> </w:t>
            </w:r>
            <w:r w:rsidR="00834AED" w:rsidRPr="00834AED">
              <w:rPr>
                <w:rFonts w:ascii="Arial" w:eastAsia="Times New Roman" w:hAnsi="Arial" w:cs="Arial"/>
                <w:b/>
                <w:bCs/>
                <w:color w:val="000000"/>
                <w:sz w:val="18"/>
                <w:szCs w:val="18"/>
                <w:lang w:eastAsia="sl-SI"/>
              </w:rPr>
              <w:t>%</w:t>
            </w:r>
          </w:p>
        </w:tc>
        <w:tc>
          <w:tcPr>
            <w:tcW w:w="525" w:type="pct"/>
            <w:tcBorders>
              <w:top w:val="nil"/>
              <w:left w:val="nil"/>
              <w:bottom w:val="single" w:sz="4" w:space="0" w:color="auto"/>
              <w:right w:val="single" w:sz="4" w:space="0" w:color="auto"/>
            </w:tcBorders>
            <w:shd w:val="clear" w:color="auto" w:fill="E7E6E6" w:themeFill="background2"/>
            <w:noWrap/>
            <w:vAlign w:val="center"/>
            <w:hideMark/>
          </w:tcPr>
          <w:p w14:paraId="275A5F4E" w14:textId="1CC71909" w:rsidR="00834AED" w:rsidRPr="00834AED" w:rsidRDefault="001C48A9" w:rsidP="009630FA">
            <w:pPr>
              <w:spacing w:after="0" w:line="240" w:lineRule="auto"/>
              <w:jc w:val="right"/>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1,01</w:t>
            </w:r>
            <w:r w:rsidR="00A11EE0">
              <w:rPr>
                <w:rFonts w:ascii="Arial" w:eastAsia="Times New Roman" w:hAnsi="Arial" w:cs="Arial"/>
                <w:b/>
                <w:bCs/>
                <w:color w:val="000000"/>
                <w:sz w:val="18"/>
                <w:szCs w:val="18"/>
                <w:lang w:eastAsia="sl-SI"/>
              </w:rPr>
              <w:t xml:space="preserve"> </w:t>
            </w:r>
            <w:r w:rsidR="00834AED" w:rsidRPr="00834AED">
              <w:rPr>
                <w:rFonts w:ascii="Arial" w:eastAsia="Times New Roman" w:hAnsi="Arial" w:cs="Arial"/>
                <w:b/>
                <w:bCs/>
                <w:color w:val="000000"/>
                <w:sz w:val="18"/>
                <w:szCs w:val="18"/>
                <w:lang w:eastAsia="sl-SI"/>
              </w:rPr>
              <w:t>%</w:t>
            </w:r>
          </w:p>
        </w:tc>
      </w:tr>
    </w:tbl>
    <w:p w14:paraId="5F367543" w14:textId="77777777" w:rsidR="003B5382" w:rsidRPr="009630FA" w:rsidRDefault="003B5382" w:rsidP="003B5382">
      <w:pPr>
        <w:spacing w:after="0" w:line="240" w:lineRule="auto"/>
        <w:jc w:val="center"/>
        <w:rPr>
          <w:rFonts w:ascii="Arial" w:hAnsi="Arial" w:cs="Arial"/>
          <w:sz w:val="18"/>
        </w:rPr>
      </w:pPr>
    </w:p>
    <w:p w14:paraId="776AB072" w14:textId="61460CFC" w:rsidR="003A03FE" w:rsidRPr="009630FA" w:rsidRDefault="003A03FE" w:rsidP="00701C10">
      <w:pPr>
        <w:spacing w:after="240" w:line="240" w:lineRule="auto"/>
        <w:jc w:val="center"/>
        <w:rPr>
          <w:rFonts w:ascii="Arial" w:hAnsi="Arial" w:cs="Arial"/>
          <w:sz w:val="18"/>
        </w:rPr>
      </w:pPr>
      <w:r w:rsidRPr="009630FA">
        <w:rPr>
          <w:rFonts w:ascii="Arial" w:hAnsi="Arial" w:cs="Arial"/>
          <w:sz w:val="18"/>
        </w:rPr>
        <w:t>Vir: Statistični podatki o javnih naro</w:t>
      </w:r>
      <w:r w:rsidR="00CA08C7" w:rsidRPr="009630FA">
        <w:rPr>
          <w:rFonts w:ascii="Arial" w:hAnsi="Arial" w:cs="Arial"/>
          <w:sz w:val="18"/>
        </w:rPr>
        <w:t>čilih, oddanih v letu 201</w:t>
      </w:r>
      <w:r w:rsidR="007905A2" w:rsidRPr="009630FA">
        <w:rPr>
          <w:rFonts w:ascii="Arial" w:hAnsi="Arial" w:cs="Arial"/>
          <w:sz w:val="18"/>
        </w:rPr>
        <w:t>8</w:t>
      </w:r>
    </w:p>
    <w:p w14:paraId="16BBD4F2" w14:textId="77777777" w:rsidR="00ED60F1" w:rsidRDefault="00ED60F1" w:rsidP="00AA714B">
      <w:pPr>
        <w:pStyle w:val="Naslov3"/>
        <w:rPr>
          <w:rFonts w:ascii="Arial" w:hAnsi="Arial" w:cs="Arial"/>
          <w:sz w:val="22"/>
          <w:szCs w:val="22"/>
        </w:rPr>
      </w:pPr>
      <w:bookmarkStart w:id="13" w:name="_Toc17114051"/>
    </w:p>
    <w:p w14:paraId="518AA674" w14:textId="4C5C948D" w:rsidR="00AA714B" w:rsidRPr="008564AE" w:rsidRDefault="00AA714B" w:rsidP="00AA714B">
      <w:pPr>
        <w:pStyle w:val="Naslov3"/>
        <w:rPr>
          <w:rFonts w:ascii="Arial" w:hAnsi="Arial" w:cs="Arial"/>
          <w:sz w:val="22"/>
          <w:szCs w:val="22"/>
        </w:rPr>
      </w:pPr>
      <w:r w:rsidRPr="008564AE">
        <w:rPr>
          <w:rFonts w:ascii="Arial" w:hAnsi="Arial" w:cs="Arial"/>
          <w:sz w:val="22"/>
          <w:szCs w:val="22"/>
        </w:rPr>
        <w:t>2.3.2 Postopki z objavo obvestila o javnem naročilu</w:t>
      </w:r>
      <w:bookmarkEnd w:id="13"/>
    </w:p>
    <w:p w14:paraId="4F20972B" w14:textId="77777777" w:rsidR="00AA714B" w:rsidRPr="00EF2D0B" w:rsidRDefault="00AA714B" w:rsidP="00854405">
      <w:pPr>
        <w:pStyle w:val="ZADEVA"/>
        <w:jc w:val="both"/>
        <w:rPr>
          <w:rFonts w:cs="Arial"/>
          <w:b w:val="0"/>
          <w:szCs w:val="20"/>
          <w:highlight w:val="yellow"/>
          <w:lang w:val="sl-SI"/>
        </w:rPr>
      </w:pPr>
    </w:p>
    <w:p w14:paraId="5E49828E" w14:textId="2D2C5EF2" w:rsidR="00C77330" w:rsidRPr="007E62AC" w:rsidRDefault="00CB4520" w:rsidP="00E13581">
      <w:pPr>
        <w:tabs>
          <w:tab w:val="left" w:pos="567"/>
          <w:tab w:val="left" w:pos="993"/>
        </w:tabs>
        <w:spacing w:line="360" w:lineRule="auto"/>
        <w:jc w:val="both"/>
        <w:rPr>
          <w:rFonts w:ascii="Arial" w:hAnsi="Arial" w:cs="Arial"/>
          <w:bCs/>
          <w:sz w:val="20"/>
          <w:szCs w:val="20"/>
        </w:rPr>
      </w:pPr>
      <w:r w:rsidRPr="00AC3909">
        <w:rPr>
          <w:rFonts w:ascii="Arial" w:hAnsi="Arial" w:cs="Arial"/>
          <w:bCs/>
          <w:sz w:val="20"/>
          <w:szCs w:val="20"/>
        </w:rPr>
        <w:t>Naročniki so</w:t>
      </w:r>
      <w:r w:rsidR="00C95540">
        <w:rPr>
          <w:rFonts w:ascii="Arial" w:hAnsi="Arial" w:cs="Arial"/>
          <w:bCs/>
          <w:sz w:val="20"/>
          <w:szCs w:val="20"/>
        </w:rPr>
        <w:t xml:space="preserve"> </w:t>
      </w:r>
      <w:r w:rsidRPr="00AC3909">
        <w:rPr>
          <w:rFonts w:ascii="Arial" w:hAnsi="Arial" w:cs="Arial"/>
          <w:bCs/>
          <w:sz w:val="20"/>
          <w:szCs w:val="20"/>
        </w:rPr>
        <w:t xml:space="preserve"> l</w:t>
      </w:r>
      <w:r w:rsidR="00EC39E3" w:rsidRPr="00AC3909">
        <w:rPr>
          <w:rFonts w:ascii="Arial" w:hAnsi="Arial" w:cs="Arial"/>
          <w:bCs/>
          <w:sz w:val="20"/>
          <w:szCs w:val="20"/>
        </w:rPr>
        <w:t>et</w:t>
      </w:r>
      <w:r w:rsidR="00EC1BBF">
        <w:rPr>
          <w:rFonts w:ascii="Arial" w:hAnsi="Arial" w:cs="Arial"/>
          <w:bCs/>
          <w:sz w:val="20"/>
          <w:szCs w:val="20"/>
        </w:rPr>
        <w:t>a</w:t>
      </w:r>
      <w:r w:rsidR="00EC39E3" w:rsidRPr="00AC3909">
        <w:rPr>
          <w:rFonts w:ascii="Arial" w:hAnsi="Arial" w:cs="Arial"/>
          <w:bCs/>
          <w:sz w:val="20"/>
          <w:szCs w:val="20"/>
        </w:rPr>
        <w:t xml:space="preserve"> 201</w:t>
      </w:r>
      <w:r w:rsidR="00AC3909" w:rsidRPr="00AC3909">
        <w:rPr>
          <w:rFonts w:ascii="Arial" w:hAnsi="Arial" w:cs="Arial"/>
          <w:bCs/>
          <w:sz w:val="20"/>
          <w:szCs w:val="20"/>
        </w:rPr>
        <w:t>8</w:t>
      </w:r>
      <w:r w:rsidR="00EC39E3" w:rsidRPr="00AC3909">
        <w:rPr>
          <w:rFonts w:ascii="Arial" w:hAnsi="Arial" w:cs="Arial"/>
          <w:bCs/>
          <w:sz w:val="20"/>
          <w:szCs w:val="20"/>
        </w:rPr>
        <w:t xml:space="preserve"> v 5</w:t>
      </w:r>
      <w:r w:rsidR="00AC3909" w:rsidRPr="00AC3909">
        <w:rPr>
          <w:rFonts w:ascii="Arial" w:hAnsi="Arial" w:cs="Arial"/>
          <w:bCs/>
          <w:sz w:val="20"/>
          <w:szCs w:val="20"/>
        </w:rPr>
        <w:t>984</w:t>
      </w:r>
      <w:r w:rsidR="00E13581" w:rsidRPr="00AC3909">
        <w:rPr>
          <w:rFonts w:ascii="Arial" w:hAnsi="Arial" w:cs="Arial"/>
          <w:bCs/>
          <w:sz w:val="20"/>
          <w:szCs w:val="20"/>
        </w:rPr>
        <w:t xml:space="preserve"> postopkih javnega naročanja</w:t>
      </w:r>
      <w:r w:rsidR="00C77330" w:rsidRPr="00AC3909">
        <w:rPr>
          <w:rFonts w:ascii="Arial" w:hAnsi="Arial" w:cs="Arial"/>
          <w:bCs/>
          <w:sz w:val="20"/>
          <w:szCs w:val="20"/>
        </w:rPr>
        <w:t xml:space="preserve"> </w:t>
      </w:r>
      <w:r w:rsidR="005634E1" w:rsidRPr="00AC3909">
        <w:rPr>
          <w:rFonts w:ascii="Arial" w:hAnsi="Arial" w:cs="Arial"/>
          <w:bCs/>
          <w:sz w:val="20"/>
          <w:szCs w:val="20"/>
        </w:rPr>
        <w:t xml:space="preserve">oddali </w:t>
      </w:r>
      <w:r w:rsidR="00C77330" w:rsidRPr="00AC3909">
        <w:rPr>
          <w:rFonts w:ascii="Arial" w:hAnsi="Arial" w:cs="Arial"/>
          <w:bCs/>
          <w:sz w:val="20"/>
          <w:szCs w:val="20"/>
        </w:rPr>
        <w:t>naročil</w:t>
      </w:r>
      <w:r w:rsidR="00E13581" w:rsidRPr="00AC3909">
        <w:rPr>
          <w:rFonts w:ascii="Arial" w:hAnsi="Arial" w:cs="Arial"/>
          <w:bCs/>
          <w:sz w:val="20"/>
          <w:szCs w:val="20"/>
        </w:rPr>
        <w:t>a</w:t>
      </w:r>
      <w:r w:rsidR="007E151F" w:rsidRPr="00AC3909">
        <w:rPr>
          <w:rFonts w:ascii="Arial" w:hAnsi="Arial" w:cs="Arial"/>
          <w:bCs/>
          <w:sz w:val="20"/>
          <w:szCs w:val="20"/>
        </w:rPr>
        <w:t>,</w:t>
      </w:r>
      <w:r w:rsidR="00E13581" w:rsidRPr="00AC3909">
        <w:rPr>
          <w:rFonts w:ascii="Arial" w:hAnsi="Arial" w:cs="Arial"/>
          <w:bCs/>
          <w:sz w:val="20"/>
          <w:szCs w:val="20"/>
        </w:rPr>
        <w:t xml:space="preserve"> za katera so predhodno objavili obvestil</w:t>
      </w:r>
      <w:r w:rsidR="005634E1" w:rsidRPr="00AC3909">
        <w:rPr>
          <w:rFonts w:ascii="Arial" w:hAnsi="Arial" w:cs="Arial"/>
          <w:bCs/>
          <w:sz w:val="20"/>
          <w:szCs w:val="20"/>
        </w:rPr>
        <w:t>o</w:t>
      </w:r>
      <w:r w:rsidR="00E13581" w:rsidRPr="00AC3909">
        <w:rPr>
          <w:rFonts w:ascii="Arial" w:hAnsi="Arial" w:cs="Arial"/>
          <w:bCs/>
          <w:sz w:val="20"/>
          <w:szCs w:val="20"/>
        </w:rPr>
        <w:t xml:space="preserve"> o javnem naročilu,</w:t>
      </w:r>
      <w:r w:rsidR="00C77330" w:rsidRPr="00AC3909">
        <w:rPr>
          <w:rFonts w:ascii="Arial" w:hAnsi="Arial" w:cs="Arial"/>
          <w:bCs/>
          <w:sz w:val="20"/>
          <w:szCs w:val="20"/>
        </w:rPr>
        <w:t xml:space="preserve"> </w:t>
      </w:r>
      <w:r w:rsidR="00C77330" w:rsidRPr="007E62AC">
        <w:rPr>
          <w:rFonts w:ascii="Arial" w:hAnsi="Arial" w:cs="Arial"/>
          <w:bCs/>
          <w:sz w:val="20"/>
          <w:szCs w:val="20"/>
        </w:rPr>
        <w:t xml:space="preserve">kar </w:t>
      </w:r>
      <w:r w:rsidR="002C0157" w:rsidRPr="007E62AC">
        <w:rPr>
          <w:rFonts w:ascii="Arial" w:hAnsi="Arial" w:cs="Arial"/>
          <w:bCs/>
          <w:sz w:val="20"/>
          <w:szCs w:val="20"/>
        </w:rPr>
        <w:t xml:space="preserve">je </w:t>
      </w:r>
      <w:r w:rsidR="00481C68" w:rsidRPr="007E62AC">
        <w:rPr>
          <w:rFonts w:ascii="Arial" w:hAnsi="Arial" w:cs="Arial"/>
          <w:bCs/>
          <w:sz w:val="20"/>
          <w:szCs w:val="20"/>
        </w:rPr>
        <w:t>88,</w:t>
      </w:r>
      <w:r w:rsidR="007E62AC" w:rsidRPr="007E62AC">
        <w:rPr>
          <w:rFonts w:ascii="Arial" w:hAnsi="Arial" w:cs="Arial"/>
          <w:bCs/>
          <w:sz w:val="20"/>
          <w:szCs w:val="20"/>
        </w:rPr>
        <w:t>8</w:t>
      </w:r>
      <w:r w:rsidR="00532A0B" w:rsidRPr="007E62AC">
        <w:rPr>
          <w:rFonts w:ascii="Arial" w:hAnsi="Arial" w:cs="Arial"/>
          <w:bCs/>
          <w:sz w:val="20"/>
          <w:szCs w:val="20"/>
        </w:rPr>
        <w:t xml:space="preserve"> </w:t>
      </w:r>
      <w:r w:rsidR="00E8515A" w:rsidRPr="007E62AC">
        <w:rPr>
          <w:rFonts w:ascii="Arial" w:hAnsi="Arial" w:cs="Arial"/>
          <w:bCs/>
          <w:sz w:val="20"/>
          <w:szCs w:val="20"/>
        </w:rPr>
        <w:t xml:space="preserve">% </w:t>
      </w:r>
      <w:r w:rsidR="00C77330" w:rsidRPr="007E62AC">
        <w:rPr>
          <w:rFonts w:ascii="Arial" w:hAnsi="Arial" w:cs="Arial"/>
          <w:bCs/>
          <w:sz w:val="20"/>
          <w:szCs w:val="20"/>
        </w:rPr>
        <w:t>vseh</w:t>
      </w:r>
      <w:r w:rsidR="00162CA3" w:rsidRPr="007E62AC">
        <w:rPr>
          <w:rFonts w:ascii="Arial" w:hAnsi="Arial" w:cs="Arial"/>
          <w:bCs/>
          <w:sz w:val="20"/>
          <w:szCs w:val="20"/>
        </w:rPr>
        <w:t xml:space="preserve"> </w:t>
      </w:r>
      <w:r w:rsidR="00C77330" w:rsidRPr="007E62AC">
        <w:rPr>
          <w:rFonts w:ascii="Arial" w:hAnsi="Arial" w:cs="Arial"/>
          <w:bCs/>
          <w:sz w:val="20"/>
          <w:szCs w:val="20"/>
        </w:rPr>
        <w:t>postopkov</w:t>
      </w:r>
      <w:r w:rsidR="007E151F" w:rsidRPr="007E62AC">
        <w:rPr>
          <w:rFonts w:ascii="Arial" w:hAnsi="Arial" w:cs="Arial"/>
          <w:bCs/>
          <w:sz w:val="20"/>
          <w:szCs w:val="20"/>
        </w:rPr>
        <w:t>,</w:t>
      </w:r>
      <w:r w:rsidR="00C77330" w:rsidRPr="007E62AC">
        <w:rPr>
          <w:rFonts w:ascii="Arial" w:hAnsi="Arial" w:cs="Arial"/>
          <w:bCs/>
          <w:sz w:val="20"/>
          <w:szCs w:val="20"/>
        </w:rPr>
        <w:t xml:space="preserve"> v katerih so bila oddana naročila, </w:t>
      </w:r>
      <w:r w:rsidR="00481C68" w:rsidRPr="007E62AC">
        <w:rPr>
          <w:rFonts w:ascii="Arial" w:hAnsi="Arial" w:cs="Arial"/>
          <w:bCs/>
          <w:sz w:val="20"/>
          <w:szCs w:val="20"/>
        </w:rPr>
        <w:t>9</w:t>
      </w:r>
      <w:r w:rsidR="007E62AC" w:rsidRPr="007E62AC">
        <w:rPr>
          <w:rFonts w:ascii="Arial" w:hAnsi="Arial" w:cs="Arial"/>
          <w:bCs/>
          <w:sz w:val="20"/>
          <w:szCs w:val="20"/>
        </w:rPr>
        <w:t>5</w:t>
      </w:r>
      <w:r w:rsidR="00EC1BBF">
        <w:rPr>
          <w:rFonts w:ascii="Arial" w:hAnsi="Arial" w:cs="Arial"/>
          <w:bCs/>
          <w:sz w:val="20"/>
          <w:szCs w:val="20"/>
        </w:rPr>
        <w:t> </w:t>
      </w:r>
      <w:r w:rsidR="00E8515A" w:rsidRPr="007E62AC">
        <w:rPr>
          <w:rFonts w:ascii="Arial" w:hAnsi="Arial" w:cs="Arial"/>
          <w:bCs/>
          <w:sz w:val="20"/>
          <w:szCs w:val="20"/>
        </w:rPr>
        <w:t>%</w:t>
      </w:r>
      <w:r w:rsidR="00C77330" w:rsidRPr="007E62AC">
        <w:rPr>
          <w:rFonts w:ascii="Arial" w:hAnsi="Arial" w:cs="Arial"/>
          <w:bCs/>
          <w:sz w:val="20"/>
          <w:szCs w:val="20"/>
        </w:rPr>
        <w:t xml:space="preserve"> vseh</w:t>
      </w:r>
      <w:r w:rsidR="00162CA3" w:rsidRPr="007E62AC">
        <w:rPr>
          <w:rFonts w:ascii="Arial" w:hAnsi="Arial" w:cs="Arial"/>
          <w:bCs/>
          <w:sz w:val="20"/>
          <w:szCs w:val="20"/>
        </w:rPr>
        <w:t xml:space="preserve"> </w:t>
      </w:r>
      <w:r w:rsidR="00C77330" w:rsidRPr="007E62AC">
        <w:rPr>
          <w:rFonts w:ascii="Arial" w:hAnsi="Arial" w:cs="Arial"/>
          <w:bCs/>
          <w:sz w:val="20"/>
          <w:szCs w:val="20"/>
        </w:rPr>
        <w:t xml:space="preserve">oddanih naročil in </w:t>
      </w:r>
      <w:r w:rsidR="007E62AC" w:rsidRPr="007E62AC">
        <w:rPr>
          <w:rFonts w:ascii="Arial" w:hAnsi="Arial" w:cs="Arial"/>
          <w:bCs/>
          <w:sz w:val="20"/>
          <w:szCs w:val="20"/>
        </w:rPr>
        <w:t>89,33</w:t>
      </w:r>
      <w:r w:rsidR="00532A0B" w:rsidRPr="007E62AC">
        <w:rPr>
          <w:rFonts w:ascii="Arial" w:hAnsi="Arial" w:cs="Arial"/>
          <w:bCs/>
          <w:sz w:val="20"/>
          <w:szCs w:val="20"/>
        </w:rPr>
        <w:t xml:space="preserve"> </w:t>
      </w:r>
      <w:r w:rsidR="00E8515A" w:rsidRPr="007E62AC">
        <w:rPr>
          <w:rFonts w:ascii="Arial" w:hAnsi="Arial" w:cs="Arial"/>
          <w:bCs/>
          <w:sz w:val="20"/>
          <w:szCs w:val="20"/>
        </w:rPr>
        <w:t xml:space="preserve">% </w:t>
      </w:r>
      <w:r w:rsidR="00C77330" w:rsidRPr="007E62AC">
        <w:rPr>
          <w:rFonts w:ascii="Arial" w:hAnsi="Arial" w:cs="Arial"/>
          <w:bCs/>
          <w:sz w:val="20"/>
          <w:szCs w:val="20"/>
        </w:rPr>
        <w:t xml:space="preserve">vrednosti </w:t>
      </w:r>
      <w:r w:rsidR="005634E1" w:rsidRPr="007E62AC">
        <w:rPr>
          <w:rFonts w:ascii="Arial" w:hAnsi="Arial" w:cs="Arial"/>
          <w:bCs/>
          <w:sz w:val="20"/>
          <w:szCs w:val="20"/>
        </w:rPr>
        <w:t>vseh</w:t>
      </w:r>
      <w:r w:rsidR="00162CA3" w:rsidRPr="007E62AC">
        <w:rPr>
          <w:rFonts w:ascii="Arial" w:hAnsi="Arial" w:cs="Arial"/>
          <w:bCs/>
          <w:sz w:val="20"/>
          <w:szCs w:val="20"/>
        </w:rPr>
        <w:t xml:space="preserve"> </w:t>
      </w:r>
      <w:r w:rsidR="00C77330" w:rsidRPr="007E62AC">
        <w:rPr>
          <w:rFonts w:ascii="Arial" w:hAnsi="Arial" w:cs="Arial"/>
          <w:bCs/>
          <w:sz w:val="20"/>
          <w:szCs w:val="20"/>
        </w:rPr>
        <w:t xml:space="preserve">oddanih naročil. </w:t>
      </w:r>
    </w:p>
    <w:p w14:paraId="369DC1AA" w14:textId="1D182771" w:rsidR="00C77330" w:rsidRPr="00AC3909" w:rsidRDefault="00C77330" w:rsidP="00AC3909">
      <w:pPr>
        <w:spacing w:before="120" w:after="120" w:line="240" w:lineRule="auto"/>
        <w:jc w:val="both"/>
        <w:rPr>
          <w:rFonts w:ascii="Arial" w:hAnsi="Arial" w:cs="Arial"/>
          <w:sz w:val="20"/>
        </w:rPr>
      </w:pPr>
      <w:r w:rsidRPr="00AC3909">
        <w:rPr>
          <w:rFonts w:ascii="Arial" w:hAnsi="Arial" w:cs="Arial"/>
          <w:sz w:val="20"/>
        </w:rPr>
        <w:t xml:space="preserve">Preglednica </w:t>
      </w:r>
      <w:r w:rsidR="00E430F6" w:rsidRPr="00AC3909">
        <w:rPr>
          <w:rFonts w:ascii="Arial" w:hAnsi="Arial" w:cs="Arial"/>
          <w:sz w:val="20"/>
        </w:rPr>
        <w:t>1</w:t>
      </w:r>
      <w:r w:rsidR="00EB4423">
        <w:rPr>
          <w:rFonts w:ascii="Arial" w:hAnsi="Arial" w:cs="Arial"/>
          <w:sz w:val="20"/>
        </w:rPr>
        <w:t>0</w:t>
      </w:r>
      <w:r w:rsidRPr="00AC3909">
        <w:rPr>
          <w:rFonts w:ascii="Arial" w:hAnsi="Arial" w:cs="Arial"/>
          <w:sz w:val="20"/>
        </w:rPr>
        <w:t xml:space="preserve">: </w:t>
      </w:r>
      <w:r w:rsidR="00E13581" w:rsidRPr="00AC3909">
        <w:rPr>
          <w:rFonts w:ascii="Arial" w:hAnsi="Arial" w:cs="Arial"/>
          <w:sz w:val="20"/>
        </w:rPr>
        <w:t>Objavljeni postopki, naročila in njihova vrednost ter deleži glede na vrsto postopk</w:t>
      </w:r>
      <w:r w:rsidR="00756490" w:rsidRPr="00AC3909">
        <w:rPr>
          <w:rFonts w:ascii="Arial" w:hAnsi="Arial" w:cs="Arial"/>
          <w:sz w:val="20"/>
        </w:rPr>
        <w:t>a</w:t>
      </w:r>
      <w:r w:rsidRPr="00AC3909">
        <w:rPr>
          <w:rFonts w:ascii="Arial" w:hAnsi="Arial" w:cs="Arial"/>
          <w:sz w:val="20"/>
        </w:rPr>
        <w:t xml:space="preserve"> </w:t>
      </w:r>
    </w:p>
    <w:tbl>
      <w:tblPr>
        <w:tblW w:w="5000" w:type="pct"/>
        <w:tblCellMar>
          <w:left w:w="70" w:type="dxa"/>
          <w:right w:w="70" w:type="dxa"/>
        </w:tblCellMar>
        <w:tblLook w:val="04A0" w:firstRow="1" w:lastRow="0" w:firstColumn="1" w:lastColumn="0" w:noHBand="0" w:noVBand="1"/>
      </w:tblPr>
      <w:tblGrid>
        <w:gridCol w:w="3321"/>
        <w:gridCol w:w="961"/>
        <w:gridCol w:w="691"/>
        <w:gridCol w:w="1292"/>
        <w:gridCol w:w="995"/>
        <w:gridCol w:w="901"/>
        <w:gridCol w:w="901"/>
      </w:tblGrid>
      <w:tr w:rsidR="00AC3909" w:rsidRPr="00AC3909" w14:paraId="45C17F38" w14:textId="77777777" w:rsidTr="00AC3909">
        <w:trPr>
          <w:trHeight w:val="480"/>
        </w:trPr>
        <w:tc>
          <w:tcPr>
            <w:tcW w:w="189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9A62BBB"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Vrsta postopka</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16E871E3"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Št. postopkov</w:t>
            </w:r>
          </w:p>
        </w:tc>
        <w:tc>
          <w:tcPr>
            <w:tcW w:w="381" w:type="pct"/>
            <w:tcBorders>
              <w:top w:val="single" w:sz="4" w:space="0" w:color="auto"/>
              <w:left w:val="nil"/>
              <w:bottom w:val="single" w:sz="4" w:space="0" w:color="auto"/>
              <w:right w:val="single" w:sz="4" w:space="0" w:color="auto"/>
            </w:tcBorders>
            <w:shd w:val="clear" w:color="000000" w:fill="EDEDED"/>
            <w:vAlign w:val="center"/>
            <w:hideMark/>
          </w:tcPr>
          <w:p w14:paraId="6E65D9D8"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Št. naročil</w:t>
            </w:r>
          </w:p>
        </w:tc>
        <w:tc>
          <w:tcPr>
            <w:tcW w:w="632" w:type="pct"/>
            <w:tcBorders>
              <w:top w:val="single" w:sz="4" w:space="0" w:color="auto"/>
              <w:left w:val="nil"/>
              <w:bottom w:val="single" w:sz="4" w:space="0" w:color="auto"/>
              <w:right w:val="single" w:sz="4" w:space="0" w:color="auto"/>
            </w:tcBorders>
            <w:shd w:val="clear" w:color="000000" w:fill="EDEDED"/>
            <w:vAlign w:val="center"/>
            <w:hideMark/>
          </w:tcPr>
          <w:p w14:paraId="54631F24"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Pogodbena vrednost</w:t>
            </w:r>
          </w:p>
        </w:tc>
        <w:tc>
          <w:tcPr>
            <w:tcW w:w="611" w:type="pct"/>
            <w:tcBorders>
              <w:top w:val="single" w:sz="4" w:space="0" w:color="auto"/>
              <w:left w:val="nil"/>
              <w:bottom w:val="single" w:sz="4" w:space="0" w:color="auto"/>
              <w:right w:val="single" w:sz="4" w:space="0" w:color="auto"/>
            </w:tcBorders>
            <w:shd w:val="clear" w:color="000000" w:fill="EDEDED"/>
            <w:vAlign w:val="center"/>
            <w:hideMark/>
          </w:tcPr>
          <w:p w14:paraId="79AE82AA"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Delež v št. postopkov</w:t>
            </w:r>
          </w:p>
        </w:tc>
        <w:tc>
          <w:tcPr>
            <w:tcW w:w="470" w:type="pct"/>
            <w:tcBorders>
              <w:top w:val="single" w:sz="4" w:space="0" w:color="auto"/>
              <w:left w:val="nil"/>
              <w:bottom w:val="single" w:sz="4" w:space="0" w:color="auto"/>
              <w:right w:val="single" w:sz="4" w:space="0" w:color="auto"/>
            </w:tcBorders>
            <w:shd w:val="clear" w:color="000000" w:fill="EDEDED"/>
            <w:vAlign w:val="center"/>
            <w:hideMark/>
          </w:tcPr>
          <w:p w14:paraId="36D7A4C0"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09D8304C" w14:textId="77777777" w:rsidR="00AC3909" w:rsidRPr="00AC3909" w:rsidRDefault="00AC3909" w:rsidP="00AC3909">
            <w:pPr>
              <w:spacing w:after="0" w:line="240" w:lineRule="auto"/>
              <w:jc w:val="center"/>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Delež v vrednosti</w:t>
            </w:r>
          </w:p>
        </w:tc>
      </w:tr>
      <w:tr w:rsidR="00AC3909" w:rsidRPr="00AC3909" w14:paraId="3FE7DFDC"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2B3A563F"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780B6CA0"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5</w:t>
            </w:r>
          </w:p>
        </w:tc>
        <w:tc>
          <w:tcPr>
            <w:tcW w:w="381" w:type="pct"/>
            <w:tcBorders>
              <w:top w:val="nil"/>
              <w:left w:val="nil"/>
              <w:bottom w:val="single" w:sz="4" w:space="0" w:color="auto"/>
              <w:right w:val="single" w:sz="4" w:space="0" w:color="auto"/>
            </w:tcBorders>
            <w:shd w:val="clear" w:color="auto" w:fill="auto"/>
            <w:vAlign w:val="center"/>
            <w:hideMark/>
          </w:tcPr>
          <w:p w14:paraId="695329BD"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6</w:t>
            </w:r>
          </w:p>
        </w:tc>
        <w:tc>
          <w:tcPr>
            <w:tcW w:w="632" w:type="pct"/>
            <w:tcBorders>
              <w:top w:val="nil"/>
              <w:left w:val="nil"/>
              <w:bottom w:val="single" w:sz="4" w:space="0" w:color="auto"/>
              <w:right w:val="single" w:sz="4" w:space="0" w:color="auto"/>
            </w:tcBorders>
            <w:shd w:val="clear" w:color="auto" w:fill="auto"/>
            <w:vAlign w:val="center"/>
            <w:hideMark/>
          </w:tcPr>
          <w:p w14:paraId="36751BFD"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12.673.609</w:t>
            </w:r>
          </w:p>
        </w:tc>
        <w:tc>
          <w:tcPr>
            <w:tcW w:w="611" w:type="pct"/>
            <w:tcBorders>
              <w:top w:val="nil"/>
              <w:left w:val="nil"/>
              <w:bottom w:val="single" w:sz="4" w:space="0" w:color="auto"/>
              <w:right w:val="single" w:sz="4" w:space="0" w:color="auto"/>
            </w:tcBorders>
            <w:shd w:val="clear" w:color="auto" w:fill="auto"/>
            <w:noWrap/>
            <w:vAlign w:val="center"/>
            <w:hideMark/>
          </w:tcPr>
          <w:p w14:paraId="45BF9B11" w14:textId="7014242F"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0,08 %</w:t>
            </w:r>
          </w:p>
        </w:tc>
        <w:tc>
          <w:tcPr>
            <w:tcW w:w="470" w:type="pct"/>
            <w:tcBorders>
              <w:top w:val="nil"/>
              <w:left w:val="nil"/>
              <w:bottom w:val="single" w:sz="4" w:space="0" w:color="auto"/>
              <w:right w:val="single" w:sz="4" w:space="0" w:color="auto"/>
            </w:tcBorders>
            <w:shd w:val="clear" w:color="auto" w:fill="auto"/>
            <w:noWrap/>
            <w:vAlign w:val="center"/>
            <w:hideMark/>
          </w:tcPr>
          <w:p w14:paraId="62ACB311" w14:textId="251AFBE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0,04 %</w:t>
            </w:r>
          </w:p>
        </w:tc>
        <w:tc>
          <w:tcPr>
            <w:tcW w:w="481" w:type="pct"/>
            <w:tcBorders>
              <w:top w:val="nil"/>
              <w:left w:val="nil"/>
              <w:bottom w:val="single" w:sz="4" w:space="0" w:color="auto"/>
              <w:right w:val="single" w:sz="4" w:space="0" w:color="auto"/>
            </w:tcBorders>
            <w:shd w:val="clear" w:color="auto" w:fill="auto"/>
            <w:noWrap/>
            <w:vAlign w:val="center"/>
            <w:hideMark/>
          </w:tcPr>
          <w:p w14:paraId="165E6F7E" w14:textId="5959949B"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0,49 %</w:t>
            </w:r>
          </w:p>
        </w:tc>
      </w:tr>
      <w:tr w:rsidR="00AC3909" w:rsidRPr="00AC3909" w14:paraId="14F97992"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3D83BF68"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0252D360"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98</w:t>
            </w:r>
          </w:p>
        </w:tc>
        <w:tc>
          <w:tcPr>
            <w:tcW w:w="381" w:type="pct"/>
            <w:tcBorders>
              <w:top w:val="nil"/>
              <w:left w:val="nil"/>
              <w:bottom w:val="single" w:sz="4" w:space="0" w:color="auto"/>
              <w:right w:val="single" w:sz="4" w:space="0" w:color="auto"/>
            </w:tcBorders>
            <w:shd w:val="clear" w:color="auto" w:fill="auto"/>
            <w:vAlign w:val="center"/>
            <w:hideMark/>
          </w:tcPr>
          <w:p w14:paraId="3E83AE24"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126</w:t>
            </w:r>
          </w:p>
        </w:tc>
        <w:tc>
          <w:tcPr>
            <w:tcW w:w="632" w:type="pct"/>
            <w:tcBorders>
              <w:top w:val="nil"/>
              <w:left w:val="nil"/>
              <w:bottom w:val="single" w:sz="4" w:space="0" w:color="auto"/>
              <w:right w:val="single" w:sz="4" w:space="0" w:color="auto"/>
            </w:tcBorders>
            <w:shd w:val="clear" w:color="auto" w:fill="auto"/>
            <w:vAlign w:val="center"/>
            <w:hideMark/>
          </w:tcPr>
          <w:p w14:paraId="5CBC719F"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132.124.575</w:t>
            </w:r>
          </w:p>
        </w:tc>
        <w:tc>
          <w:tcPr>
            <w:tcW w:w="611" w:type="pct"/>
            <w:tcBorders>
              <w:top w:val="nil"/>
              <w:left w:val="nil"/>
              <w:bottom w:val="single" w:sz="4" w:space="0" w:color="auto"/>
              <w:right w:val="single" w:sz="4" w:space="0" w:color="auto"/>
            </w:tcBorders>
            <w:shd w:val="clear" w:color="auto" w:fill="auto"/>
            <w:noWrap/>
            <w:vAlign w:val="center"/>
            <w:hideMark/>
          </w:tcPr>
          <w:p w14:paraId="445FC9BC" w14:textId="07EA198A"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1,64 %</w:t>
            </w:r>
          </w:p>
        </w:tc>
        <w:tc>
          <w:tcPr>
            <w:tcW w:w="470" w:type="pct"/>
            <w:tcBorders>
              <w:top w:val="nil"/>
              <w:left w:val="nil"/>
              <w:bottom w:val="single" w:sz="4" w:space="0" w:color="auto"/>
              <w:right w:val="single" w:sz="4" w:space="0" w:color="auto"/>
            </w:tcBorders>
            <w:shd w:val="clear" w:color="auto" w:fill="auto"/>
            <w:noWrap/>
            <w:vAlign w:val="center"/>
            <w:hideMark/>
          </w:tcPr>
          <w:p w14:paraId="29CB1D7F" w14:textId="1F17D763"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0,79 %</w:t>
            </w:r>
          </w:p>
        </w:tc>
        <w:tc>
          <w:tcPr>
            <w:tcW w:w="481" w:type="pct"/>
            <w:tcBorders>
              <w:top w:val="nil"/>
              <w:left w:val="nil"/>
              <w:bottom w:val="single" w:sz="4" w:space="0" w:color="auto"/>
              <w:right w:val="single" w:sz="4" w:space="0" w:color="auto"/>
            </w:tcBorders>
            <w:shd w:val="clear" w:color="auto" w:fill="auto"/>
            <w:noWrap/>
            <w:vAlign w:val="center"/>
            <w:hideMark/>
          </w:tcPr>
          <w:p w14:paraId="70374FB3" w14:textId="785FE3C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5,07 %</w:t>
            </w:r>
          </w:p>
        </w:tc>
      </w:tr>
      <w:tr w:rsidR="00AC3909" w:rsidRPr="00AC3909" w14:paraId="788E5D48"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41B98D1D"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0667586C"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1608</w:t>
            </w:r>
          </w:p>
        </w:tc>
        <w:tc>
          <w:tcPr>
            <w:tcW w:w="381" w:type="pct"/>
            <w:tcBorders>
              <w:top w:val="nil"/>
              <w:left w:val="nil"/>
              <w:bottom w:val="single" w:sz="4" w:space="0" w:color="auto"/>
              <w:right w:val="single" w:sz="4" w:space="0" w:color="auto"/>
            </w:tcBorders>
            <w:shd w:val="clear" w:color="auto" w:fill="auto"/>
            <w:vAlign w:val="center"/>
            <w:hideMark/>
          </w:tcPr>
          <w:p w14:paraId="45B7D444"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8.266</w:t>
            </w:r>
          </w:p>
        </w:tc>
        <w:tc>
          <w:tcPr>
            <w:tcW w:w="632" w:type="pct"/>
            <w:tcBorders>
              <w:top w:val="nil"/>
              <w:left w:val="nil"/>
              <w:bottom w:val="single" w:sz="4" w:space="0" w:color="auto"/>
              <w:right w:val="single" w:sz="4" w:space="0" w:color="auto"/>
            </w:tcBorders>
            <w:shd w:val="clear" w:color="auto" w:fill="auto"/>
            <w:vAlign w:val="center"/>
            <w:hideMark/>
          </w:tcPr>
          <w:p w14:paraId="385714E9"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1.777.121.148</w:t>
            </w:r>
          </w:p>
        </w:tc>
        <w:tc>
          <w:tcPr>
            <w:tcW w:w="611" w:type="pct"/>
            <w:tcBorders>
              <w:top w:val="nil"/>
              <w:left w:val="nil"/>
              <w:bottom w:val="single" w:sz="4" w:space="0" w:color="auto"/>
              <w:right w:val="single" w:sz="4" w:space="0" w:color="auto"/>
            </w:tcBorders>
            <w:shd w:val="clear" w:color="auto" w:fill="auto"/>
            <w:noWrap/>
            <w:vAlign w:val="center"/>
            <w:hideMark/>
          </w:tcPr>
          <w:p w14:paraId="7FCA112C" w14:textId="7F41A450"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26,87 %</w:t>
            </w:r>
          </w:p>
        </w:tc>
        <w:tc>
          <w:tcPr>
            <w:tcW w:w="470" w:type="pct"/>
            <w:tcBorders>
              <w:top w:val="nil"/>
              <w:left w:val="nil"/>
              <w:bottom w:val="single" w:sz="4" w:space="0" w:color="auto"/>
              <w:right w:val="single" w:sz="4" w:space="0" w:color="auto"/>
            </w:tcBorders>
            <w:shd w:val="clear" w:color="auto" w:fill="auto"/>
            <w:noWrap/>
            <w:vAlign w:val="center"/>
            <w:hideMark/>
          </w:tcPr>
          <w:p w14:paraId="0601BFB9" w14:textId="63822474"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51,59 %</w:t>
            </w:r>
          </w:p>
        </w:tc>
        <w:tc>
          <w:tcPr>
            <w:tcW w:w="481" w:type="pct"/>
            <w:tcBorders>
              <w:top w:val="nil"/>
              <w:left w:val="nil"/>
              <w:bottom w:val="single" w:sz="4" w:space="0" w:color="auto"/>
              <w:right w:val="single" w:sz="4" w:space="0" w:color="auto"/>
            </w:tcBorders>
            <w:shd w:val="clear" w:color="auto" w:fill="auto"/>
            <w:noWrap/>
            <w:vAlign w:val="center"/>
            <w:hideMark/>
          </w:tcPr>
          <w:p w14:paraId="0C24BDB4" w14:textId="068F20E2"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68,16 %</w:t>
            </w:r>
          </w:p>
        </w:tc>
      </w:tr>
      <w:tr w:rsidR="00AC3909" w:rsidRPr="00AC3909" w14:paraId="7B31B32D"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089D8A85"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Omejeni postopek</w:t>
            </w:r>
          </w:p>
        </w:tc>
        <w:tc>
          <w:tcPr>
            <w:tcW w:w="530" w:type="pct"/>
            <w:tcBorders>
              <w:top w:val="nil"/>
              <w:left w:val="nil"/>
              <w:bottom w:val="single" w:sz="4" w:space="0" w:color="auto"/>
              <w:right w:val="single" w:sz="4" w:space="0" w:color="auto"/>
            </w:tcBorders>
            <w:shd w:val="clear" w:color="auto" w:fill="auto"/>
            <w:vAlign w:val="center"/>
            <w:hideMark/>
          </w:tcPr>
          <w:p w14:paraId="1ED7D16E"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15</w:t>
            </w:r>
          </w:p>
        </w:tc>
        <w:tc>
          <w:tcPr>
            <w:tcW w:w="381" w:type="pct"/>
            <w:tcBorders>
              <w:top w:val="nil"/>
              <w:left w:val="nil"/>
              <w:bottom w:val="single" w:sz="4" w:space="0" w:color="auto"/>
              <w:right w:val="single" w:sz="4" w:space="0" w:color="auto"/>
            </w:tcBorders>
            <w:shd w:val="clear" w:color="auto" w:fill="auto"/>
            <w:vAlign w:val="center"/>
            <w:hideMark/>
          </w:tcPr>
          <w:p w14:paraId="588A3CE1"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46</w:t>
            </w:r>
          </w:p>
        </w:tc>
        <w:tc>
          <w:tcPr>
            <w:tcW w:w="632" w:type="pct"/>
            <w:tcBorders>
              <w:top w:val="nil"/>
              <w:left w:val="nil"/>
              <w:bottom w:val="single" w:sz="4" w:space="0" w:color="auto"/>
              <w:right w:val="single" w:sz="4" w:space="0" w:color="auto"/>
            </w:tcBorders>
            <w:shd w:val="clear" w:color="auto" w:fill="auto"/>
            <w:vAlign w:val="center"/>
            <w:hideMark/>
          </w:tcPr>
          <w:p w14:paraId="4A4E6E5C"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20.084.882</w:t>
            </w:r>
          </w:p>
        </w:tc>
        <w:tc>
          <w:tcPr>
            <w:tcW w:w="611" w:type="pct"/>
            <w:tcBorders>
              <w:top w:val="nil"/>
              <w:left w:val="nil"/>
              <w:bottom w:val="single" w:sz="4" w:space="0" w:color="auto"/>
              <w:right w:val="single" w:sz="4" w:space="0" w:color="auto"/>
            </w:tcBorders>
            <w:shd w:val="clear" w:color="auto" w:fill="auto"/>
            <w:noWrap/>
            <w:vAlign w:val="center"/>
            <w:hideMark/>
          </w:tcPr>
          <w:p w14:paraId="3DECAB78" w14:textId="1340C736"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0,25 %</w:t>
            </w:r>
          </w:p>
        </w:tc>
        <w:tc>
          <w:tcPr>
            <w:tcW w:w="470" w:type="pct"/>
            <w:tcBorders>
              <w:top w:val="nil"/>
              <w:left w:val="nil"/>
              <w:bottom w:val="single" w:sz="4" w:space="0" w:color="auto"/>
              <w:right w:val="single" w:sz="4" w:space="0" w:color="auto"/>
            </w:tcBorders>
            <w:shd w:val="clear" w:color="auto" w:fill="auto"/>
            <w:noWrap/>
            <w:vAlign w:val="center"/>
            <w:hideMark/>
          </w:tcPr>
          <w:p w14:paraId="3B7AF196" w14:textId="72D1F984"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0,29 %</w:t>
            </w:r>
          </w:p>
        </w:tc>
        <w:tc>
          <w:tcPr>
            <w:tcW w:w="481" w:type="pct"/>
            <w:tcBorders>
              <w:top w:val="nil"/>
              <w:left w:val="nil"/>
              <w:bottom w:val="single" w:sz="4" w:space="0" w:color="auto"/>
              <w:right w:val="single" w:sz="4" w:space="0" w:color="auto"/>
            </w:tcBorders>
            <w:shd w:val="clear" w:color="auto" w:fill="auto"/>
            <w:noWrap/>
            <w:vAlign w:val="center"/>
            <w:hideMark/>
          </w:tcPr>
          <w:p w14:paraId="7692DCE8" w14:textId="44437163"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0,77 %</w:t>
            </w:r>
          </w:p>
        </w:tc>
      </w:tr>
      <w:tr w:rsidR="00AC3909" w:rsidRPr="00AC3909" w14:paraId="67842035"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3CB3D223"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59916E3E"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4139</w:t>
            </w:r>
          </w:p>
        </w:tc>
        <w:tc>
          <w:tcPr>
            <w:tcW w:w="381" w:type="pct"/>
            <w:tcBorders>
              <w:top w:val="nil"/>
              <w:left w:val="nil"/>
              <w:bottom w:val="single" w:sz="4" w:space="0" w:color="auto"/>
              <w:right w:val="single" w:sz="4" w:space="0" w:color="auto"/>
            </w:tcBorders>
            <w:shd w:val="clear" w:color="auto" w:fill="auto"/>
            <w:vAlign w:val="center"/>
            <w:hideMark/>
          </w:tcPr>
          <w:p w14:paraId="3B3F1F15"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7.343</w:t>
            </w:r>
          </w:p>
        </w:tc>
        <w:tc>
          <w:tcPr>
            <w:tcW w:w="632" w:type="pct"/>
            <w:tcBorders>
              <w:top w:val="nil"/>
              <w:left w:val="nil"/>
              <w:bottom w:val="single" w:sz="4" w:space="0" w:color="auto"/>
              <w:right w:val="single" w:sz="4" w:space="0" w:color="auto"/>
            </w:tcBorders>
            <w:shd w:val="clear" w:color="auto" w:fill="auto"/>
            <w:vAlign w:val="center"/>
            <w:hideMark/>
          </w:tcPr>
          <w:p w14:paraId="7F984B4E"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455.786.131</w:t>
            </w:r>
          </w:p>
        </w:tc>
        <w:tc>
          <w:tcPr>
            <w:tcW w:w="611" w:type="pct"/>
            <w:tcBorders>
              <w:top w:val="nil"/>
              <w:left w:val="nil"/>
              <w:bottom w:val="single" w:sz="4" w:space="0" w:color="auto"/>
              <w:right w:val="single" w:sz="4" w:space="0" w:color="auto"/>
            </w:tcBorders>
            <w:shd w:val="clear" w:color="auto" w:fill="auto"/>
            <w:noWrap/>
            <w:vAlign w:val="center"/>
            <w:hideMark/>
          </w:tcPr>
          <w:p w14:paraId="108DF802" w14:textId="4307F756"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69,17 %</w:t>
            </w:r>
          </w:p>
        </w:tc>
        <w:tc>
          <w:tcPr>
            <w:tcW w:w="470" w:type="pct"/>
            <w:tcBorders>
              <w:top w:val="nil"/>
              <w:left w:val="nil"/>
              <w:bottom w:val="single" w:sz="4" w:space="0" w:color="auto"/>
              <w:right w:val="single" w:sz="4" w:space="0" w:color="auto"/>
            </w:tcBorders>
            <w:shd w:val="clear" w:color="auto" w:fill="auto"/>
            <w:noWrap/>
            <w:vAlign w:val="center"/>
            <w:hideMark/>
          </w:tcPr>
          <w:p w14:paraId="31702431" w14:textId="0F4D63BD"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45,83 %</w:t>
            </w:r>
          </w:p>
        </w:tc>
        <w:tc>
          <w:tcPr>
            <w:tcW w:w="481" w:type="pct"/>
            <w:tcBorders>
              <w:top w:val="nil"/>
              <w:left w:val="nil"/>
              <w:bottom w:val="single" w:sz="4" w:space="0" w:color="auto"/>
              <w:right w:val="single" w:sz="4" w:space="0" w:color="auto"/>
            </w:tcBorders>
            <w:shd w:val="clear" w:color="auto" w:fill="auto"/>
            <w:noWrap/>
            <w:vAlign w:val="center"/>
            <w:hideMark/>
          </w:tcPr>
          <w:p w14:paraId="36293FDF" w14:textId="127D7BFA"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17,48 %</w:t>
            </w:r>
          </w:p>
        </w:tc>
      </w:tr>
      <w:tr w:rsidR="00AC3909" w:rsidRPr="00AC3909" w14:paraId="158E3526"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52D4750F"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Postopek s pogajanji po predhodni objavi</w:t>
            </w:r>
          </w:p>
        </w:tc>
        <w:tc>
          <w:tcPr>
            <w:tcW w:w="530" w:type="pct"/>
            <w:tcBorders>
              <w:top w:val="nil"/>
              <w:left w:val="nil"/>
              <w:bottom w:val="single" w:sz="4" w:space="0" w:color="auto"/>
              <w:right w:val="single" w:sz="4" w:space="0" w:color="auto"/>
            </w:tcBorders>
            <w:shd w:val="clear" w:color="auto" w:fill="auto"/>
            <w:noWrap/>
            <w:vAlign w:val="center"/>
            <w:hideMark/>
          </w:tcPr>
          <w:p w14:paraId="3B9B9831"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106</w:t>
            </w:r>
          </w:p>
        </w:tc>
        <w:tc>
          <w:tcPr>
            <w:tcW w:w="381" w:type="pct"/>
            <w:tcBorders>
              <w:top w:val="nil"/>
              <w:left w:val="nil"/>
              <w:bottom w:val="single" w:sz="4" w:space="0" w:color="auto"/>
              <w:right w:val="single" w:sz="4" w:space="0" w:color="auto"/>
            </w:tcBorders>
            <w:shd w:val="clear" w:color="auto" w:fill="auto"/>
            <w:vAlign w:val="center"/>
            <w:hideMark/>
          </w:tcPr>
          <w:p w14:paraId="5B2A5E2D"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222</w:t>
            </w:r>
          </w:p>
        </w:tc>
        <w:tc>
          <w:tcPr>
            <w:tcW w:w="632" w:type="pct"/>
            <w:tcBorders>
              <w:top w:val="nil"/>
              <w:left w:val="nil"/>
              <w:bottom w:val="single" w:sz="4" w:space="0" w:color="auto"/>
              <w:right w:val="single" w:sz="4" w:space="0" w:color="auto"/>
            </w:tcBorders>
            <w:shd w:val="clear" w:color="auto" w:fill="auto"/>
            <w:vAlign w:val="center"/>
            <w:hideMark/>
          </w:tcPr>
          <w:p w14:paraId="036BBE0A"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207.757.063</w:t>
            </w:r>
          </w:p>
        </w:tc>
        <w:tc>
          <w:tcPr>
            <w:tcW w:w="611" w:type="pct"/>
            <w:tcBorders>
              <w:top w:val="nil"/>
              <w:left w:val="nil"/>
              <w:bottom w:val="single" w:sz="4" w:space="0" w:color="auto"/>
              <w:right w:val="single" w:sz="4" w:space="0" w:color="auto"/>
            </w:tcBorders>
            <w:shd w:val="clear" w:color="auto" w:fill="auto"/>
            <w:noWrap/>
            <w:vAlign w:val="center"/>
            <w:hideMark/>
          </w:tcPr>
          <w:p w14:paraId="5766495E" w14:textId="5CAB413A"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1,77 %</w:t>
            </w:r>
          </w:p>
        </w:tc>
        <w:tc>
          <w:tcPr>
            <w:tcW w:w="470" w:type="pct"/>
            <w:tcBorders>
              <w:top w:val="nil"/>
              <w:left w:val="nil"/>
              <w:bottom w:val="single" w:sz="4" w:space="0" w:color="auto"/>
              <w:right w:val="single" w:sz="4" w:space="0" w:color="auto"/>
            </w:tcBorders>
            <w:shd w:val="clear" w:color="auto" w:fill="auto"/>
            <w:noWrap/>
            <w:vAlign w:val="center"/>
            <w:hideMark/>
          </w:tcPr>
          <w:p w14:paraId="0A197CC9" w14:textId="57A3C84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1,39 %</w:t>
            </w:r>
          </w:p>
        </w:tc>
        <w:tc>
          <w:tcPr>
            <w:tcW w:w="481" w:type="pct"/>
            <w:tcBorders>
              <w:top w:val="nil"/>
              <w:left w:val="nil"/>
              <w:bottom w:val="single" w:sz="4" w:space="0" w:color="auto"/>
              <w:right w:val="single" w:sz="4" w:space="0" w:color="auto"/>
            </w:tcBorders>
            <w:shd w:val="clear" w:color="auto" w:fill="auto"/>
            <w:noWrap/>
            <w:vAlign w:val="center"/>
            <w:hideMark/>
          </w:tcPr>
          <w:p w14:paraId="0ED4D223" w14:textId="62AC3BD0"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7,97 %</w:t>
            </w:r>
          </w:p>
        </w:tc>
      </w:tr>
      <w:tr w:rsidR="00AC3909" w:rsidRPr="00AC3909" w14:paraId="69349664"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auto"/>
            <w:vAlign w:val="center"/>
            <w:hideMark/>
          </w:tcPr>
          <w:p w14:paraId="0B99C1A2" w14:textId="77777777" w:rsidR="00AC3909" w:rsidRPr="00AC3909" w:rsidRDefault="00AC3909" w:rsidP="00AC3909">
            <w:pPr>
              <w:spacing w:after="0" w:line="240" w:lineRule="auto"/>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Postopek zbiranja ponudb po predhodni objavi</w:t>
            </w:r>
          </w:p>
        </w:tc>
        <w:tc>
          <w:tcPr>
            <w:tcW w:w="530" w:type="pct"/>
            <w:tcBorders>
              <w:top w:val="nil"/>
              <w:left w:val="nil"/>
              <w:bottom w:val="single" w:sz="4" w:space="0" w:color="auto"/>
              <w:right w:val="single" w:sz="4" w:space="0" w:color="auto"/>
            </w:tcBorders>
            <w:shd w:val="clear" w:color="auto" w:fill="auto"/>
            <w:noWrap/>
            <w:vAlign w:val="center"/>
            <w:hideMark/>
          </w:tcPr>
          <w:p w14:paraId="24A61AA0"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13</w:t>
            </w:r>
          </w:p>
        </w:tc>
        <w:tc>
          <w:tcPr>
            <w:tcW w:w="381" w:type="pct"/>
            <w:tcBorders>
              <w:top w:val="nil"/>
              <w:left w:val="nil"/>
              <w:bottom w:val="single" w:sz="4" w:space="0" w:color="auto"/>
              <w:right w:val="single" w:sz="4" w:space="0" w:color="auto"/>
            </w:tcBorders>
            <w:shd w:val="clear" w:color="auto" w:fill="auto"/>
            <w:vAlign w:val="center"/>
            <w:hideMark/>
          </w:tcPr>
          <w:p w14:paraId="13583D80"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13</w:t>
            </w:r>
          </w:p>
        </w:tc>
        <w:tc>
          <w:tcPr>
            <w:tcW w:w="632" w:type="pct"/>
            <w:tcBorders>
              <w:top w:val="nil"/>
              <w:left w:val="nil"/>
              <w:bottom w:val="single" w:sz="4" w:space="0" w:color="auto"/>
              <w:right w:val="single" w:sz="4" w:space="0" w:color="auto"/>
            </w:tcBorders>
            <w:shd w:val="clear" w:color="auto" w:fill="auto"/>
            <w:vAlign w:val="center"/>
            <w:hideMark/>
          </w:tcPr>
          <w:p w14:paraId="3B3C1504" w14:textId="77777777"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1.625.822</w:t>
            </w:r>
          </w:p>
        </w:tc>
        <w:tc>
          <w:tcPr>
            <w:tcW w:w="611" w:type="pct"/>
            <w:tcBorders>
              <w:top w:val="nil"/>
              <w:left w:val="nil"/>
              <w:bottom w:val="single" w:sz="4" w:space="0" w:color="auto"/>
              <w:right w:val="single" w:sz="4" w:space="0" w:color="auto"/>
            </w:tcBorders>
            <w:shd w:val="clear" w:color="auto" w:fill="auto"/>
            <w:noWrap/>
            <w:vAlign w:val="center"/>
            <w:hideMark/>
          </w:tcPr>
          <w:p w14:paraId="0AFF192B" w14:textId="2C16BD42"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0,22 %</w:t>
            </w:r>
          </w:p>
        </w:tc>
        <w:tc>
          <w:tcPr>
            <w:tcW w:w="470" w:type="pct"/>
            <w:tcBorders>
              <w:top w:val="nil"/>
              <w:left w:val="nil"/>
              <w:bottom w:val="single" w:sz="4" w:space="0" w:color="auto"/>
              <w:right w:val="single" w:sz="4" w:space="0" w:color="auto"/>
            </w:tcBorders>
            <w:shd w:val="clear" w:color="auto" w:fill="auto"/>
            <w:noWrap/>
            <w:vAlign w:val="center"/>
            <w:hideMark/>
          </w:tcPr>
          <w:p w14:paraId="77752A82" w14:textId="3C507811"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0,08 %</w:t>
            </w:r>
          </w:p>
        </w:tc>
        <w:tc>
          <w:tcPr>
            <w:tcW w:w="481" w:type="pct"/>
            <w:tcBorders>
              <w:top w:val="nil"/>
              <w:left w:val="nil"/>
              <w:bottom w:val="single" w:sz="4" w:space="0" w:color="auto"/>
              <w:right w:val="single" w:sz="4" w:space="0" w:color="auto"/>
            </w:tcBorders>
            <w:shd w:val="clear" w:color="auto" w:fill="auto"/>
            <w:noWrap/>
            <w:vAlign w:val="center"/>
            <w:hideMark/>
          </w:tcPr>
          <w:p w14:paraId="64ECBDA7" w14:textId="00E0DB8C" w:rsidR="00AC3909" w:rsidRPr="00AC3909" w:rsidRDefault="00AC3909" w:rsidP="00AC3909">
            <w:pPr>
              <w:spacing w:after="0" w:line="240" w:lineRule="auto"/>
              <w:jc w:val="right"/>
              <w:rPr>
                <w:rFonts w:ascii="Arial" w:eastAsia="Times New Roman" w:hAnsi="Arial" w:cs="Arial"/>
                <w:color w:val="000000"/>
                <w:sz w:val="18"/>
                <w:szCs w:val="18"/>
                <w:lang w:eastAsia="sl-SI"/>
              </w:rPr>
            </w:pPr>
            <w:r w:rsidRPr="00AC3909">
              <w:rPr>
                <w:rFonts w:ascii="Arial" w:eastAsia="Times New Roman" w:hAnsi="Arial" w:cs="Arial"/>
                <w:color w:val="000000"/>
                <w:sz w:val="18"/>
                <w:szCs w:val="18"/>
                <w:lang w:eastAsia="sl-SI"/>
              </w:rPr>
              <w:t>0,06 %</w:t>
            </w:r>
          </w:p>
        </w:tc>
      </w:tr>
      <w:tr w:rsidR="00AC3909" w:rsidRPr="00AC3909" w14:paraId="56BA3447" w14:textId="77777777" w:rsidTr="00AC3909">
        <w:trPr>
          <w:trHeight w:val="300"/>
        </w:trPr>
        <w:tc>
          <w:tcPr>
            <w:tcW w:w="1895"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217A7BA8" w14:textId="77777777" w:rsidR="00AC3909" w:rsidRPr="00AC3909" w:rsidRDefault="00AC3909" w:rsidP="00AC3909">
            <w:pPr>
              <w:spacing w:after="0" w:line="240" w:lineRule="auto"/>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E7E6E6" w:themeFill="background2"/>
            <w:noWrap/>
            <w:vAlign w:val="center"/>
            <w:hideMark/>
          </w:tcPr>
          <w:p w14:paraId="72E6A323" w14:textId="77777777" w:rsidR="00AC3909" w:rsidRPr="00AC3909" w:rsidRDefault="00AC3909" w:rsidP="00AC3909">
            <w:pPr>
              <w:spacing w:after="0" w:line="240" w:lineRule="auto"/>
              <w:jc w:val="right"/>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5.984</w:t>
            </w:r>
          </w:p>
        </w:tc>
        <w:tc>
          <w:tcPr>
            <w:tcW w:w="381" w:type="pct"/>
            <w:tcBorders>
              <w:top w:val="nil"/>
              <w:left w:val="nil"/>
              <w:bottom w:val="single" w:sz="4" w:space="0" w:color="auto"/>
              <w:right w:val="single" w:sz="4" w:space="0" w:color="auto"/>
            </w:tcBorders>
            <w:shd w:val="clear" w:color="auto" w:fill="E7E6E6" w:themeFill="background2"/>
            <w:noWrap/>
            <w:vAlign w:val="center"/>
            <w:hideMark/>
          </w:tcPr>
          <w:p w14:paraId="150D5E05" w14:textId="77777777" w:rsidR="00AC3909" w:rsidRPr="00AC3909" w:rsidRDefault="00AC3909" w:rsidP="00AC3909">
            <w:pPr>
              <w:spacing w:after="0" w:line="240" w:lineRule="auto"/>
              <w:jc w:val="right"/>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16.022</w:t>
            </w:r>
          </w:p>
        </w:tc>
        <w:tc>
          <w:tcPr>
            <w:tcW w:w="632" w:type="pct"/>
            <w:tcBorders>
              <w:top w:val="nil"/>
              <w:left w:val="nil"/>
              <w:bottom w:val="single" w:sz="4" w:space="0" w:color="auto"/>
              <w:right w:val="single" w:sz="4" w:space="0" w:color="auto"/>
            </w:tcBorders>
            <w:shd w:val="clear" w:color="auto" w:fill="E7E6E6" w:themeFill="background2"/>
            <w:noWrap/>
            <w:vAlign w:val="center"/>
            <w:hideMark/>
          </w:tcPr>
          <w:p w14:paraId="3CDC934C" w14:textId="77777777" w:rsidR="00AC3909" w:rsidRPr="00AC3909" w:rsidRDefault="00AC3909" w:rsidP="00AC3909">
            <w:pPr>
              <w:spacing w:after="0" w:line="240" w:lineRule="auto"/>
              <w:jc w:val="right"/>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2.607.173.230</w:t>
            </w:r>
          </w:p>
        </w:tc>
        <w:tc>
          <w:tcPr>
            <w:tcW w:w="611" w:type="pct"/>
            <w:tcBorders>
              <w:top w:val="nil"/>
              <w:left w:val="nil"/>
              <w:bottom w:val="single" w:sz="4" w:space="0" w:color="auto"/>
              <w:right w:val="single" w:sz="4" w:space="0" w:color="auto"/>
            </w:tcBorders>
            <w:shd w:val="clear" w:color="auto" w:fill="E7E6E6" w:themeFill="background2"/>
            <w:noWrap/>
            <w:vAlign w:val="center"/>
            <w:hideMark/>
          </w:tcPr>
          <w:p w14:paraId="750BAE43" w14:textId="0EB24EEB" w:rsidR="00AC3909" w:rsidRPr="00AC3909" w:rsidRDefault="00AC3909" w:rsidP="00AC3909">
            <w:pPr>
              <w:spacing w:after="0" w:line="240" w:lineRule="auto"/>
              <w:jc w:val="right"/>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100,00 %</w:t>
            </w:r>
          </w:p>
        </w:tc>
        <w:tc>
          <w:tcPr>
            <w:tcW w:w="470" w:type="pct"/>
            <w:tcBorders>
              <w:top w:val="nil"/>
              <w:left w:val="nil"/>
              <w:bottom w:val="single" w:sz="4" w:space="0" w:color="auto"/>
              <w:right w:val="single" w:sz="4" w:space="0" w:color="auto"/>
            </w:tcBorders>
            <w:shd w:val="clear" w:color="auto" w:fill="E7E6E6" w:themeFill="background2"/>
            <w:noWrap/>
            <w:vAlign w:val="center"/>
            <w:hideMark/>
          </w:tcPr>
          <w:p w14:paraId="5C293082" w14:textId="76E6C203" w:rsidR="00AC3909" w:rsidRPr="00AC3909" w:rsidRDefault="00AC3909" w:rsidP="00AC3909">
            <w:pPr>
              <w:spacing w:after="0" w:line="240" w:lineRule="auto"/>
              <w:jc w:val="right"/>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100,00 %</w:t>
            </w:r>
          </w:p>
        </w:tc>
        <w:tc>
          <w:tcPr>
            <w:tcW w:w="481" w:type="pct"/>
            <w:tcBorders>
              <w:top w:val="nil"/>
              <w:left w:val="nil"/>
              <w:bottom w:val="single" w:sz="4" w:space="0" w:color="auto"/>
              <w:right w:val="single" w:sz="4" w:space="0" w:color="auto"/>
            </w:tcBorders>
            <w:shd w:val="clear" w:color="auto" w:fill="E7E6E6" w:themeFill="background2"/>
            <w:noWrap/>
            <w:vAlign w:val="center"/>
            <w:hideMark/>
          </w:tcPr>
          <w:p w14:paraId="3336C1EB" w14:textId="61DD25CA" w:rsidR="00AC3909" w:rsidRPr="00AC3909" w:rsidRDefault="00AC3909" w:rsidP="00AC3909">
            <w:pPr>
              <w:spacing w:after="0" w:line="240" w:lineRule="auto"/>
              <w:jc w:val="right"/>
              <w:rPr>
                <w:rFonts w:ascii="Arial" w:eastAsia="Times New Roman" w:hAnsi="Arial" w:cs="Arial"/>
                <w:b/>
                <w:color w:val="000000"/>
                <w:sz w:val="18"/>
                <w:szCs w:val="18"/>
                <w:lang w:eastAsia="sl-SI"/>
              </w:rPr>
            </w:pPr>
            <w:r w:rsidRPr="00AC3909">
              <w:rPr>
                <w:rFonts w:ascii="Arial" w:eastAsia="Times New Roman" w:hAnsi="Arial" w:cs="Arial"/>
                <w:b/>
                <w:color w:val="000000"/>
                <w:sz w:val="18"/>
                <w:szCs w:val="18"/>
                <w:lang w:eastAsia="sl-SI"/>
              </w:rPr>
              <w:t>100,00 %</w:t>
            </w:r>
          </w:p>
        </w:tc>
      </w:tr>
    </w:tbl>
    <w:p w14:paraId="5554531E" w14:textId="77777777" w:rsidR="003156F5" w:rsidRPr="00AC3909" w:rsidRDefault="003156F5" w:rsidP="00AC3909">
      <w:pPr>
        <w:spacing w:after="0" w:line="240" w:lineRule="auto"/>
        <w:jc w:val="center"/>
        <w:rPr>
          <w:rFonts w:ascii="Arial" w:hAnsi="Arial" w:cs="Arial"/>
          <w:sz w:val="18"/>
        </w:rPr>
      </w:pPr>
    </w:p>
    <w:p w14:paraId="2C1BBAFF" w14:textId="70D2A8FC" w:rsidR="00E13581" w:rsidRPr="00EF2D0B" w:rsidRDefault="00E13581" w:rsidP="00AC3909">
      <w:pPr>
        <w:spacing w:after="0" w:line="240" w:lineRule="auto"/>
        <w:jc w:val="center"/>
        <w:rPr>
          <w:rFonts w:ascii="Arial" w:hAnsi="Arial" w:cs="Arial"/>
          <w:sz w:val="18"/>
          <w:highlight w:val="yellow"/>
        </w:rPr>
      </w:pPr>
      <w:r w:rsidRPr="00AC3909">
        <w:rPr>
          <w:rFonts w:ascii="Arial" w:hAnsi="Arial" w:cs="Arial"/>
          <w:sz w:val="18"/>
        </w:rPr>
        <w:t>Vir: Statistični podatki o javni</w:t>
      </w:r>
      <w:r w:rsidR="00F4080A" w:rsidRPr="00AC3909">
        <w:rPr>
          <w:rFonts w:ascii="Arial" w:hAnsi="Arial" w:cs="Arial"/>
          <w:sz w:val="18"/>
        </w:rPr>
        <w:t>h naročilih, oddanih</w:t>
      </w:r>
      <w:r w:rsidR="00B27D38">
        <w:rPr>
          <w:rFonts w:ascii="Arial" w:hAnsi="Arial" w:cs="Arial"/>
          <w:sz w:val="18"/>
        </w:rPr>
        <w:t xml:space="preserve"> v</w:t>
      </w:r>
      <w:r w:rsidR="00F4080A" w:rsidRPr="00AC3909">
        <w:rPr>
          <w:rFonts w:ascii="Arial" w:hAnsi="Arial" w:cs="Arial"/>
          <w:sz w:val="18"/>
        </w:rPr>
        <w:t xml:space="preserve"> let</w:t>
      </w:r>
      <w:r w:rsidR="00C95540">
        <w:rPr>
          <w:rFonts w:ascii="Arial" w:hAnsi="Arial" w:cs="Arial"/>
          <w:sz w:val="18"/>
        </w:rPr>
        <w:t>u</w:t>
      </w:r>
      <w:r w:rsidR="00F4080A" w:rsidRPr="00AC3909">
        <w:rPr>
          <w:rFonts w:ascii="Arial" w:hAnsi="Arial" w:cs="Arial"/>
          <w:sz w:val="18"/>
        </w:rPr>
        <w:t xml:space="preserve"> 201</w:t>
      </w:r>
      <w:r w:rsidR="00AC3909" w:rsidRPr="00AC3909">
        <w:rPr>
          <w:rFonts w:ascii="Arial" w:hAnsi="Arial" w:cs="Arial"/>
          <w:sz w:val="18"/>
        </w:rPr>
        <w:t>8</w:t>
      </w:r>
    </w:p>
    <w:p w14:paraId="4257E038" w14:textId="291A77DB" w:rsidR="00E13581" w:rsidRPr="00B47683" w:rsidRDefault="00162CA3" w:rsidP="00291A92">
      <w:pPr>
        <w:tabs>
          <w:tab w:val="left" w:pos="567"/>
          <w:tab w:val="left" w:pos="993"/>
        </w:tabs>
        <w:spacing w:before="240" w:after="120" w:line="360" w:lineRule="auto"/>
        <w:jc w:val="both"/>
        <w:rPr>
          <w:rFonts w:ascii="Arial" w:hAnsi="Arial" w:cs="Arial"/>
          <w:bCs/>
          <w:sz w:val="20"/>
          <w:szCs w:val="20"/>
        </w:rPr>
      </w:pPr>
      <w:r w:rsidRPr="00B47683">
        <w:rPr>
          <w:rFonts w:ascii="Arial" w:hAnsi="Arial" w:cs="Arial"/>
          <w:bCs/>
          <w:sz w:val="20"/>
          <w:szCs w:val="20"/>
        </w:rPr>
        <w:t>Največ postopkov javnega naročanja</w:t>
      </w:r>
      <w:r w:rsidR="007E151F" w:rsidRPr="00B47683">
        <w:rPr>
          <w:rFonts w:ascii="Arial" w:hAnsi="Arial" w:cs="Arial"/>
          <w:bCs/>
          <w:sz w:val="20"/>
          <w:szCs w:val="20"/>
        </w:rPr>
        <w:t>,</w:t>
      </w:r>
      <w:r w:rsidRPr="00B47683">
        <w:rPr>
          <w:rFonts w:ascii="Arial" w:hAnsi="Arial" w:cs="Arial"/>
          <w:bCs/>
          <w:sz w:val="20"/>
          <w:szCs w:val="20"/>
        </w:rPr>
        <w:t xml:space="preserve"> v katerih so naročniki objavili obvestilo o javnem naročilu</w:t>
      </w:r>
      <w:r w:rsidR="001960BC" w:rsidRPr="00B47683">
        <w:rPr>
          <w:rFonts w:ascii="Arial" w:hAnsi="Arial" w:cs="Arial"/>
          <w:bCs/>
          <w:sz w:val="20"/>
          <w:szCs w:val="20"/>
        </w:rPr>
        <w:t>,</w:t>
      </w:r>
      <w:r w:rsidRPr="00B47683">
        <w:rPr>
          <w:rFonts w:ascii="Arial" w:hAnsi="Arial" w:cs="Arial"/>
          <w:bCs/>
          <w:sz w:val="20"/>
          <w:szCs w:val="20"/>
        </w:rPr>
        <w:t xml:space="preserve"> je bilo izvedenih na splošnem področju</w:t>
      </w:r>
      <w:r w:rsidR="001960BC" w:rsidRPr="00B47683">
        <w:rPr>
          <w:rFonts w:ascii="Arial" w:hAnsi="Arial" w:cs="Arial"/>
          <w:bCs/>
          <w:sz w:val="20"/>
          <w:szCs w:val="20"/>
        </w:rPr>
        <w:t xml:space="preserve">, njihov delež pa v številu postopkov, številu naročil </w:t>
      </w:r>
      <w:r w:rsidR="00EC1BBF">
        <w:rPr>
          <w:rFonts w:ascii="Arial" w:hAnsi="Arial" w:cs="Arial"/>
          <w:bCs/>
          <w:sz w:val="20"/>
          <w:szCs w:val="20"/>
        </w:rPr>
        <w:t>in</w:t>
      </w:r>
      <w:r w:rsidR="001960BC" w:rsidRPr="00B47683">
        <w:rPr>
          <w:rFonts w:ascii="Arial" w:hAnsi="Arial" w:cs="Arial"/>
          <w:bCs/>
          <w:sz w:val="20"/>
          <w:szCs w:val="20"/>
        </w:rPr>
        <w:t xml:space="preserve"> </w:t>
      </w:r>
      <w:r w:rsidR="00E8515A" w:rsidRPr="00B47683">
        <w:rPr>
          <w:rFonts w:ascii="Arial" w:hAnsi="Arial" w:cs="Arial"/>
          <w:bCs/>
          <w:sz w:val="20"/>
          <w:szCs w:val="20"/>
        </w:rPr>
        <w:t xml:space="preserve">v </w:t>
      </w:r>
      <w:r w:rsidR="001960BC" w:rsidRPr="00B47683">
        <w:rPr>
          <w:rFonts w:ascii="Arial" w:hAnsi="Arial" w:cs="Arial"/>
          <w:bCs/>
          <w:sz w:val="20"/>
          <w:szCs w:val="20"/>
        </w:rPr>
        <w:t xml:space="preserve">pogodbeni vrednosti </w:t>
      </w:r>
      <w:r w:rsidR="002C0157" w:rsidRPr="00B47683">
        <w:rPr>
          <w:rFonts w:ascii="Arial" w:hAnsi="Arial" w:cs="Arial"/>
          <w:bCs/>
          <w:sz w:val="20"/>
          <w:szCs w:val="20"/>
        </w:rPr>
        <w:t xml:space="preserve">znaša </w:t>
      </w:r>
      <w:r w:rsidR="001960BC" w:rsidRPr="00B47683">
        <w:rPr>
          <w:rFonts w:ascii="Arial" w:hAnsi="Arial" w:cs="Arial"/>
          <w:bCs/>
          <w:sz w:val="20"/>
          <w:szCs w:val="20"/>
        </w:rPr>
        <w:t>več kot tri četrtine vseh naročil, ki so bila oddana v postopkih</w:t>
      </w:r>
      <w:r w:rsidR="007E151F" w:rsidRPr="00B47683">
        <w:rPr>
          <w:rFonts w:ascii="Arial" w:hAnsi="Arial" w:cs="Arial"/>
          <w:bCs/>
          <w:sz w:val="20"/>
          <w:szCs w:val="20"/>
        </w:rPr>
        <w:t>,</w:t>
      </w:r>
      <w:r w:rsidR="001960BC" w:rsidRPr="00B47683">
        <w:rPr>
          <w:rFonts w:ascii="Arial" w:hAnsi="Arial" w:cs="Arial"/>
          <w:bCs/>
          <w:sz w:val="20"/>
          <w:szCs w:val="20"/>
        </w:rPr>
        <w:t xml:space="preserve"> za katere so naročniki objavili obvestila o javnem naročilu.</w:t>
      </w:r>
      <w:r w:rsidRPr="00B47683">
        <w:rPr>
          <w:rFonts w:ascii="Arial" w:hAnsi="Arial" w:cs="Arial"/>
          <w:bCs/>
          <w:sz w:val="20"/>
          <w:szCs w:val="20"/>
        </w:rPr>
        <w:t xml:space="preserve"> </w:t>
      </w:r>
    </w:p>
    <w:p w14:paraId="0A16B952" w14:textId="42ADE43B" w:rsidR="001960BC" w:rsidRPr="00DE7D42" w:rsidRDefault="001960BC" w:rsidP="008A61FD">
      <w:pPr>
        <w:spacing w:before="120" w:after="120" w:line="240" w:lineRule="auto"/>
        <w:jc w:val="both"/>
        <w:rPr>
          <w:rFonts w:ascii="Arial" w:hAnsi="Arial" w:cs="Arial"/>
          <w:sz w:val="20"/>
        </w:rPr>
      </w:pPr>
      <w:r w:rsidRPr="00DE7D42">
        <w:rPr>
          <w:rFonts w:ascii="Arial" w:hAnsi="Arial" w:cs="Arial"/>
          <w:sz w:val="20"/>
        </w:rPr>
        <w:t xml:space="preserve">Preglednica </w:t>
      </w:r>
      <w:r w:rsidR="00E430F6" w:rsidRPr="00DE7D42">
        <w:rPr>
          <w:rFonts w:ascii="Arial" w:hAnsi="Arial" w:cs="Arial"/>
          <w:sz w:val="20"/>
        </w:rPr>
        <w:t>1</w:t>
      </w:r>
      <w:r w:rsidR="00EB4423">
        <w:rPr>
          <w:rFonts w:ascii="Arial" w:hAnsi="Arial" w:cs="Arial"/>
          <w:sz w:val="20"/>
        </w:rPr>
        <w:t>1</w:t>
      </w:r>
      <w:r w:rsidRPr="00DE7D42">
        <w:rPr>
          <w:rFonts w:ascii="Arial" w:hAnsi="Arial" w:cs="Arial"/>
          <w:sz w:val="20"/>
        </w:rPr>
        <w:t>: Objavljeni postopki, naročila in njihova vrednost ter deleži glede na področj</w:t>
      </w:r>
      <w:r w:rsidR="00756490" w:rsidRPr="00DE7D42">
        <w:rPr>
          <w:rFonts w:ascii="Arial" w:hAnsi="Arial" w:cs="Arial"/>
          <w:sz w:val="20"/>
        </w:rPr>
        <w:t>e</w:t>
      </w:r>
      <w:r w:rsidR="007C1875" w:rsidRPr="00DE7D42">
        <w:rPr>
          <w:rFonts w:ascii="Arial" w:hAnsi="Arial" w:cs="Arial"/>
          <w:sz w:val="20"/>
        </w:rPr>
        <w:t xml:space="preserve"> naročanja</w:t>
      </w:r>
      <w:r w:rsidRPr="00DE7D42">
        <w:rPr>
          <w:rFonts w:ascii="Arial" w:hAnsi="Arial" w:cs="Arial"/>
          <w:sz w:val="20"/>
        </w:rPr>
        <w:t xml:space="preserve"> </w:t>
      </w:r>
    </w:p>
    <w:tbl>
      <w:tblPr>
        <w:tblW w:w="4612" w:type="pct"/>
        <w:jc w:val="center"/>
        <w:tblCellMar>
          <w:left w:w="70" w:type="dxa"/>
          <w:right w:w="70" w:type="dxa"/>
        </w:tblCellMar>
        <w:tblLook w:val="04A0" w:firstRow="1" w:lastRow="0" w:firstColumn="1" w:lastColumn="0" w:noHBand="0" w:noVBand="1"/>
      </w:tblPr>
      <w:tblGrid>
        <w:gridCol w:w="1980"/>
        <w:gridCol w:w="993"/>
        <w:gridCol w:w="843"/>
        <w:gridCol w:w="1292"/>
        <w:gridCol w:w="1272"/>
        <w:gridCol w:w="988"/>
        <w:gridCol w:w="991"/>
      </w:tblGrid>
      <w:tr w:rsidR="00411176" w:rsidRPr="00DE7D42" w14:paraId="643152B6" w14:textId="77777777" w:rsidTr="000A3944">
        <w:trPr>
          <w:trHeight w:val="480"/>
          <w:tblHeader/>
          <w:jc w:val="center"/>
        </w:trPr>
        <w:tc>
          <w:tcPr>
            <w:tcW w:w="118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3F00DAD"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Področje</w:t>
            </w:r>
          </w:p>
        </w:tc>
        <w:tc>
          <w:tcPr>
            <w:tcW w:w="594" w:type="pct"/>
            <w:tcBorders>
              <w:top w:val="single" w:sz="4" w:space="0" w:color="auto"/>
              <w:left w:val="nil"/>
              <w:bottom w:val="single" w:sz="4" w:space="0" w:color="auto"/>
              <w:right w:val="single" w:sz="4" w:space="0" w:color="auto"/>
            </w:tcBorders>
            <w:shd w:val="clear" w:color="000000" w:fill="EDEDED"/>
            <w:vAlign w:val="center"/>
            <w:hideMark/>
          </w:tcPr>
          <w:p w14:paraId="2B496982"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Št. postopkov</w:t>
            </w:r>
          </w:p>
        </w:tc>
        <w:tc>
          <w:tcPr>
            <w:tcW w:w="504" w:type="pct"/>
            <w:tcBorders>
              <w:top w:val="single" w:sz="4" w:space="0" w:color="auto"/>
              <w:left w:val="nil"/>
              <w:bottom w:val="single" w:sz="4" w:space="0" w:color="auto"/>
              <w:right w:val="single" w:sz="4" w:space="0" w:color="auto"/>
            </w:tcBorders>
            <w:shd w:val="clear" w:color="000000" w:fill="EDEDED"/>
            <w:vAlign w:val="center"/>
            <w:hideMark/>
          </w:tcPr>
          <w:p w14:paraId="3A617AE4"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Št. naročil</w:t>
            </w:r>
          </w:p>
        </w:tc>
        <w:tc>
          <w:tcPr>
            <w:tcW w:w="773" w:type="pct"/>
            <w:tcBorders>
              <w:top w:val="single" w:sz="4" w:space="0" w:color="auto"/>
              <w:left w:val="nil"/>
              <w:bottom w:val="single" w:sz="4" w:space="0" w:color="auto"/>
              <w:right w:val="single" w:sz="4" w:space="0" w:color="auto"/>
            </w:tcBorders>
            <w:shd w:val="clear" w:color="000000" w:fill="EDEDED"/>
            <w:vAlign w:val="center"/>
            <w:hideMark/>
          </w:tcPr>
          <w:p w14:paraId="48B44E6D"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Pogodbena vrednost</w:t>
            </w:r>
          </w:p>
        </w:tc>
        <w:tc>
          <w:tcPr>
            <w:tcW w:w="761" w:type="pct"/>
            <w:tcBorders>
              <w:top w:val="single" w:sz="4" w:space="0" w:color="auto"/>
              <w:left w:val="nil"/>
              <w:bottom w:val="single" w:sz="4" w:space="0" w:color="auto"/>
              <w:right w:val="single" w:sz="4" w:space="0" w:color="auto"/>
            </w:tcBorders>
            <w:shd w:val="clear" w:color="000000" w:fill="EDEDED"/>
            <w:vAlign w:val="center"/>
            <w:hideMark/>
          </w:tcPr>
          <w:p w14:paraId="48317E05"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Delež v št. postopkov</w:t>
            </w:r>
          </w:p>
        </w:tc>
        <w:tc>
          <w:tcPr>
            <w:tcW w:w="591" w:type="pct"/>
            <w:tcBorders>
              <w:top w:val="single" w:sz="4" w:space="0" w:color="auto"/>
              <w:left w:val="nil"/>
              <w:bottom w:val="single" w:sz="4" w:space="0" w:color="auto"/>
              <w:right w:val="single" w:sz="4" w:space="0" w:color="auto"/>
            </w:tcBorders>
            <w:shd w:val="clear" w:color="000000" w:fill="EDEDED"/>
            <w:vAlign w:val="center"/>
            <w:hideMark/>
          </w:tcPr>
          <w:p w14:paraId="2DBC582A"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Delež v št. naročil</w:t>
            </w:r>
          </w:p>
        </w:tc>
        <w:tc>
          <w:tcPr>
            <w:tcW w:w="593" w:type="pct"/>
            <w:tcBorders>
              <w:top w:val="single" w:sz="4" w:space="0" w:color="auto"/>
              <w:left w:val="nil"/>
              <w:bottom w:val="single" w:sz="4" w:space="0" w:color="auto"/>
              <w:right w:val="single" w:sz="4" w:space="0" w:color="auto"/>
            </w:tcBorders>
            <w:shd w:val="clear" w:color="000000" w:fill="EDEDED"/>
            <w:vAlign w:val="center"/>
            <w:hideMark/>
          </w:tcPr>
          <w:p w14:paraId="2D8F0EA3" w14:textId="77777777" w:rsidR="008D7AC5" w:rsidRPr="00DE7D42" w:rsidRDefault="008D7AC5" w:rsidP="008D7AC5">
            <w:pPr>
              <w:spacing w:after="0" w:line="240" w:lineRule="auto"/>
              <w:jc w:val="center"/>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Delež v vrednosti</w:t>
            </w:r>
          </w:p>
        </w:tc>
      </w:tr>
      <w:tr w:rsidR="00DE7D42" w:rsidRPr="00DE7D42" w14:paraId="04B08A56" w14:textId="77777777" w:rsidTr="00DE7D42">
        <w:trPr>
          <w:trHeight w:val="300"/>
          <w:jc w:val="center"/>
        </w:trPr>
        <w:tc>
          <w:tcPr>
            <w:tcW w:w="1184" w:type="pct"/>
            <w:tcBorders>
              <w:top w:val="nil"/>
              <w:left w:val="single" w:sz="4" w:space="0" w:color="auto"/>
              <w:bottom w:val="single" w:sz="4" w:space="0" w:color="auto"/>
              <w:right w:val="single" w:sz="4" w:space="0" w:color="auto"/>
            </w:tcBorders>
            <w:shd w:val="clear" w:color="auto" w:fill="auto"/>
            <w:vAlign w:val="center"/>
            <w:hideMark/>
          </w:tcPr>
          <w:p w14:paraId="533F059B" w14:textId="7839DAC2" w:rsidR="00DE7D42" w:rsidRPr="00DE7D42" w:rsidRDefault="00DE7D42" w:rsidP="00DE7D42">
            <w:pPr>
              <w:spacing w:after="0" w:line="240" w:lineRule="auto"/>
              <w:jc w:val="both"/>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Splošno</w:t>
            </w:r>
          </w:p>
        </w:tc>
        <w:tc>
          <w:tcPr>
            <w:tcW w:w="594" w:type="pct"/>
            <w:tcBorders>
              <w:top w:val="nil"/>
              <w:left w:val="nil"/>
              <w:bottom w:val="single" w:sz="4" w:space="0" w:color="auto"/>
              <w:right w:val="single" w:sz="4" w:space="0" w:color="auto"/>
            </w:tcBorders>
            <w:shd w:val="clear" w:color="auto" w:fill="auto"/>
            <w:vAlign w:val="center"/>
            <w:hideMark/>
          </w:tcPr>
          <w:p w14:paraId="33C6DDF5" w14:textId="1B378397"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5.207</w:t>
            </w:r>
          </w:p>
        </w:tc>
        <w:tc>
          <w:tcPr>
            <w:tcW w:w="504" w:type="pct"/>
            <w:tcBorders>
              <w:top w:val="nil"/>
              <w:left w:val="nil"/>
              <w:bottom w:val="single" w:sz="4" w:space="0" w:color="auto"/>
              <w:right w:val="single" w:sz="4" w:space="0" w:color="auto"/>
            </w:tcBorders>
            <w:shd w:val="clear" w:color="auto" w:fill="auto"/>
            <w:vAlign w:val="center"/>
            <w:hideMark/>
          </w:tcPr>
          <w:p w14:paraId="6F3DC0E4" w14:textId="4E7FD8DC"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14.612</w:t>
            </w:r>
          </w:p>
        </w:tc>
        <w:tc>
          <w:tcPr>
            <w:tcW w:w="773" w:type="pct"/>
            <w:tcBorders>
              <w:top w:val="nil"/>
              <w:left w:val="nil"/>
              <w:bottom w:val="single" w:sz="4" w:space="0" w:color="auto"/>
              <w:right w:val="single" w:sz="4" w:space="0" w:color="auto"/>
            </w:tcBorders>
            <w:shd w:val="clear" w:color="auto" w:fill="auto"/>
            <w:vAlign w:val="center"/>
            <w:hideMark/>
          </w:tcPr>
          <w:p w14:paraId="2F1DD035" w14:textId="73885CB3"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2.074.793.018</w:t>
            </w:r>
          </w:p>
        </w:tc>
        <w:tc>
          <w:tcPr>
            <w:tcW w:w="761" w:type="pct"/>
            <w:tcBorders>
              <w:top w:val="nil"/>
              <w:left w:val="nil"/>
              <w:bottom w:val="single" w:sz="4" w:space="0" w:color="auto"/>
              <w:right w:val="single" w:sz="4" w:space="0" w:color="auto"/>
            </w:tcBorders>
            <w:shd w:val="clear" w:color="auto" w:fill="auto"/>
            <w:noWrap/>
            <w:vAlign w:val="center"/>
            <w:hideMark/>
          </w:tcPr>
          <w:p w14:paraId="25C951F4" w14:textId="4679108F"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87,02 %</w:t>
            </w:r>
          </w:p>
        </w:tc>
        <w:tc>
          <w:tcPr>
            <w:tcW w:w="591" w:type="pct"/>
            <w:tcBorders>
              <w:top w:val="nil"/>
              <w:left w:val="nil"/>
              <w:bottom w:val="single" w:sz="4" w:space="0" w:color="auto"/>
              <w:right w:val="single" w:sz="4" w:space="0" w:color="auto"/>
            </w:tcBorders>
            <w:shd w:val="clear" w:color="auto" w:fill="auto"/>
            <w:noWrap/>
            <w:vAlign w:val="center"/>
            <w:hideMark/>
          </w:tcPr>
          <w:p w14:paraId="3759C92B" w14:textId="3171244A"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91,20 %</w:t>
            </w:r>
          </w:p>
        </w:tc>
        <w:tc>
          <w:tcPr>
            <w:tcW w:w="593" w:type="pct"/>
            <w:tcBorders>
              <w:top w:val="nil"/>
              <w:left w:val="nil"/>
              <w:bottom w:val="single" w:sz="4" w:space="0" w:color="auto"/>
              <w:right w:val="single" w:sz="4" w:space="0" w:color="auto"/>
            </w:tcBorders>
            <w:shd w:val="clear" w:color="auto" w:fill="auto"/>
            <w:noWrap/>
            <w:vAlign w:val="center"/>
            <w:hideMark/>
          </w:tcPr>
          <w:p w14:paraId="0A87540F" w14:textId="36AA55F5"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79,58 %</w:t>
            </w:r>
          </w:p>
        </w:tc>
      </w:tr>
      <w:tr w:rsidR="00DE7D42" w:rsidRPr="00DE7D42" w14:paraId="76BF051C" w14:textId="77777777" w:rsidTr="00DE7D42">
        <w:trPr>
          <w:trHeight w:val="300"/>
          <w:jc w:val="center"/>
        </w:trPr>
        <w:tc>
          <w:tcPr>
            <w:tcW w:w="1184" w:type="pct"/>
            <w:tcBorders>
              <w:top w:val="nil"/>
              <w:left w:val="single" w:sz="4" w:space="0" w:color="auto"/>
              <w:bottom w:val="single" w:sz="4" w:space="0" w:color="auto"/>
              <w:right w:val="single" w:sz="4" w:space="0" w:color="auto"/>
            </w:tcBorders>
            <w:shd w:val="clear" w:color="auto" w:fill="auto"/>
            <w:vAlign w:val="center"/>
            <w:hideMark/>
          </w:tcPr>
          <w:p w14:paraId="03B7B247" w14:textId="7848E6AA" w:rsidR="00DE7D42" w:rsidRPr="00DE7D42" w:rsidRDefault="00DE7D42" w:rsidP="00DE7D42">
            <w:pPr>
              <w:spacing w:after="0" w:line="240" w:lineRule="auto"/>
              <w:jc w:val="both"/>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t>Infrastrukturno</w:t>
            </w:r>
          </w:p>
        </w:tc>
        <w:tc>
          <w:tcPr>
            <w:tcW w:w="594" w:type="pct"/>
            <w:tcBorders>
              <w:top w:val="nil"/>
              <w:left w:val="nil"/>
              <w:bottom w:val="single" w:sz="4" w:space="0" w:color="auto"/>
              <w:right w:val="single" w:sz="4" w:space="0" w:color="auto"/>
            </w:tcBorders>
            <w:shd w:val="clear" w:color="auto" w:fill="auto"/>
            <w:vAlign w:val="center"/>
            <w:hideMark/>
          </w:tcPr>
          <w:p w14:paraId="393F07A3" w14:textId="66A3688D"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751</w:t>
            </w:r>
          </w:p>
        </w:tc>
        <w:tc>
          <w:tcPr>
            <w:tcW w:w="504" w:type="pct"/>
            <w:tcBorders>
              <w:top w:val="nil"/>
              <w:left w:val="nil"/>
              <w:bottom w:val="single" w:sz="4" w:space="0" w:color="auto"/>
              <w:right w:val="single" w:sz="4" w:space="0" w:color="auto"/>
            </w:tcBorders>
            <w:shd w:val="clear" w:color="auto" w:fill="auto"/>
            <w:vAlign w:val="center"/>
            <w:hideMark/>
          </w:tcPr>
          <w:p w14:paraId="4214DABF" w14:textId="5758C4F8"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1.365</w:t>
            </w:r>
          </w:p>
        </w:tc>
        <w:tc>
          <w:tcPr>
            <w:tcW w:w="773" w:type="pct"/>
            <w:tcBorders>
              <w:top w:val="nil"/>
              <w:left w:val="nil"/>
              <w:bottom w:val="single" w:sz="4" w:space="0" w:color="auto"/>
              <w:right w:val="single" w:sz="4" w:space="0" w:color="auto"/>
            </w:tcBorders>
            <w:shd w:val="clear" w:color="auto" w:fill="auto"/>
            <w:vAlign w:val="center"/>
            <w:hideMark/>
          </w:tcPr>
          <w:p w14:paraId="3518A5C2" w14:textId="451C1C00"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484.613.678</w:t>
            </w:r>
          </w:p>
        </w:tc>
        <w:tc>
          <w:tcPr>
            <w:tcW w:w="761" w:type="pct"/>
            <w:tcBorders>
              <w:top w:val="nil"/>
              <w:left w:val="nil"/>
              <w:bottom w:val="single" w:sz="4" w:space="0" w:color="auto"/>
              <w:right w:val="single" w:sz="4" w:space="0" w:color="auto"/>
            </w:tcBorders>
            <w:shd w:val="clear" w:color="auto" w:fill="auto"/>
            <w:noWrap/>
            <w:vAlign w:val="center"/>
            <w:hideMark/>
          </w:tcPr>
          <w:p w14:paraId="0D9BCB30" w14:textId="6C9C7934"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12,55 %</w:t>
            </w:r>
          </w:p>
        </w:tc>
        <w:tc>
          <w:tcPr>
            <w:tcW w:w="591" w:type="pct"/>
            <w:tcBorders>
              <w:top w:val="nil"/>
              <w:left w:val="nil"/>
              <w:bottom w:val="single" w:sz="4" w:space="0" w:color="auto"/>
              <w:right w:val="single" w:sz="4" w:space="0" w:color="auto"/>
            </w:tcBorders>
            <w:shd w:val="clear" w:color="auto" w:fill="auto"/>
            <w:noWrap/>
            <w:vAlign w:val="center"/>
            <w:hideMark/>
          </w:tcPr>
          <w:p w14:paraId="2CCE9D65" w14:textId="16E838D2"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8,52 %</w:t>
            </w:r>
          </w:p>
        </w:tc>
        <w:tc>
          <w:tcPr>
            <w:tcW w:w="593" w:type="pct"/>
            <w:tcBorders>
              <w:top w:val="nil"/>
              <w:left w:val="nil"/>
              <w:bottom w:val="single" w:sz="4" w:space="0" w:color="auto"/>
              <w:right w:val="single" w:sz="4" w:space="0" w:color="auto"/>
            </w:tcBorders>
            <w:shd w:val="clear" w:color="auto" w:fill="auto"/>
            <w:noWrap/>
            <w:vAlign w:val="center"/>
            <w:hideMark/>
          </w:tcPr>
          <w:p w14:paraId="0D7904EF" w14:textId="41714347"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18,59 %</w:t>
            </w:r>
          </w:p>
        </w:tc>
      </w:tr>
      <w:tr w:rsidR="00DE7D42" w:rsidRPr="00DE7D42" w14:paraId="248D246F" w14:textId="77777777" w:rsidTr="00DE7D42">
        <w:trPr>
          <w:trHeight w:val="300"/>
          <w:jc w:val="center"/>
        </w:trPr>
        <w:tc>
          <w:tcPr>
            <w:tcW w:w="1184" w:type="pct"/>
            <w:tcBorders>
              <w:top w:val="nil"/>
              <w:left w:val="single" w:sz="4" w:space="0" w:color="auto"/>
              <w:bottom w:val="single" w:sz="4" w:space="0" w:color="auto"/>
              <w:right w:val="single" w:sz="4" w:space="0" w:color="auto"/>
            </w:tcBorders>
            <w:shd w:val="clear" w:color="auto" w:fill="auto"/>
            <w:vAlign w:val="center"/>
            <w:hideMark/>
          </w:tcPr>
          <w:p w14:paraId="1933FD88" w14:textId="089FB766" w:rsidR="00DE7D42" w:rsidRPr="00DE7D42" w:rsidRDefault="00DE7D42" w:rsidP="00DE7D42">
            <w:pPr>
              <w:spacing w:after="0" w:line="240" w:lineRule="auto"/>
              <w:jc w:val="both"/>
              <w:rPr>
                <w:rFonts w:ascii="Arial" w:eastAsia="Times New Roman" w:hAnsi="Arial" w:cs="Arial"/>
                <w:color w:val="000000"/>
                <w:sz w:val="18"/>
                <w:szCs w:val="18"/>
                <w:lang w:eastAsia="sl-SI"/>
              </w:rPr>
            </w:pPr>
            <w:r w:rsidRPr="00DE7D42">
              <w:rPr>
                <w:rFonts w:ascii="Arial" w:eastAsia="Times New Roman" w:hAnsi="Arial" w:cs="Arial"/>
                <w:color w:val="000000"/>
                <w:sz w:val="18"/>
                <w:szCs w:val="18"/>
                <w:lang w:eastAsia="sl-SI"/>
              </w:rPr>
              <w:lastRenderedPageBreak/>
              <w:t>Obrambno</w:t>
            </w:r>
          </w:p>
        </w:tc>
        <w:tc>
          <w:tcPr>
            <w:tcW w:w="594" w:type="pct"/>
            <w:tcBorders>
              <w:top w:val="nil"/>
              <w:left w:val="nil"/>
              <w:bottom w:val="single" w:sz="4" w:space="0" w:color="auto"/>
              <w:right w:val="single" w:sz="4" w:space="0" w:color="auto"/>
            </w:tcBorders>
            <w:shd w:val="clear" w:color="auto" w:fill="auto"/>
            <w:vAlign w:val="center"/>
            <w:hideMark/>
          </w:tcPr>
          <w:p w14:paraId="7A9215B5" w14:textId="3A396B82"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26</w:t>
            </w:r>
          </w:p>
        </w:tc>
        <w:tc>
          <w:tcPr>
            <w:tcW w:w="504" w:type="pct"/>
            <w:tcBorders>
              <w:top w:val="nil"/>
              <w:left w:val="nil"/>
              <w:bottom w:val="single" w:sz="4" w:space="0" w:color="auto"/>
              <w:right w:val="single" w:sz="4" w:space="0" w:color="auto"/>
            </w:tcBorders>
            <w:shd w:val="clear" w:color="auto" w:fill="auto"/>
            <w:vAlign w:val="center"/>
            <w:hideMark/>
          </w:tcPr>
          <w:p w14:paraId="5157AFA6" w14:textId="30529AF0"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45</w:t>
            </w:r>
          </w:p>
        </w:tc>
        <w:tc>
          <w:tcPr>
            <w:tcW w:w="773" w:type="pct"/>
            <w:tcBorders>
              <w:top w:val="nil"/>
              <w:left w:val="nil"/>
              <w:bottom w:val="single" w:sz="4" w:space="0" w:color="auto"/>
              <w:right w:val="single" w:sz="4" w:space="0" w:color="auto"/>
            </w:tcBorders>
            <w:shd w:val="clear" w:color="auto" w:fill="auto"/>
            <w:vAlign w:val="center"/>
            <w:hideMark/>
          </w:tcPr>
          <w:p w14:paraId="2BFA468D" w14:textId="0C5FC099"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47.766.534</w:t>
            </w:r>
          </w:p>
        </w:tc>
        <w:tc>
          <w:tcPr>
            <w:tcW w:w="761" w:type="pct"/>
            <w:tcBorders>
              <w:top w:val="nil"/>
              <w:left w:val="nil"/>
              <w:bottom w:val="single" w:sz="4" w:space="0" w:color="auto"/>
              <w:right w:val="single" w:sz="4" w:space="0" w:color="auto"/>
            </w:tcBorders>
            <w:shd w:val="clear" w:color="auto" w:fill="auto"/>
            <w:noWrap/>
            <w:vAlign w:val="center"/>
            <w:hideMark/>
          </w:tcPr>
          <w:p w14:paraId="3B71617F" w14:textId="6A4197CF"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0,43 %</w:t>
            </w:r>
          </w:p>
        </w:tc>
        <w:tc>
          <w:tcPr>
            <w:tcW w:w="591" w:type="pct"/>
            <w:tcBorders>
              <w:top w:val="nil"/>
              <w:left w:val="nil"/>
              <w:bottom w:val="single" w:sz="4" w:space="0" w:color="auto"/>
              <w:right w:val="single" w:sz="4" w:space="0" w:color="auto"/>
            </w:tcBorders>
            <w:shd w:val="clear" w:color="auto" w:fill="auto"/>
            <w:noWrap/>
            <w:vAlign w:val="center"/>
            <w:hideMark/>
          </w:tcPr>
          <w:p w14:paraId="07B6098D" w14:textId="03D5D7FC"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0,28 %</w:t>
            </w:r>
          </w:p>
        </w:tc>
        <w:tc>
          <w:tcPr>
            <w:tcW w:w="593" w:type="pct"/>
            <w:tcBorders>
              <w:top w:val="nil"/>
              <w:left w:val="nil"/>
              <w:bottom w:val="single" w:sz="4" w:space="0" w:color="auto"/>
              <w:right w:val="single" w:sz="4" w:space="0" w:color="auto"/>
            </w:tcBorders>
            <w:shd w:val="clear" w:color="auto" w:fill="auto"/>
            <w:noWrap/>
            <w:vAlign w:val="center"/>
            <w:hideMark/>
          </w:tcPr>
          <w:p w14:paraId="6D99137A" w14:textId="45B38198" w:rsidR="00DE7D42" w:rsidRPr="00DE7D42" w:rsidRDefault="00DE7D42" w:rsidP="00DE7D42">
            <w:pPr>
              <w:spacing w:after="0" w:line="240" w:lineRule="auto"/>
              <w:jc w:val="right"/>
              <w:rPr>
                <w:rFonts w:ascii="Arial" w:eastAsia="Times New Roman" w:hAnsi="Arial" w:cs="Arial"/>
                <w:color w:val="000000"/>
                <w:sz w:val="18"/>
                <w:szCs w:val="18"/>
                <w:lang w:eastAsia="sl-SI"/>
              </w:rPr>
            </w:pPr>
            <w:r w:rsidRPr="00DE7D42">
              <w:rPr>
                <w:rFonts w:ascii="Arial" w:hAnsi="Arial" w:cs="Arial"/>
                <w:sz w:val="18"/>
                <w:szCs w:val="18"/>
              </w:rPr>
              <w:t>1,83 %</w:t>
            </w:r>
          </w:p>
        </w:tc>
      </w:tr>
      <w:tr w:rsidR="00DE7D42" w:rsidRPr="00DE7D42" w14:paraId="7FDF8A8A" w14:textId="77777777" w:rsidTr="00680FDE">
        <w:trPr>
          <w:trHeight w:val="300"/>
          <w:jc w:val="center"/>
        </w:trPr>
        <w:tc>
          <w:tcPr>
            <w:tcW w:w="1184"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55BB8C91" w14:textId="6D27B094" w:rsidR="00DE7D42" w:rsidRPr="00DE7D42" w:rsidRDefault="00DE7D42" w:rsidP="00DE7D42">
            <w:pPr>
              <w:spacing w:after="0" w:line="240" w:lineRule="auto"/>
              <w:jc w:val="both"/>
              <w:rPr>
                <w:rFonts w:ascii="Arial" w:eastAsia="Times New Roman" w:hAnsi="Arial" w:cs="Arial"/>
                <w:b/>
                <w:color w:val="000000"/>
                <w:sz w:val="18"/>
                <w:szCs w:val="18"/>
                <w:lang w:eastAsia="sl-SI"/>
              </w:rPr>
            </w:pPr>
            <w:r w:rsidRPr="00DE7D42">
              <w:rPr>
                <w:rFonts w:ascii="Arial" w:eastAsia="Times New Roman" w:hAnsi="Arial" w:cs="Arial"/>
                <w:b/>
                <w:color w:val="000000"/>
                <w:sz w:val="18"/>
                <w:szCs w:val="18"/>
                <w:lang w:eastAsia="sl-SI"/>
              </w:rPr>
              <w:t> Skupaj</w:t>
            </w:r>
          </w:p>
        </w:tc>
        <w:tc>
          <w:tcPr>
            <w:tcW w:w="594" w:type="pct"/>
            <w:tcBorders>
              <w:top w:val="nil"/>
              <w:left w:val="nil"/>
              <w:bottom w:val="single" w:sz="4" w:space="0" w:color="auto"/>
              <w:right w:val="single" w:sz="4" w:space="0" w:color="auto"/>
            </w:tcBorders>
            <w:shd w:val="clear" w:color="auto" w:fill="E7E6E6" w:themeFill="background2"/>
            <w:noWrap/>
            <w:vAlign w:val="center"/>
            <w:hideMark/>
          </w:tcPr>
          <w:p w14:paraId="170C7324" w14:textId="33DE9E79" w:rsidR="00DE7D42" w:rsidRPr="00DE7D42" w:rsidRDefault="00DE7D42" w:rsidP="00DE7D42">
            <w:pPr>
              <w:spacing w:after="0" w:line="240" w:lineRule="auto"/>
              <w:jc w:val="right"/>
              <w:rPr>
                <w:rFonts w:ascii="Arial" w:eastAsia="Times New Roman" w:hAnsi="Arial" w:cs="Arial"/>
                <w:b/>
                <w:color w:val="000000"/>
                <w:sz w:val="18"/>
                <w:szCs w:val="18"/>
                <w:lang w:eastAsia="sl-SI"/>
              </w:rPr>
            </w:pPr>
            <w:r w:rsidRPr="00DE7D42">
              <w:rPr>
                <w:rFonts w:ascii="Arial" w:hAnsi="Arial" w:cs="Arial"/>
                <w:b/>
                <w:sz w:val="18"/>
                <w:szCs w:val="18"/>
              </w:rPr>
              <w:t>5.984</w:t>
            </w:r>
          </w:p>
        </w:tc>
        <w:tc>
          <w:tcPr>
            <w:tcW w:w="504" w:type="pct"/>
            <w:tcBorders>
              <w:top w:val="nil"/>
              <w:left w:val="nil"/>
              <w:bottom w:val="single" w:sz="4" w:space="0" w:color="auto"/>
              <w:right w:val="single" w:sz="4" w:space="0" w:color="auto"/>
            </w:tcBorders>
            <w:shd w:val="clear" w:color="auto" w:fill="E7E6E6" w:themeFill="background2"/>
            <w:noWrap/>
            <w:vAlign w:val="center"/>
            <w:hideMark/>
          </w:tcPr>
          <w:p w14:paraId="53A9E519" w14:textId="05667D8D" w:rsidR="00DE7D42" w:rsidRPr="00DE7D42" w:rsidRDefault="00DE7D42" w:rsidP="00DE7D42">
            <w:pPr>
              <w:spacing w:after="0" w:line="240" w:lineRule="auto"/>
              <w:jc w:val="right"/>
              <w:rPr>
                <w:rFonts w:ascii="Arial" w:eastAsia="Times New Roman" w:hAnsi="Arial" w:cs="Arial"/>
                <w:b/>
                <w:color w:val="000000"/>
                <w:sz w:val="18"/>
                <w:szCs w:val="18"/>
                <w:lang w:eastAsia="sl-SI"/>
              </w:rPr>
            </w:pPr>
            <w:r w:rsidRPr="00DE7D42">
              <w:rPr>
                <w:rFonts w:ascii="Arial" w:hAnsi="Arial" w:cs="Arial"/>
                <w:b/>
                <w:sz w:val="18"/>
                <w:szCs w:val="18"/>
              </w:rPr>
              <w:t>16.022</w:t>
            </w:r>
          </w:p>
        </w:tc>
        <w:tc>
          <w:tcPr>
            <w:tcW w:w="773" w:type="pct"/>
            <w:tcBorders>
              <w:top w:val="nil"/>
              <w:left w:val="nil"/>
              <w:bottom w:val="single" w:sz="4" w:space="0" w:color="auto"/>
              <w:right w:val="single" w:sz="4" w:space="0" w:color="auto"/>
            </w:tcBorders>
            <w:shd w:val="clear" w:color="auto" w:fill="E7E6E6" w:themeFill="background2"/>
            <w:noWrap/>
            <w:vAlign w:val="center"/>
            <w:hideMark/>
          </w:tcPr>
          <w:p w14:paraId="37C6D2B0" w14:textId="286B3987" w:rsidR="00DE7D42" w:rsidRPr="00DE7D42" w:rsidRDefault="00DE7D42" w:rsidP="00DE7D42">
            <w:pPr>
              <w:spacing w:after="0" w:line="240" w:lineRule="auto"/>
              <w:jc w:val="right"/>
              <w:rPr>
                <w:rFonts w:ascii="Arial" w:eastAsia="Times New Roman" w:hAnsi="Arial" w:cs="Arial"/>
                <w:b/>
                <w:color w:val="000000"/>
                <w:sz w:val="18"/>
                <w:szCs w:val="18"/>
                <w:lang w:eastAsia="sl-SI"/>
              </w:rPr>
            </w:pPr>
            <w:r w:rsidRPr="00DE7D42">
              <w:rPr>
                <w:rFonts w:ascii="Arial" w:hAnsi="Arial" w:cs="Arial"/>
                <w:b/>
                <w:sz w:val="18"/>
                <w:szCs w:val="18"/>
              </w:rPr>
              <w:t>2.607.173.230</w:t>
            </w:r>
          </w:p>
        </w:tc>
        <w:tc>
          <w:tcPr>
            <w:tcW w:w="761" w:type="pct"/>
            <w:tcBorders>
              <w:top w:val="nil"/>
              <w:left w:val="nil"/>
              <w:bottom w:val="single" w:sz="4" w:space="0" w:color="auto"/>
              <w:right w:val="single" w:sz="4" w:space="0" w:color="auto"/>
            </w:tcBorders>
            <w:shd w:val="clear" w:color="auto" w:fill="E7E6E6" w:themeFill="background2"/>
            <w:noWrap/>
            <w:vAlign w:val="center"/>
            <w:hideMark/>
          </w:tcPr>
          <w:p w14:paraId="618D8546" w14:textId="3EC66620" w:rsidR="00DE7D42" w:rsidRPr="00DE7D42" w:rsidRDefault="00DE7D42" w:rsidP="00DE7D42">
            <w:pPr>
              <w:spacing w:after="0" w:line="240" w:lineRule="auto"/>
              <w:jc w:val="right"/>
              <w:rPr>
                <w:rFonts w:ascii="Arial" w:eastAsia="Times New Roman" w:hAnsi="Arial" w:cs="Arial"/>
                <w:b/>
                <w:color w:val="000000"/>
                <w:sz w:val="18"/>
                <w:szCs w:val="18"/>
                <w:lang w:eastAsia="sl-SI"/>
              </w:rPr>
            </w:pPr>
            <w:r w:rsidRPr="00DE7D42">
              <w:rPr>
                <w:rFonts w:ascii="Arial" w:hAnsi="Arial" w:cs="Arial"/>
                <w:b/>
                <w:sz w:val="18"/>
                <w:szCs w:val="18"/>
              </w:rPr>
              <w:t>100,00 %</w:t>
            </w:r>
          </w:p>
        </w:tc>
        <w:tc>
          <w:tcPr>
            <w:tcW w:w="591" w:type="pct"/>
            <w:tcBorders>
              <w:top w:val="nil"/>
              <w:left w:val="nil"/>
              <w:bottom w:val="single" w:sz="4" w:space="0" w:color="auto"/>
              <w:right w:val="single" w:sz="4" w:space="0" w:color="auto"/>
            </w:tcBorders>
            <w:shd w:val="clear" w:color="auto" w:fill="E7E6E6" w:themeFill="background2"/>
            <w:noWrap/>
            <w:vAlign w:val="center"/>
            <w:hideMark/>
          </w:tcPr>
          <w:p w14:paraId="0D3EB862" w14:textId="68EF125F" w:rsidR="00DE7D42" w:rsidRPr="00DE7D42" w:rsidRDefault="00DE7D42" w:rsidP="00DE7D42">
            <w:pPr>
              <w:spacing w:after="0" w:line="240" w:lineRule="auto"/>
              <w:jc w:val="right"/>
              <w:rPr>
                <w:rFonts w:ascii="Arial" w:eastAsia="Times New Roman" w:hAnsi="Arial" w:cs="Arial"/>
                <w:b/>
                <w:color w:val="000000"/>
                <w:sz w:val="18"/>
                <w:szCs w:val="18"/>
                <w:lang w:eastAsia="sl-SI"/>
              </w:rPr>
            </w:pPr>
            <w:r w:rsidRPr="00DE7D42">
              <w:rPr>
                <w:rFonts w:ascii="Arial" w:hAnsi="Arial" w:cs="Arial"/>
                <w:b/>
                <w:sz w:val="18"/>
                <w:szCs w:val="18"/>
              </w:rPr>
              <w:t>100,00 %</w:t>
            </w:r>
          </w:p>
        </w:tc>
        <w:tc>
          <w:tcPr>
            <w:tcW w:w="593" w:type="pct"/>
            <w:tcBorders>
              <w:top w:val="nil"/>
              <w:left w:val="nil"/>
              <w:bottom w:val="single" w:sz="4" w:space="0" w:color="auto"/>
              <w:right w:val="single" w:sz="4" w:space="0" w:color="auto"/>
            </w:tcBorders>
            <w:shd w:val="clear" w:color="auto" w:fill="E7E6E6" w:themeFill="background2"/>
            <w:noWrap/>
            <w:vAlign w:val="center"/>
            <w:hideMark/>
          </w:tcPr>
          <w:p w14:paraId="3A3434EF" w14:textId="4CD25BBE" w:rsidR="00DE7D42" w:rsidRPr="00DE7D42" w:rsidRDefault="00DE7D42" w:rsidP="00DE7D42">
            <w:pPr>
              <w:spacing w:after="0" w:line="240" w:lineRule="auto"/>
              <w:jc w:val="right"/>
              <w:rPr>
                <w:rFonts w:ascii="Arial" w:eastAsia="Times New Roman" w:hAnsi="Arial" w:cs="Arial"/>
                <w:b/>
                <w:color w:val="000000"/>
                <w:sz w:val="18"/>
                <w:szCs w:val="18"/>
                <w:lang w:eastAsia="sl-SI"/>
              </w:rPr>
            </w:pPr>
            <w:r w:rsidRPr="00DE7D42">
              <w:rPr>
                <w:rFonts w:ascii="Arial" w:hAnsi="Arial" w:cs="Arial"/>
                <w:b/>
                <w:sz w:val="18"/>
                <w:szCs w:val="18"/>
              </w:rPr>
              <w:t>100,00 %</w:t>
            </w:r>
          </w:p>
        </w:tc>
      </w:tr>
    </w:tbl>
    <w:p w14:paraId="706FF5B1" w14:textId="77777777" w:rsidR="003156F5" w:rsidRPr="00DE7D42" w:rsidRDefault="003156F5" w:rsidP="003156F5">
      <w:pPr>
        <w:spacing w:after="0" w:line="240" w:lineRule="auto"/>
        <w:jc w:val="center"/>
        <w:rPr>
          <w:rFonts w:ascii="Arial" w:hAnsi="Arial" w:cs="Arial"/>
          <w:sz w:val="18"/>
        </w:rPr>
      </w:pPr>
    </w:p>
    <w:p w14:paraId="0C541AB9" w14:textId="5538E086" w:rsidR="001960BC" w:rsidRPr="00DE7D42" w:rsidRDefault="001960BC" w:rsidP="00701C10">
      <w:pPr>
        <w:spacing w:after="240" w:line="240" w:lineRule="auto"/>
        <w:jc w:val="center"/>
        <w:rPr>
          <w:rFonts w:ascii="Arial" w:hAnsi="Arial" w:cs="Arial"/>
          <w:sz w:val="18"/>
        </w:rPr>
      </w:pPr>
      <w:r w:rsidRPr="00DE7D42">
        <w:rPr>
          <w:rFonts w:ascii="Arial" w:hAnsi="Arial" w:cs="Arial"/>
          <w:sz w:val="18"/>
        </w:rPr>
        <w:t xml:space="preserve">Vir: Statistični podatki o javnih naročilih, oddanih v </w:t>
      </w:r>
      <w:r w:rsidR="003F282D" w:rsidRPr="00DE7D42">
        <w:rPr>
          <w:rFonts w:ascii="Arial" w:hAnsi="Arial" w:cs="Arial"/>
          <w:sz w:val="18"/>
        </w:rPr>
        <w:t>letu 201</w:t>
      </w:r>
      <w:r w:rsidR="00DE7D42" w:rsidRPr="00DE7D42">
        <w:rPr>
          <w:rFonts w:ascii="Arial" w:hAnsi="Arial" w:cs="Arial"/>
          <w:sz w:val="18"/>
        </w:rPr>
        <w:t>8</w:t>
      </w:r>
    </w:p>
    <w:p w14:paraId="394048F5" w14:textId="458084AA" w:rsidR="001960BC" w:rsidRPr="00FB618D" w:rsidRDefault="001960BC" w:rsidP="001960BC">
      <w:pPr>
        <w:tabs>
          <w:tab w:val="left" w:pos="567"/>
          <w:tab w:val="left" w:pos="993"/>
        </w:tabs>
        <w:spacing w:line="360" w:lineRule="auto"/>
        <w:jc w:val="both"/>
        <w:rPr>
          <w:rFonts w:ascii="Arial" w:hAnsi="Arial" w:cs="Arial"/>
          <w:bCs/>
          <w:sz w:val="20"/>
          <w:szCs w:val="20"/>
        </w:rPr>
      </w:pPr>
      <w:r w:rsidRPr="00FB618D">
        <w:rPr>
          <w:rFonts w:ascii="Arial" w:hAnsi="Arial" w:cs="Arial"/>
          <w:bCs/>
          <w:sz w:val="20"/>
          <w:szCs w:val="20"/>
        </w:rPr>
        <w:t>V postopkih javnega naročanja</w:t>
      </w:r>
      <w:r w:rsidR="00A57B07" w:rsidRPr="00FB618D">
        <w:rPr>
          <w:rFonts w:ascii="Arial" w:hAnsi="Arial" w:cs="Arial"/>
          <w:bCs/>
          <w:sz w:val="20"/>
          <w:szCs w:val="20"/>
        </w:rPr>
        <w:t>,</w:t>
      </w:r>
      <w:r w:rsidRPr="00FB618D">
        <w:rPr>
          <w:rFonts w:ascii="Arial" w:hAnsi="Arial" w:cs="Arial"/>
          <w:bCs/>
          <w:sz w:val="20"/>
          <w:szCs w:val="20"/>
        </w:rPr>
        <w:t xml:space="preserve"> v katerih so naročniki objavili obvestilo o javnem naročilu, prevladuje naročanje blaga v številu postopkov, številu naročil </w:t>
      </w:r>
      <w:r w:rsidR="00EC1BBF">
        <w:rPr>
          <w:rFonts w:ascii="Arial" w:hAnsi="Arial" w:cs="Arial"/>
          <w:bCs/>
          <w:sz w:val="20"/>
          <w:szCs w:val="20"/>
        </w:rPr>
        <w:t>in</w:t>
      </w:r>
      <w:r w:rsidRPr="00FB618D">
        <w:rPr>
          <w:rFonts w:ascii="Arial" w:hAnsi="Arial" w:cs="Arial"/>
          <w:bCs/>
          <w:sz w:val="20"/>
          <w:szCs w:val="20"/>
        </w:rPr>
        <w:t xml:space="preserve"> </w:t>
      </w:r>
      <w:r w:rsidR="00756490" w:rsidRPr="00FB618D">
        <w:rPr>
          <w:rFonts w:ascii="Arial" w:hAnsi="Arial" w:cs="Arial"/>
          <w:bCs/>
          <w:sz w:val="20"/>
          <w:szCs w:val="20"/>
        </w:rPr>
        <w:t xml:space="preserve">po </w:t>
      </w:r>
      <w:r w:rsidRPr="00FB618D">
        <w:rPr>
          <w:rFonts w:ascii="Arial" w:hAnsi="Arial" w:cs="Arial"/>
          <w:bCs/>
          <w:sz w:val="20"/>
          <w:szCs w:val="20"/>
        </w:rPr>
        <w:t xml:space="preserve">pogodbeni vrednosti. Naročanje blaga </w:t>
      </w:r>
      <w:r w:rsidR="002C0157" w:rsidRPr="00FB618D">
        <w:rPr>
          <w:rFonts w:ascii="Arial" w:hAnsi="Arial" w:cs="Arial"/>
          <w:bCs/>
          <w:sz w:val="20"/>
          <w:szCs w:val="20"/>
        </w:rPr>
        <w:t xml:space="preserve">znaša </w:t>
      </w:r>
      <w:r w:rsidR="00C63E46" w:rsidRPr="00FB618D">
        <w:rPr>
          <w:rFonts w:ascii="Arial" w:hAnsi="Arial" w:cs="Arial"/>
          <w:bCs/>
          <w:sz w:val="20"/>
          <w:szCs w:val="20"/>
        </w:rPr>
        <w:t xml:space="preserve">slabo polovico izvedenih postopkov in vrednosti naročil ter </w:t>
      </w:r>
      <w:r w:rsidR="001C517C">
        <w:rPr>
          <w:rFonts w:ascii="Arial" w:hAnsi="Arial" w:cs="Arial"/>
          <w:bCs/>
          <w:sz w:val="20"/>
          <w:szCs w:val="20"/>
        </w:rPr>
        <w:t xml:space="preserve">skoraj </w:t>
      </w:r>
      <w:r w:rsidR="00C63E46" w:rsidRPr="00FB618D">
        <w:rPr>
          <w:rFonts w:ascii="Arial" w:hAnsi="Arial" w:cs="Arial"/>
          <w:bCs/>
          <w:sz w:val="20"/>
          <w:szCs w:val="20"/>
        </w:rPr>
        <w:t xml:space="preserve">dve tretjini naročil po številu glede na vsa </w:t>
      </w:r>
      <w:r w:rsidRPr="00FB618D">
        <w:rPr>
          <w:rFonts w:ascii="Arial" w:hAnsi="Arial" w:cs="Arial"/>
          <w:bCs/>
          <w:sz w:val="20"/>
          <w:szCs w:val="20"/>
        </w:rPr>
        <w:t>naročil</w:t>
      </w:r>
      <w:r w:rsidR="00C63E46" w:rsidRPr="00FB618D">
        <w:rPr>
          <w:rFonts w:ascii="Arial" w:hAnsi="Arial" w:cs="Arial"/>
          <w:bCs/>
          <w:sz w:val="20"/>
          <w:szCs w:val="20"/>
        </w:rPr>
        <w:t>a</w:t>
      </w:r>
      <w:r w:rsidRPr="00FB618D">
        <w:rPr>
          <w:rFonts w:ascii="Arial" w:hAnsi="Arial" w:cs="Arial"/>
          <w:bCs/>
          <w:sz w:val="20"/>
          <w:szCs w:val="20"/>
        </w:rPr>
        <w:t>, ki so bila oddana v postopkih</w:t>
      </w:r>
      <w:r w:rsidR="00A57B07" w:rsidRPr="00FB618D">
        <w:rPr>
          <w:rFonts w:ascii="Arial" w:hAnsi="Arial" w:cs="Arial"/>
          <w:bCs/>
          <w:sz w:val="20"/>
          <w:szCs w:val="20"/>
        </w:rPr>
        <w:t>,</w:t>
      </w:r>
      <w:r w:rsidRPr="00FB618D">
        <w:rPr>
          <w:rFonts w:ascii="Arial" w:hAnsi="Arial" w:cs="Arial"/>
          <w:bCs/>
          <w:sz w:val="20"/>
          <w:szCs w:val="20"/>
        </w:rPr>
        <w:t xml:space="preserve"> za katere so naročniki objavili obvestila o javnem naročilu. </w:t>
      </w:r>
    </w:p>
    <w:p w14:paraId="38ED435D" w14:textId="24197E88" w:rsidR="001960BC" w:rsidRPr="00A96C4C" w:rsidRDefault="001960BC" w:rsidP="003D30C6">
      <w:pPr>
        <w:rPr>
          <w:rFonts w:ascii="Arial" w:hAnsi="Arial" w:cs="Arial"/>
          <w:sz w:val="20"/>
        </w:rPr>
      </w:pPr>
      <w:r w:rsidRPr="00A96C4C">
        <w:rPr>
          <w:rFonts w:ascii="Arial" w:hAnsi="Arial" w:cs="Arial"/>
          <w:sz w:val="20"/>
        </w:rPr>
        <w:t xml:space="preserve">Preglednica </w:t>
      </w:r>
      <w:r w:rsidR="00E430F6" w:rsidRPr="00A96C4C">
        <w:rPr>
          <w:rFonts w:ascii="Arial" w:hAnsi="Arial" w:cs="Arial"/>
          <w:sz w:val="20"/>
        </w:rPr>
        <w:t>1</w:t>
      </w:r>
      <w:r w:rsidR="00EB4423">
        <w:rPr>
          <w:rFonts w:ascii="Arial" w:hAnsi="Arial" w:cs="Arial"/>
          <w:sz w:val="20"/>
        </w:rPr>
        <w:t>2</w:t>
      </w:r>
      <w:r w:rsidRPr="00A96C4C">
        <w:rPr>
          <w:rFonts w:ascii="Arial" w:hAnsi="Arial" w:cs="Arial"/>
          <w:sz w:val="20"/>
        </w:rPr>
        <w:t xml:space="preserve">: Objavljeni postopki, naročila in njihova vrednost ter deleži glede na predmet naročanja </w:t>
      </w:r>
    </w:p>
    <w:tbl>
      <w:tblPr>
        <w:tblW w:w="8395" w:type="dxa"/>
        <w:jc w:val="center"/>
        <w:tblCellMar>
          <w:left w:w="70" w:type="dxa"/>
          <w:right w:w="70" w:type="dxa"/>
        </w:tblCellMar>
        <w:tblLook w:val="04A0" w:firstRow="1" w:lastRow="0" w:firstColumn="1" w:lastColumn="0" w:noHBand="0" w:noVBand="1"/>
      </w:tblPr>
      <w:tblGrid>
        <w:gridCol w:w="1838"/>
        <w:gridCol w:w="1134"/>
        <w:gridCol w:w="851"/>
        <w:gridCol w:w="1292"/>
        <w:gridCol w:w="1240"/>
        <w:gridCol w:w="1020"/>
        <w:gridCol w:w="1020"/>
      </w:tblGrid>
      <w:tr w:rsidR="006C392A" w:rsidRPr="00A96C4C" w14:paraId="284E6C7F" w14:textId="77777777" w:rsidTr="00585D08">
        <w:trPr>
          <w:trHeight w:val="284"/>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B6C7212" w14:textId="3107F8FF"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 xml:space="preserve">Predmet </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A60ED8A" w14:textId="77777777"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Št. postopkov</w:t>
            </w:r>
          </w:p>
        </w:tc>
        <w:tc>
          <w:tcPr>
            <w:tcW w:w="85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85882B" w14:textId="77777777"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Št. naročil</w:t>
            </w:r>
          </w:p>
        </w:tc>
        <w:tc>
          <w:tcPr>
            <w:tcW w:w="12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4C5CCF0" w14:textId="77777777"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Pogodbena vrednost</w:t>
            </w:r>
          </w:p>
        </w:tc>
        <w:tc>
          <w:tcPr>
            <w:tcW w:w="12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353DB92" w14:textId="77777777"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Delež v št. postopkov</w:t>
            </w:r>
          </w:p>
        </w:tc>
        <w:tc>
          <w:tcPr>
            <w:tcW w:w="10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1B3559" w14:textId="77777777"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Delež v št. naročil</w:t>
            </w:r>
          </w:p>
        </w:tc>
        <w:tc>
          <w:tcPr>
            <w:tcW w:w="10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5DA71DA" w14:textId="77777777" w:rsidR="006C392A" w:rsidRPr="00A96C4C" w:rsidRDefault="006C392A" w:rsidP="006C392A">
            <w:pPr>
              <w:spacing w:after="0" w:line="240" w:lineRule="auto"/>
              <w:jc w:val="center"/>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Delež v vrednosti</w:t>
            </w:r>
          </w:p>
        </w:tc>
      </w:tr>
      <w:tr w:rsidR="00E90509" w:rsidRPr="00A96C4C" w14:paraId="40FF7B5F" w14:textId="77777777" w:rsidTr="00E90509">
        <w:trPr>
          <w:trHeight w:val="2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3A515BB" w14:textId="65879D06" w:rsidR="00E90509" w:rsidRPr="00A96C4C" w:rsidRDefault="00E90509" w:rsidP="00E90509">
            <w:pPr>
              <w:spacing w:after="0" w:line="240" w:lineRule="auto"/>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Blago</w:t>
            </w:r>
          </w:p>
        </w:tc>
        <w:tc>
          <w:tcPr>
            <w:tcW w:w="1134" w:type="dxa"/>
            <w:tcBorders>
              <w:top w:val="nil"/>
              <w:left w:val="nil"/>
              <w:bottom w:val="single" w:sz="4" w:space="0" w:color="auto"/>
              <w:right w:val="single" w:sz="4" w:space="0" w:color="auto"/>
            </w:tcBorders>
            <w:shd w:val="clear" w:color="auto" w:fill="auto"/>
            <w:vAlign w:val="center"/>
            <w:hideMark/>
          </w:tcPr>
          <w:p w14:paraId="4F3F9FB8" w14:textId="7C966C08"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2.400</w:t>
            </w:r>
          </w:p>
        </w:tc>
        <w:tc>
          <w:tcPr>
            <w:tcW w:w="851" w:type="dxa"/>
            <w:tcBorders>
              <w:top w:val="nil"/>
              <w:left w:val="nil"/>
              <w:bottom w:val="single" w:sz="4" w:space="0" w:color="auto"/>
              <w:right w:val="single" w:sz="4" w:space="0" w:color="auto"/>
            </w:tcBorders>
            <w:shd w:val="clear" w:color="auto" w:fill="auto"/>
            <w:vAlign w:val="center"/>
            <w:hideMark/>
          </w:tcPr>
          <w:p w14:paraId="56DF2830" w14:textId="7F20D13A"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10.663</w:t>
            </w:r>
          </w:p>
        </w:tc>
        <w:tc>
          <w:tcPr>
            <w:tcW w:w="1292" w:type="dxa"/>
            <w:tcBorders>
              <w:top w:val="nil"/>
              <w:left w:val="nil"/>
              <w:bottom w:val="single" w:sz="4" w:space="0" w:color="auto"/>
              <w:right w:val="single" w:sz="4" w:space="0" w:color="auto"/>
            </w:tcBorders>
            <w:shd w:val="clear" w:color="auto" w:fill="auto"/>
            <w:vAlign w:val="center"/>
            <w:hideMark/>
          </w:tcPr>
          <w:p w14:paraId="4A15AB2E" w14:textId="211C7A1D"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1.082.852.200</w:t>
            </w:r>
          </w:p>
        </w:tc>
        <w:tc>
          <w:tcPr>
            <w:tcW w:w="1240" w:type="dxa"/>
            <w:tcBorders>
              <w:top w:val="nil"/>
              <w:left w:val="nil"/>
              <w:bottom w:val="single" w:sz="4" w:space="0" w:color="auto"/>
              <w:right w:val="single" w:sz="4" w:space="0" w:color="auto"/>
            </w:tcBorders>
            <w:shd w:val="clear" w:color="auto" w:fill="auto"/>
            <w:noWrap/>
            <w:vAlign w:val="center"/>
            <w:hideMark/>
          </w:tcPr>
          <w:p w14:paraId="3C54D336" w14:textId="7E788DD2"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40,11</w:t>
            </w:r>
            <w:r w:rsidR="00A96C4C" w:rsidRPr="00A96C4C">
              <w:rPr>
                <w:rFonts w:ascii="Arial" w:hAnsi="Arial" w:cs="Arial"/>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D378DBE" w14:textId="11223FC4"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66,55</w:t>
            </w:r>
            <w:r w:rsidR="00A96C4C" w:rsidRPr="00A96C4C">
              <w:rPr>
                <w:rFonts w:ascii="Arial" w:hAnsi="Arial" w:cs="Arial"/>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74584AB" w14:textId="76E655D8"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41,53</w:t>
            </w:r>
            <w:r w:rsidR="00A96C4C" w:rsidRPr="00A96C4C">
              <w:rPr>
                <w:rFonts w:ascii="Arial" w:hAnsi="Arial" w:cs="Arial"/>
                <w:sz w:val="18"/>
                <w:szCs w:val="18"/>
              </w:rPr>
              <w:t xml:space="preserve"> %</w:t>
            </w:r>
          </w:p>
        </w:tc>
      </w:tr>
      <w:tr w:rsidR="00E90509" w:rsidRPr="00A96C4C" w14:paraId="77164388" w14:textId="77777777" w:rsidTr="00E90509">
        <w:trPr>
          <w:trHeight w:val="2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42CD10B" w14:textId="4FA37524" w:rsidR="00E90509" w:rsidRPr="00A96C4C" w:rsidRDefault="00E90509" w:rsidP="00E90509">
            <w:pPr>
              <w:spacing w:after="0" w:line="240" w:lineRule="auto"/>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Storitve</w:t>
            </w:r>
          </w:p>
        </w:tc>
        <w:tc>
          <w:tcPr>
            <w:tcW w:w="1134" w:type="dxa"/>
            <w:tcBorders>
              <w:top w:val="nil"/>
              <w:left w:val="nil"/>
              <w:bottom w:val="single" w:sz="4" w:space="0" w:color="auto"/>
              <w:right w:val="single" w:sz="4" w:space="0" w:color="auto"/>
            </w:tcBorders>
            <w:shd w:val="clear" w:color="auto" w:fill="auto"/>
            <w:vAlign w:val="center"/>
            <w:hideMark/>
          </w:tcPr>
          <w:p w14:paraId="665C4B31" w14:textId="0DDD8336"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1.981</w:t>
            </w:r>
          </w:p>
        </w:tc>
        <w:tc>
          <w:tcPr>
            <w:tcW w:w="851" w:type="dxa"/>
            <w:tcBorders>
              <w:top w:val="nil"/>
              <w:left w:val="nil"/>
              <w:bottom w:val="single" w:sz="4" w:space="0" w:color="auto"/>
              <w:right w:val="single" w:sz="4" w:space="0" w:color="auto"/>
            </w:tcBorders>
            <w:shd w:val="clear" w:color="auto" w:fill="auto"/>
            <w:vAlign w:val="center"/>
            <w:hideMark/>
          </w:tcPr>
          <w:p w14:paraId="7DBD797A" w14:textId="3379AC56"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3.414</w:t>
            </w:r>
          </w:p>
        </w:tc>
        <w:tc>
          <w:tcPr>
            <w:tcW w:w="1292" w:type="dxa"/>
            <w:tcBorders>
              <w:top w:val="nil"/>
              <w:left w:val="nil"/>
              <w:bottom w:val="single" w:sz="4" w:space="0" w:color="auto"/>
              <w:right w:val="single" w:sz="4" w:space="0" w:color="auto"/>
            </w:tcBorders>
            <w:shd w:val="clear" w:color="auto" w:fill="auto"/>
            <w:vAlign w:val="center"/>
            <w:hideMark/>
          </w:tcPr>
          <w:p w14:paraId="68EA45FD" w14:textId="58072BC8"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634.088.860</w:t>
            </w:r>
          </w:p>
        </w:tc>
        <w:tc>
          <w:tcPr>
            <w:tcW w:w="1240" w:type="dxa"/>
            <w:tcBorders>
              <w:top w:val="nil"/>
              <w:left w:val="nil"/>
              <w:bottom w:val="single" w:sz="4" w:space="0" w:color="auto"/>
              <w:right w:val="single" w:sz="4" w:space="0" w:color="auto"/>
            </w:tcBorders>
            <w:shd w:val="clear" w:color="auto" w:fill="auto"/>
            <w:noWrap/>
            <w:vAlign w:val="center"/>
            <w:hideMark/>
          </w:tcPr>
          <w:p w14:paraId="7E8BE0BC" w14:textId="0746D138"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33,10</w:t>
            </w:r>
            <w:r w:rsidR="00A96C4C" w:rsidRPr="00A96C4C">
              <w:rPr>
                <w:rFonts w:ascii="Arial" w:hAnsi="Arial" w:cs="Arial"/>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73986BB" w14:textId="03A4E141"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21,31</w:t>
            </w:r>
            <w:r w:rsidR="00A96C4C" w:rsidRPr="00A96C4C">
              <w:rPr>
                <w:rFonts w:ascii="Arial" w:hAnsi="Arial" w:cs="Arial"/>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4F28647" w14:textId="3D5DF0B7"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24,32</w:t>
            </w:r>
            <w:r w:rsidR="00A96C4C" w:rsidRPr="00A96C4C">
              <w:rPr>
                <w:rFonts w:ascii="Arial" w:hAnsi="Arial" w:cs="Arial"/>
                <w:sz w:val="18"/>
                <w:szCs w:val="18"/>
              </w:rPr>
              <w:t xml:space="preserve"> %</w:t>
            </w:r>
          </w:p>
        </w:tc>
      </w:tr>
      <w:tr w:rsidR="00E90509" w:rsidRPr="00A96C4C" w14:paraId="0482D2E7" w14:textId="77777777" w:rsidTr="00E90509">
        <w:trPr>
          <w:trHeight w:val="2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C29AE45" w14:textId="700F0602" w:rsidR="00E90509" w:rsidRPr="00A96C4C" w:rsidRDefault="00E90509" w:rsidP="00E90509">
            <w:pPr>
              <w:spacing w:after="0" w:line="240" w:lineRule="auto"/>
              <w:rPr>
                <w:rFonts w:ascii="Arial" w:eastAsia="Times New Roman" w:hAnsi="Arial" w:cs="Arial"/>
                <w:color w:val="000000"/>
                <w:sz w:val="18"/>
                <w:szCs w:val="18"/>
                <w:lang w:eastAsia="sl-SI"/>
              </w:rPr>
            </w:pPr>
            <w:r w:rsidRPr="00A96C4C">
              <w:rPr>
                <w:rFonts w:ascii="Arial" w:eastAsia="Times New Roman" w:hAnsi="Arial" w:cs="Arial"/>
                <w:color w:val="000000"/>
                <w:sz w:val="18"/>
                <w:szCs w:val="18"/>
                <w:lang w:eastAsia="sl-SI"/>
              </w:rPr>
              <w:t>Gradnje</w:t>
            </w:r>
          </w:p>
        </w:tc>
        <w:tc>
          <w:tcPr>
            <w:tcW w:w="1134" w:type="dxa"/>
            <w:tcBorders>
              <w:top w:val="nil"/>
              <w:left w:val="nil"/>
              <w:bottom w:val="single" w:sz="4" w:space="0" w:color="auto"/>
              <w:right w:val="single" w:sz="4" w:space="0" w:color="auto"/>
            </w:tcBorders>
            <w:shd w:val="clear" w:color="auto" w:fill="auto"/>
            <w:vAlign w:val="center"/>
            <w:hideMark/>
          </w:tcPr>
          <w:p w14:paraId="560F5C44" w14:textId="1935DDE9"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1.603</w:t>
            </w:r>
          </w:p>
        </w:tc>
        <w:tc>
          <w:tcPr>
            <w:tcW w:w="851" w:type="dxa"/>
            <w:tcBorders>
              <w:top w:val="nil"/>
              <w:left w:val="nil"/>
              <w:bottom w:val="single" w:sz="4" w:space="0" w:color="auto"/>
              <w:right w:val="single" w:sz="4" w:space="0" w:color="auto"/>
            </w:tcBorders>
            <w:shd w:val="clear" w:color="auto" w:fill="auto"/>
            <w:vAlign w:val="center"/>
            <w:hideMark/>
          </w:tcPr>
          <w:p w14:paraId="26537652" w14:textId="7F4E018B"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1.945</w:t>
            </w:r>
          </w:p>
        </w:tc>
        <w:tc>
          <w:tcPr>
            <w:tcW w:w="1292" w:type="dxa"/>
            <w:tcBorders>
              <w:top w:val="nil"/>
              <w:left w:val="nil"/>
              <w:bottom w:val="single" w:sz="4" w:space="0" w:color="auto"/>
              <w:right w:val="single" w:sz="4" w:space="0" w:color="auto"/>
            </w:tcBorders>
            <w:shd w:val="clear" w:color="auto" w:fill="auto"/>
            <w:vAlign w:val="center"/>
            <w:hideMark/>
          </w:tcPr>
          <w:p w14:paraId="6AEEE48E" w14:textId="43F9E7D0"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890.232.170</w:t>
            </w:r>
          </w:p>
        </w:tc>
        <w:tc>
          <w:tcPr>
            <w:tcW w:w="1240" w:type="dxa"/>
            <w:tcBorders>
              <w:top w:val="nil"/>
              <w:left w:val="nil"/>
              <w:bottom w:val="single" w:sz="4" w:space="0" w:color="auto"/>
              <w:right w:val="single" w:sz="4" w:space="0" w:color="auto"/>
            </w:tcBorders>
            <w:shd w:val="clear" w:color="auto" w:fill="auto"/>
            <w:noWrap/>
            <w:vAlign w:val="center"/>
            <w:hideMark/>
          </w:tcPr>
          <w:p w14:paraId="69C30156" w14:textId="0D85A8A7"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26,79</w:t>
            </w:r>
            <w:r w:rsidR="00A96C4C" w:rsidRPr="00A96C4C">
              <w:rPr>
                <w:rFonts w:ascii="Arial" w:hAnsi="Arial" w:cs="Arial"/>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91733DA" w14:textId="347E5590"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12,14</w:t>
            </w:r>
            <w:r w:rsidR="00A96C4C" w:rsidRPr="00A96C4C">
              <w:rPr>
                <w:rFonts w:ascii="Arial" w:hAnsi="Arial" w:cs="Arial"/>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A2D3CD1" w14:textId="781FB0C1" w:rsidR="00E90509" w:rsidRPr="00A96C4C" w:rsidRDefault="00E90509" w:rsidP="00E90509">
            <w:pPr>
              <w:spacing w:after="0" w:line="240" w:lineRule="auto"/>
              <w:jc w:val="right"/>
              <w:rPr>
                <w:rFonts w:ascii="Arial" w:eastAsia="Times New Roman" w:hAnsi="Arial" w:cs="Arial"/>
                <w:color w:val="000000"/>
                <w:sz w:val="18"/>
                <w:szCs w:val="18"/>
                <w:lang w:eastAsia="sl-SI"/>
              </w:rPr>
            </w:pPr>
            <w:r w:rsidRPr="00A96C4C">
              <w:rPr>
                <w:rFonts w:ascii="Arial" w:hAnsi="Arial" w:cs="Arial"/>
                <w:sz w:val="18"/>
                <w:szCs w:val="18"/>
              </w:rPr>
              <w:t>34,15</w:t>
            </w:r>
            <w:r w:rsidR="00A96C4C" w:rsidRPr="00A96C4C">
              <w:rPr>
                <w:rFonts w:ascii="Arial" w:hAnsi="Arial" w:cs="Arial"/>
                <w:sz w:val="18"/>
                <w:szCs w:val="18"/>
              </w:rPr>
              <w:t xml:space="preserve"> %</w:t>
            </w:r>
          </w:p>
        </w:tc>
      </w:tr>
      <w:tr w:rsidR="00E90509" w:rsidRPr="00A96C4C" w14:paraId="2E9D25F1" w14:textId="77777777" w:rsidTr="00680FDE">
        <w:trPr>
          <w:trHeight w:val="284"/>
          <w:jc w:val="center"/>
        </w:trPr>
        <w:tc>
          <w:tcPr>
            <w:tcW w:w="1838"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9E1AB81" w14:textId="4643EC14" w:rsidR="00E90509" w:rsidRPr="00A96C4C" w:rsidRDefault="00E90509" w:rsidP="00E90509">
            <w:pPr>
              <w:spacing w:after="0" w:line="240" w:lineRule="auto"/>
              <w:rPr>
                <w:rFonts w:ascii="Arial" w:eastAsia="Times New Roman" w:hAnsi="Arial" w:cs="Arial"/>
                <w:b/>
                <w:bCs/>
                <w:color w:val="000000"/>
                <w:sz w:val="18"/>
                <w:szCs w:val="18"/>
                <w:lang w:eastAsia="sl-SI"/>
              </w:rPr>
            </w:pPr>
            <w:r w:rsidRPr="00A96C4C">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E7E6E6" w:themeFill="background2"/>
            <w:noWrap/>
            <w:vAlign w:val="center"/>
            <w:hideMark/>
          </w:tcPr>
          <w:p w14:paraId="517D478F" w14:textId="3A0DF8B5" w:rsidR="00E90509" w:rsidRPr="00A96C4C" w:rsidRDefault="00E90509" w:rsidP="00E90509">
            <w:pPr>
              <w:spacing w:after="0" w:line="240" w:lineRule="auto"/>
              <w:jc w:val="right"/>
              <w:rPr>
                <w:rFonts w:ascii="Arial" w:eastAsia="Times New Roman" w:hAnsi="Arial" w:cs="Arial"/>
                <w:b/>
                <w:bCs/>
                <w:color w:val="000000"/>
                <w:sz w:val="18"/>
                <w:szCs w:val="18"/>
                <w:lang w:eastAsia="sl-SI"/>
              </w:rPr>
            </w:pPr>
            <w:r w:rsidRPr="00A96C4C">
              <w:rPr>
                <w:rFonts w:ascii="Arial" w:hAnsi="Arial" w:cs="Arial"/>
                <w:b/>
                <w:sz w:val="18"/>
                <w:szCs w:val="18"/>
              </w:rPr>
              <w:t>5.984</w:t>
            </w:r>
          </w:p>
        </w:tc>
        <w:tc>
          <w:tcPr>
            <w:tcW w:w="851" w:type="dxa"/>
            <w:tcBorders>
              <w:top w:val="nil"/>
              <w:left w:val="nil"/>
              <w:bottom w:val="single" w:sz="4" w:space="0" w:color="auto"/>
              <w:right w:val="single" w:sz="4" w:space="0" w:color="auto"/>
            </w:tcBorders>
            <w:shd w:val="clear" w:color="auto" w:fill="E7E6E6" w:themeFill="background2"/>
            <w:noWrap/>
            <w:vAlign w:val="center"/>
            <w:hideMark/>
          </w:tcPr>
          <w:p w14:paraId="4E2F0EAB" w14:textId="533ED672" w:rsidR="00E90509" w:rsidRPr="00A96C4C" w:rsidRDefault="00E90509" w:rsidP="00E90509">
            <w:pPr>
              <w:spacing w:after="0" w:line="240" w:lineRule="auto"/>
              <w:jc w:val="right"/>
              <w:rPr>
                <w:rFonts w:ascii="Arial" w:eastAsia="Times New Roman" w:hAnsi="Arial" w:cs="Arial"/>
                <w:b/>
                <w:bCs/>
                <w:color w:val="000000"/>
                <w:sz w:val="18"/>
                <w:szCs w:val="18"/>
                <w:lang w:eastAsia="sl-SI"/>
              </w:rPr>
            </w:pPr>
            <w:r w:rsidRPr="00A96C4C">
              <w:rPr>
                <w:rFonts w:ascii="Arial" w:hAnsi="Arial" w:cs="Arial"/>
                <w:b/>
                <w:sz w:val="18"/>
                <w:szCs w:val="18"/>
              </w:rPr>
              <w:t>16.022</w:t>
            </w:r>
          </w:p>
        </w:tc>
        <w:tc>
          <w:tcPr>
            <w:tcW w:w="1292" w:type="dxa"/>
            <w:tcBorders>
              <w:top w:val="nil"/>
              <w:left w:val="nil"/>
              <w:bottom w:val="single" w:sz="4" w:space="0" w:color="auto"/>
              <w:right w:val="single" w:sz="4" w:space="0" w:color="auto"/>
            </w:tcBorders>
            <w:shd w:val="clear" w:color="auto" w:fill="E7E6E6" w:themeFill="background2"/>
            <w:noWrap/>
            <w:vAlign w:val="center"/>
            <w:hideMark/>
          </w:tcPr>
          <w:p w14:paraId="7E52882A" w14:textId="4F43399D" w:rsidR="00E90509" w:rsidRPr="00A96C4C" w:rsidRDefault="00E90509" w:rsidP="00E90509">
            <w:pPr>
              <w:spacing w:after="0" w:line="240" w:lineRule="auto"/>
              <w:jc w:val="right"/>
              <w:rPr>
                <w:rFonts w:ascii="Arial" w:eastAsia="Times New Roman" w:hAnsi="Arial" w:cs="Arial"/>
                <w:b/>
                <w:bCs/>
                <w:color w:val="000000"/>
                <w:sz w:val="18"/>
                <w:szCs w:val="18"/>
                <w:lang w:eastAsia="sl-SI"/>
              </w:rPr>
            </w:pPr>
            <w:r w:rsidRPr="00A96C4C">
              <w:rPr>
                <w:rFonts w:ascii="Arial" w:hAnsi="Arial" w:cs="Arial"/>
                <w:b/>
                <w:sz w:val="18"/>
                <w:szCs w:val="18"/>
              </w:rPr>
              <w:t>2.607.173.230</w:t>
            </w:r>
          </w:p>
        </w:tc>
        <w:tc>
          <w:tcPr>
            <w:tcW w:w="1240" w:type="dxa"/>
            <w:tcBorders>
              <w:top w:val="nil"/>
              <w:left w:val="nil"/>
              <w:bottom w:val="single" w:sz="4" w:space="0" w:color="auto"/>
              <w:right w:val="single" w:sz="4" w:space="0" w:color="auto"/>
            </w:tcBorders>
            <w:shd w:val="clear" w:color="auto" w:fill="E7E6E6" w:themeFill="background2"/>
            <w:noWrap/>
            <w:vAlign w:val="center"/>
            <w:hideMark/>
          </w:tcPr>
          <w:p w14:paraId="3F3EAF7D" w14:textId="357B0036" w:rsidR="00E90509" w:rsidRPr="00A96C4C" w:rsidRDefault="00E90509" w:rsidP="00E90509">
            <w:pPr>
              <w:spacing w:after="0" w:line="240" w:lineRule="auto"/>
              <w:jc w:val="right"/>
              <w:rPr>
                <w:rFonts w:ascii="Arial" w:eastAsia="Times New Roman" w:hAnsi="Arial" w:cs="Arial"/>
                <w:b/>
                <w:bCs/>
                <w:color w:val="000000"/>
                <w:sz w:val="18"/>
                <w:szCs w:val="18"/>
                <w:lang w:eastAsia="sl-SI"/>
              </w:rPr>
            </w:pPr>
            <w:r w:rsidRPr="00A96C4C">
              <w:rPr>
                <w:rFonts w:ascii="Arial" w:hAnsi="Arial" w:cs="Arial"/>
                <w:b/>
                <w:sz w:val="18"/>
                <w:szCs w:val="18"/>
              </w:rPr>
              <w:t>100,00</w:t>
            </w:r>
            <w:r w:rsidR="00A96C4C" w:rsidRPr="00A96C4C">
              <w:rPr>
                <w:rFonts w:ascii="Arial" w:hAnsi="Arial" w:cs="Arial"/>
                <w:b/>
                <w:sz w:val="18"/>
                <w:szCs w:val="18"/>
              </w:rPr>
              <w:t xml:space="preserve"> %</w:t>
            </w:r>
          </w:p>
        </w:tc>
        <w:tc>
          <w:tcPr>
            <w:tcW w:w="1020" w:type="dxa"/>
            <w:tcBorders>
              <w:top w:val="nil"/>
              <w:left w:val="nil"/>
              <w:bottom w:val="single" w:sz="4" w:space="0" w:color="auto"/>
              <w:right w:val="single" w:sz="4" w:space="0" w:color="auto"/>
            </w:tcBorders>
            <w:shd w:val="clear" w:color="auto" w:fill="E7E6E6" w:themeFill="background2"/>
            <w:noWrap/>
            <w:vAlign w:val="center"/>
            <w:hideMark/>
          </w:tcPr>
          <w:p w14:paraId="62DF2E8B" w14:textId="59CDEA47" w:rsidR="00E90509" w:rsidRPr="00A96C4C" w:rsidRDefault="00E90509" w:rsidP="00E90509">
            <w:pPr>
              <w:spacing w:after="0" w:line="240" w:lineRule="auto"/>
              <w:jc w:val="right"/>
              <w:rPr>
                <w:rFonts w:ascii="Arial" w:eastAsia="Times New Roman" w:hAnsi="Arial" w:cs="Arial"/>
                <w:b/>
                <w:bCs/>
                <w:color w:val="000000"/>
                <w:sz w:val="18"/>
                <w:szCs w:val="18"/>
                <w:lang w:eastAsia="sl-SI"/>
              </w:rPr>
            </w:pPr>
            <w:r w:rsidRPr="00A96C4C">
              <w:rPr>
                <w:rFonts w:ascii="Arial" w:hAnsi="Arial" w:cs="Arial"/>
                <w:b/>
                <w:sz w:val="18"/>
                <w:szCs w:val="18"/>
              </w:rPr>
              <w:t>100,00</w:t>
            </w:r>
            <w:r w:rsidR="00A96C4C" w:rsidRPr="00A96C4C">
              <w:rPr>
                <w:rFonts w:ascii="Arial" w:hAnsi="Arial" w:cs="Arial"/>
                <w:b/>
                <w:sz w:val="18"/>
                <w:szCs w:val="18"/>
              </w:rPr>
              <w:t xml:space="preserve"> %</w:t>
            </w:r>
          </w:p>
        </w:tc>
        <w:tc>
          <w:tcPr>
            <w:tcW w:w="1020" w:type="dxa"/>
            <w:tcBorders>
              <w:top w:val="nil"/>
              <w:left w:val="nil"/>
              <w:bottom w:val="single" w:sz="4" w:space="0" w:color="auto"/>
              <w:right w:val="single" w:sz="4" w:space="0" w:color="auto"/>
            </w:tcBorders>
            <w:shd w:val="clear" w:color="auto" w:fill="E7E6E6" w:themeFill="background2"/>
            <w:noWrap/>
            <w:vAlign w:val="center"/>
            <w:hideMark/>
          </w:tcPr>
          <w:p w14:paraId="2709660F" w14:textId="10EBD606" w:rsidR="00E90509" w:rsidRPr="00A96C4C" w:rsidRDefault="00E90509" w:rsidP="00E90509">
            <w:pPr>
              <w:spacing w:after="0" w:line="240" w:lineRule="auto"/>
              <w:jc w:val="right"/>
              <w:rPr>
                <w:rFonts w:ascii="Arial" w:eastAsia="Times New Roman" w:hAnsi="Arial" w:cs="Arial"/>
                <w:b/>
                <w:bCs/>
                <w:color w:val="000000"/>
                <w:sz w:val="18"/>
                <w:szCs w:val="18"/>
                <w:lang w:eastAsia="sl-SI"/>
              </w:rPr>
            </w:pPr>
            <w:r w:rsidRPr="00A96C4C">
              <w:rPr>
                <w:rFonts w:ascii="Arial" w:hAnsi="Arial" w:cs="Arial"/>
                <w:b/>
                <w:sz w:val="18"/>
                <w:szCs w:val="18"/>
              </w:rPr>
              <w:t>100,00</w:t>
            </w:r>
            <w:r w:rsidR="00A96C4C" w:rsidRPr="00A96C4C">
              <w:rPr>
                <w:rFonts w:ascii="Arial" w:hAnsi="Arial" w:cs="Arial"/>
                <w:b/>
                <w:sz w:val="18"/>
                <w:szCs w:val="18"/>
              </w:rPr>
              <w:t xml:space="preserve"> %</w:t>
            </w:r>
          </w:p>
        </w:tc>
      </w:tr>
    </w:tbl>
    <w:p w14:paraId="6CFC9E79" w14:textId="77777777" w:rsidR="003156F5" w:rsidRPr="00A96C4C" w:rsidRDefault="003156F5" w:rsidP="003156F5">
      <w:pPr>
        <w:spacing w:after="0" w:line="240" w:lineRule="auto"/>
        <w:jc w:val="center"/>
        <w:rPr>
          <w:rFonts w:ascii="Arial" w:hAnsi="Arial" w:cs="Arial"/>
          <w:sz w:val="18"/>
        </w:rPr>
      </w:pPr>
    </w:p>
    <w:p w14:paraId="1F81F7E3" w14:textId="449989C2" w:rsidR="001960BC" w:rsidRPr="00A96C4C" w:rsidRDefault="001960BC" w:rsidP="003156F5">
      <w:pPr>
        <w:spacing w:after="0" w:line="240" w:lineRule="auto"/>
        <w:jc w:val="center"/>
        <w:rPr>
          <w:rFonts w:ascii="Arial" w:hAnsi="Arial" w:cs="Arial"/>
          <w:sz w:val="18"/>
        </w:rPr>
      </w:pPr>
      <w:r w:rsidRPr="00A96C4C">
        <w:rPr>
          <w:rFonts w:ascii="Arial" w:hAnsi="Arial" w:cs="Arial"/>
          <w:sz w:val="18"/>
        </w:rPr>
        <w:t>Vir: Statistični podatki o javni</w:t>
      </w:r>
      <w:r w:rsidR="00A60164" w:rsidRPr="00A96C4C">
        <w:rPr>
          <w:rFonts w:ascii="Arial" w:hAnsi="Arial" w:cs="Arial"/>
          <w:sz w:val="18"/>
        </w:rPr>
        <w:t>h naročilih, oddanih v letu 201</w:t>
      </w:r>
      <w:r w:rsidR="00E90509" w:rsidRPr="00A96C4C">
        <w:rPr>
          <w:rFonts w:ascii="Arial" w:hAnsi="Arial" w:cs="Arial"/>
          <w:sz w:val="18"/>
        </w:rPr>
        <w:t>8</w:t>
      </w:r>
    </w:p>
    <w:p w14:paraId="62A17E47" w14:textId="77777777" w:rsidR="000210E2" w:rsidRPr="00EF2D0B" w:rsidRDefault="000210E2" w:rsidP="000210E2">
      <w:pPr>
        <w:tabs>
          <w:tab w:val="left" w:pos="567"/>
          <w:tab w:val="left" w:pos="993"/>
        </w:tabs>
        <w:spacing w:after="0" w:line="360" w:lineRule="auto"/>
        <w:jc w:val="both"/>
        <w:rPr>
          <w:rFonts w:ascii="Arial" w:hAnsi="Arial" w:cs="Arial"/>
          <w:bCs/>
          <w:sz w:val="20"/>
          <w:szCs w:val="20"/>
          <w:highlight w:val="yellow"/>
        </w:rPr>
      </w:pPr>
    </w:p>
    <w:p w14:paraId="00E3577F" w14:textId="157044C5" w:rsidR="00524EA4" w:rsidRPr="00D76708" w:rsidRDefault="00524EA4" w:rsidP="00524EA4">
      <w:pPr>
        <w:tabs>
          <w:tab w:val="left" w:pos="567"/>
          <w:tab w:val="left" w:pos="993"/>
        </w:tabs>
        <w:spacing w:line="360" w:lineRule="auto"/>
        <w:jc w:val="both"/>
        <w:rPr>
          <w:rFonts w:ascii="Arial" w:hAnsi="Arial" w:cs="Arial"/>
          <w:bCs/>
          <w:sz w:val="20"/>
          <w:szCs w:val="20"/>
        </w:rPr>
      </w:pPr>
      <w:r w:rsidRPr="008115B2">
        <w:rPr>
          <w:rFonts w:ascii="Arial" w:hAnsi="Arial" w:cs="Arial"/>
          <w:bCs/>
          <w:sz w:val="20"/>
          <w:szCs w:val="20"/>
        </w:rPr>
        <w:t xml:space="preserve">Največ postopkov javnega naročanja, na podlagi katerih so bila </w:t>
      </w:r>
      <w:r w:rsidRPr="00D76708">
        <w:rPr>
          <w:rFonts w:ascii="Arial" w:hAnsi="Arial" w:cs="Arial"/>
          <w:bCs/>
          <w:sz w:val="20"/>
          <w:szCs w:val="20"/>
        </w:rPr>
        <w:t>oddana naročila v letu 201</w:t>
      </w:r>
      <w:r w:rsidR="008115B2" w:rsidRPr="00D76708">
        <w:rPr>
          <w:rFonts w:ascii="Arial" w:hAnsi="Arial" w:cs="Arial"/>
          <w:bCs/>
          <w:sz w:val="20"/>
          <w:szCs w:val="20"/>
        </w:rPr>
        <w:t>8</w:t>
      </w:r>
      <w:r w:rsidRPr="00D76708">
        <w:rPr>
          <w:rFonts w:ascii="Arial" w:hAnsi="Arial" w:cs="Arial"/>
          <w:bCs/>
          <w:sz w:val="20"/>
          <w:szCs w:val="20"/>
        </w:rPr>
        <w:t xml:space="preserve"> in za katera so naročniki objavili obvestilo o javnem naročilu, so izvedli javni zavodi. </w:t>
      </w:r>
      <w:r w:rsidR="00756490" w:rsidRPr="00D76708">
        <w:rPr>
          <w:rFonts w:ascii="Arial" w:hAnsi="Arial" w:cs="Arial"/>
          <w:bCs/>
          <w:sz w:val="20"/>
          <w:szCs w:val="20"/>
        </w:rPr>
        <w:t>Ti n</w:t>
      </w:r>
      <w:r w:rsidRPr="00D76708">
        <w:rPr>
          <w:rFonts w:ascii="Arial" w:hAnsi="Arial" w:cs="Arial"/>
          <w:bCs/>
          <w:sz w:val="20"/>
          <w:szCs w:val="20"/>
        </w:rPr>
        <w:t>aročniki</w:t>
      </w:r>
      <w:r w:rsidR="00FA0EF9">
        <w:rPr>
          <w:rFonts w:ascii="Arial" w:hAnsi="Arial" w:cs="Arial"/>
          <w:bCs/>
          <w:sz w:val="20"/>
          <w:szCs w:val="20"/>
        </w:rPr>
        <w:t xml:space="preserve"> </w:t>
      </w:r>
      <w:r w:rsidRPr="00D76708">
        <w:rPr>
          <w:rFonts w:ascii="Arial" w:hAnsi="Arial" w:cs="Arial"/>
          <w:bCs/>
          <w:sz w:val="20"/>
          <w:szCs w:val="20"/>
        </w:rPr>
        <w:t>so izvedli 32,</w:t>
      </w:r>
      <w:r w:rsidR="00D76708" w:rsidRPr="00D76708">
        <w:rPr>
          <w:rFonts w:ascii="Arial" w:hAnsi="Arial" w:cs="Arial"/>
          <w:bCs/>
          <w:sz w:val="20"/>
          <w:szCs w:val="20"/>
        </w:rPr>
        <w:t>95</w:t>
      </w:r>
      <w:r w:rsidRPr="00D76708">
        <w:rPr>
          <w:rFonts w:ascii="Arial" w:hAnsi="Arial" w:cs="Arial"/>
          <w:bCs/>
          <w:sz w:val="20"/>
          <w:szCs w:val="20"/>
        </w:rPr>
        <w:t xml:space="preserve"> % vseh teh postopkov, </w:t>
      </w:r>
      <w:r w:rsidR="00D76708" w:rsidRPr="00D76708">
        <w:rPr>
          <w:rFonts w:ascii="Arial" w:hAnsi="Arial" w:cs="Arial"/>
          <w:bCs/>
          <w:sz w:val="20"/>
          <w:szCs w:val="20"/>
        </w:rPr>
        <w:t>21,96</w:t>
      </w:r>
      <w:r w:rsidRPr="00D76708">
        <w:rPr>
          <w:rFonts w:ascii="Arial" w:hAnsi="Arial" w:cs="Arial"/>
          <w:bCs/>
          <w:sz w:val="20"/>
          <w:szCs w:val="20"/>
        </w:rPr>
        <w:t xml:space="preserve"> % znaša vrednost naročil, v številu naročil pa </w:t>
      </w:r>
      <w:r w:rsidR="00EC1BBF">
        <w:rPr>
          <w:rFonts w:ascii="Arial" w:hAnsi="Arial" w:cs="Arial"/>
          <w:bCs/>
          <w:sz w:val="20"/>
          <w:szCs w:val="20"/>
        </w:rPr>
        <w:t>pomeni</w:t>
      </w:r>
      <w:r w:rsidR="00EC1BBF" w:rsidRPr="00D76708">
        <w:rPr>
          <w:rFonts w:ascii="Arial" w:hAnsi="Arial" w:cs="Arial"/>
          <w:bCs/>
          <w:sz w:val="20"/>
          <w:szCs w:val="20"/>
        </w:rPr>
        <w:t xml:space="preserve"> </w:t>
      </w:r>
      <w:r w:rsidR="00D76708" w:rsidRPr="00D76708">
        <w:rPr>
          <w:rFonts w:ascii="Arial" w:hAnsi="Arial" w:cs="Arial"/>
          <w:bCs/>
          <w:sz w:val="20"/>
          <w:szCs w:val="20"/>
        </w:rPr>
        <w:t>59,44</w:t>
      </w:r>
      <w:r w:rsidR="00F96E4C" w:rsidRPr="00D76708">
        <w:rPr>
          <w:rFonts w:ascii="Arial" w:hAnsi="Arial" w:cs="Arial"/>
          <w:bCs/>
          <w:sz w:val="20"/>
          <w:szCs w:val="20"/>
        </w:rPr>
        <w:t xml:space="preserve"> </w:t>
      </w:r>
      <w:r w:rsidRPr="00D76708">
        <w:rPr>
          <w:rFonts w:ascii="Arial" w:hAnsi="Arial" w:cs="Arial"/>
          <w:bCs/>
          <w:sz w:val="20"/>
          <w:szCs w:val="20"/>
        </w:rPr>
        <w:t>%.</w:t>
      </w:r>
    </w:p>
    <w:p w14:paraId="27DCEB6E" w14:textId="0117EBBF" w:rsidR="00A8659F" w:rsidRPr="008115B2" w:rsidRDefault="001960BC" w:rsidP="008A61FD">
      <w:pPr>
        <w:spacing w:before="120" w:after="120" w:line="240" w:lineRule="auto"/>
        <w:jc w:val="both"/>
        <w:rPr>
          <w:rFonts w:ascii="Arial" w:hAnsi="Arial" w:cs="Arial"/>
          <w:sz w:val="20"/>
        </w:rPr>
      </w:pPr>
      <w:r w:rsidRPr="008115B2">
        <w:rPr>
          <w:rFonts w:ascii="Arial" w:hAnsi="Arial" w:cs="Arial"/>
          <w:sz w:val="20"/>
        </w:rPr>
        <w:t xml:space="preserve">Preglednica </w:t>
      </w:r>
      <w:r w:rsidR="00E430F6" w:rsidRPr="008115B2">
        <w:rPr>
          <w:rFonts w:ascii="Arial" w:hAnsi="Arial" w:cs="Arial"/>
          <w:sz w:val="20"/>
        </w:rPr>
        <w:t>1</w:t>
      </w:r>
      <w:r w:rsidR="00EB4423">
        <w:rPr>
          <w:rFonts w:ascii="Arial" w:hAnsi="Arial" w:cs="Arial"/>
          <w:sz w:val="20"/>
        </w:rPr>
        <w:t>3</w:t>
      </w:r>
      <w:r w:rsidRPr="008115B2">
        <w:rPr>
          <w:rFonts w:ascii="Arial" w:hAnsi="Arial" w:cs="Arial"/>
          <w:sz w:val="20"/>
        </w:rPr>
        <w:t>: Objavljeni postopki, naročila in njihova vrednost ter deleži glede na kategorijo naročnika</w:t>
      </w:r>
    </w:p>
    <w:tbl>
      <w:tblPr>
        <w:tblW w:w="8633" w:type="dxa"/>
        <w:jc w:val="center"/>
        <w:tblCellMar>
          <w:left w:w="70" w:type="dxa"/>
          <w:right w:w="70" w:type="dxa"/>
        </w:tblCellMar>
        <w:tblLook w:val="04A0" w:firstRow="1" w:lastRow="0" w:firstColumn="1" w:lastColumn="0" w:noHBand="0" w:noVBand="1"/>
      </w:tblPr>
      <w:tblGrid>
        <w:gridCol w:w="2568"/>
        <w:gridCol w:w="992"/>
        <w:gridCol w:w="709"/>
        <w:gridCol w:w="1418"/>
        <w:gridCol w:w="992"/>
        <w:gridCol w:w="992"/>
        <w:gridCol w:w="962"/>
      </w:tblGrid>
      <w:tr w:rsidR="006C392A" w:rsidRPr="008115B2" w14:paraId="1E70F84E" w14:textId="77777777" w:rsidTr="0029442D">
        <w:trPr>
          <w:trHeight w:val="284"/>
          <w:jc w:val="center"/>
        </w:trPr>
        <w:tc>
          <w:tcPr>
            <w:tcW w:w="256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43CB8BA" w14:textId="7CD3E92A"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Kategorija naročnika</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8879D8D" w14:textId="77777777"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Št. postopkov</w:t>
            </w:r>
          </w:p>
        </w:tc>
        <w:tc>
          <w:tcPr>
            <w:tcW w:w="70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B3E5DD" w14:textId="77777777"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Št. naročil</w:t>
            </w:r>
          </w:p>
        </w:tc>
        <w:tc>
          <w:tcPr>
            <w:tcW w:w="141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1863F9A" w14:textId="77777777"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642DB80" w14:textId="77777777"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Delež v št. postopkov</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DEB8E5A" w14:textId="77777777"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Delež v št. naročil</w:t>
            </w:r>
          </w:p>
        </w:tc>
        <w:tc>
          <w:tcPr>
            <w:tcW w:w="96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0C0C5CC" w14:textId="77777777" w:rsidR="006C392A" w:rsidRPr="008115B2" w:rsidRDefault="006C392A" w:rsidP="006C392A">
            <w:pPr>
              <w:spacing w:after="0" w:line="240" w:lineRule="auto"/>
              <w:jc w:val="center"/>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Delež v vrednosti</w:t>
            </w:r>
          </w:p>
        </w:tc>
      </w:tr>
      <w:tr w:rsidR="00BD3009" w:rsidRPr="008115B2" w14:paraId="27E87CB1"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6EF28FF7" w14:textId="7FA610C9"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Organi RS</w:t>
            </w:r>
          </w:p>
        </w:tc>
        <w:tc>
          <w:tcPr>
            <w:tcW w:w="992" w:type="dxa"/>
            <w:tcBorders>
              <w:top w:val="nil"/>
              <w:left w:val="nil"/>
              <w:bottom w:val="single" w:sz="4" w:space="0" w:color="auto"/>
              <w:right w:val="single" w:sz="4" w:space="0" w:color="auto"/>
            </w:tcBorders>
            <w:shd w:val="clear" w:color="auto" w:fill="auto"/>
            <w:vAlign w:val="center"/>
            <w:hideMark/>
          </w:tcPr>
          <w:p w14:paraId="6A89E972" w14:textId="799210FB"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963</w:t>
            </w:r>
          </w:p>
        </w:tc>
        <w:tc>
          <w:tcPr>
            <w:tcW w:w="709" w:type="dxa"/>
            <w:tcBorders>
              <w:top w:val="nil"/>
              <w:left w:val="nil"/>
              <w:bottom w:val="single" w:sz="4" w:space="0" w:color="auto"/>
              <w:right w:val="single" w:sz="4" w:space="0" w:color="auto"/>
            </w:tcBorders>
            <w:shd w:val="clear" w:color="auto" w:fill="auto"/>
            <w:vAlign w:val="center"/>
            <w:hideMark/>
          </w:tcPr>
          <w:p w14:paraId="47CD97D9" w14:textId="35D5E88C"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1.727</w:t>
            </w:r>
          </w:p>
        </w:tc>
        <w:tc>
          <w:tcPr>
            <w:tcW w:w="1418" w:type="dxa"/>
            <w:tcBorders>
              <w:top w:val="nil"/>
              <w:left w:val="nil"/>
              <w:bottom w:val="single" w:sz="4" w:space="0" w:color="auto"/>
              <w:right w:val="single" w:sz="4" w:space="0" w:color="auto"/>
            </w:tcBorders>
            <w:shd w:val="clear" w:color="auto" w:fill="auto"/>
            <w:vAlign w:val="center"/>
            <w:hideMark/>
          </w:tcPr>
          <w:p w14:paraId="35474D14" w14:textId="40E081D8"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583.408.607</w:t>
            </w:r>
          </w:p>
        </w:tc>
        <w:tc>
          <w:tcPr>
            <w:tcW w:w="992" w:type="dxa"/>
            <w:tcBorders>
              <w:top w:val="nil"/>
              <w:left w:val="nil"/>
              <w:bottom w:val="single" w:sz="4" w:space="0" w:color="auto"/>
              <w:right w:val="single" w:sz="4" w:space="0" w:color="auto"/>
            </w:tcBorders>
            <w:shd w:val="clear" w:color="auto" w:fill="auto"/>
            <w:noWrap/>
            <w:vAlign w:val="center"/>
            <w:hideMark/>
          </w:tcPr>
          <w:p w14:paraId="0B64CBAA" w14:textId="344BED1E"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16,09</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4E5F29A" w14:textId="70F7558A"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10,78</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7498E079" w14:textId="2D7E6398"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22,38</w:t>
            </w:r>
            <w:r w:rsidR="008115B2">
              <w:rPr>
                <w:rFonts w:ascii="Arial" w:hAnsi="Arial" w:cs="Arial"/>
                <w:sz w:val="18"/>
                <w:szCs w:val="18"/>
              </w:rPr>
              <w:t xml:space="preserve"> %</w:t>
            </w:r>
          </w:p>
        </w:tc>
      </w:tr>
      <w:tr w:rsidR="00BD3009" w:rsidRPr="008115B2" w14:paraId="0FFA0AD1"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D045A29" w14:textId="054BA106"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Samoupravne lokalne skupnosti</w:t>
            </w:r>
          </w:p>
        </w:tc>
        <w:tc>
          <w:tcPr>
            <w:tcW w:w="992" w:type="dxa"/>
            <w:tcBorders>
              <w:top w:val="nil"/>
              <w:left w:val="nil"/>
              <w:bottom w:val="single" w:sz="4" w:space="0" w:color="auto"/>
              <w:right w:val="single" w:sz="4" w:space="0" w:color="auto"/>
            </w:tcBorders>
            <w:shd w:val="clear" w:color="auto" w:fill="auto"/>
            <w:vAlign w:val="center"/>
            <w:hideMark/>
          </w:tcPr>
          <w:p w14:paraId="4B0391CA" w14:textId="1CD58551"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1.354</w:t>
            </w:r>
          </w:p>
        </w:tc>
        <w:tc>
          <w:tcPr>
            <w:tcW w:w="709" w:type="dxa"/>
            <w:tcBorders>
              <w:top w:val="nil"/>
              <w:left w:val="nil"/>
              <w:bottom w:val="single" w:sz="4" w:space="0" w:color="auto"/>
              <w:right w:val="single" w:sz="4" w:space="0" w:color="auto"/>
            </w:tcBorders>
            <w:shd w:val="clear" w:color="auto" w:fill="auto"/>
            <w:vAlign w:val="center"/>
            <w:hideMark/>
          </w:tcPr>
          <w:p w14:paraId="62FCC361" w14:textId="254B3508"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1.814</w:t>
            </w:r>
          </w:p>
        </w:tc>
        <w:tc>
          <w:tcPr>
            <w:tcW w:w="1418" w:type="dxa"/>
            <w:tcBorders>
              <w:top w:val="nil"/>
              <w:left w:val="nil"/>
              <w:bottom w:val="single" w:sz="4" w:space="0" w:color="auto"/>
              <w:right w:val="single" w:sz="4" w:space="0" w:color="auto"/>
            </w:tcBorders>
            <w:shd w:val="clear" w:color="auto" w:fill="auto"/>
            <w:vAlign w:val="center"/>
            <w:hideMark/>
          </w:tcPr>
          <w:p w14:paraId="15E047A4" w14:textId="5A98F3D4"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426.526.533</w:t>
            </w:r>
          </w:p>
        </w:tc>
        <w:tc>
          <w:tcPr>
            <w:tcW w:w="992" w:type="dxa"/>
            <w:tcBorders>
              <w:top w:val="nil"/>
              <w:left w:val="nil"/>
              <w:bottom w:val="single" w:sz="4" w:space="0" w:color="auto"/>
              <w:right w:val="single" w:sz="4" w:space="0" w:color="auto"/>
            </w:tcBorders>
            <w:shd w:val="clear" w:color="auto" w:fill="auto"/>
            <w:noWrap/>
            <w:vAlign w:val="center"/>
            <w:hideMark/>
          </w:tcPr>
          <w:p w14:paraId="58292B87" w14:textId="22734911"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22,63</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E77C8CA" w14:textId="567289CF"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11,32</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145EB2B2" w14:textId="24EE3101"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16,36</w:t>
            </w:r>
            <w:r w:rsidR="008115B2">
              <w:rPr>
                <w:rFonts w:ascii="Arial" w:hAnsi="Arial" w:cs="Arial"/>
                <w:sz w:val="18"/>
                <w:szCs w:val="18"/>
              </w:rPr>
              <w:t xml:space="preserve"> %</w:t>
            </w:r>
          </w:p>
        </w:tc>
      </w:tr>
      <w:tr w:rsidR="00BD3009" w:rsidRPr="008115B2" w14:paraId="30A1993F"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067DB797" w14:textId="5A7249CC"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Javni skladi</w:t>
            </w:r>
          </w:p>
        </w:tc>
        <w:tc>
          <w:tcPr>
            <w:tcW w:w="992" w:type="dxa"/>
            <w:tcBorders>
              <w:top w:val="nil"/>
              <w:left w:val="nil"/>
              <w:bottom w:val="single" w:sz="4" w:space="0" w:color="auto"/>
              <w:right w:val="single" w:sz="4" w:space="0" w:color="auto"/>
            </w:tcBorders>
            <w:shd w:val="clear" w:color="auto" w:fill="auto"/>
            <w:vAlign w:val="center"/>
            <w:hideMark/>
          </w:tcPr>
          <w:p w14:paraId="1FF8D028" w14:textId="46D5B561"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37</w:t>
            </w:r>
          </w:p>
        </w:tc>
        <w:tc>
          <w:tcPr>
            <w:tcW w:w="709" w:type="dxa"/>
            <w:tcBorders>
              <w:top w:val="nil"/>
              <w:left w:val="nil"/>
              <w:bottom w:val="single" w:sz="4" w:space="0" w:color="auto"/>
              <w:right w:val="single" w:sz="4" w:space="0" w:color="auto"/>
            </w:tcBorders>
            <w:shd w:val="clear" w:color="auto" w:fill="auto"/>
            <w:vAlign w:val="center"/>
            <w:hideMark/>
          </w:tcPr>
          <w:p w14:paraId="27566021" w14:textId="75A50A7A"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50</w:t>
            </w:r>
          </w:p>
        </w:tc>
        <w:tc>
          <w:tcPr>
            <w:tcW w:w="1418" w:type="dxa"/>
            <w:tcBorders>
              <w:top w:val="nil"/>
              <w:left w:val="nil"/>
              <w:bottom w:val="single" w:sz="4" w:space="0" w:color="auto"/>
              <w:right w:val="single" w:sz="4" w:space="0" w:color="auto"/>
            </w:tcBorders>
            <w:shd w:val="clear" w:color="auto" w:fill="auto"/>
            <w:vAlign w:val="center"/>
            <w:hideMark/>
          </w:tcPr>
          <w:p w14:paraId="37B2A469" w14:textId="4894D7DF"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11.995.905</w:t>
            </w:r>
          </w:p>
        </w:tc>
        <w:tc>
          <w:tcPr>
            <w:tcW w:w="992" w:type="dxa"/>
            <w:tcBorders>
              <w:top w:val="nil"/>
              <w:left w:val="nil"/>
              <w:bottom w:val="single" w:sz="4" w:space="0" w:color="auto"/>
              <w:right w:val="single" w:sz="4" w:space="0" w:color="auto"/>
            </w:tcBorders>
            <w:shd w:val="clear" w:color="auto" w:fill="auto"/>
            <w:noWrap/>
            <w:vAlign w:val="center"/>
            <w:hideMark/>
          </w:tcPr>
          <w:p w14:paraId="5B5A227D" w14:textId="3FF486A2"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0,62</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BEA0727" w14:textId="32382F02"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0,31</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4C2132AB" w14:textId="5B7D0B6F"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0,46</w:t>
            </w:r>
            <w:r w:rsidR="008115B2">
              <w:rPr>
                <w:rFonts w:ascii="Arial" w:hAnsi="Arial" w:cs="Arial"/>
                <w:sz w:val="18"/>
                <w:szCs w:val="18"/>
              </w:rPr>
              <w:t xml:space="preserve"> %</w:t>
            </w:r>
          </w:p>
        </w:tc>
      </w:tr>
      <w:tr w:rsidR="00BD3009" w:rsidRPr="008115B2" w14:paraId="14AC150C"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280D888" w14:textId="4EE7A3FA"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Javne agencije</w:t>
            </w:r>
          </w:p>
        </w:tc>
        <w:tc>
          <w:tcPr>
            <w:tcW w:w="992" w:type="dxa"/>
            <w:tcBorders>
              <w:top w:val="nil"/>
              <w:left w:val="nil"/>
              <w:bottom w:val="single" w:sz="4" w:space="0" w:color="auto"/>
              <w:right w:val="single" w:sz="4" w:space="0" w:color="auto"/>
            </w:tcBorders>
            <w:shd w:val="clear" w:color="auto" w:fill="auto"/>
            <w:vAlign w:val="center"/>
            <w:hideMark/>
          </w:tcPr>
          <w:p w14:paraId="63FFC0A8" w14:textId="3A74DAF6"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14:paraId="658ED268" w14:textId="2A958F3E"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94</w:t>
            </w:r>
          </w:p>
        </w:tc>
        <w:tc>
          <w:tcPr>
            <w:tcW w:w="1418" w:type="dxa"/>
            <w:tcBorders>
              <w:top w:val="nil"/>
              <w:left w:val="nil"/>
              <w:bottom w:val="single" w:sz="4" w:space="0" w:color="auto"/>
              <w:right w:val="single" w:sz="4" w:space="0" w:color="auto"/>
            </w:tcBorders>
            <w:shd w:val="clear" w:color="auto" w:fill="auto"/>
            <w:vAlign w:val="center"/>
            <w:hideMark/>
          </w:tcPr>
          <w:p w14:paraId="332AD6C5" w14:textId="4472F3FF"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5.927.166</w:t>
            </w:r>
          </w:p>
        </w:tc>
        <w:tc>
          <w:tcPr>
            <w:tcW w:w="992" w:type="dxa"/>
            <w:tcBorders>
              <w:top w:val="nil"/>
              <w:left w:val="nil"/>
              <w:bottom w:val="single" w:sz="4" w:space="0" w:color="auto"/>
              <w:right w:val="single" w:sz="4" w:space="0" w:color="auto"/>
            </w:tcBorders>
            <w:shd w:val="clear" w:color="auto" w:fill="auto"/>
            <w:noWrap/>
            <w:vAlign w:val="center"/>
            <w:hideMark/>
          </w:tcPr>
          <w:p w14:paraId="0D7E0821" w14:textId="329A339E"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0,84</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0A952F" w14:textId="01ED598B"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0,59</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2C09F295" w14:textId="17A1F54E"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0,23</w:t>
            </w:r>
            <w:r w:rsidR="008115B2">
              <w:rPr>
                <w:rFonts w:ascii="Arial" w:hAnsi="Arial" w:cs="Arial"/>
                <w:sz w:val="18"/>
                <w:szCs w:val="18"/>
              </w:rPr>
              <w:t xml:space="preserve"> %</w:t>
            </w:r>
          </w:p>
        </w:tc>
      </w:tr>
      <w:tr w:rsidR="00BD3009" w:rsidRPr="008115B2" w14:paraId="37D67F2B"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28B03BD0" w14:textId="2DAEFA26"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Javni zavodi</w:t>
            </w:r>
          </w:p>
        </w:tc>
        <w:tc>
          <w:tcPr>
            <w:tcW w:w="992" w:type="dxa"/>
            <w:tcBorders>
              <w:top w:val="nil"/>
              <w:left w:val="nil"/>
              <w:bottom w:val="single" w:sz="4" w:space="0" w:color="auto"/>
              <w:right w:val="single" w:sz="4" w:space="0" w:color="auto"/>
            </w:tcBorders>
            <w:shd w:val="clear" w:color="auto" w:fill="auto"/>
            <w:vAlign w:val="center"/>
            <w:hideMark/>
          </w:tcPr>
          <w:p w14:paraId="0BF354DC" w14:textId="76B94DCC"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1.972</w:t>
            </w:r>
          </w:p>
        </w:tc>
        <w:tc>
          <w:tcPr>
            <w:tcW w:w="709" w:type="dxa"/>
            <w:tcBorders>
              <w:top w:val="nil"/>
              <w:left w:val="nil"/>
              <w:bottom w:val="single" w:sz="4" w:space="0" w:color="auto"/>
              <w:right w:val="single" w:sz="4" w:space="0" w:color="auto"/>
            </w:tcBorders>
            <w:shd w:val="clear" w:color="auto" w:fill="auto"/>
            <w:vAlign w:val="center"/>
            <w:hideMark/>
          </w:tcPr>
          <w:p w14:paraId="110B3B8A" w14:textId="6A230B7B"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9.524</w:t>
            </w:r>
          </w:p>
        </w:tc>
        <w:tc>
          <w:tcPr>
            <w:tcW w:w="1418" w:type="dxa"/>
            <w:tcBorders>
              <w:top w:val="nil"/>
              <w:left w:val="nil"/>
              <w:bottom w:val="single" w:sz="4" w:space="0" w:color="auto"/>
              <w:right w:val="single" w:sz="4" w:space="0" w:color="auto"/>
            </w:tcBorders>
            <w:shd w:val="clear" w:color="auto" w:fill="auto"/>
            <w:vAlign w:val="center"/>
            <w:hideMark/>
          </w:tcPr>
          <w:p w14:paraId="76F7D8C6" w14:textId="052C81B5"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572.542.465</w:t>
            </w:r>
          </w:p>
        </w:tc>
        <w:tc>
          <w:tcPr>
            <w:tcW w:w="992" w:type="dxa"/>
            <w:tcBorders>
              <w:top w:val="nil"/>
              <w:left w:val="nil"/>
              <w:bottom w:val="single" w:sz="4" w:space="0" w:color="auto"/>
              <w:right w:val="single" w:sz="4" w:space="0" w:color="auto"/>
            </w:tcBorders>
            <w:shd w:val="clear" w:color="auto" w:fill="auto"/>
            <w:noWrap/>
            <w:vAlign w:val="center"/>
            <w:hideMark/>
          </w:tcPr>
          <w:p w14:paraId="1D441440" w14:textId="7C8D57B7"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32,95</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C99984" w14:textId="03919317"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59,44</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6C13349E" w14:textId="49083CCD"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21,96</w:t>
            </w:r>
            <w:r w:rsidR="008115B2">
              <w:rPr>
                <w:rFonts w:ascii="Arial" w:hAnsi="Arial" w:cs="Arial"/>
                <w:sz w:val="18"/>
                <w:szCs w:val="18"/>
              </w:rPr>
              <w:t xml:space="preserve"> %</w:t>
            </w:r>
          </w:p>
        </w:tc>
      </w:tr>
      <w:tr w:rsidR="00BD3009" w:rsidRPr="008115B2" w14:paraId="3D2B20EF"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3AD97282" w14:textId="3CA93719"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Javni gospodarski zavodi</w:t>
            </w:r>
          </w:p>
        </w:tc>
        <w:tc>
          <w:tcPr>
            <w:tcW w:w="992" w:type="dxa"/>
            <w:tcBorders>
              <w:top w:val="nil"/>
              <w:left w:val="nil"/>
              <w:bottom w:val="single" w:sz="4" w:space="0" w:color="auto"/>
              <w:right w:val="single" w:sz="4" w:space="0" w:color="auto"/>
            </w:tcBorders>
            <w:shd w:val="clear" w:color="auto" w:fill="auto"/>
            <w:vAlign w:val="center"/>
            <w:hideMark/>
          </w:tcPr>
          <w:p w14:paraId="430AAF8E" w14:textId="1E6A76A2"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41</w:t>
            </w:r>
          </w:p>
        </w:tc>
        <w:tc>
          <w:tcPr>
            <w:tcW w:w="709" w:type="dxa"/>
            <w:tcBorders>
              <w:top w:val="nil"/>
              <w:left w:val="nil"/>
              <w:bottom w:val="single" w:sz="4" w:space="0" w:color="auto"/>
              <w:right w:val="single" w:sz="4" w:space="0" w:color="auto"/>
            </w:tcBorders>
            <w:shd w:val="clear" w:color="auto" w:fill="auto"/>
            <w:vAlign w:val="center"/>
            <w:hideMark/>
          </w:tcPr>
          <w:p w14:paraId="0BFDBB9F" w14:textId="7B2D6B1B"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83</w:t>
            </w:r>
          </w:p>
        </w:tc>
        <w:tc>
          <w:tcPr>
            <w:tcW w:w="1418" w:type="dxa"/>
            <w:tcBorders>
              <w:top w:val="nil"/>
              <w:left w:val="nil"/>
              <w:bottom w:val="single" w:sz="4" w:space="0" w:color="auto"/>
              <w:right w:val="single" w:sz="4" w:space="0" w:color="auto"/>
            </w:tcBorders>
            <w:shd w:val="clear" w:color="auto" w:fill="auto"/>
            <w:vAlign w:val="center"/>
            <w:hideMark/>
          </w:tcPr>
          <w:p w14:paraId="20137EDB" w14:textId="08B2063E"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7.281.496</w:t>
            </w:r>
          </w:p>
        </w:tc>
        <w:tc>
          <w:tcPr>
            <w:tcW w:w="992" w:type="dxa"/>
            <w:tcBorders>
              <w:top w:val="nil"/>
              <w:left w:val="nil"/>
              <w:bottom w:val="single" w:sz="4" w:space="0" w:color="auto"/>
              <w:right w:val="single" w:sz="4" w:space="0" w:color="auto"/>
            </w:tcBorders>
            <w:shd w:val="clear" w:color="auto" w:fill="auto"/>
            <w:noWrap/>
            <w:vAlign w:val="center"/>
            <w:hideMark/>
          </w:tcPr>
          <w:p w14:paraId="26F664F6" w14:textId="21F464E3"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0,69</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8BFD32" w14:textId="1D602A58"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0,52</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767D3A1B" w14:textId="35212564"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0,28</w:t>
            </w:r>
            <w:r w:rsidR="008115B2">
              <w:rPr>
                <w:rFonts w:ascii="Arial" w:hAnsi="Arial" w:cs="Arial"/>
                <w:sz w:val="18"/>
                <w:szCs w:val="18"/>
              </w:rPr>
              <w:t xml:space="preserve"> %</w:t>
            </w:r>
          </w:p>
        </w:tc>
      </w:tr>
      <w:tr w:rsidR="00BD3009" w:rsidRPr="008115B2" w14:paraId="580019BC"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3A9B45DE" w14:textId="28B1ED70"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Drugi naročniki (osebe javnega prava, javna podjetja, subjekt s posebnimi infrastrukturnimi pravicami)</w:t>
            </w:r>
          </w:p>
        </w:tc>
        <w:tc>
          <w:tcPr>
            <w:tcW w:w="992" w:type="dxa"/>
            <w:tcBorders>
              <w:top w:val="nil"/>
              <w:left w:val="nil"/>
              <w:bottom w:val="single" w:sz="4" w:space="0" w:color="auto"/>
              <w:right w:val="single" w:sz="4" w:space="0" w:color="auto"/>
            </w:tcBorders>
            <w:shd w:val="clear" w:color="auto" w:fill="auto"/>
            <w:vAlign w:val="center"/>
            <w:hideMark/>
          </w:tcPr>
          <w:p w14:paraId="71D435B4" w14:textId="4361FB38"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1.513</w:t>
            </w:r>
          </w:p>
        </w:tc>
        <w:tc>
          <w:tcPr>
            <w:tcW w:w="709" w:type="dxa"/>
            <w:tcBorders>
              <w:top w:val="nil"/>
              <w:left w:val="nil"/>
              <w:bottom w:val="single" w:sz="4" w:space="0" w:color="auto"/>
              <w:right w:val="single" w:sz="4" w:space="0" w:color="auto"/>
            </w:tcBorders>
            <w:shd w:val="clear" w:color="auto" w:fill="auto"/>
            <w:vAlign w:val="center"/>
            <w:hideMark/>
          </w:tcPr>
          <w:p w14:paraId="751D3558" w14:textId="1A11AEB5"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2.654</w:t>
            </w:r>
          </w:p>
        </w:tc>
        <w:tc>
          <w:tcPr>
            <w:tcW w:w="1418" w:type="dxa"/>
            <w:tcBorders>
              <w:top w:val="nil"/>
              <w:left w:val="nil"/>
              <w:bottom w:val="single" w:sz="4" w:space="0" w:color="auto"/>
              <w:right w:val="single" w:sz="4" w:space="0" w:color="auto"/>
            </w:tcBorders>
            <w:shd w:val="clear" w:color="auto" w:fill="auto"/>
            <w:vAlign w:val="center"/>
            <w:hideMark/>
          </w:tcPr>
          <w:p w14:paraId="7C947404" w14:textId="3D5B9E62"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984.764.647</w:t>
            </w:r>
          </w:p>
        </w:tc>
        <w:tc>
          <w:tcPr>
            <w:tcW w:w="992" w:type="dxa"/>
            <w:tcBorders>
              <w:top w:val="nil"/>
              <w:left w:val="nil"/>
              <w:bottom w:val="single" w:sz="4" w:space="0" w:color="auto"/>
              <w:right w:val="single" w:sz="4" w:space="0" w:color="auto"/>
            </w:tcBorders>
            <w:shd w:val="clear" w:color="auto" w:fill="auto"/>
            <w:noWrap/>
            <w:vAlign w:val="center"/>
            <w:hideMark/>
          </w:tcPr>
          <w:p w14:paraId="6633B1D1" w14:textId="5F98D64F"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25,28</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8397C36" w14:textId="2FF1CADF"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16,56</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005F02EE" w14:textId="322B379D"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37,77</w:t>
            </w:r>
            <w:r w:rsidR="008115B2">
              <w:rPr>
                <w:rFonts w:ascii="Arial" w:hAnsi="Arial" w:cs="Arial"/>
                <w:sz w:val="18"/>
                <w:szCs w:val="18"/>
              </w:rPr>
              <w:t xml:space="preserve"> %</w:t>
            </w:r>
          </w:p>
        </w:tc>
      </w:tr>
      <w:tr w:rsidR="00BD3009" w:rsidRPr="008115B2" w14:paraId="584E4B5E" w14:textId="77777777" w:rsidTr="008115B2">
        <w:trPr>
          <w:trHeight w:val="284"/>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6E820C3" w14:textId="2F068D1C" w:rsidR="00BD3009" w:rsidRPr="008115B2" w:rsidRDefault="00BD3009" w:rsidP="00BD3009">
            <w:pPr>
              <w:spacing w:after="0" w:line="240" w:lineRule="auto"/>
              <w:rPr>
                <w:rFonts w:ascii="Arial" w:eastAsia="Times New Roman" w:hAnsi="Arial" w:cs="Arial"/>
                <w:color w:val="000000"/>
                <w:sz w:val="18"/>
                <w:szCs w:val="18"/>
                <w:lang w:eastAsia="sl-SI"/>
              </w:rPr>
            </w:pPr>
            <w:r w:rsidRPr="008115B2">
              <w:rPr>
                <w:rFonts w:ascii="Arial" w:eastAsia="Times New Roman" w:hAnsi="Arial" w:cs="Arial"/>
                <w:color w:val="000000"/>
                <w:sz w:val="18"/>
                <w:szCs w:val="18"/>
                <w:lang w:eastAsia="sl-SI"/>
              </w:rPr>
              <w:t>Razni subjekti</w:t>
            </w:r>
          </w:p>
        </w:tc>
        <w:tc>
          <w:tcPr>
            <w:tcW w:w="992" w:type="dxa"/>
            <w:tcBorders>
              <w:top w:val="nil"/>
              <w:left w:val="nil"/>
              <w:bottom w:val="single" w:sz="4" w:space="0" w:color="auto"/>
              <w:right w:val="single" w:sz="4" w:space="0" w:color="auto"/>
            </w:tcBorders>
            <w:shd w:val="clear" w:color="auto" w:fill="auto"/>
            <w:vAlign w:val="center"/>
            <w:hideMark/>
          </w:tcPr>
          <w:p w14:paraId="623D8412" w14:textId="68AD46DB"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54</w:t>
            </w:r>
          </w:p>
        </w:tc>
        <w:tc>
          <w:tcPr>
            <w:tcW w:w="709" w:type="dxa"/>
            <w:tcBorders>
              <w:top w:val="nil"/>
              <w:left w:val="nil"/>
              <w:bottom w:val="single" w:sz="4" w:space="0" w:color="auto"/>
              <w:right w:val="single" w:sz="4" w:space="0" w:color="auto"/>
            </w:tcBorders>
            <w:shd w:val="clear" w:color="auto" w:fill="auto"/>
            <w:vAlign w:val="center"/>
            <w:hideMark/>
          </w:tcPr>
          <w:p w14:paraId="6D009F52" w14:textId="1C41A807"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76</w:t>
            </w:r>
          </w:p>
        </w:tc>
        <w:tc>
          <w:tcPr>
            <w:tcW w:w="1418" w:type="dxa"/>
            <w:tcBorders>
              <w:top w:val="nil"/>
              <w:left w:val="nil"/>
              <w:bottom w:val="single" w:sz="4" w:space="0" w:color="auto"/>
              <w:right w:val="single" w:sz="4" w:space="0" w:color="auto"/>
            </w:tcBorders>
            <w:shd w:val="clear" w:color="auto" w:fill="auto"/>
            <w:vAlign w:val="center"/>
            <w:hideMark/>
          </w:tcPr>
          <w:p w14:paraId="4BED0580" w14:textId="7A2F98D7"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14.726.411</w:t>
            </w:r>
          </w:p>
        </w:tc>
        <w:tc>
          <w:tcPr>
            <w:tcW w:w="992" w:type="dxa"/>
            <w:tcBorders>
              <w:top w:val="nil"/>
              <w:left w:val="nil"/>
              <w:bottom w:val="single" w:sz="4" w:space="0" w:color="auto"/>
              <w:right w:val="single" w:sz="4" w:space="0" w:color="auto"/>
            </w:tcBorders>
            <w:shd w:val="clear" w:color="auto" w:fill="auto"/>
            <w:noWrap/>
            <w:vAlign w:val="center"/>
            <w:hideMark/>
          </w:tcPr>
          <w:p w14:paraId="5EF8CAF4" w14:textId="331467B4"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0,90</w:t>
            </w:r>
            <w:r w:rsidR="008115B2">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98EC91D" w14:textId="62741732"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0,47</w:t>
            </w:r>
            <w:r w:rsidR="008115B2">
              <w:rPr>
                <w:rFonts w:ascii="Arial" w:hAnsi="Arial" w:cs="Arial"/>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14:paraId="45C6022D" w14:textId="234B6BE6" w:rsidR="00BD3009" w:rsidRPr="008115B2" w:rsidRDefault="00BD3009" w:rsidP="008115B2">
            <w:pPr>
              <w:spacing w:after="0" w:line="240" w:lineRule="auto"/>
              <w:jc w:val="right"/>
              <w:rPr>
                <w:rFonts w:ascii="Arial" w:eastAsia="Times New Roman" w:hAnsi="Arial" w:cs="Arial"/>
                <w:color w:val="000000"/>
                <w:sz w:val="18"/>
                <w:szCs w:val="18"/>
                <w:lang w:eastAsia="sl-SI"/>
              </w:rPr>
            </w:pPr>
            <w:r w:rsidRPr="008115B2">
              <w:rPr>
                <w:rFonts w:ascii="Arial" w:hAnsi="Arial" w:cs="Arial"/>
                <w:sz w:val="18"/>
                <w:szCs w:val="18"/>
              </w:rPr>
              <w:t>0,56</w:t>
            </w:r>
            <w:r w:rsidR="008115B2">
              <w:rPr>
                <w:rFonts w:ascii="Arial" w:hAnsi="Arial" w:cs="Arial"/>
                <w:sz w:val="18"/>
                <w:szCs w:val="18"/>
              </w:rPr>
              <w:t xml:space="preserve"> %</w:t>
            </w:r>
          </w:p>
        </w:tc>
      </w:tr>
      <w:tr w:rsidR="00BD3009" w:rsidRPr="008115B2" w14:paraId="465504C0" w14:textId="77777777" w:rsidTr="00680FDE">
        <w:trPr>
          <w:trHeight w:val="284"/>
          <w:jc w:val="center"/>
        </w:trPr>
        <w:tc>
          <w:tcPr>
            <w:tcW w:w="2568"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EAE38E1" w14:textId="36B53481" w:rsidR="00BD3009" w:rsidRPr="008115B2" w:rsidRDefault="00BD3009" w:rsidP="00BD3009">
            <w:pPr>
              <w:spacing w:after="0" w:line="240" w:lineRule="auto"/>
              <w:rPr>
                <w:rFonts w:ascii="Arial" w:eastAsia="Times New Roman" w:hAnsi="Arial" w:cs="Arial"/>
                <w:b/>
                <w:bCs/>
                <w:color w:val="000000"/>
                <w:sz w:val="18"/>
                <w:szCs w:val="18"/>
                <w:lang w:eastAsia="sl-SI"/>
              </w:rPr>
            </w:pPr>
            <w:r w:rsidRPr="008115B2">
              <w:rPr>
                <w:rFonts w:ascii="Arial" w:eastAsia="Times New Roman" w:hAnsi="Arial" w:cs="Arial"/>
                <w:b/>
                <w:bCs/>
                <w:color w:val="000000"/>
                <w:sz w:val="18"/>
                <w:szCs w:val="18"/>
                <w:lang w:eastAsia="sl-SI"/>
              </w:rPr>
              <w:t>Skupaj</w:t>
            </w:r>
          </w:p>
        </w:tc>
        <w:tc>
          <w:tcPr>
            <w:tcW w:w="992" w:type="dxa"/>
            <w:tcBorders>
              <w:top w:val="nil"/>
              <w:left w:val="nil"/>
              <w:bottom w:val="single" w:sz="4" w:space="0" w:color="auto"/>
              <w:right w:val="single" w:sz="4" w:space="0" w:color="auto"/>
            </w:tcBorders>
            <w:shd w:val="clear" w:color="auto" w:fill="E7E6E6" w:themeFill="background2"/>
            <w:noWrap/>
            <w:vAlign w:val="center"/>
            <w:hideMark/>
          </w:tcPr>
          <w:p w14:paraId="0CC8E084" w14:textId="333C2FE6" w:rsidR="00BD3009" w:rsidRPr="008115B2" w:rsidRDefault="00BD3009" w:rsidP="008115B2">
            <w:pPr>
              <w:spacing w:after="0" w:line="240" w:lineRule="auto"/>
              <w:jc w:val="right"/>
              <w:rPr>
                <w:rFonts w:ascii="Arial" w:eastAsia="Times New Roman" w:hAnsi="Arial" w:cs="Arial"/>
                <w:b/>
                <w:bCs/>
                <w:color w:val="000000"/>
                <w:sz w:val="18"/>
                <w:szCs w:val="18"/>
                <w:lang w:eastAsia="sl-SI"/>
              </w:rPr>
            </w:pPr>
            <w:r w:rsidRPr="008115B2">
              <w:rPr>
                <w:rFonts w:ascii="Arial" w:hAnsi="Arial" w:cs="Arial"/>
                <w:b/>
                <w:sz w:val="18"/>
                <w:szCs w:val="18"/>
              </w:rPr>
              <w:t>5.984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1159D417" w14:textId="38918788" w:rsidR="00BD3009" w:rsidRPr="008115B2" w:rsidRDefault="00BD3009" w:rsidP="008115B2">
            <w:pPr>
              <w:spacing w:after="0" w:line="240" w:lineRule="auto"/>
              <w:jc w:val="right"/>
              <w:rPr>
                <w:rFonts w:ascii="Arial" w:eastAsia="Times New Roman" w:hAnsi="Arial" w:cs="Arial"/>
                <w:b/>
                <w:bCs/>
                <w:color w:val="000000"/>
                <w:sz w:val="18"/>
                <w:szCs w:val="18"/>
                <w:lang w:eastAsia="sl-SI"/>
              </w:rPr>
            </w:pPr>
            <w:r w:rsidRPr="008115B2">
              <w:rPr>
                <w:rFonts w:ascii="Arial" w:hAnsi="Arial" w:cs="Arial"/>
                <w:b/>
                <w:sz w:val="18"/>
                <w:szCs w:val="18"/>
              </w:rPr>
              <w:t>16.022</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3E2A294F" w14:textId="782398B4" w:rsidR="00BD3009" w:rsidRPr="008115B2" w:rsidRDefault="00BD3009" w:rsidP="008115B2">
            <w:pPr>
              <w:spacing w:after="0" w:line="240" w:lineRule="auto"/>
              <w:jc w:val="right"/>
              <w:rPr>
                <w:rFonts w:ascii="Arial" w:eastAsia="Times New Roman" w:hAnsi="Arial" w:cs="Arial"/>
                <w:b/>
                <w:bCs/>
                <w:color w:val="000000"/>
                <w:sz w:val="18"/>
                <w:szCs w:val="18"/>
                <w:lang w:eastAsia="sl-SI"/>
              </w:rPr>
            </w:pPr>
            <w:r w:rsidRPr="008115B2">
              <w:rPr>
                <w:rFonts w:ascii="Arial" w:hAnsi="Arial" w:cs="Arial"/>
                <w:b/>
                <w:sz w:val="18"/>
                <w:szCs w:val="18"/>
              </w:rPr>
              <w:t>2.607.173.230</w:t>
            </w:r>
          </w:p>
        </w:tc>
        <w:tc>
          <w:tcPr>
            <w:tcW w:w="992" w:type="dxa"/>
            <w:tcBorders>
              <w:top w:val="nil"/>
              <w:left w:val="nil"/>
              <w:bottom w:val="single" w:sz="4" w:space="0" w:color="auto"/>
              <w:right w:val="single" w:sz="4" w:space="0" w:color="auto"/>
            </w:tcBorders>
            <w:shd w:val="clear" w:color="auto" w:fill="E7E6E6" w:themeFill="background2"/>
            <w:noWrap/>
            <w:vAlign w:val="center"/>
            <w:hideMark/>
          </w:tcPr>
          <w:p w14:paraId="727F82F4" w14:textId="354CE0A1" w:rsidR="00BD3009" w:rsidRPr="008115B2" w:rsidRDefault="00BD3009" w:rsidP="008115B2">
            <w:pPr>
              <w:spacing w:after="0" w:line="240" w:lineRule="auto"/>
              <w:jc w:val="right"/>
              <w:rPr>
                <w:rFonts w:ascii="Arial" w:eastAsia="Times New Roman" w:hAnsi="Arial" w:cs="Arial"/>
                <w:b/>
                <w:bCs/>
                <w:color w:val="000000"/>
                <w:sz w:val="18"/>
                <w:szCs w:val="18"/>
                <w:lang w:eastAsia="sl-SI"/>
              </w:rPr>
            </w:pPr>
            <w:r w:rsidRPr="008115B2">
              <w:rPr>
                <w:rFonts w:ascii="Arial" w:hAnsi="Arial" w:cs="Arial"/>
                <w:b/>
                <w:sz w:val="18"/>
                <w:szCs w:val="18"/>
              </w:rPr>
              <w:t>100,00</w:t>
            </w:r>
            <w:r w:rsidR="008115B2">
              <w:rPr>
                <w:rFonts w:ascii="Arial" w:hAnsi="Arial" w:cs="Arial"/>
                <w:b/>
                <w:sz w:val="18"/>
                <w:szCs w:val="18"/>
              </w:rPr>
              <w:t xml:space="preserve"> %</w:t>
            </w:r>
          </w:p>
        </w:tc>
        <w:tc>
          <w:tcPr>
            <w:tcW w:w="992" w:type="dxa"/>
            <w:tcBorders>
              <w:top w:val="nil"/>
              <w:left w:val="nil"/>
              <w:bottom w:val="single" w:sz="4" w:space="0" w:color="auto"/>
              <w:right w:val="single" w:sz="4" w:space="0" w:color="auto"/>
            </w:tcBorders>
            <w:shd w:val="clear" w:color="auto" w:fill="E7E6E6" w:themeFill="background2"/>
            <w:noWrap/>
            <w:vAlign w:val="center"/>
            <w:hideMark/>
          </w:tcPr>
          <w:p w14:paraId="20CFC0E1" w14:textId="2FA51716" w:rsidR="00BD3009" w:rsidRPr="008115B2" w:rsidRDefault="00BD3009" w:rsidP="008115B2">
            <w:pPr>
              <w:spacing w:after="0" w:line="240" w:lineRule="auto"/>
              <w:jc w:val="right"/>
              <w:rPr>
                <w:rFonts w:ascii="Arial" w:eastAsia="Times New Roman" w:hAnsi="Arial" w:cs="Arial"/>
                <w:b/>
                <w:bCs/>
                <w:color w:val="000000"/>
                <w:sz w:val="18"/>
                <w:szCs w:val="18"/>
                <w:lang w:eastAsia="sl-SI"/>
              </w:rPr>
            </w:pPr>
            <w:r w:rsidRPr="008115B2">
              <w:rPr>
                <w:rFonts w:ascii="Arial" w:hAnsi="Arial" w:cs="Arial"/>
                <w:b/>
                <w:sz w:val="18"/>
                <w:szCs w:val="18"/>
              </w:rPr>
              <w:t>100,00</w:t>
            </w:r>
            <w:r w:rsidR="008115B2">
              <w:rPr>
                <w:rFonts w:ascii="Arial" w:hAnsi="Arial" w:cs="Arial"/>
                <w:b/>
                <w:sz w:val="18"/>
                <w:szCs w:val="18"/>
              </w:rPr>
              <w:t xml:space="preserve"> %</w:t>
            </w:r>
          </w:p>
        </w:tc>
        <w:tc>
          <w:tcPr>
            <w:tcW w:w="962" w:type="dxa"/>
            <w:tcBorders>
              <w:top w:val="nil"/>
              <w:left w:val="nil"/>
              <w:bottom w:val="single" w:sz="4" w:space="0" w:color="auto"/>
              <w:right w:val="single" w:sz="4" w:space="0" w:color="auto"/>
            </w:tcBorders>
            <w:shd w:val="clear" w:color="auto" w:fill="E7E6E6" w:themeFill="background2"/>
            <w:noWrap/>
            <w:vAlign w:val="center"/>
            <w:hideMark/>
          </w:tcPr>
          <w:p w14:paraId="5D27437D" w14:textId="45BE241B" w:rsidR="00BD3009" w:rsidRPr="008115B2" w:rsidRDefault="00BD3009" w:rsidP="008115B2">
            <w:pPr>
              <w:spacing w:after="0" w:line="240" w:lineRule="auto"/>
              <w:jc w:val="right"/>
              <w:rPr>
                <w:rFonts w:ascii="Arial" w:eastAsia="Times New Roman" w:hAnsi="Arial" w:cs="Arial"/>
                <w:b/>
                <w:bCs/>
                <w:color w:val="000000"/>
                <w:sz w:val="18"/>
                <w:szCs w:val="18"/>
                <w:lang w:eastAsia="sl-SI"/>
              </w:rPr>
            </w:pPr>
            <w:r w:rsidRPr="008115B2">
              <w:rPr>
                <w:rFonts w:ascii="Arial" w:hAnsi="Arial" w:cs="Arial"/>
                <w:b/>
                <w:sz w:val="18"/>
                <w:szCs w:val="18"/>
              </w:rPr>
              <w:t>100,00</w:t>
            </w:r>
            <w:r w:rsidR="008115B2">
              <w:rPr>
                <w:rFonts w:ascii="Arial" w:hAnsi="Arial" w:cs="Arial"/>
                <w:b/>
                <w:sz w:val="18"/>
                <w:szCs w:val="18"/>
              </w:rPr>
              <w:t xml:space="preserve"> %</w:t>
            </w:r>
          </w:p>
        </w:tc>
      </w:tr>
    </w:tbl>
    <w:p w14:paraId="0800C32A" w14:textId="4FD8E377" w:rsidR="006C392A" w:rsidRPr="008115B2" w:rsidRDefault="006C392A" w:rsidP="00A8659F">
      <w:pPr>
        <w:pStyle w:val="ZADEVA"/>
        <w:jc w:val="both"/>
        <w:rPr>
          <w:rFonts w:cs="Arial"/>
          <w:b w:val="0"/>
          <w:szCs w:val="20"/>
          <w:lang w:val="sl-SI"/>
        </w:rPr>
      </w:pPr>
    </w:p>
    <w:p w14:paraId="3C4F13CE" w14:textId="19DCE767" w:rsidR="001960BC" w:rsidRPr="008115B2" w:rsidRDefault="001960BC" w:rsidP="00701C10">
      <w:pPr>
        <w:spacing w:after="240" w:line="240" w:lineRule="auto"/>
        <w:jc w:val="center"/>
        <w:rPr>
          <w:rFonts w:ascii="Arial" w:hAnsi="Arial" w:cs="Arial"/>
          <w:sz w:val="18"/>
        </w:rPr>
      </w:pPr>
      <w:r w:rsidRPr="008115B2">
        <w:rPr>
          <w:rFonts w:ascii="Arial" w:hAnsi="Arial" w:cs="Arial"/>
          <w:sz w:val="18"/>
        </w:rPr>
        <w:t>Vir: Statistični podatki o javni</w:t>
      </w:r>
      <w:r w:rsidR="00C862CB" w:rsidRPr="008115B2">
        <w:rPr>
          <w:rFonts w:ascii="Arial" w:hAnsi="Arial" w:cs="Arial"/>
          <w:sz w:val="18"/>
        </w:rPr>
        <w:t>h naročilih, oddanih v letu 201</w:t>
      </w:r>
      <w:r w:rsidR="00BD3009" w:rsidRPr="008115B2">
        <w:rPr>
          <w:rFonts w:ascii="Arial" w:hAnsi="Arial" w:cs="Arial"/>
          <w:sz w:val="18"/>
        </w:rPr>
        <w:t>8</w:t>
      </w:r>
    </w:p>
    <w:p w14:paraId="70566540" w14:textId="1560CE87" w:rsidR="00F53713" w:rsidRDefault="00F53713" w:rsidP="00701C10">
      <w:pPr>
        <w:spacing w:after="240" w:line="240" w:lineRule="auto"/>
        <w:jc w:val="center"/>
        <w:rPr>
          <w:rFonts w:ascii="Arial" w:hAnsi="Arial" w:cs="Arial"/>
          <w:sz w:val="18"/>
          <w:highlight w:val="yellow"/>
        </w:rPr>
      </w:pPr>
    </w:p>
    <w:p w14:paraId="3DDFD155" w14:textId="4E6E7DDF" w:rsidR="000A3944" w:rsidRDefault="000A3944" w:rsidP="00701C10">
      <w:pPr>
        <w:spacing w:after="240" w:line="240" w:lineRule="auto"/>
        <w:jc w:val="center"/>
        <w:rPr>
          <w:rFonts w:ascii="Arial" w:hAnsi="Arial" w:cs="Arial"/>
          <w:sz w:val="18"/>
          <w:highlight w:val="yellow"/>
        </w:rPr>
      </w:pPr>
    </w:p>
    <w:p w14:paraId="7FDFC599" w14:textId="77777777" w:rsidR="000A3944" w:rsidRPr="00EF2D0B" w:rsidRDefault="000A3944" w:rsidP="00701C10">
      <w:pPr>
        <w:spacing w:after="240" w:line="240" w:lineRule="auto"/>
        <w:jc w:val="center"/>
        <w:rPr>
          <w:rFonts w:ascii="Arial" w:hAnsi="Arial" w:cs="Arial"/>
          <w:sz w:val="18"/>
          <w:highlight w:val="yellow"/>
        </w:rPr>
      </w:pPr>
    </w:p>
    <w:p w14:paraId="24DD0290" w14:textId="2ACF20EF" w:rsidR="00AA714B" w:rsidRPr="00322A21" w:rsidRDefault="00AA714B" w:rsidP="00AA714B">
      <w:pPr>
        <w:pStyle w:val="Naslov3"/>
        <w:rPr>
          <w:rFonts w:ascii="Arial" w:hAnsi="Arial" w:cs="Arial"/>
          <w:sz w:val="22"/>
          <w:szCs w:val="22"/>
        </w:rPr>
      </w:pPr>
      <w:bookmarkStart w:id="14" w:name="_Toc17114052"/>
      <w:r w:rsidRPr="00322A21">
        <w:rPr>
          <w:rFonts w:ascii="Arial" w:hAnsi="Arial" w:cs="Arial"/>
          <w:sz w:val="22"/>
          <w:szCs w:val="22"/>
        </w:rPr>
        <w:lastRenderedPageBreak/>
        <w:t>2.3.3 Postopki brez predhodne objave obvestila o javnem naročilu</w:t>
      </w:r>
      <w:bookmarkEnd w:id="14"/>
    </w:p>
    <w:p w14:paraId="4DB805E9" w14:textId="3660890F" w:rsidR="00854405" w:rsidRPr="00322A21" w:rsidRDefault="00854405" w:rsidP="00854405">
      <w:pPr>
        <w:pStyle w:val="ZADEVA"/>
        <w:jc w:val="both"/>
        <w:rPr>
          <w:rFonts w:cs="Arial"/>
          <w:b w:val="0"/>
          <w:szCs w:val="20"/>
          <w:lang w:val="sl-SI"/>
        </w:rPr>
      </w:pPr>
    </w:p>
    <w:p w14:paraId="768A1DE6" w14:textId="3145CFE5" w:rsidR="00C63E46" w:rsidRPr="00322A21" w:rsidRDefault="000B6669" w:rsidP="00C63E46">
      <w:pPr>
        <w:tabs>
          <w:tab w:val="left" w:pos="567"/>
          <w:tab w:val="left" w:pos="993"/>
        </w:tabs>
        <w:spacing w:line="360" w:lineRule="auto"/>
        <w:jc w:val="both"/>
        <w:rPr>
          <w:rFonts w:ascii="Arial" w:hAnsi="Arial" w:cs="Arial"/>
          <w:sz w:val="20"/>
        </w:rPr>
      </w:pPr>
      <w:r w:rsidRPr="00322A21">
        <w:rPr>
          <w:rFonts w:ascii="Arial" w:hAnsi="Arial" w:cs="Arial"/>
          <w:bCs/>
          <w:sz w:val="20"/>
          <w:szCs w:val="20"/>
        </w:rPr>
        <w:t>Naročniki so let</w:t>
      </w:r>
      <w:r w:rsidR="00EC1BBF">
        <w:rPr>
          <w:rFonts w:ascii="Arial" w:hAnsi="Arial" w:cs="Arial"/>
          <w:bCs/>
          <w:sz w:val="20"/>
          <w:szCs w:val="20"/>
        </w:rPr>
        <w:t>a</w:t>
      </w:r>
      <w:r w:rsidRPr="00322A21">
        <w:rPr>
          <w:rFonts w:ascii="Arial" w:hAnsi="Arial" w:cs="Arial"/>
          <w:bCs/>
          <w:sz w:val="20"/>
          <w:szCs w:val="20"/>
        </w:rPr>
        <w:t xml:space="preserve"> 201</w:t>
      </w:r>
      <w:r w:rsidR="00322A21">
        <w:rPr>
          <w:rFonts w:ascii="Arial" w:hAnsi="Arial" w:cs="Arial"/>
          <w:bCs/>
          <w:sz w:val="20"/>
          <w:szCs w:val="20"/>
        </w:rPr>
        <w:t>8</w:t>
      </w:r>
      <w:r w:rsidR="00C63E46" w:rsidRPr="00322A21">
        <w:rPr>
          <w:rFonts w:ascii="Arial" w:hAnsi="Arial" w:cs="Arial"/>
          <w:bCs/>
          <w:sz w:val="20"/>
          <w:szCs w:val="20"/>
        </w:rPr>
        <w:t xml:space="preserve"> v </w:t>
      </w:r>
      <w:r w:rsidR="006A60AE" w:rsidRPr="00322A21">
        <w:rPr>
          <w:rFonts w:ascii="Arial" w:hAnsi="Arial" w:cs="Arial"/>
          <w:bCs/>
          <w:sz w:val="20"/>
          <w:szCs w:val="20"/>
        </w:rPr>
        <w:t>7</w:t>
      </w:r>
      <w:r w:rsidR="00322A21" w:rsidRPr="00322A21">
        <w:rPr>
          <w:rFonts w:ascii="Arial" w:hAnsi="Arial" w:cs="Arial"/>
          <w:bCs/>
          <w:sz w:val="20"/>
          <w:szCs w:val="20"/>
        </w:rPr>
        <w:t>55</w:t>
      </w:r>
      <w:r w:rsidR="00C63E46" w:rsidRPr="00322A21">
        <w:rPr>
          <w:rFonts w:ascii="Arial" w:hAnsi="Arial" w:cs="Arial"/>
          <w:bCs/>
          <w:sz w:val="20"/>
          <w:szCs w:val="20"/>
        </w:rPr>
        <w:t xml:space="preserve"> postopk</w:t>
      </w:r>
      <w:r w:rsidRPr="00322A21">
        <w:rPr>
          <w:rFonts w:ascii="Arial" w:hAnsi="Arial" w:cs="Arial"/>
          <w:bCs/>
          <w:sz w:val="20"/>
          <w:szCs w:val="20"/>
        </w:rPr>
        <w:t>ih</w:t>
      </w:r>
      <w:r w:rsidR="00C63E46" w:rsidRPr="00322A21">
        <w:rPr>
          <w:rFonts w:ascii="Arial" w:hAnsi="Arial" w:cs="Arial"/>
          <w:bCs/>
          <w:sz w:val="20"/>
          <w:szCs w:val="20"/>
        </w:rPr>
        <w:t xml:space="preserve"> javnega naročanja </w:t>
      </w:r>
      <w:r w:rsidR="005634E1" w:rsidRPr="00322A21">
        <w:rPr>
          <w:rFonts w:ascii="Arial" w:hAnsi="Arial" w:cs="Arial"/>
          <w:bCs/>
          <w:sz w:val="20"/>
          <w:szCs w:val="20"/>
        </w:rPr>
        <w:t xml:space="preserve">oddali </w:t>
      </w:r>
      <w:r w:rsidR="00C63E46" w:rsidRPr="00322A21">
        <w:rPr>
          <w:rFonts w:ascii="Arial" w:hAnsi="Arial" w:cs="Arial"/>
          <w:bCs/>
          <w:sz w:val="20"/>
          <w:szCs w:val="20"/>
        </w:rPr>
        <w:t>naročila</w:t>
      </w:r>
      <w:r w:rsidR="00A57B07" w:rsidRPr="00322A21">
        <w:rPr>
          <w:rFonts w:ascii="Arial" w:hAnsi="Arial" w:cs="Arial"/>
          <w:bCs/>
          <w:sz w:val="20"/>
          <w:szCs w:val="20"/>
        </w:rPr>
        <w:t>,</w:t>
      </w:r>
      <w:r w:rsidR="00C63E46" w:rsidRPr="00322A21">
        <w:rPr>
          <w:rFonts w:ascii="Arial" w:hAnsi="Arial" w:cs="Arial"/>
          <w:bCs/>
          <w:sz w:val="20"/>
          <w:szCs w:val="20"/>
        </w:rPr>
        <w:t xml:space="preserve"> za katera predhodno </w:t>
      </w:r>
      <w:r w:rsidR="00EA1C03" w:rsidRPr="00322A21">
        <w:rPr>
          <w:rFonts w:ascii="Arial" w:hAnsi="Arial" w:cs="Arial"/>
          <w:bCs/>
          <w:sz w:val="20"/>
          <w:szCs w:val="20"/>
        </w:rPr>
        <w:t xml:space="preserve">niso </w:t>
      </w:r>
      <w:r w:rsidR="00C63E46" w:rsidRPr="00322A21">
        <w:rPr>
          <w:rFonts w:ascii="Arial" w:hAnsi="Arial" w:cs="Arial"/>
          <w:bCs/>
          <w:sz w:val="20"/>
          <w:szCs w:val="20"/>
        </w:rPr>
        <w:t xml:space="preserve">objavili obvestila o javnem naročilu, kar </w:t>
      </w:r>
      <w:r w:rsidR="00A57B07" w:rsidRPr="006C6FDE">
        <w:rPr>
          <w:rFonts w:ascii="Arial" w:hAnsi="Arial" w:cs="Arial"/>
          <w:bCs/>
          <w:sz w:val="20"/>
          <w:szCs w:val="20"/>
        </w:rPr>
        <w:t xml:space="preserve">je </w:t>
      </w:r>
      <w:r w:rsidR="00C63E46" w:rsidRPr="006C6FDE">
        <w:rPr>
          <w:rFonts w:ascii="Arial" w:hAnsi="Arial" w:cs="Arial"/>
          <w:bCs/>
          <w:sz w:val="20"/>
          <w:szCs w:val="20"/>
        </w:rPr>
        <w:t>v številu vseh postopkov</w:t>
      </w:r>
      <w:r w:rsidR="008E33E4" w:rsidRPr="006C6FDE">
        <w:rPr>
          <w:rFonts w:ascii="Arial" w:hAnsi="Arial" w:cs="Arial"/>
          <w:bCs/>
          <w:sz w:val="20"/>
          <w:szCs w:val="20"/>
        </w:rPr>
        <w:t xml:space="preserve"> </w:t>
      </w:r>
      <w:r w:rsidR="00724621" w:rsidRPr="006C6FDE">
        <w:rPr>
          <w:rFonts w:ascii="Arial" w:hAnsi="Arial" w:cs="Arial"/>
          <w:bCs/>
          <w:sz w:val="20"/>
          <w:szCs w:val="20"/>
        </w:rPr>
        <w:t>11,</w:t>
      </w:r>
      <w:r w:rsidR="006C6FDE" w:rsidRPr="006C6FDE">
        <w:rPr>
          <w:rFonts w:ascii="Arial" w:hAnsi="Arial" w:cs="Arial"/>
          <w:bCs/>
          <w:sz w:val="20"/>
          <w:szCs w:val="20"/>
        </w:rPr>
        <w:t>2</w:t>
      </w:r>
      <w:r w:rsidR="0029442D" w:rsidRPr="006C6FDE">
        <w:rPr>
          <w:rFonts w:ascii="Arial" w:hAnsi="Arial" w:cs="Arial"/>
          <w:bCs/>
          <w:sz w:val="20"/>
          <w:szCs w:val="20"/>
        </w:rPr>
        <w:t xml:space="preserve"> %</w:t>
      </w:r>
      <w:r w:rsidR="00C63E46" w:rsidRPr="006C6FDE">
        <w:rPr>
          <w:rFonts w:ascii="Arial" w:hAnsi="Arial" w:cs="Arial"/>
          <w:bCs/>
          <w:sz w:val="20"/>
          <w:szCs w:val="20"/>
        </w:rPr>
        <w:t xml:space="preserve">, v vseh oddanih naročilih </w:t>
      </w:r>
      <w:r w:rsidR="008E33E4" w:rsidRPr="006C6FDE">
        <w:rPr>
          <w:rFonts w:ascii="Arial" w:hAnsi="Arial" w:cs="Arial"/>
          <w:bCs/>
          <w:sz w:val="20"/>
          <w:szCs w:val="20"/>
        </w:rPr>
        <w:t>je</w:t>
      </w:r>
      <w:r w:rsidR="008E33E4" w:rsidRPr="00322A21">
        <w:rPr>
          <w:rFonts w:ascii="Arial" w:hAnsi="Arial" w:cs="Arial"/>
          <w:bCs/>
          <w:sz w:val="20"/>
          <w:szCs w:val="20"/>
        </w:rPr>
        <w:t xml:space="preserve"> to </w:t>
      </w:r>
      <w:r w:rsidR="00724621" w:rsidRPr="00322A21">
        <w:rPr>
          <w:rFonts w:ascii="Arial" w:hAnsi="Arial" w:cs="Arial"/>
          <w:bCs/>
          <w:sz w:val="20"/>
          <w:szCs w:val="20"/>
        </w:rPr>
        <w:t>5</w:t>
      </w:r>
      <w:r w:rsidR="008E33E4" w:rsidRPr="00322A21">
        <w:rPr>
          <w:rFonts w:ascii="Arial" w:hAnsi="Arial" w:cs="Arial"/>
          <w:bCs/>
          <w:sz w:val="20"/>
          <w:szCs w:val="20"/>
        </w:rPr>
        <w:t xml:space="preserve"> </w:t>
      </w:r>
      <w:r w:rsidR="0029442D" w:rsidRPr="00322A21">
        <w:rPr>
          <w:rFonts w:ascii="Arial" w:hAnsi="Arial" w:cs="Arial"/>
          <w:bCs/>
          <w:sz w:val="20"/>
          <w:szCs w:val="20"/>
        </w:rPr>
        <w:t>%</w:t>
      </w:r>
      <w:r w:rsidR="008E33E4" w:rsidRPr="00322A21">
        <w:rPr>
          <w:rFonts w:ascii="Arial" w:hAnsi="Arial" w:cs="Arial"/>
          <w:bCs/>
          <w:sz w:val="20"/>
          <w:szCs w:val="20"/>
        </w:rPr>
        <w:t xml:space="preserve"> </w:t>
      </w:r>
      <w:r w:rsidR="00C63E46" w:rsidRPr="00322A21">
        <w:rPr>
          <w:rFonts w:ascii="Arial" w:hAnsi="Arial" w:cs="Arial"/>
          <w:bCs/>
          <w:sz w:val="20"/>
          <w:szCs w:val="20"/>
        </w:rPr>
        <w:t xml:space="preserve">in </w:t>
      </w:r>
      <w:r w:rsidR="006C6FDE">
        <w:rPr>
          <w:rFonts w:ascii="Arial" w:hAnsi="Arial" w:cs="Arial"/>
          <w:sz w:val="20"/>
        </w:rPr>
        <w:t>10,67</w:t>
      </w:r>
      <w:r w:rsidR="0029442D" w:rsidRPr="00322A21">
        <w:rPr>
          <w:rFonts w:ascii="Arial" w:hAnsi="Arial" w:cs="Arial"/>
          <w:sz w:val="20"/>
        </w:rPr>
        <w:t xml:space="preserve"> %</w:t>
      </w:r>
      <w:r w:rsidR="0086209A" w:rsidRPr="00322A21">
        <w:rPr>
          <w:rFonts w:ascii="Arial" w:hAnsi="Arial" w:cs="Arial"/>
          <w:sz w:val="20"/>
        </w:rPr>
        <w:t xml:space="preserve"> vre</w:t>
      </w:r>
      <w:r w:rsidR="0082469C" w:rsidRPr="00322A21">
        <w:rPr>
          <w:rFonts w:ascii="Arial" w:hAnsi="Arial" w:cs="Arial"/>
          <w:sz w:val="20"/>
        </w:rPr>
        <w:t xml:space="preserve">dnosti vseh </w:t>
      </w:r>
      <w:r w:rsidR="00C63E46" w:rsidRPr="00322A21">
        <w:rPr>
          <w:rFonts w:ascii="Arial" w:hAnsi="Arial" w:cs="Arial"/>
          <w:sz w:val="20"/>
        </w:rPr>
        <w:t xml:space="preserve">oddanih naročil. </w:t>
      </w:r>
    </w:p>
    <w:p w14:paraId="06EEA896" w14:textId="0DBBA4AE" w:rsidR="00EE4F5B" w:rsidRPr="00322A21" w:rsidRDefault="00EE4F5B" w:rsidP="008A61FD">
      <w:pPr>
        <w:spacing w:before="120" w:after="120" w:line="240" w:lineRule="auto"/>
        <w:jc w:val="both"/>
        <w:rPr>
          <w:rFonts w:ascii="Arial" w:hAnsi="Arial" w:cs="Arial"/>
          <w:sz w:val="20"/>
        </w:rPr>
      </w:pPr>
      <w:r w:rsidRPr="00322A21">
        <w:rPr>
          <w:rFonts w:ascii="Arial" w:hAnsi="Arial" w:cs="Arial"/>
          <w:sz w:val="20"/>
        </w:rPr>
        <w:t xml:space="preserve">Preglednica </w:t>
      </w:r>
      <w:r w:rsidR="00E430F6" w:rsidRPr="00322A21">
        <w:rPr>
          <w:rFonts w:ascii="Arial" w:hAnsi="Arial" w:cs="Arial"/>
          <w:sz w:val="20"/>
        </w:rPr>
        <w:t>1</w:t>
      </w:r>
      <w:r w:rsidR="00EB4423">
        <w:rPr>
          <w:rFonts w:ascii="Arial" w:hAnsi="Arial" w:cs="Arial"/>
          <w:sz w:val="20"/>
        </w:rPr>
        <w:t>4</w:t>
      </w:r>
      <w:r w:rsidRPr="00322A21">
        <w:rPr>
          <w:rFonts w:ascii="Arial" w:hAnsi="Arial" w:cs="Arial"/>
          <w:sz w:val="20"/>
        </w:rPr>
        <w:t xml:space="preserve">: </w:t>
      </w:r>
      <w:r w:rsidR="00105F39" w:rsidRPr="00322A21">
        <w:rPr>
          <w:rFonts w:ascii="Arial" w:hAnsi="Arial" w:cs="Arial"/>
          <w:sz w:val="20"/>
        </w:rPr>
        <w:t>P</w:t>
      </w:r>
      <w:r w:rsidRPr="00322A21">
        <w:rPr>
          <w:rFonts w:ascii="Arial" w:hAnsi="Arial" w:cs="Arial"/>
          <w:sz w:val="20"/>
        </w:rPr>
        <w:t>ostopki</w:t>
      </w:r>
      <w:r w:rsidR="00105F39" w:rsidRPr="00322A21">
        <w:rPr>
          <w:rFonts w:ascii="Arial" w:hAnsi="Arial" w:cs="Arial"/>
          <w:sz w:val="20"/>
        </w:rPr>
        <w:t xml:space="preserve"> brez predhodne objave obvestila o javnem naročilu</w:t>
      </w:r>
      <w:r w:rsidRPr="00322A21">
        <w:rPr>
          <w:rFonts w:ascii="Arial" w:hAnsi="Arial" w:cs="Arial"/>
          <w:sz w:val="20"/>
        </w:rPr>
        <w:t xml:space="preserve">, naročila in njihova vrednost ter deleži glede na vrsto postopka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8"/>
        <w:gridCol w:w="961"/>
        <w:gridCol w:w="671"/>
        <w:gridCol w:w="1269"/>
        <w:gridCol w:w="961"/>
        <w:gridCol w:w="901"/>
        <w:gridCol w:w="901"/>
      </w:tblGrid>
      <w:tr w:rsidR="00462116" w:rsidRPr="00322A21" w14:paraId="65EAD938" w14:textId="77777777" w:rsidTr="00B33B16">
        <w:trPr>
          <w:trHeight w:val="480"/>
        </w:trPr>
        <w:tc>
          <w:tcPr>
            <w:tcW w:w="1897" w:type="pct"/>
            <w:shd w:val="clear" w:color="000000" w:fill="EDEDED"/>
            <w:vAlign w:val="center"/>
            <w:hideMark/>
          </w:tcPr>
          <w:p w14:paraId="25C1820A"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Vrsta postopka</w:t>
            </w:r>
          </w:p>
        </w:tc>
        <w:tc>
          <w:tcPr>
            <w:tcW w:w="530" w:type="pct"/>
            <w:shd w:val="clear" w:color="000000" w:fill="EDEDED"/>
            <w:vAlign w:val="center"/>
            <w:hideMark/>
          </w:tcPr>
          <w:p w14:paraId="0BA6811E"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Št. postopkov</w:t>
            </w:r>
          </w:p>
        </w:tc>
        <w:tc>
          <w:tcPr>
            <w:tcW w:w="370" w:type="pct"/>
            <w:shd w:val="clear" w:color="000000" w:fill="EDEDED"/>
            <w:vAlign w:val="center"/>
            <w:hideMark/>
          </w:tcPr>
          <w:p w14:paraId="0DB41A51"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Št. naročil</w:t>
            </w:r>
          </w:p>
        </w:tc>
        <w:tc>
          <w:tcPr>
            <w:tcW w:w="722" w:type="pct"/>
            <w:shd w:val="clear" w:color="000000" w:fill="EDEDED"/>
            <w:vAlign w:val="center"/>
            <w:hideMark/>
          </w:tcPr>
          <w:p w14:paraId="516254AA"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Pogodbena vrednost</w:t>
            </w:r>
          </w:p>
        </w:tc>
        <w:tc>
          <w:tcPr>
            <w:tcW w:w="530" w:type="pct"/>
            <w:shd w:val="clear" w:color="000000" w:fill="EDEDED"/>
            <w:vAlign w:val="center"/>
            <w:hideMark/>
          </w:tcPr>
          <w:p w14:paraId="4456E349"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Delež v št. postopkov</w:t>
            </w:r>
          </w:p>
        </w:tc>
        <w:tc>
          <w:tcPr>
            <w:tcW w:w="470" w:type="pct"/>
            <w:shd w:val="clear" w:color="000000" w:fill="EDEDED"/>
            <w:vAlign w:val="center"/>
            <w:hideMark/>
          </w:tcPr>
          <w:p w14:paraId="545A4614"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Delež v št. naročil</w:t>
            </w:r>
          </w:p>
        </w:tc>
        <w:tc>
          <w:tcPr>
            <w:tcW w:w="481" w:type="pct"/>
            <w:shd w:val="clear" w:color="000000" w:fill="EDEDED"/>
            <w:vAlign w:val="center"/>
            <w:hideMark/>
          </w:tcPr>
          <w:p w14:paraId="263F4FF3" w14:textId="77777777" w:rsidR="00462116" w:rsidRPr="00462116" w:rsidRDefault="00462116" w:rsidP="00462116">
            <w:pPr>
              <w:spacing w:after="0" w:line="240" w:lineRule="auto"/>
              <w:jc w:val="center"/>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Delež v vrednosti</w:t>
            </w:r>
          </w:p>
        </w:tc>
      </w:tr>
      <w:tr w:rsidR="00462116" w:rsidRPr="00322A21" w14:paraId="6AC1DAC5" w14:textId="77777777" w:rsidTr="00B33B16">
        <w:trPr>
          <w:trHeight w:val="300"/>
        </w:trPr>
        <w:tc>
          <w:tcPr>
            <w:tcW w:w="1897" w:type="pct"/>
            <w:shd w:val="clear" w:color="auto" w:fill="auto"/>
            <w:vAlign w:val="center"/>
            <w:hideMark/>
          </w:tcPr>
          <w:p w14:paraId="7D9C1F2B" w14:textId="77777777" w:rsidR="00462116" w:rsidRPr="00462116" w:rsidRDefault="00462116" w:rsidP="00462116">
            <w:pPr>
              <w:spacing w:after="0" w:line="240" w:lineRule="auto"/>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Konkurenčni postopek s pogajanji</w:t>
            </w:r>
          </w:p>
        </w:tc>
        <w:tc>
          <w:tcPr>
            <w:tcW w:w="530" w:type="pct"/>
            <w:shd w:val="clear" w:color="auto" w:fill="auto"/>
            <w:vAlign w:val="center"/>
            <w:hideMark/>
          </w:tcPr>
          <w:p w14:paraId="6964AF0D" w14:textId="77777777"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13</w:t>
            </w:r>
          </w:p>
        </w:tc>
        <w:tc>
          <w:tcPr>
            <w:tcW w:w="370" w:type="pct"/>
            <w:shd w:val="clear" w:color="auto" w:fill="auto"/>
            <w:vAlign w:val="center"/>
            <w:hideMark/>
          </w:tcPr>
          <w:p w14:paraId="569C7E6E" w14:textId="77777777"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15</w:t>
            </w:r>
          </w:p>
        </w:tc>
        <w:tc>
          <w:tcPr>
            <w:tcW w:w="722" w:type="pct"/>
            <w:shd w:val="clear" w:color="auto" w:fill="auto"/>
            <w:vAlign w:val="center"/>
            <w:hideMark/>
          </w:tcPr>
          <w:p w14:paraId="4CAB33B4" w14:textId="77777777"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2.190.493</w:t>
            </w:r>
          </w:p>
        </w:tc>
        <w:tc>
          <w:tcPr>
            <w:tcW w:w="530" w:type="pct"/>
            <w:shd w:val="clear" w:color="auto" w:fill="auto"/>
            <w:noWrap/>
            <w:vAlign w:val="center"/>
            <w:hideMark/>
          </w:tcPr>
          <w:p w14:paraId="5EEB4FE3" w14:textId="40CA9E30"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1,72</w:t>
            </w:r>
            <w:r w:rsidRPr="00322A21">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0464ACF5" w14:textId="41AC6EC0"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1,78</w:t>
            </w:r>
            <w:r w:rsidRPr="00322A21">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254BDF4A" w14:textId="179126BA"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0,70</w:t>
            </w:r>
            <w:r w:rsidRPr="00322A21">
              <w:rPr>
                <w:rFonts w:ascii="Arial" w:eastAsia="Times New Roman" w:hAnsi="Arial" w:cs="Arial"/>
                <w:color w:val="000000"/>
                <w:sz w:val="18"/>
                <w:szCs w:val="18"/>
                <w:lang w:eastAsia="sl-SI"/>
              </w:rPr>
              <w:t xml:space="preserve"> %</w:t>
            </w:r>
          </w:p>
        </w:tc>
      </w:tr>
      <w:tr w:rsidR="00462116" w:rsidRPr="00322A21" w14:paraId="29233919" w14:textId="77777777" w:rsidTr="00B33B16">
        <w:trPr>
          <w:trHeight w:val="300"/>
        </w:trPr>
        <w:tc>
          <w:tcPr>
            <w:tcW w:w="1897" w:type="pct"/>
            <w:shd w:val="clear" w:color="auto" w:fill="auto"/>
            <w:vAlign w:val="center"/>
            <w:hideMark/>
          </w:tcPr>
          <w:p w14:paraId="29F29CF2" w14:textId="77777777" w:rsidR="00462116" w:rsidRPr="00462116" w:rsidRDefault="00462116" w:rsidP="00462116">
            <w:pPr>
              <w:spacing w:after="0" w:line="240" w:lineRule="auto"/>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Postopek s pogajanji brez predhodne objave</w:t>
            </w:r>
          </w:p>
        </w:tc>
        <w:tc>
          <w:tcPr>
            <w:tcW w:w="530" w:type="pct"/>
            <w:shd w:val="clear" w:color="auto" w:fill="auto"/>
            <w:vAlign w:val="center"/>
            <w:hideMark/>
          </w:tcPr>
          <w:p w14:paraId="5B7BC089" w14:textId="77777777"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742</w:t>
            </w:r>
          </w:p>
        </w:tc>
        <w:tc>
          <w:tcPr>
            <w:tcW w:w="370" w:type="pct"/>
            <w:shd w:val="clear" w:color="auto" w:fill="auto"/>
            <w:vAlign w:val="center"/>
            <w:hideMark/>
          </w:tcPr>
          <w:p w14:paraId="359632B1" w14:textId="77777777"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828</w:t>
            </w:r>
          </w:p>
        </w:tc>
        <w:tc>
          <w:tcPr>
            <w:tcW w:w="722" w:type="pct"/>
            <w:shd w:val="clear" w:color="auto" w:fill="auto"/>
            <w:vAlign w:val="center"/>
            <w:hideMark/>
          </w:tcPr>
          <w:p w14:paraId="5E2391DB" w14:textId="77777777"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309.230.886</w:t>
            </w:r>
          </w:p>
        </w:tc>
        <w:tc>
          <w:tcPr>
            <w:tcW w:w="530" w:type="pct"/>
            <w:shd w:val="clear" w:color="auto" w:fill="auto"/>
            <w:noWrap/>
            <w:vAlign w:val="center"/>
            <w:hideMark/>
          </w:tcPr>
          <w:p w14:paraId="159F6B6F" w14:textId="04AB23A1"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98,28</w:t>
            </w:r>
            <w:r w:rsidRPr="00322A21">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1FE931E1" w14:textId="0C7C358A"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98,22</w:t>
            </w:r>
            <w:r w:rsidRPr="00322A21">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502B5330" w14:textId="766AEB2D" w:rsidR="00462116" w:rsidRPr="00462116" w:rsidRDefault="00462116" w:rsidP="00462116">
            <w:pPr>
              <w:spacing w:after="0" w:line="240" w:lineRule="auto"/>
              <w:jc w:val="right"/>
              <w:rPr>
                <w:rFonts w:ascii="Arial" w:eastAsia="Times New Roman" w:hAnsi="Arial" w:cs="Arial"/>
                <w:color w:val="000000"/>
                <w:sz w:val="18"/>
                <w:szCs w:val="18"/>
                <w:lang w:eastAsia="sl-SI"/>
              </w:rPr>
            </w:pPr>
            <w:r w:rsidRPr="00462116">
              <w:rPr>
                <w:rFonts w:ascii="Arial" w:eastAsia="Times New Roman" w:hAnsi="Arial" w:cs="Arial"/>
                <w:color w:val="000000"/>
                <w:sz w:val="18"/>
                <w:szCs w:val="18"/>
                <w:lang w:eastAsia="sl-SI"/>
              </w:rPr>
              <w:t>99,30</w:t>
            </w:r>
            <w:r w:rsidRPr="00322A21">
              <w:rPr>
                <w:rFonts w:ascii="Arial" w:eastAsia="Times New Roman" w:hAnsi="Arial" w:cs="Arial"/>
                <w:color w:val="000000"/>
                <w:sz w:val="18"/>
                <w:szCs w:val="18"/>
                <w:lang w:eastAsia="sl-SI"/>
              </w:rPr>
              <w:t xml:space="preserve"> %</w:t>
            </w:r>
          </w:p>
        </w:tc>
      </w:tr>
      <w:tr w:rsidR="00462116" w:rsidRPr="00322A21" w14:paraId="3C4DFAAE" w14:textId="77777777" w:rsidTr="00B33B16">
        <w:trPr>
          <w:trHeight w:val="300"/>
        </w:trPr>
        <w:tc>
          <w:tcPr>
            <w:tcW w:w="1897" w:type="pct"/>
            <w:shd w:val="clear" w:color="auto" w:fill="E7E6E6" w:themeFill="background2"/>
            <w:noWrap/>
            <w:vAlign w:val="center"/>
            <w:hideMark/>
          </w:tcPr>
          <w:p w14:paraId="475233B2" w14:textId="77777777" w:rsidR="00462116" w:rsidRPr="00462116" w:rsidRDefault="00462116" w:rsidP="00462116">
            <w:pPr>
              <w:spacing w:after="0" w:line="240" w:lineRule="auto"/>
              <w:rPr>
                <w:rFonts w:ascii="Arial" w:eastAsia="Times New Roman" w:hAnsi="Arial" w:cs="Arial"/>
                <w:b/>
                <w:bCs/>
                <w:color w:val="000000"/>
                <w:sz w:val="18"/>
                <w:szCs w:val="18"/>
                <w:lang w:eastAsia="sl-SI"/>
              </w:rPr>
            </w:pPr>
            <w:r w:rsidRPr="00462116">
              <w:rPr>
                <w:rFonts w:ascii="Arial" w:eastAsia="Times New Roman" w:hAnsi="Arial" w:cs="Arial"/>
                <w:b/>
                <w:bCs/>
                <w:color w:val="000000"/>
                <w:sz w:val="18"/>
                <w:szCs w:val="18"/>
                <w:lang w:eastAsia="sl-SI"/>
              </w:rPr>
              <w:t>Skupaj</w:t>
            </w:r>
          </w:p>
        </w:tc>
        <w:tc>
          <w:tcPr>
            <w:tcW w:w="530" w:type="pct"/>
            <w:shd w:val="clear" w:color="auto" w:fill="E7E6E6" w:themeFill="background2"/>
            <w:noWrap/>
            <w:vAlign w:val="center"/>
            <w:hideMark/>
          </w:tcPr>
          <w:p w14:paraId="379615AC" w14:textId="77777777" w:rsidR="00462116" w:rsidRPr="00462116" w:rsidRDefault="00462116" w:rsidP="00462116">
            <w:pPr>
              <w:spacing w:after="0" w:line="240" w:lineRule="auto"/>
              <w:jc w:val="right"/>
              <w:rPr>
                <w:rFonts w:ascii="Arial" w:eastAsia="Times New Roman" w:hAnsi="Arial" w:cs="Arial"/>
                <w:b/>
                <w:bCs/>
                <w:color w:val="000000"/>
                <w:sz w:val="18"/>
                <w:szCs w:val="18"/>
                <w:lang w:eastAsia="sl-SI"/>
              </w:rPr>
            </w:pPr>
            <w:r w:rsidRPr="00462116">
              <w:rPr>
                <w:rFonts w:ascii="Arial" w:eastAsia="Times New Roman" w:hAnsi="Arial" w:cs="Arial"/>
                <w:b/>
                <w:bCs/>
                <w:color w:val="000000"/>
                <w:sz w:val="18"/>
                <w:szCs w:val="18"/>
                <w:lang w:eastAsia="sl-SI"/>
              </w:rPr>
              <w:t>755</w:t>
            </w:r>
          </w:p>
        </w:tc>
        <w:tc>
          <w:tcPr>
            <w:tcW w:w="370" w:type="pct"/>
            <w:shd w:val="clear" w:color="auto" w:fill="E7E6E6" w:themeFill="background2"/>
            <w:noWrap/>
            <w:vAlign w:val="center"/>
            <w:hideMark/>
          </w:tcPr>
          <w:p w14:paraId="13CA3171" w14:textId="77777777" w:rsidR="00462116" w:rsidRPr="00462116" w:rsidRDefault="00462116" w:rsidP="00462116">
            <w:pPr>
              <w:spacing w:after="0" w:line="240" w:lineRule="auto"/>
              <w:jc w:val="right"/>
              <w:rPr>
                <w:rFonts w:ascii="Arial" w:eastAsia="Times New Roman" w:hAnsi="Arial" w:cs="Arial"/>
                <w:b/>
                <w:bCs/>
                <w:color w:val="000000"/>
                <w:sz w:val="18"/>
                <w:szCs w:val="18"/>
                <w:lang w:eastAsia="sl-SI"/>
              </w:rPr>
            </w:pPr>
            <w:r w:rsidRPr="00462116">
              <w:rPr>
                <w:rFonts w:ascii="Arial" w:eastAsia="Times New Roman" w:hAnsi="Arial" w:cs="Arial"/>
                <w:b/>
                <w:bCs/>
                <w:color w:val="000000"/>
                <w:sz w:val="18"/>
                <w:szCs w:val="18"/>
                <w:lang w:eastAsia="sl-SI"/>
              </w:rPr>
              <w:t>843</w:t>
            </w:r>
          </w:p>
        </w:tc>
        <w:tc>
          <w:tcPr>
            <w:tcW w:w="722" w:type="pct"/>
            <w:shd w:val="clear" w:color="auto" w:fill="E7E6E6" w:themeFill="background2"/>
            <w:noWrap/>
            <w:vAlign w:val="center"/>
            <w:hideMark/>
          </w:tcPr>
          <w:p w14:paraId="4ED77A3E" w14:textId="77777777" w:rsidR="00462116" w:rsidRPr="00462116" w:rsidRDefault="00462116" w:rsidP="00462116">
            <w:pPr>
              <w:spacing w:after="0" w:line="240" w:lineRule="auto"/>
              <w:jc w:val="right"/>
              <w:rPr>
                <w:rFonts w:ascii="Arial" w:eastAsia="Times New Roman" w:hAnsi="Arial" w:cs="Arial"/>
                <w:b/>
                <w:bCs/>
                <w:color w:val="000000"/>
                <w:sz w:val="18"/>
                <w:szCs w:val="18"/>
                <w:lang w:eastAsia="sl-SI"/>
              </w:rPr>
            </w:pPr>
            <w:r w:rsidRPr="00462116">
              <w:rPr>
                <w:rFonts w:ascii="Arial" w:eastAsia="Times New Roman" w:hAnsi="Arial" w:cs="Arial"/>
                <w:b/>
                <w:bCs/>
                <w:color w:val="000000"/>
                <w:sz w:val="18"/>
                <w:szCs w:val="18"/>
                <w:lang w:eastAsia="sl-SI"/>
              </w:rPr>
              <w:t>311.421.379</w:t>
            </w:r>
          </w:p>
        </w:tc>
        <w:tc>
          <w:tcPr>
            <w:tcW w:w="530" w:type="pct"/>
            <w:shd w:val="clear" w:color="auto" w:fill="E7E6E6" w:themeFill="background2"/>
            <w:noWrap/>
            <w:vAlign w:val="center"/>
            <w:hideMark/>
          </w:tcPr>
          <w:p w14:paraId="3B796D39" w14:textId="1E131AA0" w:rsidR="00462116" w:rsidRPr="00462116" w:rsidRDefault="00462116" w:rsidP="00462116">
            <w:pPr>
              <w:spacing w:after="0" w:line="240" w:lineRule="auto"/>
              <w:jc w:val="right"/>
              <w:rPr>
                <w:rFonts w:ascii="Arial" w:eastAsia="Times New Roman" w:hAnsi="Arial" w:cs="Arial"/>
                <w:b/>
                <w:color w:val="000000"/>
                <w:sz w:val="18"/>
                <w:szCs w:val="18"/>
                <w:lang w:eastAsia="sl-SI"/>
              </w:rPr>
            </w:pPr>
            <w:r w:rsidRPr="00462116">
              <w:rPr>
                <w:rFonts w:ascii="Arial" w:eastAsia="Times New Roman" w:hAnsi="Arial" w:cs="Arial"/>
                <w:b/>
                <w:color w:val="000000"/>
                <w:sz w:val="18"/>
                <w:szCs w:val="18"/>
                <w:lang w:eastAsia="sl-SI"/>
              </w:rPr>
              <w:t>100,00</w:t>
            </w:r>
            <w:r w:rsidRPr="00322A21">
              <w:rPr>
                <w:rFonts w:ascii="Arial" w:eastAsia="Times New Roman" w:hAnsi="Arial" w:cs="Arial"/>
                <w:b/>
                <w:color w:val="000000"/>
                <w:sz w:val="18"/>
                <w:szCs w:val="18"/>
                <w:lang w:eastAsia="sl-SI"/>
              </w:rPr>
              <w:t xml:space="preserve"> %</w:t>
            </w:r>
          </w:p>
        </w:tc>
        <w:tc>
          <w:tcPr>
            <w:tcW w:w="470" w:type="pct"/>
            <w:shd w:val="clear" w:color="auto" w:fill="E7E6E6" w:themeFill="background2"/>
            <w:noWrap/>
            <w:vAlign w:val="center"/>
            <w:hideMark/>
          </w:tcPr>
          <w:p w14:paraId="3C5FEF3C" w14:textId="07531D3E" w:rsidR="00462116" w:rsidRPr="00462116" w:rsidRDefault="00462116" w:rsidP="00462116">
            <w:pPr>
              <w:spacing w:after="0" w:line="240" w:lineRule="auto"/>
              <w:jc w:val="right"/>
              <w:rPr>
                <w:rFonts w:ascii="Arial" w:eastAsia="Times New Roman" w:hAnsi="Arial" w:cs="Arial"/>
                <w:b/>
                <w:color w:val="000000"/>
                <w:sz w:val="18"/>
                <w:szCs w:val="18"/>
                <w:lang w:eastAsia="sl-SI"/>
              </w:rPr>
            </w:pPr>
            <w:r w:rsidRPr="00462116">
              <w:rPr>
                <w:rFonts w:ascii="Arial" w:eastAsia="Times New Roman" w:hAnsi="Arial" w:cs="Arial"/>
                <w:b/>
                <w:color w:val="000000"/>
                <w:sz w:val="18"/>
                <w:szCs w:val="18"/>
                <w:lang w:eastAsia="sl-SI"/>
              </w:rPr>
              <w:t>100,00</w:t>
            </w:r>
            <w:r w:rsidRPr="00322A21">
              <w:rPr>
                <w:rFonts w:ascii="Arial" w:eastAsia="Times New Roman" w:hAnsi="Arial" w:cs="Arial"/>
                <w:b/>
                <w:color w:val="000000"/>
                <w:sz w:val="18"/>
                <w:szCs w:val="18"/>
                <w:lang w:eastAsia="sl-SI"/>
              </w:rPr>
              <w:t xml:space="preserve"> %</w:t>
            </w:r>
          </w:p>
        </w:tc>
        <w:tc>
          <w:tcPr>
            <w:tcW w:w="481" w:type="pct"/>
            <w:shd w:val="clear" w:color="auto" w:fill="E7E6E6" w:themeFill="background2"/>
            <w:noWrap/>
            <w:vAlign w:val="center"/>
            <w:hideMark/>
          </w:tcPr>
          <w:p w14:paraId="4769AE3B" w14:textId="72BCBB73" w:rsidR="00462116" w:rsidRPr="00462116" w:rsidRDefault="00462116" w:rsidP="00462116">
            <w:pPr>
              <w:spacing w:after="0" w:line="240" w:lineRule="auto"/>
              <w:jc w:val="right"/>
              <w:rPr>
                <w:rFonts w:ascii="Arial" w:eastAsia="Times New Roman" w:hAnsi="Arial" w:cs="Arial"/>
                <w:b/>
                <w:color w:val="000000"/>
                <w:sz w:val="18"/>
                <w:szCs w:val="18"/>
                <w:lang w:eastAsia="sl-SI"/>
              </w:rPr>
            </w:pPr>
            <w:r w:rsidRPr="00462116">
              <w:rPr>
                <w:rFonts w:ascii="Arial" w:eastAsia="Times New Roman" w:hAnsi="Arial" w:cs="Arial"/>
                <w:b/>
                <w:color w:val="000000"/>
                <w:sz w:val="18"/>
                <w:szCs w:val="18"/>
                <w:lang w:eastAsia="sl-SI"/>
              </w:rPr>
              <w:t>100,00</w:t>
            </w:r>
            <w:r w:rsidRPr="00322A21">
              <w:rPr>
                <w:rFonts w:ascii="Arial" w:eastAsia="Times New Roman" w:hAnsi="Arial" w:cs="Arial"/>
                <w:b/>
                <w:color w:val="000000"/>
                <w:sz w:val="18"/>
                <w:szCs w:val="18"/>
                <w:lang w:eastAsia="sl-SI"/>
              </w:rPr>
              <w:t xml:space="preserve"> %</w:t>
            </w:r>
          </w:p>
        </w:tc>
      </w:tr>
    </w:tbl>
    <w:p w14:paraId="3A7DE4F2" w14:textId="77777777" w:rsidR="003156F5" w:rsidRPr="00322A21" w:rsidRDefault="003156F5" w:rsidP="003156F5">
      <w:pPr>
        <w:spacing w:after="0" w:line="240" w:lineRule="auto"/>
        <w:jc w:val="center"/>
        <w:rPr>
          <w:rFonts w:ascii="Arial" w:hAnsi="Arial" w:cs="Arial"/>
          <w:sz w:val="18"/>
        </w:rPr>
      </w:pPr>
    </w:p>
    <w:p w14:paraId="27ECB909" w14:textId="3575BC2F" w:rsidR="00EE4F5B" w:rsidRPr="00322A21" w:rsidRDefault="00EE4F5B" w:rsidP="003156F5">
      <w:pPr>
        <w:spacing w:after="0" w:line="240" w:lineRule="auto"/>
        <w:jc w:val="center"/>
        <w:rPr>
          <w:rFonts w:ascii="Arial" w:hAnsi="Arial" w:cs="Arial"/>
          <w:sz w:val="18"/>
        </w:rPr>
      </w:pPr>
      <w:r w:rsidRPr="00322A21">
        <w:rPr>
          <w:rFonts w:ascii="Arial" w:hAnsi="Arial" w:cs="Arial"/>
          <w:sz w:val="18"/>
        </w:rPr>
        <w:t>Vir: Statistični podatki o javnih naročil</w:t>
      </w:r>
      <w:r w:rsidR="000B6669" w:rsidRPr="00322A21">
        <w:rPr>
          <w:rFonts w:ascii="Arial" w:hAnsi="Arial" w:cs="Arial"/>
          <w:sz w:val="18"/>
        </w:rPr>
        <w:t>ih, oddanih v letu 201</w:t>
      </w:r>
      <w:r w:rsidR="00462116" w:rsidRPr="00322A21">
        <w:rPr>
          <w:rFonts w:ascii="Arial" w:hAnsi="Arial" w:cs="Arial"/>
          <w:sz w:val="18"/>
        </w:rPr>
        <w:t>8</w:t>
      </w:r>
    </w:p>
    <w:p w14:paraId="3076CE8E" w14:textId="245BBED8" w:rsidR="00C63E46" w:rsidRPr="00322A21" w:rsidRDefault="00C63E46" w:rsidP="00854405">
      <w:pPr>
        <w:pStyle w:val="ZADEVA"/>
        <w:jc w:val="both"/>
        <w:rPr>
          <w:rFonts w:cs="Arial"/>
          <w:b w:val="0"/>
          <w:szCs w:val="20"/>
          <w:lang w:val="sl-SI"/>
        </w:rPr>
      </w:pPr>
    </w:p>
    <w:p w14:paraId="121038EC" w14:textId="24444DE5" w:rsidR="00137D9B" w:rsidRPr="005508D5" w:rsidRDefault="00137D9B" w:rsidP="00137D9B">
      <w:pPr>
        <w:tabs>
          <w:tab w:val="left" w:pos="567"/>
          <w:tab w:val="left" w:pos="993"/>
        </w:tabs>
        <w:spacing w:line="360" w:lineRule="auto"/>
        <w:jc w:val="both"/>
        <w:rPr>
          <w:rFonts w:ascii="Arial" w:hAnsi="Arial" w:cs="Arial"/>
          <w:bCs/>
          <w:sz w:val="20"/>
          <w:szCs w:val="20"/>
        </w:rPr>
      </w:pPr>
      <w:r w:rsidRPr="005508D5">
        <w:rPr>
          <w:rFonts w:ascii="Arial" w:hAnsi="Arial" w:cs="Arial"/>
          <w:bCs/>
          <w:sz w:val="20"/>
          <w:szCs w:val="20"/>
        </w:rPr>
        <w:t>Največ postopkov javnega naročanja, v katerih naročniki predhodno niso objavili obvestila o javnem naročilu, je bilo izvedenih na splošnem p</w:t>
      </w:r>
      <w:r w:rsidR="000E716D" w:rsidRPr="005508D5">
        <w:rPr>
          <w:rFonts w:ascii="Arial" w:hAnsi="Arial" w:cs="Arial"/>
          <w:bCs/>
          <w:sz w:val="20"/>
          <w:szCs w:val="20"/>
        </w:rPr>
        <w:t xml:space="preserve">odročju, njihov delež pa v </w:t>
      </w:r>
      <w:r w:rsidRPr="005508D5">
        <w:rPr>
          <w:rFonts w:ascii="Arial" w:hAnsi="Arial" w:cs="Arial"/>
          <w:bCs/>
          <w:sz w:val="20"/>
          <w:szCs w:val="20"/>
        </w:rPr>
        <w:t xml:space="preserve">številu naročil </w:t>
      </w:r>
      <w:r w:rsidR="00EC1BBF">
        <w:rPr>
          <w:rFonts w:ascii="Arial" w:hAnsi="Arial" w:cs="Arial"/>
          <w:bCs/>
          <w:sz w:val="20"/>
          <w:szCs w:val="20"/>
        </w:rPr>
        <w:t>in</w:t>
      </w:r>
      <w:r w:rsidRPr="005508D5">
        <w:rPr>
          <w:rFonts w:ascii="Arial" w:hAnsi="Arial" w:cs="Arial"/>
          <w:bCs/>
          <w:sz w:val="20"/>
          <w:szCs w:val="20"/>
        </w:rPr>
        <w:t xml:space="preserve"> v pogodbeni vrednosti </w:t>
      </w:r>
      <w:r w:rsidR="00EC1BBF">
        <w:rPr>
          <w:rFonts w:ascii="Arial" w:hAnsi="Arial" w:cs="Arial"/>
          <w:bCs/>
          <w:sz w:val="20"/>
          <w:szCs w:val="20"/>
        </w:rPr>
        <w:t>pomeni</w:t>
      </w:r>
      <w:r w:rsidR="00EC1BBF" w:rsidRPr="005508D5">
        <w:rPr>
          <w:rFonts w:ascii="Arial" w:hAnsi="Arial" w:cs="Arial"/>
          <w:bCs/>
          <w:sz w:val="20"/>
          <w:szCs w:val="20"/>
        </w:rPr>
        <w:t xml:space="preserve"> </w:t>
      </w:r>
      <w:r w:rsidRPr="005508D5">
        <w:rPr>
          <w:rFonts w:ascii="Arial" w:hAnsi="Arial" w:cs="Arial"/>
          <w:bCs/>
          <w:sz w:val="20"/>
          <w:szCs w:val="20"/>
        </w:rPr>
        <w:t xml:space="preserve">več kot </w:t>
      </w:r>
      <w:r w:rsidR="005508D5" w:rsidRPr="005508D5">
        <w:rPr>
          <w:rFonts w:ascii="Arial" w:hAnsi="Arial" w:cs="Arial"/>
          <w:bCs/>
          <w:sz w:val="20"/>
          <w:szCs w:val="20"/>
        </w:rPr>
        <w:t xml:space="preserve">60 % </w:t>
      </w:r>
      <w:r w:rsidRPr="005508D5">
        <w:rPr>
          <w:rFonts w:ascii="Arial" w:hAnsi="Arial" w:cs="Arial"/>
          <w:bCs/>
          <w:sz w:val="20"/>
          <w:szCs w:val="20"/>
        </w:rPr>
        <w:t>vseh teh naročil.</w:t>
      </w:r>
    </w:p>
    <w:p w14:paraId="5F7A03C1" w14:textId="72A953B7" w:rsidR="00EE4F5B" w:rsidRPr="005508D5" w:rsidRDefault="00EE4F5B" w:rsidP="008A61FD">
      <w:pPr>
        <w:spacing w:before="120" w:after="120" w:line="240" w:lineRule="auto"/>
        <w:jc w:val="both"/>
        <w:rPr>
          <w:rFonts w:ascii="Arial" w:hAnsi="Arial" w:cs="Arial"/>
          <w:sz w:val="20"/>
        </w:rPr>
      </w:pPr>
      <w:r w:rsidRPr="005508D5">
        <w:rPr>
          <w:rFonts w:ascii="Arial" w:hAnsi="Arial" w:cs="Arial"/>
          <w:sz w:val="20"/>
        </w:rPr>
        <w:t xml:space="preserve">Preglednica </w:t>
      </w:r>
      <w:r w:rsidR="00E430F6" w:rsidRPr="005508D5">
        <w:rPr>
          <w:rFonts w:ascii="Arial" w:hAnsi="Arial" w:cs="Arial"/>
          <w:sz w:val="20"/>
        </w:rPr>
        <w:t>1</w:t>
      </w:r>
      <w:r w:rsidR="00EB4423">
        <w:rPr>
          <w:rFonts w:ascii="Arial" w:hAnsi="Arial" w:cs="Arial"/>
          <w:sz w:val="20"/>
        </w:rPr>
        <w:t>5</w:t>
      </w:r>
      <w:r w:rsidRPr="005508D5">
        <w:rPr>
          <w:rFonts w:ascii="Arial" w:hAnsi="Arial" w:cs="Arial"/>
          <w:sz w:val="20"/>
        </w:rPr>
        <w:t xml:space="preserve">: </w:t>
      </w:r>
      <w:r w:rsidR="00105F39" w:rsidRPr="005508D5">
        <w:rPr>
          <w:rFonts w:ascii="Arial" w:hAnsi="Arial" w:cs="Arial"/>
          <w:sz w:val="20"/>
        </w:rPr>
        <w:t>Postopki brez predhodne objave obvestila o javnem naročilu</w:t>
      </w:r>
      <w:r w:rsidRPr="005508D5">
        <w:rPr>
          <w:rFonts w:ascii="Arial" w:hAnsi="Arial" w:cs="Arial"/>
          <w:sz w:val="20"/>
        </w:rPr>
        <w:t>, naročila in njihova vrednost ter deleži glede na področje</w:t>
      </w:r>
      <w:r w:rsidR="007C1875" w:rsidRPr="005508D5">
        <w:rPr>
          <w:rFonts w:ascii="Arial" w:hAnsi="Arial" w:cs="Arial"/>
          <w:sz w:val="20"/>
        </w:rPr>
        <w:t xml:space="preserve"> naročanja</w:t>
      </w:r>
      <w:r w:rsidRPr="005508D5">
        <w:rPr>
          <w:rFonts w:ascii="Arial" w:hAnsi="Arial" w:cs="Arial"/>
          <w:sz w:val="20"/>
        </w:rPr>
        <w:t xml:space="preserve"> </w:t>
      </w:r>
    </w:p>
    <w:tbl>
      <w:tblPr>
        <w:tblW w:w="4385"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5"/>
        <w:gridCol w:w="962"/>
        <w:gridCol w:w="672"/>
        <w:gridCol w:w="1232"/>
        <w:gridCol w:w="1278"/>
        <w:gridCol w:w="1227"/>
        <w:gridCol w:w="901"/>
      </w:tblGrid>
      <w:tr w:rsidR="007260E3" w:rsidRPr="00A00DED" w14:paraId="123F17ED" w14:textId="77777777" w:rsidTr="00A00DED">
        <w:trPr>
          <w:trHeight w:val="495"/>
        </w:trPr>
        <w:tc>
          <w:tcPr>
            <w:tcW w:w="1054" w:type="pct"/>
            <w:shd w:val="clear" w:color="000000" w:fill="EDEDED"/>
            <w:vAlign w:val="center"/>
            <w:hideMark/>
          </w:tcPr>
          <w:p w14:paraId="04742207"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Področje</w:t>
            </w:r>
          </w:p>
        </w:tc>
        <w:tc>
          <w:tcPr>
            <w:tcW w:w="605" w:type="pct"/>
            <w:shd w:val="clear" w:color="000000" w:fill="EDEDED"/>
            <w:vAlign w:val="center"/>
            <w:hideMark/>
          </w:tcPr>
          <w:p w14:paraId="764A1EE3"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Št. postopkov</w:t>
            </w:r>
          </w:p>
        </w:tc>
        <w:tc>
          <w:tcPr>
            <w:tcW w:w="423" w:type="pct"/>
            <w:shd w:val="clear" w:color="000000" w:fill="EDEDED"/>
            <w:vAlign w:val="center"/>
            <w:hideMark/>
          </w:tcPr>
          <w:p w14:paraId="148FDB16"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Št. naročil</w:t>
            </w:r>
          </w:p>
        </w:tc>
        <w:tc>
          <w:tcPr>
            <w:tcW w:w="775" w:type="pct"/>
            <w:shd w:val="clear" w:color="000000" w:fill="EDEDED"/>
            <w:vAlign w:val="center"/>
            <w:hideMark/>
          </w:tcPr>
          <w:p w14:paraId="6DD48EC4"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Pogodbena vrednost</w:t>
            </w:r>
          </w:p>
        </w:tc>
        <w:tc>
          <w:tcPr>
            <w:tcW w:w="804" w:type="pct"/>
            <w:shd w:val="clear" w:color="000000" w:fill="EDEDED"/>
            <w:vAlign w:val="center"/>
            <w:hideMark/>
          </w:tcPr>
          <w:p w14:paraId="0E75E2C0"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Delež v št. postopkov</w:t>
            </w:r>
          </w:p>
        </w:tc>
        <w:tc>
          <w:tcPr>
            <w:tcW w:w="772" w:type="pct"/>
            <w:shd w:val="clear" w:color="000000" w:fill="EDEDED"/>
            <w:vAlign w:val="center"/>
            <w:hideMark/>
          </w:tcPr>
          <w:p w14:paraId="5B88A8CE"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Delež v št. naročil</w:t>
            </w:r>
          </w:p>
        </w:tc>
        <w:tc>
          <w:tcPr>
            <w:tcW w:w="567" w:type="pct"/>
            <w:shd w:val="clear" w:color="000000" w:fill="EDEDED"/>
            <w:vAlign w:val="center"/>
            <w:hideMark/>
          </w:tcPr>
          <w:p w14:paraId="24C0C480" w14:textId="77777777" w:rsidR="000A57B9" w:rsidRPr="00A00DED" w:rsidRDefault="000A57B9" w:rsidP="000A57B9">
            <w:pPr>
              <w:spacing w:after="0" w:line="240" w:lineRule="auto"/>
              <w:jc w:val="center"/>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Delež v vrednosti</w:t>
            </w:r>
          </w:p>
        </w:tc>
      </w:tr>
      <w:tr w:rsidR="000B65F5" w:rsidRPr="00A00DED" w14:paraId="059BDD66" w14:textId="77777777" w:rsidTr="00A00DED">
        <w:trPr>
          <w:trHeight w:val="300"/>
        </w:trPr>
        <w:tc>
          <w:tcPr>
            <w:tcW w:w="1054" w:type="pct"/>
            <w:shd w:val="clear" w:color="auto" w:fill="auto"/>
            <w:vAlign w:val="center"/>
            <w:hideMark/>
          </w:tcPr>
          <w:p w14:paraId="1985A622" w14:textId="7BEB1237" w:rsidR="000B65F5" w:rsidRPr="00A00DED" w:rsidRDefault="000B65F5" w:rsidP="000B65F5">
            <w:pPr>
              <w:spacing w:after="0" w:line="240" w:lineRule="auto"/>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Splošno</w:t>
            </w:r>
          </w:p>
        </w:tc>
        <w:tc>
          <w:tcPr>
            <w:tcW w:w="605" w:type="pct"/>
            <w:shd w:val="clear" w:color="auto" w:fill="auto"/>
            <w:vAlign w:val="center"/>
            <w:hideMark/>
          </w:tcPr>
          <w:p w14:paraId="37432152" w14:textId="69E4A7A3"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516</w:t>
            </w:r>
          </w:p>
        </w:tc>
        <w:tc>
          <w:tcPr>
            <w:tcW w:w="423" w:type="pct"/>
            <w:shd w:val="clear" w:color="auto" w:fill="auto"/>
            <w:vAlign w:val="center"/>
            <w:hideMark/>
          </w:tcPr>
          <w:p w14:paraId="25621EC2" w14:textId="11FABAF4"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591</w:t>
            </w:r>
          </w:p>
        </w:tc>
        <w:tc>
          <w:tcPr>
            <w:tcW w:w="775" w:type="pct"/>
            <w:shd w:val="clear" w:color="auto" w:fill="auto"/>
            <w:vAlign w:val="center"/>
            <w:hideMark/>
          </w:tcPr>
          <w:p w14:paraId="4042B565" w14:textId="4B11F083"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188.414.627</w:t>
            </w:r>
          </w:p>
        </w:tc>
        <w:tc>
          <w:tcPr>
            <w:tcW w:w="804" w:type="pct"/>
            <w:shd w:val="clear" w:color="auto" w:fill="auto"/>
            <w:noWrap/>
            <w:vAlign w:val="center"/>
            <w:hideMark/>
          </w:tcPr>
          <w:p w14:paraId="5A35B104" w14:textId="359AD4E3"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68,34 %</w:t>
            </w:r>
          </w:p>
        </w:tc>
        <w:tc>
          <w:tcPr>
            <w:tcW w:w="772" w:type="pct"/>
            <w:shd w:val="clear" w:color="auto" w:fill="auto"/>
            <w:noWrap/>
            <w:vAlign w:val="center"/>
            <w:hideMark/>
          </w:tcPr>
          <w:p w14:paraId="58D4D1AD" w14:textId="7D4DA85D"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70,11 %</w:t>
            </w:r>
          </w:p>
        </w:tc>
        <w:tc>
          <w:tcPr>
            <w:tcW w:w="567" w:type="pct"/>
            <w:shd w:val="clear" w:color="auto" w:fill="auto"/>
            <w:noWrap/>
            <w:vAlign w:val="center"/>
            <w:hideMark/>
          </w:tcPr>
          <w:p w14:paraId="777CB0E9" w14:textId="018221BB"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60,50 %</w:t>
            </w:r>
          </w:p>
        </w:tc>
      </w:tr>
      <w:tr w:rsidR="000B65F5" w:rsidRPr="00A00DED" w14:paraId="3CBB69C1" w14:textId="77777777" w:rsidTr="00A00DED">
        <w:trPr>
          <w:trHeight w:val="300"/>
        </w:trPr>
        <w:tc>
          <w:tcPr>
            <w:tcW w:w="1054" w:type="pct"/>
            <w:shd w:val="clear" w:color="auto" w:fill="auto"/>
            <w:vAlign w:val="center"/>
            <w:hideMark/>
          </w:tcPr>
          <w:p w14:paraId="4789442E" w14:textId="5FF15833" w:rsidR="000B65F5" w:rsidRPr="00A00DED" w:rsidRDefault="000B65F5" w:rsidP="000B65F5">
            <w:pPr>
              <w:spacing w:after="0" w:line="240" w:lineRule="auto"/>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Infrastrukturno</w:t>
            </w:r>
          </w:p>
        </w:tc>
        <w:tc>
          <w:tcPr>
            <w:tcW w:w="605" w:type="pct"/>
            <w:shd w:val="clear" w:color="auto" w:fill="auto"/>
            <w:vAlign w:val="center"/>
            <w:hideMark/>
          </w:tcPr>
          <w:p w14:paraId="78098667" w14:textId="787889F9"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201</w:t>
            </w:r>
          </w:p>
        </w:tc>
        <w:tc>
          <w:tcPr>
            <w:tcW w:w="423" w:type="pct"/>
            <w:shd w:val="clear" w:color="auto" w:fill="auto"/>
            <w:vAlign w:val="center"/>
            <w:hideMark/>
          </w:tcPr>
          <w:p w14:paraId="20761AA0" w14:textId="3BE84AAB"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214</w:t>
            </w:r>
          </w:p>
        </w:tc>
        <w:tc>
          <w:tcPr>
            <w:tcW w:w="775" w:type="pct"/>
            <w:shd w:val="clear" w:color="auto" w:fill="auto"/>
            <w:vAlign w:val="center"/>
            <w:hideMark/>
          </w:tcPr>
          <w:p w14:paraId="6DE833AE" w14:textId="68A20684"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104.736.614</w:t>
            </w:r>
          </w:p>
        </w:tc>
        <w:tc>
          <w:tcPr>
            <w:tcW w:w="804" w:type="pct"/>
            <w:shd w:val="clear" w:color="auto" w:fill="auto"/>
            <w:noWrap/>
            <w:vAlign w:val="center"/>
            <w:hideMark/>
          </w:tcPr>
          <w:p w14:paraId="001385F6" w14:textId="61ECEE16"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26,62 %</w:t>
            </w:r>
          </w:p>
        </w:tc>
        <w:tc>
          <w:tcPr>
            <w:tcW w:w="772" w:type="pct"/>
            <w:shd w:val="clear" w:color="auto" w:fill="auto"/>
            <w:noWrap/>
            <w:vAlign w:val="center"/>
            <w:hideMark/>
          </w:tcPr>
          <w:p w14:paraId="0806E9A4" w14:textId="3AA059DF"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25,39 %</w:t>
            </w:r>
          </w:p>
        </w:tc>
        <w:tc>
          <w:tcPr>
            <w:tcW w:w="567" w:type="pct"/>
            <w:shd w:val="clear" w:color="auto" w:fill="auto"/>
            <w:noWrap/>
            <w:vAlign w:val="center"/>
            <w:hideMark/>
          </w:tcPr>
          <w:p w14:paraId="0C3DDFB2" w14:textId="2B753D6F"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33,63 %</w:t>
            </w:r>
          </w:p>
        </w:tc>
      </w:tr>
      <w:tr w:rsidR="000B65F5" w:rsidRPr="00A00DED" w14:paraId="5EB5C897" w14:textId="77777777" w:rsidTr="00A00DED">
        <w:trPr>
          <w:trHeight w:val="300"/>
        </w:trPr>
        <w:tc>
          <w:tcPr>
            <w:tcW w:w="1054" w:type="pct"/>
            <w:shd w:val="clear" w:color="auto" w:fill="auto"/>
            <w:vAlign w:val="center"/>
            <w:hideMark/>
          </w:tcPr>
          <w:p w14:paraId="7CD4DA55" w14:textId="29FB4030" w:rsidR="000B65F5" w:rsidRPr="00A00DED" w:rsidRDefault="000B65F5" w:rsidP="000B65F5">
            <w:pPr>
              <w:spacing w:after="0" w:line="240" w:lineRule="auto"/>
              <w:rPr>
                <w:rFonts w:ascii="Arial" w:eastAsia="Times New Roman" w:hAnsi="Arial" w:cs="Arial"/>
                <w:color w:val="000000"/>
                <w:sz w:val="18"/>
                <w:szCs w:val="18"/>
                <w:lang w:eastAsia="sl-SI"/>
              </w:rPr>
            </w:pPr>
            <w:r w:rsidRPr="00A00DED">
              <w:rPr>
                <w:rFonts w:ascii="Arial" w:eastAsia="Times New Roman" w:hAnsi="Arial" w:cs="Arial"/>
                <w:color w:val="000000"/>
                <w:sz w:val="18"/>
                <w:szCs w:val="18"/>
                <w:lang w:eastAsia="sl-SI"/>
              </w:rPr>
              <w:t>Obrambno</w:t>
            </w:r>
          </w:p>
        </w:tc>
        <w:tc>
          <w:tcPr>
            <w:tcW w:w="605" w:type="pct"/>
            <w:shd w:val="clear" w:color="auto" w:fill="auto"/>
            <w:vAlign w:val="center"/>
            <w:hideMark/>
          </w:tcPr>
          <w:p w14:paraId="0CC8F8FA" w14:textId="6D2B4B23"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38</w:t>
            </w:r>
          </w:p>
        </w:tc>
        <w:tc>
          <w:tcPr>
            <w:tcW w:w="423" w:type="pct"/>
            <w:shd w:val="clear" w:color="auto" w:fill="auto"/>
            <w:vAlign w:val="center"/>
            <w:hideMark/>
          </w:tcPr>
          <w:p w14:paraId="1504394F" w14:textId="46872788"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38</w:t>
            </w:r>
          </w:p>
        </w:tc>
        <w:tc>
          <w:tcPr>
            <w:tcW w:w="775" w:type="pct"/>
            <w:shd w:val="clear" w:color="auto" w:fill="auto"/>
            <w:vAlign w:val="center"/>
            <w:hideMark/>
          </w:tcPr>
          <w:p w14:paraId="5E173ECC" w14:textId="26436B84"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18.270.138</w:t>
            </w:r>
          </w:p>
        </w:tc>
        <w:tc>
          <w:tcPr>
            <w:tcW w:w="804" w:type="pct"/>
            <w:shd w:val="clear" w:color="auto" w:fill="auto"/>
            <w:noWrap/>
            <w:vAlign w:val="center"/>
            <w:hideMark/>
          </w:tcPr>
          <w:p w14:paraId="3CD113AB" w14:textId="055E0CE6"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5,03 %</w:t>
            </w:r>
          </w:p>
        </w:tc>
        <w:tc>
          <w:tcPr>
            <w:tcW w:w="772" w:type="pct"/>
            <w:shd w:val="clear" w:color="auto" w:fill="auto"/>
            <w:noWrap/>
            <w:vAlign w:val="center"/>
            <w:hideMark/>
          </w:tcPr>
          <w:p w14:paraId="3BEC4EC1" w14:textId="1603C70C"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4,51 %</w:t>
            </w:r>
          </w:p>
        </w:tc>
        <w:tc>
          <w:tcPr>
            <w:tcW w:w="567" w:type="pct"/>
            <w:shd w:val="clear" w:color="auto" w:fill="auto"/>
            <w:noWrap/>
            <w:vAlign w:val="center"/>
            <w:hideMark/>
          </w:tcPr>
          <w:p w14:paraId="73960E76" w14:textId="2197CC24" w:rsidR="000B65F5" w:rsidRPr="00A00DED" w:rsidRDefault="000B65F5" w:rsidP="000B65F5">
            <w:pPr>
              <w:spacing w:after="0" w:line="240" w:lineRule="auto"/>
              <w:jc w:val="right"/>
              <w:rPr>
                <w:rFonts w:ascii="Arial" w:eastAsia="Times New Roman" w:hAnsi="Arial" w:cs="Arial"/>
                <w:color w:val="000000"/>
                <w:sz w:val="18"/>
                <w:szCs w:val="18"/>
                <w:lang w:eastAsia="sl-SI"/>
              </w:rPr>
            </w:pPr>
            <w:r w:rsidRPr="00A00DED">
              <w:rPr>
                <w:rFonts w:ascii="Arial" w:hAnsi="Arial" w:cs="Arial"/>
                <w:sz w:val="18"/>
                <w:szCs w:val="18"/>
              </w:rPr>
              <w:t>5,87 %</w:t>
            </w:r>
          </w:p>
        </w:tc>
      </w:tr>
      <w:tr w:rsidR="000B65F5" w:rsidRPr="00A00DED" w14:paraId="3477954F" w14:textId="77777777" w:rsidTr="00A00DED">
        <w:trPr>
          <w:trHeight w:val="300"/>
        </w:trPr>
        <w:tc>
          <w:tcPr>
            <w:tcW w:w="1054" w:type="pct"/>
            <w:shd w:val="clear" w:color="auto" w:fill="E7E6E6" w:themeFill="background2"/>
            <w:noWrap/>
            <w:vAlign w:val="center"/>
            <w:hideMark/>
          </w:tcPr>
          <w:p w14:paraId="7EDD2F47" w14:textId="2861127C" w:rsidR="000B65F5" w:rsidRPr="001345A6" w:rsidRDefault="000B65F5" w:rsidP="000B65F5">
            <w:pPr>
              <w:spacing w:after="0" w:line="240" w:lineRule="auto"/>
              <w:rPr>
                <w:rFonts w:ascii="Arial" w:eastAsia="Times New Roman" w:hAnsi="Arial" w:cs="Arial"/>
                <w:b/>
                <w:color w:val="000000"/>
                <w:sz w:val="18"/>
                <w:szCs w:val="18"/>
                <w:lang w:eastAsia="sl-SI"/>
              </w:rPr>
            </w:pPr>
            <w:r w:rsidRPr="001345A6">
              <w:rPr>
                <w:rFonts w:ascii="Arial" w:eastAsia="Times New Roman" w:hAnsi="Arial" w:cs="Arial"/>
                <w:b/>
                <w:color w:val="000000"/>
                <w:sz w:val="18"/>
                <w:szCs w:val="18"/>
                <w:lang w:eastAsia="sl-SI"/>
              </w:rPr>
              <w:t> Skupaj</w:t>
            </w:r>
          </w:p>
        </w:tc>
        <w:tc>
          <w:tcPr>
            <w:tcW w:w="605" w:type="pct"/>
            <w:shd w:val="clear" w:color="auto" w:fill="E7E6E6" w:themeFill="background2"/>
            <w:noWrap/>
            <w:vAlign w:val="center"/>
            <w:hideMark/>
          </w:tcPr>
          <w:p w14:paraId="066BC29D" w14:textId="0DAC7EB8" w:rsidR="000B65F5" w:rsidRPr="001345A6" w:rsidRDefault="000B65F5" w:rsidP="000B65F5">
            <w:pPr>
              <w:spacing w:after="0" w:line="240" w:lineRule="auto"/>
              <w:jc w:val="right"/>
              <w:rPr>
                <w:rFonts w:ascii="Arial" w:eastAsia="Times New Roman" w:hAnsi="Arial" w:cs="Arial"/>
                <w:b/>
                <w:color w:val="000000"/>
                <w:sz w:val="18"/>
                <w:szCs w:val="18"/>
                <w:lang w:eastAsia="sl-SI"/>
              </w:rPr>
            </w:pPr>
            <w:r w:rsidRPr="001345A6">
              <w:rPr>
                <w:rFonts w:ascii="Arial" w:hAnsi="Arial" w:cs="Arial"/>
                <w:b/>
                <w:sz w:val="18"/>
                <w:szCs w:val="18"/>
              </w:rPr>
              <w:t>755</w:t>
            </w:r>
          </w:p>
        </w:tc>
        <w:tc>
          <w:tcPr>
            <w:tcW w:w="423" w:type="pct"/>
            <w:shd w:val="clear" w:color="auto" w:fill="E7E6E6" w:themeFill="background2"/>
            <w:noWrap/>
            <w:vAlign w:val="center"/>
            <w:hideMark/>
          </w:tcPr>
          <w:p w14:paraId="6F15B269" w14:textId="0D08FB24" w:rsidR="000B65F5" w:rsidRPr="001345A6" w:rsidRDefault="000B65F5" w:rsidP="000B65F5">
            <w:pPr>
              <w:spacing w:after="0" w:line="240" w:lineRule="auto"/>
              <w:jc w:val="right"/>
              <w:rPr>
                <w:rFonts w:ascii="Arial" w:eastAsia="Times New Roman" w:hAnsi="Arial" w:cs="Arial"/>
                <w:b/>
                <w:color w:val="000000"/>
                <w:sz w:val="18"/>
                <w:szCs w:val="18"/>
                <w:lang w:eastAsia="sl-SI"/>
              </w:rPr>
            </w:pPr>
            <w:r w:rsidRPr="001345A6">
              <w:rPr>
                <w:rFonts w:ascii="Arial" w:hAnsi="Arial" w:cs="Arial"/>
                <w:b/>
                <w:sz w:val="18"/>
                <w:szCs w:val="18"/>
              </w:rPr>
              <w:t>843</w:t>
            </w:r>
          </w:p>
        </w:tc>
        <w:tc>
          <w:tcPr>
            <w:tcW w:w="775" w:type="pct"/>
            <w:shd w:val="clear" w:color="auto" w:fill="E7E6E6" w:themeFill="background2"/>
            <w:noWrap/>
            <w:vAlign w:val="center"/>
            <w:hideMark/>
          </w:tcPr>
          <w:p w14:paraId="2E6A5AE2" w14:textId="454A259C" w:rsidR="000B65F5" w:rsidRPr="001345A6" w:rsidRDefault="000B65F5" w:rsidP="000B65F5">
            <w:pPr>
              <w:spacing w:after="0" w:line="240" w:lineRule="auto"/>
              <w:jc w:val="right"/>
              <w:rPr>
                <w:rFonts w:ascii="Arial" w:eastAsia="Times New Roman" w:hAnsi="Arial" w:cs="Arial"/>
                <w:b/>
                <w:color w:val="000000"/>
                <w:sz w:val="18"/>
                <w:szCs w:val="18"/>
                <w:lang w:eastAsia="sl-SI"/>
              </w:rPr>
            </w:pPr>
            <w:r w:rsidRPr="001345A6">
              <w:rPr>
                <w:rFonts w:ascii="Arial" w:hAnsi="Arial" w:cs="Arial"/>
                <w:b/>
                <w:sz w:val="18"/>
                <w:szCs w:val="18"/>
              </w:rPr>
              <w:t>311.421.379</w:t>
            </w:r>
          </w:p>
        </w:tc>
        <w:tc>
          <w:tcPr>
            <w:tcW w:w="804" w:type="pct"/>
            <w:shd w:val="clear" w:color="auto" w:fill="E7E6E6" w:themeFill="background2"/>
            <w:noWrap/>
            <w:vAlign w:val="center"/>
            <w:hideMark/>
          </w:tcPr>
          <w:p w14:paraId="412D69F1" w14:textId="495D173C" w:rsidR="000B65F5" w:rsidRPr="001345A6" w:rsidRDefault="000B65F5" w:rsidP="000B65F5">
            <w:pPr>
              <w:spacing w:after="0" w:line="240" w:lineRule="auto"/>
              <w:jc w:val="right"/>
              <w:rPr>
                <w:rFonts w:ascii="Arial" w:eastAsia="Times New Roman" w:hAnsi="Arial" w:cs="Arial"/>
                <w:b/>
                <w:color w:val="000000"/>
                <w:sz w:val="18"/>
                <w:szCs w:val="18"/>
                <w:lang w:eastAsia="sl-SI"/>
              </w:rPr>
            </w:pPr>
            <w:r w:rsidRPr="001345A6">
              <w:rPr>
                <w:rFonts w:ascii="Arial" w:hAnsi="Arial" w:cs="Arial"/>
                <w:b/>
                <w:sz w:val="18"/>
                <w:szCs w:val="18"/>
              </w:rPr>
              <w:t>100,00 %</w:t>
            </w:r>
          </w:p>
        </w:tc>
        <w:tc>
          <w:tcPr>
            <w:tcW w:w="772" w:type="pct"/>
            <w:shd w:val="clear" w:color="auto" w:fill="E7E6E6" w:themeFill="background2"/>
            <w:noWrap/>
            <w:vAlign w:val="center"/>
            <w:hideMark/>
          </w:tcPr>
          <w:p w14:paraId="0646143A" w14:textId="2F664DFD" w:rsidR="000B65F5" w:rsidRPr="001345A6" w:rsidRDefault="000B65F5" w:rsidP="000B65F5">
            <w:pPr>
              <w:spacing w:after="0" w:line="240" w:lineRule="auto"/>
              <w:jc w:val="right"/>
              <w:rPr>
                <w:rFonts w:ascii="Arial" w:eastAsia="Times New Roman" w:hAnsi="Arial" w:cs="Arial"/>
                <w:b/>
                <w:color w:val="000000"/>
                <w:sz w:val="18"/>
                <w:szCs w:val="18"/>
                <w:lang w:eastAsia="sl-SI"/>
              </w:rPr>
            </w:pPr>
            <w:r w:rsidRPr="001345A6">
              <w:rPr>
                <w:rFonts w:ascii="Arial" w:hAnsi="Arial" w:cs="Arial"/>
                <w:b/>
                <w:sz w:val="18"/>
                <w:szCs w:val="18"/>
              </w:rPr>
              <w:t>100,00 %</w:t>
            </w:r>
          </w:p>
        </w:tc>
        <w:tc>
          <w:tcPr>
            <w:tcW w:w="567" w:type="pct"/>
            <w:shd w:val="clear" w:color="auto" w:fill="E7E6E6" w:themeFill="background2"/>
            <w:noWrap/>
            <w:vAlign w:val="center"/>
            <w:hideMark/>
          </w:tcPr>
          <w:p w14:paraId="4982A819" w14:textId="34ACBAF6" w:rsidR="000B65F5" w:rsidRPr="001345A6" w:rsidRDefault="000B65F5" w:rsidP="000B65F5">
            <w:pPr>
              <w:spacing w:after="0" w:line="240" w:lineRule="auto"/>
              <w:jc w:val="right"/>
              <w:rPr>
                <w:rFonts w:ascii="Arial" w:eastAsia="Times New Roman" w:hAnsi="Arial" w:cs="Arial"/>
                <w:b/>
                <w:color w:val="000000"/>
                <w:sz w:val="18"/>
                <w:szCs w:val="18"/>
                <w:lang w:eastAsia="sl-SI"/>
              </w:rPr>
            </w:pPr>
            <w:r w:rsidRPr="001345A6">
              <w:rPr>
                <w:rFonts w:ascii="Arial" w:hAnsi="Arial" w:cs="Arial"/>
                <w:b/>
                <w:sz w:val="18"/>
                <w:szCs w:val="18"/>
              </w:rPr>
              <w:t>100,00 %</w:t>
            </w:r>
          </w:p>
        </w:tc>
      </w:tr>
    </w:tbl>
    <w:p w14:paraId="477E4FDD" w14:textId="330C15B3" w:rsidR="00A8659F" w:rsidRPr="005508D5" w:rsidRDefault="00A8659F" w:rsidP="00A8659F">
      <w:pPr>
        <w:pStyle w:val="ZADEVA"/>
        <w:jc w:val="both"/>
        <w:rPr>
          <w:rFonts w:cs="Arial"/>
          <w:b w:val="0"/>
          <w:szCs w:val="20"/>
          <w:lang w:val="sl-SI"/>
        </w:rPr>
      </w:pPr>
    </w:p>
    <w:p w14:paraId="28DBF0CE" w14:textId="39B710C4" w:rsidR="00EE4F5B" w:rsidRPr="005508D5" w:rsidRDefault="00EE4F5B" w:rsidP="00701C10">
      <w:pPr>
        <w:spacing w:after="240" w:line="240" w:lineRule="auto"/>
        <w:jc w:val="center"/>
        <w:rPr>
          <w:rFonts w:ascii="Arial" w:hAnsi="Arial" w:cs="Arial"/>
          <w:sz w:val="18"/>
        </w:rPr>
      </w:pPr>
      <w:r w:rsidRPr="005508D5">
        <w:rPr>
          <w:rFonts w:ascii="Arial" w:hAnsi="Arial" w:cs="Arial"/>
          <w:sz w:val="18"/>
        </w:rPr>
        <w:t>Vir: Statistični podatki o javni</w:t>
      </w:r>
      <w:r w:rsidR="00C205E0" w:rsidRPr="005508D5">
        <w:rPr>
          <w:rFonts w:ascii="Arial" w:hAnsi="Arial" w:cs="Arial"/>
          <w:sz w:val="18"/>
        </w:rPr>
        <w:t>h naročilih, oddanih v letu 201</w:t>
      </w:r>
      <w:r w:rsidR="000B65F5" w:rsidRPr="005508D5">
        <w:rPr>
          <w:rFonts w:ascii="Arial" w:hAnsi="Arial" w:cs="Arial"/>
          <w:sz w:val="18"/>
        </w:rPr>
        <w:t>8</w:t>
      </w:r>
    </w:p>
    <w:p w14:paraId="557263FE" w14:textId="51B09F3F" w:rsidR="009931AB" w:rsidRPr="00927F12" w:rsidRDefault="009931AB" w:rsidP="009931AB">
      <w:pPr>
        <w:tabs>
          <w:tab w:val="left" w:pos="567"/>
          <w:tab w:val="left" w:pos="993"/>
        </w:tabs>
        <w:spacing w:line="360" w:lineRule="auto"/>
        <w:jc w:val="both"/>
        <w:rPr>
          <w:rFonts w:ascii="Arial" w:hAnsi="Arial" w:cs="Arial"/>
          <w:bCs/>
          <w:sz w:val="20"/>
          <w:szCs w:val="20"/>
        </w:rPr>
      </w:pPr>
      <w:r w:rsidRPr="00927F12">
        <w:rPr>
          <w:rFonts w:ascii="Arial" w:hAnsi="Arial" w:cs="Arial"/>
          <w:bCs/>
          <w:sz w:val="20"/>
          <w:szCs w:val="20"/>
        </w:rPr>
        <w:t>V postopkih javnega naročanja</w:t>
      </w:r>
      <w:r w:rsidR="00561138" w:rsidRPr="00927F12">
        <w:rPr>
          <w:rFonts w:ascii="Arial" w:hAnsi="Arial" w:cs="Arial"/>
          <w:bCs/>
          <w:sz w:val="20"/>
          <w:szCs w:val="20"/>
        </w:rPr>
        <w:t>,</w:t>
      </w:r>
      <w:r w:rsidRPr="00927F12">
        <w:rPr>
          <w:rFonts w:ascii="Arial" w:hAnsi="Arial" w:cs="Arial"/>
          <w:bCs/>
          <w:sz w:val="20"/>
          <w:szCs w:val="20"/>
        </w:rPr>
        <w:t xml:space="preserve"> v katerih </w:t>
      </w:r>
      <w:r w:rsidR="00105F39" w:rsidRPr="00927F12">
        <w:rPr>
          <w:rFonts w:ascii="Arial" w:hAnsi="Arial" w:cs="Arial"/>
          <w:bCs/>
          <w:sz w:val="20"/>
          <w:szCs w:val="20"/>
        </w:rPr>
        <w:t>naročniki predhodno niso objavili obvestila o javnem naročilu</w:t>
      </w:r>
      <w:r w:rsidRPr="00927F12">
        <w:rPr>
          <w:rFonts w:ascii="Arial" w:hAnsi="Arial" w:cs="Arial"/>
          <w:bCs/>
          <w:sz w:val="20"/>
          <w:szCs w:val="20"/>
        </w:rPr>
        <w:t xml:space="preserve">, prevladuje naročanje </w:t>
      </w:r>
      <w:r w:rsidR="00105F39" w:rsidRPr="00927F12">
        <w:rPr>
          <w:rFonts w:ascii="Arial" w:hAnsi="Arial" w:cs="Arial"/>
          <w:bCs/>
          <w:sz w:val="20"/>
          <w:szCs w:val="20"/>
        </w:rPr>
        <w:t>storitev</w:t>
      </w:r>
      <w:r w:rsidRPr="00927F12">
        <w:rPr>
          <w:rFonts w:ascii="Arial" w:hAnsi="Arial" w:cs="Arial"/>
          <w:bCs/>
          <w:sz w:val="20"/>
          <w:szCs w:val="20"/>
        </w:rPr>
        <w:t xml:space="preserve"> v številu postopkov, številu naročil </w:t>
      </w:r>
      <w:r w:rsidR="00EF5CB1">
        <w:rPr>
          <w:rFonts w:ascii="Arial" w:hAnsi="Arial" w:cs="Arial"/>
          <w:bCs/>
          <w:sz w:val="20"/>
          <w:szCs w:val="20"/>
        </w:rPr>
        <w:t>in v</w:t>
      </w:r>
      <w:r w:rsidR="00EF5CB1" w:rsidRPr="00927F12">
        <w:rPr>
          <w:rFonts w:ascii="Arial" w:hAnsi="Arial" w:cs="Arial"/>
          <w:bCs/>
          <w:sz w:val="20"/>
          <w:szCs w:val="20"/>
        </w:rPr>
        <w:t xml:space="preserve"> </w:t>
      </w:r>
      <w:r w:rsidRPr="00927F12">
        <w:rPr>
          <w:rFonts w:ascii="Arial" w:hAnsi="Arial" w:cs="Arial"/>
          <w:bCs/>
          <w:sz w:val="20"/>
          <w:szCs w:val="20"/>
        </w:rPr>
        <w:t>pogodbeni vrednosti</w:t>
      </w:r>
      <w:r w:rsidR="009B7D8E" w:rsidRPr="00927F12">
        <w:rPr>
          <w:rFonts w:ascii="Arial" w:hAnsi="Arial" w:cs="Arial"/>
          <w:bCs/>
          <w:sz w:val="20"/>
          <w:szCs w:val="20"/>
        </w:rPr>
        <w:t>,</w:t>
      </w:r>
      <w:r w:rsidR="00105F39" w:rsidRPr="00927F12">
        <w:rPr>
          <w:rFonts w:ascii="Arial" w:hAnsi="Arial" w:cs="Arial"/>
          <w:bCs/>
          <w:sz w:val="20"/>
          <w:szCs w:val="20"/>
        </w:rPr>
        <w:t xml:space="preserve"> in </w:t>
      </w:r>
      <w:r w:rsidR="00561138" w:rsidRPr="00927F12">
        <w:rPr>
          <w:rFonts w:ascii="Arial" w:hAnsi="Arial" w:cs="Arial"/>
          <w:bCs/>
          <w:sz w:val="20"/>
          <w:szCs w:val="20"/>
        </w:rPr>
        <w:t xml:space="preserve">to je </w:t>
      </w:r>
      <w:r w:rsidR="00105F39" w:rsidRPr="00927F12">
        <w:rPr>
          <w:rFonts w:ascii="Arial" w:hAnsi="Arial" w:cs="Arial"/>
          <w:bCs/>
          <w:sz w:val="20"/>
          <w:szCs w:val="20"/>
        </w:rPr>
        <w:t>več kot polovic</w:t>
      </w:r>
      <w:r w:rsidR="00561138" w:rsidRPr="00927F12">
        <w:rPr>
          <w:rFonts w:ascii="Arial" w:hAnsi="Arial" w:cs="Arial"/>
          <w:bCs/>
          <w:sz w:val="20"/>
          <w:szCs w:val="20"/>
        </w:rPr>
        <w:t>a</w:t>
      </w:r>
      <w:r w:rsidR="00105F39" w:rsidRPr="00927F12">
        <w:rPr>
          <w:rFonts w:ascii="Arial" w:hAnsi="Arial" w:cs="Arial"/>
          <w:bCs/>
          <w:sz w:val="20"/>
          <w:szCs w:val="20"/>
        </w:rPr>
        <w:t xml:space="preserve"> postopkov, naročil in </w:t>
      </w:r>
      <w:r w:rsidR="00927F12" w:rsidRPr="00927F12">
        <w:rPr>
          <w:rFonts w:ascii="Arial" w:hAnsi="Arial" w:cs="Arial"/>
          <w:bCs/>
          <w:sz w:val="20"/>
          <w:szCs w:val="20"/>
        </w:rPr>
        <w:t xml:space="preserve">slaba polovica </w:t>
      </w:r>
      <w:r w:rsidR="00105F39" w:rsidRPr="00927F12">
        <w:rPr>
          <w:rFonts w:ascii="Arial" w:hAnsi="Arial" w:cs="Arial"/>
          <w:bCs/>
          <w:sz w:val="20"/>
          <w:szCs w:val="20"/>
        </w:rPr>
        <w:t>vrednosti naročil</w:t>
      </w:r>
      <w:r w:rsidRPr="00927F12">
        <w:rPr>
          <w:rFonts w:ascii="Arial" w:hAnsi="Arial" w:cs="Arial"/>
          <w:bCs/>
          <w:sz w:val="20"/>
          <w:szCs w:val="20"/>
        </w:rPr>
        <w:t xml:space="preserve"> glede na vsa naročila, ki so bila oddana v postopkih</w:t>
      </w:r>
      <w:r w:rsidR="00561138" w:rsidRPr="00927F12">
        <w:rPr>
          <w:rFonts w:ascii="Arial" w:hAnsi="Arial" w:cs="Arial"/>
          <w:bCs/>
          <w:sz w:val="20"/>
          <w:szCs w:val="20"/>
        </w:rPr>
        <w:t>,</w:t>
      </w:r>
      <w:r w:rsidRPr="00927F12">
        <w:rPr>
          <w:rFonts w:ascii="Arial" w:hAnsi="Arial" w:cs="Arial"/>
          <w:bCs/>
          <w:sz w:val="20"/>
          <w:szCs w:val="20"/>
        </w:rPr>
        <w:t xml:space="preserve"> za katere naročniki </w:t>
      </w:r>
      <w:r w:rsidR="00105F39" w:rsidRPr="00927F12">
        <w:rPr>
          <w:rFonts w:ascii="Arial" w:hAnsi="Arial" w:cs="Arial"/>
          <w:bCs/>
          <w:sz w:val="20"/>
          <w:szCs w:val="20"/>
        </w:rPr>
        <w:t xml:space="preserve">niso </w:t>
      </w:r>
      <w:r w:rsidRPr="00927F12">
        <w:rPr>
          <w:rFonts w:ascii="Arial" w:hAnsi="Arial" w:cs="Arial"/>
          <w:bCs/>
          <w:sz w:val="20"/>
          <w:szCs w:val="20"/>
        </w:rPr>
        <w:t xml:space="preserve">objavili obvestila o javnem naročilu. </w:t>
      </w:r>
    </w:p>
    <w:p w14:paraId="08209FD2" w14:textId="64FD9B23" w:rsidR="00EE4F5B" w:rsidRPr="00494450" w:rsidRDefault="00EE4F5B" w:rsidP="008A61FD">
      <w:pPr>
        <w:spacing w:before="120" w:after="120" w:line="240" w:lineRule="auto"/>
        <w:jc w:val="both"/>
        <w:rPr>
          <w:rFonts w:ascii="Arial" w:hAnsi="Arial" w:cs="Arial"/>
          <w:sz w:val="20"/>
        </w:rPr>
      </w:pPr>
      <w:r w:rsidRPr="00494450">
        <w:rPr>
          <w:rFonts w:ascii="Arial" w:hAnsi="Arial" w:cs="Arial"/>
          <w:sz w:val="20"/>
        </w:rPr>
        <w:t xml:space="preserve">Preglednica </w:t>
      </w:r>
      <w:r w:rsidR="00E430F6" w:rsidRPr="00494450">
        <w:rPr>
          <w:rFonts w:ascii="Arial" w:hAnsi="Arial" w:cs="Arial"/>
          <w:sz w:val="20"/>
        </w:rPr>
        <w:t>1</w:t>
      </w:r>
      <w:r w:rsidR="00EB4423">
        <w:rPr>
          <w:rFonts w:ascii="Arial" w:hAnsi="Arial" w:cs="Arial"/>
          <w:sz w:val="20"/>
        </w:rPr>
        <w:t>6</w:t>
      </w:r>
      <w:r w:rsidRPr="00494450">
        <w:rPr>
          <w:rFonts w:ascii="Arial" w:hAnsi="Arial" w:cs="Arial"/>
          <w:sz w:val="20"/>
        </w:rPr>
        <w:t xml:space="preserve">: </w:t>
      </w:r>
      <w:r w:rsidR="00105F39" w:rsidRPr="00494450">
        <w:rPr>
          <w:rFonts w:ascii="Arial" w:hAnsi="Arial" w:cs="Arial"/>
          <w:sz w:val="20"/>
        </w:rPr>
        <w:t>Postopki brez predhodne objave obvestila o javnem naročilu</w:t>
      </w:r>
      <w:r w:rsidRPr="00494450">
        <w:rPr>
          <w:rFonts w:ascii="Arial" w:hAnsi="Arial" w:cs="Arial"/>
          <w:sz w:val="20"/>
        </w:rPr>
        <w:t xml:space="preserve">, naročila in njihova vrednost ter deleži glede na predmet naročanja </w:t>
      </w:r>
    </w:p>
    <w:tbl>
      <w:tblPr>
        <w:tblW w:w="8010" w:type="dxa"/>
        <w:jc w:val="center"/>
        <w:tblCellMar>
          <w:left w:w="70" w:type="dxa"/>
          <w:right w:w="70" w:type="dxa"/>
        </w:tblCellMar>
        <w:tblLook w:val="04A0" w:firstRow="1" w:lastRow="0" w:firstColumn="1" w:lastColumn="0" w:noHBand="0" w:noVBand="1"/>
      </w:tblPr>
      <w:tblGrid>
        <w:gridCol w:w="1632"/>
        <w:gridCol w:w="992"/>
        <w:gridCol w:w="709"/>
        <w:gridCol w:w="1275"/>
        <w:gridCol w:w="1276"/>
        <w:gridCol w:w="992"/>
        <w:gridCol w:w="1134"/>
      </w:tblGrid>
      <w:tr w:rsidR="00EE4F5B" w:rsidRPr="00494450" w14:paraId="486A5370" w14:textId="77777777" w:rsidTr="009B792F">
        <w:trPr>
          <w:trHeight w:val="480"/>
          <w:jc w:val="center"/>
        </w:trPr>
        <w:tc>
          <w:tcPr>
            <w:tcW w:w="16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25B419A" w14:textId="0EF6CBE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 xml:space="preserve">Predmet </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1F0A0E3" w14:textId="7777777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Št. postopkov</w:t>
            </w:r>
          </w:p>
        </w:tc>
        <w:tc>
          <w:tcPr>
            <w:tcW w:w="70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7590C8A" w14:textId="7777777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Št. naročil</w:t>
            </w:r>
          </w:p>
        </w:tc>
        <w:tc>
          <w:tcPr>
            <w:tcW w:w="127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E42EF6F" w14:textId="7777777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Pogodbena vrednost</w:t>
            </w:r>
          </w:p>
        </w:tc>
        <w:tc>
          <w:tcPr>
            <w:tcW w:w="12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8E86557" w14:textId="7777777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Delež v št. postopkov</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684A9A7" w14:textId="7777777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Delež v št. naročil</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A6D267C" w14:textId="77777777" w:rsidR="00EE4F5B" w:rsidRPr="00494450" w:rsidRDefault="00EE4F5B" w:rsidP="00EE4F5B">
            <w:pPr>
              <w:spacing w:after="0" w:line="240" w:lineRule="auto"/>
              <w:jc w:val="center"/>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Delež v vrednosti</w:t>
            </w:r>
          </w:p>
        </w:tc>
      </w:tr>
      <w:tr w:rsidR="00494450" w:rsidRPr="00494450" w14:paraId="695FC855" w14:textId="77777777" w:rsidTr="00494450">
        <w:trPr>
          <w:trHeight w:val="284"/>
          <w:jc w:val="center"/>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320FDB36" w14:textId="66F242B9" w:rsidR="00494450" w:rsidRPr="00494450" w:rsidRDefault="00494450" w:rsidP="00494450">
            <w:pPr>
              <w:spacing w:after="0" w:line="240" w:lineRule="auto"/>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Blago</w:t>
            </w:r>
          </w:p>
        </w:tc>
        <w:tc>
          <w:tcPr>
            <w:tcW w:w="992" w:type="dxa"/>
            <w:tcBorders>
              <w:top w:val="nil"/>
              <w:left w:val="nil"/>
              <w:bottom w:val="single" w:sz="4" w:space="0" w:color="auto"/>
              <w:right w:val="single" w:sz="4" w:space="0" w:color="auto"/>
            </w:tcBorders>
            <w:shd w:val="clear" w:color="auto" w:fill="auto"/>
            <w:vAlign w:val="center"/>
            <w:hideMark/>
          </w:tcPr>
          <w:p w14:paraId="25597332" w14:textId="1B9F16FE"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270</w:t>
            </w:r>
          </w:p>
        </w:tc>
        <w:tc>
          <w:tcPr>
            <w:tcW w:w="709" w:type="dxa"/>
            <w:tcBorders>
              <w:top w:val="nil"/>
              <w:left w:val="nil"/>
              <w:bottom w:val="single" w:sz="4" w:space="0" w:color="auto"/>
              <w:right w:val="single" w:sz="4" w:space="0" w:color="auto"/>
            </w:tcBorders>
            <w:shd w:val="clear" w:color="auto" w:fill="auto"/>
            <w:vAlign w:val="center"/>
            <w:hideMark/>
          </w:tcPr>
          <w:p w14:paraId="73A51110" w14:textId="14ACA92A"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304</w:t>
            </w:r>
          </w:p>
        </w:tc>
        <w:tc>
          <w:tcPr>
            <w:tcW w:w="1275" w:type="dxa"/>
            <w:tcBorders>
              <w:top w:val="nil"/>
              <w:left w:val="nil"/>
              <w:bottom w:val="single" w:sz="4" w:space="0" w:color="auto"/>
              <w:right w:val="single" w:sz="4" w:space="0" w:color="auto"/>
            </w:tcBorders>
            <w:shd w:val="clear" w:color="auto" w:fill="auto"/>
            <w:vAlign w:val="center"/>
            <w:hideMark/>
          </w:tcPr>
          <w:p w14:paraId="1E8C9318" w14:textId="10C23652"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114.773.796</w:t>
            </w:r>
          </w:p>
        </w:tc>
        <w:tc>
          <w:tcPr>
            <w:tcW w:w="1276" w:type="dxa"/>
            <w:tcBorders>
              <w:top w:val="nil"/>
              <w:left w:val="nil"/>
              <w:bottom w:val="single" w:sz="4" w:space="0" w:color="auto"/>
              <w:right w:val="single" w:sz="4" w:space="0" w:color="auto"/>
            </w:tcBorders>
            <w:shd w:val="clear" w:color="auto" w:fill="auto"/>
            <w:vAlign w:val="center"/>
            <w:hideMark/>
          </w:tcPr>
          <w:p w14:paraId="11F3B200" w14:textId="2672E3E5"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35,76 %</w:t>
            </w:r>
          </w:p>
        </w:tc>
        <w:tc>
          <w:tcPr>
            <w:tcW w:w="992" w:type="dxa"/>
            <w:tcBorders>
              <w:top w:val="nil"/>
              <w:left w:val="nil"/>
              <w:bottom w:val="single" w:sz="4" w:space="0" w:color="auto"/>
              <w:right w:val="single" w:sz="4" w:space="0" w:color="auto"/>
            </w:tcBorders>
            <w:shd w:val="clear" w:color="auto" w:fill="auto"/>
            <w:vAlign w:val="center"/>
            <w:hideMark/>
          </w:tcPr>
          <w:p w14:paraId="4D0058E8" w14:textId="5963C9D4"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36,06 %</w:t>
            </w:r>
          </w:p>
        </w:tc>
        <w:tc>
          <w:tcPr>
            <w:tcW w:w="1134" w:type="dxa"/>
            <w:tcBorders>
              <w:top w:val="nil"/>
              <w:left w:val="nil"/>
              <w:bottom w:val="single" w:sz="4" w:space="0" w:color="auto"/>
              <w:right w:val="single" w:sz="4" w:space="0" w:color="auto"/>
            </w:tcBorders>
            <w:shd w:val="clear" w:color="auto" w:fill="auto"/>
            <w:vAlign w:val="center"/>
            <w:hideMark/>
          </w:tcPr>
          <w:p w14:paraId="215F8AE2" w14:textId="6D80641D"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36,85 %</w:t>
            </w:r>
          </w:p>
        </w:tc>
      </w:tr>
      <w:tr w:rsidR="00494450" w:rsidRPr="00494450" w14:paraId="305911DF" w14:textId="77777777" w:rsidTr="00494450">
        <w:trPr>
          <w:trHeight w:val="284"/>
          <w:jc w:val="center"/>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1A95429E" w14:textId="656F2866" w:rsidR="00494450" w:rsidRPr="00494450" w:rsidRDefault="00494450" w:rsidP="00494450">
            <w:pPr>
              <w:spacing w:after="0" w:line="240" w:lineRule="auto"/>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Storitve</w:t>
            </w:r>
          </w:p>
        </w:tc>
        <w:tc>
          <w:tcPr>
            <w:tcW w:w="992" w:type="dxa"/>
            <w:tcBorders>
              <w:top w:val="nil"/>
              <w:left w:val="nil"/>
              <w:bottom w:val="single" w:sz="4" w:space="0" w:color="auto"/>
              <w:right w:val="single" w:sz="4" w:space="0" w:color="auto"/>
            </w:tcBorders>
            <w:shd w:val="clear" w:color="auto" w:fill="auto"/>
            <w:vAlign w:val="center"/>
            <w:hideMark/>
          </w:tcPr>
          <w:p w14:paraId="6B2963CA" w14:textId="6BAD1B13"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427</w:t>
            </w:r>
          </w:p>
        </w:tc>
        <w:tc>
          <w:tcPr>
            <w:tcW w:w="709" w:type="dxa"/>
            <w:tcBorders>
              <w:top w:val="nil"/>
              <w:left w:val="nil"/>
              <w:bottom w:val="single" w:sz="4" w:space="0" w:color="auto"/>
              <w:right w:val="single" w:sz="4" w:space="0" w:color="auto"/>
            </w:tcBorders>
            <w:shd w:val="clear" w:color="auto" w:fill="auto"/>
            <w:vAlign w:val="center"/>
            <w:hideMark/>
          </w:tcPr>
          <w:p w14:paraId="2DE625A9" w14:textId="43E827E7"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476</w:t>
            </w:r>
          </w:p>
        </w:tc>
        <w:tc>
          <w:tcPr>
            <w:tcW w:w="1275" w:type="dxa"/>
            <w:tcBorders>
              <w:top w:val="nil"/>
              <w:left w:val="nil"/>
              <w:bottom w:val="single" w:sz="4" w:space="0" w:color="auto"/>
              <w:right w:val="single" w:sz="4" w:space="0" w:color="auto"/>
            </w:tcBorders>
            <w:shd w:val="clear" w:color="auto" w:fill="auto"/>
            <w:vAlign w:val="center"/>
            <w:hideMark/>
          </w:tcPr>
          <w:p w14:paraId="713F7FCF" w14:textId="551B4A0C"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129.853.222</w:t>
            </w:r>
          </w:p>
        </w:tc>
        <w:tc>
          <w:tcPr>
            <w:tcW w:w="1276" w:type="dxa"/>
            <w:tcBorders>
              <w:top w:val="nil"/>
              <w:left w:val="nil"/>
              <w:bottom w:val="single" w:sz="4" w:space="0" w:color="auto"/>
              <w:right w:val="single" w:sz="4" w:space="0" w:color="auto"/>
            </w:tcBorders>
            <w:shd w:val="clear" w:color="auto" w:fill="auto"/>
            <w:vAlign w:val="center"/>
            <w:hideMark/>
          </w:tcPr>
          <w:p w14:paraId="2C1729FA" w14:textId="60F8198D"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56,56 %</w:t>
            </w:r>
          </w:p>
        </w:tc>
        <w:tc>
          <w:tcPr>
            <w:tcW w:w="992" w:type="dxa"/>
            <w:tcBorders>
              <w:top w:val="nil"/>
              <w:left w:val="nil"/>
              <w:bottom w:val="single" w:sz="4" w:space="0" w:color="auto"/>
              <w:right w:val="single" w:sz="4" w:space="0" w:color="auto"/>
            </w:tcBorders>
            <w:shd w:val="clear" w:color="auto" w:fill="auto"/>
            <w:vAlign w:val="center"/>
            <w:hideMark/>
          </w:tcPr>
          <w:p w14:paraId="0FB22661" w14:textId="758E0B9F"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56,47 %</w:t>
            </w:r>
          </w:p>
        </w:tc>
        <w:tc>
          <w:tcPr>
            <w:tcW w:w="1134" w:type="dxa"/>
            <w:tcBorders>
              <w:top w:val="nil"/>
              <w:left w:val="nil"/>
              <w:bottom w:val="single" w:sz="4" w:space="0" w:color="auto"/>
              <w:right w:val="single" w:sz="4" w:space="0" w:color="auto"/>
            </w:tcBorders>
            <w:shd w:val="clear" w:color="auto" w:fill="auto"/>
            <w:vAlign w:val="center"/>
            <w:hideMark/>
          </w:tcPr>
          <w:p w14:paraId="40770073" w14:textId="4B3D0580"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41,70 %</w:t>
            </w:r>
          </w:p>
        </w:tc>
      </w:tr>
      <w:tr w:rsidR="00494450" w:rsidRPr="00494450" w14:paraId="55AA84FE" w14:textId="77777777" w:rsidTr="00494450">
        <w:trPr>
          <w:trHeight w:val="284"/>
          <w:jc w:val="center"/>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640F6689" w14:textId="1AE2262E" w:rsidR="00494450" w:rsidRPr="00494450" w:rsidRDefault="00494450" w:rsidP="00494450">
            <w:pPr>
              <w:spacing w:after="0" w:line="240" w:lineRule="auto"/>
              <w:rPr>
                <w:rFonts w:ascii="Arial" w:eastAsia="Times New Roman" w:hAnsi="Arial" w:cs="Arial"/>
                <w:color w:val="000000"/>
                <w:sz w:val="18"/>
                <w:szCs w:val="18"/>
                <w:lang w:eastAsia="sl-SI"/>
              </w:rPr>
            </w:pPr>
            <w:r w:rsidRPr="00494450">
              <w:rPr>
                <w:rFonts w:ascii="Arial" w:eastAsia="Times New Roman" w:hAnsi="Arial" w:cs="Arial"/>
                <w:color w:val="000000"/>
                <w:sz w:val="18"/>
                <w:szCs w:val="18"/>
                <w:lang w:eastAsia="sl-SI"/>
              </w:rPr>
              <w:t>Gradnje</w:t>
            </w:r>
          </w:p>
        </w:tc>
        <w:tc>
          <w:tcPr>
            <w:tcW w:w="992" w:type="dxa"/>
            <w:tcBorders>
              <w:top w:val="nil"/>
              <w:left w:val="nil"/>
              <w:bottom w:val="single" w:sz="4" w:space="0" w:color="auto"/>
              <w:right w:val="single" w:sz="4" w:space="0" w:color="auto"/>
            </w:tcBorders>
            <w:shd w:val="clear" w:color="auto" w:fill="auto"/>
            <w:vAlign w:val="center"/>
            <w:hideMark/>
          </w:tcPr>
          <w:p w14:paraId="3DDD7D65" w14:textId="4F152212"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14:paraId="75206D8B" w14:textId="4DF5EC03"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63</w:t>
            </w:r>
          </w:p>
        </w:tc>
        <w:tc>
          <w:tcPr>
            <w:tcW w:w="1275" w:type="dxa"/>
            <w:tcBorders>
              <w:top w:val="nil"/>
              <w:left w:val="nil"/>
              <w:bottom w:val="single" w:sz="4" w:space="0" w:color="auto"/>
              <w:right w:val="single" w:sz="4" w:space="0" w:color="auto"/>
            </w:tcBorders>
            <w:shd w:val="clear" w:color="auto" w:fill="auto"/>
            <w:vAlign w:val="center"/>
            <w:hideMark/>
          </w:tcPr>
          <w:p w14:paraId="7817763D" w14:textId="44E6BE5F"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66.794.361</w:t>
            </w:r>
          </w:p>
        </w:tc>
        <w:tc>
          <w:tcPr>
            <w:tcW w:w="1276" w:type="dxa"/>
            <w:tcBorders>
              <w:top w:val="nil"/>
              <w:left w:val="nil"/>
              <w:bottom w:val="single" w:sz="4" w:space="0" w:color="auto"/>
              <w:right w:val="single" w:sz="4" w:space="0" w:color="auto"/>
            </w:tcBorders>
            <w:shd w:val="clear" w:color="auto" w:fill="auto"/>
            <w:vAlign w:val="center"/>
            <w:hideMark/>
          </w:tcPr>
          <w:p w14:paraId="371FEF08" w14:textId="1019A0B4"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7,68 %</w:t>
            </w:r>
          </w:p>
        </w:tc>
        <w:tc>
          <w:tcPr>
            <w:tcW w:w="992" w:type="dxa"/>
            <w:tcBorders>
              <w:top w:val="nil"/>
              <w:left w:val="nil"/>
              <w:bottom w:val="single" w:sz="4" w:space="0" w:color="auto"/>
              <w:right w:val="single" w:sz="4" w:space="0" w:color="auto"/>
            </w:tcBorders>
            <w:shd w:val="clear" w:color="auto" w:fill="auto"/>
            <w:vAlign w:val="center"/>
            <w:hideMark/>
          </w:tcPr>
          <w:p w14:paraId="5F21DCE5" w14:textId="4F01886B"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7,47 %</w:t>
            </w:r>
          </w:p>
        </w:tc>
        <w:tc>
          <w:tcPr>
            <w:tcW w:w="1134" w:type="dxa"/>
            <w:tcBorders>
              <w:top w:val="nil"/>
              <w:left w:val="nil"/>
              <w:bottom w:val="single" w:sz="4" w:space="0" w:color="auto"/>
              <w:right w:val="single" w:sz="4" w:space="0" w:color="auto"/>
            </w:tcBorders>
            <w:shd w:val="clear" w:color="auto" w:fill="auto"/>
            <w:vAlign w:val="center"/>
            <w:hideMark/>
          </w:tcPr>
          <w:p w14:paraId="312438F9" w14:textId="60DC2DA1" w:rsidR="00494450" w:rsidRPr="00494450" w:rsidRDefault="00494450" w:rsidP="00494450">
            <w:pPr>
              <w:spacing w:after="0" w:line="240" w:lineRule="auto"/>
              <w:jc w:val="right"/>
              <w:rPr>
                <w:rFonts w:ascii="Arial" w:eastAsia="Times New Roman" w:hAnsi="Arial" w:cs="Arial"/>
                <w:color w:val="000000"/>
                <w:sz w:val="18"/>
                <w:szCs w:val="18"/>
                <w:lang w:eastAsia="sl-SI"/>
              </w:rPr>
            </w:pPr>
            <w:r w:rsidRPr="00494450">
              <w:rPr>
                <w:rFonts w:ascii="Arial" w:hAnsi="Arial" w:cs="Arial"/>
                <w:sz w:val="18"/>
                <w:szCs w:val="18"/>
              </w:rPr>
              <w:t>21,45 %</w:t>
            </w:r>
          </w:p>
        </w:tc>
      </w:tr>
      <w:tr w:rsidR="00494450" w:rsidRPr="00494450" w14:paraId="19B606D1" w14:textId="77777777" w:rsidTr="006E442D">
        <w:trPr>
          <w:trHeight w:val="284"/>
          <w:jc w:val="center"/>
        </w:trPr>
        <w:tc>
          <w:tcPr>
            <w:tcW w:w="1632" w:type="dxa"/>
            <w:tcBorders>
              <w:top w:val="nil"/>
              <w:left w:val="single" w:sz="4" w:space="0" w:color="auto"/>
              <w:bottom w:val="single" w:sz="4" w:space="0" w:color="auto"/>
              <w:right w:val="single" w:sz="4" w:space="0" w:color="auto"/>
            </w:tcBorders>
            <w:shd w:val="clear" w:color="auto" w:fill="E7E6E6" w:themeFill="background2"/>
            <w:vAlign w:val="center"/>
            <w:hideMark/>
          </w:tcPr>
          <w:p w14:paraId="09BCEAA1" w14:textId="183BD985" w:rsidR="00494450" w:rsidRPr="00494450" w:rsidRDefault="00494450" w:rsidP="00494450">
            <w:pPr>
              <w:spacing w:after="0" w:line="240" w:lineRule="auto"/>
              <w:rPr>
                <w:rFonts w:ascii="Arial" w:eastAsia="Times New Roman" w:hAnsi="Arial" w:cs="Arial"/>
                <w:b/>
                <w:bCs/>
                <w:color w:val="000000"/>
                <w:sz w:val="18"/>
                <w:szCs w:val="18"/>
                <w:lang w:eastAsia="sl-SI"/>
              </w:rPr>
            </w:pPr>
            <w:r w:rsidRPr="00494450">
              <w:rPr>
                <w:rFonts w:ascii="Arial" w:eastAsia="Times New Roman" w:hAnsi="Arial" w:cs="Arial"/>
                <w:b/>
                <w:bCs/>
                <w:color w:val="000000"/>
                <w:sz w:val="18"/>
                <w:szCs w:val="18"/>
                <w:lang w:eastAsia="sl-SI"/>
              </w:rPr>
              <w:t>Skupaj</w:t>
            </w:r>
          </w:p>
        </w:tc>
        <w:tc>
          <w:tcPr>
            <w:tcW w:w="992" w:type="dxa"/>
            <w:tcBorders>
              <w:top w:val="nil"/>
              <w:left w:val="nil"/>
              <w:bottom w:val="single" w:sz="4" w:space="0" w:color="auto"/>
              <w:right w:val="single" w:sz="4" w:space="0" w:color="auto"/>
            </w:tcBorders>
            <w:shd w:val="clear" w:color="auto" w:fill="E7E6E6" w:themeFill="background2"/>
            <w:vAlign w:val="center"/>
            <w:hideMark/>
          </w:tcPr>
          <w:p w14:paraId="2F81DA9C" w14:textId="4DC0554C" w:rsidR="00494450" w:rsidRPr="00494450" w:rsidRDefault="00494450" w:rsidP="00494450">
            <w:pPr>
              <w:spacing w:after="0" w:line="240" w:lineRule="auto"/>
              <w:jc w:val="right"/>
              <w:rPr>
                <w:rFonts w:ascii="Arial" w:eastAsia="Times New Roman" w:hAnsi="Arial" w:cs="Arial"/>
                <w:b/>
                <w:bCs/>
                <w:color w:val="000000"/>
                <w:sz w:val="18"/>
                <w:szCs w:val="18"/>
                <w:lang w:eastAsia="sl-SI"/>
              </w:rPr>
            </w:pPr>
            <w:r w:rsidRPr="00494450">
              <w:rPr>
                <w:rFonts w:ascii="Arial" w:hAnsi="Arial" w:cs="Arial"/>
                <w:b/>
                <w:sz w:val="18"/>
                <w:szCs w:val="18"/>
              </w:rPr>
              <w:t>755</w:t>
            </w:r>
          </w:p>
        </w:tc>
        <w:tc>
          <w:tcPr>
            <w:tcW w:w="709" w:type="dxa"/>
            <w:tcBorders>
              <w:top w:val="nil"/>
              <w:left w:val="nil"/>
              <w:bottom w:val="single" w:sz="4" w:space="0" w:color="auto"/>
              <w:right w:val="single" w:sz="4" w:space="0" w:color="auto"/>
            </w:tcBorders>
            <w:shd w:val="clear" w:color="auto" w:fill="E7E6E6" w:themeFill="background2"/>
            <w:vAlign w:val="center"/>
            <w:hideMark/>
          </w:tcPr>
          <w:p w14:paraId="23AC6E63" w14:textId="012B5A0D" w:rsidR="00494450" w:rsidRPr="00494450" w:rsidRDefault="00494450" w:rsidP="00494450">
            <w:pPr>
              <w:spacing w:after="0" w:line="240" w:lineRule="auto"/>
              <w:jc w:val="right"/>
              <w:rPr>
                <w:rFonts w:ascii="Arial" w:eastAsia="Times New Roman" w:hAnsi="Arial" w:cs="Arial"/>
                <w:b/>
                <w:bCs/>
                <w:color w:val="000000"/>
                <w:sz w:val="18"/>
                <w:szCs w:val="18"/>
                <w:lang w:eastAsia="sl-SI"/>
              </w:rPr>
            </w:pPr>
            <w:r w:rsidRPr="00494450">
              <w:rPr>
                <w:rFonts w:ascii="Arial" w:hAnsi="Arial" w:cs="Arial"/>
                <w:b/>
                <w:sz w:val="18"/>
                <w:szCs w:val="18"/>
              </w:rPr>
              <w:t>843</w:t>
            </w:r>
          </w:p>
        </w:tc>
        <w:tc>
          <w:tcPr>
            <w:tcW w:w="1275" w:type="dxa"/>
            <w:tcBorders>
              <w:top w:val="nil"/>
              <w:left w:val="nil"/>
              <w:bottom w:val="single" w:sz="4" w:space="0" w:color="auto"/>
              <w:right w:val="single" w:sz="4" w:space="0" w:color="auto"/>
            </w:tcBorders>
            <w:shd w:val="clear" w:color="auto" w:fill="E7E6E6" w:themeFill="background2"/>
            <w:vAlign w:val="center"/>
            <w:hideMark/>
          </w:tcPr>
          <w:p w14:paraId="29138C08" w14:textId="2B75B182" w:rsidR="00494450" w:rsidRPr="00494450" w:rsidRDefault="00494450" w:rsidP="00494450">
            <w:pPr>
              <w:spacing w:after="0" w:line="240" w:lineRule="auto"/>
              <w:jc w:val="right"/>
              <w:rPr>
                <w:rFonts w:ascii="Arial" w:eastAsia="Times New Roman" w:hAnsi="Arial" w:cs="Arial"/>
                <w:b/>
                <w:bCs/>
                <w:color w:val="000000"/>
                <w:sz w:val="18"/>
                <w:szCs w:val="18"/>
                <w:lang w:eastAsia="sl-SI"/>
              </w:rPr>
            </w:pPr>
            <w:r w:rsidRPr="00494450">
              <w:rPr>
                <w:rFonts w:ascii="Arial" w:hAnsi="Arial" w:cs="Arial"/>
                <w:b/>
                <w:sz w:val="18"/>
                <w:szCs w:val="18"/>
              </w:rPr>
              <w:t>311.421.379</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6DEFCDFE" w14:textId="26DB5437" w:rsidR="00494450" w:rsidRPr="00494450" w:rsidRDefault="00494450" w:rsidP="00494450">
            <w:pPr>
              <w:spacing w:after="0" w:line="240" w:lineRule="auto"/>
              <w:jc w:val="right"/>
              <w:rPr>
                <w:rFonts w:ascii="Arial" w:eastAsia="Times New Roman" w:hAnsi="Arial" w:cs="Arial"/>
                <w:b/>
                <w:bCs/>
                <w:color w:val="000000"/>
                <w:sz w:val="18"/>
                <w:szCs w:val="18"/>
                <w:lang w:eastAsia="sl-SI"/>
              </w:rPr>
            </w:pPr>
            <w:r w:rsidRPr="00494450">
              <w:rPr>
                <w:rFonts w:ascii="Arial" w:hAnsi="Arial" w:cs="Arial"/>
                <w:b/>
                <w:sz w:val="18"/>
                <w:szCs w:val="18"/>
              </w:rPr>
              <w:t>100,00 %</w:t>
            </w:r>
          </w:p>
        </w:tc>
        <w:tc>
          <w:tcPr>
            <w:tcW w:w="992" w:type="dxa"/>
            <w:tcBorders>
              <w:top w:val="nil"/>
              <w:left w:val="nil"/>
              <w:bottom w:val="single" w:sz="4" w:space="0" w:color="auto"/>
              <w:right w:val="single" w:sz="4" w:space="0" w:color="auto"/>
            </w:tcBorders>
            <w:shd w:val="clear" w:color="auto" w:fill="E7E6E6" w:themeFill="background2"/>
            <w:vAlign w:val="center"/>
            <w:hideMark/>
          </w:tcPr>
          <w:p w14:paraId="23BE873B" w14:textId="2E841872" w:rsidR="00494450" w:rsidRPr="00494450" w:rsidRDefault="00494450" w:rsidP="00494450">
            <w:pPr>
              <w:spacing w:after="0" w:line="240" w:lineRule="auto"/>
              <w:jc w:val="right"/>
              <w:rPr>
                <w:rFonts w:ascii="Arial" w:eastAsia="Times New Roman" w:hAnsi="Arial" w:cs="Arial"/>
                <w:b/>
                <w:bCs/>
                <w:color w:val="000000"/>
                <w:sz w:val="18"/>
                <w:szCs w:val="18"/>
                <w:lang w:eastAsia="sl-SI"/>
              </w:rPr>
            </w:pPr>
            <w:r w:rsidRPr="00494450">
              <w:rPr>
                <w:rFonts w:ascii="Arial" w:hAnsi="Arial" w:cs="Arial"/>
                <w:b/>
                <w:sz w:val="18"/>
                <w:szCs w:val="18"/>
              </w:rPr>
              <w:t>100,00 %</w:t>
            </w:r>
          </w:p>
        </w:tc>
        <w:tc>
          <w:tcPr>
            <w:tcW w:w="1134" w:type="dxa"/>
            <w:tcBorders>
              <w:top w:val="nil"/>
              <w:left w:val="nil"/>
              <w:bottom w:val="single" w:sz="4" w:space="0" w:color="auto"/>
              <w:right w:val="single" w:sz="4" w:space="0" w:color="auto"/>
            </w:tcBorders>
            <w:shd w:val="clear" w:color="auto" w:fill="E7E6E6" w:themeFill="background2"/>
            <w:vAlign w:val="center"/>
            <w:hideMark/>
          </w:tcPr>
          <w:p w14:paraId="5F56A2F2" w14:textId="57559783" w:rsidR="00494450" w:rsidRPr="00494450" w:rsidRDefault="00494450" w:rsidP="00494450">
            <w:pPr>
              <w:spacing w:after="0" w:line="240" w:lineRule="auto"/>
              <w:jc w:val="right"/>
              <w:rPr>
                <w:rFonts w:ascii="Arial" w:eastAsia="Times New Roman" w:hAnsi="Arial" w:cs="Arial"/>
                <w:b/>
                <w:bCs/>
                <w:color w:val="000000"/>
                <w:sz w:val="18"/>
                <w:szCs w:val="18"/>
                <w:lang w:eastAsia="sl-SI"/>
              </w:rPr>
            </w:pPr>
            <w:r w:rsidRPr="00494450">
              <w:rPr>
                <w:rFonts w:ascii="Arial" w:hAnsi="Arial" w:cs="Arial"/>
                <w:b/>
                <w:sz w:val="18"/>
                <w:szCs w:val="18"/>
              </w:rPr>
              <w:t>100,00 %</w:t>
            </w:r>
          </w:p>
        </w:tc>
      </w:tr>
    </w:tbl>
    <w:p w14:paraId="31D9806B" w14:textId="45A76AB2" w:rsidR="00EE4F5B" w:rsidRPr="00494450" w:rsidRDefault="00EE4F5B" w:rsidP="00A8659F">
      <w:pPr>
        <w:pStyle w:val="ZADEVA"/>
        <w:jc w:val="both"/>
        <w:rPr>
          <w:rFonts w:cs="Arial"/>
          <w:b w:val="0"/>
          <w:szCs w:val="20"/>
          <w:lang w:val="sl-SI"/>
        </w:rPr>
      </w:pPr>
    </w:p>
    <w:p w14:paraId="07E199D2" w14:textId="2A443151" w:rsidR="00EE4F5B" w:rsidRPr="00494450" w:rsidRDefault="00EE4F5B" w:rsidP="00701C10">
      <w:pPr>
        <w:spacing w:after="240" w:line="240" w:lineRule="auto"/>
        <w:jc w:val="center"/>
        <w:rPr>
          <w:rFonts w:ascii="Arial" w:hAnsi="Arial" w:cs="Arial"/>
          <w:sz w:val="18"/>
        </w:rPr>
      </w:pPr>
      <w:r w:rsidRPr="00494450">
        <w:rPr>
          <w:rFonts w:ascii="Arial" w:hAnsi="Arial" w:cs="Arial"/>
          <w:sz w:val="18"/>
        </w:rPr>
        <w:t>Vir: Statistični podatki o javni</w:t>
      </w:r>
      <w:r w:rsidR="00815852" w:rsidRPr="00494450">
        <w:rPr>
          <w:rFonts w:ascii="Arial" w:hAnsi="Arial" w:cs="Arial"/>
          <w:sz w:val="18"/>
        </w:rPr>
        <w:t>h naročilih, oddanih v letu 201</w:t>
      </w:r>
      <w:r w:rsidR="00494450" w:rsidRPr="00494450">
        <w:rPr>
          <w:rFonts w:ascii="Arial" w:hAnsi="Arial" w:cs="Arial"/>
          <w:sz w:val="18"/>
        </w:rPr>
        <w:t>8</w:t>
      </w:r>
    </w:p>
    <w:p w14:paraId="5906FE9E" w14:textId="00F24267" w:rsidR="00105F39" w:rsidRPr="00EF2D0B" w:rsidRDefault="00105F39" w:rsidP="00105F39">
      <w:pPr>
        <w:tabs>
          <w:tab w:val="left" w:pos="567"/>
          <w:tab w:val="left" w:pos="993"/>
        </w:tabs>
        <w:spacing w:line="360" w:lineRule="auto"/>
        <w:jc w:val="both"/>
        <w:rPr>
          <w:rFonts w:ascii="Arial" w:hAnsi="Arial" w:cs="Arial"/>
          <w:bCs/>
          <w:sz w:val="20"/>
          <w:szCs w:val="20"/>
          <w:highlight w:val="yellow"/>
        </w:rPr>
      </w:pPr>
      <w:r w:rsidRPr="00DF43CF">
        <w:rPr>
          <w:rFonts w:ascii="Arial" w:hAnsi="Arial" w:cs="Arial"/>
          <w:bCs/>
          <w:sz w:val="20"/>
          <w:szCs w:val="20"/>
        </w:rPr>
        <w:lastRenderedPageBreak/>
        <w:t>Največ postopkov javnega naročanja</w:t>
      </w:r>
      <w:r w:rsidR="00561138" w:rsidRPr="00DF43CF">
        <w:rPr>
          <w:rFonts w:ascii="Arial" w:hAnsi="Arial" w:cs="Arial"/>
          <w:bCs/>
          <w:sz w:val="20"/>
          <w:szCs w:val="20"/>
        </w:rPr>
        <w:t>,</w:t>
      </w:r>
      <w:r w:rsidRPr="00DF43CF">
        <w:rPr>
          <w:rFonts w:ascii="Arial" w:hAnsi="Arial" w:cs="Arial"/>
          <w:bCs/>
          <w:sz w:val="20"/>
          <w:szCs w:val="20"/>
        </w:rPr>
        <w:t xml:space="preserve"> na podlagi katerih so </w:t>
      </w:r>
      <w:r w:rsidR="00002230" w:rsidRPr="00DF43CF">
        <w:rPr>
          <w:rFonts w:ascii="Arial" w:hAnsi="Arial" w:cs="Arial"/>
          <w:bCs/>
          <w:sz w:val="20"/>
          <w:szCs w:val="20"/>
        </w:rPr>
        <w:t>bila oddana naročila v letu 201</w:t>
      </w:r>
      <w:r w:rsidR="00DF43CF" w:rsidRPr="00DF43CF">
        <w:rPr>
          <w:rFonts w:ascii="Arial" w:hAnsi="Arial" w:cs="Arial"/>
          <w:bCs/>
          <w:sz w:val="20"/>
          <w:szCs w:val="20"/>
        </w:rPr>
        <w:t>8</w:t>
      </w:r>
      <w:r w:rsidRPr="00DF43CF">
        <w:rPr>
          <w:rFonts w:ascii="Arial" w:hAnsi="Arial" w:cs="Arial"/>
          <w:bCs/>
          <w:sz w:val="20"/>
          <w:szCs w:val="20"/>
        </w:rPr>
        <w:t xml:space="preserve"> in za katera naročniki niso objavili obvestila o javnem naročilu, so izvedli </w:t>
      </w:r>
      <w:r w:rsidR="005E0333" w:rsidRPr="00DF43CF">
        <w:rPr>
          <w:rFonts w:ascii="Arial" w:hAnsi="Arial" w:cs="Arial"/>
          <w:bCs/>
          <w:sz w:val="20"/>
          <w:szCs w:val="20"/>
        </w:rPr>
        <w:t xml:space="preserve">drugi naročniki (osebe javnega prava, javna podjetja, subjekt s posebnimi infrastrukturnimi pravicami) in </w:t>
      </w:r>
      <w:r w:rsidR="007C1875" w:rsidRPr="00DF43CF">
        <w:rPr>
          <w:rFonts w:ascii="Arial" w:hAnsi="Arial" w:cs="Arial"/>
          <w:bCs/>
          <w:sz w:val="20"/>
          <w:szCs w:val="20"/>
        </w:rPr>
        <w:t xml:space="preserve">javni </w:t>
      </w:r>
      <w:r w:rsidR="007C1875" w:rsidRPr="00C5144B">
        <w:rPr>
          <w:rFonts w:ascii="Arial" w:hAnsi="Arial" w:cs="Arial"/>
          <w:bCs/>
          <w:sz w:val="20"/>
          <w:szCs w:val="20"/>
        </w:rPr>
        <w:t>zavodi</w:t>
      </w:r>
      <w:r w:rsidRPr="00C5144B">
        <w:rPr>
          <w:rFonts w:ascii="Arial" w:hAnsi="Arial" w:cs="Arial"/>
          <w:bCs/>
          <w:sz w:val="20"/>
          <w:szCs w:val="20"/>
        </w:rPr>
        <w:t>.</w:t>
      </w:r>
      <w:r w:rsidR="005E0333" w:rsidRPr="00C5144B">
        <w:rPr>
          <w:rFonts w:ascii="Arial" w:hAnsi="Arial" w:cs="Arial"/>
          <w:bCs/>
          <w:sz w:val="20"/>
          <w:szCs w:val="20"/>
        </w:rPr>
        <w:t xml:space="preserve"> </w:t>
      </w:r>
    </w:p>
    <w:p w14:paraId="5A824699" w14:textId="7035757D" w:rsidR="00EE4F5B" w:rsidRPr="001C21F9" w:rsidRDefault="00EE4F5B" w:rsidP="008A61FD">
      <w:pPr>
        <w:spacing w:before="120" w:after="120" w:line="240" w:lineRule="auto"/>
        <w:jc w:val="both"/>
        <w:rPr>
          <w:rFonts w:ascii="Arial" w:hAnsi="Arial" w:cs="Arial"/>
          <w:sz w:val="20"/>
        </w:rPr>
      </w:pPr>
      <w:r w:rsidRPr="001C21F9">
        <w:rPr>
          <w:rFonts w:ascii="Arial" w:hAnsi="Arial" w:cs="Arial"/>
          <w:sz w:val="20"/>
        </w:rPr>
        <w:t xml:space="preserve">Preglednica </w:t>
      </w:r>
      <w:r w:rsidR="00E430F6" w:rsidRPr="001C21F9">
        <w:rPr>
          <w:rFonts w:ascii="Arial" w:hAnsi="Arial" w:cs="Arial"/>
          <w:sz w:val="20"/>
        </w:rPr>
        <w:t>1</w:t>
      </w:r>
      <w:r w:rsidR="00EB4423">
        <w:rPr>
          <w:rFonts w:ascii="Arial" w:hAnsi="Arial" w:cs="Arial"/>
          <w:sz w:val="20"/>
        </w:rPr>
        <w:t>7</w:t>
      </w:r>
      <w:r w:rsidRPr="001C21F9">
        <w:rPr>
          <w:rFonts w:ascii="Arial" w:hAnsi="Arial" w:cs="Arial"/>
          <w:sz w:val="20"/>
        </w:rPr>
        <w:t xml:space="preserve">: </w:t>
      </w:r>
      <w:r w:rsidR="00105F39" w:rsidRPr="001C21F9">
        <w:rPr>
          <w:rFonts w:ascii="Arial" w:hAnsi="Arial" w:cs="Arial"/>
          <w:sz w:val="20"/>
        </w:rPr>
        <w:t>Postopki brez predhodne objave obvestila o javnem naročilu</w:t>
      </w:r>
      <w:r w:rsidRPr="001C21F9">
        <w:rPr>
          <w:rFonts w:ascii="Arial" w:hAnsi="Arial" w:cs="Arial"/>
          <w:sz w:val="20"/>
        </w:rPr>
        <w:t>, naročila in njihova vrednost ter deleži glede na kategorijo naročnika</w:t>
      </w:r>
    </w:p>
    <w:tbl>
      <w:tblPr>
        <w:tblW w:w="0" w:type="auto"/>
        <w:tblInd w:w="-5" w:type="dxa"/>
        <w:tblCellMar>
          <w:left w:w="70" w:type="dxa"/>
          <w:right w:w="70" w:type="dxa"/>
        </w:tblCellMar>
        <w:tblLook w:val="04A0" w:firstRow="1" w:lastRow="0" w:firstColumn="1" w:lastColumn="0" w:noHBand="0" w:noVBand="1"/>
      </w:tblPr>
      <w:tblGrid>
        <w:gridCol w:w="2410"/>
        <w:gridCol w:w="992"/>
        <w:gridCol w:w="709"/>
        <w:gridCol w:w="1418"/>
        <w:gridCol w:w="992"/>
        <w:gridCol w:w="1134"/>
        <w:gridCol w:w="1412"/>
      </w:tblGrid>
      <w:tr w:rsidR="00BB1504" w:rsidRPr="001C21F9" w14:paraId="4A720282" w14:textId="77777777" w:rsidTr="006A1E90">
        <w:trPr>
          <w:trHeight w:val="480"/>
          <w:tblHeader/>
        </w:trPr>
        <w:tc>
          <w:tcPr>
            <w:tcW w:w="241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584F2F4" w14:textId="770F934E"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Kategorija naročnika</w:t>
            </w:r>
          </w:p>
        </w:tc>
        <w:tc>
          <w:tcPr>
            <w:tcW w:w="992" w:type="dxa"/>
            <w:tcBorders>
              <w:top w:val="single" w:sz="4" w:space="0" w:color="auto"/>
              <w:left w:val="nil"/>
              <w:bottom w:val="single" w:sz="4" w:space="0" w:color="auto"/>
              <w:right w:val="single" w:sz="4" w:space="0" w:color="auto"/>
            </w:tcBorders>
            <w:shd w:val="clear" w:color="000000" w:fill="EDEDED"/>
            <w:vAlign w:val="center"/>
            <w:hideMark/>
          </w:tcPr>
          <w:p w14:paraId="28693A68" w14:textId="77777777"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Št. postopkov</w:t>
            </w:r>
          </w:p>
        </w:tc>
        <w:tc>
          <w:tcPr>
            <w:tcW w:w="709" w:type="dxa"/>
            <w:tcBorders>
              <w:top w:val="single" w:sz="4" w:space="0" w:color="auto"/>
              <w:left w:val="nil"/>
              <w:bottom w:val="single" w:sz="4" w:space="0" w:color="auto"/>
              <w:right w:val="single" w:sz="4" w:space="0" w:color="auto"/>
            </w:tcBorders>
            <w:shd w:val="clear" w:color="000000" w:fill="EDEDED"/>
            <w:vAlign w:val="center"/>
            <w:hideMark/>
          </w:tcPr>
          <w:p w14:paraId="67F2715C" w14:textId="77777777"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Št. naročil</w:t>
            </w:r>
          </w:p>
        </w:tc>
        <w:tc>
          <w:tcPr>
            <w:tcW w:w="1418" w:type="dxa"/>
            <w:tcBorders>
              <w:top w:val="single" w:sz="4" w:space="0" w:color="auto"/>
              <w:left w:val="nil"/>
              <w:bottom w:val="single" w:sz="4" w:space="0" w:color="auto"/>
              <w:right w:val="single" w:sz="4" w:space="0" w:color="auto"/>
            </w:tcBorders>
            <w:shd w:val="clear" w:color="000000" w:fill="EDEDED"/>
            <w:vAlign w:val="center"/>
            <w:hideMark/>
          </w:tcPr>
          <w:p w14:paraId="5AF3BE7F" w14:textId="77777777"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000000" w:fill="EDEDED"/>
            <w:vAlign w:val="center"/>
            <w:hideMark/>
          </w:tcPr>
          <w:p w14:paraId="53DFF370" w14:textId="77777777"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Delež v št. postopkov</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518AFFB4" w14:textId="77777777"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Delež v št. naročil</w:t>
            </w:r>
          </w:p>
        </w:tc>
        <w:tc>
          <w:tcPr>
            <w:tcW w:w="1412" w:type="dxa"/>
            <w:tcBorders>
              <w:top w:val="single" w:sz="4" w:space="0" w:color="auto"/>
              <w:left w:val="nil"/>
              <w:bottom w:val="single" w:sz="4" w:space="0" w:color="auto"/>
              <w:right w:val="single" w:sz="4" w:space="0" w:color="auto"/>
            </w:tcBorders>
            <w:shd w:val="clear" w:color="000000" w:fill="EDEDED"/>
            <w:vAlign w:val="center"/>
            <w:hideMark/>
          </w:tcPr>
          <w:p w14:paraId="5C808B6F" w14:textId="77777777" w:rsidR="00BB1504" w:rsidRPr="001C21F9" w:rsidRDefault="00BB1504" w:rsidP="00BB1504">
            <w:pPr>
              <w:spacing w:after="0" w:line="240" w:lineRule="auto"/>
              <w:jc w:val="center"/>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Delež v vrednosti</w:t>
            </w:r>
          </w:p>
        </w:tc>
      </w:tr>
      <w:tr w:rsidR="001C21F9" w:rsidRPr="001C21F9" w14:paraId="26CF2207"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2D6FF42" w14:textId="412A7612"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Organi RS</w:t>
            </w:r>
          </w:p>
        </w:tc>
        <w:tc>
          <w:tcPr>
            <w:tcW w:w="992" w:type="dxa"/>
            <w:tcBorders>
              <w:top w:val="nil"/>
              <w:left w:val="nil"/>
              <w:bottom w:val="single" w:sz="4" w:space="0" w:color="auto"/>
              <w:right w:val="single" w:sz="4" w:space="0" w:color="auto"/>
            </w:tcBorders>
            <w:shd w:val="clear" w:color="auto" w:fill="auto"/>
            <w:vAlign w:val="center"/>
            <w:hideMark/>
          </w:tcPr>
          <w:p w14:paraId="5D0B4C22" w14:textId="676DB6B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172</w:t>
            </w:r>
          </w:p>
        </w:tc>
        <w:tc>
          <w:tcPr>
            <w:tcW w:w="709" w:type="dxa"/>
            <w:tcBorders>
              <w:top w:val="nil"/>
              <w:left w:val="nil"/>
              <w:bottom w:val="single" w:sz="4" w:space="0" w:color="auto"/>
              <w:right w:val="single" w:sz="4" w:space="0" w:color="auto"/>
            </w:tcBorders>
            <w:shd w:val="clear" w:color="auto" w:fill="auto"/>
            <w:vAlign w:val="center"/>
            <w:hideMark/>
          </w:tcPr>
          <w:p w14:paraId="1574A74B" w14:textId="4E61656A"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189</w:t>
            </w:r>
          </w:p>
        </w:tc>
        <w:tc>
          <w:tcPr>
            <w:tcW w:w="1418" w:type="dxa"/>
            <w:tcBorders>
              <w:top w:val="nil"/>
              <w:left w:val="nil"/>
              <w:bottom w:val="single" w:sz="4" w:space="0" w:color="auto"/>
              <w:right w:val="single" w:sz="4" w:space="0" w:color="auto"/>
            </w:tcBorders>
            <w:shd w:val="clear" w:color="auto" w:fill="auto"/>
            <w:vAlign w:val="center"/>
            <w:hideMark/>
          </w:tcPr>
          <w:p w14:paraId="3742B426" w14:textId="068FB498"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62.033.759</w:t>
            </w:r>
          </w:p>
        </w:tc>
        <w:tc>
          <w:tcPr>
            <w:tcW w:w="992" w:type="dxa"/>
            <w:tcBorders>
              <w:top w:val="nil"/>
              <w:left w:val="nil"/>
              <w:bottom w:val="single" w:sz="4" w:space="0" w:color="auto"/>
              <w:right w:val="single" w:sz="4" w:space="0" w:color="auto"/>
            </w:tcBorders>
            <w:shd w:val="clear" w:color="auto" w:fill="auto"/>
            <w:noWrap/>
            <w:vAlign w:val="center"/>
            <w:hideMark/>
          </w:tcPr>
          <w:p w14:paraId="1505EFB9" w14:textId="670ADA3A"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22,78 %</w:t>
            </w:r>
          </w:p>
        </w:tc>
        <w:tc>
          <w:tcPr>
            <w:tcW w:w="1134" w:type="dxa"/>
            <w:tcBorders>
              <w:top w:val="nil"/>
              <w:left w:val="nil"/>
              <w:bottom w:val="single" w:sz="4" w:space="0" w:color="auto"/>
              <w:right w:val="single" w:sz="4" w:space="0" w:color="auto"/>
            </w:tcBorders>
            <w:shd w:val="clear" w:color="auto" w:fill="auto"/>
            <w:noWrap/>
            <w:vAlign w:val="center"/>
            <w:hideMark/>
          </w:tcPr>
          <w:p w14:paraId="1FCA3E7C" w14:textId="396E14D8"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22,42 %</w:t>
            </w:r>
          </w:p>
        </w:tc>
        <w:tc>
          <w:tcPr>
            <w:tcW w:w="1412" w:type="dxa"/>
            <w:tcBorders>
              <w:top w:val="nil"/>
              <w:left w:val="nil"/>
              <w:bottom w:val="single" w:sz="4" w:space="0" w:color="auto"/>
              <w:right w:val="single" w:sz="4" w:space="0" w:color="auto"/>
            </w:tcBorders>
            <w:shd w:val="clear" w:color="auto" w:fill="auto"/>
            <w:noWrap/>
            <w:vAlign w:val="center"/>
            <w:hideMark/>
          </w:tcPr>
          <w:p w14:paraId="2CCBF051" w14:textId="7A60A4D9"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19,92 %</w:t>
            </w:r>
          </w:p>
        </w:tc>
      </w:tr>
      <w:tr w:rsidR="001C21F9" w:rsidRPr="001C21F9" w14:paraId="0D6C8330"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592EC5" w14:textId="77777777"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Samoupravne lokalne skupnosti</w:t>
            </w:r>
          </w:p>
        </w:tc>
        <w:tc>
          <w:tcPr>
            <w:tcW w:w="992" w:type="dxa"/>
            <w:tcBorders>
              <w:top w:val="nil"/>
              <w:left w:val="nil"/>
              <w:bottom w:val="single" w:sz="4" w:space="0" w:color="auto"/>
              <w:right w:val="single" w:sz="4" w:space="0" w:color="auto"/>
            </w:tcBorders>
            <w:shd w:val="clear" w:color="auto" w:fill="auto"/>
            <w:vAlign w:val="center"/>
            <w:hideMark/>
          </w:tcPr>
          <w:p w14:paraId="3F643FAA" w14:textId="29CC3EC6"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59</w:t>
            </w:r>
          </w:p>
        </w:tc>
        <w:tc>
          <w:tcPr>
            <w:tcW w:w="709" w:type="dxa"/>
            <w:tcBorders>
              <w:top w:val="nil"/>
              <w:left w:val="nil"/>
              <w:bottom w:val="single" w:sz="4" w:space="0" w:color="auto"/>
              <w:right w:val="single" w:sz="4" w:space="0" w:color="auto"/>
            </w:tcBorders>
            <w:shd w:val="clear" w:color="auto" w:fill="auto"/>
            <w:vAlign w:val="center"/>
            <w:hideMark/>
          </w:tcPr>
          <w:p w14:paraId="03EB3F98" w14:textId="24B72AAC"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77</w:t>
            </w:r>
          </w:p>
        </w:tc>
        <w:tc>
          <w:tcPr>
            <w:tcW w:w="1418" w:type="dxa"/>
            <w:tcBorders>
              <w:top w:val="nil"/>
              <w:left w:val="nil"/>
              <w:bottom w:val="single" w:sz="4" w:space="0" w:color="auto"/>
              <w:right w:val="single" w:sz="4" w:space="0" w:color="auto"/>
            </w:tcBorders>
            <w:shd w:val="clear" w:color="auto" w:fill="auto"/>
            <w:vAlign w:val="center"/>
            <w:hideMark/>
          </w:tcPr>
          <w:p w14:paraId="72F34DBB" w14:textId="1779DE6A"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45.123.425</w:t>
            </w:r>
          </w:p>
        </w:tc>
        <w:tc>
          <w:tcPr>
            <w:tcW w:w="992" w:type="dxa"/>
            <w:tcBorders>
              <w:top w:val="nil"/>
              <w:left w:val="nil"/>
              <w:bottom w:val="single" w:sz="4" w:space="0" w:color="auto"/>
              <w:right w:val="single" w:sz="4" w:space="0" w:color="auto"/>
            </w:tcBorders>
            <w:shd w:val="clear" w:color="auto" w:fill="auto"/>
            <w:noWrap/>
            <w:vAlign w:val="center"/>
            <w:hideMark/>
          </w:tcPr>
          <w:p w14:paraId="7AFA02E1" w14:textId="07D9F98E"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7,81 %</w:t>
            </w:r>
          </w:p>
        </w:tc>
        <w:tc>
          <w:tcPr>
            <w:tcW w:w="1134" w:type="dxa"/>
            <w:tcBorders>
              <w:top w:val="nil"/>
              <w:left w:val="nil"/>
              <w:bottom w:val="single" w:sz="4" w:space="0" w:color="auto"/>
              <w:right w:val="single" w:sz="4" w:space="0" w:color="auto"/>
            </w:tcBorders>
            <w:shd w:val="clear" w:color="auto" w:fill="auto"/>
            <w:noWrap/>
            <w:vAlign w:val="center"/>
            <w:hideMark/>
          </w:tcPr>
          <w:p w14:paraId="644D6CFE" w14:textId="5E7AD4CE"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9,13 %</w:t>
            </w:r>
          </w:p>
        </w:tc>
        <w:tc>
          <w:tcPr>
            <w:tcW w:w="1412" w:type="dxa"/>
            <w:tcBorders>
              <w:top w:val="nil"/>
              <w:left w:val="nil"/>
              <w:bottom w:val="single" w:sz="4" w:space="0" w:color="auto"/>
              <w:right w:val="single" w:sz="4" w:space="0" w:color="auto"/>
            </w:tcBorders>
            <w:shd w:val="clear" w:color="auto" w:fill="auto"/>
            <w:noWrap/>
            <w:vAlign w:val="center"/>
            <w:hideMark/>
          </w:tcPr>
          <w:p w14:paraId="095B44D6" w14:textId="009AA708"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14,49 %</w:t>
            </w:r>
          </w:p>
        </w:tc>
      </w:tr>
      <w:tr w:rsidR="001C21F9" w:rsidRPr="001C21F9" w14:paraId="7A45A3C0"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6F179D1" w14:textId="4D065103"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Javni skladi</w:t>
            </w:r>
          </w:p>
        </w:tc>
        <w:tc>
          <w:tcPr>
            <w:tcW w:w="992" w:type="dxa"/>
            <w:tcBorders>
              <w:top w:val="nil"/>
              <w:left w:val="nil"/>
              <w:bottom w:val="single" w:sz="4" w:space="0" w:color="auto"/>
              <w:right w:val="single" w:sz="4" w:space="0" w:color="auto"/>
            </w:tcBorders>
            <w:shd w:val="clear" w:color="auto" w:fill="auto"/>
            <w:vAlign w:val="center"/>
            <w:hideMark/>
          </w:tcPr>
          <w:p w14:paraId="48DB154D" w14:textId="79158F95"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14:paraId="17CD04AA" w14:textId="6268DF5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14:paraId="2F38B17F" w14:textId="3A1AA93B"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880.405</w:t>
            </w:r>
          </w:p>
        </w:tc>
        <w:tc>
          <w:tcPr>
            <w:tcW w:w="992" w:type="dxa"/>
            <w:tcBorders>
              <w:top w:val="nil"/>
              <w:left w:val="nil"/>
              <w:bottom w:val="single" w:sz="4" w:space="0" w:color="auto"/>
              <w:right w:val="single" w:sz="4" w:space="0" w:color="auto"/>
            </w:tcBorders>
            <w:shd w:val="clear" w:color="auto" w:fill="auto"/>
            <w:noWrap/>
            <w:vAlign w:val="center"/>
            <w:hideMark/>
          </w:tcPr>
          <w:p w14:paraId="2CFE1068" w14:textId="3F858875"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1,19 %</w:t>
            </w:r>
          </w:p>
        </w:tc>
        <w:tc>
          <w:tcPr>
            <w:tcW w:w="1134" w:type="dxa"/>
            <w:tcBorders>
              <w:top w:val="nil"/>
              <w:left w:val="nil"/>
              <w:bottom w:val="single" w:sz="4" w:space="0" w:color="auto"/>
              <w:right w:val="single" w:sz="4" w:space="0" w:color="auto"/>
            </w:tcBorders>
            <w:shd w:val="clear" w:color="auto" w:fill="auto"/>
            <w:noWrap/>
            <w:vAlign w:val="center"/>
            <w:hideMark/>
          </w:tcPr>
          <w:p w14:paraId="29C83342" w14:textId="61CA87DA"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1,07 %</w:t>
            </w:r>
          </w:p>
        </w:tc>
        <w:tc>
          <w:tcPr>
            <w:tcW w:w="1412" w:type="dxa"/>
            <w:tcBorders>
              <w:top w:val="nil"/>
              <w:left w:val="nil"/>
              <w:bottom w:val="single" w:sz="4" w:space="0" w:color="auto"/>
              <w:right w:val="single" w:sz="4" w:space="0" w:color="auto"/>
            </w:tcBorders>
            <w:shd w:val="clear" w:color="auto" w:fill="auto"/>
            <w:noWrap/>
            <w:vAlign w:val="center"/>
            <w:hideMark/>
          </w:tcPr>
          <w:p w14:paraId="00633DC7" w14:textId="43664202"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0,28 %</w:t>
            </w:r>
          </w:p>
        </w:tc>
      </w:tr>
      <w:tr w:rsidR="001C21F9" w:rsidRPr="001C21F9" w14:paraId="0A20AFB9"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CA80040" w14:textId="7BAAEA25"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Javne agencije</w:t>
            </w:r>
          </w:p>
        </w:tc>
        <w:tc>
          <w:tcPr>
            <w:tcW w:w="992" w:type="dxa"/>
            <w:tcBorders>
              <w:top w:val="nil"/>
              <w:left w:val="nil"/>
              <w:bottom w:val="single" w:sz="4" w:space="0" w:color="auto"/>
              <w:right w:val="single" w:sz="4" w:space="0" w:color="auto"/>
            </w:tcBorders>
            <w:shd w:val="clear" w:color="auto" w:fill="auto"/>
            <w:vAlign w:val="center"/>
            <w:hideMark/>
          </w:tcPr>
          <w:p w14:paraId="341E7716" w14:textId="67DD2DAE"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14:paraId="0FCB46AF" w14:textId="2A05A99A"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25</w:t>
            </w:r>
          </w:p>
        </w:tc>
        <w:tc>
          <w:tcPr>
            <w:tcW w:w="1418" w:type="dxa"/>
            <w:tcBorders>
              <w:top w:val="nil"/>
              <w:left w:val="nil"/>
              <w:bottom w:val="single" w:sz="4" w:space="0" w:color="auto"/>
              <w:right w:val="single" w:sz="4" w:space="0" w:color="auto"/>
            </w:tcBorders>
            <w:shd w:val="clear" w:color="auto" w:fill="auto"/>
            <w:vAlign w:val="center"/>
            <w:hideMark/>
          </w:tcPr>
          <w:p w14:paraId="04636A30" w14:textId="0DCB0FA5"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1.822.292</w:t>
            </w:r>
          </w:p>
        </w:tc>
        <w:tc>
          <w:tcPr>
            <w:tcW w:w="992" w:type="dxa"/>
            <w:tcBorders>
              <w:top w:val="nil"/>
              <w:left w:val="nil"/>
              <w:bottom w:val="single" w:sz="4" w:space="0" w:color="auto"/>
              <w:right w:val="single" w:sz="4" w:space="0" w:color="auto"/>
            </w:tcBorders>
            <w:shd w:val="clear" w:color="auto" w:fill="auto"/>
            <w:noWrap/>
            <w:vAlign w:val="center"/>
            <w:hideMark/>
          </w:tcPr>
          <w:p w14:paraId="74ED7945" w14:textId="0B4C03F2"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3,31 %</w:t>
            </w:r>
          </w:p>
        </w:tc>
        <w:tc>
          <w:tcPr>
            <w:tcW w:w="1134" w:type="dxa"/>
            <w:tcBorders>
              <w:top w:val="nil"/>
              <w:left w:val="nil"/>
              <w:bottom w:val="single" w:sz="4" w:space="0" w:color="auto"/>
              <w:right w:val="single" w:sz="4" w:space="0" w:color="auto"/>
            </w:tcBorders>
            <w:shd w:val="clear" w:color="auto" w:fill="auto"/>
            <w:noWrap/>
            <w:vAlign w:val="center"/>
            <w:hideMark/>
          </w:tcPr>
          <w:p w14:paraId="555230FE" w14:textId="7A7D839C"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2,97 %</w:t>
            </w:r>
          </w:p>
        </w:tc>
        <w:tc>
          <w:tcPr>
            <w:tcW w:w="1412" w:type="dxa"/>
            <w:tcBorders>
              <w:top w:val="nil"/>
              <w:left w:val="nil"/>
              <w:bottom w:val="single" w:sz="4" w:space="0" w:color="auto"/>
              <w:right w:val="single" w:sz="4" w:space="0" w:color="auto"/>
            </w:tcBorders>
            <w:shd w:val="clear" w:color="auto" w:fill="auto"/>
            <w:noWrap/>
            <w:vAlign w:val="center"/>
            <w:hideMark/>
          </w:tcPr>
          <w:p w14:paraId="4D2E73E3" w14:textId="6EFF741B"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0,59 %</w:t>
            </w:r>
          </w:p>
        </w:tc>
      </w:tr>
      <w:tr w:rsidR="001C21F9" w:rsidRPr="001C21F9" w14:paraId="7C9B5060"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020109" w14:textId="108BB847"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Javni zavodi</w:t>
            </w:r>
          </w:p>
        </w:tc>
        <w:tc>
          <w:tcPr>
            <w:tcW w:w="992" w:type="dxa"/>
            <w:tcBorders>
              <w:top w:val="nil"/>
              <w:left w:val="nil"/>
              <w:bottom w:val="single" w:sz="4" w:space="0" w:color="auto"/>
              <w:right w:val="single" w:sz="4" w:space="0" w:color="auto"/>
            </w:tcBorders>
            <w:shd w:val="clear" w:color="auto" w:fill="auto"/>
            <w:vAlign w:val="center"/>
            <w:hideMark/>
          </w:tcPr>
          <w:p w14:paraId="1EEE6BEC" w14:textId="5FCEDB6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194</w:t>
            </w:r>
          </w:p>
        </w:tc>
        <w:tc>
          <w:tcPr>
            <w:tcW w:w="709" w:type="dxa"/>
            <w:tcBorders>
              <w:top w:val="nil"/>
              <w:left w:val="nil"/>
              <w:bottom w:val="single" w:sz="4" w:space="0" w:color="auto"/>
              <w:right w:val="single" w:sz="4" w:space="0" w:color="auto"/>
            </w:tcBorders>
            <w:shd w:val="clear" w:color="auto" w:fill="auto"/>
            <w:vAlign w:val="center"/>
            <w:hideMark/>
          </w:tcPr>
          <w:p w14:paraId="3BAEF24F" w14:textId="55EE331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214</w:t>
            </w:r>
          </w:p>
        </w:tc>
        <w:tc>
          <w:tcPr>
            <w:tcW w:w="1418" w:type="dxa"/>
            <w:tcBorders>
              <w:top w:val="nil"/>
              <w:left w:val="nil"/>
              <w:bottom w:val="single" w:sz="4" w:space="0" w:color="auto"/>
              <w:right w:val="single" w:sz="4" w:space="0" w:color="auto"/>
            </w:tcBorders>
            <w:shd w:val="clear" w:color="auto" w:fill="auto"/>
            <w:vAlign w:val="center"/>
            <w:hideMark/>
          </w:tcPr>
          <w:p w14:paraId="419295AB" w14:textId="17379DFE"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77.371.946</w:t>
            </w:r>
          </w:p>
        </w:tc>
        <w:tc>
          <w:tcPr>
            <w:tcW w:w="992" w:type="dxa"/>
            <w:tcBorders>
              <w:top w:val="nil"/>
              <w:left w:val="nil"/>
              <w:bottom w:val="single" w:sz="4" w:space="0" w:color="auto"/>
              <w:right w:val="single" w:sz="4" w:space="0" w:color="auto"/>
            </w:tcBorders>
            <w:shd w:val="clear" w:color="auto" w:fill="auto"/>
            <w:noWrap/>
            <w:vAlign w:val="center"/>
            <w:hideMark/>
          </w:tcPr>
          <w:p w14:paraId="2F849A36" w14:textId="3FF83A65"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25,70 %</w:t>
            </w:r>
          </w:p>
        </w:tc>
        <w:tc>
          <w:tcPr>
            <w:tcW w:w="1134" w:type="dxa"/>
            <w:tcBorders>
              <w:top w:val="nil"/>
              <w:left w:val="nil"/>
              <w:bottom w:val="single" w:sz="4" w:space="0" w:color="auto"/>
              <w:right w:val="single" w:sz="4" w:space="0" w:color="auto"/>
            </w:tcBorders>
            <w:shd w:val="clear" w:color="auto" w:fill="auto"/>
            <w:noWrap/>
            <w:vAlign w:val="center"/>
            <w:hideMark/>
          </w:tcPr>
          <w:p w14:paraId="0D1CE256" w14:textId="5FD858A7"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25,39 %</w:t>
            </w:r>
          </w:p>
        </w:tc>
        <w:tc>
          <w:tcPr>
            <w:tcW w:w="1412" w:type="dxa"/>
            <w:tcBorders>
              <w:top w:val="nil"/>
              <w:left w:val="nil"/>
              <w:bottom w:val="single" w:sz="4" w:space="0" w:color="auto"/>
              <w:right w:val="single" w:sz="4" w:space="0" w:color="auto"/>
            </w:tcBorders>
            <w:shd w:val="clear" w:color="auto" w:fill="auto"/>
            <w:noWrap/>
            <w:vAlign w:val="center"/>
            <w:hideMark/>
          </w:tcPr>
          <w:p w14:paraId="2823B31E" w14:textId="3AF48E02"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24,84 %</w:t>
            </w:r>
          </w:p>
        </w:tc>
      </w:tr>
      <w:tr w:rsidR="001C21F9" w:rsidRPr="001C21F9" w14:paraId="515570CB"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D6761D7" w14:textId="5535652E"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Javni gospodarski zavodi</w:t>
            </w:r>
          </w:p>
        </w:tc>
        <w:tc>
          <w:tcPr>
            <w:tcW w:w="992" w:type="dxa"/>
            <w:tcBorders>
              <w:top w:val="nil"/>
              <w:left w:val="nil"/>
              <w:bottom w:val="single" w:sz="4" w:space="0" w:color="auto"/>
              <w:right w:val="single" w:sz="4" w:space="0" w:color="auto"/>
            </w:tcBorders>
            <w:shd w:val="clear" w:color="auto" w:fill="auto"/>
            <w:vAlign w:val="center"/>
            <w:hideMark/>
          </w:tcPr>
          <w:p w14:paraId="322175C2" w14:textId="52F35BB2"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14:paraId="48AF68AB" w14:textId="0956085F"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0C4F561F" w14:textId="447C6FFD"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111.436</w:t>
            </w:r>
          </w:p>
        </w:tc>
        <w:tc>
          <w:tcPr>
            <w:tcW w:w="992" w:type="dxa"/>
            <w:tcBorders>
              <w:top w:val="nil"/>
              <w:left w:val="nil"/>
              <w:bottom w:val="single" w:sz="4" w:space="0" w:color="auto"/>
              <w:right w:val="single" w:sz="4" w:space="0" w:color="auto"/>
            </w:tcBorders>
            <w:shd w:val="clear" w:color="auto" w:fill="auto"/>
            <w:noWrap/>
            <w:vAlign w:val="center"/>
            <w:hideMark/>
          </w:tcPr>
          <w:p w14:paraId="5AA78940" w14:textId="2B417A08"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0,40 %</w:t>
            </w:r>
          </w:p>
        </w:tc>
        <w:tc>
          <w:tcPr>
            <w:tcW w:w="1134" w:type="dxa"/>
            <w:tcBorders>
              <w:top w:val="nil"/>
              <w:left w:val="nil"/>
              <w:bottom w:val="single" w:sz="4" w:space="0" w:color="auto"/>
              <w:right w:val="single" w:sz="4" w:space="0" w:color="auto"/>
            </w:tcBorders>
            <w:shd w:val="clear" w:color="auto" w:fill="auto"/>
            <w:noWrap/>
            <w:vAlign w:val="center"/>
            <w:hideMark/>
          </w:tcPr>
          <w:p w14:paraId="6849399C" w14:textId="54FD1FCC"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0,36 %</w:t>
            </w:r>
          </w:p>
        </w:tc>
        <w:tc>
          <w:tcPr>
            <w:tcW w:w="1412" w:type="dxa"/>
            <w:tcBorders>
              <w:top w:val="nil"/>
              <w:left w:val="nil"/>
              <w:bottom w:val="single" w:sz="4" w:space="0" w:color="auto"/>
              <w:right w:val="single" w:sz="4" w:space="0" w:color="auto"/>
            </w:tcBorders>
            <w:shd w:val="clear" w:color="auto" w:fill="auto"/>
            <w:noWrap/>
            <w:vAlign w:val="center"/>
            <w:hideMark/>
          </w:tcPr>
          <w:p w14:paraId="5C33FBF3" w14:textId="26799D76"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0,04 %</w:t>
            </w:r>
          </w:p>
        </w:tc>
      </w:tr>
      <w:tr w:rsidR="001C21F9" w:rsidRPr="001C21F9" w14:paraId="6217BD8F"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5D4FB94" w14:textId="77777777"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Drugi naročniki (osebe javnega prava, javna podjetja, subjekt s posebnimi infrastrukturnimi pravicami)</w:t>
            </w:r>
          </w:p>
        </w:tc>
        <w:tc>
          <w:tcPr>
            <w:tcW w:w="992" w:type="dxa"/>
            <w:tcBorders>
              <w:top w:val="nil"/>
              <w:left w:val="nil"/>
              <w:bottom w:val="single" w:sz="4" w:space="0" w:color="auto"/>
              <w:right w:val="single" w:sz="4" w:space="0" w:color="auto"/>
            </w:tcBorders>
            <w:shd w:val="clear" w:color="auto" w:fill="auto"/>
            <w:vAlign w:val="center"/>
            <w:hideMark/>
          </w:tcPr>
          <w:p w14:paraId="66C442D1" w14:textId="19A1AD84"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287</w:t>
            </w:r>
          </w:p>
        </w:tc>
        <w:tc>
          <w:tcPr>
            <w:tcW w:w="709" w:type="dxa"/>
            <w:tcBorders>
              <w:top w:val="nil"/>
              <w:left w:val="nil"/>
              <w:bottom w:val="single" w:sz="4" w:space="0" w:color="auto"/>
              <w:right w:val="single" w:sz="4" w:space="0" w:color="auto"/>
            </w:tcBorders>
            <w:shd w:val="clear" w:color="auto" w:fill="auto"/>
            <w:vAlign w:val="center"/>
            <w:hideMark/>
          </w:tcPr>
          <w:p w14:paraId="124434E7" w14:textId="5AAD10E9"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319</w:t>
            </w:r>
          </w:p>
        </w:tc>
        <w:tc>
          <w:tcPr>
            <w:tcW w:w="1418" w:type="dxa"/>
            <w:tcBorders>
              <w:top w:val="nil"/>
              <w:left w:val="nil"/>
              <w:bottom w:val="single" w:sz="4" w:space="0" w:color="auto"/>
              <w:right w:val="single" w:sz="4" w:space="0" w:color="auto"/>
            </w:tcBorders>
            <w:shd w:val="clear" w:color="auto" w:fill="auto"/>
            <w:vAlign w:val="center"/>
            <w:hideMark/>
          </w:tcPr>
          <w:p w14:paraId="5DAE47C0" w14:textId="7DEC150C"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122.602.672</w:t>
            </w:r>
          </w:p>
        </w:tc>
        <w:tc>
          <w:tcPr>
            <w:tcW w:w="992" w:type="dxa"/>
            <w:tcBorders>
              <w:top w:val="nil"/>
              <w:left w:val="nil"/>
              <w:bottom w:val="single" w:sz="4" w:space="0" w:color="auto"/>
              <w:right w:val="single" w:sz="4" w:space="0" w:color="auto"/>
            </w:tcBorders>
            <w:shd w:val="clear" w:color="auto" w:fill="auto"/>
            <w:noWrap/>
            <w:vAlign w:val="center"/>
            <w:hideMark/>
          </w:tcPr>
          <w:p w14:paraId="020375AF" w14:textId="1C3C9C4D"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38,01 %</w:t>
            </w:r>
          </w:p>
        </w:tc>
        <w:tc>
          <w:tcPr>
            <w:tcW w:w="1134" w:type="dxa"/>
            <w:tcBorders>
              <w:top w:val="nil"/>
              <w:left w:val="nil"/>
              <w:bottom w:val="single" w:sz="4" w:space="0" w:color="auto"/>
              <w:right w:val="single" w:sz="4" w:space="0" w:color="auto"/>
            </w:tcBorders>
            <w:shd w:val="clear" w:color="auto" w:fill="auto"/>
            <w:noWrap/>
            <w:vAlign w:val="center"/>
            <w:hideMark/>
          </w:tcPr>
          <w:p w14:paraId="59C66163" w14:textId="5F5A1D4B"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37,84 %</w:t>
            </w:r>
          </w:p>
        </w:tc>
        <w:tc>
          <w:tcPr>
            <w:tcW w:w="1412" w:type="dxa"/>
            <w:tcBorders>
              <w:top w:val="nil"/>
              <w:left w:val="nil"/>
              <w:bottom w:val="single" w:sz="4" w:space="0" w:color="auto"/>
              <w:right w:val="single" w:sz="4" w:space="0" w:color="auto"/>
            </w:tcBorders>
            <w:shd w:val="clear" w:color="auto" w:fill="auto"/>
            <w:noWrap/>
            <w:vAlign w:val="center"/>
            <w:hideMark/>
          </w:tcPr>
          <w:p w14:paraId="2A92F041" w14:textId="1335663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39,37 %</w:t>
            </w:r>
          </w:p>
        </w:tc>
      </w:tr>
      <w:tr w:rsidR="001C21F9" w:rsidRPr="001C21F9" w14:paraId="0602E745" w14:textId="77777777" w:rsidTr="001C21F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3D00FE2" w14:textId="77777777" w:rsidR="001C21F9" w:rsidRPr="001C21F9" w:rsidRDefault="001C21F9" w:rsidP="001C21F9">
            <w:pPr>
              <w:spacing w:after="0" w:line="240" w:lineRule="auto"/>
              <w:rPr>
                <w:rFonts w:ascii="Arial" w:eastAsia="Times New Roman" w:hAnsi="Arial" w:cs="Arial"/>
                <w:color w:val="000000"/>
                <w:sz w:val="18"/>
                <w:szCs w:val="18"/>
                <w:lang w:eastAsia="sl-SI"/>
              </w:rPr>
            </w:pPr>
            <w:r w:rsidRPr="001C21F9">
              <w:rPr>
                <w:rFonts w:ascii="Arial" w:eastAsia="Times New Roman" w:hAnsi="Arial" w:cs="Arial"/>
                <w:color w:val="000000"/>
                <w:sz w:val="18"/>
                <w:szCs w:val="18"/>
                <w:lang w:eastAsia="sl-SI"/>
              </w:rPr>
              <w:t>Razni subjekti</w:t>
            </w:r>
          </w:p>
        </w:tc>
        <w:tc>
          <w:tcPr>
            <w:tcW w:w="992" w:type="dxa"/>
            <w:tcBorders>
              <w:top w:val="nil"/>
              <w:left w:val="nil"/>
              <w:bottom w:val="single" w:sz="4" w:space="0" w:color="auto"/>
              <w:right w:val="single" w:sz="4" w:space="0" w:color="auto"/>
            </w:tcBorders>
            <w:shd w:val="clear" w:color="auto" w:fill="auto"/>
            <w:vAlign w:val="center"/>
            <w:hideMark/>
          </w:tcPr>
          <w:p w14:paraId="1FFE3163" w14:textId="612C9D41"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14:paraId="75B96619" w14:textId="2EC3D04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14:paraId="648EC3B1" w14:textId="3C1E25A1"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1.475.444</w:t>
            </w:r>
          </w:p>
        </w:tc>
        <w:tc>
          <w:tcPr>
            <w:tcW w:w="992" w:type="dxa"/>
            <w:tcBorders>
              <w:top w:val="nil"/>
              <w:left w:val="nil"/>
              <w:bottom w:val="single" w:sz="4" w:space="0" w:color="auto"/>
              <w:right w:val="single" w:sz="4" w:space="0" w:color="auto"/>
            </w:tcBorders>
            <w:shd w:val="clear" w:color="auto" w:fill="auto"/>
            <w:noWrap/>
            <w:vAlign w:val="center"/>
            <w:hideMark/>
          </w:tcPr>
          <w:p w14:paraId="53F64BD2" w14:textId="7FEFF303"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0,79 %</w:t>
            </w:r>
          </w:p>
        </w:tc>
        <w:tc>
          <w:tcPr>
            <w:tcW w:w="1134" w:type="dxa"/>
            <w:tcBorders>
              <w:top w:val="nil"/>
              <w:left w:val="nil"/>
              <w:bottom w:val="single" w:sz="4" w:space="0" w:color="auto"/>
              <w:right w:val="single" w:sz="4" w:space="0" w:color="auto"/>
            </w:tcBorders>
            <w:shd w:val="clear" w:color="auto" w:fill="auto"/>
            <w:noWrap/>
            <w:vAlign w:val="center"/>
            <w:hideMark/>
          </w:tcPr>
          <w:p w14:paraId="2AC78E0F" w14:textId="564C8750"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0,83 %</w:t>
            </w:r>
          </w:p>
        </w:tc>
        <w:tc>
          <w:tcPr>
            <w:tcW w:w="1412" w:type="dxa"/>
            <w:tcBorders>
              <w:top w:val="nil"/>
              <w:left w:val="nil"/>
              <w:bottom w:val="single" w:sz="4" w:space="0" w:color="auto"/>
              <w:right w:val="single" w:sz="4" w:space="0" w:color="auto"/>
            </w:tcBorders>
            <w:shd w:val="clear" w:color="auto" w:fill="auto"/>
            <w:noWrap/>
            <w:vAlign w:val="center"/>
            <w:hideMark/>
          </w:tcPr>
          <w:p w14:paraId="44A195F6" w14:textId="1E2A478C" w:rsidR="001C21F9" w:rsidRPr="001C21F9" w:rsidRDefault="001C21F9" w:rsidP="001C21F9">
            <w:pPr>
              <w:spacing w:after="0" w:line="240" w:lineRule="auto"/>
              <w:jc w:val="right"/>
              <w:rPr>
                <w:rFonts w:ascii="Arial" w:eastAsia="Times New Roman" w:hAnsi="Arial" w:cs="Arial"/>
                <w:color w:val="000000"/>
                <w:sz w:val="18"/>
                <w:szCs w:val="18"/>
                <w:lang w:eastAsia="sl-SI"/>
              </w:rPr>
            </w:pPr>
            <w:r w:rsidRPr="001C21F9">
              <w:rPr>
                <w:rFonts w:ascii="Arial" w:hAnsi="Arial" w:cs="Arial"/>
                <w:sz w:val="18"/>
                <w:szCs w:val="18"/>
              </w:rPr>
              <w:t>0,47 %</w:t>
            </w:r>
          </w:p>
        </w:tc>
      </w:tr>
      <w:tr w:rsidR="001C21F9" w:rsidRPr="001C21F9" w14:paraId="40E54D03" w14:textId="77777777" w:rsidTr="006E442D">
        <w:trPr>
          <w:trHeight w:val="300"/>
        </w:trPr>
        <w:tc>
          <w:tcPr>
            <w:tcW w:w="241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86F00EF" w14:textId="35355EDF" w:rsidR="001C21F9" w:rsidRPr="001C21F9" w:rsidRDefault="001C21F9" w:rsidP="001C21F9">
            <w:pPr>
              <w:spacing w:after="0" w:line="240" w:lineRule="auto"/>
              <w:rPr>
                <w:rFonts w:ascii="Arial" w:eastAsia="Times New Roman" w:hAnsi="Arial" w:cs="Arial"/>
                <w:b/>
                <w:color w:val="000000"/>
                <w:sz w:val="18"/>
                <w:szCs w:val="18"/>
                <w:lang w:eastAsia="sl-SI"/>
              </w:rPr>
            </w:pPr>
            <w:r w:rsidRPr="001C21F9">
              <w:rPr>
                <w:rFonts w:ascii="Arial" w:eastAsia="Times New Roman" w:hAnsi="Arial" w:cs="Arial"/>
                <w:b/>
                <w:color w:val="000000"/>
                <w:sz w:val="18"/>
                <w:szCs w:val="18"/>
                <w:lang w:eastAsia="sl-SI"/>
              </w:rPr>
              <w:t> Skupaj</w:t>
            </w:r>
          </w:p>
        </w:tc>
        <w:tc>
          <w:tcPr>
            <w:tcW w:w="992" w:type="dxa"/>
            <w:tcBorders>
              <w:top w:val="nil"/>
              <w:left w:val="nil"/>
              <w:bottom w:val="single" w:sz="4" w:space="0" w:color="auto"/>
              <w:right w:val="single" w:sz="4" w:space="0" w:color="auto"/>
            </w:tcBorders>
            <w:shd w:val="clear" w:color="auto" w:fill="E7E6E6" w:themeFill="background2"/>
            <w:noWrap/>
            <w:vAlign w:val="center"/>
            <w:hideMark/>
          </w:tcPr>
          <w:p w14:paraId="15839383" w14:textId="313DAC4C" w:rsidR="001C21F9" w:rsidRPr="001C21F9" w:rsidRDefault="001C21F9" w:rsidP="001C21F9">
            <w:pPr>
              <w:spacing w:after="0" w:line="240" w:lineRule="auto"/>
              <w:jc w:val="right"/>
              <w:rPr>
                <w:rFonts w:ascii="Arial" w:eastAsia="Times New Roman" w:hAnsi="Arial" w:cs="Arial"/>
                <w:b/>
                <w:color w:val="000000"/>
                <w:sz w:val="18"/>
                <w:szCs w:val="18"/>
                <w:lang w:eastAsia="sl-SI"/>
              </w:rPr>
            </w:pPr>
            <w:r w:rsidRPr="001C21F9">
              <w:rPr>
                <w:rFonts w:ascii="Arial" w:hAnsi="Arial" w:cs="Arial"/>
                <w:b/>
                <w:sz w:val="18"/>
                <w:szCs w:val="18"/>
              </w:rPr>
              <w:t>755</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73BED563" w14:textId="0E574580" w:rsidR="001C21F9" w:rsidRPr="001C21F9" w:rsidRDefault="001C21F9" w:rsidP="001C21F9">
            <w:pPr>
              <w:spacing w:after="0" w:line="240" w:lineRule="auto"/>
              <w:jc w:val="right"/>
              <w:rPr>
                <w:rFonts w:ascii="Arial" w:eastAsia="Times New Roman" w:hAnsi="Arial" w:cs="Arial"/>
                <w:b/>
                <w:color w:val="000000"/>
                <w:sz w:val="18"/>
                <w:szCs w:val="18"/>
                <w:lang w:eastAsia="sl-SI"/>
              </w:rPr>
            </w:pPr>
            <w:r w:rsidRPr="001C21F9">
              <w:rPr>
                <w:rFonts w:ascii="Arial" w:hAnsi="Arial" w:cs="Arial"/>
                <w:b/>
                <w:sz w:val="18"/>
                <w:szCs w:val="18"/>
              </w:rPr>
              <w:t>843</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7B0D3E22" w14:textId="5D35CBE5" w:rsidR="001C21F9" w:rsidRPr="001C21F9" w:rsidRDefault="001C21F9" w:rsidP="001C21F9">
            <w:pPr>
              <w:spacing w:after="0" w:line="240" w:lineRule="auto"/>
              <w:jc w:val="right"/>
              <w:rPr>
                <w:rFonts w:ascii="Arial" w:eastAsia="Times New Roman" w:hAnsi="Arial" w:cs="Arial"/>
                <w:b/>
                <w:color w:val="000000"/>
                <w:sz w:val="18"/>
                <w:szCs w:val="18"/>
                <w:lang w:eastAsia="sl-SI"/>
              </w:rPr>
            </w:pPr>
            <w:r w:rsidRPr="001C21F9">
              <w:rPr>
                <w:rFonts w:ascii="Arial" w:hAnsi="Arial" w:cs="Arial"/>
                <w:b/>
                <w:sz w:val="18"/>
                <w:szCs w:val="18"/>
              </w:rPr>
              <w:t>311.421.379</w:t>
            </w:r>
          </w:p>
        </w:tc>
        <w:tc>
          <w:tcPr>
            <w:tcW w:w="992" w:type="dxa"/>
            <w:tcBorders>
              <w:top w:val="nil"/>
              <w:left w:val="nil"/>
              <w:bottom w:val="single" w:sz="4" w:space="0" w:color="auto"/>
              <w:right w:val="single" w:sz="4" w:space="0" w:color="auto"/>
            </w:tcBorders>
            <w:shd w:val="clear" w:color="auto" w:fill="E7E6E6" w:themeFill="background2"/>
            <w:noWrap/>
            <w:vAlign w:val="center"/>
            <w:hideMark/>
          </w:tcPr>
          <w:p w14:paraId="46159244" w14:textId="595E5505" w:rsidR="001C21F9" w:rsidRPr="001C21F9" w:rsidRDefault="001C21F9" w:rsidP="001C21F9">
            <w:pPr>
              <w:spacing w:after="0" w:line="240" w:lineRule="auto"/>
              <w:jc w:val="right"/>
              <w:rPr>
                <w:rFonts w:ascii="Arial" w:eastAsia="Times New Roman" w:hAnsi="Arial" w:cs="Arial"/>
                <w:b/>
                <w:color w:val="000000"/>
                <w:sz w:val="18"/>
                <w:szCs w:val="18"/>
                <w:lang w:eastAsia="sl-SI"/>
              </w:rPr>
            </w:pPr>
            <w:r w:rsidRPr="001C21F9">
              <w:rPr>
                <w:rFonts w:ascii="Arial" w:hAnsi="Arial" w:cs="Arial"/>
                <w:b/>
                <w:sz w:val="18"/>
                <w:szCs w:val="18"/>
              </w:rPr>
              <w:t>100,00 %</w:t>
            </w:r>
          </w:p>
        </w:tc>
        <w:tc>
          <w:tcPr>
            <w:tcW w:w="1134" w:type="dxa"/>
            <w:tcBorders>
              <w:top w:val="nil"/>
              <w:left w:val="nil"/>
              <w:bottom w:val="single" w:sz="4" w:space="0" w:color="auto"/>
              <w:right w:val="single" w:sz="4" w:space="0" w:color="auto"/>
            </w:tcBorders>
            <w:shd w:val="clear" w:color="auto" w:fill="E7E6E6" w:themeFill="background2"/>
            <w:noWrap/>
            <w:vAlign w:val="center"/>
            <w:hideMark/>
          </w:tcPr>
          <w:p w14:paraId="4499148B" w14:textId="2EEBED36" w:rsidR="001C21F9" w:rsidRPr="001C21F9" w:rsidRDefault="001C21F9" w:rsidP="001C21F9">
            <w:pPr>
              <w:spacing w:after="0" w:line="240" w:lineRule="auto"/>
              <w:jc w:val="right"/>
              <w:rPr>
                <w:rFonts w:ascii="Arial" w:eastAsia="Times New Roman" w:hAnsi="Arial" w:cs="Arial"/>
                <w:b/>
                <w:color w:val="000000"/>
                <w:sz w:val="18"/>
                <w:szCs w:val="18"/>
                <w:lang w:eastAsia="sl-SI"/>
              </w:rPr>
            </w:pPr>
            <w:r w:rsidRPr="001C21F9">
              <w:rPr>
                <w:rFonts w:ascii="Arial" w:hAnsi="Arial" w:cs="Arial"/>
                <w:b/>
                <w:sz w:val="18"/>
                <w:szCs w:val="18"/>
              </w:rPr>
              <w:t>100,00 %</w:t>
            </w:r>
          </w:p>
        </w:tc>
        <w:tc>
          <w:tcPr>
            <w:tcW w:w="1412" w:type="dxa"/>
            <w:tcBorders>
              <w:top w:val="nil"/>
              <w:left w:val="nil"/>
              <w:bottom w:val="single" w:sz="4" w:space="0" w:color="auto"/>
              <w:right w:val="single" w:sz="4" w:space="0" w:color="auto"/>
            </w:tcBorders>
            <w:shd w:val="clear" w:color="auto" w:fill="E7E6E6" w:themeFill="background2"/>
            <w:noWrap/>
            <w:vAlign w:val="center"/>
            <w:hideMark/>
          </w:tcPr>
          <w:p w14:paraId="3FB5EA2B" w14:textId="6637565B" w:rsidR="001C21F9" w:rsidRPr="001C21F9" w:rsidRDefault="001C21F9" w:rsidP="001C21F9">
            <w:pPr>
              <w:spacing w:after="0" w:line="240" w:lineRule="auto"/>
              <w:jc w:val="right"/>
              <w:rPr>
                <w:rFonts w:ascii="Arial" w:eastAsia="Times New Roman" w:hAnsi="Arial" w:cs="Arial"/>
                <w:b/>
                <w:color w:val="000000"/>
                <w:sz w:val="18"/>
                <w:szCs w:val="18"/>
                <w:lang w:eastAsia="sl-SI"/>
              </w:rPr>
            </w:pPr>
            <w:r w:rsidRPr="001C21F9">
              <w:rPr>
                <w:rFonts w:ascii="Arial" w:hAnsi="Arial" w:cs="Arial"/>
                <w:b/>
                <w:sz w:val="18"/>
                <w:szCs w:val="18"/>
              </w:rPr>
              <w:t>100,00 %</w:t>
            </w:r>
          </w:p>
        </w:tc>
      </w:tr>
    </w:tbl>
    <w:p w14:paraId="7AE422EF" w14:textId="7AC80F52" w:rsidR="00A8659F" w:rsidRPr="001C21F9" w:rsidRDefault="00A8659F" w:rsidP="00A8659F">
      <w:pPr>
        <w:pStyle w:val="ZADEVA"/>
        <w:jc w:val="both"/>
        <w:rPr>
          <w:rFonts w:cs="Arial"/>
          <w:b w:val="0"/>
          <w:szCs w:val="20"/>
          <w:lang w:val="sl-SI"/>
        </w:rPr>
      </w:pPr>
    </w:p>
    <w:p w14:paraId="615B28AD" w14:textId="44637CB5" w:rsidR="00EE4F5B" w:rsidRPr="001C21F9" w:rsidRDefault="00EE4F5B" w:rsidP="00701C10">
      <w:pPr>
        <w:spacing w:after="240" w:line="240" w:lineRule="auto"/>
        <w:jc w:val="center"/>
        <w:rPr>
          <w:rFonts w:ascii="Arial" w:hAnsi="Arial" w:cs="Arial"/>
          <w:sz w:val="18"/>
        </w:rPr>
      </w:pPr>
      <w:r w:rsidRPr="001C21F9">
        <w:rPr>
          <w:rFonts w:ascii="Arial" w:hAnsi="Arial" w:cs="Arial"/>
          <w:sz w:val="18"/>
        </w:rPr>
        <w:t>Vir: Statistični podatki o javni</w:t>
      </w:r>
      <w:r w:rsidR="00D13015" w:rsidRPr="001C21F9">
        <w:rPr>
          <w:rFonts w:ascii="Arial" w:hAnsi="Arial" w:cs="Arial"/>
          <w:sz w:val="18"/>
        </w:rPr>
        <w:t>h naročilih, oddanih v letu 201</w:t>
      </w:r>
      <w:r w:rsidR="001C21F9" w:rsidRPr="001C21F9">
        <w:rPr>
          <w:rFonts w:ascii="Arial" w:hAnsi="Arial" w:cs="Arial"/>
          <w:sz w:val="18"/>
        </w:rPr>
        <w:t>8</w:t>
      </w:r>
    </w:p>
    <w:p w14:paraId="261A39D0" w14:textId="7FDA11EB" w:rsidR="00FD5104" w:rsidRPr="00E6313F" w:rsidRDefault="00FD5104" w:rsidP="00FD5104">
      <w:pPr>
        <w:tabs>
          <w:tab w:val="left" w:pos="567"/>
          <w:tab w:val="left" w:pos="993"/>
        </w:tabs>
        <w:spacing w:line="360" w:lineRule="auto"/>
        <w:jc w:val="both"/>
        <w:rPr>
          <w:rFonts w:ascii="Arial" w:hAnsi="Arial" w:cs="Arial"/>
          <w:bCs/>
          <w:sz w:val="20"/>
          <w:szCs w:val="20"/>
        </w:rPr>
      </w:pPr>
      <w:r w:rsidRPr="00E6313F">
        <w:rPr>
          <w:rFonts w:ascii="Arial" w:hAnsi="Arial" w:cs="Arial"/>
          <w:bCs/>
          <w:sz w:val="20"/>
          <w:szCs w:val="20"/>
        </w:rPr>
        <w:t xml:space="preserve">V postopkih javnega naročanja, v katerih naročniki niso objavili obvestila o javnem naročilu, je bilo slovenskim ponudnikom (sedež ponudnika v Republiki Sloveniji) oddanih </w:t>
      </w:r>
      <w:r w:rsidR="008322FD" w:rsidRPr="00E6313F">
        <w:rPr>
          <w:rFonts w:ascii="Arial" w:hAnsi="Arial" w:cs="Arial"/>
          <w:bCs/>
          <w:sz w:val="20"/>
          <w:szCs w:val="20"/>
        </w:rPr>
        <w:t>6</w:t>
      </w:r>
      <w:r w:rsidR="00E6313F" w:rsidRPr="00E6313F">
        <w:rPr>
          <w:rFonts w:ascii="Arial" w:hAnsi="Arial" w:cs="Arial"/>
          <w:bCs/>
          <w:sz w:val="20"/>
          <w:szCs w:val="20"/>
        </w:rPr>
        <w:t>06</w:t>
      </w:r>
      <w:r w:rsidRPr="00E6313F">
        <w:rPr>
          <w:rFonts w:ascii="Arial" w:hAnsi="Arial" w:cs="Arial"/>
          <w:bCs/>
          <w:sz w:val="20"/>
          <w:szCs w:val="20"/>
        </w:rPr>
        <w:t xml:space="preserve"> naročil, kar </w:t>
      </w:r>
      <w:r w:rsidR="003E4A6B" w:rsidRPr="00E6313F">
        <w:rPr>
          <w:rFonts w:ascii="Arial" w:hAnsi="Arial" w:cs="Arial"/>
          <w:bCs/>
          <w:sz w:val="20"/>
          <w:szCs w:val="20"/>
        </w:rPr>
        <w:t xml:space="preserve">je </w:t>
      </w:r>
      <w:r w:rsidR="00E6313F" w:rsidRPr="00E6313F">
        <w:rPr>
          <w:rFonts w:ascii="Arial" w:hAnsi="Arial" w:cs="Arial"/>
          <w:bCs/>
          <w:sz w:val="20"/>
          <w:szCs w:val="20"/>
        </w:rPr>
        <w:t>82,21</w:t>
      </w:r>
      <w:r w:rsidR="00475C0E" w:rsidRPr="00E6313F">
        <w:rPr>
          <w:rFonts w:ascii="Arial" w:hAnsi="Arial" w:cs="Arial"/>
          <w:bCs/>
          <w:sz w:val="20"/>
          <w:szCs w:val="20"/>
        </w:rPr>
        <w:t>-</w:t>
      </w:r>
      <w:r w:rsidRPr="00E6313F">
        <w:rPr>
          <w:rFonts w:ascii="Arial" w:hAnsi="Arial" w:cs="Arial"/>
          <w:bCs/>
          <w:sz w:val="20"/>
          <w:szCs w:val="20"/>
        </w:rPr>
        <w:t xml:space="preserve">odstotni delež tovrstnih naročil, </w:t>
      </w:r>
      <w:r w:rsidR="009F5FF1" w:rsidRPr="00E6313F">
        <w:rPr>
          <w:rFonts w:ascii="Arial" w:hAnsi="Arial" w:cs="Arial"/>
          <w:bCs/>
          <w:sz w:val="20"/>
          <w:szCs w:val="20"/>
        </w:rPr>
        <w:t xml:space="preserve">vrednostno pa </w:t>
      </w:r>
      <w:r w:rsidR="00BC1956">
        <w:rPr>
          <w:rFonts w:ascii="Arial" w:hAnsi="Arial" w:cs="Arial"/>
          <w:bCs/>
          <w:sz w:val="20"/>
          <w:szCs w:val="20"/>
        </w:rPr>
        <w:t>pomeni</w:t>
      </w:r>
      <w:r w:rsidR="00BC1956" w:rsidRPr="00E6313F">
        <w:rPr>
          <w:rFonts w:ascii="Arial" w:hAnsi="Arial" w:cs="Arial"/>
          <w:bCs/>
          <w:sz w:val="20"/>
          <w:szCs w:val="20"/>
        </w:rPr>
        <w:t xml:space="preserve"> </w:t>
      </w:r>
      <w:r w:rsidR="00E6313F" w:rsidRPr="00E6313F">
        <w:rPr>
          <w:rFonts w:ascii="Arial" w:hAnsi="Arial" w:cs="Arial"/>
          <w:bCs/>
          <w:sz w:val="20"/>
          <w:szCs w:val="20"/>
        </w:rPr>
        <w:t>68,53</w:t>
      </w:r>
      <w:r w:rsidR="009F5FF1" w:rsidRPr="00E6313F">
        <w:rPr>
          <w:rFonts w:ascii="Arial" w:hAnsi="Arial" w:cs="Arial"/>
          <w:bCs/>
          <w:sz w:val="20"/>
          <w:szCs w:val="20"/>
        </w:rPr>
        <w:t xml:space="preserve"> %</w:t>
      </w:r>
      <w:r w:rsidR="00192864" w:rsidRPr="00E6313F">
        <w:rPr>
          <w:rFonts w:ascii="Arial" w:hAnsi="Arial" w:cs="Arial"/>
          <w:bCs/>
          <w:sz w:val="20"/>
          <w:szCs w:val="20"/>
        </w:rPr>
        <w:t xml:space="preserve"> vrednosti vseh tovrstnih naročil</w:t>
      </w:r>
      <w:r w:rsidR="009F5FF1" w:rsidRPr="00E6313F">
        <w:rPr>
          <w:rFonts w:ascii="Arial" w:hAnsi="Arial" w:cs="Arial"/>
          <w:bCs/>
          <w:sz w:val="20"/>
          <w:szCs w:val="20"/>
        </w:rPr>
        <w:t>.</w:t>
      </w:r>
      <w:r w:rsidRPr="00E6313F">
        <w:rPr>
          <w:rFonts w:ascii="Arial" w:hAnsi="Arial" w:cs="Arial"/>
          <w:bCs/>
          <w:sz w:val="20"/>
          <w:szCs w:val="20"/>
        </w:rPr>
        <w:t xml:space="preserve"> </w:t>
      </w:r>
    </w:p>
    <w:p w14:paraId="7011FE6E" w14:textId="4DE92C34" w:rsidR="00FD5104" w:rsidRPr="0086246F" w:rsidRDefault="00FD5104" w:rsidP="008A61FD">
      <w:pPr>
        <w:spacing w:before="120" w:after="120" w:line="240" w:lineRule="auto"/>
        <w:jc w:val="both"/>
        <w:rPr>
          <w:rFonts w:ascii="Arial" w:hAnsi="Arial" w:cs="Arial"/>
          <w:sz w:val="20"/>
        </w:rPr>
      </w:pPr>
      <w:r w:rsidRPr="0086246F">
        <w:rPr>
          <w:rFonts w:ascii="Arial" w:hAnsi="Arial" w:cs="Arial"/>
          <w:sz w:val="20"/>
        </w:rPr>
        <w:t xml:space="preserve">Preglednica </w:t>
      </w:r>
      <w:r w:rsidR="00E430F6" w:rsidRPr="0086246F">
        <w:rPr>
          <w:rFonts w:ascii="Arial" w:hAnsi="Arial" w:cs="Arial"/>
          <w:sz w:val="20"/>
        </w:rPr>
        <w:t>1</w:t>
      </w:r>
      <w:r w:rsidR="00EB4423">
        <w:rPr>
          <w:rFonts w:ascii="Arial" w:hAnsi="Arial" w:cs="Arial"/>
          <w:sz w:val="20"/>
        </w:rPr>
        <w:t>8</w:t>
      </w:r>
      <w:r w:rsidRPr="0086246F">
        <w:rPr>
          <w:rFonts w:ascii="Arial" w:hAnsi="Arial" w:cs="Arial"/>
          <w:sz w:val="20"/>
        </w:rPr>
        <w:t>: Postopki brez predhodne objave obvestila o javnem naročilu, naročila in njihova vrednost ter deleži glede na sedež ponudnika</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993"/>
        <w:gridCol w:w="850"/>
        <w:gridCol w:w="1276"/>
        <w:gridCol w:w="1134"/>
        <w:gridCol w:w="1134"/>
        <w:gridCol w:w="1134"/>
      </w:tblGrid>
      <w:tr w:rsidR="00AB171F" w:rsidRPr="0086246F" w14:paraId="409D78B8" w14:textId="77777777" w:rsidTr="009B792F">
        <w:trPr>
          <w:trHeight w:val="284"/>
          <w:jc w:val="center"/>
        </w:trPr>
        <w:tc>
          <w:tcPr>
            <w:tcW w:w="2268" w:type="dxa"/>
            <w:shd w:val="clear" w:color="auto" w:fill="EDEDED" w:themeFill="accent3" w:themeFillTint="33"/>
            <w:vAlign w:val="center"/>
            <w:hideMark/>
          </w:tcPr>
          <w:p w14:paraId="4F69BB26"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Sedež ponudnika</w:t>
            </w:r>
          </w:p>
        </w:tc>
        <w:tc>
          <w:tcPr>
            <w:tcW w:w="993" w:type="dxa"/>
            <w:shd w:val="clear" w:color="auto" w:fill="EDEDED" w:themeFill="accent3" w:themeFillTint="33"/>
            <w:vAlign w:val="center"/>
            <w:hideMark/>
          </w:tcPr>
          <w:p w14:paraId="263D7DCB"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Št. postopkov</w:t>
            </w:r>
          </w:p>
        </w:tc>
        <w:tc>
          <w:tcPr>
            <w:tcW w:w="850" w:type="dxa"/>
            <w:shd w:val="clear" w:color="auto" w:fill="EDEDED" w:themeFill="accent3" w:themeFillTint="33"/>
            <w:vAlign w:val="center"/>
            <w:hideMark/>
          </w:tcPr>
          <w:p w14:paraId="200F982F"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Št. naročil</w:t>
            </w:r>
          </w:p>
        </w:tc>
        <w:tc>
          <w:tcPr>
            <w:tcW w:w="1276" w:type="dxa"/>
            <w:shd w:val="clear" w:color="auto" w:fill="EDEDED" w:themeFill="accent3" w:themeFillTint="33"/>
            <w:vAlign w:val="center"/>
            <w:hideMark/>
          </w:tcPr>
          <w:p w14:paraId="114E08D6"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Pogodbena vrednost</w:t>
            </w:r>
          </w:p>
        </w:tc>
        <w:tc>
          <w:tcPr>
            <w:tcW w:w="1134" w:type="dxa"/>
            <w:shd w:val="clear" w:color="auto" w:fill="EDEDED" w:themeFill="accent3" w:themeFillTint="33"/>
            <w:vAlign w:val="center"/>
            <w:hideMark/>
          </w:tcPr>
          <w:p w14:paraId="79B5B156"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Delež v št. postopkov</w:t>
            </w:r>
          </w:p>
        </w:tc>
        <w:tc>
          <w:tcPr>
            <w:tcW w:w="1134" w:type="dxa"/>
            <w:shd w:val="clear" w:color="auto" w:fill="EDEDED" w:themeFill="accent3" w:themeFillTint="33"/>
            <w:vAlign w:val="center"/>
            <w:hideMark/>
          </w:tcPr>
          <w:p w14:paraId="4A6127E7"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Delež v št. naročil</w:t>
            </w:r>
          </w:p>
        </w:tc>
        <w:tc>
          <w:tcPr>
            <w:tcW w:w="1134" w:type="dxa"/>
            <w:shd w:val="clear" w:color="auto" w:fill="EDEDED" w:themeFill="accent3" w:themeFillTint="33"/>
            <w:vAlign w:val="center"/>
            <w:hideMark/>
          </w:tcPr>
          <w:p w14:paraId="0C44A5E8" w14:textId="77777777" w:rsidR="00AB171F" w:rsidRPr="0086246F" w:rsidRDefault="00AB171F" w:rsidP="00AB171F">
            <w:pPr>
              <w:spacing w:after="0" w:line="240" w:lineRule="auto"/>
              <w:jc w:val="center"/>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Delež v vrednosti</w:t>
            </w:r>
          </w:p>
        </w:tc>
      </w:tr>
      <w:tr w:rsidR="0086246F" w:rsidRPr="0086246F" w14:paraId="2797E68E" w14:textId="77777777" w:rsidTr="0086246F">
        <w:trPr>
          <w:trHeight w:val="284"/>
          <w:jc w:val="center"/>
        </w:trPr>
        <w:tc>
          <w:tcPr>
            <w:tcW w:w="2268" w:type="dxa"/>
            <w:shd w:val="clear" w:color="auto" w:fill="auto"/>
            <w:vAlign w:val="center"/>
            <w:hideMark/>
          </w:tcPr>
          <w:p w14:paraId="742CF099" w14:textId="77777777" w:rsidR="0086246F" w:rsidRPr="0086246F" w:rsidRDefault="0086246F" w:rsidP="0086246F">
            <w:pPr>
              <w:spacing w:after="0" w:line="240" w:lineRule="auto"/>
              <w:jc w:val="both"/>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Slovenija</w:t>
            </w:r>
          </w:p>
        </w:tc>
        <w:tc>
          <w:tcPr>
            <w:tcW w:w="993" w:type="dxa"/>
            <w:shd w:val="clear" w:color="auto" w:fill="auto"/>
            <w:vAlign w:val="center"/>
            <w:hideMark/>
          </w:tcPr>
          <w:p w14:paraId="7B1721E7" w14:textId="79837661"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606</w:t>
            </w:r>
          </w:p>
        </w:tc>
        <w:tc>
          <w:tcPr>
            <w:tcW w:w="850" w:type="dxa"/>
            <w:shd w:val="clear" w:color="auto" w:fill="auto"/>
            <w:vAlign w:val="center"/>
            <w:hideMark/>
          </w:tcPr>
          <w:p w14:paraId="417C92BB" w14:textId="08FE407E"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693</w:t>
            </w:r>
          </w:p>
        </w:tc>
        <w:tc>
          <w:tcPr>
            <w:tcW w:w="1276" w:type="dxa"/>
            <w:shd w:val="clear" w:color="auto" w:fill="auto"/>
            <w:vAlign w:val="center"/>
            <w:hideMark/>
          </w:tcPr>
          <w:p w14:paraId="6315D47E" w14:textId="2C9BD242"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213.416.221</w:t>
            </w:r>
          </w:p>
        </w:tc>
        <w:tc>
          <w:tcPr>
            <w:tcW w:w="1134" w:type="dxa"/>
            <w:shd w:val="clear" w:color="auto" w:fill="auto"/>
            <w:vAlign w:val="center"/>
            <w:hideMark/>
          </w:tcPr>
          <w:p w14:paraId="5785C754" w14:textId="41DE105A"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80,26 %</w:t>
            </w:r>
          </w:p>
        </w:tc>
        <w:tc>
          <w:tcPr>
            <w:tcW w:w="1134" w:type="dxa"/>
            <w:shd w:val="clear" w:color="auto" w:fill="auto"/>
            <w:vAlign w:val="center"/>
            <w:hideMark/>
          </w:tcPr>
          <w:p w14:paraId="423CCE63" w14:textId="745F35EC"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82,21 %</w:t>
            </w:r>
          </w:p>
        </w:tc>
        <w:tc>
          <w:tcPr>
            <w:tcW w:w="1134" w:type="dxa"/>
            <w:shd w:val="clear" w:color="auto" w:fill="auto"/>
            <w:vAlign w:val="center"/>
            <w:hideMark/>
          </w:tcPr>
          <w:p w14:paraId="31C682E2" w14:textId="5D94AD62"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68,53 %</w:t>
            </w:r>
          </w:p>
        </w:tc>
      </w:tr>
      <w:tr w:rsidR="0086246F" w:rsidRPr="0086246F" w14:paraId="39EAA781" w14:textId="77777777" w:rsidTr="0086246F">
        <w:trPr>
          <w:trHeight w:val="284"/>
          <w:jc w:val="center"/>
        </w:trPr>
        <w:tc>
          <w:tcPr>
            <w:tcW w:w="2268" w:type="dxa"/>
            <w:shd w:val="clear" w:color="auto" w:fill="auto"/>
            <w:vAlign w:val="center"/>
            <w:hideMark/>
          </w:tcPr>
          <w:p w14:paraId="09748FE2" w14:textId="4255E11B" w:rsidR="0086246F" w:rsidRPr="0086246F" w:rsidRDefault="0086246F" w:rsidP="0086246F">
            <w:pPr>
              <w:spacing w:after="0" w:line="240" w:lineRule="auto"/>
              <w:jc w:val="both"/>
              <w:rPr>
                <w:rFonts w:ascii="Arial" w:eastAsia="Times New Roman" w:hAnsi="Arial" w:cs="Arial"/>
                <w:color w:val="000000"/>
                <w:sz w:val="18"/>
                <w:szCs w:val="18"/>
                <w:lang w:eastAsia="sl-SI"/>
              </w:rPr>
            </w:pPr>
            <w:r w:rsidRPr="0086246F">
              <w:rPr>
                <w:rFonts w:ascii="Arial" w:eastAsia="Times New Roman" w:hAnsi="Arial" w:cs="Arial"/>
                <w:color w:val="000000"/>
                <w:sz w:val="18"/>
                <w:szCs w:val="18"/>
                <w:lang w:eastAsia="sl-SI"/>
              </w:rPr>
              <w:t>Druga država EU</w:t>
            </w:r>
          </w:p>
        </w:tc>
        <w:tc>
          <w:tcPr>
            <w:tcW w:w="993" w:type="dxa"/>
            <w:shd w:val="clear" w:color="auto" w:fill="auto"/>
            <w:vAlign w:val="center"/>
            <w:hideMark/>
          </w:tcPr>
          <w:p w14:paraId="57C090B7" w14:textId="3875E2D5"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114</w:t>
            </w:r>
          </w:p>
        </w:tc>
        <w:tc>
          <w:tcPr>
            <w:tcW w:w="850" w:type="dxa"/>
            <w:shd w:val="clear" w:color="auto" w:fill="auto"/>
            <w:vAlign w:val="center"/>
            <w:hideMark/>
          </w:tcPr>
          <w:p w14:paraId="117C9E7D" w14:textId="1A77F396"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115</w:t>
            </w:r>
          </w:p>
        </w:tc>
        <w:tc>
          <w:tcPr>
            <w:tcW w:w="1276" w:type="dxa"/>
            <w:shd w:val="clear" w:color="auto" w:fill="auto"/>
            <w:vAlign w:val="center"/>
            <w:hideMark/>
          </w:tcPr>
          <w:p w14:paraId="74D8EB5D" w14:textId="55F98036"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85.745.336</w:t>
            </w:r>
          </w:p>
        </w:tc>
        <w:tc>
          <w:tcPr>
            <w:tcW w:w="1134" w:type="dxa"/>
            <w:shd w:val="clear" w:color="auto" w:fill="auto"/>
            <w:vAlign w:val="center"/>
            <w:hideMark/>
          </w:tcPr>
          <w:p w14:paraId="40CA3357" w14:textId="5A3A029C"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15,10 %</w:t>
            </w:r>
          </w:p>
        </w:tc>
        <w:tc>
          <w:tcPr>
            <w:tcW w:w="1134" w:type="dxa"/>
            <w:shd w:val="clear" w:color="auto" w:fill="auto"/>
            <w:vAlign w:val="center"/>
            <w:hideMark/>
          </w:tcPr>
          <w:p w14:paraId="28206174" w14:textId="04075371"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13,64 %</w:t>
            </w:r>
          </w:p>
        </w:tc>
        <w:tc>
          <w:tcPr>
            <w:tcW w:w="1134" w:type="dxa"/>
            <w:shd w:val="clear" w:color="auto" w:fill="auto"/>
            <w:vAlign w:val="center"/>
            <w:hideMark/>
          </w:tcPr>
          <w:p w14:paraId="7D47789A" w14:textId="5B510232"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27,53 %</w:t>
            </w:r>
          </w:p>
        </w:tc>
      </w:tr>
      <w:tr w:rsidR="0086246F" w:rsidRPr="0086246F" w14:paraId="33A71DC8" w14:textId="77777777" w:rsidTr="0086246F">
        <w:trPr>
          <w:trHeight w:val="284"/>
          <w:jc w:val="center"/>
        </w:trPr>
        <w:tc>
          <w:tcPr>
            <w:tcW w:w="2268" w:type="dxa"/>
            <w:shd w:val="clear" w:color="auto" w:fill="auto"/>
            <w:vAlign w:val="center"/>
            <w:hideMark/>
          </w:tcPr>
          <w:p w14:paraId="7A28C791" w14:textId="6BEE62FF" w:rsidR="0086246F" w:rsidRPr="0086246F" w:rsidRDefault="00BC1956" w:rsidP="0086246F">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Zunaj</w:t>
            </w:r>
            <w:r w:rsidRPr="0086246F">
              <w:rPr>
                <w:rFonts w:ascii="Arial" w:eastAsia="Times New Roman" w:hAnsi="Arial" w:cs="Arial"/>
                <w:color w:val="000000"/>
                <w:sz w:val="18"/>
                <w:szCs w:val="18"/>
                <w:lang w:eastAsia="sl-SI"/>
              </w:rPr>
              <w:t xml:space="preserve"> </w:t>
            </w:r>
            <w:r w:rsidR="0086246F" w:rsidRPr="0086246F">
              <w:rPr>
                <w:rFonts w:ascii="Arial" w:eastAsia="Times New Roman" w:hAnsi="Arial" w:cs="Arial"/>
                <w:color w:val="000000"/>
                <w:sz w:val="18"/>
                <w:szCs w:val="18"/>
                <w:lang w:eastAsia="sl-SI"/>
              </w:rPr>
              <w:t>EU</w:t>
            </w:r>
          </w:p>
        </w:tc>
        <w:tc>
          <w:tcPr>
            <w:tcW w:w="993" w:type="dxa"/>
            <w:shd w:val="clear" w:color="auto" w:fill="auto"/>
            <w:vAlign w:val="center"/>
            <w:hideMark/>
          </w:tcPr>
          <w:p w14:paraId="097CFF5D" w14:textId="3032362D"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35</w:t>
            </w:r>
          </w:p>
        </w:tc>
        <w:tc>
          <w:tcPr>
            <w:tcW w:w="850" w:type="dxa"/>
            <w:shd w:val="clear" w:color="auto" w:fill="auto"/>
            <w:vAlign w:val="center"/>
            <w:hideMark/>
          </w:tcPr>
          <w:p w14:paraId="1B5D45AA" w14:textId="0C3DAA6D"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35</w:t>
            </w:r>
          </w:p>
        </w:tc>
        <w:tc>
          <w:tcPr>
            <w:tcW w:w="1276" w:type="dxa"/>
            <w:shd w:val="clear" w:color="auto" w:fill="auto"/>
            <w:vAlign w:val="center"/>
            <w:hideMark/>
          </w:tcPr>
          <w:p w14:paraId="64464B0B" w14:textId="3B463BF0"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12.259.822</w:t>
            </w:r>
          </w:p>
        </w:tc>
        <w:tc>
          <w:tcPr>
            <w:tcW w:w="1134" w:type="dxa"/>
            <w:shd w:val="clear" w:color="auto" w:fill="auto"/>
            <w:vAlign w:val="center"/>
            <w:hideMark/>
          </w:tcPr>
          <w:p w14:paraId="77B9DF5A" w14:textId="76253B91"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4,64 %</w:t>
            </w:r>
          </w:p>
        </w:tc>
        <w:tc>
          <w:tcPr>
            <w:tcW w:w="1134" w:type="dxa"/>
            <w:shd w:val="clear" w:color="auto" w:fill="auto"/>
            <w:vAlign w:val="center"/>
            <w:hideMark/>
          </w:tcPr>
          <w:p w14:paraId="30BA714A" w14:textId="60FF07D5"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4,15 %</w:t>
            </w:r>
          </w:p>
        </w:tc>
        <w:tc>
          <w:tcPr>
            <w:tcW w:w="1134" w:type="dxa"/>
            <w:shd w:val="clear" w:color="auto" w:fill="auto"/>
            <w:vAlign w:val="center"/>
            <w:hideMark/>
          </w:tcPr>
          <w:p w14:paraId="7B98E571" w14:textId="4A48D725" w:rsidR="0086246F" w:rsidRPr="0086246F" w:rsidRDefault="0086246F" w:rsidP="0086246F">
            <w:pPr>
              <w:spacing w:after="0" w:line="240" w:lineRule="auto"/>
              <w:jc w:val="right"/>
              <w:rPr>
                <w:rFonts w:ascii="Arial" w:eastAsia="Times New Roman" w:hAnsi="Arial" w:cs="Arial"/>
                <w:color w:val="000000"/>
                <w:sz w:val="18"/>
                <w:szCs w:val="18"/>
                <w:lang w:eastAsia="sl-SI"/>
              </w:rPr>
            </w:pPr>
            <w:r w:rsidRPr="0086246F">
              <w:rPr>
                <w:rFonts w:ascii="Arial" w:hAnsi="Arial" w:cs="Arial"/>
                <w:sz w:val="18"/>
                <w:szCs w:val="18"/>
              </w:rPr>
              <w:t>3,94 %</w:t>
            </w:r>
          </w:p>
        </w:tc>
      </w:tr>
      <w:tr w:rsidR="0086246F" w:rsidRPr="0086246F" w14:paraId="636209B6" w14:textId="77777777" w:rsidTr="0086246F">
        <w:trPr>
          <w:trHeight w:val="284"/>
          <w:jc w:val="center"/>
        </w:trPr>
        <w:tc>
          <w:tcPr>
            <w:tcW w:w="2268" w:type="dxa"/>
            <w:shd w:val="clear" w:color="auto" w:fill="E7E6E6" w:themeFill="background2"/>
            <w:vAlign w:val="center"/>
            <w:hideMark/>
          </w:tcPr>
          <w:p w14:paraId="2D2E53B4" w14:textId="7C034934" w:rsidR="0086246F" w:rsidRPr="0086246F" w:rsidRDefault="0086246F" w:rsidP="0086246F">
            <w:pPr>
              <w:spacing w:after="0" w:line="240" w:lineRule="auto"/>
              <w:rPr>
                <w:rFonts w:ascii="Arial" w:eastAsia="Times New Roman" w:hAnsi="Arial" w:cs="Arial"/>
                <w:b/>
                <w:bCs/>
                <w:color w:val="000000"/>
                <w:sz w:val="18"/>
                <w:szCs w:val="18"/>
                <w:lang w:eastAsia="sl-SI"/>
              </w:rPr>
            </w:pPr>
            <w:r w:rsidRPr="0086246F">
              <w:rPr>
                <w:rFonts w:ascii="Arial" w:eastAsia="Times New Roman" w:hAnsi="Arial" w:cs="Arial"/>
                <w:b/>
                <w:bCs/>
                <w:color w:val="000000"/>
                <w:sz w:val="18"/>
                <w:szCs w:val="18"/>
                <w:lang w:eastAsia="sl-SI"/>
              </w:rPr>
              <w:t>Skupaj</w:t>
            </w:r>
          </w:p>
        </w:tc>
        <w:tc>
          <w:tcPr>
            <w:tcW w:w="993" w:type="dxa"/>
            <w:shd w:val="clear" w:color="auto" w:fill="E7E6E6" w:themeFill="background2"/>
            <w:vAlign w:val="center"/>
            <w:hideMark/>
          </w:tcPr>
          <w:p w14:paraId="654DF642" w14:textId="2F7D5972" w:rsidR="0086246F" w:rsidRPr="0086246F" w:rsidRDefault="0086246F" w:rsidP="0086246F">
            <w:pPr>
              <w:spacing w:after="0" w:line="240" w:lineRule="auto"/>
              <w:jc w:val="right"/>
              <w:rPr>
                <w:rFonts w:ascii="Arial" w:eastAsia="Times New Roman" w:hAnsi="Arial" w:cs="Arial"/>
                <w:b/>
                <w:bCs/>
                <w:color w:val="000000"/>
                <w:sz w:val="18"/>
                <w:szCs w:val="18"/>
                <w:lang w:eastAsia="sl-SI"/>
              </w:rPr>
            </w:pPr>
            <w:r w:rsidRPr="0086246F">
              <w:rPr>
                <w:rFonts w:ascii="Arial" w:hAnsi="Arial" w:cs="Arial"/>
                <w:b/>
                <w:sz w:val="18"/>
                <w:szCs w:val="18"/>
              </w:rPr>
              <w:t>755</w:t>
            </w:r>
          </w:p>
        </w:tc>
        <w:tc>
          <w:tcPr>
            <w:tcW w:w="850" w:type="dxa"/>
            <w:shd w:val="clear" w:color="auto" w:fill="E7E6E6" w:themeFill="background2"/>
            <w:vAlign w:val="center"/>
            <w:hideMark/>
          </w:tcPr>
          <w:p w14:paraId="7AED21F5" w14:textId="20E3CB0C" w:rsidR="0086246F" w:rsidRPr="0086246F" w:rsidRDefault="0086246F" w:rsidP="0086246F">
            <w:pPr>
              <w:spacing w:after="0" w:line="240" w:lineRule="auto"/>
              <w:jc w:val="right"/>
              <w:rPr>
                <w:rFonts w:ascii="Arial" w:eastAsia="Times New Roman" w:hAnsi="Arial" w:cs="Arial"/>
                <w:b/>
                <w:bCs/>
                <w:color w:val="000000"/>
                <w:sz w:val="18"/>
                <w:szCs w:val="18"/>
                <w:lang w:eastAsia="sl-SI"/>
              </w:rPr>
            </w:pPr>
            <w:r w:rsidRPr="0086246F">
              <w:rPr>
                <w:rFonts w:ascii="Arial" w:hAnsi="Arial" w:cs="Arial"/>
                <w:b/>
                <w:sz w:val="18"/>
                <w:szCs w:val="18"/>
              </w:rPr>
              <w:t>843</w:t>
            </w:r>
          </w:p>
        </w:tc>
        <w:tc>
          <w:tcPr>
            <w:tcW w:w="1276" w:type="dxa"/>
            <w:shd w:val="clear" w:color="auto" w:fill="E7E6E6" w:themeFill="background2"/>
            <w:vAlign w:val="center"/>
            <w:hideMark/>
          </w:tcPr>
          <w:p w14:paraId="763CA7FD" w14:textId="0D884C73" w:rsidR="0086246F" w:rsidRPr="0086246F" w:rsidRDefault="0086246F" w:rsidP="0086246F">
            <w:pPr>
              <w:spacing w:after="0" w:line="240" w:lineRule="auto"/>
              <w:jc w:val="right"/>
              <w:rPr>
                <w:rFonts w:ascii="Arial" w:eastAsia="Times New Roman" w:hAnsi="Arial" w:cs="Arial"/>
                <w:b/>
                <w:bCs/>
                <w:color w:val="000000"/>
                <w:sz w:val="18"/>
                <w:szCs w:val="18"/>
                <w:lang w:eastAsia="sl-SI"/>
              </w:rPr>
            </w:pPr>
            <w:r w:rsidRPr="0086246F">
              <w:rPr>
                <w:rFonts w:ascii="Arial" w:hAnsi="Arial" w:cs="Arial"/>
                <w:b/>
                <w:sz w:val="18"/>
                <w:szCs w:val="18"/>
              </w:rPr>
              <w:t>311.421.379</w:t>
            </w:r>
          </w:p>
        </w:tc>
        <w:tc>
          <w:tcPr>
            <w:tcW w:w="1134" w:type="dxa"/>
            <w:shd w:val="clear" w:color="auto" w:fill="E7E6E6" w:themeFill="background2"/>
            <w:vAlign w:val="center"/>
            <w:hideMark/>
          </w:tcPr>
          <w:p w14:paraId="10059C02" w14:textId="2C969403" w:rsidR="0086246F" w:rsidRPr="0086246F" w:rsidRDefault="0086246F" w:rsidP="0086246F">
            <w:pPr>
              <w:spacing w:after="0" w:line="240" w:lineRule="auto"/>
              <w:jc w:val="right"/>
              <w:rPr>
                <w:rFonts w:ascii="Arial" w:eastAsia="Times New Roman" w:hAnsi="Arial" w:cs="Arial"/>
                <w:b/>
                <w:bCs/>
                <w:color w:val="000000"/>
                <w:sz w:val="18"/>
                <w:szCs w:val="18"/>
                <w:lang w:eastAsia="sl-SI"/>
              </w:rPr>
            </w:pPr>
            <w:r w:rsidRPr="0086246F">
              <w:rPr>
                <w:rFonts w:ascii="Arial" w:hAnsi="Arial" w:cs="Arial"/>
                <w:b/>
                <w:sz w:val="18"/>
                <w:szCs w:val="18"/>
              </w:rPr>
              <w:t>100,00 %</w:t>
            </w:r>
          </w:p>
        </w:tc>
        <w:tc>
          <w:tcPr>
            <w:tcW w:w="1134" w:type="dxa"/>
            <w:shd w:val="clear" w:color="auto" w:fill="E7E6E6" w:themeFill="background2"/>
            <w:vAlign w:val="center"/>
            <w:hideMark/>
          </w:tcPr>
          <w:p w14:paraId="423EBF62" w14:textId="023B6718" w:rsidR="0086246F" w:rsidRPr="0086246F" w:rsidRDefault="0086246F" w:rsidP="0086246F">
            <w:pPr>
              <w:spacing w:after="0" w:line="240" w:lineRule="auto"/>
              <w:jc w:val="right"/>
              <w:rPr>
                <w:rFonts w:ascii="Arial" w:eastAsia="Times New Roman" w:hAnsi="Arial" w:cs="Arial"/>
                <w:b/>
                <w:bCs/>
                <w:color w:val="000000"/>
                <w:sz w:val="18"/>
                <w:szCs w:val="18"/>
                <w:lang w:eastAsia="sl-SI"/>
              </w:rPr>
            </w:pPr>
            <w:r w:rsidRPr="0086246F">
              <w:rPr>
                <w:rFonts w:ascii="Arial" w:hAnsi="Arial" w:cs="Arial"/>
                <w:b/>
                <w:sz w:val="18"/>
                <w:szCs w:val="18"/>
              </w:rPr>
              <w:t>100,00 %</w:t>
            </w:r>
          </w:p>
        </w:tc>
        <w:tc>
          <w:tcPr>
            <w:tcW w:w="1134" w:type="dxa"/>
            <w:shd w:val="clear" w:color="auto" w:fill="E7E6E6" w:themeFill="background2"/>
            <w:vAlign w:val="center"/>
            <w:hideMark/>
          </w:tcPr>
          <w:p w14:paraId="7C40F774" w14:textId="4ECEB829" w:rsidR="0086246F" w:rsidRPr="0086246F" w:rsidRDefault="0086246F" w:rsidP="0086246F">
            <w:pPr>
              <w:spacing w:after="0" w:line="240" w:lineRule="auto"/>
              <w:jc w:val="right"/>
              <w:rPr>
                <w:rFonts w:ascii="Arial" w:eastAsia="Times New Roman" w:hAnsi="Arial" w:cs="Arial"/>
                <w:b/>
                <w:bCs/>
                <w:color w:val="000000"/>
                <w:sz w:val="18"/>
                <w:szCs w:val="18"/>
                <w:lang w:eastAsia="sl-SI"/>
              </w:rPr>
            </w:pPr>
            <w:r w:rsidRPr="0086246F">
              <w:rPr>
                <w:rFonts w:ascii="Arial" w:hAnsi="Arial" w:cs="Arial"/>
                <w:b/>
                <w:sz w:val="18"/>
                <w:szCs w:val="18"/>
              </w:rPr>
              <w:t>100,00 %</w:t>
            </w:r>
          </w:p>
        </w:tc>
      </w:tr>
    </w:tbl>
    <w:p w14:paraId="51DC1FB1" w14:textId="77777777" w:rsidR="00AB171F" w:rsidRPr="0086246F" w:rsidRDefault="00AB171F" w:rsidP="00AF0C8A">
      <w:pPr>
        <w:pStyle w:val="ZADEVA"/>
        <w:jc w:val="both"/>
        <w:rPr>
          <w:rFonts w:cs="Arial"/>
          <w:b w:val="0"/>
          <w:szCs w:val="20"/>
          <w:lang w:val="sl-SI"/>
        </w:rPr>
      </w:pPr>
    </w:p>
    <w:p w14:paraId="5BB7E1F4" w14:textId="785F1EA3" w:rsidR="00FD5104" w:rsidRPr="0086246F" w:rsidRDefault="00FD5104" w:rsidP="00701C10">
      <w:pPr>
        <w:spacing w:after="240" w:line="240" w:lineRule="auto"/>
        <w:jc w:val="center"/>
        <w:rPr>
          <w:rFonts w:ascii="Arial" w:hAnsi="Arial" w:cs="Arial"/>
          <w:sz w:val="18"/>
        </w:rPr>
      </w:pPr>
      <w:r w:rsidRPr="0086246F">
        <w:rPr>
          <w:rFonts w:ascii="Arial" w:hAnsi="Arial" w:cs="Arial"/>
          <w:sz w:val="18"/>
        </w:rPr>
        <w:t>Vir: Statistični podatki o javnih naročil</w:t>
      </w:r>
      <w:r w:rsidR="008322FD" w:rsidRPr="0086246F">
        <w:rPr>
          <w:rFonts w:ascii="Arial" w:hAnsi="Arial" w:cs="Arial"/>
          <w:sz w:val="18"/>
        </w:rPr>
        <w:t>ih, oddanih v letu 201</w:t>
      </w:r>
      <w:r w:rsidR="0086246F" w:rsidRPr="0086246F">
        <w:rPr>
          <w:rFonts w:ascii="Arial" w:hAnsi="Arial" w:cs="Arial"/>
          <w:sz w:val="18"/>
        </w:rPr>
        <w:t>8</w:t>
      </w:r>
    </w:p>
    <w:p w14:paraId="6DD3D1C0" w14:textId="4067754E" w:rsidR="005F64F2" w:rsidRPr="00EE3686" w:rsidRDefault="005F64F2" w:rsidP="005F64F2">
      <w:pPr>
        <w:pStyle w:val="Standard"/>
        <w:spacing w:line="360" w:lineRule="auto"/>
        <w:rPr>
          <w:rFonts w:cs="Arial"/>
          <w:sz w:val="20"/>
          <w:szCs w:val="20"/>
        </w:rPr>
      </w:pPr>
      <w:r w:rsidRPr="00EE3686">
        <w:rPr>
          <w:rFonts w:cs="Arial"/>
          <w:sz w:val="20"/>
          <w:szCs w:val="20"/>
        </w:rPr>
        <w:t>Pri analizi statističnih podatkov je bilo ugotovljeno, da so naročniki v objavi obvestila o oddaji javnega naročila, ki je bilo oddano na podlagi izvedenega postopka javnega naročanja</w:t>
      </w:r>
      <w:r w:rsidR="003E4A6B" w:rsidRPr="00EE3686">
        <w:rPr>
          <w:rFonts w:cs="Arial"/>
          <w:sz w:val="20"/>
          <w:szCs w:val="20"/>
        </w:rPr>
        <w:t>,</w:t>
      </w:r>
      <w:r w:rsidRPr="00EE3686">
        <w:rPr>
          <w:rFonts w:cs="Arial"/>
          <w:sz w:val="20"/>
          <w:szCs w:val="20"/>
        </w:rPr>
        <w:t xml:space="preserve"> za kater</w:t>
      </w:r>
      <w:r w:rsidR="00EE5CA0" w:rsidRPr="00EE3686">
        <w:rPr>
          <w:rFonts w:cs="Arial"/>
          <w:sz w:val="20"/>
          <w:szCs w:val="20"/>
        </w:rPr>
        <w:t>ega</w:t>
      </w:r>
      <w:r w:rsidRPr="00EE3686">
        <w:rPr>
          <w:rFonts w:cs="Arial"/>
          <w:sz w:val="20"/>
          <w:szCs w:val="20"/>
        </w:rPr>
        <w:t xml:space="preserve"> predhodno ni bilo objavljeno obvestilo o javnem naročilu, hkrati označili več utemeljitev</w:t>
      </w:r>
      <w:r w:rsidR="00EE3686" w:rsidRPr="00EE3686">
        <w:rPr>
          <w:rFonts w:cs="Arial"/>
          <w:sz w:val="20"/>
          <w:szCs w:val="20"/>
        </w:rPr>
        <w:t xml:space="preserve">. </w:t>
      </w:r>
      <w:r w:rsidR="00EE5CA0" w:rsidRPr="00EE3686">
        <w:rPr>
          <w:rFonts w:cs="Arial"/>
          <w:sz w:val="20"/>
          <w:szCs w:val="20"/>
        </w:rPr>
        <w:t xml:space="preserve">Zaradi navedenega </w:t>
      </w:r>
      <w:r w:rsidRPr="00EE3686">
        <w:rPr>
          <w:rFonts w:cs="Arial"/>
          <w:sz w:val="20"/>
          <w:szCs w:val="20"/>
        </w:rPr>
        <w:t>število izvedenih postopkov</w:t>
      </w:r>
      <w:r w:rsidR="00EE5CA0" w:rsidRPr="00EE3686">
        <w:rPr>
          <w:rFonts w:cs="Arial"/>
          <w:sz w:val="20"/>
          <w:szCs w:val="20"/>
        </w:rPr>
        <w:t>, oddanih naročil</w:t>
      </w:r>
      <w:r w:rsidRPr="00EE3686">
        <w:rPr>
          <w:rFonts w:cs="Arial"/>
          <w:sz w:val="20"/>
          <w:szCs w:val="20"/>
        </w:rPr>
        <w:t xml:space="preserve"> in vrednost oddanih naročil v nadaljevanju opisanih utemeljitev presega število in vrednost oddanih naročil</w:t>
      </w:r>
      <w:r w:rsidR="00EE5CA0" w:rsidRPr="00EE3686">
        <w:rPr>
          <w:rFonts w:cs="Arial"/>
          <w:sz w:val="20"/>
          <w:szCs w:val="20"/>
        </w:rPr>
        <w:t xml:space="preserve"> na podlagi izvedenega postopka javnega naročanja</w:t>
      </w:r>
      <w:r w:rsidR="003E4A6B" w:rsidRPr="00EE3686">
        <w:rPr>
          <w:rFonts w:cs="Arial"/>
          <w:sz w:val="20"/>
          <w:szCs w:val="20"/>
        </w:rPr>
        <w:t>,</w:t>
      </w:r>
      <w:r w:rsidR="00EE5CA0" w:rsidRPr="00EE3686">
        <w:rPr>
          <w:rFonts w:cs="Arial"/>
          <w:sz w:val="20"/>
          <w:szCs w:val="20"/>
        </w:rPr>
        <w:t xml:space="preserve"> za katerega obvestilo o javnem naročilu</w:t>
      </w:r>
      <w:r w:rsidR="00475C0E" w:rsidRPr="00EE3686">
        <w:rPr>
          <w:rFonts w:cs="Arial"/>
          <w:sz w:val="20"/>
          <w:szCs w:val="20"/>
        </w:rPr>
        <w:t xml:space="preserve"> predhodno ni bilo objavljeno</w:t>
      </w:r>
      <w:r w:rsidRPr="00EE3686">
        <w:rPr>
          <w:rFonts w:cs="Arial"/>
          <w:sz w:val="20"/>
          <w:szCs w:val="20"/>
        </w:rPr>
        <w:t>.</w:t>
      </w:r>
    </w:p>
    <w:p w14:paraId="40950D89" w14:textId="77777777" w:rsidR="000A3944" w:rsidRDefault="000A3944" w:rsidP="008A61FD">
      <w:pPr>
        <w:spacing w:before="120" w:after="120" w:line="240" w:lineRule="auto"/>
        <w:jc w:val="both"/>
        <w:rPr>
          <w:rFonts w:ascii="Arial" w:hAnsi="Arial" w:cs="Arial"/>
          <w:sz w:val="20"/>
        </w:rPr>
      </w:pPr>
    </w:p>
    <w:p w14:paraId="5F80EADD" w14:textId="77777777" w:rsidR="000A3944" w:rsidRDefault="000A3944" w:rsidP="008A61FD">
      <w:pPr>
        <w:spacing w:before="120" w:after="120" w:line="240" w:lineRule="auto"/>
        <w:jc w:val="both"/>
        <w:rPr>
          <w:rFonts w:ascii="Arial" w:hAnsi="Arial" w:cs="Arial"/>
          <w:sz w:val="20"/>
        </w:rPr>
      </w:pPr>
    </w:p>
    <w:p w14:paraId="114E5898" w14:textId="77777777" w:rsidR="000A3944" w:rsidRDefault="000A3944" w:rsidP="008A61FD">
      <w:pPr>
        <w:spacing w:before="120" w:after="120" w:line="240" w:lineRule="auto"/>
        <w:jc w:val="both"/>
        <w:rPr>
          <w:rFonts w:ascii="Arial" w:hAnsi="Arial" w:cs="Arial"/>
          <w:sz w:val="20"/>
        </w:rPr>
      </w:pPr>
    </w:p>
    <w:p w14:paraId="5E49E455" w14:textId="6FBF19D1" w:rsidR="00BD691F" w:rsidRPr="00FB562A" w:rsidRDefault="00E430F6" w:rsidP="008A61FD">
      <w:pPr>
        <w:spacing w:before="120" w:after="120" w:line="240" w:lineRule="auto"/>
        <w:jc w:val="both"/>
        <w:rPr>
          <w:rFonts w:ascii="Arial" w:hAnsi="Arial" w:cs="Arial"/>
          <w:sz w:val="20"/>
        </w:rPr>
      </w:pPr>
      <w:r w:rsidRPr="00FB562A">
        <w:rPr>
          <w:rFonts w:ascii="Arial" w:hAnsi="Arial" w:cs="Arial"/>
          <w:sz w:val="20"/>
        </w:rPr>
        <w:lastRenderedPageBreak/>
        <w:t xml:space="preserve">Preglednica </w:t>
      </w:r>
      <w:r w:rsidR="00EB4423">
        <w:rPr>
          <w:rFonts w:ascii="Arial" w:hAnsi="Arial" w:cs="Arial"/>
          <w:sz w:val="20"/>
        </w:rPr>
        <w:t>19</w:t>
      </w:r>
      <w:r w:rsidR="00EE5CA0" w:rsidRPr="00FB562A">
        <w:rPr>
          <w:rFonts w:ascii="Arial" w:hAnsi="Arial" w:cs="Arial"/>
          <w:sz w:val="20"/>
        </w:rPr>
        <w:t>: Utemeljitev uporabe postopka</w:t>
      </w:r>
      <w:r w:rsidR="003E4A6B" w:rsidRPr="00FB562A">
        <w:rPr>
          <w:rFonts w:ascii="Arial" w:hAnsi="Arial" w:cs="Arial"/>
          <w:sz w:val="20"/>
        </w:rPr>
        <w:t>,</w:t>
      </w:r>
      <w:r w:rsidR="00EE5CA0" w:rsidRPr="00FB562A">
        <w:rPr>
          <w:rFonts w:ascii="Arial" w:hAnsi="Arial" w:cs="Arial"/>
          <w:sz w:val="20"/>
        </w:rPr>
        <w:t xml:space="preserve"> za katerega obvestilo o javnem naročilu</w:t>
      </w:r>
      <w:r w:rsidR="00475C0E" w:rsidRPr="00FB562A">
        <w:rPr>
          <w:rFonts w:ascii="Arial" w:hAnsi="Arial" w:cs="Arial"/>
          <w:sz w:val="20"/>
        </w:rPr>
        <w:t xml:space="preserve"> ni bilo objavljeno</w:t>
      </w:r>
    </w:p>
    <w:tbl>
      <w:tblPr>
        <w:tblW w:w="5000" w:type="pct"/>
        <w:tblCellMar>
          <w:left w:w="70" w:type="dxa"/>
          <w:right w:w="70" w:type="dxa"/>
        </w:tblCellMar>
        <w:tblLook w:val="04A0" w:firstRow="1" w:lastRow="0" w:firstColumn="1" w:lastColumn="0" w:noHBand="0" w:noVBand="1"/>
      </w:tblPr>
      <w:tblGrid>
        <w:gridCol w:w="3777"/>
        <w:gridCol w:w="2881"/>
        <w:gridCol w:w="982"/>
        <w:gridCol w:w="1422"/>
      </w:tblGrid>
      <w:tr w:rsidR="00FB562A" w:rsidRPr="00FB562A" w14:paraId="4A77F502" w14:textId="77777777" w:rsidTr="00FB562A">
        <w:trPr>
          <w:trHeight w:val="300"/>
        </w:trPr>
        <w:tc>
          <w:tcPr>
            <w:tcW w:w="1405"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E951E50" w14:textId="77777777" w:rsidR="00FB562A" w:rsidRPr="00FB562A" w:rsidRDefault="00FB562A" w:rsidP="00FB562A">
            <w:pPr>
              <w:spacing w:after="0" w:line="240" w:lineRule="auto"/>
              <w:jc w:val="center"/>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Utemeljitev</w:t>
            </w:r>
          </w:p>
        </w:tc>
        <w:tc>
          <w:tcPr>
            <w:tcW w:w="2268" w:type="pct"/>
            <w:tcBorders>
              <w:top w:val="single" w:sz="4" w:space="0" w:color="auto"/>
              <w:left w:val="nil"/>
              <w:bottom w:val="single" w:sz="4" w:space="0" w:color="auto"/>
              <w:right w:val="single" w:sz="4" w:space="0" w:color="auto"/>
            </w:tcBorders>
            <w:shd w:val="clear" w:color="000000" w:fill="EDEDED"/>
            <w:noWrap/>
            <w:vAlign w:val="center"/>
            <w:hideMark/>
          </w:tcPr>
          <w:p w14:paraId="39B8E2F7" w14:textId="77777777" w:rsidR="00FB562A" w:rsidRPr="00FB562A" w:rsidRDefault="00FB562A" w:rsidP="00FB562A">
            <w:pPr>
              <w:spacing w:after="0" w:line="240" w:lineRule="auto"/>
              <w:jc w:val="center"/>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Vrsta postopka</w:t>
            </w:r>
          </w:p>
        </w:tc>
        <w:tc>
          <w:tcPr>
            <w:tcW w:w="542" w:type="pct"/>
            <w:tcBorders>
              <w:top w:val="single" w:sz="4" w:space="0" w:color="auto"/>
              <w:left w:val="nil"/>
              <w:bottom w:val="single" w:sz="4" w:space="0" w:color="auto"/>
              <w:right w:val="single" w:sz="4" w:space="0" w:color="auto"/>
            </w:tcBorders>
            <w:shd w:val="clear" w:color="000000" w:fill="EDEDED"/>
            <w:noWrap/>
            <w:vAlign w:val="center"/>
            <w:hideMark/>
          </w:tcPr>
          <w:p w14:paraId="04E7F9F9" w14:textId="77777777" w:rsidR="00FB562A" w:rsidRPr="00FB562A" w:rsidRDefault="00FB562A" w:rsidP="00FB562A">
            <w:pPr>
              <w:spacing w:after="0" w:line="240" w:lineRule="auto"/>
              <w:jc w:val="center"/>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Št. postopkov</w:t>
            </w:r>
          </w:p>
        </w:tc>
        <w:tc>
          <w:tcPr>
            <w:tcW w:w="785" w:type="pct"/>
            <w:tcBorders>
              <w:top w:val="single" w:sz="4" w:space="0" w:color="auto"/>
              <w:left w:val="nil"/>
              <w:bottom w:val="single" w:sz="4" w:space="0" w:color="auto"/>
              <w:right w:val="single" w:sz="4" w:space="0" w:color="auto"/>
            </w:tcBorders>
            <w:shd w:val="clear" w:color="000000" w:fill="EDEDED"/>
            <w:noWrap/>
            <w:vAlign w:val="center"/>
            <w:hideMark/>
          </w:tcPr>
          <w:p w14:paraId="526D6992" w14:textId="77777777" w:rsidR="00FB562A" w:rsidRPr="00FB562A" w:rsidRDefault="00FB562A" w:rsidP="00FB562A">
            <w:pPr>
              <w:spacing w:after="0" w:line="240" w:lineRule="auto"/>
              <w:jc w:val="center"/>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Pogodbena vrednost</w:t>
            </w:r>
          </w:p>
        </w:tc>
      </w:tr>
      <w:tr w:rsidR="00FB562A" w:rsidRPr="00FB562A" w14:paraId="519991D0"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76FF27F0"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Blago, izdelano za raziskovanje, poskuse, študije ali razvoj</w:t>
            </w:r>
          </w:p>
        </w:tc>
        <w:tc>
          <w:tcPr>
            <w:tcW w:w="2268" w:type="pct"/>
            <w:tcBorders>
              <w:top w:val="nil"/>
              <w:left w:val="nil"/>
              <w:bottom w:val="single" w:sz="4" w:space="0" w:color="auto"/>
              <w:right w:val="single" w:sz="4" w:space="0" w:color="auto"/>
            </w:tcBorders>
            <w:shd w:val="clear" w:color="auto" w:fill="auto"/>
            <w:noWrap/>
            <w:vAlign w:val="center"/>
            <w:hideMark/>
          </w:tcPr>
          <w:p w14:paraId="35AC16B4"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25EFBC40"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3</w:t>
            </w:r>
          </w:p>
        </w:tc>
        <w:tc>
          <w:tcPr>
            <w:tcW w:w="785" w:type="pct"/>
            <w:tcBorders>
              <w:top w:val="nil"/>
              <w:left w:val="nil"/>
              <w:bottom w:val="single" w:sz="4" w:space="0" w:color="auto"/>
              <w:right w:val="single" w:sz="4" w:space="0" w:color="auto"/>
            </w:tcBorders>
            <w:shd w:val="clear" w:color="auto" w:fill="auto"/>
            <w:noWrap/>
            <w:vAlign w:val="center"/>
            <w:hideMark/>
          </w:tcPr>
          <w:p w14:paraId="7915BA50"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1.098.920</w:t>
            </w:r>
          </w:p>
        </w:tc>
      </w:tr>
      <w:tr w:rsidR="00FB562A" w:rsidRPr="00FB562A" w14:paraId="76294125"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0B7BB10E"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Dodatne nabave blaga ali dodatne gradnje oziroma storitve</w:t>
            </w:r>
          </w:p>
        </w:tc>
        <w:tc>
          <w:tcPr>
            <w:tcW w:w="2268" w:type="pct"/>
            <w:tcBorders>
              <w:top w:val="nil"/>
              <w:left w:val="nil"/>
              <w:bottom w:val="single" w:sz="4" w:space="0" w:color="auto"/>
              <w:right w:val="single" w:sz="4" w:space="0" w:color="auto"/>
            </w:tcBorders>
            <w:shd w:val="clear" w:color="auto" w:fill="auto"/>
            <w:noWrap/>
            <w:vAlign w:val="center"/>
            <w:hideMark/>
          </w:tcPr>
          <w:p w14:paraId="23442D6B"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098F38B7"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58</w:t>
            </w:r>
          </w:p>
        </w:tc>
        <w:tc>
          <w:tcPr>
            <w:tcW w:w="785" w:type="pct"/>
            <w:tcBorders>
              <w:top w:val="nil"/>
              <w:left w:val="nil"/>
              <w:bottom w:val="single" w:sz="4" w:space="0" w:color="auto"/>
              <w:right w:val="single" w:sz="4" w:space="0" w:color="auto"/>
            </w:tcBorders>
            <w:shd w:val="clear" w:color="auto" w:fill="auto"/>
            <w:noWrap/>
            <w:vAlign w:val="center"/>
            <w:hideMark/>
          </w:tcPr>
          <w:p w14:paraId="567F8BF6"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21.673.829</w:t>
            </w:r>
          </w:p>
        </w:tc>
      </w:tr>
      <w:tr w:rsidR="00FB562A" w:rsidRPr="00FB562A" w14:paraId="1CAA386A" w14:textId="77777777" w:rsidTr="00FB562A">
        <w:trPr>
          <w:trHeight w:val="300"/>
        </w:trPr>
        <w:tc>
          <w:tcPr>
            <w:tcW w:w="140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B50E0C"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Neuspešno izvedeni predhodni postopek</w:t>
            </w:r>
          </w:p>
        </w:tc>
        <w:tc>
          <w:tcPr>
            <w:tcW w:w="2268" w:type="pct"/>
            <w:tcBorders>
              <w:top w:val="nil"/>
              <w:left w:val="nil"/>
              <w:bottom w:val="single" w:sz="4" w:space="0" w:color="auto"/>
              <w:right w:val="single" w:sz="4" w:space="0" w:color="auto"/>
            </w:tcBorders>
            <w:shd w:val="clear" w:color="auto" w:fill="auto"/>
            <w:noWrap/>
            <w:vAlign w:val="center"/>
            <w:hideMark/>
          </w:tcPr>
          <w:p w14:paraId="67E8A186"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Konkurenčni postopek s pogajanji</w:t>
            </w:r>
          </w:p>
        </w:tc>
        <w:tc>
          <w:tcPr>
            <w:tcW w:w="542" w:type="pct"/>
            <w:tcBorders>
              <w:top w:val="nil"/>
              <w:left w:val="nil"/>
              <w:bottom w:val="single" w:sz="4" w:space="0" w:color="auto"/>
              <w:right w:val="single" w:sz="4" w:space="0" w:color="auto"/>
            </w:tcBorders>
            <w:shd w:val="clear" w:color="auto" w:fill="auto"/>
            <w:noWrap/>
            <w:vAlign w:val="center"/>
            <w:hideMark/>
          </w:tcPr>
          <w:p w14:paraId="6289703D"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13</w:t>
            </w:r>
          </w:p>
        </w:tc>
        <w:tc>
          <w:tcPr>
            <w:tcW w:w="785" w:type="pct"/>
            <w:tcBorders>
              <w:top w:val="nil"/>
              <w:left w:val="nil"/>
              <w:bottom w:val="single" w:sz="4" w:space="0" w:color="auto"/>
              <w:right w:val="single" w:sz="4" w:space="0" w:color="auto"/>
            </w:tcBorders>
            <w:shd w:val="clear" w:color="auto" w:fill="auto"/>
            <w:noWrap/>
            <w:vAlign w:val="center"/>
            <w:hideMark/>
          </w:tcPr>
          <w:p w14:paraId="4DA3B6D7"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2.190.493</w:t>
            </w:r>
          </w:p>
        </w:tc>
      </w:tr>
      <w:tr w:rsidR="00FB562A" w:rsidRPr="00FB562A" w14:paraId="5FBF9878" w14:textId="77777777" w:rsidTr="00FB562A">
        <w:trPr>
          <w:trHeight w:val="300"/>
        </w:trPr>
        <w:tc>
          <w:tcPr>
            <w:tcW w:w="1405" w:type="pct"/>
            <w:vMerge/>
            <w:tcBorders>
              <w:top w:val="nil"/>
              <w:left w:val="single" w:sz="4" w:space="0" w:color="auto"/>
              <w:bottom w:val="single" w:sz="4" w:space="0" w:color="auto"/>
              <w:right w:val="single" w:sz="4" w:space="0" w:color="auto"/>
            </w:tcBorders>
            <w:vAlign w:val="center"/>
            <w:hideMark/>
          </w:tcPr>
          <w:p w14:paraId="4942F9F9" w14:textId="77777777" w:rsidR="00FB562A" w:rsidRPr="00FB562A" w:rsidRDefault="00FB562A" w:rsidP="00FB562A">
            <w:pPr>
              <w:spacing w:after="0" w:line="240" w:lineRule="auto"/>
              <w:rPr>
                <w:rFonts w:ascii="Arial" w:eastAsia="Times New Roman" w:hAnsi="Arial" w:cs="Arial"/>
                <w:color w:val="000000"/>
                <w:sz w:val="18"/>
                <w:szCs w:val="18"/>
                <w:lang w:eastAsia="sl-SI"/>
              </w:rPr>
            </w:pPr>
          </w:p>
        </w:tc>
        <w:tc>
          <w:tcPr>
            <w:tcW w:w="2268" w:type="pct"/>
            <w:tcBorders>
              <w:top w:val="nil"/>
              <w:left w:val="nil"/>
              <w:bottom w:val="single" w:sz="4" w:space="0" w:color="auto"/>
              <w:right w:val="single" w:sz="4" w:space="0" w:color="auto"/>
            </w:tcBorders>
            <w:shd w:val="clear" w:color="auto" w:fill="auto"/>
            <w:noWrap/>
            <w:vAlign w:val="center"/>
            <w:hideMark/>
          </w:tcPr>
          <w:p w14:paraId="297C9987"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2C1AA23E"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124</w:t>
            </w:r>
          </w:p>
        </w:tc>
        <w:tc>
          <w:tcPr>
            <w:tcW w:w="785" w:type="pct"/>
            <w:tcBorders>
              <w:top w:val="nil"/>
              <w:left w:val="nil"/>
              <w:bottom w:val="single" w:sz="4" w:space="0" w:color="auto"/>
              <w:right w:val="single" w:sz="4" w:space="0" w:color="auto"/>
            </w:tcBorders>
            <w:shd w:val="clear" w:color="auto" w:fill="auto"/>
            <w:noWrap/>
            <w:vAlign w:val="center"/>
            <w:hideMark/>
          </w:tcPr>
          <w:p w14:paraId="14CEE1F8"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82.217.258</w:t>
            </w:r>
          </w:p>
        </w:tc>
      </w:tr>
      <w:tr w:rsidR="00FB562A" w:rsidRPr="00FB562A" w14:paraId="6D4DF4C9" w14:textId="77777777" w:rsidTr="00FB562A">
        <w:trPr>
          <w:trHeight w:val="300"/>
        </w:trPr>
        <w:tc>
          <w:tcPr>
            <w:tcW w:w="1405" w:type="pct"/>
            <w:vMerge/>
            <w:tcBorders>
              <w:top w:val="nil"/>
              <w:left w:val="single" w:sz="4" w:space="0" w:color="auto"/>
              <w:bottom w:val="single" w:sz="4" w:space="0" w:color="auto"/>
              <w:right w:val="single" w:sz="4" w:space="0" w:color="auto"/>
            </w:tcBorders>
            <w:vAlign w:val="center"/>
            <w:hideMark/>
          </w:tcPr>
          <w:p w14:paraId="54492855" w14:textId="77777777" w:rsidR="00FB562A" w:rsidRPr="00FB562A" w:rsidRDefault="00FB562A" w:rsidP="00FB562A">
            <w:pPr>
              <w:spacing w:after="0" w:line="240" w:lineRule="auto"/>
              <w:rPr>
                <w:rFonts w:ascii="Arial" w:eastAsia="Times New Roman" w:hAnsi="Arial" w:cs="Arial"/>
                <w:color w:val="000000"/>
                <w:sz w:val="18"/>
                <w:szCs w:val="18"/>
                <w:lang w:eastAsia="sl-SI"/>
              </w:rPr>
            </w:pPr>
          </w:p>
        </w:tc>
        <w:tc>
          <w:tcPr>
            <w:tcW w:w="2268" w:type="pct"/>
            <w:tcBorders>
              <w:top w:val="nil"/>
              <w:left w:val="nil"/>
              <w:bottom w:val="single" w:sz="4" w:space="0" w:color="auto"/>
              <w:right w:val="single" w:sz="4" w:space="0" w:color="auto"/>
            </w:tcBorders>
            <w:shd w:val="clear" w:color="auto" w:fill="auto"/>
            <w:noWrap/>
            <w:vAlign w:val="center"/>
            <w:hideMark/>
          </w:tcPr>
          <w:p w14:paraId="159D1E92" w14:textId="77777777" w:rsidR="00FB562A" w:rsidRPr="00FB562A" w:rsidRDefault="00FB562A" w:rsidP="00FB562A">
            <w:pPr>
              <w:spacing w:after="0" w:line="240" w:lineRule="auto"/>
              <w:rPr>
                <w:rFonts w:ascii="Arial" w:eastAsia="Times New Roman" w:hAnsi="Arial" w:cs="Arial"/>
                <w:b/>
                <w:bCs/>
                <w:color w:val="000000"/>
                <w:sz w:val="18"/>
                <w:szCs w:val="18"/>
                <w:lang w:eastAsia="sl-SI"/>
              </w:rPr>
            </w:pPr>
            <w:r w:rsidRPr="00FB562A">
              <w:rPr>
                <w:rFonts w:ascii="Arial" w:eastAsia="Times New Roman" w:hAnsi="Arial" w:cs="Arial"/>
                <w:b/>
                <w:bCs/>
                <w:color w:val="000000"/>
                <w:sz w:val="18"/>
                <w:szCs w:val="18"/>
                <w:lang w:eastAsia="sl-SI"/>
              </w:rPr>
              <w:t>Skupaj</w:t>
            </w:r>
          </w:p>
        </w:tc>
        <w:tc>
          <w:tcPr>
            <w:tcW w:w="542" w:type="pct"/>
            <w:tcBorders>
              <w:top w:val="nil"/>
              <w:left w:val="nil"/>
              <w:bottom w:val="single" w:sz="4" w:space="0" w:color="auto"/>
              <w:right w:val="single" w:sz="4" w:space="0" w:color="auto"/>
            </w:tcBorders>
            <w:shd w:val="clear" w:color="auto" w:fill="auto"/>
            <w:noWrap/>
            <w:vAlign w:val="center"/>
            <w:hideMark/>
          </w:tcPr>
          <w:p w14:paraId="47AA8AC6" w14:textId="77777777" w:rsidR="00FB562A" w:rsidRPr="00FB562A" w:rsidRDefault="00FB562A" w:rsidP="00FB562A">
            <w:pPr>
              <w:spacing w:after="0" w:line="240" w:lineRule="auto"/>
              <w:jc w:val="right"/>
              <w:rPr>
                <w:rFonts w:ascii="Arial" w:eastAsia="Times New Roman" w:hAnsi="Arial" w:cs="Arial"/>
                <w:b/>
                <w:bCs/>
                <w:color w:val="000000"/>
                <w:sz w:val="18"/>
                <w:szCs w:val="18"/>
                <w:lang w:eastAsia="sl-SI"/>
              </w:rPr>
            </w:pPr>
            <w:r w:rsidRPr="00FB562A">
              <w:rPr>
                <w:rFonts w:ascii="Arial" w:eastAsia="Times New Roman" w:hAnsi="Arial" w:cs="Arial"/>
                <w:b/>
                <w:bCs/>
                <w:color w:val="000000"/>
                <w:sz w:val="18"/>
                <w:szCs w:val="18"/>
                <w:lang w:eastAsia="sl-SI"/>
              </w:rPr>
              <w:t>137</w:t>
            </w:r>
          </w:p>
        </w:tc>
        <w:tc>
          <w:tcPr>
            <w:tcW w:w="785" w:type="pct"/>
            <w:tcBorders>
              <w:top w:val="nil"/>
              <w:left w:val="nil"/>
              <w:bottom w:val="single" w:sz="4" w:space="0" w:color="auto"/>
              <w:right w:val="single" w:sz="4" w:space="0" w:color="auto"/>
            </w:tcBorders>
            <w:shd w:val="clear" w:color="auto" w:fill="auto"/>
            <w:noWrap/>
            <w:vAlign w:val="center"/>
            <w:hideMark/>
          </w:tcPr>
          <w:p w14:paraId="749AAF8F" w14:textId="77777777" w:rsidR="00FB562A" w:rsidRPr="00FB562A" w:rsidRDefault="00FB562A" w:rsidP="00FB562A">
            <w:pPr>
              <w:spacing w:after="0" w:line="240" w:lineRule="auto"/>
              <w:jc w:val="right"/>
              <w:rPr>
                <w:rFonts w:ascii="Arial" w:eastAsia="Times New Roman" w:hAnsi="Arial" w:cs="Arial"/>
                <w:b/>
                <w:bCs/>
                <w:color w:val="000000"/>
                <w:sz w:val="18"/>
                <w:szCs w:val="18"/>
                <w:lang w:eastAsia="sl-SI"/>
              </w:rPr>
            </w:pPr>
            <w:r w:rsidRPr="00FB562A">
              <w:rPr>
                <w:rFonts w:ascii="Arial" w:eastAsia="Times New Roman" w:hAnsi="Arial" w:cs="Arial"/>
                <w:b/>
                <w:bCs/>
                <w:color w:val="000000"/>
                <w:sz w:val="18"/>
                <w:szCs w:val="18"/>
                <w:lang w:eastAsia="sl-SI"/>
              </w:rPr>
              <w:t>84.407.751</w:t>
            </w:r>
          </w:p>
        </w:tc>
      </w:tr>
      <w:tr w:rsidR="00FB562A" w:rsidRPr="00FB562A" w14:paraId="6D928990"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62B4BC54"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Nujnost in nepredvidljivost</w:t>
            </w:r>
          </w:p>
        </w:tc>
        <w:tc>
          <w:tcPr>
            <w:tcW w:w="2268" w:type="pct"/>
            <w:tcBorders>
              <w:top w:val="nil"/>
              <w:left w:val="nil"/>
              <w:bottom w:val="single" w:sz="4" w:space="0" w:color="auto"/>
              <w:right w:val="single" w:sz="4" w:space="0" w:color="auto"/>
            </w:tcBorders>
            <w:shd w:val="clear" w:color="auto" w:fill="auto"/>
            <w:noWrap/>
            <w:vAlign w:val="center"/>
            <w:hideMark/>
          </w:tcPr>
          <w:p w14:paraId="4AA9BF5A"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6D1EBB8E"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61</w:t>
            </w:r>
          </w:p>
        </w:tc>
        <w:tc>
          <w:tcPr>
            <w:tcW w:w="785" w:type="pct"/>
            <w:tcBorders>
              <w:top w:val="nil"/>
              <w:left w:val="nil"/>
              <w:bottom w:val="single" w:sz="4" w:space="0" w:color="auto"/>
              <w:right w:val="single" w:sz="4" w:space="0" w:color="auto"/>
            </w:tcBorders>
            <w:shd w:val="clear" w:color="auto" w:fill="auto"/>
            <w:noWrap/>
            <w:vAlign w:val="center"/>
            <w:hideMark/>
          </w:tcPr>
          <w:p w14:paraId="4F0E2AF3"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20.992.363</w:t>
            </w:r>
          </w:p>
        </w:tc>
      </w:tr>
      <w:tr w:rsidR="00FB562A" w:rsidRPr="00FB562A" w14:paraId="3144437B"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29B4389F"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Ponovitev podobnih gradenj ali storitev</w:t>
            </w:r>
          </w:p>
        </w:tc>
        <w:tc>
          <w:tcPr>
            <w:tcW w:w="2268" w:type="pct"/>
            <w:tcBorders>
              <w:top w:val="nil"/>
              <w:left w:val="nil"/>
              <w:bottom w:val="single" w:sz="4" w:space="0" w:color="auto"/>
              <w:right w:val="single" w:sz="4" w:space="0" w:color="auto"/>
            </w:tcBorders>
            <w:shd w:val="clear" w:color="auto" w:fill="auto"/>
            <w:noWrap/>
            <w:vAlign w:val="center"/>
            <w:hideMark/>
          </w:tcPr>
          <w:p w14:paraId="01ED0767"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7D41B383"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19</w:t>
            </w:r>
          </w:p>
        </w:tc>
        <w:tc>
          <w:tcPr>
            <w:tcW w:w="785" w:type="pct"/>
            <w:tcBorders>
              <w:top w:val="nil"/>
              <w:left w:val="nil"/>
              <w:bottom w:val="single" w:sz="4" w:space="0" w:color="auto"/>
              <w:right w:val="single" w:sz="4" w:space="0" w:color="auto"/>
            </w:tcBorders>
            <w:shd w:val="clear" w:color="auto" w:fill="auto"/>
            <w:noWrap/>
            <w:vAlign w:val="center"/>
            <w:hideMark/>
          </w:tcPr>
          <w:p w14:paraId="5C90922A"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7.830.156</w:t>
            </w:r>
          </w:p>
        </w:tc>
      </w:tr>
      <w:tr w:rsidR="00FB562A" w:rsidRPr="00FB562A" w14:paraId="54B701B3"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22DD8094"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Predhodno izvedeni javni natečaj</w:t>
            </w:r>
          </w:p>
        </w:tc>
        <w:tc>
          <w:tcPr>
            <w:tcW w:w="2268" w:type="pct"/>
            <w:tcBorders>
              <w:top w:val="nil"/>
              <w:left w:val="nil"/>
              <w:bottom w:val="single" w:sz="4" w:space="0" w:color="auto"/>
              <w:right w:val="single" w:sz="4" w:space="0" w:color="auto"/>
            </w:tcBorders>
            <w:shd w:val="clear" w:color="auto" w:fill="auto"/>
            <w:noWrap/>
            <w:vAlign w:val="center"/>
            <w:hideMark/>
          </w:tcPr>
          <w:p w14:paraId="269A7EC4"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0FFDE63F"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8</w:t>
            </w:r>
          </w:p>
        </w:tc>
        <w:tc>
          <w:tcPr>
            <w:tcW w:w="785" w:type="pct"/>
            <w:tcBorders>
              <w:top w:val="nil"/>
              <w:left w:val="nil"/>
              <w:bottom w:val="single" w:sz="4" w:space="0" w:color="auto"/>
              <w:right w:val="single" w:sz="4" w:space="0" w:color="auto"/>
            </w:tcBorders>
            <w:shd w:val="clear" w:color="auto" w:fill="auto"/>
            <w:noWrap/>
            <w:vAlign w:val="center"/>
            <w:hideMark/>
          </w:tcPr>
          <w:p w14:paraId="1A76A57A"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3.542.488</w:t>
            </w:r>
          </w:p>
        </w:tc>
      </w:tr>
      <w:tr w:rsidR="00FB562A" w:rsidRPr="00FB562A" w14:paraId="46B5E8C3"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0BC91BB4"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Tehnični ali umetniški razlogi ali izključne pravice</w:t>
            </w:r>
          </w:p>
        </w:tc>
        <w:tc>
          <w:tcPr>
            <w:tcW w:w="2268" w:type="pct"/>
            <w:tcBorders>
              <w:top w:val="nil"/>
              <w:left w:val="nil"/>
              <w:bottom w:val="single" w:sz="4" w:space="0" w:color="auto"/>
              <w:right w:val="single" w:sz="4" w:space="0" w:color="auto"/>
            </w:tcBorders>
            <w:shd w:val="clear" w:color="auto" w:fill="auto"/>
            <w:noWrap/>
            <w:vAlign w:val="center"/>
            <w:hideMark/>
          </w:tcPr>
          <w:p w14:paraId="3D387C8B"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3B0EA428"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456</w:t>
            </w:r>
          </w:p>
        </w:tc>
        <w:tc>
          <w:tcPr>
            <w:tcW w:w="785" w:type="pct"/>
            <w:tcBorders>
              <w:top w:val="nil"/>
              <w:left w:val="nil"/>
              <w:bottom w:val="single" w:sz="4" w:space="0" w:color="auto"/>
              <w:right w:val="single" w:sz="4" w:space="0" w:color="auto"/>
            </w:tcBorders>
            <w:shd w:val="clear" w:color="auto" w:fill="auto"/>
            <w:noWrap/>
            <w:vAlign w:val="center"/>
            <w:hideMark/>
          </w:tcPr>
          <w:p w14:paraId="3BBC6D32"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147.979.744</w:t>
            </w:r>
          </w:p>
        </w:tc>
      </w:tr>
      <w:tr w:rsidR="00FB562A" w:rsidRPr="00FB562A" w14:paraId="64860F38"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4BAF5343"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Znano končno število sposobnih ponudnikov</w:t>
            </w:r>
          </w:p>
        </w:tc>
        <w:tc>
          <w:tcPr>
            <w:tcW w:w="2268" w:type="pct"/>
            <w:tcBorders>
              <w:top w:val="nil"/>
              <w:left w:val="nil"/>
              <w:bottom w:val="single" w:sz="4" w:space="0" w:color="auto"/>
              <w:right w:val="single" w:sz="4" w:space="0" w:color="auto"/>
            </w:tcBorders>
            <w:shd w:val="clear" w:color="auto" w:fill="auto"/>
            <w:noWrap/>
            <w:vAlign w:val="center"/>
            <w:hideMark/>
          </w:tcPr>
          <w:p w14:paraId="201A03B0"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210C4251"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12</w:t>
            </w:r>
          </w:p>
        </w:tc>
        <w:tc>
          <w:tcPr>
            <w:tcW w:w="785" w:type="pct"/>
            <w:tcBorders>
              <w:top w:val="nil"/>
              <w:left w:val="nil"/>
              <w:bottom w:val="single" w:sz="4" w:space="0" w:color="auto"/>
              <w:right w:val="single" w:sz="4" w:space="0" w:color="auto"/>
            </w:tcBorders>
            <w:shd w:val="clear" w:color="auto" w:fill="auto"/>
            <w:noWrap/>
            <w:vAlign w:val="center"/>
            <w:hideMark/>
          </w:tcPr>
          <w:p w14:paraId="6E58ECEC"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2.333.793</w:t>
            </w:r>
          </w:p>
        </w:tc>
      </w:tr>
      <w:tr w:rsidR="00FB562A" w:rsidRPr="00FB562A" w14:paraId="088ED893" w14:textId="77777777" w:rsidTr="00FB562A">
        <w:trPr>
          <w:trHeight w:val="300"/>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0602D05B"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Ugodni pogoji</w:t>
            </w:r>
          </w:p>
        </w:tc>
        <w:tc>
          <w:tcPr>
            <w:tcW w:w="2268" w:type="pct"/>
            <w:tcBorders>
              <w:top w:val="nil"/>
              <w:left w:val="nil"/>
              <w:bottom w:val="single" w:sz="4" w:space="0" w:color="auto"/>
              <w:right w:val="single" w:sz="4" w:space="0" w:color="auto"/>
            </w:tcBorders>
            <w:shd w:val="clear" w:color="auto" w:fill="auto"/>
            <w:noWrap/>
            <w:vAlign w:val="center"/>
            <w:hideMark/>
          </w:tcPr>
          <w:p w14:paraId="34FFF3F3" w14:textId="77777777" w:rsidR="00FB562A" w:rsidRPr="00FB562A" w:rsidRDefault="00FB562A" w:rsidP="00FB562A">
            <w:pPr>
              <w:spacing w:after="0" w:line="240" w:lineRule="auto"/>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Postopek s pogajanji brez predhodne objave</w:t>
            </w:r>
          </w:p>
        </w:tc>
        <w:tc>
          <w:tcPr>
            <w:tcW w:w="542" w:type="pct"/>
            <w:tcBorders>
              <w:top w:val="nil"/>
              <w:left w:val="nil"/>
              <w:bottom w:val="single" w:sz="4" w:space="0" w:color="auto"/>
              <w:right w:val="single" w:sz="4" w:space="0" w:color="auto"/>
            </w:tcBorders>
            <w:shd w:val="clear" w:color="auto" w:fill="auto"/>
            <w:noWrap/>
            <w:vAlign w:val="center"/>
            <w:hideMark/>
          </w:tcPr>
          <w:p w14:paraId="5A3E704A"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w:t>
            </w:r>
          </w:p>
        </w:tc>
        <w:tc>
          <w:tcPr>
            <w:tcW w:w="785" w:type="pct"/>
            <w:tcBorders>
              <w:top w:val="nil"/>
              <w:left w:val="nil"/>
              <w:bottom w:val="single" w:sz="4" w:space="0" w:color="auto"/>
              <w:right w:val="single" w:sz="4" w:space="0" w:color="auto"/>
            </w:tcBorders>
            <w:shd w:val="clear" w:color="auto" w:fill="auto"/>
            <w:noWrap/>
            <w:vAlign w:val="center"/>
            <w:hideMark/>
          </w:tcPr>
          <w:p w14:paraId="2866BDDF" w14:textId="77777777" w:rsidR="00FB562A" w:rsidRPr="00FB562A" w:rsidRDefault="00FB562A" w:rsidP="00FB562A">
            <w:pPr>
              <w:spacing w:after="0" w:line="240" w:lineRule="auto"/>
              <w:jc w:val="right"/>
              <w:rPr>
                <w:rFonts w:ascii="Arial" w:eastAsia="Times New Roman" w:hAnsi="Arial" w:cs="Arial"/>
                <w:color w:val="000000"/>
                <w:sz w:val="18"/>
                <w:szCs w:val="18"/>
                <w:lang w:eastAsia="sl-SI"/>
              </w:rPr>
            </w:pPr>
            <w:r w:rsidRPr="00FB562A">
              <w:rPr>
                <w:rFonts w:ascii="Arial" w:eastAsia="Times New Roman" w:hAnsi="Arial" w:cs="Arial"/>
                <w:color w:val="000000"/>
                <w:sz w:val="18"/>
                <w:szCs w:val="18"/>
                <w:lang w:eastAsia="sl-SI"/>
              </w:rPr>
              <w:t>114.990</w:t>
            </w:r>
          </w:p>
        </w:tc>
      </w:tr>
    </w:tbl>
    <w:p w14:paraId="0D21CC20" w14:textId="472D1C13" w:rsidR="00EE4F5B" w:rsidRPr="00FB562A" w:rsidRDefault="00EE4F5B" w:rsidP="00A8659F">
      <w:pPr>
        <w:pStyle w:val="ZADEVA"/>
        <w:jc w:val="both"/>
        <w:rPr>
          <w:rFonts w:cs="Arial"/>
          <w:b w:val="0"/>
          <w:szCs w:val="20"/>
          <w:lang w:val="sl-SI"/>
        </w:rPr>
      </w:pPr>
    </w:p>
    <w:p w14:paraId="6F80EDDB" w14:textId="3D1A72EE" w:rsidR="00EE5CA0" w:rsidRPr="00FB562A" w:rsidRDefault="00EE5CA0" w:rsidP="00701C10">
      <w:pPr>
        <w:spacing w:after="240" w:line="240" w:lineRule="auto"/>
        <w:jc w:val="center"/>
        <w:rPr>
          <w:rFonts w:ascii="Arial" w:hAnsi="Arial" w:cs="Arial"/>
          <w:sz w:val="18"/>
        </w:rPr>
      </w:pPr>
      <w:r w:rsidRPr="00FB562A">
        <w:rPr>
          <w:rFonts w:ascii="Arial" w:hAnsi="Arial" w:cs="Arial"/>
          <w:sz w:val="18"/>
        </w:rPr>
        <w:t>Vir: Statistični podatki o javnih naročilih,</w:t>
      </w:r>
      <w:r w:rsidR="00FA2201" w:rsidRPr="00FB562A">
        <w:rPr>
          <w:rFonts w:ascii="Arial" w:hAnsi="Arial" w:cs="Arial"/>
          <w:sz w:val="18"/>
        </w:rPr>
        <w:t xml:space="preserve"> oddanih v letu 201</w:t>
      </w:r>
      <w:r w:rsidR="00FB562A" w:rsidRPr="00FB562A">
        <w:rPr>
          <w:rFonts w:ascii="Arial" w:hAnsi="Arial" w:cs="Arial"/>
          <w:sz w:val="18"/>
        </w:rPr>
        <w:t>8</w:t>
      </w:r>
    </w:p>
    <w:p w14:paraId="27C78CF2" w14:textId="30CA4E31" w:rsidR="00854405" w:rsidRPr="006A7118" w:rsidRDefault="00EE5CA0" w:rsidP="000A67FE">
      <w:pPr>
        <w:tabs>
          <w:tab w:val="left" w:pos="567"/>
          <w:tab w:val="left" w:pos="993"/>
        </w:tabs>
        <w:spacing w:line="360" w:lineRule="auto"/>
        <w:jc w:val="both"/>
        <w:rPr>
          <w:rFonts w:ascii="Arial" w:hAnsi="Arial" w:cs="Arial"/>
          <w:bCs/>
          <w:sz w:val="20"/>
          <w:szCs w:val="20"/>
        </w:rPr>
      </w:pPr>
      <w:r w:rsidRPr="006A7118">
        <w:rPr>
          <w:rFonts w:ascii="Arial" w:hAnsi="Arial" w:cs="Arial"/>
          <w:bCs/>
          <w:sz w:val="20"/>
          <w:szCs w:val="20"/>
        </w:rPr>
        <w:t xml:space="preserve">Iz utemeljitev </w:t>
      </w:r>
      <w:r w:rsidR="00F375E5" w:rsidRPr="006A7118">
        <w:rPr>
          <w:rFonts w:ascii="Arial" w:hAnsi="Arial" w:cs="Arial"/>
          <w:bCs/>
          <w:sz w:val="20"/>
          <w:szCs w:val="20"/>
        </w:rPr>
        <w:t>izhaja</w:t>
      </w:r>
      <w:r w:rsidRPr="006A7118">
        <w:rPr>
          <w:rFonts w:ascii="Arial" w:hAnsi="Arial" w:cs="Arial"/>
          <w:bCs/>
          <w:sz w:val="20"/>
          <w:szCs w:val="20"/>
        </w:rPr>
        <w:t xml:space="preserve">, da je </w:t>
      </w:r>
      <w:r w:rsidR="00B0752B" w:rsidRPr="006A7118">
        <w:rPr>
          <w:rFonts w:ascii="Arial" w:hAnsi="Arial" w:cs="Arial"/>
          <w:bCs/>
          <w:sz w:val="20"/>
          <w:szCs w:val="20"/>
        </w:rPr>
        <w:t>dobra</w:t>
      </w:r>
      <w:r w:rsidR="000A67FE" w:rsidRPr="006A7118">
        <w:rPr>
          <w:rFonts w:ascii="Arial" w:hAnsi="Arial" w:cs="Arial"/>
          <w:bCs/>
          <w:sz w:val="20"/>
          <w:szCs w:val="20"/>
        </w:rPr>
        <w:t xml:space="preserve"> polovica (</w:t>
      </w:r>
      <w:r w:rsidR="00B0752B" w:rsidRPr="006A7118">
        <w:rPr>
          <w:rFonts w:ascii="Arial" w:hAnsi="Arial" w:cs="Arial"/>
          <w:bCs/>
          <w:sz w:val="20"/>
          <w:szCs w:val="20"/>
        </w:rPr>
        <w:t>6</w:t>
      </w:r>
      <w:r w:rsidR="006A7118">
        <w:rPr>
          <w:rFonts w:ascii="Arial" w:hAnsi="Arial" w:cs="Arial"/>
          <w:bCs/>
          <w:sz w:val="20"/>
          <w:szCs w:val="20"/>
        </w:rPr>
        <w:t>1,46</w:t>
      </w:r>
      <w:r w:rsidR="003548B3">
        <w:rPr>
          <w:rFonts w:ascii="Arial" w:hAnsi="Arial" w:cs="Arial"/>
          <w:bCs/>
          <w:sz w:val="20"/>
          <w:szCs w:val="20"/>
        </w:rPr>
        <w:t xml:space="preserve"> </w:t>
      </w:r>
      <w:r w:rsidR="0029442D" w:rsidRPr="006A7118">
        <w:rPr>
          <w:rFonts w:ascii="Arial" w:hAnsi="Arial" w:cs="Arial"/>
          <w:bCs/>
          <w:sz w:val="20"/>
          <w:szCs w:val="20"/>
        </w:rPr>
        <w:t>%</w:t>
      </w:r>
      <w:r w:rsidR="004D5A1F" w:rsidRPr="006A7118">
        <w:rPr>
          <w:rFonts w:ascii="Arial" w:hAnsi="Arial" w:cs="Arial"/>
          <w:bCs/>
          <w:sz w:val="20"/>
          <w:szCs w:val="20"/>
        </w:rPr>
        <w:t>)</w:t>
      </w:r>
      <w:r w:rsidR="000A67FE" w:rsidRPr="006A7118">
        <w:rPr>
          <w:rFonts w:ascii="Arial" w:hAnsi="Arial" w:cs="Arial"/>
          <w:bCs/>
          <w:sz w:val="20"/>
          <w:szCs w:val="20"/>
        </w:rPr>
        <w:t xml:space="preserve"> postopkov s pogajanji brez predhodne objave izvedenih </w:t>
      </w:r>
      <w:r w:rsidR="004D5A1F" w:rsidRPr="006A7118">
        <w:rPr>
          <w:rFonts w:ascii="Arial" w:hAnsi="Arial" w:cs="Arial"/>
          <w:bCs/>
          <w:sz w:val="20"/>
          <w:szCs w:val="20"/>
        </w:rPr>
        <w:t>zaradi tehničnih ali umetniških razlogov ali zaščite izključnih pravic. Vred</w:t>
      </w:r>
      <w:r w:rsidR="003E4A6B" w:rsidRPr="006A7118">
        <w:rPr>
          <w:rFonts w:ascii="Arial" w:hAnsi="Arial" w:cs="Arial"/>
          <w:bCs/>
          <w:sz w:val="20"/>
          <w:szCs w:val="20"/>
        </w:rPr>
        <w:t>nost naročil v teh postopkih je</w:t>
      </w:r>
      <w:r w:rsidR="00475C0E" w:rsidRPr="006A7118">
        <w:rPr>
          <w:rFonts w:ascii="Arial" w:hAnsi="Arial" w:cs="Arial"/>
          <w:bCs/>
          <w:sz w:val="20"/>
          <w:szCs w:val="20"/>
        </w:rPr>
        <w:t xml:space="preserve"> </w:t>
      </w:r>
      <w:r w:rsidR="004D5A1F" w:rsidRPr="006A7118">
        <w:rPr>
          <w:rFonts w:ascii="Arial" w:hAnsi="Arial" w:cs="Arial"/>
          <w:bCs/>
          <w:sz w:val="20"/>
          <w:szCs w:val="20"/>
        </w:rPr>
        <w:t>skoraj slab</w:t>
      </w:r>
      <w:r w:rsidR="002C0157" w:rsidRPr="006A7118">
        <w:rPr>
          <w:rFonts w:ascii="Arial" w:hAnsi="Arial" w:cs="Arial"/>
          <w:bCs/>
          <w:sz w:val="20"/>
          <w:szCs w:val="20"/>
        </w:rPr>
        <w:t>a</w:t>
      </w:r>
      <w:r w:rsidR="004D5A1F" w:rsidRPr="006A7118">
        <w:rPr>
          <w:rFonts w:ascii="Arial" w:hAnsi="Arial" w:cs="Arial"/>
          <w:bCs/>
          <w:sz w:val="20"/>
          <w:szCs w:val="20"/>
        </w:rPr>
        <w:t xml:space="preserve"> polovic</w:t>
      </w:r>
      <w:r w:rsidR="002C0157" w:rsidRPr="006A7118">
        <w:rPr>
          <w:rFonts w:ascii="Arial" w:hAnsi="Arial" w:cs="Arial"/>
          <w:bCs/>
          <w:sz w:val="20"/>
          <w:szCs w:val="20"/>
        </w:rPr>
        <w:t>a</w:t>
      </w:r>
      <w:r w:rsidR="004D5A1F" w:rsidRPr="006A7118">
        <w:rPr>
          <w:rFonts w:ascii="Arial" w:hAnsi="Arial" w:cs="Arial"/>
          <w:bCs/>
          <w:sz w:val="20"/>
          <w:szCs w:val="20"/>
        </w:rPr>
        <w:t xml:space="preserve"> (</w:t>
      </w:r>
      <w:r w:rsidR="006A7118">
        <w:rPr>
          <w:rFonts w:ascii="Arial" w:hAnsi="Arial" w:cs="Arial"/>
          <w:bCs/>
          <w:sz w:val="20"/>
          <w:szCs w:val="20"/>
        </w:rPr>
        <w:t>47,85</w:t>
      </w:r>
      <w:r w:rsidR="004D5A1F" w:rsidRPr="006A7118">
        <w:rPr>
          <w:rFonts w:ascii="Arial" w:hAnsi="Arial" w:cs="Arial"/>
          <w:bCs/>
          <w:sz w:val="20"/>
          <w:szCs w:val="20"/>
        </w:rPr>
        <w:t xml:space="preserve"> </w:t>
      </w:r>
      <w:r w:rsidR="0029442D" w:rsidRPr="006A7118">
        <w:rPr>
          <w:rFonts w:ascii="Arial" w:hAnsi="Arial" w:cs="Arial"/>
          <w:bCs/>
          <w:sz w:val="20"/>
          <w:szCs w:val="20"/>
        </w:rPr>
        <w:t>%</w:t>
      </w:r>
      <w:r w:rsidR="004D5A1F" w:rsidRPr="006A7118">
        <w:rPr>
          <w:rFonts w:ascii="Arial" w:hAnsi="Arial" w:cs="Arial"/>
          <w:bCs/>
          <w:sz w:val="20"/>
          <w:szCs w:val="20"/>
        </w:rPr>
        <w:t>) vrednosti vseh naročil, ki so bila oddana s postopkom s pogajanji brez predhodne objave.</w:t>
      </w:r>
    </w:p>
    <w:p w14:paraId="72A44912" w14:textId="3F7C6829" w:rsidR="00195533" w:rsidRPr="00EF2D0B" w:rsidRDefault="003E4A6B" w:rsidP="000A67FE">
      <w:pPr>
        <w:tabs>
          <w:tab w:val="left" w:pos="567"/>
          <w:tab w:val="left" w:pos="993"/>
        </w:tabs>
        <w:spacing w:line="360" w:lineRule="auto"/>
        <w:jc w:val="both"/>
        <w:rPr>
          <w:rFonts w:ascii="Arial" w:hAnsi="Arial" w:cs="Arial"/>
          <w:bCs/>
          <w:sz w:val="20"/>
          <w:szCs w:val="20"/>
          <w:highlight w:val="yellow"/>
        </w:rPr>
      </w:pPr>
      <w:r w:rsidRPr="008B0518">
        <w:rPr>
          <w:rFonts w:ascii="Arial" w:hAnsi="Arial" w:cs="Arial"/>
          <w:bCs/>
          <w:sz w:val="20"/>
          <w:szCs w:val="20"/>
        </w:rPr>
        <w:t>Zaradi</w:t>
      </w:r>
      <w:r w:rsidR="004D5A1F" w:rsidRPr="008B0518">
        <w:rPr>
          <w:rFonts w:ascii="Arial" w:hAnsi="Arial" w:cs="Arial"/>
          <w:bCs/>
          <w:sz w:val="20"/>
          <w:szCs w:val="20"/>
        </w:rPr>
        <w:t xml:space="preserve"> nujnosti in nepredvidljivosti so naročniki uporabili postopek s p</w:t>
      </w:r>
      <w:r w:rsidR="006935D4" w:rsidRPr="008B0518">
        <w:rPr>
          <w:rFonts w:ascii="Arial" w:hAnsi="Arial" w:cs="Arial"/>
          <w:bCs/>
          <w:sz w:val="20"/>
          <w:szCs w:val="20"/>
        </w:rPr>
        <w:t xml:space="preserve">ogajanji brez predhodne objave </w:t>
      </w:r>
      <w:r w:rsidR="008B0518" w:rsidRPr="008B0518">
        <w:rPr>
          <w:rFonts w:ascii="Arial" w:hAnsi="Arial" w:cs="Arial"/>
          <w:bCs/>
          <w:sz w:val="20"/>
          <w:szCs w:val="20"/>
        </w:rPr>
        <w:t>61</w:t>
      </w:r>
      <w:r w:rsidR="004D5A1F" w:rsidRPr="008B0518">
        <w:rPr>
          <w:rFonts w:ascii="Arial" w:hAnsi="Arial" w:cs="Arial"/>
          <w:bCs/>
          <w:sz w:val="20"/>
          <w:szCs w:val="20"/>
        </w:rPr>
        <w:t>-</w:t>
      </w:r>
      <w:r w:rsidR="004D5A1F" w:rsidRPr="00237538">
        <w:rPr>
          <w:rFonts w:ascii="Arial" w:hAnsi="Arial" w:cs="Arial"/>
          <w:bCs/>
          <w:sz w:val="20"/>
          <w:szCs w:val="20"/>
        </w:rPr>
        <w:t xml:space="preserve">krat, kar </w:t>
      </w:r>
      <w:r w:rsidRPr="00237538">
        <w:rPr>
          <w:rFonts w:ascii="Arial" w:hAnsi="Arial" w:cs="Arial"/>
          <w:bCs/>
          <w:sz w:val="20"/>
          <w:szCs w:val="20"/>
        </w:rPr>
        <w:t>je po</w:t>
      </w:r>
      <w:r w:rsidR="004D5A1F" w:rsidRPr="00237538">
        <w:rPr>
          <w:rFonts w:ascii="Arial" w:hAnsi="Arial" w:cs="Arial"/>
          <w:bCs/>
          <w:sz w:val="20"/>
          <w:szCs w:val="20"/>
        </w:rPr>
        <w:t xml:space="preserve"> številu </w:t>
      </w:r>
      <w:r w:rsidR="00BA14A3" w:rsidRPr="00237538">
        <w:rPr>
          <w:rFonts w:ascii="Arial" w:hAnsi="Arial" w:cs="Arial"/>
          <w:bCs/>
          <w:sz w:val="20"/>
          <w:szCs w:val="20"/>
        </w:rPr>
        <w:t>in</w:t>
      </w:r>
      <w:r w:rsidR="004D5A1F" w:rsidRPr="00237538">
        <w:rPr>
          <w:rFonts w:ascii="Arial" w:hAnsi="Arial" w:cs="Arial"/>
          <w:bCs/>
          <w:sz w:val="20"/>
          <w:szCs w:val="20"/>
        </w:rPr>
        <w:t xml:space="preserve"> </w:t>
      </w:r>
      <w:r w:rsidR="00BA14A3" w:rsidRPr="00237538">
        <w:rPr>
          <w:rFonts w:ascii="Arial" w:hAnsi="Arial" w:cs="Arial"/>
          <w:bCs/>
          <w:sz w:val="20"/>
          <w:szCs w:val="20"/>
        </w:rPr>
        <w:t xml:space="preserve">vrednosti </w:t>
      </w:r>
      <w:r w:rsidR="004D5A1F" w:rsidRPr="00237538">
        <w:rPr>
          <w:rFonts w:ascii="Arial" w:hAnsi="Arial" w:cs="Arial"/>
          <w:bCs/>
          <w:sz w:val="20"/>
          <w:szCs w:val="20"/>
        </w:rPr>
        <w:t>slab</w:t>
      </w:r>
      <w:r w:rsidRPr="00237538">
        <w:rPr>
          <w:rFonts w:ascii="Arial" w:hAnsi="Arial" w:cs="Arial"/>
          <w:bCs/>
          <w:sz w:val="20"/>
          <w:szCs w:val="20"/>
        </w:rPr>
        <w:t>a</w:t>
      </w:r>
      <w:r w:rsidR="004D5A1F" w:rsidRPr="00237538">
        <w:rPr>
          <w:rFonts w:ascii="Arial" w:hAnsi="Arial" w:cs="Arial"/>
          <w:bCs/>
          <w:sz w:val="20"/>
          <w:szCs w:val="20"/>
        </w:rPr>
        <w:t xml:space="preserve"> desetin</w:t>
      </w:r>
      <w:r w:rsidRPr="00237538">
        <w:rPr>
          <w:rFonts w:ascii="Arial" w:hAnsi="Arial" w:cs="Arial"/>
          <w:bCs/>
          <w:sz w:val="20"/>
          <w:szCs w:val="20"/>
        </w:rPr>
        <w:t>a</w:t>
      </w:r>
      <w:r w:rsidR="00BA14A3" w:rsidRPr="00237538">
        <w:rPr>
          <w:rFonts w:ascii="Arial" w:hAnsi="Arial" w:cs="Arial"/>
          <w:bCs/>
          <w:sz w:val="20"/>
          <w:szCs w:val="20"/>
        </w:rPr>
        <w:t xml:space="preserve"> </w:t>
      </w:r>
      <w:r w:rsidR="00195533" w:rsidRPr="00237538">
        <w:rPr>
          <w:rFonts w:ascii="Arial" w:hAnsi="Arial" w:cs="Arial"/>
          <w:bCs/>
          <w:sz w:val="20"/>
          <w:szCs w:val="20"/>
        </w:rPr>
        <w:t>vseh tovrstnih postopkov.</w:t>
      </w:r>
    </w:p>
    <w:p w14:paraId="6B4470A0" w14:textId="2A36EF50" w:rsidR="00195533" w:rsidRPr="000F0845" w:rsidRDefault="00195533" w:rsidP="000A67FE">
      <w:pPr>
        <w:tabs>
          <w:tab w:val="left" w:pos="567"/>
          <w:tab w:val="left" w:pos="993"/>
        </w:tabs>
        <w:spacing w:line="360" w:lineRule="auto"/>
        <w:jc w:val="both"/>
        <w:rPr>
          <w:rFonts w:ascii="Arial" w:hAnsi="Arial" w:cs="Arial"/>
          <w:bCs/>
          <w:sz w:val="20"/>
          <w:szCs w:val="20"/>
        </w:rPr>
      </w:pPr>
      <w:r w:rsidRPr="003B7C33">
        <w:rPr>
          <w:rFonts w:ascii="Arial" w:hAnsi="Arial" w:cs="Arial"/>
          <w:bCs/>
          <w:sz w:val="20"/>
          <w:szCs w:val="20"/>
        </w:rPr>
        <w:t>Zaradi neuspešno izvedenega predhodnega postopka so naročniki postopek s pogajanji br</w:t>
      </w:r>
      <w:r w:rsidR="00F663F0" w:rsidRPr="003B7C33">
        <w:rPr>
          <w:rFonts w:ascii="Arial" w:hAnsi="Arial" w:cs="Arial"/>
          <w:bCs/>
          <w:sz w:val="20"/>
          <w:szCs w:val="20"/>
        </w:rPr>
        <w:t xml:space="preserve">ez predhodne objave uporabili </w:t>
      </w:r>
      <w:r w:rsidR="003B7C33" w:rsidRPr="003B7C33">
        <w:rPr>
          <w:rFonts w:ascii="Arial" w:hAnsi="Arial" w:cs="Arial"/>
          <w:bCs/>
          <w:sz w:val="20"/>
          <w:szCs w:val="20"/>
        </w:rPr>
        <w:t>124</w:t>
      </w:r>
      <w:r w:rsidRPr="003B7C33">
        <w:rPr>
          <w:rFonts w:ascii="Arial" w:hAnsi="Arial" w:cs="Arial"/>
          <w:bCs/>
          <w:sz w:val="20"/>
          <w:szCs w:val="20"/>
        </w:rPr>
        <w:t xml:space="preserve">-krat, </w:t>
      </w:r>
      <w:r w:rsidRPr="000F0845">
        <w:rPr>
          <w:rFonts w:ascii="Arial" w:hAnsi="Arial" w:cs="Arial"/>
          <w:bCs/>
          <w:sz w:val="20"/>
          <w:szCs w:val="20"/>
        </w:rPr>
        <w:t xml:space="preserve">vrednost oddanih naročil pa </w:t>
      </w:r>
      <w:r w:rsidR="003E4A6B" w:rsidRPr="000F0845">
        <w:rPr>
          <w:rFonts w:ascii="Arial" w:hAnsi="Arial" w:cs="Arial"/>
          <w:bCs/>
          <w:sz w:val="20"/>
          <w:szCs w:val="20"/>
        </w:rPr>
        <w:t xml:space="preserve">znaša </w:t>
      </w:r>
      <w:r w:rsidRPr="000F0845">
        <w:rPr>
          <w:rFonts w:ascii="Arial" w:hAnsi="Arial" w:cs="Arial"/>
          <w:bCs/>
          <w:sz w:val="20"/>
          <w:szCs w:val="20"/>
        </w:rPr>
        <w:t xml:space="preserve">dobro </w:t>
      </w:r>
      <w:r w:rsidR="000F0845" w:rsidRPr="000F0845">
        <w:rPr>
          <w:rFonts w:ascii="Arial" w:hAnsi="Arial" w:cs="Arial"/>
          <w:bCs/>
          <w:sz w:val="20"/>
          <w:szCs w:val="20"/>
        </w:rPr>
        <w:t>četrtino</w:t>
      </w:r>
      <w:r w:rsidRPr="000F0845">
        <w:rPr>
          <w:rFonts w:ascii="Arial" w:hAnsi="Arial" w:cs="Arial"/>
          <w:bCs/>
          <w:sz w:val="20"/>
          <w:szCs w:val="20"/>
        </w:rPr>
        <w:t xml:space="preserve"> vrednosti vseh oddanih naročil po postopku s pogajanji brez predhodne objave.</w:t>
      </w:r>
    </w:p>
    <w:p w14:paraId="430E4FB3" w14:textId="5577B945" w:rsidR="00F62465" w:rsidRPr="009342B4" w:rsidRDefault="00F62465" w:rsidP="00F62465">
      <w:pPr>
        <w:pStyle w:val="Naslov3"/>
        <w:rPr>
          <w:rFonts w:ascii="Arial" w:hAnsi="Arial" w:cs="Arial"/>
          <w:sz w:val="22"/>
          <w:szCs w:val="22"/>
        </w:rPr>
      </w:pPr>
      <w:bookmarkStart w:id="15" w:name="_Toc17114053"/>
      <w:r w:rsidRPr="009342B4">
        <w:rPr>
          <w:rFonts w:ascii="Arial" w:hAnsi="Arial" w:cs="Arial"/>
          <w:sz w:val="22"/>
          <w:szCs w:val="22"/>
        </w:rPr>
        <w:t>2</w:t>
      </w:r>
      <w:r w:rsidR="00705BAB" w:rsidRPr="009342B4">
        <w:rPr>
          <w:rFonts w:ascii="Arial" w:hAnsi="Arial" w:cs="Arial"/>
          <w:sz w:val="22"/>
          <w:szCs w:val="22"/>
        </w:rPr>
        <w:t>.3.4 Oddaja</w:t>
      </w:r>
      <w:r w:rsidR="001D28B4" w:rsidRPr="009342B4">
        <w:rPr>
          <w:rFonts w:ascii="Arial" w:hAnsi="Arial" w:cs="Arial"/>
          <w:sz w:val="22"/>
          <w:szCs w:val="22"/>
        </w:rPr>
        <w:t xml:space="preserve"> </w:t>
      </w:r>
      <w:r w:rsidR="004234C7" w:rsidRPr="009342B4">
        <w:rPr>
          <w:rFonts w:ascii="Arial" w:hAnsi="Arial" w:cs="Arial"/>
          <w:sz w:val="22"/>
          <w:szCs w:val="22"/>
        </w:rPr>
        <w:t>socialnih in drugih posebnih storitev</w:t>
      </w:r>
      <w:bookmarkEnd w:id="15"/>
    </w:p>
    <w:p w14:paraId="17144FE9" w14:textId="77777777" w:rsidR="00854405" w:rsidRPr="00EF2D0B" w:rsidRDefault="00854405" w:rsidP="00854405">
      <w:pPr>
        <w:pStyle w:val="ZADEVA"/>
        <w:jc w:val="both"/>
        <w:rPr>
          <w:rFonts w:cs="Arial"/>
          <w:b w:val="0"/>
          <w:szCs w:val="20"/>
          <w:highlight w:val="yellow"/>
          <w:lang w:val="sl-SI"/>
        </w:rPr>
      </w:pPr>
    </w:p>
    <w:p w14:paraId="03AEF1FE" w14:textId="33BDB2C6" w:rsidR="00B54C17" w:rsidRPr="00E94653" w:rsidRDefault="00B54C17" w:rsidP="00B54C17">
      <w:pPr>
        <w:tabs>
          <w:tab w:val="left" w:pos="567"/>
          <w:tab w:val="left" w:pos="993"/>
        </w:tabs>
        <w:spacing w:line="360" w:lineRule="auto"/>
        <w:jc w:val="both"/>
        <w:rPr>
          <w:rFonts w:ascii="Arial" w:hAnsi="Arial" w:cs="Arial"/>
          <w:bCs/>
          <w:sz w:val="20"/>
          <w:szCs w:val="20"/>
        </w:rPr>
      </w:pPr>
      <w:r w:rsidRPr="00E94653">
        <w:rPr>
          <w:rFonts w:ascii="Arial" w:hAnsi="Arial" w:cs="Arial"/>
          <w:bCs/>
          <w:sz w:val="20"/>
          <w:szCs w:val="20"/>
        </w:rPr>
        <w:t xml:space="preserve">Socialne in druge posebne storitve so določene v </w:t>
      </w:r>
      <w:r w:rsidR="00F375E5" w:rsidRPr="00E94653">
        <w:rPr>
          <w:rFonts w:ascii="Arial" w:hAnsi="Arial" w:cs="Arial"/>
          <w:bCs/>
          <w:sz w:val="20"/>
          <w:szCs w:val="20"/>
        </w:rPr>
        <w:t>p</w:t>
      </w:r>
      <w:r w:rsidRPr="00E94653">
        <w:rPr>
          <w:rFonts w:ascii="Arial" w:hAnsi="Arial" w:cs="Arial"/>
          <w:bCs/>
          <w:sz w:val="20"/>
          <w:szCs w:val="20"/>
        </w:rPr>
        <w:t xml:space="preserve">rilogi XIV Direktive 2014/24/EU in </w:t>
      </w:r>
      <w:r w:rsidR="006C3494" w:rsidRPr="00E94653">
        <w:rPr>
          <w:rFonts w:ascii="Arial" w:hAnsi="Arial" w:cs="Arial"/>
          <w:bCs/>
          <w:sz w:val="20"/>
          <w:szCs w:val="20"/>
        </w:rPr>
        <w:t>p</w:t>
      </w:r>
      <w:r w:rsidRPr="00E94653">
        <w:rPr>
          <w:rFonts w:ascii="Arial" w:hAnsi="Arial" w:cs="Arial"/>
          <w:bCs/>
          <w:sz w:val="20"/>
          <w:szCs w:val="20"/>
        </w:rPr>
        <w:t xml:space="preserve">rilogi XVII Direktive 2014/25/EU. Evropska in </w:t>
      </w:r>
      <w:r w:rsidR="006C3494" w:rsidRPr="00E94653">
        <w:rPr>
          <w:rFonts w:ascii="Arial" w:hAnsi="Arial" w:cs="Arial"/>
          <w:bCs/>
          <w:sz w:val="20"/>
          <w:szCs w:val="20"/>
        </w:rPr>
        <w:t>domača</w:t>
      </w:r>
      <w:r w:rsidRPr="00E94653">
        <w:rPr>
          <w:rFonts w:ascii="Arial" w:hAnsi="Arial" w:cs="Arial"/>
          <w:bCs/>
          <w:sz w:val="20"/>
          <w:szCs w:val="20"/>
        </w:rPr>
        <w:t xml:space="preserve"> zakonodaja zato te storitve štejeta za nepr</w:t>
      </w:r>
      <w:r w:rsidR="006C3494" w:rsidRPr="00E94653">
        <w:rPr>
          <w:rFonts w:ascii="Arial" w:hAnsi="Arial" w:cs="Arial"/>
          <w:bCs/>
          <w:sz w:val="20"/>
          <w:szCs w:val="20"/>
        </w:rPr>
        <w:t>ednostne</w:t>
      </w:r>
      <w:r w:rsidRPr="00E94653">
        <w:rPr>
          <w:rFonts w:ascii="Arial" w:hAnsi="Arial" w:cs="Arial"/>
          <w:bCs/>
          <w:sz w:val="20"/>
          <w:szCs w:val="20"/>
        </w:rPr>
        <w:t xml:space="preserve"> in zanje določata </w:t>
      </w:r>
      <w:r w:rsidR="006C3494" w:rsidRPr="00E94653">
        <w:rPr>
          <w:rFonts w:ascii="Arial" w:hAnsi="Arial" w:cs="Arial"/>
          <w:bCs/>
          <w:sz w:val="20"/>
          <w:szCs w:val="20"/>
        </w:rPr>
        <w:t>prožnejšo</w:t>
      </w:r>
      <w:r w:rsidRPr="00E94653">
        <w:rPr>
          <w:rFonts w:ascii="Arial" w:hAnsi="Arial" w:cs="Arial"/>
          <w:bCs/>
          <w:sz w:val="20"/>
          <w:szCs w:val="20"/>
        </w:rPr>
        <w:t xml:space="preserve"> ureditev.</w:t>
      </w:r>
    </w:p>
    <w:p w14:paraId="69865EAF" w14:textId="3358CFF1" w:rsidR="00B54C17" w:rsidRPr="00E94653" w:rsidRDefault="00B54C17" w:rsidP="00B54C17">
      <w:pPr>
        <w:tabs>
          <w:tab w:val="left" w:pos="567"/>
          <w:tab w:val="left" w:pos="993"/>
        </w:tabs>
        <w:spacing w:line="360" w:lineRule="auto"/>
        <w:jc w:val="both"/>
        <w:rPr>
          <w:rFonts w:ascii="Arial" w:hAnsi="Arial" w:cs="Arial"/>
          <w:bCs/>
          <w:sz w:val="20"/>
          <w:szCs w:val="20"/>
        </w:rPr>
      </w:pPr>
      <w:r w:rsidRPr="00E94653">
        <w:rPr>
          <w:rFonts w:ascii="Arial" w:hAnsi="Arial" w:cs="Arial"/>
          <w:bCs/>
          <w:sz w:val="20"/>
          <w:szCs w:val="20"/>
        </w:rPr>
        <w:t xml:space="preserve">Naročniki morajo pri socialnih in drugih posebnih storitvah (v skladu z drugim odstavkom 97. člena ZJN-3) upoštevati načela javnega naročanja, določbe tega zakona glede opredelitve predmeta javnega naročila oziroma tehničnih specifikacij </w:t>
      </w:r>
      <w:r w:rsidR="00BC1956">
        <w:rPr>
          <w:rFonts w:ascii="Arial" w:hAnsi="Arial" w:cs="Arial"/>
          <w:bCs/>
          <w:sz w:val="20"/>
          <w:szCs w:val="20"/>
        </w:rPr>
        <w:t>in</w:t>
      </w:r>
      <w:r w:rsidR="00BC1956" w:rsidRPr="00E94653">
        <w:rPr>
          <w:rFonts w:ascii="Arial" w:hAnsi="Arial" w:cs="Arial"/>
          <w:bCs/>
          <w:sz w:val="20"/>
          <w:szCs w:val="20"/>
        </w:rPr>
        <w:t xml:space="preserve"> </w:t>
      </w:r>
      <w:r w:rsidRPr="00E94653">
        <w:rPr>
          <w:rFonts w:ascii="Arial" w:hAnsi="Arial" w:cs="Arial"/>
          <w:bCs/>
          <w:sz w:val="20"/>
          <w:szCs w:val="20"/>
        </w:rPr>
        <w:t>pravila za objavo obvestil ter potrebo po zagotavljanju kakovosti, stalnosti, dostopnosti, cenovne dostopnosti, razpoložljivosti in celovitosti storitev, posebne potrebe različnih skupin uporabnikov, vključno s prikrajšanimi in ranljivimi skupinami, sodelovanje in krepitev vloge uporabnikov ter inovativnost. Poleg tega lahko naročnik določi, da izbira izvajalca storitev temelji na ponudbi</w:t>
      </w:r>
      <w:r w:rsidR="006C3494" w:rsidRPr="00E94653">
        <w:rPr>
          <w:rFonts w:ascii="Arial" w:hAnsi="Arial" w:cs="Arial"/>
          <w:bCs/>
          <w:sz w:val="20"/>
          <w:szCs w:val="20"/>
        </w:rPr>
        <w:t xml:space="preserve"> z</w:t>
      </w:r>
      <w:r w:rsidRPr="00E94653">
        <w:rPr>
          <w:rFonts w:ascii="Arial" w:hAnsi="Arial" w:cs="Arial"/>
          <w:bCs/>
          <w:sz w:val="20"/>
          <w:szCs w:val="20"/>
        </w:rPr>
        <w:t xml:space="preserve"> najboljš</w:t>
      </w:r>
      <w:r w:rsidR="006C3494" w:rsidRPr="00E94653">
        <w:rPr>
          <w:rFonts w:ascii="Arial" w:hAnsi="Arial" w:cs="Arial"/>
          <w:bCs/>
          <w:sz w:val="20"/>
          <w:szCs w:val="20"/>
        </w:rPr>
        <w:t>im</w:t>
      </w:r>
      <w:r w:rsidRPr="00E94653">
        <w:rPr>
          <w:rFonts w:ascii="Arial" w:hAnsi="Arial" w:cs="Arial"/>
          <w:bCs/>
          <w:sz w:val="20"/>
          <w:szCs w:val="20"/>
        </w:rPr>
        <w:t xml:space="preserve"> razmerje</w:t>
      </w:r>
      <w:r w:rsidR="006C3494" w:rsidRPr="00E94653">
        <w:rPr>
          <w:rFonts w:ascii="Arial" w:hAnsi="Arial" w:cs="Arial"/>
          <w:bCs/>
          <w:sz w:val="20"/>
          <w:szCs w:val="20"/>
        </w:rPr>
        <w:t>m</w:t>
      </w:r>
      <w:r w:rsidRPr="00E94653">
        <w:rPr>
          <w:rFonts w:ascii="Arial" w:hAnsi="Arial" w:cs="Arial"/>
          <w:bCs/>
          <w:sz w:val="20"/>
          <w:szCs w:val="20"/>
        </w:rPr>
        <w:t xml:space="preserve"> med ceno in kakovostjo ob upoštevanju </w:t>
      </w:r>
      <w:r w:rsidR="006C3494" w:rsidRPr="00E94653">
        <w:rPr>
          <w:rFonts w:ascii="Arial" w:hAnsi="Arial" w:cs="Arial"/>
          <w:bCs/>
          <w:sz w:val="20"/>
          <w:szCs w:val="20"/>
        </w:rPr>
        <w:t>meril</w:t>
      </w:r>
      <w:r w:rsidRPr="00E94653">
        <w:rPr>
          <w:rFonts w:ascii="Arial" w:hAnsi="Arial" w:cs="Arial"/>
          <w:bCs/>
          <w:sz w:val="20"/>
          <w:szCs w:val="20"/>
        </w:rPr>
        <w:t xml:space="preserve"> kakovosti in trajnosti socialnih storitev.</w:t>
      </w:r>
    </w:p>
    <w:p w14:paraId="62EB4F5E" w14:textId="35F8EF68" w:rsidR="00B54C17" w:rsidRPr="00E94653" w:rsidRDefault="00B54C17" w:rsidP="00B54C17">
      <w:pPr>
        <w:tabs>
          <w:tab w:val="left" w:pos="567"/>
          <w:tab w:val="left" w:pos="993"/>
        </w:tabs>
        <w:spacing w:line="360" w:lineRule="auto"/>
        <w:jc w:val="both"/>
        <w:rPr>
          <w:rFonts w:ascii="Arial" w:hAnsi="Arial" w:cs="Arial"/>
          <w:bCs/>
          <w:sz w:val="20"/>
          <w:szCs w:val="20"/>
        </w:rPr>
      </w:pPr>
      <w:r w:rsidRPr="00E94653">
        <w:rPr>
          <w:rFonts w:ascii="Arial" w:hAnsi="Arial" w:cs="Arial"/>
          <w:bCs/>
          <w:sz w:val="20"/>
          <w:szCs w:val="20"/>
        </w:rPr>
        <w:lastRenderedPageBreak/>
        <w:t>ZJN-3 mejne vrednosti za uporabo zakona določa v 21. členu. Uporaba ZJN-3 je za oddajo</w:t>
      </w:r>
      <w:r w:rsidR="006C3494" w:rsidRPr="00E94653">
        <w:rPr>
          <w:rFonts w:ascii="Arial" w:hAnsi="Arial" w:cs="Arial"/>
          <w:bCs/>
          <w:sz w:val="20"/>
          <w:szCs w:val="20"/>
        </w:rPr>
        <w:t xml:space="preserve"> ponudb za</w:t>
      </w:r>
      <w:r w:rsidRPr="00E94653">
        <w:rPr>
          <w:rFonts w:ascii="Arial" w:hAnsi="Arial" w:cs="Arial"/>
          <w:bCs/>
          <w:sz w:val="20"/>
          <w:szCs w:val="20"/>
        </w:rPr>
        <w:t xml:space="preserve"> socialn</w:t>
      </w:r>
      <w:r w:rsidR="006C3494" w:rsidRPr="00E94653">
        <w:rPr>
          <w:rFonts w:ascii="Arial" w:hAnsi="Arial" w:cs="Arial"/>
          <w:bCs/>
          <w:sz w:val="20"/>
          <w:szCs w:val="20"/>
        </w:rPr>
        <w:t>e</w:t>
      </w:r>
      <w:r w:rsidRPr="00E94653">
        <w:rPr>
          <w:rFonts w:ascii="Arial" w:hAnsi="Arial" w:cs="Arial"/>
          <w:bCs/>
          <w:sz w:val="20"/>
          <w:szCs w:val="20"/>
        </w:rPr>
        <w:t xml:space="preserve"> in drug</w:t>
      </w:r>
      <w:r w:rsidR="006C3494" w:rsidRPr="00E94653">
        <w:rPr>
          <w:rFonts w:ascii="Arial" w:hAnsi="Arial" w:cs="Arial"/>
          <w:bCs/>
          <w:sz w:val="20"/>
          <w:szCs w:val="20"/>
        </w:rPr>
        <w:t>e</w:t>
      </w:r>
      <w:r w:rsidRPr="00E94653">
        <w:rPr>
          <w:rFonts w:ascii="Arial" w:hAnsi="Arial" w:cs="Arial"/>
          <w:bCs/>
          <w:sz w:val="20"/>
          <w:szCs w:val="20"/>
        </w:rPr>
        <w:t xml:space="preserve"> posebn</w:t>
      </w:r>
      <w:r w:rsidR="006C3494" w:rsidRPr="00E94653">
        <w:rPr>
          <w:rFonts w:ascii="Arial" w:hAnsi="Arial" w:cs="Arial"/>
          <w:bCs/>
          <w:sz w:val="20"/>
          <w:szCs w:val="20"/>
        </w:rPr>
        <w:t>e</w:t>
      </w:r>
      <w:r w:rsidRPr="00E94653">
        <w:rPr>
          <w:rFonts w:ascii="Arial" w:hAnsi="Arial" w:cs="Arial"/>
          <w:bCs/>
          <w:sz w:val="20"/>
          <w:szCs w:val="20"/>
        </w:rPr>
        <w:t xml:space="preserve"> storit</w:t>
      </w:r>
      <w:r w:rsidR="006C3494" w:rsidRPr="00E94653">
        <w:rPr>
          <w:rFonts w:ascii="Arial" w:hAnsi="Arial" w:cs="Arial"/>
          <w:bCs/>
          <w:sz w:val="20"/>
          <w:szCs w:val="20"/>
        </w:rPr>
        <w:t>ve</w:t>
      </w:r>
      <w:r w:rsidRPr="00E94653">
        <w:rPr>
          <w:rFonts w:ascii="Arial" w:hAnsi="Arial" w:cs="Arial"/>
          <w:bCs/>
          <w:sz w:val="20"/>
          <w:szCs w:val="20"/>
        </w:rPr>
        <w:t xml:space="preserve"> obvezna samo, kadar ocenjena vrednost teh storitev presega določene mejne vrednosti, tj. 750.000 EUR na splošnem in 1.000.000 EUR na infrastrukturnem področju. Naročniki morajo pri oddaji tovrstnih storitev upoštevati le temeljna načela javnega naročanja, določbe zakona glede opredelitve predmeta javnega naročila oziroma tehničnih specifikacij </w:t>
      </w:r>
      <w:r w:rsidR="00A23AB7" w:rsidRPr="00E94653">
        <w:rPr>
          <w:rFonts w:ascii="Arial" w:hAnsi="Arial" w:cs="Arial"/>
          <w:bCs/>
          <w:sz w:val="20"/>
          <w:szCs w:val="20"/>
        </w:rPr>
        <w:t>in</w:t>
      </w:r>
      <w:r w:rsidRPr="00E94653">
        <w:rPr>
          <w:rFonts w:ascii="Arial" w:hAnsi="Arial" w:cs="Arial"/>
          <w:bCs/>
          <w:sz w:val="20"/>
          <w:szCs w:val="20"/>
        </w:rPr>
        <w:t xml:space="preserve"> pravila glede objave javnih naročil. Dodatno pa je mogoče upoštevati tudi druge vidike konkretnega naročila, kot so kakovost, stalnost, celovitost storitev, posebne potrebe uporabnikov ali inovativnost, kar omogoča približevanje ponujenih storitev potrebam končnih uporabnikov predmetnih storitev. Za naročila socialnih in drugih posebnih storitev, katerih vrednost je nižja od zgoraj omenjenih vrednosti, pa morajo naročniki upoštevati določbe glede </w:t>
      </w:r>
      <w:r w:rsidR="00BC1956">
        <w:rPr>
          <w:rFonts w:ascii="Arial" w:hAnsi="Arial" w:cs="Arial"/>
          <w:bCs/>
          <w:sz w:val="20"/>
          <w:szCs w:val="20"/>
        </w:rPr>
        <w:t>tako imenovanih</w:t>
      </w:r>
      <w:r w:rsidRPr="00E94653">
        <w:rPr>
          <w:rFonts w:ascii="Arial" w:hAnsi="Arial" w:cs="Arial"/>
          <w:bCs/>
          <w:sz w:val="20"/>
          <w:szCs w:val="20"/>
        </w:rPr>
        <w:t xml:space="preserve"> evidenčnih javnih naročil. Glede oddaje evidenčnih naročil po ZJN-3 morajo naročniki upoštevati določbe, ki se nanašajo na evidenčna naročila, in sicer drugi odstavek 21. člena ZJN-3.</w:t>
      </w:r>
    </w:p>
    <w:p w14:paraId="412A49DF" w14:textId="2A0546BE" w:rsidR="00B54C17" w:rsidRPr="009342B4" w:rsidRDefault="00BC1956" w:rsidP="00B54C17">
      <w:pPr>
        <w:tabs>
          <w:tab w:val="left" w:pos="567"/>
          <w:tab w:val="left" w:pos="993"/>
        </w:tabs>
        <w:spacing w:line="360" w:lineRule="auto"/>
        <w:jc w:val="both"/>
        <w:rPr>
          <w:rFonts w:ascii="Arial" w:hAnsi="Arial" w:cs="Arial"/>
          <w:bCs/>
          <w:sz w:val="20"/>
          <w:szCs w:val="20"/>
        </w:rPr>
      </w:pPr>
      <w:r>
        <w:rPr>
          <w:rFonts w:ascii="Arial" w:hAnsi="Arial" w:cs="Arial"/>
          <w:bCs/>
          <w:sz w:val="20"/>
          <w:szCs w:val="20"/>
        </w:rPr>
        <w:t>Leta</w:t>
      </w:r>
      <w:r w:rsidR="00B54C17" w:rsidRPr="009342B4">
        <w:rPr>
          <w:rFonts w:ascii="Arial" w:hAnsi="Arial" w:cs="Arial"/>
          <w:bCs/>
          <w:sz w:val="20"/>
          <w:szCs w:val="20"/>
        </w:rPr>
        <w:t xml:space="preserve"> 201</w:t>
      </w:r>
      <w:r w:rsidR="009342B4" w:rsidRPr="009342B4">
        <w:rPr>
          <w:rFonts w:ascii="Arial" w:hAnsi="Arial" w:cs="Arial"/>
          <w:bCs/>
          <w:sz w:val="20"/>
          <w:szCs w:val="20"/>
        </w:rPr>
        <w:t>8</w:t>
      </w:r>
      <w:r w:rsidR="00B54C17" w:rsidRPr="009342B4">
        <w:rPr>
          <w:rFonts w:ascii="Arial" w:hAnsi="Arial" w:cs="Arial"/>
          <w:bCs/>
          <w:sz w:val="20"/>
          <w:szCs w:val="20"/>
        </w:rPr>
        <w:t xml:space="preserve"> so naročniki oddali </w:t>
      </w:r>
      <w:r w:rsidR="009342B4" w:rsidRPr="009342B4">
        <w:rPr>
          <w:rFonts w:ascii="Arial" w:hAnsi="Arial" w:cs="Arial"/>
          <w:bCs/>
          <w:sz w:val="20"/>
          <w:szCs w:val="20"/>
        </w:rPr>
        <w:t>dve javni naročili</w:t>
      </w:r>
      <w:r w:rsidR="00B54C17" w:rsidRPr="009342B4">
        <w:rPr>
          <w:rFonts w:ascii="Arial" w:hAnsi="Arial" w:cs="Arial"/>
          <w:bCs/>
          <w:sz w:val="20"/>
          <w:szCs w:val="20"/>
        </w:rPr>
        <w:t xml:space="preserve"> s področja socialnih in drugih posebnih storitev.</w:t>
      </w:r>
    </w:p>
    <w:p w14:paraId="2695E3D5" w14:textId="279B7717" w:rsidR="004B5894" w:rsidRPr="00BD5CEC" w:rsidRDefault="004B5894" w:rsidP="008A61FD">
      <w:pPr>
        <w:spacing w:before="120" w:after="120" w:line="240" w:lineRule="auto"/>
        <w:jc w:val="both"/>
        <w:rPr>
          <w:rFonts w:ascii="Arial" w:hAnsi="Arial" w:cs="Arial"/>
          <w:sz w:val="20"/>
        </w:rPr>
      </w:pPr>
      <w:r w:rsidRPr="00BD5CEC">
        <w:rPr>
          <w:rFonts w:ascii="Arial" w:hAnsi="Arial" w:cs="Arial"/>
          <w:sz w:val="20"/>
        </w:rPr>
        <w:t xml:space="preserve">Preglednica </w:t>
      </w:r>
      <w:r w:rsidR="00E430F6" w:rsidRPr="00BD5CEC">
        <w:rPr>
          <w:rFonts w:ascii="Arial" w:hAnsi="Arial" w:cs="Arial"/>
          <w:sz w:val="20"/>
        </w:rPr>
        <w:t>2</w:t>
      </w:r>
      <w:r w:rsidR="00EB4423">
        <w:rPr>
          <w:rFonts w:ascii="Arial" w:hAnsi="Arial" w:cs="Arial"/>
          <w:sz w:val="20"/>
        </w:rPr>
        <w:t>0</w:t>
      </w:r>
      <w:r w:rsidR="00E430F6" w:rsidRPr="00BD5CEC">
        <w:rPr>
          <w:rFonts w:ascii="Arial" w:hAnsi="Arial" w:cs="Arial"/>
          <w:sz w:val="20"/>
        </w:rPr>
        <w:t>:</w:t>
      </w:r>
      <w:r w:rsidRPr="00BD5CEC">
        <w:rPr>
          <w:rFonts w:ascii="Arial" w:hAnsi="Arial" w:cs="Arial"/>
          <w:sz w:val="20"/>
        </w:rPr>
        <w:t xml:space="preserve"> Število, vrednost in deleži naročil </w:t>
      </w:r>
      <w:r w:rsidR="00016C2E" w:rsidRPr="00BD5CEC">
        <w:rPr>
          <w:rFonts w:ascii="Arial" w:hAnsi="Arial" w:cs="Arial"/>
          <w:bCs/>
          <w:sz w:val="20"/>
          <w:szCs w:val="20"/>
        </w:rPr>
        <w:t>s področja socialnih in drugih posebnih storitev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3"/>
        <w:gridCol w:w="1417"/>
        <w:gridCol w:w="1560"/>
        <w:gridCol w:w="1269"/>
      </w:tblGrid>
      <w:tr w:rsidR="00AA2294" w:rsidRPr="009342B4" w14:paraId="699247CC" w14:textId="77777777" w:rsidTr="000A3944">
        <w:trPr>
          <w:trHeight w:val="720"/>
        </w:trPr>
        <w:tc>
          <w:tcPr>
            <w:tcW w:w="2109" w:type="pct"/>
            <w:shd w:val="clear" w:color="000000" w:fill="EDEDED"/>
            <w:vAlign w:val="center"/>
            <w:hideMark/>
          </w:tcPr>
          <w:p w14:paraId="08ACCA54" w14:textId="0F068DEF" w:rsidR="00AA2294" w:rsidRPr="009342B4" w:rsidRDefault="00A23AB7" w:rsidP="00AA2294">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Vrsta</w:t>
            </w:r>
            <w:r w:rsidR="00AA2294" w:rsidRPr="009342B4">
              <w:rPr>
                <w:rFonts w:ascii="Arial" w:eastAsia="Times New Roman" w:hAnsi="Arial" w:cs="Arial"/>
                <w:color w:val="000000"/>
                <w:sz w:val="18"/>
                <w:szCs w:val="18"/>
                <w:lang w:eastAsia="sl-SI"/>
              </w:rPr>
              <w:t xml:space="preserve"> storitve</w:t>
            </w:r>
          </w:p>
        </w:tc>
        <w:tc>
          <w:tcPr>
            <w:tcW w:w="548" w:type="pct"/>
            <w:shd w:val="clear" w:color="000000" w:fill="EDEDED"/>
            <w:vAlign w:val="center"/>
            <w:hideMark/>
          </w:tcPr>
          <w:p w14:paraId="67DA9E21" w14:textId="77777777" w:rsidR="00AA2294" w:rsidRPr="009342B4" w:rsidRDefault="00AA2294" w:rsidP="00AA2294">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Št. naročil</w:t>
            </w:r>
          </w:p>
        </w:tc>
        <w:tc>
          <w:tcPr>
            <w:tcW w:w="782" w:type="pct"/>
            <w:shd w:val="clear" w:color="000000" w:fill="EDEDED"/>
            <w:vAlign w:val="center"/>
            <w:hideMark/>
          </w:tcPr>
          <w:p w14:paraId="48F138DF" w14:textId="77777777" w:rsidR="00AA2294" w:rsidRPr="009342B4" w:rsidRDefault="00AA2294" w:rsidP="00AA2294">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Pogodbena vrednost</w:t>
            </w:r>
          </w:p>
        </w:tc>
        <w:tc>
          <w:tcPr>
            <w:tcW w:w="861" w:type="pct"/>
            <w:shd w:val="clear" w:color="000000" w:fill="EDEDED"/>
            <w:vAlign w:val="center"/>
            <w:hideMark/>
          </w:tcPr>
          <w:p w14:paraId="691F9787" w14:textId="77777777" w:rsidR="00AA2294" w:rsidRPr="009342B4" w:rsidRDefault="00AA2294" w:rsidP="00AA2294">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Delež v št. naročil</w:t>
            </w:r>
          </w:p>
        </w:tc>
        <w:tc>
          <w:tcPr>
            <w:tcW w:w="700" w:type="pct"/>
            <w:shd w:val="clear" w:color="000000" w:fill="EDEDED"/>
            <w:vAlign w:val="center"/>
            <w:hideMark/>
          </w:tcPr>
          <w:p w14:paraId="7C05120C" w14:textId="77777777" w:rsidR="00AA2294" w:rsidRPr="009342B4" w:rsidRDefault="00AA2294" w:rsidP="00AA2294">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Delež v vrednosti</w:t>
            </w:r>
          </w:p>
        </w:tc>
      </w:tr>
      <w:tr w:rsidR="009342B4" w:rsidRPr="009342B4" w14:paraId="741723B1" w14:textId="77777777" w:rsidTr="000A3944">
        <w:trPr>
          <w:trHeight w:val="300"/>
        </w:trPr>
        <w:tc>
          <w:tcPr>
            <w:tcW w:w="2109" w:type="pct"/>
            <w:shd w:val="clear" w:color="auto" w:fill="auto"/>
            <w:noWrap/>
            <w:vAlign w:val="center"/>
            <w:hideMark/>
          </w:tcPr>
          <w:p w14:paraId="2BD95D9D" w14:textId="77777777" w:rsidR="009342B4" w:rsidRPr="009342B4" w:rsidRDefault="009342B4" w:rsidP="009342B4">
            <w:pPr>
              <w:spacing w:after="0" w:line="240" w:lineRule="auto"/>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Zdravstvene, socialne in sorodne storitve</w:t>
            </w:r>
          </w:p>
        </w:tc>
        <w:tc>
          <w:tcPr>
            <w:tcW w:w="548" w:type="pct"/>
            <w:shd w:val="clear" w:color="auto" w:fill="auto"/>
            <w:noWrap/>
            <w:vAlign w:val="center"/>
            <w:hideMark/>
          </w:tcPr>
          <w:p w14:paraId="4CE91737" w14:textId="6A61C7B0"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w:t>
            </w:r>
          </w:p>
        </w:tc>
        <w:tc>
          <w:tcPr>
            <w:tcW w:w="782" w:type="pct"/>
            <w:shd w:val="clear" w:color="auto" w:fill="auto"/>
            <w:noWrap/>
            <w:vAlign w:val="center"/>
            <w:hideMark/>
          </w:tcPr>
          <w:p w14:paraId="252C8840" w14:textId="36BD5675"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133.200</w:t>
            </w:r>
          </w:p>
        </w:tc>
        <w:tc>
          <w:tcPr>
            <w:tcW w:w="861" w:type="pct"/>
            <w:shd w:val="clear" w:color="auto" w:fill="auto"/>
            <w:noWrap/>
            <w:vAlign w:val="center"/>
            <w:hideMark/>
          </w:tcPr>
          <w:p w14:paraId="3873CEF9" w14:textId="10A6C642"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50,00 %</w:t>
            </w:r>
          </w:p>
        </w:tc>
        <w:tc>
          <w:tcPr>
            <w:tcW w:w="700" w:type="pct"/>
            <w:shd w:val="clear" w:color="auto" w:fill="auto"/>
            <w:noWrap/>
            <w:vAlign w:val="center"/>
            <w:hideMark/>
          </w:tcPr>
          <w:p w14:paraId="4DD80A7C" w14:textId="7C8BDD29"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hAnsi="Arial" w:cs="Arial"/>
                <w:sz w:val="18"/>
                <w:szCs w:val="18"/>
              </w:rPr>
              <w:t>9,96 %</w:t>
            </w:r>
          </w:p>
        </w:tc>
      </w:tr>
      <w:tr w:rsidR="009342B4" w:rsidRPr="009342B4" w14:paraId="1DB45CB4" w14:textId="77777777" w:rsidTr="000A3944">
        <w:trPr>
          <w:trHeight w:val="300"/>
        </w:trPr>
        <w:tc>
          <w:tcPr>
            <w:tcW w:w="2109" w:type="pct"/>
            <w:shd w:val="clear" w:color="auto" w:fill="auto"/>
            <w:noWrap/>
            <w:vAlign w:val="center"/>
            <w:hideMark/>
          </w:tcPr>
          <w:p w14:paraId="36C125AD" w14:textId="77777777" w:rsidR="009342B4" w:rsidRPr="009342B4" w:rsidRDefault="009342B4" w:rsidP="009342B4">
            <w:pPr>
              <w:spacing w:after="0" w:line="240" w:lineRule="auto"/>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Storitve hotelov in restavracij</w:t>
            </w:r>
          </w:p>
        </w:tc>
        <w:tc>
          <w:tcPr>
            <w:tcW w:w="548" w:type="pct"/>
            <w:shd w:val="clear" w:color="auto" w:fill="auto"/>
            <w:noWrap/>
            <w:vAlign w:val="center"/>
            <w:hideMark/>
          </w:tcPr>
          <w:p w14:paraId="2ACF38BD" w14:textId="77777777"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w:t>
            </w:r>
          </w:p>
        </w:tc>
        <w:tc>
          <w:tcPr>
            <w:tcW w:w="782" w:type="pct"/>
            <w:shd w:val="clear" w:color="auto" w:fill="auto"/>
            <w:noWrap/>
            <w:vAlign w:val="center"/>
            <w:hideMark/>
          </w:tcPr>
          <w:p w14:paraId="6AC06ACC" w14:textId="01292AEF"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1.204.685</w:t>
            </w:r>
          </w:p>
        </w:tc>
        <w:tc>
          <w:tcPr>
            <w:tcW w:w="861" w:type="pct"/>
            <w:shd w:val="clear" w:color="auto" w:fill="auto"/>
            <w:noWrap/>
            <w:vAlign w:val="center"/>
            <w:hideMark/>
          </w:tcPr>
          <w:p w14:paraId="72CE0087" w14:textId="133FB3AE"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50,00 %</w:t>
            </w:r>
          </w:p>
        </w:tc>
        <w:tc>
          <w:tcPr>
            <w:tcW w:w="700" w:type="pct"/>
            <w:shd w:val="clear" w:color="auto" w:fill="auto"/>
            <w:noWrap/>
            <w:vAlign w:val="center"/>
            <w:hideMark/>
          </w:tcPr>
          <w:p w14:paraId="63F734E0" w14:textId="1CB0767E" w:rsidR="009342B4" w:rsidRPr="009342B4" w:rsidRDefault="009342B4" w:rsidP="009342B4">
            <w:pPr>
              <w:spacing w:after="0" w:line="240" w:lineRule="auto"/>
              <w:jc w:val="right"/>
              <w:rPr>
                <w:rFonts w:ascii="Arial" w:eastAsia="Times New Roman" w:hAnsi="Arial" w:cs="Arial"/>
                <w:color w:val="000000"/>
                <w:sz w:val="18"/>
                <w:szCs w:val="18"/>
                <w:lang w:eastAsia="sl-SI"/>
              </w:rPr>
            </w:pPr>
            <w:r w:rsidRPr="009342B4">
              <w:rPr>
                <w:rFonts w:ascii="Arial" w:hAnsi="Arial" w:cs="Arial"/>
                <w:sz w:val="18"/>
                <w:szCs w:val="18"/>
              </w:rPr>
              <w:t>90,04 %</w:t>
            </w:r>
          </w:p>
        </w:tc>
      </w:tr>
      <w:tr w:rsidR="00AA2294" w:rsidRPr="009342B4" w14:paraId="18F8704B" w14:textId="77777777" w:rsidTr="000A3944">
        <w:trPr>
          <w:trHeight w:val="300"/>
        </w:trPr>
        <w:tc>
          <w:tcPr>
            <w:tcW w:w="2109" w:type="pct"/>
            <w:shd w:val="clear" w:color="auto" w:fill="E7E6E6" w:themeFill="background2"/>
            <w:noWrap/>
            <w:vAlign w:val="center"/>
            <w:hideMark/>
          </w:tcPr>
          <w:p w14:paraId="2B552B60" w14:textId="77777777" w:rsidR="00AA2294" w:rsidRPr="009342B4" w:rsidRDefault="00AA2294" w:rsidP="00AA2294">
            <w:pPr>
              <w:spacing w:after="0" w:line="240" w:lineRule="auto"/>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Skupaj</w:t>
            </w:r>
          </w:p>
        </w:tc>
        <w:tc>
          <w:tcPr>
            <w:tcW w:w="548" w:type="pct"/>
            <w:shd w:val="clear" w:color="auto" w:fill="E7E6E6" w:themeFill="background2"/>
            <w:noWrap/>
            <w:vAlign w:val="center"/>
            <w:hideMark/>
          </w:tcPr>
          <w:p w14:paraId="7D6DCE60" w14:textId="7B375076" w:rsidR="00AA2294" w:rsidRPr="009342B4" w:rsidRDefault="00BD5CEC" w:rsidP="009342B4">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2</w:t>
            </w:r>
          </w:p>
        </w:tc>
        <w:tc>
          <w:tcPr>
            <w:tcW w:w="782" w:type="pct"/>
            <w:shd w:val="clear" w:color="auto" w:fill="E7E6E6" w:themeFill="background2"/>
            <w:noWrap/>
            <w:vAlign w:val="center"/>
            <w:hideMark/>
          </w:tcPr>
          <w:p w14:paraId="7893242B" w14:textId="6556F1F7" w:rsidR="00AA2294" w:rsidRPr="009342B4" w:rsidRDefault="009342B4" w:rsidP="009342B4">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1.337.885</w:t>
            </w:r>
          </w:p>
        </w:tc>
        <w:tc>
          <w:tcPr>
            <w:tcW w:w="861" w:type="pct"/>
            <w:shd w:val="clear" w:color="auto" w:fill="E7E6E6" w:themeFill="background2"/>
            <w:noWrap/>
            <w:vAlign w:val="center"/>
            <w:hideMark/>
          </w:tcPr>
          <w:p w14:paraId="3FDF8A05" w14:textId="1E8F4FF3" w:rsidR="00AA2294" w:rsidRPr="009342B4" w:rsidRDefault="00AA2294" w:rsidP="009342B4">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100,00 %</w:t>
            </w:r>
          </w:p>
        </w:tc>
        <w:tc>
          <w:tcPr>
            <w:tcW w:w="700" w:type="pct"/>
            <w:shd w:val="clear" w:color="auto" w:fill="E7E6E6" w:themeFill="background2"/>
            <w:noWrap/>
            <w:vAlign w:val="center"/>
            <w:hideMark/>
          </w:tcPr>
          <w:p w14:paraId="7DBEBA27" w14:textId="04A59C97" w:rsidR="00AA2294" w:rsidRPr="009342B4" w:rsidRDefault="00AA2294" w:rsidP="009342B4">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100,00 %</w:t>
            </w:r>
          </w:p>
        </w:tc>
      </w:tr>
    </w:tbl>
    <w:p w14:paraId="7CDBB5D3" w14:textId="77777777" w:rsidR="003156F5" w:rsidRPr="00B82014" w:rsidRDefault="003156F5" w:rsidP="003156F5">
      <w:pPr>
        <w:spacing w:after="0" w:line="240" w:lineRule="auto"/>
        <w:jc w:val="center"/>
        <w:rPr>
          <w:rFonts w:ascii="Arial" w:hAnsi="Arial" w:cs="Arial"/>
          <w:sz w:val="18"/>
        </w:rPr>
      </w:pPr>
    </w:p>
    <w:p w14:paraId="72A10205" w14:textId="4AFFE793" w:rsidR="004B5894" w:rsidRDefault="004B5894" w:rsidP="003156F5">
      <w:pPr>
        <w:spacing w:after="0" w:line="240" w:lineRule="auto"/>
        <w:jc w:val="center"/>
        <w:rPr>
          <w:rFonts w:ascii="Arial" w:hAnsi="Arial" w:cs="Arial"/>
          <w:sz w:val="18"/>
        </w:rPr>
      </w:pPr>
      <w:r w:rsidRPr="00B82014">
        <w:rPr>
          <w:rFonts w:ascii="Arial" w:hAnsi="Arial" w:cs="Arial"/>
          <w:sz w:val="18"/>
        </w:rPr>
        <w:t>Vir: Statistični podatki o javnih naročili</w:t>
      </w:r>
      <w:r w:rsidR="00792229" w:rsidRPr="00B82014">
        <w:rPr>
          <w:rFonts w:ascii="Arial" w:hAnsi="Arial" w:cs="Arial"/>
          <w:sz w:val="18"/>
        </w:rPr>
        <w:t>h, oddanih v letu 201</w:t>
      </w:r>
      <w:r w:rsidR="00B82014" w:rsidRPr="00B82014">
        <w:rPr>
          <w:rFonts w:ascii="Arial" w:hAnsi="Arial" w:cs="Arial"/>
          <w:sz w:val="18"/>
        </w:rPr>
        <w:t>8</w:t>
      </w:r>
    </w:p>
    <w:p w14:paraId="5663BDC7" w14:textId="404231AD" w:rsidR="005732EF" w:rsidRDefault="005732EF" w:rsidP="003156F5">
      <w:pPr>
        <w:spacing w:after="0" w:line="240" w:lineRule="auto"/>
        <w:jc w:val="center"/>
        <w:rPr>
          <w:rFonts w:ascii="Arial" w:hAnsi="Arial" w:cs="Arial"/>
          <w:sz w:val="18"/>
        </w:rPr>
      </w:pPr>
    </w:p>
    <w:p w14:paraId="4678A119" w14:textId="77777777" w:rsidR="005732EF" w:rsidRPr="00B82014" w:rsidRDefault="005732EF" w:rsidP="003156F5">
      <w:pPr>
        <w:spacing w:after="0" w:line="240" w:lineRule="auto"/>
        <w:jc w:val="center"/>
        <w:rPr>
          <w:rFonts w:ascii="Arial" w:hAnsi="Arial" w:cs="Arial"/>
          <w:sz w:val="18"/>
        </w:rPr>
      </w:pPr>
    </w:p>
    <w:p w14:paraId="1464066E" w14:textId="7329D184" w:rsidR="002108C5" w:rsidRPr="00BD6B2E" w:rsidRDefault="002108C5" w:rsidP="002108C5">
      <w:pPr>
        <w:pStyle w:val="Naslov3"/>
        <w:rPr>
          <w:rFonts w:ascii="Arial" w:hAnsi="Arial" w:cs="Arial"/>
          <w:sz w:val="22"/>
          <w:szCs w:val="22"/>
        </w:rPr>
      </w:pPr>
      <w:bookmarkStart w:id="16" w:name="_Toc17114054"/>
      <w:r w:rsidRPr="00BD6B2E">
        <w:rPr>
          <w:rFonts w:ascii="Arial" w:hAnsi="Arial" w:cs="Arial"/>
          <w:sz w:val="22"/>
          <w:szCs w:val="22"/>
        </w:rPr>
        <w:t>2.3.5 Okvirni sporazumi</w:t>
      </w:r>
      <w:bookmarkEnd w:id="16"/>
    </w:p>
    <w:p w14:paraId="5C5777E3" w14:textId="77777777" w:rsidR="00854405" w:rsidRPr="00EF2D0B" w:rsidRDefault="00854405" w:rsidP="00854405">
      <w:pPr>
        <w:pStyle w:val="ZADEVA"/>
        <w:jc w:val="both"/>
        <w:rPr>
          <w:rFonts w:cs="Arial"/>
          <w:b w:val="0"/>
          <w:szCs w:val="20"/>
          <w:highlight w:val="yellow"/>
          <w:lang w:val="sl-SI"/>
        </w:rPr>
      </w:pPr>
    </w:p>
    <w:p w14:paraId="4C109D37" w14:textId="27C4855D" w:rsidR="00492EE8" w:rsidRPr="00193C03" w:rsidRDefault="00492EE8" w:rsidP="00492EE8">
      <w:pPr>
        <w:spacing w:line="360" w:lineRule="auto"/>
        <w:jc w:val="both"/>
        <w:rPr>
          <w:rFonts w:ascii="Arial" w:hAnsi="Arial" w:cs="Arial"/>
          <w:kern w:val="3"/>
          <w:sz w:val="20"/>
          <w:szCs w:val="20"/>
        </w:rPr>
      </w:pPr>
      <w:r w:rsidRPr="00193C03">
        <w:rPr>
          <w:rFonts w:ascii="Arial" w:hAnsi="Arial" w:cs="Arial"/>
          <w:kern w:val="3"/>
          <w:sz w:val="20"/>
          <w:szCs w:val="20"/>
        </w:rPr>
        <w:t xml:space="preserve">Naročniki lahko okvirni sporazum sklenejo na podlagi izvedenega postopka javnega naročanja. </w:t>
      </w:r>
      <w:r w:rsidR="008D4C98" w:rsidRPr="00193C03">
        <w:rPr>
          <w:rFonts w:ascii="Arial" w:hAnsi="Arial" w:cs="Arial"/>
          <w:kern w:val="3"/>
          <w:sz w:val="20"/>
          <w:szCs w:val="20"/>
        </w:rPr>
        <w:t>S</w:t>
      </w:r>
      <w:r w:rsidRPr="00193C03">
        <w:rPr>
          <w:rFonts w:ascii="Arial" w:hAnsi="Arial" w:cs="Arial"/>
          <w:kern w:val="3"/>
          <w:sz w:val="20"/>
          <w:szCs w:val="20"/>
        </w:rPr>
        <w:t xml:space="preserve">klenejo </w:t>
      </w:r>
      <w:r w:rsidR="008D4C98" w:rsidRPr="00193C03">
        <w:rPr>
          <w:rFonts w:ascii="Arial" w:hAnsi="Arial" w:cs="Arial"/>
          <w:kern w:val="3"/>
          <w:sz w:val="20"/>
          <w:szCs w:val="20"/>
        </w:rPr>
        <w:t>ga lahko</w:t>
      </w:r>
      <w:r w:rsidRPr="00193C03">
        <w:rPr>
          <w:rFonts w:ascii="Arial" w:hAnsi="Arial" w:cs="Arial"/>
          <w:kern w:val="3"/>
          <w:sz w:val="20"/>
          <w:szCs w:val="20"/>
        </w:rPr>
        <w:t xml:space="preserve"> z </w:t>
      </w:r>
      <w:r w:rsidR="00A23AB7" w:rsidRPr="00193C03">
        <w:rPr>
          <w:rFonts w:ascii="Arial" w:hAnsi="Arial" w:cs="Arial"/>
          <w:kern w:val="3"/>
          <w:sz w:val="20"/>
          <w:szCs w:val="20"/>
        </w:rPr>
        <w:t>gospodarskim subjektom</w:t>
      </w:r>
      <w:r w:rsidRPr="00193C03">
        <w:rPr>
          <w:rFonts w:ascii="Arial" w:hAnsi="Arial" w:cs="Arial"/>
          <w:kern w:val="3"/>
          <w:sz w:val="20"/>
          <w:szCs w:val="20"/>
        </w:rPr>
        <w:t xml:space="preserve"> ali več gospodarskimi subjekti. Naročila na podlagi okvirnega sporazuma z enim gospodarskim subjektom oddajo v skladu s pogoji iz okvirnega sporazuma. Okvirni sporazumi, ki so sklenjeni z več gospodarskimi subjekti</w:t>
      </w:r>
      <w:r w:rsidR="008D4C98" w:rsidRPr="00193C03">
        <w:rPr>
          <w:rFonts w:ascii="Arial" w:hAnsi="Arial" w:cs="Arial"/>
          <w:kern w:val="3"/>
          <w:sz w:val="20"/>
          <w:szCs w:val="20"/>
        </w:rPr>
        <w:t>,</w:t>
      </w:r>
      <w:r w:rsidRPr="00193C03">
        <w:rPr>
          <w:rFonts w:ascii="Arial" w:hAnsi="Arial" w:cs="Arial"/>
          <w:kern w:val="3"/>
          <w:sz w:val="20"/>
          <w:szCs w:val="20"/>
        </w:rPr>
        <w:t xml:space="preserve"> se izvajajo:</w:t>
      </w:r>
    </w:p>
    <w:p w14:paraId="346C265D" w14:textId="77777777" w:rsidR="00492EE8" w:rsidRPr="00193C03" w:rsidRDefault="00492EE8" w:rsidP="007C1875">
      <w:pPr>
        <w:pStyle w:val="Odstavekseznama"/>
        <w:numPr>
          <w:ilvl w:val="0"/>
          <w:numId w:val="20"/>
        </w:numPr>
        <w:spacing w:line="360" w:lineRule="auto"/>
        <w:rPr>
          <w:rFonts w:cs="Arial"/>
          <w:kern w:val="3"/>
          <w:sz w:val="20"/>
          <w:szCs w:val="20"/>
        </w:rPr>
      </w:pPr>
      <w:r w:rsidRPr="00193C03">
        <w:rPr>
          <w:rFonts w:cs="Arial"/>
          <w:kern w:val="3"/>
          <w:sz w:val="20"/>
          <w:szCs w:val="20"/>
        </w:rPr>
        <w:t xml:space="preserve">na podlagi pogojev iz okvirnega sporazuma in brez ponovnega odpiranja konkurence, če sporazum določa vse pogoje, </w:t>
      </w:r>
    </w:p>
    <w:p w14:paraId="3408A064" w14:textId="625C5224" w:rsidR="00492EE8" w:rsidRPr="00193C03" w:rsidRDefault="00492EE8" w:rsidP="007C1875">
      <w:pPr>
        <w:pStyle w:val="Odstavekseznama"/>
        <w:numPr>
          <w:ilvl w:val="0"/>
          <w:numId w:val="20"/>
        </w:numPr>
        <w:spacing w:line="360" w:lineRule="auto"/>
        <w:rPr>
          <w:rFonts w:cs="Arial"/>
          <w:kern w:val="3"/>
          <w:sz w:val="20"/>
          <w:szCs w:val="20"/>
        </w:rPr>
      </w:pPr>
      <w:r w:rsidRPr="00193C03">
        <w:rPr>
          <w:rFonts w:cs="Arial"/>
          <w:kern w:val="3"/>
          <w:sz w:val="20"/>
          <w:szCs w:val="20"/>
        </w:rPr>
        <w:t>s ponovnim odpiranjem konkurence med gospodarskimi subjekti, ki so podpisniki sporazuma, če ta ne vključuje vseh pogojev,</w:t>
      </w:r>
    </w:p>
    <w:p w14:paraId="49FDF7AA" w14:textId="77777777" w:rsidR="00206175" w:rsidRPr="00193C03" w:rsidRDefault="00492EE8" w:rsidP="007C1875">
      <w:pPr>
        <w:pStyle w:val="Odstavekseznama"/>
        <w:numPr>
          <w:ilvl w:val="0"/>
          <w:numId w:val="20"/>
        </w:numPr>
        <w:spacing w:line="360" w:lineRule="auto"/>
        <w:rPr>
          <w:rFonts w:cs="Arial"/>
          <w:kern w:val="3"/>
          <w:sz w:val="20"/>
          <w:szCs w:val="20"/>
        </w:rPr>
      </w:pPr>
      <w:r w:rsidRPr="00193C03">
        <w:rPr>
          <w:rFonts w:cs="Arial"/>
          <w:kern w:val="3"/>
          <w:sz w:val="20"/>
          <w:szCs w:val="20"/>
        </w:rPr>
        <w:t>deloma brez ponovnega odpiranja konkurence in deloma s ponovnim odpiranjem konkurence.</w:t>
      </w:r>
    </w:p>
    <w:p w14:paraId="0B8DD974" w14:textId="77777777" w:rsidR="00206175" w:rsidRPr="00EF2D0B" w:rsidRDefault="00206175" w:rsidP="00AF22D1">
      <w:pPr>
        <w:pStyle w:val="ZADEVA"/>
        <w:ind w:left="0" w:firstLine="0"/>
        <w:jc w:val="both"/>
        <w:rPr>
          <w:rFonts w:cs="Arial"/>
          <w:b w:val="0"/>
          <w:szCs w:val="20"/>
          <w:highlight w:val="yellow"/>
          <w:lang w:val="sl-SI"/>
        </w:rPr>
      </w:pPr>
    </w:p>
    <w:p w14:paraId="5BDBE67E" w14:textId="6D265B44" w:rsidR="00206175" w:rsidRPr="00C11818" w:rsidRDefault="00206175" w:rsidP="005C1A53">
      <w:pPr>
        <w:pStyle w:val="Naslov4"/>
        <w:rPr>
          <w:rFonts w:ascii="Arial" w:hAnsi="Arial" w:cs="Arial"/>
          <w:i w:val="0"/>
        </w:rPr>
      </w:pPr>
      <w:bookmarkStart w:id="17" w:name="_Toc17114055"/>
      <w:r w:rsidRPr="00C11818">
        <w:rPr>
          <w:rFonts w:ascii="Arial" w:hAnsi="Arial" w:cs="Arial"/>
          <w:i w:val="0"/>
        </w:rPr>
        <w:t xml:space="preserve">2.3.5.1 </w:t>
      </w:r>
      <w:r w:rsidR="00B333AF" w:rsidRPr="00C11818">
        <w:rPr>
          <w:rFonts w:ascii="Arial" w:hAnsi="Arial" w:cs="Arial"/>
          <w:i w:val="0"/>
        </w:rPr>
        <w:t>Naročila v p</w:t>
      </w:r>
      <w:r w:rsidRPr="00C11818">
        <w:rPr>
          <w:rFonts w:ascii="Arial" w:hAnsi="Arial" w:cs="Arial"/>
          <w:i w:val="0"/>
        </w:rPr>
        <w:t>ostopki</w:t>
      </w:r>
      <w:r w:rsidR="00B333AF" w:rsidRPr="00C11818">
        <w:rPr>
          <w:rFonts w:ascii="Arial" w:hAnsi="Arial" w:cs="Arial"/>
          <w:i w:val="0"/>
        </w:rPr>
        <w:t>h</w:t>
      </w:r>
      <w:r w:rsidRPr="00C11818">
        <w:rPr>
          <w:rFonts w:ascii="Arial" w:hAnsi="Arial" w:cs="Arial"/>
          <w:i w:val="0"/>
        </w:rPr>
        <w:t xml:space="preserve"> javnega naročanja za sklenitev okvirnega sporazuma</w:t>
      </w:r>
      <w:bookmarkEnd w:id="17"/>
    </w:p>
    <w:p w14:paraId="1E266830" w14:textId="77777777" w:rsidR="00854405" w:rsidRPr="00C11818" w:rsidRDefault="00854405" w:rsidP="00854405">
      <w:pPr>
        <w:pStyle w:val="ZADEVA"/>
        <w:jc w:val="both"/>
        <w:rPr>
          <w:rFonts w:cs="Arial"/>
          <w:b w:val="0"/>
          <w:szCs w:val="20"/>
          <w:lang w:val="sl-SI"/>
        </w:rPr>
      </w:pPr>
    </w:p>
    <w:p w14:paraId="3A8ED316" w14:textId="36E6FEB3" w:rsidR="00B333AF" w:rsidRPr="00C11818" w:rsidRDefault="00B333AF" w:rsidP="003A01EF">
      <w:pPr>
        <w:spacing w:line="360" w:lineRule="auto"/>
        <w:jc w:val="both"/>
        <w:rPr>
          <w:rFonts w:ascii="Arial" w:hAnsi="Arial" w:cs="Arial"/>
          <w:kern w:val="3"/>
          <w:sz w:val="20"/>
          <w:szCs w:val="20"/>
        </w:rPr>
      </w:pPr>
      <w:r w:rsidRPr="00C11818">
        <w:rPr>
          <w:rFonts w:ascii="Arial" w:hAnsi="Arial" w:cs="Arial"/>
          <w:kern w:val="3"/>
          <w:sz w:val="20"/>
          <w:szCs w:val="20"/>
        </w:rPr>
        <w:t>V postopkih javnega naročanja za sklenitev okvirne</w:t>
      </w:r>
      <w:r w:rsidR="00747BC0" w:rsidRPr="00C11818">
        <w:rPr>
          <w:rFonts w:ascii="Arial" w:hAnsi="Arial" w:cs="Arial"/>
          <w:kern w:val="3"/>
          <w:sz w:val="20"/>
          <w:szCs w:val="20"/>
        </w:rPr>
        <w:t>ga sporazuma je bilo let</w:t>
      </w:r>
      <w:r w:rsidR="00BC1956">
        <w:rPr>
          <w:rFonts w:ascii="Arial" w:hAnsi="Arial" w:cs="Arial"/>
          <w:kern w:val="3"/>
          <w:sz w:val="20"/>
          <w:szCs w:val="20"/>
        </w:rPr>
        <w:t>a</w:t>
      </w:r>
      <w:r w:rsidR="00747BC0" w:rsidRPr="00C11818">
        <w:rPr>
          <w:rFonts w:ascii="Arial" w:hAnsi="Arial" w:cs="Arial"/>
          <w:kern w:val="3"/>
          <w:sz w:val="20"/>
          <w:szCs w:val="20"/>
        </w:rPr>
        <w:t xml:space="preserve"> 201</w:t>
      </w:r>
      <w:r w:rsidR="00984BE6" w:rsidRPr="00C11818">
        <w:rPr>
          <w:rFonts w:ascii="Arial" w:hAnsi="Arial" w:cs="Arial"/>
          <w:kern w:val="3"/>
          <w:sz w:val="20"/>
          <w:szCs w:val="20"/>
        </w:rPr>
        <w:t>8</w:t>
      </w:r>
      <w:r w:rsidRPr="00C11818">
        <w:rPr>
          <w:rFonts w:ascii="Arial" w:hAnsi="Arial" w:cs="Arial"/>
          <w:kern w:val="3"/>
          <w:sz w:val="20"/>
          <w:szCs w:val="20"/>
        </w:rPr>
        <w:t xml:space="preserve"> oddanih </w:t>
      </w:r>
      <w:r w:rsidR="00984BE6" w:rsidRPr="00C11818">
        <w:rPr>
          <w:rFonts w:ascii="Arial" w:hAnsi="Arial" w:cs="Arial"/>
          <w:kern w:val="3"/>
          <w:sz w:val="20"/>
          <w:szCs w:val="20"/>
        </w:rPr>
        <w:t>6399</w:t>
      </w:r>
      <w:r w:rsidRPr="00C11818">
        <w:rPr>
          <w:rFonts w:ascii="Arial" w:hAnsi="Arial" w:cs="Arial"/>
          <w:kern w:val="3"/>
          <w:sz w:val="20"/>
          <w:szCs w:val="20"/>
        </w:rPr>
        <w:t xml:space="preserve"> naročil v vrednosti </w:t>
      </w:r>
      <w:r w:rsidR="00984BE6" w:rsidRPr="00C11818">
        <w:rPr>
          <w:rFonts w:ascii="Arial" w:eastAsia="Times New Roman" w:hAnsi="Arial" w:cs="Arial"/>
          <w:bCs/>
          <w:color w:val="000000"/>
          <w:sz w:val="20"/>
          <w:szCs w:val="20"/>
          <w:lang w:eastAsia="sl-SI"/>
        </w:rPr>
        <w:t>661.604.154</w:t>
      </w:r>
      <w:r w:rsidR="00747BC0" w:rsidRPr="00C11818">
        <w:rPr>
          <w:rFonts w:ascii="Arial" w:hAnsi="Arial" w:cs="Arial"/>
          <w:kern w:val="3"/>
          <w:sz w:val="20"/>
          <w:szCs w:val="20"/>
        </w:rPr>
        <w:t xml:space="preserve"> </w:t>
      </w:r>
      <w:r w:rsidRPr="00C11818">
        <w:rPr>
          <w:rFonts w:ascii="Arial" w:hAnsi="Arial" w:cs="Arial"/>
          <w:kern w:val="3"/>
          <w:sz w:val="20"/>
          <w:szCs w:val="20"/>
        </w:rPr>
        <w:t xml:space="preserve">evrov. </w:t>
      </w:r>
      <w:r w:rsidR="008D4C98" w:rsidRPr="00C11818">
        <w:rPr>
          <w:rFonts w:ascii="Arial" w:hAnsi="Arial" w:cs="Arial"/>
          <w:kern w:val="3"/>
          <w:sz w:val="20"/>
          <w:szCs w:val="20"/>
        </w:rPr>
        <w:t>Ta</w:t>
      </w:r>
      <w:r w:rsidRPr="00C11818">
        <w:rPr>
          <w:rFonts w:ascii="Arial" w:hAnsi="Arial" w:cs="Arial"/>
          <w:kern w:val="3"/>
          <w:sz w:val="20"/>
          <w:szCs w:val="20"/>
        </w:rPr>
        <w:t xml:space="preserve"> </w:t>
      </w:r>
      <w:r w:rsidR="00475C0E" w:rsidRPr="00C11818">
        <w:rPr>
          <w:rFonts w:ascii="Arial" w:hAnsi="Arial" w:cs="Arial"/>
          <w:kern w:val="3"/>
          <w:sz w:val="20"/>
          <w:szCs w:val="20"/>
        </w:rPr>
        <w:t>znaša</w:t>
      </w:r>
      <w:r w:rsidR="008D4C98" w:rsidRPr="00C11818">
        <w:rPr>
          <w:rFonts w:ascii="Arial" w:hAnsi="Arial" w:cs="Arial"/>
          <w:kern w:val="3"/>
          <w:sz w:val="20"/>
          <w:szCs w:val="20"/>
        </w:rPr>
        <w:t xml:space="preserve"> </w:t>
      </w:r>
      <w:r w:rsidRPr="00C11818">
        <w:rPr>
          <w:rFonts w:ascii="Arial" w:hAnsi="Arial" w:cs="Arial"/>
          <w:kern w:val="3"/>
          <w:sz w:val="20"/>
          <w:szCs w:val="20"/>
        </w:rPr>
        <w:t xml:space="preserve">v številu </w:t>
      </w:r>
      <w:r w:rsidR="00747BC0" w:rsidRPr="00C11818">
        <w:rPr>
          <w:rFonts w:ascii="Arial" w:hAnsi="Arial" w:cs="Arial"/>
          <w:kern w:val="3"/>
          <w:sz w:val="20"/>
          <w:szCs w:val="20"/>
        </w:rPr>
        <w:t>37,</w:t>
      </w:r>
      <w:r w:rsidR="001A12F1" w:rsidRPr="00C11818">
        <w:rPr>
          <w:rFonts w:ascii="Arial" w:hAnsi="Arial" w:cs="Arial"/>
          <w:kern w:val="3"/>
          <w:sz w:val="20"/>
          <w:szCs w:val="20"/>
        </w:rPr>
        <w:t>9</w:t>
      </w:r>
      <w:r w:rsidR="00C00C49">
        <w:rPr>
          <w:rFonts w:ascii="Arial" w:hAnsi="Arial" w:cs="Arial"/>
          <w:kern w:val="3"/>
          <w:sz w:val="20"/>
          <w:szCs w:val="20"/>
        </w:rPr>
        <w:t>4</w:t>
      </w:r>
      <w:r w:rsidR="008D4C98" w:rsidRPr="00C11818">
        <w:rPr>
          <w:rFonts w:ascii="Arial" w:hAnsi="Arial" w:cs="Arial"/>
          <w:kern w:val="3"/>
          <w:sz w:val="20"/>
          <w:szCs w:val="20"/>
        </w:rPr>
        <w:t>-</w:t>
      </w:r>
      <w:r w:rsidRPr="00C11818">
        <w:rPr>
          <w:rFonts w:ascii="Arial" w:hAnsi="Arial" w:cs="Arial"/>
          <w:kern w:val="3"/>
          <w:sz w:val="20"/>
          <w:szCs w:val="20"/>
        </w:rPr>
        <w:t xml:space="preserve">odstotni delež vseh oddanih naročil, v vrednosti pa </w:t>
      </w:r>
      <w:r w:rsidR="001A12F1" w:rsidRPr="00C11818">
        <w:rPr>
          <w:rFonts w:ascii="Arial" w:hAnsi="Arial" w:cs="Arial"/>
          <w:kern w:val="3"/>
          <w:sz w:val="20"/>
          <w:szCs w:val="20"/>
        </w:rPr>
        <w:t>22,6</w:t>
      </w:r>
      <w:r w:rsidR="00C00C49">
        <w:rPr>
          <w:rFonts w:ascii="Arial" w:hAnsi="Arial" w:cs="Arial"/>
          <w:kern w:val="3"/>
          <w:sz w:val="20"/>
          <w:szCs w:val="20"/>
        </w:rPr>
        <w:t>7</w:t>
      </w:r>
      <w:r w:rsidR="008D4C98" w:rsidRPr="00C11818">
        <w:rPr>
          <w:rFonts w:ascii="Arial" w:hAnsi="Arial" w:cs="Arial"/>
          <w:kern w:val="3"/>
          <w:sz w:val="20"/>
          <w:szCs w:val="20"/>
        </w:rPr>
        <w:t>-</w:t>
      </w:r>
      <w:r w:rsidRPr="00C11818">
        <w:rPr>
          <w:rFonts w:ascii="Arial" w:hAnsi="Arial" w:cs="Arial"/>
          <w:kern w:val="3"/>
          <w:sz w:val="20"/>
          <w:szCs w:val="20"/>
        </w:rPr>
        <w:t>odstotni delež</w:t>
      </w:r>
      <w:r w:rsidR="00475C0E" w:rsidRPr="00C11818">
        <w:rPr>
          <w:rFonts w:ascii="Arial" w:hAnsi="Arial" w:cs="Arial"/>
          <w:kern w:val="3"/>
          <w:sz w:val="20"/>
          <w:szCs w:val="20"/>
        </w:rPr>
        <w:t>.</w:t>
      </w:r>
    </w:p>
    <w:p w14:paraId="00B5ADAA" w14:textId="0B45A463" w:rsidR="00611AFC" w:rsidRPr="009F2187" w:rsidRDefault="00611AFC" w:rsidP="00611AFC">
      <w:pPr>
        <w:spacing w:line="360" w:lineRule="auto"/>
        <w:jc w:val="both"/>
        <w:rPr>
          <w:rFonts w:ascii="Arial" w:hAnsi="Arial" w:cs="Arial"/>
          <w:szCs w:val="20"/>
        </w:rPr>
      </w:pPr>
      <w:r w:rsidRPr="009F2187">
        <w:rPr>
          <w:rFonts w:ascii="Arial" w:hAnsi="Arial" w:cs="Arial"/>
          <w:sz w:val="20"/>
          <w:szCs w:val="20"/>
          <w:lang w:eastAsia="sl-SI"/>
        </w:rPr>
        <w:lastRenderedPageBreak/>
        <w:t>Naročila, za katera je bil sklenjen okvirni sporazum, so bila največkrat oddana na podlagi izvedenega odprtega postopka (</w:t>
      </w:r>
      <w:r w:rsidR="00816B73" w:rsidRPr="009F2187">
        <w:rPr>
          <w:rFonts w:ascii="Arial" w:hAnsi="Arial" w:cs="Arial"/>
          <w:sz w:val="20"/>
          <w:szCs w:val="20"/>
          <w:lang w:eastAsia="sl-SI"/>
        </w:rPr>
        <w:t>70,4</w:t>
      </w:r>
      <w:r w:rsidRPr="009F2187">
        <w:rPr>
          <w:rFonts w:ascii="Arial" w:hAnsi="Arial" w:cs="Arial"/>
          <w:sz w:val="20"/>
          <w:szCs w:val="20"/>
          <w:lang w:eastAsia="sl-SI"/>
        </w:rPr>
        <w:t xml:space="preserve"> %), njihova vrednost pa znaša </w:t>
      </w:r>
      <w:r w:rsidR="00816B73" w:rsidRPr="009F2187">
        <w:rPr>
          <w:rFonts w:ascii="Arial" w:hAnsi="Arial" w:cs="Arial"/>
          <w:sz w:val="20"/>
          <w:szCs w:val="20"/>
          <w:lang w:eastAsia="sl-SI"/>
        </w:rPr>
        <w:t>70,36</w:t>
      </w:r>
      <w:r w:rsidRPr="009F2187">
        <w:rPr>
          <w:rFonts w:ascii="Arial" w:hAnsi="Arial" w:cs="Arial"/>
          <w:sz w:val="20"/>
          <w:szCs w:val="20"/>
          <w:lang w:eastAsia="sl-SI"/>
        </w:rPr>
        <w:t xml:space="preserve"> % vseh naročil, ki so bila oddana na podlagi izvedenega postopka za sklenitev okvirnega sporazuma. Uporaba posamezne vrste postopka za oddajo naročila s sklenitvijo okvirnega sporazuma je </w:t>
      </w:r>
      <w:r w:rsidR="00A23AB7" w:rsidRPr="009F2187">
        <w:rPr>
          <w:rFonts w:ascii="Arial" w:hAnsi="Arial" w:cs="Arial"/>
          <w:sz w:val="20"/>
          <w:szCs w:val="20"/>
          <w:lang w:eastAsia="sl-SI"/>
        </w:rPr>
        <w:t>prikazana</w:t>
      </w:r>
      <w:r w:rsidRPr="009F2187">
        <w:rPr>
          <w:rFonts w:ascii="Arial" w:hAnsi="Arial" w:cs="Arial"/>
          <w:sz w:val="20"/>
          <w:szCs w:val="20"/>
          <w:lang w:eastAsia="sl-SI"/>
        </w:rPr>
        <w:t xml:space="preserve"> v spodnji preglednici. </w:t>
      </w:r>
    </w:p>
    <w:p w14:paraId="1630DBDB" w14:textId="12347644" w:rsidR="003A01EF" w:rsidRPr="00E2275F" w:rsidRDefault="002C7FDD" w:rsidP="008A61FD">
      <w:pPr>
        <w:spacing w:before="120" w:after="120" w:line="240" w:lineRule="auto"/>
        <w:jc w:val="both"/>
        <w:rPr>
          <w:rFonts w:ascii="Arial" w:hAnsi="Arial" w:cs="Arial"/>
          <w:sz w:val="20"/>
        </w:rPr>
      </w:pPr>
      <w:r w:rsidRPr="00E2275F">
        <w:rPr>
          <w:rFonts w:ascii="Arial" w:hAnsi="Arial" w:cs="Arial"/>
          <w:sz w:val="20"/>
        </w:rPr>
        <w:t xml:space="preserve">Preglednica </w:t>
      </w:r>
      <w:r w:rsidR="00E430F6" w:rsidRPr="00E2275F">
        <w:rPr>
          <w:rFonts w:ascii="Arial" w:hAnsi="Arial" w:cs="Arial"/>
          <w:sz w:val="20"/>
        </w:rPr>
        <w:t>2</w:t>
      </w:r>
      <w:r w:rsidR="00EB4423">
        <w:rPr>
          <w:rFonts w:ascii="Arial" w:hAnsi="Arial" w:cs="Arial"/>
          <w:sz w:val="20"/>
        </w:rPr>
        <w:t>1</w:t>
      </w:r>
      <w:r w:rsidRPr="00E2275F">
        <w:rPr>
          <w:rFonts w:ascii="Arial" w:hAnsi="Arial" w:cs="Arial"/>
          <w:sz w:val="20"/>
        </w:rPr>
        <w:t>: Izvedeni postopki javnega naročanja za sklenitev okvirnega sporazuma glede na vrsto postopka</w:t>
      </w:r>
    </w:p>
    <w:tbl>
      <w:tblPr>
        <w:tblW w:w="5000" w:type="pct"/>
        <w:tblCellMar>
          <w:left w:w="70" w:type="dxa"/>
          <w:right w:w="70" w:type="dxa"/>
        </w:tblCellMar>
        <w:tblLook w:val="04A0" w:firstRow="1" w:lastRow="0" w:firstColumn="1" w:lastColumn="0" w:noHBand="0" w:noVBand="1"/>
      </w:tblPr>
      <w:tblGrid>
        <w:gridCol w:w="3815"/>
        <w:gridCol w:w="1408"/>
        <w:gridCol w:w="1978"/>
        <w:gridCol w:w="960"/>
        <w:gridCol w:w="901"/>
      </w:tblGrid>
      <w:tr w:rsidR="004212C9" w:rsidRPr="004212C9" w14:paraId="3116F525" w14:textId="77777777" w:rsidTr="002A48C8">
        <w:trPr>
          <w:trHeight w:val="480"/>
        </w:trPr>
        <w:tc>
          <w:tcPr>
            <w:tcW w:w="210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28465BE" w14:textId="77777777" w:rsidR="004212C9" w:rsidRPr="004212C9" w:rsidRDefault="004212C9" w:rsidP="004212C9">
            <w:pPr>
              <w:spacing w:after="0" w:line="240" w:lineRule="auto"/>
              <w:jc w:val="center"/>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Vrsta postopka</w:t>
            </w:r>
          </w:p>
        </w:tc>
        <w:tc>
          <w:tcPr>
            <w:tcW w:w="781" w:type="pct"/>
            <w:tcBorders>
              <w:top w:val="single" w:sz="4" w:space="0" w:color="auto"/>
              <w:left w:val="nil"/>
              <w:bottom w:val="single" w:sz="4" w:space="0" w:color="auto"/>
              <w:right w:val="single" w:sz="4" w:space="0" w:color="auto"/>
            </w:tcBorders>
            <w:shd w:val="clear" w:color="000000" w:fill="EDEDED"/>
            <w:vAlign w:val="center"/>
            <w:hideMark/>
          </w:tcPr>
          <w:p w14:paraId="2C3FCDC4" w14:textId="77777777" w:rsidR="004212C9" w:rsidRPr="004212C9" w:rsidRDefault="004212C9" w:rsidP="004212C9">
            <w:pPr>
              <w:spacing w:after="0" w:line="240" w:lineRule="auto"/>
              <w:jc w:val="center"/>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Št. naročil</w:t>
            </w:r>
          </w:p>
        </w:tc>
        <w:tc>
          <w:tcPr>
            <w:tcW w:w="1095" w:type="pct"/>
            <w:tcBorders>
              <w:top w:val="single" w:sz="4" w:space="0" w:color="auto"/>
              <w:left w:val="nil"/>
              <w:bottom w:val="single" w:sz="4" w:space="0" w:color="auto"/>
              <w:right w:val="single" w:sz="4" w:space="0" w:color="auto"/>
            </w:tcBorders>
            <w:shd w:val="clear" w:color="000000" w:fill="EDEDED"/>
            <w:vAlign w:val="center"/>
            <w:hideMark/>
          </w:tcPr>
          <w:p w14:paraId="26C5A456" w14:textId="77777777" w:rsidR="004212C9" w:rsidRPr="004212C9" w:rsidRDefault="004212C9" w:rsidP="004212C9">
            <w:pPr>
              <w:spacing w:after="0" w:line="240" w:lineRule="auto"/>
              <w:jc w:val="center"/>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Pogodbena vrednost</w:t>
            </w:r>
          </w:p>
        </w:tc>
        <w:tc>
          <w:tcPr>
            <w:tcW w:w="533" w:type="pct"/>
            <w:tcBorders>
              <w:top w:val="single" w:sz="4" w:space="0" w:color="auto"/>
              <w:left w:val="nil"/>
              <w:bottom w:val="single" w:sz="4" w:space="0" w:color="auto"/>
              <w:right w:val="single" w:sz="4" w:space="0" w:color="auto"/>
            </w:tcBorders>
            <w:shd w:val="clear" w:color="000000" w:fill="EDEDED"/>
            <w:vAlign w:val="center"/>
            <w:hideMark/>
          </w:tcPr>
          <w:p w14:paraId="073E3057" w14:textId="77777777" w:rsidR="004212C9" w:rsidRPr="004212C9" w:rsidRDefault="004212C9" w:rsidP="004212C9">
            <w:pPr>
              <w:spacing w:after="0" w:line="240" w:lineRule="auto"/>
              <w:jc w:val="center"/>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77D13CD0" w14:textId="77777777" w:rsidR="004212C9" w:rsidRPr="004212C9" w:rsidRDefault="004212C9" w:rsidP="004212C9">
            <w:pPr>
              <w:spacing w:after="0" w:line="240" w:lineRule="auto"/>
              <w:jc w:val="center"/>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Delež v vrednosti</w:t>
            </w:r>
          </w:p>
        </w:tc>
      </w:tr>
      <w:tr w:rsidR="004212C9" w:rsidRPr="004212C9" w14:paraId="23A49EDF" w14:textId="77777777" w:rsidTr="002A48C8">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58C75066" w14:textId="77777777" w:rsidR="004212C9" w:rsidRPr="004212C9" w:rsidRDefault="004212C9" w:rsidP="002A48C8">
            <w:pPr>
              <w:spacing w:after="0" w:line="240" w:lineRule="auto"/>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Konkurenčni postopek s pogajanji</w:t>
            </w:r>
          </w:p>
        </w:tc>
        <w:tc>
          <w:tcPr>
            <w:tcW w:w="781" w:type="pct"/>
            <w:tcBorders>
              <w:top w:val="nil"/>
              <w:left w:val="nil"/>
              <w:bottom w:val="single" w:sz="4" w:space="0" w:color="auto"/>
              <w:right w:val="single" w:sz="4" w:space="0" w:color="auto"/>
            </w:tcBorders>
            <w:shd w:val="clear" w:color="auto" w:fill="auto"/>
            <w:vAlign w:val="center"/>
            <w:hideMark/>
          </w:tcPr>
          <w:p w14:paraId="71644F97"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14</w:t>
            </w:r>
          </w:p>
        </w:tc>
        <w:tc>
          <w:tcPr>
            <w:tcW w:w="1095" w:type="pct"/>
            <w:tcBorders>
              <w:top w:val="nil"/>
              <w:left w:val="nil"/>
              <w:bottom w:val="single" w:sz="4" w:space="0" w:color="auto"/>
              <w:right w:val="single" w:sz="4" w:space="0" w:color="auto"/>
            </w:tcBorders>
            <w:shd w:val="clear" w:color="auto" w:fill="auto"/>
            <w:vAlign w:val="center"/>
            <w:hideMark/>
          </w:tcPr>
          <w:p w14:paraId="304E3B55"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6.267.629</w:t>
            </w:r>
          </w:p>
        </w:tc>
        <w:tc>
          <w:tcPr>
            <w:tcW w:w="533" w:type="pct"/>
            <w:tcBorders>
              <w:top w:val="nil"/>
              <w:left w:val="nil"/>
              <w:bottom w:val="single" w:sz="4" w:space="0" w:color="auto"/>
              <w:right w:val="single" w:sz="4" w:space="0" w:color="auto"/>
            </w:tcBorders>
            <w:shd w:val="clear" w:color="auto" w:fill="auto"/>
            <w:noWrap/>
            <w:vAlign w:val="center"/>
            <w:hideMark/>
          </w:tcPr>
          <w:p w14:paraId="4446FFE0" w14:textId="0A5B28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0,22</w:t>
            </w:r>
            <w:r w:rsidR="002A48C8">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2D2FF9A" w14:textId="44B793D9"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0,95</w:t>
            </w:r>
            <w:r w:rsidR="002A48C8">
              <w:rPr>
                <w:rFonts w:ascii="Arial" w:eastAsia="Times New Roman" w:hAnsi="Arial" w:cs="Arial"/>
                <w:color w:val="000000"/>
                <w:sz w:val="18"/>
                <w:szCs w:val="18"/>
                <w:lang w:eastAsia="sl-SI"/>
              </w:rPr>
              <w:t xml:space="preserve"> %</w:t>
            </w:r>
          </w:p>
        </w:tc>
      </w:tr>
      <w:tr w:rsidR="004212C9" w:rsidRPr="004212C9" w14:paraId="73317C39" w14:textId="77777777" w:rsidTr="002A48C8">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7D6FA873" w14:textId="77777777" w:rsidR="004212C9" w:rsidRPr="004212C9" w:rsidRDefault="004212C9" w:rsidP="002A48C8">
            <w:pPr>
              <w:spacing w:after="0" w:line="240" w:lineRule="auto"/>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Odprti postopek</w:t>
            </w:r>
          </w:p>
        </w:tc>
        <w:tc>
          <w:tcPr>
            <w:tcW w:w="781" w:type="pct"/>
            <w:tcBorders>
              <w:top w:val="nil"/>
              <w:left w:val="nil"/>
              <w:bottom w:val="single" w:sz="4" w:space="0" w:color="auto"/>
              <w:right w:val="single" w:sz="4" w:space="0" w:color="auto"/>
            </w:tcBorders>
            <w:shd w:val="clear" w:color="auto" w:fill="auto"/>
            <w:vAlign w:val="center"/>
            <w:hideMark/>
          </w:tcPr>
          <w:p w14:paraId="3F9E4302"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4.505</w:t>
            </w:r>
          </w:p>
        </w:tc>
        <w:tc>
          <w:tcPr>
            <w:tcW w:w="1095" w:type="pct"/>
            <w:tcBorders>
              <w:top w:val="nil"/>
              <w:left w:val="nil"/>
              <w:bottom w:val="single" w:sz="4" w:space="0" w:color="auto"/>
              <w:right w:val="single" w:sz="4" w:space="0" w:color="auto"/>
            </w:tcBorders>
            <w:shd w:val="clear" w:color="auto" w:fill="auto"/>
            <w:vAlign w:val="center"/>
            <w:hideMark/>
          </w:tcPr>
          <w:p w14:paraId="357D67B0"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465.505.467</w:t>
            </w:r>
          </w:p>
        </w:tc>
        <w:tc>
          <w:tcPr>
            <w:tcW w:w="533" w:type="pct"/>
            <w:tcBorders>
              <w:top w:val="nil"/>
              <w:left w:val="nil"/>
              <w:bottom w:val="single" w:sz="4" w:space="0" w:color="auto"/>
              <w:right w:val="single" w:sz="4" w:space="0" w:color="auto"/>
            </w:tcBorders>
            <w:shd w:val="clear" w:color="auto" w:fill="auto"/>
            <w:noWrap/>
            <w:vAlign w:val="center"/>
            <w:hideMark/>
          </w:tcPr>
          <w:p w14:paraId="26FF9B1D" w14:textId="5D92DC6D"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70,40</w:t>
            </w:r>
            <w:r w:rsidR="002A48C8">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6EE68A6" w14:textId="5263C9BF"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70,36</w:t>
            </w:r>
            <w:r w:rsidR="002A48C8">
              <w:rPr>
                <w:rFonts w:ascii="Arial" w:eastAsia="Times New Roman" w:hAnsi="Arial" w:cs="Arial"/>
                <w:color w:val="000000"/>
                <w:sz w:val="18"/>
                <w:szCs w:val="18"/>
                <w:lang w:eastAsia="sl-SI"/>
              </w:rPr>
              <w:t xml:space="preserve"> %</w:t>
            </w:r>
          </w:p>
        </w:tc>
      </w:tr>
      <w:tr w:rsidR="004212C9" w:rsidRPr="004212C9" w14:paraId="49D95907" w14:textId="77777777" w:rsidTr="002A48C8">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4C778154" w14:textId="77777777" w:rsidR="004212C9" w:rsidRPr="004212C9" w:rsidRDefault="004212C9" w:rsidP="002A48C8">
            <w:pPr>
              <w:spacing w:after="0" w:line="240" w:lineRule="auto"/>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Omejeni postopek</w:t>
            </w:r>
          </w:p>
        </w:tc>
        <w:tc>
          <w:tcPr>
            <w:tcW w:w="781" w:type="pct"/>
            <w:tcBorders>
              <w:top w:val="nil"/>
              <w:left w:val="nil"/>
              <w:bottom w:val="single" w:sz="4" w:space="0" w:color="auto"/>
              <w:right w:val="single" w:sz="4" w:space="0" w:color="auto"/>
            </w:tcBorders>
            <w:shd w:val="clear" w:color="auto" w:fill="auto"/>
            <w:vAlign w:val="center"/>
            <w:hideMark/>
          </w:tcPr>
          <w:p w14:paraId="1FA95FA4"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40</w:t>
            </w:r>
          </w:p>
        </w:tc>
        <w:tc>
          <w:tcPr>
            <w:tcW w:w="1095" w:type="pct"/>
            <w:tcBorders>
              <w:top w:val="nil"/>
              <w:left w:val="nil"/>
              <w:bottom w:val="single" w:sz="4" w:space="0" w:color="auto"/>
              <w:right w:val="single" w:sz="4" w:space="0" w:color="auto"/>
            </w:tcBorders>
            <w:shd w:val="clear" w:color="auto" w:fill="auto"/>
            <w:vAlign w:val="center"/>
            <w:hideMark/>
          </w:tcPr>
          <w:p w14:paraId="3FC6CE2D"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18.934.173</w:t>
            </w:r>
          </w:p>
        </w:tc>
        <w:tc>
          <w:tcPr>
            <w:tcW w:w="533" w:type="pct"/>
            <w:tcBorders>
              <w:top w:val="nil"/>
              <w:left w:val="nil"/>
              <w:bottom w:val="single" w:sz="4" w:space="0" w:color="auto"/>
              <w:right w:val="single" w:sz="4" w:space="0" w:color="auto"/>
            </w:tcBorders>
            <w:shd w:val="clear" w:color="auto" w:fill="auto"/>
            <w:noWrap/>
            <w:vAlign w:val="center"/>
            <w:hideMark/>
          </w:tcPr>
          <w:p w14:paraId="48E065A5" w14:textId="75A3542D"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0,63</w:t>
            </w:r>
            <w:r w:rsidR="002A48C8">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3A847DA" w14:textId="7D3BD2F8"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2,86</w:t>
            </w:r>
            <w:r w:rsidR="002A48C8">
              <w:rPr>
                <w:rFonts w:ascii="Arial" w:eastAsia="Times New Roman" w:hAnsi="Arial" w:cs="Arial"/>
                <w:color w:val="000000"/>
                <w:sz w:val="18"/>
                <w:szCs w:val="18"/>
                <w:lang w:eastAsia="sl-SI"/>
              </w:rPr>
              <w:t xml:space="preserve"> %</w:t>
            </w:r>
          </w:p>
        </w:tc>
      </w:tr>
      <w:tr w:rsidR="004212C9" w:rsidRPr="004212C9" w14:paraId="657D1B87" w14:textId="77777777" w:rsidTr="002A48C8">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32392B6C" w14:textId="77777777" w:rsidR="004212C9" w:rsidRPr="004212C9" w:rsidRDefault="004212C9" w:rsidP="002A48C8">
            <w:pPr>
              <w:spacing w:after="0" w:line="240" w:lineRule="auto"/>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Postopek naročila male vrednosti</w:t>
            </w:r>
          </w:p>
        </w:tc>
        <w:tc>
          <w:tcPr>
            <w:tcW w:w="781" w:type="pct"/>
            <w:tcBorders>
              <w:top w:val="nil"/>
              <w:left w:val="nil"/>
              <w:bottom w:val="single" w:sz="4" w:space="0" w:color="auto"/>
              <w:right w:val="single" w:sz="4" w:space="0" w:color="auto"/>
            </w:tcBorders>
            <w:shd w:val="clear" w:color="auto" w:fill="auto"/>
            <w:vAlign w:val="center"/>
            <w:hideMark/>
          </w:tcPr>
          <w:p w14:paraId="5643ABD2"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1.699</w:t>
            </w:r>
          </w:p>
        </w:tc>
        <w:tc>
          <w:tcPr>
            <w:tcW w:w="1095" w:type="pct"/>
            <w:tcBorders>
              <w:top w:val="nil"/>
              <w:left w:val="nil"/>
              <w:bottom w:val="single" w:sz="4" w:space="0" w:color="auto"/>
              <w:right w:val="single" w:sz="4" w:space="0" w:color="auto"/>
            </w:tcBorders>
            <w:shd w:val="clear" w:color="auto" w:fill="auto"/>
            <w:vAlign w:val="center"/>
            <w:hideMark/>
          </w:tcPr>
          <w:p w14:paraId="7D236C1B"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57.607.509</w:t>
            </w:r>
          </w:p>
        </w:tc>
        <w:tc>
          <w:tcPr>
            <w:tcW w:w="533" w:type="pct"/>
            <w:tcBorders>
              <w:top w:val="nil"/>
              <w:left w:val="nil"/>
              <w:bottom w:val="single" w:sz="4" w:space="0" w:color="auto"/>
              <w:right w:val="single" w:sz="4" w:space="0" w:color="auto"/>
            </w:tcBorders>
            <w:shd w:val="clear" w:color="auto" w:fill="auto"/>
            <w:noWrap/>
            <w:vAlign w:val="center"/>
            <w:hideMark/>
          </w:tcPr>
          <w:p w14:paraId="52F73953" w14:textId="1AC5F6FA"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26,55</w:t>
            </w:r>
            <w:r w:rsidR="002A48C8">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15F062F" w14:textId="2665889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8,71</w:t>
            </w:r>
            <w:r w:rsidR="002A48C8">
              <w:rPr>
                <w:rFonts w:ascii="Arial" w:eastAsia="Times New Roman" w:hAnsi="Arial" w:cs="Arial"/>
                <w:color w:val="000000"/>
                <w:sz w:val="18"/>
                <w:szCs w:val="18"/>
                <w:lang w:eastAsia="sl-SI"/>
              </w:rPr>
              <w:t xml:space="preserve"> %</w:t>
            </w:r>
          </w:p>
        </w:tc>
      </w:tr>
      <w:tr w:rsidR="004212C9" w:rsidRPr="004212C9" w14:paraId="5B18D8AC" w14:textId="77777777" w:rsidTr="002A48C8">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0B95FDF6" w14:textId="77777777" w:rsidR="004212C9" w:rsidRPr="004212C9" w:rsidRDefault="004212C9" w:rsidP="002A48C8">
            <w:pPr>
              <w:spacing w:after="0" w:line="240" w:lineRule="auto"/>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Postopek s pogajanji brez predhodne objave</w:t>
            </w:r>
          </w:p>
        </w:tc>
        <w:tc>
          <w:tcPr>
            <w:tcW w:w="781" w:type="pct"/>
            <w:tcBorders>
              <w:top w:val="nil"/>
              <w:left w:val="nil"/>
              <w:bottom w:val="single" w:sz="4" w:space="0" w:color="auto"/>
              <w:right w:val="single" w:sz="4" w:space="0" w:color="auto"/>
            </w:tcBorders>
            <w:shd w:val="clear" w:color="auto" w:fill="auto"/>
            <w:vAlign w:val="center"/>
            <w:hideMark/>
          </w:tcPr>
          <w:p w14:paraId="143C79C5"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70</w:t>
            </w:r>
          </w:p>
        </w:tc>
        <w:tc>
          <w:tcPr>
            <w:tcW w:w="1095" w:type="pct"/>
            <w:tcBorders>
              <w:top w:val="nil"/>
              <w:left w:val="nil"/>
              <w:bottom w:val="single" w:sz="4" w:space="0" w:color="auto"/>
              <w:right w:val="single" w:sz="4" w:space="0" w:color="auto"/>
            </w:tcBorders>
            <w:shd w:val="clear" w:color="auto" w:fill="auto"/>
            <w:vAlign w:val="center"/>
            <w:hideMark/>
          </w:tcPr>
          <w:p w14:paraId="6F184544"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39.134.074</w:t>
            </w:r>
          </w:p>
        </w:tc>
        <w:tc>
          <w:tcPr>
            <w:tcW w:w="533" w:type="pct"/>
            <w:tcBorders>
              <w:top w:val="nil"/>
              <w:left w:val="nil"/>
              <w:bottom w:val="single" w:sz="4" w:space="0" w:color="auto"/>
              <w:right w:val="single" w:sz="4" w:space="0" w:color="auto"/>
            </w:tcBorders>
            <w:shd w:val="clear" w:color="auto" w:fill="auto"/>
            <w:noWrap/>
            <w:vAlign w:val="center"/>
            <w:hideMark/>
          </w:tcPr>
          <w:p w14:paraId="11264595" w14:textId="4D21658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1,09</w:t>
            </w:r>
            <w:r w:rsidR="002A48C8">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4480C9F" w14:textId="70A3C464"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5,92</w:t>
            </w:r>
            <w:r w:rsidR="002A48C8">
              <w:rPr>
                <w:rFonts w:ascii="Arial" w:eastAsia="Times New Roman" w:hAnsi="Arial" w:cs="Arial"/>
                <w:color w:val="000000"/>
                <w:sz w:val="18"/>
                <w:szCs w:val="18"/>
                <w:lang w:eastAsia="sl-SI"/>
              </w:rPr>
              <w:t xml:space="preserve"> %</w:t>
            </w:r>
          </w:p>
        </w:tc>
      </w:tr>
      <w:tr w:rsidR="004212C9" w:rsidRPr="004212C9" w14:paraId="2A25F36D" w14:textId="77777777" w:rsidTr="002A48C8">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633D1F11" w14:textId="77777777" w:rsidR="004212C9" w:rsidRPr="004212C9" w:rsidRDefault="004212C9" w:rsidP="002A48C8">
            <w:pPr>
              <w:spacing w:after="0" w:line="240" w:lineRule="auto"/>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Postopek s pogajanji po predhodni objavi</w:t>
            </w:r>
          </w:p>
        </w:tc>
        <w:tc>
          <w:tcPr>
            <w:tcW w:w="781" w:type="pct"/>
            <w:tcBorders>
              <w:top w:val="nil"/>
              <w:left w:val="nil"/>
              <w:bottom w:val="single" w:sz="4" w:space="0" w:color="auto"/>
              <w:right w:val="single" w:sz="4" w:space="0" w:color="auto"/>
            </w:tcBorders>
            <w:shd w:val="clear" w:color="auto" w:fill="auto"/>
            <w:vAlign w:val="center"/>
            <w:hideMark/>
          </w:tcPr>
          <w:p w14:paraId="3ADDAE2F"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71</w:t>
            </w:r>
          </w:p>
        </w:tc>
        <w:tc>
          <w:tcPr>
            <w:tcW w:w="1095" w:type="pct"/>
            <w:tcBorders>
              <w:top w:val="nil"/>
              <w:left w:val="nil"/>
              <w:bottom w:val="single" w:sz="4" w:space="0" w:color="auto"/>
              <w:right w:val="single" w:sz="4" w:space="0" w:color="auto"/>
            </w:tcBorders>
            <w:shd w:val="clear" w:color="auto" w:fill="auto"/>
            <w:vAlign w:val="center"/>
            <w:hideMark/>
          </w:tcPr>
          <w:p w14:paraId="65702733" w14:textId="77777777"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74.155.302</w:t>
            </w:r>
          </w:p>
        </w:tc>
        <w:tc>
          <w:tcPr>
            <w:tcW w:w="533" w:type="pct"/>
            <w:tcBorders>
              <w:top w:val="nil"/>
              <w:left w:val="nil"/>
              <w:bottom w:val="single" w:sz="4" w:space="0" w:color="auto"/>
              <w:right w:val="single" w:sz="4" w:space="0" w:color="auto"/>
            </w:tcBorders>
            <w:shd w:val="clear" w:color="auto" w:fill="auto"/>
            <w:noWrap/>
            <w:vAlign w:val="center"/>
            <w:hideMark/>
          </w:tcPr>
          <w:p w14:paraId="1A9CBF79" w14:textId="2FF6E36A"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1,11</w:t>
            </w:r>
            <w:r w:rsidR="002A48C8">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A6A46AC" w14:textId="005837BF" w:rsidR="004212C9" w:rsidRPr="004212C9" w:rsidRDefault="004212C9" w:rsidP="002A48C8">
            <w:pPr>
              <w:spacing w:after="0" w:line="240" w:lineRule="auto"/>
              <w:jc w:val="right"/>
              <w:rPr>
                <w:rFonts w:ascii="Arial" w:eastAsia="Times New Roman" w:hAnsi="Arial" w:cs="Arial"/>
                <w:color w:val="000000"/>
                <w:sz w:val="18"/>
                <w:szCs w:val="18"/>
                <w:lang w:eastAsia="sl-SI"/>
              </w:rPr>
            </w:pPr>
            <w:r w:rsidRPr="004212C9">
              <w:rPr>
                <w:rFonts w:ascii="Arial" w:eastAsia="Times New Roman" w:hAnsi="Arial" w:cs="Arial"/>
                <w:color w:val="000000"/>
                <w:sz w:val="18"/>
                <w:szCs w:val="18"/>
                <w:lang w:eastAsia="sl-SI"/>
              </w:rPr>
              <w:t>11,21</w:t>
            </w:r>
            <w:r w:rsidR="002A48C8">
              <w:rPr>
                <w:rFonts w:ascii="Arial" w:eastAsia="Times New Roman" w:hAnsi="Arial" w:cs="Arial"/>
                <w:color w:val="000000"/>
                <w:sz w:val="18"/>
                <w:szCs w:val="18"/>
                <w:lang w:eastAsia="sl-SI"/>
              </w:rPr>
              <w:t xml:space="preserve"> %</w:t>
            </w:r>
          </w:p>
        </w:tc>
      </w:tr>
      <w:tr w:rsidR="004212C9" w:rsidRPr="004212C9" w14:paraId="303366E7" w14:textId="77777777" w:rsidTr="00B45EE0">
        <w:trPr>
          <w:trHeight w:val="300"/>
        </w:trPr>
        <w:tc>
          <w:tcPr>
            <w:tcW w:w="2109" w:type="pct"/>
            <w:tcBorders>
              <w:top w:val="nil"/>
              <w:left w:val="single" w:sz="4" w:space="0" w:color="auto"/>
              <w:bottom w:val="single" w:sz="4" w:space="0" w:color="auto"/>
              <w:right w:val="single" w:sz="4" w:space="0" w:color="auto"/>
            </w:tcBorders>
            <w:shd w:val="clear" w:color="auto" w:fill="E7E6E6" w:themeFill="background2"/>
            <w:vAlign w:val="center"/>
            <w:hideMark/>
          </w:tcPr>
          <w:p w14:paraId="0CF86641" w14:textId="77777777" w:rsidR="004212C9" w:rsidRPr="004212C9" w:rsidRDefault="004212C9" w:rsidP="002A48C8">
            <w:pPr>
              <w:spacing w:after="0" w:line="240" w:lineRule="auto"/>
              <w:rPr>
                <w:rFonts w:ascii="Arial" w:eastAsia="Times New Roman" w:hAnsi="Arial" w:cs="Arial"/>
                <w:b/>
                <w:bCs/>
                <w:color w:val="000000"/>
                <w:sz w:val="18"/>
                <w:szCs w:val="18"/>
                <w:lang w:eastAsia="sl-SI"/>
              </w:rPr>
            </w:pPr>
            <w:r w:rsidRPr="004212C9">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E7E6E6" w:themeFill="background2"/>
            <w:noWrap/>
            <w:vAlign w:val="center"/>
            <w:hideMark/>
          </w:tcPr>
          <w:p w14:paraId="3077944C" w14:textId="77777777" w:rsidR="004212C9" w:rsidRPr="004212C9" w:rsidRDefault="004212C9" w:rsidP="002A48C8">
            <w:pPr>
              <w:spacing w:after="0" w:line="240" w:lineRule="auto"/>
              <w:jc w:val="right"/>
              <w:rPr>
                <w:rFonts w:ascii="Arial" w:eastAsia="Times New Roman" w:hAnsi="Arial" w:cs="Arial"/>
                <w:b/>
                <w:bCs/>
                <w:color w:val="000000"/>
                <w:sz w:val="18"/>
                <w:szCs w:val="18"/>
                <w:lang w:eastAsia="sl-SI"/>
              </w:rPr>
            </w:pPr>
            <w:r w:rsidRPr="004212C9">
              <w:rPr>
                <w:rFonts w:ascii="Arial" w:eastAsia="Times New Roman" w:hAnsi="Arial" w:cs="Arial"/>
                <w:b/>
                <w:bCs/>
                <w:color w:val="000000"/>
                <w:sz w:val="18"/>
                <w:szCs w:val="18"/>
                <w:lang w:eastAsia="sl-SI"/>
              </w:rPr>
              <w:t>6.399</w:t>
            </w:r>
          </w:p>
        </w:tc>
        <w:tc>
          <w:tcPr>
            <w:tcW w:w="1095" w:type="pct"/>
            <w:tcBorders>
              <w:top w:val="nil"/>
              <w:left w:val="nil"/>
              <w:bottom w:val="single" w:sz="4" w:space="0" w:color="auto"/>
              <w:right w:val="single" w:sz="4" w:space="0" w:color="auto"/>
            </w:tcBorders>
            <w:shd w:val="clear" w:color="auto" w:fill="E7E6E6" w:themeFill="background2"/>
            <w:noWrap/>
            <w:vAlign w:val="center"/>
            <w:hideMark/>
          </w:tcPr>
          <w:p w14:paraId="7680E26D" w14:textId="77777777" w:rsidR="004212C9" w:rsidRPr="004212C9" w:rsidRDefault="004212C9" w:rsidP="002A48C8">
            <w:pPr>
              <w:spacing w:after="0" w:line="240" w:lineRule="auto"/>
              <w:jc w:val="right"/>
              <w:rPr>
                <w:rFonts w:ascii="Arial" w:eastAsia="Times New Roman" w:hAnsi="Arial" w:cs="Arial"/>
                <w:b/>
                <w:bCs/>
                <w:color w:val="000000"/>
                <w:sz w:val="18"/>
                <w:szCs w:val="18"/>
                <w:lang w:eastAsia="sl-SI"/>
              </w:rPr>
            </w:pPr>
            <w:r w:rsidRPr="004212C9">
              <w:rPr>
                <w:rFonts w:ascii="Arial" w:eastAsia="Times New Roman" w:hAnsi="Arial" w:cs="Arial"/>
                <w:b/>
                <w:bCs/>
                <w:color w:val="000000"/>
                <w:sz w:val="18"/>
                <w:szCs w:val="18"/>
                <w:lang w:eastAsia="sl-SI"/>
              </w:rPr>
              <w:t>661.604.154</w:t>
            </w:r>
          </w:p>
        </w:tc>
        <w:tc>
          <w:tcPr>
            <w:tcW w:w="533" w:type="pct"/>
            <w:tcBorders>
              <w:top w:val="nil"/>
              <w:left w:val="nil"/>
              <w:bottom w:val="single" w:sz="4" w:space="0" w:color="auto"/>
              <w:right w:val="single" w:sz="4" w:space="0" w:color="auto"/>
            </w:tcBorders>
            <w:shd w:val="clear" w:color="auto" w:fill="E7E6E6" w:themeFill="background2"/>
            <w:noWrap/>
            <w:vAlign w:val="center"/>
            <w:hideMark/>
          </w:tcPr>
          <w:p w14:paraId="497B5FFD" w14:textId="093B1479" w:rsidR="004212C9" w:rsidRPr="002A48C8" w:rsidRDefault="004212C9" w:rsidP="002A48C8">
            <w:pPr>
              <w:spacing w:after="0" w:line="240" w:lineRule="auto"/>
              <w:jc w:val="right"/>
              <w:rPr>
                <w:rFonts w:ascii="Arial" w:eastAsia="Times New Roman" w:hAnsi="Arial" w:cs="Arial"/>
                <w:b/>
                <w:color w:val="000000"/>
                <w:sz w:val="18"/>
                <w:szCs w:val="18"/>
                <w:lang w:eastAsia="sl-SI"/>
              </w:rPr>
            </w:pPr>
            <w:r w:rsidRPr="002A48C8">
              <w:rPr>
                <w:rFonts w:ascii="Arial" w:eastAsia="Times New Roman" w:hAnsi="Arial" w:cs="Arial"/>
                <w:b/>
                <w:color w:val="000000"/>
                <w:sz w:val="18"/>
                <w:szCs w:val="18"/>
                <w:lang w:eastAsia="sl-SI"/>
              </w:rPr>
              <w:t>100,00</w:t>
            </w:r>
            <w:r w:rsidR="002A48C8" w:rsidRPr="002A48C8">
              <w:rPr>
                <w:rFonts w:ascii="Arial" w:eastAsia="Times New Roman" w:hAnsi="Arial" w:cs="Arial"/>
                <w:b/>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E7E6E6" w:themeFill="background2"/>
            <w:noWrap/>
            <w:vAlign w:val="center"/>
            <w:hideMark/>
          </w:tcPr>
          <w:p w14:paraId="1D1E586F" w14:textId="51A56E0A" w:rsidR="004212C9" w:rsidRPr="002A48C8" w:rsidRDefault="004212C9" w:rsidP="002A48C8">
            <w:pPr>
              <w:spacing w:after="0" w:line="240" w:lineRule="auto"/>
              <w:jc w:val="right"/>
              <w:rPr>
                <w:rFonts w:ascii="Arial" w:eastAsia="Times New Roman" w:hAnsi="Arial" w:cs="Arial"/>
                <w:b/>
                <w:color w:val="000000"/>
                <w:sz w:val="18"/>
                <w:szCs w:val="18"/>
                <w:lang w:eastAsia="sl-SI"/>
              </w:rPr>
            </w:pPr>
            <w:r w:rsidRPr="002A48C8">
              <w:rPr>
                <w:rFonts w:ascii="Arial" w:eastAsia="Times New Roman" w:hAnsi="Arial" w:cs="Arial"/>
                <w:b/>
                <w:color w:val="000000"/>
                <w:sz w:val="18"/>
                <w:szCs w:val="18"/>
                <w:lang w:eastAsia="sl-SI"/>
              </w:rPr>
              <w:t>100,00</w:t>
            </w:r>
            <w:r w:rsidR="002A48C8" w:rsidRPr="002A48C8">
              <w:rPr>
                <w:rFonts w:ascii="Arial" w:eastAsia="Times New Roman" w:hAnsi="Arial" w:cs="Arial"/>
                <w:b/>
                <w:color w:val="000000"/>
                <w:sz w:val="18"/>
                <w:szCs w:val="18"/>
                <w:lang w:eastAsia="sl-SI"/>
              </w:rPr>
              <w:t xml:space="preserve"> %</w:t>
            </w:r>
          </w:p>
        </w:tc>
      </w:tr>
    </w:tbl>
    <w:p w14:paraId="4E43FA7F" w14:textId="77777777" w:rsidR="004A613D" w:rsidRPr="00E2275F" w:rsidRDefault="004A613D" w:rsidP="004A613D">
      <w:pPr>
        <w:spacing w:after="0" w:line="240" w:lineRule="auto"/>
        <w:jc w:val="center"/>
        <w:rPr>
          <w:rFonts w:ascii="Arial" w:hAnsi="Arial" w:cs="Arial"/>
          <w:sz w:val="18"/>
        </w:rPr>
      </w:pPr>
    </w:p>
    <w:p w14:paraId="3D22E892" w14:textId="79B2AEFA" w:rsidR="00B333AF" w:rsidRPr="00E2275F" w:rsidRDefault="00B333AF" w:rsidP="004A613D">
      <w:pPr>
        <w:spacing w:after="0" w:line="240" w:lineRule="auto"/>
        <w:jc w:val="center"/>
        <w:rPr>
          <w:rFonts w:ascii="Arial" w:hAnsi="Arial" w:cs="Arial"/>
          <w:sz w:val="18"/>
        </w:rPr>
      </w:pPr>
      <w:r w:rsidRPr="00E2275F">
        <w:rPr>
          <w:rFonts w:ascii="Arial" w:hAnsi="Arial" w:cs="Arial"/>
          <w:sz w:val="18"/>
        </w:rPr>
        <w:t>Vir: Statistični podatki o javnih naročilih, oddanih v letu 201</w:t>
      </w:r>
      <w:r w:rsidR="00984BE6" w:rsidRPr="00E2275F">
        <w:rPr>
          <w:rFonts w:ascii="Arial" w:hAnsi="Arial" w:cs="Arial"/>
          <w:sz w:val="18"/>
        </w:rPr>
        <w:t>8</w:t>
      </w:r>
    </w:p>
    <w:p w14:paraId="20762666" w14:textId="2E60F59F" w:rsidR="00B57693" w:rsidRPr="00EF2D0B" w:rsidRDefault="00B57693" w:rsidP="00854405">
      <w:pPr>
        <w:pStyle w:val="ZADEVA"/>
        <w:jc w:val="both"/>
        <w:rPr>
          <w:rFonts w:cs="Arial"/>
          <w:b w:val="0"/>
          <w:szCs w:val="20"/>
          <w:highlight w:val="yellow"/>
          <w:lang w:val="sl-SI"/>
        </w:rPr>
      </w:pPr>
    </w:p>
    <w:p w14:paraId="58BBB03F" w14:textId="77777777" w:rsidR="008F16D7" w:rsidRPr="00EF2D0B" w:rsidRDefault="008F16D7" w:rsidP="00854405">
      <w:pPr>
        <w:pStyle w:val="ZADEVA"/>
        <w:jc w:val="both"/>
        <w:rPr>
          <w:rFonts w:cs="Arial"/>
          <w:b w:val="0"/>
          <w:szCs w:val="20"/>
          <w:highlight w:val="yellow"/>
          <w:lang w:val="sl-SI"/>
        </w:rPr>
      </w:pPr>
    </w:p>
    <w:p w14:paraId="6FABD16C" w14:textId="7FA2C58F" w:rsidR="00B57693" w:rsidRPr="00294ED7" w:rsidRDefault="00B57693" w:rsidP="003C5315">
      <w:pPr>
        <w:pStyle w:val="Naslov4"/>
        <w:rPr>
          <w:rFonts w:ascii="Arial" w:hAnsi="Arial" w:cs="Arial"/>
          <w:i w:val="0"/>
        </w:rPr>
      </w:pPr>
      <w:bookmarkStart w:id="18" w:name="_Toc17114056"/>
      <w:r w:rsidRPr="00294ED7">
        <w:rPr>
          <w:rFonts w:ascii="Arial" w:hAnsi="Arial" w:cs="Arial"/>
          <w:i w:val="0"/>
        </w:rPr>
        <w:t>2.3.5.2 Izvajanje okvirnih sporazumov</w:t>
      </w:r>
      <w:bookmarkEnd w:id="18"/>
    </w:p>
    <w:p w14:paraId="2D8E092E" w14:textId="77777777" w:rsidR="00B57693" w:rsidRPr="00EF2D0B" w:rsidRDefault="00B57693" w:rsidP="00854405">
      <w:pPr>
        <w:pStyle w:val="ZADEVA"/>
        <w:jc w:val="both"/>
        <w:rPr>
          <w:rFonts w:cs="Arial"/>
          <w:b w:val="0"/>
          <w:szCs w:val="20"/>
          <w:highlight w:val="yellow"/>
          <w:lang w:val="sl-SI"/>
        </w:rPr>
      </w:pPr>
    </w:p>
    <w:p w14:paraId="384D02A7" w14:textId="5631C60F" w:rsidR="00EB25C7" w:rsidRPr="0050066E" w:rsidRDefault="006B7A7D" w:rsidP="00EB25C7">
      <w:pPr>
        <w:pStyle w:val="Standard"/>
        <w:spacing w:line="360" w:lineRule="auto"/>
        <w:rPr>
          <w:rFonts w:cs="Arial"/>
          <w:sz w:val="20"/>
          <w:szCs w:val="20"/>
        </w:rPr>
      </w:pPr>
      <w:r w:rsidRPr="00F3110A">
        <w:rPr>
          <w:rFonts w:cs="Arial"/>
          <w:sz w:val="20"/>
          <w:szCs w:val="20"/>
        </w:rPr>
        <w:t>Naročniki so oddajali naročila na podlagi okvirnih sporazumov, ki so bili z gospodarskimi su</w:t>
      </w:r>
      <w:r w:rsidR="006B7A33" w:rsidRPr="00F3110A">
        <w:rPr>
          <w:rFonts w:cs="Arial"/>
          <w:sz w:val="20"/>
          <w:szCs w:val="20"/>
        </w:rPr>
        <w:t>bjekti sklenjeni pred letom 201</w:t>
      </w:r>
      <w:r w:rsidR="00F3110A" w:rsidRPr="00F3110A">
        <w:rPr>
          <w:rFonts w:cs="Arial"/>
          <w:sz w:val="20"/>
          <w:szCs w:val="20"/>
        </w:rPr>
        <w:t>8</w:t>
      </w:r>
      <w:r w:rsidRPr="00F3110A">
        <w:rPr>
          <w:rFonts w:cs="Arial"/>
          <w:sz w:val="20"/>
          <w:szCs w:val="20"/>
        </w:rPr>
        <w:t xml:space="preserve"> in so velja</w:t>
      </w:r>
      <w:r w:rsidR="00E14B9E" w:rsidRPr="00F3110A">
        <w:rPr>
          <w:rFonts w:cs="Arial"/>
          <w:sz w:val="20"/>
          <w:szCs w:val="20"/>
        </w:rPr>
        <w:t>l</w:t>
      </w:r>
      <w:r w:rsidRPr="00F3110A">
        <w:rPr>
          <w:rFonts w:cs="Arial"/>
          <w:sz w:val="20"/>
          <w:szCs w:val="20"/>
        </w:rPr>
        <w:t>i let</w:t>
      </w:r>
      <w:r w:rsidR="00E14B9E" w:rsidRPr="00F3110A">
        <w:rPr>
          <w:rFonts w:cs="Arial"/>
          <w:sz w:val="20"/>
          <w:szCs w:val="20"/>
        </w:rPr>
        <w:t>a</w:t>
      </w:r>
      <w:r w:rsidR="006B7A33" w:rsidRPr="00F3110A">
        <w:rPr>
          <w:rFonts w:cs="Arial"/>
          <w:sz w:val="20"/>
          <w:szCs w:val="20"/>
        </w:rPr>
        <w:t xml:space="preserve"> 201</w:t>
      </w:r>
      <w:r w:rsidR="00F3110A" w:rsidRPr="00F3110A">
        <w:rPr>
          <w:rFonts w:cs="Arial"/>
          <w:sz w:val="20"/>
          <w:szCs w:val="20"/>
        </w:rPr>
        <w:t>8</w:t>
      </w:r>
      <w:r w:rsidRPr="00F3110A">
        <w:rPr>
          <w:rFonts w:cs="Arial"/>
          <w:sz w:val="20"/>
          <w:szCs w:val="20"/>
        </w:rPr>
        <w:t>, ter na podlagi okvirnih sp</w:t>
      </w:r>
      <w:r w:rsidR="006B7A33" w:rsidRPr="00F3110A">
        <w:rPr>
          <w:rFonts w:cs="Arial"/>
          <w:sz w:val="20"/>
          <w:szCs w:val="20"/>
        </w:rPr>
        <w:t>orazumov, sklenjenih let</w:t>
      </w:r>
      <w:r w:rsidR="00BC1956">
        <w:rPr>
          <w:rFonts w:cs="Arial"/>
          <w:sz w:val="20"/>
          <w:szCs w:val="20"/>
        </w:rPr>
        <w:t>a</w:t>
      </w:r>
      <w:r w:rsidR="006B7A33" w:rsidRPr="00F3110A">
        <w:rPr>
          <w:rFonts w:cs="Arial"/>
          <w:sz w:val="20"/>
          <w:szCs w:val="20"/>
        </w:rPr>
        <w:t xml:space="preserve"> 201</w:t>
      </w:r>
      <w:r w:rsidR="00F3110A" w:rsidRPr="00F3110A">
        <w:rPr>
          <w:rFonts w:cs="Arial"/>
          <w:sz w:val="20"/>
          <w:szCs w:val="20"/>
        </w:rPr>
        <w:t>8</w:t>
      </w:r>
      <w:r w:rsidRPr="00F3110A">
        <w:rPr>
          <w:rFonts w:cs="Arial"/>
          <w:sz w:val="20"/>
          <w:szCs w:val="20"/>
        </w:rPr>
        <w:t xml:space="preserve">. </w:t>
      </w:r>
      <w:r w:rsidRPr="000C58E8">
        <w:rPr>
          <w:rFonts w:cs="Arial"/>
          <w:sz w:val="20"/>
          <w:szCs w:val="20"/>
        </w:rPr>
        <w:t>Za oddana posamezna naročila na podlagi sklenjenega</w:t>
      </w:r>
      <w:r w:rsidR="000F61CF" w:rsidRPr="000C58E8">
        <w:rPr>
          <w:rFonts w:cs="Arial"/>
          <w:sz w:val="20"/>
          <w:szCs w:val="20"/>
        </w:rPr>
        <w:t xml:space="preserve"> okvirnega sporazuma v letu 201</w:t>
      </w:r>
      <w:r w:rsidR="00F3110A" w:rsidRPr="000C58E8">
        <w:rPr>
          <w:rFonts w:cs="Arial"/>
          <w:sz w:val="20"/>
          <w:szCs w:val="20"/>
        </w:rPr>
        <w:t>8</w:t>
      </w:r>
      <w:r w:rsidR="000F61CF" w:rsidRPr="000C58E8">
        <w:rPr>
          <w:rFonts w:cs="Arial"/>
          <w:sz w:val="20"/>
          <w:szCs w:val="20"/>
        </w:rPr>
        <w:t xml:space="preserve"> je 4</w:t>
      </w:r>
      <w:r w:rsidR="000C58E8" w:rsidRPr="000C58E8">
        <w:rPr>
          <w:rFonts w:cs="Arial"/>
          <w:sz w:val="20"/>
          <w:szCs w:val="20"/>
        </w:rPr>
        <w:t>23</w:t>
      </w:r>
      <w:r w:rsidRPr="000C58E8">
        <w:rPr>
          <w:rFonts w:cs="Arial"/>
          <w:sz w:val="20"/>
          <w:szCs w:val="20"/>
        </w:rPr>
        <w:t xml:space="preserve"> naročnikov objavilo 1</w:t>
      </w:r>
      <w:r w:rsidR="000F61CF" w:rsidRPr="000C58E8">
        <w:rPr>
          <w:rFonts w:cs="Arial"/>
          <w:sz w:val="20"/>
          <w:szCs w:val="20"/>
        </w:rPr>
        <w:t>0</w:t>
      </w:r>
      <w:r w:rsidR="000C58E8" w:rsidRPr="000C58E8">
        <w:rPr>
          <w:rFonts w:cs="Arial"/>
          <w:sz w:val="20"/>
          <w:szCs w:val="20"/>
        </w:rPr>
        <w:t>02</w:t>
      </w:r>
      <w:r w:rsidRPr="000C58E8">
        <w:rPr>
          <w:rFonts w:cs="Arial"/>
          <w:sz w:val="20"/>
          <w:szCs w:val="20"/>
        </w:rPr>
        <w:t xml:space="preserve"> obvestil</w:t>
      </w:r>
      <w:r w:rsidR="00BC1956">
        <w:rPr>
          <w:rFonts w:cs="Arial"/>
          <w:sz w:val="20"/>
          <w:szCs w:val="20"/>
        </w:rPr>
        <w:t>i</w:t>
      </w:r>
      <w:r w:rsidRPr="000C58E8">
        <w:rPr>
          <w:rFonts w:cs="Arial"/>
          <w:sz w:val="20"/>
          <w:szCs w:val="20"/>
        </w:rPr>
        <w:t xml:space="preserve"> o oddaji naročil na podlagi sklenjenih okvirnih sporazumov</w:t>
      </w:r>
      <w:r w:rsidR="00B21019" w:rsidRPr="000C58E8">
        <w:rPr>
          <w:rFonts w:cs="Arial"/>
          <w:sz w:val="20"/>
          <w:szCs w:val="20"/>
        </w:rPr>
        <w:t>.</w:t>
      </w:r>
      <w:r w:rsidRPr="000C58E8">
        <w:rPr>
          <w:rFonts w:cs="Arial"/>
          <w:sz w:val="20"/>
          <w:szCs w:val="20"/>
        </w:rPr>
        <w:t xml:space="preserve"> Na</w:t>
      </w:r>
      <w:r w:rsidRPr="0050066E">
        <w:rPr>
          <w:rFonts w:cs="Arial"/>
          <w:sz w:val="20"/>
          <w:szCs w:val="20"/>
        </w:rPr>
        <w:t xml:space="preserve"> podlagi sklenjenih okvirnih sporazumov so oddali </w:t>
      </w:r>
      <w:r w:rsidR="005207CA" w:rsidRPr="0050066E">
        <w:rPr>
          <w:rFonts w:cs="Arial"/>
          <w:sz w:val="20"/>
          <w:szCs w:val="20"/>
        </w:rPr>
        <w:t xml:space="preserve">posamezna </w:t>
      </w:r>
      <w:r w:rsidRPr="0050066E">
        <w:rPr>
          <w:rFonts w:cs="Arial"/>
          <w:sz w:val="20"/>
          <w:szCs w:val="20"/>
        </w:rPr>
        <w:t>naročil</w:t>
      </w:r>
      <w:r w:rsidR="005207CA" w:rsidRPr="0050066E">
        <w:rPr>
          <w:rFonts w:cs="Arial"/>
          <w:sz w:val="20"/>
          <w:szCs w:val="20"/>
        </w:rPr>
        <w:t>a</w:t>
      </w:r>
      <w:r w:rsidRPr="0050066E">
        <w:rPr>
          <w:rFonts w:cs="Arial"/>
          <w:sz w:val="20"/>
          <w:szCs w:val="20"/>
        </w:rPr>
        <w:t xml:space="preserve"> v vrednosti </w:t>
      </w:r>
      <w:r w:rsidR="0050066E" w:rsidRPr="0050066E">
        <w:rPr>
          <w:rFonts w:cs="Arial"/>
          <w:sz w:val="20"/>
          <w:szCs w:val="20"/>
        </w:rPr>
        <w:t xml:space="preserve">697.830.714 </w:t>
      </w:r>
      <w:r w:rsidRPr="0050066E">
        <w:rPr>
          <w:rFonts w:cs="Arial"/>
          <w:sz w:val="20"/>
          <w:szCs w:val="20"/>
        </w:rPr>
        <w:t xml:space="preserve">evrov, od tega za </w:t>
      </w:r>
      <w:r w:rsidR="0050066E" w:rsidRPr="0050066E">
        <w:rPr>
          <w:rFonts w:cs="Arial"/>
          <w:sz w:val="20"/>
          <w:szCs w:val="20"/>
        </w:rPr>
        <w:t xml:space="preserve">616.719.611 </w:t>
      </w:r>
      <w:r w:rsidRPr="0050066E">
        <w:rPr>
          <w:rFonts w:cs="Arial"/>
          <w:sz w:val="20"/>
          <w:szCs w:val="20"/>
          <w:lang w:eastAsia="sl-SI"/>
        </w:rPr>
        <w:t xml:space="preserve">evrov na splošnem področju, za </w:t>
      </w:r>
      <w:r w:rsidR="0050066E" w:rsidRPr="0050066E">
        <w:rPr>
          <w:rFonts w:cs="Arial"/>
          <w:sz w:val="20"/>
          <w:szCs w:val="20"/>
        </w:rPr>
        <w:t xml:space="preserve">81.111.103 </w:t>
      </w:r>
      <w:r w:rsidRPr="0050066E">
        <w:rPr>
          <w:rFonts w:cs="Arial"/>
          <w:sz w:val="20"/>
          <w:szCs w:val="20"/>
          <w:lang w:eastAsia="sl-SI"/>
        </w:rPr>
        <w:t>evrov na infrastrukturnem področju</w:t>
      </w:r>
      <w:r w:rsidR="005207CA" w:rsidRPr="0050066E">
        <w:rPr>
          <w:rFonts w:cs="Arial"/>
          <w:sz w:val="20"/>
          <w:szCs w:val="20"/>
          <w:lang w:eastAsia="sl-SI"/>
        </w:rPr>
        <w:t xml:space="preserve">, </w:t>
      </w:r>
      <w:r w:rsidRPr="0050066E">
        <w:rPr>
          <w:rFonts w:cs="Arial"/>
          <w:sz w:val="20"/>
          <w:szCs w:val="20"/>
          <w:lang w:eastAsia="sl-SI"/>
        </w:rPr>
        <w:t>na obrambnem področju</w:t>
      </w:r>
      <w:r w:rsidR="005207CA" w:rsidRPr="0050066E">
        <w:rPr>
          <w:rFonts w:cs="Arial"/>
          <w:sz w:val="20"/>
          <w:szCs w:val="20"/>
        </w:rPr>
        <w:t xml:space="preserve"> pa ni bilo oddan</w:t>
      </w:r>
      <w:r w:rsidR="00A23AB7" w:rsidRPr="0050066E">
        <w:rPr>
          <w:rFonts w:cs="Arial"/>
          <w:sz w:val="20"/>
          <w:szCs w:val="20"/>
        </w:rPr>
        <w:t>o</w:t>
      </w:r>
      <w:r w:rsidR="005207CA" w:rsidRPr="0050066E">
        <w:rPr>
          <w:rFonts w:cs="Arial"/>
          <w:sz w:val="20"/>
          <w:szCs w:val="20"/>
        </w:rPr>
        <w:t xml:space="preserve"> </w:t>
      </w:r>
      <w:r w:rsidR="00E14B9E" w:rsidRPr="0050066E">
        <w:rPr>
          <w:rFonts w:cs="Arial"/>
          <w:sz w:val="20"/>
          <w:szCs w:val="20"/>
        </w:rPr>
        <w:t>noben</w:t>
      </w:r>
      <w:r w:rsidR="00A23AB7" w:rsidRPr="0050066E">
        <w:rPr>
          <w:rFonts w:cs="Arial"/>
          <w:sz w:val="20"/>
          <w:szCs w:val="20"/>
        </w:rPr>
        <w:t>o</w:t>
      </w:r>
      <w:r w:rsidR="00E14B9E" w:rsidRPr="0050066E">
        <w:rPr>
          <w:rFonts w:cs="Arial"/>
          <w:sz w:val="20"/>
          <w:szCs w:val="20"/>
        </w:rPr>
        <w:t xml:space="preserve"> </w:t>
      </w:r>
      <w:r w:rsidR="005207CA" w:rsidRPr="0050066E">
        <w:rPr>
          <w:rFonts w:cs="Arial"/>
          <w:sz w:val="20"/>
          <w:szCs w:val="20"/>
        </w:rPr>
        <w:t>posamezn</w:t>
      </w:r>
      <w:r w:rsidR="00A23AB7" w:rsidRPr="0050066E">
        <w:rPr>
          <w:rFonts w:cs="Arial"/>
          <w:sz w:val="20"/>
          <w:szCs w:val="20"/>
        </w:rPr>
        <w:t>o</w:t>
      </w:r>
      <w:r w:rsidR="005207CA" w:rsidRPr="0050066E">
        <w:rPr>
          <w:rFonts w:cs="Arial"/>
          <w:sz w:val="20"/>
          <w:szCs w:val="20"/>
        </w:rPr>
        <w:t xml:space="preserve"> naročil</w:t>
      </w:r>
      <w:r w:rsidR="00A23AB7" w:rsidRPr="0050066E">
        <w:rPr>
          <w:rFonts w:cs="Arial"/>
          <w:sz w:val="20"/>
          <w:szCs w:val="20"/>
        </w:rPr>
        <w:t>o</w:t>
      </w:r>
      <w:r w:rsidR="005207CA" w:rsidRPr="0050066E">
        <w:rPr>
          <w:rFonts w:cs="Arial"/>
          <w:sz w:val="20"/>
          <w:szCs w:val="20"/>
        </w:rPr>
        <w:t>.</w:t>
      </w:r>
    </w:p>
    <w:p w14:paraId="7D6B9974" w14:textId="01A9B811" w:rsidR="00EB25C7" w:rsidRPr="00294ED7" w:rsidRDefault="00EB25C7" w:rsidP="008A61FD">
      <w:pPr>
        <w:spacing w:before="120" w:after="120" w:line="240" w:lineRule="auto"/>
        <w:jc w:val="both"/>
        <w:rPr>
          <w:rFonts w:ascii="Arial" w:hAnsi="Arial" w:cs="Arial"/>
          <w:sz w:val="20"/>
        </w:rPr>
      </w:pPr>
      <w:r w:rsidRPr="00294ED7">
        <w:rPr>
          <w:rFonts w:ascii="Arial" w:hAnsi="Arial" w:cs="Arial"/>
          <w:sz w:val="20"/>
        </w:rPr>
        <w:t xml:space="preserve">Preglednica </w:t>
      </w:r>
      <w:r w:rsidR="00E430F6" w:rsidRPr="00294ED7">
        <w:rPr>
          <w:rFonts w:ascii="Arial" w:hAnsi="Arial" w:cs="Arial"/>
          <w:sz w:val="20"/>
        </w:rPr>
        <w:t>2</w:t>
      </w:r>
      <w:r w:rsidR="00EB4423">
        <w:rPr>
          <w:rFonts w:ascii="Arial" w:hAnsi="Arial" w:cs="Arial"/>
          <w:sz w:val="20"/>
        </w:rPr>
        <w:t>2</w:t>
      </w:r>
      <w:r w:rsidRPr="00294ED7">
        <w:rPr>
          <w:rFonts w:ascii="Arial" w:hAnsi="Arial" w:cs="Arial"/>
          <w:sz w:val="20"/>
        </w:rPr>
        <w:t>: Oddaja posameznih naročil na podlagi sklenjenih okvirnih sporazumov glede na področje in predmet naročanja</w:t>
      </w:r>
    </w:p>
    <w:tbl>
      <w:tblPr>
        <w:tblW w:w="4961" w:type="dxa"/>
        <w:jc w:val="center"/>
        <w:tblCellMar>
          <w:left w:w="70" w:type="dxa"/>
          <w:right w:w="70" w:type="dxa"/>
        </w:tblCellMar>
        <w:tblLook w:val="04A0" w:firstRow="1" w:lastRow="0" w:firstColumn="1" w:lastColumn="0" w:noHBand="0" w:noVBand="1"/>
      </w:tblPr>
      <w:tblGrid>
        <w:gridCol w:w="1561"/>
        <w:gridCol w:w="1540"/>
        <w:gridCol w:w="1860"/>
      </w:tblGrid>
      <w:tr w:rsidR="005207CA" w:rsidRPr="00294ED7" w14:paraId="1B008E43" w14:textId="77777777" w:rsidTr="000210E2">
        <w:trPr>
          <w:trHeight w:val="480"/>
          <w:tblHeader/>
          <w:jc w:val="center"/>
        </w:trPr>
        <w:tc>
          <w:tcPr>
            <w:tcW w:w="15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9B311CC" w14:textId="77777777" w:rsidR="005207CA" w:rsidRPr="00294ED7" w:rsidRDefault="005207CA" w:rsidP="005207CA">
            <w:pPr>
              <w:spacing w:after="0" w:line="240" w:lineRule="auto"/>
              <w:jc w:val="center"/>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Področje</w:t>
            </w:r>
          </w:p>
        </w:tc>
        <w:tc>
          <w:tcPr>
            <w:tcW w:w="15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BE79B4" w14:textId="77777777" w:rsidR="005207CA" w:rsidRPr="00294ED7" w:rsidRDefault="005207CA" w:rsidP="005207CA">
            <w:pPr>
              <w:spacing w:after="0" w:line="240" w:lineRule="auto"/>
              <w:jc w:val="center"/>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Predmet</w:t>
            </w:r>
          </w:p>
        </w:tc>
        <w:tc>
          <w:tcPr>
            <w:tcW w:w="18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4FC9E2" w14:textId="77777777" w:rsidR="005207CA" w:rsidRPr="00294ED7" w:rsidRDefault="005207CA" w:rsidP="005207CA">
            <w:pPr>
              <w:spacing w:after="0" w:line="240" w:lineRule="auto"/>
              <w:jc w:val="center"/>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Vrednost posameznih naročil</w:t>
            </w:r>
          </w:p>
        </w:tc>
      </w:tr>
      <w:tr w:rsidR="003D30BF" w:rsidRPr="00294ED7" w14:paraId="052D2750" w14:textId="77777777" w:rsidTr="00294ED7">
        <w:trPr>
          <w:trHeight w:val="300"/>
          <w:jc w:val="center"/>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6BCA" w14:textId="335735DC" w:rsidR="003D30BF" w:rsidRPr="00294ED7" w:rsidRDefault="003D30BF" w:rsidP="003D30BF">
            <w:pPr>
              <w:spacing w:after="0" w:line="240" w:lineRule="auto"/>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Splošno</w:t>
            </w:r>
          </w:p>
        </w:tc>
        <w:tc>
          <w:tcPr>
            <w:tcW w:w="1540" w:type="dxa"/>
            <w:tcBorders>
              <w:top w:val="nil"/>
              <w:left w:val="nil"/>
              <w:bottom w:val="single" w:sz="4" w:space="0" w:color="auto"/>
              <w:right w:val="single" w:sz="4" w:space="0" w:color="auto"/>
            </w:tcBorders>
            <w:shd w:val="clear" w:color="auto" w:fill="auto"/>
            <w:vAlign w:val="center"/>
            <w:hideMark/>
          </w:tcPr>
          <w:p w14:paraId="645A2136" w14:textId="6614AE3A" w:rsidR="003D30BF" w:rsidRPr="00294ED7" w:rsidRDefault="003D30BF" w:rsidP="003D30BF">
            <w:pPr>
              <w:spacing w:after="0" w:line="240" w:lineRule="auto"/>
              <w:jc w:val="both"/>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Blago</w:t>
            </w:r>
          </w:p>
        </w:tc>
        <w:tc>
          <w:tcPr>
            <w:tcW w:w="1860" w:type="dxa"/>
            <w:tcBorders>
              <w:top w:val="nil"/>
              <w:left w:val="nil"/>
              <w:bottom w:val="single" w:sz="4" w:space="0" w:color="auto"/>
              <w:right w:val="single" w:sz="4" w:space="0" w:color="auto"/>
            </w:tcBorders>
            <w:shd w:val="clear" w:color="auto" w:fill="auto"/>
            <w:vAlign w:val="center"/>
            <w:hideMark/>
          </w:tcPr>
          <w:p w14:paraId="70B90622" w14:textId="069A1336" w:rsidR="003D30BF" w:rsidRPr="00294ED7" w:rsidRDefault="003D30BF" w:rsidP="00294ED7">
            <w:pPr>
              <w:spacing w:after="0" w:line="240" w:lineRule="auto"/>
              <w:jc w:val="right"/>
              <w:rPr>
                <w:rFonts w:ascii="Arial" w:eastAsia="Times New Roman" w:hAnsi="Arial" w:cs="Arial"/>
                <w:color w:val="000000"/>
                <w:sz w:val="18"/>
                <w:szCs w:val="18"/>
                <w:lang w:eastAsia="sl-SI"/>
              </w:rPr>
            </w:pPr>
            <w:r w:rsidRPr="00294ED7">
              <w:rPr>
                <w:rFonts w:ascii="Arial" w:hAnsi="Arial" w:cs="Arial"/>
                <w:sz w:val="18"/>
                <w:szCs w:val="18"/>
              </w:rPr>
              <w:t>372.702.336</w:t>
            </w:r>
          </w:p>
        </w:tc>
      </w:tr>
      <w:tr w:rsidR="003D30BF" w:rsidRPr="00294ED7" w14:paraId="3507DA2A" w14:textId="77777777" w:rsidTr="00294ED7">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3049DD56" w14:textId="77777777" w:rsidR="003D30BF" w:rsidRPr="00294ED7" w:rsidRDefault="003D30BF" w:rsidP="003D30BF">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1CBD0BB4" w14:textId="6D1C75DB" w:rsidR="003D30BF" w:rsidRPr="00294ED7" w:rsidRDefault="003D30BF" w:rsidP="003D30BF">
            <w:pPr>
              <w:spacing w:after="0" w:line="240" w:lineRule="auto"/>
              <w:jc w:val="both"/>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Storitve</w:t>
            </w:r>
          </w:p>
        </w:tc>
        <w:tc>
          <w:tcPr>
            <w:tcW w:w="1860" w:type="dxa"/>
            <w:tcBorders>
              <w:top w:val="nil"/>
              <w:left w:val="nil"/>
              <w:bottom w:val="single" w:sz="4" w:space="0" w:color="auto"/>
              <w:right w:val="single" w:sz="4" w:space="0" w:color="auto"/>
            </w:tcBorders>
            <w:shd w:val="clear" w:color="auto" w:fill="auto"/>
            <w:vAlign w:val="center"/>
            <w:hideMark/>
          </w:tcPr>
          <w:p w14:paraId="1B76BB9B" w14:textId="2369D846" w:rsidR="003D30BF" w:rsidRPr="00294ED7" w:rsidRDefault="003D30BF" w:rsidP="00294ED7">
            <w:pPr>
              <w:spacing w:after="0" w:line="240" w:lineRule="auto"/>
              <w:jc w:val="right"/>
              <w:rPr>
                <w:rFonts w:ascii="Arial" w:eastAsia="Times New Roman" w:hAnsi="Arial" w:cs="Arial"/>
                <w:color w:val="000000"/>
                <w:sz w:val="18"/>
                <w:szCs w:val="18"/>
                <w:lang w:eastAsia="sl-SI"/>
              </w:rPr>
            </w:pPr>
            <w:r w:rsidRPr="00294ED7">
              <w:rPr>
                <w:rFonts w:ascii="Arial" w:hAnsi="Arial" w:cs="Arial"/>
                <w:sz w:val="18"/>
                <w:szCs w:val="18"/>
              </w:rPr>
              <w:t>222.776.763</w:t>
            </w:r>
          </w:p>
        </w:tc>
      </w:tr>
      <w:tr w:rsidR="003D30BF" w:rsidRPr="00294ED7" w14:paraId="0336FBE2" w14:textId="77777777" w:rsidTr="00294ED7">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09494139" w14:textId="77777777" w:rsidR="003D30BF" w:rsidRPr="00294ED7" w:rsidRDefault="003D30BF" w:rsidP="003D30BF">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5A57D184" w14:textId="0A2085B2" w:rsidR="003D30BF" w:rsidRPr="00294ED7" w:rsidRDefault="003D30BF" w:rsidP="003D30BF">
            <w:pPr>
              <w:spacing w:after="0" w:line="240" w:lineRule="auto"/>
              <w:jc w:val="both"/>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Gradnje</w:t>
            </w:r>
          </w:p>
        </w:tc>
        <w:tc>
          <w:tcPr>
            <w:tcW w:w="1860" w:type="dxa"/>
            <w:tcBorders>
              <w:top w:val="nil"/>
              <w:left w:val="nil"/>
              <w:bottom w:val="single" w:sz="4" w:space="0" w:color="auto"/>
              <w:right w:val="single" w:sz="4" w:space="0" w:color="auto"/>
            </w:tcBorders>
            <w:shd w:val="clear" w:color="auto" w:fill="auto"/>
            <w:vAlign w:val="center"/>
            <w:hideMark/>
          </w:tcPr>
          <w:p w14:paraId="760D9C6D" w14:textId="7F850FFB" w:rsidR="003D30BF" w:rsidRPr="00294ED7" w:rsidRDefault="003D30BF" w:rsidP="00294ED7">
            <w:pPr>
              <w:spacing w:after="0" w:line="240" w:lineRule="auto"/>
              <w:jc w:val="right"/>
              <w:rPr>
                <w:rFonts w:ascii="Arial" w:eastAsia="Times New Roman" w:hAnsi="Arial" w:cs="Arial"/>
                <w:color w:val="000000"/>
                <w:sz w:val="18"/>
                <w:szCs w:val="18"/>
                <w:lang w:eastAsia="sl-SI"/>
              </w:rPr>
            </w:pPr>
            <w:r w:rsidRPr="00294ED7">
              <w:rPr>
                <w:rFonts w:ascii="Arial" w:hAnsi="Arial" w:cs="Arial"/>
                <w:sz w:val="18"/>
                <w:szCs w:val="18"/>
              </w:rPr>
              <w:t>21.240.512</w:t>
            </w:r>
          </w:p>
        </w:tc>
      </w:tr>
      <w:tr w:rsidR="003D30BF" w:rsidRPr="00294ED7" w14:paraId="31E92414" w14:textId="77777777" w:rsidTr="00294ED7">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6F69D15C" w14:textId="77777777" w:rsidR="003D30BF" w:rsidRPr="00294ED7" w:rsidRDefault="003D30BF" w:rsidP="003D30BF">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4991A278" w14:textId="0C938CD7" w:rsidR="003D30BF" w:rsidRPr="00294ED7" w:rsidRDefault="003D30BF" w:rsidP="003D30BF">
            <w:pPr>
              <w:spacing w:after="0" w:line="240" w:lineRule="auto"/>
              <w:jc w:val="both"/>
              <w:rPr>
                <w:rFonts w:ascii="Arial" w:eastAsia="Times New Roman" w:hAnsi="Arial" w:cs="Arial"/>
                <w:b/>
                <w:bCs/>
                <w:color w:val="000000"/>
                <w:sz w:val="18"/>
                <w:szCs w:val="18"/>
                <w:lang w:eastAsia="sl-SI"/>
              </w:rPr>
            </w:pPr>
            <w:r w:rsidRPr="00294ED7">
              <w:rPr>
                <w:rFonts w:ascii="Arial" w:eastAsia="Times New Roman" w:hAnsi="Arial" w:cs="Arial"/>
                <w:b/>
                <w:bCs/>
                <w:color w:val="000000"/>
                <w:sz w:val="18"/>
                <w:szCs w:val="18"/>
                <w:lang w:eastAsia="sl-SI"/>
              </w:rPr>
              <w:t>Skupaj</w:t>
            </w:r>
          </w:p>
        </w:tc>
        <w:tc>
          <w:tcPr>
            <w:tcW w:w="1860" w:type="dxa"/>
            <w:tcBorders>
              <w:top w:val="nil"/>
              <w:left w:val="nil"/>
              <w:bottom w:val="single" w:sz="4" w:space="0" w:color="auto"/>
              <w:right w:val="single" w:sz="4" w:space="0" w:color="auto"/>
            </w:tcBorders>
            <w:shd w:val="clear" w:color="auto" w:fill="auto"/>
            <w:vAlign w:val="center"/>
            <w:hideMark/>
          </w:tcPr>
          <w:p w14:paraId="7312C3A9" w14:textId="0E919E1C" w:rsidR="003D30BF" w:rsidRPr="0050066E" w:rsidRDefault="003D30BF" w:rsidP="00294ED7">
            <w:pPr>
              <w:spacing w:after="0" w:line="240" w:lineRule="auto"/>
              <w:jc w:val="right"/>
              <w:rPr>
                <w:rFonts w:ascii="Arial" w:eastAsia="Times New Roman" w:hAnsi="Arial" w:cs="Arial"/>
                <w:b/>
                <w:color w:val="000000"/>
                <w:sz w:val="18"/>
                <w:szCs w:val="18"/>
                <w:lang w:eastAsia="sl-SI"/>
              </w:rPr>
            </w:pPr>
            <w:r w:rsidRPr="0050066E">
              <w:rPr>
                <w:rFonts w:ascii="Arial" w:hAnsi="Arial" w:cs="Arial"/>
                <w:b/>
                <w:sz w:val="18"/>
                <w:szCs w:val="18"/>
              </w:rPr>
              <w:t>616.719.611</w:t>
            </w:r>
          </w:p>
        </w:tc>
      </w:tr>
      <w:tr w:rsidR="003D30BF" w:rsidRPr="00294ED7" w14:paraId="66CA7394" w14:textId="77777777" w:rsidTr="00294ED7">
        <w:trPr>
          <w:trHeight w:val="300"/>
          <w:jc w:val="center"/>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14:paraId="5819EC81" w14:textId="4AE08A5A" w:rsidR="003D30BF" w:rsidRPr="00294ED7" w:rsidRDefault="003D30BF" w:rsidP="003D30BF">
            <w:pPr>
              <w:spacing w:after="0" w:line="240" w:lineRule="auto"/>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Infrastrukturno</w:t>
            </w:r>
          </w:p>
        </w:tc>
        <w:tc>
          <w:tcPr>
            <w:tcW w:w="1540" w:type="dxa"/>
            <w:tcBorders>
              <w:top w:val="nil"/>
              <w:left w:val="nil"/>
              <w:bottom w:val="single" w:sz="4" w:space="0" w:color="auto"/>
              <w:right w:val="single" w:sz="4" w:space="0" w:color="auto"/>
            </w:tcBorders>
            <w:shd w:val="clear" w:color="auto" w:fill="auto"/>
            <w:vAlign w:val="center"/>
            <w:hideMark/>
          </w:tcPr>
          <w:p w14:paraId="7592F783" w14:textId="59755315" w:rsidR="003D30BF" w:rsidRPr="00294ED7" w:rsidRDefault="003D30BF" w:rsidP="003D30BF">
            <w:pPr>
              <w:spacing w:after="0" w:line="240" w:lineRule="auto"/>
              <w:jc w:val="both"/>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Blago</w:t>
            </w:r>
          </w:p>
        </w:tc>
        <w:tc>
          <w:tcPr>
            <w:tcW w:w="1860" w:type="dxa"/>
            <w:tcBorders>
              <w:top w:val="nil"/>
              <w:left w:val="nil"/>
              <w:bottom w:val="single" w:sz="4" w:space="0" w:color="auto"/>
              <w:right w:val="single" w:sz="4" w:space="0" w:color="auto"/>
            </w:tcBorders>
            <w:shd w:val="clear" w:color="auto" w:fill="auto"/>
            <w:vAlign w:val="center"/>
            <w:hideMark/>
          </w:tcPr>
          <w:p w14:paraId="222E56F3" w14:textId="45AF5792" w:rsidR="003D30BF" w:rsidRPr="00294ED7" w:rsidRDefault="003D30BF" w:rsidP="00294ED7">
            <w:pPr>
              <w:spacing w:after="0" w:line="240" w:lineRule="auto"/>
              <w:jc w:val="right"/>
              <w:rPr>
                <w:rFonts w:ascii="Arial" w:eastAsia="Times New Roman" w:hAnsi="Arial" w:cs="Arial"/>
                <w:color w:val="000000"/>
                <w:sz w:val="18"/>
                <w:szCs w:val="18"/>
                <w:lang w:eastAsia="sl-SI"/>
              </w:rPr>
            </w:pPr>
            <w:r w:rsidRPr="00294ED7">
              <w:rPr>
                <w:rFonts w:ascii="Arial" w:hAnsi="Arial" w:cs="Arial"/>
                <w:sz w:val="18"/>
                <w:szCs w:val="18"/>
              </w:rPr>
              <w:t>38.385.548</w:t>
            </w:r>
          </w:p>
        </w:tc>
      </w:tr>
      <w:tr w:rsidR="003D30BF" w:rsidRPr="00294ED7" w14:paraId="22E2457A" w14:textId="77777777" w:rsidTr="00294ED7">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7FC0E3A8" w14:textId="77777777" w:rsidR="003D30BF" w:rsidRPr="00294ED7" w:rsidRDefault="003D30BF" w:rsidP="003D30BF">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25EA9DA4" w14:textId="0A6B3C56" w:rsidR="003D30BF" w:rsidRPr="00294ED7" w:rsidRDefault="003D30BF" w:rsidP="003D30BF">
            <w:pPr>
              <w:spacing w:after="0" w:line="240" w:lineRule="auto"/>
              <w:jc w:val="both"/>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Storitve</w:t>
            </w:r>
          </w:p>
        </w:tc>
        <w:tc>
          <w:tcPr>
            <w:tcW w:w="1860" w:type="dxa"/>
            <w:tcBorders>
              <w:top w:val="nil"/>
              <w:left w:val="nil"/>
              <w:bottom w:val="single" w:sz="4" w:space="0" w:color="auto"/>
              <w:right w:val="single" w:sz="4" w:space="0" w:color="auto"/>
            </w:tcBorders>
            <w:shd w:val="clear" w:color="auto" w:fill="auto"/>
            <w:vAlign w:val="center"/>
            <w:hideMark/>
          </w:tcPr>
          <w:p w14:paraId="34AE6EED" w14:textId="33FD6B81" w:rsidR="003D30BF" w:rsidRPr="00294ED7" w:rsidRDefault="003D30BF" w:rsidP="00294ED7">
            <w:pPr>
              <w:spacing w:after="0" w:line="240" w:lineRule="auto"/>
              <w:jc w:val="right"/>
              <w:rPr>
                <w:rFonts w:ascii="Arial" w:eastAsia="Times New Roman" w:hAnsi="Arial" w:cs="Arial"/>
                <w:color w:val="000000"/>
                <w:sz w:val="18"/>
                <w:szCs w:val="18"/>
                <w:lang w:eastAsia="sl-SI"/>
              </w:rPr>
            </w:pPr>
            <w:r w:rsidRPr="00294ED7">
              <w:rPr>
                <w:rFonts w:ascii="Arial" w:hAnsi="Arial" w:cs="Arial"/>
                <w:sz w:val="18"/>
                <w:szCs w:val="18"/>
              </w:rPr>
              <w:t>30.264.210</w:t>
            </w:r>
          </w:p>
        </w:tc>
      </w:tr>
      <w:tr w:rsidR="003D30BF" w:rsidRPr="00294ED7" w14:paraId="219E077F" w14:textId="77777777" w:rsidTr="00294ED7">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5D9028D1" w14:textId="77777777" w:rsidR="003D30BF" w:rsidRPr="00294ED7" w:rsidRDefault="003D30BF" w:rsidP="003D30BF">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7E7ACF69" w14:textId="6C1BD61C" w:rsidR="003D30BF" w:rsidRPr="00294ED7" w:rsidRDefault="003D30BF" w:rsidP="003D30BF">
            <w:pPr>
              <w:spacing w:after="0" w:line="240" w:lineRule="auto"/>
              <w:jc w:val="both"/>
              <w:rPr>
                <w:rFonts w:ascii="Arial" w:eastAsia="Times New Roman" w:hAnsi="Arial" w:cs="Arial"/>
                <w:color w:val="000000"/>
                <w:sz w:val="18"/>
                <w:szCs w:val="18"/>
                <w:lang w:eastAsia="sl-SI"/>
              </w:rPr>
            </w:pPr>
            <w:r w:rsidRPr="00294ED7">
              <w:rPr>
                <w:rFonts w:ascii="Arial" w:eastAsia="Times New Roman" w:hAnsi="Arial" w:cs="Arial"/>
                <w:color w:val="000000"/>
                <w:sz w:val="18"/>
                <w:szCs w:val="18"/>
                <w:lang w:eastAsia="sl-SI"/>
              </w:rPr>
              <w:t>Gradnje</w:t>
            </w:r>
          </w:p>
        </w:tc>
        <w:tc>
          <w:tcPr>
            <w:tcW w:w="1860" w:type="dxa"/>
            <w:tcBorders>
              <w:top w:val="nil"/>
              <w:left w:val="nil"/>
              <w:bottom w:val="single" w:sz="4" w:space="0" w:color="auto"/>
              <w:right w:val="single" w:sz="4" w:space="0" w:color="auto"/>
            </w:tcBorders>
            <w:shd w:val="clear" w:color="auto" w:fill="auto"/>
            <w:vAlign w:val="center"/>
            <w:hideMark/>
          </w:tcPr>
          <w:p w14:paraId="4873E827" w14:textId="77B67153" w:rsidR="003D30BF" w:rsidRPr="00294ED7" w:rsidRDefault="003D30BF" w:rsidP="00294ED7">
            <w:pPr>
              <w:spacing w:after="0" w:line="240" w:lineRule="auto"/>
              <w:jc w:val="right"/>
              <w:rPr>
                <w:rFonts w:ascii="Arial" w:eastAsia="Times New Roman" w:hAnsi="Arial" w:cs="Arial"/>
                <w:color w:val="000000"/>
                <w:sz w:val="18"/>
                <w:szCs w:val="18"/>
                <w:lang w:eastAsia="sl-SI"/>
              </w:rPr>
            </w:pPr>
            <w:r w:rsidRPr="00294ED7">
              <w:rPr>
                <w:rFonts w:ascii="Arial" w:hAnsi="Arial" w:cs="Arial"/>
                <w:sz w:val="18"/>
                <w:szCs w:val="18"/>
              </w:rPr>
              <w:t>12.461.345</w:t>
            </w:r>
          </w:p>
        </w:tc>
      </w:tr>
      <w:tr w:rsidR="003D30BF" w:rsidRPr="00294ED7" w14:paraId="3C3BA6C0" w14:textId="77777777" w:rsidTr="00294ED7">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4692591F" w14:textId="77777777" w:rsidR="003D30BF" w:rsidRPr="00294ED7" w:rsidRDefault="003D30BF" w:rsidP="003D30BF">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7771C6C3" w14:textId="3EAD87BA" w:rsidR="003D30BF" w:rsidRPr="00294ED7" w:rsidRDefault="003D30BF" w:rsidP="003D30BF">
            <w:pPr>
              <w:spacing w:after="0" w:line="240" w:lineRule="auto"/>
              <w:jc w:val="both"/>
              <w:rPr>
                <w:rFonts w:ascii="Arial" w:eastAsia="Times New Roman" w:hAnsi="Arial" w:cs="Arial"/>
                <w:b/>
                <w:bCs/>
                <w:color w:val="000000"/>
                <w:sz w:val="18"/>
                <w:szCs w:val="18"/>
                <w:lang w:eastAsia="sl-SI"/>
              </w:rPr>
            </w:pPr>
            <w:r w:rsidRPr="00294ED7">
              <w:rPr>
                <w:rFonts w:ascii="Arial" w:eastAsia="Times New Roman" w:hAnsi="Arial" w:cs="Arial"/>
                <w:b/>
                <w:bCs/>
                <w:color w:val="000000"/>
                <w:sz w:val="18"/>
                <w:szCs w:val="18"/>
                <w:lang w:eastAsia="sl-SI"/>
              </w:rPr>
              <w:t>Skupaj</w:t>
            </w:r>
          </w:p>
        </w:tc>
        <w:tc>
          <w:tcPr>
            <w:tcW w:w="1860" w:type="dxa"/>
            <w:tcBorders>
              <w:top w:val="nil"/>
              <w:left w:val="nil"/>
              <w:bottom w:val="single" w:sz="4" w:space="0" w:color="auto"/>
              <w:right w:val="single" w:sz="4" w:space="0" w:color="auto"/>
            </w:tcBorders>
            <w:shd w:val="clear" w:color="auto" w:fill="auto"/>
            <w:vAlign w:val="center"/>
            <w:hideMark/>
          </w:tcPr>
          <w:p w14:paraId="62E31223" w14:textId="36427939" w:rsidR="003D30BF" w:rsidRPr="0050066E" w:rsidRDefault="003D30BF" w:rsidP="00294ED7">
            <w:pPr>
              <w:spacing w:after="0" w:line="240" w:lineRule="auto"/>
              <w:jc w:val="right"/>
              <w:rPr>
                <w:rFonts w:ascii="Arial" w:eastAsia="Times New Roman" w:hAnsi="Arial" w:cs="Arial"/>
                <w:b/>
                <w:bCs/>
                <w:color w:val="000000"/>
                <w:sz w:val="18"/>
                <w:szCs w:val="18"/>
                <w:lang w:eastAsia="sl-SI"/>
              </w:rPr>
            </w:pPr>
            <w:r w:rsidRPr="0050066E">
              <w:rPr>
                <w:rFonts w:ascii="Arial" w:hAnsi="Arial" w:cs="Arial"/>
                <w:b/>
                <w:sz w:val="18"/>
                <w:szCs w:val="18"/>
              </w:rPr>
              <w:t>81.111.103</w:t>
            </w:r>
          </w:p>
        </w:tc>
      </w:tr>
      <w:tr w:rsidR="003D30BF" w:rsidRPr="00294ED7" w14:paraId="488ADC2E" w14:textId="77777777" w:rsidTr="00B45EE0">
        <w:trPr>
          <w:trHeight w:val="300"/>
          <w:jc w:val="center"/>
        </w:trPr>
        <w:tc>
          <w:tcPr>
            <w:tcW w:w="31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7B099" w14:textId="76187D15" w:rsidR="003D30BF" w:rsidRPr="00294ED7" w:rsidRDefault="003D30BF" w:rsidP="003D30BF">
            <w:pPr>
              <w:spacing w:after="0" w:line="240" w:lineRule="auto"/>
              <w:jc w:val="both"/>
              <w:rPr>
                <w:rFonts w:ascii="Arial" w:eastAsia="Times New Roman" w:hAnsi="Arial" w:cs="Arial"/>
                <w:b/>
                <w:bCs/>
                <w:color w:val="000000"/>
                <w:sz w:val="18"/>
                <w:szCs w:val="18"/>
                <w:lang w:eastAsia="sl-SI"/>
              </w:rPr>
            </w:pPr>
            <w:r w:rsidRPr="00294ED7">
              <w:rPr>
                <w:rFonts w:ascii="Arial" w:hAnsi="Arial" w:cs="Arial"/>
                <w:sz w:val="18"/>
                <w:szCs w:val="18"/>
              </w:rPr>
              <w:br w:type="page"/>
            </w:r>
            <w:r w:rsidRPr="00294ED7">
              <w:rPr>
                <w:rFonts w:ascii="Arial" w:eastAsia="Times New Roman" w:hAnsi="Arial" w:cs="Arial"/>
                <w:b/>
                <w:bCs/>
                <w:color w:val="000000"/>
                <w:sz w:val="18"/>
                <w:szCs w:val="18"/>
                <w:lang w:eastAsia="sl-SI"/>
              </w:rPr>
              <w:t xml:space="preserve">Skupaj </w:t>
            </w:r>
          </w:p>
        </w:tc>
        <w:tc>
          <w:tcPr>
            <w:tcW w:w="1860" w:type="dxa"/>
            <w:tcBorders>
              <w:top w:val="nil"/>
              <w:left w:val="nil"/>
              <w:bottom w:val="single" w:sz="4" w:space="0" w:color="auto"/>
              <w:right w:val="single" w:sz="4" w:space="0" w:color="auto"/>
            </w:tcBorders>
            <w:shd w:val="clear" w:color="auto" w:fill="E7E6E6" w:themeFill="background2"/>
            <w:vAlign w:val="center"/>
            <w:hideMark/>
          </w:tcPr>
          <w:p w14:paraId="108E922F" w14:textId="14F17068" w:rsidR="003D30BF" w:rsidRPr="00294ED7" w:rsidRDefault="00294ED7" w:rsidP="00294ED7">
            <w:pPr>
              <w:spacing w:after="0" w:line="240" w:lineRule="auto"/>
              <w:jc w:val="right"/>
              <w:rPr>
                <w:rFonts w:ascii="Arial" w:eastAsia="Times New Roman" w:hAnsi="Arial" w:cs="Arial"/>
                <w:b/>
                <w:bCs/>
                <w:color w:val="000000"/>
                <w:sz w:val="18"/>
                <w:szCs w:val="18"/>
                <w:lang w:eastAsia="sl-SI"/>
              </w:rPr>
            </w:pPr>
            <w:r w:rsidRPr="00294ED7">
              <w:rPr>
                <w:rFonts w:ascii="Arial" w:eastAsia="Times New Roman" w:hAnsi="Arial" w:cs="Arial"/>
                <w:b/>
                <w:bCs/>
                <w:color w:val="000000"/>
                <w:sz w:val="18"/>
                <w:szCs w:val="18"/>
                <w:lang w:eastAsia="sl-SI"/>
              </w:rPr>
              <w:t>697.830.714</w:t>
            </w:r>
          </w:p>
        </w:tc>
      </w:tr>
    </w:tbl>
    <w:p w14:paraId="13564A29" w14:textId="77777777" w:rsidR="008F16D7" w:rsidRPr="00294ED7" w:rsidRDefault="008F16D7" w:rsidP="004A613D">
      <w:pPr>
        <w:spacing w:after="0" w:line="240" w:lineRule="auto"/>
        <w:jc w:val="center"/>
        <w:rPr>
          <w:rFonts w:ascii="Arial" w:hAnsi="Arial" w:cs="Arial"/>
          <w:sz w:val="18"/>
        </w:rPr>
      </w:pPr>
    </w:p>
    <w:p w14:paraId="5C34C3CF" w14:textId="004E7069" w:rsidR="00EB25C7" w:rsidRPr="00294ED7" w:rsidRDefault="008F16D7" w:rsidP="004A613D">
      <w:pPr>
        <w:spacing w:after="0" w:line="240" w:lineRule="auto"/>
        <w:jc w:val="center"/>
        <w:rPr>
          <w:rFonts w:ascii="Arial" w:hAnsi="Arial" w:cs="Arial"/>
          <w:sz w:val="18"/>
        </w:rPr>
      </w:pPr>
      <w:r w:rsidRPr="00294ED7">
        <w:rPr>
          <w:rFonts w:ascii="Arial" w:hAnsi="Arial" w:cs="Arial"/>
          <w:sz w:val="18"/>
        </w:rPr>
        <w:t>V</w:t>
      </w:r>
      <w:r w:rsidR="00EB25C7" w:rsidRPr="00294ED7">
        <w:rPr>
          <w:rFonts w:ascii="Arial" w:hAnsi="Arial" w:cs="Arial"/>
          <w:sz w:val="18"/>
        </w:rPr>
        <w:t>ir: Statistični podatki o javni</w:t>
      </w:r>
      <w:r w:rsidR="00AC5558" w:rsidRPr="00294ED7">
        <w:rPr>
          <w:rFonts w:ascii="Arial" w:hAnsi="Arial" w:cs="Arial"/>
          <w:sz w:val="18"/>
        </w:rPr>
        <w:t>h naročilih, oddanih v letu 201</w:t>
      </w:r>
      <w:r w:rsidR="00294ED7" w:rsidRPr="00294ED7">
        <w:rPr>
          <w:rFonts w:ascii="Arial" w:hAnsi="Arial" w:cs="Arial"/>
          <w:sz w:val="18"/>
        </w:rPr>
        <w:t>8</w:t>
      </w:r>
    </w:p>
    <w:p w14:paraId="5A75EA35" w14:textId="77777777" w:rsidR="004A613D" w:rsidRPr="00294ED7" w:rsidRDefault="004A613D" w:rsidP="005207CA">
      <w:pPr>
        <w:pStyle w:val="Standard"/>
        <w:spacing w:line="360" w:lineRule="auto"/>
        <w:rPr>
          <w:rFonts w:cs="Arial"/>
          <w:sz w:val="20"/>
          <w:szCs w:val="20"/>
        </w:rPr>
      </w:pPr>
    </w:p>
    <w:p w14:paraId="3B403FB2" w14:textId="66E1BD38" w:rsidR="005207CA" w:rsidRPr="00A53508" w:rsidRDefault="005207CA" w:rsidP="005207CA">
      <w:pPr>
        <w:pStyle w:val="Standard"/>
        <w:spacing w:line="360" w:lineRule="auto"/>
        <w:rPr>
          <w:rFonts w:cs="Arial"/>
          <w:sz w:val="20"/>
          <w:szCs w:val="20"/>
        </w:rPr>
      </w:pPr>
      <w:r w:rsidRPr="00A53508">
        <w:rPr>
          <w:rFonts w:cs="Arial"/>
          <w:sz w:val="20"/>
          <w:szCs w:val="20"/>
        </w:rPr>
        <w:lastRenderedPageBreak/>
        <w:t>Največji dele</w:t>
      </w:r>
      <w:r w:rsidR="00DA4707" w:rsidRPr="00A53508">
        <w:rPr>
          <w:rFonts w:cs="Arial"/>
          <w:sz w:val="20"/>
          <w:szCs w:val="20"/>
        </w:rPr>
        <w:t>ž posameznih naročil v letu 201</w:t>
      </w:r>
      <w:r w:rsidR="00A8533B">
        <w:rPr>
          <w:rFonts w:cs="Arial"/>
          <w:sz w:val="20"/>
          <w:szCs w:val="20"/>
        </w:rPr>
        <w:t>8</w:t>
      </w:r>
      <w:r w:rsidRPr="00A53508">
        <w:rPr>
          <w:rFonts w:cs="Arial"/>
          <w:sz w:val="20"/>
          <w:szCs w:val="20"/>
        </w:rPr>
        <w:t xml:space="preserve"> so naročila blaga, saj so naročniki na podlagi sklenjenih okvirnih sporazumov oddali posamezna naročila v vrednosti </w:t>
      </w:r>
      <w:r w:rsidR="00A53508" w:rsidRPr="00A53508">
        <w:rPr>
          <w:rFonts w:cs="Arial"/>
          <w:sz w:val="20"/>
          <w:szCs w:val="20"/>
        </w:rPr>
        <w:t xml:space="preserve">411.087.884 </w:t>
      </w:r>
      <w:r w:rsidRPr="00A53508">
        <w:rPr>
          <w:rFonts w:cs="Arial"/>
          <w:sz w:val="20"/>
          <w:szCs w:val="20"/>
        </w:rPr>
        <w:t>evrov</w:t>
      </w:r>
      <w:r w:rsidR="00C00115" w:rsidRPr="00A53508">
        <w:rPr>
          <w:rFonts w:cs="Arial"/>
          <w:sz w:val="20"/>
          <w:szCs w:val="20"/>
        </w:rPr>
        <w:t>,</w:t>
      </w:r>
      <w:r w:rsidRPr="00A53508">
        <w:rPr>
          <w:rFonts w:cs="Arial"/>
          <w:sz w:val="20"/>
          <w:szCs w:val="20"/>
        </w:rPr>
        <w:t xml:space="preserve"> posameznih naročil storitev </w:t>
      </w:r>
      <w:r w:rsidR="00C00115" w:rsidRPr="00A53508">
        <w:rPr>
          <w:rFonts w:cs="Arial"/>
          <w:sz w:val="20"/>
          <w:szCs w:val="20"/>
        </w:rPr>
        <w:t xml:space="preserve">je bilo za </w:t>
      </w:r>
      <w:r w:rsidR="00A53508" w:rsidRPr="00A53508">
        <w:rPr>
          <w:rFonts w:cs="Arial"/>
          <w:sz w:val="20"/>
          <w:szCs w:val="20"/>
        </w:rPr>
        <w:t xml:space="preserve">253.040.973 </w:t>
      </w:r>
      <w:r w:rsidRPr="00A53508">
        <w:rPr>
          <w:rFonts w:cs="Arial"/>
          <w:sz w:val="20"/>
          <w:szCs w:val="20"/>
        </w:rPr>
        <w:t>evrov</w:t>
      </w:r>
      <w:r w:rsidR="00C00115" w:rsidRPr="00A53508">
        <w:rPr>
          <w:rFonts w:cs="Arial"/>
          <w:sz w:val="20"/>
          <w:szCs w:val="20"/>
        </w:rPr>
        <w:t xml:space="preserve">, posameznih naročil </w:t>
      </w:r>
      <w:r w:rsidRPr="00A53508">
        <w:rPr>
          <w:rFonts w:cs="Arial"/>
          <w:sz w:val="20"/>
          <w:szCs w:val="20"/>
        </w:rPr>
        <w:t>grad</w:t>
      </w:r>
      <w:r w:rsidR="00C00115" w:rsidRPr="00A53508">
        <w:rPr>
          <w:rFonts w:cs="Arial"/>
          <w:sz w:val="20"/>
          <w:szCs w:val="20"/>
        </w:rPr>
        <w:t>en</w:t>
      </w:r>
      <w:r w:rsidRPr="00A53508">
        <w:rPr>
          <w:rFonts w:cs="Arial"/>
          <w:sz w:val="20"/>
          <w:szCs w:val="20"/>
        </w:rPr>
        <w:t xml:space="preserve">j </w:t>
      </w:r>
      <w:r w:rsidR="00C00115" w:rsidRPr="00A53508">
        <w:rPr>
          <w:rFonts w:cs="Arial"/>
          <w:sz w:val="20"/>
          <w:szCs w:val="20"/>
        </w:rPr>
        <w:t xml:space="preserve">pa za </w:t>
      </w:r>
      <w:r w:rsidR="00A53508" w:rsidRPr="00A53508">
        <w:rPr>
          <w:rFonts w:cs="Arial"/>
          <w:sz w:val="20"/>
          <w:szCs w:val="20"/>
        </w:rPr>
        <w:t xml:space="preserve">33.701.857 </w:t>
      </w:r>
      <w:r w:rsidRPr="00A53508">
        <w:rPr>
          <w:rFonts w:cs="Arial"/>
          <w:sz w:val="20"/>
          <w:szCs w:val="20"/>
        </w:rPr>
        <w:t xml:space="preserve">evrov. </w:t>
      </w:r>
    </w:p>
    <w:p w14:paraId="14A30966" w14:textId="77777777" w:rsidR="00C00115" w:rsidRPr="00EF2D0B" w:rsidRDefault="00C00115" w:rsidP="005207CA">
      <w:pPr>
        <w:pStyle w:val="Standard"/>
        <w:spacing w:line="360" w:lineRule="auto"/>
        <w:rPr>
          <w:rFonts w:cs="Arial"/>
          <w:sz w:val="20"/>
          <w:szCs w:val="20"/>
          <w:highlight w:val="yellow"/>
        </w:rPr>
      </w:pPr>
    </w:p>
    <w:p w14:paraId="2AD8593F" w14:textId="4E880244" w:rsidR="005207CA" w:rsidRPr="0053328D" w:rsidRDefault="00BC1956" w:rsidP="0053328D">
      <w:pPr>
        <w:spacing w:line="360" w:lineRule="auto"/>
        <w:jc w:val="both"/>
        <w:rPr>
          <w:rFonts w:ascii="Arial" w:eastAsia="Times New Roman" w:hAnsi="Arial" w:cs="Arial"/>
          <w:color w:val="000000"/>
          <w:sz w:val="20"/>
          <w:szCs w:val="20"/>
          <w:lang w:eastAsia="sl-SI"/>
        </w:rPr>
      </w:pPr>
      <w:r>
        <w:rPr>
          <w:rFonts w:ascii="Arial" w:hAnsi="Arial" w:cs="Arial"/>
          <w:sz w:val="20"/>
          <w:szCs w:val="20"/>
        </w:rPr>
        <w:t>Leta</w:t>
      </w:r>
      <w:r w:rsidR="00195CAA" w:rsidRPr="0053328D">
        <w:rPr>
          <w:rFonts w:ascii="Arial" w:hAnsi="Arial" w:cs="Arial"/>
          <w:sz w:val="20"/>
          <w:szCs w:val="20"/>
        </w:rPr>
        <w:t xml:space="preserve"> 201</w:t>
      </w:r>
      <w:r w:rsidR="0053328D" w:rsidRPr="0053328D">
        <w:rPr>
          <w:rFonts w:ascii="Arial" w:hAnsi="Arial" w:cs="Arial"/>
          <w:sz w:val="20"/>
          <w:szCs w:val="20"/>
        </w:rPr>
        <w:t>8</w:t>
      </w:r>
      <w:r w:rsidR="005207CA" w:rsidRPr="0053328D">
        <w:rPr>
          <w:rFonts w:ascii="Arial" w:hAnsi="Arial" w:cs="Arial"/>
          <w:sz w:val="20"/>
          <w:szCs w:val="20"/>
        </w:rPr>
        <w:t xml:space="preserve"> je po vrednosti največ posameznih naročil na podlagi sklenjenih okvirnih sporazumov oddal </w:t>
      </w:r>
      <w:r w:rsidR="0053328D" w:rsidRPr="0053328D">
        <w:rPr>
          <w:rFonts w:ascii="Arial" w:hAnsi="Arial" w:cs="Arial"/>
          <w:sz w:val="20"/>
          <w:szCs w:val="20"/>
        </w:rPr>
        <w:t xml:space="preserve">Javni holding Ljubljana, d. o. o., </w:t>
      </w:r>
      <w:r w:rsidR="005207CA" w:rsidRPr="0053328D">
        <w:rPr>
          <w:rFonts w:ascii="Arial" w:hAnsi="Arial" w:cs="Arial"/>
          <w:sz w:val="20"/>
          <w:szCs w:val="20"/>
        </w:rPr>
        <w:t xml:space="preserve">in sicer v vrednosti </w:t>
      </w:r>
      <w:r w:rsidR="0053328D" w:rsidRPr="0053328D">
        <w:rPr>
          <w:rFonts w:ascii="Arial" w:hAnsi="Arial" w:cs="Arial"/>
          <w:sz w:val="20"/>
          <w:szCs w:val="20"/>
        </w:rPr>
        <w:t xml:space="preserve">156.260.125 </w:t>
      </w:r>
      <w:r w:rsidR="005207CA" w:rsidRPr="0053328D">
        <w:rPr>
          <w:rFonts w:ascii="Arial" w:hAnsi="Arial" w:cs="Arial"/>
          <w:sz w:val="20"/>
          <w:szCs w:val="20"/>
        </w:rPr>
        <w:t xml:space="preserve">evrov. </w:t>
      </w:r>
      <w:r w:rsidR="0053328D" w:rsidRPr="0053328D">
        <w:rPr>
          <w:rFonts w:ascii="Arial" w:eastAsia="Times New Roman" w:hAnsi="Arial" w:cs="Arial"/>
          <w:color w:val="000000"/>
          <w:sz w:val="20"/>
          <w:szCs w:val="20"/>
          <w:lang w:eastAsia="sl-SI"/>
        </w:rPr>
        <w:t xml:space="preserve">Onkološki Inštitut Ljubljana </w:t>
      </w:r>
      <w:r w:rsidR="00F10331" w:rsidRPr="0053328D">
        <w:rPr>
          <w:rFonts w:ascii="Arial" w:hAnsi="Arial" w:cs="Arial"/>
          <w:sz w:val="20"/>
          <w:szCs w:val="20"/>
        </w:rPr>
        <w:t>je oddal</w:t>
      </w:r>
      <w:r w:rsidR="00C00115" w:rsidRPr="0053328D">
        <w:rPr>
          <w:rFonts w:ascii="Arial" w:hAnsi="Arial" w:cs="Arial"/>
          <w:sz w:val="20"/>
          <w:szCs w:val="20"/>
        </w:rPr>
        <w:t xml:space="preserve"> posamezna naročila </w:t>
      </w:r>
      <w:r w:rsidR="005207CA" w:rsidRPr="0053328D">
        <w:rPr>
          <w:rFonts w:ascii="Arial" w:hAnsi="Arial" w:cs="Arial"/>
          <w:sz w:val="20"/>
          <w:szCs w:val="20"/>
        </w:rPr>
        <w:t xml:space="preserve">v vrednosti </w:t>
      </w:r>
      <w:r w:rsidR="0053328D" w:rsidRPr="0053328D">
        <w:rPr>
          <w:rFonts w:ascii="Arial" w:hAnsi="Arial" w:cs="Arial"/>
          <w:sz w:val="20"/>
          <w:szCs w:val="20"/>
        </w:rPr>
        <w:t xml:space="preserve">37.973.827 </w:t>
      </w:r>
      <w:r w:rsidR="005207CA" w:rsidRPr="0053328D">
        <w:rPr>
          <w:rFonts w:ascii="Arial" w:hAnsi="Arial" w:cs="Arial"/>
          <w:sz w:val="20"/>
          <w:szCs w:val="20"/>
        </w:rPr>
        <w:t>evrov, tretj</w:t>
      </w:r>
      <w:r w:rsidR="003B2497">
        <w:rPr>
          <w:rFonts w:ascii="Arial" w:hAnsi="Arial" w:cs="Arial"/>
          <w:sz w:val="20"/>
          <w:szCs w:val="20"/>
        </w:rPr>
        <w:t>i</w:t>
      </w:r>
      <w:r w:rsidR="005207CA" w:rsidRPr="0053328D">
        <w:rPr>
          <w:rFonts w:ascii="Arial" w:hAnsi="Arial" w:cs="Arial"/>
          <w:sz w:val="20"/>
          <w:szCs w:val="20"/>
        </w:rPr>
        <w:t xml:space="preserve"> po vrednosti </w:t>
      </w:r>
      <w:r w:rsidR="00C00115" w:rsidRPr="0053328D">
        <w:rPr>
          <w:rFonts w:ascii="Arial" w:hAnsi="Arial" w:cs="Arial"/>
          <w:sz w:val="20"/>
          <w:szCs w:val="20"/>
        </w:rPr>
        <w:t>posameznih</w:t>
      </w:r>
      <w:r w:rsidR="005207CA" w:rsidRPr="0053328D">
        <w:rPr>
          <w:rFonts w:ascii="Arial" w:hAnsi="Arial" w:cs="Arial"/>
          <w:sz w:val="20"/>
          <w:szCs w:val="20"/>
        </w:rPr>
        <w:t xml:space="preserve"> naročil pa </w:t>
      </w:r>
      <w:r w:rsidR="0053328D" w:rsidRPr="0053328D">
        <w:rPr>
          <w:rFonts w:ascii="Arial" w:hAnsi="Arial" w:cs="Arial"/>
          <w:sz w:val="20"/>
          <w:szCs w:val="20"/>
        </w:rPr>
        <w:t>so</w:t>
      </w:r>
      <w:r w:rsidR="00195CAA" w:rsidRPr="0053328D">
        <w:rPr>
          <w:rFonts w:ascii="Arial" w:hAnsi="Arial" w:cs="Arial"/>
          <w:sz w:val="20"/>
          <w:szCs w:val="20"/>
        </w:rPr>
        <w:t xml:space="preserve"> </w:t>
      </w:r>
      <w:r w:rsidR="0053328D" w:rsidRPr="0053328D">
        <w:rPr>
          <w:rFonts w:ascii="Arial" w:eastAsia="Times New Roman" w:hAnsi="Arial" w:cs="Arial"/>
          <w:color w:val="000000"/>
          <w:sz w:val="20"/>
          <w:szCs w:val="20"/>
          <w:lang w:eastAsia="sl-SI"/>
        </w:rPr>
        <w:t xml:space="preserve">Slovenski državni gozdovi, d. o. o., </w:t>
      </w:r>
      <w:r w:rsidR="00C00115" w:rsidRPr="0053328D">
        <w:rPr>
          <w:rFonts w:ascii="Arial" w:hAnsi="Arial" w:cs="Arial"/>
          <w:sz w:val="20"/>
          <w:szCs w:val="20"/>
        </w:rPr>
        <w:t>z</w:t>
      </w:r>
      <w:r w:rsidR="005207CA" w:rsidRPr="0053328D">
        <w:rPr>
          <w:rFonts w:ascii="Arial" w:hAnsi="Arial" w:cs="Arial"/>
          <w:sz w:val="20"/>
          <w:szCs w:val="20"/>
        </w:rPr>
        <w:t xml:space="preserve"> naročili v vrednosti </w:t>
      </w:r>
      <w:r w:rsidR="0053328D" w:rsidRPr="0053328D">
        <w:rPr>
          <w:rFonts w:ascii="Arial" w:hAnsi="Arial" w:cs="Arial"/>
          <w:sz w:val="20"/>
          <w:szCs w:val="20"/>
        </w:rPr>
        <w:t xml:space="preserve">37.216.361 </w:t>
      </w:r>
      <w:r w:rsidR="005207CA" w:rsidRPr="0053328D">
        <w:rPr>
          <w:rFonts w:ascii="Arial" w:hAnsi="Arial" w:cs="Arial"/>
          <w:sz w:val="20"/>
          <w:szCs w:val="20"/>
        </w:rPr>
        <w:t>evrov.</w:t>
      </w:r>
    </w:p>
    <w:p w14:paraId="01B2DBC1" w14:textId="77777777" w:rsidR="00B57693" w:rsidRPr="00EF2D0B" w:rsidRDefault="00B57693" w:rsidP="00EB25C7">
      <w:pPr>
        <w:pStyle w:val="ZADEVA"/>
        <w:jc w:val="both"/>
        <w:rPr>
          <w:rFonts w:cs="Arial"/>
          <w:b w:val="0"/>
          <w:szCs w:val="20"/>
          <w:highlight w:val="yellow"/>
          <w:lang w:val="sl-SI"/>
        </w:rPr>
      </w:pPr>
    </w:p>
    <w:p w14:paraId="45A528E5" w14:textId="3E577493" w:rsidR="00026C19" w:rsidRPr="009C1986" w:rsidRDefault="00026C19" w:rsidP="00026C19">
      <w:pPr>
        <w:pStyle w:val="Naslov3"/>
        <w:rPr>
          <w:rFonts w:ascii="Arial" w:hAnsi="Arial" w:cs="Arial"/>
          <w:sz w:val="22"/>
          <w:szCs w:val="22"/>
        </w:rPr>
      </w:pPr>
      <w:bookmarkStart w:id="19" w:name="_Toc17114057"/>
      <w:r w:rsidRPr="009C1986">
        <w:rPr>
          <w:rFonts w:ascii="Arial" w:hAnsi="Arial" w:cs="Arial"/>
          <w:sz w:val="22"/>
          <w:szCs w:val="22"/>
        </w:rPr>
        <w:t>2.3.6 Elektronska dražba</w:t>
      </w:r>
      <w:bookmarkEnd w:id="19"/>
    </w:p>
    <w:p w14:paraId="6C1EB25B" w14:textId="77777777" w:rsidR="00B57693" w:rsidRPr="009C1986" w:rsidRDefault="00B57693" w:rsidP="00854405">
      <w:pPr>
        <w:pStyle w:val="ZADEVA"/>
        <w:jc w:val="both"/>
        <w:rPr>
          <w:rFonts w:cs="Arial"/>
          <w:b w:val="0"/>
          <w:szCs w:val="20"/>
          <w:lang w:val="sl-SI"/>
        </w:rPr>
      </w:pPr>
    </w:p>
    <w:p w14:paraId="27DDEB41" w14:textId="71CC314C" w:rsidR="008758FA" w:rsidRPr="009C1986" w:rsidRDefault="00EB25C7" w:rsidP="00796AF7">
      <w:pPr>
        <w:pStyle w:val="Standard"/>
        <w:spacing w:line="360" w:lineRule="auto"/>
        <w:rPr>
          <w:rFonts w:cs="Arial"/>
          <w:sz w:val="20"/>
          <w:szCs w:val="20"/>
        </w:rPr>
      </w:pPr>
      <w:r w:rsidRPr="009C1986">
        <w:rPr>
          <w:rFonts w:cs="Arial"/>
          <w:sz w:val="20"/>
          <w:szCs w:val="20"/>
        </w:rPr>
        <w:t>Iz statističnih podatko</w:t>
      </w:r>
      <w:r w:rsidR="0034502A" w:rsidRPr="009C1986">
        <w:rPr>
          <w:rFonts w:cs="Arial"/>
          <w:sz w:val="20"/>
          <w:szCs w:val="20"/>
        </w:rPr>
        <w:t xml:space="preserve">v </w:t>
      </w:r>
      <w:r w:rsidR="00CF3448" w:rsidRPr="009C1986">
        <w:rPr>
          <w:rFonts w:cs="Arial"/>
          <w:sz w:val="20"/>
          <w:szCs w:val="20"/>
        </w:rPr>
        <w:t>izhaja</w:t>
      </w:r>
      <w:r w:rsidR="0034502A" w:rsidRPr="009C1986">
        <w:rPr>
          <w:rFonts w:cs="Arial"/>
          <w:sz w:val="20"/>
          <w:szCs w:val="20"/>
        </w:rPr>
        <w:t xml:space="preserve">, da so </w:t>
      </w:r>
      <w:r w:rsidR="008E09B2" w:rsidRPr="009C1986">
        <w:rPr>
          <w:rFonts w:cs="Arial"/>
          <w:sz w:val="20"/>
          <w:szCs w:val="20"/>
        </w:rPr>
        <w:t>let</w:t>
      </w:r>
      <w:r w:rsidR="008E09B2">
        <w:rPr>
          <w:rFonts w:cs="Arial"/>
          <w:sz w:val="20"/>
          <w:szCs w:val="20"/>
        </w:rPr>
        <w:t>a</w:t>
      </w:r>
      <w:r w:rsidR="008E09B2" w:rsidRPr="009C1986">
        <w:rPr>
          <w:rFonts w:cs="Arial"/>
          <w:sz w:val="20"/>
          <w:szCs w:val="20"/>
        </w:rPr>
        <w:t xml:space="preserve"> </w:t>
      </w:r>
      <w:r w:rsidR="0034502A" w:rsidRPr="009C1986">
        <w:rPr>
          <w:rFonts w:cs="Arial"/>
          <w:sz w:val="20"/>
          <w:szCs w:val="20"/>
        </w:rPr>
        <w:t>201</w:t>
      </w:r>
      <w:r w:rsidR="00D56C5F" w:rsidRPr="009C1986">
        <w:rPr>
          <w:rFonts w:cs="Arial"/>
          <w:sz w:val="20"/>
          <w:szCs w:val="20"/>
        </w:rPr>
        <w:t>8</w:t>
      </w:r>
      <w:r w:rsidRPr="009C1986">
        <w:rPr>
          <w:rFonts w:cs="Arial"/>
          <w:sz w:val="20"/>
          <w:szCs w:val="20"/>
        </w:rPr>
        <w:t xml:space="preserve"> naročniki z uporabo elektronske dražbe oddali </w:t>
      </w:r>
      <w:r w:rsidR="009A3FA8" w:rsidRPr="009C1986">
        <w:rPr>
          <w:rFonts w:cs="Arial"/>
          <w:sz w:val="20"/>
          <w:szCs w:val="20"/>
        </w:rPr>
        <w:t>1</w:t>
      </w:r>
      <w:r w:rsidR="00D56C5F" w:rsidRPr="009C1986">
        <w:rPr>
          <w:rFonts w:cs="Arial"/>
          <w:sz w:val="20"/>
          <w:szCs w:val="20"/>
        </w:rPr>
        <w:t>28</w:t>
      </w:r>
      <w:r w:rsidR="0034502A" w:rsidRPr="009C1986">
        <w:rPr>
          <w:rFonts w:cs="Arial"/>
          <w:sz w:val="20"/>
          <w:szCs w:val="20"/>
        </w:rPr>
        <w:t xml:space="preserve"> </w:t>
      </w:r>
      <w:r w:rsidRPr="009C1986">
        <w:rPr>
          <w:rFonts w:cs="Arial"/>
          <w:sz w:val="20"/>
          <w:szCs w:val="20"/>
        </w:rPr>
        <w:t xml:space="preserve">naročil. Skupna pogodbena vrednost oddanih naročil z uporabo elektronske dražbe je </w:t>
      </w:r>
      <w:r w:rsidR="00D56C5F" w:rsidRPr="009C1986">
        <w:rPr>
          <w:rFonts w:cs="Arial"/>
          <w:sz w:val="20"/>
          <w:szCs w:val="20"/>
        </w:rPr>
        <w:t xml:space="preserve">20.618.867 </w:t>
      </w:r>
      <w:r w:rsidRPr="009C1986">
        <w:rPr>
          <w:rFonts w:cs="Arial"/>
          <w:sz w:val="20"/>
          <w:szCs w:val="20"/>
        </w:rPr>
        <w:t xml:space="preserve">evrov, ocenjena vrednost pa je znašala </w:t>
      </w:r>
      <w:r w:rsidR="00D56C5F" w:rsidRPr="009C1986">
        <w:rPr>
          <w:rFonts w:cs="Arial"/>
          <w:sz w:val="20"/>
          <w:szCs w:val="20"/>
        </w:rPr>
        <w:t>21.783.3</w:t>
      </w:r>
      <w:r w:rsidR="009C1986" w:rsidRPr="009C1986">
        <w:rPr>
          <w:rFonts w:cs="Arial"/>
          <w:sz w:val="20"/>
          <w:szCs w:val="20"/>
        </w:rPr>
        <w:t>68</w:t>
      </w:r>
      <w:r w:rsidR="00D56C5F" w:rsidRPr="009C1986">
        <w:rPr>
          <w:rFonts w:cs="Arial"/>
          <w:sz w:val="20"/>
          <w:szCs w:val="20"/>
        </w:rPr>
        <w:t xml:space="preserve"> </w:t>
      </w:r>
      <w:r w:rsidR="00796AF7" w:rsidRPr="009C1986">
        <w:rPr>
          <w:rFonts w:cs="Arial"/>
          <w:sz w:val="20"/>
          <w:szCs w:val="20"/>
        </w:rPr>
        <w:t xml:space="preserve">evrov. </w:t>
      </w:r>
    </w:p>
    <w:p w14:paraId="7EFF2570" w14:textId="670721D7" w:rsidR="00EB25C7" w:rsidRPr="009C1986" w:rsidRDefault="00EB25C7" w:rsidP="008A61FD">
      <w:pPr>
        <w:spacing w:before="120" w:after="120" w:line="240" w:lineRule="auto"/>
        <w:jc w:val="both"/>
        <w:rPr>
          <w:rFonts w:ascii="Arial" w:hAnsi="Arial" w:cs="Arial"/>
          <w:sz w:val="20"/>
        </w:rPr>
      </w:pPr>
      <w:r w:rsidRPr="009C1986">
        <w:rPr>
          <w:rFonts w:ascii="Arial" w:hAnsi="Arial" w:cs="Arial"/>
          <w:sz w:val="20"/>
        </w:rPr>
        <w:t xml:space="preserve">Preglednica </w:t>
      </w:r>
      <w:r w:rsidR="00E430F6" w:rsidRPr="009C1986">
        <w:rPr>
          <w:rFonts w:ascii="Arial" w:hAnsi="Arial" w:cs="Arial"/>
          <w:sz w:val="20"/>
        </w:rPr>
        <w:t>2</w:t>
      </w:r>
      <w:r w:rsidR="00EB4423">
        <w:rPr>
          <w:rFonts w:ascii="Arial" w:hAnsi="Arial" w:cs="Arial"/>
          <w:sz w:val="20"/>
        </w:rPr>
        <w:t>3</w:t>
      </w:r>
      <w:r w:rsidRPr="009C1986">
        <w:rPr>
          <w:rFonts w:ascii="Arial" w:hAnsi="Arial" w:cs="Arial"/>
          <w:sz w:val="20"/>
        </w:rPr>
        <w:t>: Javna naročila</w:t>
      </w:r>
      <w:r w:rsidR="00753CA0" w:rsidRPr="009C1986">
        <w:rPr>
          <w:rFonts w:ascii="Arial" w:hAnsi="Arial" w:cs="Arial"/>
          <w:sz w:val="20"/>
        </w:rPr>
        <w:t>,</w:t>
      </w:r>
      <w:r w:rsidRPr="009C1986">
        <w:rPr>
          <w:rFonts w:ascii="Arial" w:hAnsi="Arial" w:cs="Arial"/>
          <w:sz w:val="20"/>
        </w:rPr>
        <w:t xml:space="preserve"> v katerih je bila uporabljena elektronska dražba</w:t>
      </w:r>
    </w:p>
    <w:tbl>
      <w:tblPr>
        <w:tblW w:w="8075" w:type="dxa"/>
        <w:jc w:val="center"/>
        <w:tblCellMar>
          <w:left w:w="70" w:type="dxa"/>
          <w:right w:w="70" w:type="dxa"/>
        </w:tblCellMar>
        <w:tblLook w:val="04A0" w:firstRow="1" w:lastRow="0" w:firstColumn="1" w:lastColumn="0" w:noHBand="0" w:noVBand="1"/>
      </w:tblPr>
      <w:tblGrid>
        <w:gridCol w:w="1082"/>
        <w:gridCol w:w="846"/>
        <w:gridCol w:w="1435"/>
        <w:gridCol w:w="1422"/>
        <w:gridCol w:w="924"/>
        <w:gridCol w:w="1062"/>
        <w:gridCol w:w="1304"/>
      </w:tblGrid>
      <w:tr w:rsidR="006A147B" w:rsidRPr="009C1986" w14:paraId="481D7EEE" w14:textId="77777777" w:rsidTr="0034502A">
        <w:trPr>
          <w:trHeight w:val="502"/>
          <w:jc w:val="center"/>
        </w:trPr>
        <w:tc>
          <w:tcPr>
            <w:tcW w:w="1082" w:type="dxa"/>
            <w:tcBorders>
              <w:top w:val="single" w:sz="4" w:space="0" w:color="auto"/>
              <w:left w:val="single" w:sz="4" w:space="0" w:color="auto"/>
              <w:bottom w:val="single" w:sz="4" w:space="0" w:color="auto"/>
              <w:right w:val="single" w:sz="4" w:space="0" w:color="auto"/>
            </w:tcBorders>
            <w:shd w:val="clear" w:color="000000" w:fill="EDEDED"/>
            <w:vAlign w:val="center"/>
          </w:tcPr>
          <w:p w14:paraId="4C2939D3" w14:textId="77777777" w:rsidR="006A147B" w:rsidRPr="009C1986" w:rsidRDefault="006A147B" w:rsidP="00A15006">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Elektronska dražba</w:t>
            </w:r>
          </w:p>
        </w:tc>
        <w:tc>
          <w:tcPr>
            <w:tcW w:w="846"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649C3F9F" w14:textId="77777777" w:rsidR="006A147B" w:rsidRPr="009C1986" w:rsidRDefault="006A147B" w:rsidP="00A15006">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Št. naročil</w:t>
            </w:r>
          </w:p>
        </w:tc>
        <w:tc>
          <w:tcPr>
            <w:tcW w:w="1435" w:type="dxa"/>
            <w:tcBorders>
              <w:top w:val="single" w:sz="4" w:space="0" w:color="auto"/>
              <w:left w:val="nil"/>
              <w:bottom w:val="single" w:sz="4" w:space="0" w:color="auto"/>
              <w:right w:val="single" w:sz="4" w:space="0" w:color="auto"/>
            </w:tcBorders>
            <w:shd w:val="clear" w:color="000000" w:fill="EDEDED"/>
            <w:vAlign w:val="center"/>
            <w:hideMark/>
          </w:tcPr>
          <w:p w14:paraId="5941AD26" w14:textId="77777777" w:rsidR="006A147B" w:rsidRPr="009C1986" w:rsidRDefault="006A147B" w:rsidP="00A15006">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Pogodbena vrednost</w:t>
            </w:r>
          </w:p>
        </w:tc>
        <w:tc>
          <w:tcPr>
            <w:tcW w:w="1422" w:type="dxa"/>
            <w:tcBorders>
              <w:top w:val="single" w:sz="4" w:space="0" w:color="auto"/>
              <w:left w:val="nil"/>
              <w:bottom w:val="single" w:sz="4" w:space="0" w:color="auto"/>
              <w:right w:val="single" w:sz="4" w:space="0" w:color="auto"/>
            </w:tcBorders>
            <w:shd w:val="clear" w:color="000000" w:fill="EDEDED"/>
            <w:vAlign w:val="center"/>
            <w:hideMark/>
          </w:tcPr>
          <w:p w14:paraId="479C6458" w14:textId="34048310" w:rsidR="006A147B" w:rsidRPr="009C1986" w:rsidRDefault="006A147B" w:rsidP="006A147B">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Ocenjena vrednost</w:t>
            </w:r>
          </w:p>
        </w:tc>
        <w:tc>
          <w:tcPr>
            <w:tcW w:w="924" w:type="dxa"/>
            <w:tcBorders>
              <w:top w:val="single" w:sz="4" w:space="0" w:color="auto"/>
              <w:left w:val="nil"/>
              <w:bottom w:val="single" w:sz="4" w:space="0" w:color="auto"/>
              <w:right w:val="single" w:sz="4" w:space="0" w:color="auto"/>
            </w:tcBorders>
            <w:shd w:val="clear" w:color="000000" w:fill="EDEDED"/>
            <w:vAlign w:val="center"/>
            <w:hideMark/>
          </w:tcPr>
          <w:p w14:paraId="55C26021" w14:textId="77777777" w:rsidR="006A147B" w:rsidRPr="009C1986" w:rsidRDefault="006A147B" w:rsidP="00A15006">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Delež v št. naročil</w:t>
            </w:r>
          </w:p>
        </w:tc>
        <w:tc>
          <w:tcPr>
            <w:tcW w:w="1062" w:type="dxa"/>
            <w:tcBorders>
              <w:top w:val="single" w:sz="4" w:space="0" w:color="auto"/>
              <w:left w:val="nil"/>
              <w:bottom w:val="single" w:sz="4" w:space="0" w:color="auto"/>
              <w:right w:val="single" w:sz="4" w:space="0" w:color="auto"/>
            </w:tcBorders>
            <w:shd w:val="clear" w:color="000000" w:fill="EDEDED"/>
            <w:vAlign w:val="center"/>
            <w:hideMark/>
          </w:tcPr>
          <w:p w14:paraId="1CEEBBDD" w14:textId="12BCCD41" w:rsidR="006A147B" w:rsidRPr="009C1986" w:rsidRDefault="006A147B" w:rsidP="00A15006">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Delež v pogodbeni vrednosti</w:t>
            </w:r>
          </w:p>
        </w:tc>
        <w:tc>
          <w:tcPr>
            <w:tcW w:w="1304" w:type="dxa"/>
            <w:tcBorders>
              <w:top w:val="single" w:sz="4" w:space="0" w:color="auto"/>
              <w:left w:val="nil"/>
              <w:bottom w:val="single" w:sz="4" w:space="0" w:color="auto"/>
              <w:right w:val="single" w:sz="4" w:space="0" w:color="auto"/>
            </w:tcBorders>
            <w:shd w:val="clear" w:color="000000" w:fill="EDEDED"/>
            <w:vAlign w:val="center"/>
            <w:hideMark/>
          </w:tcPr>
          <w:p w14:paraId="0DA9DA04" w14:textId="77777777" w:rsidR="006A147B" w:rsidRPr="009C1986" w:rsidRDefault="006A147B" w:rsidP="00A15006">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Delež v ocenjeni vrednosti</w:t>
            </w:r>
          </w:p>
        </w:tc>
      </w:tr>
      <w:tr w:rsidR="003A46F4" w:rsidRPr="009C1986" w14:paraId="21E0E067" w14:textId="77777777" w:rsidTr="003A46F4">
        <w:trPr>
          <w:trHeight w:val="300"/>
          <w:jc w:val="center"/>
        </w:trPr>
        <w:tc>
          <w:tcPr>
            <w:tcW w:w="1082" w:type="dxa"/>
            <w:tcBorders>
              <w:top w:val="nil"/>
              <w:left w:val="single" w:sz="4" w:space="0" w:color="auto"/>
              <w:bottom w:val="single" w:sz="4" w:space="0" w:color="auto"/>
              <w:right w:val="single" w:sz="4" w:space="0" w:color="auto"/>
            </w:tcBorders>
            <w:vAlign w:val="center"/>
          </w:tcPr>
          <w:p w14:paraId="2E9B4222" w14:textId="77777777" w:rsidR="003A46F4" w:rsidRPr="009C1986" w:rsidRDefault="003A46F4" w:rsidP="003A46F4">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DA</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1544EBBE" w14:textId="68E99D99"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128</w:t>
            </w:r>
          </w:p>
        </w:tc>
        <w:tc>
          <w:tcPr>
            <w:tcW w:w="1435" w:type="dxa"/>
            <w:tcBorders>
              <w:top w:val="nil"/>
              <w:left w:val="nil"/>
              <w:bottom w:val="single" w:sz="4" w:space="0" w:color="auto"/>
              <w:right w:val="single" w:sz="4" w:space="0" w:color="auto"/>
            </w:tcBorders>
            <w:shd w:val="clear" w:color="auto" w:fill="auto"/>
            <w:vAlign w:val="center"/>
            <w:hideMark/>
          </w:tcPr>
          <w:p w14:paraId="1014A640" w14:textId="44AA91FF"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20.618.867</w:t>
            </w:r>
          </w:p>
        </w:tc>
        <w:tc>
          <w:tcPr>
            <w:tcW w:w="1422" w:type="dxa"/>
            <w:tcBorders>
              <w:top w:val="nil"/>
              <w:left w:val="nil"/>
              <w:bottom w:val="single" w:sz="4" w:space="0" w:color="auto"/>
              <w:right w:val="single" w:sz="4" w:space="0" w:color="auto"/>
            </w:tcBorders>
            <w:shd w:val="clear" w:color="auto" w:fill="auto"/>
            <w:vAlign w:val="center"/>
            <w:hideMark/>
          </w:tcPr>
          <w:p w14:paraId="033AB102" w14:textId="18D38E2C"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21.783.368</w:t>
            </w:r>
          </w:p>
        </w:tc>
        <w:tc>
          <w:tcPr>
            <w:tcW w:w="924" w:type="dxa"/>
            <w:tcBorders>
              <w:top w:val="nil"/>
              <w:left w:val="nil"/>
              <w:bottom w:val="single" w:sz="4" w:space="0" w:color="auto"/>
              <w:right w:val="single" w:sz="4" w:space="0" w:color="auto"/>
            </w:tcBorders>
            <w:shd w:val="clear" w:color="auto" w:fill="auto"/>
            <w:vAlign w:val="center"/>
            <w:hideMark/>
          </w:tcPr>
          <w:p w14:paraId="7DA53F56" w14:textId="62D2CC5A"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0,76 %</w:t>
            </w:r>
          </w:p>
        </w:tc>
        <w:tc>
          <w:tcPr>
            <w:tcW w:w="1062" w:type="dxa"/>
            <w:tcBorders>
              <w:top w:val="nil"/>
              <w:left w:val="nil"/>
              <w:bottom w:val="single" w:sz="4" w:space="0" w:color="auto"/>
              <w:right w:val="single" w:sz="4" w:space="0" w:color="auto"/>
            </w:tcBorders>
            <w:shd w:val="clear" w:color="auto" w:fill="auto"/>
            <w:vAlign w:val="center"/>
          </w:tcPr>
          <w:p w14:paraId="477BCD7D" w14:textId="4C0FDB5A"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0,71 %</w:t>
            </w:r>
          </w:p>
        </w:tc>
        <w:tc>
          <w:tcPr>
            <w:tcW w:w="1304" w:type="dxa"/>
            <w:tcBorders>
              <w:top w:val="nil"/>
              <w:left w:val="nil"/>
              <w:bottom w:val="single" w:sz="4" w:space="0" w:color="auto"/>
              <w:right w:val="single" w:sz="4" w:space="0" w:color="auto"/>
            </w:tcBorders>
            <w:shd w:val="clear" w:color="auto" w:fill="auto"/>
            <w:vAlign w:val="center"/>
          </w:tcPr>
          <w:p w14:paraId="73871FEE" w14:textId="2CCC9F23"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0,72 %</w:t>
            </w:r>
          </w:p>
        </w:tc>
      </w:tr>
      <w:tr w:rsidR="003A46F4" w:rsidRPr="009C1986" w14:paraId="790623F7" w14:textId="77777777" w:rsidTr="003A46F4">
        <w:trPr>
          <w:trHeight w:val="300"/>
          <w:jc w:val="center"/>
        </w:trPr>
        <w:tc>
          <w:tcPr>
            <w:tcW w:w="1082" w:type="dxa"/>
            <w:tcBorders>
              <w:top w:val="nil"/>
              <w:left w:val="single" w:sz="4" w:space="0" w:color="auto"/>
              <w:bottom w:val="single" w:sz="4" w:space="0" w:color="auto"/>
              <w:right w:val="single" w:sz="4" w:space="0" w:color="auto"/>
            </w:tcBorders>
            <w:vAlign w:val="center"/>
          </w:tcPr>
          <w:p w14:paraId="4B0D9B78" w14:textId="77777777" w:rsidR="003A46F4" w:rsidRPr="009C1986" w:rsidRDefault="003A46F4" w:rsidP="003A46F4">
            <w:pPr>
              <w:spacing w:after="0" w:line="240" w:lineRule="auto"/>
              <w:jc w:val="center"/>
              <w:rPr>
                <w:rFonts w:ascii="Arial" w:eastAsia="Times New Roman" w:hAnsi="Arial" w:cs="Arial"/>
                <w:color w:val="000000"/>
                <w:sz w:val="18"/>
                <w:szCs w:val="18"/>
                <w:lang w:eastAsia="sl-SI"/>
              </w:rPr>
            </w:pPr>
            <w:r w:rsidRPr="009C1986">
              <w:rPr>
                <w:rFonts w:ascii="Arial" w:eastAsia="Times New Roman" w:hAnsi="Arial" w:cs="Arial"/>
                <w:color w:val="000000"/>
                <w:sz w:val="18"/>
                <w:szCs w:val="18"/>
                <w:lang w:eastAsia="sl-SI"/>
              </w:rPr>
              <w:t>NE</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64123271" w14:textId="3967E1CA"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16.737</w:t>
            </w:r>
          </w:p>
        </w:tc>
        <w:tc>
          <w:tcPr>
            <w:tcW w:w="1435" w:type="dxa"/>
            <w:tcBorders>
              <w:top w:val="nil"/>
              <w:left w:val="nil"/>
              <w:bottom w:val="single" w:sz="4" w:space="0" w:color="auto"/>
              <w:right w:val="single" w:sz="4" w:space="0" w:color="auto"/>
            </w:tcBorders>
            <w:shd w:val="clear" w:color="auto" w:fill="auto"/>
            <w:vAlign w:val="center"/>
            <w:hideMark/>
          </w:tcPr>
          <w:p w14:paraId="29260FD0" w14:textId="00460811"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2.897.975.742</w:t>
            </w:r>
          </w:p>
        </w:tc>
        <w:tc>
          <w:tcPr>
            <w:tcW w:w="1422" w:type="dxa"/>
            <w:tcBorders>
              <w:top w:val="nil"/>
              <w:left w:val="nil"/>
              <w:bottom w:val="single" w:sz="4" w:space="0" w:color="auto"/>
              <w:right w:val="single" w:sz="4" w:space="0" w:color="auto"/>
            </w:tcBorders>
            <w:shd w:val="clear" w:color="auto" w:fill="auto"/>
            <w:vAlign w:val="center"/>
            <w:hideMark/>
          </w:tcPr>
          <w:p w14:paraId="34397495" w14:textId="17B14F0A"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3.007.919.757</w:t>
            </w:r>
          </w:p>
        </w:tc>
        <w:tc>
          <w:tcPr>
            <w:tcW w:w="924" w:type="dxa"/>
            <w:tcBorders>
              <w:top w:val="nil"/>
              <w:left w:val="nil"/>
              <w:bottom w:val="single" w:sz="4" w:space="0" w:color="auto"/>
              <w:right w:val="single" w:sz="4" w:space="0" w:color="auto"/>
            </w:tcBorders>
            <w:shd w:val="clear" w:color="auto" w:fill="auto"/>
            <w:vAlign w:val="center"/>
            <w:hideMark/>
          </w:tcPr>
          <w:p w14:paraId="1B3A3FB0" w14:textId="7A939ED4"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99,24 %</w:t>
            </w:r>
          </w:p>
        </w:tc>
        <w:tc>
          <w:tcPr>
            <w:tcW w:w="1062" w:type="dxa"/>
            <w:tcBorders>
              <w:top w:val="nil"/>
              <w:left w:val="nil"/>
              <w:bottom w:val="single" w:sz="4" w:space="0" w:color="auto"/>
              <w:right w:val="single" w:sz="4" w:space="0" w:color="auto"/>
            </w:tcBorders>
            <w:shd w:val="clear" w:color="auto" w:fill="auto"/>
            <w:vAlign w:val="center"/>
          </w:tcPr>
          <w:p w14:paraId="24AA0853" w14:textId="3CFB3FE2"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99,29 %</w:t>
            </w:r>
          </w:p>
        </w:tc>
        <w:tc>
          <w:tcPr>
            <w:tcW w:w="1304" w:type="dxa"/>
            <w:tcBorders>
              <w:top w:val="nil"/>
              <w:left w:val="nil"/>
              <w:bottom w:val="single" w:sz="4" w:space="0" w:color="auto"/>
              <w:right w:val="single" w:sz="4" w:space="0" w:color="auto"/>
            </w:tcBorders>
            <w:shd w:val="clear" w:color="auto" w:fill="auto"/>
            <w:vAlign w:val="center"/>
          </w:tcPr>
          <w:p w14:paraId="2A0E1346" w14:textId="47889ED7" w:rsidR="003A46F4" w:rsidRPr="009C1986" w:rsidRDefault="003A46F4" w:rsidP="003A46F4">
            <w:pPr>
              <w:spacing w:after="0" w:line="240" w:lineRule="auto"/>
              <w:jc w:val="right"/>
              <w:rPr>
                <w:rFonts w:ascii="Arial" w:eastAsia="Times New Roman" w:hAnsi="Arial" w:cs="Arial"/>
                <w:color w:val="000000"/>
                <w:sz w:val="18"/>
                <w:szCs w:val="18"/>
                <w:lang w:eastAsia="sl-SI"/>
              </w:rPr>
            </w:pPr>
            <w:r w:rsidRPr="009C1986">
              <w:rPr>
                <w:rFonts w:ascii="Arial" w:hAnsi="Arial" w:cs="Arial"/>
                <w:sz w:val="18"/>
                <w:szCs w:val="18"/>
              </w:rPr>
              <w:t>99,28 %</w:t>
            </w:r>
          </w:p>
        </w:tc>
      </w:tr>
      <w:tr w:rsidR="003A46F4" w:rsidRPr="009C1986" w14:paraId="2C9B2CD9" w14:textId="77777777" w:rsidTr="003A46F4">
        <w:trPr>
          <w:trHeight w:val="300"/>
          <w:jc w:val="center"/>
        </w:trPr>
        <w:tc>
          <w:tcPr>
            <w:tcW w:w="1082" w:type="dxa"/>
            <w:tcBorders>
              <w:top w:val="nil"/>
              <w:left w:val="single" w:sz="4" w:space="0" w:color="auto"/>
              <w:bottom w:val="single" w:sz="4" w:space="0" w:color="auto"/>
              <w:right w:val="single" w:sz="4" w:space="0" w:color="auto"/>
            </w:tcBorders>
            <w:shd w:val="clear" w:color="auto" w:fill="E7E6E6" w:themeFill="background2"/>
            <w:vAlign w:val="center"/>
          </w:tcPr>
          <w:p w14:paraId="7B9EBC21" w14:textId="6AB0C174" w:rsidR="003A46F4" w:rsidRPr="009C1986" w:rsidRDefault="003A46F4" w:rsidP="003A46F4">
            <w:pPr>
              <w:spacing w:after="0" w:line="240" w:lineRule="auto"/>
              <w:rPr>
                <w:rFonts w:ascii="Arial" w:eastAsia="Times New Roman" w:hAnsi="Arial" w:cs="Arial"/>
                <w:b/>
                <w:bCs/>
                <w:color w:val="000000"/>
                <w:sz w:val="18"/>
                <w:szCs w:val="18"/>
                <w:lang w:eastAsia="sl-SI"/>
              </w:rPr>
            </w:pPr>
            <w:r w:rsidRPr="009C1986">
              <w:rPr>
                <w:rFonts w:ascii="Arial" w:eastAsia="Times New Roman" w:hAnsi="Arial" w:cs="Arial"/>
                <w:b/>
                <w:bCs/>
                <w:color w:val="000000"/>
                <w:sz w:val="18"/>
                <w:szCs w:val="18"/>
                <w:lang w:eastAsia="sl-SI"/>
              </w:rPr>
              <w:t>Skupaj</w:t>
            </w:r>
          </w:p>
        </w:tc>
        <w:tc>
          <w:tcPr>
            <w:tcW w:w="846" w:type="dxa"/>
            <w:tcBorders>
              <w:top w:val="nil"/>
              <w:left w:val="single" w:sz="4" w:space="0" w:color="auto"/>
              <w:bottom w:val="single" w:sz="4" w:space="0" w:color="auto"/>
              <w:right w:val="single" w:sz="4" w:space="0" w:color="auto"/>
            </w:tcBorders>
            <w:shd w:val="clear" w:color="auto" w:fill="E7E6E6" w:themeFill="background2"/>
            <w:vAlign w:val="center"/>
            <w:hideMark/>
          </w:tcPr>
          <w:p w14:paraId="13A43281" w14:textId="204D18B5" w:rsidR="003A46F4" w:rsidRPr="009C1986" w:rsidRDefault="003A46F4" w:rsidP="003A46F4">
            <w:pPr>
              <w:spacing w:after="0" w:line="240" w:lineRule="auto"/>
              <w:jc w:val="right"/>
              <w:rPr>
                <w:rFonts w:ascii="Arial" w:eastAsia="Times New Roman" w:hAnsi="Arial" w:cs="Arial"/>
                <w:b/>
                <w:bCs/>
                <w:color w:val="000000"/>
                <w:sz w:val="18"/>
                <w:szCs w:val="18"/>
                <w:lang w:eastAsia="sl-SI"/>
              </w:rPr>
            </w:pPr>
            <w:r w:rsidRPr="009C1986">
              <w:rPr>
                <w:rFonts w:ascii="Arial" w:hAnsi="Arial" w:cs="Arial"/>
                <w:b/>
                <w:sz w:val="18"/>
                <w:szCs w:val="18"/>
              </w:rPr>
              <w:t>16.865</w:t>
            </w:r>
          </w:p>
        </w:tc>
        <w:tc>
          <w:tcPr>
            <w:tcW w:w="1435" w:type="dxa"/>
            <w:tcBorders>
              <w:top w:val="nil"/>
              <w:left w:val="nil"/>
              <w:bottom w:val="single" w:sz="4" w:space="0" w:color="auto"/>
              <w:right w:val="single" w:sz="4" w:space="0" w:color="auto"/>
            </w:tcBorders>
            <w:shd w:val="clear" w:color="auto" w:fill="E7E6E6" w:themeFill="background2"/>
            <w:vAlign w:val="center"/>
            <w:hideMark/>
          </w:tcPr>
          <w:p w14:paraId="1D3243BA" w14:textId="15BF72D3" w:rsidR="003A46F4" w:rsidRPr="009C1986" w:rsidRDefault="003A46F4" w:rsidP="003A46F4">
            <w:pPr>
              <w:spacing w:after="0" w:line="240" w:lineRule="auto"/>
              <w:jc w:val="right"/>
              <w:rPr>
                <w:rFonts w:ascii="Arial" w:eastAsia="Times New Roman" w:hAnsi="Arial" w:cs="Arial"/>
                <w:b/>
                <w:bCs/>
                <w:color w:val="000000"/>
                <w:sz w:val="18"/>
                <w:szCs w:val="18"/>
                <w:lang w:eastAsia="sl-SI"/>
              </w:rPr>
            </w:pPr>
            <w:r w:rsidRPr="009C1986">
              <w:rPr>
                <w:rFonts w:ascii="Arial" w:hAnsi="Arial" w:cs="Arial"/>
                <w:b/>
                <w:sz w:val="18"/>
                <w:szCs w:val="18"/>
              </w:rPr>
              <w:t>2.918.594.609</w:t>
            </w:r>
          </w:p>
        </w:tc>
        <w:tc>
          <w:tcPr>
            <w:tcW w:w="1422" w:type="dxa"/>
            <w:tcBorders>
              <w:top w:val="nil"/>
              <w:left w:val="nil"/>
              <w:bottom w:val="single" w:sz="4" w:space="0" w:color="auto"/>
              <w:right w:val="single" w:sz="4" w:space="0" w:color="auto"/>
            </w:tcBorders>
            <w:shd w:val="clear" w:color="auto" w:fill="E7E6E6" w:themeFill="background2"/>
            <w:vAlign w:val="center"/>
            <w:hideMark/>
          </w:tcPr>
          <w:p w14:paraId="2C5CE746" w14:textId="0B051F4C" w:rsidR="003A46F4" w:rsidRPr="009C1986" w:rsidRDefault="003A46F4" w:rsidP="003A46F4">
            <w:pPr>
              <w:spacing w:after="0" w:line="240" w:lineRule="auto"/>
              <w:jc w:val="right"/>
              <w:rPr>
                <w:rFonts w:ascii="Arial" w:eastAsia="Times New Roman" w:hAnsi="Arial" w:cs="Arial"/>
                <w:b/>
                <w:bCs/>
                <w:color w:val="000000"/>
                <w:sz w:val="18"/>
                <w:szCs w:val="18"/>
                <w:lang w:eastAsia="sl-SI"/>
              </w:rPr>
            </w:pPr>
            <w:r w:rsidRPr="009C1986">
              <w:rPr>
                <w:rFonts w:ascii="Arial" w:hAnsi="Arial" w:cs="Arial"/>
                <w:b/>
                <w:sz w:val="18"/>
                <w:szCs w:val="18"/>
              </w:rPr>
              <w:t>3.029.703.125</w:t>
            </w:r>
          </w:p>
        </w:tc>
        <w:tc>
          <w:tcPr>
            <w:tcW w:w="924" w:type="dxa"/>
            <w:tcBorders>
              <w:top w:val="nil"/>
              <w:left w:val="nil"/>
              <w:bottom w:val="single" w:sz="4" w:space="0" w:color="auto"/>
              <w:right w:val="single" w:sz="4" w:space="0" w:color="auto"/>
            </w:tcBorders>
            <w:shd w:val="clear" w:color="auto" w:fill="E7E6E6" w:themeFill="background2"/>
            <w:vAlign w:val="center"/>
            <w:hideMark/>
          </w:tcPr>
          <w:p w14:paraId="032144D2" w14:textId="11A1CBE0" w:rsidR="003A46F4" w:rsidRPr="009C1986" w:rsidRDefault="003A46F4" w:rsidP="003A46F4">
            <w:pPr>
              <w:spacing w:after="0" w:line="240" w:lineRule="auto"/>
              <w:jc w:val="right"/>
              <w:rPr>
                <w:rFonts w:ascii="Arial" w:eastAsia="Times New Roman" w:hAnsi="Arial" w:cs="Arial"/>
                <w:b/>
                <w:bCs/>
                <w:color w:val="000000"/>
                <w:sz w:val="18"/>
                <w:szCs w:val="18"/>
                <w:lang w:eastAsia="sl-SI"/>
              </w:rPr>
            </w:pPr>
            <w:r w:rsidRPr="009C1986">
              <w:rPr>
                <w:rFonts w:ascii="Arial" w:hAnsi="Arial" w:cs="Arial"/>
                <w:b/>
                <w:sz w:val="18"/>
                <w:szCs w:val="18"/>
              </w:rPr>
              <w:t>100,00 %</w:t>
            </w:r>
          </w:p>
        </w:tc>
        <w:tc>
          <w:tcPr>
            <w:tcW w:w="1062" w:type="dxa"/>
            <w:tcBorders>
              <w:top w:val="nil"/>
              <w:left w:val="nil"/>
              <w:bottom w:val="single" w:sz="4" w:space="0" w:color="auto"/>
              <w:right w:val="single" w:sz="4" w:space="0" w:color="auto"/>
            </w:tcBorders>
            <w:shd w:val="clear" w:color="auto" w:fill="E7E6E6" w:themeFill="background2"/>
            <w:vAlign w:val="center"/>
          </w:tcPr>
          <w:p w14:paraId="2E59DE58" w14:textId="1CBE888C" w:rsidR="003A46F4" w:rsidRPr="009C1986" w:rsidRDefault="003A46F4" w:rsidP="003A46F4">
            <w:pPr>
              <w:spacing w:after="0" w:line="240" w:lineRule="auto"/>
              <w:jc w:val="right"/>
              <w:rPr>
                <w:rFonts w:ascii="Arial" w:eastAsia="Times New Roman" w:hAnsi="Arial" w:cs="Arial"/>
                <w:b/>
                <w:bCs/>
                <w:color w:val="000000"/>
                <w:sz w:val="18"/>
                <w:szCs w:val="18"/>
                <w:lang w:eastAsia="sl-SI"/>
              </w:rPr>
            </w:pPr>
            <w:r w:rsidRPr="009C1986">
              <w:rPr>
                <w:rFonts w:ascii="Arial" w:hAnsi="Arial" w:cs="Arial"/>
                <w:b/>
                <w:sz w:val="18"/>
                <w:szCs w:val="18"/>
              </w:rPr>
              <w:t>100,00 %</w:t>
            </w:r>
          </w:p>
        </w:tc>
        <w:tc>
          <w:tcPr>
            <w:tcW w:w="1304" w:type="dxa"/>
            <w:tcBorders>
              <w:top w:val="nil"/>
              <w:left w:val="nil"/>
              <w:bottom w:val="single" w:sz="4" w:space="0" w:color="auto"/>
              <w:right w:val="single" w:sz="4" w:space="0" w:color="auto"/>
            </w:tcBorders>
            <w:shd w:val="clear" w:color="auto" w:fill="E7E6E6" w:themeFill="background2"/>
            <w:vAlign w:val="center"/>
          </w:tcPr>
          <w:p w14:paraId="48B39656" w14:textId="2A2D92C9" w:rsidR="003A46F4" w:rsidRPr="009C1986" w:rsidRDefault="003A46F4" w:rsidP="003A46F4">
            <w:pPr>
              <w:spacing w:after="0" w:line="240" w:lineRule="auto"/>
              <w:jc w:val="right"/>
              <w:rPr>
                <w:rFonts w:ascii="Arial" w:eastAsia="Times New Roman" w:hAnsi="Arial" w:cs="Arial"/>
                <w:b/>
                <w:bCs/>
                <w:color w:val="000000"/>
                <w:sz w:val="18"/>
                <w:szCs w:val="18"/>
                <w:lang w:eastAsia="sl-SI"/>
              </w:rPr>
            </w:pPr>
            <w:r w:rsidRPr="009C1986">
              <w:rPr>
                <w:rFonts w:ascii="Arial" w:hAnsi="Arial" w:cs="Arial"/>
                <w:b/>
                <w:sz w:val="18"/>
                <w:szCs w:val="18"/>
              </w:rPr>
              <w:t>100,00 %</w:t>
            </w:r>
          </w:p>
        </w:tc>
      </w:tr>
    </w:tbl>
    <w:p w14:paraId="153A83A6" w14:textId="77777777" w:rsidR="004A613D" w:rsidRPr="009C1986" w:rsidRDefault="004A613D" w:rsidP="004A613D">
      <w:pPr>
        <w:spacing w:after="0" w:line="240" w:lineRule="auto"/>
        <w:jc w:val="center"/>
        <w:rPr>
          <w:rFonts w:ascii="Arial" w:hAnsi="Arial" w:cs="Arial"/>
          <w:sz w:val="18"/>
        </w:rPr>
      </w:pPr>
    </w:p>
    <w:p w14:paraId="0DFEF82F" w14:textId="71E648D6" w:rsidR="00EB25C7" w:rsidRPr="009C1986" w:rsidRDefault="00EB25C7" w:rsidP="004A613D">
      <w:pPr>
        <w:spacing w:after="0" w:line="240" w:lineRule="auto"/>
        <w:jc w:val="center"/>
        <w:rPr>
          <w:rFonts w:ascii="Arial" w:hAnsi="Arial" w:cs="Arial"/>
          <w:sz w:val="18"/>
        </w:rPr>
      </w:pPr>
      <w:r w:rsidRPr="009C1986">
        <w:rPr>
          <w:rFonts w:ascii="Arial" w:hAnsi="Arial" w:cs="Arial"/>
          <w:sz w:val="18"/>
        </w:rPr>
        <w:t>Vir: Statistični podatki o javni</w:t>
      </w:r>
      <w:r w:rsidR="0034502A" w:rsidRPr="009C1986">
        <w:rPr>
          <w:rFonts w:ascii="Arial" w:hAnsi="Arial" w:cs="Arial"/>
          <w:sz w:val="18"/>
        </w:rPr>
        <w:t>h naročilih, oddanih v letu 201</w:t>
      </w:r>
      <w:r w:rsidR="00D56C5F" w:rsidRPr="009C1986">
        <w:rPr>
          <w:rFonts w:ascii="Arial" w:hAnsi="Arial" w:cs="Arial"/>
          <w:sz w:val="18"/>
        </w:rPr>
        <w:t>8</w:t>
      </w:r>
    </w:p>
    <w:p w14:paraId="6A9A0F56" w14:textId="77777777" w:rsidR="004A613D" w:rsidRPr="00EF2D0B" w:rsidRDefault="004A613D" w:rsidP="00EB25C7">
      <w:pPr>
        <w:pStyle w:val="Standard"/>
        <w:spacing w:line="360" w:lineRule="auto"/>
        <w:rPr>
          <w:rFonts w:cs="Arial"/>
          <w:sz w:val="20"/>
          <w:szCs w:val="20"/>
          <w:highlight w:val="yellow"/>
        </w:rPr>
      </w:pPr>
    </w:p>
    <w:p w14:paraId="0C0B24F1" w14:textId="3A78AA77" w:rsidR="00F53FB7" w:rsidRPr="00853FB7" w:rsidRDefault="00F53FB7" w:rsidP="00EB25C7">
      <w:pPr>
        <w:pStyle w:val="Standard"/>
        <w:spacing w:line="360" w:lineRule="auto"/>
        <w:rPr>
          <w:rFonts w:cs="Arial"/>
          <w:sz w:val="20"/>
          <w:szCs w:val="20"/>
        </w:rPr>
      </w:pPr>
      <w:r w:rsidRPr="00853FB7">
        <w:rPr>
          <w:rFonts w:cs="Arial"/>
          <w:sz w:val="20"/>
          <w:szCs w:val="20"/>
        </w:rPr>
        <w:t xml:space="preserve">Naročniki so elektronsko dražbo uporabili v enem postopku s pogajanji brez predhodne objave, </w:t>
      </w:r>
      <w:r w:rsidR="008E09B2">
        <w:rPr>
          <w:rFonts w:cs="Arial"/>
          <w:sz w:val="20"/>
          <w:szCs w:val="20"/>
        </w:rPr>
        <w:t>19</w:t>
      </w:r>
      <w:r w:rsidR="008E09B2" w:rsidRPr="00853FB7">
        <w:rPr>
          <w:rFonts w:cs="Arial"/>
          <w:sz w:val="20"/>
          <w:szCs w:val="20"/>
        </w:rPr>
        <w:t xml:space="preserve"> </w:t>
      </w:r>
      <w:r w:rsidRPr="00853FB7">
        <w:rPr>
          <w:rFonts w:cs="Arial"/>
          <w:sz w:val="20"/>
          <w:szCs w:val="20"/>
        </w:rPr>
        <w:t xml:space="preserve">odprtih postopkih, </w:t>
      </w:r>
      <w:r w:rsidR="008E09B2">
        <w:rPr>
          <w:rFonts w:cs="Arial"/>
          <w:sz w:val="20"/>
          <w:szCs w:val="20"/>
        </w:rPr>
        <w:t>50</w:t>
      </w:r>
      <w:r w:rsidR="008E09B2" w:rsidRPr="00853FB7">
        <w:rPr>
          <w:rFonts w:cs="Arial"/>
          <w:sz w:val="20"/>
          <w:szCs w:val="20"/>
        </w:rPr>
        <w:t xml:space="preserve"> </w:t>
      </w:r>
      <w:r w:rsidRPr="00853FB7">
        <w:rPr>
          <w:rFonts w:cs="Arial"/>
          <w:sz w:val="20"/>
          <w:szCs w:val="20"/>
        </w:rPr>
        <w:t xml:space="preserve">naročilih male vrednosti in enem postopku s pogajanji po predhodni objavi. </w:t>
      </w:r>
    </w:p>
    <w:p w14:paraId="7FEA0227" w14:textId="17AA21C1" w:rsidR="00EB25C7" w:rsidRPr="00853FB7" w:rsidRDefault="00EB25C7" w:rsidP="008A61FD">
      <w:pPr>
        <w:spacing w:before="120" w:after="120" w:line="240" w:lineRule="auto"/>
        <w:jc w:val="both"/>
        <w:rPr>
          <w:rFonts w:ascii="Arial" w:hAnsi="Arial" w:cs="Arial"/>
          <w:sz w:val="20"/>
        </w:rPr>
      </w:pPr>
      <w:r w:rsidRPr="00853FB7">
        <w:rPr>
          <w:rFonts w:ascii="Arial" w:hAnsi="Arial" w:cs="Arial"/>
          <w:sz w:val="20"/>
        </w:rPr>
        <w:t xml:space="preserve">Preglednica </w:t>
      </w:r>
      <w:r w:rsidR="00E430F6" w:rsidRPr="00853FB7">
        <w:rPr>
          <w:rFonts w:ascii="Arial" w:hAnsi="Arial" w:cs="Arial"/>
          <w:sz w:val="20"/>
        </w:rPr>
        <w:t>2</w:t>
      </w:r>
      <w:r w:rsidR="00EB4423">
        <w:rPr>
          <w:rFonts w:ascii="Arial" w:hAnsi="Arial" w:cs="Arial"/>
          <w:sz w:val="20"/>
        </w:rPr>
        <w:t>4</w:t>
      </w:r>
      <w:r w:rsidRPr="00853FB7">
        <w:rPr>
          <w:rFonts w:ascii="Arial" w:hAnsi="Arial" w:cs="Arial"/>
          <w:sz w:val="20"/>
        </w:rPr>
        <w:t>: Javna naročila</w:t>
      </w:r>
      <w:r w:rsidR="00753CA0" w:rsidRPr="00853FB7">
        <w:rPr>
          <w:rFonts w:ascii="Arial" w:hAnsi="Arial" w:cs="Arial"/>
          <w:sz w:val="20"/>
        </w:rPr>
        <w:t>,</w:t>
      </w:r>
      <w:r w:rsidRPr="00853FB7">
        <w:rPr>
          <w:rFonts w:ascii="Arial" w:hAnsi="Arial" w:cs="Arial"/>
          <w:sz w:val="20"/>
        </w:rPr>
        <w:t xml:space="preserve"> v katerih je bila uporabljena elektronska dražba</w:t>
      </w:r>
      <w:r w:rsidR="00753CA0" w:rsidRPr="00853FB7">
        <w:rPr>
          <w:rFonts w:ascii="Arial" w:hAnsi="Arial" w:cs="Arial"/>
          <w:sz w:val="20"/>
        </w:rPr>
        <w:t>,</w:t>
      </w:r>
      <w:r w:rsidRPr="00853FB7">
        <w:rPr>
          <w:rFonts w:ascii="Arial" w:hAnsi="Arial" w:cs="Arial"/>
          <w:sz w:val="20"/>
        </w:rPr>
        <w:t xml:space="preserve"> glede na vrsto postopka</w:t>
      </w:r>
    </w:p>
    <w:tbl>
      <w:tblPr>
        <w:tblW w:w="5000" w:type="pct"/>
        <w:tblCellMar>
          <w:left w:w="70" w:type="dxa"/>
          <w:right w:w="70" w:type="dxa"/>
        </w:tblCellMar>
        <w:tblLook w:val="04A0" w:firstRow="1" w:lastRow="0" w:firstColumn="1" w:lastColumn="0" w:noHBand="0" w:noVBand="1"/>
      </w:tblPr>
      <w:tblGrid>
        <w:gridCol w:w="2745"/>
        <w:gridCol w:w="1287"/>
        <w:gridCol w:w="2342"/>
        <w:gridCol w:w="1278"/>
        <w:gridCol w:w="1410"/>
      </w:tblGrid>
      <w:tr w:rsidR="00A11F48" w:rsidRPr="00853FB7" w14:paraId="3F5C0CB6" w14:textId="77777777" w:rsidTr="00A11F48">
        <w:trPr>
          <w:trHeight w:val="480"/>
        </w:trPr>
        <w:tc>
          <w:tcPr>
            <w:tcW w:w="151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6FDA66F" w14:textId="77777777" w:rsidR="004D3E5C" w:rsidRPr="00853FB7" w:rsidRDefault="004D3E5C" w:rsidP="004D3E5C">
            <w:pPr>
              <w:spacing w:after="0" w:line="240" w:lineRule="auto"/>
              <w:jc w:val="center"/>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Vrsta postopka</w:t>
            </w:r>
          </w:p>
        </w:tc>
        <w:tc>
          <w:tcPr>
            <w:tcW w:w="710" w:type="pct"/>
            <w:tcBorders>
              <w:top w:val="single" w:sz="4" w:space="0" w:color="auto"/>
              <w:left w:val="nil"/>
              <w:bottom w:val="single" w:sz="4" w:space="0" w:color="auto"/>
              <w:right w:val="single" w:sz="4" w:space="0" w:color="auto"/>
            </w:tcBorders>
            <w:shd w:val="clear" w:color="000000" w:fill="EDEDED"/>
            <w:vAlign w:val="center"/>
            <w:hideMark/>
          </w:tcPr>
          <w:p w14:paraId="2BE6D33B" w14:textId="77777777" w:rsidR="004D3E5C" w:rsidRPr="00853FB7" w:rsidRDefault="004D3E5C" w:rsidP="004D3E5C">
            <w:pPr>
              <w:spacing w:after="0" w:line="240" w:lineRule="auto"/>
              <w:jc w:val="center"/>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Št. naročil</w:t>
            </w:r>
          </w:p>
        </w:tc>
        <w:tc>
          <w:tcPr>
            <w:tcW w:w="1292" w:type="pct"/>
            <w:tcBorders>
              <w:top w:val="single" w:sz="4" w:space="0" w:color="auto"/>
              <w:left w:val="nil"/>
              <w:bottom w:val="single" w:sz="4" w:space="0" w:color="auto"/>
              <w:right w:val="single" w:sz="4" w:space="0" w:color="auto"/>
            </w:tcBorders>
            <w:shd w:val="clear" w:color="000000" w:fill="EDEDED"/>
            <w:vAlign w:val="center"/>
            <w:hideMark/>
          </w:tcPr>
          <w:p w14:paraId="51424F48" w14:textId="77777777" w:rsidR="004D3E5C" w:rsidRPr="00853FB7" w:rsidRDefault="004D3E5C" w:rsidP="004D3E5C">
            <w:pPr>
              <w:spacing w:after="0" w:line="240" w:lineRule="auto"/>
              <w:jc w:val="center"/>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Pogodbena vrednost</w:t>
            </w:r>
          </w:p>
        </w:tc>
        <w:tc>
          <w:tcPr>
            <w:tcW w:w="705" w:type="pct"/>
            <w:tcBorders>
              <w:top w:val="single" w:sz="4" w:space="0" w:color="auto"/>
              <w:left w:val="nil"/>
              <w:bottom w:val="single" w:sz="4" w:space="0" w:color="auto"/>
              <w:right w:val="single" w:sz="4" w:space="0" w:color="auto"/>
            </w:tcBorders>
            <w:shd w:val="clear" w:color="000000" w:fill="EDEDED"/>
            <w:vAlign w:val="center"/>
            <w:hideMark/>
          </w:tcPr>
          <w:p w14:paraId="77E8569E" w14:textId="77777777" w:rsidR="004D3E5C" w:rsidRPr="00853FB7" w:rsidRDefault="004D3E5C" w:rsidP="004D3E5C">
            <w:pPr>
              <w:spacing w:after="0" w:line="240" w:lineRule="auto"/>
              <w:jc w:val="center"/>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Delež v št. naročil</w:t>
            </w:r>
          </w:p>
        </w:tc>
        <w:tc>
          <w:tcPr>
            <w:tcW w:w="779" w:type="pct"/>
            <w:tcBorders>
              <w:top w:val="single" w:sz="4" w:space="0" w:color="auto"/>
              <w:left w:val="nil"/>
              <w:bottom w:val="single" w:sz="4" w:space="0" w:color="auto"/>
              <w:right w:val="single" w:sz="4" w:space="0" w:color="auto"/>
            </w:tcBorders>
            <w:shd w:val="clear" w:color="000000" w:fill="EDEDED"/>
            <w:vAlign w:val="center"/>
            <w:hideMark/>
          </w:tcPr>
          <w:p w14:paraId="274FE6F5" w14:textId="77777777" w:rsidR="004D3E5C" w:rsidRPr="00853FB7" w:rsidRDefault="004D3E5C" w:rsidP="004D3E5C">
            <w:pPr>
              <w:spacing w:after="0" w:line="240" w:lineRule="auto"/>
              <w:jc w:val="center"/>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Delež v vrednosti</w:t>
            </w:r>
          </w:p>
        </w:tc>
      </w:tr>
      <w:tr w:rsidR="00A11F48" w:rsidRPr="00853FB7" w14:paraId="017EC5D6" w14:textId="77777777" w:rsidTr="00A11F48">
        <w:trPr>
          <w:trHeight w:val="300"/>
        </w:trPr>
        <w:tc>
          <w:tcPr>
            <w:tcW w:w="1515" w:type="pct"/>
            <w:tcBorders>
              <w:top w:val="nil"/>
              <w:left w:val="single" w:sz="4" w:space="0" w:color="auto"/>
              <w:bottom w:val="single" w:sz="4" w:space="0" w:color="auto"/>
              <w:right w:val="single" w:sz="4" w:space="0" w:color="auto"/>
            </w:tcBorders>
            <w:shd w:val="clear" w:color="auto" w:fill="auto"/>
            <w:vAlign w:val="center"/>
            <w:hideMark/>
          </w:tcPr>
          <w:p w14:paraId="49607570" w14:textId="77777777" w:rsidR="004D3E5C" w:rsidRPr="00853FB7" w:rsidRDefault="004D3E5C" w:rsidP="00A11F48">
            <w:pPr>
              <w:spacing w:after="0" w:line="240" w:lineRule="auto"/>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Postopek s pogajanji brez predhodne objave</w:t>
            </w:r>
          </w:p>
        </w:tc>
        <w:tc>
          <w:tcPr>
            <w:tcW w:w="710" w:type="pct"/>
            <w:tcBorders>
              <w:top w:val="nil"/>
              <w:left w:val="nil"/>
              <w:bottom w:val="single" w:sz="4" w:space="0" w:color="auto"/>
              <w:right w:val="single" w:sz="4" w:space="0" w:color="auto"/>
            </w:tcBorders>
            <w:shd w:val="clear" w:color="auto" w:fill="auto"/>
            <w:vAlign w:val="center"/>
            <w:hideMark/>
          </w:tcPr>
          <w:p w14:paraId="148622EE"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1</w:t>
            </w:r>
          </w:p>
        </w:tc>
        <w:tc>
          <w:tcPr>
            <w:tcW w:w="1292" w:type="pct"/>
            <w:tcBorders>
              <w:top w:val="nil"/>
              <w:left w:val="nil"/>
              <w:bottom w:val="single" w:sz="4" w:space="0" w:color="auto"/>
              <w:right w:val="single" w:sz="4" w:space="0" w:color="auto"/>
            </w:tcBorders>
            <w:shd w:val="clear" w:color="auto" w:fill="auto"/>
            <w:vAlign w:val="center"/>
            <w:hideMark/>
          </w:tcPr>
          <w:p w14:paraId="78F6C4BF"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78.000</w:t>
            </w:r>
          </w:p>
        </w:tc>
        <w:tc>
          <w:tcPr>
            <w:tcW w:w="705" w:type="pct"/>
            <w:tcBorders>
              <w:top w:val="nil"/>
              <w:left w:val="nil"/>
              <w:bottom w:val="single" w:sz="4" w:space="0" w:color="auto"/>
              <w:right w:val="single" w:sz="4" w:space="0" w:color="auto"/>
            </w:tcBorders>
            <w:shd w:val="clear" w:color="auto" w:fill="auto"/>
            <w:noWrap/>
            <w:vAlign w:val="center"/>
            <w:hideMark/>
          </w:tcPr>
          <w:p w14:paraId="2DE6CDBF" w14:textId="545E511B"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0,78</w:t>
            </w:r>
            <w:r w:rsidR="00A11F48" w:rsidRPr="00853FB7">
              <w:rPr>
                <w:rFonts w:ascii="Arial" w:eastAsia="Times New Roman" w:hAnsi="Arial" w:cs="Arial"/>
                <w:color w:val="000000"/>
                <w:sz w:val="18"/>
                <w:szCs w:val="18"/>
                <w:lang w:eastAsia="sl-SI"/>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14:paraId="0A6FE3B1" w14:textId="40AE8126"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0,38</w:t>
            </w:r>
            <w:r w:rsidR="00A11F48" w:rsidRPr="00853FB7">
              <w:rPr>
                <w:rFonts w:ascii="Arial" w:eastAsia="Times New Roman" w:hAnsi="Arial" w:cs="Arial"/>
                <w:color w:val="000000"/>
                <w:sz w:val="18"/>
                <w:szCs w:val="18"/>
                <w:lang w:eastAsia="sl-SI"/>
              </w:rPr>
              <w:t xml:space="preserve"> %</w:t>
            </w:r>
          </w:p>
        </w:tc>
      </w:tr>
      <w:tr w:rsidR="00A11F48" w:rsidRPr="00853FB7" w14:paraId="41EBE60D" w14:textId="77777777" w:rsidTr="00A11F48">
        <w:trPr>
          <w:trHeight w:val="300"/>
        </w:trPr>
        <w:tc>
          <w:tcPr>
            <w:tcW w:w="1515" w:type="pct"/>
            <w:tcBorders>
              <w:top w:val="nil"/>
              <w:left w:val="single" w:sz="4" w:space="0" w:color="auto"/>
              <w:bottom w:val="single" w:sz="4" w:space="0" w:color="auto"/>
              <w:right w:val="single" w:sz="4" w:space="0" w:color="auto"/>
            </w:tcBorders>
            <w:shd w:val="clear" w:color="auto" w:fill="auto"/>
            <w:vAlign w:val="center"/>
            <w:hideMark/>
          </w:tcPr>
          <w:p w14:paraId="77784F9F" w14:textId="77777777" w:rsidR="004D3E5C" w:rsidRPr="00853FB7" w:rsidRDefault="004D3E5C" w:rsidP="00A11F48">
            <w:pPr>
              <w:spacing w:after="0" w:line="240" w:lineRule="auto"/>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Odprti postopek</w:t>
            </w:r>
          </w:p>
        </w:tc>
        <w:tc>
          <w:tcPr>
            <w:tcW w:w="710" w:type="pct"/>
            <w:tcBorders>
              <w:top w:val="nil"/>
              <w:left w:val="nil"/>
              <w:bottom w:val="single" w:sz="4" w:space="0" w:color="auto"/>
              <w:right w:val="single" w:sz="4" w:space="0" w:color="auto"/>
            </w:tcBorders>
            <w:shd w:val="clear" w:color="auto" w:fill="auto"/>
            <w:vAlign w:val="center"/>
            <w:hideMark/>
          </w:tcPr>
          <w:p w14:paraId="5D937F65"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48</w:t>
            </w:r>
          </w:p>
        </w:tc>
        <w:tc>
          <w:tcPr>
            <w:tcW w:w="1292" w:type="pct"/>
            <w:tcBorders>
              <w:top w:val="nil"/>
              <w:left w:val="nil"/>
              <w:bottom w:val="single" w:sz="4" w:space="0" w:color="auto"/>
              <w:right w:val="single" w:sz="4" w:space="0" w:color="auto"/>
            </w:tcBorders>
            <w:shd w:val="clear" w:color="auto" w:fill="auto"/>
            <w:vAlign w:val="center"/>
            <w:hideMark/>
          </w:tcPr>
          <w:p w14:paraId="7E8B3C00"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16.756.615</w:t>
            </w:r>
          </w:p>
        </w:tc>
        <w:tc>
          <w:tcPr>
            <w:tcW w:w="705" w:type="pct"/>
            <w:tcBorders>
              <w:top w:val="nil"/>
              <w:left w:val="nil"/>
              <w:bottom w:val="single" w:sz="4" w:space="0" w:color="auto"/>
              <w:right w:val="single" w:sz="4" w:space="0" w:color="auto"/>
            </w:tcBorders>
            <w:shd w:val="clear" w:color="auto" w:fill="auto"/>
            <w:noWrap/>
            <w:vAlign w:val="center"/>
            <w:hideMark/>
          </w:tcPr>
          <w:p w14:paraId="3E89C4EF" w14:textId="106800BC"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37,50</w:t>
            </w:r>
            <w:r w:rsidR="00A11F48" w:rsidRPr="00853FB7">
              <w:rPr>
                <w:rFonts w:ascii="Arial" w:eastAsia="Times New Roman" w:hAnsi="Arial" w:cs="Arial"/>
                <w:color w:val="000000"/>
                <w:sz w:val="18"/>
                <w:szCs w:val="18"/>
                <w:lang w:eastAsia="sl-SI"/>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14:paraId="4654E542" w14:textId="3585F7EE"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81,27</w:t>
            </w:r>
            <w:r w:rsidR="00A11F48" w:rsidRPr="00853FB7">
              <w:rPr>
                <w:rFonts w:ascii="Arial" w:eastAsia="Times New Roman" w:hAnsi="Arial" w:cs="Arial"/>
                <w:color w:val="000000"/>
                <w:sz w:val="18"/>
                <w:szCs w:val="18"/>
                <w:lang w:eastAsia="sl-SI"/>
              </w:rPr>
              <w:t xml:space="preserve"> %</w:t>
            </w:r>
          </w:p>
        </w:tc>
      </w:tr>
      <w:tr w:rsidR="00A11F48" w:rsidRPr="00853FB7" w14:paraId="2C005896" w14:textId="77777777" w:rsidTr="00A11F48">
        <w:trPr>
          <w:trHeight w:val="300"/>
        </w:trPr>
        <w:tc>
          <w:tcPr>
            <w:tcW w:w="1515" w:type="pct"/>
            <w:tcBorders>
              <w:top w:val="nil"/>
              <w:left w:val="single" w:sz="4" w:space="0" w:color="auto"/>
              <w:bottom w:val="single" w:sz="4" w:space="0" w:color="auto"/>
              <w:right w:val="single" w:sz="4" w:space="0" w:color="auto"/>
            </w:tcBorders>
            <w:shd w:val="clear" w:color="auto" w:fill="auto"/>
            <w:vAlign w:val="center"/>
            <w:hideMark/>
          </w:tcPr>
          <w:p w14:paraId="11E548BB" w14:textId="77777777" w:rsidR="004D3E5C" w:rsidRPr="00853FB7" w:rsidRDefault="004D3E5C" w:rsidP="00A11F48">
            <w:pPr>
              <w:spacing w:after="0" w:line="240" w:lineRule="auto"/>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Postopek naročila male vrednosti</w:t>
            </w:r>
          </w:p>
        </w:tc>
        <w:tc>
          <w:tcPr>
            <w:tcW w:w="710" w:type="pct"/>
            <w:tcBorders>
              <w:top w:val="nil"/>
              <w:left w:val="nil"/>
              <w:bottom w:val="single" w:sz="4" w:space="0" w:color="auto"/>
              <w:right w:val="single" w:sz="4" w:space="0" w:color="auto"/>
            </w:tcBorders>
            <w:shd w:val="clear" w:color="auto" w:fill="auto"/>
            <w:vAlign w:val="center"/>
            <w:hideMark/>
          </w:tcPr>
          <w:p w14:paraId="2423F6C4"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77</w:t>
            </w:r>
          </w:p>
        </w:tc>
        <w:tc>
          <w:tcPr>
            <w:tcW w:w="1292" w:type="pct"/>
            <w:tcBorders>
              <w:top w:val="nil"/>
              <w:left w:val="nil"/>
              <w:bottom w:val="single" w:sz="4" w:space="0" w:color="auto"/>
              <w:right w:val="single" w:sz="4" w:space="0" w:color="auto"/>
            </w:tcBorders>
            <w:shd w:val="clear" w:color="auto" w:fill="auto"/>
            <w:vAlign w:val="center"/>
            <w:hideMark/>
          </w:tcPr>
          <w:p w14:paraId="12BE85F6"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3.252.968</w:t>
            </w:r>
          </w:p>
        </w:tc>
        <w:tc>
          <w:tcPr>
            <w:tcW w:w="705" w:type="pct"/>
            <w:tcBorders>
              <w:top w:val="nil"/>
              <w:left w:val="nil"/>
              <w:bottom w:val="single" w:sz="4" w:space="0" w:color="auto"/>
              <w:right w:val="single" w:sz="4" w:space="0" w:color="auto"/>
            </w:tcBorders>
            <w:shd w:val="clear" w:color="auto" w:fill="auto"/>
            <w:noWrap/>
            <w:vAlign w:val="center"/>
            <w:hideMark/>
          </w:tcPr>
          <w:p w14:paraId="3225F028" w14:textId="639FB3D1"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60,16</w:t>
            </w:r>
            <w:r w:rsidR="00A11F48" w:rsidRPr="00853FB7">
              <w:rPr>
                <w:rFonts w:ascii="Arial" w:eastAsia="Times New Roman" w:hAnsi="Arial" w:cs="Arial"/>
                <w:color w:val="000000"/>
                <w:sz w:val="18"/>
                <w:szCs w:val="18"/>
                <w:lang w:eastAsia="sl-SI"/>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14:paraId="747AF470" w14:textId="3641CDF1"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15,78</w:t>
            </w:r>
            <w:r w:rsidR="00A11F48" w:rsidRPr="00853FB7">
              <w:rPr>
                <w:rFonts w:ascii="Arial" w:eastAsia="Times New Roman" w:hAnsi="Arial" w:cs="Arial"/>
                <w:color w:val="000000"/>
                <w:sz w:val="18"/>
                <w:szCs w:val="18"/>
                <w:lang w:eastAsia="sl-SI"/>
              </w:rPr>
              <w:t xml:space="preserve"> %</w:t>
            </w:r>
          </w:p>
        </w:tc>
      </w:tr>
      <w:tr w:rsidR="00A11F48" w:rsidRPr="00853FB7" w14:paraId="47D380A7" w14:textId="77777777" w:rsidTr="00A11F48">
        <w:trPr>
          <w:trHeight w:val="300"/>
        </w:trPr>
        <w:tc>
          <w:tcPr>
            <w:tcW w:w="1515" w:type="pct"/>
            <w:tcBorders>
              <w:top w:val="nil"/>
              <w:left w:val="single" w:sz="4" w:space="0" w:color="auto"/>
              <w:bottom w:val="single" w:sz="4" w:space="0" w:color="auto"/>
              <w:right w:val="single" w:sz="4" w:space="0" w:color="auto"/>
            </w:tcBorders>
            <w:shd w:val="clear" w:color="auto" w:fill="auto"/>
            <w:vAlign w:val="center"/>
            <w:hideMark/>
          </w:tcPr>
          <w:p w14:paraId="24533B8D" w14:textId="77777777" w:rsidR="004D3E5C" w:rsidRPr="00853FB7" w:rsidRDefault="004D3E5C" w:rsidP="00A11F48">
            <w:pPr>
              <w:spacing w:after="0" w:line="240" w:lineRule="auto"/>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Postopek s pogajanji po predhodni objavi</w:t>
            </w:r>
          </w:p>
        </w:tc>
        <w:tc>
          <w:tcPr>
            <w:tcW w:w="710" w:type="pct"/>
            <w:tcBorders>
              <w:top w:val="nil"/>
              <w:left w:val="nil"/>
              <w:bottom w:val="single" w:sz="4" w:space="0" w:color="auto"/>
              <w:right w:val="single" w:sz="4" w:space="0" w:color="auto"/>
            </w:tcBorders>
            <w:shd w:val="clear" w:color="auto" w:fill="auto"/>
            <w:vAlign w:val="center"/>
            <w:hideMark/>
          </w:tcPr>
          <w:p w14:paraId="28204786"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2</w:t>
            </w:r>
          </w:p>
        </w:tc>
        <w:tc>
          <w:tcPr>
            <w:tcW w:w="1292" w:type="pct"/>
            <w:tcBorders>
              <w:top w:val="nil"/>
              <w:left w:val="nil"/>
              <w:bottom w:val="single" w:sz="4" w:space="0" w:color="auto"/>
              <w:right w:val="single" w:sz="4" w:space="0" w:color="auto"/>
            </w:tcBorders>
            <w:shd w:val="clear" w:color="auto" w:fill="auto"/>
            <w:vAlign w:val="center"/>
            <w:hideMark/>
          </w:tcPr>
          <w:p w14:paraId="7964951A" w14:textId="77777777"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531.284</w:t>
            </w:r>
          </w:p>
        </w:tc>
        <w:tc>
          <w:tcPr>
            <w:tcW w:w="705" w:type="pct"/>
            <w:tcBorders>
              <w:top w:val="nil"/>
              <w:left w:val="nil"/>
              <w:bottom w:val="single" w:sz="4" w:space="0" w:color="auto"/>
              <w:right w:val="single" w:sz="4" w:space="0" w:color="auto"/>
            </w:tcBorders>
            <w:shd w:val="clear" w:color="auto" w:fill="auto"/>
            <w:noWrap/>
            <w:vAlign w:val="center"/>
            <w:hideMark/>
          </w:tcPr>
          <w:p w14:paraId="22B8F3D8" w14:textId="62FCB92B"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1,56</w:t>
            </w:r>
            <w:r w:rsidR="00A11F48" w:rsidRPr="00853FB7">
              <w:rPr>
                <w:rFonts w:ascii="Arial" w:eastAsia="Times New Roman" w:hAnsi="Arial" w:cs="Arial"/>
                <w:color w:val="000000"/>
                <w:sz w:val="18"/>
                <w:szCs w:val="18"/>
                <w:lang w:eastAsia="sl-SI"/>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14:paraId="2C6F6070" w14:textId="23AC5060" w:rsidR="004D3E5C" w:rsidRPr="00853FB7" w:rsidRDefault="004D3E5C" w:rsidP="00A11F48">
            <w:pPr>
              <w:spacing w:after="0" w:line="240" w:lineRule="auto"/>
              <w:jc w:val="right"/>
              <w:rPr>
                <w:rFonts w:ascii="Arial" w:eastAsia="Times New Roman" w:hAnsi="Arial" w:cs="Arial"/>
                <w:color w:val="000000"/>
                <w:sz w:val="18"/>
                <w:szCs w:val="18"/>
                <w:lang w:eastAsia="sl-SI"/>
              </w:rPr>
            </w:pPr>
            <w:r w:rsidRPr="00853FB7">
              <w:rPr>
                <w:rFonts w:ascii="Arial" w:eastAsia="Times New Roman" w:hAnsi="Arial" w:cs="Arial"/>
                <w:color w:val="000000"/>
                <w:sz w:val="18"/>
                <w:szCs w:val="18"/>
                <w:lang w:eastAsia="sl-SI"/>
              </w:rPr>
              <w:t>2,58</w:t>
            </w:r>
            <w:r w:rsidR="00A11F48" w:rsidRPr="00853FB7">
              <w:rPr>
                <w:rFonts w:ascii="Arial" w:eastAsia="Times New Roman" w:hAnsi="Arial" w:cs="Arial"/>
                <w:color w:val="000000"/>
                <w:sz w:val="18"/>
                <w:szCs w:val="18"/>
                <w:lang w:eastAsia="sl-SI"/>
              </w:rPr>
              <w:t xml:space="preserve"> %</w:t>
            </w:r>
          </w:p>
        </w:tc>
      </w:tr>
      <w:tr w:rsidR="00A11F48" w:rsidRPr="00853FB7" w14:paraId="68A4B3A4" w14:textId="77777777" w:rsidTr="00A11F48">
        <w:trPr>
          <w:trHeight w:val="300"/>
        </w:trPr>
        <w:tc>
          <w:tcPr>
            <w:tcW w:w="1515"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17FB69F3" w14:textId="77777777" w:rsidR="004D3E5C" w:rsidRPr="00853FB7" w:rsidRDefault="004D3E5C" w:rsidP="00A11F48">
            <w:pPr>
              <w:spacing w:after="0" w:line="240" w:lineRule="auto"/>
              <w:rPr>
                <w:rFonts w:ascii="Arial" w:eastAsia="Times New Roman" w:hAnsi="Arial" w:cs="Arial"/>
                <w:b/>
                <w:color w:val="000000"/>
                <w:sz w:val="18"/>
                <w:szCs w:val="18"/>
                <w:lang w:eastAsia="sl-SI"/>
              </w:rPr>
            </w:pPr>
            <w:r w:rsidRPr="00853FB7">
              <w:rPr>
                <w:rFonts w:ascii="Arial" w:eastAsia="Times New Roman" w:hAnsi="Arial" w:cs="Arial"/>
                <w:b/>
                <w:color w:val="000000"/>
                <w:sz w:val="18"/>
                <w:szCs w:val="18"/>
                <w:lang w:eastAsia="sl-SI"/>
              </w:rPr>
              <w:t>Skupaj</w:t>
            </w:r>
          </w:p>
        </w:tc>
        <w:tc>
          <w:tcPr>
            <w:tcW w:w="710" w:type="pct"/>
            <w:tcBorders>
              <w:top w:val="nil"/>
              <w:left w:val="nil"/>
              <w:bottom w:val="single" w:sz="4" w:space="0" w:color="auto"/>
              <w:right w:val="single" w:sz="4" w:space="0" w:color="auto"/>
            </w:tcBorders>
            <w:shd w:val="clear" w:color="auto" w:fill="E7E6E6" w:themeFill="background2"/>
            <w:noWrap/>
            <w:vAlign w:val="center"/>
            <w:hideMark/>
          </w:tcPr>
          <w:p w14:paraId="231C5C9B" w14:textId="77777777" w:rsidR="004D3E5C" w:rsidRPr="00853FB7" w:rsidRDefault="004D3E5C" w:rsidP="00A11F48">
            <w:pPr>
              <w:spacing w:after="0" w:line="240" w:lineRule="auto"/>
              <w:jc w:val="right"/>
              <w:rPr>
                <w:rFonts w:ascii="Arial" w:eastAsia="Times New Roman" w:hAnsi="Arial" w:cs="Arial"/>
                <w:b/>
                <w:color w:val="000000"/>
                <w:sz w:val="18"/>
                <w:szCs w:val="18"/>
                <w:lang w:eastAsia="sl-SI"/>
              </w:rPr>
            </w:pPr>
            <w:r w:rsidRPr="00853FB7">
              <w:rPr>
                <w:rFonts w:ascii="Arial" w:eastAsia="Times New Roman" w:hAnsi="Arial" w:cs="Arial"/>
                <w:b/>
                <w:color w:val="000000"/>
                <w:sz w:val="18"/>
                <w:szCs w:val="18"/>
                <w:lang w:eastAsia="sl-SI"/>
              </w:rPr>
              <w:t>128</w:t>
            </w:r>
          </w:p>
        </w:tc>
        <w:tc>
          <w:tcPr>
            <w:tcW w:w="1292" w:type="pct"/>
            <w:tcBorders>
              <w:top w:val="nil"/>
              <w:left w:val="nil"/>
              <w:bottom w:val="single" w:sz="4" w:space="0" w:color="auto"/>
              <w:right w:val="single" w:sz="4" w:space="0" w:color="auto"/>
            </w:tcBorders>
            <w:shd w:val="clear" w:color="auto" w:fill="E7E6E6" w:themeFill="background2"/>
            <w:noWrap/>
            <w:vAlign w:val="center"/>
            <w:hideMark/>
          </w:tcPr>
          <w:p w14:paraId="12196B2C" w14:textId="77777777" w:rsidR="004D3E5C" w:rsidRPr="00853FB7" w:rsidRDefault="004D3E5C" w:rsidP="00A11F48">
            <w:pPr>
              <w:spacing w:after="0" w:line="240" w:lineRule="auto"/>
              <w:jc w:val="right"/>
              <w:rPr>
                <w:rFonts w:ascii="Arial" w:eastAsia="Times New Roman" w:hAnsi="Arial" w:cs="Arial"/>
                <w:b/>
                <w:color w:val="000000"/>
                <w:sz w:val="18"/>
                <w:szCs w:val="18"/>
                <w:lang w:eastAsia="sl-SI"/>
              </w:rPr>
            </w:pPr>
            <w:r w:rsidRPr="00853FB7">
              <w:rPr>
                <w:rFonts w:ascii="Arial" w:eastAsia="Times New Roman" w:hAnsi="Arial" w:cs="Arial"/>
                <w:b/>
                <w:color w:val="000000"/>
                <w:sz w:val="18"/>
                <w:szCs w:val="18"/>
                <w:lang w:eastAsia="sl-SI"/>
              </w:rPr>
              <w:t>20.618.867</w:t>
            </w:r>
          </w:p>
        </w:tc>
        <w:tc>
          <w:tcPr>
            <w:tcW w:w="705" w:type="pct"/>
            <w:tcBorders>
              <w:top w:val="nil"/>
              <w:left w:val="nil"/>
              <w:bottom w:val="single" w:sz="4" w:space="0" w:color="auto"/>
              <w:right w:val="single" w:sz="4" w:space="0" w:color="auto"/>
            </w:tcBorders>
            <w:shd w:val="clear" w:color="auto" w:fill="E7E6E6" w:themeFill="background2"/>
            <w:noWrap/>
            <w:vAlign w:val="center"/>
            <w:hideMark/>
          </w:tcPr>
          <w:p w14:paraId="743127AF" w14:textId="65C91740" w:rsidR="004D3E5C" w:rsidRPr="00853FB7" w:rsidRDefault="004D3E5C" w:rsidP="00A11F48">
            <w:pPr>
              <w:spacing w:after="0" w:line="240" w:lineRule="auto"/>
              <w:jc w:val="right"/>
              <w:rPr>
                <w:rFonts w:ascii="Arial" w:eastAsia="Times New Roman" w:hAnsi="Arial" w:cs="Arial"/>
                <w:b/>
                <w:color w:val="000000"/>
                <w:sz w:val="18"/>
                <w:szCs w:val="18"/>
                <w:lang w:eastAsia="sl-SI"/>
              </w:rPr>
            </w:pPr>
            <w:r w:rsidRPr="00853FB7">
              <w:rPr>
                <w:rFonts w:ascii="Arial" w:eastAsia="Times New Roman" w:hAnsi="Arial" w:cs="Arial"/>
                <w:b/>
                <w:color w:val="000000"/>
                <w:sz w:val="18"/>
                <w:szCs w:val="18"/>
                <w:lang w:eastAsia="sl-SI"/>
              </w:rPr>
              <w:t>100,00</w:t>
            </w:r>
            <w:r w:rsidR="00A11F48" w:rsidRPr="00853FB7">
              <w:rPr>
                <w:rFonts w:ascii="Arial" w:eastAsia="Times New Roman" w:hAnsi="Arial" w:cs="Arial"/>
                <w:b/>
                <w:color w:val="000000"/>
                <w:sz w:val="18"/>
                <w:szCs w:val="18"/>
                <w:lang w:eastAsia="sl-SI"/>
              </w:rPr>
              <w:t xml:space="preserve"> %</w:t>
            </w:r>
          </w:p>
        </w:tc>
        <w:tc>
          <w:tcPr>
            <w:tcW w:w="779" w:type="pct"/>
            <w:tcBorders>
              <w:top w:val="nil"/>
              <w:left w:val="nil"/>
              <w:bottom w:val="single" w:sz="4" w:space="0" w:color="auto"/>
              <w:right w:val="single" w:sz="4" w:space="0" w:color="auto"/>
            </w:tcBorders>
            <w:shd w:val="clear" w:color="auto" w:fill="E7E6E6" w:themeFill="background2"/>
            <w:noWrap/>
            <w:vAlign w:val="center"/>
            <w:hideMark/>
          </w:tcPr>
          <w:p w14:paraId="1CCC6754" w14:textId="124381BF" w:rsidR="004D3E5C" w:rsidRPr="00853FB7" w:rsidRDefault="004D3E5C" w:rsidP="00A11F48">
            <w:pPr>
              <w:spacing w:after="0" w:line="240" w:lineRule="auto"/>
              <w:jc w:val="right"/>
              <w:rPr>
                <w:rFonts w:ascii="Arial" w:eastAsia="Times New Roman" w:hAnsi="Arial" w:cs="Arial"/>
                <w:b/>
                <w:color w:val="000000"/>
                <w:sz w:val="18"/>
                <w:szCs w:val="18"/>
                <w:lang w:eastAsia="sl-SI"/>
              </w:rPr>
            </w:pPr>
            <w:r w:rsidRPr="00853FB7">
              <w:rPr>
                <w:rFonts w:ascii="Arial" w:eastAsia="Times New Roman" w:hAnsi="Arial" w:cs="Arial"/>
                <w:b/>
                <w:color w:val="000000"/>
                <w:sz w:val="18"/>
                <w:szCs w:val="18"/>
                <w:lang w:eastAsia="sl-SI"/>
              </w:rPr>
              <w:t>100,0</w:t>
            </w:r>
            <w:r w:rsidR="00467C11">
              <w:rPr>
                <w:rFonts w:ascii="Arial" w:eastAsia="Times New Roman" w:hAnsi="Arial" w:cs="Arial"/>
                <w:b/>
                <w:color w:val="000000"/>
                <w:sz w:val="18"/>
                <w:szCs w:val="18"/>
                <w:lang w:eastAsia="sl-SI"/>
              </w:rPr>
              <w:t>0</w:t>
            </w:r>
            <w:r w:rsidR="00A11F48" w:rsidRPr="00853FB7">
              <w:rPr>
                <w:rFonts w:ascii="Arial" w:eastAsia="Times New Roman" w:hAnsi="Arial" w:cs="Arial"/>
                <w:b/>
                <w:color w:val="000000"/>
                <w:sz w:val="18"/>
                <w:szCs w:val="18"/>
                <w:lang w:eastAsia="sl-SI"/>
              </w:rPr>
              <w:t xml:space="preserve"> %</w:t>
            </w:r>
          </w:p>
        </w:tc>
      </w:tr>
    </w:tbl>
    <w:p w14:paraId="45A89347" w14:textId="77777777" w:rsidR="004A613D" w:rsidRPr="00853FB7" w:rsidRDefault="004A613D" w:rsidP="004A613D">
      <w:pPr>
        <w:spacing w:after="0" w:line="240" w:lineRule="auto"/>
        <w:jc w:val="center"/>
        <w:rPr>
          <w:rFonts w:ascii="Arial" w:hAnsi="Arial" w:cs="Arial"/>
          <w:sz w:val="18"/>
        </w:rPr>
      </w:pPr>
    </w:p>
    <w:p w14:paraId="75E4D3BD" w14:textId="6199061D" w:rsidR="002149C7" w:rsidRPr="00853FB7" w:rsidRDefault="002149C7" w:rsidP="004A613D">
      <w:pPr>
        <w:spacing w:after="0" w:line="240" w:lineRule="auto"/>
        <w:jc w:val="center"/>
        <w:rPr>
          <w:rFonts w:ascii="Arial" w:hAnsi="Arial" w:cs="Arial"/>
          <w:sz w:val="18"/>
        </w:rPr>
      </w:pPr>
      <w:r w:rsidRPr="00853FB7">
        <w:rPr>
          <w:rFonts w:ascii="Arial" w:hAnsi="Arial" w:cs="Arial"/>
          <w:sz w:val="18"/>
        </w:rPr>
        <w:t>Vir: Statistični podatki o javni</w:t>
      </w:r>
      <w:r w:rsidR="00B237C6" w:rsidRPr="00853FB7">
        <w:rPr>
          <w:rFonts w:ascii="Arial" w:hAnsi="Arial" w:cs="Arial"/>
          <w:sz w:val="18"/>
        </w:rPr>
        <w:t>h naročilih, oddanih v letu 201</w:t>
      </w:r>
      <w:r w:rsidR="00A11F48" w:rsidRPr="00853FB7">
        <w:rPr>
          <w:rFonts w:ascii="Arial" w:hAnsi="Arial" w:cs="Arial"/>
          <w:sz w:val="18"/>
        </w:rPr>
        <w:t>8</w:t>
      </w:r>
    </w:p>
    <w:p w14:paraId="1A2E6918" w14:textId="37502630" w:rsidR="00796AF7" w:rsidRPr="00853FB7" w:rsidRDefault="00796AF7" w:rsidP="004A613D">
      <w:pPr>
        <w:spacing w:after="0" w:line="240" w:lineRule="auto"/>
        <w:jc w:val="center"/>
        <w:rPr>
          <w:rFonts w:ascii="Arial" w:hAnsi="Arial" w:cs="Arial"/>
          <w:sz w:val="18"/>
        </w:rPr>
      </w:pPr>
    </w:p>
    <w:p w14:paraId="18D5D2D6" w14:textId="09AC8701" w:rsidR="00C84551" w:rsidRDefault="00C84551" w:rsidP="004A613D">
      <w:pPr>
        <w:spacing w:after="0" w:line="240" w:lineRule="auto"/>
        <w:jc w:val="center"/>
        <w:rPr>
          <w:rFonts w:ascii="Arial" w:hAnsi="Arial" w:cs="Arial"/>
          <w:sz w:val="18"/>
          <w:highlight w:val="yellow"/>
        </w:rPr>
      </w:pPr>
    </w:p>
    <w:p w14:paraId="3AC3F16D" w14:textId="0A11C80E" w:rsidR="00853FB7" w:rsidRDefault="00853FB7" w:rsidP="004A613D">
      <w:pPr>
        <w:spacing w:after="0" w:line="240" w:lineRule="auto"/>
        <w:jc w:val="center"/>
        <w:rPr>
          <w:rFonts w:ascii="Arial" w:hAnsi="Arial" w:cs="Arial"/>
          <w:sz w:val="18"/>
          <w:highlight w:val="yellow"/>
        </w:rPr>
      </w:pPr>
    </w:p>
    <w:p w14:paraId="0B80F910" w14:textId="18875926" w:rsidR="008F5893" w:rsidRPr="002B7F6F" w:rsidRDefault="008F5893" w:rsidP="008F5893">
      <w:pPr>
        <w:pStyle w:val="Naslov3"/>
        <w:rPr>
          <w:rFonts w:ascii="Arial" w:hAnsi="Arial" w:cs="Arial"/>
          <w:sz w:val="22"/>
          <w:szCs w:val="22"/>
        </w:rPr>
      </w:pPr>
      <w:bookmarkStart w:id="20" w:name="_Toc17114058"/>
      <w:r w:rsidRPr="002B7F6F">
        <w:rPr>
          <w:rFonts w:ascii="Arial" w:hAnsi="Arial" w:cs="Arial"/>
          <w:sz w:val="22"/>
          <w:szCs w:val="22"/>
        </w:rPr>
        <w:t>2.3.7 Skupno javno naročanje</w:t>
      </w:r>
      <w:bookmarkEnd w:id="20"/>
    </w:p>
    <w:p w14:paraId="6DDF9986" w14:textId="77777777" w:rsidR="00B57693" w:rsidRPr="002B7F6F" w:rsidRDefault="00B57693" w:rsidP="00854405">
      <w:pPr>
        <w:pStyle w:val="ZADEVA"/>
        <w:jc w:val="both"/>
        <w:rPr>
          <w:rFonts w:cs="Arial"/>
          <w:b w:val="0"/>
          <w:szCs w:val="20"/>
          <w:lang w:val="sl-SI"/>
        </w:rPr>
      </w:pPr>
    </w:p>
    <w:p w14:paraId="5EDFF293" w14:textId="423069A7" w:rsidR="008F5893" w:rsidRPr="002B7F6F" w:rsidRDefault="009E3010" w:rsidP="009E3010">
      <w:pPr>
        <w:pStyle w:val="Standard"/>
        <w:spacing w:line="360" w:lineRule="auto"/>
        <w:rPr>
          <w:rFonts w:cs="Arial"/>
          <w:sz w:val="20"/>
          <w:szCs w:val="20"/>
        </w:rPr>
      </w:pPr>
      <w:r w:rsidRPr="002B7F6F">
        <w:rPr>
          <w:rFonts w:cs="Arial"/>
          <w:sz w:val="20"/>
          <w:szCs w:val="20"/>
        </w:rPr>
        <w:t xml:space="preserve">Skupno javno naročanje je </w:t>
      </w:r>
      <w:r w:rsidR="00CF3448" w:rsidRPr="002B7F6F">
        <w:rPr>
          <w:rFonts w:cs="Arial"/>
          <w:sz w:val="20"/>
          <w:szCs w:val="20"/>
        </w:rPr>
        <w:t>tisto</w:t>
      </w:r>
      <w:r w:rsidRPr="002B7F6F">
        <w:rPr>
          <w:rFonts w:cs="Arial"/>
          <w:sz w:val="20"/>
          <w:szCs w:val="20"/>
        </w:rPr>
        <w:t xml:space="preserve">, v katero se vključi več naročnikov, da zaradi doseganja boljših finančnih učinkov na podlagi obsega predmeta naročanja in </w:t>
      </w:r>
      <w:r w:rsidR="008E09B2">
        <w:rPr>
          <w:rFonts w:cs="Arial"/>
          <w:sz w:val="20"/>
          <w:szCs w:val="20"/>
        </w:rPr>
        <w:t>manjših</w:t>
      </w:r>
      <w:r w:rsidR="008E09B2" w:rsidRPr="002B7F6F">
        <w:rPr>
          <w:rFonts w:cs="Arial"/>
          <w:sz w:val="20"/>
          <w:szCs w:val="20"/>
        </w:rPr>
        <w:t xml:space="preserve"> </w:t>
      </w:r>
      <w:r w:rsidRPr="002B7F6F">
        <w:rPr>
          <w:rFonts w:cs="Arial"/>
          <w:sz w:val="20"/>
          <w:szCs w:val="20"/>
        </w:rPr>
        <w:t>stroškov vodenja postopka javnega naročanja zagotovijo večjo gospodarnost in učinkovitost rabe javnih sredstev.</w:t>
      </w:r>
    </w:p>
    <w:p w14:paraId="619530EE" w14:textId="77777777" w:rsidR="003D2DB7" w:rsidRDefault="003D2DB7" w:rsidP="00E46A84">
      <w:pPr>
        <w:spacing w:after="0" w:line="360" w:lineRule="auto"/>
        <w:jc w:val="both"/>
        <w:rPr>
          <w:rFonts w:ascii="Arial" w:hAnsi="Arial" w:cs="Arial"/>
          <w:sz w:val="20"/>
          <w:szCs w:val="20"/>
        </w:rPr>
      </w:pPr>
    </w:p>
    <w:p w14:paraId="08D229B2" w14:textId="3CC87CE1" w:rsidR="009E3010" w:rsidRPr="002B7F6F" w:rsidRDefault="008E09B2" w:rsidP="00E46A84">
      <w:pPr>
        <w:spacing w:after="0" w:line="360" w:lineRule="auto"/>
        <w:jc w:val="both"/>
        <w:rPr>
          <w:rFonts w:ascii="Arial" w:eastAsia="Times New Roman" w:hAnsi="Arial" w:cs="Arial"/>
          <w:bCs/>
          <w:color w:val="000000"/>
          <w:sz w:val="20"/>
          <w:szCs w:val="20"/>
          <w:lang w:eastAsia="sl-SI"/>
        </w:rPr>
      </w:pPr>
      <w:r>
        <w:rPr>
          <w:rFonts w:ascii="Arial" w:hAnsi="Arial" w:cs="Arial"/>
          <w:sz w:val="20"/>
          <w:szCs w:val="20"/>
        </w:rPr>
        <w:t>Leta</w:t>
      </w:r>
      <w:r w:rsidR="009E3010" w:rsidRPr="002B7F6F">
        <w:rPr>
          <w:rFonts w:ascii="Arial" w:hAnsi="Arial" w:cs="Arial"/>
          <w:sz w:val="20"/>
          <w:szCs w:val="20"/>
        </w:rPr>
        <w:t xml:space="preserve"> 201</w:t>
      </w:r>
      <w:r w:rsidR="00332B82" w:rsidRPr="002B7F6F">
        <w:rPr>
          <w:rFonts w:ascii="Arial" w:hAnsi="Arial" w:cs="Arial"/>
          <w:sz w:val="20"/>
          <w:szCs w:val="20"/>
        </w:rPr>
        <w:t>8</w:t>
      </w:r>
      <w:r w:rsidR="009E3010" w:rsidRPr="002B7F6F">
        <w:rPr>
          <w:rFonts w:ascii="Arial" w:hAnsi="Arial" w:cs="Arial"/>
          <w:sz w:val="20"/>
          <w:szCs w:val="20"/>
        </w:rPr>
        <w:t xml:space="preserve"> je skup</w:t>
      </w:r>
      <w:r w:rsidR="00753CA0" w:rsidRPr="002B7F6F">
        <w:rPr>
          <w:rFonts w:ascii="Arial" w:hAnsi="Arial" w:cs="Arial"/>
          <w:sz w:val="20"/>
          <w:szCs w:val="20"/>
        </w:rPr>
        <w:t>aj</w:t>
      </w:r>
      <w:r w:rsidR="009E3010" w:rsidRPr="002B7F6F">
        <w:rPr>
          <w:rFonts w:ascii="Arial" w:hAnsi="Arial" w:cs="Arial"/>
          <w:sz w:val="20"/>
          <w:szCs w:val="20"/>
        </w:rPr>
        <w:t xml:space="preserve"> javno naroča</w:t>
      </w:r>
      <w:r w:rsidR="00753CA0" w:rsidRPr="002B7F6F">
        <w:rPr>
          <w:rFonts w:ascii="Arial" w:hAnsi="Arial" w:cs="Arial"/>
          <w:sz w:val="20"/>
          <w:szCs w:val="20"/>
        </w:rPr>
        <w:t>lo</w:t>
      </w:r>
      <w:r w:rsidR="009E3010" w:rsidRPr="002B7F6F">
        <w:rPr>
          <w:rFonts w:ascii="Arial" w:hAnsi="Arial" w:cs="Arial"/>
          <w:sz w:val="20"/>
          <w:szCs w:val="20"/>
        </w:rPr>
        <w:t xml:space="preserve"> </w:t>
      </w:r>
      <w:r w:rsidR="00332B82" w:rsidRPr="002B7F6F">
        <w:rPr>
          <w:rFonts w:ascii="Arial" w:hAnsi="Arial" w:cs="Arial"/>
          <w:sz w:val="20"/>
          <w:szCs w:val="20"/>
        </w:rPr>
        <w:t>8</w:t>
      </w:r>
      <w:r w:rsidR="00F3652B" w:rsidRPr="002B7F6F">
        <w:rPr>
          <w:rFonts w:ascii="Arial" w:hAnsi="Arial" w:cs="Arial"/>
          <w:sz w:val="20"/>
          <w:szCs w:val="20"/>
        </w:rPr>
        <w:t>5</w:t>
      </w:r>
      <w:r w:rsidR="009E3010" w:rsidRPr="002B7F6F">
        <w:rPr>
          <w:rFonts w:ascii="Arial" w:hAnsi="Arial" w:cs="Arial"/>
          <w:sz w:val="20"/>
          <w:szCs w:val="20"/>
        </w:rPr>
        <w:t xml:space="preserve"> naročnikov. Oddanih je bilo </w:t>
      </w:r>
      <w:r w:rsidR="00291D29" w:rsidRPr="002B7F6F">
        <w:rPr>
          <w:rFonts w:ascii="Arial" w:hAnsi="Arial" w:cs="Arial"/>
          <w:sz w:val="20"/>
          <w:szCs w:val="20"/>
        </w:rPr>
        <w:t>4</w:t>
      </w:r>
      <w:r w:rsidR="00332B82" w:rsidRPr="002B7F6F">
        <w:rPr>
          <w:rFonts w:ascii="Arial" w:hAnsi="Arial" w:cs="Arial"/>
          <w:sz w:val="20"/>
          <w:szCs w:val="20"/>
        </w:rPr>
        <w:t>97</w:t>
      </w:r>
      <w:r w:rsidR="009E3010" w:rsidRPr="002B7F6F">
        <w:rPr>
          <w:rFonts w:ascii="Arial" w:hAnsi="Arial" w:cs="Arial"/>
          <w:sz w:val="20"/>
          <w:szCs w:val="20"/>
        </w:rPr>
        <w:t xml:space="preserve"> </w:t>
      </w:r>
      <w:r w:rsidR="006A147B" w:rsidRPr="002B7F6F">
        <w:rPr>
          <w:rFonts w:ascii="Arial" w:hAnsi="Arial" w:cs="Arial"/>
          <w:sz w:val="20"/>
          <w:szCs w:val="20"/>
        </w:rPr>
        <w:t>naročil</w:t>
      </w:r>
      <w:r w:rsidR="009E3010" w:rsidRPr="002B7F6F">
        <w:rPr>
          <w:rFonts w:ascii="Arial" w:hAnsi="Arial" w:cs="Arial"/>
          <w:sz w:val="20"/>
          <w:szCs w:val="20"/>
        </w:rPr>
        <w:t xml:space="preserve"> v vrednosti </w:t>
      </w:r>
      <w:r w:rsidR="00332B82" w:rsidRPr="002B7F6F">
        <w:rPr>
          <w:rFonts w:ascii="Arial" w:eastAsia="Times New Roman" w:hAnsi="Arial" w:cs="Arial"/>
          <w:bCs/>
          <w:color w:val="000000"/>
          <w:sz w:val="20"/>
          <w:szCs w:val="20"/>
          <w:lang w:eastAsia="sl-SI"/>
        </w:rPr>
        <w:t xml:space="preserve">171.181.635 </w:t>
      </w:r>
      <w:r w:rsidR="009E3010" w:rsidRPr="002B7F6F">
        <w:rPr>
          <w:rFonts w:ascii="Arial" w:hAnsi="Arial" w:cs="Arial"/>
          <w:sz w:val="20"/>
          <w:szCs w:val="20"/>
        </w:rPr>
        <w:t xml:space="preserve">evrov. </w:t>
      </w:r>
      <w:r w:rsidR="000D4DC6" w:rsidRPr="002B7F6F">
        <w:rPr>
          <w:rFonts w:ascii="Arial" w:hAnsi="Arial" w:cs="Arial"/>
          <w:sz w:val="20"/>
          <w:szCs w:val="20"/>
        </w:rPr>
        <w:t>Največ naročil pri skupne</w:t>
      </w:r>
      <w:r w:rsidR="00753CA0" w:rsidRPr="002B7F6F">
        <w:rPr>
          <w:rFonts w:ascii="Arial" w:hAnsi="Arial" w:cs="Arial"/>
          <w:sz w:val="20"/>
          <w:szCs w:val="20"/>
        </w:rPr>
        <w:t>m</w:t>
      </w:r>
      <w:r w:rsidR="000D4DC6" w:rsidRPr="002B7F6F">
        <w:rPr>
          <w:rFonts w:ascii="Arial" w:hAnsi="Arial" w:cs="Arial"/>
          <w:sz w:val="20"/>
          <w:szCs w:val="20"/>
        </w:rPr>
        <w:t xml:space="preserve"> javne</w:t>
      </w:r>
      <w:r w:rsidR="00753CA0" w:rsidRPr="002B7F6F">
        <w:rPr>
          <w:rFonts w:ascii="Arial" w:hAnsi="Arial" w:cs="Arial"/>
          <w:sz w:val="20"/>
          <w:szCs w:val="20"/>
        </w:rPr>
        <w:t>m</w:t>
      </w:r>
      <w:r w:rsidR="000D4DC6" w:rsidRPr="002B7F6F">
        <w:rPr>
          <w:rFonts w:ascii="Arial" w:hAnsi="Arial" w:cs="Arial"/>
          <w:sz w:val="20"/>
          <w:szCs w:val="20"/>
        </w:rPr>
        <w:t xml:space="preserve"> naročanj</w:t>
      </w:r>
      <w:r w:rsidR="00753CA0" w:rsidRPr="002B7F6F">
        <w:rPr>
          <w:rFonts w:ascii="Arial" w:hAnsi="Arial" w:cs="Arial"/>
          <w:sz w:val="20"/>
          <w:szCs w:val="20"/>
        </w:rPr>
        <w:t>u</w:t>
      </w:r>
      <w:r w:rsidR="000D4DC6" w:rsidRPr="002B7F6F">
        <w:rPr>
          <w:rFonts w:ascii="Arial" w:hAnsi="Arial" w:cs="Arial"/>
          <w:sz w:val="20"/>
          <w:szCs w:val="20"/>
        </w:rPr>
        <w:t xml:space="preserve"> je oddalo Ministrstvo za javno upravo, ki </w:t>
      </w:r>
      <w:r w:rsidR="002D7BF8" w:rsidRPr="002B7F6F">
        <w:rPr>
          <w:rFonts w:ascii="Arial" w:hAnsi="Arial" w:cs="Arial"/>
          <w:sz w:val="20"/>
          <w:szCs w:val="20"/>
        </w:rPr>
        <w:t xml:space="preserve">je v </w:t>
      </w:r>
      <w:r w:rsidR="00CA57A5" w:rsidRPr="002B7F6F">
        <w:rPr>
          <w:rFonts w:ascii="Arial" w:hAnsi="Arial" w:cs="Arial"/>
          <w:sz w:val="20"/>
          <w:szCs w:val="20"/>
        </w:rPr>
        <w:t>11</w:t>
      </w:r>
      <w:r w:rsidR="002D7BF8" w:rsidRPr="002B7F6F">
        <w:rPr>
          <w:rFonts w:ascii="Arial" w:hAnsi="Arial" w:cs="Arial"/>
          <w:sz w:val="20"/>
          <w:szCs w:val="20"/>
        </w:rPr>
        <w:t xml:space="preserve"> postopkih oddalo </w:t>
      </w:r>
      <w:r w:rsidR="00030CF0" w:rsidRPr="002B7F6F">
        <w:rPr>
          <w:rFonts w:ascii="Arial" w:hAnsi="Arial" w:cs="Arial"/>
          <w:sz w:val="20"/>
          <w:szCs w:val="20"/>
        </w:rPr>
        <w:t>57</w:t>
      </w:r>
      <w:r w:rsidR="000D4DC6" w:rsidRPr="002B7F6F">
        <w:rPr>
          <w:rFonts w:ascii="Arial" w:hAnsi="Arial" w:cs="Arial"/>
          <w:sz w:val="20"/>
          <w:szCs w:val="20"/>
        </w:rPr>
        <w:t xml:space="preserve"> naročil v vrednosti </w:t>
      </w:r>
      <w:r w:rsidR="00CA57A5" w:rsidRPr="002B7F6F">
        <w:rPr>
          <w:rFonts w:ascii="Arial" w:hAnsi="Arial" w:cs="Arial"/>
          <w:sz w:val="20"/>
          <w:szCs w:val="20"/>
        </w:rPr>
        <w:t xml:space="preserve">26.402.277 </w:t>
      </w:r>
      <w:r w:rsidR="000D4DC6" w:rsidRPr="002B7F6F">
        <w:rPr>
          <w:rFonts w:ascii="Arial" w:hAnsi="Arial" w:cs="Arial"/>
          <w:sz w:val="20"/>
          <w:szCs w:val="20"/>
        </w:rPr>
        <w:t>evrov</w:t>
      </w:r>
      <w:r w:rsidR="002E1B12" w:rsidRPr="002B7F6F">
        <w:rPr>
          <w:rFonts w:ascii="Arial" w:hAnsi="Arial" w:cs="Arial"/>
          <w:sz w:val="20"/>
          <w:szCs w:val="20"/>
        </w:rPr>
        <w:t>.</w:t>
      </w:r>
      <w:r w:rsidR="00CA57A5" w:rsidRPr="002B7F6F">
        <w:rPr>
          <w:rFonts w:ascii="Arial" w:hAnsi="Arial" w:cs="Arial"/>
          <w:sz w:val="20"/>
          <w:szCs w:val="20"/>
        </w:rPr>
        <w:t xml:space="preserve"> Po vrednosti pa je največ naročil pri skupnem javnem naročanju oddala Mestna občina Ljubljana, in sicer v 14 postopkih 19 naročil v vrednosti 37.318.194 evrov. </w:t>
      </w:r>
    </w:p>
    <w:p w14:paraId="6FAE21D0" w14:textId="77777777" w:rsidR="00C22535" w:rsidRPr="002B7F6F" w:rsidRDefault="00C22535" w:rsidP="00C22535">
      <w:pPr>
        <w:pStyle w:val="Standard"/>
        <w:spacing w:line="360" w:lineRule="auto"/>
        <w:rPr>
          <w:rFonts w:cs="Arial"/>
          <w:sz w:val="20"/>
          <w:szCs w:val="20"/>
        </w:rPr>
      </w:pPr>
    </w:p>
    <w:p w14:paraId="565BD4F7" w14:textId="76AC68AE" w:rsidR="00C22535" w:rsidRPr="002B7F6F" w:rsidRDefault="00A01581" w:rsidP="00C22535">
      <w:pPr>
        <w:pStyle w:val="Standard"/>
        <w:spacing w:line="360" w:lineRule="auto"/>
        <w:rPr>
          <w:rFonts w:cs="Arial"/>
          <w:sz w:val="20"/>
          <w:szCs w:val="20"/>
        </w:rPr>
      </w:pPr>
      <w:r w:rsidRPr="002B7F6F">
        <w:rPr>
          <w:rFonts w:cs="Arial"/>
          <w:sz w:val="20"/>
          <w:szCs w:val="20"/>
        </w:rPr>
        <w:t xml:space="preserve">Pri skupnem javnem naročanju je bilo največ naročil oddanih z uporabo odprtega postopka, in sicer </w:t>
      </w:r>
      <w:r w:rsidR="00DB5452" w:rsidRPr="002B7F6F">
        <w:rPr>
          <w:rFonts w:cs="Arial"/>
          <w:sz w:val="20"/>
          <w:szCs w:val="20"/>
        </w:rPr>
        <w:t>56,14</w:t>
      </w:r>
      <w:r w:rsidRPr="002B7F6F">
        <w:rPr>
          <w:rFonts w:cs="Arial"/>
          <w:sz w:val="20"/>
          <w:szCs w:val="20"/>
        </w:rPr>
        <w:t xml:space="preserve"> %, njihova vrednost pa je znašala </w:t>
      </w:r>
      <w:r w:rsidR="00DB5452" w:rsidRPr="002B7F6F">
        <w:rPr>
          <w:rFonts w:cs="Arial"/>
          <w:sz w:val="20"/>
          <w:szCs w:val="20"/>
        </w:rPr>
        <w:t>68,35</w:t>
      </w:r>
      <w:r w:rsidR="00E009F9">
        <w:rPr>
          <w:rFonts w:cs="Arial"/>
          <w:sz w:val="20"/>
          <w:szCs w:val="20"/>
        </w:rPr>
        <w:t xml:space="preserve"> </w:t>
      </w:r>
      <w:r w:rsidRPr="002B7F6F">
        <w:rPr>
          <w:rFonts w:cs="Arial"/>
          <w:sz w:val="20"/>
          <w:szCs w:val="20"/>
        </w:rPr>
        <w:t xml:space="preserve">% vrednosti skupnega javnega naročanja. </w:t>
      </w:r>
    </w:p>
    <w:p w14:paraId="4BC85B6D" w14:textId="74DDB696" w:rsidR="00C22535" w:rsidRPr="002B7F6F" w:rsidRDefault="00E430F6" w:rsidP="008A61FD">
      <w:pPr>
        <w:spacing w:before="120" w:after="120" w:line="240" w:lineRule="auto"/>
        <w:jc w:val="both"/>
        <w:rPr>
          <w:rFonts w:ascii="Arial" w:hAnsi="Arial" w:cs="Arial"/>
          <w:sz w:val="20"/>
        </w:rPr>
      </w:pPr>
      <w:r w:rsidRPr="002B7F6F">
        <w:rPr>
          <w:rFonts w:ascii="Arial" w:hAnsi="Arial" w:cs="Arial"/>
          <w:sz w:val="20"/>
        </w:rPr>
        <w:t>Preglednica 2</w:t>
      </w:r>
      <w:r w:rsidR="00EB4423">
        <w:rPr>
          <w:rFonts w:ascii="Arial" w:hAnsi="Arial" w:cs="Arial"/>
          <w:sz w:val="20"/>
        </w:rPr>
        <w:t>5</w:t>
      </w:r>
      <w:r w:rsidR="00C22535" w:rsidRPr="002B7F6F">
        <w:rPr>
          <w:rFonts w:ascii="Arial" w:hAnsi="Arial" w:cs="Arial"/>
          <w:sz w:val="20"/>
        </w:rPr>
        <w:t>: Skupno javno naročanje v številu, vrednosti in deležu skupnih javnih naročil glede na vrsto postopka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6"/>
        <w:gridCol w:w="1287"/>
        <w:gridCol w:w="2200"/>
        <w:gridCol w:w="1417"/>
        <w:gridCol w:w="1412"/>
      </w:tblGrid>
      <w:tr w:rsidR="007852C0" w:rsidRPr="002B7F6F" w14:paraId="07C26DED" w14:textId="77777777" w:rsidTr="00215818">
        <w:trPr>
          <w:trHeight w:val="960"/>
        </w:trPr>
        <w:tc>
          <w:tcPr>
            <w:tcW w:w="1515" w:type="pct"/>
            <w:shd w:val="clear" w:color="000000" w:fill="EDEDED"/>
            <w:vAlign w:val="center"/>
            <w:hideMark/>
          </w:tcPr>
          <w:p w14:paraId="114DD348" w14:textId="77777777" w:rsidR="007852C0" w:rsidRPr="002B7F6F" w:rsidRDefault="007852C0" w:rsidP="007852C0">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Vrsta postopka</w:t>
            </w:r>
          </w:p>
        </w:tc>
        <w:tc>
          <w:tcPr>
            <w:tcW w:w="710" w:type="pct"/>
            <w:shd w:val="clear" w:color="000000" w:fill="EDEDED"/>
            <w:vAlign w:val="center"/>
            <w:hideMark/>
          </w:tcPr>
          <w:p w14:paraId="71AF34AA" w14:textId="77777777" w:rsidR="007852C0" w:rsidRPr="002B7F6F" w:rsidRDefault="007852C0" w:rsidP="007852C0">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Št. naročil</w:t>
            </w:r>
          </w:p>
        </w:tc>
        <w:tc>
          <w:tcPr>
            <w:tcW w:w="1214" w:type="pct"/>
            <w:shd w:val="clear" w:color="000000" w:fill="EDEDED"/>
            <w:vAlign w:val="center"/>
            <w:hideMark/>
          </w:tcPr>
          <w:p w14:paraId="698450D8" w14:textId="77777777" w:rsidR="007852C0" w:rsidRPr="002B7F6F" w:rsidRDefault="007852C0" w:rsidP="007852C0">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Pogodbena vrednost</w:t>
            </w:r>
          </w:p>
        </w:tc>
        <w:tc>
          <w:tcPr>
            <w:tcW w:w="782" w:type="pct"/>
            <w:shd w:val="clear" w:color="000000" w:fill="EDEDED"/>
            <w:vAlign w:val="center"/>
            <w:hideMark/>
          </w:tcPr>
          <w:p w14:paraId="141E6EAD" w14:textId="77777777" w:rsidR="007852C0" w:rsidRPr="002B7F6F" w:rsidRDefault="007852C0" w:rsidP="007852C0">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Delež v št. skupnih naročil</w:t>
            </w:r>
          </w:p>
        </w:tc>
        <w:tc>
          <w:tcPr>
            <w:tcW w:w="779" w:type="pct"/>
            <w:shd w:val="clear" w:color="000000" w:fill="EDEDED"/>
            <w:vAlign w:val="center"/>
            <w:hideMark/>
          </w:tcPr>
          <w:p w14:paraId="6E888E27" w14:textId="77777777" w:rsidR="007852C0" w:rsidRPr="002B7F6F" w:rsidRDefault="007852C0" w:rsidP="007852C0">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Delež v vrednosti skupnih naročil</w:t>
            </w:r>
          </w:p>
        </w:tc>
      </w:tr>
      <w:tr w:rsidR="007852C0" w:rsidRPr="002B7F6F" w14:paraId="58C1C194" w14:textId="77777777" w:rsidTr="00215818">
        <w:trPr>
          <w:trHeight w:val="300"/>
        </w:trPr>
        <w:tc>
          <w:tcPr>
            <w:tcW w:w="1515" w:type="pct"/>
            <w:shd w:val="clear" w:color="auto" w:fill="auto"/>
            <w:vAlign w:val="center"/>
            <w:hideMark/>
          </w:tcPr>
          <w:p w14:paraId="48FFC509" w14:textId="77777777" w:rsidR="007852C0" w:rsidRPr="002B7F6F" w:rsidRDefault="007852C0" w:rsidP="007852C0">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Konkurenčni postopek s pogajanji</w:t>
            </w:r>
          </w:p>
        </w:tc>
        <w:tc>
          <w:tcPr>
            <w:tcW w:w="710" w:type="pct"/>
            <w:shd w:val="clear" w:color="auto" w:fill="auto"/>
            <w:vAlign w:val="center"/>
            <w:hideMark/>
          </w:tcPr>
          <w:p w14:paraId="1736BCFE"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21</w:t>
            </w:r>
          </w:p>
        </w:tc>
        <w:tc>
          <w:tcPr>
            <w:tcW w:w="1214" w:type="pct"/>
            <w:shd w:val="clear" w:color="auto" w:fill="auto"/>
            <w:vAlign w:val="center"/>
            <w:hideMark/>
          </w:tcPr>
          <w:p w14:paraId="29FD2422"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29.723.286</w:t>
            </w:r>
          </w:p>
        </w:tc>
        <w:tc>
          <w:tcPr>
            <w:tcW w:w="782" w:type="pct"/>
            <w:shd w:val="clear" w:color="auto" w:fill="auto"/>
            <w:noWrap/>
            <w:vAlign w:val="center"/>
            <w:hideMark/>
          </w:tcPr>
          <w:p w14:paraId="6F5FE73E" w14:textId="0522D060"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4,23 %</w:t>
            </w:r>
          </w:p>
        </w:tc>
        <w:tc>
          <w:tcPr>
            <w:tcW w:w="779" w:type="pct"/>
            <w:shd w:val="clear" w:color="auto" w:fill="auto"/>
            <w:noWrap/>
            <w:vAlign w:val="center"/>
            <w:hideMark/>
          </w:tcPr>
          <w:p w14:paraId="4D372CE2" w14:textId="67764135"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17,36 %</w:t>
            </w:r>
          </w:p>
        </w:tc>
      </w:tr>
      <w:tr w:rsidR="007852C0" w:rsidRPr="002B7F6F" w14:paraId="41E706E4" w14:textId="77777777" w:rsidTr="00215818">
        <w:trPr>
          <w:trHeight w:val="300"/>
        </w:trPr>
        <w:tc>
          <w:tcPr>
            <w:tcW w:w="1515" w:type="pct"/>
            <w:shd w:val="clear" w:color="auto" w:fill="auto"/>
            <w:vAlign w:val="center"/>
            <w:hideMark/>
          </w:tcPr>
          <w:p w14:paraId="1C2C1EB0" w14:textId="77777777" w:rsidR="007852C0" w:rsidRPr="002B7F6F" w:rsidRDefault="007852C0" w:rsidP="007852C0">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Postopek s pogajanji brez predhodne objave</w:t>
            </w:r>
          </w:p>
        </w:tc>
        <w:tc>
          <w:tcPr>
            <w:tcW w:w="710" w:type="pct"/>
            <w:shd w:val="clear" w:color="auto" w:fill="auto"/>
            <w:vAlign w:val="center"/>
            <w:hideMark/>
          </w:tcPr>
          <w:p w14:paraId="63A20A32"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16</w:t>
            </w:r>
          </w:p>
        </w:tc>
        <w:tc>
          <w:tcPr>
            <w:tcW w:w="1214" w:type="pct"/>
            <w:shd w:val="clear" w:color="auto" w:fill="auto"/>
            <w:vAlign w:val="center"/>
            <w:hideMark/>
          </w:tcPr>
          <w:p w14:paraId="5A6E0C36"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9.820.740</w:t>
            </w:r>
          </w:p>
        </w:tc>
        <w:tc>
          <w:tcPr>
            <w:tcW w:w="782" w:type="pct"/>
            <w:shd w:val="clear" w:color="auto" w:fill="auto"/>
            <w:noWrap/>
            <w:vAlign w:val="center"/>
            <w:hideMark/>
          </w:tcPr>
          <w:p w14:paraId="4AD74A9C" w14:textId="130E95F1"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3,22 %</w:t>
            </w:r>
          </w:p>
        </w:tc>
        <w:tc>
          <w:tcPr>
            <w:tcW w:w="779" w:type="pct"/>
            <w:shd w:val="clear" w:color="auto" w:fill="auto"/>
            <w:noWrap/>
            <w:vAlign w:val="center"/>
            <w:hideMark/>
          </w:tcPr>
          <w:p w14:paraId="40561817" w14:textId="224EF0AE"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5,74 %</w:t>
            </w:r>
          </w:p>
        </w:tc>
      </w:tr>
      <w:tr w:rsidR="007852C0" w:rsidRPr="002B7F6F" w14:paraId="23B016B1" w14:textId="77777777" w:rsidTr="00215818">
        <w:trPr>
          <w:trHeight w:val="300"/>
        </w:trPr>
        <w:tc>
          <w:tcPr>
            <w:tcW w:w="1515" w:type="pct"/>
            <w:shd w:val="clear" w:color="auto" w:fill="auto"/>
            <w:vAlign w:val="center"/>
            <w:hideMark/>
          </w:tcPr>
          <w:p w14:paraId="57003F2E" w14:textId="77777777" w:rsidR="007852C0" w:rsidRPr="002B7F6F" w:rsidRDefault="007852C0" w:rsidP="007852C0">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Odprti postopek</w:t>
            </w:r>
          </w:p>
        </w:tc>
        <w:tc>
          <w:tcPr>
            <w:tcW w:w="710" w:type="pct"/>
            <w:shd w:val="clear" w:color="auto" w:fill="auto"/>
            <w:vAlign w:val="center"/>
            <w:hideMark/>
          </w:tcPr>
          <w:p w14:paraId="3F84A632"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279</w:t>
            </w:r>
          </w:p>
        </w:tc>
        <w:tc>
          <w:tcPr>
            <w:tcW w:w="1214" w:type="pct"/>
            <w:shd w:val="clear" w:color="auto" w:fill="auto"/>
            <w:vAlign w:val="center"/>
            <w:hideMark/>
          </w:tcPr>
          <w:p w14:paraId="5EE8A7E0"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117.011.042</w:t>
            </w:r>
          </w:p>
        </w:tc>
        <w:tc>
          <w:tcPr>
            <w:tcW w:w="782" w:type="pct"/>
            <w:shd w:val="clear" w:color="auto" w:fill="auto"/>
            <w:noWrap/>
            <w:vAlign w:val="center"/>
            <w:hideMark/>
          </w:tcPr>
          <w:p w14:paraId="1E7D22CE" w14:textId="034F72A5"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56,14 %</w:t>
            </w:r>
          </w:p>
        </w:tc>
        <w:tc>
          <w:tcPr>
            <w:tcW w:w="779" w:type="pct"/>
            <w:shd w:val="clear" w:color="auto" w:fill="auto"/>
            <w:noWrap/>
            <w:vAlign w:val="center"/>
            <w:hideMark/>
          </w:tcPr>
          <w:p w14:paraId="41ACF7ED" w14:textId="5400BA75"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68,35 %</w:t>
            </w:r>
          </w:p>
        </w:tc>
      </w:tr>
      <w:tr w:rsidR="007852C0" w:rsidRPr="002B7F6F" w14:paraId="0489F30E" w14:textId="77777777" w:rsidTr="00215818">
        <w:trPr>
          <w:trHeight w:val="300"/>
        </w:trPr>
        <w:tc>
          <w:tcPr>
            <w:tcW w:w="1515" w:type="pct"/>
            <w:shd w:val="clear" w:color="auto" w:fill="auto"/>
            <w:vAlign w:val="center"/>
            <w:hideMark/>
          </w:tcPr>
          <w:p w14:paraId="356344BD" w14:textId="77777777" w:rsidR="007852C0" w:rsidRPr="002B7F6F" w:rsidRDefault="007852C0" w:rsidP="007852C0">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Postopek naročila male vrednosti</w:t>
            </w:r>
          </w:p>
        </w:tc>
        <w:tc>
          <w:tcPr>
            <w:tcW w:w="710" w:type="pct"/>
            <w:shd w:val="clear" w:color="auto" w:fill="auto"/>
            <w:vAlign w:val="center"/>
            <w:hideMark/>
          </w:tcPr>
          <w:p w14:paraId="3C50E898"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176</w:t>
            </w:r>
          </w:p>
        </w:tc>
        <w:tc>
          <w:tcPr>
            <w:tcW w:w="1214" w:type="pct"/>
            <w:shd w:val="clear" w:color="auto" w:fill="auto"/>
            <w:vAlign w:val="center"/>
            <w:hideMark/>
          </w:tcPr>
          <w:p w14:paraId="06F7D235"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9.174.111</w:t>
            </w:r>
          </w:p>
        </w:tc>
        <w:tc>
          <w:tcPr>
            <w:tcW w:w="782" w:type="pct"/>
            <w:shd w:val="clear" w:color="auto" w:fill="auto"/>
            <w:noWrap/>
            <w:vAlign w:val="center"/>
            <w:hideMark/>
          </w:tcPr>
          <w:p w14:paraId="6C47FD90" w14:textId="3F6D9948"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35,41 %</w:t>
            </w:r>
          </w:p>
        </w:tc>
        <w:tc>
          <w:tcPr>
            <w:tcW w:w="779" w:type="pct"/>
            <w:shd w:val="clear" w:color="auto" w:fill="auto"/>
            <w:noWrap/>
            <w:vAlign w:val="center"/>
            <w:hideMark/>
          </w:tcPr>
          <w:p w14:paraId="20D77400" w14:textId="53CF36DE"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5,36 %</w:t>
            </w:r>
          </w:p>
        </w:tc>
      </w:tr>
      <w:tr w:rsidR="007852C0" w:rsidRPr="002B7F6F" w14:paraId="34926C27" w14:textId="77777777" w:rsidTr="00215818">
        <w:trPr>
          <w:trHeight w:val="300"/>
        </w:trPr>
        <w:tc>
          <w:tcPr>
            <w:tcW w:w="1515" w:type="pct"/>
            <w:shd w:val="clear" w:color="auto" w:fill="auto"/>
            <w:vAlign w:val="center"/>
            <w:hideMark/>
          </w:tcPr>
          <w:p w14:paraId="3B3E0567" w14:textId="77777777" w:rsidR="007852C0" w:rsidRPr="002B7F6F" w:rsidRDefault="007852C0" w:rsidP="007852C0">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Postopek s pogajanji po predhodni objavi</w:t>
            </w:r>
          </w:p>
        </w:tc>
        <w:tc>
          <w:tcPr>
            <w:tcW w:w="710" w:type="pct"/>
            <w:shd w:val="clear" w:color="auto" w:fill="auto"/>
            <w:vAlign w:val="center"/>
            <w:hideMark/>
          </w:tcPr>
          <w:p w14:paraId="5562056D"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5</w:t>
            </w:r>
          </w:p>
        </w:tc>
        <w:tc>
          <w:tcPr>
            <w:tcW w:w="1214" w:type="pct"/>
            <w:shd w:val="clear" w:color="auto" w:fill="auto"/>
            <w:vAlign w:val="center"/>
            <w:hideMark/>
          </w:tcPr>
          <w:p w14:paraId="2C770B9A" w14:textId="77777777"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5.452.456</w:t>
            </w:r>
          </w:p>
        </w:tc>
        <w:tc>
          <w:tcPr>
            <w:tcW w:w="782" w:type="pct"/>
            <w:shd w:val="clear" w:color="auto" w:fill="auto"/>
            <w:noWrap/>
            <w:vAlign w:val="center"/>
            <w:hideMark/>
          </w:tcPr>
          <w:p w14:paraId="6E04E716" w14:textId="66BB6F61"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1,01 %</w:t>
            </w:r>
          </w:p>
        </w:tc>
        <w:tc>
          <w:tcPr>
            <w:tcW w:w="779" w:type="pct"/>
            <w:shd w:val="clear" w:color="auto" w:fill="auto"/>
            <w:noWrap/>
            <w:vAlign w:val="center"/>
            <w:hideMark/>
          </w:tcPr>
          <w:p w14:paraId="4D223685" w14:textId="652D113F" w:rsidR="007852C0" w:rsidRPr="002B7F6F" w:rsidRDefault="007852C0" w:rsidP="007852C0">
            <w:pPr>
              <w:spacing w:after="0" w:line="240" w:lineRule="auto"/>
              <w:jc w:val="right"/>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3,19 %</w:t>
            </w:r>
          </w:p>
        </w:tc>
      </w:tr>
      <w:tr w:rsidR="001D63CA" w:rsidRPr="002B7F6F" w14:paraId="2DAFDEB6" w14:textId="77777777" w:rsidTr="00215818">
        <w:trPr>
          <w:trHeight w:val="300"/>
        </w:trPr>
        <w:tc>
          <w:tcPr>
            <w:tcW w:w="1515" w:type="pct"/>
            <w:shd w:val="clear" w:color="auto" w:fill="E7E6E6" w:themeFill="background2"/>
            <w:noWrap/>
            <w:vAlign w:val="center"/>
            <w:hideMark/>
          </w:tcPr>
          <w:p w14:paraId="704BD3DB" w14:textId="77777777" w:rsidR="007852C0" w:rsidRPr="002B7F6F" w:rsidRDefault="007852C0" w:rsidP="007852C0">
            <w:pPr>
              <w:spacing w:after="0" w:line="240" w:lineRule="auto"/>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Skupaj</w:t>
            </w:r>
          </w:p>
        </w:tc>
        <w:tc>
          <w:tcPr>
            <w:tcW w:w="710" w:type="pct"/>
            <w:shd w:val="clear" w:color="auto" w:fill="E7E6E6" w:themeFill="background2"/>
            <w:noWrap/>
            <w:vAlign w:val="center"/>
            <w:hideMark/>
          </w:tcPr>
          <w:p w14:paraId="280B6189" w14:textId="77777777" w:rsidR="007852C0" w:rsidRPr="002B7F6F" w:rsidRDefault="007852C0" w:rsidP="007852C0">
            <w:pPr>
              <w:spacing w:after="0" w:line="240" w:lineRule="auto"/>
              <w:jc w:val="right"/>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497</w:t>
            </w:r>
          </w:p>
        </w:tc>
        <w:tc>
          <w:tcPr>
            <w:tcW w:w="1214" w:type="pct"/>
            <w:shd w:val="clear" w:color="auto" w:fill="E7E6E6" w:themeFill="background2"/>
            <w:noWrap/>
            <w:vAlign w:val="center"/>
            <w:hideMark/>
          </w:tcPr>
          <w:p w14:paraId="57A98AAD" w14:textId="77777777" w:rsidR="007852C0" w:rsidRPr="002B7F6F" w:rsidRDefault="007852C0" w:rsidP="007852C0">
            <w:pPr>
              <w:spacing w:after="0" w:line="240" w:lineRule="auto"/>
              <w:jc w:val="right"/>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171.181.635</w:t>
            </w:r>
          </w:p>
        </w:tc>
        <w:tc>
          <w:tcPr>
            <w:tcW w:w="782" w:type="pct"/>
            <w:shd w:val="clear" w:color="auto" w:fill="E7E6E6" w:themeFill="background2"/>
            <w:noWrap/>
            <w:vAlign w:val="center"/>
            <w:hideMark/>
          </w:tcPr>
          <w:p w14:paraId="1E39FABF" w14:textId="6D01557A" w:rsidR="007852C0" w:rsidRPr="002B7F6F" w:rsidRDefault="007852C0" w:rsidP="007852C0">
            <w:pPr>
              <w:spacing w:after="0" w:line="240" w:lineRule="auto"/>
              <w:jc w:val="right"/>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100,0</w:t>
            </w:r>
            <w:r w:rsidR="00467C11">
              <w:rPr>
                <w:rFonts w:ascii="Arial" w:eastAsia="Times New Roman" w:hAnsi="Arial" w:cs="Arial"/>
                <w:b/>
                <w:bCs/>
                <w:color w:val="000000"/>
                <w:sz w:val="18"/>
                <w:szCs w:val="18"/>
                <w:lang w:eastAsia="sl-SI"/>
              </w:rPr>
              <w:t>0</w:t>
            </w:r>
            <w:r w:rsidRPr="002B7F6F">
              <w:rPr>
                <w:rFonts w:ascii="Arial" w:eastAsia="Times New Roman" w:hAnsi="Arial" w:cs="Arial"/>
                <w:b/>
                <w:bCs/>
                <w:color w:val="000000"/>
                <w:sz w:val="18"/>
                <w:szCs w:val="18"/>
                <w:lang w:eastAsia="sl-SI"/>
              </w:rPr>
              <w:t xml:space="preserve"> %</w:t>
            </w:r>
          </w:p>
        </w:tc>
        <w:tc>
          <w:tcPr>
            <w:tcW w:w="779" w:type="pct"/>
            <w:shd w:val="clear" w:color="auto" w:fill="E7E6E6" w:themeFill="background2"/>
            <w:noWrap/>
            <w:vAlign w:val="center"/>
            <w:hideMark/>
          </w:tcPr>
          <w:p w14:paraId="31553A71" w14:textId="6219DFE4" w:rsidR="007852C0" w:rsidRPr="002B7F6F" w:rsidRDefault="007852C0" w:rsidP="007852C0">
            <w:pPr>
              <w:spacing w:after="0" w:line="240" w:lineRule="auto"/>
              <w:jc w:val="right"/>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100,00 %</w:t>
            </w:r>
          </w:p>
        </w:tc>
      </w:tr>
    </w:tbl>
    <w:p w14:paraId="42F3F8C4" w14:textId="77777777" w:rsidR="004A613D" w:rsidRPr="002B7F6F" w:rsidRDefault="004A613D" w:rsidP="004A613D">
      <w:pPr>
        <w:spacing w:after="0" w:line="240" w:lineRule="auto"/>
        <w:jc w:val="center"/>
        <w:rPr>
          <w:rFonts w:ascii="Arial" w:hAnsi="Arial" w:cs="Arial"/>
          <w:sz w:val="18"/>
        </w:rPr>
      </w:pPr>
    </w:p>
    <w:p w14:paraId="08DCC262" w14:textId="1BA5D9DC" w:rsidR="00C22535" w:rsidRPr="002B7F6F" w:rsidRDefault="00C22535" w:rsidP="004A613D">
      <w:pPr>
        <w:spacing w:after="0" w:line="240" w:lineRule="auto"/>
        <w:jc w:val="center"/>
        <w:rPr>
          <w:rFonts w:ascii="Arial" w:hAnsi="Arial" w:cs="Arial"/>
          <w:sz w:val="18"/>
        </w:rPr>
      </w:pPr>
      <w:r w:rsidRPr="002B7F6F">
        <w:rPr>
          <w:rFonts w:ascii="Arial" w:hAnsi="Arial" w:cs="Arial"/>
          <w:sz w:val="18"/>
        </w:rPr>
        <w:t>Vir: Statistični podatki o javni</w:t>
      </w:r>
      <w:r w:rsidR="00601A40" w:rsidRPr="002B7F6F">
        <w:rPr>
          <w:rFonts w:ascii="Arial" w:hAnsi="Arial" w:cs="Arial"/>
          <w:sz w:val="18"/>
        </w:rPr>
        <w:t>h naročilih, oddanih v letu 201</w:t>
      </w:r>
      <w:r w:rsidR="007852C0" w:rsidRPr="002B7F6F">
        <w:rPr>
          <w:rFonts w:ascii="Arial" w:hAnsi="Arial" w:cs="Arial"/>
          <w:sz w:val="18"/>
        </w:rPr>
        <w:t>8</w:t>
      </w:r>
    </w:p>
    <w:p w14:paraId="1A4DB38B" w14:textId="77777777" w:rsidR="0006360B" w:rsidRPr="002B7F6F" w:rsidRDefault="0006360B" w:rsidP="00CB7AA8">
      <w:pPr>
        <w:spacing w:line="360" w:lineRule="auto"/>
        <w:jc w:val="both"/>
        <w:rPr>
          <w:rFonts w:ascii="Arial" w:hAnsi="Arial" w:cs="Arial"/>
          <w:sz w:val="20"/>
          <w:szCs w:val="20"/>
        </w:rPr>
      </w:pPr>
    </w:p>
    <w:p w14:paraId="39A20AA9" w14:textId="54B62ABB" w:rsidR="00C22535" w:rsidRPr="002B7F6F" w:rsidRDefault="00C22535" w:rsidP="00F847DA">
      <w:pPr>
        <w:spacing w:line="360" w:lineRule="auto"/>
        <w:jc w:val="both"/>
        <w:rPr>
          <w:rFonts w:ascii="Arial" w:eastAsia="Times New Roman" w:hAnsi="Arial" w:cs="Arial"/>
          <w:color w:val="000000"/>
          <w:sz w:val="20"/>
          <w:szCs w:val="20"/>
          <w:lang w:eastAsia="sl-SI"/>
        </w:rPr>
      </w:pPr>
      <w:r w:rsidRPr="002B7F6F">
        <w:rPr>
          <w:rFonts w:ascii="Arial" w:hAnsi="Arial" w:cs="Arial"/>
          <w:sz w:val="20"/>
          <w:szCs w:val="20"/>
        </w:rPr>
        <w:t>Naročniki so skupno javno naroča</w:t>
      </w:r>
      <w:r w:rsidR="00D33417" w:rsidRPr="002B7F6F">
        <w:rPr>
          <w:rFonts w:ascii="Arial" w:hAnsi="Arial" w:cs="Arial"/>
          <w:sz w:val="20"/>
          <w:szCs w:val="20"/>
        </w:rPr>
        <w:t>li</w:t>
      </w:r>
      <w:r w:rsidRPr="002B7F6F">
        <w:rPr>
          <w:rFonts w:ascii="Arial" w:hAnsi="Arial" w:cs="Arial"/>
          <w:sz w:val="20"/>
          <w:szCs w:val="20"/>
        </w:rPr>
        <w:t xml:space="preserve"> na splošnem po</w:t>
      </w:r>
      <w:r w:rsidR="00B25794" w:rsidRPr="002B7F6F">
        <w:rPr>
          <w:rFonts w:ascii="Arial" w:hAnsi="Arial" w:cs="Arial"/>
          <w:sz w:val="20"/>
          <w:szCs w:val="20"/>
        </w:rPr>
        <w:t xml:space="preserve">dročju, kjer je bilo oddanih </w:t>
      </w:r>
      <w:r w:rsidR="00F847DA" w:rsidRPr="002B7F6F">
        <w:rPr>
          <w:rFonts w:ascii="Arial" w:hAnsi="Arial" w:cs="Arial"/>
          <w:sz w:val="20"/>
          <w:szCs w:val="20"/>
        </w:rPr>
        <w:t>450</w:t>
      </w:r>
      <w:r w:rsidRPr="002B7F6F">
        <w:rPr>
          <w:rFonts w:ascii="Arial" w:hAnsi="Arial" w:cs="Arial"/>
          <w:sz w:val="20"/>
          <w:szCs w:val="20"/>
        </w:rPr>
        <w:t xml:space="preserve"> naročil v vrednosti </w:t>
      </w:r>
      <w:r w:rsidR="00F847DA" w:rsidRPr="002B7F6F">
        <w:rPr>
          <w:rFonts w:ascii="Arial" w:eastAsia="Times New Roman" w:hAnsi="Arial" w:cs="Arial"/>
          <w:color w:val="000000"/>
          <w:sz w:val="20"/>
          <w:szCs w:val="20"/>
          <w:lang w:eastAsia="sl-SI"/>
        </w:rPr>
        <w:t xml:space="preserve">151.443.472 </w:t>
      </w:r>
      <w:r w:rsidRPr="002B7F6F">
        <w:rPr>
          <w:rFonts w:ascii="Arial" w:hAnsi="Arial" w:cs="Arial"/>
          <w:sz w:val="20"/>
          <w:szCs w:val="20"/>
        </w:rPr>
        <w:t xml:space="preserve">evrov. Ta naročila imajo </w:t>
      </w:r>
      <w:r w:rsidR="00F847DA" w:rsidRPr="002B7F6F">
        <w:rPr>
          <w:rFonts w:ascii="Arial" w:eastAsia="Times New Roman" w:hAnsi="Arial" w:cs="Arial"/>
          <w:color w:val="000000"/>
          <w:sz w:val="20"/>
          <w:szCs w:val="20"/>
          <w:lang w:eastAsia="sl-SI"/>
        </w:rPr>
        <w:t>90,54</w:t>
      </w:r>
      <w:r w:rsidR="00D33417" w:rsidRPr="002B7F6F">
        <w:rPr>
          <w:rFonts w:ascii="Arial" w:hAnsi="Arial" w:cs="Arial"/>
          <w:sz w:val="20"/>
          <w:szCs w:val="20"/>
        </w:rPr>
        <w:t>-</w:t>
      </w:r>
      <w:r w:rsidRPr="002B7F6F">
        <w:rPr>
          <w:rFonts w:ascii="Arial" w:hAnsi="Arial" w:cs="Arial"/>
          <w:sz w:val="20"/>
          <w:szCs w:val="20"/>
        </w:rPr>
        <w:t xml:space="preserve">odstotni delež v številu vseh naročil v skupnem javnem naročanju in </w:t>
      </w:r>
      <w:r w:rsidR="00F847DA" w:rsidRPr="002B7F6F">
        <w:rPr>
          <w:rFonts w:ascii="Arial" w:eastAsia="Times New Roman" w:hAnsi="Arial" w:cs="Arial"/>
          <w:color w:val="000000"/>
          <w:sz w:val="20"/>
          <w:szCs w:val="20"/>
          <w:lang w:eastAsia="sl-SI"/>
        </w:rPr>
        <w:t>88,47</w:t>
      </w:r>
      <w:r w:rsidR="00D33417" w:rsidRPr="002B7F6F">
        <w:rPr>
          <w:rFonts w:ascii="Arial" w:hAnsi="Arial" w:cs="Arial"/>
          <w:sz w:val="20"/>
          <w:szCs w:val="20"/>
        </w:rPr>
        <w:t>-</w:t>
      </w:r>
      <w:r w:rsidRPr="002B7F6F">
        <w:rPr>
          <w:rFonts w:ascii="Arial" w:hAnsi="Arial" w:cs="Arial"/>
          <w:sz w:val="20"/>
          <w:szCs w:val="20"/>
        </w:rPr>
        <w:t>odstotni delež v v</w:t>
      </w:r>
      <w:r w:rsidR="00CB7AA8" w:rsidRPr="002B7F6F">
        <w:rPr>
          <w:rFonts w:ascii="Arial" w:hAnsi="Arial" w:cs="Arial"/>
          <w:sz w:val="20"/>
          <w:szCs w:val="20"/>
        </w:rPr>
        <w:t>rednosti. Preostala naročila (</w:t>
      </w:r>
      <w:r w:rsidR="00F847DA" w:rsidRPr="002B7F6F">
        <w:rPr>
          <w:rFonts w:ascii="Arial" w:hAnsi="Arial" w:cs="Arial"/>
          <w:sz w:val="20"/>
          <w:szCs w:val="20"/>
        </w:rPr>
        <w:t>47</w:t>
      </w:r>
      <w:r w:rsidRPr="002B7F6F">
        <w:rPr>
          <w:rFonts w:ascii="Arial" w:hAnsi="Arial" w:cs="Arial"/>
          <w:sz w:val="20"/>
          <w:szCs w:val="20"/>
        </w:rPr>
        <w:t xml:space="preserve"> naročil v vrednosti </w:t>
      </w:r>
      <w:r w:rsidR="00F847DA" w:rsidRPr="002B7F6F">
        <w:rPr>
          <w:rFonts w:ascii="Arial" w:eastAsia="Times New Roman" w:hAnsi="Arial" w:cs="Arial"/>
          <w:color w:val="000000"/>
          <w:sz w:val="20"/>
          <w:szCs w:val="20"/>
          <w:lang w:eastAsia="sl-SI"/>
        </w:rPr>
        <w:t>19.738.163</w:t>
      </w:r>
      <w:r w:rsidR="003C4E9E" w:rsidRPr="002B7F6F">
        <w:rPr>
          <w:rFonts w:ascii="Arial" w:eastAsia="Times New Roman" w:hAnsi="Arial" w:cs="Arial"/>
          <w:color w:val="000000"/>
          <w:sz w:val="20"/>
          <w:szCs w:val="20"/>
          <w:lang w:eastAsia="sl-SI"/>
        </w:rPr>
        <w:t xml:space="preserve"> </w:t>
      </w:r>
      <w:r w:rsidRPr="002B7F6F">
        <w:rPr>
          <w:rFonts w:ascii="Arial" w:hAnsi="Arial" w:cs="Arial"/>
          <w:sz w:val="20"/>
          <w:szCs w:val="20"/>
        </w:rPr>
        <w:t>evrov) so bila oddana na infrastrukturnem področju.</w:t>
      </w:r>
    </w:p>
    <w:p w14:paraId="63B5782D" w14:textId="335EDF13" w:rsidR="00F155EE" w:rsidRDefault="00C22535" w:rsidP="000F62B6">
      <w:pPr>
        <w:pStyle w:val="Standard"/>
        <w:spacing w:line="360" w:lineRule="auto"/>
        <w:rPr>
          <w:rFonts w:cs="Arial"/>
          <w:sz w:val="20"/>
          <w:szCs w:val="20"/>
        </w:rPr>
      </w:pPr>
      <w:r w:rsidRPr="002B7F6F">
        <w:rPr>
          <w:rFonts w:cs="Arial"/>
          <w:sz w:val="20"/>
          <w:szCs w:val="20"/>
        </w:rPr>
        <w:t>Pri skupnih javn</w:t>
      </w:r>
      <w:r w:rsidR="000B6757" w:rsidRPr="002B7F6F">
        <w:rPr>
          <w:rFonts w:cs="Arial"/>
          <w:sz w:val="20"/>
          <w:szCs w:val="20"/>
        </w:rPr>
        <w:t xml:space="preserve">ih naročilih je bilo </w:t>
      </w:r>
      <w:r w:rsidR="008E09B2" w:rsidRPr="002B7F6F">
        <w:rPr>
          <w:rFonts w:cs="Arial"/>
          <w:sz w:val="20"/>
          <w:szCs w:val="20"/>
        </w:rPr>
        <w:t>let</w:t>
      </w:r>
      <w:r w:rsidR="008E09B2">
        <w:rPr>
          <w:rFonts w:cs="Arial"/>
          <w:sz w:val="20"/>
          <w:szCs w:val="20"/>
        </w:rPr>
        <w:t>a</w:t>
      </w:r>
      <w:r w:rsidR="008E09B2" w:rsidRPr="002B7F6F">
        <w:rPr>
          <w:rFonts w:cs="Arial"/>
          <w:sz w:val="20"/>
          <w:szCs w:val="20"/>
        </w:rPr>
        <w:t xml:space="preserve"> </w:t>
      </w:r>
      <w:r w:rsidR="000B6757" w:rsidRPr="002B7F6F">
        <w:rPr>
          <w:rFonts w:cs="Arial"/>
          <w:sz w:val="20"/>
          <w:szCs w:val="20"/>
        </w:rPr>
        <w:t>201</w:t>
      </w:r>
      <w:r w:rsidR="004F0BF2">
        <w:rPr>
          <w:rFonts w:cs="Arial"/>
          <w:sz w:val="20"/>
          <w:szCs w:val="20"/>
        </w:rPr>
        <w:t>8</w:t>
      </w:r>
      <w:r w:rsidRPr="002B7F6F">
        <w:rPr>
          <w:rFonts w:cs="Arial"/>
          <w:sz w:val="20"/>
          <w:szCs w:val="20"/>
        </w:rPr>
        <w:t xml:space="preserve"> o</w:t>
      </w:r>
      <w:r w:rsidR="000B6757" w:rsidRPr="002B7F6F">
        <w:rPr>
          <w:rFonts w:cs="Arial"/>
          <w:sz w:val="20"/>
          <w:szCs w:val="20"/>
        </w:rPr>
        <w:t>ddanih največ naročil blaga (26</w:t>
      </w:r>
      <w:r w:rsidR="00C87C3C" w:rsidRPr="002B7F6F">
        <w:rPr>
          <w:rFonts w:cs="Arial"/>
          <w:sz w:val="20"/>
          <w:szCs w:val="20"/>
        </w:rPr>
        <w:t>0</w:t>
      </w:r>
      <w:r w:rsidRPr="002B7F6F">
        <w:rPr>
          <w:rFonts w:cs="Arial"/>
          <w:sz w:val="20"/>
          <w:szCs w:val="20"/>
        </w:rPr>
        <w:t xml:space="preserve"> naročil v vrednosti </w:t>
      </w:r>
      <w:r w:rsidR="00C87C3C" w:rsidRPr="002B7F6F">
        <w:rPr>
          <w:rFonts w:cs="Arial"/>
          <w:color w:val="000000"/>
          <w:sz w:val="20"/>
          <w:szCs w:val="20"/>
        </w:rPr>
        <w:t xml:space="preserve">74.060.917 </w:t>
      </w:r>
      <w:r w:rsidR="00E05A57" w:rsidRPr="002B7F6F">
        <w:rPr>
          <w:rFonts w:cs="Arial"/>
          <w:sz w:val="20"/>
          <w:szCs w:val="20"/>
        </w:rPr>
        <w:t>evrov</w:t>
      </w:r>
      <w:r w:rsidR="000B68F8" w:rsidRPr="002B7F6F">
        <w:rPr>
          <w:rFonts w:cs="Arial"/>
          <w:sz w:val="20"/>
          <w:szCs w:val="20"/>
        </w:rPr>
        <w:t>)</w:t>
      </w:r>
      <w:r w:rsidR="00E05A57" w:rsidRPr="002B7F6F">
        <w:rPr>
          <w:rFonts w:cs="Arial"/>
          <w:sz w:val="20"/>
          <w:szCs w:val="20"/>
        </w:rPr>
        <w:t>.</w:t>
      </w:r>
      <w:r w:rsidRPr="002B7F6F">
        <w:rPr>
          <w:rFonts w:cs="Arial"/>
          <w:sz w:val="20"/>
          <w:szCs w:val="20"/>
        </w:rPr>
        <w:t xml:space="preserve"> Ta naročila imajo </w:t>
      </w:r>
      <w:r w:rsidR="00C87C3C" w:rsidRPr="002B7F6F">
        <w:rPr>
          <w:rFonts w:cs="Arial"/>
          <w:sz w:val="20"/>
          <w:szCs w:val="20"/>
        </w:rPr>
        <w:t>52,31</w:t>
      </w:r>
      <w:r w:rsidR="00D33417" w:rsidRPr="002B7F6F">
        <w:rPr>
          <w:rFonts w:cs="Arial"/>
          <w:sz w:val="20"/>
          <w:szCs w:val="20"/>
        </w:rPr>
        <w:t>-</w:t>
      </w:r>
      <w:r w:rsidRPr="002B7F6F">
        <w:rPr>
          <w:rFonts w:cs="Arial"/>
          <w:sz w:val="20"/>
          <w:szCs w:val="20"/>
        </w:rPr>
        <w:t xml:space="preserve">odstotni delež v številu vseh skupnih naročil in </w:t>
      </w:r>
      <w:r w:rsidR="00C87C3C" w:rsidRPr="002B7F6F">
        <w:rPr>
          <w:rFonts w:cs="Arial"/>
          <w:sz w:val="20"/>
          <w:szCs w:val="20"/>
        </w:rPr>
        <w:t>43,26</w:t>
      </w:r>
      <w:r w:rsidR="00D33417" w:rsidRPr="002B7F6F">
        <w:rPr>
          <w:rFonts w:cs="Arial"/>
          <w:sz w:val="20"/>
          <w:szCs w:val="20"/>
        </w:rPr>
        <w:t>-</w:t>
      </w:r>
      <w:r w:rsidRPr="002B7F6F">
        <w:rPr>
          <w:rFonts w:cs="Arial"/>
          <w:sz w:val="20"/>
          <w:szCs w:val="20"/>
        </w:rPr>
        <w:t>odstotni delež v njihovi vrednosti</w:t>
      </w:r>
      <w:r w:rsidR="00864042" w:rsidRPr="002B7F6F">
        <w:rPr>
          <w:rFonts w:cs="Arial"/>
          <w:sz w:val="20"/>
          <w:szCs w:val="20"/>
        </w:rPr>
        <w:t>.</w:t>
      </w:r>
    </w:p>
    <w:p w14:paraId="48531AB7" w14:textId="77777777" w:rsidR="000F62B6" w:rsidRDefault="000F62B6" w:rsidP="000F62B6">
      <w:pPr>
        <w:spacing w:after="0"/>
        <w:rPr>
          <w:rFonts w:ascii="Arial" w:eastAsia="Times New Roman" w:hAnsi="Arial" w:cs="Arial"/>
          <w:kern w:val="3"/>
          <w:sz w:val="20"/>
          <w:szCs w:val="20"/>
        </w:rPr>
      </w:pPr>
    </w:p>
    <w:p w14:paraId="5197B772" w14:textId="78B291A6" w:rsidR="000F5210" w:rsidRPr="002B7F6F" w:rsidRDefault="00C22535" w:rsidP="000F5210">
      <w:pPr>
        <w:spacing w:after="120" w:line="240" w:lineRule="auto"/>
        <w:rPr>
          <w:rFonts w:ascii="Arial" w:hAnsi="Arial" w:cs="Arial"/>
          <w:sz w:val="20"/>
        </w:rPr>
      </w:pPr>
      <w:r w:rsidRPr="002B7F6F">
        <w:rPr>
          <w:rFonts w:ascii="Arial" w:hAnsi="Arial" w:cs="Arial"/>
          <w:sz w:val="20"/>
        </w:rPr>
        <w:t xml:space="preserve">Preglednica </w:t>
      </w:r>
      <w:r w:rsidR="00E430F6" w:rsidRPr="002B7F6F">
        <w:rPr>
          <w:rFonts w:ascii="Arial" w:hAnsi="Arial" w:cs="Arial"/>
          <w:sz w:val="20"/>
        </w:rPr>
        <w:t>2</w:t>
      </w:r>
      <w:r w:rsidR="00EB4423">
        <w:rPr>
          <w:rFonts w:ascii="Arial" w:hAnsi="Arial" w:cs="Arial"/>
          <w:sz w:val="20"/>
        </w:rPr>
        <w:t>6</w:t>
      </w:r>
      <w:r w:rsidRPr="002B7F6F">
        <w:rPr>
          <w:rFonts w:ascii="Arial" w:hAnsi="Arial" w:cs="Arial"/>
          <w:sz w:val="20"/>
        </w:rPr>
        <w:t>: Skupno javno naročanje v številu, vrednosti in deležu skupnih javnih naročil glede na predmet naročanja</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230"/>
        <w:gridCol w:w="1744"/>
        <w:gridCol w:w="1744"/>
        <w:gridCol w:w="1744"/>
      </w:tblGrid>
      <w:tr w:rsidR="00C22535" w:rsidRPr="002B7F6F" w14:paraId="5ADFEC99" w14:textId="77777777" w:rsidTr="001866F1">
        <w:trPr>
          <w:trHeight w:val="284"/>
          <w:jc w:val="center"/>
        </w:trPr>
        <w:tc>
          <w:tcPr>
            <w:tcW w:w="1555" w:type="dxa"/>
            <w:shd w:val="clear" w:color="auto" w:fill="EDEDED" w:themeFill="accent3" w:themeFillTint="33"/>
            <w:vAlign w:val="center"/>
            <w:hideMark/>
          </w:tcPr>
          <w:p w14:paraId="1AEEC21F" w14:textId="01870B70" w:rsidR="00C22535" w:rsidRPr="002B7F6F" w:rsidRDefault="00C22535" w:rsidP="0030478F">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Predmet</w:t>
            </w:r>
          </w:p>
        </w:tc>
        <w:tc>
          <w:tcPr>
            <w:tcW w:w="1230" w:type="dxa"/>
            <w:shd w:val="clear" w:color="auto" w:fill="EDEDED" w:themeFill="accent3" w:themeFillTint="33"/>
            <w:vAlign w:val="center"/>
            <w:hideMark/>
          </w:tcPr>
          <w:p w14:paraId="5499DC67" w14:textId="77777777" w:rsidR="00C22535" w:rsidRPr="002B7F6F" w:rsidRDefault="00C22535" w:rsidP="0030478F">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Št. naročil</w:t>
            </w:r>
          </w:p>
        </w:tc>
        <w:tc>
          <w:tcPr>
            <w:tcW w:w="1744" w:type="dxa"/>
            <w:shd w:val="clear" w:color="auto" w:fill="EDEDED" w:themeFill="accent3" w:themeFillTint="33"/>
            <w:vAlign w:val="center"/>
            <w:hideMark/>
          </w:tcPr>
          <w:p w14:paraId="2DA93DA7" w14:textId="77777777" w:rsidR="00C22535" w:rsidRPr="002B7F6F" w:rsidRDefault="00C22535" w:rsidP="0030478F">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Pogodbena vrednost</w:t>
            </w:r>
          </w:p>
        </w:tc>
        <w:tc>
          <w:tcPr>
            <w:tcW w:w="1744" w:type="dxa"/>
            <w:shd w:val="clear" w:color="auto" w:fill="EDEDED" w:themeFill="accent3" w:themeFillTint="33"/>
            <w:vAlign w:val="center"/>
            <w:hideMark/>
          </w:tcPr>
          <w:p w14:paraId="50AEE82A" w14:textId="77777777" w:rsidR="00C22535" w:rsidRPr="002B7F6F" w:rsidRDefault="00C22535" w:rsidP="0030478F">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Delež v št. skupnih naročil</w:t>
            </w:r>
          </w:p>
        </w:tc>
        <w:tc>
          <w:tcPr>
            <w:tcW w:w="1744" w:type="dxa"/>
            <w:shd w:val="clear" w:color="auto" w:fill="EDEDED" w:themeFill="accent3" w:themeFillTint="33"/>
            <w:vAlign w:val="center"/>
            <w:hideMark/>
          </w:tcPr>
          <w:p w14:paraId="610D6B72" w14:textId="7EF2496E" w:rsidR="00C22535" w:rsidRPr="002B7F6F" w:rsidRDefault="00C22535" w:rsidP="0030478F">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Delež v vrednosti skupnih naročil</w:t>
            </w:r>
          </w:p>
        </w:tc>
      </w:tr>
      <w:tr w:rsidR="002D77E5" w:rsidRPr="002B7F6F" w14:paraId="0EDBFB27" w14:textId="77777777" w:rsidTr="001866F1">
        <w:trPr>
          <w:trHeight w:val="284"/>
          <w:jc w:val="center"/>
        </w:trPr>
        <w:tc>
          <w:tcPr>
            <w:tcW w:w="1555" w:type="dxa"/>
            <w:shd w:val="clear" w:color="auto" w:fill="auto"/>
            <w:vAlign w:val="center"/>
            <w:hideMark/>
          </w:tcPr>
          <w:p w14:paraId="5B8490E8" w14:textId="61D45256" w:rsidR="002D77E5" w:rsidRPr="002B7F6F" w:rsidRDefault="002D77E5" w:rsidP="0030478F">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Blago</w:t>
            </w:r>
          </w:p>
        </w:tc>
        <w:tc>
          <w:tcPr>
            <w:tcW w:w="1230" w:type="dxa"/>
            <w:shd w:val="clear" w:color="auto" w:fill="auto"/>
            <w:vAlign w:val="center"/>
            <w:hideMark/>
          </w:tcPr>
          <w:p w14:paraId="07B800A2" w14:textId="001D7ADD"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260</w:t>
            </w:r>
          </w:p>
        </w:tc>
        <w:tc>
          <w:tcPr>
            <w:tcW w:w="1744" w:type="dxa"/>
            <w:shd w:val="clear" w:color="auto" w:fill="auto"/>
            <w:vAlign w:val="center"/>
            <w:hideMark/>
          </w:tcPr>
          <w:p w14:paraId="38FCECFE" w14:textId="27456A70"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74.060.917</w:t>
            </w:r>
          </w:p>
        </w:tc>
        <w:tc>
          <w:tcPr>
            <w:tcW w:w="1744" w:type="dxa"/>
            <w:shd w:val="clear" w:color="auto" w:fill="auto"/>
            <w:noWrap/>
            <w:vAlign w:val="center"/>
            <w:hideMark/>
          </w:tcPr>
          <w:p w14:paraId="5A1C9135" w14:textId="2D8F9CD3"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52,31</w:t>
            </w:r>
            <w:r w:rsidR="00DB22A2" w:rsidRPr="002B7F6F">
              <w:rPr>
                <w:rFonts w:ascii="Arial" w:hAnsi="Arial" w:cs="Arial"/>
                <w:color w:val="000000"/>
                <w:sz w:val="18"/>
                <w:szCs w:val="18"/>
              </w:rPr>
              <w:t xml:space="preserve"> %</w:t>
            </w:r>
          </w:p>
        </w:tc>
        <w:tc>
          <w:tcPr>
            <w:tcW w:w="1744" w:type="dxa"/>
            <w:shd w:val="clear" w:color="auto" w:fill="auto"/>
            <w:noWrap/>
            <w:vAlign w:val="center"/>
            <w:hideMark/>
          </w:tcPr>
          <w:p w14:paraId="14FB7C4B" w14:textId="3F6A3C78"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43,26</w:t>
            </w:r>
            <w:r w:rsidR="00DB22A2" w:rsidRPr="002B7F6F">
              <w:rPr>
                <w:rFonts w:ascii="Arial" w:hAnsi="Arial" w:cs="Arial"/>
                <w:color w:val="000000"/>
                <w:sz w:val="18"/>
                <w:szCs w:val="18"/>
              </w:rPr>
              <w:t xml:space="preserve"> %</w:t>
            </w:r>
          </w:p>
        </w:tc>
      </w:tr>
      <w:tr w:rsidR="002D77E5" w:rsidRPr="002B7F6F" w14:paraId="7C0E4311" w14:textId="77777777" w:rsidTr="001866F1">
        <w:trPr>
          <w:trHeight w:val="284"/>
          <w:jc w:val="center"/>
        </w:trPr>
        <w:tc>
          <w:tcPr>
            <w:tcW w:w="1555" w:type="dxa"/>
            <w:shd w:val="clear" w:color="auto" w:fill="auto"/>
            <w:vAlign w:val="center"/>
            <w:hideMark/>
          </w:tcPr>
          <w:p w14:paraId="283EB999" w14:textId="1CA1411C" w:rsidR="002D77E5" w:rsidRPr="002B7F6F" w:rsidRDefault="002D77E5" w:rsidP="0030478F">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 xml:space="preserve">Storitve </w:t>
            </w:r>
          </w:p>
        </w:tc>
        <w:tc>
          <w:tcPr>
            <w:tcW w:w="1230" w:type="dxa"/>
            <w:shd w:val="clear" w:color="auto" w:fill="auto"/>
            <w:vAlign w:val="center"/>
            <w:hideMark/>
          </w:tcPr>
          <w:p w14:paraId="0962DF6D" w14:textId="13E2A1C8"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126</w:t>
            </w:r>
          </w:p>
        </w:tc>
        <w:tc>
          <w:tcPr>
            <w:tcW w:w="1744" w:type="dxa"/>
            <w:shd w:val="clear" w:color="auto" w:fill="auto"/>
            <w:vAlign w:val="center"/>
            <w:hideMark/>
          </w:tcPr>
          <w:p w14:paraId="31221EF5" w14:textId="5A721FD6"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38.425.086</w:t>
            </w:r>
          </w:p>
        </w:tc>
        <w:tc>
          <w:tcPr>
            <w:tcW w:w="1744" w:type="dxa"/>
            <w:shd w:val="clear" w:color="auto" w:fill="auto"/>
            <w:noWrap/>
            <w:vAlign w:val="center"/>
            <w:hideMark/>
          </w:tcPr>
          <w:p w14:paraId="050A65FD" w14:textId="05D1EEEE"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25,35</w:t>
            </w:r>
            <w:r w:rsidR="00DB22A2" w:rsidRPr="002B7F6F">
              <w:rPr>
                <w:rFonts w:ascii="Arial" w:hAnsi="Arial" w:cs="Arial"/>
                <w:color w:val="000000"/>
                <w:sz w:val="18"/>
                <w:szCs w:val="18"/>
              </w:rPr>
              <w:t xml:space="preserve"> %</w:t>
            </w:r>
          </w:p>
        </w:tc>
        <w:tc>
          <w:tcPr>
            <w:tcW w:w="1744" w:type="dxa"/>
            <w:shd w:val="clear" w:color="auto" w:fill="auto"/>
            <w:noWrap/>
            <w:vAlign w:val="center"/>
            <w:hideMark/>
          </w:tcPr>
          <w:p w14:paraId="7AF74B3C" w14:textId="4BA71E03" w:rsidR="002D77E5" w:rsidRPr="002B7F6F" w:rsidRDefault="002D77E5" w:rsidP="0030478F">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22,45</w:t>
            </w:r>
            <w:r w:rsidR="00DB22A2" w:rsidRPr="002B7F6F">
              <w:rPr>
                <w:rFonts w:ascii="Arial" w:hAnsi="Arial" w:cs="Arial"/>
                <w:color w:val="000000"/>
                <w:sz w:val="18"/>
                <w:szCs w:val="18"/>
              </w:rPr>
              <w:t xml:space="preserve"> %</w:t>
            </w:r>
          </w:p>
        </w:tc>
      </w:tr>
      <w:tr w:rsidR="002D77E5" w:rsidRPr="002B7F6F" w14:paraId="03F8A121" w14:textId="77777777" w:rsidTr="001866F1">
        <w:trPr>
          <w:trHeight w:val="284"/>
          <w:jc w:val="center"/>
        </w:trPr>
        <w:tc>
          <w:tcPr>
            <w:tcW w:w="1555" w:type="dxa"/>
            <w:shd w:val="clear" w:color="auto" w:fill="auto"/>
            <w:vAlign w:val="center"/>
            <w:hideMark/>
          </w:tcPr>
          <w:p w14:paraId="4A2FD032" w14:textId="0EA8F814" w:rsidR="002D77E5" w:rsidRPr="002B7F6F" w:rsidRDefault="002D77E5" w:rsidP="002D77E5">
            <w:pPr>
              <w:spacing w:after="0" w:line="240" w:lineRule="auto"/>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Gradnje</w:t>
            </w:r>
          </w:p>
        </w:tc>
        <w:tc>
          <w:tcPr>
            <w:tcW w:w="1230" w:type="dxa"/>
            <w:shd w:val="clear" w:color="auto" w:fill="auto"/>
            <w:vAlign w:val="center"/>
            <w:hideMark/>
          </w:tcPr>
          <w:p w14:paraId="2752F318" w14:textId="56F83B44" w:rsidR="002D77E5" w:rsidRPr="002B7F6F" w:rsidRDefault="002D77E5" w:rsidP="002D77E5">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111</w:t>
            </w:r>
          </w:p>
        </w:tc>
        <w:tc>
          <w:tcPr>
            <w:tcW w:w="1744" w:type="dxa"/>
            <w:shd w:val="clear" w:color="auto" w:fill="auto"/>
            <w:vAlign w:val="center"/>
            <w:hideMark/>
          </w:tcPr>
          <w:p w14:paraId="3444ACE5" w14:textId="708E2E5D" w:rsidR="002D77E5" w:rsidRPr="002B7F6F" w:rsidRDefault="002D77E5" w:rsidP="002D77E5">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58.695.632</w:t>
            </w:r>
          </w:p>
        </w:tc>
        <w:tc>
          <w:tcPr>
            <w:tcW w:w="1744" w:type="dxa"/>
            <w:shd w:val="clear" w:color="auto" w:fill="auto"/>
            <w:noWrap/>
            <w:vAlign w:val="center"/>
            <w:hideMark/>
          </w:tcPr>
          <w:p w14:paraId="49A9AA7A" w14:textId="129B1B46" w:rsidR="002D77E5" w:rsidRPr="002B7F6F" w:rsidRDefault="002D77E5" w:rsidP="002D77E5">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22,33</w:t>
            </w:r>
            <w:r w:rsidR="00DB22A2" w:rsidRPr="002B7F6F">
              <w:rPr>
                <w:rFonts w:ascii="Arial" w:hAnsi="Arial" w:cs="Arial"/>
                <w:color w:val="000000"/>
                <w:sz w:val="18"/>
                <w:szCs w:val="18"/>
              </w:rPr>
              <w:t xml:space="preserve"> %</w:t>
            </w:r>
          </w:p>
        </w:tc>
        <w:tc>
          <w:tcPr>
            <w:tcW w:w="1744" w:type="dxa"/>
            <w:shd w:val="clear" w:color="auto" w:fill="auto"/>
            <w:noWrap/>
            <w:vAlign w:val="center"/>
            <w:hideMark/>
          </w:tcPr>
          <w:p w14:paraId="0CFDE9A2" w14:textId="273F7B48" w:rsidR="002D77E5" w:rsidRPr="002B7F6F" w:rsidRDefault="002D77E5" w:rsidP="002D77E5">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34,29</w:t>
            </w:r>
            <w:r w:rsidR="00DB22A2" w:rsidRPr="002B7F6F">
              <w:rPr>
                <w:rFonts w:ascii="Arial" w:hAnsi="Arial" w:cs="Arial"/>
                <w:color w:val="000000"/>
                <w:sz w:val="18"/>
                <w:szCs w:val="18"/>
              </w:rPr>
              <w:t xml:space="preserve"> %</w:t>
            </w:r>
          </w:p>
        </w:tc>
      </w:tr>
      <w:tr w:rsidR="002D77E5" w:rsidRPr="002B7F6F" w14:paraId="54712B6F" w14:textId="77777777" w:rsidTr="001866F1">
        <w:trPr>
          <w:trHeight w:val="284"/>
          <w:jc w:val="center"/>
        </w:trPr>
        <w:tc>
          <w:tcPr>
            <w:tcW w:w="1555" w:type="dxa"/>
            <w:shd w:val="clear" w:color="auto" w:fill="E7E6E6" w:themeFill="background2"/>
            <w:vAlign w:val="center"/>
            <w:hideMark/>
          </w:tcPr>
          <w:p w14:paraId="744A2815" w14:textId="4790DBC8" w:rsidR="002D77E5" w:rsidRPr="002B7F6F" w:rsidRDefault="002D77E5" w:rsidP="002D77E5">
            <w:pPr>
              <w:spacing w:after="0" w:line="240" w:lineRule="auto"/>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Skupaj</w:t>
            </w:r>
          </w:p>
        </w:tc>
        <w:tc>
          <w:tcPr>
            <w:tcW w:w="1230" w:type="dxa"/>
            <w:shd w:val="clear" w:color="auto" w:fill="E7E6E6" w:themeFill="background2"/>
            <w:vAlign w:val="center"/>
            <w:hideMark/>
          </w:tcPr>
          <w:p w14:paraId="5BF09734" w14:textId="6589EA32" w:rsidR="002D77E5" w:rsidRPr="002B7F6F" w:rsidRDefault="002D77E5" w:rsidP="002D77E5">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color w:val="000000"/>
                <w:sz w:val="18"/>
                <w:szCs w:val="18"/>
              </w:rPr>
              <w:t>497</w:t>
            </w:r>
          </w:p>
        </w:tc>
        <w:tc>
          <w:tcPr>
            <w:tcW w:w="1744" w:type="dxa"/>
            <w:shd w:val="clear" w:color="auto" w:fill="E7E6E6" w:themeFill="background2"/>
            <w:vAlign w:val="center"/>
            <w:hideMark/>
          </w:tcPr>
          <w:p w14:paraId="37E57D2F" w14:textId="17AB489E" w:rsidR="002D77E5" w:rsidRPr="002B7F6F" w:rsidRDefault="002D77E5" w:rsidP="002D77E5">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color w:val="000000"/>
                <w:sz w:val="18"/>
                <w:szCs w:val="18"/>
              </w:rPr>
              <w:t>171.181.635</w:t>
            </w:r>
          </w:p>
        </w:tc>
        <w:tc>
          <w:tcPr>
            <w:tcW w:w="1744" w:type="dxa"/>
            <w:shd w:val="clear" w:color="auto" w:fill="E7E6E6" w:themeFill="background2"/>
            <w:noWrap/>
            <w:vAlign w:val="center"/>
            <w:hideMark/>
          </w:tcPr>
          <w:p w14:paraId="7A003F00" w14:textId="682ED77B" w:rsidR="002D77E5" w:rsidRPr="002B7F6F" w:rsidRDefault="002D77E5" w:rsidP="002D77E5">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color w:val="000000"/>
                <w:sz w:val="18"/>
                <w:szCs w:val="18"/>
              </w:rPr>
              <w:t>100,00</w:t>
            </w:r>
            <w:r w:rsidR="00DB22A2" w:rsidRPr="002B7F6F">
              <w:rPr>
                <w:rFonts w:ascii="Arial" w:hAnsi="Arial" w:cs="Arial"/>
                <w:b/>
                <w:color w:val="000000"/>
                <w:sz w:val="18"/>
                <w:szCs w:val="18"/>
              </w:rPr>
              <w:t xml:space="preserve"> %</w:t>
            </w:r>
          </w:p>
        </w:tc>
        <w:tc>
          <w:tcPr>
            <w:tcW w:w="1744" w:type="dxa"/>
            <w:shd w:val="clear" w:color="auto" w:fill="E7E6E6" w:themeFill="background2"/>
            <w:noWrap/>
            <w:vAlign w:val="center"/>
            <w:hideMark/>
          </w:tcPr>
          <w:p w14:paraId="767DD56A" w14:textId="66538A78" w:rsidR="002D77E5" w:rsidRPr="002B7F6F" w:rsidRDefault="002D77E5" w:rsidP="002D77E5">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color w:val="000000"/>
                <w:sz w:val="18"/>
                <w:szCs w:val="18"/>
              </w:rPr>
              <w:t>100,00</w:t>
            </w:r>
            <w:r w:rsidR="00DB22A2" w:rsidRPr="002B7F6F">
              <w:rPr>
                <w:rFonts w:ascii="Arial" w:hAnsi="Arial" w:cs="Arial"/>
                <w:b/>
                <w:color w:val="000000"/>
                <w:sz w:val="18"/>
                <w:szCs w:val="18"/>
              </w:rPr>
              <w:t xml:space="preserve"> %</w:t>
            </w:r>
          </w:p>
        </w:tc>
      </w:tr>
    </w:tbl>
    <w:p w14:paraId="24BBA14E" w14:textId="77777777" w:rsidR="004A613D" w:rsidRPr="002B7F6F" w:rsidRDefault="004A613D" w:rsidP="004A613D">
      <w:pPr>
        <w:spacing w:after="0" w:line="240" w:lineRule="auto"/>
        <w:jc w:val="center"/>
        <w:rPr>
          <w:rFonts w:ascii="Arial" w:hAnsi="Arial" w:cs="Arial"/>
          <w:sz w:val="18"/>
        </w:rPr>
      </w:pPr>
    </w:p>
    <w:p w14:paraId="436EF011" w14:textId="6ED18E13" w:rsidR="00C22535" w:rsidRPr="002B7F6F" w:rsidRDefault="00C22535" w:rsidP="004A613D">
      <w:pPr>
        <w:spacing w:after="0" w:line="240" w:lineRule="auto"/>
        <w:jc w:val="center"/>
        <w:rPr>
          <w:rFonts w:ascii="Arial" w:hAnsi="Arial" w:cs="Arial"/>
          <w:sz w:val="18"/>
        </w:rPr>
      </w:pPr>
      <w:r w:rsidRPr="002B7F6F">
        <w:rPr>
          <w:rFonts w:ascii="Arial" w:hAnsi="Arial" w:cs="Arial"/>
          <w:sz w:val="18"/>
        </w:rPr>
        <w:t>Vir: Statistični podatki o javni</w:t>
      </w:r>
      <w:r w:rsidR="0026312F" w:rsidRPr="002B7F6F">
        <w:rPr>
          <w:rFonts w:ascii="Arial" w:hAnsi="Arial" w:cs="Arial"/>
          <w:sz w:val="18"/>
        </w:rPr>
        <w:t>h naročilih, oddanih v letu 201</w:t>
      </w:r>
      <w:r w:rsidR="002D77E5" w:rsidRPr="002B7F6F">
        <w:rPr>
          <w:rFonts w:ascii="Arial" w:hAnsi="Arial" w:cs="Arial"/>
          <w:sz w:val="18"/>
        </w:rPr>
        <w:t>8</w:t>
      </w:r>
    </w:p>
    <w:p w14:paraId="24324F10" w14:textId="77777777" w:rsidR="00C22535" w:rsidRPr="002B7F6F" w:rsidRDefault="00C22535" w:rsidP="009E3010">
      <w:pPr>
        <w:pStyle w:val="Standard"/>
        <w:spacing w:line="360" w:lineRule="auto"/>
        <w:rPr>
          <w:rFonts w:cs="Arial"/>
          <w:sz w:val="20"/>
          <w:szCs w:val="20"/>
        </w:rPr>
      </w:pPr>
    </w:p>
    <w:p w14:paraId="7EFB0FD2" w14:textId="004EF852" w:rsidR="009E3010" w:rsidRPr="002B7F6F" w:rsidRDefault="0069174C" w:rsidP="009E3010">
      <w:pPr>
        <w:pStyle w:val="Standard"/>
        <w:spacing w:line="360" w:lineRule="auto"/>
        <w:rPr>
          <w:rFonts w:cs="Arial"/>
          <w:sz w:val="20"/>
          <w:szCs w:val="20"/>
        </w:rPr>
      </w:pPr>
      <w:r w:rsidRPr="002B7F6F">
        <w:rPr>
          <w:rFonts w:cs="Arial"/>
          <w:sz w:val="20"/>
          <w:szCs w:val="20"/>
        </w:rPr>
        <w:lastRenderedPageBreak/>
        <w:t>V postopkih skupnega javnega naročanja so</w:t>
      </w:r>
      <w:r w:rsidR="00C22535" w:rsidRPr="002B7F6F">
        <w:rPr>
          <w:rFonts w:cs="Arial"/>
          <w:sz w:val="20"/>
          <w:szCs w:val="20"/>
        </w:rPr>
        <w:t xml:space="preserve"> </w:t>
      </w:r>
      <w:r w:rsidRPr="002B7F6F">
        <w:rPr>
          <w:rFonts w:cs="Arial"/>
          <w:sz w:val="20"/>
          <w:szCs w:val="20"/>
        </w:rPr>
        <w:t xml:space="preserve">največ naročil </w:t>
      </w:r>
      <w:r w:rsidR="000830D2" w:rsidRPr="002B7F6F">
        <w:rPr>
          <w:rFonts w:cs="Arial"/>
          <w:sz w:val="20"/>
          <w:szCs w:val="20"/>
        </w:rPr>
        <w:t>oddale samoupravne lokalne skupnosti</w:t>
      </w:r>
      <w:r w:rsidRPr="002B7F6F">
        <w:rPr>
          <w:rFonts w:cs="Arial"/>
          <w:sz w:val="20"/>
          <w:szCs w:val="20"/>
        </w:rPr>
        <w:t xml:space="preserve">, </w:t>
      </w:r>
      <w:r w:rsidR="004333EA" w:rsidRPr="002B7F6F">
        <w:rPr>
          <w:rFonts w:cs="Arial"/>
          <w:sz w:val="20"/>
          <w:szCs w:val="20"/>
        </w:rPr>
        <w:t>k</w:t>
      </w:r>
      <w:r w:rsidR="00883D84" w:rsidRPr="002B7F6F">
        <w:rPr>
          <w:rFonts w:cs="Arial"/>
          <w:sz w:val="20"/>
          <w:szCs w:val="20"/>
        </w:rPr>
        <w:t>i so oddal</w:t>
      </w:r>
      <w:r w:rsidR="000830D2" w:rsidRPr="002B7F6F">
        <w:rPr>
          <w:rFonts w:cs="Arial"/>
          <w:sz w:val="20"/>
          <w:szCs w:val="20"/>
        </w:rPr>
        <w:t>e</w:t>
      </w:r>
      <w:r w:rsidR="00883D84" w:rsidRPr="002B7F6F">
        <w:rPr>
          <w:rFonts w:cs="Arial"/>
          <w:sz w:val="20"/>
          <w:szCs w:val="20"/>
        </w:rPr>
        <w:t xml:space="preserve"> </w:t>
      </w:r>
      <w:r w:rsidR="00B57484" w:rsidRPr="002B7F6F">
        <w:rPr>
          <w:rFonts w:cs="Arial"/>
          <w:sz w:val="20"/>
          <w:szCs w:val="20"/>
        </w:rPr>
        <w:t>174</w:t>
      </w:r>
      <w:r w:rsidRPr="002B7F6F">
        <w:rPr>
          <w:rFonts w:cs="Arial"/>
          <w:sz w:val="20"/>
          <w:szCs w:val="20"/>
        </w:rPr>
        <w:t xml:space="preserve"> naročil v vrednosti </w:t>
      </w:r>
      <w:r w:rsidR="00B57484" w:rsidRPr="002B7F6F">
        <w:rPr>
          <w:rFonts w:cs="Arial"/>
          <w:color w:val="000000"/>
          <w:sz w:val="20"/>
          <w:szCs w:val="20"/>
        </w:rPr>
        <w:t xml:space="preserve">52.172.415 </w:t>
      </w:r>
      <w:r w:rsidRPr="002B7F6F">
        <w:rPr>
          <w:rFonts w:cs="Arial"/>
          <w:sz w:val="20"/>
          <w:szCs w:val="20"/>
        </w:rPr>
        <w:t>evrov.</w:t>
      </w:r>
      <w:r w:rsidR="009E3010" w:rsidRPr="002B7F6F">
        <w:rPr>
          <w:rFonts w:cs="Arial"/>
          <w:sz w:val="20"/>
          <w:szCs w:val="20"/>
        </w:rPr>
        <w:t xml:space="preserve"> </w:t>
      </w:r>
    </w:p>
    <w:p w14:paraId="05760B67" w14:textId="758A8291" w:rsidR="00177D22" w:rsidRPr="002B7F6F" w:rsidRDefault="00177D22" w:rsidP="008A61FD">
      <w:pPr>
        <w:spacing w:before="120" w:after="120" w:line="240" w:lineRule="auto"/>
        <w:jc w:val="both"/>
        <w:rPr>
          <w:rFonts w:ascii="Arial" w:hAnsi="Arial" w:cs="Arial"/>
          <w:sz w:val="20"/>
        </w:rPr>
      </w:pPr>
      <w:r w:rsidRPr="002B7F6F">
        <w:rPr>
          <w:rFonts w:ascii="Arial" w:hAnsi="Arial" w:cs="Arial"/>
          <w:sz w:val="20"/>
        </w:rPr>
        <w:t xml:space="preserve">Preglednica </w:t>
      </w:r>
      <w:r w:rsidR="00E430F6" w:rsidRPr="002B7F6F">
        <w:rPr>
          <w:rFonts w:ascii="Arial" w:hAnsi="Arial" w:cs="Arial"/>
          <w:sz w:val="20"/>
        </w:rPr>
        <w:t>2</w:t>
      </w:r>
      <w:r w:rsidR="00EB4423">
        <w:rPr>
          <w:rFonts w:ascii="Arial" w:hAnsi="Arial" w:cs="Arial"/>
          <w:sz w:val="20"/>
        </w:rPr>
        <w:t>7</w:t>
      </w:r>
      <w:r w:rsidRPr="002B7F6F">
        <w:rPr>
          <w:rFonts w:ascii="Arial" w:hAnsi="Arial" w:cs="Arial"/>
          <w:sz w:val="20"/>
        </w:rPr>
        <w:t>: Skupno javno naročanje v številu, vrednosti in deležu skupnih javnih naročil glede na kategorijo naročnika</w:t>
      </w:r>
    </w:p>
    <w:tbl>
      <w:tblPr>
        <w:tblW w:w="8822" w:type="dxa"/>
        <w:jc w:val="center"/>
        <w:tblCellMar>
          <w:left w:w="70" w:type="dxa"/>
          <w:right w:w="70" w:type="dxa"/>
        </w:tblCellMar>
        <w:tblLook w:val="04A0" w:firstRow="1" w:lastRow="0" w:firstColumn="1" w:lastColumn="0" w:noHBand="0" w:noVBand="1"/>
      </w:tblPr>
      <w:tblGrid>
        <w:gridCol w:w="3397"/>
        <w:gridCol w:w="851"/>
        <w:gridCol w:w="1417"/>
        <w:gridCol w:w="1560"/>
        <w:gridCol w:w="1597"/>
      </w:tblGrid>
      <w:tr w:rsidR="00177D22" w:rsidRPr="002B7F6F" w14:paraId="1074A96D" w14:textId="77777777" w:rsidTr="006929DB">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6E0A007" w14:textId="7B4E7E84" w:rsidR="00177D22" w:rsidRPr="002B7F6F" w:rsidRDefault="00177D22" w:rsidP="00177D22">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Kategorija naročnika</w:t>
            </w:r>
          </w:p>
        </w:tc>
        <w:tc>
          <w:tcPr>
            <w:tcW w:w="85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6803AF" w14:textId="77777777" w:rsidR="00177D22" w:rsidRPr="002B7F6F" w:rsidRDefault="00177D22" w:rsidP="00177D22">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Št. naročil</w:t>
            </w:r>
          </w:p>
        </w:tc>
        <w:tc>
          <w:tcPr>
            <w:tcW w:w="141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B6233EE" w14:textId="77777777" w:rsidR="00177D22" w:rsidRPr="002B7F6F" w:rsidRDefault="00177D22" w:rsidP="00177D22">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Pogodbena vrednost</w:t>
            </w:r>
          </w:p>
        </w:tc>
        <w:tc>
          <w:tcPr>
            <w:tcW w:w="15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16F05C2" w14:textId="77777777" w:rsidR="00177D22" w:rsidRPr="002B7F6F" w:rsidRDefault="00177D22" w:rsidP="00177D22">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Delež v št. skupnih naročil</w:t>
            </w:r>
          </w:p>
        </w:tc>
        <w:tc>
          <w:tcPr>
            <w:tcW w:w="159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B3CA436" w14:textId="1DA544B7" w:rsidR="00177D22" w:rsidRPr="002B7F6F" w:rsidRDefault="00177D22" w:rsidP="00177D22">
            <w:pPr>
              <w:spacing w:after="0" w:line="240" w:lineRule="auto"/>
              <w:jc w:val="center"/>
              <w:rPr>
                <w:rFonts w:ascii="Arial" w:eastAsia="Times New Roman" w:hAnsi="Arial" w:cs="Arial"/>
                <w:color w:val="000000"/>
                <w:sz w:val="18"/>
                <w:szCs w:val="18"/>
                <w:lang w:eastAsia="sl-SI"/>
              </w:rPr>
            </w:pPr>
            <w:r w:rsidRPr="002B7F6F">
              <w:rPr>
                <w:rFonts w:ascii="Arial" w:eastAsia="Times New Roman" w:hAnsi="Arial" w:cs="Arial"/>
                <w:color w:val="000000"/>
                <w:sz w:val="18"/>
                <w:szCs w:val="18"/>
                <w:lang w:eastAsia="sl-SI"/>
              </w:rPr>
              <w:t>Delež v vrednosti skupnih naročil</w:t>
            </w:r>
          </w:p>
        </w:tc>
      </w:tr>
      <w:tr w:rsidR="00426597" w:rsidRPr="002B7F6F" w14:paraId="53795DAB" w14:textId="77777777" w:rsidTr="006929DB">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F9DE" w14:textId="5E1BD4DE" w:rsidR="00426597" w:rsidRPr="002B7F6F" w:rsidRDefault="00426597" w:rsidP="00426597">
            <w:pPr>
              <w:spacing w:after="0" w:line="240" w:lineRule="auto"/>
              <w:rPr>
                <w:rFonts w:ascii="Arial" w:eastAsia="Times New Roman" w:hAnsi="Arial" w:cs="Arial"/>
                <w:color w:val="000000"/>
                <w:sz w:val="18"/>
                <w:szCs w:val="18"/>
                <w:lang w:eastAsia="sl-SI"/>
              </w:rPr>
            </w:pPr>
            <w:r w:rsidRPr="002B7F6F">
              <w:rPr>
                <w:rFonts w:ascii="Arial" w:hAnsi="Arial" w:cs="Arial"/>
                <w:color w:val="000000"/>
                <w:sz w:val="18"/>
                <w:szCs w:val="18"/>
              </w:rPr>
              <w:t>Organi RS</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2866869A" w14:textId="1F3949D3"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79</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468A55" w14:textId="5400411E"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35.926.193</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2D357DD3" w14:textId="65696535"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15,90 %</w:t>
            </w:r>
          </w:p>
        </w:tc>
        <w:tc>
          <w:tcPr>
            <w:tcW w:w="1597" w:type="dxa"/>
            <w:tcBorders>
              <w:top w:val="single" w:sz="4" w:space="0" w:color="auto"/>
              <w:left w:val="nil"/>
              <w:bottom w:val="single" w:sz="4" w:space="0" w:color="auto"/>
              <w:right w:val="single" w:sz="4" w:space="0" w:color="auto"/>
            </w:tcBorders>
            <w:shd w:val="clear" w:color="auto" w:fill="FFFFFF" w:themeFill="background1"/>
            <w:vAlign w:val="center"/>
          </w:tcPr>
          <w:p w14:paraId="7828E22A" w14:textId="52ACAF68"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20,99 %</w:t>
            </w:r>
          </w:p>
        </w:tc>
      </w:tr>
      <w:tr w:rsidR="00426597" w:rsidRPr="002B7F6F" w14:paraId="4B759FA8" w14:textId="77777777" w:rsidTr="006929DB">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EAE61" w14:textId="773F723E" w:rsidR="00426597" w:rsidRPr="002B7F6F" w:rsidRDefault="00426597" w:rsidP="00426597">
            <w:pPr>
              <w:spacing w:after="0" w:line="240" w:lineRule="auto"/>
              <w:rPr>
                <w:rFonts w:ascii="Arial" w:eastAsia="Times New Roman" w:hAnsi="Arial" w:cs="Arial"/>
                <w:color w:val="000000"/>
                <w:sz w:val="18"/>
                <w:szCs w:val="18"/>
                <w:lang w:eastAsia="sl-SI"/>
              </w:rPr>
            </w:pPr>
            <w:r w:rsidRPr="002B7F6F">
              <w:rPr>
                <w:rFonts w:ascii="Arial" w:hAnsi="Arial" w:cs="Arial"/>
                <w:color w:val="000000"/>
                <w:sz w:val="18"/>
                <w:szCs w:val="18"/>
              </w:rPr>
              <w:t>Samoupravne lokalne skupnosti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341460F5" w14:textId="2B466F8F"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174</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CD866CF" w14:textId="5383C171"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52.172.415</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64ECBFDB" w14:textId="25CF5305"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35,01 %</w:t>
            </w:r>
          </w:p>
        </w:tc>
        <w:tc>
          <w:tcPr>
            <w:tcW w:w="1597" w:type="dxa"/>
            <w:tcBorders>
              <w:top w:val="single" w:sz="4" w:space="0" w:color="auto"/>
              <w:left w:val="nil"/>
              <w:bottom w:val="single" w:sz="4" w:space="0" w:color="auto"/>
              <w:right w:val="single" w:sz="4" w:space="0" w:color="auto"/>
            </w:tcBorders>
            <w:shd w:val="clear" w:color="auto" w:fill="FFFFFF" w:themeFill="background1"/>
            <w:vAlign w:val="center"/>
          </w:tcPr>
          <w:p w14:paraId="69891849" w14:textId="1EFE942C"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30,48 %</w:t>
            </w:r>
          </w:p>
        </w:tc>
      </w:tr>
      <w:tr w:rsidR="00426597" w:rsidRPr="002B7F6F" w14:paraId="510C254A" w14:textId="77777777" w:rsidTr="006929DB">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8A7363F" w14:textId="1603E6DF" w:rsidR="00426597" w:rsidRPr="002B7F6F" w:rsidRDefault="00426597" w:rsidP="00426597">
            <w:pPr>
              <w:spacing w:after="0" w:line="240" w:lineRule="auto"/>
              <w:rPr>
                <w:rFonts w:ascii="Arial" w:eastAsia="Times New Roman" w:hAnsi="Arial" w:cs="Arial"/>
                <w:color w:val="000000"/>
                <w:sz w:val="18"/>
                <w:szCs w:val="18"/>
                <w:lang w:eastAsia="sl-SI"/>
              </w:rPr>
            </w:pPr>
            <w:r w:rsidRPr="002B7F6F">
              <w:rPr>
                <w:rFonts w:ascii="Arial" w:hAnsi="Arial" w:cs="Arial"/>
                <w:color w:val="000000"/>
                <w:sz w:val="18"/>
                <w:szCs w:val="18"/>
              </w:rPr>
              <w:t>Javne agencije</w:t>
            </w:r>
          </w:p>
        </w:tc>
        <w:tc>
          <w:tcPr>
            <w:tcW w:w="851" w:type="dxa"/>
            <w:tcBorders>
              <w:top w:val="nil"/>
              <w:left w:val="nil"/>
              <w:bottom w:val="single" w:sz="4" w:space="0" w:color="auto"/>
              <w:right w:val="single" w:sz="4" w:space="0" w:color="auto"/>
            </w:tcBorders>
            <w:shd w:val="clear" w:color="auto" w:fill="auto"/>
            <w:vAlign w:val="center"/>
          </w:tcPr>
          <w:p w14:paraId="21D8F6E4" w14:textId="343DFCC7"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tcPr>
          <w:p w14:paraId="1B8440CD" w14:textId="16B2517D"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49.229</w:t>
            </w:r>
          </w:p>
        </w:tc>
        <w:tc>
          <w:tcPr>
            <w:tcW w:w="1560" w:type="dxa"/>
            <w:tcBorders>
              <w:top w:val="nil"/>
              <w:left w:val="nil"/>
              <w:bottom w:val="single" w:sz="4" w:space="0" w:color="auto"/>
              <w:right w:val="single" w:sz="4" w:space="0" w:color="auto"/>
            </w:tcBorders>
            <w:shd w:val="clear" w:color="auto" w:fill="auto"/>
            <w:vAlign w:val="center"/>
          </w:tcPr>
          <w:p w14:paraId="3BB6C640" w14:textId="08203D3A"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0,20 %</w:t>
            </w:r>
          </w:p>
        </w:tc>
        <w:tc>
          <w:tcPr>
            <w:tcW w:w="1597" w:type="dxa"/>
            <w:tcBorders>
              <w:top w:val="nil"/>
              <w:left w:val="nil"/>
              <w:bottom w:val="single" w:sz="4" w:space="0" w:color="auto"/>
              <w:right w:val="single" w:sz="4" w:space="0" w:color="auto"/>
            </w:tcBorders>
            <w:shd w:val="clear" w:color="auto" w:fill="auto"/>
            <w:vAlign w:val="center"/>
          </w:tcPr>
          <w:p w14:paraId="6DE04D8E" w14:textId="4F5A4E11"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0,03 %</w:t>
            </w:r>
          </w:p>
        </w:tc>
      </w:tr>
      <w:tr w:rsidR="00426597" w:rsidRPr="002B7F6F" w14:paraId="38DC034A" w14:textId="77777777" w:rsidTr="006929DB">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9FF6684" w14:textId="54E798B0" w:rsidR="00426597" w:rsidRPr="002B7F6F" w:rsidRDefault="00426597" w:rsidP="00426597">
            <w:pPr>
              <w:spacing w:after="0" w:line="240" w:lineRule="auto"/>
              <w:rPr>
                <w:rFonts w:ascii="Arial" w:eastAsia="Times New Roman" w:hAnsi="Arial" w:cs="Arial"/>
                <w:color w:val="000000"/>
                <w:sz w:val="18"/>
                <w:szCs w:val="18"/>
                <w:lang w:eastAsia="sl-SI"/>
              </w:rPr>
            </w:pPr>
            <w:r w:rsidRPr="002B7F6F">
              <w:rPr>
                <w:rFonts w:ascii="Arial" w:hAnsi="Arial" w:cs="Arial"/>
                <w:color w:val="000000"/>
                <w:sz w:val="18"/>
                <w:szCs w:val="18"/>
              </w:rPr>
              <w:t>Javni zavodi</w:t>
            </w:r>
          </w:p>
        </w:tc>
        <w:tc>
          <w:tcPr>
            <w:tcW w:w="851" w:type="dxa"/>
            <w:tcBorders>
              <w:top w:val="nil"/>
              <w:left w:val="nil"/>
              <w:bottom w:val="single" w:sz="4" w:space="0" w:color="auto"/>
              <w:right w:val="single" w:sz="4" w:space="0" w:color="auto"/>
            </w:tcBorders>
            <w:shd w:val="clear" w:color="auto" w:fill="auto"/>
            <w:vAlign w:val="center"/>
          </w:tcPr>
          <w:p w14:paraId="360CBF9A" w14:textId="6AB15F6A"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144</w:t>
            </w:r>
          </w:p>
        </w:tc>
        <w:tc>
          <w:tcPr>
            <w:tcW w:w="1417" w:type="dxa"/>
            <w:tcBorders>
              <w:top w:val="nil"/>
              <w:left w:val="nil"/>
              <w:bottom w:val="single" w:sz="4" w:space="0" w:color="auto"/>
              <w:right w:val="single" w:sz="4" w:space="0" w:color="auto"/>
            </w:tcBorders>
            <w:shd w:val="clear" w:color="auto" w:fill="auto"/>
            <w:vAlign w:val="center"/>
          </w:tcPr>
          <w:p w14:paraId="221F5522" w14:textId="54A7AAAC"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40.078.601</w:t>
            </w:r>
          </w:p>
        </w:tc>
        <w:tc>
          <w:tcPr>
            <w:tcW w:w="1560" w:type="dxa"/>
            <w:tcBorders>
              <w:top w:val="nil"/>
              <w:left w:val="nil"/>
              <w:bottom w:val="single" w:sz="4" w:space="0" w:color="auto"/>
              <w:right w:val="single" w:sz="4" w:space="0" w:color="auto"/>
            </w:tcBorders>
            <w:shd w:val="clear" w:color="auto" w:fill="auto"/>
            <w:vAlign w:val="center"/>
          </w:tcPr>
          <w:p w14:paraId="2711B931" w14:textId="64B9B1F3"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28,97 %</w:t>
            </w:r>
          </w:p>
        </w:tc>
        <w:tc>
          <w:tcPr>
            <w:tcW w:w="1597" w:type="dxa"/>
            <w:tcBorders>
              <w:top w:val="nil"/>
              <w:left w:val="nil"/>
              <w:bottom w:val="single" w:sz="4" w:space="0" w:color="auto"/>
              <w:right w:val="single" w:sz="4" w:space="0" w:color="auto"/>
            </w:tcBorders>
            <w:shd w:val="clear" w:color="auto" w:fill="auto"/>
            <w:vAlign w:val="center"/>
          </w:tcPr>
          <w:p w14:paraId="6DFA5D59" w14:textId="0C818FCB"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23,41 %</w:t>
            </w:r>
          </w:p>
        </w:tc>
      </w:tr>
      <w:tr w:rsidR="00426597" w:rsidRPr="002B7F6F" w14:paraId="76F498AF" w14:textId="77777777" w:rsidTr="006929DB">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B76ED58" w14:textId="7119610F" w:rsidR="00426597" w:rsidRPr="002B7F6F" w:rsidRDefault="00426597" w:rsidP="00426597">
            <w:pPr>
              <w:spacing w:after="0" w:line="240" w:lineRule="auto"/>
              <w:rPr>
                <w:rFonts w:ascii="Arial" w:eastAsia="Times New Roman" w:hAnsi="Arial" w:cs="Arial"/>
                <w:color w:val="000000"/>
                <w:sz w:val="18"/>
                <w:szCs w:val="18"/>
                <w:lang w:eastAsia="sl-SI"/>
              </w:rPr>
            </w:pPr>
            <w:r w:rsidRPr="002B7F6F">
              <w:rPr>
                <w:rFonts w:ascii="Arial" w:hAnsi="Arial" w:cs="Arial"/>
                <w:color w:val="000000"/>
                <w:sz w:val="18"/>
                <w:szCs w:val="18"/>
              </w:rPr>
              <w:t>Drugi naročniki (osebe javnega prava, javna podjetja, subjekt s posebnimi infrastrukturnimi pravicami)</w:t>
            </w:r>
          </w:p>
        </w:tc>
        <w:tc>
          <w:tcPr>
            <w:tcW w:w="851" w:type="dxa"/>
            <w:tcBorders>
              <w:top w:val="nil"/>
              <w:left w:val="nil"/>
              <w:bottom w:val="single" w:sz="4" w:space="0" w:color="auto"/>
              <w:right w:val="single" w:sz="4" w:space="0" w:color="auto"/>
            </w:tcBorders>
            <w:shd w:val="clear" w:color="auto" w:fill="auto"/>
            <w:vAlign w:val="center"/>
          </w:tcPr>
          <w:p w14:paraId="4C7C4367" w14:textId="74EEB57B"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98</w:t>
            </w:r>
          </w:p>
        </w:tc>
        <w:tc>
          <w:tcPr>
            <w:tcW w:w="1417" w:type="dxa"/>
            <w:tcBorders>
              <w:top w:val="nil"/>
              <w:left w:val="nil"/>
              <w:bottom w:val="single" w:sz="4" w:space="0" w:color="auto"/>
              <w:right w:val="single" w:sz="4" w:space="0" w:color="auto"/>
            </w:tcBorders>
            <w:shd w:val="clear" w:color="auto" w:fill="auto"/>
            <w:vAlign w:val="center"/>
          </w:tcPr>
          <w:p w14:paraId="563298C3" w14:textId="3320CA10"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42.939.289</w:t>
            </w:r>
          </w:p>
        </w:tc>
        <w:tc>
          <w:tcPr>
            <w:tcW w:w="1560" w:type="dxa"/>
            <w:tcBorders>
              <w:top w:val="nil"/>
              <w:left w:val="nil"/>
              <w:bottom w:val="single" w:sz="4" w:space="0" w:color="auto"/>
              <w:right w:val="single" w:sz="4" w:space="0" w:color="auto"/>
            </w:tcBorders>
            <w:shd w:val="clear" w:color="auto" w:fill="auto"/>
            <w:vAlign w:val="center"/>
          </w:tcPr>
          <w:p w14:paraId="6E1B6294" w14:textId="096C68F8"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19,72 %</w:t>
            </w:r>
          </w:p>
        </w:tc>
        <w:tc>
          <w:tcPr>
            <w:tcW w:w="1597" w:type="dxa"/>
            <w:tcBorders>
              <w:top w:val="nil"/>
              <w:left w:val="nil"/>
              <w:bottom w:val="single" w:sz="4" w:space="0" w:color="auto"/>
              <w:right w:val="single" w:sz="4" w:space="0" w:color="auto"/>
            </w:tcBorders>
            <w:shd w:val="clear" w:color="auto" w:fill="auto"/>
            <w:vAlign w:val="center"/>
          </w:tcPr>
          <w:p w14:paraId="2BA1BDA1" w14:textId="6ABCDAA8"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25,08 %</w:t>
            </w:r>
          </w:p>
        </w:tc>
      </w:tr>
      <w:tr w:rsidR="00426597" w:rsidRPr="002B7F6F" w14:paraId="138CBC99" w14:textId="77777777" w:rsidTr="006929DB">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092718E" w14:textId="2BC21951" w:rsidR="00426597" w:rsidRPr="002B7F6F" w:rsidRDefault="00426597" w:rsidP="00426597">
            <w:pPr>
              <w:spacing w:after="0" w:line="240" w:lineRule="auto"/>
              <w:rPr>
                <w:rFonts w:ascii="Arial" w:eastAsia="Times New Roman" w:hAnsi="Arial" w:cs="Arial"/>
                <w:color w:val="000000"/>
                <w:sz w:val="18"/>
                <w:szCs w:val="18"/>
                <w:lang w:eastAsia="sl-SI"/>
              </w:rPr>
            </w:pPr>
            <w:r w:rsidRPr="002B7F6F">
              <w:rPr>
                <w:rFonts w:ascii="Arial" w:hAnsi="Arial" w:cs="Arial"/>
                <w:color w:val="000000"/>
                <w:sz w:val="18"/>
                <w:szCs w:val="18"/>
              </w:rPr>
              <w:t>Razni subjekti</w:t>
            </w:r>
          </w:p>
        </w:tc>
        <w:tc>
          <w:tcPr>
            <w:tcW w:w="851" w:type="dxa"/>
            <w:tcBorders>
              <w:top w:val="nil"/>
              <w:left w:val="nil"/>
              <w:bottom w:val="single" w:sz="4" w:space="0" w:color="auto"/>
              <w:right w:val="single" w:sz="4" w:space="0" w:color="auto"/>
            </w:tcBorders>
            <w:shd w:val="clear" w:color="auto" w:fill="auto"/>
            <w:vAlign w:val="center"/>
          </w:tcPr>
          <w:p w14:paraId="2D1B115B" w14:textId="749B55B6"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tcPr>
          <w:p w14:paraId="02758F74" w14:textId="174E83B6"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15.908</w:t>
            </w:r>
          </w:p>
        </w:tc>
        <w:tc>
          <w:tcPr>
            <w:tcW w:w="1560" w:type="dxa"/>
            <w:tcBorders>
              <w:top w:val="nil"/>
              <w:left w:val="nil"/>
              <w:bottom w:val="single" w:sz="4" w:space="0" w:color="auto"/>
              <w:right w:val="single" w:sz="4" w:space="0" w:color="auto"/>
            </w:tcBorders>
            <w:shd w:val="clear" w:color="auto" w:fill="auto"/>
            <w:vAlign w:val="center"/>
          </w:tcPr>
          <w:p w14:paraId="730CFBE0" w14:textId="00CD75A6"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0,20 %</w:t>
            </w:r>
          </w:p>
        </w:tc>
        <w:tc>
          <w:tcPr>
            <w:tcW w:w="1597" w:type="dxa"/>
            <w:tcBorders>
              <w:top w:val="nil"/>
              <w:left w:val="nil"/>
              <w:bottom w:val="single" w:sz="4" w:space="0" w:color="auto"/>
              <w:right w:val="single" w:sz="4" w:space="0" w:color="auto"/>
            </w:tcBorders>
            <w:shd w:val="clear" w:color="auto" w:fill="auto"/>
            <w:vAlign w:val="center"/>
          </w:tcPr>
          <w:p w14:paraId="5427BD0F" w14:textId="2885C09F" w:rsidR="00426597" w:rsidRPr="002B7F6F" w:rsidRDefault="00426597" w:rsidP="00426597">
            <w:pPr>
              <w:spacing w:after="0" w:line="240" w:lineRule="auto"/>
              <w:jc w:val="right"/>
              <w:rPr>
                <w:rFonts w:ascii="Arial" w:eastAsia="Times New Roman" w:hAnsi="Arial" w:cs="Arial"/>
                <w:color w:val="000000"/>
                <w:sz w:val="18"/>
                <w:szCs w:val="18"/>
                <w:lang w:eastAsia="sl-SI"/>
              </w:rPr>
            </w:pPr>
            <w:r w:rsidRPr="002B7F6F">
              <w:rPr>
                <w:rFonts w:ascii="Arial" w:hAnsi="Arial" w:cs="Arial"/>
                <w:color w:val="000000"/>
                <w:sz w:val="18"/>
                <w:szCs w:val="18"/>
              </w:rPr>
              <w:t>0,01 %</w:t>
            </w:r>
          </w:p>
        </w:tc>
      </w:tr>
      <w:tr w:rsidR="00426597" w:rsidRPr="002B7F6F" w14:paraId="313F27AA" w14:textId="77777777" w:rsidTr="00B45EE0">
        <w:trPr>
          <w:trHeight w:val="284"/>
          <w:jc w:val="center"/>
        </w:trPr>
        <w:tc>
          <w:tcPr>
            <w:tcW w:w="3397" w:type="dxa"/>
            <w:tcBorders>
              <w:top w:val="nil"/>
              <w:left w:val="single" w:sz="4" w:space="0" w:color="auto"/>
              <w:bottom w:val="single" w:sz="4" w:space="0" w:color="auto"/>
              <w:right w:val="single" w:sz="4" w:space="0" w:color="auto"/>
            </w:tcBorders>
            <w:shd w:val="clear" w:color="auto" w:fill="E7E6E6" w:themeFill="background2"/>
            <w:vAlign w:val="center"/>
            <w:hideMark/>
          </w:tcPr>
          <w:p w14:paraId="1AC99D53" w14:textId="52087357" w:rsidR="00426597" w:rsidRPr="002B7F6F" w:rsidRDefault="00426597" w:rsidP="00426597">
            <w:pPr>
              <w:spacing w:after="0" w:line="240" w:lineRule="auto"/>
              <w:rPr>
                <w:rFonts w:ascii="Arial" w:eastAsia="Times New Roman" w:hAnsi="Arial" w:cs="Arial"/>
                <w:b/>
                <w:bCs/>
                <w:color w:val="000000"/>
                <w:sz w:val="18"/>
                <w:szCs w:val="18"/>
                <w:lang w:eastAsia="sl-SI"/>
              </w:rPr>
            </w:pPr>
            <w:r w:rsidRPr="002B7F6F">
              <w:rPr>
                <w:rFonts w:ascii="Arial" w:eastAsia="Times New Roman" w:hAnsi="Arial" w:cs="Arial"/>
                <w:b/>
                <w:bCs/>
                <w:color w:val="000000"/>
                <w:sz w:val="18"/>
                <w:szCs w:val="18"/>
                <w:lang w:eastAsia="sl-SI"/>
              </w:rPr>
              <w:t>Skupaj</w:t>
            </w:r>
          </w:p>
        </w:tc>
        <w:tc>
          <w:tcPr>
            <w:tcW w:w="851" w:type="dxa"/>
            <w:tcBorders>
              <w:top w:val="nil"/>
              <w:left w:val="nil"/>
              <w:bottom w:val="single" w:sz="4" w:space="0" w:color="auto"/>
              <w:right w:val="single" w:sz="4" w:space="0" w:color="auto"/>
            </w:tcBorders>
            <w:shd w:val="clear" w:color="auto" w:fill="E7E6E6" w:themeFill="background2"/>
            <w:vAlign w:val="center"/>
          </w:tcPr>
          <w:p w14:paraId="43A52C54" w14:textId="3CBC39BE" w:rsidR="00426597" w:rsidRPr="002B7F6F" w:rsidRDefault="00426597" w:rsidP="00426597">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bCs/>
                <w:color w:val="000000"/>
                <w:sz w:val="18"/>
                <w:szCs w:val="18"/>
              </w:rPr>
              <w:t>497</w:t>
            </w:r>
          </w:p>
        </w:tc>
        <w:tc>
          <w:tcPr>
            <w:tcW w:w="1417" w:type="dxa"/>
            <w:tcBorders>
              <w:top w:val="nil"/>
              <w:left w:val="nil"/>
              <w:bottom w:val="single" w:sz="4" w:space="0" w:color="auto"/>
              <w:right w:val="single" w:sz="4" w:space="0" w:color="auto"/>
            </w:tcBorders>
            <w:shd w:val="clear" w:color="auto" w:fill="E7E6E6" w:themeFill="background2"/>
            <w:vAlign w:val="center"/>
          </w:tcPr>
          <w:p w14:paraId="32A26EAE" w14:textId="497F4C58" w:rsidR="00426597" w:rsidRPr="002B7F6F" w:rsidRDefault="00426597" w:rsidP="00426597">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bCs/>
                <w:color w:val="000000"/>
                <w:sz w:val="18"/>
                <w:szCs w:val="18"/>
              </w:rPr>
              <w:t>171.181.635</w:t>
            </w:r>
          </w:p>
        </w:tc>
        <w:tc>
          <w:tcPr>
            <w:tcW w:w="1560" w:type="dxa"/>
            <w:tcBorders>
              <w:top w:val="nil"/>
              <w:left w:val="nil"/>
              <w:bottom w:val="single" w:sz="4" w:space="0" w:color="auto"/>
              <w:right w:val="single" w:sz="4" w:space="0" w:color="auto"/>
            </w:tcBorders>
            <w:shd w:val="clear" w:color="auto" w:fill="E7E6E6" w:themeFill="background2"/>
            <w:vAlign w:val="center"/>
          </w:tcPr>
          <w:p w14:paraId="1C7CCCB9" w14:textId="3855E537" w:rsidR="00426597" w:rsidRPr="002B7F6F" w:rsidRDefault="00426597" w:rsidP="00426597">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color w:val="000000"/>
                <w:sz w:val="18"/>
                <w:szCs w:val="18"/>
              </w:rPr>
              <w:t>100,00 %</w:t>
            </w:r>
          </w:p>
        </w:tc>
        <w:tc>
          <w:tcPr>
            <w:tcW w:w="1597" w:type="dxa"/>
            <w:tcBorders>
              <w:top w:val="nil"/>
              <w:left w:val="nil"/>
              <w:bottom w:val="single" w:sz="4" w:space="0" w:color="auto"/>
              <w:right w:val="single" w:sz="4" w:space="0" w:color="auto"/>
            </w:tcBorders>
            <w:shd w:val="clear" w:color="auto" w:fill="E7E6E6" w:themeFill="background2"/>
            <w:vAlign w:val="center"/>
          </w:tcPr>
          <w:p w14:paraId="7AC6A1EE" w14:textId="10B0B545" w:rsidR="00426597" w:rsidRPr="002B7F6F" w:rsidRDefault="00426597" w:rsidP="00426597">
            <w:pPr>
              <w:spacing w:after="0" w:line="240" w:lineRule="auto"/>
              <w:jc w:val="right"/>
              <w:rPr>
                <w:rFonts w:ascii="Arial" w:eastAsia="Times New Roman" w:hAnsi="Arial" w:cs="Arial"/>
                <w:b/>
                <w:bCs/>
                <w:color w:val="000000"/>
                <w:sz w:val="18"/>
                <w:szCs w:val="18"/>
                <w:lang w:eastAsia="sl-SI"/>
              </w:rPr>
            </w:pPr>
            <w:r w:rsidRPr="002B7F6F">
              <w:rPr>
                <w:rFonts w:ascii="Arial" w:hAnsi="Arial" w:cs="Arial"/>
                <w:b/>
                <w:color w:val="000000"/>
                <w:sz w:val="18"/>
                <w:szCs w:val="18"/>
              </w:rPr>
              <w:t>100,00 %</w:t>
            </w:r>
          </w:p>
        </w:tc>
      </w:tr>
    </w:tbl>
    <w:p w14:paraId="77D8A605" w14:textId="77777777" w:rsidR="004A613D" w:rsidRPr="002B7F6F" w:rsidRDefault="004A613D" w:rsidP="004A613D">
      <w:pPr>
        <w:spacing w:after="0" w:line="240" w:lineRule="auto"/>
        <w:jc w:val="center"/>
        <w:rPr>
          <w:rFonts w:ascii="Arial" w:hAnsi="Arial" w:cs="Arial"/>
          <w:sz w:val="18"/>
        </w:rPr>
      </w:pPr>
    </w:p>
    <w:p w14:paraId="1CBC7ABF" w14:textId="0A2EF411" w:rsidR="00177D22" w:rsidRPr="002B7F6F" w:rsidRDefault="00177D22" w:rsidP="004A613D">
      <w:pPr>
        <w:spacing w:after="0" w:line="240" w:lineRule="auto"/>
        <w:jc w:val="center"/>
        <w:rPr>
          <w:rFonts w:ascii="Arial" w:hAnsi="Arial" w:cs="Arial"/>
          <w:sz w:val="18"/>
        </w:rPr>
      </w:pPr>
      <w:r w:rsidRPr="002B7F6F">
        <w:rPr>
          <w:rFonts w:ascii="Arial" w:hAnsi="Arial" w:cs="Arial"/>
          <w:sz w:val="18"/>
        </w:rPr>
        <w:t>Vir: Statistični podatki o javni</w:t>
      </w:r>
      <w:r w:rsidR="00CD1C20" w:rsidRPr="002B7F6F">
        <w:rPr>
          <w:rFonts w:ascii="Arial" w:hAnsi="Arial" w:cs="Arial"/>
          <w:sz w:val="18"/>
        </w:rPr>
        <w:t>h naročilih, oddanih v letu 201</w:t>
      </w:r>
      <w:r w:rsidR="00426597" w:rsidRPr="002B7F6F">
        <w:rPr>
          <w:rFonts w:ascii="Arial" w:hAnsi="Arial" w:cs="Arial"/>
          <w:sz w:val="18"/>
        </w:rPr>
        <w:t>8</w:t>
      </w:r>
    </w:p>
    <w:p w14:paraId="4B8B7562" w14:textId="77777777" w:rsidR="00177D22" w:rsidRPr="002B7F6F" w:rsidRDefault="00177D22" w:rsidP="009E3010">
      <w:pPr>
        <w:pStyle w:val="Standard"/>
        <w:spacing w:line="360" w:lineRule="auto"/>
        <w:rPr>
          <w:rFonts w:cs="Arial"/>
          <w:sz w:val="20"/>
          <w:szCs w:val="20"/>
        </w:rPr>
      </w:pPr>
    </w:p>
    <w:p w14:paraId="49CB1001" w14:textId="25B5E910" w:rsidR="002F6AA2" w:rsidRPr="002B7F6F" w:rsidRDefault="002F6AA2" w:rsidP="002F6AA2">
      <w:pPr>
        <w:spacing w:line="360" w:lineRule="auto"/>
        <w:jc w:val="both"/>
        <w:rPr>
          <w:rFonts w:ascii="Arial" w:eastAsia="Times New Roman" w:hAnsi="Arial" w:cs="Arial"/>
          <w:color w:val="000000"/>
          <w:sz w:val="20"/>
          <w:szCs w:val="20"/>
          <w:lang w:eastAsia="sl-SI"/>
        </w:rPr>
      </w:pPr>
      <w:r w:rsidRPr="002B7F6F">
        <w:rPr>
          <w:rFonts w:ascii="Arial" w:hAnsi="Arial" w:cs="Arial"/>
          <w:sz w:val="20"/>
          <w:szCs w:val="20"/>
        </w:rPr>
        <w:t xml:space="preserve">Glede na vrednost oddanih skupnih javnih naročil </w:t>
      </w:r>
      <w:r w:rsidR="00CF3448" w:rsidRPr="002B7F6F">
        <w:rPr>
          <w:rFonts w:ascii="Arial" w:hAnsi="Arial" w:cs="Arial"/>
          <w:sz w:val="20"/>
          <w:szCs w:val="20"/>
        </w:rPr>
        <w:t>so</w:t>
      </w:r>
      <w:r w:rsidRPr="002B7F6F">
        <w:rPr>
          <w:rFonts w:ascii="Arial" w:hAnsi="Arial" w:cs="Arial"/>
          <w:sz w:val="20"/>
          <w:szCs w:val="20"/>
        </w:rPr>
        <w:t xml:space="preserve"> najuspešnejši ponudnik</w:t>
      </w:r>
      <w:r w:rsidR="00CF3448" w:rsidRPr="002B7F6F">
        <w:rPr>
          <w:rFonts w:ascii="Arial" w:hAnsi="Arial" w:cs="Arial"/>
          <w:sz w:val="20"/>
          <w:szCs w:val="20"/>
        </w:rPr>
        <w:t>i</w:t>
      </w:r>
      <w:r w:rsidRPr="002B7F6F">
        <w:rPr>
          <w:rFonts w:ascii="Arial" w:hAnsi="Arial" w:cs="Arial"/>
          <w:sz w:val="20"/>
          <w:szCs w:val="20"/>
        </w:rPr>
        <w:t xml:space="preserve"> </w:t>
      </w:r>
      <w:r w:rsidR="00A878AA" w:rsidRPr="002B7F6F">
        <w:rPr>
          <w:rFonts w:ascii="Arial" w:eastAsia="Times New Roman" w:hAnsi="Arial" w:cs="Arial"/>
          <w:color w:val="000000"/>
          <w:sz w:val="20"/>
          <w:szCs w:val="20"/>
          <w:lang w:eastAsia="sl-SI"/>
        </w:rPr>
        <w:t>KPL, d. o. o.</w:t>
      </w:r>
      <w:r w:rsidR="008E09B2">
        <w:rPr>
          <w:rFonts w:ascii="Arial" w:eastAsia="Times New Roman" w:hAnsi="Arial" w:cs="Arial"/>
          <w:color w:val="000000"/>
          <w:sz w:val="20"/>
          <w:szCs w:val="20"/>
          <w:lang w:eastAsia="sl-SI"/>
        </w:rPr>
        <w:t>,</w:t>
      </w:r>
      <w:r w:rsidRPr="002B7F6F">
        <w:rPr>
          <w:rFonts w:ascii="Arial" w:eastAsia="Times New Roman" w:hAnsi="Arial" w:cs="Arial"/>
          <w:color w:val="000000"/>
          <w:sz w:val="20"/>
          <w:szCs w:val="20"/>
          <w:lang w:eastAsia="sl-SI"/>
        </w:rPr>
        <w:t xml:space="preserve"> </w:t>
      </w:r>
      <w:r w:rsidRPr="002B7F6F">
        <w:rPr>
          <w:rFonts w:ascii="Arial" w:hAnsi="Arial" w:cs="Arial"/>
          <w:sz w:val="20"/>
          <w:szCs w:val="20"/>
        </w:rPr>
        <w:t xml:space="preserve">s </w:t>
      </w:r>
      <w:r w:rsidR="00A878AA" w:rsidRPr="002B7F6F">
        <w:rPr>
          <w:rFonts w:ascii="Arial" w:hAnsi="Arial" w:cs="Arial"/>
          <w:sz w:val="20"/>
          <w:szCs w:val="20"/>
        </w:rPr>
        <w:t>šestimi</w:t>
      </w:r>
      <w:r w:rsidRPr="002B7F6F">
        <w:rPr>
          <w:rFonts w:ascii="Arial" w:hAnsi="Arial" w:cs="Arial"/>
          <w:sz w:val="20"/>
          <w:szCs w:val="20"/>
        </w:rPr>
        <w:t xml:space="preserve"> naročili v </w:t>
      </w:r>
      <w:r w:rsidR="000E3AFC" w:rsidRPr="002B7F6F">
        <w:rPr>
          <w:rFonts w:ascii="Arial" w:hAnsi="Arial" w:cs="Arial"/>
          <w:sz w:val="20"/>
          <w:szCs w:val="20"/>
        </w:rPr>
        <w:t xml:space="preserve">skupni </w:t>
      </w:r>
      <w:r w:rsidRPr="002B7F6F">
        <w:rPr>
          <w:rFonts w:ascii="Arial" w:hAnsi="Arial" w:cs="Arial"/>
          <w:sz w:val="20"/>
          <w:szCs w:val="20"/>
        </w:rPr>
        <w:t xml:space="preserve">vrednosti </w:t>
      </w:r>
      <w:r w:rsidR="00A878AA" w:rsidRPr="002B7F6F">
        <w:rPr>
          <w:rFonts w:ascii="Arial" w:eastAsia="Times New Roman" w:hAnsi="Arial" w:cs="Arial"/>
          <w:color w:val="000000"/>
          <w:sz w:val="20"/>
          <w:szCs w:val="20"/>
          <w:lang w:eastAsia="sl-SI"/>
        </w:rPr>
        <w:t xml:space="preserve">14.515.072 </w:t>
      </w:r>
      <w:r w:rsidR="000E3AFC" w:rsidRPr="002B7F6F">
        <w:rPr>
          <w:rFonts w:ascii="Arial" w:eastAsia="Times New Roman" w:hAnsi="Arial" w:cs="Arial"/>
          <w:color w:val="000000"/>
          <w:sz w:val="20"/>
          <w:szCs w:val="20"/>
          <w:lang w:eastAsia="sl-SI"/>
        </w:rPr>
        <w:t>evrov</w:t>
      </w:r>
      <w:r w:rsidRPr="002B7F6F">
        <w:rPr>
          <w:rFonts w:ascii="Arial" w:hAnsi="Arial" w:cs="Arial"/>
          <w:sz w:val="20"/>
          <w:szCs w:val="20"/>
        </w:rPr>
        <w:t xml:space="preserve">, </w:t>
      </w:r>
      <w:r w:rsidR="00A878AA" w:rsidRPr="002B7F6F">
        <w:rPr>
          <w:rFonts w:ascii="Arial" w:eastAsia="Times New Roman" w:hAnsi="Arial" w:cs="Arial"/>
          <w:color w:val="000000"/>
          <w:sz w:val="20"/>
          <w:szCs w:val="20"/>
          <w:lang w:eastAsia="sl-SI"/>
        </w:rPr>
        <w:t>ENERGETIKA LJUBLJANA, d. o. o.</w:t>
      </w:r>
      <w:r w:rsidR="008E09B2">
        <w:rPr>
          <w:rFonts w:ascii="Arial" w:eastAsia="Times New Roman" w:hAnsi="Arial" w:cs="Arial"/>
          <w:color w:val="000000"/>
          <w:sz w:val="20"/>
          <w:szCs w:val="20"/>
          <w:lang w:eastAsia="sl-SI"/>
        </w:rPr>
        <w:t>,</w:t>
      </w:r>
      <w:r w:rsidR="00A878AA" w:rsidRPr="002B7F6F">
        <w:rPr>
          <w:rFonts w:ascii="Arial" w:eastAsia="Times New Roman" w:hAnsi="Arial" w:cs="Arial"/>
          <w:color w:val="000000"/>
          <w:sz w:val="20"/>
          <w:szCs w:val="20"/>
          <w:lang w:eastAsia="sl-SI"/>
        </w:rPr>
        <w:t xml:space="preserve"> </w:t>
      </w:r>
      <w:r w:rsidR="00A878AA" w:rsidRPr="002B7F6F">
        <w:rPr>
          <w:rFonts w:ascii="Arial" w:hAnsi="Arial" w:cs="Arial"/>
          <w:sz w:val="20"/>
          <w:szCs w:val="20"/>
        </w:rPr>
        <w:t xml:space="preserve">z enim naročilom </w:t>
      </w:r>
      <w:r w:rsidRPr="002B7F6F">
        <w:rPr>
          <w:rFonts w:ascii="Arial" w:hAnsi="Arial" w:cs="Arial"/>
          <w:sz w:val="20"/>
          <w:szCs w:val="20"/>
        </w:rPr>
        <w:t xml:space="preserve">v vrednosti </w:t>
      </w:r>
      <w:r w:rsidR="00A878AA" w:rsidRPr="002B7F6F">
        <w:rPr>
          <w:rFonts w:ascii="Arial" w:eastAsia="Times New Roman" w:hAnsi="Arial" w:cs="Arial"/>
          <w:color w:val="000000"/>
          <w:sz w:val="20"/>
          <w:szCs w:val="20"/>
          <w:lang w:eastAsia="sl-SI"/>
        </w:rPr>
        <w:t xml:space="preserve">10.895.508 </w:t>
      </w:r>
      <w:r w:rsidRPr="002B7F6F">
        <w:rPr>
          <w:rFonts w:ascii="Arial" w:hAnsi="Arial" w:cs="Arial"/>
          <w:sz w:val="20"/>
          <w:szCs w:val="20"/>
        </w:rPr>
        <w:t xml:space="preserve">evrov, </w:t>
      </w:r>
      <w:r w:rsidR="00A878AA" w:rsidRPr="002B7F6F">
        <w:rPr>
          <w:rFonts w:ascii="Arial" w:eastAsia="Times New Roman" w:hAnsi="Arial" w:cs="Arial"/>
          <w:color w:val="000000"/>
          <w:sz w:val="20"/>
          <w:szCs w:val="20"/>
          <w:lang w:eastAsia="sl-SI"/>
        </w:rPr>
        <w:t>POMGRAD, d. d.</w:t>
      </w:r>
      <w:r w:rsidR="008E09B2">
        <w:rPr>
          <w:rFonts w:ascii="Arial" w:eastAsia="Times New Roman" w:hAnsi="Arial" w:cs="Arial"/>
          <w:color w:val="000000"/>
          <w:sz w:val="20"/>
          <w:szCs w:val="20"/>
          <w:lang w:eastAsia="sl-SI"/>
        </w:rPr>
        <w:t>,</w:t>
      </w:r>
      <w:r w:rsidR="00A878AA" w:rsidRPr="002B7F6F">
        <w:rPr>
          <w:rFonts w:ascii="Arial" w:eastAsia="Times New Roman" w:hAnsi="Arial" w:cs="Arial"/>
          <w:color w:val="000000"/>
          <w:sz w:val="20"/>
          <w:szCs w:val="20"/>
          <w:lang w:eastAsia="sl-SI"/>
        </w:rPr>
        <w:t xml:space="preserve"> </w:t>
      </w:r>
      <w:r w:rsidR="00A878AA" w:rsidRPr="002B7F6F">
        <w:rPr>
          <w:rFonts w:ascii="Arial" w:hAnsi="Arial" w:cs="Arial"/>
          <w:sz w:val="20"/>
          <w:szCs w:val="20"/>
        </w:rPr>
        <w:t>z enim naročilom</w:t>
      </w:r>
      <w:r w:rsidRPr="002B7F6F">
        <w:rPr>
          <w:rFonts w:ascii="Arial" w:hAnsi="Arial" w:cs="Arial"/>
          <w:sz w:val="20"/>
          <w:szCs w:val="20"/>
        </w:rPr>
        <w:t xml:space="preserve"> v vrednosti </w:t>
      </w:r>
      <w:r w:rsidR="00A878AA" w:rsidRPr="002B7F6F">
        <w:rPr>
          <w:rFonts w:ascii="Arial" w:eastAsia="Times New Roman" w:hAnsi="Arial" w:cs="Arial"/>
          <w:color w:val="000000"/>
          <w:sz w:val="20"/>
          <w:szCs w:val="20"/>
          <w:lang w:eastAsia="sl-SI"/>
        </w:rPr>
        <w:t xml:space="preserve">7.313.241 </w:t>
      </w:r>
      <w:r w:rsidRPr="002B7F6F">
        <w:rPr>
          <w:rFonts w:ascii="Arial" w:hAnsi="Arial" w:cs="Arial"/>
          <w:sz w:val="20"/>
          <w:szCs w:val="20"/>
        </w:rPr>
        <w:t xml:space="preserve">evrov, </w:t>
      </w:r>
      <w:r w:rsidR="00A878AA" w:rsidRPr="002B7F6F">
        <w:rPr>
          <w:rFonts w:ascii="Arial" w:eastAsia="Times New Roman" w:hAnsi="Arial" w:cs="Arial"/>
          <w:color w:val="000000"/>
          <w:sz w:val="20"/>
          <w:szCs w:val="20"/>
          <w:lang w:eastAsia="sl-SI"/>
        </w:rPr>
        <w:t xml:space="preserve">ISKRA, </w:t>
      </w:r>
      <w:r w:rsidRPr="002B7F6F">
        <w:rPr>
          <w:rFonts w:ascii="Arial" w:eastAsia="Times New Roman" w:hAnsi="Arial" w:cs="Arial"/>
          <w:color w:val="000000"/>
          <w:sz w:val="20"/>
          <w:szCs w:val="20"/>
          <w:lang w:eastAsia="sl-SI"/>
        </w:rPr>
        <w:t>d.</w:t>
      </w:r>
      <w:r w:rsidR="00CF3448" w:rsidRPr="002B7F6F">
        <w:rPr>
          <w:rFonts w:ascii="Arial" w:eastAsia="Times New Roman" w:hAnsi="Arial" w:cs="Arial"/>
          <w:color w:val="000000"/>
          <w:sz w:val="20"/>
          <w:szCs w:val="20"/>
          <w:lang w:eastAsia="sl-SI"/>
        </w:rPr>
        <w:t xml:space="preserve"> </w:t>
      </w:r>
      <w:r w:rsidRPr="002B7F6F">
        <w:rPr>
          <w:rFonts w:ascii="Arial" w:eastAsia="Times New Roman" w:hAnsi="Arial" w:cs="Arial"/>
          <w:color w:val="000000"/>
          <w:sz w:val="20"/>
          <w:szCs w:val="20"/>
          <w:lang w:eastAsia="sl-SI"/>
        </w:rPr>
        <w:t>d.</w:t>
      </w:r>
      <w:r w:rsidR="008E09B2">
        <w:rPr>
          <w:rFonts w:ascii="Arial" w:eastAsia="Times New Roman" w:hAnsi="Arial" w:cs="Arial"/>
          <w:color w:val="000000"/>
          <w:sz w:val="20"/>
          <w:szCs w:val="20"/>
          <w:lang w:eastAsia="sl-SI"/>
        </w:rPr>
        <w:t>,</w:t>
      </w:r>
      <w:r w:rsidRPr="002B7F6F">
        <w:rPr>
          <w:rFonts w:ascii="Arial" w:hAnsi="Arial" w:cs="Arial"/>
          <w:sz w:val="20"/>
          <w:szCs w:val="20"/>
        </w:rPr>
        <w:t xml:space="preserve"> z enim naročilom v vrednosti </w:t>
      </w:r>
      <w:r w:rsidR="00A878AA" w:rsidRPr="002B7F6F">
        <w:rPr>
          <w:rFonts w:ascii="Arial" w:eastAsia="Times New Roman" w:hAnsi="Arial" w:cs="Arial"/>
          <w:color w:val="000000"/>
          <w:sz w:val="20"/>
          <w:szCs w:val="20"/>
          <w:lang w:eastAsia="sl-SI"/>
        </w:rPr>
        <w:t xml:space="preserve">6.873.307 </w:t>
      </w:r>
      <w:r w:rsidRPr="002B7F6F">
        <w:rPr>
          <w:rFonts w:ascii="Arial" w:hAnsi="Arial" w:cs="Arial"/>
          <w:sz w:val="20"/>
          <w:szCs w:val="20"/>
        </w:rPr>
        <w:t xml:space="preserve">evrov in </w:t>
      </w:r>
      <w:r w:rsidR="00A878AA" w:rsidRPr="002B7F6F">
        <w:rPr>
          <w:rFonts w:ascii="Arial" w:hAnsi="Arial" w:cs="Arial"/>
          <w:sz w:val="20"/>
          <w:szCs w:val="20"/>
        </w:rPr>
        <w:t xml:space="preserve">PROMO POTOVANJA, </w:t>
      </w:r>
      <w:r w:rsidRPr="002B7F6F">
        <w:rPr>
          <w:rFonts w:ascii="Arial" w:eastAsia="Times New Roman" w:hAnsi="Arial" w:cs="Arial"/>
          <w:color w:val="000000"/>
          <w:sz w:val="20"/>
          <w:szCs w:val="20"/>
          <w:lang w:eastAsia="sl-SI"/>
        </w:rPr>
        <w:t>d.</w:t>
      </w:r>
      <w:r w:rsidR="00CF3448" w:rsidRPr="002B7F6F">
        <w:rPr>
          <w:rFonts w:ascii="Arial" w:eastAsia="Times New Roman" w:hAnsi="Arial" w:cs="Arial"/>
          <w:color w:val="000000"/>
          <w:sz w:val="20"/>
          <w:szCs w:val="20"/>
          <w:lang w:eastAsia="sl-SI"/>
        </w:rPr>
        <w:t xml:space="preserve"> </w:t>
      </w:r>
      <w:r w:rsidRPr="002B7F6F">
        <w:rPr>
          <w:rFonts w:ascii="Arial" w:eastAsia="Times New Roman" w:hAnsi="Arial" w:cs="Arial"/>
          <w:color w:val="000000"/>
          <w:sz w:val="20"/>
          <w:szCs w:val="20"/>
          <w:lang w:eastAsia="sl-SI"/>
        </w:rPr>
        <w:t>o.</w:t>
      </w:r>
      <w:r w:rsidR="00CF3448" w:rsidRPr="002B7F6F">
        <w:rPr>
          <w:rFonts w:ascii="Arial" w:eastAsia="Times New Roman" w:hAnsi="Arial" w:cs="Arial"/>
          <w:color w:val="000000"/>
          <w:sz w:val="20"/>
          <w:szCs w:val="20"/>
          <w:lang w:eastAsia="sl-SI"/>
        </w:rPr>
        <w:t xml:space="preserve"> </w:t>
      </w:r>
      <w:r w:rsidRPr="002B7F6F">
        <w:rPr>
          <w:rFonts w:ascii="Arial" w:eastAsia="Times New Roman" w:hAnsi="Arial" w:cs="Arial"/>
          <w:color w:val="000000"/>
          <w:sz w:val="20"/>
          <w:szCs w:val="20"/>
          <w:lang w:eastAsia="sl-SI"/>
        </w:rPr>
        <w:t>o.</w:t>
      </w:r>
      <w:r w:rsidR="008E09B2">
        <w:rPr>
          <w:rFonts w:ascii="Arial" w:eastAsia="Times New Roman" w:hAnsi="Arial" w:cs="Arial"/>
          <w:color w:val="000000"/>
          <w:sz w:val="20"/>
          <w:szCs w:val="20"/>
          <w:lang w:eastAsia="sl-SI"/>
        </w:rPr>
        <w:t>,</w:t>
      </w:r>
      <w:r w:rsidRPr="002B7F6F">
        <w:rPr>
          <w:rFonts w:ascii="Arial" w:eastAsia="Times New Roman" w:hAnsi="Arial" w:cs="Arial"/>
          <w:color w:val="000000"/>
          <w:sz w:val="20"/>
          <w:szCs w:val="20"/>
          <w:lang w:eastAsia="sl-SI"/>
        </w:rPr>
        <w:t xml:space="preserve"> </w:t>
      </w:r>
      <w:r w:rsidRPr="002B7F6F">
        <w:rPr>
          <w:rFonts w:ascii="Arial" w:hAnsi="Arial" w:cs="Arial"/>
          <w:sz w:val="20"/>
          <w:szCs w:val="20"/>
        </w:rPr>
        <w:t xml:space="preserve">z enim naročilom v vrednosti </w:t>
      </w:r>
      <w:r w:rsidR="00A878AA" w:rsidRPr="002B7F6F">
        <w:rPr>
          <w:rFonts w:ascii="Arial" w:eastAsia="Times New Roman" w:hAnsi="Arial" w:cs="Arial"/>
          <w:color w:val="000000"/>
          <w:sz w:val="20"/>
          <w:szCs w:val="20"/>
          <w:lang w:eastAsia="sl-SI"/>
        </w:rPr>
        <w:t xml:space="preserve">6.610.815 </w:t>
      </w:r>
      <w:r w:rsidRPr="002B7F6F">
        <w:rPr>
          <w:rFonts w:ascii="Arial" w:hAnsi="Arial" w:cs="Arial"/>
          <w:sz w:val="20"/>
          <w:szCs w:val="20"/>
        </w:rPr>
        <w:t>evrov.</w:t>
      </w:r>
    </w:p>
    <w:p w14:paraId="06957077" w14:textId="1F277D38" w:rsidR="008F5893" w:rsidRPr="00EF2D0B" w:rsidRDefault="008F5893" w:rsidP="005D6780">
      <w:pPr>
        <w:pStyle w:val="ZADEVA"/>
        <w:ind w:left="0" w:firstLine="0"/>
        <w:jc w:val="both"/>
        <w:rPr>
          <w:rFonts w:cs="Arial"/>
          <w:b w:val="0"/>
          <w:szCs w:val="20"/>
          <w:highlight w:val="yellow"/>
          <w:lang w:val="sl-SI"/>
        </w:rPr>
      </w:pPr>
    </w:p>
    <w:p w14:paraId="36B3A01E" w14:textId="1496A127" w:rsidR="00034E48" w:rsidRPr="00274F3C" w:rsidRDefault="00034E48" w:rsidP="00034E48">
      <w:pPr>
        <w:pStyle w:val="Naslov2"/>
        <w:rPr>
          <w:rFonts w:ascii="Arial" w:hAnsi="Arial" w:cs="Arial"/>
          <w:szCs w:val="20"/>
        </w:rPr>
      </w:pPr>
      <w:bookmarkStart w:id="21" w:name="_Toc17114059"/>
      <w:r w:rsidRPr="00274F3C">
        <w:rPr>
          <w:rFonts w:ascii="Arial" w:hAnsi="Arial" w:cs="Arial"/>
          <w:sz w:val="22"/>
          <w:szCs w:val="22"/>
        </w:rPr>
        <w:t xml:space="preserve">2.4 </w:t>
      </w:r>
      <w:r w:rsidR="009F712C" w:rsidRPr="00274F3C">
        <w:rPr>
          <w:rFonts w:ascii="Arial" w:hAnsi="Arial" w:cs="Arial"/>
          <w:sz w:val="22"/>
          <w:szCs w:val="22"/>
        </w:rPr>
        <w:t>Kategorije</w:t>
      </w:r>
      <w:r w:rsidRPr="00274F3C">
        <w:rPr>
          <w:rFonts w:ascii="Arial" w:hAnsi="Arial" w:cs="Arial"/>
          <w:sz w:val="22"/>
          <w:szCs w:val="22"/>
        </w:rPr>
        <w:t xml:space="preserve"> naročnikov ter področja in predmeti naročanja</w:t>
      </w:r>
      <w:bookmarkEnd w:id="21"/>
    </w:p>
    <w:p w14:paraId="24126136" w14:textId="77777777" w:rsidR="008F5893" w:rsidRPr="00274F3C" w:rsidRDefault="008F5893" w:rsidP="00854405">
      <w:pPr>
        <w:pStyle w:val="ZADEVA"/>
        <w:jc w:val="both"/>
        <w:rPr>
          <w:rFonts w:cs="Arial"/>
          <w:b w:val="0"/>
          <w:szCs w:val="20"/>
          <w:lang w:val="sl-SI"/>
        </w:rPr>
      </w:pPr>
    </w:p>
    <w:p w14:paraId="4D09DFB3" w14:textId="44493001" w:rsidR="00034E48" w:rsidRPr="00274F3C" w:rsidRDefault="00034E48" w:rsidP="00034E48">
      <w:pPr>
        <w:pStyle w:val="Naslov3"/>
        <w:rPr>
          <w:rFonts w:ascii="Arial" w:hAnsi="Arial" w:cs="Arial"/>
          <w:sz w:val="22"/>
          <w:szCs w:val="22"/>
        </w:rPr>
      </w:pPr>
      <w:bookmarkStart w:id="22" w:name="_Toc17114060"/>
      <w:r w:rsidRPr="00274F3C">
        <w:rPr>
          <w:rFonts w:ascii="Arial" w:hAnsi="Arial" w:cs="Arial"/>
          <w:sz w:val="22"/>
          <w:szCs w:val="22"/>
        </w:rPr>
        <w:t>2.4.1 Področje javnega naročanja in dejavnosti naročnikov</w:t>
      </w:r>
      <w:bookmarkEnd w:id="22"/>
    </w:p>
    <w:p w14:paraId="0ED7A202" w14:textId="54214D87" w:rsidR="008F5893" w:rsidRPr="00274F3C" w:rsidRDefault="008F5893" w:rsidP="00854405">
      <w:pPr>
        <w:pStyle w:val="ZADEVA"/>
        <w:jc w:val="both"/>
        <w:rPr>
          <w:rFonts w:cs="Arial"/>
          <w:b w:val="0"/>
          <w:szCs w:val="20"/>
          <w:lang w:val="sl-SI"/>
        </w:rPr>
      </w:pPr>
    </w:p>
    <w:p w14:paraId="6F723475" w14:textId="6D849CCC" w:rsidR="00A8659F" w:rsidRPr="00274F3C" w:rsidRDefault="008E09B2" w:rsidP="008B331E">
      <w:pPr>
        <w:spacing w:line="360" w:lineRule="auto"/>
        <w:jc w:val="both"/>
        <w:rPr>
          <w:rFonts w:ascii="Arial" w:hAnsi="Arial" w:cs="Arial"/>
          <w:sz w:val="20"/>
          <w:szCs w:val="20"/>
        </w:rPr>
      </w:pPr>
      <w:r>
        <w:rPr>
          <w:rFonts w:ascii="Arial" w:hAnsi="Arial" w:cs="Arial"/>
          <w:sz w:val="20"/>
          <w:szCs w:val="20"/>
        </w:rPr>
        <w:t>Leta</w:t>
      </w:r>
      <w:r w:rsidR="00F4651C" w:rsidRPr="00274F3C">
        <w:rPr>
          <w:rFonts w:ascii="Arial" w:hAnsi="Arial" w:cs="Arial"/>
          <w:sz w:val="20"/>
          <w:szCs w:val="20"/>
        </w:rPr>
        <w:t xml:space="preserve"> 201</w:t>
      </w:r>
      <w:r w:rsidR="008B4D0A" w:rsidRPr="00274F3C">
        <w:rPr>
          <w:rFonts w:ascii="Arial" w:hAnsi="Arial" w:cs="Arial"/>
          <w:sz w:val="20"/>
          <w:szCs w:val="20"/>
        </w:rPr>
        <w:t>8</w:t>
      </w:r>
      <w:r w:rsidR="003E6EF6" w:rsidRPr="00274F3C">
        <w:rPr>
          <w:rFonts w:ascii="Arial" w:hAnsi="Arial" w:cs="Arial"/>
          <w:sz w:val="20"/>
          <w:szCs w:val="20"/>
        </w:rPr>
        <w:t xml:space="preserve"> </w:t>
      </w:r>
      <w:r w:rsidR="00274F3C" w:rsidRPr="00274F3C">
        <w:rPr>
          <w:rFonts w:ascii="Arial" w:hAnsi="Arial" w:cs="Arial"/>
          <w:sz w:val="20"/>
          <w:szCs w:val="20"/>
        </w:rPr>
        <w:t>sta</w:t>
      </w:r>
      <w:r w:rsidR="003E6EF6" w:rsidRPr="00274F3C">
        <w:rPr>
          <w:rFonts w:ascii="Arial" w:hAnsi="Arial" w:cs="Arial"/>
          <w:sz w:val="20"/>
          <w:szCs w:val="20"/>
        </w:rPr>
        <w:t xml:space="preserve"> </w:t>
      </w:r>
      <w:r w:rsidR="008B4D0A" w:rsidRPr="00274F3C">
        <w:rPr>
          <w:rFonts w:ascii="Arial" w:hAnsi="Arial" w:cs="Arial"/>
          <w:sz w:val="20"/>
          <w:szCs w:val="20"/>
        </w:rPr>
        <w:t>100</w:t>
      </w:r>
      <w:r w:rsidR="00274F3C" w:rsidRPr="00274F3C">
        <w:rPr>
          <w:rFonts w:ascii="Arial" w:hAnsi="Arial" w:cs="Arial"/>
          <w:sz w:val="20"/>
          <w:szCs w:val="20"/>
        </w:rPr>
        <w:t>2</w:t>
      </w:r>
      <w:r w:rsidR="008B331E" w:rsidRPr="00274F3C">
        <w:rPr>
          <w:rFonts w:ascii="Arial" w:hAnsi="Arial" w:cs="Arial"/>
          <w:sz w:val="20"/>
          <w:szCs w:val="20"/>
        </w:rPr>
        <w:t xml:space="preserve"> naročnik</w:t>
      </w:r>
      <w:r w:rsidR="00274F3C" w:rsidRPr="00274F3C">
        <w:rPr>
          <w:rFonts w:ascii="Arial" w:hAnsi="Arial" w:cs="Arial"/>
          <w:sz w:val="20"/>
          <w:szCs w:val="20"/>
        </w:rPr>
        <w:t>a</w:t>
      </w:r>
      <w:r w:rsidR="00912BEF" w:rsidRPr="00274F3C">
        <w:rPr>
          <w:rFonts w:ascii="Arial" w:hAnsi="Arial" w:cs="Arial"/>
          <w:sz w:val="20"/>
          <w:szCs w:val="20"/>
        </w:rPr>
        <w:t xml:space="preserve"> </w:t>
      </w:r>
      <w:r w:rsidR="008B331E" w:rsidRPr="00274F3C">
        <w:rPr>
          <w:rFonts w:ascii="Arial" w:hAnsi="Arial" w:cs="Arial"/>
          <w:sz w:val="20"/>
          <w:szCs w:val="20"/>
        </w:rPr>
        <w:t>izvajal</w:t>
      </w:r>
      <w:r w:rsidR="00274F3C" w:rsidRPr="00274F3C">
        <w:rPr>
          <w:rFonts w:ascii="Arial" w:hAnsi="Arial" w:cs="Arial"/>
          <w:sz w:val="20"/>
          <w:szCs w:val="20"/>
        </w:rPr>
        <w:t>a</w:t>
      </w:r>
      <w:r w:rsidR="008B331E" w:rsidRPr="00274F3C">
        <w:rPr>
          <w:rFonts w:ascii="Arial" w:hAnsi="Arial" w:cs="Arial"/>
          <w:sz w:val="20"/>
          <w:szCs w:val="20"/>
        </w:rPr>
        <w:t xml:space="preserve"> postopke javnega naročanja na splošnem področju. Skupno so oddali </w:t>
      </w:r>
      <w:r w:rsidR="005135C0" w:rsidRPr="00274F3C">
        <w:rPr>
          <w:rFonts w:ascii="Arial" w:hAnsi="Arial" w:cs="Arial"/>
          <w:sz w:val="20"/>
          <w:szCs w:val="20"/>
        </w:rPr>
        <w:t>1</w:t>
      </w:r>
      <w:r w:rsidR="00C847B5" w:rsidRPr="00274F3C">
        <w:rPr>
          <w:rFonts w:ascii="Arial" w:hAnsi="Arial" w:cs="Arial"/>
          <w:sz w:val="20"/>
          <w:szCs w:val="20"/>
        </w:rPr>
        <w:t>5.</w:t>
      </w:r>
      <w:r w:rsidR="00274F3C" w:rsidRPr="00274F3C">
        <w:rPr>
          <w:rFonts w:ascii="Arial" w:hAnsi="Arial" w:cs="Arial"/>
          <w:sz w:val="20"/>
          <w:szCs w:val="20"/>
        </w:rPr>
        <w:t>203</w:t>
      </w:r>
      <w:r w:rsidR="005135C0" w:rsidRPr="00274F3C">
        <w:rPr>
          <w:rFonts w:ascii="Arial" w:hAnsi="Arial" w:cs="Arial"/>
          <w:sz w:val="20"/>
          <w:szCs w:val="20"/>
        </w:rPr>
        <w:t xml:space="preserve"> </w:t>
      </w:r>
      <w:r w:rsidR="008B331E" w:rsidRPr="00274F3C">
        <w:rPr>
          <w:rFonts w:ascii="Arial" w:hAnsi="Arial" w:cs="Arial"/>
          <w:sz w:val="20"/>
          <w:szCs w:val="20"/>
        </w:rPr>
        <w:t>naročil</w:t>
      </w:r>
      <w:r w:rsidR="00751237">
        <w:rPr>
          <w:rFonts w:ascii="Arial" w:hAnsi="Arial" w:cs="Arial"/>
          <w:sz w:val="20"/>
          <w:szCs w:val="20"/>
        </w:rPr>
        <w:t>a</w:t>
      </w:r>
      <w:r w:rsidR="008B331E" w:rsidRPr="00274F3C">
        <w:rPr>
          <w:rFonts w:ascii="Arial" w:hAnsi="Arial" w:cs="Arial"/>
          <w:sz w:val="20"/>
          <w:szCs w:val="20"/>
        </w:rPr>
        <w:t xml:space="preserve"> v vrednosti </w:t>
      </w:r>
      <w:r w:rsidR="00274F3C" w:rsidRPr="00274F3C">
        <w:rPr>
          <w:rFonts w:ascii="Arial" w:hAnsi="Arial" w:cs="Arial"/>
          <w:color w:val="000000"/>
          <w:sz w:val="20"/>
          <w:szCs w:val="20"/>
        </w:rPr>
        <w:t xml:space="preserve">2.263.207.645 </w:t>
      </w:r>
      <w:r w:rsidR="008B331E" w:rsidRPr="00274F3C">
        <w:rPr>
          <w:rFonts w:ascii="Arial" w:hAnsi="Arial" w:cs="Arial"/>
          <w:sz w:val="20"/>
          <w:szCs w:val="20"/>
        </w:rPr>
        <w:t xml:space="preserve">evrov. </w:t>
      </w:r>
      <w:r w:rsidR="00477CE0" w:rsidRPr="00274F3C">
        <w:rPr>
          <w:rFonts w:ascii="Arial" w:hAnsi="Arial" w:cs="Arial"/>
          <w:sz w:val="20"/>
          <w:szCs w:val="20"/>
        </w:rPr>
        <w:t xml:space="preserve">Delež vrednosti njihovih naročil v vrednosti vseh oddanih naročil je </w:t>
      </w:r>
      <w:r w:rsidR="00117438" w:rsidRPr="00274F3C">
        <w:rPr>
          <w:rFonts w:ascii="Arial" w:hAnsi="Arial" w:cs="Arial"/>
          <w:sz w:val="20"/>
          <w:szCs w:val="20"/>
        </w:rPr>
        <w:t>77,54</w:t>
      </w:r>
      <w:r w:rsidR="001C2ADE" w:rsidRPr="00274F3C">
        <w:rPr>
          <w:rFonts w:ascii="Arial" w:hAnsi="Arial" w:cs="Arial"/>
          <w:sz w:val="20"/>
          <w:szCs w:val="20"/>
        </w:rPr>
        <w:t>-</w:t>
      </w:r>
      <w:r w:rsidR="00477CE0" w:rsidRPr="00274F3C">
        <w:rPr>
          <w:rFonts w:ascii="Arial" w:hAnsi="Arial" w:cs="Arial"/>
          <w:sz w:val="20"/>
          <w:szCs w:val="20"/>
        </w:rPr>
        <w:t xml:space="preserve">odstoten, v številu pa </w:t>
      </w:r>
      <w:r w:rsidR="00117438" w:rsidRPr="00274F3C">
        <w:rPr>
          <w:rFonts w:ascii="Arial" w:hAnsi="Arial" w:cs="Arial"/>
          <w:sz w:val="20"/>
          <w:szCs w:val="20"/>
        </w:rPr>
        <w:t>90,1</w:t>
      </w:r>
      <w:r w:rsidR="00274F3C" w:rsidRPr="00274F3C">
        <w:rPr>
          <w:rFonts w:ascii="Arial" w:hAnsi="Arial" w:cs="Arial"/>
          <w:sz w:val="20"/>
          <w:szCs w:val="20"/>
        </w:rPr>
        <w:t>5</w:t>
      </w:r>
      <w:r w:rsidR="001C2ADE" w:rsidRPr="00274F3C">
        <w:rPr>
          <w:rFonts w:ascii="Arial" w:hAnsi="Arial" w:cs="Arial"/>
          <w:sz w:val="20"/>
          <w:szCs w:val="20"/>
        </w:rPr>
        <w:t>-</w:t>
      </w:r>
      <w:r w:rsidR="00477CE0" w:rsidRPr="00274F3C">
        <w:rPr>
          <w:rFonts w:ascii="Arial" w:hAnsi="Arial" w:cs="Arial"/>
          <w:sz w:val="20"/>
          <w:szCs w:val="20"/>
        </w:rPr>
        <w:t>odstoten.</w:t>
      </w:r>
      <w:r w:rsidR="00FA0EF9">
        <w:rPr>
          <w:rFonts w:ascii="Arial" w:hAnsi="Arial" w:cs="Arial"/>
          <w:sz w:val="20"/>
          <w:szCs w:val="20"/>
        </w:rPr>
        <w:t xml:space="preserve"> </w:t>
      </w:r>
      <w:r w:rsidR="008B331E" w:rsidRPr="00274F3C">
        <w:rPr>
          <w:rFonts w:ascii="Arial" w:hAnsi="Arial" w:cs="Arial"/>
          <w:sz w:val="20"/>
          <w:szCs w:val="20"/>
        </w:rPr>
        <w:t xml:space="preserve"> </w:t>
      </w:r>
    </w:p>
    <w:p w14:paraId="592E9547" w14:textId="23EF1DDB" w:rsidR="00477CE0" w:rsidRPr="00274F3C" w:rsidRDefault="00477CE0" w:rsidP="008A61FD">
      <w:pPr>
        <w:spacing w:before="120" w:after="120" w:line="240" w:lineRule="auto"/>
        <w:jc w:val="both"/>
        <w:rPr>
          <w:rFonts w:ascii="Arial" w:hAnsi="Arial" w:cs="Arial"/>
          <w:sz w:val="20"/>
        </w:rPr>
      </w:pPr>
      <w:r w:rsidRPr="00274F3C">
        <w:rPr>
          <w:rFonts w:ascii="Arial" w:hAnsi="Arial" w:cs="Arial"/>
          <w:sz w:val="20"/>
        </w:rPr>
        <w:t xml:space="preserve">Preglednica </w:t>
      </w:r>
      <w:r w:rsidR="00EB4423">
        <w:rPr>
          <w:rFonts w:ascii="Arial" w:hAnsi="Arial" w:cs="Arial"/>
          <w:sz w:val="20"/>
        </w:rPr>
        <w:t>28</w:t>
      </w:r>
      <w:r w:rsidR="005135C0" w:rsidRPr="00274F3C">
        <w:rPr>
          <w:rFonts w:ascii="Arial" w:hAnsi="Arial" w:cs="Arial"/>
          <w:sz w:val="20"/>
        </w:rPr>
        <w:t>: J</w:t>
      </w:r>
      <w:r w:rsidRPr="00274F3C">
        <w:rPr>
          <w:rFonts w:ascii="Arial" w:hAnsi="Arial" w:cs="Arial"/>
          <w:sz w:val="20"/>
        </w:rPr>
        <w:t xml:space="preserve">avno naročanje </w:t>
      </w:r>
      <w:r w:rsidR="00912BEF" w:rsidRPr="00274F3C">
        <w:rPr>
          <w:rFonts w:ascii="Arial" w:hAnsi="Arial" w:cs="Arial"/>
          <w:sz w:val="20"/>
        </w:rPr>
        <w:t>po</w:t>
      </w:r>
      <w:r w:rsidRPr="00274F3C">
        <w:rPr>
          <w:rFonts w:ascii="Arial" w:hAnsi="Arial" w:cs="Arial"/>
          <w:sz w:val="20"/>
        </w:rPr>
        <w:t xml:space="preserve"> števi</w:t>
      </w:r>
      <w:r w:rsidR="005135C0" w:rsidRPr="00274F3C">
        <w:rPr>
          <w:rFonts w:ascii="Arial" w:hAnsi="Arial" w:cs="Arial"/>
          <w:sz w:val="20"/>
        </w:rPr>
        <w:t xml:space="preserve">lu, vrednosti in deležu </w:t>
      </w:r>
      <w:r w:rsidRPr="00274F3C">
        <w:rPr>
          <w:rFonts w:ascii="Arial" w:hAnsi="Arial" w:cs="Arial"/>
          <w:sz w:val="20"/>
        </w:rPr>
        <w:t xml:space="preserve">javnih naročil glede na </w:t>
      </w:r>
      <w:r w:rsidR="000210E2" w:rsidRPr="00274F3C">
        <w:rPr>
          <w:rFonts w:ascii="Arial" w:hAnsi="Arial" w:cs="Arial"/>
          <w:sz w:val="20"/>
        </w:rPr>
        <w:t>področje naročanja</w:t>
      </w:r>
    </w:p>
    <w:tbl>
      <w:tblPr>
        <w:tblW w:w="6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2"/>
        <w:gridCol w:w="1011"/>
        <w:gridCol w:w="993"/>
        <w:gridCol w:w="1410"/>
        <w:gridCol w:w="929"/>
        <w:gridCol w:w="954"/>
      </w:tblGrid>
      <w:tr w:rsidR="006A147B" w:rsidRPr="00274F3C" w14:paraId="37902A19" w14:textId="77777777" w:rsidTr="00F113D4">
        <w:trPr>
          <w:trHeight w:val="284"/>
          <w:jc w:val="center"/>
        </w:trPr>
        <w:tc>
          <w:tcPr>
            <w:tcW w:w="1472" w:type="dxa"/>
            <w:shd w:val="clear" w:color="auto" w:fill="EDEDED" w:themeFill="accent3" w:themeFillTint="33"/>
            <w:vAlign w:val="center"/>
            <w:hideMark/>
          </w:tcPr>
          <w:p w14:paraId="7516E721" w14:textId="377C48A5" w:rsidR="006A147B" w:rsidRPr="00274F3C" w:rsidRDefault="006A147B" w:rsidP="006A147B">
            <w:pPr>
              <w:spacing w:after="0" w:line="240" w:lineRule="auto"/>
              <w:jc w:val="center"/>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 xml:space="preserve">Področje </w:t>
            </w:r>
          </w:p>
        </w:tc>
        <w:tc>
          <w:tcPr>
            <w:tcW w:w="1011" w:type="dxa"/>
            <w:shd w:val="clear" w:color="auto" w:fill="EDEDED" w:themeFill="accent3" w:themeFillTint="33"/>
            <w:vAlign w:val="center"/>
            <w:hideMark/>
          </w:tcPr>
          <w:p w14:paraId="0AADD687" w14:textId="7E74057F" w:rsidR="006A147B" w:rsidRPr="00274F3C" w:rsidRDefault="006A147B" w:rsidP="006A147B">
            <w:pPr>
              <w:spacing w:after="0" w:line="240" w:lineRule="auto"/>
              <w:jc w:val="center"/>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Št. naročnikov</w:t>
            </w:r>
          </w:p>
        </w:tc>
        <w:tc>
          <w:tcPr>
            <w:tcW w:w="993" w:type="dxa"/>
            <w:shd w:val="clear" w:color="auto" w:fill="EDEDED" w:themeFill="accent3" w:themeFillTint="33"/>
            <w:vAlign w:val="center"/>
            <w:hideMark/>
          </w:tcPr>
          <w:p w14:paraId="4A0B9E22" w14:textId="5F5FF6D6" w:rsidR="006A147B" w:rsidRPr="00274F3C" w:rsidRDefault="006A147B" w:rsidP="006A147B">
            <w:pPr>
              <w:spacing w:after="0" w:line="240" w:lineRule="auto"/>
              <w:jc w:val="center"/>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Št. naročil</w:t>
            </w:r>
          </w:p>
        </w:tc>
        <w:tc>
          <w:tcPr>
            <w:tcW w:w="1410" w:type="dxa"/>
            <w:shd w:val="clear" w:color="auto" w:fill="EDEDED" w:themeFill="accent3" w:themeFillTint="33"/>
            <w:vAlign w:val="center"/>
            <w:hideMark/>
          </w:tcPr>
          <w:p w14:paraId="3ABE54D2" w14:textId="6BC539DB" w:rsidR="006A147B" w:rsidRPr="00274F3C" w:rsidRDefault="006A147B" w:rsidP="006A147B">
            <w:pPr>
              <w:spacing w:after="0" w:line="240" w:lineRule="auto"/>
              <w:jc w:val="center"/>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 xml:space="preserve">Pogodbena vrednost </w:t>
            </w:r>
          </w:p>
        </w:tc>
        <w:tc>
          <w:tcPr>
            <w:tcW w:w="929" w:type="dxa"/>
            <w:shd w:val="clear" w:color="auto" w:fill="EDEDED" w:themeFill="accent3" w:themeFillTint="33"/>
            <w:vAlign w:val="center"/>
            <w:hideMark/>
          </w:tcPr>
          <w:p w14:paraId="5B925B44" w14:textId="074AFE06" w:rsidR="006A147B" w:rsidRPr="00274F3C" w:rsidRDefault="006A147B" w:rsidP="006A147B">
            <w:pPr>
              <w:spacing w:after="0" w:line="240" w:lineRule="auto"/>
              <w:jc w:val="center"/>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Delež v št. naročil</w:t>
            </w:r>
          </w:p>
        </w:tc>
        <w:tc>
          <w:tcPr>
            <w:tcW w:w="954" w:type="dxa"/>
            <w:shd w:val="clear" w:color="auto" w:fill="EDEDED" w:themeFill="accent3" w:themeFillTint="33"/>
            <w:vAlign w:val="center"/>
            <w:hideMark/>
          </w:tcPr>
          <w:p w14:paraId="18C4236F" w14:textId="0B5F76C9" w:rsidR="006A147B" w:rsidRPr="00274F3C" w:rsidRDefault="006A147B" w:rsidP="006A147B">
            <w:pPr>
              <w:spacing w:after="0" w:line="240" w:lineRule="auto"/>
              <w:jc w:val="center"/>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 xml:space="preserve">Delež v vrednosti </w:t>
            </w:r>
          </w:p>
        </w:tc>
      </w:tr>
      <w:tr w:rsidR="00A62816" w:rsidRPr="00274F3C" w14:paraId="6697C44D" w14:textId="77777777" w:rsidTr="00F113D4">
        <w:trPr>
          <w:trHeight w:val="284"/>
          <w:jc w:val="center"/>
        </w:trPr>
        <w:tc>
          <w:tcPr>
            <w:tcW w:w="1472" w:type="dxa"/>
            <w:shd w:val="clear" w:color="auto" w:fill="auto"/>
            <w:vAlign w:val="center"/>
            <w:hideMark/>
          </w:tcPr>
          <w:p w14:paraId="30ABD394" w14:textId="273643EB" w:rsidR="00A62816" w:rsidRPr="00274F3C" w:rsidRDefault="00A62816" w:rsidP="00A62816">
            <w:pPr>
              <w:spacing w:after="0" w:line="240" w:lineRule="auto"/>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 xml:space="preserve">Splošno </w:t>
            </w:r>
          </w:p>
        </w:tc>
        <w:tc>
          <w:tcPr>
            <w:tcW w:w="1011" w:type="dxa"/>
            <w:shd w:val="clear" w:color="auto" w:fill="auto"/>
            <w:vAlign w:val="center"/>
            <w:hideMark/>
          </w:tcPr>
          <w:p w14:paraId="4AE0AE14" w14:textId="56797E04"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1.002</w:t>
            </w:r>
          </w:p>
        </w:tc>
        <w:tc>
          <w:tcPr>
            <w:tcW w:w="993" w:type="dxa"/>
            <w:shd w:val="clear" w:color="auto" w:fill="auto"/>
            <w:vAlign w:val="center"/>
            <w:hideMark/>
          </w:tcPr>
          <w:p w14:paraId="288322E3" w14:textId="0925F086"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15.203</w:t>
            </w:r>
          </w:p>
        </w:tc>
        <w:tc>
          <w:tcPr>
            <w:tcW w:w="1410" w:type="dxa"/>
            <w:shd w:val="clear" w:color="auto" w:fill="auto"/>
            <w:vAlign w:val="center"/>
            <w:hideMark/>
          </w:tcPr>
          <w:p w14:paraId="49DE2E57" w14:textId="13ECF07C"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2.263.207.645</w:t>
            </w:r>
          </w:p>
        </w:tc>
        <w:tc>
          <w:tcPr>
            <w:tcW w:w="929" w:type="dxa"/>
            <w:shd w:val="clear" w:color="auto" w:fill="auto"/>
            <w:vAlign w:val="center"/>
            <w:hideMark/>
          </w:tcPr>
          <w:p w14:paraId="227D54A9" w14:textId="3AD0EFAE"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90,15 %</w:t>
            </w:r>
          </w:p>
        </w:tc>
        <w:tc>
          <w:tcPr>
            <w:tcW w:w="954" w:type="dxa"/>
            <w:shd w:val="clear" w:color="auto" w:fill="auto"/>
            <w:vAlign w:val="center"/>
            <w:hideMark/>
          </w:tcPr>
          <w:p w14:paraId="3D259A28" w14:textId="0EE329D5"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77,54 %</w:t>
            </w:r>
          </w:p>
        </w:tc>
      </w:tr>
      <w:tr w:rsidR="00A62816" w:rsidRPr="00274F3C" w14:paraId="2CE37C9F" w14:textId="77777777" w:rsidTr="00F113D4">
        <w:trPr>
          <w:trHeight w:val="284"/>
          <w:jc w:val="center"/>
        </w:trPr>
        <w:tc>
          <w:tcPr>
            <w:tcW w:w="1472" w:type="dxa"/>
            <w:shd w:val="clear" w:color="auto" w:fill="auto"/>
            <w:vAlign w:val="center"/>
            <w:hideMark/>
          </w:tcPr>
          <w:p w14:paraId="67529AA8" w14:textId="4323364A" w:rsidR="00A62816" w:rsidRPr="00274F3C" w:rsidRDefault="00A62816" w:rsidP="00A62816">
            <w:pPr>
              <w:spacing w:after="0" w:line="240" w:lineRule="auto"/>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Infrastrukturno</w:t>
            </w:r>
          </w:p>
        </w:tc>
        <w:tc>
          <w:tcPr>
            <w:tcW w:w="1011" w:type="dxa"/>
            <w:shd w:val="clear" w:color="auto" w:fill="auto"/>
            <w:vAlign w:val="center"/>
            <w:hideMark/>
          </w:tcPr>
          <w:p w14:paraId="67041351" w14:textId="1CD5A59C"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85</w:t>
            </w:r>
          </w:p>
        </w:tc>
        <w:tc>
          <w:tcPr>
            <w:tcW w:w="993" w:type="dxa"/>
            <w:shd w:val="clear" w:color="auto" w:fill="auto"/>
            <w:vAlign w:val="center"/>
            <w:hideMark/>
          </w:tcPr>
          <w:p w14:paraId="22660709" w14:textId="501C2D48"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1.579</w:t>
            </w:r>
          </w:p>
        </w:tc>
        <w:tc>
          <w:tcPr>
            <w:tcW w:w="1410" w:type="dxa"/>
            <w:shd w:val="clear" w:color="auto" w:fill="auto"/>
            <w:vAlign w:val="center"/>
            <w:hideMark/>
          </w:tcPr>
          <w:p w14:paraId="3F289A5E" w14:textId="3CD1E31C"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589.350.292</w:t>
            </w:r>
          </w:p>
        </w:tc>
        <w:tc>
          <w:tcPr>
            <w:tcW w:w="929" w:type="dxa"/>
            <w:shd w:val="clear" w:color="auto" w:fill="auto"/>
            <w:vAlign w:val="center"/>
            <w:hideMark/>
          </w:tcPr>
          <w:p w14:paraId="6ADD2F02" w14:textId="7C87B089"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9,36 %</w:t>
            </w:r>
          </w:p>
        </w:tc>
        <w:tc>
          <w:tcPr>
            <w:tcW w:w="954" w:type="dxa"/>
            <w:shd w:val="clear" w:color="auto" w:fill="auto"/>
            <w:vAlign w:val="center"/>
            <w:hideMark/>
          </w:tcPr>
          <w:p w14:paraId="4261616D" w14:textId="3BC878B1"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20,19 %</w:t>
            </w:r>
          </w:p>
        </w:tc>
      </w:tr>
      <w:tr w:rsidR="00A62816" w:rsidRPr="00274F3C" w14:paraId="5DE25B31" w14:textId="77777777" w:rsidTr="00F113D4">
        <w:trPr>
          <w:trHeight w:val="284"/>
          <w:jc w:val="center"/>
        </w:trPr>
        <w:tc>
          <w:tcPr>
            <w:tcW w:w="1472" w:type="dxa"/>
            <w:shd w:val="clear" w:color="auto" w:fill="auto"/>
            <w:vAlign w:val="center"/>
            <w:hideMark/>
          </w:tcPr>
          <w:p w14:paraId="2E30BA6D" w14:textId="1430F804" w:rsidR="00A62816" w:rsidRPr="00274F3C" w:rsidRDefault="00A62816" w:rsidP="00A62816">
            <w:pPr>
              <w:spacing w:after="0" w:line="240" w:lineRule="auto"/>
              <w:rPr>
                <w:rFonts w:ascii="Arial" w:eastAsia="Times New Roman" w:hAnsi="Arial" w:cs="Arial"/>
                <w:color w:val="000000"/>
                <w:sz w:val="18"/>
                <w:szCs w:val="18"/>
                <w:lang w:eastAsia="sl-SI"/>
              </w:rPr>
            </w:pPr>
            <w:r w:rsidRPr="00274F3C">
              <w:rPr>
                <w:rFonts w:ascii="Arial" w:eastAsia="Times New Roman" w:hAnsi="Arial" w:cs="Arial"/>
                <w:color w:val="000000"/>
                <w:sz w:val="18"/>
                <w:szCs w:val="18"/>
                <w:lang w:eastAsia="sl-SI"/>
              </w:rPr>
              <w:t>Obrambno</w:t>
            </w:r>
          </w:p>
        </w:tc>
        <w:tc>
          <w:tcPr>
            <w:tcW w:w="1011" w:type="dxa"/>
            <w:shd w:val="clear" w:color="auto" w:fill="auto"/>
            <w:vAlign w:val="center"/>
            <w:hideMark/>
          </w:tcPr>
          <w:p w14:paraId="1E6CB932" w14:textId="00D1761A"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2</w:t>
            </w:r>
          </w:p>
        </w:tc>
        <w:tc>
          <w:tcPr>
            <w:tcW w:w="993" w:type="dxa"/>
            <w:shd w:val="clear" w:color="auto" w:fill="auto"/>
            <w:vAlign w:val="center"/>
            <w:hideMark/>
          </w:tcPr>
          <w:p w14:paraId="4C098596" w14:textId="37B4806B"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83</w:t>
            </w:r>
          </w:p>
        </w:tc>
        <w:tc>
          <w:tcPr>
            <w:tcW w:w="1410" w:type="dxa"/>
            <w:shd w:val="clear" w:color="auto" w:fill="auto"/>
            <w:vAlign w:val="center"/>
            <w:hideMark/>
          </w:tcPr>
          <w:p w14:paraId="24569DD7" w14:textId="3DE36C5C"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66.036.672</w:t>
            </w:r>
          </w:p>
        </w:tc>
        <w:tc>
          <w:tcPr>
            <w:tcW w:w="929" w:type="dxa"/>
            <w:shd w:val="clear" w:color="auto" w:fill="auto"/>
            <w:vAlign w:val="center"/>
            <w:hideMark/>
          </w:tcPr>
          <w:p w14:paraId="45D5C08C" w14:textId="7C8C7F29"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0,49 %</w:t>
            </w:r>
          </w:p>
        </w:tc>
        <w:tc>
          <w:tcPr>
            <w:tcW w:w="954" w:type="dxa"/>
            <w:shd w:val="clear" w:color="auto" w:fill="auto"/>
            <w:vAlign w:val="center"/>
            <w:hideMark/>
          </w:tcPr>
          <w:p w14:paraId="344889FC" w14:textId="14CAED81" w:rsidR="00A62816" w:rsidRPr="00274F3C" w:rsidRDefault="00A62816" w:rsidP="00A62816">
            <w:pPr>
              <w:spacing w:after="0" w:line="240" w:lineRule="auto"/>
              <w:jc w:val="right"/>
              <w:rPr>
                <w:rFonts w:ascii="Arial" w:eastAsia="Times New Roman" w:hAnsi="Arial" w:cs="Arial"/>
                <w:color w:val="000000"/>
                <w:sz w:val="18"/>
                <w:szCs w:val="18"/>
                <w:lang w:eastAsia="sl-SI"/>
              </w:rPr>
            </w:pPr>
            <w:r w:rsidRPr="00274F3C">
              <w:rPr>
                <w:rFonts w:ascii="Arial" w:hAnsi="Arial" w:cs="Arial"/>
                <w:sz w:val="18"/>
                <w:szCs w:val="18"/>
              </w:rPr>
              <w:t>2,26 %</w:t>
            </w:r>
          </w:p>
        </w:tc>
      </w:tr>
      <w:tr w:rsidR="00A62816" w:rsidRPr="00274F3C" w14:paraId="0B030019" w14:textId="77777777" w:rsidTr="00B45EE0">
        <w:trPr>
          <w:trHeight w:val="284"/>
          <w:jc w:val="center"/>
        </w:trPr>
        <w:tc>
          <w:tcPr>
            <w:tcW w:w="1472" w:type="dxa"/>
            <w:shd w:val="clear" w:color="auto" w:fill="E7E6E6" w:themeFill="background2"/>
            <w:vAlign w:val="center"/>
            <w:hideMark/>
          </w:tcPr>
          <w:p w14:paraId="4FD14E0D" w14:textId="173B36E6" w:rsidR="00A62816" w:rsidRPr="00274F3C" w:rsidRDefault="00A62816" w:rsidP="00A62816">
            <w:pPr>
              <w:spacing w:after="0" w:line="240" w:lineRule="auto"/>
              <w:rPr>
                <w:rFonts w:ascii="Arial" w:eastAsia="Times New Roman" w:hAnsi="Arial" w:cs="Arial"/>
                <w:b/>
                <w:bCs/>
                <w:color w:val="000000"/>
                <w:sz w:val="18"/>
                <w:szCs w:val="18"/>
                <w:lang w:eastAsia="sl-SI"/>
              </w:rPr>
            </w:pPr>
            <w:r w:rsidRPr="00274F3C">
              <w:rPr>
                <w:rFonts w:ascii="Arial" w:eastAsia="Times New Roman" w:hAnsi="Arial" w:cs="Arial"/>
                <w:b/>
                <w:bCs/>
                <w:color w:val="000000"/>
                <w:sz w:val="18"/>
                <w:szCs w:val="18"/>
                <w:lang w:eastAsia="sl-SI"/>
              </w:rPr>
              <w:t>Skupaj</w:t>
            </w:r>
          </w:p>
        </w:tc>
        <w:tc>
          <w:tcPr>
            <w:tcW w:w="1011" w:type="dxa"/>
            <w:shd w:val="clear" w:color="auto" w:fill="E7E6E6" w:themeFill="background2"/>
            <w:vAlign w:val="center"/>
            <w:hideMark/>
          </w:tcPr>
          <w:p w14:paraId="2BAC2E1A" w14:textId="11A23900" w:rsidR="00A62816" w:rsidRPr="00274F3C" w:rsidRDefault="00A62816" w:rsidP="00A62816">
            <w:pPr>
              <w:spacing w:after="0" w:line="240" w:lineRule="auto"/>
              <w:jc w:val="right"/>
              <w:rPr>
                <w:rFonts w:ascii="Arial" w:eastAsia="Times New Roman" w:hAnsi="Arial" w:cs="Arial"/>
                <w:b/>
                <w:bCs/>
                <w:color w:val="000000"/>
                <w:sz w:val="18"/>
                <w:szCs w:val="18"/>
                <w:lang w:eastAsia="sl-SI"/>
              </w:rPr>
            </w:pPr>
            <w:r w:rsidRPr="00274F3C">
              <w:rPr>
                <w:rFonts w:ascii="Arial" w:hAnsi="Arial" w:cs="Arial"/>
                <w:b/>
                <w:sz w:val="18"/>
                <w:szCs w:val="18"/>
              </w:rPr>
              <w:t>1.089</w:t>
            </w:r>
          </w:p>
        </w:tc>
        <w:tc>
          <w:tcPr>
            <w:tcW w:w="993" w:type="dxa"/>
            <w:shd w:val="clear" w:color="auto" w:fill="E7E6E6" w:themeFill="background2"/>
            <w:vAlign w:val="center"/>
            <w:hideMark/>
          </w:tcPr>
          <w:p w14:paraId="07716C12" w14:textId="755FFAE0" w:rsidR="00A62816" w:rsidRPr="00274F3C" w:rsidRDefault="00A62816" w:rsidP="00A62816">
            <w:pPr>
              <w:spacing w:after="0" w:line="240" w:lineRule="auto"/>
              <w:jc w:val="right"/>
              <w:rPr>
                <w:rFonts w:ascii="Arial" w:eastAsia="Times New Roman" w:hAnsi="Arial" w:cs="Arial"/>
                <w:b/>
                <w:bCs/>
                <w:color w:val="000000"/>
                <w:sz w:val="18"/>
                <w:szCs w:val="18"/>
                <w:lang w:eastAsia="sl-SI"/>
              </w:rPr>
            </w:pPr>
            <w:r w:rsidRPr="00274F3C">
              <w:rPr>
                <w:rFonts w:ascii="Arial" w:hAnsi="Arial" w:cs="Arial"/>
                <w:b/>
                <w:sz w:val="18"/>
                <w:szCs w:val="18"/>
              </w:rPr>
              <w:t>16.865</w:t>
            </w:r>
          </w:p>
        </w:tc>
        <w:tc>
          <w:tcPr>
            <w:tcW w:w="1410" w:type="dxa"/>
            <w:shd w:val="clear" w:color="auto" w:fill="E7E6E6" w:themeFill="background2"/>
            <w:vAlign w:val="center"/>
            <w:hideMark/>
          </w:tcPr>
          <w:p w14:paraId="254BB31A" w14:textId="6EF6D122" w:rsidR="00A62816" w:rsidRPr="00274F3C" w:rsidRDefault="00A62816" w:rsidP="00A62816">
            <w:pPr>
              <w:spacing w:after="0" w:line="240" w:lineRule="auto"/>
              <w:jc w:val="right"/>
              <w:rPr>
                <w:rFonts w:ascii="Arial" w:eastAsia="Times New Roman" w:hAnsi="Arial" w:cs="Arial"/>
                <w:b/>
                <w:bCs/>
                <w:color w:val="000000"/>
                <w:sz w:val="18"/>
                <w:szCs w:val="18"/>
                <w:lang w:eastAsia="sl-SI"/>
              </w:rPr>
            </w:pPr>
            <w:r w:rsidRPr="00274F3C">
              <w:rPr>
                <w:rFonts w:ascii="Arial" w:hAnsi="Arial" w:cs="Arial"/>
                <w:b/>
                <w:sz w:val="18"/>
                <w:szCs w:val="18"/>
              </w:rPr>
              <w:t>2.918.594.609</w:t>
            </w:r>
          </w:p>
        </w:tc>
        <w:tc>
          <w:tcPr>
            <w:tcW w:w="929" w:type="dxa"/>
            <w:shd w:val="clear" w:color="auto" w:fill="E7E6E6" w:themeFill="background2"/>
            <w:vAlign w:val="center"/>
            <w:hideMark/>
          </w:tcPr>
          <w:p w14:paraId="20860517" w14:textId="34F750CA" w:rsidR="00A62816" w:rsidRPr="00274F3C" w:rsidRDefault="00A62816" w:rsidP="00A62816">
            <w:pPr>
              <w:spacing w:after="0" w:line="240" w:lineRule="auto"/>
              <w:jc w:val="right"/>
              <w:rPr>
                <w:rFonts w:ascii="Arial" w:eastAsia="Times New Roman" w:hAnsi="Arial" w:cs="Arial"/>
                <w:b/>
                <w:bCs/>
                <w:color w:val="000000"/>
                <w:sz w:val="18"/>
                <w:szCs w:val="18"/>
                <w:lang w:eastAsia="sl-SI"/>
              </w:rPr>
            </w:pPr>
            <w:r w:rsidRPr="00274F3C">
              <w:rPr>
                <w:rFonts w:ascii="Arial" w:hAnsi="Arial" w:cs="Arial"/>
                <w:b/>
                <w:sz w:val="18"/>
                <w:szCs w:val="18"/>
              </w:rPr>
              <w:t>100,00 %</w:t>
            </w:r>
          </w:p>
        </w:tc>
        <w:tc>
          <w:tcPr>
            <w:tcW w:w="954" w:type="dxa"/>
            <w:shd w:val="clear" w:color="auto" w:fill="E7E6E6" w:themeFill="background2"/>
            <w:vAlign w:val="center"/>
            <w:hideMark/>
          </w:tcPr>
          <w:p w14:paraId="507DF3E9" w14:textId="4806211D" w:rsidR="00A62816" w:rsidRPr="00274F3C" w:rsidRDefault="00A62816" w:rsidP="00A62816">
            <w:pPr>
              <w:spacing w:after="0" w:line="240" w:lineRule="auto"/>
              <w:jc w:val="right"/>
              <w:rPr>
                <w:rFonts w:ascii="Arial" w:eastAsia="Times New Roman" w:hAnsi="Arial" w:cs="Arial"/>
                <w:b/>
                <w:bCs/>
                <w:color w:val="000000"/>
                <w:sz w:val="18"/>
                <w:szCs w:val="18"/>
                <w:lang w:eastAsia="sl-SI"/>
              </w:rPr>
            </w:pPr>
            <w:r w:rsidRPr="00274F3C">
              <w:rPr>
                <w:rFonts w:ascii="Arial" w:hAnsi="Arial" w:cs="Arial"/>
                <w:b/>
                <w:sz w:val="18"/>
                <w:szCs w:val="18"/>
              </w:rPr>
              <w:t>100,00 %</w:t>
            </w:r>
          </w:p>
        </w:tc>
      </w:tr>
    </w:tbl>
    <w:p w14:paraId="38B90C15" w14:textId="77777777" w:rsidR="00122850" w:rsidRPr="00274F3C" w:rsidRDefault="00122850" w:rsidP="00F30D65">
      <w:pPr>
        <w:pStyle w:val="ZADEVA"/>
        <w:jc w:val="both"/>
        <w:rPr>
          <w:rFonts w:cs="Arial"/>
          <w:b w:val="0"/>
          <w:szCs w:val="20"/>
          <w:lang w:val="sl-SI"/>
        </w:rPr>
      </w:pPr>
    </w:p>
    <w:p w14:paraId="5A0A064B" w14:textId="746D2787" w:rsidR="0005082F" w:rsidRPr="00274F3C" w:rsidRDefault="00477CE0" w:rsidP="00EE7A95">
      <w:pPr>
        <w:spacing w:after="240" w:line="240" w:lineRule="auto"/>
        <w:jc w:val="center"/>
        <w:rPr>
          <w:rFonts w:ascii="Arial" w:hAnsi="Arial" w:cs="Arial"/>
          <w:sz w:val="18"/>
        </w:rPr>
      </w:pPr>
      <w:r w:rsidRPr="00274F3C">
        <w:rPr>
          <w:rFonts w:ascii="Arial" w:hAnsi="Arial" w:cs="Arial"/>
          <w:sz w:val="18"/>
        </w:rPr>
        <w:t>Vir: Statistični podatki o javni</w:t>
      </w:r>
      <w:r w:rsidR="005135C0" w:rsidRPr="00274F3C">
        <w:rPr>
          <w:rFonts w:ascii="Arial" w:hAnsi="Arial" w:cs="Arial"/>
          <w:sz w:val="18"/>
        </w:rPr>
        <w:t>h naročilih, oddanih v letu 201</w:t>
      </w:r>
      <w:r w:rsidR="008B4D0A" w:rsidRPr="00274F3C">
        <w:rPr>
          <w:rFonts w:ascii="Arial" w:hAnsi="Arial" w:cs="Arial"/>
          <w:sz w:val="18"/>
        </w:rPr>
        <w:t>8</w:t>
      </w:r>
    </w:p>
    <w:p w14:paraId="4D1D6BD1" w14:textId="0E501F72" w:rsidR="00192C09" w:rsidRPr="003F2230" w:rsidRDefault="00192C09" w:rsidP="00BD695D">
      <w:pPr>
        <w:spacing w:line="360" w:lineRule="auto"/>
        <w:jc w:val="both"/>
        <w:rPr>
          <w:rFonts w:ascii="Arial" w:eastAsia="Times New Roman" w:hAnsi="Arial" w:cs="Arial"/>
          <w:color w:val="000000"/>
          <w:sz w:val="20"/>
          <w:szCs w:val="20"/>
          <w:lang w:eastAsia="sl-SI"/>
        </w:rPr>
      </w:pPr>
      <w:r w:rsidRPr="0061162D">
        <w:rPr>
          <w:rFonts w:ascii="Arial" w:hAnsi="Arial" w:cs="Arial"/>
          <w:sz w:val="20"/>
          <w:szCs w:val="20"/>
        </w:rPr>
        <w:t xml:space="preserve">Naročniki glede na </w:t>
      </w:r>
      <w:r w:rsidR="00912BEF" w:rsidRPr="0061162D">
        <w:rPr>
          <w:rFonts w:ascii="Arial" w:hAnsi="Arial" w:cs="Arial"/>
          <w:sz w:val="20"/>
          <w:szCs w:val="20"/>
        </w:rPr>
        <w:t>s</w:t>
      </w:r>
      <w:r w:rsidRPr="0061162D">
        <w:rPr>
          <w:rFonts w:ascii="Arial" w:hAnsi="Arial" w:cs="Arial"/>
          <w:sz w:val="20"/>
          <w:szCs w:val="20"/>
        </w:rPr>
        <w:t xml:space="preserve">tandardno klasifikacijo dejavnosti (SKD) </w:t>
      </w:r>
      <w:r w:rsidR="001C2ADE" w:rsidRPr="0061162D">
        <w:rPr>
          <w:rFonts w:ascii="Arial" w:hAnsi="Arial" w:cs="Arial"/>
          <w:sz w:val="20"/>
          <w:szCs w:val="20"/>
        </w:rPr>
        <w:t xml:space="preserve">opravljajo različne dejavnosti. </w:t>
      </w:r>
      <w:r w:rsidRPr="0061162D">
        <w:rPr>
          <w:rFonts w:ascii="Arial" w:hAnsi="Arial" w:cs="Arial"/>
          <w:sz w:val="20"/>
          <w:szCs w:val="20"/>
        </w:rPr>
        <w:t>Glede na šifro dejavnosti po SKD je n</w:t>
      </w:r>
      <w:r w:rsidR="0033534F" w:rsidRPr="0061162D">
        <w:rPr>
          <w:rFonts w:ascii="Arial" w:hAnsi="Arial" w:cs="Arial"/>
          <w:sz w:val="20"/>
          <w:szCs w:val="20"/>
        </w:rPr>
        <w:t>ajveč naročnikov (2</w:t>
      </w:r>
      <w:r w:rsidR="001F3697" w:rsidRPr="0061162D">
        <w:rPr>
          <w:rFonts w:ascii="Arial" w:hAnsi="Arial" w:cs="Arial"/>
          <w:sz w:val="20"/>
          <w:szCs w:val="20"/>
        </w:rPr>
        <w:t>3</w:t>
      </w:r>
      <w:r w:rsidR="0061162D" w:rsidRPr="0061162D">
        <w:rPr>
          <w:rFonts w:ascii="Arial" w:hAnsi="Arial" w:cs="Arial"/>
          <w:sz w:val="20"/>
          <w:szCs w:val="20"/>
        </w:rPr>
        <w:t xml:space="preserve">9 </w:t>
      </w:r>
      <w:r w:rsidR="0033534F" w:rsidRPr="0061162D">
        <w:rPr>
          <w:rFonts w:ascii="Arial" w:hAnsi="Arial" w:cs="Arial"/>
          <w:sz w:val="20"/>
          <w:szCs w:val="20"/>
        </w:rPr>
        <w:t>oziroma 22,</w:t>
      </w:r>
      <w:r w:rsidR="0061162D" w:rsidRPr="0061162D">
        <w:rPr>
          <w:rFonts w:ascii="Arial" w:hAnsi="Arial" w:cs="Arial"/>
          <w:sz w:val="20"/>
          <w:szCs w:val="20"/>
        </w:rPr>
        <w:t>96</w:t>
      </w:r>
      <w:r w:rsidRPr="0061162D">
        <w:rPr>
          <w:rFonts w:ascii="Arial" w:hAnsi="Arial" w:cs="Arial"/>
          <w:sz w:val="20"/>
          <w:szCs w:val="20"/>
        </w:rPr>
        <w:t xml:space="preserve"> </w:t>
      </w:r>
      <w:r w:rsidR="0029442D" w:rsidRPr="0061162D">
        <w:rPr>
          <w:rFonts w:ascii="Arial" w:hAnsi="Arial" w:cs="Arial"/>
          <w:sz w:val="20"/>
          <w:szCs w:val="20"/>
        </w:rPr>
        <w:t>%</w:t>
      </w:r>
      <w:r w:rsidRPr="0061162D">
        <w:rPr>
          <w:rFonts w:ascii="Arial" w:hAnsi="Arial" w:cs="Arial"/>
          <w:sz w:val="20"/>
          <w:szCs w:val="20"/>
        </w:rPr>
        <w:t>) iz splošne dejavnosti javne uprave</w:t>
      </w:r>
      <w:r w:rsidR="006E2EA0" w:rsidRPr="0061162D">
        <w:rPr>
          <w:rFonts w:ascii="Arial" w:hAnsi="Arial" w:cs="Arial"/>
          <w:sz w:val="20"/>
          <w:szCs w:val="20"/>
        </w:rPr>
        <w:t xml:space="preserve">, </w:t>
      </w:r>
      <w:r w:rsidR="006E2EA0" w:rsidRPr="00AD5E4E">
        <w:rPr>
          <w:rFonts w:ascii="Arial" w:hAnsi="Arial" w:cs="Arial"/>
          <w:sz w:val="20"/>
          <w:szCs w:val="20"/>
        </w:rPr>
        <w:t>ki so oddali 2</w:t>
      </w:r>
      <w:r w:rsidR="001F3697" w:rsidRPr="00AD5E4E">
        <w:rPr>
          <w:rFonts w:ascii="Arial" w:hAnsi="Arial" w:cs="Arial"/>
          <w:sz w:val="20"/>
          <w:szCs w:val="20"/>
        </w:rPr>
        <w:t>5</w:t>
      </w:r>
      <w:r w:rsidR="00AD5E4E" w:rsidRPr="00AD5E4E">
        <w:rPr>
          <w:rFonts w:ascii="Arial" w:hAnsi="Arial" w:cs="Arial"/>
          <w:sz w:val="20"/>
          <w:szCs w:val="20"/>
        </w:rPr>
        <w:t>90</w:t>
      </w:r>
      <w:r w:rsidRPr="00AD5E4E">
        <w:rPr>
          <w:rFonts w:ascii="Arial" w:hAnsi="Arial" w:cs="Arial"/>
          <w:sz w:val="20"/>
          <w:szCs w:val="20"/>
        </w:rPr>
        <w:t xml:space="preserve"> naročil (</w:t>
      </w:r>
      <w:r w:rsidR="00BD695D" w:rsidRPr="00AD5E4E">
        <w:rPr>
          <w:rFonts w:ascii="Arial" w:hAnsi="Arial" w:cs="Arial"/>
          <w:sz w:val="20"/>
          <w:szCs w:val="20"/>
        </w:rPr>
        <w:t>15,3</w:t>
      </w:r>
      <w:r w:rsidR="00AD5E4E" w:rsidRPr="00AD5E4E">
        <w:rPr>
          <w:rFonts w:ascii="Arial" w:hAnsi="Arial" w:cs="Arial"/>
          <w:sz w:val="20"/>
          <w:szCs w:val="20"/>
        </w:rPr>
        <w:t xml:space="preserve">6 </w:t>
      </w:r>
      <w:r w:rsidR="0029442D" w:rsidRPr="00AD5E4E">
        <w:rPr>
          <w:rFonts w:ascii="Arial" w:hAnsi="Arial" w:cs="Arial"/>
          <w:sz w:val="20"/>
          <w:szCs w:val="20"/>
        </w:rPr>
        <w:t>%</w:t>
      </w:r>
      <w:r w:rsidRPr="00AD5E4E">
        <w:rPr>
          <w:rFonts w:ascii="Arial" w:hAnsi="Arial" w:cs="Arial"/>
          <w:sz w:val="20"/>
          <w:szCs w:val="20"/>
        </w:rPr>
        <w:t xml:space="preserve"> vseh naročil) v skupni vrednosti </w:t>
      </w:r>
      <w:r w:rsidR="00AD5E4E" w:rsidRPr="00AD5E4E">
        <w:rPr>
          <w:rFonts w:ascii="Arial" w:hAnsi="Arial" w:cs="Arial"/>
          <w:sz w:val="20"/>
          <w:szCs w:val="20"/>
        </w:rPr>
        <w:t xml:space="preserve">634.869.635 </w:t>
      </w:r>
      <w:r w:rsidRPr="00AD5E4E">
        <w:rPr>
          <w:rFonts w:ascii="Arial" w:hAnsi="Arial" w:cs="Arial"/>
          <w:sz w:val="20"/>
          <w:szCs w:val="20"/>
        </w:rPr>
        <w:t xml:space="preserve">evrov, kar </w:t>
      </w:r>
      <w:r w:rsidR="00550C22" w:rsidRPr="00AD5E4E">
        <w:rPr>
          <w:rFonts w:ascii="Arial" w:hAnsi="Arial" w:cs="Arial"/>
          <w:sz w:val="20"/>
          <w:szCs w:val="20"/>
        </w:rPr>
        <w:t>je</w:t>
      </w:r>
      <w:r w:rsidR="001C2ADE" w:rsidRPr="00AD5E4E">
        <w:rPr>
          <w:rFonts w:ascii="Arial" w:hAnsi="Arial" w:cs="Arial"/>
          <w:sz w:val="20"/>
          <w:szCs w:val="20"/>
        </w:rPr>
        <w:t xml:space="preserve"> </w:t>
      </w:r>
      <w:r w:rsidR="00BD695D" w:rsidRPr="00AD5E4E">
        <w:rPr>
          <w:rFonts w:ascii="Arial" w:hAnsi="Arial" w:cs="Arial"/>
          <w:sz w:val="20"/>
          <w:szCs w:val="20"/>
        </w:rPr>
        <w:t>21,7</w:t>
      </w:r>
      <w:r w:rsidR="00AD5E4E" w:rsidRPr="00AD5E4E">
        <w:rPr>
          <w:rFonts w:ascii="Arial" w:hAnsi="Arial" w:cs="Arial"/>
          <w:sz w:val="20"/>
          <w:szCs w:val="20"/>
        </w:rPr>
        <w:t>5</w:t>
      </w:r>
      <w:r w:rsidR="00BD695D" w:rsidRPr="00AD5E4E">
        <w:rPr>
          <w:rFonts w:ascii="Arial" w:hAnsi="Arial" w:cs="Arial"/>
          <w:sz w:val="20"/>
          <w:szCs w:val="20"/>
        </w:rPr>
        <w:t xml:space="preserve"> </w:t>
      </w:r>
      <w:r w:rsidR="0029442D" w:rsidRPr="00AD5E4E">
        <w:rPr>
          <w:rFonts w:ascii="Arial" w:hAnsi="Arial" w:cs="Arial"/>
          <w:sz w:val="20"/>
          <w:szCs w:val="20"/>
        </w:rPr>
        <w:t>%</w:t>
      </w:r>
      <w:r w:rsidRPr="00AD5E4E">
        <w:rPr>
          <w:rFonts w:ascii="Arial" w:hAnsi="Arial" w:cs="Arial"/>
          <w:sz w:val="20"/>
          <w:szCs w:val="20"/>
        </w:rPr>
        <w:t xml:space="preserve"> celotne vrednosti oddanih </w:t>
      </w:r>
      <w:r w:rsidRPr="003F2230">
        <w:rPr>
          <w:rFonts w:ascii="Arial" w:hAnsi="Arial" w:cs="Arial"/>
          <w:sz w:val="20"/>
          <w:szCs w:val="20"/>
        </w:rPr>
        <w:t xml:space="preserve">naročil. Po številu naročnikov in številu naročil </w:t>
      </w:r>
      <w:r w:rsidR="00912BEF" w:rsidRPr="003F2230">
        <w:rPr>
          <w:rFonts w:ascii="Arial" w:hAnsi="Arial" w:cs="Arial"/>
          <w:sz w:val="20"/>
          <w:szCs w:val="20"/>
        </w:rPr>
        <w:t>je na drugem mestu</w:t>
      </w:r>
      <w:r w:rsidRPr="003F2230">
        <w:rPr>
          <w:rFonts w:ascii="Arial" w:hAnsi="Arial" w:cs="Arial"/>
          <w:sz w:val="20"/>
          <w:szCs w:val="20"/>
        </w:rPr>
        <w:t xml:space="preserve"> dejavnost </w:t>
      </w:r>
      <w:r w:rsidRPr="003F2230">
        <w:rPr>
          <w:rFonts w:ascii="Arial" w:hAnsi="Arial" w:cs="Arial"/>
          <w:sz w:val="20"/>
          <w:szCs w:val="20"/>
        </w:rPr>
        <w:lastRenderedPageBreak/>
        <w:t>osnovnošo</w:t>
      </w:r>
      <w:r w:rsidR="00C4750B" w:rsidRPr="003F2230">
        <w:rPr>
          <w:rFonts w:ascii="Arial" w:hAnsi="Arial" w:cs="Arial"/>
          <w:sz w:val="20"/>
          <w:szCs w:val="20"/>
        </w:rPr>
        <w:t>lskega izobraževanja, kjer je 1</w:t>
      </w:r>
      <w:r w:rsidR="00BD695D" w:rsidRPr="003F2230">
        <w:rPr>
          <w:rFonts w:ascii="Arial" w:hAnsi="Arial" w:cs="Arial"/>
          <w:sz w:val="20"/>
          <w:szCs w:val="20"/>
        </w:rPr>
        <w:t>79</w:t>
      </w:r>
      <w:r w:rsidRPr="003F2230">
        <w:rPr>
          <w:rFonts w:ascii="Arial" w:hAnsi="Arial" w:cs="Arial"/>
          <w:sz w:val="20"/>
          <w:szCs w:val="20"/>
        </w:rPr>
        <w:t xml:space="preserve"> naročnikov oddalo </w:t>
      </w:r>
      <w:r w:rsidR="00BD695D" w:rsidRPr="003F2230">
        <w:rPr>
          <w:rFonts w:ascii="Arial" w:hAnsi="Arial" w:cs="Arial"/>
          <w:sz w:val="20"/>
          <w:szCs w:val="20"/>
        </w:rPr>
        <w:t>2770</w:t>
      </w:r>
      <w:r w:rsidR="00C4750B" w:rsidRPr="003F2230">
        <w:rPr>
          <w:rFonts w:ascii="Arial" w:hAnsi="Arial" w:cs="Arial"/>
          <w:sz w:val="20"/>
          <w:szCs w:val="20"/>
        </w:rPr>
        <w:t xml:space="preserve"> </w:t>
      </w:r>
      <w:r w:rsidR="00EB2A7A" w:rsidRPr="003F2230">
        <w:rPr>
          <w:rFonts w:ascii="Arial" w:hAnsi="Arial" w:cs="Arial"/>
          <w:sz w:val="20"/>
          <w:szCs w:val="20"/>
        </w:rPr>
        <w:t>naročil (</w:t>
      </w:r>
      <w:r w:rsidR="00BD695D" w:rsidRPr="003F2230">
        <w:rPr>
          <w:rFonts w:ascii="Arial" w:hAnsi="Arial" w:cs="Arial"/>
          <w:sz w:val="20"/>
          <w:szCs w:val="20"/>
        </w:rPr>
        <w:t>16,4</w:t>
      </w:r>
      <w:r w:rsidR="003F2230" w:rsidRPr="003F2230">
        <w:rPr>
          <w:rFonts w:ascii="Arial" w:hAnsi="Arial" w:cs="Arial"/>
          <w:sz w:val="20"/>
          <w:szCs w:val="20"/>
        </w:rPr>
        <w:t>2</w:t>
      </w:r>
      <w:r w:rsidR="001C2ADE" w:rsidRPr="003F2230">
        <w:rPr>
          <w:rFonts w:ascii="Arial" w:hAnsi="Arial" w:cs="Arial"/>
          <w:sz w:val="20"/>
          <w:szCs w:val="20"/>
        </w:rPr>
        <w:t xml:space="preserve"> </w:t>
      </w:r>
      <w:r w:rsidR="0029442D" w:rsidRPr="003F2230">
        <w:rPr>
          <w:rFonts w:ascii="Arial" w:hAnsi="Arial" w:cs="Arial"/>
          <w:sz w:val="20"/>
          <w:szCs w:val="20"/>
        </w:rPr>
        <w:t>%</w:t>
      </w:r>
      <w:r w:rsidRPr="003F2230">
        <w:rPr>
          <w:rFonts w:ascii="Arial" w:hAnsi="Arial" w:cs="Arial"/>
          <w:sz w:val="20"/>
          <w:szCs w:val="20"/>
        </w:rPr>
        <w:t xml:space="preserve"> vseh naročil) v skupni vrednosti </w:t>
      </w:r>
      <w:r w:rsidR="00BD695D" w:rsidRPr="003F2230">
        <w:rPr>
          <w:rFonts w:ascii="Arial" w:eastAsia="Times New Roman" w:hAnsi="Arial" w:cs="Arial"/>
          <w:color w:val="000000"/>
          <w:sz w:val="20"/>
          <w:szCs w:val="20"/>
          <w:lang w:eastAsia="sl-SI"/>
        </w:rPr>
        <w:t xml:space="preserve">63.592.867 </w:t>
      </w:r>
      <w:r w:rsidR="00C4750B" w:rsidRPr="003F2230">
        <w:rPr>
          <w:rFonts w:ascii="Arial" w:hAnsi="Arial" w:cs="Arial"/>
          <w:sz w:val="20"/>
          <w:szCs w:val="20"/>
        </w:rPr>
        <w:t>evrov</w:t>
      </w:r>
      <w:r w:rsidRPr="003F2230">
        <w:rPr>
          <w:rFonts w:ascii="Arial" w:hAnsi="Arial" w:cs="Arial"/>
          <w:sz w:val="20"/>
          <w:szCs w:val="20"/>
        </w:rPr>
        <w:t xml:space="preserve">, kar pa </w:t>
      </w:r>
      <w:r w:rsidR="00550C22" w:rsidRPr="003F2230">
        <w:rPr>
          <w:rFonts w:ascii="Arial" w:hAnsi="Arial" w:cs="Arial"/>
          <w:sz w:val="20"/>
          <w:szCs w:val="20"/>
        </w:rPr>
        <w:t>je</w:t>
      </w:r>
      <w:r w:rsidR="001C2ADE" w:rsidRPr="003F2230">
        <w:rPr>
          <w:rFonts w:ascii="Arial" w:hAnsi="Arial" w:cs="Arial"/>
          <w:sz w:val="20"/>
          <w:szCs w:val="20"/>
        </w:rPr>
        <w:t xml:space="preserve"> </w:t>
      </w:r>
      <w:r w:rsidRPr="003F2230">
        <w:rPr>
          <w:rFonts w:ascii="Arial" w:hAnsi="Arial" w:cs="Arial"/>
          <w:sz w:val="20"/>
          <w:szCs w:val="20"/>
        </w:rPr>
        <w:t xml:space="preserve">le </w:t>
      </w:r>
      <w:r w:rsidR="00BD695D" w:rsidRPr="003F2230">
        <w:rPr>
          <w:rFonts w:ascii="Arial" w:hAnsi="Arial" w:cs="Arial"/>
          <w:sz w:val="20"/>
          <w:szCs w:val="20"/>
        </w:rPr>
        <w:t>2,18</w:t>
      </w:r>
      <w:r w:rsidRPr="003F2230">
        <w:rPr>
          <w:rFonts w:ascii="Arial" w:hAnsi="Arial" w:cs="Arial"/>
          <w:sz w:val="20"/>
          <w:szCs w:val="20"/>
        </w:rPr>
        <w:t xml:space="preserve"> </w:t>
      </w:r>
      <w:r w:rsidR="0029442D" w:rsidRPr="003F2230">
        <w:rPr>
          <w:rFonts w:ascii="Arial" w:hAnsi="Arial" w:cs="Arial"/>
          <w:sz w:val="20"/>
          <w:szCs w:val="20"/>
        </w:rPr>
        <w:t>%</w:t>
      </w:r>
      <w:r w:rsidRPr="003F2230">
        <w:rPr>
          <w:rFonts w:ascii="Arial" w:hAnsi="Arial" w:cs="Arial"/>
          <w:sz w:val="20"/>
          <w:szCs w:val="20"/>
        </w:rPr>
        <w:t xml:space="preserve"> vrednosti oddanih naročil.</w:t>
      </w:r>
    </w:p>
    <w:p w14:paraId="1FAD4A07" w14:textId="1C855293" w:rsidR="00192C09" w:rsidRPr="00C709E6" w:rsidRDefault="00192C09" w:rsidP="00942623">
      <w:pPr>
        <w:spacing w:line="360" w:lineRule="auto"/>
        <w:jc w:val="both"/>
        <w:rPr>
          <w:rFonts w:ascii="Calibri" w:eastAsia="Times New Roman" w:hAnsi="Calibri" w:cs="Calibri"/>
          <w:color w:val="000000"/>
          <w:lang w:eastAsia="sl-SI"/>
        </w:rPr>
      </w:pPr>
      <w:r w:rsidRPr="00C709E6">
        <w:rPr>
          <w:rFonts w:ascii="Arial" w:hAnsi="Arial" w:cs="Arial"/>
          <w:sz w:val="20"/>
          <w:szCs w:val="20"/>
        </w:rPr>
        <w:t xml:space="preserve">Največje vrednosti oddanih naročil so bile dosežene na področju splošne dejavnosti javne uprave, </w:t>
      </w:r>
      <w:r w:rsidR="003B574C" w:rsidRPr="00C709E6">
        <w:rPr>
          <w:rFonts w:ascii="Arial" w:hAnsi="Arial" w:cs="Arial"/>
          <w:sz w:val="20"/>
          <w:szCs w:val="20"/>
        </w:rPr>
        <w:t xml:space="preserve">urejanja </w:t>
      </w:r>
      <w:r w:rsidRPr="00C709E6">
        <w:rPr>
          <w:rFonts w:ascii="Arial" w:hAnsi="Arial" w:cs="Arial"/>
          <w:sz w:val="20"/>
          <w:szCs w:val="20"/>
        </w:rPr>
        <w:t>gospodarskih področij</w:t>
      </w:r>
      <w:r w:rsidR="00FF6AB3" w:rsidRPr="00C709E6">
        <w:rPr>
          <w:rFonts w:ascii="Arial" w:hAnsi="Arial" w:cs="Arial"/>
          <w:sz w:val="20"/>
          <w:szCs w:val="20"/>
        </w:rPr>
        <w:t xml:space="preserve"> za učinkovitejše poslovanje,</w:t>
      </w:r>
      <w:r w:rsidR="00942623" w:rsidRPr="00C709E6">
        <w:rPr>
          <w:rFonts w:ascii="Arial" w:hAnsi="Arial" w:cs="Arial"/>
          <w:sz w:val="20"/>
          <w:szCs w:val="20"/>
        </w:rPr>
        <w:t xml:space="preserve"> bolnišnične zdravstvene dejavnosti, </w:t>
      </w:r>
      <w:r w:rsidR="001C2ADE" w:rsidRPr="00C709E6">
        <w:rPr>
          <w:rFonts w:ascii="Arial" w:hAnsi="Arial" w:cs="Arial"/>
          <w:sz w:val="20"/>
          <w:szCs w:val="20"/>
        </w:rPr>
        <w:t xml:space="preserve">v </w:t>
      </w:r>
      <w:r w:rsidR="00942623" w:rsidRPr="00C709E6">
        <w:rPr>
          <w:rFonts w:ascii="Arial" w:hAnsi="Arial" w:cs="Arial"/>
          <w:sz w:val="20"/>
          <w:szCs w:val="20"/>
        </w:rPr>
        <w:t>železniškem potniškem prometu</w:t>
      </w:r>
      <w:r w:rsidR="003B574C" w:rsidRPr="00C709E6">
        <w:rPr>
          <w:rFonts w:ascii="Arial" w:hAnsi="Arial" w:cs="Arial"/>
          <w:sz w:val="20"/>
          <w:szCs w:val="20"/>
        </w:rPr>
        <w:t xml:space="preserve"> in v </w:t>
      </w:r>
      <w:r w:rsidR="00942623" w:rsidRPr="00C709E6">
        <w:rPr>
          <w:rFonts w:ascii="Arial" w:eastAsia="Times New Roman" w:hAnsi="Arial" w:cs="Arial"/>
          <w:color w:val="000000"/>
          <w:sz w:val="20"/>
          <w:szCs w:val="20"/>
          <w:lang w:eastAsia="sl-SI"/>
        </w:rPr>
        <w:t xml:space="preserve">spremljajočih storitvenih dejavnosti v kopenskem prometu </w:t>
      </w:r>
      <w:r w:rsidRPr="00C709E6">
        <w:rPr>
          <w:rFonts w:ascii="Arial" w:hAnsi="Arial" w:cs="Arial"/>
          <w:sz w:val="20"/>
          <w:szCs w:val="20"/>
        </w:rPr>
        <w:t xml:space="preserve">s skupno vrednostjo naročil </w:t>
      </w:r>
      <w:r w:rsidR="00C709E6" w:rsidRPr="00C709E6">
        <w:rPr>
          <w:rFonts w:ascii="Arial" w:hAnsi="Arial" w:cs="Arial"/>
          <w:sz w:val="20"/>
          <w:szCs w:val="20"/>
        </w:rPr>
        <w:t xml:space="preserve">1.507.891.242 </w:t>
      </w:r>
      <w:r w:rsidRPr="00C709E6">
        <w:rPr>
          <w:rFonts w:ascii="Arial" w:hAnsi="Arial" w:cs="Arial"/>
          <w:sz w:val="20"/>
          <w:szCs w:val="20"/>
        </w:rPr>
        <w:t xml:space="preserve">evrov. Naročila, oddana v navedenih petih dejavnostih, </w:t>
      </w:r>
      <w:r w:rsidR="001C2ADE" w:rsidRPr="00C709E6">
        <w:rPr>
          <w:rFonts w:ascii="Arial" w:hAnsi="Arial" w:cs="Arial"/>
          <w:sz w:val="20"/>
          <w:szCs w:val="20"/>
        </w:rPr>
        <w:t xml:space="preserve">znašajo </w:t>
      </w:r>
      <w:r w:rsidR="008710C8" w:rsidRPr="00C709E6">
        <w:rPr>
          <w:rFonts w:ascii="Arial" w:hAnsi="Arial" w:cs="Arial"/>
          <w:sz w:val="20"/>
          <w:szCs w:val="20"/>
        </w:rPr>
        <w:t>51,66</w:t>
      </w:r>
      <w:r w:rsidR="001C2ADE" w:rsidRPr="00C709E6">
        <w:rPr>
          <w:rFonts w:ascii="Arial" w:hAnsi="Arial" w:cs="Arial"/>
          <w:sz w:val="20"/>
          <w:szCs w:val="20"/>
        </w:rPr>
        <w:t xml:space="preserve"> </w:t>
      </w:r>
      <w:r w:rsidR="0029442D" w:rsidRPr="00C709E6">
        <w:rPr>
          <w:rFonts w:ascii="Arial" w:hAnsi="Arial" w:cs="Arial"/>
          <w:sz w:val="20"/>
          <w:szCs w:val="20"/>
        </w:rPr>
        <w:t>%</w:t>
      </w:r>
      <w:r w:rsidRPr="00C709E6">
        <w:rPr>
          <w:rFonts w:ascii="Arial" w:hAnsi="Arial" w:cs="Arial"/>
          <w:sz w:val="20"/>
          <w:szCs w:val="20"/>
        </w:rPr>
        <w:t xml:space="preserve"> vrednosti vseh oddanih naročil.</w:t>
      </w:r>
    </w:p>
    <w:p w14:paraId="742190FB" w14:textId="13803759" w:rsidR="007E55A1" w:rsidRPr="002649B1" w:rsidRDefault="00192C09" w:rsidP="007E55A1">
      <w:pPr>
        <w:spacing w:line="360" w:lineRule="auto"/>
        <w:jc w:val="both"/>
        <w:rPr>
          <w:rFonts w:ascii="Arial" w:hAnsi="Arial" w:cs="Arial"/>
          <w:sz w:val="20"/>
          <w:szCs w:val="20"/>
        </w:rPr>
      </w:pPr>
      <w:r w:rsidRPr="002649B1">
        <w:rPr>
          <w:rFonts w:ascii="Arial" w:hAnsi="Arial" w:cs="Arial"/>
          <w:sz w:val="20"/>
          <w:szCs w:val="20"/>
        </w:rPr>
        <w:t>Naročniki</w:t>
      </w:r>
      <w:r w:rsidR="007E55A1" w:rsidRPr="002649B1">
        <w:rPr>
          <w:rFonts w:ascii="Arial" w:hAnsi="Arial" w:cs="Arial"/>
          <w:sz w:val="20"/>
          <w:szCs w:val="20"/>
        </w:rPr>
        <w:t>, ki opravljajo dejavnosti</w:t>
      </w:r>
      <w:r w:rsidRPr="002649B1">
        <w:rPr>
          <w:rFonts w:ascii="Arial" w:hAnsi="Arial" w:cs="Arial"/>
          <w:sz w:val="20"/>
          <w:szCs w:val="20"/>
        </w:rPr>
        <w:t xml:space="preserve"> iz </w:t>
      </w:r>
      <w:r w:rsidR="002649B1" w:rsidRPr="002649B1">
        <w:rPr>
          <w:rFonts w:ascii="Arial" w:hAnsi="Arial" w:cs="Arial"/>
          <w:sz w:val="20"/>
          <w:szCs w:val="20"/>
        </w:rPr>
        <w:t>šestih</w:t>
      </w:r>
      <w:r w:rsidRPr="002649B1">
        <w:rPr>
          <w:rFonts w:ascii="Arial" w:hAnsi="Arial" w:cs="Arial"/>
          <w:sz w:val="20"/>
          <w:szCs w:val="20"/>
        </w:rPr>
        <w:t xml:space="preserve"> </w:t>
      </w:r>
      <w:r w:rsidR="00912BEF" w:rsidRPr="002649B1">
        <w:rPr>
          <w:rFonts w:ascii="Arial" w:hAnsi="Arial" w:cs="Arial"/>
          <w:sz w:val="20"/>
          <w:szCs w:val="20"/>
        </w:rPr>
        <w:t>vrst</w:t>
      </w:r>
      <w:r w:rsidRPr="002649B1">
        <w:rPr>
          <w:rFonts w:ascii="Arial" w:hAnsi="Arial" w:cs="Arial"/>
          <w:sz w:val="20"/>
          <w:szCs w:val="20"/>
        </w:rPr>
        <w:t xml:space="preserve"> dejavnosti</w:t>
      </w:r>
      <w:r w:rsidR="007E55A1" w:rsidRPr="002649B1">
        <w:rPr>
          <w:rFonts w:ascii="Arial" w:hAnsi="Arial" w:cs="Arial"/>
          <w:sz w:val="20"/>
          <w:szCs w:val="20"/>
        </w:rPr>
        <w:t xml:space="preserve"> (</w:t>
      </w:r>
      <w:r w:rsidR="002649B1" w:rsidRPr="002649B1">
        <w:rPr>
          <w:rFonts w:ascii="Arial" w:hAnsi="Arial" w:cs="Arial"/>
          <w:sz w:val="20"/>
          <w:szCs w:val="20"/>
        </w:rPr>
        <w:t>železniški tovorni promet, drugje nerazvrščeno izobraževanje, izpopolnjevanje in usposabljanje, distribucija plinastih goriv po plinovodni mreži, trgovina na drobno v specializiranih prodajalnah s pijačami, računovodske, knjigovodske in revizijske dejavnosti; davčno svetovanje ter dejavnost humanitarnih in dobrodelnih organizacij</w:t>
      </w:r>
      <w:r w:rsidR="007E55A1" w:rsidRPr="002649B1">
        <w:rPr>
          <w:rFonts w:ascii="Arial" w:hAnsi="Arial" w:cs="Arial"/>
          <w:sz w:val="20"/>
          <w:szCs w:val="20"/>
        </w:rPr>
        <w:t>)</w:t>
      </w:r>
      <w:r w:rsidR="00550C22" w:rsidRPr="002649B1">
        <w:rPr>
          <w:rFonts w:ascii="Arial" w:hAnsi="Arial" w:cs="Arial"/>
          <w:sz w:val="20"/>
          <w:szCs w:val="20"/>
        </w:rPr>
        <w:t>,</w:t>
      </w:r>
      <w:r w:rsidR="007E55A1" w:rsidRPr="002649B1">
        <w:rPr>
          <w:rFonts w:ascii="Arial" w:hAnsi="Arial" w:cs="Arial"/>
          <w:sz w:val="20"/>
          <w:szCs w:val="20"/>
        </w:rPr>
        <w:t xml:space="preserve"> </w:t>
      </w:r>
      <w:r w:rsidRPr="002649B1">
        <w:rPr>
          <w:rFonts w:ascii="Arial" w:hAnsi="Arial" w:cs="Arial"/>
          <w:sz w:val="20"/>
          <w:szCs w:val="20"/>
        </w:rPr>
        <w:t xml:space="preserve">so oddali le po eno naročilo, vrednost teh naročil pa znaša </w:t>
      </w:r>
      <w:r w:rsidR="002649B1" w:rsidRPr="002649B1">
        <w:rPr>
          <w:rFonts w:ascii="Arial" w:hAnsi="Arial" w:cs="Arial"/>
          <w:sz w:val="20"/>
          <w:szCs w:val="20"/>
        </w:rPr>
        <w:t xml:space="preserve">7.377.224 </w:t>
      </w:r>
      <w:r w:rsidRPr="002649B1">
        <w:rPr>
          <w:rFonts w:ascii="Arial" w:hAnsi="Arial" w:cs="Arial"/>
          <w:sz w:val="20"/>
          <w:szCs w:val="20"/>
        </w:rPr>
        <w:t>evrov</w:t>
      </w:r>
      <w:r w:rsidR="007E55A1" w:rsidRPr="002649B1">
        <w:rPr>
          <w:rFonts w:ascii="Arial" w:hAnsi="Arial" w:cs="Arial"/>
          <w:sz w:val="20"/>
          <w:szCs w:val="20"/>
        </w:rPr>
        <w:t xml:space="preserve">. </w:t>
      </w:r>
    </w:p>
    <w:p w14:paraId="541FC78E" w14:textId="38D800EA" w:rsidR="00192C09" w:rsidRPr="0094461D" w:rsidRDefault="00192C09" w:rsidP="007E55A1">
      <w:pPr>
        <w:spacing w:line="360" w:lineRule="auto"/>
        <w:jc w:val="both"/>
        <w:rPr>
          <w:rFonts w:ascii="Arial" w:hAnsi="Arial" w:cs="Arial"/>
          <w:sz w:val="20"/>
          <w:szCs w:val="20"/>
        </w:rPr>
      </w:pPr>
      <w:r w:rsidRPr="0094461D">
        <w:rPr>
          <w:rFonts w:ascii="Arial" w:hAnsi="Arial" w:cs="Arial"/>
          <w:sz w:val="20"/>
          <w:szCs w:val="20"/>
        </w:rPr>
        <w:t>Najnižje vrednost</w:t>
      </w:r>
      <w:r w:rsidR="001C2ADE" w:rsidRPr="0094461D">
        <w:rPr>
          <w:rFonts w:ascii="Arial" w:hAnsi="Arial" w:cs="Arial"/>
          <w:sz w:val="20"/>
          <w:szCs w:val="20"/>
        </w:rPr>
        <w:t>i</w:t>
      </w:r>
      <w:r w:rsidRPr="0094461D">
        <w:rPr>
          <w:rFonts w:ascii="Arial" w:hAnsi="Arial" w:cs="Arial"/>
          <w:sz w:val="20"/>
          <w:szCs w:val="20"/>
        </w:rPr>
        <w:t xml:space="preserve"> naročil so bile dosežene pri naročnikih</w:t>
      </w:r>
      <w:r w:rsidR="00FC5C94" w:rsidRPr="0094461D">
        <w:rPr>
          <w:rFonts w:ascii="Arial" w:hAnsi="Arial" w:cs="Arial"/>
          <w:sz w:val="20"/>
          <w:szCs w:val="20"/>
        </w:rPr>
        <w:t xml:space="preserve"> z dvema naročiloma </w:t>
      </w:r>
      <w:r w:rsidRPr="0094461D">
        <w:rPr>
          <w:rFonts w:ascii="Arial" w:hAnsi="Arial" w:cs="Arial"/>
          <w:sz w:val="20"/>
          <w:szCs w:val="20"/>
        </w:rPr>
        <w:t xml:space="preserve">v </w:t>
      </w:r>
      <w:r w:rsidR="0094461D" w:rsidRPr="0094461D">
        <w:rPr>
          <w:rFonts w:ascii="Arial" w:hAnsi="Arial" w:cs="Arial"/>
          <w:sz w:val="20"/>
          <w:szCs w:val="20"/>
        </w:rPr>
        <w:t xml:space="preserve">dejavnosti strokovnih združenj </w:t>
      </w:r>
      <w:r w:rsidRPr="0094461D">
        <w:rPr>
          <w:rFonts w:ascii="Arial" w:hAnsi="Arial" w:cs="Arial"/>
          <w:sz w:val="20"/>
          <w:szCs w:val="20"/>
        </w:rPr>
        <w:t>v vrednosti</w:t>
      </w:r>
      <w:r w:rsidR="006777AC">
        <w:rPr>
          <w:rFonts w:ascii="Arial" w:hAnsi="Arial" w:cs="Arial"/>
          <w:sz w:val="20"/>
          <w:szCs w:val="20"/>
        </w:rPr>
        <w:t xml:space="preserve"> </w:t>
      </w:r>
      <w:r w:rsidR="0094461D" w:rsidRPr="0094461D">
        <w:rPr>
          <w:rFonts w:ascii="Arial" w:hAnsi="Arial" w:cs="Arial"/>
          <w:sz w:val="20"/>
          <w:szCs w:val="20"/>
        </w:rPr>
        <w:t xml:space="preserve">13.104 </w:t>
      </w:r>
      <w:r w:rsidR="008E09B2" w:rsidRPr="0094461D">
        <w:rPr>
          <w:rFonts w:ascii="Arial" w:hAnsi="Arial" w:cs="Arial"/>
          <w:sz w:val="20"/>
          <w:szCs w:val="20"/>
        </w:rPr>
        <w:t>evr</w:t>
      </w:r>
      <w:r w:rsidR="008E09B2">
        <w:rPr>
          <w:rFonts w:ascii="Arial" w:hAnsi="Arial" w:cs="Arial"/>
          <w:sz w:val="20"/>
          <w:szCs w:val="20"/>
        </w:rPr>
        <w:t>e</w:t>
      </w:r>
      <w:r w:rsidR="008E09B2" w:rsidRPr="0094461D">
        <w:rPr>
          <w:rFonts w:ascii="Arial" w:hAnsi="Arial" w:cs="Arial"/>
          <w:sz w:val="20"/>
          <w:szCs w:val="20"/>
        </w:rPr>
        <w:t xml:space="preserve"> </w:t>
      </w:r>
      <w:r w:rsidR="0094461D" w:rsidRPr="0094461D">
        <w:rPr>
          <w:rFonts w:ascii="Arial" w:hAnsi="Arial" w:cs="Arial"/>
          <w:sz w:val="20"/>
          <w:szCs w:val="20"/>
        </w:rPr>
        <w:t xml:space="preserve">in pri naročnikih z enim naročilom v dejavnosti humanitarnih in dobrodelnih organizacij v vrednosti 22.367 evrov. </w:t>
      </w:r>
    </w:p>
    <w:p w14:paraId="15C40269" w14:textId="5B73F3BC" w:rsidR="00A102A0" w:rsidRPr="00FF5442" w:rsidRDefault="00A102A0" w:rsidP="00A102A0">
      <w:pPr>
        <w:pStyle w:val="Naslov3"/>
        <w:rPr>
          <w:rFonts w:ascii="Arial" w:hAnsi="Arial" w:cs="Arial"/>
          <w:sz w:val="22"/>
          <w:szCs w:val="22"/>
        </w:rPr>
      </w:pPr>
      <w:bookmarkStart w:id="23" w:name="_Toc17114061"/>
      <w:r w:rsidRPr="00FF5442">
        <w:rPr>
          <w:rFonts w:ascii="Arial" w:hAnsi="Arial" w:cs="Arial"/>
          <w:sz w:val="22"/>
          <w:szCs w:val="22"/>
        </w:rPr>
        <w:t xml:space="preserve">2.4.2 </w:t>
      </w:r>
      <w:r w:rsidR="009F712C" w:rsidRPr="00FF5442">
        <w:rPr>
          <w:rFonts w:ascii="Arial" w:hAnsi="Arial" w:cs="Arial"/>
          <w:sz w:val="22"/>
          <w:szCs w:val="22"/>
        </w:rPr>
        <w:t>Kategorije</w:t>
      </w:r>
      <w:r w:rsidRPr="00FF5442">
        <w:rPr>
          <w:rFonts w:ascii="Arial" w:hAnsi="Arial" w:cs="Arial"/>
          <w:sz w:val="22"/>
          <w:szCs w:val="22"/>
        </w:rPr>
        <w:t xml:space="preserve"> naročnikov</w:t>
      </w:r>
      <w:bookmarkEnd w:id="23"/>
    </w:p>
    <w:p w14:paraId="16E7AFFD" w14:textId="77777777" w:rsidR="008F5893" w:rsidRPr="00FF5442" w:rsidRDefault="008F5893" w:rsidP="00854405">
      <w:pPr>
        <w:pStyle w:val="ZADEVA"/>
        <w:jc w:val="both"/>
        <w:rPr>
          <w:rFonts w:cs="Arial"/>
          <w:b w:val="0"/>
          <w:szCs w:val="20"/>
          <w:lang w:val="sl-SI"/>
        </w:rPr>
      </w:pPr>
    </w:p>
    <w:p w14:paraId="7692FCBA" w14:textId="0353C583" w:rsidR="00690FB0" w:rsidRPr="00FF5442" w:rsidRDefault="00E1038F" w:rsidP="00690FB0">
      <w:pPr>
        <w:spacing w:line="360" w:lineRule="auto"/>
        <w:jc w:val="both"/>
        <w:rPr>
          <w:rFonts w:ascii="Arial" w:hAnsi="Arial" w:cs="Arial"/>
          <w:sz w:val="20"/>
          <w:szCs w:val="20"/>
        </w:rPr>
      </w:pPr>
      <w:r w:rsidRPr="00FF5442">
        <w:rPr>
          <w:rFonts w:ascii="Arial" w:hAnsi="Arial" w:cs="Arial"/>
          <w:sz w:val="20"/>
          <w:szCs w:val="20"/>
        </w:rPr>
        <w:t>Najv</w:t>
      </w:r>
      <w:r w:rsidR="00B36445" w:rsidRPr="00FF5442">
        <w:rPr>
          <w:rFonts w:ascii="Arial" w:hAnsi="Arial" w:cs="Arial"/>
          <w:sz w:val="20"/>
          <w:szCs w:val="20"/>
        </w:rPr>
        <w:t>eč naročnikov, ki so let</w:t>
      </w:r>
      <w:r w:rsidR="008E09B2">
        <w:rPr>
          <w:rFonts w:ascii="Arial" w:hAnsi="Arial" w:cs="Arial"/>
          <w:sz w:val="20"/>
          <w:szCs w:val="20"/>
        </w:rPr>
        <w:t>a</w:t>
      </w:r>
      <w:r w:rsidR="00B36445" w:rsidRPr="00FF5442">
        <w:rPr>
          <w:rFonts w:ascii="Arial" w:hAnsi="Arial" w:cs="Arial"/>
          <w:sz w:val="20"/>
          <w:szCs w:val="20"/>
        </w:rPr>
        <w:t xml:space="preserve"> 201</w:t>
      </w:r>
      <w:r w:rsidR="00F66074" w:rsidRPr="00FF5442">
        <w:rPr>
          <w:rFonts w:ascii="Arial" w:hAnsi="Arial" w:cs="Arial"/>
          <w:sz w:val="20"/>
          <w:szCs w:val="20"/>
        </w:rPr>
        <w:t>8</w:t>
      </w:r>
      <w:r w:rsidRPr="00FF5442">
        <w:rPr>
          <w:rFonts w:ascii="Arial" w:hAnsi="Arial" w:cs="Arial"/>
          <w:sz w:val="20"/>
          <w:szCs w:val="20"/>
        </w:rPr>
        <w:t xml:space="preserve"> oddali naročila, je</w:t>
      </w:r>
      <w:r w:rsidR="00F66074" w:rsidRPr="00FF5442">
        <w:rPr>
          <w:rFonts w:ascii="Arial" w:hAnsi="Arial" w:cs="Arial"/>
          <w:sz w:val="20"/>
          <w:szCs w:val="20"/>
        </w:rPr>
        <w:t xml:space="preserve"> </w:t>
      </w:r>
      <w:r w:rsidRPr="00FF5442">
        <w:rPr>
          <w:rFonts w:ascii="Arial" w:hAnsi="Arial" w:cs="Arial"/>
          <w:sz w:val="20"/>
          <w:szCs w:val="20"/>
        </w:rPr>
        <w:t>javni</w:t>
      </w:r>
      <w:r w:rsidR="00B7725A" w:rsidRPr="00FF5442">
        <w:rPr>
          <w:rFonts w:ascii="Arial" w:hAnsi="Arial" w:cs="Arial"/>
          <w:sz w:val="20"/>
          <w:szCs w:val="20"/>
        </w:rPr>
        <w:t>h</w:t>
      </w:r>
      <w:r w:rsidRPr="00FF5442">
        <w:rPr>
          <w:rFonts w:ascii="Arial" w:hAnsi="Arial" w:cs="Arial"/>
          <w:sz w:val="20"/>
          <w:szCs w:val="20"/>
        </w:rPr>
        <w:t xml:space="preserve"> zavod</w:t>
      </w:r>
      <w:r w:rsidR="00B7725A" w:rsidRPr="00FF5442">
        <w:rPr>
          <w:rFonts w:ascii="Arial" w:hAnsi="Arial" w:cs="Arial"/>
          <w:sz w:val="20"/>
          <w:szCs w:val="20"/>
        </w:rPr>
        <w:t>ov</w:t>
      </w:r>
      <w:r w:rsidRPr="00FF5442">
        <w:rPr>
          <w:rFonts w:ascii="Arial" w:hAnsi="Arial" w:cs="Arial"/>
          <w:sz w:val="20"/>
          <w:szCs w:val="20"/>
        </w:rPr>
        <w:t>, najmanj pa</w:t>
      </w:r>
      <w:r w:rsidR="00D613F8" w:rsidRPr="00FF5442">
        <w:rPr>
          <w:rFonts w:ascii="Arial" w:hAnsi="Arial" w:cs="Arial"/>
          <w:sz w:val="20"/>
          <w:szCs w:val="20"/>
        </w:rPr>
        <w:t xml:space="preserve"> </w:t>
      </w:r>
      <w:r w:rsidRPr="00FF5442">
        <w:rPr>
          <w:rFonts w:ascii="Arial" w:hAnsi="Arial" w:cs="Arial"/>
          <w:sz w:val="20"/>
          <w:szCs w:val="20"/>
        </w:rPr>
        <w:t>javni</w:t>
      </w:r>
      <w:r w:rsidR="00B7725A" w:rsidRPr="00FF5442">
        <w:rPr>
          <w:rFonts w:ascii="Arial" w:hAnsi="Arial" w:cs="Arial"/>
          <w:sz w:val="20"/>
          <w:szCs w:val="20"/>
        </w:rPr>
        <w:t>h</w:t>
      </w:r>
      <w:r w:rsidRPr="00FF5442">
        <w:rPr>
          <w:rFonts w:ascii="Arial" w:hAnsi="Arial" w:cs="Arial"/>
          <w:sz w:val="20"/>
          <w:szCs w:val="20"/>
        </w:rPr>
        <w:t xml:space="preserve"> sklad</w:t>
      </w:r>
      <w:r w:rsidR="00B7725A" w:rsidRPr="00FF5442">
        <w:rPr>
          <w:rFonts w:ascii="Arial" w:hAnsi="Arial" w:cs="Arial"/>
          <w:sz w:val="20"/>
          <w:szCs w:val="20"/>
        </w:rPr>
        <w:t>ov</w:t>
      </w:r>
      <w:r w:rsidRPr="00FF5442">
        <w:rPr>
          <w:rFonts w:ascii="Arial" w:hAnsi="Arial" w:cs="Arial"/>
          <w:sz w:val="20"/>
          <w:szCs w:val="20"/>
        </w:rPr>
        <w:t xml:space="preserve">. </w:t>
      </w:r>
      <w:r w:rsidR="00B7725A" w:rsidRPr="00FF5442">
        <w:rPr>
          <w:rFonts w:ascii="Arial" w:hAnsi="Arial" w:cs="Arial"/>
          <w:sz w:val="20"/>
          <w:szCs w:val="20"/>
        </w:rPr>
        <w:t>O</w:t>
      </w:r>
      <w:r w:rsidR="00886C53" w:rsidRPr="00FF5442">
        <w:rPr>
          <w:rFonts w:ascii="Arial" w:hAnsi="Arial" w:cs="Arial"/>
          <w:sz w:val="20"/>
          <w:szCs w:val="20"/>
        </w:rPr>
        <w:t xml:space="preserve">rgani RS so </w:t>
      </w:r>
      <w:r w:rsidR="008E09B2" w:rsidRPr="00FF5442">
        <w:rPr>
          <w:rFonts w:ascii="Arial" w:hAnsi="Arial" w:cs="Arial"/>
          <w:sz w:val="20"/>
          <w:szCs w:val="20"/>
        </w:rPr>
        <w:t>let</w:t>
      </w:r>
      <w:r w:rsidR="008E09B2">
        <w:rPr>
          <w:rFonts w:ascii="Arial" w:hAnsi="Arial" w:cs="Arial"/>
          <w:sz w:val="20"/>
          <w:szCs w:val="20"/>
        </w:rPr>
        <w:t>a</w:t>
      </w:r>
      <w:r w:rsidR="008E09B2" w:rsidRPr="00FF5442">
        <w:rPr>
          <w:rFonts w:ascii="Arial" w:hAnsi="Arial" w:cs="Arial"/>
          <w:sz w:val="20"/>
          <w:szCs w:val="20"/>
        </w:rPr>
        <w:t xml:space="preserve"> </w:t>
      </w:r>
      <w:r w:rsidR="00886C53" w:rsidRPr="00FF5442">
        <w:rPr>
          <w:rFonts w:ascii="Arial" w:hAnsi="Arial" w:cs="Arial"/>
          <w:sz w:val="20"/>
          <w:szCs w:val="20"/>
        </w:rPr>
        <w:t>201</w:t>
      </w:r>
      <w:r w:rsidR="00CD7245" w:rsidRPr="00FF5442">
        <w:rPr>
          <w:rFonts w:ascii="Arial" w:hAnsi="Arial" w:cs="Arial"/>
          <w:sz w:val="20"/>
          <w:szCs w:val="20"/>
        </w:rPr>
        <w:t>8</w:t>
      </w:r>
      <w:r w:rsidRPr="00FF5442">
        <w:rPr>
          <w:rFonts w:ascii="Arial" w:hAnsi="Arial" w:cs="Arial"/>
          <w:sz w:val="20"/>
          <w:szCs w:val="20"/>
        </w:rPr>
        <w:t xml:space="preserve"> povprečno oddali po </w:t>
      </w:r>
      <w:r w:rsidR="00CD7245" w:rsidRPr="00FF5442">
        <w:rPr>
          <w:rFonts w:ascii="Arial" w:hAnsi="Arial" w:cs="Arial"/>
          <w:sz w:val="20"/>
          <w:szCs w:val="20"/>
        </w:rPr>
        <w:t>27,77</w:t>
      </w:r>
      <w:r w:rsidRPr="00FF5442">
        <w:rPr>
          <w:rFonts w:ascii="Arial" w:hAnsi="Arial" w:cs="Arial"/>
          <w:sz w:val="20"/>
          <w:szCs w:val="20"/>
        </w:rPr>
        <w:t xml:space="preserve"> naročil</w:t>
      </w:r>
      <w:r w:rsidR="00B7725A" w:rsidRPr="00FF5442">
        <w:rPr>
          <w:rFonts w:ascii="Arial" w:hAnsi="Arial" w:cs="Arial"/>
          <w:sz w:val="20"/>
          <w:szCs w:val="20"/>
        </w:rPr>
        <w:t>a</w:t>
      </w:r>
      <w:r w:rsidRPr="00FF5442">
        <w:rPr>
          <w:rFonts w:ascii="Arial" w:hAnsi="Arial" w:cs="Arial"/>
          <w:sz w:val="20"/>
          <w:szCs w:val="20"/>
        </w:rPr>
        <w:t xml:space="preserve"> v povprečni vrednosti </w:t>
      </w:r>
      <w:r w:rsidR="00CD7245" w:rsidRPr="00FF5442">
        <w:rPr>
          <w:rFonts w:ascii="Arial" w:hAnsi="Arial" w:cs="Arial"/>
          <w:color w:val="000000"/>
          <w:sz w:val="20"/>
          <w:szCs w:val="20"/>
        </w:rPr>
        <w:t xml:space="preserve">9.354.237 </w:t>
      </w:r>
      <w:r w:rsidRPr="00FF5442">
        <w:rPr>
          <w:rFonts w:ascii="Arial" w:hAnsi="Arial" w:cs="Arial"/>
          <w:sz w:val="20"/>
          <w:szCs w:val="20"/>
        </w:rPr>
        <w:t xml:space="preserve">evrov, kar </w:t>
      </w:r>
      <w:r w:rsidR="00C759C9" w:rsidRPr="00FF5442">
        <w:rPr>
          <w:rFonts w:ascii="Arial" w:hAnsi="Arial" w:cs="Arial"/>
          <w:sz w:val="20"/>
          <w:szCs w:val="20"/>
        </w:rPr>
        <w:t xml:space="preserve">je </w:t>
      </w:r>
      <w:r w:rsidRPr="00FF5442">
        <w:rPr>
          <w:rFonts w:ascii="Arial" w:hAnsi="Arial" w:cs="Arial"/>
          <w:sz w:val="20"/>
          <w:szCs w:val="20"/>
        </w:rPr>
        <w:t>največj</w:t>
      </w:r>
      <w:r w:rsidR="00C759C9" w:rsidRPr="00FF5442">
        <w:rPr>
          <w:rFonts w:ascii="Arial" w:hAnsi="Arial" w:cs="Arial"/>
          <w:sz w:val="20"/>
          <w:szCs w:val="20"/>
        </w:rPr>
        <w:t>e</w:t>
      </w:r>
      <w:r w:rsidRPr="00FF5442">
        <w:rPr>
          <w:rFonts w:ascii="Arial" w:hAnsi="Arial" w:cs="Arial"/>
          <w:sz w:val="20"/>
          <w:szCs w:val="20"/>
        </w:rPr>
        <w:t xml:space="preserve"> povprečno število naročil in povprečn</w:t>
      </w:r>
      <w:r w:rsidR="00C759C9" w:rsidRPr="00FF5442">
        <w:rPr>
          <w:rFonts w:ascii="Arial" w:hAnsi="Arial" w:cs="Arial"/>
          <w:sz w:val="20"/>
          <w:szCs w:val="20"/>
        </w:rPr>
        <w:t>a</w:t>
      </w:r>
      <w:r w:rsidRPr="00FF5442">
        <w:rPr>
          <w:rFonts w:ascii="Arial" w:hAnsi="Arial" w:cs="Arial"/>
          <w:sz w:val="20"/>
          <w:szCs w:val="20"/>
        </w:rPr>
        <w:t xml:space="preserve"> vrednost naročila posameznega naročnika glede na kategorijo. Naročniki z najmanjšo povprečno vrednostjo naročila </w:t>
      </w:r>
      <w:r w:rsidR="00B7725A" w:rsidRPr="00FF5442">
        <w:rPr>
          <w:rFonts w:ascii="Arial" w:hAnsi="Arial" w:cs="Arial"/>
          <w:sz w:val="20"/>
          <w:szCs w:val="20"/>
        </w:rPr>
        <w:t>so</w:t>
      </w:r>
      <w:r w:rsidRPr="00FF5442">
        <w:rPr>
          <w:rFonts w:ascii="Arial" w:hAnsi="Arial" w:cs="Arial"/>
          <w:sz w:val="20"/>
          <w:szCs w:val="20"/>
        </w:rPr>
        <w:t xml:space="preserve"> razni subjekti</w:t>
      </w:r>
      <w:r w:rsidR="006C6030" w:rsidRPr="00FF5442">
        <w:rPr>
          <w:rFonts w:ascii="Arial" w:hAnsi="Arial" w:cs="Arial"/>
          <w:sz w:val="20"/>
          <w:szCs w:val="20"/>
        </w:rPr>
        <w:t xml:space="preserve">, kjer je ta vrednost </w:t>
      </w:r>
      <w:r w:rsidR="00CD7245" w:rsidRPr="00FF5442">
        <w:rPr>
          <w:rFonts w:ascii="Arial" w:hAnsi="Arial" w:cs="Arial"/>
          <w:color w:val="000000"/>
          <w:sz w:val="20"/>
          <w:szCs w:val="20"/>
        </w:rPr>
        <w:t xml:space="preserve">344.720 </w:t>
      </w:r>
      <w:r w:rsidR="006C6030" w:rsidRPr="00FF5442">
        <w:rPr>
          <w:rFonts w:ascii="Arial" w:hAnsi="Arial" w:cs="Arial"/>
          <w:sz w:val="20"/>
          <w:szCs w:val="20"/>
        </w:rPr>
        <w:t>evrov, v povprečju pa je naro</w:t>
      </w:r>
      <w:r w:rsidR="00D5063A" w:rsidRPr="00FF5442">
        <w:rPr>
          <w:rFonts w:ascii="Arial" w:hAnsi="Arial" w:cs="Arial"/>
          <w:sz w:val="20"/>
          <w:szCs w:val="20"/>
        </w:rPr>
        <w:t>čnik te kategorije oddal 1,</w:t>
      </w:r>
      <w:r w:rsidR="00CD7245" w:rsidRPr="00FF5442">
        <w:rPr>
          <w:rFonts w:ascii="Arial" w:hAnsi="Arial" w:cs="Arial"/>
          <w:sz w:val="20"/>
          <w:szCs w:val="20"/>
        </w:rPr>
        <w:t>77</w:t>
      </w:r>
      <w:r w:rsidR="006C6030" w:rsidRPr="00FF5442">
        <w:rPr>
          <w:rFonts w:ascii="Arial" w:hAnsi="Arial" w:cs="Arial"/>
          <w:sz w:val="20"/>
          <w:szCs w:val="20"/>
        </w:rPr>
        <w:t xml:space="preserve"> naročila. </w:t>
      </w:r>
    </w:p>
    <w:p w14:paraId="53E9D919" w14:textId="20790A0E" w:rsidR="00690FB0" w:rsidRPr="00FF5442" w:rsidRDefault="00690FB0" w:rsidP="008A61FD">
      <w:pPr>
        <w:spacing w:before="120" w:after="120" w:line="240" w:lineRule="auto"/>
        <w:jc w:val="both"/>
        <w:rPr>
          <w:rFonts w:ascii="Arial" w:hAnsi="Arial" w:cs="Arial"/>
          <w:sz w:val="20"/>
        </w:rPr>
      </w:pPr>
      <w:r w:rsidRPr="00FF5442">
        <w:rPr>
          <w:rFonts w:ascii="Arial" w:hAnsi="Arial" w:cs="Arial"/>
          <w:sz w:val="20"/>
        </w:rPr>
        <w:t xml:space="preserve">Preglednica </w:t>
      </w:r>
      <w:r w:rsidR="00EB4423">
        <w:rPr>
          <w:rFonts w:ascii="Arial" w:hAnsi="Arial" w:cs="Arial"/>
          <w:sz w:val="20"/>
        </w:rPr>
        <w:t>29</w:t>
      </w:r>
      <w:r w:rsidRPr="00FF5442">
        <w:rPr>
          <w:rFonts w:ascii="Arial" w:hAnsi="Arial" w:cs="Arial"/>
          <w:sz w:val="20"/>
        </w:rPr>
        <w:t xml:space="preserve">: </w:t>
      </w:r>
      <w:r w:rsidR="009E5786" w:rsidRPr="00FF5442">
        <w:rPr>
          <w:rFonts w:ascii="Arial" w:hAnsi="Arial" w:cs="Arial"/>
          <w:sz w:val="20"/>
        </w:rPr>
        <w:t xml:space="preserve">Povprečno število naročil in povprečna vrednost naročila </w:t>
      </w:r>
      <w:r w:rsidR="0044334D" w:rsidRPr="00FF5442">
        <w:rPr>
          <w:rFonts w:ascii="Arial" w:hAnsi="Arial" w:cs="Arial"/>
          <w:sz w:val="20"/>
        </w:rPr>
        <w:t xml:space="preserve">glede na </w:t>
      </w:r>
      <w:r w:rsidR="00E1038F" w:rsidRPr="00FF5442">
        <w:rPr>
          <w:rFonts w:ascii="Arial" w:hAnsi="Arial" w:cs="Arial"/>
          <w:sz w:val="20"/>
        </w:rPr>
        <w:t>kategorijo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7"/>
        <w:gridCol w:w="1011"/>
        <w:gridCol w:w="691"/>
        <w:gridCol w:w="1292"/>
        <w:gridCol w:w="1269"/>
        <w:gridCol w:w="1040"/>
        <w:gridCol w:w="1272"/>
      </w:tblGrid>
      <w:tr w:rsidR="0058030E" w:rsidRPr="00FF5442" w14:paraId="4326C571" w14:textId="77777777" w:rsidTr="00482978">
        <w:trPr>
          <w:trHeight w:val="838"/>
        </w:trPr>
        <w:tc>
          <w:tcPr>
            <w:tcW w:w="1372" w:type="pct"/>
            <w:shd w:val="clear" w:color="000000" w:fill="EDEDED"/>
            <w:vAlign w:val="center"/>
            <w:hideMark/>
          </w:tcPr>
          <w:p w14:paraId="53ECFDB8" w14:textId="04B3C25B" w:rsidR="0058030E" w:rsidRPr="00FF5442" w:rsidRDefault="009F712C"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Kategorij</w:t>
            </w:r>
            <w:r w:rsidR="00B7725A" w:rsidRPr="00FF5442">
              <w:rPr>
                <w:rFonts w:ascii="Arial" w:eastAsia="Times New Roman" w:hAnsi="Arial" w:cs="Arial"/>
                <w:color w:val="000000"/>
                <w:sz w:val="18"/>
                <w:szCs w:val="18"/>
                <w:lang w:eastAsia="sl-SI"/>
              </w:rPr>
              <w:t>a</w:t>
            </w:r>
            <w:r w:rsidR="0058030E" w:rsidRPr="00FF5442">
              <w:rPr>
                <w:rFonts w:ascii="Arial" w:eastAsia="Times New Roman" w:hAnsi="Arial" w:cs="Arial"/>
                <w:color w:val="000000"/>
                <w:sz w:val="18"/>
                <w:szCs w:val="18"/>
                <w:lang w:eastAsia="sl-SI"/>
              </w:rPr>
              <w:t xml:space="preserve"> naročnika</w:t>
            </w:r>
          </w:p>
        </w:tc>
        <w:tc>
          <w:tcPr>
            <w:tcW w:w="558" w:type="pct"/>
            <w:shd w:val="clear" w:color="000000" w:fill="EDEDED"/>
            <w:vAlign w:val="center"/>
            <w:hideMark/>
          </w:tcPr>
          <w:p w14:paraId="45CE6C76" w14:textId="7777777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Št. naročnikov</w:t>
            </w:r>
          </w:p>
        </w:tc>
        <w:tc>
          <w:tcPr>
            <w:tcW w:w="381" w:type="pct"/>
            <w:shd w:val="clear" w:color="000000" w:fill="EDEDED"/>
            <w:vAlign w:val="center"/>
            <w:hideMark/>
          </w:tcPr>
          <w:p w14:paraId="1B23C4EF" w14:textId="7777777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Št. naročil</w:t>
            </w:r>
          </w:p>
        </w:tc>
        <w:tc>
          <w:tcPr>
            <w:tcW w:w="713" w:type="pct"/>
            <w:shd w:val="clear" w:color="000000" w:fill="EDEDED"/>
            <w:vAlign w:val="center"/>
            <w:hideMark/>
          </w:tcPr>
          <w:p w14:paraId="4646C50A" w14:textId="7777777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Pogodbena vrednost</w:t>
            </w:r>
          </w:p>
        </w:tc>
        <w:tc>
          <w:tcPr>
            <w:tcW w:w="700" w:type="pct"/>
            <w:shd w:val="clear" w:color="000000" w:fill="EDEDED"/>
            <w:vAlign w:val="center"/>
            <w:hideMark/>
          </w:tcPr>
          <w:p w14:paraId="129E16F2" w14:textId="7777777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Povprečno št. naročil</w:t>
            </w:r>
          </w:p>
          <w:p w14:paraId="2401DDA9" w14:textId="55E3030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na naročnika</w:t>
            </w:r>
          </w:p>
        </w:tc>
        <w:tc>
          <w:tcPr>
            <w:tcW w:w="574" w:type="pct"/>
            <w:shd w:val="clear" w:color="000000" w:fill="EDEDED"/>
            <w:vAlign w:val="center"/>
            <w:hideMark/>
          </w:tcPr>
          <w:p w14:paraId="76A16BBE" w14:textId="7777777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Povprečna vrednost naročila na naročnika</w:t>
            </w:r>
          </w:p>
        </w:tc>
        <w:tc>
          <w:tcPr>
            <w:tcW w:w="702" w:type="pct"/>
            <w:shd w:val="clear" w:color="000000" w:fill="EDEDED"/>
            <w:vAlign w:val="center"/>
            <w:hideMark/>
          </w:tcPr>
          <w:p w14:paraId="678B81DA" w14:textId="77777777"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 xml:space="preserve">Povprečna vrednost </w:t>
            </w:r>
          </w:p>
          <w:p w14:paraId="29AF3F93" w14:textId="6E01839A" w:rsidR="0058030E" w:rsidRPr="00FF5442" w:rsidRDefault="0058030E" w:rsidP="0058030E">
            <w:pPr>
              <w:spacing w:after="0" w:line="240" w:lineRule="auto"/>
              <w:jc w:val="center"/>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posameznega naročila</w:t>
            </w:r>
          </w:p>
        </w:tc>
      </w:tr>
      <w:tr w:rsidR="003606AD" w:rsidRPr="00FF5442" w14:paraId="4DA2BA74" w14:textId="77777777" w:rsidTr="00CD717C">
        <w:trPr>
          <w:trHeight w:val="300"/>
        </w:trPr>
        <w:tc>
          <w:tcPr>
            <w:tcW w:w="1372" w:type="pct"/>
            <w:shd w:val="clear" w:color="auto" w:fill="auto"/>
            <w:vAlign w:val="center"/>
            <w:hideMark/>
          </w:tcPr>
          <w:p w14:paraId="2C105EF6"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Organi RS</w:t>
            </w:r>
          </w:p>
        </w:tc>
        <w:tc>
          <w:tcPr>
            <w:tcW w:w="558" w:type="pct"/>
            <w:shd w:val="clear" w:color="auto" w:fill="auto"/>
            <w:vAlign w:val="center"/>
            <w:hideMark/>
          </w:tcPr>
          <w:p w14:paraId="0B17E11B" w14:textId="7CE01AEB"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69</w:t>
            </w:r>
          </w:p>
        </w:tc>
        <w:tc>
          <w:tcPr>
            <w:tcW w:w="381" w:type="pct"/>
            <w:shd w:val="clear" w:color="auto" w:fill="auto"/>
            <w:vAlign w:val="center"/>
            <w:hideMark/>
          </w:tcPr>
          <w:p w14:paraId="2E238534" w14:textId="0AFCA6E0"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1.916</w:t>
            </w:r>
          </w:p>
        </w:tc>
        <w:tc>
          <w:tcPr>
            <w:tcW w:w="713" w:type="pct"/>
            <w:shd w:val="clear" w:color="auto" w:fill="auto"/>
            <w:vAlign w:val="center"/>
            <w:hideMark/>
          </w:tcPr>
          <w:p w14:paraId="23B9DECE" w14:textId="590C31DC"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645.442.366</w:t>
            </w:r>
          </w:p>
        </w:tc>
        <w:tc>
          <w:tcPr>
            <w:tcW w:w="700" w:type="pct"/>
            <w:shd w:val="clear" w:color="auto" w:fill="auto"/>
            <w:vAlign w:val="center"/>
            <w:hideMark/>
          </w:tcPr>
          <w:p w14:paraId="2CA5402E" w14:textId="4243C89F"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27,77</w:t>
            </w:r>
          </w:p>
        </w:tc>
        <w:tc>
          <w:tcPr>
            <w:tcW w:w="574" w:type="pct"/>
            <w:shd w:val="clear" w:color="auto" w:fill="auto"/>
            <w:vAlign w:val="center"/>
            <w:hideMark/>
          </w:tcPr>
          <w:p w14:paraId="5A9BF927" w14:textId="3585C9C7"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9.354.237</w:t>
            </w:r>
          </w:p>
        </w:tc>
        <w:tc>
          <w:tcPr>
            <w:tcW w:w="702" w:type="pct"/>
            <w:shd w:val="clear" w:color="auto" w:fill="auto"/>
            <w:vAlign w:val="center"/>
            <w:hideMark/>
          </w:tcPr>
          <w:p w14:paraId="2CB24235" w14:textId="11BB14D4"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336.870</w:t>
            </w:r>
          </w:p>
        </w:tc>
      </w:tr>
      <w:tr w:rsidR="003606AD" w:rsidRPr="00FF5442" w14:paraId="49EBC422" w14:textId="77777777" w:rsidTr="00CD717C">
        <w:trPr>
          <w:trHeight w:val="300"/>
        </w:trPr>
        <w:tc>
          <w:tcPr>
            <w:tcW w:w="1372" w:type="pct"/>
            <w:shd w:val="clear" w:color="auto" w:fill="auto"/>
            <w:vAlign w:val="center"/>
            <w:hideMark/>
          </w:tcPr>
          <w:p w14:paraId="76D7CDC0"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Samoupravne lokalne skupnosti</w:t>
            </w:r>
          </w:p>
        </w:tc>
        <w:tc>
          <w:tcPr>
            <w:tcW w:w="558" w:type="pct"/>
            <w:shd w:val="clear" w:color="auto" w:fill="auto"/>
            <w:vAlign w:val="center"/>
            <w:hideMark/>
          </w:tcPr>
          <w:p w14:paraId="4FFD483E" w14:textId="0AAC94B7"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200</w:t>
            </w:r>
          </w:p>
        </w:tc>
        <w:tc>
          <w:tcPr>
            <w:tcW w:w="381" w:type="pct"/>
            <w:shd w:val="clear" w:color="auto" w:fill="auto"/>
            <w:vAlign w:val="center"/>
            <w:hideMark/>
          </w:tcPr>
          <w:p w14:paraId="42C9585A" w14:textId="248D5AE5"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1.891</w:t>
            </w:r>
          </w:p>
        </w:tc>
        <w:tc>
          <w:tcPr>
            <w:tcW w:w="713" w:type="pct"/>
            <w:shd w:val="clear" w:color="auto" w:fill="auto"/>
            <w:vAlign w:val="center"/>
            <w:hideMark/>
          </w:tcPr>
          <w:p w14:paraId="414F48C4" w14:textId="2A54AEE4"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471.649.958</w:t>
            </w:r>
          </w:p>
        </w:tc>
        <w:tc>
          <w:tcPr>
            <w:tcW w:w="700" w:type="pct"/>
            <w:shd w:val="clear" w:color="auto" w:fill="auto"/>
            <w:vAlign w:val="center"/>
            <w:hideMark/>
          </w:tcPr>
          <w:p w14:paraId="19A75967" w14:textId="0461965D"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9,46</w:t>
            </w:r>
          </w:p>
        </w:tc>
        <w:tc>
          <w:tcPr>
            <w:tcW w:w="574" w:type="pct"/>
            <w:shd w:val="clear" w:color="auto" w:fill="auto"/>
            <w:vAlign w:val="center"/>
            <w:hideMark/>
          </w:tcPr>
          <w:p w14:paraId="441D81DC" w14:textId="4E4479A8"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2.358.250</w:t>
            </w:r>
          </w:p>
        </w:tc>
        <w:tc>
          <w:tcPr>
            <w:tcW w:w="702" w:type="pct"/>
            <w:shd w:val="clear" w:color="auto" w:fill="auto"/>
            <w:vAlign w:val="center"/>
            <w:hideMark/>
          </w:tcPr>
          <w:p w14:paraId="3B0BACAA" w14:textId="67FFA8E5"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249.418</w:t>
            </w:r>
          </w:p>
        </w:tc>
      </w:tr>
      <w:tr w:rsidR="003606AD" w:rsidRPr="00FF5442" w14:paraId="695ABFBA" w14:textId="77777777" w:rsidTr="00CD717C">
        <w:trPr>
          <w:trHeight w:val="300"/>
        </w:trPr>
        <w:tc>
          <w:tcPr>
            <w:tcW w:w="1372" w:type="pct"/>
            <w:shd w:val="clear" w:color="auto" w:fill="auto"/>
            <w:vAlign w:val="center"/>
            <w:hideMark/>
          </w:tcPr>
          <w:p w14:paraId="74D0260A"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Javni skladi</w:t>
            </w:r>
          </w:p>
        </w:tc>
        <w:tc>
          <w:tcPr>
            <w:tcW w:w="558" w:type="pct"/>
            <w:shd w:val="clear" w:color="auto" w:fill="auto"/>
            <w:vAlign w:val="center"/>
            <w:hideMark/>
          </w:tcPr>
          <w:p w14:paraId="705037BB" w14:textId="3ADCA580"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8</w:t>
            </w:r>
          </w:p>
        </w:tc>
        <w:tc>
          <w:tcPr>
            <w:tcW w:w="381" w:type="pct"/>
            <w:shd w:val="clear" w:color="auto" w:fill="auto"/>
            <w:vAlign w:val="center"/>
            <w:hideMark/>
          </w:tcPr>
          <w:p w14:paraId="5076E291" w14:textId="6EA23449"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59</w:t>
            </w:r>
          </w:p>
        </w:tc>
        <w:tc>
          <w:tcPr>
            <w:tcW w:w="713" w:type="pct"/>
            <w:shd w:val="clear" w:color="auto" w:fill="auto"/>
            <w:vAlign w:val="center"/>
            <w:hideMark/>
          </w:tcPr>
          <w:p w14:paraId="7BDEA239" w14:textId="664E5C29"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12.876.310</w:t>
            </w:r>
          </w:p>
        </w:tc>
        <w:tc>
          <w:tcPr>
            <w:tcW w:w="700" w:type="pct"/>
            <w:shd w:val="clear" w:color="auto" w:fill="auto"/>
            <w:vAlign w:val="center"/>
            <w:hideMark/>
          </w:tcPr>
          <w:p w14:paraId="270264D6" w14:textId="190C683B"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7,38</w:t>
            </w:r>
          </w:p>
        </w:tc>
        <w:tc>
          <w:tcPr>
            <w:tcW w:w="574" w:type="pct"/>
            <w:shd w:val="clear" w:color="auto" w:fill="auto"/>
            <w:vAlign w:val="center"/>
            <w:hideMark/>
          </w:tcPr>
          <w:p w14:paraId="21E33099" w14:textId="13FB38AB"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1.609.539</w:t>
            </w:r>
          </w:p>
        </w:tc>
        <w:tc>
          <w:tcPr>
            <w:tcW w:w="702" w:type="pct"/>
            <w:shd w:val="clear" w:color="auto" w:fill="auto"/>
            <w:vAlign w:val="center"/>
            <w:hideMark/>
          </w:tcPr>
          <w:p w14:paraId="23CC22AB" w14:textId="195D79BB"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218.243</w:t>
            </w:r>
          </w:p>
        </w:tc>
      </w:tr>
      <w:tr w:rsidR="003606AD" w:rsidRPr="00FF5442" w14:paraId="1B8D44B9" w14:textId="77777777" w:rsidTr="00CD717C">
        <w:trPr>
          <w:trHeight w:val="300"/>
        </w:trPr>
        <w:tc>
          <w:tcPr>
            <w:tcW w:w="1372" w:type="pct"/>
            <w:shd w:val="clear" w:color="auto" w:fill="auto"/>
            <w:vAlign w:val="center"/>
            <w:hideMark/>
          </w:tcPr>
          <w:p w14:paraId="597A38F5"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Javne agencije</w:t>
            </w:r>
          </w:p>
        </w:tc>
        <w:tc>
          <w:tcPr>
            <w:tcW w:w="558" w:type="pct"/>
            <w:shd w:val="clear" w:color="auto" w:fill="auto"/>
            <w:vAlign w:val="center"/>
            <w:hideMark/>
          </w:tcPr>
          <w:p w14:paraId="40E7E88B" w14:textId="396714B0"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10</w:t>
            </w:r>
          </w:p>
        </w:tc>
        <w:tc>
          <w:tcPr>
            <w:tcW w:w="381" w:type="pct"/>
            <w:shd w:val="clear" w:color="auto" w:fill="auto"/>
            <w:vAlign w:val="center"/>
            <w:hideMark/>
          </w:tcPr>
          <w:p w14:paraId="1BD0F8A9" w14:textId="5F3D535F"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119</w:t>
            </w:r>
          </w:p>
        </w:tc>
        <w:tc>
          <w:tcPr>
            <w:tcW w:w="713" w:type="pct"/>
            <w:shd w:val="clear" w:color="auto" w:fill="auto"/>
            <w:vAlign w:val="center"/>
            <w:hideMark/>
          </w:tcPr>
          <w:p w14:paraId="3AE02EE8" w14:textId="78C41C43"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7.749.458</w:t>
            </w:r>
          </w:p>
        </w:tc>
        <w:tc>
          <w:tcPr>
            <w:tcW w:w="700" w:type="pct"/>
            <w:shd w:val="clear" w:color="auto" w:fill="auto"/>
            <w:vAlign w:val="center"/>
            <w:hideMark/>
          </w:tcPr>
          <w:p w14:paraId="45744702" w14:textId="5C09EB2C"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11,90</w:t>
            </w:r>
          </w:p>
        </w:tc>
        <w:tc>
          <w:tcPr>
            <w:tcW w:w="574" w:type="pct"/>
            <w:shd w:val="clear" w:color="auto" w:fill="auto"/>
            <w:vAlign w:val="center"/>
            <w:hideMark/>
          </w:tcPr>
          <w:p w14:paraId="18D4F191" w14:textId="3F8D1D5A"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774.946</w:t>
            </w:r>
          </w:p>
        </w:tc>
        <w:tc>
          <w:tcPr>
            <w:tcW w:w="702" w:type="pct"/>
            <w:shd w:val="clear" w:color="auto" w:fill="auto"/>
            <w:vAlign w:val="center"/>
            <w:hideMark/>
          </w:tcPr>
          <w:p w14:paraId="3C441959" w14:textId="10E55C63"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65.121</w:t>
            </w:r>
          </w:p>
        </w:tc>
      </w:tr>
      <w:tr w:rsidR="003606AD" w:rsidRPr="00FF5442" w14:paraId="425F024F" w14:textId="77777777" w:rsidTr="00CD717C">
        <w:trPr>
          <w:trHeight w:val="300"/>
        </w:trPr>
        <w:tc>
          <w:tcPr>
            <w:tcW w:w="1372" w:type="pct"/>
            <w:shd w:val="clear" w:color="auto" w:fill="auto"/>
            <w:vAlign w:val="center"/>
            <w:hideMark/>
          </w:tcPr>
          <w:p w14:paraId="15923B6F"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Javni zavodi</w:t>
            </w:r>
          </w:p>
        </w:tc>
        <w:tc>
          <w:tcPr>
            <w:tcW w:w="558" w:type="pct"/>
            <w:shd w:val="clear" w:color="auto" w:fill="auto"/>
            <w:vAlign w:val="center"/>
            <w:hideMark/>
          </w:tcPr>
          <w:p w14:paraId="25FEDD14" w14:textId="4A753F31"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562</w:t>
            </w:r>
          </w:p>
        </w:tc>
        <w:tc>
          <w:tcPr>
            <w:tcW w:w="381" w:type="pct"/>
            <w:shd w:val="clear" w:color="auto" w:fill="auto"/>
            <w:vAlign w:val="center"/>
            <w:hideMark/>
          </w:tcPr>
          <w:p w14:paraId="3D74143E" w14:textId="7915F4F1"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9.738</w:t>
            </w:r>
          </w:p>
        </w:tc>
        <w:tc>
          <w:tcPr>
            <w:tcW w:w="713" w:type="pct"/>
            <w:shd w:val="clear" w:color="auto" w:fill="auto"/>
            <w:vAlign w:val="center"/>
            <w:hideMark/>
          </w:tcPr>
          <w:p w14:paraId="29396F68" w14:textId="1A64F2CA"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649.914.411</w:t>
            </w:r>
          </w:p>
        </w:tc>
        <w:tc>
          <w:tcPr>
            <w:tcW w:w="700" w:type="pct"/>
            <w:shd w:val="clear" w:color="auto" w:fill="auto"/>
            <w:vAlign w:val="center"/>
            <w:hideMark/>
          </w:tcPr>
          <w:p w14:paraId="1B73BD4E" w14:textId="2BE15CED"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17,33</w:t>
            </w:r>
          </w:p>
        </w:tc>
        <w:tc>
          <w:tcPr>
            <w:tcW w:w="574" w:type="pct"/>
            <w:shd w:val="clear" w:color="auto" w:fill="auto"/>
            <w:vAlign w:val="center"/>
            <w:hideMark/>
          </w:tcPr>
          <w:p w14:paraId="4232089E" w14:textId="21AD3687"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1.156.431</w:t>
            </w:r>
          </w:p>
        </w:tc>
        <w:tc>
          <w:tcPr>
            <w:tcW w:w="702" w:type="pct"/>
            <w:shd w:val="clear" w:color="auto" w:fill="auto"/>
            <w:vAlign w:val="center"/>
            <w:hideMark/>
          </w:tcPr>
          <w:p w14:paraId="1481607B" w14:textId="765C8F92"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66.740</w:t>
            </w:r>
          </w:p>
        </w:tc>
      </w:tr>
      <w:tr w:rsidR="003606AD" w:rsidRPr="00FF5442" w14:paraId="3D9883CE" w14:textId="77777777" w:rsidTr="00CD717C">
        <w:trPr>
          <w:trHeight w:val="300"/>
        </w:trPr>
        <w:tc>
          <w:tcPr>
            <w:tcW w:w="1372" w:type="pct"/>
            <w:shd w:val="clear" w:color="auto" w:fill="auto"/>
            <w:vAlign w:val="center"/>
            <w:hideMark/>
          </w:tcPr>
          <w:p w14:paraId="51E8704F"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Javni gospodarski zavodi</w:t>
            </w:r>
          </w:p>
        </w:tc>
        <w:tc>
          <w:tcPr>
            <w:tcW w:w="558" w:type="pct"/>
            <w:shd w:val="clear" w:color="auto" w:fill="auto"/>
            <w:vAlign w:val="center"/>
            <w:hideMark/>
          </w:tcPr>
          <w:p w14:paraId="5D2957D8" w14:textId="1789F5BE"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11</w:t>
            </w:r>
          </w:p>
        </w:tc>
        <w:tc>
          <w:tcPr>
            <w:tcW w:w="381" w:type="pct"/>
            <w:shd w:val="clear" w:color="auto" w:fill="auto"/>
            <w:vAlign w:val="center"/>
            <w:hideMark/>
          </w:tcPr>
          <w:p w14:paraId="161BEECF" w14:textId="35D2390B"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86</w:t>
            </w:r>
          </w:p>
        </w:tc>
        <w:tc>
          <w:tcPr>
            <w:tcW w:w="713" w:type="pct"/>
            <w:shd w:val="clear" w:color="auto" w:fill="auto"/>
            <w:vAlign w:val="center"/>
            <w:hideMark/>
          </w:tcPr>
          <w:p w14:paraId="48A53FE9" w14:textId="12BF6F4E"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7.392.932</w:t>
            </w:r>
          </w:p>
        </w:tc>
        <w:tc>
          <w:tcPr>
            <w:tcW w:w="700" w:type="pct"/>
            <w:shd w:val="clear" w:color="auto" w:fill="auto"/>
            <w:vAlign w:val="center"/>
            <w:hideMark/>
          </w:tcPr>
          <w:p w14:paraId="069196C7" w14:textId="73175769"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7,82</w:t>
            </w:r>
          </w:p>
        </w:tc>
        <w:tc>
          <w:tcPr>
            <w:tcW w:w="574" w:type="pct"/>
            <w:shd w:val="clear" w:color="auto" w:fill="auto"/>
            <w:vAlign w:val="center"/>
            <w:hideMark/>
          </w:tcPr>
          <w:p w14:paraId="1A520E90" w14:textId="359715FB"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672.085</w:t>
            </w:r>
          </w:p>
        </w:tc>
        <w:tc>
          <w:tcPr>
            <w:tcW w:w="702" w:type="pct"/>
            <w:shd w:val="clear" w:color="auto" w:fill="auto"/>
            <w:vAlign w:val="center"/>
            <w:hideMark/>
          </w:tcPr>
          <w:p w14:paraId="59055B9D" w14:textId="40B22C6F"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85.964</w:t>
            </w:r>
          </w:p>
        </w:tc>
      </w:tr>
      <w:tr w:rsidR="003606AD" w:rsidRPr="00FF5442" w14:paraId="1EB7C665" w14:textId="77777777" w:rsidTr="00CD717C">
        <w:trPr>
          <w:trHeight w:val="300"/>
        </w:trPr>
        <w:tc>
          <w:tcPr>
            <w:tcW w:w="1372" w:type="pct"/>
            <w:shd w:val="clear" w:color="auto" w:fill="auto"/>
            <w:vAlign w:val="center"/>
            <w:hideMark/>
          </w:tcPr>
          <w:p w14:paraId="1F0553A6"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558" w:type="pct"/>
            <w:shd w:val="clear" w:color="auto" w:fill="auto"/>
            <w:vAlign w:val="center"/>
            <w:hideMark/>
          </w:tcPr>
          <w:p w14:paraId="2A66CAAB" w14:textId="7E02354A"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134</w:t>
            </w:r>
          </w:p>
        </w:tc>
        <w:tc>
          <w:tcPr>
            <w:tcW w:w="381" w:type="pct"/>
            <w:shd w:val="clear" w:color="auto" w:fill="auto"/>
            <w:vAlign w:val="center"/>
            <w:hideMark/>
          </w:tcPr>
          <w:p w14:paraId="4479C0E9" w14:textId="20E94365"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2.973</w:t>
            </w:r>
          </w:p>
        </w:tc>
        <w:tc>
          <w:tcPr>
            <w:tcW w:w="713" w:type="pct"/>
            <w:shd w:val="clear" w:color="auto" w:fill="auto"/>
            <w:vAlign w:val="center"/>
            <w:hideMark/>
          </w:tcPr>
          <w:p w14:paraId="0DEA8CBB" w14:textId="24311286"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1.107.367.319</w:t>
            </w:r>
          </w:p>
        </w:tc>
        <w:tc>
          <w:tcPr>
            <w:tcW w:w="700" w:type="pct"/>
            <w:shd w:val="clear" w:color="auto" w:fill="auto"/>
            <w:vAlign w:val="center"/>
            <w:hideMark/>
          </w:tcPr>
          <w:p w14:paraId="7A258C7D" w14:textId="6828E6EE"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22,19</w:t>
            </w:r>
          </w:p>
        </w:tc>
        <w:tc>
          <w:tcPr>
            <w:tcW w:w="574" w:type="pct"/>
            <w:shd w:val="clear" w:color="auto" w:fill="auto"/>
            <w:vAlign w:val="center"/>
            <w:hideMark/>
          </w:tcPr>
          <w:p w14:paraId="0D8B9E36" w14:textId="48E0C498"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8.263.935</w:t>
            </w:r>
          </w:p>
        </w:tc>
        <w:tc>
          <w:tcPr>
            <w:tcW w:w="702" w:type="pct"/>
            <w:shd w:val="clear" w:color="auto" w:fill="auto"/>
            <w:vAlign w:val="center"/>
            <w:hideMark/>
          </w:tcPr>
          <w:p w14:paraId="40412867" w14:textId="25D25519"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372.475</w:t>
            </w:r>
          </w:p>
        </w:tc>
      </w:tr>
      <w:tr w:rsidR="003606AD" w:rsidRPr="00FF5442" w14:paraId="4988E63F" w14:textId="77777777" w:rsidTr="00CD717C">
        <w:trPr>
          <w:trHeight w:val="300"/>
        </w:trPr>
        <w:tc>
          <w:tcPr>
            <w:tcW w:w="1372" w:type="pct"/>
            <w:shd w:val="clear" w:color="auto" w:fill="auto"/>
            <w:vAlign w:val="center"/>
            <w:hideMark/>
          </w:tcPr>
          <w:p w14:paraId="0B42D567" w14:textId="77777777" w:rsidR="003606AD" w:rsidRPr="00FF5442" w:rsidRDefault="003606AD" w:rsidP="003606AD">
            <w:pPr>
              <w:spacing w:after="0" w:line="240" w:lineRule="auto"/>
              <w:rPr>
                <w:rFonts w:ascii="Arial" w:eastAsia="Times New Roman" w:hAnsi="Arial" w:cs="Arial"/>
                <w:color w:val="000000"/>
                <w:sz w:val="18"/>
                <w:szCs w:val="18"/>
                <w:lang w:eastAsia="sl-SI"/>
              </w:rPr>
            </w:pPr>
            <w:r w:rsidRPr="00FF5442">
              <w:rPr>
                <w:rFonts w:ascii="Arial" w:eastAsia="Times New Roman" w:hAnsi="Arial" w:cs="Arial"/>
                <w:color w:val="000000"/>
                <w:sz w:val="18"/>
                <w:szCs w:val="18"/>
                <w:lang w:eastAsia="sl-SI"/>
              </w:rPr>
              <w:t>Razni subjekti</w:t>
            </w:r>
          </w:p>
        </w:tc>
        <w:tc>
          <w:tcPr>
            <w:tcW w:w="558" w:type="pct"/>
            <w:shd w:val="clear" w:color="auto" w:fill="auto"/>
            <w:vAlign w:val="center"/>
            <w:hideMark/>
          </w:tcPr>
          <w:p w14:paraId="1E01998D" w14:textId="4993C81A"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47</w:t>
            </w:r>
          </w:p>
        </w:tc>
        <w:tc>
          <w:tcPr>
            <w:tcW w:w="381" w:type="pct"/>
            <w:shd w:val="clear" w:color="auto" w:fill="auto"/>
            <w:vAlign w:val="center"/>
            <w:hideMark/>
          </w:tcPr>
          <w:p w14:paraId="3E6C747D" w14:textId="02208540"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83</w:t>
            </w:r>
          </w:p>
        </w:tc>
        <w:tc>
          <w:tcPr>
            <w:tcW w:w="713" w:type="pct"/>
            <w:shd w:val="clear" w:color="auto" w:fill="auto"/>
            <w:vAlign w:val="center"/>
            <w:hideMark/>
          </w:tcPr>
          <w:p w14:paraId="61BDB713" w14:textId="29C90251"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16.201.855</w:t>
            </w:r>
          </w:p>
        </w:tc>
        <w:tc>
          <w:tcPr>
            <w:tcW w:w="700" w:type="pct"/>
            <w:shd w:val="clear" w:color="auto" w:fill="auto"/>
            <w:vAlign w:val="center"/>
            <w:hideMark/>
          </w:tcPr>
          <w:p w14:paraId="462541AC" w14:textId="58090B49"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1,77</w:t>
            </w:r>
          </w:p>
        </w:tc>
        <w:tc>
          <w:tcPr>
            <w:tcW w:w="574" w:type="pct"/>
            <w:shd w:val="clear" w:color="auto" w:fill="auto"/>
            <w:vAlign w:val="center"/>
            <w:hideMark/>
          </w:tcPr>
          <w:p w14:paraId="1E55414C" w14:textId="7CA8B7F1"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344.720</w:t>
            </w:r>
          </w:p>
        </w:tc>
        <w:tc>
          <w:tcPr>
            <w:tcW w:w="702" w:type="pct"/>
            <w:shd w:val="clear" w:color="auto" w:fill="auto"/>
            <w:vAlign w:val="center"/>
            <w:hideMark/>
          </w:tcPr>
          <w:p w14:paraId="47B6C3F8" w14:textId="4029A71E" w:rsidR="003606AD" w:rsidRPr="00FF5442" w:rsidRDefault="003606AD" w:rsidP="00CD717C">
            <w:pPr>
              <w:spacing w:after="0" w:line="240" w:lineRule="auto"/>
              <w:jc w:val="right"/>
              <w:rPr>
                <w:rFonts w:ascii="Arial" w:eastAsia="Times New Roman" w:hAnsi="Arial" w:cs="Arial"/>
                <w:color w:val="000000"/>
                <w:sz w:val="18"/>
                <w:szCs w:val="18"/>
                <w:lang w:eastAsia="sl-SI"/>
              </w:rPr>
            </w:pPr>
            <w:r w:rsidRPr="00FF5442">
              <w:rPr>
                <w:rFonts w:ascii="Arial" w:hAnsi="Arial" w:cs="Arial"/>
                <w:sz w:val="18"/>
                <w:szCs w:val="18"/>
              </w:rPr>
              <w:t>195.203</w:t>
            </w:r>
          </w:p>
        </w:tc>
      </w:tr>
      <w:tr w:rsidR="00CD717C" w:rsidRPr="00FF5442" w14:paraId="23999F24" w14:textId="77777777" w:rsidTr="00B45EE0">
        <w:trPr>
          <w:gridAfter w:val="3"/>
          <w:wAfter w:w="1976" w:type="pct"/>
          <w:trHeight w:val="300"/>
        </w:trPr>
        <w:tc>
          <w:tcPr>
            <w:tcW w:w="1372" w:type="pct"/>
            <w:shd w:val="clear" w:color="auto" w:fill="E7E6E6" w:themeFill="background2"/>
            <w:vAlign w:val="center"/>
            <w:hideMark/>
          </w:tcPr>
          <w:p w14:paraId="23F5E0F8" w14:textId="77777777" w:rsidR="00CD717C" w:rsidRPr="00FF5442" w:rsidRDefault="00CD717C" w:rsidP="00CD717C">
            <w:pPr>
              <w:spacing w:after="0" w:line="240" w:lineRule="auto"/>
              <w:rPr>
                <w:rFonts w:ascii="Arial" w:eastAsia="Times New Roman" w:hAnsi="Arial" w:cs="Arial"/>
                <w:b/>
                <w:bCs/>
                <w:color w:val="000000"/>
                <w:sz w:val="18"/>
                <w:szCs w:val="18"/>
                <w:lang w:eastAsia="sl-SI"/>
              </w:rPr>
            </w:pPr>
            <w:r w:rsidRPr="00FF5442">
              <w:rPr>
                <w:rFonts w:ascii="Arial" w:eastAsia="Times New Roman" w:hAnsi="Arial" w:cs="Arial"/>
                <w:b/>
                <w:bCs/>
                <w:color w:val="000000"/>
                <w:sz w:val="18"/>
                <w:szCs w:val="18"/>
                <w:lang w:eastAsia="sl-SI"/>
              </w:rPr>
              <w:t>Skupaj</w:t>
            </w:r>
          </w:p>
        </w:tc>
        <w:tc>
          <w:tcPr>
            <w:tcW w:w="558" w:type="pct"/>
            <w:shd w:val="clear" w:color="auto" w:fill="E7E6E6" w:themeFill="background2"/>
            <w:vAlign w:val="center"/>
          </w:tcPr>
          <w:p w14:paraId="2AC45B05" w14:textId="25DF3FF7" w:rsidR="00CD717C" w:rsidRPr="00FF5442" w:rsidRDefault="00CD717C" w:rsidP="00CD717C">
            <w:pPr>
              <w:spacing w:after="0" w:line="240" w:lineRule="auto"/>
              <w:jc w:val="right"/>
              <w:rPr>
                <w:rFonts w:ascii="Arial" w:eastAsia="Times New Roman" w:hAnsi="Arial" w:cs="Arial"/>
                <w:b/>
                <w:bCs/>
                <w:color w:val="000000"/>
                <w:sz w:val="18"/>
                <w:szCs w:val="18"/>
                <w:lang w:eastAsia="sl-SI"/>
              </w:rPr>
            </w:pPr>
            <w:r w:rsidRPr="00FF5442">
              <w:rPr>
                <w:rFonts w:ascii="Arial" w:hAnsi="Arial" w:cs="Arial"/>
                <w:b/>
                <w:sz w:val="18"/>
                <w:szCs w:val="18"/>
              </w:rPr>
              <w:t>1.041</w:t>
            </w:r>
          </w:p>
        </w:tc>
        <w:tc>
          <w:tcPr>
            <w:tcW w:w="381" w:type="pct"/>
            <w:shd w:val="clear" w:color="auto" w:fill="E7E6E6" w:themeFill="background2"/>
            <w:vAlign w:val="center"/>
          </w:tcPr>
          <w:p w14:paraId="49E488E3" w14:textId="6D10E9CD" w:rsidR="00CD717C" w:rsidRPr="00FF5442" w:rsidRDefault="00CD717C" w:rsidP="00CD717C">
            <w:pPr>
              <w:spacing w:after="0" w:line="240" w:lineRule="auto"/>
              <w:jc w:val="right"/>
              <w:rPr>
                <w:rFonts w:ascii="Arial" w:eastAsia="Times New Roman" w:hAnsi="Arial" w:cs="Arial"/>
                <w:b/>
                <w:bCs/>
                <w:color w:val="000000"/>
                <w:sz w:val="18"/>
                <w:szCs w:val="18"/>
                <w:lang w:eastAsia="sl-SI"/>
              </w:rPr>
            </w:pPr>
            <w:r w:rsidRPr="00FF5442">
              <w:rPr>
                <w:rFonts w:ascii="Arial" w:hAnsi="Arial" w:cs="Arial"/>
                <w:b/>
                <w:sz w:val="18"/>
                <w:szCs w:val="18"/>
              </w:rPr>
              <w:t>16.865</w:t>
            </w:r>
          </w:p>
        </w:tc>
        <w:tc>
          <w:tcPr>
            <w:tcW w:w="713" w:type="pct"/>
            <w:shd w:val="clear" w:color="auto" w:fill="E7E6E6" w:themeFill="background2"/>
            <w:vAlign w:val="center"/>
          </w:tcPr>
          <w:p w14:paraId="5F643D89" w14:textId="6B34A3AF" w:rsidR="00CD717C" w:rsidRPr="00FF5442" w:rsidRDefault="00CD717C" w:rsidP="00CD717C">
            <w:pPr>
              <w:spacing w:after="0" w:line="240" w:lineRule="auto"/>
              <w:jc w:val="right"/>
              <w:rPr>
                <w:rFonts w:ascii="Arial" w:eastAsia="Times New Roman" w:hAnsi="Arial" w:cs="Arial"/>
                <w:b/>
                <w:bCs/>
                <w:color w:val="000000"/>
                <w:sz w:val="18"/>
                <w:szCs w:val="18"/>
                <w:lang w:eastAsia="sl-SI"/>
              </w:rPr>
            </w:pPr>
            <w:r w:rsidRPr="00FF5442">
              <w:rPr>
                <w:rFonts w:ascii="Arial" w:hAnsi="Arial" w:cs="Arial"/>
                <w:b/>
                <w:sz w:val="18"/>
                <w:szCs w:val="18"/>
              </w:rPr>
              <w:t>2.918.594.609</w:t>
            </w:r>
          </w:p>
        </w:tc>
      </w:tr>
    </w:tbl>
    <w:p w14:paraId="515736AE" w14:textId="2B77816C" w:rsidR="00FF5F34" w:rsidRPr="00FF5442" w:rsidRDefault="00FF5F34" w:rsidP="00854405">
      <w:pPr>
        <w:pStyle w:val="ZADEVA"/>
        <w:jc w:val="both"/>
        <w:rPr>
          <w:rFonts w:cs="Arial"/>
          <w:b w:val="0"/>
          <w:szCs w:val="20"/>
          <w:lang w:val="sl-SI"/>
        </w:rPr>
      </w:pPr>
    </w:p>
    <w:p w14:paraId="604D67C0" w14:textId="2998EE4E" w:rsidR="00690FB0" w:rsidRPr="00FF5442" w:rsidRDefault="00690FB0" w:rsidP="00701C10">
      <w:pPr>
        <w:spacing w:after="240" w:line="240" w:lineRule="auto"/>
        <w:jc w:val="center"/>
        <w:rPr>
          <w:rFonts w:ascii="Arial" w:hAnsi="Arial" w:cs="Arial"/>
          <w:sz w:val="18"/>
        </w:rPr>
      </w:pPr>
      <w:r w:rsidRPr="00FF5442">
        <w:rPr>
          <w:rFonts w:ascii="Arial" w:hAnsi="Arial" w:cs="Arial"/>
          <w:sz w:val="18"/>
        </w:rPr>
        <w:t>Vir: Statistični podatki o javnih</w:t>
      </w:r>
      <w:r w:rsidR="00113E89" w:rsidRPr="00FF5442">
        <w:rPr>
          <w:rFonts w:ascii="Arial" w:hAnsi="Arial" w:cs="Arial"/>
          <w:sz w:val="18"/>
        </w:rPr>
        <w:t xml:space="preserve"> naročilih, oddanih v letu 201</w:t>
      </w:r>
      <w:r w:rsidR="00F66074" w:rsidRPr="00FF5442">
        <w:rPr>
          <w:rFonts w:ascii="Arial" w:hAnsi="Arial" w:cs="Arial"/>
          <w:sz w:val="18"/>
        </w:rPr>
        <w:t>8</w:t>
      </w:r>
    </w:p>
    <w:p w14:paraId="2551D691" w14:textId="70E943C0" w:rsidR="00FF5F34" w:rsidRPr="003364E7" w:rsidRDefault="00FF5F34" w:rsidP="00FF5F34">
      <w:pPr>
        <w:pStyle w:val="Naslov3"/>
        <w:rPr>
          <w:rFonts w:ascii="Arial" w:hAnsi="Arial" w:cs="Arial"/>
          <w:sz w:val="22"/>
          <w:szCs w:val="22"/>
        </w:rPr>
      </w:pPr>
      <w:bookmarkStart w:id="24" w:name="_Toc17114062"/>
      <w:r w:rsidRPr="003364E7">
        <w:rPr>
          <w:rFonts w:ascii="Arial" w:hAnsi="Arial" w:cs="Arial"/>
          <w:sz w:val="22"/>
          <w:szCs w:val="22"/>
        </w:rPr>
        <w:lastRenderedPageBreak/>
        <w:t xml:space="preserve">2.4.3 Predmeti </w:t>
      </w:r>
      <w:r w:rsidR="00A95163" w:rsidRPr="003364E7">
        <w:rPr>
          <w:rFonts w:ascii="Arial" w:hAnsi="Arial" w:cs="Arial"/>
          <w:sz w:val="22"/>
          <w:szCs w:val="22"/>
        </w:rPr>
        <w:t>naročanja</w:t>
      </w:r>
      <w:bookmarkEnd w:id="24"/>
      <w:r w:rsidR="00A95163" w:rsidRPr="003364E7">
        <w:rPr>
          <w:rFonts w:ascii="Arial" w:hAnsi="Arial" w:cs="Arial"/>
          <w:sz w:val="22"/>
          <w:szCs w:val="22"/>
        </w:rPr>
        <w:t xml:space="preserve"> </w:t>
      </w:r>
    </w:p>
    <w:p w14:paraId="4FA14F84" w14:textId="77777777" w:rsidR="00FF5F34" w:rsidRPr="003364E7" w:rsidRDefault="00FF5F34" w:rsidP="00854405">
      <w:pPr>
        <w:pStyle w:val="ZADEVA"/>
        <w:jc w:val="both"/>
        <w:rPr>
          <w:rFonts w:cs="Arial"/>
          <w:b w:val="0"/>
          <w:szCs w:val="20"/>
          <w:lang w:val="sl-SI"/>
        </w:rPr>
      </w:pPr>
    </w:p>
    <w:p w14:paraId="3D4572A1" w14:textId="3027A86F" w:rsidR="00A95163" w:rsidRPr="003777A5" w:rsidRDefault="00A95163" w:rsidP="00A95163">
      <w:pPr>
        <w:spacing w:line="360" w:lineRule="auto"/>
        <w:jc w:val="both"/>
        <w:rPr>
          <w:rFonts w:ascii="Arial" w:hAnsi="Arial" w:cs="Arial"/>
          <w:sz w:val="20"/>
          <w:szCs w:val="20"/>
        </w:rPr>
      </w:pPr>
      <w:r w:rsidRPr="003364E7">
        <w:rPr>
          <w:rFonts w:ascii="Arial" w:hAnsi="Arial" w:cs="Arial"/>
          <w:sz w:val="20"/>
          <w:szCs w:val="20"/>
        </w:rPr>
        <w:t>Izmed naročil, ki jih je treba glede na vrednost objaviti vsaj na portal</w:t>
      </w:r>
      <w:r w:rsidR="00043238" w:rsidRPr="003364E7">
        <w:rPr>
          <w:rFonts w:ascii="Arial" w:hAnsi="Arial" w:cs="Arial"/>
          <w:sz w:val="20"/>
          <w:szCs w:val="20"/>
        </w:rPr>
        <w:t>u javnih naročil, so let</w:t>
      </w:r>
      <w:r w:rsidR="008E09B2">
        <w:rPr>
          <w:rFonts w:ascii="Arial" w:hAnsi="Arial" w:cs="Arial"/>
          <w:sz w:val="20"/>
          <w:szCs w:val="20"/>
        </w:rPr>
        <w:t>a</w:t>
      </w:r>
      <w:r w:rsidR="00043238" w:rsidRPr="003364E7">
        <w:rPr>
          <w:rFonts w:ascii="Arial" w:hAnsi="Arial" w:cs="Arial"/>
          <w:sz w:val="20"/>
          <w:szCs w:val="20"/>
        </w:rPr>
        <w:t xml:space="preserve"> 201</w:t>
      </w:r>
      <w:r w:rsidR="00EF0FC4" w:rsidRPr="003364E7">
        <w:rPr>
          <w:rFonts w:ascii="Arial" w:hAnsi="Arial" w:cs="Arial"/>
          <w:sz w:val="20"/>
          <w:szCs w:val="20"/>
        </w:rPr>
        <w:t>8</w:t>
      </w:r>
      <w:r w:rsidRPr="003364E7">
        <w:rPr>
          <w:rFonts w:ascii="Arial" w:hAnsi="Arial" w:cs="Arial"/>
          <w:sz w:val="20"/>
          <w:szCs w:val="20"/>
        </w:rPr>
        <w:t xml:space="preserve"> naročniki najpogosteje naročali blago, in sicer v </w:t>
      </w:r>
      <w:r w:rsidR="00043238" w:rsidRPr="003364E7">
        <w:rPr>
          <w:rFonts w:ascii="Arial" w:hAnsi="Arial" w:cs="Arial"/>
          <w:sz w:val="20"/>
          <w:szCs w:val="20"/>
        </w:rPr>
        <w:t>10.</w:t>
      </w:r>
      <w:r w:rsidR="00965594" w:rsidRPr="003364E7">
        <w:rPr>
          <w:rFonts w:ascii="Arial" w:hAnsi="Arial" w:cs="Arial"/>
          <w:sz w:val="20"/>
          <w:szCs w:val="20"/>
        </w:rPr>
        <w:t>96</w:t>
      </w:r>
      <w:r w:rsidR="003364E7" w:rsidRPr="003364E7">
        <w:rPr>
          <w:rFonts w:ascii="Arial" w:hAnsi="Arial" w:cs="Arial"/>
          <w:sz w:val="20"/>
          <w:szCs w:val="20"/>
        </w:rPr>
        <w:t>7</w:t>
      </w:r>
      <w:r w:rsidRPr="003364E7">
        <w:rPr>
          <w:rFonts w:ascii="Arial" w:hAnsi="Arial" w:cs="Arial"/>
          <w:sz w:val="20"/>
          <w:szCs w:val="20"/>
        </w:rPr>
        <w:t xml:space="preserve"> primerih oziroma </w:t>
      </w:r>
      <w:r w:rsidR="00CB5246" w:rsidRPr="003364E7">
        <w:rPr>
          <w:rFonts w:ascii="Arial" w:hAnsi="Arial" w:cs="Arial"/>
          <w:sz w:val="20"/>
          <w:szCs w:val="20"/>
        </w:rPr>
        <w:t>65,0</w:t>
      </w:r>
      <w:r w:rsidR="003364E7" w:rsidRPr="003364E7">
        <w:rPr>
          <w:rFonts w:ascii="Arial" w:hAnsi="Arial" w:cs="Arial"/>
          <w:sz w:val="20"/>
          <w:szCs w:val="20"/>
        </w:rPr>
        <w:t>3</w:t>
      </w:r>
      <w:r w:rsidRPr="003364E7">
        <w:rPr>
          <w:rFonts w:ascii="Arial" w:hAnsi="Arial" w:cs="Arial"/>
          <w:sz w:val="20"/>
          <w:szCs w:val="20"/>
        </w:rPr>
        <w:t> </w:t>
      </w:r>
      <w:r w:rsidR="0029442D" w:rsidRPr="003364E7">
        <w:rPr>
          <w:rFonts w:ascii="Arial" w:hAnsi="Arial" w:cs="Arial"/>
          <w:sz w:val="20"/>
          <w:szCs w:val="20"/>
        </w:rPr>
        <w:t>%</w:t>
      </w:r>
      <w:r w:rsidRPr="003364E7">
        <w:rPr>
          <w:rFonts w:ascii="Arial" w:hAnsi="Arial" w:cs="Arial"/>
          <w:sz w:val="20"/>
          <w:szCs w:val="20"/>
        </w:rPr>
        <w:t xml:space="preserve">. Delež naročil storitev je obsegal </w:t>
      </w:r>
      <w:r w:rsidR="00491E1B" w:rsidRPr="003364E7">
        <w:rPr>
          <w:rFonts w:ascii="Arial" w:hAnsi="Arial" w:cs="Arial"/>
          <w:sz w:val="20"/>
          <w:szCs w:val="20"/>
        </w:rPr>
        <w:t>23,07</w:t>
      </w:r>
      <w:r w:rsidR="004F0F58" w:rsidRPr="003364E7">
        <w:rPr>
          <w:rFonts w:ascii="Arial" w:hAnsi="Arial" w:cs="Arial"/>
          <w:sz w:val="20"/>
          <w:szCs w:val="20"/>
        </w:rPr>
        <w:t xml:space="preserve"> </w:t>
      </w:r>
      <w:r w:rsidR="0029442D" w:rsidRPr="003364E7">
        <w:rPr>
          <w:rFonts w:ascii="Arial" w:hAnsi="Arial" w:cs="Arial"/>
          <w:sz w:val="20"/>
          <w:szCs w:val="20"/>
        </w:rPr>
        <w:t>%</w:t>
      </w:r>
      <w:r w:rsidRPr="003364E7">
        <w:rPr>
          <w:rFonts w:ascii="Arial" w:hAnsi="Arial" w:cs="Arial"/>
          <w:sz w:val="20"/>
          <w:szCs w:val="20"/>
        </w:rPr>
        <w:t xml:space="preserve"> vseh naročil, preostanek pa so bila naročila gradenj. Glede na vrednost naročil so na prvem mestu naročila blaga, ki z vrednostjo </w:t>
      </w:r>
      <w:r w:rsidR="003364E7" w:rsidRPr="003364E7">
        <w:rPr>
          <w:rFonts w:ascii="Arial" w:eastAsia="Times New Roman" w:hAnsi="Arial" w:cs="Arial"/>
          <w:color w:val="000000"/>
          <w:sz w:val="20"/>
          <w:szCs w:val="20"/>
          <w:lang w:eastAsia="sl-SI"/>
        </w:rPr>
        <w:t xml:space="preserve">1.197.625.996 </w:t>
      </w:r>
      <w:r w:rsidRPr="003364E7">
        <w:rPr>
          <w:rFonts w:ascii="Arial" w:hAnsi="Arial" w:cs="Arial"/>
          <w:sz w:val="20"/>
          <w:szCs w:val="20"/>
        </w:rPr>
        <w:t xml:space="preserve">evrov pomenijo </w:t>
      </w:r>
      <w:r w:rsidR="00491E1B" w:rsidRPr="003364E7">
        <w:rPr>
          <w:rFonts w:ascii="Arial" w:hAnsi="Arial" w:cs="Arial"/>
          <w:sz w:val="20"/>
          <w:szCs w:val="20"/>
        </w:rPr>
        <w:t>41,0</w:t>
      </w:r>
      <w:r w:rsidR="003364E7" w:rsidRPr="003364E7">
        <w:rPr>
          <w:rFonts w:ascii="Arial" w:hAnsi="Arial" w:cs="Arial"/>
          <w:sz w:val="20"/>
          <w:szCs w:val="20"/>
        </w:rPr>
        <w:t>3</w:t>
      </w:r>
      <w:r w:rsidR="00491E1B" w:rsidRPr="003364E7">
        <w:rPr>
          <w:rFonts w:ascii="Arial" w:hAnsi="Arial" w:cs="Arial"/>
          <w:sz w:val="20"/>
          <w:szCs w:val="20"/>
        </w:rPr>
        <w:t xml:space="preserve"> </w:t>
      </w:r>
      <w:r w:rsidR="0029442D" w:rsidRPr="003364E7">
        <w:rPr>
          <w:rFonts w:ascii="Arial" w:hAnsi="Arial" w:cs="Arial"/>
          <w:sz w:val="20"/>
          <w:szCs w:val="20"/>
        </w:rPr>
        <w:t>%</w:t>
      </w:r>
      <w:r w:rsidRPr="003364E7">
        <w:rPr>
          <w:rFonts w:ascii="Arial" w:hAnsi="Arial" w:cs="Arial"/>
          <w:sz w:val="20"/>
          <w:szCs w:val="20"/>
        </w:rPr>
        <w:t xml:space="preserve"> vrednosti vseh </w:t>
      </w:r>
      <w:r w:rsidRPr="003777A5">
        <w:rPr>
          <w:rFonts w:ascii="Arial" w:hAnsi="Arial" w:cs="Arial"/>
          <w:sz w:val="20"/>
          <w:szCs w:val="20"/>
        </w:rPr>
        <w:t xml:space="preserve">naročil, </w:t>
      </w:r>
      <w:r w:rsidR="00206D8E" w:rsidRPr="003777A5">
        <w:rPr>
          <w:rFonts w:ascii="Arial" w:hAnsi="Arial" w:cs="Arial"/>
          <w:sz w:val="20"/>
          <w:szCs w:val="20"/>
        </w:rPr>
        <w:t xml:space="preserve">naročil </w:t>
      </w:r>
      <w:r w:rsidR="00491E1B" w:rsidRPr="003777A5">
        <w:rPr>
          <w:rFonts w:ascii="Arial" w:hAnsi="Arial" w:cs="Arial"/>
          <w:sz w:val="20"/>
          <w:szCs w:val="20"/>
        </w:rPr>
        <w:t>gradenj</w:t>
      </w:r>
      <w:r w:rsidR="00206D8E" w:rsidRPr="003777A5">
        <w:rPr>
          <w:rFonts w:ascii="Arial" w:hAnsi="Arial" w:cs="Arial"/>
          <w:sz w:val="20"/>
          <w:szCs w:val="20"/>
        </w:rPr>
        <w:t xml:space="preserve"> je bilo za </w:t>
      </w:r>
      <w:r w:rsidR="00C27B17" w:rsidRPr="003777A5">
        <w:rPr>
          <w:rFonts w:ascii="Arial" w:eastAsia="Times New Roman" w:hAnsi="Arial" w:cs="Arial"/>
          <w:color w:val="000000"/>
          <w:sz w:val="20"/>
          <w:szCs w:val="20"/>
          <w:lang w:eastAsia="sl-SI"/>
        </w:rPr>
        <w:t xml:space="preserve">957.026.531 </w:t>
      </w:r>
      <w:r w:rsidR="00043238" w:rsidRPr="003777A5">
        <w:rPr>
          <w:rFonts w:ascii="Arial" w:hAnsi="Arial" w:cs="Arial"/>
          <w:sz w:val="20"/>
          <w:szCs w:val="20"/>
        </w:rPr>
        <w:t>evrov, kar je 3</w:t>
      </w:r>
      <w:r w:rsidR="00491E1B" w:rsidRPr="003777A5">
        <w:rPr>
          <w:rFonts w:ascii="Arial" w:hAnsi="Arial" w:cs="Arial"/>
          <w:sz w:val="20"/>
          <w:szCs w:val="20"/>
        </w:rPr>
        <w:t>2,7</w:t>
      </w:r>
      <w:r w:rsidR="003777A5" w:rsidRPr="003777A5">
        <w:rPr>
          <w:rFonts w:ascii="Arial" w:hAnsi="Arial" w:cs="Arial"/>
          <w:sz w:val="20"/>
          <w:szCs w:val="20"/>
        </w:rPr>
        <w:t>9</w:t>
      </w:r>
      <w:r w:rsidR="00206D8E" w:rsidRPr="003777A5">
        <w:rPr>
          <w:rFonts w:ascii="Arial" w:hAnsi="Arial" w:cs="Arial"/>
          <w:sz w:val="20"/>
          <w:szCs w:val="20"/>
        </w:rPr>
        <w:t> </w:t>
      </w:r>
      <w:r w:rsidR="0029442D" w:rsidRPr="003777A5">
        <w:rPr>
          <w:rFonts w:ascii="Arial" w:hAnsi="Arial" w:cs="Arial"/>
          <w:sz w:val="20"/>
          <w:szCs w:val="20"/>
        </w:rPr>
        <w:t>%</w:t>
      </w:r>
      <w:r w:rsidR="00206D8E" w:rsidRPr="003777A5">
        <w:rPr>
          <w:rFonts w:ascii="Arial" w:hAnsi="Arial" w:cs="Arial"/>
          <w:sz w:val="20"/>
          <w:szCs w:val="20"/>
        </w:rPr>
        <w:t xml:space="preserve"> vrednosti vseh naročil, preost</w:t>
      </w:r>
      <w:r w:rsidR="007E0D0D" w:rsidRPr="003777A5">
        <w:rPr>
          <w:rFonts w:ascii="Arial" w:hAnsi="Arial" w:cs="Arial"/>
          <w:sz w:val="20"/>
          <w:szCs w:val="20"/>
        </w:rPr>
        <w:t xml:space="preserve">anek pa so bila naročila </w:t>
      </w:r>
      <w:r w:rsidR="004F0F58" w:rsidRPr="003777A5">
        <w:rPr>
          <w:rFonts w:ascii="Arial" w:hAnsi="Arial" w:cs="Arial"/>
          <w:sz w:val="20"/>
          <w:szCs w:val="20"/>
        </w:rPr>
        <w:t>storitev</w:t>
      </w:r>
      <w:r w:rsidRPr="003777A5">
        <w:rPr>
          <w:rFonts w:ascii="Arial" w:hAnsi="Arial" w:cs="Arial"/>
          <w:sz w:val="20"/>
          <w:szCs w:val="20"/>
        </w:rPr>
        <w:t>.</w:t>
      </w:r>
    </w:p>
    <w:p w14:paraId="429AC417" w14:textId="5E836D96" w:rsidR="005A7AC7" w:rsidRPr="0015500A" w:rsidRDefault="009E5786" w:rsidP="008A61FD">
      <w:pPr>
        <w:spacing w:before="120" w:after="120" w:line="240" w:lineRule="auto"/>
        <w:jc w:val="both"/>
        <w:rPr>
          <w:rFonts w:ascii="Arial" w:hAnsi="Arial" w:cs="Arial"/>
          <w:sz w:val="20"/>
        </w:rPr>
      </w:pPr>
      <w:r w:rsidRPr="0015500A">
        <w:rPr>
          <w:rFonts w:ascii="Arial" w:hAnsi="Arial" w:cs="Arial"/>
          <w:sz w:val="20"/>
        </w:rPr>
        <w:t>P</w:t>
      </w:r>
      <w:r w:rsidR="005A7AC7" w:rsidRPr="0015500A">
        <w:rPr>
          <w:rFonts w:ascii="Arial" w:hAnsi="Arial" w:cs="Arial"/>
          <w:sz w:val="20"/>
        </w:rPr>
        <w:t xml:space="preserve">reglednica </w:t>
      </w:r>
      <w:r w:rsidR="0083702C" w:rsidRPr="0015500A">
        <w:rPr>
          <w:rFonts w:ascii="Arial" w:hAnsi="Arial" w:cs="Arial"/>
          <w:sz w:val="20"/>
        </w:rPr>
        <w:t>3</w:t>
      </w:r>
      <w:r w:rsidR="00EB4423">
        <w:rPr>
          <w:rFonts w:ascii="Arial" w:hAnsi="Arial" w:cs="Arial"/>
          <w:sz w:val="20"/>
        </w:rPr>
        <w:t>0</w:t>
      </w:r>
      <w:r w:rsidR="005A7AC7" w:rsidRPr="0015500A">
        <w:rPr>
          <w:rFonts w:ascii="Arial" w:hAnsi="Arial" w:cs="Arial"/>
          <w:sz w:val="20"/>
        </w:rPr>
        <w:t xml:space="preserve">: </w:t>
      </w:r>
      <w:r w:rsidR="00206D8E" w:rsidRPr="0015500A">
        <w:rPr>
          <w:rFonts w:ascii="Arial" w:hAnsi="Arial" w:cs="Arial"/>
          <w:sz w:val="20"/>
        </w:rPr>
        <w:t>Vrednost, število in deleži javnih naročil, objavljenih na portalu javnih naročil oziroma</w:t>
      </w:r>
      <w:r w:rsidR="00680D9B" w:rsidRPr="0015500A">
        <w:rPr>
          <w:rFonts w:ascii="Arial" w:hAnsi="Arial" w:cs="Arial"/>
          <w:sz w:val="20"/>
        </w:rPr>
        <w:t xml:space="preserve"> v</w:t>
      </w:r>
      <w:r w:rsidR="00206D8E" w:rsidRPr="0015500A">
        <w:rPr>
          <w:rFonts w:ascii="Arial" w:hAnsi="Arial" w:cs="Arial"/>
          <w:sz w:val="20"/>
        </w:rPr>
        <w:t xml:space="preserve"> Uradnem listu Evropske unije, po predmetu naročanja</w:t>
      </w:r>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960"/>
        <w:gridCol w:w="1300"/>
        <w:gridCol w:w="960"/>
        <w:gridCol w:w="960"/>
      </w:tblGrid>
      <w:tr w:rsidR="00965594" w:rsidRPr="0015500A" w14:paraId="22B31ED6" w14:textId="77777777" w:rsidTr="005732EF">
        <w:trPr>
          <w:trHeight w:val="720"/>
          <w:jc w:val="center"/>
        </w:trPr>
        <w:tc>
          <w:tcPr>
            <w:tcW w:w="959" w:type="dxa"/>
            <w:shd w:val="clear" w:color="000000" w:fill="EDEDED"/>
            <w:vAlign w:val="center"/>
            <w:hideMark/>
          </w:tcPr>
          <w:p w14:paraId="27F7F7B9" w14:textId="77777777" w:rsidR="00965594" w:rsidRPr="0015500A" w:rsidRDefault="00965594" w:rsidP="00337CA1">
            <w:pPr>
              <w:spacing w:after="0" w:line="240" w:lineRule="auto"/>
              <w:jc w:val="center"/>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 xml:space="preserve">Predmet </w:t>
            </w:r>
          </w:p>
        </w:tc>
        <w:tc>
          <w:tcPr>
            <w:tcW w:w="960" w:type="dxa"/>
            <w:shd w:val="clear" w:color="000000" w:fill="EDEDED"/>
            <w:vAlign w:val="center"/>
            <w:hideMark/>
          </w:tcPr>
          <w:p w14:paraId="6EE74C9F" w14:textId="77777777" w:rsidR="00965594" w:rsidRPr="0015500A" w:rsidRDefault="00965594" w:rsidP="00337CA1">
            <w:pPr>
              <w:spacing w:after="0" w:line="240" w:lineRule="auto"/>
              <w:jc w:val="center"/>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Št. naročil</w:t>
            </w:r>
          </w:p>
        </w:tc>
        <w:tc>
          <w:tcPr>
            <w:tcW w:w="1300" w:type="dxa"/>
            <w:shd w:val="clear" w:color="000000" w:fill="EDEDED"/>
            <w:vAlign w:val="center"/>
            <w:hideMark/>
          </w:tcPr>
          <w:p w14:paraId="3A73567D" w14:textId="77777777" w:rsidR="00965594" w:rsidRPr="0015500A" w:rsidRDefault="00965594" w:rsidP="00337CA1">
            <w:pPr>
              <w:spacing w:after="0" w:line="240" w:lineRule="auto"/>
              <w:jc w:val="center"/>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Pogodbena vrednost</w:t>
            </w:r>
          </w:p>
        </w:tc>
        <w:tc>
          <w:tcPr>
            <w:tcW w:w="960" w:type="dxa"/>
            <w:shd w:val="clear" w:color="000000" w:fill="EDEDED"/>
            <w:vAlign w:val="center"/>
            <w:hideMark/>
          </w:tcPr>
          <w:p w14:paraId="5AE80DDA" w14:textId="77777777" w:rsidR="00965594" w:rsidRPr="0015500A" w:rsidRDefault="00965594" w:rsidP="00337CA1">
            <w:pPr>
              <w:spacing w:after="0" w:line="240" w:lineRule="auto"/>
              <w:jc w:val="center"/>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Delež v št. naročil</w:t>
            </w:r>
          </w:p>
        </w:tc>
        <w:tc>
          <w:tcPr>
            <w:tcW w:w="960" w:type="dxa"/>
            <w:shd w:val="clear" w:color="000000" w:fill="EDEDED"/>
            <w:vAlign w:val="center"/>
            <w:hideMark/>
          </w:tcPr>
          <w:p w14:paraId="13684887" w14:textId="77777777" w:rsidR="00965594" w:rsidRPr="0015500A" w:rsidRDefault="00965594" w:rsidP="00337CA1">
            <w:pPr>
              <w:spacing w:after="0" w:line="240" w:lineRule="auto"/>
              <w:jc w:val="center"/>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Delež v vrednosti</w:t>
            </w:r>
          </w:p>
        </w:tc>
      </w:tr>
      <w:tr w:rsidR="0015500A" w:rsidRPr="0015500A" w14:paraId="5051084A" w14:textId="77777777" w:rsidTr="005732EF">
        <w:trPr>
          <w:trHeight w:val="300"/>
          <w:jc w:val="center"/>
        </w:trPr>
        <w:tc>
          <w:tcPr>
            <w:tcW w:w="959" w:type="dxa"/>
            <w:shd w:val="clear" w:color="auto" w:fill="auto"/>
            <w:vAlign w:val="center"/>
            <w:hideMark/>
          </w:tcPr>
          <w:p w14:paraId="4CB2CFA2" w14:textId="77777777" w:rsidR="0015500A" w:rsidRPr="0015500A" w:rsidRDefault="0015500A" w:rsidP="0015500A">
            <w:pPr>
              <w:spacing w:after="0" w:line="240" w:lineRule="auto"/>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Blago</w:t>
            </w:r>
          </w:p>
        </w:tc>
        <w:tc>
          <w:tcPr>
            <w:tcW w:w="960" w:type="dxa"/>
            <w:shd w:val="clear" w:color="auto" w:fill="auto"/>
            <w:vAlign w:val="center"/>
            <w:hideMark/>
          </w:tcPr>
          <w:p w14:paraId="02D4562B" w14:textId="1992AD21"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10.967</w:t>
            </w:r>
          </w:p>
        </w:tc>
        <w:tc>
          <w:tcPr>
            <w:tcW w:w="1300" w:type="dxa"/>
            <w:shd w:val="clear" w:color="auto" w:fill="auto"/>
            <w:vAlign w:val="center"/>
            <w:hideMark/>
          </w:tcPr>
          <w:p w14:paraId="26FA5AB5" w14:textId="025550F9"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1.197.625.996</w:t>
            </w:r>
          </w:p>
        </w:tc>
        <w:tc>
          <w:tcPr>
            <w:tcW w:w="960" w:type="dxa"/>
            <w:shd w:val="clear" w:color="auto" w:fill="auto"/>
            <w:noWrap/>
            <w:vAlign w:val="center"/>
            <w:hideMark/>
          </w:tcPr>
          <w:p w14:paraId="796E93C0" w14:textId="7F5BB33E"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65,03</w:t>
            </w:r>
            <w:r w:rsidR="0091553B">
              <w:rPr>
                <w:rFonts w:ascii="Arial" w:hAnsi="Arial" w:cs="Arial"/>
                <w:sz w:val="18"/>
                <w:szCs w:val="18"/>
              </w:rPr>
              <w:t xml:space="preserve"> </w:t>
            </w:r>
            <w:r w:rsidRPr="0015500A">
              <w:rPr>
                <w:rFonts w:ascii="Arial" w:hAnsi="Arial" w:cs="Arial"/>
                <w:sz w:val="18"/>
                <w:szCs w:val="18"/>
              </w:rPr>
              <w:t>%</w:t>
            </w:r>
          </w:p>
        </w:tc>
        <w:tc>
          <w:tcPr>
            <w:tcW w:w="960" w:type="dxa"/>
            <w:shd w:val="clear" w:color="auto" w:fill="auto"/>
            <w:noWrap/>
            <w:vAlign w:val="center"/>
            <w:hideMark/>
          </w:tcPr>
          <w:p w14:paraId="222714AD" w14:textId="3248D8B7"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41,03</w:t>
            </w:r>
            <w:r w:rsidR="0091553B">
              <w:rPr>
                <w:rFonts w:ascii="Arial" w:hAnsi="Arial" w:cs="Arial"/>
                <w:sz w:val="18"/>
                <w:szCs w:val="18"/>
              </w:rPr>
              <w:t xml:space="preserve"> </w:t>
            </w:r>
            <w:r w:rsidRPr="0015500A">
              <w:rPr>
                <w:rFonts w:ascii="Arial" w:hAnsi="Arial" w:cs="Arial"/>
                <w:sz w:val="18"/>
                <w:szCs w:val="18"/>
              </w:rPr>
              <w:t>%</w:t>
            </w:r>
          </w:p>
        </w:tc>
      </w:tr>
      <w:tr w:rsidR="0015500A" w:rsidRPr="0015500A" w14:paraId="18ECC04F" w14:textId="77777777" w:rsidTr="005732EF">
        <w:trPr>
          <w:trHeight w:val="300"/>
          <w:jc w:val="center"/>
        </w:trPr>
        <w:tc>
          <w:tcPr>
            <w:tcW w:w="959" w:type="dxa"/>
            <w:shd w:val="clear" w:color="auto" w:fill="auto"/>
            <w:vAlign w:val="center"/>
            <w:hideMark/>
          </w:tcPr>
          <w:p w14:paraId="4FB7D7BF" w14:textId="77777777" w:rsidR="0015500A" w:rsidRPr="0015500A" w:rsidRDefault="0015500A" w:rsidP="0015500A">
            <w:pPr>
              <w:spacing w:after="0" w:line="240" w:lineRule="auto"/>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Storitve</w:t>
            </w:r>
          </w:p>
        </w:tc>
        <w:tc>
          <w:tcPr>
            <w:tcW w:w="960" w:type="dxa"/>
            <w:shd w:val="clear" w:color="auto" w:fill="auto"/>
            <w:vAlign w:val="center"/>
            <w:hideMark/>
          </w:tcPr>
          <w:p w14:paraId="5ADCA48F" w14:textId="14EA3BAE"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3.890</w:t>
            </w:r>
          </w:p>
        </w:tc>
        <w:tc>
          <w:tcPr>
            <w:tcW w:w="1300" w:type="dxa"/>
            <w:shd w:val="clear" w:color="auto" w:fill="auto"/>
            <w:vAlign w:val="center"/>
            <w:hideMark/>
          </w:tcPr>
          <w:p w14:paraId="5DA1EA8C" w14:textId="1B1ACFF4"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763.942.082</w:t>
            </w:r>
          </w:p>
        </w:tc>
        <w:tc>
          <w:tcPr>
            <w:tcW w:w="960" w:type="dxa"/>
            <w:shd w:val="clear" w:color="auto" w:fill="auto"/>
            <w:noWrap/>
            <w:vAlign w:val="center"/>
            <w:hideMark/>
          </w:tcPr>
          <w:p w14:paraId="2313BCF0" w14:textId="7BF84044"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23,07</w:t>
            </w:r>
            <w:r w:rsidR="0091553B">
              <w:rPr>
                <w:rFonts w:ascii="Arial" w:hAnsi="Arial" w:cs="Arial"/>
                <w:sz w:val="18"/>
                <w:szCs w:val="18"/>
              </w:rPr>
              <w:t xml:space="preserve"> </w:t>
            </w:r>
            <w:r w:rsidRPr="0015500A">
              <w:rPr>
                <w:rFonts w:ascii="Arial" w:hAnsi="Arial" w:cs="Arial"/>
                <w:sz w:val="18"/>
                <w:szCs w:val="18"/>
              </w:rPr>
              <w:t>%</w:t>
            </w:r>
          </w:p>
        </w:tc>
        <w:tc>
          <w:tcPr>
            <w:tcW w:w="960" w:type="dxa"/>
            <w:shd w:val="clear" w:color="auto" w:fill="auto"/>
            <w:noWrap/>
            <w:vAlign w:val="center"/>
            <w:hideMark/>
          </w:tcPr>
          <w:p w14:paraId="47440E7E" w14:textId="2FAEC2BE"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26,17</w:t>
            </w:r>
            <w:r w:rsidR="0091553B">
              <w:rPr>
                <w:rFonts w:ascii="Arial" w:hAnsi="Arial" w:cs="Arial"/>
                <w:sz w:val="18"/>
                <w:szCs w:val="18"/>
              </w:rPr>
              <w:t xml:space="preserve"> </w:t>
            </w:r>
            <w:r w:rsidRPr="0015500A">
              <w:rPr>
                <w:rFonts w:ascii="Arial" w:hAnsi="Arial" w:cs="Arial"/>
                <w:sz w:val="18"/>
                <w:szCs w:val="18"/>
              </w:rPr>
              <w:t>%</w:t>
            </w:r>
          </w:p>
        </w:tc>
      </w:tr>
      <w:tr w:rsidR="0015500A" w:rsidRPr="0015500A" w14:paraId="3267D483" w14:textId="77777777" w:rsidTr="005732EF">
        <w:trPr>
          <w:trHeight w:val="300"/>
          <w:jc w:val="center"/>
        </w:trPr>
        <w:tc>
          <w:tcPr>
            <w:tcW w:w="959" w:type="dxa"/>
            <w:shd w:val="clear" w:color="auto" w:fill="auto"/>
            <w:vAlign w:val="center"/>
            <w:hideMark/>
          </w:tcPr>
          <w:p w14:paraId="4D9A4395" w14:textId="77777777" w:rsidR="0015500A" w:rsidRPr="0015500A" w:rsidRDefault="0015500A" w:rsidP="0015500A">
            <w:pPr>
              <w:spacing w:after="0" w:line="240" w:lineRule="auto"/>
              <w:rPr>
                <w:rFonts w:ascii="Arial" w:eastAsia="Times New Roman" w:hAnsi="Arial" w:cs="Arial"/>
                <w:color w:val="000000"/>
                <w:sz w:val="18"/>
                <w:szCs w:val="18"/>
                <w:lang w:eastAsia="sl-SI"/>
              </w:rPr>
            </w:pPr>
            <w:r w:rsidRPr="0015500A">
              <w:rPr>
                <w:rFonts w:ascii="Arial" w:eastAsia="Times New Roman" w:hAnsi="Arial" w:cs="Arial"/>
                <w:color w:val="000000"/>
                <w:sz w:val="18"/>
                <w:szCs w:val="18"/>
                <w:lang w:eastAsia="sl-SI"/>
              </w:rPr>
              <w:t>Gradnje</w:t>
            </w:r>
          </w:p>
        </w:tc>
        <w:tc>
          <w:tcPr>
            <w:tcW w:w="960" w:type="dxa"/>
            <w:shd w:val="clear" w:color="auto" w:fill="auto"/>
            <w:vAlign w:val="center"/>
            <w:hideMark/>
          </w:tcPr>
          <w:p w14:paraId="321F7D67" w14:textId="0B541275"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2.008</w:t>
            </w:r>
          </w:p>
        </w:tc>
        <w:tc>
          <w:tcPr>
            <w:tcW w:w="1300" w:type="dxa"/>
            <w:shd w:val="clear" w:color="auto" w:fill="auto"/>
            <w:vAlign w:val="center"/>
            <w:hideMark/>
          </w:tcPr>
          <w:p w14:paraId="7D1A9CD3" w14:textId="56AEFAAE"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957.026.531</w:t>
            </w:r>
          </w:p>
        </w:tc>
        <w:tc>
          <w:tcPr>
            <w:tcW w:w="960" w:type="dxa"/>
            <w:shd w:val="clear" w:color="auto" w:fill="auto"/>
            <w:noWrap/>
            <w:vAlign w:val="center"/>
            <w:hideMark/>
          </w:tcPr>
          <w:p w14:paraId="5BF8EFF7" w14:textId="7DC65C86"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11,91</w:t>
            </w:r>
            <w:r w:rsidR="0091553B">
              <w:rPr>
                <w:rFonts w:ascii="Arial" w:hAnsi="Arial" w:cs="Arial"/>
                <w:sz w:val="18"/>
                <w:szCs w:val="18"/>
              </w:rPr>
              <w:t xml:space="preserve"> </w:t>
            </w:r>
            <w:r w:rsidRPr="0015500A">
              <w:rPr>
                <w:rFonts w:ascii="Arial" w:hAnsi="Arial" w:cs="Arial"/>
                <w:sz w:val="18"/>
                <w:szCs w:val="18"/>
              </w:rPr>
              <w:t>%</w:t>
            </w:r>
          </w:p>
        </w:tc>
        <w:tc>
          <w:tcPr>
            <w:tcW w:w="960" w:type="dxa"/>
            <w:shd w:val="clear" w:color="auto" w:fill="auto"/>
            <w:noWrap/>
            <w:vAlign w:val="center"/>
            <w:hideMark/>
          </w:tcPr>
          <w:p w14:paraId="781AACE5" w14:textId="5E71B9D4" w:rsidR="0015500A" w:rsidRPr="0015500A" w:rsidRDefault="0015500A" w:rsidP="0015500A">
            <w:pPr>
              <w:spacing w:after="0" w:line="240" w:lineRule="auto"/>
              <w:jc w:val="right"/>
              <w:rPr>
                <w:rFonts w:ascii="Arial" w:eastAsia="Times New Roman" w:hAnsi="Arial" w:cs="Arial"/>
                <w:color w:val="000000"/>
                <w:sz w:val="18"/>
                <w:szCs w:val="18"/>
                <w:lang w:eastAsia="sl-SI"/>
              </w:rPr>
            </w:pPr>
            <w:r w:rsidRPr="0015500A">
              <w:rPr>
                <w:rFonts w:ascii="Arial" w:hAnsi="Arial" w:cs="Arial"/>
                <w:sz w:val="18"/>
                <w:szCs w:val="18"/>
              </w:rPr>
              <w:t>32,79</w:t>
            </w:r>
            <w:r w:rsidR="0091553B">
              <w:rPr>
                <w:rFonts w:ascii="Arial" w:hAnsi="Arial" w:cs="Arial"/>
                <w:sz w:val="18"/>
                <w:szCs w:val="18"/>
              </w:rPr>
              <w:t xml:space="preserve"> </w:t>
            </w:r>
            <w:r w:rsidRPr="0015500A">
              <w:rPr>
                <w:rFonts w:ascii="Arial" w:hAnsi="Arial" w:cs="Arial"/>
                <w:sz w:val="18"/>
                <w:szCs w:val="18"/>
              </w:rPr>
              <w:t>%</w:t>
            </w:r>
          </w:p>
        </w:tc>
      </w:tr>
      <w:tr w:rsidR="0015500A" w:rsidRPr="0015500A" w14:paraId="3550DDD8" w14:textId="77777777" w:rsidTr="005732EF">
        <w:trPr>
          <w:trHeight w:val="300"/>
          <w:jc w:val="center"/>
        </w:trPr>
        <w:tc>
          <w:tcPr>
            <w:tcW w:w="959" w:type="dxa"/>
            <w:shd w:val="clear" w:color="auto" w:fill="E7E6E6" w:themeFill="background2"/>
            <w:vAlign w:val="center"/>
            <w:hideMark/>
          </w:tcPr>
          <w:p w14:paraId="5450813A" w14:textId="77777777" w:rsidR="0015500A" w:rsidRPr="0015500A" w:rsidRDefault="0015500A" w:rsidP="0015500A">
            <w:pPr>
              <w:spacing w:after="0" w:line="240" w:lineRule="auto"/>
              <w:rPr>
                <w:rFonts w:ascii="Arial" w:eastAsia="Times New Roman" w:hAnsi="Arial" w:cs="Arial"/>
                <w:b/>
                <w:bCs/>
                <w:color w:val="000000"/>
                <w:sz w:val="18"/>
                <w:szCs w:val="18"/>
                <w:lang w:eastAsia="sl-SI"/>
              </w:rPr>
            </w:pPr>
            <w:r w:rsidRPr="0015500A">
              <w:rPr>
                <w:rFonts w:ascii="Arial" w:eastAsia="Times New Roman" w:hAnsi="Arial" w:cs="Arial"/>
                <w:b/>
                <w:bCs/>
                <w:color w:val="000000"/>
                <w:sz w:val="18"/>
                <w:szCs w:val="18"/>
                <w:lang w:eastAsia="sl-SI"/>
              </w:rPr>
              <w:t>Skupaj</w:t>
            </w:r>
          </w:p>
        </w:tc>
        <w:tc>
          <w:tcPr>
            <w:tcW w:w="960" w:type="dxa"/>
            <w:shd w:val="clear" w:color="auto" w:fill="E7E6E6" w:themeFill="background2"/>
            <w:noWrap/>
            <w:vAlign w:val="center"/>
            <w:hideMark/>
          </w:tcPr>
          <w:p w14:paraId="2F7A6D88" w14:textId="23F5A4AA" w:rsidR="0015500A" w:rsidRPr="0015500A" w:rsidRDefault="0015500A" w:rsidP="0015500A">
            <w:pPr>
              <w:spacing w:after="0" w:line="240" w:lineRule="auto"/>
              <w:jc w:val="right"/>
              <w:rPr>
                <w:rFonts w:ascii="Arial" w:eastAsia="Times New Roman" w:hAnsi="Arial" w:cs="Arial"/>
                <w:b/>
                <w:bCs/>
                <w:color w:val="000000"/>
                <w:sz w:val="18"/>
                <w:szCs w:val="18"/>
                <w:lang w:eastAsia="sl-SI"/>
              </w:rPr>
            </w:pPr>
            <w:r w:rsidRPr="0015500A">
              <w:rPr>
                <w:rFonts w:ascii="Arial" w:hAnsi="Arial" w:cs="Arial"/>
                <w:b/>
                <w:sz w:val="18"/>
                <w:szCs w:val="18"/>
              </w:rPr>
              <w:t>16.865</w:t>
            </w:r>
          </w:p>
        </w:tc>
        <w:tc>
          <w:tcPr>
            <w:tcW w:w="1300" w:type="dxa"/>
            <w:shd w:val="clear" w:color="auto" w:fill="E7E6E6" w:themeFill="background2"/>
            <w:noWrap/>
            <w:vAlign w:val="center"/>
            <w:hideMark/>
          </w:tcPr>
          <w:p w14:paraId="06C8BD9F" w14:textId="16099BA9" w:rsidR="0015500A" w:rsidRPr="0015500A" w:rsidRDefault="0015500A" w:rsidP="0015500A">
            <w:pPr>
              <w:spacing w:after="0" w:line="240" w:lineRule="auto"/>
              <w:jc w:val="right"/>
              <w:rPr>
                <w:rFonts w:ascii="Arial" w:eastAsia="Times New Roman" w:hAnsi="Arial" w:cs="Arial"/>
                <w:b/>
                <w:bCs/>
                <w:color w:val="000000"/>
                <w:sz w:val="18"/>
                <w:szCs w:val="18"/>
                <w:lang w:eastAsia="sl-SI"/>
              </w:rPr>
            </w:pPr>
            <w:r w:rsidRPr="0015500A">
              <w:rPr>
                <w:rFonts w:ascii="Arial" w:hAnsi="Arial" w:cs="Arial"/>
                <w:b/>
                <w:sz w:val="18"/>
                <w:szCs w:val="18"/>
              </w:rPr>
              <w:t>2.918.594.609</w:t>
            </w:r>
          </w:p>
        </w:tc>
        <w:tc>
          <w:tcPr>
            <w:tcW w:w="960" w:type="dxa"/>
            <w:shd w:val="clear" w:color="auto" w:fill="E7E6E6" w:themeFill="background2"/>
            <w:noWrap/>
            <w:vAlign w:val="center"/>
            <w:hideMark/>
          </w:tcPr>
          <w:p w14:paraId="6D25CA5B" w14:textId="3DD86935" w:rsidR="0015500A" w:rsidRPr="0015500A" w:rsidRDefault="0015500A" w:rsidP="0015500A">
            <w:pPr>
              <w:spacing w:after="0" w:line="240" w:lineRule="auto"/>
              <w:jc w:val="right"/>
              <w:rPr>
                <w:rFonts w:ascii="Arial" w:eastAsia="Times New Roman" w:hAnsi="Arial" w:cs="Arial"/>
                <w:b/>
                <w:bCs/>
                <w:color w:val="000000"/>
                <w:sz w:val="18"/>
                <w:szCs w:val="18"/>
                <w:lang w:eastAsia="sl-SI"/>
              </w:rPr>
            </w:pPr>
            <w:r w:rsidRPr="0015500A">
              <w:rPr>
                <w:rFonts w:ascii="Arial" w:hAnsi="Arial" w:cs="Arial"/>
                <w:b/>
                <w:sz w:val="18"/>
                <w:szCs w:val="18"/>
              </w:rPr>
              <w:t>100,00</w:t>
            </w:r>
            <w:r w:rsidR="0091553B">
              <w:rPr>
                <w:rFonts w:ascii="Arial" w:hAnsi="Arial" w:cs="Arial"/>
                <w:b/>
                <w:sz w:val="18"/>
                <w:szCs w:val="18"/>
              </w:rPr>
              <w:t xml:space="preserve"> </w:t>
            </w:r>
            <w:r w:rsidRPr="0015500A">
              <w:rPr>
                <w:rFonts w:ascii="Arial" w:hAnsi="Arial" w:cs="Arial"/>
                <w:b/>
                <w:sz w:val="18"/>
                <w:szCs w:val="18"/>
              </w:rPr>
              <w:t>%</w:t>
            </w:r>
          </w:p>
        </w:tc>
        <w:tc>
          <w:tcPr>
            <w:tcW w:w="960" w:type="dxa"/>
            <w:shd w:val="clear" w:color="auto" w:fill="E7E6E6" w:themeFill="background2"/>
            <w:noWrap/>
            <w:vAlign w:val="center"/>
            <w:hideMark/>
          </w:tcPr>
          <w:p w14:paraId="5DD0FB98" w14:textId="4BF2ECCE" w:rsidR="0015500A" w:rsidRPr="0015500A" w:rsidRDefault="0015500A" w:rsidP="0015500A">
            <w:pPr>
              <w:spacing w:after="0" w:line="240" w:lineRule="auto"/>
              <w:jc w:val="right"/>
              <w:rPr>
                <w:rFonts w:ascii="Arial" w:eastAsia="Times New Roman" w:hAnsi="Arial" w:cs="Arial"/>
                <w:b/>
                <w:bCs/>
                <w:color w:val="000000"/>
                <w:sz w:val="18"/>
                <w:szCs w:val="18"/>
                <w:lang w:eastAsia="sl-SI"/>
              </w:rPr>
            </w:pPr>
            <w:r w:rsidRPr="0015500A">
              <w:rPr>
                <w:rFonts w:ascii="Arial" w:hAnsi="Arial" w:cs="Arial"/>
                <w:b/>
                <w:sz w:val="18"/>
                <w:szCs w:val="18"/>
              </w:rPr>
              <w:t>100,00</w:t>
            </w:r>
            <w:r w:rsidR="0091553B">
              <w:rPr>
                <w:rFonts w:ascii="Arial" w:hAnsi="Arial" w:cs="Arial"/>
                <w:b/>
                <w:sz w:val="18"/>
                <w:szCs w:val="18"/>
              </w:rPr>
              <w:t xml:space="preserve"> </w:t>
            </w:r>
            <w:r w:rsidRPr="0015500A">
              <w:rPr>
                <w:rFonts w:ascii="Arial" w:hAnsi="Arial" w:cs="Arial"/>
                <w:b/>
                <w:sz w:val="18"/>
                <w:szCs w:val="18"/>
              </w:rPr>
              <w:t>%</w:t>
            </w:r>
          </w:p>
        </w:tc>
      </w:tr>
    </w:tbl>
    <w:p w14:paraId="6E3B8A06" w14:textId="77777777" w:rsidR="004A613D" w:rsidRPr="0015500A" w:rsidRDefault="004A613D" w:rsidP="004A613D">
      <w:pPr>
        <w:spacing w:after="0" w:line="240" w:lineRule="auto"/>
        <w:jc w:val="center"/>
        <w:rPr>
          <w:rFonts w:ascii="Arial" w:hAnsi="Arial" w:cs="Arial"/>
          <w:sz w:val="18"/>
        </w:rPr>
      </w:pPr>
    </w:p>
    <w:p w14:paraId="3A57FEF7" w14:textId="3E2B8FD2" w:rsidR="005A7AC7" w:rsidRPr="0015500A" w:rsidRDefault="005A7AC7" w:rsidP="004A613D">
      <w:pPr>
        <w:spacing w:after="0" w:line="240" w:lineRule="auto"/>
        <w:jc w:val="center"/>
        <w:rPr>
          <w:rFonts w:ascii="Arial" w:hAnsi="Arial" w:cs="Arial"/>
          <w:sz w:val="18"/>
        </w:rPr>
      </w:pPr>
      <w:r w:rsidRPr="0015500A">
        <w:rPr>
          <w:rFonts w:ascii="Arial" w:hAnsi="Arial" w:cs="Arial"/>
          <w:sz w:val="18"/>
        </w:rPr>
        <w:t>Vir: Statistični podatki o javnih naročilih, oddanih v letu</w:t>
      </w:r>
      <w:r w:rsidR="00D76FDF" w:rsidRPr="0015500A">
        <w:rPr>
          <w:rFonts w:ascii="Arial" w:hAnsi="Arial" w:cs="Arial"/>
          <w:sz w:val="18"/>
        </w:rPr>
        <w:t xml:space="preserve"> 201</w:t>
      </w:r>
      <w:r w:rsidR="00337CA1" w:rsidRPr="0015500A">
        <w:rPr>
          <w:rFonts w:ascii="Arial" w:hAnsi="Arial" w:cs="Arial"/>
          <w:sz w:val="18"/>
        </w:rPr>
        <w:t>8</w:t>
      </w:r>
    </w:p>
    <w:p w14:paraId="01A0B3C7" w14:textId="77777777" w:rsidR="000C0E46" w:rsidRPr="0015500A" w:rsidRDefault="000C0E46" w:rsidP="005925FE">
      <w:pPr>
        <w:spacing w:line="360" w:lineRule="auto"/>
        <w:jc w:val="both"/>
        <w:rPr>
          <w:rFonts w:ascii="Arial" w:hAnsi="Arial" w:cs="Arial"/>
          <w:sz w:val="20"/>
          <w:szCs w:val="20"/>
        </w:rPr>
      </w:pPr>
    </w:p>
    <w:p w14:paraId="67F7AF7B" w14:textId="7C756A62" w:rsidR="005925FE" w:rsidRPr="006C3E3D" w:rsidRDefault="008E09B2" w:rsidP="005925FE">
      <w:pPr>
        <w:spacing w:line="360" w:lineRule="auto"/>
        <w:jc w:val="both"/>
        <w:rPr>
          <w:rFonts w:ascii="Arial" w:hAnsi="Arial" w:cs="Arial"/>
          <w:sz w:val="20"/>
          <w:szCs w:val="20"/>
        </w:rPr>
      </w:pPr>
      <w:r>
        <w:rPr>
          <w:rFonts w:ascii="Arial" w:hAnsi="Arial" w:cs="Arial"/>
          <w:sz w:val="20"/>
          <w:szCs w:val="20"/>
        </w:rPr>
        <w:t>Leta</w:t>
      </w:r>
      <w:r w:rsidR="007A68CE" w:rsidRPr="006C3E3D">
        <w:rPr>
          <w:rFonts w:ascii="Arial" w:hAnsi="Arial" w:cs="Arial"/>
          <w:sz w:val="20"/>
          <w:szCs w:val="20"/>
        </w:rPr>
        <w:t xml:space="preserve"> 201</w:t>
      </w:r>
      <w:r w:rsidR="00FC00EC" w:rsidRPr="006C3E3D">
        <w:rPr>
          <w:rFonts w:ascii="Arial" w:hAnsi="Arial" w:cs="Arial"/>
          <w:sz w:val="20"/>
          <w:szCs w:val="20"/>
        </w:rPr>
        <w:t>8</w:t>
      </w:r>
      <w:r w:rsidR="005925FE" w:rsidRPr="006C3E3D">
        <w:rPr>
          <w:rFonts w:ascii="Arial" w:hAnsi="Arial" w:cs="Arial"/>
          <w:sz w:val="20"/>
          <w:szCs w:val="20"/>
        </w:rPr>
        <w:t xml:space="preserve"> so bili po vrednosti največji naslednji predmeti naročanja: </w:t>
      </w:r>
    </w:p>
    <w:p w14:paraId="2413E6EA" w14:textId="0F64099E" w:rsidR="005925FE" w:rsidRPr="006C3E3D" w:rsidRDefault="005925FE" w:rsidP="005533F3">
      <w:pPr>
        <w:pStyle w:val="Odstavekseznama"/>
        <w:numPr>
          <w:ilvl w:val="0"/>
          <w:numId w:val="21"/>
        </w:numPr>
        <w:spacing w:line="360" w:lineRule="auto"/>
        <w:rPr>
          <w:rFonts w:cs="Arial"/>
          <w:sz w:val="20"/>
          <w:szCs w:val="20"/>
        </w:rPr>
      </w:pPr>
      <w:r w:rsidRPr="006C3E3D">
        <w:rPr>
          <w:rFonts w:cs="Arial"/>
          <w:sz w:val="20"/>
          <w:szCs w:val="20"/>
        </w:rPr>
        <w:t xml:space="preserve">gradbena dela v vrednosti </w:t>
      </w:r>
      <w:r w:rsidR="006C3E3D" w:rsidRPr="006C3E3D">
        <w:rPr>
          <w:rFonts w:cs="Arial"/>
          <w:sz w:val="20"/>
          <w:szCs w:val="20"/>
        </w:rPr>
        <w:t xml:space="preserve">1.000.767.165 </w:t>
      </w:r>
      <w:r w:rsidRPr="006C3E3D">
        <w:rPr>
          <w:rFonts w:cs="Arial"/>
          <w:sz w:val="20"/>
          <w:szCs w:val="20"/>
        </w:rPr>
        <w:t>evro</w:t>
      </w:r>
      <w:r w:rsidR="007657FB" w:rsidRPr="006C3E3D">
        <w:rPr>
          <w:rFonts w:cs="Arial"/>
          <w:sz w:val="20"/>
          <w:szCs w:val="20"/>
        </w:rPr>
        <w:t>v</w:t>
      </w:r>
      <w:r w:rsidRPr="006C3E3D">
        <w:rPr>
          <w:rFonts w:cs="Arial"/>
          <w:sz w:val="20"/>
          <w:szCs w:val="20"/>
        </w:rPr>
        <w:t xml:space="preserve">, kar je </w:t>
      </w:r>
      <w:r w:rsidR="007657FB" w:rsidRPr="006C3E3D">
        <w:rPr>
          <w:rFonts w:cs="Arial"/>
          <w:sz w:val="20"/>
          <w:szCs w:val="20"/>
        </w:rPr>
        <w:t>34,2</w:t>
      </w:r>
      <w:r w:rsidR="006C3E3D" w:rsidRPr="006C3E3D">
        <w:rPr>
          <w:rFonts w:cs="Arial"/>
          <w:sz w:val="20"/>
          <w:szCs w:val="20"/>
        </w:rPr>
        <w:t>9</w:t>
      </w:r>
      <w:r w:rsidR="00F67DF8" w:rsidRPr="006C3E3D">
        <w:rPr>
          <w:rFonts w:cs="Arial"/>
          <w:sz w:val="20"/>
          <w:szCs w:val="20"/>
        </w:rPr>
        <w:t xml:space="preserve"> %</w:t>
      </w:r>
      <w:r w:rsidRPr="006C3E3D">
        <w:rPr>
          <w:rFonts w:cs="Arial"/>
          <w:sz w:val="20"/>
          <w:szCs w:val="20"/>
        </w:rPr>
        <w:t xml:space="preserve"> vrednosti vseh naročil</w:t>
      </w:r>
      <w:r w:rsidR="008E09B2">
        <w:rPr>
          <w:rFonts w:cs="Arial"/>
          <w:sz w:val="20"/>
          <w:szCs w:val="20"/>
        </w:rPr>
        <w:t>,</w:t>
      </w:r>
    </w:p>
    <w:p w14:paraId="286116DE" w14:textId="031D87D6" w:rsidR="00486CA3" w:rsidRPr="000A40D8" w:rsidRDefault="007657FB" w:rsidP="00467121">
      <w:pPr>
        <w:pStyle w:val="Odstavekseznama"/>
        <w:numPr>
          <w:ilvl w:val="0"/>
          <w:numId w:val="21"/>
        </w:numPr>
        <w:spacing w:line="360" w:lineRule="auto"/>
        <w:rPr>
          <w:rFonts w:cs="Arial"/>
          <w:sz w:val="20"/>
          <w:szCs w:val="20"/>
        </w:rPr>
      </w:pPr>
      <w:r w:rsidRPr="000A40D8">
        <w:rPr>
          <w:rFonts w:cs="Arial"/>
          <w:sz w:val="20"/>
          <w:szCs w:val="20"/>
        </w:rPr>
        <w:t xml:space="preserve">prevozna sredstva in dodatni proizvodi za promet </w:t>
      </w:r>
      <w:r w:rsidR="00486CA3" w:rsidRPr="000A40D8">
        <w:rPr>
          <w:rFonts w:cs="Arial"/>
          <w:sz w:val="20"/>
          <w:szCs w:val="20"/>
        </w:rPr>
        <w:t xml:space="preserve">v vrednosti </w:t>
      </w:r>
      <w:r w:rsidRPr="000A40D8">
        <w:rPr>
          <w:rFonts w:cs="Arial"/>
          <w:sz w:val="20"/>
          <w:szCs w:val="20"/>
        </w:rPr>
        <w:t xml:space="preserve">337.648.283 </w:t>
      </w:r>
      <w:r w:rsidR="00486CA3" w:rsidRPr="000A40D8">
        <w:rPr>
          <w:rFonts w:cs="Arial"/>
          <w:sz w:val="20"/>
          <w:szCs w:val="20"/>
        </w:rPr>
        <w:t xml:space="preserve">evrov, kar je </w:t>
      </w:r>
      <w:r w:rsidRPr="000A40D8">
        <w:rPr>
          <w:rFonts w:cs="Arial"/>
          <w:sz w:val="20"/>
          <w:szCs w:val="20"/>
        </w:rPr>
        <w:t>11,57</w:t>
      </w:r>
      <w:r w:rsidR="00F67DF8" w:rsidRPr="000A40D8">
        <w:rPr>
          <w:rFonts w:cs="Arial"/>
          <w:sz w:val="20"/>
          <w:szCs w:val="20"/>
        </w:rPr>
        <w:t xml:space="preserve"> %</w:t>
      </w:r>
      <w:r w:rsidR="00486CA3" w:rsidRPr="000A40D8">
        <w:rPr>
          <w:rFonts w:cs="Arial"/>
          <w:sz w:val="20"/>
          <w:szCs w:val="20"/>
        </w:rPr>
        <w:t xml:space="preserve"> vrednosti vseh naročil</w:t>
      </w:r>
      <w:r w:rsidR="008E09B2">
        <w:rPr>
          <w:rFonts w:cs="Arial"/>
          <w:sz w:val="20"/>
          <w:szCs w:val="20"/>
        </w:rPr>
        <w:t>,</w:t>
      </w:r>
    </w:p>
    <w:p w14:paraId="2A8E61B2" w14:textId="1EF0E07B" w:rsidR="005925FE" w:rsidRPr="000A40D8" w:rsidRDefault="007657FB" w:rsidP="00467121">
      <w:pPr>
        <w:pStyle w:val="Odstavekseznama"/>
        <w:numPr>
          <w:ilvl w:val="0"/>
          <w:numId w:val="21"/>
        </w:numPr>
        <w:spacing w:line="360" w:lineRule="auto"/>
        <w:rPr>
          <w:rFonts w:cs="Arial"/>
          <w:sz w:val="20"/>
          <w:szCs w:val="20"/>
        </w:rPr>
      </w:pPr>
      <w:r w:rsidRPr="000A40D8">
        <w:rPr>
          <w:rFonts w:cs="Arial"/>
          <w:sz w:val="20"/>
          <w:szCs w:val="20"/>
        </w:rPr>
        <w:t xml:space="preserve">medicinska oprema, farmacevtski izdelki in izdelki za osebno nego </w:t>
      </w:r>
      <w:r w:rsidR="005925FE" w:rsidRPr="000A40D8">
        <w:rPr>
          <w:rFonts w:cs="Arial"/>
          <w:sz w:val="20"/>
          <w:szCs w:val="20"/>
        </w:rPr>
        <w:t xml:space="preserve">v vrednosti </w:t>
      </w:r>
      <w:r w:rsidRPr="000A40D8">
        <w:rPr>
          <w:rFonts w:cs="Arial"/>
          <w:sz w:val="20"/>
          <w:szCs w:val="20"/>
        </w:rPr>
        <w:t xml:space="preserve">243.156.636 </w:t>
      </w:r>
      <w:r w:rsidR="005925FE" w:rsidRPr="000A40D8">
        <w:rPr>
          <w:rFonts w:cs="Arial"/>
          <w:sz w:val="20"/>
          <w:szCs w:val="20"/>
        </w:rPr>
        <w:t xml:space="preserve">evrov, kar je </w:t>
      </w:r>
      <w:r w:rsidRPr="000A40D8">
        <w:rPr>
          <w:rFonts w:cs="Arial"/>
          <w:sz w:val="20"/>
          <w:szCs w:val="20"/>
        </w:rPr>
        <w:t>8,33</w:t>
      </w:r>
      <w:r w:rsidR="00F67DF8" w:rsidRPr="000A40D8">
        <w:rPr>
          <w:rFonts w:cs="Arial"/>
          <w:sz w:val="20"/>
          <w:szCs w:val="20"/>
        </w:rPr>
        <w:t xml:space="preserve"> %</w:t>
      </w:r>
      <w:r w:rsidR="005925FE" w:rsidRPr="000A40D8">
        <w:rPr>
          <w:rFonts w:cs="Arial"/>
          <w:sz w:val="20"/>
          <w:szCs w:val="20"/>
        </w:rPr>
        <w:t xml:space="preserve"> vrednosti vseh naročil</w:t>
      </w:r>
      <w:r w:rsidR="00486CA3" w:rsidRPr="000A40D8">
        <w:rPr>
          <w:rFonts w:cs="Arial"/>
          <w:sz w:val="20"/>
          <w:szCs w:val="20"/>
        </w:rPr>
        <w:t>.</w:t>
      </w:r>
    </w:p>
    <w:p w14:paraId="3AD2D40A" w14:textId="77777777" w:rsidR="005925FE" w:rsidRPr="00EF2D0B" w:rsidRDefault="005925FE" w:rsidP="000F2B07">
      <w:pPr>
        <w:spacing w:after="0" w:line="360" w:lineRule="auto"/>
        <w:jc w:val="both"/>
        <w:rPr>
          <w:rFonts w:ascii="Arial" w:hAnsi="Arial" w:cs="Arial"/>
          <w:sz w:val="20"/>
          <w:szCs w:val="20"/>
          <w:highlight w:val="yellow"/>
        </w:rPr>
      </w:pPr>
    </w:p>
    <w:p w14:paraId="451D512F" w14:textId="41B2E300" w:rsidR="005925FE" w:rsidRPr="00A60DBB" w:rsidRDefault="005925FE" w:rsidP="005925FE">
      <w:pPr>
        <w:spacing w:line="360" w:lineRule="auto"/>
        <w:jc w:val="both"/>
        <w:rPr>
          <w:rFonts w:ascii="Arial" w:hAnsi="Arial" w:cs="Arial"/>
          <w:sz w:val="20"/>
          <w:szCs w:val="20"/>
        </w:rPr>
      </w:pPr>
      <w:r w:rsidRPr="00A60DBB">
        <w:rPr>
          <w:rFonts w:ascii="Arial" w:hAnsi="Arial" w:cs="Arial"/>
          <w:sz w:val="20"/>
          <w:szCs w:val="20"/>
        </w:rPr>
        <w:t xml:space="preserve">Navedeni predmeti naročil po vrednosti obsegajo </w:t>
      </w:r>
      <w:r w:rsidR="00E62F8C" w:rsidRPr="00A60DBB">
        <w:rPr>
          <w:rFonts w:ascii="Arial" w:hAnsi="Arial" w:cs="Arial"/>
          <w:sz w:val="20"/>
          <w:szCs w:val="20"/>
        </w:rPr>
        <w:t>dobro</w:t>
      </w:r>
      <w:r w:rsidRPr="00A60DBB">
        <w:rPr>
          <w:rFonts w:ascii="Arial" w:hAnsi="Arial" w:cs="Arial"/>
          <w:sz w:val="20"/>
          <w:szCs w:val="20"/>
        </w:rPr>
        <w:t xml:space="preserve"> polovico oddanih naročil v letu 201</w:t>
      </w:r>
      <w:r w:rsidR="00E62F8C" w:rsidRPr="00A60DBB">
        <w:rPr>
          <w:rFonts w:ascii="Arial" w:hAnsi="Arial" w:cs="Arial"/>
          <w:sz w:val="20"/>
          <w:szCs w:val="20"/>
        </w:rPr>
        <w:t>8</w:t>
      </w:r>
      <w:r w:rsidRPr="00A60DBB">
        <w:rPr>
          <w:rFonts w:ascii="Arial" w:hAnsi="Arial" w:cs="Arial"/>
          <w:sz w:val="20"/>
          <w:szCs w:val="20"/>
        </w:rPr>
        <w:t xml:space="preserve">, po številu pa </w:t>
      </w:r>
      <w:r w:rsidR="000C3FC9" w:rsidRPr="00A60DBB">
        <w:rPr>
          <w:rFonts w:ascii="Arial" w:hAnsi="Arial" w:cs="Arial"/>
          <w:sz w:val="20"/>
          <w:szCs w:val="20"/>
        </w:rPr>
        <w:t>slabo tretjino</w:t>
      </w:r>
      <w:r w:rsidRPr="00A60DBB">
        <w:rPr>
          <w:rFonts w:ascii="Arial" w:hAnsi="Arial" w:cs="Arial"/>
          <w:sz w:val="20"/>
          <w:szCs w:val="20"/>
        </w:rPr>
        <w:t>.</w:t>
      </w:r>
    </w:p>
    <w:p w14:paraId="3D106FCF" w14:textId="77777777" w:rsidR="005925FE" w:rsidRPr="00DA4F16" w:rsidRDefault="005925FE" w:rsidP="00EE4C56">
      <w:pPr>
        <w:spacing w:line="360" w:lineRule="auto"/>
        <w:rPr>
          <w:rFonts w:ascii="Arial" w:hAnsi="Arial" w:cs="Arial"/>
          <w:sz w:val="20"/>
          <w:szCs w:val="20"/>
        </w:rPr>
      </w:pPr>
      <w:r w:rsidRPr="00DA4F16">
        <w:rPr>
          <w:rFonts w:ascii="Arial" w:hAnsi="Arial" w:cs="Arial"/>
          <w:sz w:val="20"/>
          <w:szCs w:val="20"/>
        </w:rPr>
        <w:t xml:space="preserve">Po številu naročil so bili najpogosteje predmet naročanja: </w:t>
      </w:r>
    </w:p>
    <w:p w14:paraId="3A9E35B6" w14:textId="19E089F5" w:rsidR="005925FE" w:rsidRPr="00DA4F16" w:rsidRDefault="00523E6A" w:rsidP="004E54B4">
      <w:pPr>
        <w:pStyle w:val="Odstavekseznama"/>
        <w:numPr>
          <w:ilvl w:val="0"/>
          <w:numId w:val="22"/>
        </w:numPr>
        <w:spacing w:line="360" w:lineRule="auto"/>
        <w:rPr>
          <w:rFonts w:cs="Arial"/>
          <w:sz w:val="20"/>
          <w:szCs w:val="20"/>
        </w:rPr>
      </w:pPr>
      <w:r w:rsidRPr="00DA4F16">
        <w:rPr>
          <w:rFonts w:cs="Arial"/>
          <w:sz w:val="20"/>
          <w:szCs w:val="20"/>
        </w:rPr>
        <w:t>ž</w:t>
      </w:r>
      <w:r w:rsidR="00486CA3" w:rsidRPr="00DA4F16">
        <w:rPr>
          <w:rFonts w:cs="Arial"/>
          <w:sz w:val="20"/>
          <w:szCs w:val="20"/>
        </w:rPr>
        <w:t xml:space="preserve">ivila, pijače, tobačni izdelki in z njimi povezani izdelki </w:t>
      </w:r>
      <w:r w:rsidR="005925FE" w:rsidRPr="00DA4F16">
        <w:rPr>
          <w:rFonts w:cs="Arial"/>
          <w:sz w:val="20"/>
          <w:szCs w:val="20"/>
        </w:rPr>
        <w:t xml:space="preserve">v </w:t>
      </w:r>
      <w:r w:rsidR="00EB1F35" w:rsidRPr="00DA4F16">
        <w:rPr>
          <w:rFonts w:cs="Arial"/>
          <w:sz w:val="20"/>
          <w:szCs w:val="20"/>
        </w:rPr>
        <w:t>4728</w:t>
      </w:r>
      <w:r w:rsidR="005925FE" w:rsidRPr="00DA4F16">
        <w:rPr>
          <w:rFonts w:cs="Arial"/>
          <w:sz w:val="20"/>
          <w:szCs w:val="20"/>
        </w:rPr>
        <w:t xml:space="preserve"> naročilih v skupni vrednosti </w:t>
      </w:r>
      <w:r w:rsidR="00EB1F35" w:rsidRPr="00DA4F16">
        <w:rPr>
          <w:rFonts w:cs="Arial"/>
          <w:sz w:val="20"/>
          <w:szCs w:val="20"/>
        </w:rPr>
        <w:t xml:space="preserve">93.320.424 </w:t>
      </w:r>
      <w:r w:rsidR="005925FE" w:rsidRPr="00DA4F16">
        <w:rPr>
          <w:rFonts w:cs="Arial"/>
          <w:sz w:val="20"/>
          <w:szCs w:val="20"/>
        </w:rPr>
        <w:t xml:space="preserve">evrov, kar </w:t>
      </w:r>
      <w:r w:rsidR="00EB1F35" w:rsidRPr="00DA4F16">
        <w:rPr>
          <w:rFonts w:cs="Arial"/>
          <w:sz w:val="20"/>
          <w:szCs w:val="20"/>
        </w:rPr>
        <w:t>je 28,0</w:t>
      </w:r>
      <w:r w:rsidR="00DA4F16" w:rsidRPr="00DA4F16">
        <w:rPr>
          <w:rFonts w:cs="Arial"/>
          <w:sz w:val="20"/>
          <w:szCs w:val="20"/>
        </w:rPr>
        <w:t>3</w:t>
      </w:r>
      <w:r w:rsidR="00F67DF8" w:rsidRPr="00DA4F16">
        <w:rPr>
          <w:rFonts w:cs="Arial"/>
          <w:sz w:val="20"/>
          <w:szCs w:val="20"/>
        </w:rPr>
        <w:t xml:space="preserve"> %</w:t>
      </w:r>
      <w:r w:rsidR="005925FE" w:rsidRPr="00DA4F16">
        <w:rPr>
          <w:rFonts w:cs="Arial"/>
          <w:sz w:val="20"/>
          <w:szCs w:val="20"/>
        </w:rPr>
        <w:t xml:space="preserve"> vseh naročil</w:t>
      </w:r>
      <w:r w:rsidR="00F91742">
        <w:rPr>
          <w:rFonts w:cs="Arial"/>
          <w:sz w:val="20"/>
          <w:szCs w:val="20"/>
        </w:rPr>
        <w:t>,</w:t>
      </w:r>
    </w:p>
    <w:p w14:paraId="627F54F7" w14:textId="56193A1E" w:rsidR="005925FE" w:rsidRPr="00DA4F16" w:rsidRDefault="005925FE" w:rsidP="004E54B4">
      <w:pPr>
        <w:pStyle w:val="Odstavekseznama"/>
        <w:numPr>
          <w:ilvl w:val="0"/>
          <w:numId w:val="22"/>
        </w:numPr>
        <w:spacing w:line="360" w:lineRule="auto"/>
        <w:rPr>
          <w:rFonts w:cs="Arial"/>
          <w:sz w:val="20"/>
          <w:szCs w:val="20"/>
        </w:rPr>
      </w:pPr>
      <w:r w:rsidRPr="00DA4F16">
        <w:rPr>
          <w:rFonts w:cs="Arial"/>
          <w:sz w:val="20"/>
          <w:szCs w:val="20"/>
        </w:rPr>
        <w:t xml:space="preserve">medicinska oprema, farmacevtski izdelki in izdelki za osebno nego v </w:t>
      </w:r>
      <w:r w:rsidR="00EB1F35" w:rsidRPr="00DA4F16">
        <w:rPr>
          <w:rFonts w:cs="Arial"/>
          <w:sz w:val="20"/>
          <w:szCs w:val="20"/>
        </w:rPr>
        <w:t>2634</w:t>
      </w:r>
      <w:r w:rsidRPr="00DA4F16">
        <w:rPr>
          <w:rFonts w:cs="Arial"/>
          <w:sz w:val="20"/>
          <w:szCs w:val="20"/>
        </w:rPr>
        <w:t xml:space="preserve"> naročilih v skupni vrednosti </w:t>
      </w:r>
      <w:r w:rsidR="00EB1F35" w:rsidRPr="00DA4F16">
        <w:rPr>
          <w:rFonts w:cs="Arial"/>
          <w:sz w:val="20"/>
          <w:szCs w:val="20"/>
        </w:rPr>
        <w:t xml:space="preserve">243.156.636 </w:t>
      </w:r>
      <w:r w:rsidR="00523E6A" w:rsidRPr="00DA4F16">
        <w:rPr>
          <w:rFonts w:cs="Arial"/>
          <w:sz w:val="20"/>
          <w:szCs w:val="20"/>
        </w:rPr>
        <w:t>evrov, kar je</w:t>
      </w:r>
      <w:r w:rsidRPr="00DA4F16">
        <w:rPr>
          <w:rFonts w:cs="Arial"/>
          <w:sz w:val="20"/>
          <w:szCs w:val="20"/>
        </w:rPr>
        <w:t xml:space="preserve"> </w:t>
      </w:r>
      <w:r w:rsidR="004E54B4" w:rsidRPr="00DA4F16">
        <w:rPr>
          <w:rFonts w:cs="Arial"/>
          <w:sz w:val="20"/>
          <w:szCs w:val="20"/>
        </w:rPr>
        <w:t>15,</w:t>
      </w:r>
      <w:r w:rsidR="00EB1F35" w:rsidRPr="00DA4F16">
        <w:rPr>
          <w:rFonts w:cs="Arial"/>
          <w:sz w:val="20"/>
          <w:szCs w:val="20"/>
        </w:rPr>
        <w:t>62</w:t>
      </w:r>
      <w:r w:rsidR="00F67DF8" w:rsidRPr="00DA4F16">
        <w:rPr>
          <w:rFonts w:cs="Arial"/>
          <w:sz w:val="20"/>
          <w:szCs w:val="20"/>
        </w:rPr>
        <w:t xml:space="preserve"> %</w:t>
      </w:r>
      <w:r w:rsidRPr="00DA4F16">
        <w:rPr>
          <w:rFonts w:cs="Arial"/>
          <w:sz w:val="20"/>
          <w:szCs w:val="20"/>
        </w:rPr>
        <w:t xml:space="preserve"> vseh naročil</w:t>
      </w:r>
      <w:r w:rsidR="00F91742">
        <w:rPr>
          <w:rFonts w:cs="Arial"/>
          <w:sz w:val="20"/>
          <w:szCs w:val="20"/>
        </w:rPr>
        <w:t>,</w:t>
      </w:r>
    </w:p>
    <w:p w14:paraId="49EB7D5E" w14:textId="270F1302" w:rsidR="005925FE" w:rsidRPr="00DA4F16" w:rsidRDefault="00523E6A" w:rsidP="004E54B4">
      <w:pPr>
        <w:pStyle w:val="Odstavekseznama"/>
        <w:numPr>
          <w:ilvl w:val="0"/>
          <w:numId w:val="22"/>
        </w:numPr>
        <w:spacing w:line="360" w:lineRule="auto"/>
        <w:rPr>
          <w:rFonts w:cs="Arial"/>
          <w:sz w:val="20"/>
          <w:szCs w:val="20"/>
        </w:rPr>
      </w:pPr>
      <w:r w:rsidRPr="00DA4F16">
        <w:rPr>
          <w:rFonts w:cs="Arial"/>
          <w:sz w:val="20"/>
          <w:szCs w:val="20"/>
        </w:rPr>
        <w:t>gradbena dela</w:t>
      </w:r>
      <w:r w:rsidR="005925FE" w:rsidRPr="00DA4F16">
        <w:rPr>
          <w:rFonts w:cs="Arial"/>
          <w:sz w:val="20"/>
          <w:szCs w:val="20"/>
        </w:rPr>
        <w:t xml:space="preserve"> v </w:t>
      </w:r>
      <w:r w:rsidR="00EB1F35" w:rsidRPr="00DA4F16">
        <w:rPr>
          <w:rFonts w:cs="Arial"/>
          <w:sz w:val="20"/>
          <w:szCs w:val="20"/>
        </w:rPr>
        <w:t>210</w:t>
      </w:r>
      <w:r w:rsidR="00DA4F16" w:rsidRPr="00DA4F16">
        <w:rPr>
          <w:rFonts w:cs="Arial"/>
          <w:sz w:val="20"/>
          <w:szCs w:val="20"/>
        </w:rPr>
        <w:t>3</w:t>
      </w:r>
      <w:r w:rsidR="005925FE" w:rsidRPr="00DA4F16">
        <w:rPr>
          <w:rFonts w:cs="Arial"/>
          <w:sz w:val="20"/>
          <w:szCs w:val="20"/>
        </w:rPr>
        <w:t xml:space="preserve"> naročilih v skupni vrednosti </w:t>
      </w:r>
      <w:r w:rsidR="00DA4F16" w:rsidRPr="00DA4F16">
        <w:rPr>
          <w:rFonts w:cs="Arial"/>
          <w:sz w:val="20"/>
          <w:szCs w:val="20"/>
        </w:rPr>
        <w:t xml:space="preserve">1.000.767.165 </w:t>
      </w:r>
      <w:r w:rsidRPr="00DA4F16">
        <w:rPr>
          <w:rFonts w:cs="Arial"/>
          <w:sz w:val="20"/>
          <w:szCs w:val="20"/>
        </w:rPr>
        <w:t>evro</w:t>
      </w:r>
      <w:r w:rsidR="00EB1F35" w:rsidRPr="00DA4F16">
        <w:rPr>
          <w:rFonts w:cs="Arial"/>
          <w:sz w:val="20"/>
          <w:szCs w:val="20"/>
        </w:rPr>
        <w:t>v</w:t>
      </w:r>
      <w:r w:rsidR="005925FE" w:rsidRPr="00DA4F16">
        <w:rPr>
          <w:rFonts w:cs="Arial"/>
          <w:sz w:val="20"/>
          <w:szCs w:val="20"/>
        </w:rPr>
        <w:t xml:space="preserve">, kar je </w:t>
      </w:r>
      <w:r w:rsidR="00EB1F35" w:rsidRPr="00DA4F16">
        <w:rPr>
          <w:rFonts w:cs="Arial"/>
          <w:sz w:val="20"/>
          <w:szCs w:val="20"/>
        </w:rPr>
        <w:t>12,4</w:t>
      </w:r>
      <w:r w:rsidR="00DA4F16" w:rsidRPr="00DA4F16">
        <w:rPr>
          <w:rFonts w:cs="Arial"/>
          <w:sz w:val="20"/>
          <w:szCs w:val="20"/>
        </w:rPr>
        <w:t>7</w:t>
      </w:r>
      <w:r w:rsidR="00F67DF8" w:rsidRPr="00DA4F16">
        <w:rPr>
          <w:rFonts w:cs="Arial"/>
          <w:sz w:val="20"/>
          <w:szCs w:val="20"/>
        </w:rPr>
        <w:t xml:space="preserve"> %</w:t>
      </w:r>
      <w:r w:rsidR="005925FE" w:rsidRPr="00DA4F16">
        <w:rPr>
          <w:rFonts w:cs="Arial"/>
          <w:sz w:val="20"/>
          <w:szCs w:val="20"/>
        </w:rPr>
        <w:t xml:space="preserve"> vseh naročil.</w:t>
      </w:r>
    </w:p>
    <w:p w14:paraId="6A355FBB" w14:textId="22CB6D36" w:rsidR="005925FE" w:rsidRPr="00EF2D0B" w:rsidRDefault="005925FE" w:rsidP="000F2B07">
      <w:pPr>
        <w:spacing w:after="0" w:line="360" w:lineRule="auto"/>
        <w:jc w:val="both"/>
        <w:rPr>
          <w:rFonts w:ascii="Arial" w:hAnsi="Arial" w:cs="Arial"/>
          <w:sz w:val="20"/>
          <w:szCs w:val="20"/>
          <w:highlight w:val="yellow"/>
        </w:rPr>
      </w:pPr>
    </w:p>
    <w:p w14:paraId="1CA667F2" w14:textId="067C5FED" w:rsidR="005925FE" w:rsidRPr="00A107B2" w:rsidRDefault="005925FE" w:rsidP="005925FE">
      <w:pPr>
        <w:spacing w:line="360" w:lineRule="auto"/>
        <w:jc w:val="both"/>
        <w:rPr>
          <w:rFonts w:ascii="Arial" w:hAnsi="Arial" w:cs="Arial"/>
          <w:sz w:val="20"/>
          <w:szCs w:val="20"/>
        </w:rPr>
      </w:pPr>
      <w:r w:rsidRPr="00A107B2">
        <w:rPr>
          <w:rFonts w:ascii="Arial" w:hAnsi="Arial" w:cs="Arial"/>
          <w:sz w:val="20"/>
          <w:szCs w:val="20"/>
        </w:rPr>
        <w:t xml:space="preserve">Pri naročilih blaga </w:t>
      </w:r>
      <w:r w:rsidR="00680D9B" w:rsidRPr="00A107B2">
        <w:rPr>
          <w:rFonts w:ascii="Arial" w:hAnsi="Arial" w:cs="Arial"/>
          <w:sz w:val="20"/>
          <w:szCs w:val="20"/>
        </w:rPr>
        <w:t>je</w:t>
      </w:r>
      <w:r w:rsidRPr="00A107B2">
        <w:rPr>
          <w:rFonts w:ascii="Arial" w:hAnsi="Arial" w:cs="Arial"/>
          <w:sz w:val="20"/>
          <w:szCs w:val="20"/>
        </w:rPr>
        <w:t xml:space="preserve"> bil</w:t>
      </w:r>
      <w:r w:rsidR="00680D9B" w:rsidRPr="00A107B2">
        <w:rPr>
          <w:rFonts w:ascii="Arial" w:hAnsi="Arial" w:cs="Arial"/>
          <w:sz w:val="20"/>
          <w:szCs w:val="20"/>
        </w:rPr>
        <w:t>o</w:t>
      </w:r>
      <w:r w:rsidRPr="00A107B2">
        <w:rPr>
          <w:rFonts w:ascii="Arial" w:hAnsi="Arial" w:cs="Arial"/>
          <w:sz w:val="20"/>
          <w:szCs w:val="20"/>
        </w:rPr>
        <w:t xml:space="preserve"> </w:t>
      </w:r>
      <w:r w:rsidR="008E09B2" w:rsidRPr="00A107B2">
        <w:rPr>
          <w:rFonts w:ascii="Arial" w:hAnsi="Arial" w:cs="Arial"/>
          <w:sz w:val="20"/>
          <w:szCs w:val="20"/>
        </w:rPr>
        <w:t>let</w:t>
      </w:r>
      <w:r w:rsidR="008E09B2">
        <w:rPr>
          <w:rFonts w:ascii="Arial" w:hAnsi="Arial" w:cs="Arial"/>
          <w:sz w:val="20"/>
          <w:szCs w:val="20"/>
        </w:rPr>
        <w:t>a</w:t>
      </w:r>
      <w:r w:rsidR="008E09B2" w:rsidRPr="00A107B2">
        <w:rPr>
          <w:rFonts w:ascii="Arial" w:hAnsi="Arial" w:cs="Arial"/>
          <w:sz w:val="20"/>
          <w:szCs w:val="20"/>
        </w:rPr>
        <w:t xml:space="preserve"> </w:t>
      </w:r>
      <w:r w:rsidRPr="00A107B2">
        <w:rPr>
          <w:rFonts w:ascii="Arial" w:hAnsi="Arial" w:cs="Arial"/>
          <w:sz w:val="20"/>
          <w:szCs w:val="20"/>
        </w:rPr>
        <w:t>201</w:t>
      </w:r>
      <w:r w:rsidR="00424E1D" w:rsidRPr="00A107B2">
        <w:rPr>
          <w:rFonts w:ascii="Arial" w:hAnsi="Arial" w:cs="Arial"/>
          <w:sz w:val="20"/>
          <w:szCs w:val="20"/>
        </w:rPr>
        <w:t>8</w:t>
      </w:r>
      <w:r w:rsidR="00523E6A" w:rsidRPr="00A107B2">
        <w:rPr>
          <w:rFonts w:ascii="Arial" w:hAnsi="Arial" w:cs="Arial"/>
          <w:sz w:val="20"/>
          <w:szCs w:val="20"/>
        </w:rPr>
        <w:t xml:space="preserve"> </w:t>
      </w:r>
      <w:r w:rsidRPr="00A107B2">
        <w:rPr>
          <w:rFonts w:ascii="Arial" w:hAnsi="Arial" w:cs="Arial"/>
          <w:sz w:val="20"/>
          <w:szCs w:val="20"/>
        </w:rPr>
        <w:t>naj</w:t>
      </w:r>
      <w:r w:rsidR="00680D9B" w:rsidRPr="00A107B2">
        <w:rPr>
          <w:rFonts w:ascii="Arial" w:hAnsi="Arial" w:cs="Arial"/>
          <w:sz w:val="20"/>
          <w:szCs w:val="20"/>
        </w:rPr>
        <w:t>več</w:t>
      </w:r>
      <w:r w:rsidRPr="00A107B2">
        <w:rPr>
          <w:rFonts w:ascii="Arial" w:hAnsi="Arial" w:cs="Arial"/>
          <w:sz w:val="20"/>
          <w:szCs w:val="20"/>
        </w:rPr>
        <w:t xml:space="preserve"> naročil </w:t>
      </w:r>
      <w:r w:rsidR="00240638" w:rsidRPr="00A107B2">
        <w:rPr>
          <w:rFonts w:ascii="Arial" w:hAnsi="Arial" w:cs="Arial"/>
          <w:sz w:val="20"/>
          <w:szCs w:val="20"/>
        </w:rPr>
        <w:t>živil, pijače, tobačnih izdelkov in z njimi povezanimi izdelki</w:t>
      </w:r>
      <w:r w:rsidR="007E0D0D" w:rsidRPr="00A107B2">
        <w:rPr>
          <w:rFonts w:ascii="Arial" w:hAnsi="Arial" w:cs="Arial"/>
          <w:sz w:val="20"/>
          <w:szCs w:val="20"/>
        </w:rPr>
        <w:t>, ki</w:t>
      </w:r>
      <w:r w:rsidR="008C4C51" w:rsidRPr="00A107B2">
        <w:rPr>
          <w:rFonts w:ascii="Arial" w:hAnsi="Arial" w:cs="Arial"/>
          <w:sz w:val="20"/>
          <w:szCs w:val="20"/>
        </w:rPr>
        <w:t xml:space="preserve"> z vrednostjo </w:t>
      </w:r>
      <w:r w:rsidR="00240638" w:rsidRPr="00A107B2">
        <w:rPr>
          <w:rFonts w:ascii="Arial" w:hAnsi="Arial" w:cs="Arial"/>
          <w:sz w:val="20"/>
          <w:szCs w:val="20"/>
        </w:rPr>
        <w:t xml:space="preserve">93.199.736 </w:t>
      </w:r>
      <w:r w:rsidR="008C4C51" w:rsidRPr="00A107B2">
        <w:rPr>
          <w:rFonts w:ascii="Arial" w:hAnsi="Arial" w:cs="Arial"/>
          <w:sz w:val="20"/>
          <w:szCs w:val="20"/>
        </w:rPr>
        <w:t xml:space="preserve">evrov pomenijo </w:t>
      </w:r>
      <w:r w:rsidR="00240638" w:rsidRPr="00A107B2">
        <w:rPr>
          <w:rFonts w:ascii="Arial" w:hAnsi="Arial" w:cs="Arial"/>
          <w:sz w:val="20"/>
          <w:szCs w:val="20"/>
        </w:rPr>
        <w:t>7,78</w:t>
      </w:r>
      <w:r w:rsidR="00F67DF8" w:rsidRPr="00A107B2">
        <w:rPr>
          <w:rFonts w:ascii="Arial" w:hAnsi="Arial" w:cs="Arial"/>
          <w:sz w:val="20"/>
          <w:szCs w:val="20"/>
        </w:rPr>
        <w:t xml:space="preserve"> %</w:t>
      </w:r>
      <w:r w:rsidR="008C4C51" w:rsidRPr="00A107B2">
        <w:rPr>
          <w:rFonts w:ascii="Arial" w:hAnsi="Arial" w:cs="Arial"/>
          <w:sz w:val="20"/>
          <w:szCs w:val="20"/>
        </w:rPr>
        <w:t xml:space="preserve"> vrednosti naročil blaga</w:t>
      </w:r>
      <w:r w:rsidR="00680D9B" w:rsidRPr="00A107B2">
        <w:rPr>
          <w:rFonts w:ascii="Arial" w:hAnsi="Arial" w:cs="Arial"/>
          <w:sz w:val="20"/>
          <w:szCs w:val="20"/>
        </w:rPr>
        <w:t>,</w:t>
      </w:r>
      <w:r w:rsidR="008C4C51" w:rsidRPr="00A107B2">
        <w:rPr>
          <w:rFonts w:ascii="Arial" w:hAnsi="Arial" w:cs="Arial"/>
          <w:sz w:val="20"/>
          <w:szCs w:val="20"/>
        </w:rPr>
        <w:t xml:space="preserve"> ter naročila </w:t>
      </w:r>
      <w:r w:rsidR="00240638" w:rsidRPr="00A107B2">
        <w:rPr>
          <w:rFonts w:ascii="Arial" w:hAnsi="Arial" w:cs="Arial"/>
          <w:sz w:val="20"/>
          <w:szCs w:val="20"/>
        </w:rPr>
        <w:t xml:space="preserve">medicinske opreme, farmacevtskih izdelkov in izdelkov za osebno nego </w:t>
      </w:r>
      <w:r w:rsidRPr="00A107B2">
        <w:rPr>
          <w:rFonts w:ascii="Arial" w:hAnsi="Arial" w:cs="Arial"/>
          <w:sz w:val="20"/>
          <w:szCs w:val="20"/>
        </w:rPr>
        <w:t xml:space="preserve">v vrednosti </w:t>
      </w:r>
      <w:r w:rsidR="00240638" w:rsidRPr="00A107B2">
        <w:rPr>
          <w:rFonts w:ascii="Arial" w:hAnsi="Arial" w:cs="Arial"/>
          <w:sz w:val="20"/>
          <w:szCs w:val="20"/>
        </w:rPr>
        <w:t xml:space="preserve">236.582.315 </w:t>
      </w:r>
      <w:r w:rsidRPr="00A107B2">
        <w:rPr>
          <w:rFonts w:ascii="Arial" w:hAnsi="Arial" w:cs="Arial"/>
          <w:sz w:val="20"/>
          <w:szCs w:val="20"/>
        </w:rPr>
        <w:t xml:space="preserve">evrov oziroma </w:t>
      </w:r>
      <w:r w:rsidR="006530EA" w:rsidRPr="00A107B2">
        <w:rPr>
          <w:rFonts w:ascii="Arial" w:hAnsi="Arial" w:cs="Arial"/>
          <w:sz w:val="20"/>
          <w:szCs w:val="20"/>
        </w:rPr>
        <w:t>1</w:t>
      </w:r>
      <w:r w:rsidR="00240638" w:rsidRPr="00A107B2">
        <w:rPr>
          <w:rFonts w:ascii="Arial" w:hAnsi="Arial" w:cs="Arial"/>
          <w:sz w:val="20"/>
          <w:szCs w:val="20"/>
        </w:rPr>
        <w:t>9,7</w:t>
      </w:r>
      <w:r w:rsidR="00A107B2" w:rsidRPr="00A107B2">
        <w:rPr>
          <w:rFonts w:ascii="Arial" w:hAnsi="Arial" w:cs="Arial"/>
          <w:sz w:val="20"/>
          <w:szCs w:val="20"/>
        </w:rPr>
        <w:t>5</w:t>
      </w:r>
      <w:r w:rsidR="00F67DF8" w:rsidRPr="00A107B2">
        <w:rPr>
          <w:rFonts w:ascii="Arial" w:hAnsi="Arial" w:cs="Arial"/>
          <w:sz w:val="20"/>
          <w:szCs w:val="20"/>
        </w:rPr>
        <w:t xml:space="preserve"> %</w:t>
      </w:r>
      <w:r w:rsidR="008C4C51" w:rsidRPr="00A107B2">
        <w:rPr>
          <w:rFonts w:ascii="Arial" w:hAnsi="Arial" w:cs="Arial"/>
          <w:sz w:val="20"/>
          <w:szCs w:val="20"/>
        </w:rPr>
        <w:t xml:space="preserve"> </w:t>
      </w:r>
      <w:r w:rsidRPr="00A107B2">
        <w:rPr>
          <w:rFonts w:ascii="Arial" w:hAnsi="Arial" w:cs="Arial"/>
          <w:sz w:val="20"/>
          <w:szCs w:val="20"/>
        </w:rPr>
        <w:t>vrednosti vseh naročil blaga.</w:t>
      </w:r>
    </w:p>
    <w:p w14:paraId="7418D2CA" w14:textId="2137B1A7" w:rsidR="005925FE" w:rsidRPr="00B54F9E" w:rsidRDefault="002A4764" w:rsidP="00883707">
      <w:pPr>
        <w:spacing w:line="360" w:lineRule="auto"/>
        <w:jc w:val="both"/>
        <w:rPr>
          <w:rFonts w:ascii="Arial" w:eastAsia="Times New Roman" w:hAnsi="Arial" w:cs="Arial"/>
          <w:color w:val="000000"/>
          <w:sz w:val="20"/>
          <w:szCs w:val="20"/>
          <w:lang w:eastAsia="sl-SI"/>
        </w:rPr>
      </w:pPr>
      <w:r w:rsidRPr="00B54F9E">
        <w:rPr>
          <w:rFonts w:ascii="Arial" w:hAnsi="Arial" w:cs="Arial"/>
          <w:sz w:val="20"/>
          <w:szCs w:val="20"/>
        </w:rPr>
        <w:lastRenderedPageBreak/>
        <w:t xml:space="preserve">Storitve popravila in vzdrževanja </w:t>
      </w:r>
      <w:r w:rsidR="008C4C51" w:rsidRPr="00B54F9E">
        <w:rPr>
          <w:rFonts w:ascii="Arial" w:hAnsi="Arial" w:cs="Arial"/>
          <w:sz w:val="20"/>
          <w:szCs w:val="20"/>
        </w:rPr>
        <w:t xml:space="preserve">v skupni vrednosti </w:t>
      </w:r>
      <w:r w:rsidRPr="00B54F9E">
        <w:rPr>
          <w:rFonts w:ascii="Arial" w:hAnsi="Arial" w:cs="Arial"/>
          <w:sz w:val="20"/>
          <w:szCs w:val="20"/>
        </w:rPr>
        <w:t xml:space="preserve">106.893.320 </w:t>
      </w:r>
      <w:r w:rsidR="008C4C51" w:rsidRPr="00B54F9E">
        <w:rPr>
          <w:rFonts w:ascii="Arial" w:hAnsi="Arial" w:cs="Arial"/>
          <w:sz w:val="20"/>
          <w:szCs w:val="20"/>
        </w:rPr>
        <w:t xml:space="preserve">evrov po vrednosti pomenijo največji delež naročil storitev, in sicer </w:t>
      </w:r>
      <w:r w:rsidRPr="00B54F9E">
        <w:rPr>
          <w:rFonts w:ascii="Arial" w:hAnsi="Arial" w:cs="Arial"/>
          <w:sz w:val="20"/>
          <w:szCs w:val="20"/>
        </w:rPr>
        <w:t>13,99</w:t>
      </w:r>
      <w:r w:rsidR="00F67DF8" w:rsidRPr="00B54F9E">
        <w:rPr>
          <w:rFonts w:ascii="Arial" w:hAnsi="Arial" w:cs="Arial"/>
          <w:sz w:val="20"/>
          <w:szCs w:val="20"/>
        </w:rPr>
        <w:t xml:space="preserve"> %</w:t>
      </w:r>
      <w:r w:rsidR="008C4C51" w:rsidRPr="00B54F9E">
        <w:rPr>
          <w:rFonts w:ascii="Arial" w:hAnsi="Arial" w:cs="Arial"/>
          <w:sz w:val="20"/>
          <w:szCs w:val="20"/>
        </w:rPr>
        <w:t xml:space="preserve">. </w:t>
      </w:r>
      <w:r w:rsidRPr="00B54F9E">
        <w:rPr>
          <w:rFonts w:ascii="Arial" w:eastAsia="Times New Roman" w:hAnsi="Arial" w:cs="Arial"/>
          <w:color w:val="000000"/>
          <w:sz w:val="20"/>
          <w:szCs w:val="20"/>
          <w:lang w:eastAsia="sl-SI"/>
        </w:rPr>
        <w:t>Arhitekturne, gradbeniške, inženirske in inšpekcijske storitve</w:t>
      </w:r>
      <w:r w:rsidR="00873618" w:rsidRPr="00B54F9E">
        <w:rPr>
          <w:rFonts w:ascii="Arial" w:eastAsia="Times New Roman" w:hAnsi="Arial" w:cs="Arial"/>
          <w:color w:val="000000"/>
          <w:sz w:val="20"/>
          <w:szCs w:val="20"/>
          <w:lang w:eastAsia="sl-SI"/>
        </w:rPr>
        <w:t xml:space="preserve"> </w:t>
      </w:r>
      <w:r w:rsidR="008C4C51" w:rsidRPr="00B54F9E">
        <w:rPr>
          <w:rFonts w:ascii="Arial" w:hAnsi="Arial" w:cs="Arial"/>
          <w:sz w:val="20"/>
          <w:szCs w:val="20"/>
        </w:rPr>
        <w:t>so</w:t>
      </w:r>
      <w:r w:rsidR="005925FE" w:rsidRPr="00B54F9E">
        <w:rPr>
          <w:rFonts w:ascii="Arial" w:hAnsi="Arial" w:cs="Arial"/>
          <w:sz w:val="20"/>
          <w:szCs w:val="20"/>
        </w:rPr>
        <w:t xml:space="preserve"> po vrednosti</w:t>
      </w:r>
      <w:r w:rsidR="00B54F9E" w:rsidRPr="00B54F9E">
        <w:rPr>
          <w:rFonts w:ascii="Arial" w:hAnsi="Arial" w:cs="Arial"/>
          <w:sz w:val="20"/>
          <w:szCs w:val="20"/>
        </w:rPr>
        <w:t xml:space="preserve"> 90.951.017 </w:t>
      </w:r>
      <w:r w:rsidR="005925FE" w:rsidRPr="00B54F9E">
        <w:rPr>
          <w:rFonts w:ascii="Arial" w:hAnsi="Arial" w:cs="Arial"/>
          <w:sz w:val="20"/>
          <w:szCs w:val="20"/>
        </w:rPr>
        <w:t xml:space="preserve">evrov na drugem mestu predmetov naročanja storitev z deležem </w:t>
      </w:r>
      <w:r w:rsidRPr="00B54F9E">
        <w:rPr>
          <w:rFonts w:ascii="Arial" w:hAnsi="Arial" w:cs="Arial"/>
          <w:sz w:val="20"/>
          <w:szCs w:val="20"/>
        </w:rPr>
        <w:t>11,</w:t>
      </w:r>
      <w:r w:rsidR="00B54F9E" w:rsidRPr="00B54F9E">
        <w:rPr>
          <w:rFonts w:ascii="Arial" w:hAnsi="Arial" w:cs="Arial"/>
          <w:sz w:val="20"/>
          <w:szCs w:val="20"/>
        </w:rPr>
        <w:t>91</w:t>
      </w:r>
      <w:r w:rsidR="00F67DF8" w:rsidRPr="00B54F9E">
        <w:rPr>
          <w:rFonts w:ascii="Arial" w:hAnsi="Arial" w:cs="Arial"/>
          <w:sz w:val="20"/>
          <w:szCs w:val="20"/>
        </w:rPr>
        <w:t xml:space="preserve"> %</w:t>
      </w:r>
      <w:r w:rsidR="005925FE" w:rsidRPr="00B54F9E">
        <w:rPr>
          <w:rFonts w:ascii="Arial" w:hAnsi="Arial" w:cs="Arial"/>
          <w:sz w:val="20"/>
          <w:szCs w:val="20"/>
        </w:rPr>
        <w:t xml:space="preserve">, na tretjem mestu so z deležem </w:t>
      </w:r>
      <w:r w:rsidRPr="00B54F9E">
        <w:rPr>
          <w:rFonts w:ascii="Arial" w:hAnsi="Arial" w:cs="Arial"/>
          <w:sz w:val="20"/>
          <w:szCs w:val="20"/>
        </w:rPr>
        <w:t>11,18</w:t>
      </w:r>
      <w:r w:rsidR="00F67DF8" w:rsidRPr="00B54F9E">
        <w:rPr>
          <w:rFonts w:ascii="Arial" w:hAnsi="Arial" w:cs="Arial"/>
          <w:sz w:val="20"/>
          <w:szCs w:val="20"/>
        </w:rPr>
        <w:t xml:space="preserve"> %</w:t>
      </w:r>
      <w:r w:rsidR="005925FE" w:rsidRPr="00B54F9E">
        <w:rPr>
          <w:rFonts w:ascii="Arial" w:hAnsi="Arial" w:cs="Arial"/>
          <w:sz w:val="20"/>
          <w:szCs w:val="20"/>
        </w:rPr>
        <w:t xml:space="preserve"> </w:t>
      </w:r>
      <w:r w:rsidRPr="00B54F9E">
        <w:rPr>
          <w:rFonts w:ascii="Arial" w:hAnsi="Arial" w:cs="Arial"/>
          <w:sz w:val="20"/>
          <w:szCs w:val="20"/>
        </w:rPr>
        <w:t>storitve v zvezi z odplakami, odpadki, čiščenjem in okoljem</w:t>
      </w:r>
      <w:r w:rsidR="00883707" w:rsidRPr="00B54F9E">
        <w:rPr>
          <w:rFonts w:ascii="Arial" w:hAnsi="Arial" w:cs="Arial"/>
          <w:sz w:val="20"/>
          <w:szCs w:val="20"/>
        </w:rPr>
        <w:t xml:space="preserve"> </w:t>
      </w:r>
      <w:r w:rsidR="005925FE" w:rsidRPr="00B54F9E">
        <w:rPr>
          <w:rFonts w:ascii="Arial" w:hAnsi="Arial" w:cs="Arial"/>
          <w:sz w:val="20"/>
          <w:szCs w:val="20"/>
        </w:rPr>
        <w:t xml:space="preserve">v vrednosti </w:t>
      </w:r>
      <w:r w:rsidR="00883707" w:rsidRPr="00B54F9E">
        <w:rPr>
          <w:rFonts w:ascii="Arial" w:eastAsia="Times New Roman" w:hAnsi="Arial" w:cs="Arial"/>
          <w:color w:val="000000"/>
          <w:sz w:val="20"/>
          <w:szCs w:val="20"/>
          <w:lang w:eastAsia="sl-SI"/>
        </w:rPr>
        <w:t xml:space="preserve">85.419.623 </w:t>
      </w:r>
      <w:r w:rsidR="005925FE" w:rsidRPr="00B54F9E">
        <w:rPr>
          <w:rFonts w:ascii="Arial" w:hAnsi="Arial" w:cs="Arial"/>
          <w:sz w:val="20"/>
          <w:szCs w:val="20"/>
        </w:rPr>
        <w:t>evrov.</w:t>
      </w:r>
    </w:p>
    <w:p w14:paraId="0B02A8E3" w14:textId="50F0E9B3" w:rsidR="005925FE" w:rsidRPr="003F622D" w:rsidRDefault="005925FE" w:rsidP="005925FE">
      <w:pPr>
        <w:spacing w:line="360" w:lineRule="auto"/>
        <w:jc w:val="both"/>
        <w:rPr>
          <w:rFonts w:ascii="Arial" w:hAnsi="Arial" w:cs="Arial"/>
          <w:sz w:val="20"/>
          <w:szCs w:val="20"/>
        </w:rPr>
      </w:pPr>
      <w:r w:rsidRPr="003F622D">
        <w:rPr>
          <w:rFonts w:ascii="Arial" w:hAnsi="Arial" w:cs="Arial"/>
          <w:sz w:val="20"/>
          <w:szCs w:val="20"/>
        </w:rPr>
        <w:t>Pri gradnjah so naročniki po vrednosti oddali največ</w:t>
      </w:r>
      <w:r w:rsidR="00680D9B" w:rsidRPr="003F622D">
        <w:rPr>
          <w:rFonts w:ascii="Arial" w:hAnsi="Arial" w:cs="Arial"/>
          <w:sz w:val="20"/>
          <w:szCs w:val="20"/>
        </w:rPr>
        <w:t xml:space="preserve"> </w:t>
      </w:r>
      <w:r w:rsidRPr="003F622D">
        <w:rPr>
          <w:rFonts w:ascii="Arial" w:hAnsi="Arial" w:cs="Arial"/>
          <w:sz w:val="20"/>
          <w:szCs w:val="20"/>
        </w:rPr>
        <w:t xml:space="preserve">naročil za gradbena dela v vrednosti </w:t>
      </w:r>
      <w:r w:rsidR="003F622D" w:rsidRPr="003F622D">
        <w:rPr>
          <w:rFonts w:ascii="Arial" w:hAnsi="Arial" w:cs="Arial"/>
          <w:sz w:val="20"/>
          <w:szCs w:val="20"/>
        </w:rPr>
        <w:t xml:space="preserve">938.602.660 </w:t>
      </w:r>
      <w:r w:rsidRPr="003F622D">
        <w:rPr>
          <w:rFonts w:ascii="Arial" w:hAnsi="Arial" w:cs="Arial"/>
          <w:sz w:val="20"/>
          <w:szCs w:val="20"/>
        </w:rPr>
        <w:t xml:space="preserve">evrov, kar je </w:t>
      </w:r>
      <w:r w:rsidR="00D83077" w:rsidRPr="003F622D">
        <w:rPr>
          <w:rFonts w:ascii="Arial" w:hAnsi="Arial" w:cs="Arial"/>
          <w:sz w:val="20"/>
          <w:szCs w:val="20"/>
        </w:rPr>
        <w:t>9</w:t>
      </w:r>
      <w:r w:rsidR="004611E7" w:rsidRPr="003F622D">
        <w:rPr>
          <w:rFonts w:ascii="Arial" w:hAnsi="Arial" w:cs="Arial"/>
          <w:sz w:val="20"/>
          <w:szCs w:val="20"/>
        </w:rPr>
        <w:t>8,07</w:t>
      </w:r>
      <w:r w:rsidR="00F67DF8" w:rsidRPr="003F622D">
        <w:rPr>
          <w:rFonts w:ascii="Arial" w:hAnsi="Arial" w:cs="Arial"/>
          <w:sz w:val="20"/>
          <w:szCs w:val="20"/>
        </w:rPr>
        <w:t xml:space="preserve"> %</w:t>
      </w:r>
      <w:r w:rsidRPr="003F622D">
        <w:rPr>
          <w:rFonts w:ascii="Arial" w:hAnsi="Arial" w:cs="Arial"/>
          <w:sz w:val="20"/>
          <w:szCs w:val="20"/>
        </w:rPr>
        <w:t xml:space="preserve"> vrednosti vseh naročil gradenj v letu 201</w:t>
      </w:r>
      <w:r w:rsidR="004611E7" w:rsidRPr="003F622D">
        <w:rPr>
          <w:rFonts w:ascii="Arial" w:hAnsi="Arial" w:cs="Arial"/>
          <w:sz w:val="20"/>
          <w:szCs w:val="20"/>
        </w:rPr>
        <w:t>8</w:t>
      </w:r>
      <w:r w:rsidRPr="003F622D">
        <w:rPr>
          <w:rFonts w:ascii="Arial" w:hAnsi="Arial" w:cs="Arial"/>
          <w:sz w:val="20"/>
          <w:szCs w:val="20"/>
        </w:rPr>
        <w:t xml:space="preserve">. </w:t>
      </w:r>
    </w:p>
    <w:p w14:paraId="5C41A13C" w14:textId="1D43B6F7" w:rsidR="00FF5F34" w:rsidRPr="0077336E" w:rsidRDefault="00FF5F34" w:rsidP="00FF5F34">
      <w:pPr>
        <w:pStyle w:val="Naslov2"/>
        <w:rPr>
          <w:rFonts w:ascii="Arial" w:hAnsi="Arial" w:cs="Arial"/>
          <w:szCs w:val="20"/>
        </w:rPr>
      </w:pPr>
      <w:bookmarkStart w:id="25" w:name="_Toc17114063"/>
      <w:r w:rsidRPr="0077336E">
        <w:rPr>
          <w:rFonts w:ascii="Arial" w:hAnsi="Arial" w:cs="Arial"/>
          <w:sz w:val="22"/>
          <w:szCs w:val="22"/>
        </w:rPr>
        <w:t>2.5 Ocenjena vrednost</w:t>
      </w:r>
      <w:bookmarkEnd w:id="25"/>
    </w:p>
    <w:p w14:paraId="342BCE53" w14:textId="361D98EB" w:rsidR="00FF5F34" w:rsidRPr="0077336E" w:rsidRDefault="00FF5F34" w:rsidP="004728B9">
      <w:pPr>
        <w:pStyle w:val="ZADEVA"/>
        <w:ind w:left="0" w:firstLine="0"/>
        <w:jc w:val="both"/>
        <w:rPr>
          <w:rFonts w:cs="Arial"/>
          <w:b w:val="0"/>
          <w:szCs w:val="20"/>
          <w:lang w:val="sl-SI"/>
        </w:rPr>
      </w:pPr>
    </w:p>
    <w:p w14:paraId="0F971C79" w14:textId="3ADE5AAA" w:rsidR="002149C7" w:rsidRPr="0077336E" w:rsidRDefault="00771343" w:rsidP="002149C7">
      <w:pPr>
        <w:tabs>
          <w:tab w:val="left" w:pos="567"/>
          <w:tab w:val="left" w:pos="993"/>
        </w:tabs>
        <w:spacing w:line="360" w:lineRule="auto"/>
        <w:jc w:val="both"/>
        <w:rPr>
          <w:rFonts w:ascii="Arial" w:hAnsi="Arial" w:cs="Arial"/>
          <w:sz w:val="20"/>
          <w:szCs w:val="20"/>
          <w:lang w:eastAsia="sl-SI"/>
        </w:rPr>
      </w:pPr>
      <w:r>
        <w:rPr>
          <w:rFonts w:ascii="Arial" w:hAnsi="Arial" w:cs="Arial"/>
          <w:sz w:val="20"/>
          <w:szCs w:val="20"/>
          <w:lang w:eastAsia="sl-SI"/>
        </w:rPr>
        <w:t>Leta</w:t>
      </w:r>
      <w:r w:rsidR="0094215C" w:rsidRPr="0077336E">
        <w:rPr>
          <w:rFonts w:ascii="Arial" w:hAnsi="Arial" w:cs="Arial"/>
          <w:sz w:val="20"/>
          <w:szCs w:val="20"/>
          <w:lang w:eastAsia="sl-SI"/>
        </w:rPr>
        <w:t xml:space="preserve"> 201</w:t>
      </w:r>
      <w:r w:rsidR="0077336E">
        <w:rPr>
          <w:rFonts w:ascii="Arial" w:hAnsi="Arial" w:cs="Arial"/>
          <w:sz w:val="20"/>
          <w:szCs w:val="20"/>
          <w:lang w:eastAsia="sl-SI"/>
        </w:rPr>
        <w:t>8</w:t>
      </w:r>
      <w:r w:rsidR="002149C7" w:rsidRPr="0077336E">
        <w:rPr>
          <w:rFonts w:ascii="Arial" w:hAnsi="Arial" w:cs="Arial"/>
          <w:sz w:val="20"/>
          <w:szCs w:val="20"/>
          <w:lang w:eastAsia="sl-SI"/>
        </w:rPr>
        <w:t xml:space="preserve"> je bila pogodbena vrednost pri naročanju blaga od ocenjene vrednosti v povprečju nižja za </w:t>
      </w:r>
      <w:r w:rsidR="0077336E" w:rsidRPr="0077336E">
        <w:rPr>
          <w:rFonts w:ascii="Arial" w:hAnsi="Arial" w:cs="Arial"/>
          <w:sz w:val="20"/>
          <w:szCs w:val="20"/>
          <w:lang w:eastAsia="sl-SI"/>
        </w:rPr>
        <w:t>5,3</w:t>
      </w:r>
      <w:r w:rsidR="00F67DF8" w:rsidRPr="0077336E">
        <w:rPr>
          <w:rFonts w:ascii="Arial" w:hAnsi="Arial" w:cs="Arial"/>
          <w:sz w:val="20"/>
          <w:szCs w:val="20"/>
          <w:lang w:eastAsia="sl-SI"/>
        </w:rPr>
        <w:t xml:space="preserve"> %</w:t>
      </w:r>
      <w:r w:rsidR="002149C7" w:rsidRPr="0077336E">
        <w:rPr>
          <w:rFonts w:ascii="Arial" w:hAnsi="Arial" w:cs="Arial"/>
          <w:sz w:val="20"/>
          <w:szCs w:val="20"/>
          <w:lang w:eastAsia="sl-SI"/>
        </w:rPr>
        <w:t xml:space="preserve">, pri naročanju storitev </w:t>
      </w:r>
      <w:r w:rsidR="0077336E" w:rsidRPr="0077336E">
        <w:rPr>
          <w:rFonts w:ascii="Arial" w:hAnsi="Arial" w:cs="Arial"/>
          <w:sz w:val="20"/>
          <w:szCs w:val="20"/>
          <w:lang w:eastAsia="sl-SI"/>
        </w:rPr>
        <w:t>4,72</w:t>
      </w:r>
      <w:r w:rsidR="00F67DF8" w:rsidRPr="0077336E">
        <w:rPr>
          <w:rFonts w:ascii="Arial" w:hAnsi="Arial" w:cs="Arial"/>
          <w:sz w:val="20"/>
          <w:szCs w:val="20"/>
          <w:lang w:eastAsia="sl-SI"/>
        </w:rPr>
        <w:t xml:space="preserve"> %</w:t>
      </w:r>
      <w:r w:rsidR="002149C7" w:rsidRPr="0077336E">
        <w:rPr>
          <w:rFonts w:ascii="Arial" w:hAnsi="Arial" w:cs="Arial"/>
          <w:sz w:val="20"/>
          <w:szCs w:val="20"/>
          <w:lang w:eastAsia="sl-SI"/>
        </w:rPr>
        <w:t xml:space="preserve"> in pri naročanju gradenj</w:t>
      </w:r>
      <w:r w:rsidR="00680D9B" w:rsidRPr="0077336E">
        <w:rPr>
          <w:rFonts w:ascii="Arial" w:hAnsi="Arial" w:cs="Arial"/>
          <w:sz w:val="20"/>
          <w:szCs w:val="20"/>
          <w:lang w:eastAsia="sl-SI"/>
        </w:rPr>
        <w:t xml:space="preserve"> </w:t>
      </w:r>
      <w:r w:rsidR="002149C7" w:rsidRPr="0077336E">
        <w:rPr>
          <w:rFonts w:ascii="Arial" w:hAnsi="Arial" w:cs="Arial"/>
          <w:sz w:val="20"/>
          <w:szCs w:val="20"/>
          <w:lang w:eastAsia="sl-SI"/>
        </w:rPr>
        <w:t xml:space="preserve">za </w:t>
      </w:r>
      <w:r w:rsidR="0077336E" w:rsidRPr="0077336E">
        <w:rPr>
          <w:rFonts w:ascii="Arial" w:hAnsi="Arial" w:cs="Arial"/>
          <w:sz w:val="20"/>
          <w:szCs w:val="20"/>
          <w:lang w:eastAsia="sl-SI"/>
        </w:rPr>
        <w:t>0,65</w:t>
      </w:r>
      <w:r w:rsidR="00F67DF8" w:rsidRPr="0077336E">
        <w:rPr>
          <w:rFonts w:ascii="Arial" w:hAnsi="Arial" w:cs="Arial"/>
          <w:sz w:val="20"/>
          <w:szCs w:val="20"/>
          <w:lang w:eastAsia="sl-SI"/>
        </w:rPr>
        <w:t xml:space="preserve"> %</w:t>
      </w:r>
      <w:r w:rsidR="002149C7" w:rsidRPr="0077336E">
        <w:rPr>
          <w:rFonts w:ascii="Arial" w:hAnsi="Arial" w:cs="Arial"/>
          <w:sz w:val="20"/>
          <w:szCs w:val="20"/>
          <w:lang w:eastAsia="sl-SI"/>
        </w:rPr>
        <w:t xml:space="preserve">. </w:t>
      </w:r>
    </w:p>
    <w:p w14:paraId="5E34FAA6" w14:textId="2FCE9A2B" w:rsidR="00A67783" w:rsidRPr="00FE640F" w:rsidRDefault="00771343" w:rsidP="00490BF5">
      <w:pPr>
        <w:tabs>
          <w:tab w:val="left" w:pos="567"/>
          <w:tab w:val="left" w:pos="993"/>
        </w:tabs>
        <w:spacing w:line="360" w:lineRule="auto"/>
        <w:jc w:val="both"/>
        <w:rPr>
          <w:rFonts w:ascii="Arial" w:hAnsi="Arial" w:cs="Arial"/>
          <w:sz w:val="20"/>
          <w:szCs w:val="20"/>
          <w:lang w:eastAsia="sl-SI"/>
        </w:rPr>
      </w:pPr>
      <w:r>
        <w:rPr>
          <w:rFonts w:ascii="Arial" w:hAnsi="Arial" w:cs="Arial"/>
          <w:sz w:val="20"/>
          <w:szCs w:val="20"/>
          <w:lang w:eastAsia="sl-SI"/>
        </w:rPr>
        <w:t>Leta</w:t>
      </w:r>
      <w:r w:rsidR="00843BB1" w:rsidRPr="00FE640F">
        <w:rPr>
          <w:rFonts w:ascii="Arial" w:hAnsi="Arial" w:cs="Arial"/>
          <w:sz w:val="20"/>
          <w:szCs w:val="20"/>
          <w:lang w:eastAsia="sl-SI"/>
        </w:rPr>
        <w:t xml:space="preserve"> 201</w:t>
      </w:r>
      <w:r w:rsidR="00FE640F" w:rsidRPr="00FE640F">
        <w:rPr>
          <w:rFonts w:ascii="Arial" w:hAnsi="Arial" w:cs="Arial"/>
          <w:sz w:val="20"/>
          <w:szCs w:val="20"/>
          <w:lang w:eastAsia="sl-SI"/>
        </w:rPr>
        <w:t>8</w:t>
      </w:r>
      <w:r w:rsidR="003A716C" w:rsidRPr="00FE640F">
        <w:rPr>
          <w:rFonts w:ascii="Arial" w:hAnsi="Arial" w:cs="Arial"/>
          <w:sz w:val="20"/>
          <w:szCs w:val="20"/>
          <w:lang w:eastAsia="sl-SI"/>
        </w:rPr>
        <w:t xml:space="preserve"> je bil</w:t>
      </w:r>
      <w:r w:rsidR="00680D9B" w:rsidRPr="00FE640F">
        <w:rPr>
          <w:rFonts w:ascii="Arial" w:hAnsi="Arial" w:cs="Arial"/>
          <w:sz w:val="20"/>
          <w:szCs w:val="20"/>
          <w:lang w:eastAsia="sl-SI"/>
        </w:rPr>
        <w:t>a</w:t>
      </w:r>
      <w:r w:rsidR="003A716C" w:rsidRPr="00FE640F">
        <w:rPr>
          <w:rFonts w:ascii="Arial" w:hAnsi="Arial" w:cs="Arial"/>
          <w:sz w:val="20"/>
          <w:szCs w:val="20"/>
          <w:lang w:eastAsia="sl-SI"/>
        </w:rPr>
        <w:t xml:space="preserve"> </w:t>
      </w:r>
      <w:r w:rsidR="00E41EB7" w:rsidRPr="00FE640F">
        <w:rPr>
          <w:rFonts w:ascii="Arial" w:hAnsi="Arial" w:cs="Arial"/>
          <w:sz w:val="20"/>
          <w:szCs w:val="20"/>
          <w:lang w:eastAsia="sl-SI"/>
        </w:rPr>
        <w:t xml:space="preserve">razlika med </w:t>
      </w:r>
      <w:r w:rsidR="003A716C" w:rsidRPr="00FE640F">
        <w:rPr>
          <w:rFonts w:ascii="Arial" w:hAnsi="Arial" w:cs="Arial"/>
          <w:sz w:val="20"/>
          <w:szCs w:val="20"/>
          <w:lang w:eastAsia="sl-SI"/>
        </w:rPr>
        <w:t>pogodben</w:t>
      </w:r>
      <w:r w:rsidR="00E41EB7" w:rsidRPr="00FE640F">
        <w:rPr>
          <w:rFonts w:ascii="Arial" w:hAnsi="Arial" w:cs="Arial"/>
          <w:sz w:val="20"/>
          <w:szCs w:val="20"/>
          <w:lang w:eastAsia="sl-SI"/>
        </w:rPr>
        <w:t>o</w:t>
      </w:r>
      <w:r w:rsidR="003A716C" w:rsidRPr="00FE640F">
        <w:rPr>
          <w:rFonts w:ascii="Arial" w:hAnsi="Arial" w:cs="Arial"/>
          <w:sz w:val="20"/>
          <w:szCs w:val="20"/>
          <w:lang w:eastAsia="sl-SI"/>
        </w:rPr>
        <w:t xml:space="preserve"> </w:t>
      </w:r>
      <w:r w:rsidR="00E41EB7" w:rsidRPr="00FE640F">
        <w:rPr>
          <w:rFonts w:ascii="Arial" w:hAnsi="Arial" w:cs="Arial"/>
          <w:sz w:val="20"/>
          <w:szCs w:val="20"/>
          <w:lang w:eastAsia="sl-SI"/>
        </w:rPr>
        <w:t>in</w:t>
      </w:r>
      <w:r w:rsidR="003A716C" w:rsidRPr="00FE640F">
        <w:rPr>
          <w:rFonts w:ascii="Arial" w:hAnsi="Arial" w:cs="Arial"/>
          <w:sz w:val="20"/>
          <w:szCs w:val="20"/>
          <w:lang w:eastAsia="sl-SI"/>
        </w:rPr>
        <w:t xml:space="preserve"> ocenjen</w:t>
      </w:r>
      <w:r w:rsidR="00E41EB7" w:rsidRPr="00FE640F">
        <w:rPr>
          <w:rFonts w:ascii="Arial" w:hAnsi="Arial" w:cs="Arial"/>
          <w:sz w:val="20"/>
          <w:szCs w:val="20"/>
          <w:lang w:eastAsia="sl-SI"/>
        </w:rPr>
        <w:t>o</w:t>
      </w:r>
      <w:r w:rsidR="003A716C" w:rsidRPr="00FE640F">
        <w:rPr>
          <w:rFonts w:ascii="Arial" w:hAnsi="Arial" w:cs="Arial"/>
          <w:sz w:val="20"/>
          <w:szCs w:val="20"/>
          <w:lang w:eastAsia="sl-SI"/>
        </w:rPr>
        <w:t xml:space="preserve"> vrednost</w:t>
      </w:r>
      <w:r w:rsidR="00E41EB7" w:rsidRPr="00FE640F">
        <w:rPr>
          <w:rFonts w:ascii="Arial" w:hAnsi="Arial" w:cs="Arial"/>
          <w:sz w:val="20"/>
          <w:szCs w:val="20"/>
          <w:lang w:eastAsia="sl-SI"/>
        </w:rPr>
        <w:t>jo</w:t>
      </w:r>
      <w:r w:rsidR="003A716C" w:rsidRPr="00FE640F">
        <w:rPr>
          <w:rFonts w:ascii="Arial" w:hAnsi="Arial" w:cs="Arial"/>
          <w:sz w:val="20"/>
          <w:szCs w:val="20"/>
          <w:lang w:eastAsia="sl-SI"/>
        </w:rPr>
        <w:t xml:space="preserve"> </w:t>
      </w:r>
      <w:r w:rsidR="00680D9B" w:rsidRPr="00FE640F">
        <w:rPr>
          <w:rFonts w:ascii="Arial" w:hAnsi="Arial" w:cs="Arial"/>
          <w:sz w:val="20"/>
          <w:szCs w:val="20"/>
          <w:lang w:eastAsia="sl-SI"/>
        </w:rPr>
        <w:t>najma</w:t>
      </w:r>
      <w:r w:rsidR="00E41EB7" w:rsidRPr="00FE640F">
        <w:rPr>
          <w:rFonts w:ascii="Arial" w:hAnsi="Arial" w:cs="Arial"/>
          <w:sz w:val="20"/>
          <w:szCs w:val="20"/>
          <w:lang w:eastAsia="sl-SI"/>
        </w:rPr>
        <w:t>n</w:t>
      </w:r>
      <w:r w:rsidR="00680D9B" w:rsidRPr="00FE640F">
        <w:rPr>
          <w:rFonts w:ascii="Arial" w:hAnsi="Arial" w:cs="Arial"/>
          <w:sz w:val="20"/>
          <w:szCs w:val="20"/>
          <w:lang w:eastAsia="sl-SI"/>
        </w:rPr>
        <w:t xml:space="preserve">jša </w:t>
      </w:r>
      <w:r w:rsidR="003A716C" w:rsidRPr="00FE640F">
        <w:rPr>
          <w:rFonts w:ascii="Arial" w:hAnsi="Arial" w:cs="Arial"/>
          <w:sz w:val="20"/>
          <w:szCs w:val="20"/>
          <w:lang w:eastAsia="sl-SI"/>
        </w:rPr>
        <w:t xml:space="preserve">pri naročilih </w:t>
      </w:r>
      <w:r w:rsidR="00FE640F" w:rsidRPr="00FE640F">
        <w:rPr>
          <w:rFonts w:ascii="Arial" w:hAnsi="Arial" w:cs="Arial"/>
          <w:sz w:val="20"/>
          <w:szCs w:val="20"/>
          <w:lang w:eastAsia="sl-SI"/>
        </w:rPr>
        <w:t>gradenj</w:t>
      </w:r>
      <w:r w:rsidR="003A716C" w:rsidRPr="00FE640F">
        <w:rPr>
          <w:rFonts w:ascii="Arial" w:hAnsi="Arial" w:cs="Arial"/>
          <w:sz w:val="20"/>
          <w:szCs w:val="20"/>
          <w:lang w:eastAsia="sl-SI"/>
        </w:rPr>
        <w:t xml:space="preserve">, kjer je bila v povprečju pogodbena vrednost od ocenjene nižja za </w:t>
      </w:r>
      <w:r w:rsidR="00565394" w:rsidRPr="00FE640F">
        <w:rPr>
          <w:rFonts w:ascii="Arial" w:hAnsi="Arial" w:cs="Arial"/>
          <w:sz w:val="20"/>
          <w:szCs w:val="20"/>
          <w:lang w:eastAsia="sl-SI"/>
        </w:rPr>
        <w:t>0,</w:t>
      </w:r>
      <w:r w:rsidR="00FE640F" w:rsidRPr="00FE640F">
        <w:rPr>
          <w:rFonts w:ascii="Arial" w:hAnsi="Arial" w:cs="Arial"/>
          <w:sz w:val="20"/>
          <w:szCs w:val="20"/>
          <w:lang w:eastAsia="sl-SI"/>
        </w:rPr>
        <w:t>65</w:t>
      </w:r>
      <w:r w:rsidR="00F67DF8" w:rsidRPr="00FE640F">
        <w:rPr>
          <w:rFonts w:ascii="Arial" w:hAnsi="Arial" w:cs="Arial"/>
          <w:sz w:val="20"/>
          <w:szCs w:val="20"/>
          <w:lang w:eastAsia="sl-SI"/>
        </w:rPr>
        <w:t xml:space="preserve"> %</w:t>
      </w:r>
      <w:r w:rsidR="003A716C" w:rsidRPr="00FE640F">
        <w:rPr>
          <w:rFonts w:ascii="Arial" w:hAnsi="Arial" w:cs="Arial"/>
          <w:sz w:val="20"/>
          <w:szCs w:val="20"/>
          <w:lang w:eastAsia="sl-SI"/>
        </w:rPr>
        <w:t xml:space="preserve">, </w:t>
      </w:r>
      <w:r w:rsidR="00680D9B" w:rsidRPr="00FE640F">
        <w:rPr>
          <w:rFonts w:ascii="Arial" w:hAnsi="Arial" w:cs="Arial"/>
          <w:sz w:val="20"/>
          <w:szCs w:val="20"/>
          <w:lang w:eastAsia="sl-SI"/>
        </w:rPr>
        <w:t>ta razlika</w:t>
      </w:r>
      <w:r w:rsidR="00691346" w:rsidRPr="00FE640F">
        <w:rPr>
          <w:rFonts w:ascii="Arial" w:hAnsi="Arial" w:cs="Arial"/>
          <w:sz w:val="20"/>
          <w:szCs w:val="20"/>
          <w:lang w:eastAsia="sl-SI"/>
        </w:rPr>
        <w:t xml:space="preserve"> </w:t>
      </w:r>
      <w:r w:rsidR="00323C87">
        <w:rPr>
          <w:rFonts w:ascii="Arial" w:hAnsi="Arial" w:cs="Arial"/>
          <w:sz w:val="20"/>
          <w:szCs w:val="20"/>
          <w:lang w:eastAsia="sl-SI"/>
        </w:rPr>
        <w:t xml:space="preserve">pa je bila </w:t>
      </w:r>
      <w:r w:rsidR="00691346" w:rsidRPr="00FE640F">
        <w:rPr>
          <w:rFonts w:ascii="Arial" w:hAnsi="Arial" w:cs="Arial"/>
          <w:sz w:val="20"/>
          <w:szCs w:val="20"/>
          <w:lang w:eastAsia="sl-SI"/>
        </w:rPr>
        <w:t>največj</w:t>
      </w:r>
      <w:r w:rsidR="00680D9B" w:rsidRPr="00FE640F">
        <w:rPr>
          <w:rFonts w:ascii="Arial" w:hAnsi="Arial" w:cs="Arial"/>
          <w:sz w:val="20"/>
          <w:szCs w:val="20"/>
          <w:lang w:eastAsia="sl-SI"/>
        </w:rPr>
        <w:t>a</w:t>
      </w:r>
      <w:r w:rsidR="00691346" w:rsidRPr="00FE640F">
        <w:rPr>
          <w:rFonts w:ascii="Arial" w:hAnsi="Arial" w:cs="Arial"/>
          <w:sz w:val="20"/>
          <w:szCs w:val="20"/>
          <w:lang w:eastAsia="sl-SI"/>
        </w:rPr>
        <w:t xml:space="preserve"> </w:t>
      </w:r>
      <w:r w:rsidR="00DF3A3E" w:rsidRPr="00FE640F">
        <w:rPr>
          <w:rFonts w:ascii="Arial" w:hAnsi="Arial" w:cs="Arial"/>
          <w:sz w:val="20"/>
          <w:szCs w:val="20"/>
          <w:lang w:eastAsia="sl-SI"/>
        </w:rPr>
        <w:t>pri naročilih</w:t>
      </w:r>
      <w:r w:rsidR="00FE640F" w:rsidRPr="00FE640F">
        <w:rPr>
          <w:rFonts w:ascii="Arial" w:hAnsi="Arial" w:cs="Arial"/>
          <w:sz w:val="20"/>
          <w:szCs w:val="20"/>
          <w:lang w:eastAsia="sl-SI"/>
        </w:rPr>
        <w:t xml:space="preserve"> blaga</w:t>
      </w:r>
      <w:r w:rsidR="00DF3A3E" w:rsidRPr="00FE640F">
        <w:rPr>
          <w:rFonts w:ascii="Arial" w:hAnsi="Arial" w:cs="Arial"/>
          <w:sz w:val="20"/>
          <w:szCs w:val="20"/>
          <w:lang w:eastAsia="sl-SI"/>
        </w:rPr>
        <w:t>, in sicer</w:t>
      </w:r>
      <w:r w:rsidR="003A716C" w:rsidRPr="00FE640F">
        <w:rPr>
          <w:rFonts w:ascii="Arial" w:hAnsi="Arial" w:cs="Arial"/>
          <w:sz w:val="20"/>
          <w:szCs w:val="20"/>
          <w:lang w:eastAsia="sl-SI"/>
        </w:rPr>
        <w:t xml:space="preserve"> </w:t>
      </w:r>
      <w:r w:rsidR="00FE640F" w:rsidRPr="00FE640F">
        <w:rPr>
          <w:rFonts w:ascii="Arial" w:hAnsi="Arial" w:cs="Arial"/>
          <w:sz w:val="20"/>
          <w:szCs w:val="20"/>
          <w:lang w:eastAsia="sl-SI"/>
        </w:rPr>
        <w:t>5,3</w:t>
      </w:r>
      <w:r w:rsidR="00F67DF8" w:rsidRPr="00FE640F">
        <w:rPr>
          <w:rFonts w:ascii="Arial" w:hAnsi="Arial" w:cs="Arial"/>
          <w:sz w:val="20"/>
          <w:szCs w:val="20"/>
          <w:lang w:eastAsia="sl-SI"/>
        </w:rPr>
        <w:t xml:space="preserve"> %</w:t>
      </w:r>
      <w:r w:rsidR="00490BF5" w:rsidRPr="00FE640F">
        <w:rPr>
          <w:rFonts w:ascii="Arial" w:hAnsi="Arial" w:cs="Arial"/>
          <w:sz w:val="20"/>
          <w:szCs w:val="20"/>
          <w:lang w:eastAsia="sl-SI"/>
        </w:rPr>
        <w:t>.</w:t>
      </w:r>
    </w:p>
    <w:p w14:paraId="1F192E55" w14:textId="730FFDAA" w:rsidR="00691346" w:rsidRPr="0077336E" w:rsidRDefault="00691346" w:rsidP="008A61FD">
      <w:pPr>
        <w:spacing w:before="120" w:after="120" w:line="240" w:lineRule="auto"/>
        <w:jc w:val="both"/>
        <w:rPr>
          <w:rFonts w:ascii="Arial" w:hAnsi="Arial" w:cs="Arial"/>
          <w:sz w:val="20"/>
        </w:rPr>
      </w:pPr>
      <w:r w:rsidRPr="0077336E">
        <w:rPr>
          <w:rFonts w:ascii="Arial" w:hAnsi="Arial" w:cs="Arial"/>
          <w:sz w:val="20"/>
        </w:rPr>
        <w:t xml:space="preserve">Preglednica </w:t>
      </w:r>
      <w:r w:rsidR="0083702C" w:rsidRPr="0077336E">
        <w:rPr>
          <w:rFonts w:ascii="Arial" w:hAnsi="Arial" w:cs="Arial"/>
          <w:sz w:val="20"/>
        </w:rPr>
        <w:t>3</w:t>
      </w:r>
      <w:r w:rsidR="00EB4423">
        <w:rPr>
          <w:rFonts w:ascii="Arial" w:hAnsi="Arial" w:cs="Arial"/>
          <w:sz w:val="20"/>
        </w:rPr>
        <w:t>1</w:t>
      </w:r>
      <w:r w:rsidRPr="0077336E">
        <w:rPr>
          <w:rFonts w:ascii="Arial" w:hAnsi="Arial" w:cs="Arial"/>
          <w:sz w:val="20"/>
        </w:rPr>
        <w:t xml:space="preserve">: Ocenjena in pogodbena vrednost ter </w:t>
      </w:r>
      <w:r w:rsidR="00680D9B" w:rsidRPr="0077336E">
        <w:rPr>
          <w:rFonts w:ascii="Arial" w:hAnsi="Arial" w:cs="Arial"/>
          <w:sz w:val="20"/>
        </w:rPr>
        <w:t>razlika</w:t>
      </w:r>
      <w:r w:rsidR="00E41EB7" w:rsidRPr="0077336E">
        <w:rPr>
          <w:rFonts w:ascii="Arial" w:hAnsi="Arial" w:cs="Arial"/>
          <w:sz w:val="20"/>
        </w:rPr>
        <w:t xml:space="preserve"> med njima</w:t>
      </w:r>
      <w:r w:rsidRPr="0077336E">
        <w:rPr>
          <w:rFonts w:ascii="Arial" w:hAnsi="Arial" w:cs="Arial"/>
          <w:sz w:val="20"/>
        </w:rPr>
        <w:t xml:space="preserve"> glede na predmet naročanja</w:t>
      </w:r>
    </w:p>
    <w:tbl>
      <w:tblPr>
        <w:tblW w:w="7440" w:type="dxa"/>
        <w:jc w:val="center"/>
        <w:tblCellMar>
          <w:left w:w="70" w:type="dxa"/>
          <w:right w:w="70" w:type="dxa"/>
        </w:tblCellMar>
        <w:tblLook w:val="04A0" w:firstRow="1" w:lastRow="0" w:firstColumn="1" w:lastColumn="0" w:noHBand="0" w:noVBand="1"/>
      </w:tblPr>
      <w:tblGrid>
        <w:gridCol w:w="2160"/>
        <w:gridCol w:w="1480"/>
        <w:gridCol w:w="1540"/>
        <w:gridCol w:w="2260"/>
      </w:tblGrid>
      <w:tr w:rsidR="00F525B9" w:rsidRPr="0077336E" w14:paraId="6FB27197" w14:textId="77777777" w:rsidTr="004A613D">
        <w:trPr>
          <w:trHeight w:val="720"/>
          <w:jc w:val="center"/>
        </w:trPr>
        <w:tc>
          <w:tcPr>
            <w:tcW w:w="21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A257CE0" w14:textId="6DC4CBBC" w:rsidR="00F525B9" w:rsidRPr="0077336E" w:rsidRDefault="00F525B9" w:rsidP="00F525B9">
            <w:pPr>
              <w:spacing w:after="0" w:line="240" w:lineRule="auto"/>
              <w:jc w:val="center"/>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 xml:space="preserve">Predmet </w:t>
            </w:r>
          </w:p>
        </w:tc>
        <w:tc>
          <w:tcPr>
            <w:tcW w:w="1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B3486CC" w14:textId="77777777" w:rsidR="00F525B9" w:rsidRPr="0077336E" w:rsidRDefault="00F525B9" w:rsidP="00F525B9">
            <w:pPr>
              <w:spacing w:after="0" w:line="240" w:lineRule="auto"/>
              <w:jc w:val="center"/>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 xml:space="preserve">Ocenjena vrednost </w:t>
            </w:r>
          </w:p>
        </w:tc>
        <w:tc>
          <w:tcPr>
            <w:tcW w:w="15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9242FC0" w14:textId="77777777" w:rsidR="00F525B9" w:rsidRPr="0077336E" w:rsidRDefault="00F525B9" w:rsidP="00F525B9">
            <w:pPr>
              <w:spacing w:after="0" w:line="240" w:lineRule="auto"/>
              <w:jc w:val="center"/>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 xml:space="preserve">Pogodbena vrednost </w:t>
            </w:r>
          </w:p>
        </w:tc>
        <w:tc>
          <w:tcPr>
            <w:tcW w:w="22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48CB77" w14:textId="50CE073E" w:rsidR="00F525B9" w:rsidRPr="0077336E" w:rsidRDefault="00680D9B" w:rsidP="00F525B9">
            <w:pPr>
              <w:spacing w:after="0" w:line="240" w:lineRule="auto"/>
              <w:jc w:val="center"/>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Razlika</w:t>
            </w:r>
            <w:r w:rsidR="00E41EB7" w:rsidRPr="0077336E">
              <w:rPr>
                <w:rFonts w:ascii="Arial" w:eastAsia="Times New Roman" w:hAnsi="Arial" w:cs="Arial"/>
                <w:color w:val="000000"/>
                <w:sz w:val="18"/>
                <w:szCs w:val="18"/>
                <w:lang w:eastAsia="sl-SI"/>
              </w:rPr>
              <w:t xml:space="preserve"> med</w:t>
            </w:r>
            <w:r w:rsidR="00F525B9" w:rsidRPr="0077336E">
              <w:rPr>
                <w:rFonts w:ascii="Arial" w:eastAsia="Times New Roman" w:hAnsi="Arial" w:cs="Arial"/>
                <w:color w:val="000000"/>
                <w:sz w:val="18"/>
                <w:szCs w:val="18"/>
                <w:lang w:eastAsia="sl-SI"/>
              </w:rPr>
              <w:t xml:space="preserve"> pogodben</w:t>
            </w:r>
            <w:r w:rsidR="00E41EB7" w:rsidRPr="0077336E">
              <w:rPr>
                <w:rFonts w:ascii="Arial" w:eastAsia="Times New Roman" w:hAnsi="Arial" w:cs="Arial"/>
                <w:color w:val="000000"/>
                <w:sz w:val="18"/>
                <w:szCs w:val="18"/>
                <w:lang w:eastAsia="sl-SI"/>
              </w:rPr>
              <w:t>o</w:t>
            </w:r>
            <w:r w:rsidR="00F525B9" w:rsidRPr="0077336E">
              <w:rPr>
                <w:rFonts w:ascii="Arial" w:eastAsia="Times New Roman" w:hAnsi="Arial" w:cs="Arial"/>
                <w:color w:val="000000"/>
                <w:sz w:val="18"/>
                <w:szCs w:val="18"/>
                <w:lang w:eastAsia="sl-SI"/>
              </w:rPr>
              <w:t xml:space="preserve"> </w:t>
            </w:r>
            <w:r w:rsidR="00E41EB7" w:rsidRPr="0077336E">
              <w:rPr>
                <w:rFonts w:ascii="Arial" w:eastAsia="Times New Roman" w:hAnsi="Arial" w:cs="Arial"/>
                <w:color w:val="000000"/>
                <w:sz w:val="18"/>
                <w:szCs w:val="18"/>
                <w:lang w:eastAsia="sl-SI"/>
              </w:rPr>
              <w:t>in</w:t>
            </w:r>
            <w:r w:rsidR="00F525B9" w:rsidRPr="0077336E">
              <w:rPr>
                <w:rFonts w:ascii="Arial" w:eastAsia="Times New Roman" w:hAnsi="Arial" w:cs="Arial"/>
                <w:color w:val="000000"/>
                <w:sz w:val="18"/>
                <w:szCs w:val="18"/>
                <w:lang w:eastAsia="sl-SI"/>
              </w:rPr>
              <w:t xml:space="preserve"> ocenjen</w:t>
            </w:r>
            <w:r w:rsidR="00E41EB7" w:rsidRPr="0077336E">
              <w:rPr>
                <w:rFonts w:ascii="Arial" w:eastAsia="Times New Roman" w:hAnsi="Arial" w:cs="Arial"/>
                <w:color w:val="000000"/>
                <w:sz w:val="18"/>
                <w:szCs w:val="18"/>
                <w:lang w:eastAsia="sl-SI"/>
              </w:rPr>
              <w:t>o</w:t>
            </w:r>
            <w:r w:rsidR="00F525B9" w:rsidRPr="0077336E">
              <w:rPr>
                <w:rFonts w:ascii="Arial" w:eastAsia="Times New Roman" w:hAnsi="Arial" w:cs="Arial"/>
                <w:color w:val="000000"/>
                <w:sz w:val="18"/>
                <w:szCs w:val="18"/>
                <w:lang w:eastAsia="sl-SI"/>
              </w:rPr>
              <w:t xml:space="preserve"> vrednost</w:t>
            </w:r>
            <w:r w:rsidR="00E41EB7" w:rsidRPr="0077336E">
              <w:rPr>
                <w:rFonts w:ascii="Arial" w:eastAsia="Times New Roman" w:hAnsi="Arial" w:cs="Arial"/>
                <w:color w:val="000000"/>
                <w:sz w:val="18"/>
                <w:szCs w:val="18"/>
                <w:lang w:eastAsia="sl-SI"/>
              </w:rPr>
              <w:t>jo</w:t>
            </w:r>
          </w:p>
        </w:tc>
      </w:tr>
      <w:tr w:rsidR="00667D92" w:rsidRPr="0077336E" w14:paraId="7EAFAC78" w14:textId="77777777" w:rsidTr="0077336E">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BBC9422" w14:textId="4C62CC9E" w:rsidR="00667D92" w:rsidRPr="0077336E" w:rsidRDefault="00667D92" w:rsidP="00667D92">
            <w:pPr>
              <w:spacing w:after="0" w:line="240" w:lineRule="auto"/>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Blago</w:t>
            </w:r>
          </w:p>
        </w:tc>
        <w:tc>
          <w:tcPr>
            <w:tcW w:w="1480" w:type="dxa"/>
            <w:tcBorders>
              <w:top w:val="nil"/>
              <w:left w:val="nil"/>
              <w:bottom w:val="single" w:sz="4" w:space="0" w:color="auto"/>
              <w:right w:val="single" w:sz="4" w:space="0" w:color="auto"/>
            </w:tcBorders>
            <w:shd w:val="clear" w:color="auto" w:fill="auto"/>
            <w:vAlign w:val="center"/>
            <w:hideMark/>
          </w:tcPr>
          <w:p w14:paraId="7C8BB3F0" w14:textId="7630BDB4"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1.264.642.887</w:t>
            </w:r>
          </w:p>
        </w:tc>
        <w:tc>
          <w:tcPr>
            <w:tcW w:w="1540" w:type="dxa"/>
            <w:tcBorders>
              <w:top w:val="nil"/>
              <w:left w:val="nil"/>
              <w:bottom w:val="single" w:sz="4" w:space="0" w:color="auto"/>
              <w:right w:val="single" w:sz="4" w:space="0" w:color="auto"/>
            </w:tcBorders>
            <w:shd w:val="clear" w:color="auto" w:fill="auto"/>
            <w:vAlign w:val="center"/>
            <w:hideMark/>
          </w:tcPr>
          <w:p w14:paraId="16830B5B" w14:textId="32D6E52F"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1.197.625.996</w:t>
            </w:r>
          </w:p>
        </w:tc>
        <w:tc>
          <w:tcPr>
            <w:tcW w:w="2260" w:type="dxa"/>
            <w:tcBorders>
              <w:top w:val="nil"/>
              <w:left w:val="nil"/>
              <w:bottom w:val="single" w:sz="4" w:space="0" w:color="auto"/>
              <w:right w:val="single" w:sz="4" w:space="0" w:color="auto"/>
            </w:tcBorders>
            <w:shd w:val="clear" w:color="auto" w:fill="auto"/>
            <w:noWrap/>
            <w:vAlign w:val="center"/>
            <w:hideMark/>
          </w:tcPr>
          <w:p w14:paraId="3C575DA1" w14:textId="7D57B6C7"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5,30 %</w:t>
            </w:r>
          </w:p>
        </w:tc>
      </w:tr>
      <w:tr w:rsidR="00667D92" w:rsidRPr="0077336E" w14:paraId="12141383" w14:textId="77777777" w:rsidTr="0077336E">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47886A2" w14:textId="4C9A6194" w:rsidR="00667D92" w:rsidRPr="0077336E" w:rsidRDefault="00667D92" w:rsidP="00667D92">
            <w:pPr>
              <w:spacing w:after="0" w:line="240" w:lineRule="auto"/>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Storitve</w:t>
            </w:r>
          </w:p>
        </w:tc>
        <w:tc>
          <w:tcPr>
            <w:tcW w:w="1480" w:type="dxa"/>
            <w:tcBorders>
              <w:top w:val="nil"/>
              <w:left w:val="nil"/>
              <w:bottom w:val="single" w:sz="4" w:space="0" w:color="auto"/>
              <w:right w:val="single" w:sz="4" w:space="0" w:color="auto"/>
            </w:tcBorders>
            <w:shd w:val="clear" w:color="auto" w:fill="auto"/>
            <w:vAlign w:val="center"/>
            <w:hideMark/>
          </w:tcPr>
          <w:p w14:paraId="0ED1C541" w14:textId="51D02665"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801.760.902</w:t>
            </w:r>
          </w:p>
        </w:tc>
        <w:tc>
          <w:tcPr>
            <w:tcW w:w="1540" w:type="dxa"/>
            <w:tcBorders>
              <w:top w:val="nil"/>
              <w:left w:val="nil"/>
              <w:bottom w:val="single" w:sz="4" w:space="0" w:color="auto"/>
              <w:right w:val="single" w:sz="4" w:space="0" w:color="auto"/>
            </w:tcBorders>
            <w:shd w:val="clear" w:color="auto" w:fill="auto"/>
            <w:vAlign w:val="center"/>
            <w:hideMark/>
          </w:tcPr>
          <w:p w14:paraId="2088FE45" w14:textId="5F99C4C8"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763.942.082</w:t>
            </w:r>
          </w:p>
        </w:tc>
        <w:tc>
          <w:tcPr>
            <w:tcW w:w="2260" w:type="dxa"/>
            <w:tcBorders>
              <w:top w:val="nil"/>
              <w:left w:val="nil"/>
              <w:bottom w:val="single" w:sz="4" w:space="0" w:color="auto"/>
              <w:right w:val="single" w:sz="4" w:space="0" w:color="auto"/>
            </w:tcBorders>
            <w:shd w:val="clear" w:color="auto" w:fill="auto"/>
            <w:noWrap/>
            <w:vAlign w:val="center"/>
            <w:hideMark/>
          </w:tcPr>
          <w:p w14:paraId="428F64A0" w14:textId="3A48F7B7"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 xml:space="preserve">4,72 </w:t>
            </w:r>
            <w:r w:rsidR="0077336E" w:rsidRPr="0077336E">
              <w:rPr>
                <w:rFonts w:ascii="Arial" w:hAnsi="Arial" w:cs="Arial"/>
                <w:sz w:val="18"/>
                <w:szCs w:val="18"/>
              </w:rPr>
              <w:t>%</w:t>
            </w:r>
          </w:p>
        </w:tc>
      </w:tr>
      <w:tr w:rsidR="00667D92" w:rsidRPr="0077336E" w14:paraId="1335DF2A" w14:textId="77777777" w:rsidTr="0077336E">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73D43B6" w14:textId="7CADE79E" w:rsidR="00667D92" w:rsidRPr="0077336E" w:rsidRDefault="00667D92" w:rsidP="00667D92">
            <w:pPr>
              <w:spacing w:after="0" w:line="240" w:lineRule="auto"/>
              <w:rPr>
                <w:rFonts w:ascii="Arial" w:eastAsia="Times New Roman" w:hAnsi="Arial" w:cs="Arial"/>
                <w:color w:val="000000"/>
                <w:sz w:val="18"/>
                <w:szCs w:val="18"/>
                <w:lang w:eastAsia="sl-SI"/>
              </w:rPr>
            </w:pPr>
            <w:r w:rsidRPr="0077336E">
              <w:rPr>
                <w:rFonts w:ascii="Arial" w:eastAsia="Times New Roman" w:hAnsi="Arial" w:cs="Arial"/>
                <w:color w:val="000000"/>
                <w:sz w:val="18"/>
                <w:szCs w:val="18"/>
                <w:lang w:eastAsia="sl-SI"/>
              </w:rPr>
              <w:t>Gradnje</w:t>
            </w:r>
          </w:p>
        </w:tc>
        <w:tc>
          <w:tcPr>
            <w:tcW w:w="1480" w:type="dxa"/>
            <w:tcBorders>
              <w:top w:val="nil"/>
              <w:left w:val="nil"/>
              <w:bottom w:val="single" w:sz="4" w:space="0" w:color="auto"/>
              <w:right w:val="single" w:sz="4" w:space="0" w:color="auto"/>
            </w:tcBorders>
            <w:shd w:val="clear" w:color="auto" w:fill="auto"/>
            <w:vAlign w:val="center"/>
            <w:hideMark/>
          </w:tcPr>
          <w:p w14:paraId="745B5CA7" w14:textId="28E3E9CF"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963.299.336</w:t>
            </w:r>
          </w:p>
        </w:tc>
        <w:tc>
          <w:tcPr>
            <w:tcW w:w="1540" w:type="dxa"/>
            <w:tcBorders>
              <w:top w:val="nil"/>
              <w:left w:val="nil"/>
              <w:bottom w:val="single" w:sz="4" w:space="0" w:color="auto"/>
              <w:right w:val="single" w:sz="4" w:space="0" w:color="auto"/>
            </w:tcBorders>
            <w:shd w:val="clear" w:color="auto" w:fill="auto"/>
            <w:vAlign w:val="center"/>
            <w:hideMark/>
          </w:tcPr>
          <w:p w14:paraId="6FFE7411" w14:textId="2CB14320"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957.026.531</w:t>
            </w:r>
          </w:p>
        </w:tc>
        <w:tc>
          <w:tcPr>
            <w:tcW w:w="2260" w:type="dxa"/>
            <w:tcBorders>
              <w:top w:val="nil"/>
              <w:left w:val="nil"/>
              <w:bottom w:val="single" w:sz="4" w:space="0" w:color="auto"/>
              <w:right w:val="single" w:sz="4" w:space="0" w:color="auto"/>
            </w:tcBorders>
            <w:shd w:val="clear" w:color="auto" w:fill="auto"/>
            <w:noWrap/>
            <w:vAlign w:val="center"/>
            <w:hideMark/>
          </w:tcPr>
          <w:p w14:paraId="0FB7A4B1" w14:textId="5A4B406C" w:rsidR="00667D92" w:rsidRPr="0077336E" w:rsidRDefault="00667D92" w:rsidP="0077336E">
            <w:pPr>
              <w:spacing w:after="0" w:line="240" w:lineRule="auto"/>
              <w:jc w:val="right"/>
              <w:rPr>
                <w:rFonts w:ascii="Arial" w:eastAsia="Times New Roman" w:hAnsi="Arial" w:cs="Arial"/>
                <w:color w:val="000000"/>
                <w:sz w:val="18"/>
                <w:szCs w:val="18"/>
                <w:lang w:eastAsia="sl-SI"/>
              </w:rPr>
            </w:pPr>
            <w:r w:rsidRPr="0077336E">
              <w:rPr>
                <w:rFonts w:ascii="Arial" w:hAnsi="Arial" w:cs="Arial"/>
                <w:sz w:val="18"/>
                <w:szCs w:val="18"/>
              </w:rPr>
              <w:t>0,65</w:t>
            </w:r>
            <w:r w:rsidR="0077336E" w:rsidRPr="0077336E">
              <w:rPr>
                <w:rFonts w:ascii="Arial" w:hAnsi="Arial" w:cs="Arial"/>
                <w:sz w:val="18"/>
                <w:szCs w:val="18"/>
              </w:rPr>
              <w:t xml:space="preserve"> %</w:t>
            </w:r>
          </w:p>
        </w:tc>
      </w:tr>
      <w:tr w:rsidR="00667D92" w:rsidRPr="0077336E" w14:paraId="2A383C88" w14:textId="77777777" w:rsidTr="00B45EE0">
        <w:trPr>
          <w:gridAfter w:val="1"/>
          <w:wAfter w:w="2260" w:type="dxa"/>
          <w:trHeight w:val="300"/>
          <w:jc w:val="center"/>
        </w:trPr>
        <w:tc>
          <w:tcPr>
            <w:tcW w:w="2160" w:type="dxa"/>
            <w:tcBorders>
              <w:top w:val="nil"/>
              <w:left w:val="single" w:sz="4" w:space="0" w:color="auto"/>
              <w:bottom w:val="single" w:sz="4" w:space="0" w:color="auto"/>
              <w:right w:val="single" w:sz="4" w:space="0" w:color="auto"/>
            </w:tcBorders>
            <w:shd w:val="clear" w:color="auto" w:fill="E7E6E6" w:themeFill="background2"/>
            <w:vAlign w:val="center"/>
            <w:hideMark/>
          </w:tcPr>
          <w:p w14:paraId="14BEFEF7" w14:textId="7F78B6C0" w:rsidR="00667D92" w:rsidRPr="0077336E" w:rsidRDefault="00667D92" w:rsidP="00667D92">
            <w:pPr>
              <w:spacing w:after="0" w:line="240" w:lineRule="auto"/>
              <w:rPr>
                <w:rFonts w:ascii="Arial" w:eastAsia="Times New Roman" w:hAnsi="Arial" w:cs="Arial"/>
                <w:b/>
                <w:bCs/>
                <w:color w:val="000000"/>
                <w:sz w:val="18"/>
                <w:szCs w:val="18"/>
                <w:lang w:eastAsia="sl-SI"/>
              </w:rPr>
            </w:pPr>
            <w:r w:rsidRPr="0077336E">
              <w:rPr>
                <w:rFonts w:ascii="Arial" w:eastAsia="Times New Roman" w:hAnsi="Arial" w:cs="Arial"/>
                <w:b/>
                <w:bCs/>
                <w:color w:val="000000"/>
                <w:sz w:val="18"/>
                <w:szCs w:val="18"/>
                <w:lang w:eastAsia="sl-SI"/>
              </w:rPr>
              <w:t>Skupaj</w:t>
            </w:r>
          </w:p>
        </w:tc>
        <w:tc>
          <w:tcPr>
            <w:tcW w:w="1480" w:type="dxa"/>
            <w:tcBorders>
              <w:top w:val="nil"/>
              <w:left w:val="nil"/>
              <w:bottom w:val="single" w:sz="4" w:space="0" w:color="auto"/>
              <w:right w:val="single" w:sz="4" w:space="0" w:color="auto"/>
            </w:tcBorders>
            <w:shd w:val="clear" w:color="auto" w:fill="E7E6E6" w:themeFill="background2"/>
            <w:vAlign w:val="center"/>
            <w:hideMark/>
          </w:tcPr>
          <w:p w14:paraId="7E47FFC0" w14:textId="7DD8DEDF" w:rsidR="00667D92" w:rsidRPr="0077336E" w:rsidRDefault="00667D92" w:rsidP="0077336E">
            <w:pPr>
              <w:spacing w:after="0" w:line="240" w:lineRule="auto"/>
              <w:jc w:val="right"/>
              <w:rPr>
                <w:rFonts w:ascii="Arial" w:eastAsia="Times New Roman" w:hAnsi="Arial" w:cs="Arial"/>
                <w:b/>
                <w:bCs/>
                <w:color w:val="000000"/>
                <w:sz w:val="18"/>
                <w:szCs w:val="18"/>
                <w:lang w:eastAsia="sl-SI"/>
              </w:rPr>
            </w:pPr>
            <w:r w:rsidRPr="0077336E">
              <w:rPr>
                <w:rFonts w:ascii="Arial" w:hAnsi="Arial" w:cs="Arial"/>
                <w:b/>
                <w:sz w:val="18"/>
                <w:szCs w:val="18"/>
              </w:rPr>
              <w:t>3.029.703.125</w:t>
            </w:r>
          </w:p>
        </w:tc>
        <w:tc>
          <w:tcPr>
            <w:tcW w:w="1540" w:type="dxa"/>
            <w:tcBorders>
              <w:top w:val="nil"/>
              <w:left w:val="nil"/>
              <w:bottom w:val="single" w:sz="4" w:space="0" w:color="auto"/>
              <w:right w:val="single" w:sz="4" w:space="0" w:color="auto"/>
            </w:tcBorders>
            <w:shd w:val="clear" w:color="auto" w:fill="E7E6E6" w:themeFill="background2"/>
            <w:vAlign w:val="center"/>
            <w:hideMark/>
          </w:tcPr>
          <w:p w14:paraId="2B2B6788" w14:textId="69319D0E" w:rsidR="00667D92" w:rsidRPr="0077336E" w:rsidRDefault="00667D92" w:rsidP="0077336E">
            <w:pPr>
              <w:spacing w:after="0" w:line="240" w:lineRule="auto"/>
              <w:jc w:val="right"/>
              <w:rPr>
                <w:rFonts w:ascii="Arial" w:eastAsia="Times New Roman" w:hAnsi="Arial" w:cs="Arial"/>
                <w:b/>
                <w:bCs/>
                <w:color w:val="000000"/>
                <w:sz w:val="18"/>
                <w:szCs w:val="18"/>
                <w:lang w:eastAsia="sl-SI"/>
              </w:rPr>
            </w:pPr>
            <w:r w:rsidRPr="0077336E">
              <w:rPr>
                <w:rFonts w:ascii="Arial" w:hAnsi="Arial" w:cs="Arial"/>
                <w:b/>
                <w:sz w:val="18"/>
                <w:szCs w:val="18"/>
              </w:rPr>
              <w:t>2.918.594.609</w:t>
            </w:r>
          </w:p>
        </w:tc>
      </w:tr>
    </w:tbl>
    <w:p w14:paraId="3159F6DC" w14:textId="19D2176D" w:rsidR="00F525B9" w:rsidRPr="0077336E" w:rsidRDefault="00F525B9" w:rsidP="00691346">
      <w:pPr>
        <w:spacing w:after="0" w:line="240" w:lineRule="auto"/>
        <w:jc w:val="both"/>
        <w:rPr>
          <w:rFonts w:ascii="Arial" w:hAnsi="Arial" w:cs="Arial"/>
          <w:bCs/>
          <w:sz w:val="20"/>
          <w:szCs w:val="20"/>
        </w:rPr>
      </w:pPr>
    </w:p>
    <w:p w14:paraId="297C4980" w14:textId="7E5ACDED" w:rsidR="00DF3A3E" w:rsidRPr="0077336E" w:rsidRDefault="00DF3A3E" w:rsidP="00701C10">
      <w:pPr>
        <w:spacing w:after="240" w:line="240" w:lineRule="auto"/>
        <w:jc w:val="center"/>
        <w:rPr>
          <w:rFonts w:ascii="Arial" w:hAnsi="Arial" w:cs="Arial"/>
          <w:sz w:val="18"/>
        </w:rPr>
      </w:pPr>
      <w:r w:rsidRPr="0077336E">
        <w:rPr>
          <w:rFonts w:ascii="Arial" w:hAnsi="Arial" w:cs="Arial"/>
          <w:sz w:val="18"/>
        </w:rPr>
        <w:t>Vir: Statistični podatki o javni</w:t>
      </w:r>
      <w:r w:rsidR="001B6D8C" w:rsidRPr="0077336E">
        <w:rPr>
          <w:rFonts w:ascii="Arial" w:hAnsi="Arial" w:cs="Arial"/>
          <w:sz w:val="18"/>
        </w:rPr>
        <w:t>h naročilih, oddanih v letu 201</w:t>
      </w:r>
      <w:r w:rsidR="0077336E" w:rsidRPr="0077336E">
        <w:rPr>
          <w:rFonts w:ascii="Arial" w:hAnsi="Arial" w:cs="Arial"/>
          <w:sz w:val="18"/>
        </w:rPr>
        <w:t>8</w:t>
      </w:r>
    </w:p>
    <w:p w14:paraId="644A4828" w14:textId="3AFCEC62" w:rsidR="003A716C" w:rsidRPr="007A0C27" w:rsidRDefault="003A716C" w:rsidP="003A716C">
      <w:pPr>
        <w:tabs>
          <w:tab w:val="left" w:pos="567"/>
          <w:tab w:val="left" w:pos="993"/>
        </w:tabs>
        <w:spacing w:line="360" w:lineRule="auto"/>
        <w:jc w:val="both"/>
        <w:rPr>
          <w:rFonts w:ascii="Arial" w:hAnsi="Arial" w:cs="Arial"/>
          <w:sz w:val="20"/>
          <w:szCs w:val="20"/>
          <w:lang w:eastAsia="sl-SI"/>
        </w:rPr>
      </w:pPr>
      <w:r w:rsidRPr="007A0C27">
        <w:rPr>
          <w:rFonts w:ascii="Arial" w:hAnsi="Arial" w:cs="Arial"/>
          <w:sz w:val="20"/>
          <w:szCs w:val="20"/>
          <w:lang w:eastAsia="sl-SI"/>
        </w:rPr>
        <w:t xml:space="preserve">Glede na </w:t>
      </w:r>
      <w:r w:rsidR="00E41EB7" w:rsidRPr="007A0C27">
        <w:rPr>
          <w:rFonts w:ascii="Arial" w:hAnsi="Arial" w:cs="Arial"/>
          <w:sz w:val="20"/>
          <w:szCs w:val="20"/>
          <w:lang w:eastAsia="sl-SI"/>
        </w:rPr>
        <w:t>vrsto</w:t>
      </w:r>
      <w:r w:rsidRPr="007A0C27">
        <w:rPr>
          <w:rFonts w:ascii="Arial" w:hAnsi="Arial" w:cs="Arial"/>
          <w:sz w:val="20"/>
          <w:szCs w:val="20"/>
          <w:lang w:eastAsia="sl-SI"/>
        </w:rPr>
        <w:t xml:space="preserve"> naročnika je</w:t>
      </w:r>
      <w:r w:rsidR="00E41EB7" w:rsidRPr="007A0C27">
        <w:rPr>
          <w:rFonts w:ascii="Arial" w:hAnsi="Arial" w:cs="Arial"/>
          <w:sz w:val="20"/>
          <w:szCs w:val="20"/>
          <w:lang w:eastAsia="sl-SI"/>
        </w:rPr>
        <w:t xml:space="preserve"> razlika</w:t>
      </w:r>
      <w:r w:rsidRPr="007A0C27">
        <w:rPr>
          <w:rFonts w:ascii="Arial" w:hAnsi="Arial" w:cs="Arial"/>
          <w:sz w:val="20"/>
          <w:szCs w:val="20"/>
          <w:lang w:eastAsia="sl-SI"/>
        </w:rPr>
        <w:t xml:space="preserve"> med pogodbeno in ocenjeno vrednostjo naročila v povprečju najmanjš</w:t>
      </w:r>
      <w:r w:rsidR="00E41EB7" w:rsidRPr="007A0C27">
        <w:rPr>
          <w:rFonts w:ascii="Arial" w:hAnsi="Arial" w:cs="Arial"/>
          <w:sz w:val="20"/>
          <w:szCs w:val="20"/>
          <w:lang w:eastAsia="sl-SI"/>
        </w:rPr>
        <w:t>a</w:t>
      </w:r>
      <w:r w:rsidRPr="007A0C27">
        <w:rPr>
          <w:rFonts w:ascii="Arial" w:hAnsi="Arial" w:cs="Arial"/>
          <w:sz w:val="20"/>
          <w:szCs w:val="20"/>
          <w:lang w:eastAsia="sl-SI"/>
        </w:rPr>
        <w:t xml:space="preserve"> pri </w:t>
      </w:r>
      <w:r w:rsidR="007A0C27" w:rsidRPr="007A0C27">
        <w:rPr>
          <w:rFonts w:ascii="Arial" w:hAnsi="Arial" w:cs="Arial"/>
          <w:sz w:val="20"/>
          <w:szCs w:val="20"/>
          <w:lang w:eastAsia="sl-SI"/>
        </w:rPr>
        <w:t>samoupravnih lokalnih skupnostih</w:t>
      </w:r>
      <w:r w:rsidR="00DF3A3E" w:rsidRPr="007A0C27">
        <w:rPr>
          <w:rFonts w:ascii="Arial" w:hAnsi="Arial" w:cs="Arial"/>
          <w:sz w:val="20"/>
          <w:szCs w:val="20"/>
          <w:lang w:eastAsia="sl-SI"/>
        </w:rPr>
        <w:t xml:space="preserve">, kjer je ocenjena vrednost </w:t>
      </w:r>
      <w:r w:rsidR="00D9790B">
        <w:rPr>
          <w:rFonts w:ascii="Arial" w:hAnsi="Arial" w:cs="Arial"/>
          <w:sz w:val="20"/>
          <w:szCs w:val="20"/>
          <w:lang w:eastAsia="sl-SI"/>
        </w:rPr>
        <w:t>podobna</w:t>
      </w:r>
      <w:r w:rsidR="005C1D69" w:rsidRPr="007A0C27">
        <w:rPr>
          <w:rFonts w:ascii="Arial" w:hAnsi="Arial" w:cs="Arial"/>
          <w:sz w:val="20"/>
          <w:szCs w:val="20"/>
          <w:lang w:eastAsia="sl-SI"/>
        </w:rPr>
        <w:t xml:space="preserve"> pogodbeni vrednosti</w:t>
      </w:r>
      <w:r w:rsidR="00DF3A3E" w:rsidRPr="007A0C27">
        <w:rPr>
          <w:rFonts w:ascii="Arial" w:hAnsi="Arial" w:cs="Arial"/>
          <w:sz w:val="20"/>
          <w:szCs w:val="20"/>
          <w:lang w:eastAsia="sl-SI"/>
        </w:rPr>
        <w:t xml:space="preserve"> (</w:t>
      </w:r>
      <w:r w:rsidR="005C1D69" w:rsidRPr="007A0C27">
        <w:rPr>
          <w:rFonts w:ascii="Arial" w:hAnsi="Arial" w:cs="Arial"/>
          <w:sz w:val="20"/>
          <w:szCs w:val="20"/>
          <w:lang w:eastAsia="sl-SI"/>
        </w:rPr>
        <w:t xml:space="preserve">pogodbena nižja za </w:t>
      </w:r>
      <w:r w:rsidR="007A0C27" w:rsidRPr="007A0C27">
        <w:rPr>
          <w:rFonts w:ascii="Arial" w:hAnsi="Arial" w:cs="Arial"/>
          <w:sz w:val="20"/>
          <w:szCs w:val="20"/>
          <w:lang w:eastAsia="sl-SI"/>
        </w:rPr>
        <w:t>1,25</w:t>
      </w:r>
      <w:r w:rsidR="00F67DF8" w:rsidRPr="007A0C27">
        <w:rPr>
          <w:rFonts w:ascii="Arial" w:hAnsi="Arial" w:cs="Arial"/>
          <w:sz w:val="20"/>
          <w:szCs w:val="20"/>
          <w:lang w:eastAsia="sl-SI"/>
        </w:rPr>
        <w:t xml:space="preserve"> </w:t>
      </w:r>
      <w:r w:rsidR="0029442D" w:rsidRPr="007A0C27">
        <w:rPr>
          <w:rFonts w:ascii="Arial" w:hAnsi="Arial" w:cs="Arial"/>
          <w:sz w:val="20"/>
          <w:szCs w:val="20"/>
          <w:lang w:eastAsia="sl-SI"/>
        </w:rPr>
        <w:t>%</w:t>
      </w:r>
      <w:r w:rsidR="00DF3A3E" w:rsidRPr="007A0C27">
        <w:rPr>
          <w:rFonts w:ascii="Arial" w:hAnsi="Arial" w:cs="Arial"/>
          <w:sz w:val="20"/>
          <w:szCs w:val="20"/>
          <w:lang w:eastAsia="sl-SI"/>
        </w:rPr>
        <w:t>)</w:t>
      </w:r>
      <w:r w:rsidRPr="007A0C27">
        <w:rPr>
          <w:rFonts w:ascii="Arial" w:hAnsi="Arial" w:cs="Arial"/>
          <w:sz w:val="20"/>
          <w:szCs w:val="20"/>
          <w:lang w:eastAsia="sl-SI"/>
        </w:rPr>
        <w:t>, največj</w:t>
      </w:r>
      <w:r w:rsidR="00D613F8" w:rsidRPr="007A0C27">
        <w:rPr>
          <w:rFonts w:ascii="Arial" w:hAnsi="Arial" w:cs="Arial"/>
          <w:sz w:val="20"/>
          <w:szCs w:val="20"/>
          <w:lang w:eastAsia="sl-SI"/>
        </w:rPr>
        <w:t>a razlika med tema vrednost</w:t>
      </w:r>
      <w:r w:rsidR="00E41EB7" w:rsidRPr="007A0C27">
        <w:rPr>
          <w:rFonts w:ascii="Arial" w:hAnsi="Arial" w:cs="Arial"/>
          <w:sz w:val="20"/>
          <w:szCs w:val="20"/>
          <w:lang w:eastAsia="sl-SI"/>
        </w:rPr>
        <w:t>ma</w:t>
      </w:r>
      <w:r w:rsidRPr="007A0C27">
        <w:rPr>
          <w:rFonts w:ascii="Arial" w:hAnsi="Arial" w:cs="Arial"/>
          <w:sz w:val="20"/>
          <w:szCs w:val="20"/>
          <w:lang w:eastAsia="sl-SI"/>
        </w:rPr>
        <w:t xml:space="preserve"> pa </w:t>
      </w:r>
      <w:r w:rsidR="00E41EB7" w:rsidRPr="007A0C27">
        <w:rPr>
          <w:rFonts w:ascii="Arial" w:hAnsi="Arial" w:cs="Arial"/>
          <w:sz w:val="20"/>
          <w:szCs w:val="20"/>
          <w:lang w:eastAsia="sl-SI"/>
        </w:rPr>
        <w:t xml:space="preserve">je </w:t>
      </w:r>
      <w:r w:rsidRPr="007A0C27">
        <w:rPr>
          <w:rFonts w:ascii="Arial" w:hAnsi="Arial" w:cs="Arial"/>
          <w:sz w:val="20"/>
          <w:szCs w:val="20"/>
          <w:lang w:eastAsia="sl-SI"/>
        </w:rPr>
        <w:t xml:space="preserve">pri </w:t>
      </w:r>
      <w:r w:rsidR="007A0C27" w:rsidRPr="007A0C27">
        <w:rPr>
          <w:rFonts w:ascii="Arial" w:hAnsi="Arial" w:cs="Arial"/>
          <w:sz w:val="20"/>
          <w:szCs w:val="20"/>
          <w:lang w:eastAsia="sl-SI"/>
        </w:rPr>
        <w:t>raznih subjektih</w:t>
      </w:r>
      <w:r w:rsidRPr="007A0C27">
        <w:rPr>
          <w:rFonts w:ascii="Arial" w:hAnsi="Arial" w:cs="Arial"/>
          <w:sz w:val="20"/>
          <w:szCs w:val="20"/>
          <w:lang w:eastAsia="sl-SI"/>
        </w:rPr>
        <w:t xml:space="preserve">, kjer je pogodbena vrednost v povprečju za </w:t>
      </w:r>
      <w:r w:rsidR="007A0C27" w:rsidRPr="007A0C27">
        <w:rPr>
          <w:rFonts w:ascii="Arial" w:hAnsi="Arial" w:cs="Arial"/>
          <w:sz w:val="20"/>
          <w:szCs w:val="20"/>
          <w:lang w:eastAsia="sl-SI"/>
        </w:rPr>
        <w:t>slabo</w:t>
      </w:r>
      <w:r w:rsidRPr="007A0C27">
        <w:rPr>
          <w:rFonts w:ascii="Arial" w:hAnsi="Arial" w:cs="Arial"/>
          <w:sz w:val="20"/>
          <w:szCs w:val="20"/>
          <w:lang w:eastAsia="sl-SI"/>
        </w:rPr>
        <w:t xml:space="preserve"> </w:t>
      </w:r>
      <w:r w:rsidR="007A0C27" w:rsidRPr="007A0C27">
        <w:rPr>
          <w:rFonts w:ascii="Arial" w:hAnsi="Arial" w:cs="Arial"/>
          <w:sz w:val="20"/>
          <w:szCs w:val="20"/>
          <w:lang w:eastAsia="sl-SI"/>
        </w:rPr>
        <w:t>petino</w:t>
      </w:r>
      <w:r w:rsidR="00DF3A3E" w:rsidRPr="007A0C27">
        <w:rPr>
          <w:rFonts w:ascii="Arial" w:hAnsi="Arial" w:cs="Arial"/>
          <w:sz w:val="20"/>
          <w:szCs w:val="20"/>
          <w:lang w:eastAsia="sl-SI"/>
        </w:rPr>
        <w:t xml:space="preserve"> nižja od ocenjene</w:t>
      </w:r>
      <w:r w:rsidR="00B36CDA" w:rsidRPr="007A0C27">
        <w:rPr>
          <w:rFonts w:ascii="Arial" w:hAnsi="Arial" w:cs="Arial"/>
          <w:sz w:val="20"/>
          <w:szCs w:val="20"/>
          <w:lang w:eastAsia="sl-SI"/>
        </w:rPr>
        <w:t>.</w:t>
      </w:r>
    </w:p>
    <w:p w14:paraId="131C4CDD" w14:textId="6D62A64B" w:rsidR="00DF3A3E" w:rsidRPr="00963449" w:rsidRDefault="00DF3A3E" w:rsidP="008A61FD">
      <w:pPr>
        <w:spacing w:before="120" w:after="120" w:line="240" w:lineRule="auto"/>
        <w:jc w:val="both"/>
        <w:rPr>
          <w:rFonts w:ascii="Arial" w:hAnsi="Arial" w:cs="Arial"/>
          <w:sz w:val="20"/>
        </w:rPr>
      </w:pPr>
      <w:r w:rsidRPr="00963449">
        <w:rPr>
          <w:rFonts w:ascii="Arial" w:hAnsi="Arial" w:cs="Arial"/>
          <w:sz w:val="20"/>
        </w:rPr>
        <w:t xml:space="preserve">Preglednica </w:t>
      </w:r>
      <w:r w:rsidR="0083702C" w:rsidRPr="00963449">
        <w:rPr>
          <w:rFonts w:ascii="Arial" w:hAnsi="Arial" w:cs="Arial"/>
          <w:sz w:val="20"/>
        </w:rPr>
        <w:t>3</w:t>
      </w:r>
      <w:r w:rsidR="00EB4423">
        <w:rPr>
          <w:rFonts w:ascii="Arial" w:hAnsi="Arial" w:cs="Arial"/>
          <w:sz w:val="20"/>
        </w:rPr>
        <w:t>2</w:t>
      </w:r>
      <w:r w:rsidRPr="00963449">
        <w:rPr>
          <w:rFonts w:ascii="Arial" w:hAnsi="Arial" w:cs="Arial"/>
          <w:sz w:val="20"/>
        </w:rPr>
        <w:t xml:space="preserve">: Ocenjena in pogodbena vrednost ter </w:t>
      </w:r>
      <w:r w:rsidR="00C6284B" w:rsidRPr="00963449">
        <w:rPr>
          <w:rFonts w:ascii="Arial" w:hAnsi="Arial" w:cs="Arial"/>
          <w:sz w:val="20"/>
        </w:rPr>
        <w:t>razlike med njima</w:t>
      </w:r>
      <w:r w:rsidRPr="00963449">
        <w:rPr>
          <w:rFonts w:ascii="Arial" w:hAnsi="Arial" w:cs="Arial"/>
          <w:sz w:val="20"/>
        </w:rPr>
        <w:t xml:space="preserve"> glede na </w:t>
      </w:r>
      <w:r w:rsidR="008227C4" w:rsidRPr="00963449">
        <w:rPr>
          <w:rFonts w:ascii="Arial" w:hAnsi="Arial" w:cs="Arial"/>
          <w:sz w:val="20"/>
        </w:rPr>
        <w:t>kategorijo</w:t>
      </w:r>
      <w:r w:rsidRPr="00963449">
        <w:rPr>
          <w:rFonts w:ascii="Arial" w:hAnsi="Arial" w:cs="Arial"/>
          <w:sz w:val="20"/>
        </w:rPr>
        <w:t xml:space="preserve"> nar</w:t>
      </w:r>
      <w:r w:rsidR="005C1D69" w:rsidRPr="00963449">
        <w:rPr>
          <w:rFonts w:ascii="Arial" w:hAnsi="Arial" w:cs="Arial"/>
          <w:sz w:val="20"/>
        </w:rPr>
        <w:t>o</w:t>
      </w:r>
      <w:r w:rsidRPr="00963449">
        <w:rPr>
          <w:rFonts w:ascii="Arial" w:hAnsi="Arial" w:cs="Arial"/>
          <w:sz w:val="20"/>
        </w:rPr>
        <w:t>čnika</w:t>
      </w:r>
    </w:p>
    <w:tbl>
      <w:tblPr>
        <w:tblW w:w="9180" w:type="dxa"/>
        <w:jc w:val="center"/>
        <w:tblCellMar>
          <w:left w:w="70" w:type="dxa"/>
          <w:right w:w="70" w:type="dxa"/>
        </w:tblCellMar>
        <w:tblLook w:val="04A0" w:firstRow="1" w:lastRow="0" w:firstColumn="1" w:lastColumn="0" w:noHBand="0" w:noVBand="1"/>
      </w:tblPr>
      <w:tblGrid>
        <w:gridCol w:w="4466"/>
        <w:gridCol w:w="1422"/>
        <w:gridCol w:w="1527"/>
        <w:gridCol w:w="1765"/>
      </w:tblGrid>
      <w:tr w:rsidR="00DF3A3E" w:rsidRPr="00963449" w14:paraId="4CCF2610" w14:textId="77777777" w:rsidTr="00836FD3">
        <w:trPr>
          <w:trHeight w:val="684"/>
          <w:tblHeader/>
          <w:jc w:val="center"/>
        </w:trPr>
        <w:tc>
          <w:tcPr>
            <w:tcW w:w="446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A3A5E1C" w14:textId="0A401A9F" w:rsidR="00DF3A3E" w:rsidRPr="00963449" w:rsidRDefault="00DF3A3E" w:rsidP="00DF3A3E">
            <w:pPr>
              <w:spacing w:after="0" w:line="240" w:lineRule="auto"/>
              <w:jc w:val="center"/>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Kategorija naročnika</w:t>
            </w:r>
          </w:p>
        </w:tc>
        <w:tc>
          <w:tcPr>
            <w:tcW w:w="14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3952AE" w14:textId="77777777" w:rsidR="00DF3A3E" w:rsidRPr="00963449" w:rsidRDefault="00DF3A3E" w:rsidP="00DF3A3E">
            <w:pPr>
              <w:spacing w:after="0" w:line="240" w:lineRule="auto"/>
              <w:jc w:val="center"/>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 xml:space="preserve">Ocenjena vrednost </w:t>
            </w:r>
          </w:p>
        </w:tc>
        <w:tc>
          <w:tcPr>
            <w:tcW w:w="152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E25B661" w14:textId="77777777" w:rsidR="00DF3A3E" w:rsidRPr="00963449" w:rsidRDefault="00DF3A3E" w:rsidP="00DF3A3E">
            <w:pPr>
              <w:spacing w:after="0" w:line="240" w:lineRule="auto"/>
              <w:jc w:val="center"/>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 xml:space="preserve">Pogodbena vrednost </w:t>
            </w:r>
          </w:p>
        </w:tc>
        <w:tc>
          <w:tcPr>
            <w:tcW w:w="176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7D2608F" w14:textId="412444E9" w:rsidR="00DF3A3E" w:rsidRPr="00963449" w:rsidRDefault="00C6284B" w:rsidP="00DF3A3E">
            <w:pPr>
              <w:spacing w:after="0" w:line="240" w:lineRule="auto"/>
              <w:jc w:val="center"/>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Razlika med</w:t>
            </w:r>
            <w:r w:rsidR="00DF3A3E" w:rsidRPr="00963449">
              <w:rPr>
                <w:rFonts w:ascii="Arial" w:eastAsia="Times New Roman" w:hAnsi="Arial" w:cs="Arial"/>
                <w:color w:val="000000"/>
                <w:sz w:val="18"/>
                <w:szCs w:val="18"/>
                <w:lang w:eastAsia="sl-SI"/>
              </w:rPr>
              <w:t xml:space="preserve"> pogodben</w:t>
            </w:r>
            <w:r w:rsidRPr="00963449">
              <w:rPr>
                <w:rFonts w:ascii="Arial" w:eastAsia="Times New Roman" w:hAnsi="Arial" w:cs="Arial"/>
                <w:color w:val="000000"/>
                <w:sz w:val="18"/>
                <w:szCs w:val="18"/>
                <w:lang w:eastAsia="sl-SI"/>
              </w:rPr>
              <w:t>o</w:t>
            </w:r>
            <w:r w:rsidR="00DF3A3E" w:rsidRPr="00963449">
              <w:rPr>
                <w:rFonts w:ascii="Arial" w:eastAsia="Times New Roman" w:hAnsi="Arial" w:cs="Arial"/>
                <w:color w:val="000000"/>
                <w:sz w:val="18"/>
                <w:szCs w:val="18"/>
                <w:lang w:eastAsia="sl-SI"/>
              </w:rPr>
              <w:t xml:space="preserve"> </w:t>
            </w:r>
            <w:r w:rsidRPr="00963449">
              <w:rPr>
                <w:rFonts w:ascii="Arial" w:eastAsia="Times New Roman" w:hAnsi="Arial" w:cs="Arial"/>
                <w:color w:val="000000"/>
                <w:sz w:val="18"/>
                <w:szCs w:val="18"/>
                <w:lang w:eastAsia="sl-SI"/>
              </w:rPr>
              <w:t>in</w:t>
            </w:r>
            <w:r w:rsidR="00DF3A3E" w:rsidRPr="00963449">
              <w:rPr>
                <w:rFonts w:ascii="Arial" w:eastAsia="Times New Roman" w:hAnsi="Arial" w:cs="Arial"/>
                <w:color w:val="000000"/>
                <w:sz w:val="18"/>
                <w:szCs w:val="18"/>
                <w:lang w:eastAsia="sl-SI"/>
              </w:rPr>
              <w:t xml:space="preserve"> ocenjen</w:t>
            </w:r>
            <w:r w:rsidRPr="00963449">
              <w:rPr>
                <w:rFonts w:ascii="Arial" w:eastAsia="Times New Roman" w:hAnsi="Arial" w:cs="Arial"/>
                <w:color w:val="000000"/>
                <w:sz w:val="18"/>
                <w:szCs w:val="18"/>
                <w:lang w:eastAsia="sl-SI"/>
              </w:rPr>
              <w:t>o</w:t>
            </w:r>
            <w:r w:rsidR="00DF3A3E" w:rsidRPr="00963449">
              <w:rPr>
                <w:rFonts w:ascii="Arial" w:eastAsia="Times New Roman" w:hAnsi="Arial" w:cs="Arial"/>
                <w:color w:val="000000"/>
                <w:sz w:val="18"/>
                <w:szCs w:val="18"/>
                <w:lang w:eastAsia="sl-SI"/>
              </w:rPr>
              <w:t xml:space="preserve"> vrednost</w:t>
            </w:r>
            <w:r w:rsidRPr="00963449">
              <w:rPr>
                <w:rFonts w:ascii="Arial" w:eastAsia="Times New Roman" w:hAnsi="Arial" w:cs="Arial"/>
                <w:color w:val="000000"/>
                <w:sz w:val="18"/>
                <w:szCs w:val="18"/>
                <w:lang w:eastAsia="sl-SI"/>
              </w:rPr>
              <w:t>jo</w:t>
            </w:r>
          </w:p>
        </w:tc>
      </w:tr>
      <w:tr w:rsidR="00BA3005" w:rsidRPr="00963449" w14:paraId="6E782029"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41F42508" w14:textId="5C5AF16A"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Organi RS</w:t>
            </w:r>
          </w:p>
        </w:tc>
        <w:tc>
          <w:tcPr>
            <w:tcW w:w="1422" w:type="dxa"/>
            <w:tcBorders>
              <w:top w:val="nil"/>
              <w:left w:val="nil"/>
              <w:bottom w:val="single" w:sz="4" w:space="0" w:color="auto"/>
              <w:right w:val="single" w:sz="4" w:space="0" w:color="auto"/>
            </w:tcBorders>
            <w:shd w:val="clear" w:color="auto" w:fill="auto"/>
            <w:vAlign w:val="center"/>
            <w:hideMark/>
          </w:tcPr>
          <w:p w14:paraId="4E3D68FD" w14:textId="31061226"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683.738.028</w:t>
            </w:r>
          </w:p>
        </w:tc>
        <w:tc>
          <w:tcPr>
            <w:tcW w:w="1527" w:type="dxa"/>
            <w:tcBorders>
              <w:top w:val="nil"/>
              <w:left w:val="nil"/>
              <w:bottom w:val="single" w:sz="4" w:space="0" w:color="auto"/>
              <w:right w:val="single" w:sz="4" w:space="0" w:color="auto"/>
            </w:tcBorders>
            <w:shd w:val="clear" w:color="auto" w:fill="auto"/>
            <w:vAlign w:val="center"/>
            <w:hideMark/>
          </w:tcPr>
          <w:p w14:paraId="24F19DE2" w14:textId="176CF9CF"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645.442.366</w:t>
            </w:r>
          </w:p>
        </w:tc>
        <w:tc>
          <w:tcPr>
            <w:tcW w:w="1765" w:type="dxa"/>
            <w:tcBorders>
              <w:top w:val="nil"/>
              <w:left w:val="nil"/>
              <w:bottom w:val="single" w:sz="4" w:space="0" w:color="auto"/>
              <w:right w:val="single" w:sz="4" w:space="0" w:color="auto"/>
            </w:tcBorders>
            <w:shd w:val="clear" w:color="auto" w:fill="auto"/>
            <w:vAlign w:val="center"/>
            <w:hideMark/>
          </w:tcPr>
          <w:p w14:paraId="6442B720" w14:textId="5E94498E"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5,60</w:t>
            </w:r>
            <w:r w:rsidR="00963449" w:rsidRPr="00963449">
              <w:rPr>
                <w:rFonts w:ascii="Arial" w:hAnsi="Arial" w:cs="Arial"/>
                <w:sz w:val="18"/>
                <w:szCs w:val="18"/>
              </w:rPr>
              <w:t xml:space="preserve"> %</w:t>
            </w:r>
          </w:p>
        </w:tc>
      </w:tr>
      <w:tr w:rsidR="00BA3005" w:rsidRPr="00963449" w14:paraId="00B25B8D"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1176C76C" w14:textId="27C055FD"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Samoupravne lokalne skupnosti</w:t>
            </w:r>
          </w:p>
        </w:tc>
        <w:tc>
          <w:tcPr>
            <w:tcW w:w="1422" w:type="dxa"/>
            <w:tcBorders>
              <w:top w:val="nil"/>
              <w:left w:val="nil"/>
              <w:bottom w:val="single" w:sz="4" w:space="0" w:color="auto"/>
              <w:right w:val="single" w:sz="4" w:space="0" w:color="auto"/>
            </w:tcBorders>
            <w:shd w:val="clear" w:color="auto" w:fill="auto"/>
            <w:vAlign w:val="center"/>
            <w:hideMark/>
          </w:tcPr>
          <w:p w14:paraId="14CD3DBF" w14:textId="166C9B25"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477.643.896</w:t>
            </w:r>
          </w:p>
        </w:tc>
        <w:tc>
          <w:tcPr>
            <w:tcW w:w="1527" w:type="dxa"/>
            <w:tcBorders>
              <w:top w:val="nil"/>
              <w:left w:val="nil"/>
              <w:bottom w:val="single" w:sz="4" w:space="0" w:color="auto"/>
              <w:right w:val="single" w:sz="4" w:space="0" w:color="auto"/>
            </w:tcBorders>
            <w:shd w:val="clear" w:color="auto" w:fill="auto"/>
            <w:vAlign w:val="center"/>
            <w:hideMark/>
          </w:tcPr>
          <w:p w14:paraId="20C6951E" w14:textId="14B3824E"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471.649.958</w:t>
            </w:r>
          </w:p>
        </w:tc>
        <w:tc>
          <w:tcPr>
            <w:tcW w:w="1765" w:type="dxa"/>
            <w:tcBorders>
              <w:top w:val="nil"/>
              <w:left w:val="nil"/>
              <w:bottom w:val="single" w:sz="4" w:space="0" w:color="auto"/>
              <w:right w:val="single" w:sz="4" w:space="0" w:color="auto"/>
            </w:tcBorders>
            <w:shd w:val="clear" w:color="auto" w:fill="auto"/>
            <w:vAlign w:val="center"/>
            <w:hideMark/>
          </w:tcPr>
          <w:p w14:paraId="7D53535F" w14:textId="3C92E010"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1,25</w:t>
            </w:r>
            <w:r w:rsidR="00963449" w:rsidRPr="00963449">
              <w:rPr>
                <w:rFonts w:ascii="Arial" w:hAnsi="Arial" w:cs="Arial"/>
                <w:sz w:val="18"/>
                <w:szCs w:val="18"/>
              </w:rPr>
              <w:t xml:space="preserve"> %</w:t>
            </w:r>
          </w:p>
        </w:tc>
      </w:tr>
      <w:tr w:rsidR="00BA3005" w:rsidRPr="00963449" w14:paraId="55A975E4"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556EE33F" w14:textId="53085A1E"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Javni skladi</w:t>
            </w:r>
          </w:p>
        </w:tc>
        <w:tc>
          <w:tcPr>
            <w:tcW w:w="1422" w:type="dxa"/>
            <w:tcBorders>
              <w:top w:val="nil"/>
              <w:left w:val="nil"/>
              <w:bottom w:val="single" w:sz="4" w:space="0" w:color="auto"/>
              <w:right w:val="single" w:sz="4" w:space="0" w:color="auto"/>
            </w:tcBorders>
            <w:shd w:val="clear" w:color="auto" w:fill="auto"/>
            <w:vAlign w:val="center"/>
            <w:hideMark/>
          </w:tcPr>
          <w:p w14:paraId="1A10DC7B" w14:textId="58CFF8C9"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14.591.972</w:t>
            </w:r>
          </w:p>
        </w:tc>
        <w:tc>
          <w:tcPr>
            <w:tcW w:w="1527" w:type="dxa"/>
            <w:tcBorders>
              <w:top w:val="nil"/>
              <w:left w:val="nil"/>
              <w:bottom w:val="single" w:sz="4" w:space="0" w:color="auto"/>
              <w:right w:val="single" w:sz="4" w:space="0" w:color="auto"/>
            </w:tcBorders>
            <w:shd w:val="clear" w:color="auto" w:fill="auto"/>
            <w:vAlign w:val="center"/>
            <w:hideMark/>
          </w:tcPr>
          <w:p w14:paraId="13E70B8A" w14:textId="26ED65C1"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12.876.310</w:t>
            </w:r>
          </w:p>
        </w:tc>
        <w:tc>
          <w:tcPr>
            <w:tcW w:w="1765" w:type="dxa"/>
            <w:tcBorders>
              <w:top w:val="nil"/>
              <w:left w:val="nil"/>
              <w:bottom w:val="single" w:sz="4" w:space="0" w:color="auto"/>
              <w:right w:val="single" w:sz="4" w:space="0" w:color="auto"/>
            </w:tcBorders>
            <w:shd w:val="clear" w:color="auto" w:fill="auto"/>
            <w:vAlign w:val="center"/>
            <w:hideMark/>
          </w:tcPr>
          <w:p w14:paraId="21B27118" w14:textId="7E7D90F9"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11,76</w:t>
            </w:r>
            <w:r w:rsidR="00963449" w:rsidRPr="00963449">
              <w:rPr>
                <w:rFonts w:ascii="Arial" w:hAnsi="Arial" w:cs="Arial"/>
                <w:sz w:val="18"/>
                <w:szCs w:val="18"/>
              </w:rPr>
              <w:t xml:space="preserve"> %</w:t>
            </w:r>
          </w:p>
        </w:tc>
      </w:tr>
      <w:tr w:rsidR="00BA3005" w:rsidRPr="00963449" w14:paraId="2B9E5976"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611C934D" w14:textId="434C41F4"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Javne agencije</w:t>
            </w:r>
          </w:p>
        </w:tc>
        <w:tc>
          <w:tcPr>
            <w:tcW w:w="1422" w:type="dxa"/>
            <w:tcBorders>
              <w:top w:val="nil"/>
              <w:left w:val="nil"/>
              <w:bottom w:val="single" w:sz="4" w:space="0" w:color="auto"/>
              <w:right w:val="single" w:sz="4" w:space="0" w:color="auto"/>
            </w:tcBorders>
            <w:shd w:val="clear" w:color="auto" w:fill="auto"/>
            <w:vAlign w:val="center"/>
            <w:hideMark/>
          </w:tcPr>
          <w:p w14:paraId="204BEB42" w14:textId="564FFCD6"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8.320.871</w:t>
            </w:r>
          </w:p>
        </w:tc>
        <w:tc>
          <w:tcPr>
            <w:tcW w:w="1527" w:type="dxa"/>
            <w:tcBorders>
              <w:top w:val="nil"/>
              <w:left w:val="nil"/>
              <w:bottom w:val="single" w:sz="4" w:space="0" w:color="auto"/>
              <w:right w:val="single" w:sz="4" w:space="0" w:color="auto"/>
            </w:tcBorders>
            <w:shd w:val="clear" w:color="auto" w:fill="auto"/>
            <w:vAlign w:val="center"/>
            <w:hideMark/>
          </w:tcPr>
          <w:p w14:paraId="1B8D073D" w14:textId="7CB64F36"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7.749.458</w:t>
            </w:r>
          </w:p>
        </w:tc>
        <w:tc>
          <w:tcPr>
            <w:tcW w:w="1765" w:type="dxa"/>
            <w:tcBorders>
              <w:top w:val="nil"/>
              <w:left w:val="nil"/>
              <w:bottom w:val="single" w:sz="4" w:space="0" w:color="auto"/>
              <w:right w:val="single" w:sz="4" w:space="0" w:color="auto"/>
            </w:tcBorders>
            <w:shd w:val="clear" w:color="auto" w:fill="auto"/>
            <w:vAlign w:val="center"/>
            <w:hideMark/>
          </w:tcPr>
          <w:p w14:paraId="0C5B74D9" w14:textId="683EC49F"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6,87</w:t>
            </w:r>
            <w:r w:rsidR="00963449" w:rsidRPr="00963449">
              <w:rPr>
                <w:rFonts w:ascii="Arial" w:hAnsi="Arial" w:cs="Arial"/>
                <w:sz w:val="18"/>
                <w:szCs w:val="18"/>
              </w:rPr>
              <w:t xml:space="preserve"> %</w:t>
            </w:r>
          </w:p>
        </w:tc>
      </w:tr>
      <w:tr w:rsidR="00BA3005" w:rsidRPr="00963449" w14:paraId="068BE997"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74DAD948" w14:textId="58D9B48E"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Javni zavodi</w:t>
            </w:r>
          </w:p>
        </w:tc>
        <w:tc>
          <w:tcPr>
            <w:tcW w:w="1422" w:type="dxa"/>
            <w:tcBorders>
              <w:top w:val="nil"/>
              <w:left w:val="nil"/>
              <w:bottom w:val="single" w:sz="4" w:space="0" w:color="auto"/>
              <w:right w:val="single" w:sz="4" w:space="0" w:color="auto"/>
            </w:tcBorders>
            <w:shd w:val="clear" w:color="auto" w:fill="auto"/>
            <w:vAlign w:val="center"/>
            <w:hideMark/>
          </w:tcPr>
          <w:p w14:paraId="0ACEA20F" w14:textId="0424952A"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682.734.933</w:t>
            </w:r>
          </w:p>
        </w:tc>
        <w:tc>
          <w:tcPr>
            <w:tcW w:w="1527" w:type="dxa"/>
            <w:tcBorders>
              <w:top w:val="nil"/>
              <w:left w:val="nil"/>
              <w:bottom w:val="single" w:sz="4" w:space="0" w:color="auto"/>
              <w:right w:val="single" w:sz="4" w:space="0" w:color="auto"/>
            </w:tcBorders>
            <w:shd w:val="clear" w:color="auto" w:fill="auto"/>
            <w:vAlign w:val="center"/>
            <w:hideMark/>
          </w:tcPr>
          <w:p w14:paraId="342BD984" w14:textId="3265EAFC"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649.914.411</w:t>
            </w:r>
          </w:p>
        </w:tc>
        <w:tc>
          <w:tcPr>
            <w:tcW w:w="1765" w:type="dxa"/>
            <w:tcBorders>
              <w:top w:val="nil"/>
              <w:left w:val="nil"/>
              <w:bottom w:val="single" w:sz="4" w:space="0" w:color="auto"/>
              <w:right w:val="single" w:sz="4" w:space="0" w:color="auto"/>
            </w:tcBorders>
            <w:shd w:val="clear" w:color="auto" w:fill="auto"/>
            <w:vAlign w:val="center"/>
            <w:hideMark/>
          </w:tcPr>
          <w:p w14:paraId="11445C0C" w14:textId="5962119A"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4,81</w:t>
            </w:r>
            <w:r w:rsidR="00963449" w:rsidRPr="00963449">
              <w:rPr>
                <w:rFonts w:ascii="Arial" w:hAnsi="Arial" w:cs="Arial"/>
                <w:sz w:val="18"/>
                <w:szCs w:val="18"/>
              </w:rPr>
              <w:t xml:space="preserve"> %</w:t>
            </w:r>
          </w:p>
        </w:tc>
      </w:tr>
      <w:tr w:rsidR="00BA3005" w:rsidRPr="00963449" w14:paraId="538E9AED"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408D064B" w14:textId="50C89603"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Javni gospodarski zavodi</w:t>
            </w:r>
          </w:p>
        </w:tc>
        <w:tc>
          <w:tcPr>
            <w:tcW w:w="1422" w:type="dxa"/>
            <w:tcBorders>
              <w:top w:val="nil"/>
              <w:left w:val="nil"/>
              <w:bottom w:val="single" w:sz="4" w:space="0" w:color="auto"/>
              <w:right w:val="single" w:sz="4" w:space="0" w:color="auto"/>
            </w:tcBorders>
            <w:shd w:val="clear" w:color="auto" w:fill="auto"/>
            <w:vAlign w:val="center"/>
            <w:hideMark/>
          </w:tcPr>
          <w:p w14:paraId="7D374D2D" w14:textId="6400FCBE"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8.273.949</w:t>
            </w:r>
          </w:p>
        </w:tc>
        <w:tc>
          <w:tcPr>
            <w:tcW w:w="1527" w:type="dxa"/>
            <w:tcBorders>
              <w:top w:val="nil"/>
              <w:left w:val="nil"/>
              <w:bottom w:val="single" w:sz="4" w:space="0" w:color="auto"/>
              <w:right w:val="single" w:sz="4" w:space="0" w:color="auto"/>
            </w:tcBorders>
            <w:shd w:val="clear" w:color="auto" w:fill="auto"/>
            <w:vAlign w:val="center"/>
            <w:hideMark/>
          </w:tcPr>
          <w:p w14:paraId="4D98A0B2" w14:textId="5E56D425"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7.392.932</w:t>
            </w:r>
          </w:p>
        </w:tc>
        <w:tc>
          <w:tcPr>
            <w:tcW w:w="1765" w:type="dxa"/>
            <w:tcBorders>
              <w:top w:val="nil"/>
              <w:left w:val="nil"/>
              <w:bottom w:val="single" w:sz="4" w:space="0" w:color="auto"/>
              <w:right w:val="single" w:sz="4" w:space="0" w:color="auto"/>
            </w:tcBorders>
            <w:shd w:val="clear" w:color="auto" w:fill="auto"/>
            <w:vAlign w:val="center"/>
            <w:hideMark/>
          </w:tcPr>
          <w:p w14:paraId="7359B556" w14:textId="1187B076"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10,65</w:t>
            </w:r>
            <w:r w:rsidR="00963449" w:rsidRPr="00963449">
              <w:rPr>
                <w:rFonts w:ascii="Arial" w:hAnsi="Arial" w:cs="Arial"/>
                <w:sz w:val="18"/>
                <w:szCs w:val="18"/>
              </w:rPr>
              <w:t xml:space="preserve"> %</w:t>
            </w:r>
          </w:p>
        </w:tc>
      </w:tr>
      <w:tr w:rsidR="00BA3005" w:rsidRPr="00963449" w14:paraId="45F1994C"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20DA6B83" w14:textId="2DC25145"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Drugi naročniki (osebe javnega prava, javna podjetja, subjekt s posebnimi infrastrukturnimi pravicami)</w:t>
            </w:r>
          </w:p>
        </w:tc>
        <w:tc>
          <w:tcPr>
            <w:tcW w:w="1422" w:type="dxa"/>
            <w:tcBorders>
              <w:top w:val="nil"/>
              <w:left w:val="nil"/>
              <w:bottom w:val="single" w:sz="4" w:space="0" w:color="auto"/>
              <w:right w:val="single" w:sz="4" w:space="0" w:color="auto"/>
            </w:tcBorders>
            <w:shd w:val="clear" w:color="auto" w:fill="auto"/>
            <w:vAlign w:val="center"/>
            <w:hideMark/>
          </w:tcPr>
          <w:p w14:paraId="765B4C44" w14:textId="073DA0C2"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1.134.793.643</w:t>
            </w:r>
          </w:p>
        </w:tc>
        <w:tc>
          <w:tcPr>
            <w:tcW w:w="1527" w:type="dxa"/>
            <w:tcBorders>
              <w:top w:val="nil"/>
              <w:left w:val="nil"/>
              <w:bottom w:val="single" w:sz="4" w:space="0" w:color="auto"/>
              <w:right w:val="single" w:sz="4" w:space="0" w:color="auto"/>
            </w:tcBorders>
            <w:shd w:val="clear" w:color="auto" w:fill="auto"/>
            <w:vAlign w:val="center"/>
            <w:hideMark/>
          </w:tcPr>
          <w:p w14:paraId="2789B814" w14:textId="3D1E3C4B"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1.107.367.319</w:t>
            </w:r>
          </w:p>
        </w:tc>
        <w:tc>
          <w:tcPr>
            <w:tcW w:w="1765" w:type="dxa"/>
            <w:tcBorders>
              <w:top w:val="nil"/>
              <w:left w:val="nil"/>
              <w:bottom w:val="single" w:sz="4" w:space="0" w:color="auto"/>
              <w:right w:val="single" w:sz="4" w:space="0" w:color="auto"/>
            </w:tcBorders>
            <w:shd w:val="clear" w:color="auto" w:fill="auto"/>
            <w:vAlign w:val="center"/>
            <w:hideMark/>
          </w:tcPr>
          <w:p w14:paraId="696795FA" w14:textId="373FF61E"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2,42</w:t>
            </w:r>
            <w:r w:rsidR="00963449" w:rsidRPr="00963449">
              <w:rPr>
                <w:rFonts w:ascii="Arial" w:hAnsi="Arial" w:cs="Arial"/>
                <w:sz w:val="18"/>
                <w:szCs w:val="18"/>
              </w:rPr>
              <w:t xml:space="preserve"> %</w:t>
            </w:r>
          </w:p>
        </w:tc>
      </w:tr>
      <w:tr w:rsidR="00BA3005" w:rsidRPr="00963449" w14:paraId="328B6BD7" w14:textId="77777777" w:rsidTr="00836FD3">
        <w:trPr>
          <w:trHeight w:val="227"/>
          <w:jc w:val="center"/>
        </w:trPr>
        <w:tc>
          <w:tcPr>
            <w:tcW w:w="4466" w:type="dxa"/>
            <w:tcBorders>
              <w:top w:val="nil"/>
              <w:left w:val="single" w:sz="4" w:space="0" w:color="auto"/>
              <w:bottom w:val="single" w:sz="4" w:space="0" w:color="auto"/>
              <w:right w:val="single" w:sz="4" w:space="0" w:color="auto"/>
            </w:tcBorders>
            <w:shd w:val="clear" w:color="auto" w:fill="auto"/>
            <w:vAlign w:val="center"/>
            <w:hideMark/>
          </w:tcPr>
          <w:p w14:paraId="6092CDA7" w14:textId="2A096E22"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color w:val="000000"/>
                <w:sz w:val="18"/>
                <w:szCs w:val="18"/>
                <w:lang w:eastAsia="sl-SI"/>
              </w:rPr>
              <w:t>Razni subjekti</w:t>
            </w:r>
          </w:p>
        </w:tc>
        <w:tc>
          <w:tcPr>
            <w:tcW w:w="1422" w:type="dxa"/>
            <w:tcBorders>
              <w:top w:val="nil"/>
              <w:left w:val="nil"/>
              <w:bottom w:val="single" w:sz="4" w:space="0" w:color="auto"/>
              <w:right w:val="single" w:sz="4" w:space="0" w:color="auto"/>
            </w:tcBorders>
            <w:shd w:val="clear" w:color="auto" w:fill="auto"/>
            <w:vAlign w:val="center"/>
            <w:hideMark/>
          </w:tcPr>
          <w:p w14:paraId="7AE85FB9" w14:textId="18801D76"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19.605.833</w:t>
            </w:r>
          </w:p>
        </w:tc>
        <w:tc>
          <w:tcPr>
            <w:tcW w:w="1527" w:type="dxa"/>
            <w:tcBorders>
              <w:top w:val="nil"/>
              <w:left w:val="nil"/>
              <w:bottom w:val="single" w:sz="4" w:space="0" w:color="auto"/>
              <w:right w:val="single" w:sz="4" w:space="0" w:color="auto"/>
            </w:tcBorders>
            <w:shd w:val="clear" w:color="auto" w:fill="auto"/>
            <w:vAlign w:val="center"/>
            <w:hideMark/>
          </w:tcPr>
          <w:p w14:paraId="3FAD372A" w14:textId="6E5E8D3D"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16.201.855</w:t>
            </w:r>
          </w:p>
        </w:tc>
        <w:tc>
          <w:tcPr>
            <w:tcW w:w="1765" w:type="dxa"/>
            <w:tcBorders>
              <w:top w:val="nil"/>
              <w:left w:val="nil"/>
              <w:bottom w:val="single" w:sz="4" w:space="0" w:color="auto"/>
              <w:right w:val="single" w:sz="4" w:space="0" w:color="auto"/>
            </w:tcBorders>
            <w:shd w:val="clear" w:color="auto" w:fill="auto"/>
            <w:vAlign w:val="center"/>
            <w:hideMark/>
          </w:tcPr>
          <w:p w14:paraId="732A22F1" w14:textId="259336E6" w:rsidR="00BA3005" w:rsidRPr="00963449" w:rsidRDefault="00BA3005" w:rsidP="00963449">
            <w:pPr>
              <w:spacing w:after="0" w:line="240" w:lineRule="auto"/>
              <w:jc w:val="right"/>
              <w:rPr>
                <w:rFonts w:ascii="Arial" w:eastAsia="Times New Roman" w:hAnsi="Arial" w:cs="Arial"/>
                <w:color w:val="000000"/>
                <w:sz w:val="18"/>
                <w:szCs w:val="18"/>
                <w:lang w:eastAsia="sl-SI"/>
              </w:rPr>
            </w:pPr>
            <w:r w:rsidRPr="00963449">
              <w:rPr>
                <w:rFonts w:ascii="Arial" w:hAnsi="Arial" w:cs="Arial"/>
                <w:sz w:val="18"/>
                <w:szCs w:val="18"/>
              </w:rPr>
              <w:t>17,36</w:t>
            </w:r>
            <w:r w:rsidR="00963449" w:rsidRPr="00963449">
              <w:rPr>
                <w:rFonts w:ascii="Arial" w:hAnsi="Arial" w:cs="Arial"/>
                <w:sz w:val="18"/>
                <w:szCs w:val="18"/>
              </w:rPr>
              <w:t xml:space="preserve"> %</w:t>
            </w:r>
          </w:p>
        </w:tc>
      </w:tr>
      <w:tr w:rsidR="00BA3005" w:rsidRPr="00963449" w14:paraId="0316008F" w14:textId="77777777" w:rsidTr="00836FD3">
        <w:trPr>
          <w:trHeight w:val="288"/>
          <w:jc w:val="center"/>
        </w:trPr>
        <w:tc>
          <w:tcPr>
            <w:tcW w:w="446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9B4ED5A" w14:textId="24507BB5" w:rsidR="00BA3005" w:rsidRPr="00963449" w:rsidRDefault="00BA3005" w:rsidP="00BA3005">
            <w:pPr>
              <w:spacing w:after="0" w:line="240" w:lineRule="auto"/>
              <w:rPr>
                <w:rFonts w:ascii="Arial" w:eastAsia="Times New Roman" w:hAnsi="Arial" w:cs="Arial"/>
                <w:color w:val="000000"/>
                <w:sz w:val="18"/>
                <w:szCs w:val="18"/>
                <w:lang w:eastAsia="sl-SI"/>
              </w:rPr>
            </w:pPr>
            <w:r w:rsidRPr="00963449">
              <w:rPr>
                <w:rFonts w:ascii="Arial" w:eastAsia="Times New Roman" w:hAnsi="Arial" w:cs="Arial"/>
                <w:b/>
                <w:color w:val="000000"/>
                <w:sz w:val="18"/>
                <w:szCs w:val="18"/>
                <w:lang w:eastAsia="sl-SI"/>
              </w:rPr>
              <w:t>S</w:t>
            </w:r>
            <w:r w:rsidRPr="00963449">
              <w:rPr>
                <w:rFonts w:ascii="Arial" w:eastAsia="Times New Roman" w:hAnsi="Arial" w:cs="Arial"/>
                <w:b/>
                <w:bCs/>
                <w:color w:val="000000"/>
                <w:sz w:val="18"/>
                <w:szCs w:val="18"/>
                <w:lang w:eastAsia="sl-SI"/>
              </w:rPr>
              <w:t>kupaj</w:t>
            </w:r>
          </w:p>
        </w:tc>
        <w:tc>
          <w:tcPr>
            <w:tcW w:w="1422" w:type="dxa"/>
            <w:tcBorders>
              <w:top w:val="nil"/>
              <w:left w:val="nil"/>
              <w:bottom w:val="single" w:sz="4" w:space="0" w:color="auto"/>
              <w:right w:val="single" w:sz="4" w:space="0" w:color="auto"/>
            </w:tcBorders>
            <w:shd w:val="clear" w:color="auto" w:fill="E7E6E6" w:themeFill="background2"/>
            <w:vAlign w:val="center"/>
            <w:hideMark/>
          </w:tcPr>
          <w:p w14:paraId="1D024BCC" w14:textId="641B92CF" w:rsidR="00BA3005" w:rsidRPr="00963449" w:rsidRDefault="00BA3005" w:rsidP="00963449">
            <w:pPr>
              <w:spacing w:after="0" w:line="240" w:lineRule="auto"/>
              <w:jc w:val="right"/>
              <w:rPr>
                <w:rFonts w:ascii="Arial" w:eastAsia="Times New Roman" w:hAnsi="Arial" w:cs="Arial"/>
                <w:b/>
                <w:bCs/>
                <w:color w:val="000000"/>
                <w:sz w:val="18"/>
                <w:szCs w:val="18"/>
                <w:lang w:eastAsia="sl-SI"/>
              </w:rPr>
            </w:pPr>
            <w:r w:rsidRPr="00963449">
              <w:rPr>
                <w:rFonts w:ascii="Arial" w:hAnsi="Arial" w:cs="Arial"/>
                <w:b/>
                <w:sz w:val="18"/>
                <w:szCs w:val="18"/>
              </w:rPr>
              <w:t>3.029.703.125</w:t>
            </w:r>
          </w:p>
        </w:tc>
        <w:tc>
          <w:tcPr>
            <w:tcW w:w="1527" w:type="dxa"/>
            <w:tcBorders>
              <w:top w:val="nil"/>
              <w:left w:val="nil"/>
              <w:bottom w:val="single" w:sz="4" w:space="0" w:color="auto"/>
              <w:right w:val="single" w:sz="4" w:space="0" w:color="auto"/>
            </w:tcBorders>
            <w:shd w:val="clear" w:color="auto" w:fill="E7E6E6" w:themeFill="background2"/>
            <w:vAlign w:val="center"/>
            <w:hideMark/>
          </w:tcPr>
          <w:p w14:paraId="7C228A20" w14:textId="5FCA1354" w:rsidR="00BA3005" w:rsidRPr="00963449" w:rsidRDefault="00BA3005" w:rsidP="00963449">
            <w:pPr>
              <w:spacing w:after="0" w:line="240" w:lineRule="auto"/>
              <w:jc w:val="right"/>
              <w:rPr>
                <w:rFonts w:ascii="Arial" w:eastAsia="Times New Roman" w:hAnsi="Arial" w:cs="Arial"/>
                <w:b/>
                <w:bCs/>
                <w:color w:val="000000"/>
                <w:sz w:val="18"/>
                <w:szCs w:val="18"/>
                <w:lang w:eastAsia="sl-SI"/>
              </w:rPr>
            </w:pPr>
            <w:r w:rsidRPr="00963449">
              <w:rPr>
                <w:rFonts w:ascii="Arial" w:hAnsi="Arial" w:cs="Arial"/>
                <w:b/>
                <w:sz w:val="18"/>
                <w:szCs w:val="18"/>
              </w:rPr>
              <w:t>2.918.594.609</w:t>
            </w:r>
          </w:p>
        </w:tc>
        <w:tc>
          <w:tcPr>
            <w:tcW w:w="1765" w:type="dxa"/>
            <w:tcBorders>
              <w:top w:val="nil"/>
              <w:left w:val="nil"/>
              <w:bottom w:val="single" w:sz="4" w:space="0" w:color="auto"/>
              <w:right w:val="single" w:sz="4" w:space="0" w:color="auto"/>
            </w:tcBorders>
            <w:shd w:val="clear" w:color="auto" w:fill="E7E6E6" w:themeFill="background2"/>
            <w:vAlign w:val="center"/>
            <w:hideMark/>
          </w:tcPr>
          <w:p w14:paraId="5419F698" w14:textId="756AA50C" w:rsidR="00BA3005" w:rsidRPr="00963449" w:rsidRDefault="00BA3005" w:rsidP="00963449">
            <w:pPr>
              <w:spacing w:after="0" w:line="240" w:lineRule="auto"/>
              <w:jc w:val="right"/>
              <w:rPr>
                <w:rFonts w:ascii="Arial" w:eastAsia="Times New Roman" w:hAnsi="Arial" w:cs="Arial"/>
                <w:b/>
                <w:bCs/>
                <w:color w:val="000000"/>
                <w:sz w:val="18"/>
                <w:szCs w:val="18"/>
                <w:lang w:eastAsia="sl-SI"/>
              </w:rPr>
            </w:pPr>
            <w:r w:rsidRPr="00963449">
              <w:rPr>
                <w:rFonts w:ascii="Arial" w:hAnsi="Arial" w:cs="Arial"/>
                <w:b/>
                <w:sz w:val="18"/>
                <w:szCs w:val="18"/>
              </w:rPr>
              <w:t>3,67</w:t>
            </w:r>
            <w:r w:rsidR="00963449" w:rsidRPr="00963449">
              <w:rPr>
                <w:rFonts w:ascii="Arial" w:hAnsi="Arial" w:cs="Arial"/>
                <w:b/>
                <w:sz w:val="18"/>
                <w:szCs w:val="18"/>
              </w:rPr>
              <w:t xml:space="preserve"> %</w:t>
            </w:r>
          </w:p>
        </w:tc>
      </w:tr>
    </w:tbl>
    <w:p w14:paraId="0796AA98" w14:textId="77777777" w:rsidR="004A613D" w:rsidRPr="00963449" w:rsidRDefault="004A613D" w:rsidP="004A613D">
      <w:pPr>
        <w:spacing w:after="0" w:line="240" w:lineRule="auto"/>
        <w:jc w:val="center"/>
        <w:rPr>
          <w:rFonts w:ascii="Arial" w:hAnsi="Arial" w:cs="Arial"/>
          <w:sz w:val="18"/>
        </w:rPr>
      </w:pPr>
    </w:p>
    <w:p w14:paraId="1EF57A4F" w14:textId="0443AFE1" w:rsidR="00DF3A3E" w:rsidRPr="00EF2D0B" w:rsidRDefault="00DF3A3E" w:rsidP="004A613D">
      <w:pPr>
        <w:spacing w:after="0" w:line="240" w:lineRule="auto"/>
        <w:jc w:val="center"/>
        <w:rPr>
          <w:rFonts w:ascii="Arial" w:hAnsi="Arial" w:cs="Arial"/>
          <w:sz w:val="18"/>
          <w:highlight w:val="yellow"/>
        </w:rPr>
      </w:pPr>
      <w:r w:rsidRPr="00963449">
        <w:rPr>
          <w:rFonts w:ascii="Arial" w:hAnsi="Arial" w:cs="Arial"/>
          <w:sz w:val="18"/>
        </w:rPr>
        <w:t>Vir: Statistični podatki o javni</w:t>
      </w:r>
      <w:r w:rsidR="00C941E4" w:rsidRPr="00963449">
        <w:rPr>
          <w:rFonts w:ascii="Arial" w:hAnsi="Arial" w:cs="Arial"/>
          <w:sz w:val="18"/>
        </w:rPr>
        <w:t>h naročilih, oddanih v letu 201</w:t>
      </w:r>
      <w:r w:rsidR="00963449" w:rsidRPr="00963449">
        <w:rPr>
          <w:rFonts w:ascii="Arial" w:hAnsi="Arial" w:cs="Arial"/>
          <w:sz w:val="18"/>
        </w:rPr>
        <w:t>8</w:t>
      </w:r>
    </w:p>
    <w:p w14:paraId="70843B56" w14:textId="77777777" w:rsidR="00C6284B" w:rsidRPr="00EF2D0B" w:rsidRDefault="00C6284B" w:rsidP="009C42BE">
      <w:pPr>
        <w:spacing w:line="360" w:lineRule="auto"/>
        <w:jc w:val="both"/>
        <w:rPr>
          <w:rFonts w:ascii="Arial" w:hAnsi="Arial" w:cs="Arial"/>
          <w:sz w:val="20"/>
          <w:szCs w:val="20"/>
          <w:highlight w:val="yellow"/>
        </w:rPr>
      </w:pPr>
    </w:p>
    <w:p w14:paraId="7910C8A5" w14:textId="13EE6572" w:rsidR="000E2011" w:rsidRPr="000E2011" w:rsidRDefault="00741BF1" w:rsidP="006F1DFA">
      <w:pPr>
        <w:spacing w:line="360" w:lineRule="auto"/>
        <w:jc w:val="both"/>
        <w:rPr>
          <w:rFonts w:ascii="Arial" w:hAnsi="Arial" w:cs="Arial"/>
          <w:sz w:val="20"/>
          <w:szCs w:val="20"/>
        </w:rPr>
      </w:pPr>
      <w:r w:rsidRPr="006F1DFA">
        <w:rPr>
          <w:rFonts w:ascii="Arial" w:hAnsi="Arial" w:cs="Arial"/>
          <w:sz w:val="20"/>
          <w:szCs w:val="20"/>
        </w:rPr>
        <w:lastRenderedPageBreak/>
        <w:t>Pri predmetih naročanja so naročni</w:t>
      </w:r>
      <w:r w:rsidR="00A03511" w:rsidRPr="006F1DFA">
        <w:rPr>
          <w:rFonts w:ascii="Arial" w:hAnsi="Arial" w:cs="Arial"/>
          <w:sz w:val="20"/>
          <w:szCs w:val="20"/>
        </w:rPr>
        <w:t xml:space="preserve">ki glede na oddelke CPV pri </w:t>
      </w:r>
      <w:r w:rsidR="00F50650" w:rsidRPr="006F1DFA">
        <w:rPr>
          <w:rFonts w:ascii="Arial" w:hAnsi="Arial" w:cs="Arial"/>
          <w:sz w:val="20"/>
          <w:szCs w:val="20"/>
        </w:rPr>
        <w:t>petih</w:t>
      </w:r>
      <w:r w:rsidRPr="006F1DFA">
        <w:rPr>
          <w:rFonts w:ascii="Arial" w:hAnsi="Arial" w:cs="Arial"/>
          <w:sz w:val="20"/>
          <w:szCs w:val="20"/>
        </w:rPr>
        <w:t xml:space="preserve"> predmetih</w:t>
      </w:r>
      <w:r w:rsidR="005C1D69" w:rsidRPr="006F1DFA">
        <w:rPr>
          <w:rFonts w:ascii="Arial" w:hAnsi="Arial" w:cs="Arial"/>
          <w:sz w:val="20"/>
          <w:szCs w:val="20"/>
        </w:rPr>
        <w:t xml:space="preserve"> naročanja</w:t>
      </w:r>
      <w:r w:rsidRPr="006F1DFA">
        <w:rPr>
          <w:rFonts w:ascii="Arial" w:hAnsi="Arial" w:cs="Arial"/>
          <w:sz w:val="20"/>
          <w:szCs w:val="20"/>
        </w:rPr>
        <w:t xml:space="preserve"> (</w:t>
      </w:r>
      <w:r w:rsidR="006F1DFA" w:rsidRPr="006F1DFA">
        <w:rPr>
          <w:rFonts w:ascii="Arial" w:eastAsia="Times New Roman" w:hAnsi="Arial" w:cs="Arial"/>
          <w:color w:val="000000"/>
          <w:sz w:val="20"/>
          <w:szCs w:val="20"/>
          <w:lang w:eastAsia="sl-SI"/>
        </w:rPr>
        <w:t>storitve izobraževanja in usposabljanja, arhitekturne, gradbeniške, inženirske in inšpekcijske storitve, storitve inštalacije (razen programske opreme), podporne in pomožne prevozne storitve</w:t>
      </w:r>
      <w:r w:rsidR="00F510BD">
        <w:rPr>
          <w:rFonts w:ascii="Arial" w:eastAsia="Times New Roman" w:hAnsi="Arial" w:cs="Arial"/>
          <w:color w:val="000000"/>
          <w:sz w:val="20"/>
          <w:szCs w:val="20"/>
          <w:lang w:eastAsia="sl-SI"/>
        </w:rPr>
        <w:t xml:space="preserve"> </w:t>
      </w:r>
      <w:r w:rsidR="00F510BD">
        <w:rPr>
          <w:rFonts w:ascii="Arial" w:eastAsia="Times New Roman" w:hAnsi="Arial" w:cs="Arial"/>
          <w:color w:val="000000"/>
          <w:sz w:val="20"/>
          <w:szCs w:val="20"/>
          <w:lang w:eastAsia="sl-SI"/>
        </w:rPr>
        <w:sym w:font="Symbol" w:char="F02D"/>
      </w:r>
      <w:r w:rsidR="00F510BD">
        <w:rPr>
          <w:rFonts w:ascii="Arial" w:eastAsia="Times New Roman" w:hAnsi="Arial" w:cs="Arial"/>
          <w:color w:val="000000"/>
          <w:sz w:val="20"/>
          <w:szCs w:val="20"/>
          <w:lang w:eastAsia="sl-SI"/>
        </w:rPr>
        <w:t xml:space="preserve"> </w:t>
      </w:r>
      <w:proofErr w:type="spellStart"/>
      <w:r w:rsidR="006F1DFA" w:rsidRPr="006F1DFA">
        <w:rPr>
          <w:rFonts w:ascii="Arial" w:eastAsia="Times New Roman" w:hAnsi="Arial" w:cs="Arial"/>
          <w:color w:val="000000"/>
          <w:sz w:val="20"/>
          <w:szCs w:val="20"/>
          <w:lang w:eastAsia="sl-SI"/>
        </w:rPr>
        <w:t>storitve</w:t>
      </w:r>
      <w:proofErr w:type="spellEnd"/>
      <w:r w:rsidR="006F1DFA" w:rsidRPr="006F1DFA">
        <w:rPr>
          <w:rFonts w:ascii="Arial" w:eastAsia="Times New Roman" w:hAnsi="Arial" w:cs="Arial"/>
          <w:color w:val="000000"/>
          <w:sz w:val="20"/>
          <w:szCs w:val="20"/>
          <w:lang w:eastAsia="sl-SI"/>
        </w:rPr>
        <w:t xml:space="preserve"> potovalnih agencij </w:t>
      </w:r>
      <w:r w:rsidR="006F1DFA">
        <w:rPr>
          <w:rFonts w:ascii="Arial" w:eastAsia="Times New Roman" w:hAnsi="Arial" w:cs="Arial"/>
          <w:color w:val="000000"/>
          <w:sz w:val="20"/>
          <w:szCs w:val="20"/>
          <w:lang w:eastAsia="sl-SI"/>
        </w:rPr>
        <w:t>ter</w:t>
      </w:r>
      <w:r w:rsidR="006F1DFA" w:rsidRPr="006F1DFA">
        <w:rPr>
          <w:rFonts w:ascii="Arial" w:eastAsia="Times New Roman" w:hAnsi="Arial" w:cs="Arial"/>
          <w:color w:val="000000"/>
          <w:sz w:val="20"/>
          <w:szCs w:val="20"/>
          <w:lang w:eastAsia="sl-SI"/>
        </w:rPr>
        <w:t xml:space="preserve"> </w:t>
      </w:r>
      <w:r w:rsidR="006F1DFA">
        <w:rPr>
          <w:rFonts w:ascii="Arial" w:eastAsia="Times New Roman" w:hAnsi="Arial" w:cs="Arial"/>
          <w:color w:val="000000"/>
          <w:sz w:val="20"/>
          <w:szCs w:val="20"/>
          <w:lang w:eastAsia="sl-SI"/>
        </w:rPr>
        <w:t>s</w:t>
      </w:r>
      <w:r w:rsidR="006F1DFA" w:rsidRPr="006F1DFA">
        <w:rPr>
          <w:rFonts w:ascii="Arial" w:eastAsia="Times New Roman" w:hAnsi="Arial" w:cs="Arial"/>
          <w:color w:val="000000"/>
          <w:sz w:val="20"/>
          <w:szCs w:val="20"/>
          <w:lang w:eastAsia="sl-SI"/>
        </w:rPr>
        <w:t>toritve hotelov, restavracij in trgovine na drobno</w:t>
      </w:r>
      <w:r w:rsidRPr="006F1DFA">
        <w:rPr>
          <w:rFonts w:ascii="Arial" w:eastAsia="Times New Roman" w:hAnsi="Arial" w:cs="Arial"/>
          <w:color w:val="000000"/>
          <w:sz w:val="20"/>
          <w:szCs w:val="20"/>
          <w:lang w:eastAsia="sl-SI"/>
        </w:rPr>
        <w:t>)</w:t>
      </w:r>
      <w:r w:rsidRPr="006F1DFA">
        <w:rPr>
          <w:rFonts w:ascii="Arial" w:hAnsi="Arial" w:cs="Arial"/>
          <w:sz w:val="20"/>
          <w:szCs w:val="20"/>
        </w:rPr>
        <w:t xml:space="preserve"> v povprečju vrednost naročila </w:t>
      </w:r>
      <w:r w:rsidR="00C6284B" w:rsidRPr="006F1DFA">
        <w:rPr>
          <w:rFonts w:ascii="Arial" w:hAnsi="Arial" w:cs="Arial"/>
          <w:sz w:val="20"/>
          <w:szCs w:val="20"/>
        </w:rPr>
        <w:t>ocenili nižje od</w:t>
      </w:r>
      <w:r w:rsidRPr="006F1DFA">
        <w:rPr>
          <w:rFonts w:ascii="Arial" w:hAnsi="Arial" w:cs="Arial"/>
          <w:sz w:val="20"/>
          <w:szCs w:val="20"/>
        </w:rPr>
        <w:t xml:space="preserve"> pogodben</w:t>
      </w:r>
      <w:r w:rsidR="00C6284B" w:rsidRPr="006F1DFA">
        <w:rPr>
          <w:rFonts w:ascii="Arial" w:hAnsi="Arial" w:cs="Arial"/>
          <w:sz w:val="20"/>
          <w:szCs w:val="20"/>
        </w:rPr>
        <w:t>e</w:t>
      </w:r>
      <w:r w:rsidRPr="006F1DFA">
        <w:rPr>
          <w:rFonts w:ascii="Arial" w:hAnsi="Arial" w:cs="Arial"/>
          <w:sz w:val="20"/>
          <w:szCs w:val="20"/>
        </w:rPr>
        <w:t xml:space="preserve"> vrednost</w:t>
      </w:r>
      <w:r w:rsidR="00C6284B" w:rsidRPr="006F1DFA">
        <w:rPr>
          <w:rFonts w:ascii="Arial" w:hAnsi="Arial" w:cs="Arial"/>
          <w:sz w:val="20"/>
          <w:szCs w:val="20"/>
        </w:rPr>
        <w:t>i</w:t>
      </w:r>
      <w:r w:rsidRPr="006F1DFA">
        <w:rPr>
          <w:rFonts w:ascii="Arial" w:hAnsi="Arial" w:cs="Arial"/>
          <w:sz w:val="20"/>
          <w:szCs w:val="20"/>
        </w:rPr>
        <w:t xml:space="preserve">. Pri </w:t>
      </w:r>
      <w:r w:rsidR="00C6284B" w:rsidRPr="006F1DFA">
        <w:rPr>
          <w:rFonts w:ascii="Arial" w:hAnsi="Arial" w:cs="Arial"/>
          <w:sz w:val="20"/>
          <w:szCs w:val="20"/>
        </w:rPr>
        <w:t>drugih</w:t>
      </w:r>
      <w:r w:rsidRPr="006F1DFA">
        <w:rPr>
          <w:rFonts w:ascii="Arial" w:hAnsi="Arial" w:cs="Arial"/>
          <w:sz w:val="20"/>
          <w:szCs w:val="20"/>
        </w:rPr>
        <w:t xml:space="preserve"> predmetih naročanja glede na oddelke CPV so naročniki v povprečju </w:t>
      </w:r>
      <w:r w:rsidR="00C6284B" w:rsidRPr="006F1DFA">
        <w:rPr>
          <w:rFonts w:ascii="Arial" w:hAnsi="Arial" w:cs="Arial"/>
          <w:sz w:val="20"/>
          <w:szCs w:val="20"/>
        </w:rPr>
        <w:t xml:space="preserve">vrednost naročila </w:t>
      </w:r>
      <w:r w:rsidR="00DE79C2" w:rsidRPr="006F1DFA">
        <w:rPr>
          <w:rFonts w:ascii="Arial" w:hAnsi="Arial" w:cs="Arial"/>
          <w:sz w:val="20"/>
          <w:szCs w:val="20"/>
        </w:rPr>
        <w:t>ocenili</w:t>
      </w:r>
      <w:r w:rsidRPr="006F1DFA">
        <w:rPr>
          <w:rFonts w:ascii="Arial" w:hAnsi="Arial" w:cs="Arial"/>
          <w:sz w:val="20"/>
          <w:szCs w:val="20"/>
        </w:rPr>
        <w:t xml:space="preserve"> višj</w:t>
      </w:r>
      <w:r w:rsidR="00C6284B" w:rsidRPr="006F1DFA">
        <w:rPr>
          <w:rFonts w:ascii="Arial" w:hAnsi="Arial" w:cs="Arial"/>
          <w:sz w:val="20"/>
          <w:szCs w:val="20"/>
        </w:rPr>
        <w:t>e</w:t>
      </w:r>
      <w:r w:rsidRPr="006F1DFA">
        <w:rPr>
          <w:rFonts w:ascii="Arial" w:hAnsi="Arial" w:cs="Arial"/>
          <w:sz w:val="20"/>
          <w:szCs w:val="20"/>
        </w:rPr>
        <w:t xml:space="preserve"> od pogodbene vrednosti.</w:t>
      </w:r>
    </w:p>
    <w:p w14:paraId="4CADEFEF" w14:textId="4CD46E8C" w:rsidR="00FF5F34" w:rsidRPr="006A1F91" w:rsidRDefault="00FF5F34" w:rsidP="00FF5F34">
      <w:pPr>
        <w:pStyle w:val="Naslov2"/>
        <w:rPr>
          <w:rFonts w:ascii="Arial" w:hAnsi="Arial" w:cs="Arial"/>
          <w:szCs w:val="20"/>
        </w:rPr>
      </w:pPr>
      <w:bookmarkStart w:id="26" w:name="_Toc17114064"/>
      <w:r w:rsidRPr="006A1F91">
        <w:rPr>
          <w:rFonts w:ascii="Arial" w:hAnsi="Arial" w:cs="Arial"/>
          <w:sz w:val="22"/>
          <w:szCs w:val="22"/>
        </w:rPr>
        <w:t>2.6 Merila za oddajo javnega naročila</w:t>
      </w:r>
      <w:bookmarkEnd w:id="26"/>
    </w:p>
    <w:p w14:paraId="47DA7845" w14:textId="77777777" w:rsidR="00FF5F34" w:rsidRPr="006A1F91" w:rsidRDefault="00FF5F34" w:rsidP="00854405">
      <w:pPr>
        <w:pStyle w:val="ZADEVA"/>
        <w:jc w:val="both"/>
        <w:rPr>
          <w:rFonts w:cs="Arial"/>
          <w:b w:val="0"/>
          <w:szCs w:val="20"/>
          <w:lang w:val="sl-SI"/>
        </w:rPr>
      </w:pPr>
    </w:p>
    <w:p w14:paraId="582C97A0" w14:textId="3B14C85F" w:rsidR="00504FA5" w:rsidRPr="006A1F91" w:rsidRDefault="00F510BD" w:rsidP="007A055B">
      <w:pPr>
        <w:spacing w:line="360" w:lineRule="auto"/>
        <w:jc w:val="both"/>
        <w:rPr>
          <w:rFonts w:ascii="Arial" w:hAnsi="Arial" w:cs="Arial"/>
          <w:sz w:val="20"/>
          <w:szCs w:val="20"/>
        </w:rPr>
      </w:pPr>
      <w:r>
        <w:rPr>
          <w:rFonts w:ascii="Arial" w:hAnsi="Arial" w:cs="Arial"/>
          <w:sz w:val="20"/>
          <w:szCs w:val="20"/>
        </w:rPr>
        <w:t>Leta</w:t>
      </w:r>
      <w:r w:rsidR="00B75609" w:rsidRPr="006A1F91">
        <w:rPr>
          <w:rFonts w:ascii="Arial" w:hAnsi="Arial" w:cs="Arial"/>
          <w:sz w:val="20"/>
          <w:szCs w:val="20"/>
        </w:rPr>
        <w:t xml:space="preserve"> 201</w:t>
      </w:r>
      <w:r w:rsidR="006A1F91" w:rsidRPr="006A1F91">
        <w:rPr>
          <w:rFonts w:ascii="Arial" w:hAnsi="Arial" w:cs="Arial"/>
          <w:sz w:val="20"/>
          <w:szCs w:val="20"/>
        </w:rPr>
        <w:t>8</w:t>
      </w:r>
      <w:r w:rsidR="002149C7" w:rsidRPr="006A1F91">
        <w:rPr>
          <w:rFonts w:ascii="Arial" w:hAnsi="Arial" w:cs="Arial"/>
          <w:sz w:val="20"/>
          <w:szCs w:val="20"/>
        </w:rPr>
        <w:t xml:space="preserve"> so naročniki oddali </w:t>
      </w:r>
      <w:r w:rsidR="00B75609" w:rsidRPr="006A1F91">
        <w:rPr>
          <w:rFonts w:ascii="Arial" w:hAnsi="Arial" w:cs="Arial"/>
          <w:sz w:val="20"/>
          <w:szCs w:val="20"/>
        </w:rPr>
        <w:t>1</w:t>
      </w:r>
      <w:r w:rsidR="006A1F91" w:rsidRPr="006A1F91">
        <w:rPr>
          <w:rFonts w:ascii="Arial" w:hAnsi="Arial" w:cs="Arial"/>
          <w:sz w:val="20"/>
          <w:szCs w:val="20"/>
        </w:rPr>
        <w:t>6</w:t>
      </w:r>
      <w:r w:rsidR="00B75609" w:rsidRPr="006A1F91">
        <w:rPr>
          <w:rFonts w:ascii="Arial" w:hAnsi="Arial" w:cs="Arial"/>
          <w:sz w:val="20"/>
          <w:szCs w:val="20"/>
        </w:rPr>
        <w:t>.8</w:t>
      </w:r>
      <w:r w:rsidR="006A1F91" w:rsidRPr="006A1F91">
        <w:rPr>
          <w:rFonts w:ascii="Arial" w:hAnsi="Arial" w:cs="Arial"/>
          <w:sz w:val="20"/>
          <w:szCs w:val="20"/>
        </w:rPr>
        <w:t>65</w:t>
      </w:r>
      <w:r w:rsidR="002149C7" w:rsidRPr="006A1F91">
        <w:rPr>
          <w:rFonts w:ascii="Arial" w:hAnsi="Arial" w:cs="Arial"/>
          <w:sz w:val="20"/>
          <w:szCs w:val="20"/>
        </w:rPr>
        <w:t xml:space="preserve"> naročil. Pri izbiri najugodnejšega ponudnika je bilo največkrat uporabljeno merilo cena, in sicer pri </w:t>
      </w:r>
      <w:r w:rsidR="00B75609" w:rsidRPr="006A1F91">
        <w:rPr>
          <w:rFonts w:ascii="Arial" w:hAnsi="Arial" w:cs="Arial"/>
          <w:sz w:val="20"/>
          <w:szCs w:val="20"/>
        </w:rPr>
        <w:t>14.</w:t>
      </w:r>
      <w:r w:rsidR="006A1F91" w:rsidRPr="006A1F91">
        <w:rPr>
          <w:rFonts w:ascii="Arial" w:hAnsi="Arial" w:cs="Arial"/>
          <w:sz w:val="20"/>
          <w:szCs w:val="20"/>
        </w:rPr>
        <w:t>919</w:t>
      </w:r>
      <w:r w:rsidR="00B75609" w:rsidRPr="006A1F91">
        <w:rPr>
          <w:rFonts w:ascii="Arial" w:hAnsi="Arial" w:cs="Arial"/>
          <w:sz w:val="20"/>
          <w:szCs w:val="20"/>
        </w:rPr>
        <w:t xml:space="preserve"> </w:t>
      </w:r>
      <w:r w:rsidR="007A055B" w:rsidRPr="006A1F91">
        <w:rPr>
          <w:rFonts w:ascii="Arial" w:hAnsi="Arial" w:cs="Arial"/>
          <w:sz w:val="20"/>
          <w:szCs w:val="20"/>
        </w:rPr>
        <w:t xml:space="preserve">oddanih naročilih. </w:t>
      </w:r>
    </w:p>
    <w:p w14:paraId="4F47B9EB" w14:textId="12EED1C8" w:rsidR="002149C7" w:rsidRPr="006A1F91" w:rsidRDefault="002149C7" w:rsidP="008A61FD">
      <w:pPr>
        <w:spacing w:before="120" w:after="120" w:line="240" w:lineRule="auto"/>
        <w:jc w:val="both"/>
        <w:rPr>
          <w:rFonts w:ascii="Arial" w:hAnsi="Arial" w:cs="Arial"/>
          <w:sz w:val="20"/>
        </w:rPr>
      </w:pPr>
      <w:r w:rsidRPr="006A1F91">
        <w:rPr>
          <w:rFonts w:ascii="Arial" w:hAnsi="Arial" w:cs="Arial"/>
          <w:sz w:val="20"/>
        </w:rPr>
        <w:t xml:space="preserve">Preglednica </w:t>
      </w:r>
      <w:r w:rsidR="0083702C" w:rsidRPr="006A1F91">
        <w:rPr>
          <w:rFonts w:ascii="Arial" w:hAnsi="Arial" w:cs="Arial"/>
          <w:sz w:val="20"/>
        </w:rPr>
        <w:t>3</w:t>
      </w:r>
      <w:r w:rsidR="00EB4423">
        <w:rPr>
          <w:rFonts w:ascii="Arial" w:hAnsi="Arial" w:cs="Arial"/>
          <w:sz w:val="20"/>
        </w:rPr>
        <w:t>3</w:t>
      </w:r>
      <w:r w:rsidRPr="006A1F91">
        <w:rPr>
          <w:rFonts w:ascii="Arial" w:hAnsi="Arial" w:cs="Arial"/>
          <w:sz w:val="20"/>
        </w:rPr>
        <w:t>: Delež posameznega merila za izb</w:t>
      </w:r>
      <w:r w:rsidR="00C6284B" w:rsidRPr="006A1F91">
        <w:rPr>
          <w:rFonts w:ascii="Arial" w:hAnsi="Arial" w:cs="Arial"/>
          <w:sz w:val="20"/>
        </w:rPr>
        <w:t>iro</w:t>
      </w:r>
      <w:r w:rsidRPr="006A1F91">
        <w:rPr>
          <w:rFonts w:ascii="Arial" w:hAnsi="Arial" w:cs="Arial"/>
          <w:sz w:val="20"/>
        </w:rPr>
        <w:t xml:space="preserve"> </w:t>
      </w:r>
      <w:r w:rsidR="00C6284B" w:rsidRPr="006A1F91">
        <w:rPr>
          <w:rFonts w:ascii="Arial" w:hAnsi="Arial" w:cs="Arial"/>
          <w:sz w:val="20"/>
        </w:rPr>
        <w:t>po</w:t>
      </w:r>
      <w:r w:rsidRPr="006A1F91">
        <w:rPr>
          <w:rFonts w:ascii="Arial" w:hAnsi="Arial" w:cs="Arial"/>
          <w:sz w:val="20"/>
        </w:rPr>
        <w:t xml:space="preserve"> številu in vrednosti</w:t>
      </w:r>
      <w:r w:rsidR="00711C40" w:rsidRPr="006A1F91">
        <w:rPr>
          <w:rFonts w:ascii="Arial" w:hAnsi="Arial" w:cs="Arial"/>
          <w:sz w:val="20"/>
        </w:rPr>
        <w:t xml:space="preserve"> naročil</w:t>
      </w:r>
    </w:p>
    <w:tbl>
      <w:tblPr>
        <w:tblW w:w="7740" w:type="dxa"/>
        <w:jc w:val="center"/>
        <w:tblCellMar>
          <w:left w:w="70" w:type="dxa"/>
          <w:right w:w="70" w:type="dxa"/>
        </w:tblCellMar>
        <w:tblLook w:val="04A0" w:firstRow="1" w:lastRow="0" w:firstColumn="1" w:lastColumn="0" w:noHBand="0" w:noVBand="1"/>
      </w:tblPr>
      <w:tblGrid>
        <w:gridCol w:w="3140"/>
        <w:gridCol w:w="1120"/>
        <w:gridCol w:w="1300"/>
        <w:gridCol w:w="1220"/>
        <w:gridCol w:w="960"/>
      </w:tblGrid>
      <w:tr w:rsidR="00206D8E" w:rsidRPr="006A1F91" w14:paraId="30273F5A" w14:textId="77777777" w:rsidTr="009B792F">
        <w:trPr>
          <w:trHeight w:val="480"/>
          <w:jc w:val="center"/>
        </w:trPr>
        <w:tc>
          <w:tcPr>
            <w:tcW w:w="31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2B43756" w14:textId="7DA66667" w:rsidR="00206D8E" w:rsidRPr="006A1F91" w:rsidRDefault="00206D8E" w:rsidP="00206D8E">
            <w:pPr>
              <w:spacing w:after="0" w:line="240" w:lineRule="auto"/>
              <w:jc w:val="center"/>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Merilo</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6BBA8CB" w14:textId="499BFADA" w:rsidR="00206D8E" w:rsidRPr="006A1F91" w:rsidRDefault="00206D8E" w:rsidP="00206D8E">
            <w:pPr>
              <w:spacing w:after="0" w:line="240" w:lineRule="auto"/>
              <w:jc w:val="center"/>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Št. naročil</w:t>
            </w:r>
          </w:p>
        </w:tc>
        <w:tc>
          <w:tcPr>
            <w:tcW w:w="13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84769B0" w14:textId="3478D04A" w:rsidR="00206D8E" w:rsidRPr="006A1F91" w:rsidRDefault="00206D8E" w:rsidP="00206D8E">
            <w:pPr>
              <w:spacing w:after="0" w:line="240" w:lineRule="auto"/>
              <w:jc w:val="center"/>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 xml:space="preserve">Pogodbena vrednost </w:t>
            </w:r>
          </w:p>
        </w:tc>
        <w:tc>
          <w:tcPr>
            <w:tcW w:w="12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6AE34D2" w14:textId="1284A64D" w:rsidR="00206D8E" w:rsidRPr="006A1F91" w:rsidRDefault="00206D8E" w:rsidP="00206D8E">
            <w:pPr>
              <w:spacing w:after="0" w:line="240" w:lineRule="auto"/>
              <w:jc w:val="center"/>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42D1263" w14:textId="5D4FDC3A" w:rsidR="00206D8E" w:rsidRPr="006A1F91" w:rsidRDefault="00206D8E" w:rsidP="00206D8E">
            <w:pPr>
              <w:spacing w:after="0" w:line="240" w:lineRule="auto"/>
              <w:jc w:val="center"/>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Delež v vrednosti</w:t>
            </w:r>
          </w:p>
        </w:tc>
      </w:tr>
      <w:tr w:rsidR="006A1F91" w:rsidRPr="006A1F91" w14:paraId="05F0E900" w14:textId="77777777" w:rsidTr="006A1F91">
        <w:trPr>
          <w:trHeight w:val="300"/>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CB61BEF" w14:textId="7FDCE0BD" w:rsidR="006A1F91" w:rsidRPr="006A1F91" w:rsidRDefault="006A1F91" w:rsidP="006A1F91">
            <w:pPr>
              <w:spacing w:after="0" w:line="240" w:lineRule="auto"/>
              <w:jc w:val="both"/>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Cena</w:t>
            </w:r>
          </w:p>
        </w:tc>
        <w:tc>
          <w:tcPr>
            <w:tcW w:w="1120" w:type="dxa"/>
            <w:tcBorders>
              <w:top w:val="nil"/>
              <w:left w:val="nil"/>
              <w:bottom w:val="single" w:sz="4" w:space="0" w:color="auto"/>
              <w:right w:val="single" w:sz="4" w:space="0" w:color="auto"/>
            </w:tcBorders>
            <w:shd w:val="clear" w:color="auto" w:fill="auto"/>
            <w:vAlign w:val="center"/>
            <w:hideMark/>
          </w:tcPr>
          <w:p w14:paraId="215AA187" w14:textId="7BA44F1C"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14.919</w:t>
            </w:r>
          </w:p>
        </w:tc>
        <w:tc>
          <w:tcPr>
            <w:tcW w:w="1300" w:type="dxa"/>
            <w:tcBorders>
              <w:top w:val="nil"/>
              <w:left w:val="nil"/>
              <w:bottom w:val="single" w:sz="4" w:space="0" w:color="auto"/>
              <w:right w:val="single" w:sz="4" w:space="0" w:color="auto"/>
            </w:tcBorders>
            <w:shd w:val="clear" w:color="auto" w:fill="auto"/>
            <w:vAlign w:val="center"/>
            <w:hideMark/>
          </w:tcPr>
          <w:p w14:paraId="2CF37BB4" w14:textId="5129C4E6"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2.641.043.091</w:t>
            </w:r>
          </w:p>
        </w:tc>
        <w:tc>
          <w:tcPr>
            <w:tcW w:w="1220" w:type="dxa"/>
            <w:tcBorders>
              <w:top w:val="nil"/>
              <w:left w:val="nil"/>
              <w:bottom w:val="single" w:sz="4" w:space="0" w:color="auto"/>
              <w:right w:val="single" w:sz="4" w:space="0" w:color="auto"/>
            </w:tcBorders>
            <w:shd w:val="clear" w:color="auto" w:fill="auto"/>
            <w:vAlign w:val="center"/>
            <w:hideMark/>
          </w:tcPr>
          <w:p w14:paraId="13DD830F" w14:textId="11465DFA"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88,46 %</w:t>
            </w:r>
          </w:p>
        </w:tc>
        <w:tc>
          <w:tcPr>
            <w:tcW w:w="960" w:type="dxa"/>
            <w:tcBorders>
              <w:top w:val="nil"/>
              <w:left w:val="nil"/>
              <w:bottom w:val="single" w:sz="4" w:space="0" w:color="auto"/>
              <w:right w:val="single" w:sz="4" w:space="0" w:color="auto"/>
            </w:tcBorders>
            <w:shd w:val="clear" w:color="auto" w:fill="auto"/>
            <w:vAlign w:val="center"/>
            <w:hideMark/>
          </w:tcPr>
          <w:p w14:paraId="33F981AF" w14:textId="57B15709"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90,49 %</w:t>
            </w:r>
          </w:p>
        </w:tc>
      </w:tr>
      <w:tr w:rsidR="006A1F91" w:rsidRPr="006A1F91" w14:paraId="49BC534E" w14:textId="77777777" w:rsidTr="006A1F91">
        <w:trPr>
          <w:trHeight w:val="300"/>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62750FD" w14:textId="362A6F6D" w:rsidR="006A1F91" w:rsidRPr="006A1F91" w:rsidRDefault="006A1F91" w:rsidP="006A1F91">
            <w:pPr>
              <w:spacing w:after="0" w:line="240" w:lineRule="auto"/>
              <w:jc w:val="both"/>
              <w:rPr>
                <w:rFonts w:ascii="Arial" w:eastAsia="Times New Roman" w:hAnsi="Arial" w:cs="Arial"/>
                <w:color w:val="000000"/>
                <w:sz w:val="18"/>
                <w:szCs w:val="18"/>
                <w:lang w:eastAsia="sl-SI"/>
              </w:rPr>
            </w:pPr>
            <w:r w:rsidRPr="006A1F91">
              <w:rPr>
                <w:rFonts w:ascii="Arial" w:eastAsia="Times New Roman" w:hAnsi="Arial" w:cs="Arial"/>
                <w:color w:val="000000"/>
                <w:sz w:val="18"/>
                <w:szCs w:val="18"/>
                <w:lang w:eastAsia="sl-SI"/>
              </w:rPr>
              <w:t>Ekonomsko najugodnejša ponudba</w:t>
            </w:r>
          </w:p>
        </w:tc>
        <w:tc>
          <w:tcPr>
            <w:tcW w:w="1120" w:type="dxa"/>
            <w:tcBorders>
              <w:top w:val="nil"/>
              <w:left w:val="nil"/>
              <w:bottom w:val="single" w:sz="4" w:space="0" w:color="auto"/>
              <w:right w:val="single" w:sz="4" w:space="0" w:color="auto"/>
            </w:tcBorders>
            <w:shd w:val="clear" w:color="auto" w:fill="auto"/>
            <w:vAlign w:val="center"/>
            <w:hideMark/>
          </w:tcPr>
          <w:p w14:paraId="2D5A9EED" w14:textId="4430FEE5"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1.946</w:t>
            </w:r>
          </w:p>
        </w:tc>
        <w:tc>
          <w:tcPr>
            <w:tcW w:w="1300" w:type="dxa"/>
            <w:tcBorders>
              <w:top w:val="nil"/>
              <w:left w:val="nil"/>
              <w:bottom w:val="single" w:sz="4" w:space="0" w:color="auto"/>
              <w:right w:val="single" w:sz="4" w:space="0" w:color="auto"/>
            </w:tcBorders>
            <w:shd w:val="clear" w:color="auto" w:fill="auto"/>
            <w:vAlign w:val="center"/>
            <w:hideMark/>
          </w:tcPr>
          <w:p w14:paraId="088FB99A" w14:textId="363952EE"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277.551.518</w:t>
            </w:r>
          </w:p>
        </w:tc>
        <w:tc>
          <w:tcPr>
            <w:tcW w:w="1220" w:type="dxa"/>
            <w:tcBorders>
              <w:top w:val="nil"/>
              <w:left w:val="nil"/>
              <w:bottom w:val="single" w:sz="4" w:space="0" w:color="auto"/>
              <w:right w:val="single" w:sz="4" w:space="0" w:color="auto"/>
            </w:tcBorders>
            <w:shd w:val="clear" w:color="auto" w:fill="auto"/>
            <w:vAlign w:val="center"/>
            <w:hideMark/>
          </w:tcPr>
          <w:p w14:paraId="0CCFF1B6" w14:textId="3B8E967B"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11,54 %</w:t>
            </w:r>
          </w:p>
        </w:tc>
        <w:tc>
          <w:tcPr>
            <w:tcW w:w="960" w:type="dxa"/>
            <w:tcBorders>
              <w:top w:val="nil"/>
              <w:left w:val="nil"/>
              <w:bottom w:val="single" w:sz="4" w:space="0" w:color="auto"/>
              <w:right w:val="single" w:sz="4" w:space="0" w:color="auto"/>
            </w:tcBorders>
            <w:shd w:val="clear" w:color="auto" w:fill="auto"/>
            <w:vAlign w:val="center"/>
            <w:hideMark/>
          </w:tcPr>
          <w:p w14:paraId="20787F67" w14:textId="0CFF476C" w:rsidR="006A1F91" w:rsidRPr="006A1F91" w:rsidRDefault="006A1F91" w:rsidP="006A1F91">
            <w:pPr>
              <w:spacing w:after="0" w:line="240" w:lineRule="auto"/>
              <w:jc w:val="right"/>
              <w:rPr>
                <w:rFonts w:ascii="Arial" w:eastAsia="Times New Roman" w:hAnsi="Arial" w:cs="Arial"/>
                <w:color w:val="000000"/>
                <w:sz w:val="18"/>
                <w:szCs w:val="18"/>
                <w:lang w:eastAsia="sl-SI"/>
              </w:rPr>
            </w:pPr>
            <w:r w:rsidRPr="006A1F91">
              <w:rPr>
                <w:rFonts w:ascii="Arial" w:hAnsi="Arial" w:cs="Arial"/>
                <w:sz w:val="18"/>
                <w:szCs w:val="18"/>
              </w:rPr>
              <w:t>9,51 %</w:t>
            </w:r>
          </w:p>
        </w:tc>
      </w:tr>
      <w:tr w:rsidR="006A1F91" w:rsidRPr="006A1F91" w14:paraId="21C1B126" w14:textId="77777777" w:rsidTr="00B45EE0">
        <w:trPr>
          <w:trHeight w:val="300"/>
          <w:jc w:val="center"/>
        </w:trPr>
        <w:tc>
          <w:tcPr>
            <w:tcW w:w="3140" w:type="dxa"/>
            <w:tcBorders>
              <w:top w:val="nil"/>
              <w:left w:val="single" w:sz="4" w:space="0" w:color="auto"/>
              <w:bottom w:val="single" w:sz="4" w:space="0" w:color="auto"/>
              <w:right w:val="single" w:sz="4" w:space="0" w:color="auto"/>
            </w:tcBorders>
            <w:shd w:val="clear" w:color="auto" w:fill="E7E6E6" w:themeFill="background2"/>
            <w:vAlign w:val="center"/>
            <w:hideMark/>
          </w:tcPr>
          <w:p w14:paraId="58D4BCB6" w14:textId="42A27FBC" w:rsidR="006A1F91" w:rsidRPr="006A1F91" w:rsidRDefault="006A1F91" w:rsidP="006A1F91">
            <w:pPr>
              <w:spacing w:after="0" w:line="240" w:lineRule="auto"/>
              <w:jc w:val="both"/>
              <w:rPr>
                <w:rFonts w:ascii="Arial" w:eastAsia="Times New Roman" w:hAnsi="Arial" w:cs="Arial"/>
                <w:b/>
                <w:bCs/>
                <w:color w:val="000000"/>
                <w:sz w:val="18"/>
                <w:szCs w:val="18"/>
                <w:lang w:eastAsia="sl-SI"/>
              </w:rPr>
            </w:pPr>
            <w:r w:rsidRPr="006A1F91">
              <w:rPr>
                <w:rFonts w:ascii="Arial" w:eastAsia="Times New Roman" w:hAnsi="Arial" w:cs="Arial"/>
                <w:b/>
                <w:bCs/>
                <w:color w:val="000000"/>
                <w:sz w:val="18"/>
                <w:szCs w:val="18"/>
                <w:lang w:eastAsia="sl-SI"/>
              </w:rPr>
              <w:t>Skupaj</w:t>
            </w:r>
          </w:p>
        </w:tc>
        <w:tc>
          <w:tcPr>
            <w:tcW w:w="1120" w:type="dxa"/>
            <w:tcBorders>
              <w:top w:val="nil"/>
              <w:left w:val="nil"/>
              <w:bottom w:val="single" w:sz="4" w:space="0" w:color="auto"/>
              <w:right w:val="single" w:sz="4" w:space="0" w:color="auto"/>
            </w:tcBorders>
            <w:shd w:val="clear" w:color="auto" w:fill="E7E6E6" w:themeFill="background2"/>
            <w:vAlign w:val="center"/>
            <w:hideMark/>
          </w:tcPr>
          <w:p w14:paraId="7458891A" w14:textId="73B901D6" w:rsidR="006A1F91" w:rsidRPr="006A1F91" w:rsidRDefault="006A1F91" w:rsidP="006A1F91">
            <w:pPr>
              <w:spacing w:after="0" w:line="240" w:lineRule="auto"/>
              <w:jc w:val="right"/>
              <w:rPr>
                <w:rFonts w:ascii="Arial" w:eastAsia="Times New Roman" w:hAnsi="Arial" w:cs="Arial"/>
                <w:b/>
                <w:bCs/>
                <w:color w:val="000000"/>
                <w:sz w:val="18"/>
                <w:szCs w:val="18"/>
                <w:lang w:eastAsia="sl-SI"/>
              </w:rPr>
            </w:pPr>
            <w:r w:rsidRPr="006A1F91">
              <w:rPr>
                <w:rFonts w:ascii="Arial" w:hAnsi="Arial" w:cs="Arial"/>
                <w:b/>
                <w:sz w:val="18"/>
                <w:szCs w:val="18"/>
              </w:rPr>
              <w:t>16.865</w:t>
            </w:r>
          </w:p>
        </w:tc>
        <w:tc>
          <w:tcPr>
            <w:tcW w:w="1300" w:type="dxa"/>
            <w:tcBorders>
              <w:top w:val="nil"/>
              <w:left w:val="nil"/>
              <w:bottom w:val="single" w:sz="4" w:space="0" w:color="auto"/>
              <w:right w:val="single" w:sz="4" w:space="0" w:color="auto"/>
            </w:tcBorders>
            <w:shd w:val="clear" w:color="auto" w:fill="E7E6E6" w:themeFill="background2"/>
            <w:vAlign w:val="center"/>
            <w:hideMark/>
          </w:tcPr>
          <w:p w14:paraId="0390955F" w14:textId="58B99241" w:rsidR="006A1F91" w:rsidRPr="006A1F91" w:rsidRDefault="006A1F91" w:rsidP="006A1F91">
            <w:pPr>
              <w:spacing w:after="0" w:line="240" w:lineRule="auto"/>
              <w:jc w:val="right"/>
              <w:rPr>
                <w:rFonts w:ascii="Arial" w:eastAsia="Times New Roman" w:hAnsi="Arial" w:cs="Arial"/>
                <w:b/>
                <w:bCs/>
                <w:color w:val="000000"/>
                <w:sz w:val="18"/>
                <w:szCs w:val="18"/>
                <w:lang w:eastAsia="sl-SI"/>
              </w:rPr>
            </w:pPr>
            <w:r w:rsidRPr="006A1F91">
              <w:rPr>
                <w:rFonts w:ascii="Arial" w:hAnsi="Arial" w:cs="Arial"/>
                <w:b/>
                <w:sz w:val="18"/>
                <w:szCs w:val="18"/>
              </w:rPr>
              <w:t>2.918.594.609</w:t>
            </w:r>
          </w:p>
        </w:tc>
        <w:tc>
          <w:tcPr>
            <w:tcW w:w="1220" w:type="dxa"/>
            <w:tcBorders>
              <w:top w:val="nil"/>
              <w:left w:val="nil"/>
              <w:bottom w:val="single" w:sz="4" w:space="0" w:color="auto"/>
              <w:right w:val="single" w:sz="4" w:space="0" w:color="auto"/>
            </w:tcBorders>
            <w:shd w:val="clear" w:color="auto" w:fill="E7E6E6" w:themeFill="background2"/>
            <w:vAlign w:val="center"/>
            <w:hideMark/>
          </w:tcPr>
          <w:p w14:paraId="5CBF18C7" w14:textId="6476207E" w:rsidR="006A1F91" w:rsidRPr="006A1F91" w:rsidRDefault="006A1F91" w:rsidP="006A1F91">
            <w:pPr>
              <w:spacing w:after="0" w:line="240" w:lineRule="auto"/>
              <w:jc w:val="right"/>
              <w:rPr>
                <w:rFonts w:ascii="Arial" w:eastAsia="Times New Roman" w:hAnsi="Arial" w:cs="Arial"/>
                <w:b/>
                <w:bCs/>
                <w:color w:val="000000"/>
                <w:sz w:val="18"/>
                <w:szCs w:val="18"/>
                <w:lang w:eastAsia="sl-SI"/>
              </w:rPr>
            </w:pPr>
            <w:r w:rsidRPr="006A1F91">
              <w:rPr>
                <w:rFonts w:ascii="Arial" w:hAnsi="Arial" w:cs="Arial"/>
                <w:b/>
                <w:sz w:val="18"/>
                <w:szCs w:val="18"/>
              </w:rPr>
              <w:t>100,00 %</w:t>
            </w:r>
          </w:p>
        </w:tc>
        <w:tc>
          <w:tcPr>
            <w:tcW w:w="960" w:type="dxa"/>
            <w:tcBorders>
              <w:top w:val="nil"/>
              <w:left w:val="nil"/>
              <w:bottom w:val="single" w:sz="4" w:space="0" w:color="auto"/>
              <w:right w:val="single" w:sz="4" w:space="0" w:color="auto"/>
            </w:tcBorders>
            <w:shd w:val="clear" w:color="auto" w:fill="E7E6E6" w:themeFill="background2"/>
            <w:vAlign w:val="center"/>
            <w:hideMark/>
          </w:tcPr>
          <w:p w14:paraId="2A267E22" w14:textId="246749B5" w:rsidR="006A1F91" w:rsidRPr="006A1F91" w:rsidRDefault="006A1F91" w:rsidP="006A1F91">
            <w:pPr>
              <w:spacing w:after="0" w:line="240" w:lineRule="auto"/>
              <w:jc w:val="right"/>
              <w:rPr>
                <w:rFonts w:ascii="Arial" w:eastAsia="Times New Roman" w:hAnsi="Arial" w:cs="Arial"/>
                <w:b/>
                <w:bCs/>
                <w:color w:val="000000"/>
                <w:sz w:val="18"/>
                <w:szCs w:val="18"/>
                <w:lang w:eastAsia="sl-SI"/>
              </w:rPr>
            </w:pPr>
            <w:r w:rsidRPr="006A1F91">
              <w:rPr>
                <w:rFonts w:ascii="Arial" w:hAnsi="Arial" w:cs="Arial"/>
                <w:b/>
                <w:sz w:val="18"/>
                <w:szCs w:val="18"/>
              </w:rPr>
              <w:t>100,00 %</w:t>
            </w:r>
          </w:p>
        </w:tc>
      </w:tr>
    </w:tbl>
    <w:p w14:paraId="05680F58" w14:textId="77777777" w:rsidR="004A613D" w:rsidRPr="006A1F91" w:rsidRDefault="004A613D" w:rsidP="004A613D">
      <w:pPr>
        <w:spacing w:after="0" w:line="240" w:lineRule="auto"/>
        <w:jc w:val="center"/>
        <w:rPr>
          <w:rFonts w:ascii="Arial" w:hAnsi="Arial" w:cs="Arial"/>
          <w:sz w:val="18"/>
        </w:rPr>
      </w:pPr>
    </w:p>
    <w:p w14:paraId="0AD7CF12" w14:textId="1F9F5419" w:rsidR="002149C7" w:rsidRPr="006A1F91" w:rsidRDefault="002149C7" w:rsidP="004A613D">
      <w:pPr>
        <w:spacing w:after="0" w:line="240" w:lineRule="auto"/>
        <w:jc w:val="center"/>
        <w:rPr>
          <w:rFonts w:ascii="Arial" w:hAnsi="Arial" w:cs="Arial"/>
          <w:sz w:val="18"/>
        </w:rPr>
      </w:pPr>
      <w:r w:rsidRPr="006A1F91">
        <w:rPr>
          <w:rFonts w:ascii="Arial" w:hAnsi="Arial" w:cs="Arial"/>
          <w:sz w:val="18"/>
        </w:rPr>
        <w:t>Vir: Statistični podatki o javni</w:t>
      </w:r>
      <w:r w:rsidR="00A826AE" w:rsidRPr="006A1F91">
        <w:rPr>
          <w:rFonts w:ascii="Arial" w:hAnsi="Arial" w:cs="Arial"/>
          <w:sz w:val="18"/>
        </w:rPr>
        <w:t>h naročilih, oddanih v letu 201</w:t>
      </w:r>
      <w:r w:rsidR="006A1F91" w:rsidRPr="006A1F91">
        <w:rPr>
          <w:rFonts w:ascii="Arial" w:hAnsi="Arial" w:cs="Arial"/>
          <w:sz w:val="18"/>
        </w:rPr>
        <w:t>8</w:t>
      </w:r>
    </w:p>
    <w:p w14:paraId="2E3B9B82" w14:textId="77777777" w:rsidR="00836FD3" w:rsidRDefault="00836FD3" w:rsidP="00242703">
      <w:pPr>
        <w:spacing w:line="360" w:lineRule="auto"/>
        <w:jc w:val="both"/>
        <w:rPr>
          <w:rFonts w:ascii="Arial" w:hAnsi="Arial" w:cs="Arial"/>
          <w:sz w:val="20"/>
          <w:szCs w:val="20"/>
        </w:rPr>
      </w:pPr>
    </w:p>
    <w:p w14:paraId="0EDD66E9" w14:textId="142017BE" w:rsidR="00B37EB8" w:rsidRPr="00DA5CC5" w:rsidRDefault="00B37EB8" w:rsidP="00836FD3">
      <w:pPr>
        <w:tabs>
          <w:tab w:val="left" w:pos="567"/>
          <w:tab w:val="left" w:pos="993"/>
        </w:tabs>
        <w:spacing w:line="360" w:lineRule="auto"/>
        <w:jc w:val="both"/>
        <w:rPr>
          <w:rFonts w:ascii="Arial" w:hAnsi="Arial" w:cs="Arial"/>
          <w:sz w:val="20"/>
          <w:szCs w:val="20"/>
          <w:lang w:eastAsia="sl-SI"/>
        </w:rPr>
      </w:pPr>
      <w:r w:rsidRPr="0033088F">
        <w:rPr>
          <w:rFonts w:ascii="Arial" w:hAnsi="Arial" w:cs="Arial"/>
          <w:sz w:val="20"/>
          <w:szCs w:val="20"/>
          <w:lang w:eastAsia="sl-SI"/>
        </w:rPr>
        <w:t xml:space="preserve">Pri oddaji naročil so naročniki največkrat uporabili merilo cena pri odprtem postopku, kjer je bilo to merilo uporabljeno pri </w:t>
      </w:r>
      <w:r w:rsidR="0033088F" w:rsidRPr="0033088F">
        <w:rPr>
          <w:rFonts w:ascii="Arial" w:hAnsi="Arial" w:cs="Arial"/>
          <w:sz w:val="20"/>
          <w:szCs w:val="20"/>
          <w:lang w:eastAsia="sl-SI"/>
        </w:rPr>
        <w:t>7141</w:t>
      </w:r>
      <w:r w:rsidR="008D54B0" w:rsidRPr="0033088F">
        <w:rPr>
          <w:rFonts w:ascii="Arial" w:hAnsi="Arial" w:cs="Arial"/>
          <w:sz w:val="20"/>
          <w:szCs w:val="20"/>
          <w:lang w:eastAsia="sl-SI"/>
        </w:rPr>
        <w:t xml:space="preserve"> </w:t>
      </w:r>
      <w:r w:rsidRPr="0033088F">
        <w:rPr>
          <w:rFonts w:ascii="Arial" w:hAnsi="Arial" w:cs="Arial"/>
          <w:sz w:val="20"/>
          <w:szCs w:val="20"/>
          <w:lang w:eastAsia="sl-SI"/>
        </w:rPr>
        <w:t xml:space="preserve">naročilih oziroma </w:t>
      </w:r>
      <w:r w:rsidR="008D54B0" w:rsidRPr="0033088F">
        <w:rPr>
          <w:rFonts w:ascii="Arial" w:hAnsi="Arial" w:cs="Arial"/>
          <w:sz w:val="20"/>
          <w:szCs w:val="20"/>
          <w:lang w:eastAsia="sl-SI"/>
        </w:rPr>
        <w:t>8</w:t>
      </w:r>
      <w:r w:rsidR="0033088F" w:rsidRPr="0033088F">
        <w:rPr>
          <w:rFonts w:ascii="Arial" w:hAnsi="Arial" w:cs="Arial"/>
          <w:sz w:val="20"/>
          <w:szCs w:val="20"/>
          <w:lang w:eastAsia="sl-SI"/>
        </w:rPr>
        <w:t>6,39</w:t>
      </w:r>
      <w:r w:rsidRPr="0033088F">
        <w:rPr>
          <w:rFonts w:ascii="Arial" w:hAnsi="Arial" w:cs="Arial"/>
          <w:sz w:val="20"/>
          <w:szCs w:val="20"/>
          <w:lang w:eastAsia="sl-SI"/>
        </w:rPr>
        <w:t xml:space="preserve"> </w:t>
      </w:r>
      <w:r w:rsidR="0029442D" w:rsidRPr="0033088F">
        <w:rPr>
          <w:rFonts w:ascii="Arial" w:hAnsi="Arial" w:cs="Arial"/>
          <w:sz w:val="20"/>
          <w:szCs w:val="20"/>
          <w:lang w:eastAsia="sl-SI"/>
        </w:rPr>
        <w:t>%</w:t>
      </w:r>
      <w:r w:rsidRPr="0033088F">
        <w:rPr>
          <w:rFonts w:ascii="Arial" w:hAnsi="Arial" w:cs="Arial"/>
          <w:sz w:val="20"/>
          <w:szCs w:val="20"/>
          <w:lang w:eastAsia="sl-SI"/>
        </w:rPr>
        <w:t xml:space="preserve"> vseh naročil v teh postopkih. Največ</w:t>
      </w:r>
      <w:r w:rsidR="00C6284B" w:rsidRPr="0033088F">
        <w:rPr>
          <w:rFonts w:ascii="Arial" w:hAnsi="Arial" w:cs="Arial"/>
          <w:sz w:val="20"/>
          <w:szCs w:val="20"/>
          <w:lang w:eastAsia="sl-SI"/>
        </w:rPr>
        <w:t>krat</w:t>
      </w:r>
      <w:r w:rsidRPr="0033088F">
        <w:rPr>
          <w:rFonts w:ascii="Arial" w:hAnsi="Arial" w:cs="Arial"/>
          <w:sz w:val="20"/>
          <w:szCs w:val="20"/>
          <w:lang w:eastAsia="sl-SI"/>
        </w:rPr>
        <w:t xml:space="preserve"> </w:t>
      </w:r>
      <w:r w:rsidR="00C6284B" w:rsidRPr="0033088F">
        <w:rPr>
          <w:rFonts w:ascii="Arial" w:hAnsi="Arial" w:cs="Arial"/>
          <w:sz w:val="20"/>
          <w:szCs w:val="20"/>
          <w:lang w:eastAsia="sl-SI"/>
        </w:rPr>
        <w:t xml:space="preserve">je bilo </w:t>
      </w:r>
      <w:r w:rsidRPr="0033088F">
        <w:rPr>
          <w:rFonts w:ascii="Arial" w:hAnsi="Arial" w:cs="Arial"/>
          <w:sz w:val="20"/>
          <w:szCs w:val="20"/>
          <w:lang w:eastAsia="sl-SI"/>
        </w:rPr>
        <w:t>meril</w:t>
      </w:r>
      <w:r w:rsidR="00C6284B" w:rsidRPr="0033088F">
        <w:rPr>
          <w:rFonts w:ascii="Arial" w:hAnsi="Arial" w:cs="Arial"/>
          <w:sz w:val="20"/>
          <w:szCs w:val="20"/>
          <w:lang w:eastAsia="sl-SI"/>
        </w:rPr>
        <w:t>o</w:t>
      </w:r>
      <w:r w:rsidRPr="0033088F">
        <w:rPr>
          <w:rFonts w:ascii="Arial" w:hAnsi="Arial" w:cs="Arial"/>
          <w:sz w:val="20"/>
          <w:szCs w:val="20"/>
          <w:lang w:eastAsia="sl-SI"/>
        </w:rPr>
        <w:t xml:space="preserve"> cena </w:t>
      </w:r>
      <w:r w:rsidR="00C6284B" w:rsidRPr="0033088F">
        <w:rPr>
          <w:rFonts w:ascii="Arial" w:hAnsi="Arial" w:cs="Arial"/>
          <w:sz w:val="20"/>
          <w:szCs w:val="20"/>
          <w:lang w:eastAsia="sl-SI"/>
        </w:rPr>
        <w:t>uporabljeno</w:t>
      </w:r>
      <w:r w:rsidRPr="0033088F">
        <w:rPr>
          <w:rFonts w:ascii="Arial" w:hAnsi="Arial" w:cs="Arial"/>
          <w:sz w:val="20"/>
          <w:szCs w:val="20"/>
          <w:lang w:eastAsia="sl-SI"/>
        </w:rPr>
        <w:t xml:space="preserve"> pri </w:t>
      </w:r>
      <w:r w:rsidRPr="00DA5CC5">
        <w:rPr>
          <w:rFonts w:ascii="Arial" w:hAnsi="Arial" w:cs="Arial"/>
          <w:sz w:val="20"/>
          <w:szCs w:val="20"/>
          <w:lang w:eastAsia="sl-SI"/>
        </w:rPr>
        <w:t xml:space="preserve">oddaji naročil v </w:t>
      </w:r>
      <w:r w:rsidR="0033088F" w:rsidRPr="00DA5CC5">
        <w:rPr>
          <w:rFonts w:ascii="Arial" w:hAnsi="Arial" w:cs="Arial"/>
          <w:sz w:val="20"/>
          <w:szCs w:val="20"/>
          <w:lang w:eastAsia="sl-SI"/>
        </w:rPr>
        <w:t>omejenih postopkih</w:t>
      </w:r>
      <w:r w:rsidRPr="00DA5CC5">
        <w:rPr>
          <w:rFonts w:ascii="Arial" w:hAnsi="Arial" w:cs="Arial"/>
          <w:sz w:val="20"/>
          <w:szCs w:val="20"/>
          <w:lang w:eastAsia="sl-SI"/>
        </w:rPr>
        <w:t xml:space="preserve">, </w:t>
      </w:r>
      <w:r w:rsidR="00F510BD">
        <w:rPr>
          <w:rFonts w:ascii="Arial" w:hAnsi="Arial" w:cs="Arial"/>
          <w:sz w:val="20"/>
          <w:szCs w:val="20"/>
          <w:lang w:eastAsia="sl-SI"/>
        </w:rPr>
        <w:t>in sicer</w:t>
      </w:r>
      <w:r w:rsidRPr="00DA5CC5">
        <w:rPr>
          <w:rFonts w:ascii="Arial" w:hAnsi="Arial" w:cs="Arial"/>
          <w:sz w:val="20"/>
          <w:szCs w:val="20"/>
          <w:lang w:eastAsia="sl-SI"/>
        </w:rPr>
        <w:t xml:space="preserve"> v </w:t>
      </w:r>
      <w:r w:rsidR="008D54B0" w:rsidRPr="00DA5CC5">
        <w:rPr>
          <w:rFonts w:ascii="Arial" w:hAnsi="Arial" w:cs="Arial"/>
          <w:sz w:val="20"/>
          <w:szCs w:val="20"/>
          <w:lang w:eastAsia="sl-SI"/>
        </w:rPr>
        <w:t>9</w:t>
      </w:r>
      <w:r w:rsidR="0033088F" w:rsidRPr="00DA5CC5">
        <w:rPr>
          <w:rFonts w:ascii="Arial" w:hAnsi="Arial" w:cs="Arial"/>
          <w:sz w:val="20"/>
          <w:szCs w:val="20"/>
          <w:lang w:eastAsia="sl-SI"/>
        </w:rPr>
        <w:t>7,83</w:t>
      </w:r>
      <w:r w:rsidRPr="00DA5CC5">
        <w:rPr>
          <w:rFonts w:ascii="Arial" w:hAnsi="Arial" w:cs="Arial"/>
          <w:sz w:val="20"/>
          <w:szCs w:val="20"/>
          <w:lang w:eastAsia="sl-SI"/>
        </w:rPr>
        <w:t xml:space="preserve"> </w:t>
      </w:r>
      <w:r w:rsidR="0029442D" w:rsidRPr="00DA5CC5">
        <w:rPr>
          <w:rFonts w:ascii="Arial" w:hAnsi="Arial" w:cs="Arial"/>
          <w:sz w:val="20"/>
          <w:szCs w:val="20"/>
          <w:lang w:eastAsia="sl-SI"/>
        </w:rPr>
        <w:t>%</w:t>
      </w:r>
      <w:r w:rsidRPr="00DA5CC5">
        <w:rPr>
          <w:rFonts w:ascii="Arial" w:hAnsi="Arial" w:cs="Arial"/>
          <w:sz w:val="20"/>
          <w:szCs w:val="20"/>
          <w:lang w:eastAsia="sl-SI"/>
        </w:rPr>
        <w:t xml:space="preserve"> oddanih naročil. Največ</w:t>
      </w:r>
      <w:r w:rsidR="00C6284B" w:rsidRPr="00DA5CC5">
        <w:rPr>
          <w:rFonts w:ascii="Arial" w:hAnsi="Arial" w:cs="Arial"/>
          <w:sz w:val="20"/>
          <w:szCs w:val="20"/>
          <w:lang w:eastAsia="sl-SI"/>
        </w:rPr>
        <w:t>krat je bilo</w:t>
      </w:r>
      <w:r w:rsidRPr="00DA5CC5">
        <w:rPr>
          <w:rFonts w:ascii="Arial" w:hAnsi="Arial" w:cs="Arial"/>
          <w:sz w:val="20"/>
          <w:szCs w:val="20"/>
          <w:lang w:eastAsia="sl-SI"/>
        </w:rPr>
        <w:t xml:space="preserve"> meril</w:t>
      </w:r>
      <w:r w:rsidR="00C6284B" w:rsidRPr="00DA5CC5">
        <w:rPr>
          <w:rFonts w:ascii="Arial" w:hAnsi="Arial" w:cs="Arial"/>
          <w:sz w:val="20"/>
          <w:szCs w:val="20"/>
          <w:lang w:eastAsia="sl-SI"/>
        </w:rPr>
        <w:t>o</w:t>
      </w:r>
      <w:r w:rsidRPr="00DA5CC5">
        <w:rPr>
          <w:rFonts w:ascii="Arial" w:hAnsi="Arial" w:cs="Arial"/>
          <w:sz w:val="20"/>
          <w:szCs w:val="20"/>
          <w:lang w:eastAsia="sl-SI"/>
        </w:rPr>
        <w:t xml:space="preserve"> ekonomsko najugodnejša ponudba </w:t>
      </w:r>
      <w:r w:rsidR="00C6284B" w:rsidRPr="00DA5CC5">
        <w:rPr>
          <w:rFonts w:ascii="Arial" w:hAnsi="Arial" w:cs="Arial"/>
          <w:sz w:val="20"/>
          <w:szCs w:val="20"/>
          <w:lang w:eastAsia="sl-SI"/>
        </w:rPr>
        <w:t>uporabljeno</w:t>
      </w:r>
      <w:r w:rsidRPr="00DA5CC5">
        <w:rPr>
          <w:rFonts w:ascii="Arial" w:hAnsi="Arial" w:cs="Arial"/>
          <w:sz w:val="20"/>
          <w:szCs w:val="20"/>
          <w:lang w:eastAsia="sl-SI"/>
        </w:rPr>
        <w:t xml:space="preserve"> pri konkurenčnem dialogu, kjer ima ta vrsta merila </w:t>
      </w:r>
      <w:r w:rsidR="00DA5CC5" w:rsidRPr="00DA5CC5">
        <w:rPr>
          <w:rFonts w:ascii="Arial" w:hAnsi="Arial" w:cs="Arial"/>
          <w:sz w:val="20"/>
          <w:szCs w:val="20"/>
          <w:lang w:eastAsia="sl-SI"/>
        </w:rPr>
        <w:t>50</w:t>
      </w:r>
      <w:r w:rsidR="00004A71" w:rsidRPr="00DA5CC5">
        <w:rPr>
          <w:rFonts w:ascii="Arial" w:hAnsi="Arial" w:cs="Arial"/>
          <w:sz w:val="20"/>
          <w:szCs w:val="20"/>
          <w:lang w:eastAsia="sl-SI"/>
        </w:rPr>
        <w:t>-</w:t>
      </w:r>
      <w:r w:rsidRPr="00DA5CC5">
        <w:rPr>
          <w:rFonts w:ascii="Arial" w:hAnsi="Arial" w:cs="Arial"/>
          <w:sz w:val="20"/>
          <w:szCs w:val="20"/>
          <w:lang w:eastAsia="sl-SI"/>
        </w:rPr>
        <w:t>odstotni delež.</w:t>
      </w:r>
    </w:p>
    <w:p w14:paraId="05DFA40F" w14:textId="6EF29276" w:rsidR="00B37EB8" w:rsidRPr="00DA5CC5" w:rsidRDefault="00B37EB8" w:rsidP="008A61FD">
      <w:pPr>
        <w:spacing w:before="120" w:after="120" w:line="240" w:lineRule="auto"/>
        <w:jc w:val="both"/>
        <w:rPr>
          <w:rFonts w:ascii="Arial" w:hAnsi="Arial" w:cs="Arial"/>
          <w:sz w:val="20"/>
        </w:rPr>
      </w:pPr>
      <w:r w:rsidRPr="00DA5CC5">
        <w:rPr>
          <w:rFonts w:ascii="Arial" w:hAnsi="Arial" w:cs="Arial"/>
          <w:sz w:val="20"/>
        </w:rPr>
        <w:t xml:space="preserve">Preglednica </w:t>
      </w:r>
      <w:r w:rsidR="0083702C" w:rsidRPr="00DA5CC5">
        <w:rPr>
          <w:rFonts w:ascii="Arial" w:hAnsi="Arial" w:cs="Arial"/>
          <w:sz w:val="20"/>
        </w:rPr>
        <w:t>3</w:t>
      </w:r>
      <w:r w:rsidR="00EB4423">
        <w:rPr>
          <w:rFonts w:ascii="Arial" w:hAnsi="Arial" w:cs="Arial"/>
          <w:sz w:val="20"/>
        </w:rPr>
        <w:t>4</w:t>
      </w:r>
      <w:r w:rsidRPr="00DA5CC5">
        <w:rPr>
          <w:rFonts w:ascii="Arial" w:hAnsi="Arial" w:cs="Arial"/>
          <w:sz w:val="20"/>
        </w:rPr>
        <w:t xml:space="preserve">: </w:t>
      </w:r>
      <w:r w:rsidR="00CF14EA" w:rsidRPr="00DA5CC5">
        <w:rPr>
          <w:rFonts w:ascii="Arial" w:hAnsi="Arial" w:cs="Arial"/>
          <w:sz w:val="20"/>
        </w:rPr>
        <w:t xml:space="preserve">Uporabljeno merilo </w:t>
      </w:r>
      <w:r w:rsidR="00C6284B" w:rsidRPr="00DA5CC5">
        <w:rPr>
          <w:rFonts w:ascii="Arial" w:hAnsi="Arial" w:cs="Arial"/>
          <w:sz w:val="20"/>
        </w:rPr>
        <w:t>po</w:t>
      </w:r>
      <w:r w:rsidR="00CF14EA" w:rsidRPr="00DA5CC5">
        <w:rPr>
          <w:rFonts w:ascii="Arial" w:hAnsi="Arial" w:cs="Arial"/>
          <w:sz w:val="20"/>
        </w:rPr>
        <w:t xml:space="preserve"> številu naročil in njihovi vrednosti ter deleži glede na vrsto postopka</w:t>
      </w:r>
    </w:p>
    <w:tbl>
      <w:tblPr>
        <w:tblW w:w="9072" w:type="dxa"/>
        <w:tblInd w:w="-5" w:type="dxa"/>
        <w:tblCellMar>
          <w:left w:w="70" w:type="dxa"/>
          <w:right w:w="70" w:type="dxa"/>
        </w:tblCellMar>
        <w:tblLook w:val="04A0" w:firstRow="1" w:lastRow="0" w:firstColumn="1" w:lastColumn="0" w:noHBand="0" w:noVBand="1"/>
      </w:tblPr>
      <w:tblGrid>
        <w:gridCol w:w="2380"/>
        <w:gridCol w:w="2320"/>
        <w:gridCol w:w="820"/>
        <w:gridCol w:w="1400"/>
        <w:gridCol w:w="1018"/>
        <w:gridCol w:w="1134"/>
      </w:tblGrid>
      <w:tr w:rsidR="00836FD3" w:rsidRPr="00836FD3" w14:paraId="57552D46" w14:textId="77777777" w:rsidTr="00836FD3">
        <w:trPr>
          <w:trHeight w:val="227"/>
        </w:trPr>
        <w:tc>
          <w:tcPr>
            <w:tcW w:w="238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47FAEB8"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Vrsta postopka</w:t>
            </w:r>
          </w:p>
        </w:tc>
        <w:tc>
          <w:tcPr>
            <w:tcW w:w="2320" w:type="dxa"/>
            <w:tcBorders>
              <w:top w:val="single" w:sz="4" w:space="0" w:color="auto"/>
              <w:left w:val="nil"/>
              <w:bottom w:val="single" w:sz="4" w:space="0" w:color="auto"/>
              <w:right w:val="single" w:sz="4" w:space="0" w:color="auto"/>
            </w:tcBorders>
            <w:shd w:val="clear" w:color="000000" w:fill="EDEDED"/>
            <w:vAlign w:val="center"/>
            <w:hideMark/>
          </w:tcPr>
          <w:p w14:paraId="015E780D"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Merila</w:t>
            </w:r>
          </w:p>
        </w:tc>
        <w:tc>
          <w:tcPr>
            <w:tcW w:w="820" w:type="dxa"/>
            <w:tcBorders>
              <w:top w:val="single" w:sz="4" w:space="0" w:color="auto"/>
              <w:left w:val="nil"/>
              <w:bottom w:val="single" w:sz="4" w:space="0" w:color="auto"/>
              <w:right w:val="single" w:sz="4" w:space="0" w:color="auto"/>
            </w:tcBorders>
            <w:shd w:val="clear" w:color="000000" w:fill="EDEDED"/>
            <w:vAlign w:val="center"/>
            <w:hideMark/>
          </w:tcPr>
          <w:p w14:paraId="20304ED6"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Št. naročil</w:t>
            </w:r>
          </w:p>
        </w:tc>
        <w:tc>
          <w:tcPr>
            <w:tcW w:w="1400" w:type="dxa"/>
            <w:tcBorders>
              <w:top w:val="single" w:sz="4" w:space="0" w:color="auto"/>
              <w:left w:val="nil"/>
              <w:bottom w:val="single" w:sz="4" w:space="0" w:color="auto"/>
              <w:right w:val="single" w:sz="4" w:space="0" w:color="auto"/>
            </w:tcBorders>
            <w:shd w:val="clear" w:color="000000" w:fill="EDEDED"/>
            <w:vAlign w:val="center"/>
            <w:hideMark/>
          </w:tcPr>
          <w:p w14:paraId="784D1F7D"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Pogodbena vrednost</w:t>
            </w:r>
          </w:p>
        </w:tc>
        <w:tc>
          <w:tcPr>
            <w:tcW w:w="1018" w:type="dxa"/>
            <w:tcBorders>
              <w:top w:val="single" w:sz="4" w:space="0" w:color="auto"/>
              <w:left w:val="nil"/>
              <w:bottom w:val="single" w:sz="4" w:space="0" w:color="auto"/>
              <w:right w:val="single" w:sz="4" w:space="0" w:color="auto"/>
            </w:tcBorders>
            <w:shd w:val="clear" w:color="000000" w:fill="EDEDED"/>
            <w:vAlign w:val="center"/>
            <w:hideMark/>
          </w:tcPr>
          <w:p w14:paraId="41BDE925"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Delež v št. naročil</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2DA613DF"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Delež v vrednosti</w:t>
            </w:r>
          </w:p>
        </w:tc>
      </w:tr>
      <w:tr w:rsidR="00836FD3" w:rsidRPr="00836FD3" w14:paraId="38EB3208"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79B6B968"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Konkurenčni dialog</w:t>
            </w:r>
          </w:p>
        </w:tc>
        <w:tc>
          <w:tcPr>
            <w:tcW w:w="2320" w:type="dxa"/>
            <w:tcBorders>
              <w:top w:val="nil"/>
              <w:left w:val="nil"/>
              <w:bottom w:val="single" w:sz="4" w:space="0" w:color="auto"/>
              <w:right w:val="single" w:sz="4" w:space="0" w:color="auto"/>
            </w:tcBorders>
            <w:shd w:val="clear" w:color="auto" w:fill="auto"/>
            <w:vAlign w:val="center"/>
            <w:hideMark/>
          </w:tcPr>
          <w:p w14:paraId="71F3C8F5"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30715AB6"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3</w:t>
            </w:r>
          </w:p>
        </w:tc>
        <w:tc>
          <w:tcPr>
            <w:tcW w:w="1400" w:type="dxa"/>
            <w:tcBorders>
              <w:top w:val="nil"/>
              <w:left w:val="nil"/>
              <w:bottom w:val="single" w:sz="4" w:space="0" w:color="auto"/>
              <w:right w:val="single" w:sz="4" w:space="0" w:color="auto"/>
            </w:tcBorders>
            <w:shd w:val="clear" w:color="auto" w:fill="auto"/>
            <w:vAlign w:val="center"/>
            <w:hideMark/>
          </w:tcPr>
          <w:p w14:paraId="07B1CDC4"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942.725</w:t>
            </w:r>
          </w:p>
        </w:tc>
        <w:tc>
          <w:tcPr>
            <w:tcW w:w="1018" w:type="dxa"/>
            <w:tcBorders>
              <w:top w:val="nil"/>
              <w:left w:val="nil"/>
              <w:bottom w:val="single" w:sz="4" w:space="0" w:color="auto"/>
              <w:right w:val="single" w:sz="4" w:space="0" w:color="auto"/>
            </w:tcBorders>
            <w:shd w:val="clear" w:color="auto" w:fill="auto"/>
            <w:noWrap/>
            <w:vAlign w:val="center"/>
            <w:hideMark/>
          </w:tcPr>
          <w:p w14:paraId="4B2F7CEB"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50,00 %</w:t>
            </w:r>
          </w:p>
        </w:tc>
        <w:tc>
          <w:tcPr>
            <w:tcW w:w="1134" w:type="dxa"/>
            <w:tcBorders>
              <w:top w:val="nil"/>
              <w:left w:val="nil"/>
              <w:bottom w:val="single" w:sz="4" w:space="0" w:color="auto"/>
              <w:right w:val="single" w:sz="4" w:space="0" w:color="auto"/>
            </w:tcBorders>
            <w:shd w:val="clear" w:color="auto" w:fill="auto"/>
            <w:noWrap/>
            <w:vAlign w:val="center"/>
            <w:hideMark/>
          </w:tcPr>
          <w:p w14:paraId="77D81D5B"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7,44 %</w:t>
            </w:r>
          </w:p>
        </w:tc>
      </w:tr>
      <w:tr w:rsidR="00836FD3" w:rsidRPr="00836FD3" w14:paraId="081A7EFC"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31EB2E0E"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26529E10"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4A869085"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3</w:t>
            </w:r>
          </w:p>
        </w:tc>
        <w:tc>
          <w:tcPr>
            <w:tcW w:w="1400" w:type="dxa"/>
            <w:tcBorders>
              <w:top w:val="nil"/>
              <w:left w:val="nil"/>
              <w:bottom w:val="single" w:sz="4" w:space="0" w:color="auto"/>
              <w:right w:val="single" w:sz="4" w:space="0" w:color="auto"/>
            </w:tcBorders>
            <w:shd w:val="clear" w:color="auto" w:fill="auto"/>
            <w:vAlign w:val="center"/>
            <w:hideMark/>
          </w:tcPr>
          <w:p w14:paraId="27632DD0"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11.730.884</w:t>
            </w:r>
          </w:p>
        </w:tc>
        <w:tc>
          <w:tcPr>
            <w:tcW w:w="1018" w:type="dxa"/>
            <w:tcBorders>
              <w:top w:val="nil"/>
              <w:left w:val="nil"/>
              <w:bottom w:val="single" w:sz="4" w:space="0" w:color="auto"/>
              <w:right w:val="single" w:sz="4" w:space="0" w:color="auto"/>
            </w:tcBorders>
            <w:shd w:val="clear" w:color="auto" w:fill="auto"/>
            <w:noWrap/>
            <w:vAlign w:val="center"/>
            <w:hideMark/>
          </w:tcPr>
          <w:p w14:paraId="22E142D4"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50,00 %</w:t>
            </w:r>
          </w:p>
        </w:tc>
        <w:tc>
          <w:tcPr>
            <w:tcW w:w="1134" w:type="dxa"/>
            <w:tcBorders>
              <w:top w:val="nil"/>
              <w:left w:val="nil"/>
              <w:bottom w:val="single" w:sz="4" w:space="0" w:color="auto"/>
              <w:right w:val="single" w:sz="4" w:space="0" w:color="auto"/>
            </w:tcBorders>
            <w:shd w:val="clear" w:color="auto" w:fill="auto"/>
            <w:noWrap/>
            <w:vAlign w:val="center"/>
            <w:hideMark/>
          </w:tcPr>
          <w:p w14:paraId="36CD96AF"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92,56 %</w:t>
            </w:r>
          </w:p>
        </w:tc>
      </w:tr>
      <w:tr w:rsidR="00836FD3" w:rsidRPr="00836FD3" w14:paraId="4B8E7D63"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7B8640FE"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Konkurenčni postopek s pogajanji</w:t>
            </w:r>
          </w:p>
        </w:tc>
        <w:tc>
          <w:tcPr>
            <w:tcW w:w="2320" w:type="dxa"/>
            <w:tcBorders>
              <w:top w:val="nil"/>
              <w:left w:val="nil"/>
              <w:bottom w:val="single" w:sz="4" w:space="0" w:color="auto"/>
              <w:right w:val="single" w:sz="4" w:space="0" w:color="auto"/>
            </w:tcBorders>
            <w:shd w:val="clear" w:color="auto" w:fill="auto"/>
            <w:vAlign w:val="center"/>
            <w:hideMark/>
          </w:tcPr>
          <w:p w14:paraId="687839FF"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6755D0DD"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125</w:t>
            </w:r>
          </w:p>
        </w:tc>
        <w:tc>
          <w:tcPr>
            <w:tcW w:w="1400" w:type="dxa"/>
            <w:tcBorders>
              <w:top w:val="nil"/>
              <w:left w:val="nil"/>
              <w:bottom w:val="single" w:sz="4" w:space="0" w:color="auto"/>
              <w:right w:val="single" w:sz="4" w:space="0" w:color="auto"/>
            </w:tcBorders>
            <w:shd w:val="clear" w:color="auto" w:fill="auto"/>
            <w:vAlign w:val="center"/>
            <w:hideMark/>
          </w:tcPr>
          <w:p w14:paraId="623A9755"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125.919.654</w:t>
            </w:r>
          </w:p>
        </w:tc>
        <w:tc>
          <w:tcPr>
            <w:tcW w:w="1018" w:type="dxa"/>
            <w:tcBorders>
              <w:top w:val="nil"/>
              <w:left w:val="nil"/>
              <w:bottom w:val="single" w:sz="4" w:space="0" w:color="auto"/>
              <w:right w:val="single" w:sz="4" w:space="0" w:color="auto"/>
            </w:tcBorders>
            <w:shd w:val="clear" w:color="auto" w:fill="auto"/>
            <w:noWrap/>
            <w:vAlign w:val="center"/>
            <w:hideMark/>
          </w:tcPr>
          <w:p w14:paraId="7CCC8B0A"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88,65 %</w:t>
            </w:r>
          </w:p>
        </w:tc>
        <w:tc>
          <w:tcPr>
            <w:tcW w:w="1134" w:type="dxa"/>
            <w:tcBorders>
              <w:top w:val="nil"/>
              <w:left w:val="nil"/>
              <w:bottom w:val="single" w:sz="4" w:space="0" w:color="auto"/>
              <w:right w:val="single" w:sz="4" w:space="0" w:color="auto"/>
            </w:tcBorders>
            <w:shd w:val="clear" w:color="auto" w:fill="auto"/>
            <w:noWrap/>
            <w:vAlign w:val="center"/>
            <w:hideMark/>
          </w:tcPr>
          <w:p w14:paraId="4DFF05CE"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93,75 %</w:t>
            </w:r>
          </w:p>
        </w:tc>
      </w:tr>
      <w:tr w:rsidR="00836FD3" w:rsidRPr="00836FD3" w14:paraId="7E931434"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346D18BB"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585A88A3"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2438B2BA"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16</w:t>
            </w:r>
          </w:p>
        </w:tc>
        <w:tc>
          <w:tcPr>
            <w:tcW w:w="1400" w:type="dxa"/>
            <w:tcBorders>
              <w:top w:val="nil"/>
              <w:left w:val="nil"/>
              <w:bottom w:val="single" w:sz="4" w:space="0" w:color="auto"/>
              <w:right w:val="single" w:sz="4" w:space="0" w:color="auto"/>
            </w:tcBorders>
            <w:shd w:val="clear" w:color="auto" w:fill="auto"/>
            <w:vAlign w:val="center"/>
            <w:hideMark/>
          </w:tcPr>
          <w:p w14:paraId="2E2D576C"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8.395.414</w:t>
            </w:r>
          </w:p>
        </w:tc>
        <w:tc>
          <w:tcPr>
            <w:tcW w:w="1018" w:type="dxa"/>
            <w:tcBorders>
              <w:top w:val="nil"/>
              <w:left w:val="nil"/>
              <w:bottom w:val="single" w:sz="4" w:space="0" w:color="auto"/>
              <w:right w:val="single" w:sz="4" w:space="0" w:color="auto"/>
            </w:tcBorders>
            <w:shd w:val="clear" w:color="auto" w:fill="auto"/>
            <w:noWrap/>
            <w:vAlign w:val="center"/>
            <w:hideMark/>
          </w:tcPr>
          <w:p w14:paraId="1C7F9983"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11,35 %</w:t>
            </w:r>
          </w:p>
        </w:tc>
        <w:tc>
          <w:tcPr>
            <w:tcW w:w="1134" w:type="dxa"/>
            <w:tcBorders>
              <w:top w:val="nil"/>
              <w:left w:val="nil"/>
              <w:bottom w:val="single" w:sz="4" w:space="0" w:color="auto"/>
              <w:right w:val="single" w:sz="4" w:space="0" w:color="auto"/>
            </w:tcBorders>
            <w:shd w:val="clear" w:color="auto" w:fill="auto"/>
            <w:noWrap/>
            <w:vAlign w:val="center"/>
            <w:hideMark/>
          </w:tcPr>
          <w:p w14:paraId="6630F0CF"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6,25 %</w:t>
            </w:r>
          </w:p>
        </w:tc>
      </w:tr>
      <w:tr w:rsidR="00836FD3" w:rsidRPr="00836FD3" w14:paraId="3877EF4A"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6B7B1B61"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Odprti postopek</w:t>
            </w:r>
          </w:p>
        </w:tc>
        <w:tc>
          <w:tcPr>
            <w:tcW w:w="2320" w:type="dxa"/>
            <w:tcBorders>
              <w:top w:val="nil"/>
              <w:left w:val="nil"/>
              <w:bottom w:val="single" w:sz="4" w:space="0" w:color="auto"/>
              <w:right w:val="single" w:sz="4" w:space="0" w:color="auto"/>
            </w:tcBorders>
            <w:shd w:val="clear" w:color="auto" w:fill="auto"/>
            <w:vAlign w:val="center"/>
            <w:hideMark/>
          </w:tcPr>
          <w:p w14:paraId="6CD64841"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739ED4BB"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7.141</w:t>
            </w:r>
          </w:p>
        </w:tc>
        <w:tc>
          <w:tcPr>
            <w:tcW w:w="1400" w:type="dxa"/>
            <w:tcBorders>
              <w:top w:val="nil"/>
              <w:left w:val="nil"/>
              <w:bottom w:val="single" w:sz="4" w:space="0" w:color="auto"/>
              <w:right w:val="single" w:sz="4" w:space="0" w:color="auto"/>
            </w:tcBorders>
            <w:shd w:val="clear" w:color="auto" w:fill="auto"/>
            <w:vAlign w:val="center"/>
            <w:hideMark/>
          </w:tcPr>
          <w:p w14:paraId="2F53F229"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1.615.787.072</w:t>
            </w:r>
          </w:p>
        </w:tc>
        <w:tc>
          <w:tcPr>
            <w:tcW w:w="1018" w:type="dxa"/>
            <w:tcBorders>
              <w:top w:val="nil"/>
              <w:left w:val="nil"/>
              <w:bottom w:val="single" w:sz="4" w:space="0" w:color="auto"/>
              <w:right w:val="single" w:sz="4" w:space="0" w:color="auto"/>
            </w:tcBorders>
            <w:shd w:val="clear" w:color="auto" w:fill="auto"/>
            <w:noWrap/>
            <w:vAlign w:val="center"/>
            <w:hideMark/>
          </w:tcPr>
          <w:p w14:paraId="427DDBD9"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86,39 %</w:t>
            </w:r>
          </w:p>
        </w:tc>
        <w:tc>
          <w:tcPr>
            <w:tcW w:w="1134" w:type="dxa"/>
            <w:tcBorders>
              <w:top w:val="nil"/>
              <w:left w:val="nil"/>
              <w:bottom w:val="single" w:sz="4" w:space="0" w:color="auto"/>
              <w:right w:val="single" w:sz="4" w:space="0" w:color="auto"/>
            </w:tcBorders>
            <w:shd w:val="clear" w:color="auto" w:fill="auto"/>
            <w:noWrap/>
            <w:vAlign w:val="center"/>
            <w:hideMark/>
          </w:tcPr>
          <w:p w14:paraId="7167DC36"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90,92 %</w:t>
            </w:r>
          </w:p>
        </w:tc>
      </w:tr>
      <w:tr w:rsidR="00836FD3" w:rsidRPr="00836FD3" w14:paraId="34440DDC"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6C23C478"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33352096"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182FF10A"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1.125</w:t>
            </w:r>
          </w:p>
        </w:tc>
        <w:tc>
          <w:tcPr>
            <w:tcW w:w="1400" w:type="dxa"/>
            <w:tcBorders>
              <w:top w:val="nil"/>
              <w:left w:val="nil"/>
              <w:bottom w:val="single" w:sz="4" w:space="0" w:color="auto"/>
              <w:right w:val="single" w:sz="4" w:space="0" w:color="auto"/>
            </w:tcBorders>
            <w:shd w:val="clear" w:color="auto" w:fill="auto"/>
            <w:vAlign w:val="center"/>
            <w:hideMark/>
          </w:tcPr>
          <w:p w14:paraId="023EB83F"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161.334.076</w:t>
            </w:r>
          </w:p>
        </w:tc>
        <w:tc>
          <w:tcPr>
            <w:tcW w:w="1018" w:type="dxa"/>
            <w:tcBorders>
              <w:top w:val="nil"/>
              <w:left w:val="nil"/>
              <w:bottom w:val="single" w:sz="4" w:space="0" w:color="auto"/>
              <w:right w:val="single" w:sz="4" w:space="0" w:color="auto"/>
            </w:tcBorders>
            <w:shd w:val="clear" w:color="auto" w:fill="auto"/>
            <w:noWrap/>
            <w:vAlign w:val="center"/>
            <w:hideMark/>
          </w:tcPr>
          <w:p w14:paraId="3B2EF16C"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13,61 %</w:t>
            </w:r>
          </w:p>
        </w:tc>
        <w:tc>
          <w:tcPr>
            <w:tcW w:w="1134" w:type="dxa"/>
            <w:tcBorders>
              <w:top w:val="nil"/>
              <w:left w:val="nil"/>
              <w:bottom w:val="single" w:sz="4" w:space="0" w:color="auto"/>
              <w:right w:val="single" w:sz="4" w:space="0" w:color="auto"/>
            </w:tcBorders>
            <w:shd w:val="clear" w:color="auto" w:fill="auto"/>
            <w:noWrap/>
            <w:vAlign w:val="center"/>
            <w:hideMark/>
          </w:tcPr>
          <w:p w14:paraId="12F0A058"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9,08 %</w:t>
            </w:r>
          </w:p>
        </w:tc>
      </w:tr>
      <w:tr w:rsidR="00836FD3" w:rsidRPr="00836FD3" w14:paraId="39A45BDA"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31D48C1C"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Omejeni postopek</w:t>
            </w:r>
          </w:p>
        </w:tc>
        <w:tc>
          <w:tcPr>
            <w:tcW w:w="2320" w:type="dxa"/>
            <w:tcBorders>
              <w:top w:val="nil"/>
              <w:left w:val="nil"/>
              <w:bottom w:val="single" w:sz="4" w:space="0" w:color="auto"/>
              <w:right w:val="single" w:sz="4" w:space="0" w:color="auto"/>
            </w:tcBorders>
            <w:shd w:val="clear" w:color="auto" w:fill="auto"/>
            <w:vAlign w:val="center"/>
            <w:hideMark/>
          </w:tcPr>
          <w:p w14:paraId="420FEA2F"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7797E902"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45</w:t>
            </w:r>
          </w:p>
        </w:tc>
        <w:tc>
          <w:tcPr>
            <w:tcW w:w="1400" w:type="dxa"/>
            <w:tcBorders>
              <w:top w:val="nil"/>
              <w:left w:val="nil"/>
              <w:bottom w:val="single" w:sz="4" w:space="0" w:color="auto"/>
              <w:right w:val="single" w:sz="4" w:space="0" w:color="auto"/>
            </w:tcBorders>
            <w:shd w:val="clear" w:color="auto" w:fill="auto"/>
            <w:vAlign w:val="center"/>
            <w:hideMark/>
          </w:tcPr>
          <w:p w14:paraId="19D2ED10"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20.004.882</w:t>
            </w:r>
          </w:p>
        </w:tc>
        <w:tc>
          <w:tcPr>
            <w:tcW w:w="1018" w:type="dxa"/>
            <w:tcBorders>
              <w:top w:val="nil"/>
              <w:left w:val="nil"/>
              <w:bottom w:val="single" w:sz="4" w:space="0" w:color="auto"/>
              <w:right w:val="single" w:sz="4" w:space="0" w:color="auto"/>
            </w:tcBorders>
            <w:shd w:val="clear" w:color="auto" w:fill="auto"/>
            <w:noWrap/>
            <w:vAlign w:val="center"/>
            <w:hideMark/>
          </w:tcPr>
          <w:p w14:paraId="4BDD31B0"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97,83 %</w:t>
            </w:r>
          </w:p>
        </w:tc>
        <w:tc>
          <w:tcPr>
            <w:tcW w:w="1134" w:type="dxa"/>
            <w:tcBorders>
              <w:top w:val="nil"/>
              <w:left w:val="nil"/>
              <w:bottom w:val="single" w:sz="4" w:space="0" w:color="auto"/>
              <w:right w:val="single" w:sz="4" w:space="0" w:color="auto"/>
            </w:tcBorders>
            <w:shd w:val="clear" w:color="auto" w:fill="auto"/>
            <w:noWrap/>
            <w:vAlign w:val="center"/>
            <w:hideMark/>
          </w:tcPr>
          <w:p w14:paraId="7FC81396"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99,60 %</w:t>
            </w:r>
          </w:p>
        </w:tc>
      </w:tr>
      <w:tr w:rsidR="00836FD3" w:rsidRPr="00836FD3" w14:paraId="45E02F29"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7164857F"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38624808"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2D722E27"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w:t>
            </w:r>
          </w:p>
        </w:tc>
        <w:tc>
          <w:tcPr>
            <w:tcW w:w="1400" w:type="dxa"/>
            <w:tcBorders>
              <w:top w:val="nil"/>
              <w:left w:val="nil"/>
              <w:bottom w:val="single" w:sz="4" w:space="0" w:color="auto"/>
              <w:right w:val="single" w:sz="4" w:space="0" w:color="auto"/>
            </w:tcBorders>
            <w:shd w:val="clear" w:color="auto" w:fill="auto"/>
            <w:vAlign w:val="center"/>
            <w:hideMark/>
          </w:tcPr>
          <w:p w14:paraId="10616071"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80.000</w:t>
            </w:r>
          </w:p>
        </w:tc>
        <w:tc>
          <w:tcPr>
            <w:tcW w:w="1018" w:type="dxa"/>
            <w:tcBorders>
              <w:top w:val="nil"/>
              <w:left w:val="nil"/>
              <w:bottom w:val="single" w:sz="4" w:space="0" w:color="auto"/>
              <w:right w:val="single" w:sz="4" w:space="0" w:color="auto"/>
            </w:tcBorders>
            <w:shd w:val="clear" w:color="auto" w:fill="auto"/>
            <w:noWrap/>
            <w:vAlign w:val="center"/>
            <w:hideMark/>
          </w:tcPr>
          <w:p w14:paraId="02BD9377"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2,17 %</w:t>
            </w:r>
          </w:p>
        </w:tc>
        <w:tc>
          <w:tcPr>
            <w:tcW w:w="1134" w:type="dxa"/>
            <w:tcBorders>
              <w:top w:val="nil"/>
              <w:left w:val="nil"/>
              <w:bottom w:val="single" w:sz="4" w:space="0" w:color="auto"/>
              <w:right w:val="single" w:sz="4" w:space="0" w:color="auto"/>
            </w:tcBorders>
            <w:shd w:val="clear" w:color="auto" w:fill="auto"/>
            <w:noWrap/>
            <w:vAlign w:val="center"/>
            <w:hideMark/>
          </w:tcPr>
          <w:p w14:paraId="3DCEE97D"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0,40 %</w:t>
            </w:r>
          </w:p>
        </w:tc>
      </w:tr>
      <w:tr w:rsidR="00836FD3" w:rsidRPr="00836FD3" w14:paraId="5C240B53"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447E2511"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Postopek naročila male vrednosti</w:t>
            </w:r>
          </w:p>
        </w:tc>
        <w:tc>
          <w:tcPr>
            <w:tcW w:w="2320" w:type="dxa"/>
            <w:tcBorders>
              <w:top w:val="nil"/>
              <w:left w:val="nil"/>
              <w:bottom w:val="single" w:sz="4" w:space="0" w:color="auto"/>
              <w:right w:val="single" w:sz="4" w:space="0" w:color="auto"/>
            </w:tcBorders>
            <w:shd w:val="clear" w:color="auto" w:fill="auto"/>
            <w:vAlign w:val="center"/>
            <w:hideMark/>
          </w:tcPr>
          <w:p w14:paraId="3660C99B"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3A22FD46"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6.618</w:t>
            </w:r>
          </w:p>
        </w:tc>
        <w:tc>
          <w:tcPr>
            <w:tcW w:w="1400" w:type="dxa"/>
            <w:tcBorders>
              <w:top w:val="nil"/>
              <w:left w:val="nil"/>
              <w:bottom w:val="single" w:sz="4" w:space="0" w:color="auto"/>
              <w:right w:val="single" w:sz="4" w:space="0" w:color="auto"/>
            </w:tcBorders>
            <w:shd w:val="clear" w:color="auto" w:fill="auto"/>
            <w:vAlign w:val="center"/>
            <w:hideMark/>
          </w:tcPr>
          <w:p w14:paraId="6B5B4895"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422.998.799</w:t>
            </w:r>
          </w:p>
        </w:tc>
        <w:tc>
          <w:tcPr>
            <w:tcW w:w="1018" w:type="dxa"/>
            <w:tcBorders>
              <w:top w:val="nil"/>
              <w:left w:val="nil"/>
              <w:bottom w:val="single" w:sz="4" w:space="0" w:color="auto"/>
              <w:right w:val="single" w:sz="4" w:space="0" w:color="auto"/>
            </w:tcBorders>
            <w:shd w:val="clear" w:color="auto" w:fill="auto"/>
            <w:noWrap/>
            <w:vAlign w:val="center"/>
            <w:hideMark/>
          </w:tcPr>
          <w:p w14:paraId="27FC7A63"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90,13 %</w:t>
            </w:r>
          </w:p>
        </w:tc>
        <w:tc>
          <w:tcPr>
            <w:tcW w:w="1134" w:type="dxa"/>
            <w:tcBorders>
              <w:top w:val="nil"/>
              <w:left w:val="nil"/>
              <w:bottom w:val="single" w:sz="4" w:space="0" w:color="auto"/>
              <w:right w:val="single" w:sz="4" w:space="0" w:color="auto"/>
            </w:tcBorders>
            <w:shd w:val="clear" w:color="auto" w:fill="auto"/>
            <w:noWrap/>
            <w:vAlign w:val="center"/>
            <w:hideMark/>
          </w:tcPr>
          <w:p w14:paraId="1BEFDDFE"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92,81 %</w:t>
            </w:r>
          </w:p>
        </w:tc>
      </w:tr>
      <w:tr w:rsidR="00836FD3" w:rsidRPr="00836FD3" w14:paraId="23EC525B"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6DD355E0"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5F9273B3"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106D87A7"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725</w:t>
            </w:r>
          </w:p>
        </w:tc>
        <w:tc>
          <w:tcPr>
            <w:tcW w:w="1400" w:type="dxa"/>
            <w:tcBorders>
              <w:top w:val="nil"/>
              <w:left w:val="nil"/>
              <w:bottom w:val="single" w:sz="4" w:space="0" w:color="auto"/>
              <w:right w:val="single" w:sz="4" w:space="0" w:color="auto"/>
            </w:tcBorders>
            <w:shd w:val="clear" w:color="auto" w:fill="auto"/>
            <w:vAlign w:val="center"/>
            <w:hideMark/>
          </w:tcPr>
          <w:p w14:paraId="54F9BB2D"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32.787.332</w:t>
            </w:r>
          </w:p>
        </w:tc>
        <w:tc>
          <w:tcPr>
            <w:tcW w:w="1018" w:type="dxa"/>
            <w:tcBorders>
              <w:top w:val="nil"/>
              <w:left w:val="nil"/>
              <w:bottom w:val="single" w:sz="4" w:space="0" w:color="auto"/>
              <w:right w:val="single" w:sz="4" w:space="0" w:color="auto"/>
            </w:tcBorders>
            <w:shd w:val="clear" w:color="auto" w:fill="auto"/>
            <w:noWrap/>
            <w:vAlign w:val="center"/>
            <w:hideMark/>
          </w:tcPr>
          <w:p w14:paraId="0B8E9F51"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9,87 %</w:t>
            </w:r>
          </w:p>
        </w:tc>
        <w:tc>
          <w:tcPr>
            <w:tcW w:w="1134" w:type="dxa"/>
            <w:tcBorders>
              <w:top w:val="nil"/>
              <w:left w:val="nil"/>
              <w:bottom w:val="single" w:sz="4" w:space="0" w:color="auto"/>
              <w:right w:val="single" w:sz="4" w:space="0" w:color="auto"/>
            </w:tcBorders>
            <w:shd w:val="clear" w:color="auto" w:fill="auto"/>
            <w:noWrap/>
            <w:vAlign w:val="center"/>
            <w:hideMark/>
          </w:tcPr>
          <w:p w14:paraId="7982A477"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7,19 %</w:t>
            </w:r>
          </w:p>
        </w:tc>
      </w:tr>
      <w:tr w:rsidR="00836FD3" w:rsidRPr="00836FD3" w14:paraId="6B96C859"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3C2040E7"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Postopek s pogajanji brez predhodne objave</w:t>
            </w:r>
          </w:p>
        </w:tc>
        <w:tc>
          <w:tcPr>
            <w:tcW w:w="2320" w:type="dxa"/>
            <w:tcBorders>
              <w:top w:val="nil"/>
              <w:left w:val="nil"/>
              <w:bottom w:val="single" w:sz="4" w:space="0" w:color="auto"/>
              <w:right w:val="single" w:sz="4" w:space="0" w:color="auto"/>
            </w:tcBorders>
            <w:shd w:val="clear" w:color="auto" w:fill="auto"/>
            <w:vAlign w:val="center"/>
            <w:hideMark/>
          </w:tcPr>
          <w:p w14:paraId="3C66C193"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4D1CEE35"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791</w:t>
            </w:r>
          </w:p>
        </w:tc>
        <w:tc>
          <w:tcPr>
            <w:tcW w:w="1400" w:type="dxa"/>
            <w:tcBorders>
              <w:top w:val="nil"/>
              <w:left w:val="nil"/>
              <w:bottom w:val="single" w:sz="4" w:space="0" w:color="auto"/>
              <w:right w:val="single" w:sz="4" w:space="0" w:color="auto"/>
            </w:tcBorders>
            <w:shd w:val="clear" w:color="auto" w:fill="auto"/>
            <w:vAlign w:val="center"/>
            <w:hideMark/>
          </w:tcPr>
          <w:p w14:paraId="69EB3DDE"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297.770.848</w:t>
            </w:r>
          </w:p>
        </w:tc>
        <w:tc>
          <w:tcPr>
            <w:tcW w:w="1018" w:type="dxa"/>
            <w:tcBorders>
              <w:top w:val="nil"/>
              <w:left w:val="nil"/>
              <w:bottom w:val="single" w:sz="4" w:space="0" w:color="auto"/>
              <w:right w:val="single" w:sz="4" w:space="0" w:color="auto"/>
            </w:tcBorders>
            <w:shd w:val="clear" w:color="auto" w:fill="auto"/>
            <w:noWrap/>
            <w:vAlign w:val="center"/>
            <w:hideMark/>
          </w:tcPr>
          <w:p w14:paraId="00B16CF5"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95,53 %</w:t>
            </w:r>
          </w:p>
        </w:tc>
        <w:tc>
          <w:tcPr>
            <w:tcW w:w="1134" w:type="dxa"/>
            <w:tcBorders>
              <w:top w:val="nil"/>
              <w:left w:val="nil"/>
              <w:bottom w:val="single" w:sz="4" w:space="0" w:color="auto"/>
              <w:right w:val="single" w:sz="4" w:space="0" w:color="auto"/>
            </w:tcBorders>
            <w:shd w:val="clear" w:color="auto" w:fill="auto"/>
            <w:noWrap/>
            <w:vAlign w:val="center"/>
            <w:hideMark/>
          </w:tcPr>
          <w:p w14:paraId="31AD976C"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96,29 %</w:t>
            </w:r>
          </w:p>
        </w:tc>
      </w:tr>
      <w:tr w:rsidR="00836FD3" w:rsidRPr="00836FD3" w14:paraId="46AF2B94"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1290F9EE"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5ED0D76E"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0CE58B1A"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37</w:t>
            </w:r>
          </w:p>
        </w:tc>
        <w:tc>
          <w:tcPr>
            <w:tcW w:w="1400" w:type="dxa"/>
            <w:tcBorders>
              <w:top w:val="nil"/>
              <w:left w:val="nil"/>
              <w:bottom w:val="single" w:sz="4" w:space="0" w:color="auto"/>
              <w:right w:val="single" w:sz="4" w:space="0" w:color="auto"/>
            </w:tcBorders>
            <w:shd w:val="clear" w:color="auto" w:fill="auto"/>
            <w:vAlign w:val="center"/>
            <w:hideMark/>
          </w:tcPr>
          <w:p w14:paraId="5D162CC0"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11.460.038</w:t>
            </w:r>
          </w:p>
        </w:tc>
        <w:tc>
          <w:tcPr>
            <w:tcW w:w="1018" w:type="dxa"/>
            <w:tcBorders>
              <w:top w:val="nil"/>
              <w:left w:val="nil"/>
              <w:bottom w:val="single" w:sz="4" w:space="0" w:color="auto"/>
              <w:right w:val="single" w:sz="4" w:space="0" w:color="auto"/>
            </w:tcBorders>
            <w:shd w:val="clear" w:color="auto" w:fill="auto"/>
            <w:noWrap/>
            <w:vAlign w:val="center"/>
            <w:hideMark/>
          </w:tcPr>
          <w:p w14:paraId="36BFA674"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4,47 %</w:t>
            </w:r>
          </w:p>
        </w:tc>
        <w:tc>
          <w:tcPr>
            <w:tcW w:w="1134" w:type="dxa"/>
            <w:tcBorders>
              <w:top w:val="nil"/>
              <w:left w:val="nil"/>
              <w:bottom w:val="single" w:sz="4" w:space="0" w:color="auto"/>
              <w:right w:val="single" w:sz="4" w:space="0" w:color="auto"/>
            </w:tcBorders>
            <w:shd w:val="clear" w:color="auto" w:fill="auto"/>
            <w:noWrap/>
            <w:vAlign w:val="center"/>
            <w:hideMark/>
          </w:tcPr>
          <w:p w14:paraId="71618EC6"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3,71 %</w:t>
            </w:r>
          </w:p>
        </w:tc>
      </w:tr>
    </w:tbl>
    <w:p w14:paraId="51DFAD0F" w14:textId="77777777" w:rsidR="00836FD3" w:rsidRDefault="00836FD3">
      <w:r>
        <w:br w:type="page"/>
      </w:r>
    </w:p>
    <w:tbl>
      <w:tblPr>
        <w:tblW w:w="9072" w:type="dxa"/>
        <w:tblInd w:w="-5" w:type="dxa"/>
        <w:tblCellMar>
          <w:left w:w="70" w:type="dxa"/>
          <w:right w:w="70" w:type="dxa"/>
        </w:tblCellMar>
        <w:tblLook w:val="04A0" w:firstRow="1" w:lastRow="0" w:firstColumn="1" w:lastColumn="0" w:noHBand="0" w:noVBand="1"/>
      </w:tblPr>
      <w:tblGrid>
        <w:gridCol w:w="2380"/>
        <w:gridCol w:w="2320"/>
        <w:gridCol w:w="820"/>
        <w:gridCol w:w="1400"/>
        <w:gridCol w:w="1018"/>
        <w:gridCol w:w="1134"/>
      </w:tblGrid>
      <w:tr w:rsidR="00836FD3" w:rsidRPr="00836FD3" w14:paraId="737446A6" w14:textId="77777777" w:rsidTr="00836FD3">
        <w:trPr>
          <w:trHeight w:val="227"/>
        </w:trPr>
        <w:tc>
          <w:tcPr>
            <w:tcW w:w="238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927AB1A" w14:textId="7DA22E85"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lastRenderedPageBreak/>
              <w:t>Vrsta postopka</w:t>
            </w:r>
          </w:p>
        </w:tc>
        <w:tc>
          <w:tcPr>
            <w:tcW w:w="23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1DBD239"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Merila</w:t>
            </w:r>
          </w:p>
        </w:tc>
        <w:tc>
          <w:tcPr>
            <w:tcW w:w="8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91C9D03"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Št. naročil</w:t>
            </w:r>
          </w:p>
        </w:tc>
        <w:tc>
          <w:tcPr>
            <w:tcW w:w="140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9C060CC"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Pogodbena vrednost</w:t>
            </w:r>
          </w:p>
        </w:tc>
        <w:tc>
          <w:tcPr>
            <w:tcW w:w="1018"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044E2A62"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Delež v št. naročil</w:t>
            </w:r>
          </w:p>
        </w:tc>
        <w:tc>
          <w:tcPr>
            <w:tcW w:w="11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5BCB4E3" w14:textId="77777777" w:rsidR="00836FD3" w:rsidRPr="00836FD3" w:rsidRDefault="00836FD3" w:rsidP="00836FD3">
            <w:pPr>
              <w:spacing w:after="0" w:line="240" w:lineRule="auto"/>
              <w:jc w:val="center"/>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Delež v vrednosti</w:t>
            </w:r>
          </w:p>
        </w:tc>
      </w:tr>
      <w:tr w:rsidR="00836FD3" w:rsidRPr="00836FD3" w14:paraId="47C3473C" w14:textId="77777777" w:rsidTr="00836FD3">
        <w:trPr>
          <w:trHeight w:val="227"/>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73482"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Postopek s pogajanji po predhodni objavi</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B362FC6"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8D3A2E2"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185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A1C9DC7"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156.134.119</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66DDC7DD"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83,33 %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494AB1"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75,15 %</w:t>
            </w:r>
          </w:p>
        </w:tc>
      </w:tr>
      <w:tr w:rsidR="00836FD3" w:rsidRPr="00836FD3" w14:paraId="4487A521"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2990A7F5"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2D882FB5"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5C9AF417"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37</w:t>
            </w:r>
          </w:p>
        </w:tc>
        <w:tc>
          <w:tcPr>
            <w:tcW w:w="1400" w:type="dxa"/>
            <w:tcBorders>
              <w:top w:val="nil"/>
              <w:left w:val="nil"/>
              <w:bottom w:val="single" w:sz="4" w:space="0" w:color="auto"/>
              <w:right w:val="single" w:sz="4" w:space="0" w:color="auto"/>
            </w:tcBorders>
            <w:shd w:val="clear" w:color="auto" w:fill="auto"/>
            <w:vAlign w:val="center"/>
            <w:hideMark/>
          </w:tcPr>
          <w:p w14:paraId="3F92FF2E"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51.622.944</w:t>
            </w:r>
          </w:p>
        </w:tc>
        <w:tc>
          <w:tcPr>
            <w:tcW w:w="1018" w:type="dxa"/>
            <w:tcBorders>
              <w:top w:val="nil"/>
              <w:left w:val="nil"/>
              <w:bottom w:val="single" w:sz="4" w:space="0" w:color="auto"/>
              <w:right w:val="single" w:sz="4" w:space="0" w:color="auto"/>
            </w:tcBorders>
            <w:shd w:val="clear" w:color="auto" w:fill="auto"/>
            <w:noWrap/>
            <w:vAlign w:val="center"/>
            <w:hideMark/>
          </w:tcPr>
          <w:p w14:paraId="055465FA"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16,67 %</w:t>
            </w:r>
          </w:p>
        </w:tc>
        <w:tc>
          <w:tcPr>
            <w:tcW w:w="1134" w:type="dxa"/>
            <w:tcBorders>
              <w:top w:val="nil"/>
              <w:left w:val="nil"/>
              <w:bottom w:val="single" w:sz="4" w:space="0" w:color="auto"/>
              <w:right w:val="single" w:sz="4" w:space="0" w:color="auto"/>
            </w:tcBorders>
            <w:shd w:val="clear" w:color="auto" w:fill="auto"/>
            <w:noWrap/>
            <w:vAlign w:val="center"/>
            <w:hideMark/>
          </w:tcPr>
          <w:p w14:paraId="11D8C844"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24,85 %</w:t>
            </w:r>
          </w:p>
        </w:tc>
      </w:tr>
      <w:tr w:rsidR="00836FD3" w:rsidRPr="00836FD3" w14:paraId="65B4CEB8" w14:textId="77777777" w:rsidTr="00836FD3">
        <w:trPr>
          <w:trHeight w:val="227"/>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22D6C752"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Postopek zbiranja ponudb po predhodni objavi</w:t>
            </w:r>
          </w:p>
        </w:tc>
        <w:tc>
          <w:tcPr>
            <w:tcW w:w="2320" w:type="dxa"/>
            <w:tcBorders>
              <w:top w:val="nil"/>
              <w:left w:val="nil"/>
              <w:bottom w:val="single" w:sz="4" w:space="0" w:color="auto"/>
              <w:right w:val="single" w:sz="4" w:space="0" w:color="auto"/>
            </w:tcBorders>
            <w:shd w:val="clear" w:color="auto" w:fill="auto"/>
            <w:vAlign w:val="center"/>
            <w:hideMark/>
          </w:tcPr>
          <w:p w14:paraId="24A95095"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Cena</w:t>
            </w:r>
          </w:p>
        </w:tc>
        <w:tc>
          <w:tcPr>
            <w:tcW w:w="820" w:type="dxa"/>
            <w:tcBorders>
              <w:top w:val="nil"/>
              <w:left w:val="nil"/>
              <w:bottom w:val="single" w:sz="4" w:space="0" w:color="auto"/>
              <w:right w:val="single" w:sz="4" w:space="0" w:color="auto"/>
            </w:tcBorders>
            <w:shd w:val="clear" w:color="auto" w:fill="auto"/>
            <w:vAlign w:val="center"/>
            <w:hideMark/>
          </w:tcPr>
          <w:p w14:paraId="0E853C06"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11</w:t>
            </w:r>
          </w:p>
        </w:tc>
        <w:tc>
          <w:tcPr>
            <w:tcW w:w="1400" w:type="dxa"/>
            <w:tcBorders>
              <w:top w:val="nil"/>
              <w:left w:val="nil"/>
              <w:bottom w:val="single" w:sz="4" w:space="0" w:color="auto"/>
              <w:right w:val="single" w:sz="4" w:space="0" w:color="auto"/>
            </w:tcBorders>
            <w:shd w:val="clear" w:color="auto" w:fill="auto"/>
            <w:vAlign w:val="center"/>
            <w:hideMark/>
          </w:tcPr>
          <w:p w14:paraId="285C6821"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1.484.992</w:t>
            </w:r>
          </w:p>
        </w:tc>
        <w:tc>
          <w:tcPr>
            <w:tcW w:w="1018" w:type="dxa"/>
            <w:tcBorders>
              <w:top w:val="nil"/>
              <w:left w:val="nil"/>
              <w:bottom w:val="single" w:sz="4" w:space="0" w:color="auto"/>
              <w:right w:val="single" w:sz="4" w:space="0" w:color="auto"/>
            </w:tcBorders>
            <w:shd w:val="clear" w:color="auto" w:fill="auto"/>
            <w:noWrap/>
            <w:vAlign w:val="center"/>
            <w:hideMark/>
          </w:tcPr>
          <w:p w14:paraId="7C138B6F"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84,62 %</w:t>
            </w:r>
          </w:p>
        </w:tc>
        <w:tc>
          <w:tcPr>
            <w:tcW w:w="1134" w:type="dxa"/>
            <w:tcBorders>
              <w:top w:val="nil"/>
              <w:left w:val="nil"/>
              <w:bottom w:val="single" w:sz="4" w:space="0" w:color="auto"/>
              <w:right w:val="single" w:sz="4" w:space="0" w:color="auto"/>
            </w:tcBorders>
            <w:shd w:val="clear" w:color="auto" w:fill="auto"/>
            <w:noWrap/>
            <w:vAlign w:val="center"/>
            <w:hideMark/>
          </w:tcPr>
          <w:p w14:paraId="14D90C2D"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91,34 %</w:t>
            </w:r>
          </w:p>
        </w:tc>
      </w:tr>
      <w:tr w:rsidR="00836FD3" w:rsidRPr="00836FD3" w14:paraId="368547CB" w14:textId="77777777" w:rsidTr="00836FD3">
        <w:trPr>
          <w:trHeight w:val="227"/>
        </w:trPr>
        <w:tc>
          <w:tcPr>
            <w:tcW w:w="2380" w:type="dxa"/>
            <w:vMerge/>
            <w:tcBorders>
              <w:top w:val="nil"/>
              <w:left w:val="single" w:sz="4" w:space="0" w:color="auto"/>
              <w:bottom w:val="single" w:sz="4" w:space="0" w:color="auto"/>
              <w:right w:val="single" w:sz="4" w:space="0" w:color="auto"/>
            </w:tcBorders>
            <w:vAlign w:val="center"/>
            <w:hideMark/>
          </w:tcPr>
          <w:p w14:paraId="646B67C5" w14:textId="77777777" w:rsidR="00836FD3" w:rsidRPr="00836FD3" w:rsidRDefault="00836FD3" w:rsidP="00836FD3">
            <w:pPr>
              <w:spacing w:after="0" w:line="240" w:lineRule="auto"/>
              <w:rPr>
                <w:rFonts w:ascii="Arial" w:eastAsia="Times New Roman" w:hAnsi="Arial" w:cs="Arial"/>
                <w:color w:val="000000"/>
                <w:sz w:val="18"/>
                <w:szCs w:val="18"/>
                <w:lang w:eastAsia="sl-SI"/>
              </w:rPr>
            </w:pPr>
          </w:p>
        </w:tc>
        <w:tc>
          <w:tcPr>
            <w:tcW w:w="2320" w:type="dxa"/>
            <w:tcBorders>
              <w:top w:val="nil"/>
              <w:left w:val="nil"/>
              <w:bottom w:val="single" w:sz="4" w:space="0" w:color="auto"/>
              <w:right w:val="single" w:sz="4" w:space="0" w:color="auto"/>
            </w:tcBorders>
            <w:shd w:val="clear" w:color="auto" w:fill="auto"/>
            <w:vAlign w:val="center"/>
            <w:hideMark/>
          </w:tcPr>
          <w:p w14:paraId="0778E53C" w14:textId="77777777" w:rsidR="00836FD3" w:rsidRPr="00836FD3" w:rsidRDefault="00836FD3" w:rsidP="00836FD3">
            <w:pPr>
              <w:spacing w:after="0" w:line="240" w:lineRule="auto"/>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Ekonomsko najugodnejša ponudba</w:t>
            </w:r>
          </w:p>
        </w:tc>
        <w:tc>
          <w:tcPr>
            <w:tcW w:w="820" w:type="dxa"/>
            <w:tcBorders>
              <w:top w:val="nil"/>
              <w:left w:val="nil"/>
              <w:bottom w:val="single" w:sz="4" w:space="0" w:color="auto"/>
              <w:right w:val="single" w:sz="4" w:space="0" w:color="auto"/>
            </w:tcBorders>
            <w:shd w:val="clear" w:color="auto" w:fill="auto"/>
            <w:vAlign w:val="center"/>
            <w:hideMark/>
          </w:tcPr>
          <w:p w14:paraId="43FEDB28"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2</w:t>
            </w:r>
          </w:p>
        </w:tc>
        <w:tc>
          <w:tcPr>
            <w:tcW w:w="1400" w:type="dxa"/>
            <w:tcBorders>
              <w:top w:val="nil"/>
              <w:left w:val="nil"/>
              <w:bottom w:val="single" w:sz="4" w:space="0" w:color="auto"/>
              <w:right w:val="single" w:sz="4" w:space="0" w:color="auto"/>
            </w:tcBorders>
            <w:shd w:val="clear" w:color="auto" w:fill="auto"/>
            <w:vAlign w:val="center"/>
            <w:hideMark/>
          </w:tcPr>
          <w:p w14:paraId="232A5564"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140.830</w:t>
            </w:r>
          </w:p>
        </w:tc>
        <w:tc>
          <w:tcPr>
            <w:tcW w:w="1018" w:type="dxa"/>
            <w:tcBorders>
              <w:top w:val="nil"/>
              <w:left w:val="nil"/>
              <w:bottom w:val="single" w:sz="4" w:space="0" w:color="auto"/>
              <w:right w:val="single" w:sz="4" w:space="0" w:color="auto"/>
            </w:tcBorders>
            <w:shd w:val="clear" w:color="auto" w:fill="auto"/>
            <w:noWrap/>
            <w:vAlign w:val="center"/>
            <w:hideMark/>
          </w:tcPr>
          <w:p w14:paraId="2A1A9839"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15,38 %</w:t>
            </w:r>
          </w:p>
        </w:tc>
        <w:tc>
          <w:tcPr>
            <w:tcW w:w="1134" w:type="dxa"/>
            <w:tcBorders>
              <w:top w:val="nil"/>
              <w:left w:val="nil"/>
              <w:bottom w:val="single" w:sz="4" w:space="0" w:color="auto"/>
              <w:right w:val="single" w:sz="4" w:space="0" w:color="auto"/>
            </w:tcBorders>
            <w:shd w:val="clear" w:color="auto" w:fill="auto"/>
            <w:noWrap/>
            <w:vAlign w:val="center"/>
            <w:hideMark/>
          </w:tcPr>
          <w:p w14:paraId="594E93B4" w14:textId="77777777" w:rsidR="00836FD3" w:rsidRPr="00836FD3" w:rsidRDefault="00836FD3" w:rsidP="00836FD3">
            <w:pPr>
              <w:spacing w:after="0" w:line="240" w:lineRule="auto"/>
              <w:jc w:val="right"/>
              <w:rPr>
                <w:rFonts w:ascii="Arial" w:eastAsia="Times New Roman" w:hAnsi="Arial" w:cs="Arial"/>
                <w:color w:val="000000"/>
                <w:sz w:val="18"/>
                <w:szCs w:val="18"/>
                <w:lang w:eastAsia="sl-SI"/>
              </w:rPr>
            </w:pPr>
            <w:r w:rsidRPr="00836FD3">
              <w:rPr>
                <w:rFonts w:ascii="Arial" w:eastAsia="Times New Roman" w:hAnsi="Arial" w:cs="Arial"/>
                <w:color w:val="000000"/>
                <w:sz w:val="18"/>
                <w:szCs w:val="18"/>
                <w:lang w:eastAsia="sl-SI"/>
              </w:rPr>
              <w:t>8,66 %</w:t>
            </w:r>
          </w:p>
        </w:tc>
      </w:tr>
    </w:tbl>
    <w:p w14:paraId="32DA3D83" w14:textId="77777777" w:rsidR="00836FD3" w:rsidRDefault="00836FD3" w:rsidP="00836FD3">
      <w:pPr>
        <w:spacing w:after="0" w:line="240" w:lineRule="auto"/>
        <w:jc w:val="center"/>
        <w:rPr>
          <w:rFonts w:ascii="Arial" w:hAnsi="Arial" w:cs="Arial"/>
          <w:sz w:val="18"/>
        </w:rPr>
      </w:pPr>
    </w:p>
    <w:p w14:paraId="631F563A" w14:textId="5893A2D2" w:rsidR="003A3919" w:rsidRPr="00D9376D" w:rsidRDefault="00CF14EA" w:rsidP="003A3919">
      <w:pPr>
        <w:jc w:val="center"/>
        <w:rPr>
          <w:rFonts w:ascii="Arial" w:hAnsi="Arial" w:cs="Arial"/>
          <w:sz w:val="18"/>
        </w:rPr>
      </w:pPr>
      <w:r w:rsidRPr="00D9376D">
        <w:rPr>
          <w:rFonts w:ascii="Arial" w:hAnsi="Arial" w:cs="Arial"/>
          <w:sz w:val="18"/>
        </w:rPr>
        <w:t>Vir: Statistični podatki o javni</w:t>
      </w:r>
      <w:r w:rsidR="00C3119C" w:rsidRPr="00D9376D">
        <w:rPr>
          <w:rFonts w:ascii="Arial" w:hAnsi="Arial" w:cs="Arial"/>
          <w:sz w:val="18"/>
        </w:rPr>
        <w:t>h naročilih, oddanih v letu 201</w:t>
      </w:r>
      <w:r w:rsidR="00D9376D" w:rsidRPr="00D9376D">
        <w:rPr>
          <w:rFonts w:ascii="Arial" w:hAnsi="Arial" w:cs="Arial"/>
          <w:sz w:val="18"/>
        </w:rPr>
        <w:t>8</w:t>
      </w:r>
    </w:p>
    <w:p w14:paraId="68E9DAC2" w14:textId="4482FA98" w:rsidR="003F43CF" w:rsidRPr="002072B9" w:rsidRDefault="00CF14EA" w:rsidP="00CF14EA">
      <w:pPr>
        <w:spacing w:line="360" w:lineRule="auto"/>
        <w:jc w:val="both"/>
        <w:rPr>
          <w:rFonts w:ascii="Arial" w:hAnsi="Arial" w:cs="Arial"/>
          <w:sz w:val="20"/>
          <w:szCs w:val="20"/>
        </w:rPr>
      </w:pPr>
      <w:r w:rsidRPr="002072B9">
        <w:rPr>
          <w:rFonts w:ascii="Arial" w:hAnsi="Arial" w:cs="Arial"/>
          <w:sz w:val="20"/>
          <w:szCs w:val="20"/>
        </w:rPr>
        <w:t xml:space="preserve">Merilo cena je bilo najpogosteje uporabljeno pri oddaji naročil na vseh treh področjih. Na infrastrukturnem področju je bilo merilo cena uporabljeno pri oddaji naročil </w:t>
      </w:r>
      <w:r w:rsidR="00004A71" w:rsidRPr="002072B9">
        <w:rPr>
          <w:rFonts w:ascii="Arial" w:hAnsi="Arial" w:cs="Arial"/>
          <w:sz w:val="20"/>
          <w:szCs w:val="20"/>
        </w:rPr>
        <w:t xml:space="preserve">v </w:t>
      </w:r>
      <w:r w:rsidRPr="002072B9">
        <w:rPr>
          <w:rFonts w:ascii="Arial" w:hAnsi="Arial" w:cs="Arial"/>
          <w:sz w:val="20"/>
          <w:szCs w:val="20"/>
        </w:rPr>
        <w:t xml:space="preserve">vrednosti </w:t>
      </w:r>
      <w:r w:rsidR="00D96678" w:rsidRPr="002072B9">
        <w:rPr>
          <w:rFonts w:ascii="Arial" w:hAnsi="Arial" w:cs="Arial"/>
          <w:sz w:val="20"/>
          <w:szCs w:val="20"/>
        </w:rPr>
        <w:t xml:space="preserve">533.941.196 </w:t>
      </w:r>
      <w:r w:rsidRPr="002072B9">
        <w:rPr>
          <w:rFonts w:ascii="Arial" w:hAnsi="Arial" w:cs="Arial"/>
          <w:sz w:val="20"/>
          <w:szCs w:val="20"/>
        </w:rPr>
        <w:t xml:space="preserve">evrov oziroma </w:t>
      </w:r>
      <w:r w:rsidR="00D96678" w:rsidRPr="002072B9">
        <w:rPr>
          <w:rFonts w:ascii="Arial" w:hAnsi="Arial" w:cs="Arial"/>
          <w:sz w:val="20"/>
          <w:szCs w:val="20"/>
        </w:rPr>
        <w:t>89,49</w:t>
      </w:r>
      <w:r w:rsidR="00940D1B" w:rsidRPr="002072B9">
        <w:rPr>
          <w:rFonts w:ascii="Arial" w:hAnsi="Arial" w:cs="Arial"/>
          <w:sz w:val="20"/>
          <w:szCs w:val="20"/>
        </w:rPr>
        <w:t xml:space="preserve"> %</w:t>
      </w:r>
      <w:r w:rsidRPr="002072B9">
        <w:rPr>
          <w:rFonts w:ascii="Arial" w:hAnsi="Arial" w:cs="Arial"/>
          <w:sz w:val="20"/>
          <w:szCs w:val="20"/>
        </w:rPr>
        <w:t xml:space="preserve"> naročil, na splošnem področju v </w:t>
      </w:r>
      <w:r w:rsidR="002072B9" w:rsidRPr="002072B9">
        <w:rPr>
          <w:rFonts w:ascii="Arial" w:hAnsi="Arial" w:cs="Arial"/>
          <w:sz w:val="20"/>
          <w:szCs w:val="20"/>
        </w:rPr>
        <w:t>88,4</w:t>
      </w:r>
      <w:r w:rsidR="00940D1B" w:rsidRPr="002072B9">
        <w:rPr>
          <w:rFonts w:ascii="Arial" w:hAnsi="Arial" w:cs="Arial"/>
          <w:sz w:val="20"/>
          <w:szCs w:val="20"/>
        </w:rPr>
        <w:t xml:space="preserve"> %</w:t>
      </w:r>
      <w:r w:rsidRPr="002072B9">
        <w:rPr>
          <w:rFonts w:ascii="Arial" w:hAnsi="Arial" w:cs="Arial"/>
          <w:sz w:val="20"/>
          <w:szCs w:val="20"/>
        </w:rPr>
        <w:t xml:space="preserve"> oddanih naročil v vrednosti </w:t>
      </w:r>
      <w:r w:rsidR="002072B9" w:rsidRPr="002072B9">
        <w:rPr>
          <w:rFonts w:ascii="Arial" w:hAnsi="Arial" w:cs="Arial"/>
          <w:sz w:val="20"/>
          <w:szCs w:val="20"/>
        </w:rPr>
        <w:t xml:space="preserve">2.071.979.452 </w:t>
      </w:r>
      <w:r w:rsidRPr="002072B9">
        <w:rPr>
          <w:rFonts w:ascii="Arial" w:hAnsi="Arial" w:cs="Arial"/>
          <w:sz w:val="20"/>
          <w:szCs w:val="20"/>
        </w:rPr>
        <w:t xml:space="preserve">evrov, na obrambnem pa v </w:t>
      </w:r>
      <w:r w:rsidR="002072B9" w:rsidRPr="002072B9">
        <w:rPr>
          <w:rFonts w:ascii="Arial" w:hAnsi="Arial" w:cs="Arial"/>
          <w:sz w:val="20"/>
          <w:szCs w:val="20"/>
        </w:rPr>
        <w:t>79,59</w:t>
      </w:r>
      <w:r w:rsidR="00940D1B" w:rsidRPr="002072B9">
        <w:rPr>
          <w:rFonts w:ascii="Arial" w:hAnsi="Arial" w:cs="Arial"/>
          <w:sz w:val="20"/>
          <w:szCs w:val="20"/>
        </w:rPr>
        <w:t xml:space="preserve"> %</w:t>
      </w:r>
      <w:r w:rsidRPr="002072B9">
        <w:rPr>
          <w:rFonts w:ascii="Arial" w:hAnsi="Arial" w:cs="Arial"/>
          <w:sz w:val="20"/>
          <w:szCs w:val="20"/>
        </w:rPr>
        <w:t xml:space="preserve"> oddanih naročil v vrednosti </w:t>
      </w:r>
      <w:r w:rsidR="002072B9" w:rsidRPr="002072B9">
        <w:rPr>
          <w:rFonts w:ascii="Arial" w:hAnsi="Arial" w:cs="Arial"/>
          <w:sz w:val="20"/>
          <w:szCs w:val="20"/>
        </w:rPr>
        <w:t xml:space="preserve">35.122.443 </w:t>
      </w:r>
      <w:r w:rsidRPr="002072B9">
        <w:rPr>
          <w:rFonts w:ascii="Arial" w:hAnsi="Arial" w:cs="Arial"/>
          <w:sz w:val="20"/>
          <w:szCs w:val="20"/>
        </w:rPr>
        <w:t xml:space="preserve">evrov, kjer pa </w:t>
      </w:r>
      <w:r w:rsidR="00004A71" w:rsidRPr="002072B9">
        <w:rPr>
          <w:rFonts w:ascii="Arial" w:hAnsi="Arial" w:cs="Arial"/>
          <w:sz w:val="20"/>
          <w:szCs w:val="20"/>
        </w:rPr>
        <w:t xml:space="preserve">ima </w:t>
      </w:r>
      <w:r w:rsidRPr="002072B9">
        <w:rPr>
          <w:rFonts w:ascii="Arial" w:hAnsi="Arial" w:cs="Arial"/>
          <w:sz w:val="20"/>
          <w:szCs w:val="20"/>
        </w:rPr>
        <w:t>merilo ekonomsko najugodnejša ponudba</w:t>
      </w:r>
      <w:r w:rsidR="002072B9" w:rsidRPr="002072B9">
        <w:rPr>
          <w:rFonts w:ascii="Arial" w:hAnsi="Arial" w:cs="Arial"/>
          <w:sz w:val="20"/>
          <w:szCs w:val="20"/>
        </w:rPr>
        <w:t xml:space="preserve"> 46,81</w:t>
      </w:r>
      <w:r w:rsidR="00004A71" w:rsidRPr="002072B9">
        <w:rPr>
          <w:rFonts w:ascii="Arial" w:hAnsi="Arial" w:cs="Arial"/>
          <w:sz w:val="20"/>
          <w:szCs w:val="20"/>
        </w:rPr>
        <w:t>-</w:t>
      </w:r>
      <w:r w:rsidRPr="002072B9">
        <w:rPr>
          <w:rFonts w:ascii="Arial" w:hAnsi="Arial" w:cs="Arial"/>
          <w:sz w:val="20"/>
          <w:szCs w:val="20"/>
        </w:rPr>
        <w:t xml:space="preserve">odstotni delež v vrednosti oddanih naročil. </w:t>
      </w:r>
    </w:p>
    <w:p w14:paraId="695F71B8" w14:textId="0FF57B63" w:rsidR="004A42E6" w:rsidRPr="00DD33BD" w:rsidRDefault="002149C7" w:rsidP="00DD33BD">
      <w:pPr>
        <w:spacing w:before="120" w:after="120" w:line="240" w:lineRule="auto"/>
        <w:jc w:val="both"/>
        <w:rPr>
          <w:rFonts w:ascii="Arial" w:hAnsi="Arial" w:cs="Arial"/>
          <w:sz w:val="20"/>
        </w:rPr>
      </w:pPr>
      <w:r w:rsidRPr="00754C10">
        <w:rPr>
          <w:rFonts w:ascii="Arial" w:hAnsi="Arial" w:cs="Arial"/>
          <w:sz w:val="20"/>
        </w:rPr>
        <w:t xml:space="preserve">Graf </w:t>
      </w:r>
      <w:r w:rsidR="0083702C" w:rsidRPr="00754C10">
        <w:rPr>
          <w:rFonts w:ascii="Arial" w:hAnsi="Arial" w:cs="Arial"/>
          <w:sz w:val="20"/>
        </w:rPr>
        <w:t>3</w:t>
      </w:r>
      <w:r w:rsidRPr="00754C10">
        <w:rPr>
          <w:rFonts w:ascii="Arial" w:hAnsi="Arial" w:cs="Arial"/>
          <w:sz w:val="20"/>
        </w:rPr>
        <w:t xml:space="preserve">: Delež posameznega merila za </w:t>
      </w:r>
      <w:r w:rsidR="003F3B34" w:rsidRPr="00754C10">
        <w:rPr>
          <w:rFonts w:ascii="Arial" w:hAnsi="Arial" w:cs="Arial"/>
          <w:sz w:val="20"/>
        </w:rPr>
        <w:t>izb</w:t>
      </w:r>
      <w:r w:rsidR="0007149E" w:rsidRPr="00754C10">
        <w:rPr>
          <w:rFonts w:ascii="Arial" w:hAnsi="Arial" w:cs="Arial"/>
          <w:sz w:val="20"/>
        </w:rPr>
        <w:t>iro</w:t>
      </w:r>
      <w:r w:rsidR="003F3B34" w:rsidRPr="00754C10">
        <w:rPr>
          <w:rFonts w:ascii="Arial" w:hAnsi="Arial" w:cs="Arial"/>
          <w:sz w:val="20"/>
        </w:rPr>
        <w:t xml:space="preserve"> glede na predmet naročanja</w:t>
      </w:r>
      <w:r w:rsidRPr="00754C10">
        <w:rPr>
          <w:rFonts w:ascii="Arial" w:hAnsi="Arial" w:cs="Arial"/>
          <w:sz w:val="20"/>
        </w:rPr>
        <w:t xml:space="preserve"> </w:t>
      </w:r>
      <w:r w:rsidR="0007149E" w:rsidRPr="00754C10">
        <w:rPr>
          <w:rFonts w:ascii="Arial" w:hAnsi="Arial" w:cs="Arial"/>
          <w:sz w:val="20"/>
        </w:rPr>
        <w:t>po</w:t>
      </w:r>
      <w:r w:rsidRPr="00754C10">
        <w:rPr>
          <w:rFonts w:ascii="Arial" w:hAnsi="Arial" w:cs="Arial"/>
          <w:sz w:val="20"/>
        </w:rPr>
        <w:t xml:space="preserve"> številu in vrednosti</w:t>
      </w:r>
      <w:r w:rsidR="00CD10B9" w:rsidRPr="00754C10">
        <w:rPr>
          <w:rFonts w:ascii="Arial" w:hAnsi="Arial" w:cs="Arial"/>
          <w:sz w:val="20"/>
        </w:rPr>
        <w:t xml:space="preserve"> </w:t>
      </w:r>
    </w:p>
    <w:p w14:paraId="22AA8429" w14:textId="3780F13F" w:rsidR="00A768E0" w:rsidRPr="00754C10" w:rsidRDefault="001C5B6E" w:rsidP="00754C10">
      <w:pPr>
        <w:spacing w:before="120" w:after="120" w:line="240" w:lineRule="auto"/>
        <w:jc w:val="center"/>
        <w:rPr>
          <w:rFonts w:ascii="Arial" w:hAnsi="Arial" w:cs="Arial"/>
          <w:sz w:val="20"/>
          <w:highlight w:val="yellow"/>
        </w:rPr>
      </w:pPr>
      <w:r>
        <w:rPr>
          <w:rFonts w:ascii="Arial" w:hAnsi="Arial" w:cs="Arial"/>
          <w:noProof/>
          <w:sz w:val="20"/>
          <w:highlight w:val="yellow"/>
          <w:lang w:eastAsia="sl-SI"/>
        </w:rPr>
        <w:drawing>
          <wp:inline distT="0" distB="0" distL="0" distR="0" wp14:anchorId="11534670" wp14:editId="3AA1A2D7">
            <wp:extent cx="5304292" cy="3225165"/>
            <wp:effectExtent l="0" t="0" r="0" b="0"/>
            <wp:docPr id="6" name="Slika 6" descr="Delež posameznega merila za izbiro glede na predmet naročanja po številu in vred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Delež posameznega merila za izbiro glede na predmet naročanja po številu in vredno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6565" cy="3244788"/>
                    </a:xfrm>
                    <a:prstGeom prst="rect">
                      <a:avLst/>
                    </a:prstGeom>
                    <a:noFill/>
                  </pic:spPr>
                </pic:pic>
              </a:graphicData>
            </a:graphic>
          </wp:inline>
        </w:drawing>
      </w:r>
    </w:p>
    <w:p w14:paraId="4CADCD71" w14:textId="0CFF0553" w:rsidR="00A36852" w:rsidRDefault="00A36852" w:rsidP="00701C10">
      <w:pPr>
        <w:spacing w:after="240" w:line="240" w:lineRule="auto"/>
        <w:jc w:val="center"/>
        <w:rPr>
          <w:rFonts w:ascii="Arial" w:hAnsi="Arial" w:cs="Arial"/>
          <w:sz w:val="18"/>
        </w:rPr>
      </w:pPr>
      <w:r w:rsidRPr="00754C10">
        <w:rPr>
          <w:rFonts w:ascii="Arial" w:hAnsi="Arial" w:cs="Arial"/>
          <w:sz w:val="18"/>
        </w:rPr>
        <w:t>Vir: Statistični podatki o javni</w:t>
      </w:r>
      <w:r w:rsidR="00912288" w:rsidRPr="00754C10">
        <w:rPr>
          <w:rFonts w:ascii="Arial" w:hAnsi="Arial" w:cs="Arial"/>
          <w:sz w:val="18"/>
        </w:rPr>
        <w:t>h naročilih, oddanih v letu 201</w:t>
      </w:r>
      <w:r w:rsidR="00754C10" w:rsidRPr="00754C10">
        <w:rPr>
          <w:rFonts w:ascii="Arial" w:hAnsi="Arial" w:cs="Arial"/>
          <w:sz w:val="18"/>
        </w:rPr>
        <w:t>8</w:t>
      </w:r>
    </w:p>
    <w:p w14:paraId="2E7BF1B5" w14:textId="77777777" w:rsidR="00836FD3" w:rsidRPr="00754C10" w:rsidRDefault="00836FD3" w:rsidP="00701C10">
      <w:pPr>
        <w:spacing w:after="240" w:line="240" w:lineRule="auto"/>
        <w:jc w:val="center"/>
        <w:rPr>
          <w:rFonts w:ascii="Arial" w:hAnsi="Arial" w:cs="Arial"/>
          <w:sz w:val="18"/>
        </w:rPr>
      </w:pPr>
    </w:p>
    <w:p w14:paraId="18D305BC" w14:textId="17254CF6" w:rsidR="00B11580" w:rsidRPr="008702D6" w:rsidRDefault="00B11580" w:rsidP="00B11580">
      <w:pPr>
        <w:pStyle w:val="Naslov2"/>
        <w:rPr>
          <w:rFonts w:ascii="Arial" w:hAnsi="Arial" w:cs="Arial"/>
          <w:szCs w:val="20"/>
        </w:rPr>
      </w:pPr>
      <w:bookmarkStart w:id="27" w:name="_Toc17114065"/>
      <w:r w:rsidRPr="008702D6">
        <w:rPr>
          <w:rFonts w:ascii="Arial" w:hAnsi="Arial" w:cs="Arial"/>
          <w:sz w:val="22"/>
          <w:szCs w:val="22"/>
        </w:rPr>
        <w:t>2.7 Ponudniki in podizvajalci</w:t>
      </w:r>
      <w:bookmarkEnd w:id="27"/>
    </w:p>
    <w:p w14:paraId="728FCEF7" w14:textId="77777777" w:rsidR="00B11580" w:rsidRPr="008702D6" w:rsidRDefault="00B11580" w:rsidP="00854405">
      <w:pPr>
        <w:pStyle w:val="ZADEVA"/>
        <w:jc w:val="both"/>
        <w:rPr>
          <w:rFonts w:cs="Arial"/>
          <w:b w:val="0"/>
          <w:szCs w:val="20"/>
          <w:lang w:val="sl-SI"/>
        </w:rPr>
      </w:pPr>
    </w:p>
    <w:p w14:paraId="396B20F3" w14:textId="13B725A4" w:rsidR="00765CC0" w:rsidRPr="00290B91" w:rsidRDefault="003F0478" w:rsidP="00765CC0">
      <w:pPr>
        <w:spacing w:line="360" w:lineRule="auto"/>
        <w:jc w:val="both"/>
        <w:rPr>
          <w:rFonts w:ascii="Arial" w:hAnsi="Arial" w:cs="Arial"/>
          <w:sz w:val="20"/>
          <w:szCs w:val="20"/>
        </w:rPr>
      </w:pPr>
      <w:r>
        <w:rPr>
          <w:rFonts w:ascii="Arial" w:hAnsi="Arial" w:cs="Arial"/>
          <w:sz w:val="20"/>
          <w:szCs w:val="20"/>
        </w:rPr>
        <w:t>Leta</w:t>
      </w:r>
      <w:r w:rsidR="00765CC0" w:rsidRPr="008702D6">
        <w:rPr>
          <w:rFonts w:ascii="Arial" w:hAnsi="Arial" w:cs="Arial"/>
          <w:sz w:val="20"/>
          <w:szCs w:val="20"/>
        </w:rPr>
        <w:t xml:space="preserve"> 201</w:t>
      </w:r>
      <w:r w:rsidR="008702D6" w:rsidRPr="008702D6">
        <w:rPr>
          <w:rFonts w:ascii="Arial" w:hAnsi="Arial" w:cs="Arial"/>
          <w:sz w:val="20"/>
          <w:szCs w:val="20"/>
        </w:rPr>
        <w:t>8</w:t>
      </w:r>
      <w:r w:rsidR="00765CC0" w:rsidRPr="008702D6">
        <w:rPr>
          <w:rFonts w:ascii="Arial" w:hAnsi="Arial" w:cs="Arial"/>
          <w:sz w:val="20"/>
          <w:szCs w:val="20"/>
        </w:rPr>
        <w:t xml:space="preserve"> je bilo </w:t>
      </w:r>
      <w:r w:rsidR="00004A71" w:rsidRPr="008702D6">
        <w:rPr>
          <w:rFonts w:ascii="Arial" w:hAnsi="Arial" w:cs="Arial"/>
          <w:sz w:val="20"/>
          <w:szCs w:val="20"/>
        </w:rPr>
        <w:t xml:space="preserve">v </w:t>
      </w:r>
      <w:proofErr w:type="spellStart"/>
      <w:r w:rsidR="00004A71" w:rsidRPr="008702D6">
        <w:rPr>
          <w:rFonts w:ascii="Arial" w:hAnsi="Arial" w:cs="Arial"/>
          <w:sz w:val="20"/>
          <w:szCs w:val="20"/>
        </w:rPr>
        <w:t>podizvajanje</w:t>
      </w:r>
      <w:proofErr w:type="spellEnd"/>
      <w:r w:rsidR="00004A71" w:rsidRPr="008702D6">
        <w:rPr>
          <w:rFonts w:ascii="Arial" w:hAnsi="Arial" w:cs="Arial"/>
          <w:sz w:val="20"/>
          <w:szCs w:val="20"/>
        </w:rPr>
        <w:t xml:space="preserve"> </w:t>
      </w:r>
      <w:r w:rsidRPr="008702D6">
        <w:rPr>
          <w:rFonts w:ascii="Arial" w:hAnsi="Arial" w:cs="Arial"/>
          <w:sz w:val="20"/>
          <w:szCs w:val="20"/>
        </w:rPr>
        <w:t>oddanih</w:t>
      </w:r>
      <w:r>
        <w:rPr>
          <w:rFonts w:ascii="Arial" w:hAnsi="Arial" w:cs="Arial"/>
          <w:sz w:val="20"/>
          <w:szCs w:val="20"/>
        </w:rPr>
        <w:t xml:space="preserve"> </w:t>
      </w:r>
      <w:r w:rsidR="008702D6" w:rsidRPr="008702D6">
        <w:rPr>
          <w:rFonts w:ascii="Arial" w:hAnsi="Arial" w:cs="Arial"/>
          <w:sz w:val="20"/>
          <w:szCs w:val="20"/>
        </w:rPr>
        <w:t>931</w:t>
      </w:r>
      <w:r w:rsidR="00DD4C9A" w:rsidRPr="008702D6">
        <w:rPr>
          <w:rFonts w:ascii="Arial" w:hAnsi="Arial" w:cs="Arial"/>
          <w:sz w:val="20"/>
          <w:szCs w:val="20"/>
        </w:rPr>
        <w:t xml:space="preserve"> javnih naročil</w:t>
      </w:r>
      <w:r w:rsidR="00765CC0" w:rsidRPr="00162670">
        <w:rPr>
          <w:rFonts w:ascii="Arial" w:hAnsi="Arial" w:cs="Arial"/>
          <w:sz w:val="20"/>
          <w:szCs w:val="20"/>
        </w:rPr>
        <w:t>.</w:t>
      </w:r>
      <w:r w:rsidR="00DD4C9A" w:rsidRPr="00162670">
        <w:rPr>
          <w:rFonts w:ascii="Arial" w:hAnsi="Arial" w:cs="Arial"/>
          <w:sz w:val="20"/>
          <w:szCs w:val="20"/>
        </w:rPr>
        <w:t xml:space="preserve"> </w:t>
      </w:r>
      <w:r w:rsidR="00765CC0" w:rsidRPr="00162670">
        <w:rPr>
          <w:rFonts w:ascii="Arial" w:hAnsi="Arial" w:cs="Arial"/>
          <w:sz w:val="20"/>
          <w:szCs w:val="20"/>
        </w:rPr>
        <w:t xml:space="preserve">Največ </w:t>
      </w:r>
      <w:r w:rsidR="00004A71" w:rsidRPr="00162670">
        <w:rPr>
          <w:rFonts w:ascii="Arial" w:hAnsi="Arial" w:cs="Arial"/>
          <w:sz w:val="20"/>
          <w:szCs w:val="20"/>
        </w:rPr>
        <w:t>jih</w:t>
      </w:r>
      <w:r w:rsidR="00765CC0" w:rsidRPr="00162670">
        <w:rPr>
          <w:rFonts w:ascii="Arial" w:hAnsi="Arial" w:cs="Arial"/>
          <w:sz w:val="20"/>
          <w:szCs w:val="20"/>
        </w:rPr>
        <w:t xml:space="preserve"> je bilo oddanih v </w:t>
      </w:r>
      <w:proofErr w:type="spellStart"/>
      <w:r w:rsidR="00765CC0" w:rsidRPr="00162670">
        <w:rPr>
          <w:rFonts w:ascii="Arial" w:hAnsi="Arial" w:cs="Arial"/>
          <w:sz w:val="20"/>
          <w:szCs w:val="20"/>
        </w:rPr>
        <w:t>podizvajanje</w:t>
      </w:r>
      <w:proofErr w:type="spellEnd"/>
      <w:r w:rsidR="00765CC0" w:rsidRPr="00162670">
        <w:rPr>
          <w:rFonts w:ascii="Arial" w:hAnsi="Arial" w:cs="Arial"/>
          <w:sz w:val="20"/>
          <w:szCs w:val="20"/>
        </w:rPr>
        <w:t xml:space="preserve"> pri </w:t>
      </w:r>
      <w:r w:rsidR="00DD4C9A" w:rsidRPr="00162670">
        <w:rPr>
          <w:rFonts w:ascii="Arial" w:hAnsi="Arial" w:cs="Arial"/>
          <w:sz w:val="20"/>
          <w:szCs w:val="20"/>
        </w:rPr>
        <w:t>postopkih naročila male vrednosti</w:t>
      </w:r>
      <w:r w:rsidR="00765CC0" w:rsidRPr="00162670">
        <w:rPr>
          <w:rFonts w:ascii="Arial" w:hAnsi="Arial" w:cs="Arial"/>
          <w:sz w:val="20"/>
          <w:szCs w:val="20"/>
        </w:rPr>
        <w:t xml:space="preserve">, kjer so bili podizvajalci udeleženi v </w:t>
      </w:r>
      <w:r w:rsidR="00162670" w:rsidRPr="00162670">
        <w:rPr>
          <w:rFonts w:ascii="Arial" w:hAnsi="Arial" w:cs="Arial"/>
          <w:sz w:val="20"/>
          <w:szCs w:val="20"/>
        </w:rPr>
        <w:t>532</w:t>
      </w:r>
      <w:r w:rsidR="00DD4C9A" w:rsidRPr="00162670">
        <w:rPr>
          <w:rFonts w:ascii="Arial" w:hAnsi="Arial" w:cs="Arial"/>
          <w:sz w:val="20"/>
          <w:szCs w:val="20"/>
        </w:rPr>
        <w:t xml:space="preserve"> javnih naročilih</w:t>
      </w:r>
      <w:r w:rsidR="00765CC0" w:rsidRPr="00162670">
        <w:rPr>
          <w:rFonts w:ascii="Arial" w:hAnsi="Arial" w:cs="Arial"/>
          <w:sz w:val="20"/>
          <w:szCs w:val="20"/>
        </w:rPr>
        <w:t xml:space="preserve">, </w:t>
      </w:r>
      <w:r w:rsidR="00004A71" w:rsidRPr="00162670">
        <w:rPr>
          <w:rFonts w:ascii="Arial" w:hAnsi="Arial" w:cs="Arial"/>
          <w:sz w:val="20"/>
          <w:szCs w:val="20"/>
        </w:rPr>
        <w:t xml:space="preserve">njihova </w:t>
      </w:r>
      <w:r w:rsidR="00765CC0" w:rsidRPr="00162670">
        <w:rPr>
          <w:rFonts w:ascii="Arial" w:hAnsi="Arial" w:cs="Arial"/>
          <w:sz w:val="20"/>
          <w:szCs w:val="20"/>
        </w:rPr>
        <w:t xml:space="preserve">skupna vrednost je </w:t>
      </w:r>
      <w:r w:rsidR="00162670" w:rsidRPr="00162670">
        <w:rPr>
          <w:rFonts w:ascii="Arial" w:hAnsi="Arial" w:cs="Arial"/>
          <w:sz w:val="20"/>
          <w:szCs w:val="20"/>
        </w:rPr>
        <w:t xml:space="preserve">62.781.017 </w:t>
      </w:r>
      <w:r w:rsidR="00765CC0" w:rsidRPr="00162670">
        <w:rPr>
          <w:rFonts w:ascii="Arial" w:hAnsi="Arial" w:cs="Arial"/>
          <w:sz w:val="20"/>
          <w:szCs w:val="20"/>
        </w:rPr>
        <w:t xml:space="preserve">evrov. </w:t>
      </w:r>
      <w:r w:rsidR="00765CC0" w:rsidRPr="00290B91">
        <w:rPr>
          <w:rFonts w:ascii="Arial" w:hAnsi="Arial" w:cs="Arial"/>
          <w:sz w:val="20"/>
          <w:szCs w:val="20"/>
        </w:rPr>
        <w:t xml:space="preserve">Udeležba vseh podizvajalcev v </w:t>
      </w:r>
      <w:r w:rsidR="00DD4C9A" w:rsidRPr="00290B91">
        <w:rPr>
          <w:rFonts w:ascii="Arial" w:hAnsi="Arial" w:cs="Arial"/>
          <w:sz w:val="20"/>
          <w:szCs w:val="20"/>
        </w:rPr>
        <w:t>javnih naročilih</w:t>
      </w:r>
      <w:r w:rsidR="00765CC0" w:rsidRPr="00290B91">
        <w:rPr>
          <w:rFonts w:ascii="Arial" w:hAnsi="Arial" w:cs="Arial"/>
          <w:sz w:val="20"/>
          <w:szCs w:val="20"/>
        </w:rPr>
        <w:t xml:space="preserve"> glede na vrsto izvedenega postopka je </w:t>
      </w:r>
      <w:r w:rsidR="00FD48CF" w:rsidRPr="00290B91">
        <w:rPr>
          <w:rFonts w:ascii="Arial" w:hAnsi="Arial" w:cs="Arial"/>
          <w:sz w:val="20"/>
          <w:szCs w:val="20"/>
        </w:rPr>
        <w:t>prikazana v</w:t>
      </w:r>
      <w:r w:rsidR="00765CC0" w:rsidRPr="00290B91">
        <w:rPr>
          <w:rFonts w:ascii="Arial" w:hAnsi="Arial" w:cs="Arial"/>
          <w:sz w:val="20"/>
          <w:szCs w:val="20"/>
        </w:rPr>
        <w:t xml:space="preserve"> spodnj</w:t>
      </w:r>
      <w:r w:rsidR="00FD48CF" w:rsidRPr="00290B91">
        <w:rPr>
          <w:rFonts w:ascii="Arial" w:hAnsi="Arial" w:cs="Arial"/>
          <w:sz w:val="20"/>
          <w:szCs w:val="20"/>
        </w:rPr>
        <w:t>i</w:t>
      </w:r>
      <w:r w:rsidR="00765CC0" w:rsidRPr="00290B91">
        <w:rPr>
          <w:rFonts w:ascii="Arial" w:hAnsi="Arial" w:cs="Arial"/>
          <w:sz w:val="20"/>
          <w:szCs w:val="20"/>
        </w:rPr>
        <w:t xml:space="preserve"> preglednic</w:t>
      </w:r>
      <w:r w:rsidR="00FD48CF" w:rsidRPr="00290B91">
        <w:rPr>
          <w:rFonts w:ascii="Arial" w:hAnsi="Arial" w:cs="Arial"/>
          <w:sz w:val="20"/>
          <w:szCs w:val="20"/>
        </w:rPr>
        <w:t>i</w:t>
      </w:r>
      <w:r w:rsidR="00765CC0" w:rsidRPr="00290B91">
        <w:rPr>
          <w:rFonts w:ascii="Arial" w:hAnsi="Arial" w:cs="Arial"/>
          <w:sz w:val="20"/>
          <w:szCs w:val="20"/>
        </w:rPr>
        <w:t>.</w:t>
      </w:r>
    </w:p>
    <w:p w14:paraId="35275A8D" w14:textId="77777777" w:rsidR="00836FD3" w:rsidRDefault="00836FD3">
      <w:pPr>
        <w:rPr>
          <w:rFonts w:ascii="Arial" w:hAnsi="Arial" w:cs="Arial"/>
          <w:sz w:val="20"/>
        </w:rPr>
      </w:pPr>
      <w:r>
        <w:rPr>
          <w:rFonts w:ascii="Arial" w:hAnsi="Arial" w:cs="Arial"/>
          <w:sz w:val="20"/>
        </w:rPr>
        <w:br w:type="page"/>
      </w:r>
    </w:p>
    <w:p w14:paraId="55725F99" w14:textId="63F47B34" w:rsidR="00765CC0" w:rsidRPr="00290B91" w:rsidRDefault="00765CC0" w:rsidP="008A61FD">
      <w:pPr>
        <w:spacing w:before="120" w:after="120" w:line="240" w:lineRule="auto"/>
        <w:jc w:val="both"/>
        <w:rPr>
          <w:rFonts w:ascii="Arial" w:hAnsi="Arial" w:cs="Arial"/>
          <w:sz w:val="20"/>
        </w:rPr>
      </w:pPr>
      <w:r w:rsidRPr="00290B91">
        <w:rPr>
          <w:rFonts w:ascii="Arial" w:hAnsi="Arial" w:cs="Arial"/>
          <w:sz w:val="20"/>
        </w:rPr>
        <w:lastRenderedPageBreak/>
        <w:t xml:space="preserve">Preglednica </w:t>
      </w:r>
      <w:r w:rsidR="00AE18EF" w:rsidRPr="00290B91">
        <w:rPr>
          <w:rFonts w:ascii="Arial" w:hAnsi="Arial" w:cs="Arial"/>
          <w:sz w:val="20"/>
        </w:rPr>
        <w:t>3</w:t>
      </w:r>
      <w:r w:rsidR="00EB4423">
        <w:rPr>
          <w:rFonts w:ascii="Arial" w:hAnsi="Arial" w:cs="Arial"/>
          <w:sz w:val="20"/>
        </w:rPr>
        <w:t>5</w:t>
      </w:r>
      <w:r w:rsidRPr="00290B91">
        <w:rPr>
          <w:rFonts w:ascii="Arial" w:hAnsi="Arial" w:cs="Arial"/>
          <w:sz w:val="20"/>
        </w:rPr>
        <w:t>: Udeležba podizvajalcev v posameznih postopkih oddaje javnega naročila</w:t>
      </w:r>
    </w:p>
    <w:tbl>
      <w:tblPr>
        <w:tblW w:w="5000" w:type="pct"/>
        <w:tblCellMar>
          <w:left w:w="70" w:type="dxa"/>
          <w:right w:w="70" w:type="dxa"/>
        </w:tblCellMar>
        <w:tblLook w:val="04A0" w:firstRow="1" w:lastRow="0" w:firstColumn="1" w:lastColumn="0" w:noHBand="0" w:noVBand="1"/>
      </w:tblPr>
      <w:tblGrid>
        <w:gridCol w:w="2785"/>
        <w:gridCol w:w="1192"/>
        <w:gridCol w:w="3181"/>
        <w:gridCol w:w="952"/>
        <w:gridCol w:w="952"/>
      </w:tblGrid>
      <w:tr w:rsidR="00EC29BF" w:rsidRPr="0019740A" w14:paraId="39E6C876" w14:textId="77777777" w:rsidTr="006E2AEC">
        <w:trPr>
          <w:trHeight w:val="960"/>
        </w:trPr>
        <w:tc>
          <w:tcPr>
            <w:tcW w:w="1537"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2B38447" w14:textId="77777777" w:rsidR="00EC29BF" w:rsidRPr="0019740A" w:rsidRDefault="00EC29BF" w:rsidP="00EC29BF">
            <w:pPr>
              <w:spacing w:after="0" w:line="240" w:lineRule="auto"/>
              <w:jc w:val="center"/>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Vrsta postopka</w:t>
            </w:r>
          </w:p>
        </w:tc>
        <w:tc>
          <w:tcPr>
            <w:tcW w:w="658" w:type="pct"/>
            <w:tcBorders>
              <w:top w:val="single" w:sz="4" w:space="0" w:color="auto"/>
              <w:left w:val="nil"/>
              <w:bottom w:val="single" w:sz="4" w:space="0" w:color="auto"/>
              <w:right w:val="single" w:sz="4" w:space="0" w:color="auto"/>
            </w:tcBorders>
            <w:shd w:val="clear" w:color="000000" w:fill="EDEDED"/>
            <w:vAlign w:val="center"/>
            <w:hideMark/>
          </w:tcPr>
          <w:p w14:paraId="4BE67694" w14:textId="77777777" w:rsidR="00EC29BF" w:rsidRPr="0019740A" w:rsidRDefault="00EC29BF" w:rsidP="00EC29BF">
            <w:pPr>
              <w:spacing w:after="0" w:line="240" w:lineRule="auto"/>
              <w:jc w:val="center"/>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Št. naročil</w:t>
            </w:r>
          </w:p>
        </w:tc>
        <w:tc>
          <w:tcPr>
            <w:tcW w:w="1755" w:type="pct"/>
            <w:tcBorders>
              <w:top w:val="single" w:sz="4" w:space="0" w:color="auto"/>
              <w:left w:val="nil"/>
              <w:bottom w:val="single" w:sz="4" w:space="0" w:color="auto"/>
              <w:right w:val="single" w:sz="4" w:space="0" w:color="auto"/>
            </w:tcBorders>
            <w:shd w:val="clear" w:color="000000" w:fill="EDEDED"/>
            <w:vAlign w:val="center"/>
            <w:hideMark/>
          </w:tcPr>
          <w:p w14:paraId="635FDCFC" w14:textId="77777777" w:rsidR="00EC29BF" w:rsidRPr="0019740A" w:rsidRDefault="00EC29BF" w:rsidP="00EC29BF">
            <w:pPr>
              <w:spacing w:after="0" w:line="240" w:lineRule="auto"/>
              <w:jc w:val="center"/>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 xml:space="preserve">Pogodbena vrednost </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FADABDA" w14:textId="77777777" w:rsidR="00EC29BF" w:rsidRPr="0019740A" w:rsidRDefault="00EC29BF" w:rsidP="00EC29BF">
            <w:pPr>
              <w:spacing w:after="0" w:line="240" w:lineRule="auto"/>
              <w:jc w:val="center"/>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74A6B125" w14:textId="77777777" w:rsidR="00EC29BF" w:rsidRPr="0019740A" w:rsidRDefault="00EC29BF" w:rsidP="00EC29BF">
            <w:pPr>
              <w:spacing w:after="0" w:line="240" w:lineRule="auto"/>
              <w:jc w:val="center"/>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Delež v vrednosti istovrstnih naročil</w:t>
            </w:r>
          </w:p>
        </w:tc>
      </w:tr>
      <w:tr w:rsidR="0019740A" w:rsidRPr="0019740A" w14:paraId="5C0161E7"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65A51F9F"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Konkurenčni postopek s pogajanji</w:t>
            </w:r>
          </w:p>
        </w:tc>
        <w:tc>
          <w:tcPr>
            <w:tcW w:w="658" w:type="pct"/>
            <w:tcBorders>
              <w:top w:val="nil"/>
              <w:left w:val="nil"/>
              <w:bottom w:val="single" w:sz="4" w:space="0" w:color="auto"/>
              <w:right w:val="single" w:sz="4" w:space="0" w:color="auto"/>
            </w:tcBorders>
            <w:shd w:val="clear" w:color="auto" w:fill="auto"/>
            <w:vAlign w:val="center"/>
            <w:hideMark/>
          </w:tcPr>
          <w:p w14:paraId="0ABAFEEA" w14:textId="4143C407"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27</w:t>
            </w:r>
          </w:p>
        </w:tc>
        <w:tc>
          <w:tcPr>
            <w:tcW w:w="1755" w:type="pct"/>
            <w:tcBorders>
              <w:top w:val="nil"/>
              <w:left w:val="nil"/>
              <w:bottom w:val="single" w:sz="4" w:space="0" w:color="auto"/>
              <w:right w:val="single" w:sz="4" w:space="0" w:color="auto"/>
            </w:tcBorders>
            <w:shd w:val="clear" w:color="auto" w:fill="auto"/>
            <w:vAlign w:val="center"/>
            <w:hideMark/>
          </w:tcPr>
          <w:p w14:paraId="42D21CEB" w14:textId="7E85F22E"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40.127.723</w:t>
            </w:r>
          </w:p>
        </w:tc>
        <w:tc>
          <w:tcPr>
            <w:tcW w:w="525" w:type="pct"/>
            <w:tcBorders>
              <w:top w:val="nil"/>
              <w:left w:val="nil"/>
              <w:bottom w:val="single" w:sz="4" w:space="0" w:color="auto"/>
              <w:right w:val="single" w:sz="4" w:space="0" w:color="auto"/>
            </w:tcBorders>
            <w:shd w:val="clear" w:color="auto" w:fill="auto"/>
            <w:noWrap/>
            <w:vAlign w:val="center"/>
            <w:hideMark/>
          </w:tcPr>
          <w:p w14:paraId="11AC28E8" w14:textId="653F71CA"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19,15</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4AA1557" w14:textId="06EC3D7C"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29,88</w:t>
            </w:r>
            <w:r>
              <w:rPr>
                <w:rFonts w:ascii="Arial" w:hAnsi="Arial" w:cs="Arial"/>
                <w:color w:val="000000"/>
                <w:sz w:val="18"/>
                <w:szCs w:val="18"/>
              </w:rPr>
              <w:t xml:space="preserve"> %</w:t>
            </w:r>
          </w:p>
        </w:tc>
      </w:tr>
      <w:tr w:rsidR="0019740A" w:rsidRPr="0019740A" w14:paraId="6671902C"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3C15B6B5"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Odprti postopek</w:t>
            </w:r>
          </w:p>
        </w:tc>
        <w:tc>
          <w:tcPr>
            <w:tcW w:w="658" w:type="pct"/>
            <w:tcBorders>
              <w:top w:val="nil"/>
              <w:left w:val="nil"/>
              <w:bottom w:val="single" w:sz="4" w:space="0" w:color="auto"/>
              <w:right w:val="single" w:sz="4" w:space="0" w:color="auto"/>
            </w:tcBorders>
            <w:shd w:val="clear" w:color="auto" w:fill="auto"/>
            <w:vAlign w:val="center"/>
            <w:hideMark/>
          </w:tcPr>
          <w:p w14:paraId="280F04CA" w14:textId="191623C4"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304</w:t>
            </w:r>
          </w:p>
        </w:tc>
        <w:tc>
          <w:tcPr>
            <w:tcW w:w="1755" w:type="pct"/>
            <w:tcBorders>
              <w:top w:val="nil"/>
              <w:left w:val="nil"/>
              <w:bottom w:val="single" w:sz="4" w:space="0" w:color="auto"/>
              <w:right w:val="single" w:sz="4" w:space="0" w:color="auto"/>
            </w:tcBorders>
            <w:shd w:val="clear" w:color="auto" w:fill="auto"/>
            <w:vAlign w:val="center"/>
            <w:hideMark/>
          </w:tcPr>
          <w:p w14:paraId="63377459" w14:textId="629B441E"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261.642.592</w:t>
            </w:r>
          </w:p>
        </w:tc>
        <w:tc>
          <w:tcPr>
            <w:tcW w:w="525" w:type="pct"/>
            <w:tcBorders>
              <w:top w:val="nil"/>
              <w:left w:val="nil"/>
              <w:bottom w:val="single" w:sz="4" w:space="0" w:color="auto"/>
              <w:right w:val="single" w:sz="4" w:space="0" w:color="auto"/>
            </w:tcBorders>
            <w:shd w:val="clear" w:color="auto" w:fill="auto"/>
            <w:noWrap/>
            <w:vAlign w:val="center"/>
            <w:hideMark/>
          </w:tcPr>
          <w:p w14:paraId="617778A9" w14:textId="73A7CAE3"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3,68</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F5CCEAD" w14:textId="580C1E63"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14,72</w:t>
            </w:r>
            <w:r>
              <w:rPr>
                <w:rFonts w:ascii="Arial" w:hAnsi="Arial" w:cs="Arial"/>
                <w:color w:val="000000"/>
                <w:sz w:val="18"/>
                <w:szCs w:val="18"/>
              </w:rPr>
              <w:t xml:space="preserve"> %</w:t>
            </w:r>
          </w:p>
        </w:tc>
      </w:tr>
      <w:tr w:rsidR="0019740A" w:rsidRPr="0019740A" w14:paraId="5920FBA3"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2DB4D335"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Omejeni postopek</w:t>
            </w:r>
          </w:p>
        </w:tc>
        <w:tc>
          <w:tcPr>
            <w:tcW w:w="658" w:type="pct"/>
            <w:tcBorders>
              <w:top w:val="nil"/>
              <w:left w:val="nil"/>
              <w:bottom w:val="single" w:sz="4" w:space="0" w:color="auto"/>
              <w:right w:val="single" w:sz="4" w:space="0" w:color="auto"/>
            </w:tcBorders>
            <w:shd w:val="clear" w:color="auto" w:fill="auto"/>
            <w:vAlign w:val="center"/>
            <w:hideMark/>
          </w:tcPr>
          <w:p w14:paraId="0D176F53" w14:textId="7BE9AFE2"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2</w:t>
            </w:r>
          </w:p>
        </w:tc>
        <w:tc>
          <w:tcPr>
            <w:tcW w:w="1755" w:type="pct"/>
            <w:tcBorders>
              <w:top w:val="nil"/>
              <w:left w:val="nil"/>
              <w:bottom w:val="single" w:sz="4" w:space="0" w:color="auto"/>
              <w:right w:val="single" w:sz="4" w:space="0" w:color="auto"/>
            </w:tcBorders>
            <w:shd w:val="clear" w:color="auto" w:fill="auto"/>
            <w:vAlign w:val="center"/>
            <w:hideMark/>
          </w:tcPr>
          <w:p w14:paraId="5716792D" w14:textId="4E8A7412"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3.699.600</w:t>
            </w:r>
          </w:p>
        </w:tc>
        <w:tc>
          <w:tcPr>
            <w:tcW w:w="525" w:type="pct"/>
            <w:tcBorders>
              <w:top w:val="nil"/>
              <w:left w:val="nil"/>
              <w:bottom w:val="single" w:sz="4" w:space="0" w:color="auto"/>
              <w:right w:val="single" w:sz="4" w:space="0" w:color="auto"/>
            </w:tcBorders>
            <w:shd w:val="clear" w:color="auto" w:fill="auto"/>
            <w:noWrap/>
            <w:vAlign w:val="center"/>
            <w:hideMark/>
          </w:tcPr>
          <w:p w14:paraId="14338BC4" w14:textId="08DD4EFB"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4,35</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8859E92" w14:textId="0068BEC4"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18,42</w:t>
            </w:r>
            <w:r>
              <w:rPr>
                <w:rFonts w:ascii="Arial" w:hAnsi="Arial" w:cs="Arial"/>
                <w:color w:val="000000"/>
                <w:sz w:val="18"/>
                <w:szCs w:val="18"/>
              </w:rPr>
              <w:t xml:space="preserve"> %</w:t>
            </w:r>
          </w:p>
        </w:tc>
      </w:tr>
      <w:tr w:rsidR="0019740A" w:rsidRPr="0019740A" w14:paraId="38620187"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616289AF"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Postopek naročila male vrednosti</w:t>
            </w:r>
          </w:p>
        </w:tc>
        <w:tc>
          <w:tcPr>
            <w:tcW w:w="658" w:type="pct"/>
            <w:tcBorders>
              <w:top w:val="nil"/>
              <w:left w:val="nil"/>
              <w:bottom w:val="single" w:sz="4" w:space="0" w:color="auto"/>
              <w:right w:val="single" w:sz="4" w:space="0" w:color="auto"/>
            </w:tcBorders>
            <w:shd w:val="clear" w:color="auto" w:fill="auto"/>
            <w:vAlign w:val="center"/>
            <w:hideMark/>
          </w:tcPr>
          <w:p w14:paraId="1C48E6E0" w14:textId="40931AF4"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532</w:t>
            </w:r>
          </w:p>
        </w:tc>
        <w:tc>
          <w:tcPr>
            <w:tcW w:w="1755" w:type="pct"/>
            <w:tcBorders>
              <w:top w:val="nil"/>
              <w:left w:val="nil"/>
              <w:bottom w:val="single" w:sz="4" w:space="0" w:color="auto"/>
              <w:right w:val="single" w:sz="4" w:space="0" w:color="auto"/>
            </w:tcBorders>
            <w:shd w:val="clear" w:color="auto" w:fill="auto"/>
            <w:vAlign w:val="center"/>
            <w:hideMark/>
          </w:tcPr>
          <w:p w14:paraId="33CDF339" w14:textId="029D6D99"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62.781.017</w:t>
            </w:r>
          </w:p>
        </w:tc>
        <w:tc>
          <w:tcPr>
            <w:tcW w:w="525" w:type="pct"/>
            <w:tcBorders>
              <w:top w:val="nil"/>
              <w:left w:val="nil"/>
              <w:bottom w:val="single" w:sz="4" w:space="0" w:color="auto"/>
              <w:right w:val="single" w:sz="4" w:space="0" w:color="auto"/>
            </w:tcBorders>
            <w:shd w:val="clear" w:color="auto" w:fill="auto"/>
            <w:noWrap/>
            <w:vAlign w:val="center"/>
            <w:hideMark/>
          </w:tcPr>
          <w:p w14:paraId="7EF88EFF" w14:textId="2153B4BD"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7,24</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092BCCE" w14:textId="55E64AF1"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13,77</w:t>
            </w:r>
            <w:r>
              <w:rPr>
                <w:rFonts w:ascii="Arial" w:hAnsi="Arial" w:cs="Arial"/>
                <w:color w:val="000000"/>
                <w:sz w:val="18"/>
                <w:szCs w:val="18"/>
              </w:rPr>
              <w:t xml:space="preserve"> %</w:t>
            </w:r>
          </w:p>
        </w:tc>
      </w:tr>
      <w:tr w:rsidR="0019740A" w:rsidRPr="0019740A" w14:paraId="69AE6685"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22E177F4"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Postopek s pogajanji brez predhodne objave</w:t>
            </w:r>
          </w:p>
        </w:tc>
        <w:tc>
          <w:tcPr>
            <w:tcW w:w="658" w:type="pct"/>
            <w:tcBorders>
              <w:top w:val="nil"/>
              <w:left w:val="nil"/>
              <w:bottom w:val="single" w:sz="4" w:space="0" w:color="auto"/>
              <w:right w:val="single" w:sz="4" w:space="0" w:color="auto"/>
            </w:tcBorders>
            <w:shd w:val="clear" w:color="auto" w:fill="auto"/>
            <w:vAlign w:val="center"/>
            <w:hideMark/>
          </w:tcPr>
          <w:p w14:paraId="3EC3924C" w14:textId="2394CD82"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43</w:t>
            </w:r>
          </w:p>
        </w:tc>
        <w:tc>
          <w:tcPr>
            <w:tcW w:w="1755" w:type="pct"/>
            <w:tcBorders>
              <w:top w:val="nil"/>
              <w:left w:val="nil"/>
              <w:bottom w:val="single" w:sz="4" w:space="0" w:color="auto"/>
              <w:right w:val="single" w:sz="4" w:space="0" w:color="auto"/>
            </w:tcBorders>
            <w:shd w:val="clear" w:color="auto" w:fill="auto"/>
            <w:vAlign w:val="center"/>
            <w:hideMark/>
          </w:tcPr>
          <w:p w14:paraId="6FD05276" w14:textId="7FFEFAD4"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55.757.225</w:t>
            </w:r>
          </w:p>
        </w:tc>
        <w:tc>
          <w:tcPr>
            <w:tcW w:w="525" w:type="pct"/>
            <w:tcBorders>
              <w:top w:val="nil"/>
              <w:left w:val="nil"/>
              <w:bottom w:val="single" w:sz="4" w:space="0" w:color="auto"/>
              <w:right w:val="single" w:sz="4" w:space="0" w:color="auto"/>
            </w:tcBorders>
            <w:shd w:val="clear" w:color="auto" w:fill="auto"/>
            <w:noWrap/>
            <w:vAlign w:val="center"/>
            <w:hideMark/>
          </w:tcPr>
          <w:p w14:paraId="25F86571" w14:textId="6E4C3420"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5,19</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45585B2B" w14:textId="3AE781D1"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18,03</w:t>
            </w:r>
            <w:r>
              <w:rPr>
                <w:rFonts w:ascii="Arial" w:hAnsi="Arial" w:cs="Arial"/>
                <w:color w:val="000000"/>
                <w:sz w:val="18"/>
                <w:szCs w:val="18"/>
              </w:rPr>
              <w:t xml:space="preserve"> %</w:t>
            </w:r>
          </w:p>
        </w:tc>
      </w:tr>
      <w:tr w:rsidR="0019740A" w:rsidRPr="0019740A" w14:paraId="16B496A4"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629FFDB7"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Postopek s pogajanji po predhodni objavi</w:t>
            </w:r>
          </w:p>
        </w:tc>
        <w:tc>
          <w:tcPr>
            <w:tcW w:w="658" w:type="pct"/>
            <w:tcBorders>
              <w:top w:val="nil"/>
              <w:left w:val="nil"/>
              <w:bottom w:val="single" w:sz="4" w:space="0" w:color="auto"/>
              <w:right w:val="single" w:sz="4" w:space="0" w:color="auto"/>
            </w:tcBorders>
            <w:shd w:val="clear" w:color="auto" w:fill="auto"/>
            <w:vAlign w:val="center"/>
            <w:hideMark/>
          </w:tcPr>
          <w:p w14:paraId="2ED549EC" w14:textId="36830187"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19</w:t>
            </w:r>
          </w:p>
        </w:tc>
        <w:tc>
          <w:tcPr>
            <w:tcW w:w="1755" w:type="pct"/>
            <w:tcBorders>
              <w:top w:val="nil"/>
              <w:left w:val="nil"/>
              <w:bottom w:val="single" w:sz="4" w:space="0" w:color="auto"/>
              <w:right w:val="single" w:sz="4" w:space="0" w:color="auto"/>
            </w:tcBorders>
            <w:shd w:val="clear" w:color="auto" w:fill="auto"/>
            <w:vAlign w:val="center"/>
            <w:hideMark/>
          </w:tcPr>
          <w:p w14:paraId="4781A08D" w14:textId="1EA1EC5E"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19.805.328</w:t>
            </w:r>
          </w:p>
        </w:tc>
        <w:tc>
          <w:tcPr>
            <w:tcW w:w="525" w:type="pct"/>
            <w:tcBorders>
              <w:top w:val="nil"/>
              <w:left w:val="nil"/>
              <w:bottom w:val="single" w:sz="4" w:space="0" w:color="auto"/>
              <w:right w:val="single" w:sz="4" w:space="0" w:color="auto"/>
            </w:tcBorders>
            <w:shd w:val="clear" w:color="auto" w:fill="auto"/>
            <w:noWrap/>
            <w:vAlign w:val="center"/>
            <w:hideMark/>
          </w:tcPr>
          <w:p w14:paraId="52F91571" w14:textId="72794EC9"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8,56</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8B8702F" w14:textId="7FEEF751"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9,53</w:t>
            </w:r>
            <w:r>
              <w:rPr>
                <w:rFonts w:ascii="Arial" w:hAnsi="Arial" w:cs="Arial"/>
                <w:color w:val="000000"/>
                <w:sz w:val="18"/>
                <w:szCs w:val="18"/>
              </w:rPr>
              <w:t xml:space="preserve"> %</w:t>
            </w:r>
          </w:p>
        </w:tc>
      </w:tr>
      <w:tr w:rsidR="0019740A" w:rsidRPr="0019740A" w14:paraId="00E2F6BB" w14:textId="77777777" w:rsidTr="0019740A">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2903C3B5" w14:textId="77777777" w:rsidR="0019740A" w:rsidRPr="0019740A" w:rsidRDefault="0019740A" w:rsidP="0019740A">
            <w:pPr>
              <w:spacing w:after="0" w:line="240" w:lineRule="auto"/>
              <w:rPr>
                <w:rFonts w:ascii="Arial" w:eastAsia="Times New Roman" w:hAnsi="Arial" w:cs="Arial"/>
                <w:color w:val="000000"/>
                <w:sz w:val="18"/>
                <w:szCs w:val="18"/>
                <w:lang w:eastAsia="sl-SI"/>
              </w:rPr>
            </w:pPr>
            <w:r w:rsidRPr="0019740A">
              <w:rPr>
                <w:rFonts w:ascii="Arial" w:eastAsia="Times New Roman" w:hAnsi="Arial" w:cs="Arial"/>
                <w:color w:val="000000"/>
                <w:sz w:val="18"/>
                <w:szCs w:val="18"/>
                <w:lang w:eastAsia="sl-SI"/>
              </w:rPr>
              <w:t>Postopek zbiranja ponudb po predhodni objavi</w:t>
            </w:r>
          </w:p>
        </w:tc>
        <w:tc>
          <w:tcPr>
            <w:tcW w:w="658" w:type="pct"/>
            <w:tcBorders>
              <w:top w:val="nil"/>
              <w:left w:val="nil"/>
              <w:bottom w:val="single" w:sz="4" w:space="0" w:color="auto"/>
              <w:right w:val="single" w:sz="4" w:space="0" w:color="auto"/>
            </w:tcBorders>
            <w:shd w:val="clear" w:color="auto" w:fill="auto"/>
            <w:vAlign w:val="center"/>
            <w:hideMark/>
          </w:tcPr>
          <w:p w14:paraId="1077BE17" w14:textId="2FCBAF3F"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4</w:t>
            </w:r>
          </w:p>
        </w:tc>
        <w:tc>
          <w:tcPr>
            <w:tcW w:w="1755" w:type="pct"/>
            <w:tcBorders>
              <w:top w:val="nil"/>
              <w:left w:val="nil"/>
              <w:bottom w:val="single" w:sz="4" w:space="0" w:color="auto"/>
              <w:right w:val="single" w:sz="4" w:space="0" w:color="auto"/>
            </w:tcBorders>
            <w:shd w:val="clear" w:color="auto" w:fill="auto"/>
            <w:vAlign w:val="center"/>
            <w:hideMark/>
          </w:tcPr>
          <w:p w14:paraId="5CC428D5" w14:textId="349A3114" w:rsidR="0019740A" w:rsidRPr="0019740A" w:rsidRDefault="0019740A" w:rsidP="0019740A">
            <w:pPr>
              <w:spacing w:after="0" w:line="240" w:lineRule="auto"/>
              <w:jc w:val="right"/>
              <w:rPr>
                <w:rFonts w:ascii="Arial" w:eastAsia="Times New Roman" w:hAnsi="Arial" w:cs="Arial"/>
                <w:color w:val="000000"/>
                <w:sz w:val="18"/>
                <w:szCs w:val="18"/>
                <w:lang w:eastAsia="sl-SI"/>
              </w:rPr>
            </w:pPr>
            <w:r w:rsidRPr="0019740A">
              <w:rPr>
                <w:rFonts w:ascii="Arial" w:hAnsi="Arial" w:cs="Arial"/>
                <w:color w:val="000000"/>
                <w:sz w:val="18"/>
                <w:szCs w:val="18"/>
              </w:rPr>
              <w:t>455.646</w:t>
            </w:r>
          </w:p>
        </w:tc>
        <w:tc>
          <w:tcPr>
            <w:tcW w:w="525" w:type="pct"/>
            <w:tcBorders>
              <w:top w:val="nil"/>
              <w:left w:val="nil"/>
              <w:bottom w:val="single" w:sz="4" w:space="0" w:color="auto"/>
              <w:right w:val="single" w:sz="4" w:space="0" w:color="auto"/>
            </w:tcBorders>
            <w:shd w:val="clear" w:color="auto" w:fill="auto"/>
            <w:noWrap/>
            <w:vAlign w:val="center"/>
            <w:hideMark/>
          </w:tcPr>
          <w:p w14:paraId="6C5F6139" w14:textId="5476CF33"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30,77</w:t>
            </w:r>
            <w:r>
              <w:rPr>
                <w:rFonts w:ascii="Arial" w:hAnsi="Arial" w:cs="Arial"/>
                <w:color w:val="00000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221AC7D" w14:textId="7775BCA2" w:rsidR="0019740A" w:rsidRPr="0019740A" w:rsidRDefault="0019740A" w:rsidP="0019740A">
            <w:pPr>
              <w:spacing w:after="0" w:line="240" w:lineRule="auto"/>
              <w:jc w:val="right"/>
              <w:rPr>
                <w:rFonts w:ascii="Arial" w:eastAsia="Times New Roman" w:hAnsi="Arial" w:cs="Arial"/>
                <w:color w:val="000000"/>
                <w:sz w:val="18"/>
                <w:szCs w:val="18"/>
                <w:highlight w:val="yellow"/>
                <w:lang w:eastAsia="sl-SI"/>
              </w:rPr>
            </w:pPr>
            <w:r w:rsidRPr="0019740A">
              <w:rPr>
                <w:rFonts w:ascii="Arial" w:hAnsi="Arial" w:cs="Arial"/>
                <w:color w:val="000000"/>
                <w:sz w:val="18"/>
                <w:szCs w:val="18"/>
              </w:rPr>
              <w:t>28,03</w:t>
            </w:r>
            <w:r>
              <w:rPr>
                <w:rFonts w:ascii="Arial" w:hAnsi="Arial" w:cs="Arial"/>
                <w:color w:val="000000"/>
                <w:sz w:val="18"/>
                <w:szCs w:val="18"/>
              </w:rPr>
              <w:t xml:space="preserve"> %</w:t>
            </w:r>
          </w:p>
        </w:tc>
      </w:tr>
      <w:tr w:rsidR="006E2AEC" w:rsidRPr="0019740A" w14:paraId="06B0E300" w14:textId="77777777" w:rsidTr="00B45EE0">
        <w:trPr>
          <w:gridAfter w:val="2"/>
          <w:wAfter w:w="1051" w:type="pct"/>
          <w:trHeight w:val="300"/>
        </w:trPr>
        <w:tc>
          <w:tcPr>
            <w:tcW w:w="1537"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1E2003B5" w14:textId="77777777" w:rsidR="006E2AEC" w:rsidRPr="0019740A" w:rsidRDefault="006E2AEC" w:rsidP="00290B91">
            <w:pPr>
              <w:spacing w:after="0" w:line="240" w:lineRule="auto"/>
              <w:rPr>
                <w:rFonts w:ascii="Arial" w:eastAsia="Times New Roman" w:hAnsi="Arial" w:cs="Arial"/>
                <w:b/>
                <w:bCs/>
                <w:color w:val="000000"/>
                <w:sz w:val="18"/>
                <w:szCs w:val="18"/>
                <w:lang w:eastAsia="sl-SI"/>
              </w:rPr>
            </w:pPr>
            <w:r w:rsidRPr="0019740A">
              <w:rPr>
                <w:rFonts w:ascii="Arial" w:eastAsia="Times New Roman" w:hAnsi="Arial" w:cs="Arial"/>
                <w:b/>
                <w:bCs/>
                <w:color w:val="000000"/>
                <w:sz w:val="18"/>
                <w:szCs w:val="18"/>
                <w:lang w:eastAsia="sl-SI"/>
              </w:rPr>
              <w:t>Skupaj</w:t>
            </w:r>
          </w:p>
        </w:tc>
        <w:tc>
          <w:tcPr>
            <w:tcW w:w="658" w:type="pct"/>
            <w:tcBorders>
              <w:top w:val="nil"/>
              <w:left w:val="nil"/>
              <w:bottom w:val="single" w:sz="4" w:space="0" w:color="auto"/>
              <w:right w:val="single" w:sz="4" w:space="0" w:color="auto"/>
            </w:tcBorders>
            <w:shd w:val="clear" w:color="auto" w:fill="E7E6E6" w:themeFill="background2"/>
            <w:noWrap/>
            <w:vAlign w:val="center"/>
            <w:hideMark/>
          </w:tcPr>
          <w:p w14:paraId="4D3AEAD4" w14:textId="77777777" w:rsidR="006E2AEC" w:rsidRPr="0019740A" w:rsidRDefault="006E2AEC" w:rsidP="00EC29BF">
            <w:pPr>
              <w:spacing w:after="0" w:line="240" w:lineRule="auto"/>
              <w:jc w:val="right"/>
              <w:rPr>
                <w:rFonts w:ascii="Arial" w:eastAsia="Times New Roman" w:hAnsi="Arial" w:cs="Arial"/>
                <w:b/>
                <w:bCs/>
                <w:color w:val="000000"/>
                <w:sz w:val="18"/>
                <w:szCs w:val="18"/>
                <w:lang w:eastAsia="sl-SI"/>
              </w:rPr>
            </w:pPr>
            <w:r w:rsidRPr="0019740A">
              <w:rPr>
                <w:rFonts w:ascii="Arial" w:eastAsia="Times New Roman" w:hAnsi="Arial" w:cs="Arial"/>
                <w:b/>
                <w:bCs/>
                <w:color w:val="000000"/>
                <w:sz w:val="18"/>
                <w:szCs w:val="18"/>
                <w:lang w:eastAsia="sl-SI"/>
              </w:rPr>
              <w:t>931</w:t>
            </w:r>
          </w:p>
        </w:tc>
        <w:tc>
          <w:tcPr>
            <w:tcW w:w="1755" w:type="pct"/>
            <w:tcBorders>
              <w:top w:val="nil"/>
              <w:left w:val="nil"/>
              <w:bottom w:val="single" w:sz="4" w:space="0" w:color="auto"/>
              <w:right w:val="single" w:sz="4" w:space="0" w:color="auto"/>
            </w:tcBorders>
            <w:shd w:val="clear" w:color="auto" w:fill="E7E6E6" w:themeFill="background2"/>
            <w:noWrap/>
            <w:vAlign w:val="center"/>
            <w:hideMark/>
          </w:tcPr>
          <w:p w14:paraId="684FB592" w14:textId="77777777" w:rsidR="006E2AEC" w:rsidRPr="0019740A" w:rsidRDefault="006E2AEC" w:rsidP="00EC29BF">
            <w:pPr>
              <w:spacing w:after="0" w:line="240" w:lineRule="auto"/>
              <w:jc w:val="right"/>
              <w:rPr>
                <w:rFonts w:ascii="Arial" w:eastAsia="Times New Roman" w:hAnsi="Arial" w:cs="Arial"/>
                <w:b/>
                <w:bCs/>
                <w:color w:val="000000"/>
                <w:sz w:val="18"/>
                <w:szCs w:val="18"/>
                <w:lang w:eastAsia="sl-SI"/>
              </w:rPr>
            </w:pPr>
            <w:r w:rsidRPr="0019740A">
              <w:rPr>
                <w:rFonts w:ascii="Arial" w:eastAsia="Times New Roman" w:hAnsi="Arial" w:cs="Arial"/>
                <w:b/>
                <w:bCs/>
                <w:color w:val="000000"/>
                <w:sz w:val="18"/>
                <w:szCs w:val="18"/>
                <w:lang w:eastAsia="sl-SI"/>
              </w:rPr>
              <w:t>444.269.131</w:t>
            </w:r>
          </w:p>
        </w:tc>
      </w:tr>
    </w:tbl>
    <w:p w14:paraId="577A6AB5" w14:textId="77777777" w:rsidR="004A613D" w:rsidRPr="00290B91" w:rsidRDefault="004A613D" w:rsidP="004A613D">
      <w:pPr>
        <w:spacing w:after="0" w:line="240" w:lineRule="auto"/>
        <w:jc w:val="center"/>
        <w:rPr>
          <w:rFonts w:ascii="Arial" w:hAnsi="Arial" w:cs="Arial"/>
          <w:sz w:val="18"/>
        </w:rPr>
      </w:pPr>
    </w:p>
    <w:p w14:paraId="5CA04387" w14:textId="56699654" w:rsidR="00765CC0" w:rsidRPr="00290B91" w:rsidRDefault="00765CC0" w:rsidP="00701C10">
      <w:pPr>
        <w:spacing w:after="240" w:line="240" w:lineRule="auto"/>
        <w:jc w:val="center"/>
        <w:rPr>
          <w:rFonts w:ascii="Arial" w:hAnsi="Arial" w:cs="Arial"/>
          <w:sz w:val="18"/>
        </w:rPr>
      </w:pPr>
      <w:r w:rsidRPr="00290B91">
        <w:rPr>
          <w:rFonts w:ascii="Arial" w:hAnsi="Arial" w:cs="Arial"/>
          <w:sz w:val="18"/>
        </w:rPr>
        <w:t>Vir: Statistični podatki o javnih naročilih, oddanih v letu 201</w:t>
      </w:r>
      <w:r w:rsidR="00EC29BF" w:rsidRPr="00290B91">
        <w:rPr>
          <w:rFonts w:ascii="Arial" w:hAnsi="Arial" w:cs="Arial"/>
          <w:sz w:val="18"/>
        </w:rPr>
        <w:t>8</w:t>
      </w:r>
    </w:p>
    <w:p w14:paraId="6A63987A" w14:textId="742BBF3E" w:rsidR="002B205A" w:rsidRPr="00F81D74" w:rsidRDefault="00765CC0" w:rsidP="00765CC0">
      <w:pPr>
        <w:spacing w:line="360" w:lineRule="auto"/>
        <w:jc w:val="both"/>
        <w:rPr>
          <w:rFonts w:ascii="Arial" w:hAnsi="Arial" w:cs="Arial"/>
          <w:sz w:val="20"/>
          <w:szCs w:val="20"/>
          <w:lang w:eastAsia="sl-SI"/>
        </w:rPr>
      </w:pPr>
      <w:r w:rsidRPr="00F81D74">
        <w:rPr>
          <w:rFonts w:ascii="Arial" w:hAnsi="Arial" w:cs="Arial"/>
          <w:sz w:val="20"/>
          <w:szCs w:val="20"/>
          <w:lang w:eastAsia="sl-SI"/>
        </w:rPr>
        <w:t xml:space="preserve">Glede na </w:t>
      </w:r>
      <w:r w:rsidR="002B205A" w:rsidRPr="00F81D74">
        <w:rPr>
          <w:rFonts w:ascii="Arial" w:hAnsi="Arial" w:cs="Arial"/>
          <w:sz w:val="20"/>
          <w:szCs w:val="20"/>
          <w:lang w:eastAsia="sl-SI"/>
        </w:rPr>
        <w:t xml:space="preserve">področje </w:t>
      </w:r>
      <w:r w:rsidRPr="00F81D74">
        <w:rPr>
          <w:rFonts w:ascii="Arial" w:hAnsi="Arial" w:cs="Arial"/>
          <w:sz w:val="20"/>
          <w:szCs w:val="20"/>
          <w:lang w:eastAsia="sl-SI"/>
        </w:rPr>
        <w:t xml:space="preserve">je bilo največ </w:t>
      </w:r>
      <w:r w:rsidR="002B205A" w:rsidRPr="00F81D74">
        <w:rPr>
          <w:rFonts w:ascii="Arial" w:hAnsi="Arial" w:cs="Arial"/>
          <w:sz w:val="20"/>
          <w:szCs w:val="20"/>
          <w:lang w:eastAsia="sl-SI"/>
        </w:rPr>
        <w:t xml:space="preserve">javnih naročil </w:t>
      </w:r>
      <w:r w:rsidRPr="00F81D74">
        <w:rPr>
          <w:rFonts w:ascii="Arial" w:hAnsi="Arial" w:cs="Arial"/>
          <w:sz w:val="20"/>
          <w:szCs w:val="20"/>
          <w:lang w:eastAsia="sl-SI"/>
        </w:rPr>
        <w:t xml:space="preserve">oddanih v </w:t>
      </w:r>
      <w:proofErr w:type="spellStart"/>
      <w:r w:rsidRPr="00F81D74">
        <w:rPr>
          <w:rFonts w:ascii="Arial" w:hAnsi="Arial" w:cs="Arial"/>
          <w:sz w:val="20"/>
          <w:szCs w:val="20"/>
          <w:lang w:eastAsia="sl-SI"/>
        </w:rPr>
        <w:t>podizvajanje</w:t>
      </w:r>
      <w:proofErr w:type="spellEnd"/>
      <w:r w:rsidRPr="00F81D74">
        <w:rPr>
          <w:rFonts w:ascii="Arial" w:hAnsi="Arial" w:cs="Arial"/>
          <w:sz w:val="20"/>
          <w:szCs w:val="20"/>
          <w:lang w:eastAsia="sl-SI"/>
        </w:rPr>
        <w:t xml:space="preserve"> </w:t>
      </w:r>
      <w:r w:rsidR="00FD48CF" w:rsidRPr="00F81D74">
        <w:rPr>
          <w:rFonts w:ascii="Arial" w:hAnsi="Arial" w:cs="Arial"/>
          <w:sz w:val="20"/>
          <w:szCs w:val="20"/>
          <w:lang w:eastAsia="sl-SI"/>
        </w:rPr>
        <w:t>pri</w:t>
      </w:r>
      <w:r w:rsidRPr="00F81D74">
        <w:rPr>
          <w:rFonts w:ascii="Arial" w:hAnsi="Arial" w:cs="Arial"/>
          <w:sz w:val="20"/>
          <w:szCs w:val="20"/>
          <w:lang w:eastAsia="sl-SI"/>
        </w:rPr>
        <w:t xml:space="preserve"> </w:t>
      </w:r>
      <w:r w:rsidR="002B205A" w:rsidRPr="00F81D74">
        <w:rPr>
          <w:rFonts w:ascii="Arial" w:hAnsi="Arial" w:cs="Arial"/>
          <w:sz w:val="20"/>
          <w:szCs w:val="20"/>
          <w:lang w:eastAsia="sl-SI"/>
        </w:rPr>
        <w:t>javnih naročilih na splošnem področju</w:t>
      </w:r>
      <w:r w:rsidRPr="00F81D74">
        <w:rPr>
          <w:rFonts w:ascii="Arial" w:hAnsi="Arial" w:cs="Arial"/>
          <w:sz w:val="20"/>
          <w:szCs w:val="20"/>
          <w:lang w:eastAsia="sl-SI"/>
        </w:rPr>
        <w:t xml:space="preserve">. </w:t>
      </w:r>
      <w:r w:rsidR="00BE0EAD" w:rsidRPr="00F81D74">
        <w:rPr>
          <w:rFonts w:ascii="Arial" w:hAnsi="Arial" w:cs="Arial"/>
          <w:sz w:val="20"/>
          <w:szCs w:val="20"/>
          <w:lang w:eastAsia="sl-SI"/>
        </w:rPr>
        <w:t xml:space="preserve">Teh naročil je bilo </w:t>
      </w:r>
      <w:r w:rsidR="00F81D74" w:rsidRPr="00F81D74">
        <w:rPr>
          <w:rFonts w:ascii="Arial" w:hAnsi="Arial" w:cs="Arial"/>
          <w:sz w:val="20"/>
          <w:szCs w:val="20"/>
          <w:lang w:eastAsia="sl-SI"/>
        </w:rPr>
        <w:t>805</w:t>
      </w:r>
      <w:r w:rsidR="00BE0EAD" w:rsidRPr="00F81D74">
        <w:rPr>
          <w:rFonts w:ascii="Arial" w:hAnsi="Arial" w:cs="Arial"/>
          <w:sz w:val="20"/>
          <w:szCs w:val="20"/>
          <w:lang w:eastAsia="sl-SI"/>
        </w:rPr>
        <w:t xml:space="preserve">, njihova vrednost pa znaša </w:t>
      </w:r>
      <w:r w:rsidR="00F81D74" w:rsidRPr="00F81D74">
        <w:rPr>
          <w:rFonts w:ascii="Arial" w:hAnsi="Arial" w:cs="Arial"/>
          <w:sz w:val="20"/>
          <w:szCs w:val="20"/>
          <w:lang w:eastAsia="sl-SI"/>
        </w:rPr>
        <w:t xml:space="preserve">373.585.714 </w:t>
      </w:r>
      <w:r w:rsidR="00BE0EAD" w:rsidRPr="00F81D74">
        <w:rPr>
          <w:rFonts w:ascii="Arial" w:hAnsi="Arial" w:cs="Arial"/>
          <w:sz w:val="20"/>
          <w:szCs w:val="20"/>
          <w:lang w:eastAsia="sl-SI"/>
        </w:rPr>
        <w:t xml:space="preserve">evrov, kar je po številu </w:t>
      </w:r>
      <w:r w:rsidR="00F81D74" w:rsidRPr="00F81D74">
        <w:rPr>
          <w:rFonts w:ascii="Arial" w:hAnsi="Arial" w:cs="Arial"/>
          <w:sz w:val="20"/>
          <w:szCs w:val="20"/>
          <w:lang w:eastAsia="sl-SI"/>
        </w:rPr>
        <w:t>86,47</w:t>
      </w:r>
      <w:r w:rsidR="003F0478">
        <w:rPr>
          <w:rFonts w:ascii="Arial" w:hAnsi="Arial" w:cs="Arial"/>
          <w:sz w:val="20"/>
          <w:szCs w:val="20"/>
          <w:lang w:eastAsia="sl-SI"/>
        </w:rPr>
        <w:t> </w:t>
      </w:r>
      <w:r w:rsidR="00BE0EAD" w:rsidRPr="00F81D74">
        <w:rPr>
          <w:rFonts w:ascii="Arial" w:hAnsi="Arial" w:cs="Arial"/>
          <w:sz w:val="20"/>
          <w:szCs w:val="20"/>
          <w:lang w:eastAsia="sl-SI"/>
        </w:rPr>
        <w:t xml:space="preserve">% vseh javnih naročil, ki so bila oddana v </w:t>
      </w:r>
      <w:proofErr w:type="spellStart"/>
      <w:r w:rsidR="00BE0EAD" w:rsidRPr="00F81D74">
        <w:rPr>
          <w:rFonts w:ascii="Arial" w:hAnsi="Arial" w:cs="Arial"/>
          <w:sz w:val="20"/>
          <w:szCs w:val="20"/>
          <w:lang w:eastAsia="sl-SI"/>
        </w:rPr>
        <w:t>podizvajanje</w:t>
      </w:r>
      <w:proofErr w:type="spellEnd"/>
      <w:r w:rsidR="00BE0EAD" w:rsidRPr="00F81D74">
        <w:rPr>
          <w:rFonts w:ascii="Arial" w:hAnsi="Arial" w:cs="Arial"/>
          <w:sz w:val="20"/>
          <w:szCs w:val="20"/>
          <w:lang w:eastAsia="sl-SI"/>
        </w:rPr>
        <w:t xml:space="preserve">, po vrednosti pa </w:t>
      </w:r>
      <w:r w:rsidR="00F81D74" w:rsidRPr="00F81D74">
        <w:rPr>
          <w:rFonts w:ascii="Arial" w:hAnsi="Arial" w:cs="Arial"/>
          <w:sz w:val="20"/>
          <w:szCs w:val="20"/>
          <w:lang w:eastAsia="sl-SI"/>
        </w:rPr>
        <w:t>84,09</w:t>
      </w:r>
      <w:r w:rsidR="003F0478">
        <w:rPr>
          <w:rFonts w:ascii="Arial" w:hAnsi="Arial" w:cs="Arial"/>
          <w:sz w:val="20"/>
          <w:szCs w:val="20"/>
          <w:lang w:eastAsia="sl-SI"/>
        </w:rPr>
        <w:t xml:space="preserve"> </w:t>
      </w:r>
      <w:r w:rsidR="00BE0EAD" w:rsidRPr="00F81D74">
        <w:rPr>
          <w:rFonts w:ascii="Arial" w:hAnsi="Arial" w:cs="Arial"/>
          <w:sz w:val="20"/>
          <w:szCs w:val="20"/>
          <w:lang w:eastAsia="sl-SI"/>
        </w:rPr>
        <w:t>%.</w:t>
      </w:r>
    </w:p>
    <w:p w14:paraId="74BCA058" w14:textId="320DC72A" w:rsidR="00456791" w:rsidRPr="008702D6" w:rsidRDefault="00456791" w:rsidP="008A61FD">
      <w:pPr>
        <w:spacing w:before="120" w:after="120" w:line="240" w:lineRule="auto"/>
        <w:jc w:val="both"/>
        <w:rPr>
          <w:rFonts w:ascii="Arial" w:hAnsi="Arial" w:cs="Arial"/>
          <w:sz w:val="20"/>
        </w:rPr>
      </w:pPr>
      <w:r w:rsidRPr="008702D6">
        <w:rPr>
          <w:rFonts w:ascii="Arial" w:hAnsi="Arial" w:cs="Arial"/>
          <w:sz w:val="20"/>
        </w:rPr>
        <w:t xml:space="preserve">Preglednica </w:t>
      </w:r>
      <w:r w:rsidR="00EB4423">
        <w:rPr>
          <w:rFonts w:ascii="Arial" w:hAnsi="Arial" w:cs="Arial"/>
          <w:sz w:val="20"/>
        </w:rPr>
        <w:t>36</w:t>
      </w:r>
      <w:r w:rsidRPr="008702D6">
        <w:rPr>
          <w:rFonts w:ascii="Arial" w:hAnsi="Arial" w:cs="Arial"/>
          <w:sz w:val="20"/>
        </w:rPr>
        <w:t>: Udeležba podizvajalcev v javnih naročilih glede na področje</w:t>
      </w:r>
      <w:r w:rsidR="000F2B07" w:rsidRPr="008702D6">
        <w:rPr>
          <w:rFonts w:ascii="Arial" w:hAnsi="Arial" w:cs="Arial"/>
          <w:sz w:val="20"/>
        </w:rPr>
        <w:t xml:space="preserve"> naročanja</w:t>
      </w:r>
    </w:p>
    <w:tbl>
      <w:tblPr>
        <w:tblW w:w="8493" w:type="dxa"/>
        <w:jc w:val="center"/>
        <w:tblCellMar>
          <w:left w:w="70" w:type="dxa"/>
          <w:right w:w="70" w:type="dxa"/>
        </w:tblCellMar>
        <w:tblLook w:val="04A0" w:firstRow="1" w:lastRow="0" w:firstColumn="1" w:lastColumn="0" w:noHBand="0" w:noVBand="1"/>
      </w:tblPr>
      <w:tblGrid>
        <w:gridCol w:w="1698"/>
        <w:gridCol w:w="1699"/>
        <w:gridCol w:w="1698"/>
        <w:gridCol w:w="1699"/>
        <w:gridCol w:w="1699"/>
      </w:tblGrid>
      <w:tr w:rsidR="00475151" w:rsidRPr="008702D6" w14:paraId="47335D7B" w14:textId="77777777" w:rsidTr="00A501A4">
        <w:trPr>
          <w:trHeight w:val="828"/>
          <w:jc w:val="center"/>
        </w:trPr>
        <w:tc>
          <w:tcPr>
            <w:tcW w:w="169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4C31A3D" w14:textId="5A2A294E" w:rsidR="00475151" w:rsidRPr="008702D6" w:rsidRDefault="00664C3D" w:rsidP="007B5C52">
            <w:pPr>
              <w:spacing w:after="0" w:line="240" w:lineRule="auto"/>
              <w:jc w:val="center"/>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P</w:t>
            </w:r>
            <w:r w:rsidR="00475151" w:rsidRPr="008702D6">
              <w:rPr>
                <w:rFonts w:ascii="Arial" w:eastAsia="Times New Roman" w:hAnsi="Arial" w:cs="Arial"/>
                <w:color w:val="000000"/>
                <w:sz w:val="18"/>
                <w:szCs w:val="18"/>
                <w:lang w:eastAsia="sl-SI"/>
              </w:rPr>
              <w:t>odročje</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BD275D8" w14:textId="7258893D" w:rsidR="00475151" w:rsidRPr="008702D6" w:rsidRDefault="00475151" w:rsidP="00475151">
            <w:pPr>
              <w:spacing w:after="0" w:line="240" w:lineRule="auto"/>
              <w:jc w:val="center"/>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Št. naročil</w:t>
            </w:r>
          </w:p>
        </w:tc>
        <w:tc>
          <w:tcPr>
            <w:tcW w:w="169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3FFB796" w14:textId="77777777" w:rsidR="00475151" w:rsidRPr="008702D6" w:rsidRDefault="00475151" w:rsidP="007B5C52">
            <w:pPr>
              <w:spacing w:after="0" w:line="240" w:lineRule="auto"/>
              <w:jc w:val="center"/>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 xml:space="preserve">Pogodbena vrednost </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32C058" w14:textId="5CE80B56" w:rsidR="00475151" w:rsidRPr="008702D6" w:rsidRDefault="00475151" w:rsidP="00475151">
            <w:pPr>
              <w:spacing w:after="0" w:line="240" w:lineRule="auto"/>
              <w:jc w:val="center"/>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Delež v št. naročil</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A09DB6A" w14:textId="6AD9FB0F" w:rsidR="00475151" w:rsidRPr="008702D6" w:rsidRDefault="00475151" w:rsidP="00475151">
            <w:pPr>
              <w:spacing w:after="0" w:line="240" w:lineRule="auto"/>
              <w:jc w:val="center"/>
              <w:rPr>
                <w:rFonts w:ascii="Arial" w:eastAsia="Times New Roman" w:hAnsi="Arial" w:cs="Arial"/>
                <w:sz w:val="18"/>
                <w:szCs w:val="18"/>
                <w:lang w:eastAsia="sl-SI"/>
              </w:rPr>
            </w:pPr>
            <w:r w:rsidRPr="008702D6">
              <w:rPr>
                <w:rFonts w:ascii="Arial" w:eastAsia="Times New Roman" w:hAnsi="Arial" w:cs="Arial"/>
                <w:sz w:val="18"/>
                <w:szCs w:val="18"/>
                <w:lang w:eastAsia="sl-SI"/>
              </w:rPr>
              <w:t xml:space="preserve">Delež v vrednosti </w:t>
            </w:r>
          </w:p>
        </w:tc>
      </w:tr>
      <w:tr w:rsidR="008702D6" w:rsidRPr="008702D6" w14:paraId="37E85951" w14:textId="77777777" w:rsidTr="008702D6">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189607B6" w14:textId="0B46ADC7" w:rsidR="008702D6" w:rsidRPr="008702D6" w:rsidRDefault="008702D6" w:rsidP="008702D6">
            <w:pPr>
              <w:spacing w:after="0" w:line="240" w:lineRule="auto"/>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Splošno</w:t>
            </w:r>
          </w:p>
        </w:tc>
        <w:tc>
          <w:tcPr>
            <w:tcW w:w="1699" w:type="dxa"/>
            <w:tcBorders>
              <w:top w:val="nil"/>
              <w:left w:val="nil"/>
              <w:bottom w:val="single" w:sz="4" w:space="0" w:color="auto"/>
              <w:right w:val="single" w:sz="4" w:space="0" w:color="auto"/>
            </w:tcBorders>
            <w:shd w:val="clear" w:color="auto" w:fill="auto"/>
            <w:vAlign w:val="center"/>
            <w:hideMark/>
          </w:tcPr>
          <w:p w14:paraId="4EB2844B" w14:textId="3B070867"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805</w:t>
            </w:r>
          </w:p>
        </w:tc>
        <w:tc>
          <w:tcPr>
            <w:tcW w:w="1698" w:type="dxa"/>
            <w:tcBorders>
              <w:top w:val="nil"/>
              <w:left w:val="nil"/>
              <w:bottom w:val="single" w:sz="4" w:space="0" w:color="auto"/>
              <w:right w:val="single" w:sz="4" w:space="0" w:color="auto"/>
            </w:tcBorders>
            <w:shd w:val="clear" w:color="auto" w:fill="auto"/>
            <w:vAlign w:val="center"/>
            <w:hideMark/>
          </w:tcPr>
          <w:p w14:paraId="318A0D69" w14:textId="28FC7E83"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373.585.714</w:t>
            </w:r>
          </w:p>
        </w:tc>
        <w:tc>
          <w:tcPr>
            <w:tcW w:w="1699" w:type="dxa"/>
            <w:tcBorders>
              <w:top w:val="nil"/>
              <w:left w:val="nil"/>
              <w:bottom w:val="single" w:sz="4" w:space="0" w:color="auto"/>
              <w:right w:val="single" w:sz="4" w:space="0" w:color="auto"/>
            </w:tcBorders>
            <w:shd w:val="clear" w:color="auto" w:fill="auto"/>
            <w:vAlign w:val="center"/>
            <w:hideMark/>
          </w:tcPr>
          <w:p w14:paraId="183138A8" w14:textId="1496BB05"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86,47 %</w:t>
            </w:r>
          </w:p>
        </w:tc>
        <w:tc>
          <w:tcPr>
            <w:tcW w:w="1699" w:type="dxa"/>
            <w:tcBorders>
              <w:top w:val="nil"/>
              <w:left w:val="nil"/>
              <w:bottom w:val="single" w:sz="4" w:space="0" w:color="auto"/>
              <w:right w:val="single" w:sz="4" w:space="0" w:color="auto"/>
            </w:tcBorders>
            <w:shd w:val="clear" w:color="auto" w:fill="auto"/>
            <w:vAlign w:val="center"/>
            <w:hideMark/>
          </w:tcPr>
          <w:p w14:paraId="335751C2" w14:textId="3D5F4F40" w:rsidR="008702D6" w:rsidRPr="008702D6" w:rsidRDefault="008702D6" w:rsidP="008702D6">
            <w:pPr>
              <w:spacing w:after="0" w:line="240" w:lineRule="auto"/>
              <w:jc w:val="right"/>
              <w:rPr>
                <w:rFonts w:ascii="Arial" w:eastAsia="Times New Roman" w:hAnsi="Arial" w:cs="Arial"/>
                <w:sz w:val="18"/>
                <w:szCs w:val="18"/>
                <w:lang w:eastAsia="sl-SI"/>
              </w:rPr>
            </w:pPr>
            <w:r w:rsidRPr="008702D6">
              <w:rPr>
                <w:rFonts w:ascii="Arial" w:hAnsi="Arial" w:cs="Arial"/>
                <w:sz w:val="18"/>
                <w:szCs w:val="18"/>
              </w:rPr>
              <w:t>84,09 %</w:t>
            </w:r>
          </w:p>
        </w:tc>
      </w:tr>
      <w:tr w:rsidR="008702D6" w:rsidRPr="008702D6" w14:paraId="5D2A9127" w14:textId="77777777" w:rsidTr="008702D6">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67B74A18" w14:textId="2A3C1E32" w:rsidR="008702D6" w:rsidRPr="008702D6" w:rsidRDefault="008702D6" w:rsidP="008702D6">
            <w:pPr>
              <w:spacing w:after="0" w:line="240" w:lineRule="auto"/>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Infrastrukturno</w:t>
            </w:r>
          </w:p>
        </w:tc>
        <w:tc>
          <w:tcPr>
            <w:tcW w:w="1699" w:type="dxa"/>
            <w:tcBorders>
              <w:top w:val="nil"/>
              <w:left w:val="nil"/>
              <w:bottom w:val="single" w:sz="4" w:space="0" w:color="auto"/>
              <w:right w:val="single" w:sz="4" w:space="0" w:color="auto"/>
            </w:tcBorders>
            <w:shd w:val="clear" w:color="auto" w:fill="auto"/>
            <w:vAlign w:val="center"/>
            <w:hideMark/>
          </w:tcPr>
          <w:p w14:paraId="7DA27A78" w14:textId="38FF336F"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109</w:t>
            </w:r>
          </w:p>
        </w:tc>
        <w:tc>
          <w:tcPr>
            <w:tcW w:w="1698" w:type="dxa"/>
            <w:tcBorders>
              <w:top w:val="nil"/>
              <w:left w:val="nil"/>
              <w:bottom w:val="single" w:sz="4" w:space="0" w:color="auto"/>
              <w:right w:val="single" w:sz="4" w:space="0" w:color="auto"/>
            </w:tcBorders>
            <w:shd w:val="clear" w:color="auto" w:fill="auto"/>
            <w:vAlign w:val="center"/>
            <w:hideMark/>
          </w:tcPr>
          <w:p w14:paraId="5D41422E" w14:textId="0BFD8B02"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62.664.005</w:t>
            </w:r>
          </w:p>
        </w:tc>
        <w:tc>
          <w:tcPr>
            <w:tcW w:w="1699" w:type="dxa"/>
            <w:tcBorders>
              <w:top w:val="nil"/>
              <w:left w:val="nil"/>
              <w:bottom w:val="single" w:sz="4" w:space="0" w:color="auto"/>
              <w:right w:val="single" w:sz="4" w:space="0" w:color="auto"/>
            </w:tcBorders>
            <w:shd w:val="clear" w:color="auto" w:fill="auto"/>
            <w:vAlign w:val="center"/>
            <w:hideMark/>
          </w:tcPr>
          <w:p w14:paraId="2B94D0D4" w14:textId="75915C72"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11,71 %</w:t>
            </w:r>
          </w:p>
        </w:tc>
        <w:tc>
          <w:tcPr>
            <w:tcW w:w="1699" w:type="dxa"/>
            <w:tcBorders>
              <w:top w:val="nil"/>
              <w:left w:val="nil"/>
              <w:bottom w:val="single" w:sz="4" w:space="0" w:color="auto"/>
              <w:right w:val="single" w:sz="4" w:space="0" w:color="auto"/>
            </w:tcBorders>
            <w:shd w:val="clear" w:color="auto" w:fill="auto"/>
            <w:vAlign w:val="center"/>
            <w:hideMark/>
          </w:tcPr>
          <w:p w14:paraId="071C20FF" w14:textId="0C701C26" w:rsidR="008702D6" w:rsidRPr="008702D6" w:rsidRDefault="008702D6" w:rsidP="008702D6">
            <w:pPr>
              <w:spacing w:after="0" w:line="240" w:lineRule="auto"/>
              <w:jc w:val="right"/>
              <w:rPr>
                <w:rFonts w:ascii="Arial" w:eastAsia="Times New Roman" w:hAnsi="Arial" w:cs="Arial"/>
                <w:sz w:val="18"/>
                <w:szCs w:val="18"/>
                <w:lang w:eastAsia="sl-SI"/>
              </w:rPr>
            </w:pPr>
            <w:r w:rsidRPr="008702D6">
              <w:rPr>
                <w:rFonts w:ascii="Arial" w:hAnsi="Arial" w:cs="Arial"/>
                <w:sz w:val="18"/>
                <w:szCs w:val="18"/>
              </w:rPr>
              <w:t>14,10 %</w:t>
            </w:r>
          </w:p>
        </w:tc>
      </w:tr>
      <w:tr w:rsidR="008702D6" w:rsidRPr="008702D6" w14:paraId="63E1A398" w14:textId="77777777" w:rsidTr="008702D6">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450F800D" w14:textId="31AB80CF" w:rsidR="008702D6" w:rsidRPr="008702D6" w:rsidRDefault="008702D6" w:rsidP="008702D6">
            <w:pPr>
              <w:spacing w:after="0" w:line="240" w:lineRule="auto"/>
              <w:rPr>
                <w:rFonts w:ascii="Arial" w:eastAsia="Times New Roman" w:hAnsi="Arial" w:cs="Arial"/>
                <w:color w:val="000000"/>
                <w:sz w:val="18"/>
                <w:szCs w:val="18"/>
                <w:lang w:eastAsia="sl-SI"/>
              </w:rPr>
            </w:pPr>
            <w:r w:rsidRPr="008702D6">
              <w:rPr>
                <w:rFonts w:ascii="Arial" w:eastAsia="Times New Roman" w:hAnsi="Arial" w:cs="Arial"/>
                <w:color w:val="000000"/>
                <w:sz w:val="18"/>
                <w:szCs w:val="18"/>
                <w:lang w:eastAsia="sl-SI"/>
              </w:rPr>
              <w:t>Obrambno</w:t>
            </w:r>
          </w:p>
        </w:tc>
        <w:tc>
          <w:tcPr>
            <w:tcW w:w="1699" w:type="dxa"/>
            <w:tcBorders>
              <w:top w:val="nil"/>
              <w:left w:val="nil"/>
              <w:bottom w:val="single" w:sz="4" w:space="0" w:color="auto"/>
              <w:right w:val="single" w:sz="4" w:space="0" w:color="auto"/>
            </w:tcBorders>
            <w:shd w:val="clear" w:color="auto" w:fill="auto"/>
            <w:vAlign w:val="center"/>
            <w:hideMark/>
          </w:tcPr>
          <w:p w14:paraId="7EB0485D" w14:textId="1D6D018C"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14:paraId="4BD5093A" w14:textId="4CDDECFD"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8.019.412</w:t>
            </w:r>
          </w:p>
        </w:tc>
        <w:tc>
          <w:tcPr>
            <w:tcW w:w="1699" w:type="dxa"/>
            <w:tcBorders>
              <w:top w:val="nil"/>
              <w:left w:val="nil"/>
              <w:bottom w:val="single" w:sz="4" w:space="0" w:color="auto"/>
              <w:right w:val="single" w:sz="4" w:space="0" w:color="auto"/>
            </w:tcBorders>
            <w:shd w:val="clear" w:color="auto" w:fill="auto"/>
            <w:vAlign w:val="center"/>
            <w:hideMark/>
          </w:tcPr>
          <w:p w14:paraId="46CFD00F" w14:textId="64947301" w:rsidR="008702D6" w:rsidRPr="008702D6" w:rsidRDefault="008702D6" w:rsidP="008702D6">
            <w:pPr>
              <w:spacing w:after="0" w:line="240" w:lineRule="auto"/>
              <w:jc w:val="right"/>
              <w:rPr>
                <w:rFonts w:ascii="Arial" w:eastAsia="Times New Roman" w:hAnsi="Arial" w:cs="Arial"/>
                <w:color w:val="000000"/>
                <w:sz w:val="18"/>
                <w:szCs w:val="18"/>
                <w:lang w:eastAsia="sl-SI"/>
              </w:rPr>
            </w:pPr>
            <w:r w:rsidRPr="008702D6">
              <w:rPr>
                <w:rFonts w:ascii="Arial" w:hAnsi="Arial" w:cs="Arial"/>
                <w:sz w:val="18"/>
                <w:szCs w:val="18"/>
              </w:rPr>
              <w:t>1,83 %</w:t>
            </w:r>
          </w:p>
        </w:tc>
        <w:tc>
          <w:tcPr>
            <w:tcW w:w="1699" w:type="dxa"/>
            <w:tcBorders>
              <w:top w:val="nil"/>
              <w:left w:val="nil"/>
              <w:bottom w:val="single" w:sz="4" w:space="0" w:color="auto"/>
              <w:right w:val="single" w:sz="4" w:space="0" w:color="auto"/>
            </w:tcBorders>
            <w:shd w:val="clear" w:color="auto" w:fill="auto"/>
            <w:vAlign w:val="center"/>
            <w:hideMark/>
          </w:tcPr>
          <w:p w14:paraId="2D6DAF0F" w14:textId="43F4A5BC" w:rsidR="008702D6" w:rsidRPr="008702D6" w:rsidRDefault="008702D6" w:rsidP="008702D6">
            <w:pPr>
              <w:spacing w:after="0" w:line="240" w:lineRule="auto"/>
              <w:jc w:val="right"/>
              <w:rPr>
                <w:rFonts w:ascii="Arial" w:eastAsia="Times New Roman" w:hAnsi="Arial" w:cs="Arial"/>
                <w:sz w:val="18"/>
                <w:szCs w:val="18"/>
                <w:lang w:eastAsia="sl-SI"/>
              </w:rPr>
            </w:pPr>
            <w:r w:rsidRPr="008702D6">
              <w:rPr>
                <w:rFonts w:ascii="Arial" w:hAnsi="Arial" w:cs="Arial"/>
                <w:sz w:val="18"/>
                <w:szCs w:val="18"/>
              </w:rPr>
              <w:t>1,81 %</w:t>
            </w:r>
          </w:p>
        </w:tc>
      </w:tr>
      <w:tr w:rsidR="008702D6" w:rsidRPr="008702D6" w14:paraId="6D208D05" w14:textId="77777777" w:rsidTr="00B45EE0">
        <w:trPr>
          <w:trHeight w:val="290"/>
          <w:jc w:val="center"/>
        </w:trPr>
        <w:tc>
          <w:tcPr>
            <w:tcW w:w="1698" w:type="dxa"/>
            <w:tcBorders>
              <w:top w:val="nil"/>
              <w:left w:val="single" w:sz="4" w:space="0" w:color="auto"/>
              <w:bottom w:val="single" w:sz="4" w:space="0" w:color="auto"/>
              <w:right w:val="single" w:sz="4" w:space="0" w:color="auto"/>
            </w:tcBorders>
            <w:shd w:val="clear" w:color="auto" w:fill="E7E6E6" w:themeFill="background2"/>
            <w:vAlign w:val="center"/>
            <w:hideMark/>
          </w:tcPr>
          <w:p w14:paraId="19A038A9" w14:textId="024AF3A5" w:rsidR="008702D6" w:rsidRPr="008702D6" w:rsidRDefault="008702D6" w:rsidP="008702D6">
            <w:pPr>
              <w:spacing w:after="0" w:line="240" w:lineRule="auto"/>
              <w:rPr>
                <w:rFonts w:ascii="Arial" w:eastAsia="Times New Roman" w:hAnsi="Arial" w:cs="Arial"/>
                <w:b/>
                <w:bCs/>
                <w:color w:val="000000"/>
                <w:sz w:val="18"/>
                <w:szCs w:val="18"/>
                <w:lang w:eastAsia="sl-SI"/>
              </w:rPr>
            </w:pPr>
            <w:r w:rsidRPr="008702D6">
              <w:rPr>
                <w:rFonts w:ascii="Arial" w:eastAsia="Times New Roman" w:hAnsi="Arial" w:cs="Arial"/>
                <w:b/>
                <w:bCs/>
                <w:color w:val="000000"/>
                <w:sz w:val="18"/>
                <w:szCs w:val="18"/>
                <w:lang w:eastAsia="sl-SI"/>
              </w:rPr>
              <w:t>Skupaj</w:t>
            </w:r>
          </w:p>
        </w:tc>
        <w:tc>
          <w:tcPr>
            <w:tcW w:w="1699" w:type="dxa"/>
            <w:tcBorders>
              <w:top w:val="nil"/>
              <w:left w:val="nil"/>
              <w:bottom w:val="single" w:sz="4" w:space="0" w:color="auto"/>
              <w:right w:val="single" w:sz="4" w:space="0" w:color="auto"/>
            </w:tcBorders>
            <w:shd w:val="clear" w:color="auto" w:fill="E7E6E6" w:themeFill="background2"/>
            <w:vAlign w:val="center"/>
            <w:hideMark/>
          </w:tcPr>
          <w:p w14:paraId="32AA70C7" w14:textId="4D52DAA0" w:rsidR="008702D6" w:rsidRPr="008702D6" w:rsidRDefault="008702D6" w:rsidP="008702D6">
            <w:pPr>
              <w:spacing w:after="0" w:line="240" w:lineRule="auto"/>
              <w:jc w:val="right"/>
              <w:rPr>
                <w:rFonts w:ascii="Arial" w:eastAsia="Times New Roman" w:hAnsi="Arial" w:cs="Arial"/>
                <w:b/>
                <w:bCs/>
                <w:color w:val="000000"/>
                <w:sz w:val="18"/>
                <w:szCs w:val="18"/>
                <w:lang w:eastAsia="sl-SI"/>
              </w:rPr>
            </w:pPr>
            <w:r w:rsidRPr="008702D6">
              <w:rPr>
                <w:rFonts w:ascii="Arial" w:hAnsi="Arial" w:cs="Arial"/>
                <w:b/>
                <w:sz w:val="18"/>
                <w:szCs w:val="18"/>
              </w:rPr>
              <w:t>931</w:t>
            </w:r>
          </w:p>
        </w:tc>
        <w:tc>
          <w:tcPr>
            <w:tcW w:w="1698" w:type="dxa"/>
            <w:tcBorders>
              <w:top w:val="nil"/>
              <w:left w:val="nil"/>
              <w:bottom w:val="single" w:sz="4" w:space="0" w:color="auto"/>
              <w:right w:val="single" w:sz="4" w:space="0" w:color="auto"/>
            </w:tcBorders>
            <w:shd w:val="clear" w:color="auto" w:fill="E7E6E6" w:themeFill="background2"/>
            <w:vAlign w:val="center"/>
            <w:hideMark/>
          </w:tcPr>
          <w:p w14:paraId="4FB563C6" w14:textId="78398B80" w:rsidR="008702D6" w:rsidRPr="008702D6" w:rsidRDefault="008702D6" w:rsidP="008702D6">
            <w:pPr>
              <w:spacing w:after="0" w:line="240" w:lineRule="auto"/>
              <w:jc w:val="right"/>
              <w:rPr>
                <w:rFonts w:ascii="Arial" w:eastAsia="Times New Roman" w:hAnsi="Arial" w:cs="Arial"/>
                <w:b/>
                <w:bCs/>
                <w:color w:val="000000"/>
                <w:sz w:val="18"/>
                <w:szCs w:val="18"/>
                <w:lang w:eastAsia="sl-SI"/>
              </w:rPr>
            </w:pPr>
            <w:r w:rsidRPr="008702D6">
              <w:rPr>
                <w:rFonts w:ascii="Arial" w:hAnsi="Arial" w:cs="Arial"/>
                <w:b/>
                <w:sz w:val="18"/>
                <w:szCs w:val="18"/>
              </w:rPr>
              <w:t>444.269.131</w:t>
            </w:r>
          </w:p>
        </w:tc>
        <w:tc>
          <w:tcPr>
            <w:tcW w:w="169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CC188D4" w14:textId="2E0CD54A" w:rsidR="008702D6" w:rsidRPr="008702D6" w:rsidRDefault="008702D6" w:rsidP="008702D6">
            <w:pPr>
              <w:spacing w:after="0" w:line="240" w:lineRule="auto"/>
              <w:jc w:val="right"/>
              <w:rPr>
                <w:rFonts w:ascii="Arial" w:eastAsia="Times New Roman" w:hAnsi="Arial" w:cs="Arial"/>
                <w:b/>
                <w:color w:val="000000"/>
                <w:sz w:val="18"/>
                <w:szCs w:val="18"/>
                <w:lang w:eastAsia="sl-SI"/>
              </w:rPr>
            </w:pPr>
            <w:r w:rsidRPr="008702D6">
              <w:rPr>
                <w:rFonts w:ascii="Arial" w:hAnsi="Arial" w:cs="Arial"/>
                <w:b/>
                <w:sz w:val="18"/>
                <w:szCs w:val="18"/>
              </w:rPr>
              <w:t>100,00 %</w:t>
            </w:r>
          </w:p>
        </w:tc>
        <w:tc>
          <w:tcPr>
            <w:tcW w:w="169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AB2E6B" w14:textId="1B870586" w:rsidR="008702D6" w:rsidRPr="008702D6" w:rsidRDefault="008702D6" w:rsidP="008702D6">
            <w:pPr>
              <w:spacing w:after="0" w:line="240" w:lineRule="auto"/>
              <w:jc w:val="right"/>
              <w:rPr>
                <w:rFonts w:ascii="Arial" w:eastAsia="Times New Roman" w:hAnsi="Arial" w:cs="Arial"/>
                <w:b/>
                <w:color w:val="000000"/>
                <w:sz w:val="18"/>
                <w:szCs w:val="18"/>
                <w:lang w:eastAsia="sl-SI"/>
              </w:rPr>
            </w:pPr>
            <w:r w:rsidRPr="008702D6">
              <w:rPr>
                <w:rFonts w:ascii="Arial" w:hAnsi="Arial" w:cs="Arial"/>
                <w:b/>
                <w:sz w:val="18"/>
                <w:szCs w:val="18"/>
              </w:rPr>
              <w:t>100,00 %</w:t>
            </w:r>
          </w:p>
        </w:tc>
      </w:tr>
    </w:tbl>
    <w:p w14:paraId="2C006040" w14:textId="77777777" w:rsidR="004A613D" w:rsidRPr="008702D6" w:rsidRDefault="004A613D" w:rsidP="004A613D">
      <w:pPr>
        <w:spacing w:after="0" w:line="240" w:lineRule="auto"/>
        <w:jc w:val="center"/>
        <w:rPr>
          <w:rFonts w:ascii="Arial" w:hAnsi="Arial" w:cs="Arial"/>
          <w:sz w:val="18"/>
        </w:rPr>
      </w:pPr>
    </w:p>
    <w:p w14:paraId="07553164" w14:textId="254DF6DD" w:rsidR="00456791" w:rsidRPr="008702D6" w:rsidRDefault="00456791" w:rsidP="00701C10">
      <w:pPr>
        <w:spacing w:after="240" w:line="240" w:lineRule="auto"/>
        <w:jc w:val="center"/>
        <w:rPr>
          <w:rFonts w:ascii="Arial" w:hAnsi="Arial" w:cs="Arial"/>
          <w:sz w:val="18"/>
        </w:rPr>
      </w:pPr>
      <w:r w:rsidRPr="008702D6">
        <w:rPr>
          <w:rFonts w:ascii="Arial" w:hAnsi="Arial" w:cs="Arial"/>
          <w:sz w:val="18"/>
        </w:rPr>
        <w:t>Vir: Statistični podatki o javnih naročilih, oddanih v letu 201</w:t>
      </w:r>
      <w:r w:rsidR="008702D6" w:rsidRPr="008702D6">
        <w:rPr>
          <w:rFonts w:ascii="Arial" w:hAnsi="Arial" w:cs="Arial"/>
          <w:sz w:val="18"/>
        </w:rPr>
        <w:t>8</w:t>
      </w:r>
    </w:p>
    <w:p w14:paraId="60FCBDF1" w14:textId="77777777" w:rsidR="00B11580" w:rsidRPr="00EF2D0B" w:rsidRDefault="00B11580" w:rsidP="00854405">
      <w:pPr>
        <w:pStyle w:val="ZADEVA"/>
        <w:jc w:val="both"/>
        <w:rPr>
          <w:rFonts w:cs="Arial"/>
          <w:b w:val="0"/>
          <w:szCs w:val="20"/>
          <w:highlight w:val="yellow"/>
          <w:lang w:val="sl-SI"/>
        </w:rPr>
      </w:pPr>
    </w:p>
    <w:p w14:paraId="5B0FA7CF" w14:textId="46FB0BA8" w:rsidR="00B11580" w:rsidRDefault="00B11580" w:rsidP="005E3192">
      <w:pPr>
        <w:pStyle w:val="Naslov3"/>
        <w:spacing w:before="0"/>
        <w:rPr>
          <w:rFonts w:ascii="Arial" w:hAnsi="Arial" w:cs="Arial"/>
          <w:sz w:val="22"/>
          <w:szCs w:val="22"/>
        </w:rPr>
      </w:pPr>
      <w:bookmarkStart w:id="28" w:name="_Toc17114066"/>
      <w:r w:rsidRPr="00B300E1">
        <w:rPr>
          <w:rFonts w:ascii="Arial" w:hAnsi="Arial" w:cs="Arial"/>
          <w:sz w:val="22"/>
          <w:szCs w:val="22"/>
        </w:rPr>
        <w:t>2.7.1 Uresničevanj</w:t>
      </w:r>
      <w:r w:rsidR="00B36CDA" w:rsidRPr="00B300E1">
        <w:rPr>
          <w:rFonts w:ascii="Arial" w:hAnsi="Arial" w:cs="Arial"/>
          <w:sz w:val="22"/>
          <w:szCs w:val="22"/>
        </w:rPr>
        <w:t>e</w:t>
      </w:r>
      <w:r w:rsidRPr="00B300E1">
        <w:rPr>
          <w:rFonts w:ascii="Arial" w:hAnsi="Arial" w:cs="Arial"/>
          <w:sz w:val="22"/>
          <w:szCs w:val="22"/>
        </w:rPr>
        <w:t xml:space="preserve"> načela konkurenčnosti in </w:t>
      </w:r>
      <w:r w:rsidR="00F404B0" w:rsidRPr="00B300E1">
        <w:rPr>
          <w:rFonts w:ascii="Arial" w:hAnsi="Arial" w:cs="Arial"/>
          <w:sz w:val="22"/>
          <w:szCs w:val="22"/>
        </w:rPr>
        <w:t>združevanje</w:t>
      </w:r>
      <w:r w:rsidR="009B2527" w:rsidRPr="00B300E1">
        <w:rPr>
          <w:rFonts w:ascii="Arial" w:hAnsi="Arial" w:cs="Arial"/>
          <w:sz w:val="22"/>
          <w:szCs w:val="22"/>
        </w:rPr>
        <w:t xml:space="preserve"> naročil v postopku</w:t>
      </w:r>
      <w:bookmarkEnd w:id="28"/>
      <w:r w:rsidR="009B2527" w:rsidRPr="00B300E1">
        <w:rPr>
          <w:rFonts w:ascii="Arial" w:hAnsi="Arial" w:cs="Arial"/>
          <w:sz w:val="22"/>
          <w:szCs w:val="22"/>
        </w:rPr>
        <w:t xml:space="preserve"> </w:t>
      </w:r>
    </w:p>
    <w:p w14:paraId="27FB0EF0" w14:textId="77777777" w:rsidR="00F91742" w:rsidRPr="00081E70" w:rsidRDefault="00F91742" w:rsidP="005E3192"/>
    <w:p w14:paraId="3EC26D9F" w14:textId="4D54B658" w:rsidR="00771E42" w:rsidRPr="00B300E1" w:rsidRDefault="000331D2" w:rsidP="005E3192">
      <w:pPr>
        <w:spacing w:line="360" w:lineRule="auto"/>
        <w:jc w:val="both"/>
        <w:rPr>
          <w:rFonts w:ascii="Arial" w:hAnsi="Arial" w:cs="Arial"/>
          <w:sz w:val="20"/>
          <w:szCs w:val="20"/>
        </w:rPr>
      </w:pPr>
      <w:r>
        <w:rPr>
          <w:rFonts w:ascii="Arial" w:hAnsi="Arial" w:cs="Arial"/>
          <w:sz w:val="20"/>
          <w:szCs w:val="20"/>
        </w:rPr>
        <w:t>Leta</w:t>
      </w:r>
      <w:r w:rsidR="00FF2869" w:rsidRPr="00B300E1">
        <w:rPr>
          <w:rFonts w:ascii="Arial" w:hAnsi="Arial" w:cs="Arial"/>
          <w:sz w:val="20"/>
          <w:szCs w:val="20"/>
        </w:rPr>
        <w:t xml:space="preserve"> 201</w:t>
      </w:r>
      <w:r w:rsidR="00B300E1" w:rsidRPr="00B300E1">
        <w:rPr>
          <w:rFonts w:ascii="Arial" w:hAnsi="Arial" w:cs="Arial"/>
          <w:sz w:val="20"/>
          <w:szCs w:val="20"/>
        </w:rPr>
        <w:t>8</w:t>
      </w:r>
      <w:r w:rsidR="007B5C52" w:rsidRPr="00B300E1">
        <w:rPr>
          <w:rFonts w:ascii="Arial" w:hAnsi="Arial" w:cs="Arial"/>
          <w:sz w:val="20"/>
          <w:szCs w:val="20"/>
        </w:rPr>
        <w:t xml:space="preserve"> javni naročniki v </w:t>
      </w:r>
      <w:r w:rsidR="006C0B5C" w:rsidRPr="00B300E1">
        <w:rPr>
          <w:rFonts w:ascii="Arial" w:hAnsi="Arial" w:cs="Arial"/>
          <w:sz w:val="20"/>
          <w:szCs w:val="20"/>
        </w:rPr>
        <w:t>5</w:t>
      </w:r>
      <w:r w:rsidR="00B300E1" w:rsidRPr="00B300E1">
        <w:rPr>
          <w:rFonts w:ascii="Arial" w:hAnsi="Arial" w:cs="Arial"/>
          <w:sz w:val="20"/>
          <w:szCs w:val="20"/>
        </w:rPr>
        <w:t>207</w:t>
      </w:r>
      <w:r w:rsidR="007B5C52" w:rsidRPr="00B300E1">
        <w:rPr>
          <w:rFonts w:ascii="Arial" w:hAnsi="Arial" w:cs="Arial"/>
          <w:sz w:val="20"/>
          <w:szCs w:val="20"/>
        </w:rPr>
        <w:t xml:space="preserve"> postopkih javnega naročanja niso oblikovali </w:t>
      </w:r>
      <w:r w:rsidR="009B2527" w:rsidRPr="00B300E1">
        <w:rPr>
          <w:rFonts w:ascii="Arial" w:hAnsi="Arial" w:cs="Arial"/>
          <w:sz w:val="20"/>
          <w:szCs w:val="20"/>
        </w:rPr>
        <w:t>naročil</w:t>
      </w:r>
      <w:r w:rsidR="007B5C52" w:rsidRPr="00B300E1">
        <w:rPr>
          <w:rFonts w:ascii="Arial" w:hAnsi="Arial" w:cs="Arial"/>
          <w:sz w:val="20"/>
          <w:szCs w:val="20"/>
        </w:rPr>
        <w:t xml:space="preserve">. Skupna vrednost teh </w:t>
      </w:r>
      <w:r w:rsidR="009B2527" w:rsidRPr="00B300E1">
        <w:rPr>
          <w:rFonts w:ascii="Arial" w:hAnsi="Arial" w:cs="Arial"/>
          <w:sz w:val="20"/>
          <w:szCs w:val="20"/>
        </w:rPr>
        <w:t>postopkov</w:t>
      </w:r>
      <w:r w:rsidR="007B5C52" w:rsidRPr="00B300E1">
        <w:rPr>
          <w:rFonts w:ascii="Arial" w:hAnsi="Arial" w:cs="Arial"/>
          <w:sz w:val="20"/>
          <w:szCs w:val="20"/>
        </w:rPr>
        <w:t xml:space="preserve"> je znašala </w:t>
      </w:r>
      <w:r w:rsidR="00B300E1" w:rsidRPr="00B300E1">
        <w:rPr>
          <w:rFonts w:ascii="Arial" w:hAnsi="Arial" w:cs="Arial"/>
          <w:sz w:val="20"/>
          <w:szCs w:val="20"/>
        </w:rPr>
        <w:t xml:space="preserve">2.121.495.120 </w:t>
      </w:r>
      <w:r w:rsidR="007B5C52" w:rsidRPr="00B300E1">
        <w:rPr>
          <w:rFonts w:ascii="Arial" w:hAnsi="Arial" w:cs="Arial"/>
          <w:sz w:val="20"/>
          <w:szCs w:val="20"/>
        </w:rPr>
        <w:t xml:space="preserve">evrov. V </w:t>
      </w:r>
      <w:r w:rsidR="00B300E1" w:rsidRPr="00B300E1">
        <w:rPr>
          <w:rFonts w:ascii="Arial" w:hAnsi="Arial" w:cs="Arial"/>
          <w:sz w:val="20"/>
          <w:szCs w:val="20"/>
        </w:rPr>
        <w:t>1532</w:t>
      </w:r>
      <w:r w:rsidR="007B5C52" w:rsidRPr="00B300E1">
        <w:rPr>
          <w:rFonts w:ascii="Arial" w:hAnsi="Arial" w:cs="Arial"/>
          <w:sz w:val="20"/>
          <w:szCs w:val="20"/>
        </w:rPr>
        <w:t xml:space="preserve"> postopkih</w:t>
      </w:r>
      <w:r w:rsidR="00FD48CF" w:rsidRPr="00B300E1">
        <w:rPr>
          <w:rFonts w:ascii="Arial" w:hAnsi="Arial" w:cs="Arial"/>
          <w:sz w:val="20"/>
          <w:szCs w:val="20"/>
        </w:rPr>
        <w:t xml:space="preserve"> s </w:t>
      </w:r>
      <w:r w:rsidR="007B5C52" w:rsidRPr="00B300E1">
        <w:rPr>
          <w:rFonts w:ascii="Arial" w:hAnsi="Arial" w:cs="Arial"/>
          <w:sz w:val="20"/>
          <w:szCs w:val="20"/>
        </w:rPr>
        <w:t>skupn</w:t>
      </w:r>
      <w:r w:rsidR="00FD48CF" w:rsidRPr="00B300E1">
        <w:rPr>
          <w:rFonts w:ascii="Arial" w:hAnsi="Arial" w:cs="Arial"/>
          <w:sz w:val="20"/>
          <w:szCs w:val="20"/>
        </w:rPr>
        <w:t>o</w:t>
      </w:r>
      <w:r w:rsidR="007B5C52" w:rsidRPr="00B300E1">
        <w:rPr>
          <w:rFonts w:ascii="Arial" w:hAnsi="Arial" w:cs="Arial"/>
          <w:sz w:val="20"/>
          <w:szCs w:val="20"/>
        </w:rPr>
        <w:t xml:space="preserve"> vrednost</w:t>
      </w:r>
      <w:r w:rsidR="00FD48CF" w:rsidRPr="00B300E1">
        <w:rPr>
          <w:rFonts w:ascii="Arial" w:hAnsi="Arial" w:cs="Arial"/>
          <w:sz w:val="20"/>
          <w:szCs w:val="20"/>
        </w:rPr>
        <w:t>jo</w:t>
      </w:r>
      <w:r w:rsidR="00B300E1" w:rsidRPr="00B300E1">
        <w:rPr>
          <w:rFonts w:ascii="Arial" w:hAnsi="Arial" w:cs="Arial"/>
          <w:sz w:val="20"/>
          <w:szCs w:val="20"/>
        </w:rPr>
        <w:t xml:space="preserve"> 797.099.489</w:t>
      </w:r>
      <w:r w:rsidR="007B5C52" w:rsidRPr="00B300E1">
        <w:rPr>
          <w:rFonts w:ascii="Arial" w:hAnsi="Arial" w:cs="Arial"/>
          <w:sz w:val="20"/>
          <w:szCs w:val="20"/>
        </w:rPr>
        <w:t xml:space="preserve"> evrov </w:t>
      </w:r>
      <w:r w:rsidR="009B2527" w:rsidRPr="00B300E1">
        <w:rPr>
          <w:rFonts w:ascii="Arial" w:hAnsi="Arial" w:cs="Arial"/>
          <w:sz w:val="20"/>
          <w:szCs w:val="20"/>
        </w:rPr>
        <w:t>je bilo vključenih več naročil</w:t>
      </w:r>
      <w:r w:rsidR="007B5C52" w:rsidRPr="00B300E1">
        <w:rPr>
          <w:rFonts w:ascii="Arial" w:hAnsi="Arial" w:cs="Arial"/>
          <w:sz w:val="20"/>
          <w:szCs w:val="20"/>
        </w:rPr>
        <w:t xml:space="preserve">. </w:t>
      </w:r>
    </w:p>
    <w:p w14:paraId="3CFC25A8" w14:textId="3BC9CC25" w:rsidR="00B2147B" w:rsidRPr="00B2147B" w:rsidRDefault="00B2147B" w:rsidP="00B2147B">
      <w:pPr>
        <w:spacing w:line="360" w:lineRule="auto"/>
        <w:jc w:val="both"/>
        <w:rPr>
          <w:rFonts w:ascii="Arial" w:eastAsia="Times New Roman" w:hAnsi="Arial" w:cs="Arial"/>
          <w:color w:val="000000"/>
          <w:sz w:val="20"/>
          <w:szCs w:val="20"/>
          <w:lang w:eastAsia="sl-SI"/>
        </w:rPr>
      </w:pPr>
      <w:r w:rsidRPr="00B2147B">
        <w:rPr>
          <w:rFonts w:ascii="Arial" w:hAnsi="Arial" w:cs="Arial"/>
          <w:sz w:val="20"/>
          <w:szCs w:val="20"/>
          <w:lang w:eastAsia="sl-SI"/>
        </w:rPr>
        <w:t xml:space="preserve">Pri tem sta bila dva postopka javnega naročanja, v katerih je bilo največ naročil v skupni vrednosti </w:t>
      </w:r>
      <w:r w:rsidRPr="00B2147B">
        <w:rPr>
          <w:rFonts w:ascii="Arial" w:eastAsia="Times New Roman" w:hAnsi="Arial" w:cs="Arial"/>
          <w:color w:val="000000"/>
          <w:sz w:val="20"/>
          <w:szCs w:val="20"/>
          <w:lang w:eastAsia="sl-SI"/>
        </w:rPr>
        <w:t>6.437.453 evrov, razdeljena na 96 oziroma 225 naročil.</w:t>
      </w:r>
    </w:p>
    <w:p w14:paraId="3135F503" w14:textId="28B30222" w:rsidR="00310231" w:rsidRPr="002C219C" w:rsidRDefault="00693824" w:rsidP="007425C8">
      <w:pPr>
        <w:tabs>
          <w:tab w:val="left" w:pos="567"/>
          <w:tab w:val="left" w:pos="993"/>
        </w:tabs>
        <w:spacing w:line="360" w:lineRule="auto"/>
        <w:jc w:val="both"/>
        <w:rPr>
          <w:rFonts w:ascii="Arial" w:hAnsi="Arial" w:cs="Arial"/>
          <w:color w:val="000000" w:themeColor="text1"/>
          <w:sz w:val="20"/>
          <w:szCs w:val="20"/>
        </w:rPr>
      </w:pPr>
      <w:r w:rsidRPr="002F174C">
        <w:rPr>
          <w:rFonts w:ascii="Arial" w:hAnsi="Arial" w:cs="Arial"/>
          <w:color w:val="000000" w:themeColor="text1"/>
          <w:sz w:val="20"/>
          <w:szCs w:val="20"/>
        </w:rPr>
        <w:t>V postopkih, ki niso bili</w:t>
      </w:r>
      <w:r w:rsidR="00821795" w:rsidRPr="002F174C">
        <w:rPr>
          <w:rFonts w:ascii="Arial" w:hAnsi="Arial" w:cs="Arial"/>
          <w:color w:val="000000" w:themeColor="text1"/>
          <w:sz w:val="20"/>
          <w:szCs w:val="20"/>
        </w:rPr>
        <w:t xml:space="preserve"> razdeljen</w:t>
      </w:r>
      <w:r w:rsidRPr="002F174C">
        <w:rPr>
          <w:rFonts w:ascii="Arial" w:hAnsi="Arial" w:cs="Arial"/>
          <w:color w:val="000000" w:themeColor="text1"/>
          <w:sz w:val="20"/>
          <w:szCs w:val="20"/>
        </w:rPr>
        <w:t>i</w:t>
      </w:r>
      <w:r w:rsidR="00821795" w:rsidRPr="002F174C">
        <w:rPr>
          <w:rFonts w:ascii="Arial" w:hAnsi="Arial" w:cs="Arial"/>
          <w:color w:val="000000" w:themeColor="text1"/>
          <w:sz w:val="20"/>
          <w:szCs w:val="20"/>
        </w:rPr>
        <w:t xml:space="preserve"> na </w:t>
      </w:r>
      <w:r w:rsidR="004D6F9F" w:rsidRPr="002F174C">
        <w:rPr>
          <w:rFonts w:ascii="Arial" w:hAnsi="Arial" w:cs="Arial"/>
          <w:color w:val="000000" w:themeColor="text1"/>
          <w:sz w:val="20"/>
          <w:szCs w:val="20"/>
        </w:rPr>
        <w:t>naročila</w:t>
      </w:r>
      <w:r w:rsidR="00821795" w:rsidRPr="002F174C">
        <w:rPr>
          <w:rFonts w:ascii="Arial" w:hAnsi="Arial" w:cs="Arial"/>
          <w:color w:val="000000" w:themeColor="text1"/>
          <w:sz w:val="20"/>
          <w:szCs w:val="20"/>
        </w:rPr>
        <w:t>, je bilo povprečno število prejetih ponudb</w:t>
      </w:r>
      <w:r w:rsidR="00960D48" w:rsidRPr="002F174C">
        <w:rPr>
          <w:rFonts w:ascii="Arial" w:hAnsi="Arial" w:cs="Arial"/>
          <w:color w:val="000000" w:themeColor="text1"/>
          <w:sz w:val="20"/>
          <w:szCs w:val="20"/>
        </w:rPr>
        <w:t xml:space="preserve"> </w:t>
      </w:r>
      <w:r w:rsidR="0085369D" w:rsidRPr="002F174C">
        <w:rPr>
          <w:rFonts w:ascii="Arial" w:hAnsi="Arial" w:cs="Arial"/>
          <w:color w:val="000000" w:themeColor="text1"/>
          <w:sz w:val="20"/>
          <w:szCs w:val="20"/>
        </w:rPr>
        <w:t>2,</w:t>
      </w:r>
      <w:r w:rsidR="002F174C" w:rsidRPr="002C219C">
        <w:rPr>
          <w:rFonts w:ascii="Arial" w:hAnsi="Arial" w:cs="Arial"/>
          <w:color w:val="000000" w:themeColor="text1"/>
          <w:sz w:val="20"/>
          <w:szCs w:val="20"/>
        </w:rPr>
        <w:t>2</w:t>
      </w:r>
      <w:r w:rsidR="00821795" w:rsidRPr="002C219C">
        <w:rPr>
          <w:rFonts w:ascii="Arial" w:hAnsi="Arial" w:cs="Arial"/>
          <w:color w:val="000000" w:themeColor="text1"/>
          <w:sz w:val="20"/>
          <w:szCs w:val="20"/>
        </w:rPr>
        <w:t>.</w:t>
      </w:r>
      <w:r w:rsidRPr="002C219C">
        <w:rPr>
          <w:rFonts w:ascii="Arial" w:hAnsi="Arial" w:cs="Arial"/>
          <w:color w:val="000000" w:themeColor="text1"/>
          <w:sz w:val="20"/>
          <w:szCs w:val="20"/>
        </w:rPr>
        <w:t xml:space="preserve"> Povprečno število prejetih ponudb za naročilo je bilo največje v postopkih javnega naročanja, ki so bili razdeljeni na </w:t>
      </w:r>
      <w:r w:rsidR="002F174C" w:rsidRPr="002C219C">
        <w:rPr>
          <w:rFonts w:ascii="Arial" w:hAnsi="Arial" w:cs="Arial"/>
          <w:color w:val="000000" w:themeColor="text1"/>
          <w:sz w:val="20"/>
          <w:szCs w:val="20"/>
        </w:rPr>
        <w:t>61</w:t>
      </w:r>
      <w:r w:rsidR="00F91742">
        <w:rPr>
          <w:rFonts w:ascii="Arial" w:hAnsi="Arial" w:cs="Arial"/>
          <w:color w:val="000000" w:themeColor="text1"/>
          <w:sz w:val="20"/>
          <w:szCs w:val="20"/>
        </w:rPr>
        <w:sym w:font="Symbol" w:char="F02D"/>
      </w:r>
      <w:r w:rsidR="002F174C" w:rsidRPr="002C219C">
        <w:rPr>
          <w:rFonts w:ascii="Arial" w:hAnsi="Arial" w:cs="Arial"/>
          <w:color w:val="000000" w:themeColor="text1"/>
          <w:sz w:val="20"/>
          <w:szCs w:val="20"/>
        </w:rPr>
        <w:t>80</w:t>
      </w:r>
      <w:r w:rsidR="0085369D" w:rsidRPr="002C219C">
        <w:rPr>
          <w:rFonts w:ascii="Arial" w:hAnsi="Arial" w:cs="Arial"/>
          <w:color w:val="000000" w:themeColor="text1"/>
          <w:sz w:val="20"/>
          <w:szCs w:val="20"/>
        </w:rPr>
        <w:t xml:space="preserve"> naročil</w:t>
      </w:r>
      <w:r w:rsidRPr="002C219C">
        <w:rPr>
          <w:rFonts w:ascii="Arial" w:hAnsi="Arial" w:cs="Arial"/>
          <w:color w:val="000000" w:themeColor="text1"/>
          <w:sz w:val="20"/>
          <w:szCs w:val="20"/>
        </w:rPr>
        <w:t xml:space="preserve">, in sicer so naročniki prejeli </w:t>
      </w:r>
      <w:r w:rsidR="001A3829">
        <w:rPr>
          <w:rFonts w:ascii="Arial" w:hAnsi="Arial" w:cs="Arial"/>
          <w:color w:val="000000" w:themeColor="text1"/>
          <w:sz w:val="20"/>
          <w:szCs w:val="20"/>
        </w:rPr>
        <w:t>tri</w:t>
      </w:r>
      <w:r w:rsidR="001A3829" w:rsidRPr="002C219C">
        <w:rPr>
          <w:rFonts w:ascii="Arial" w:hAnsi="Arial" w:cs="Arial"/>
          <w:color w:val="000000" w:themeColor="text1"/>
          <w:sz w:val="20"/>
          <w:szCs w:val="20"/>
        </w:rPr>
        <w:t xml:space="preserve"> </w:t>
      </w:r>
      <w:r w:rsidRPr="002C219C">
        <w:rPr>
          <w:rFonts w:ascii="Arial" w:hAnsi="Arial" w:cs="Arial"/>
          <w:color w:val="000000" w:themeColor="text1"/>
          <w:sz w:val="20"/>
          <w:szCs w:val="20"/>
        </w:rPr>
        <w:t>ponudbe, najmanj</w:t>
      </w:r>
      <w:r w:rsidR="00F91742">
        <w:rPr>
          <w:rFonts w:ascii="Arial" w:hAnsi="Arial" w:cs="Arial"/>
          <w:color w:val="000000" w:themeColor="text1"/>
          <w:sz w:val="20"/>
          <w:szCs w:val="20"/>
        </w:rPr>
        <w:t xml:space="preserve"> </w:t>
      </w:r>
      <w:r w:rsidR="00FD48CF" w:rsidRPr="002C219C">
        <w:rPr>
          <w:rFonts w:ascii="Arial" w:hAnsi="Arial" w:cs="Arial"/>
          <w:color w:val="000000" w:themeColor="text1"/>
          <w:sz w:val="20"/>
          <w:szCs w:val="20"/>
        </w:rPr>
        <w:t>prejetih ponudb</w:t>
      </w:r>
      <w:r w:rsidRPr="002C219C">
        <w:rPr>
          <w:rFonts w:ascii="Arial" w:hAnsi="Arial" w:cs="Arial"/>
          <w:color w:val="000000" w:themeColor="text1"/>
          <w:sz w:val="20"/>
          <w:szCs w:val="20"/>
        </w:rPr>
        <w:t xml:space="preserve"> pa</w:t>
      </w:r>
      <w:r w:rsidR="00FD48CF" w:rsidRPr="002C219C">
        <w:rPr>
          <w:rFonts w:ascii="Arial" w:hAnsi="Arial" w:cs="Arial"/>
          <w:color w:val="000000" w:themeColor="text1"/>
          <w:sz w:val="20"/>
          <w:szCs w:val="20"/>
        </w:rPr>
        <w:t xml:space="preserve"> je bilo</w:t>
      </w:r>
      <w:r w:rsidRPr="002C219C">
        <w:rPr>
          <w:rFonts w:ascii="Arial" w:hAnsi="Arial" w:cs="Arial"/>
          <w:color w:val="000000" w:themeColor="text1"/>
          <w:sz w:val="20"/>
          <w:szCs w:val="20"/>
        </w:rPr>
        <w:t xml:space="preserve"> pri postopk</w:t>
      </w:r>
      <w:r w:rsidR="00931B6E" w:rsidRPr="002C219C">
        <w:rPr>
          <w:rFonts w:ascii="Arial" w:hAnsi="Arial" w:cs="Arial"/>
          <w:color w:val="000000" w:themeColor="text1"/>
          <w:sz w:val="20"/>
          <w:szCs w:val="20"/>
        </w:rPr>
        <w:t>ih</w:t>
      </w:r>
      <w:r w:rsidRPr="002C219C">
        <w:rPr>
          <w:rFonts w:ascii="Arial" w:hAnsi="Arial" w:cs="Arial"/>
          <w:color w:val="000000" w:themeColor="text1"/>
          <w:sz w:val="20"/>
          <w:szCs w:val="20"/>
        </w:rPr>
        <w:t xml:space="preserve">, ki </w:t>
      </w:r>
      <w:r w:rsidR="00931B6E" w:rsidRPr="002C219C">
        <w:rPr>
          <w:rFonts w:ascii="Arial" w:hAnsi="Arial" w:cs="Arial"/>
          <w:color w:val="000000" w:themeColor="text1"/>
          <w:sz w:val="20"/>
          <w:szCs w:val="20"/>
        </w:rPr>
        <w:t xml:space="preserve">so bili razdeljeni na </w:t>
      </w:r>
      <w:r w:rsidR="002F174C" w:rsidRPr="002C219C">
        <w:rPr>
          <w:rFonts w:ascii="Arial" w:hAnsi="Arial" w:cs="Arial"/>
          <w:color w:val="000000" w:themeColor="text1"/>
          <w:sz w:val="20"/>
          <w:szCs w:val="20"/>
        </w:rPr>
        <w:t>81</w:t>
      </w:r>
      <w:r w:rsidR="001A3829">
        <w:rPr>
          <w:rFonts w:ascii="Arial" w:hAnsi="Arial" w:cs="Arial"/>
          <w:color w:val="000000" w:themeColor="text1"/>
          <w:sz w:val="20"/>
          <w:szCs w:val="20"/>
        </w:rPr>
        <w:sym w:font="Symbol" w:char="F02D"/>
      </w:r>
      <w:r w:rsidR="002F174C" w:rsidRPr="002C219C">
        <w:rPr>
          <w:rFonts w:ascii="Arial" w:hAnsi="Arial" w:cs="Arial"/>
          <w:color w:val="000000" w:themeColor="text1"/>
          <w:sz w:val="20"/>
          <w:szCs w:val="20"/>
        </w:rPr>
        <w:t>225</w:t>
      </w:r>
      <w:r w:rsidR="0085369D" w:rsidRPr="002C219C">
        <w:rPr>
          <w:rFonts w:ascii="Arial" w:hAnsi="Arial" w:cs="Arial"/>
          <w:color w:val="000000" w:themeColor="text1"/>
          <w:sz w:val="20"/>
          <w:szCs w:val="20"/>
        </w:rPr>
        <w:t xml:space="preserve"> naročil, in sicer </w:t>
      </w:r>
      <w:r w:rsidR="001A3829">
        <w:rPr>
          <w:rFonts w:ascii="Arial" w:hAnsi="Arial" w:cs="Arial"/>
          <w:color w:val="000000" w:themeColor="text1"/>
          <w:sz w:val="20"/>
          <w:szCs w:val="20"/>
        </w:rPr>
        <w:t>dve</w:t>
      </w:r>
      <w:r w:rsidR="001A3829" w:rsidRPr="002C219C">
        <w:rPr>
          <w:rFonts w:ascii="Arial" w:hAnsi="Arial" w:cs="Arial"/>
          <w:color w:val="000000" w:themeColor="text1"/>
          <w:sz w:val="20"/>
          <w:szCs w:val="20"/>
        </w:rPr>
        <w:t xml:space="preserve"> </w:t>
      </w:r>
      <w:r w:rsidR="0085369D" w:rsidRPr="002C219C">
        <w:rPr>
          <w:rFonts w:ascii="Arial" w:hAnsi="Arial" w:cs="Arial"/>
          <w:color w:val="000000" w:themeColor="text1"/>
          <w:sz w:val="20"/>
          <w:szCs w:val="20"/>
        </w:rPr>
        <w:t>ponudb</w:t>
      </w:r>
      <w:r w:rsidR="002F174C" w:rsidRPr="002C219C">
        <w:rPr>
          <w:rFonts w:ascii="Arial" w:hAnsi="Arial" w:cs="Arial"/>
          <w:color w:val="000000" w:themeColor="text1"/>
          <w:sz w:val="20"/>
          <w:szCs w:val="20"/>
        </w:rPr>
        <w:t>i</w:t>
      </w:r>
      <w:r w:rsidR="00ED4CE1" w:rsidRPr="002C219C">
        <w:rPr>
          <w:rFonts w:ascii="Arial" w:hAnsi="Arial" w:cs="Arial"/>
          <w:color w:val="000000" w:themeColor="text1"/>
          <w:sz w:val="20"/>
          <w:szCs w:val="20"/>
        </w:rPr>
        <w:t>.</w:t>
      </w:r>
      <w:r w:rsidRPr="002C219C">
        <w:rPr>
          <w:rFonts w:ascii="Arial" w:hAnsi="Arial" w:cs="Arial"/>
          <w:color w:val="000000" w:themeColor="text1"/>
          <w:sz w:val="20"/>
          <w:szCs w:val="20"/>
        </w:rPr>
        <w:t xml:space="preserve"> </w:t>
      </w:r>
    </w:p>
    <w:p w14:paraId="07842A9D" w14:textId="398A28E7" w:rsidR="00623009" w:rsidRPr="005660EF" w:rsidRDefault="00623009" w:rsidP="00E9417B">
      <w:pPr>
        <w:tabs>
          <w:tab w:val="left" w:pos="567"/>
          <w:tab w:val="left" w:pos="993"/>
        </w:tabs>
        <w:spacing w:after="0" w:line="360" w:lineRule="auto"/>
        <w:jc w:val="both"/>
        <w:rPr>
          <w:rFonts w:ascii="Arial" w:hAnsi="Arial" w:cs="Arial"/>
          <w:color w:val="000000" w:themeColor="text1"/>
          <w:sz w:val="20"/>
        </w:rPr>
      </w:pPr>
      <w:r w:rsidRPr="005660EF">
        <w:rPr>
          <w:rFonts w:ascii="Arial" w:hAnsi="Arial" w:cs="Arial"/>
          <w:color w:val="000000" w:themeColor="text1"/>
          <w:sz w:val="20"/>
        </w:rPr>
        <w:lastRenderedPageBreak/>
        <w:t xml:space="preserve">Preglednica </w:t>
      </w:r>
      <w:r w:rsidR="00EB4423">
        <w:rPr>
          <w:rFonts w:ascii="Arial" w:hAnsi="Arial" w:cs="Arial"/>
          <w:color w:val="000000" w:themeColor="text1"/>
          <w:sz w:val="20"/>
        </w:rPr>
        <w:t>37</w:t>
      </w:r>
      <w:r w:rsidRPr="005660EF">
        <w:rPr>
          <w:rFonts w:ascii="Arial" w:hAnsi="Arial" w:cs="Arial"/>
          <w:color w:val="000000" w:themeColor="text1"/>
          <w:sz w:val="20"/>
        </w:rPr>
        <w:t xml:space="preserve">: </w:t>
      </w:r>
      <w:r w:rsidR="00771E42" w:rsidRPr="005660EF">
        <w:rPr>
          <w:rFonts w:ascii="Arial" w:hAnsi="Arial" w:cs="Arial"/>
          <w:color w:val="000000" w:themeColor="text1"/>
          <w:sz w:val="20"/>
        </w:rPr>
        <w:t>Število naročil v postopku, njihova vrednost in deleži ter povprečno število prejetih ponudb</w:t>
      </w:r>
    </w:p>
    <w:tbl>
      <w:tblPr>
        <w:tblW w:w="5000" w:type="pct"/>
        <w:tblCellMar>
          <w:left w:w="70" w:type="dxa"/>
          <w:right w:w="70" w:type="dxa"/>
        </w:tblCellMar>
        <w:tblLook w:val="04A0" w:firstRow="1" w:lastRow="0" w:firstColumn="1" w:lastColumn="0" w:noHBand="0" w:noVBand="1"/>
      </w:tblPr>
      <w:tblGrid>
        <w:gridCol w:w="1324"/>
        <w:gridCol w:w="1463"/>
        <w:gridCol w:w="1965"/>
        <w:gridCol w:w="1463"/>
        <w:gridCol w:w="1325"/>
        <w:gridCol w:w="1522"/>
      </w:tblGrid>
      <w:tr w:rsidR="000271E4" w:rsidRPr="005660EF" w14:paraId="095694D4" w14:textId="77777777" w:rsidTr="008E08B4">
        <w:trPr>
          <w:trHeight w:val="284"/>
        </w:trPr>
        <w:tc>
          <w:tcPr>
            <w:tcW w:w="731"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44B22C9"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Št. naročil v postopku</w:t>
            </w:r>
          </w:p>
        </w:tc>
        <w:tc>
          <w:tcPr>
            <w:tcW w:w="807" w:type="pct"/>
            <w:tcBorders>
              <w:top w:val="single" w:sz="4" w:space="0" w:color="auto"/>
              <w:left w:val="nil"/>
              <w:bottom w:val="single" w:sz="4" w:space="0" w:color="auto"/>
              <w:right w:val="single" w:sz="4" w:space="0" w:color="auto"/>
            </w:tcBorders>
            <w:shd w:val="clear" w:color="000000" w:fill="EDEDED"/>
            <w:vAlign w:val="center"/>
            <w:hideMark/>
          </w:tcPr>
          <w:p w14:paraId="71823077"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Št. postopkov</w:t>
            </w:r>
          </w:p>
        </w:tc>
        <w:tc>
          <w:tcPr>
            <w:tcW w:w="1084" w:type="pct"/>
            <w:tcBorders>
              <w:top w:val="single" w:sz="4" w:space="0" w:color="auto"/>
              <w:left w:val="nil"/>
              <w:bottom w:val="single" w:sz="4" w:space="0" w:color="auto"/>
              <w:right w:val="single" w:sz="4" w:space="0" w:color="auto"/>
            </w:tcBorders>
            <w:shd w:val="clear" w:color="000000" w:fill="EDEDED"/>
            <w:vAlign w:val="center"/>
            <w:hideMark/>
          </w:tcPr>
          <w:p w14:paraId="2A8A2EF5"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Pogodbena vrednost</w:t>
            </w:r>
          </w:p>
        </w:tc>
        <w:tc>
          <w:tcPr>
            <w:tcW w:w="807" w:type="pct"/>
            <w:tcBorders>
              <w:top w:val="single" w:sz="4" w:space="0" w:color="auto"/>
              <w:left w:val="nil"/>
              <w:bottom w:val="single" w:sz="4" w:space="0" w:color="auto"/>
              <w:right w:val="single" w:sz="4" w:space="0" w:color="auto"/>
            </w:tcBorders>
            <w:shd w:val="clear" w:color="000000" w:fill="EDEDED"/>
            <w:vAlign w:val="center"/>
            <w:hideMark/>
          </w:tcPr>
          <w:p w14:paraId="12382BDF"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Delež v št. postopkov</w:t>
            </w:r>
          </w:p>
        </w:tc>
        <w:tc>
          <w:tcPr>
            <w:tcW w:w="731" w:type="pct"/>
            <w:tcBorders>
              <w:top w:val="single" w:sz="4" w:space="0" w:color="auto"/>
              <w:left w:val="nil"/>
              <w:bottom w:val="single" w:sz="4" w:space="0" w:color="auto"/>
              <w:right w:val="single" w:sz="4" w:space="0" w:color="auto"/>
            </w:tcBorders>
            <w:shd w:val="clear" w:color="000000" w:fill="EDEDED"/>
            <w:vAlign w:val="center"/>
            <w:hideMark/>
          </w:tcPr>
          <w:p w14:paraId="0FF7CCB3"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Delež v vrednosti</w:t>
            </w:r>
          </w:p>
        </w:tc>
        <w:tc>
          <w:tcPr>
            <w:tcW w:w="840" w:type="pct"/>
            <w:tcBorders>
              <w:top w:val="single" w:sz="4" w:space="0" w:color="auto"/>
              <w:left w:val="nil"/>
              <w:bottom w:val="single" w:sz="4" w:space="0" w:color="auto"/>
              <w:right w:val="single" w:sz="4" w:space="0" w:color="auto"/>
            </w:tcBorders>
            <w:shd w:val="clear" w:color="000000" w:fill="EDEDED"/>
            <w:vAlign w:val="center"/>
            <w:hideMark/>
          </w:tcPr>
          <w:p w14:paraId="3074BBD5"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Povprečno št. prejetih ponudb</w:t>
            </w:r>
          </w:p>
        </w:tc>
      </w:tr>
      <w:tr w:rsidR="000271E4" w:rsidRPr="005660EF" w14:paraId="19023739"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9983034" w14:textId="77777777" w:rsidR="000271E4" w:rsidRPr="005660EF" w:rsidRDefault="000271E4" w:rsidP="002F174C">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w:t>
            </w:r>
          </w:p>
        </w:tc>
        <w:tc>
          <w:tcPr>
            <w:tcW w:w="807" w:type="pct"/>
            <w:tcBorders>
              <w:top w:val="nil"/>
              <w:left w:val="nil"/>
              <w:bottom w:val="single" w:sz="4" w:space="0" w:color="auto"/>
              <w:right w:val="single" w:sz="4" w:space="0" w:color="auto"/>
            </w:tcBorders>
            <w:shd w:val="clear" w:color="auto" w:fill="auto"/>
            <w:vAlign w:val="center"/>
            <w:hideMark/>
          </w:tcPr>
          <w:p w14:paraId="3E7E14A8"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5207</w:t>
            </w:r>
          </w:p>
        </w:tc>
        <w:tc>
          <w:tcPr>
            <w:tcW w:w="1084" w:type="pct"/>
            <w:tcBorders>
              <w:top w:val="nil"/>
              <w:left w:val="nil"/>
              <w:bottom w:val="single" w:sz="4" w:space="0" w:color="auto"/>
              <w:right w:val="single" w:sz="4" w:space="0" w:color="auto"/>
            </w:tcBorders>
            <w:shd w:val="clear" w:color="auto" w:fill="auto"/>
            <w:vAlign w:val="center"/>
            <w:hideMark/>
          </w:tcPr>
          <w:p w14:paraId="05EB3BBD"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2.121.495.120</w:t>
            </w:r>
          </w:p>
        </w:tc>
        <w:tc>
          <w:tcPr>
            <w:tcW w:w="807" w:type="pct"/>
            <w:tcBorders>
              <w:top w:val="nil"/>
              <w:left w:val="nil"/>
              <w:bottom w:val="single" w:sz="4" w:space="0" w:color="auto"/>
              <w:right w:val="single" w:sz="4" w:space="0" w:color="auto"/>
            </w:tcBorders>
            <w:shd w:val="clear" w:color="auto" w:fill="auto"/>
            <w:vAlign w:val="center"/>
            <w:hideMark/>
          </w:tcPr>
          <w:p w14:paraId="2C5F78CF" w14:textId="5D20644A"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77,27</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65AA6B0C" w14:textId="250FEBE2"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72,69</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55D9A0FF"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2,2</w:t>
            </w:r>
          </w:p>
        </w:tc>
      </w:tr>
      <w:tr w:rsidR="000271E4" w:rsidRPr="005660EF" w14:paraId="3E96987F"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050D3E5B" w14:textId="76658AFF" w:rsidR="000271E4" w:rsidRPr="005660EF" w:rsidRDefault="000271E4" w:rsidP="002F174C">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w:t>
            </w:r>
            <w:r w:rsidR="001A3829">
              <w:rPr>
                <w:rFonts w:ascii="Arial" w:hAnsi="Arial" w:cs="Arial"/>
                <w:color w:val="000000" w:themeColor="text1"/>
                <w:sz w:val="20"/>
                <w:szCs w:val="20"/>
              </w:rPr>
              <w:sym w:font="Symbol" w:char="F02D"/>
            </w:r>
            <w:r w:rsidRPr="005660EF">
              <w:rPr>
                <w:rFonts w:ascii="Arial" w:eastAsia="Times New Roman" w:hAnsi="Arial" w:cs="Arial"/>
                <w:color w:val="000000"/>
                <w:sz w:val="18"/>
                <w:szCs w:val="18"/>
                <w:lang w:eastAsia="sl-SI"/>
              </w:rPr>
              <w:t>10</w:t>
            </w:r>
          </w:p>
        </w:tc>
        <w:tc>
          <w:tcPr>
            <w:tcW w:w="807" w:type="pct"/>
            <w:tcBorders>
              <w:top w:val="nil"/>
              <w:left w:val="nil"/>
              <w:bottom w:val="single" w:sz="4" w:space="0" w:color="auto"/>
              <w:right w:val="single" w:sz="4" w:space="0" w:color="auto"/>
            </w:tcBorders>
            <w:shd w:val="clear" w:color="auto" w:fill="auto"/>
            <w:vAlign w:val="center"/>
            <w:hideMark/>
          </w:tcPr>
          <w:p w14:paraId="681DE8D2"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1.213</w:t>
            </w:r>
          </w:p>
        </w:tc>
        <w:tc>
          <w:tcPr>
            <w:tcW w:w="1084" w:type="pct"/>
            <w:tcBorders>
              <w:top w:val="nil"/>
              <w:left w:val="nil"/>
              <w:bottom w:val="single" w:sz="4" w:space="0" w:color="auto"/>
              <w:right w:val="single" w:sz="4" w:space="0" w:color="auto"/>
            </w:tcBorders>
            <w:shd w:val="clear" w:color="auto" w:fill="auto"/>
            <w:vAlign w:val="center"/>
            <w:hideMark/>
          </w:tcPr>
          <w:p w14:paraId="5E79B03B"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606.000.648</w:t>
            </w:r>
          </w:p>
        </w:tc>
        <w:tc>
          <w:tcPr>
            <w:tcW w:w="807" w:type="pct"/>
            <w:tcBorders>
              <w:top w:val="nil"/>
              <w:left w:val="nil"/>
              <w:bottom w:val="single" w:sz="4" w:space="0" w:color="auto"/>
              <w:right w:val="single" w:sz="4" w:space="0" w:color="auto"/>
            </w:tcBorders>
            <w:shd w:val="clear" w:color="auto" w:fill="auto"/>
            <w:vAlign w:val="center"/>
            <w:hideMark/>
          </w:tcPr>
          <w:p w14:paraId="7D6AAF81" w14:textId="05884B05"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18,00</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00DBF389" w14:textId="467ECD4B"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20,76</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111A7210"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2,6</w:t>
            </w:r>
          </w:p>
        </w:tc>
      </w:tr>
      <w:tr w:rsidR="000271E4" w:rsidRPr="005660EF" w14:paraId="59454AE0"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32650675" w14:textId="30923EC4" w:rsidR="000271E4" w:rsidRPr="005660EF" w:rsidRDefault="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11</w:t>
            </w:r>
            <w:r w:rsidR="001A3829">
              <w:rPr>
                <w:rFonts w:ascii="Arial" w:hAnsi="Arial" w:cs="Arial"/>
                <w:color w:val="000000" w:themeColor="text1"/>
                <w:sz w:val="20"/>
                <w:szCs w:val="20"/>
              </w:rPr>
              <w:sym w:font="Symbol" w:char="F02D"/>
            </w:r>
            <w:r w:rsidRPr="005660EF">
              <w:rPr>
                <w:rFonts w:ascii="Arial" w:eastAsia="Times New Roman" w:hAnsi="Arial" w:cs="Arial"/>
                <w:color w:val="000000"/>
                <w:sz w:val="18"/>
                <w:szCs w:val="18"/>
                <w:lang w:eastAsia="sl-SI"/>
              </w:rPr>
              <w:t>20</w:t>
            </w:r>
          </w:p>
        </w:tc>
        <w:tc>
          <w:tcPr>
            <w:tcW w:w="807" w:type="pct"/>
            <w:tcBorders>
              <w:top w:val="nil"/>
              <w:left w:val="nil"/>
              <w:bottom w:val="single" w:sz="4" w:space="0" w:color="auto"/>
              <w:right w:val="single" w:sz="4" w:space="0" w:color="auto"/>
            </w:tcBorders>
            <w:shd w:val="clear" w:color="auto" w:fill="auto"/>
            <w:vAlign w:val="center"/>
            <w:hideMark/>
          </w:tcPr>
          <w:p w14:paraId="68B58F38"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214</w:t>
            </w:r>
          </w:p>
        </w:tc>
        <w:tc>
          <w:tcPr>
            <w:tcW w:w="1084" w:type="pct"/>
            <w:tcBorders>
              <w:top w:val="nil"/>
              <w:left w:val="nil"/>
              <w:bottom w:val="single" w:sz="4" w:space="0" w:color="auto"/>
              <w:right w:val="single" w:sz="4" w:space="0" w:color="auto"/>
            </w:tcBorders>
            <w:shd w:val="clear" w:color="auto" w:fill="auto"/>
            <w:vAlign w:val="center"/>
            <w:hideMark/>
          </w:tcPr>
          <w:p w14:paraId="18443395"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109.506.076</w:t>
            </w:r>
          </w:p>
        </w:tc>
        <w:tc>
          <w:tcPr>
            <w:tcW w:w="807" w:type="pct"/>
            <w:tcBorders>
              <w:top w:val="nil"/>
              <w:left w:val="nil"/>
              <w:bottom w:val="single" w:sz="4" w:space="0" w:color="auto"/>
              <w:right w:val="single" w:sz="4" w:space="0" w:color="auto"/>
            </w:tcBorders>
            <w:shd w:val="clear" w:color="auto" w:fill="auto"/>
            <w:vAlign w:val="center"/>
            <w:hideMark/>
          </w:tcPr>
          <w:p w14:paraId="0B7BA59C" w14:textId="336F8455"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3,18</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218D1A48" w14:textId="4DA19A75"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3,75</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3D35F002"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2,6</w:t>
            </w:r>
          </w:p>
        </w:tc>
      </w:tr>
      <w:tr w:rsidR="000271E4" w:rsidRPr="005660EF" w14:paraId="5649A65F"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2565E86" w14:textId="757EAEDB" w:rsidR="000271E4" w:rsidRPr="005660EF" w:rsidRDefault="000271E4" w:rsidP="002F174C">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21</w:t>
            </w:r>
            <w:r w:rsidR="001A3829">
              <w:rPr>
                <w:rFonts w:ascii="Arial" w:hAnsi="Arial" w:cs="Arial"/>
                <w:color w:val="000000" w:themeColor="text1"/>
                <w:sz w:val="20"/>
                <w:szCs w:val="20"/>
              </w:rPr>
              <w:sym w:font="Symbol" w:char="F02D"/>
            </w:r>
            <w:r w:rsidRPr="005660EF">
              <w:rPr>
                <w:rFonts w:ascii="Arial" w:eastAsia="Times New Roman" w:hAnsi="Arial" w:cs="Arial"/>
                <w:color w:val="000000"/>
                <w:sz w:val="18"/>
                <w:szCs w:val="18"/>
                <w:lang w:eastAsia="sl-SI"/>
              </w:rPr>
              <w:t>40</w:t>
            </w:r>
          </w:p>
        </w:tc>
        <w:tc>
          <w:tcPr>
            <w:tcW w:w="807" w:type="pct"/>
            <w:tcBorders>
              <w:top w:val="nil"/>
              <w:left w:val="nil"/>
              <w:bottom w:val="single" w:sz="4" w:space="0" w:color="auto"/>
              <w:right w:val="single" w:sz="4" w:space="0" w:color="auto"/>
            </w:tcBorders>
            <w:shd w:val="clear" w:color="auto" w:fill="auto"/>
            <w:vAlign w:val="center"/>
            <w:hideMark/>
          </w:tcPr>
          <w:p w14:paraId="56750AC7"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79</w:t>
            </w:r>
          </w:p>
        </w:tc>
        <w:tc>
          <w:tcPr>
            <w:tcW w:w="1084" w:type="pct"/>
            <w:tcBorders>
              <w:top w:val="nil"/>
              <w:left w:val="nil"/>
              <w:bottom w:val="single" w:sz="4" w:space="0" w:color="auto"/>
              <w:right w:val="single" w:sz="4" w:space="0" w:color="auto"/>
            </w:tcBorders>
            <w:shd w:val="clear" w:color="auto" w:fill="auto"/>
            <w:vAlign w:val="center"/>
            <w:hideMark/>
          </w:tcPr>
          <w:p w14:paraId="632B54CC"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56.165.923</w:t>
            </w:r>
          </w:p>
        </w:tc>
        <w:tc>
          <w:tcPr>
            <w:tcW w:w="807" w:type="pct"/>
            <w:tcBorders>
              <w:top w:val="nil"/>
              <w:left w:val="nil"/>
              <w:bottom w:val="single" w:sz="4" w:space="0" w:color="auto"/>
              <w:right w:val="single" w:sz="4" w:space="0" w:color="auto"/>
            </w:tcBorders>
            <w:shd w:val="clear" w:color="auto" w:fill="auto"/>
            <w:vAlign w:val="center"/>
            <w:hideMark/>
          </w:tcPr>
          <w:p w14:paraId="10611484" w14:textId="210EEA2E"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1,17</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775CCFD6" w14:textId="32AB400F"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1,92</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3E9E3450"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2,5</w:t>
            </w:r>
          </w:p>
        </w:tc>
      </w:tr>
      <w:tr w:rsidR="000271E4" w:rsidRPr="005660EF" w14:paraId="3F41C0B9"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62806506" w14:textId="1806F69B" w:rsidR="000271E4" w:rsidRPr="005660EF" w:rsidRDefault="000271E4" w:rsidP="002F174C">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41</w:t>
            </w:r>
            <w:r w:rsidR="001A3829">
              <w:rPr>
                <w:rFonts w:ascii="Arial" w:hAnsi="Arial" w:cs="Arial"/>
                <w:color w:val="000000" w:themeColor="text1"/>
                <w:sz w:val="20"/>
                <w:szCs w:val="20"/>
              </w:rPr>
              <w:sym w:font="Symbol" w:char="F02D"/>
            </w:r>
            <w:r w:rsidRPr="005660EF">
              <w:rPr>
                <w:rFonts w:ascii="Arial" w:eastAsia="Times New Roman" w:hAnsi="Arial" w:cs="Arial"/>
                <w:color w:val="000000"/>
                <w:sz w:val="18"/>
                <w:szCs w:val="18"/>
                <w:lang w:eastAsia="sl-SI"/>
              </w:rPr>
              <w:t>60</w:t>
            </w:r>
          </w:p>
        </w:tc>
        <w:tc>
          <w:tcPr>
            <w:tcW w:w="807" w:type="pct"/>
            <w:tcBorders>
              <w:top w:val="nil"/>
              <w:left w:val="nil"/>
              <w:bottom w:val="single" w:sz="4" w:space="0" w:color="auto"/>
              <w:right w:val="single" w:sz="4" w:space="0" w:color="auto"/>
            </w:tcBorders>
            <w:shd w:val="clear" w:color="auto" w:fill="auto"/>
            <w:vAlign w:val="center"/>
            <w:hideMark/>
          </w:tcPr>
          <w:p w14:paraId="72B08133"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18</w:t>
            </w:r>
          </w:p>
        </w:tc>
        <w:tc>
          <w:tcPr>
            <w:tcW w:w="1084" w:type="pct"/>
            <w:tcBorders>
              <w:top w:val="nil"/>
              <w:left w:val="nil"/>
              <w:bottom w:val="single" w:sz="4" w:space="0" w:color="auto"/>
              <w:right w:val="single" w:sz="4" w:space="0" w:color="auto"/>
            </w:tcBorders>
            <w:shd w:val="clear" w:color="auto" w:fill="auto"/>
            <w:vAlign w:val="center"/>
            <w:hideMark/>
          </w:tcPr>
          <w:p w14:paraId="7859828D"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10.553.246</w:t>
            </w:r>
          </w:p>
        </w:tc>
        <w:tc>
          <w:tcPr>
            <w:tcW w:w="807" w:type="pct"/>
            <w:tcBorders>
              <w:top w:val="nil"/>
              <w:left w:val="nil"/>
              <w:bottom w:val="single" w:sz="4" w:space="0" w:color="auto"/>
              <w:right w:val="single" w:sz="4" w:space="0" w:color="auto"/>
            </w:tcBorders>
            <w:shd w:val="clear" w:color="auto" w:fill="auto"/>
            <w:vAlign w:val="center"/>
            <w:hideMark/>
          </w:tcPr>
          <w:p w14:paraId="1CF25356" w14:textId="5D0F9631"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0,27</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1773C450" w14:textId="68237E0F"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0,36</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4F3F0222"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2,8</w:t>
            </w:r>
          </w:p>
        </w:tc>
      </w:tr>
      <w:tr w:rsidR="000271E4" w:rsidRPr="005660EF" w14:paraId="1D562F8D"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88B4209" w14:textId="5E2F5347" w:rsidR="000271E4" w:rsidRPr="005660EF" w:rsidRDefault="000271E4" w:rsidP="002F174C">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61</w:t>
            </w:r>
            <w:r w:rsidR="001A3829">
              <w:rPr>
                <w:rFonts w:ascii="Arial" w:hAnsi="Arial" w:cs="Arial"/>
                <w:color w:val="000000" w:themeColor="text1"/>
                <w:sz w:val="20"/>
                <w:szCs w:val="20"/>
              </w:rPr>
              <w:sym w:font="Symbol" w:char="F02D"/>
            </w:r>
            <w:r w:rsidR="002F174C">
              <w:rPr>
                <w:rFonts w:ascii="Arial" w:eastAsia="Times New Roman" w:hAnsi="Arial" w:cs="Arial"/>
                <w:color w:val="000000"/>
                <w:sz w:val="18"/>
                <w:szCs w:val="18"/>
                <w:lang w:eastAsia="sl-SI"/>
              </w:rPr>
              <w:t>8</w:t>
            </w:r>
            <w:r w:rsidRPr="005660EF">
              <w:rPr>
                <w:rFonts w:ascii="Arial" w:eastAsia="Times New Roman" w:hAnsi="Arial" w:cs="Arial"/>
                <w:color w:val="000000"/>
                <w:sz w:val="18"/>
                <w:szCs w:val="18"/>
                <w:lang w:eastAsia="sl-SI"/>
              </w:rPr>
              <w:t>0</w:t>
            </w:r>
          </w:p>
        </w:tc>
        <w:tc>
          <w:tcPr>
            <w:tcW w:w="807" w:type="pct"/>
            <w:tcBorders>
              <w:top w:val="nil"/>
              <w:left w:val="nil"/>
              <w:bottom w:val="single" w:sz="4" w:space="0" w:color="auto"/>
              <w:right w:val="single" w:sz="4" w:space="0" w:color="auto"/>
            </w:tcBorders>
            <w:shd w:val="clear" w:color="auto" w:fill="auto"/>
            <w:vAlign w:val="center"/>
            <w:hideMark/>
          </w:tcPr>
          <w:p w14:paraId="71714263"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6</w:t>
            </w:r>
          </w:p>
        </w:tc>
        <w:tc>
          <w:tcPr>
            <w:tcW w:w="1084" w:type="pct"/>
            <w:tcBorders>
              <w:top w:val="nil"/>
              <w:left w:val="nil"/>
              <w:bottom w:val="single" w:sz="4" w:space="0" w:color="auto"/>
              <w:right w:val="single" w:sz="4" w:space="0" w:color="auto"/>
            </w:tcBorders>
            <w:shd w:val="clear" w:color="auto" w:fill="auto"/>
            <w:vAlign w:val="center"/>
            <w:hideMark/>
          </w:tcPr>
          <w:p w14:paraId="210CB81E"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8.436.143</w:t>
            </w:r>
          </w:p>
        </w:tc>
        <w:tc>
          <w:tcPr>
            <w:tcW w:w="807" w:type="pct"/>
            <w:tcBorders>
              <w:top w:val="nil"/>
              <w:left w:val="nil"/>
              <w:bottom w:val="single" w:sz="4" w:space="0" w:color="auto"/>
              <w:right w:val="single" w:sz="4" w:space="0" w:color="auto"/>
            </w:tcBorders>
            <w:shd w:val="clear" w:color="auto" w:fill="auto"/>
            <w:vAlign w:val="center"/>
            <w:hideMark/>
          </w:tcPr>
          <w:p w14:paraId="00001CF6" w14:textId="4A1305D9"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0,09</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1F63B67A" w14:textId="5A76A945"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0,29</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4F5C2722"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3</w:t>
            </w:r>
          </w:p>
        </w:tc>
      </w:tr>
      <w:tr w:rsidR="000271E4" w:rsidRPr="005660EF" w14:paraId="1C832F97"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0E6AF2CB" w14:textId="589AA2C2" w:rsidR="000271E4" w:rsidRPr="005660EF" w:rsidRDefault="002F174C" w:rsidP="002F174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w:t>
            </w:r>
            <w:r w:rsidR="001A3829">
              <w:rPr>
                <w:rFonts w:ascii="Arial" w:hAnsi="Arial" w:cs="Arial"/>
                <w:color w:val="000000" w:themeColor="text1"/>
                <w:sz w:val="20"/>
                <w:szCs w:val="20"/>
              </w:rPr>
              <w:sym w:font="Symbol" w:char="F02D"/>
            </w:r>
            <w:r w:rsidR="000271E4" w:rsidRPr="005660EF">
              <w:rPr>
                <w:rFonts w:ascii="Arial" w:eastAsia="Times New Roman" w:hAnsi="Arial" w:cs="Arial"/>
                <w:color w:val="000000"/>
                <w:sz w:val="18"/>
                <w:szCs w:val="18"/>
                <w:lang w:eastAsia="sl-SI"/>
              </w:rPr>
              <w:t>225</w:t>
            </w:r>
          </w:p>
        </w:tc>
        <w:tc>
          <w:tcPr>
            <w:tcW w:w="807" w:type="pct"/>
            <w:tcBorders>
              <w:top w:val="nil"/>
              <w:left w:val="nil"/>
              <w:bottom w:val="single" w:sz="4" w:space="0" w:color="auto"/>
              <w:right w:val="single" w:sz="4" w:space="0" w:color="auto"/>
            </w:tcBorders>
            <w:shd w:val="clear" w:color="auto" w:fill="auto"/>
            <w:vAlign w:val="center"/>
            <w:hideMark/>
          </w:tcPr>
          <w:p w14:paraId="37F0FC8F"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w:t>
            </w:r>
          </w:p>
        </w:tc>
        <w:tc>
          <w:tcPr>
            <w:tcW w:w="1084" w:type="pct"/>
            <w:tcBorders>
              <w:top w:val="nil"/>
              <w:left w:val="nil"/>
              <w:bottom w:val="single" w:sz="4" w:space="0" w:color="auto"/>
              <w:right w:val="single" w:sz="4" w:space="0" w:color="auto"/>
            </w:tcBorders>
            <w:shd w:val="clear" w:color="auto" w:fill="auto"/>
            <w:vAlign w:val="center"/>
            <w:hideMark/>
          </w:tcPr>
          <w:p w14:paraId="3315D73C" w14:textId="77777777"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6.437.453</w:t>
            </w:r>
          </w:p>
        </w:tc>
        <w:tc>
          <w:tcPr>
            <w:tcW w:w="807" w:type="pct"/>
            <w:tcBorders>
              <w:top w:val="nil"/>
              <w:left w:val="nil"/>
              <w:bottom w:val="single" w:sz="4" w:space="0" w:color="auto"/>
              <w:right w:val="single" w:sz="4" w:space="0" w:color="auto"/>
            </w:tcBorders>
            <w:shd w:val="clear" w:color="auto" w:fill="auto"/>
            <w:vAlign w:val="center"/>
            <w:hideMark/>
          </w:tcPr>
          <w:p w14:paraId="67EEF81B" w14:textId="6E272FF6"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0,03</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731" w:type="pct"/>
            <w:tcBorders>
              <w:top w:val="nil"/>
              <w:left w:val="nil"/>
              <w:bottom w:val="single" w:sz="4" w:space="0" w:color="auto"/>
              <w:right w:val="single" w:sz="4" w:space="0" w:color="auto"/>
            </w:tcBorders>
            <w:shd w:val="clear" w:color="auto" w:fill="auto"/>
            <w:vAlign w:val="center"/>
            <w:hideMark/>
          </w:tcPr>
          <w:p w14:paraId="55B0FF72" w14:textId="0673596D" w:rsidR="000271E4" w:rsidRPr="005660EF" w:rsidRDefault="000271E4" w:rsidP="000271E4">
            <w:pPr>
              <w:spacing w:after="0" w:line="240" w:lineRule="auto"/>
              <w:jc w:val="right"/>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0,22</w:t>
            </w:r>
            <w:r w:rsidR="001A3829">
              <w:rPr>
                <w:rFonts w:ascii="Arial" w:eastAsia="Times New Roman" w:hAnsi="Arial" w:cs="Arial"/>
                <w:color w:val="000000"/>
                <w:sz w:val="18"/>
                <w:szCs w:val="18"/>
                <w:lang w:eastAsia="sl-SI"/>
              </w:rPr>
              <w:t xml:space="preserve"> </w:t>
            </w:r>
            <w:r w:rsidRPr="005660EF">
              <w:rPr>
                <w:rFonts w:ascii="Arial" w:eastAsia="Times New Roman" w:hAnsi="Arial" w:cs="Arial"/>
                <w:color w:val="000000"/>
                <w:sz w:val="18"/>
                <w:szCs w:val="18"/>
                <w:lang w:eastAsia="sl-SI"/>
              </w:rPr>
              <w:t>%</w:t>
            </w:r>
          </w:p>
        </w:tc>
        <w:tc>
          <w:tcPr>
            <w:tcW w:w="840" w:type="pct"/>
            <w:tcBorders>
              <w:top w:val="nil"/>
              <w:left w:val="nil"/>
              <w:bottom w:val="single" w:sz="4" w:space="0" w:color="auto"/>
              <w:right w:val="single" w:sz="4" w:space="0" w:color="auto"/>
            </w:tcBorders>
            <w:shd w:val="clear" w:color="auto" w:fill="auto"/>
            <w:vAlign w:val="center"/>
            <w:hideMark/>
          </w:tcPr>
          <w:p w14:paraId="024497E0" w14:textId="77777777" w:rsidR="000271E4" w:rsidRPr="005660EF" w:rsidRDefault="000271E4" w:rsidP="000271E4">
            <w:pPr>
              <w:spacing w:after="0" w:line="240" w:lineRule="auto"/>
              <w:jc w:val="center"/>
              <w:rPr>
                <w:rFonts w:ascii="Arial" w:eastAsia="Times New Roman" w:hAnsi="Arial" w:cs="Arial"/>
                <w:color w:val="000000"/>
                <w:sz w:val="18"/>
                <w:szCs w:val="18"/>
                <w:lang w:eastAsia="sl-SI"/>
              </w:rPr>
            </w:pPr>
            <w:r w:rsidRPr="005660EF">
              <w:rPr>
                <w:rFonts w:ascii="Arial" w:eastAsia="Times New Roman" w:hAnsi="Arial" w:cs="Arial"/>
                <w:color w:val="000000"/>
                <w:sz w:val="18"/>
                <w:szCs w:val="18"/>
                <w:lang w:eastAsia="sl-SI"/>
              </w:rPr>
              <w:t>2</w:t>
            </w:r>
          </w:p>
        </w:tc>
      </w:tr>
      <w:tr w:rsidR="000271E4" w:rsidRPr="005660EF" w14:paraId="21EE604D" w14:textId="77777777" w:rsidTr="008E08B4">
        <w:trPr>
          <w:trHeight w:val="284"/>
        </w:trPr>
        <w:tc>
          <w:tcPr>
            <w:tcW w:w="731" w:type="pct"/>
            <w:tcBorders>
              <w:top w:val="nil"/>
              <w:left w:val="single" w:sz="4" w:space="0" w:color="auto"/>
              <w:bottom w:val="single" w:sz="4" w:space="0" w:color="auto"/>
              <w:right w:val="single" w:sz="4" w:space="0" w:color="auto"/>
            </w:tcBorders>
            <w:shd w:val="clear" w:color="auto" w:fill="E7E6E6" w:themeFill="background2"/>
            <w:vAlign w:val="center"/>
            <w:hideMark/>
          </w:tcPr>
          <w:p w14:paraId="6FC564B5" w14:textId="77777777" w:rsidR="000271E4" w:rsidRPr="005660EF" w:rsidRDefault="000271E4" w:rsidP="000271E4">
            <w:pPr>
              <w:spacing w:after="0" w:line="240" w:lineRule="auto"/>
              <w:rPr>
                <w:rFonts w:ascii="Arial" w:eastAsia="Times New Roman" w:hAnsi="Arial" w:cs="Arial"/>
                <w:b/>
                <w:bCs/>
                <w:color w:val="000000"/>
                <w:sz w:val="18"/>
                <w:szCs w:val="18"/>
                <w:lang w:eastAsia="sl-SI"/>
              </w:rPr>
            </w:pPr>
            <w:r w:rsidRPr="005660EF">
              <w:rPr>
                <w:rFonts w:ascii="Arial" w:eastAsia="Times New Roman" w:hAnsi="Arial" w:cs="Arial"/>
                <w:b/>
                <w:bCs/>
                <w:color w:val="000000"/>
                <w:sz w:val="18"/>
                <w:szCs w:val="18"/>
                <w:lang w:eastAsia="sl-SI"/>
              </w:rPr>
              <w:t>Skupaj</w:t>
            </w:r>
          </w:p>
        </w:tc>
        <w:tc>
          <w:tcPr>
            <w:tcW w:w="807" w:type="pct"/>
            <w:tcBorders>
              <w:top w:val="nil"/>
              <w:left w:val="nil"/>
              <w:bottom w:val="single" w:sz="4" w:space="0" w:color="auto"/>
              <w:right w:val="single" w:sz="4" w:space="0" w:color="auto"/>
            </w:tcBorders>
            <w:shd w:val="clear" w:color="auto" w:fill="E7E6E6" w:themeFill="background2"/>
            <w:vAlign w:val="center"/>
            <w:hideMark/>
          </w:tcPr>
          <w:p w14:paraId="02B57516" w14:textId="77777777" w:rsidR="000271E4" w:rsidRPr="005660EF" w:rsidRDefault="000271E4" w:rsidP="000271E4">
            <w:pPr>
              <w:spacing w:after="0" w:line="240" w:lineRule="auto"/>
              <w:jc w:val="right"/>
              <w:rPr>
                <w:rFonts w:ascii="Arial" w:eastAsia="Times New Roman" w:hAnsi="Arial" w:cs="Arial"/>
                <w:b/>
                <w:bCs/>
                <w:color w:val="000000"/>
                <w:sz w:val="18"/>
                <w:szCs w:val="18"/>
                <w:lang w:eastAsia="sl-SI"/>
              </w:rPr>
            </w:pPr>
            <w:r w:rsidRPr="005660EF">
              <w:rPr>
                <w:rFonts w:ascii="Arial" w:eastAsia="Times New Roman" w:hAnsi="Arial" w:cs="Arial"/>
                <w:b/>
                <w:bCs/>
                <w:color w:val="000000"/>
                <w:sz w:val="18"/>
                <w:szCs w:val="18"/>
                <w:lang w:eastAsia="sl-SI"/>
              </w:rPr>
              <w:t>6.739</w:t>
            </w:r>
          </w:p>
        </w:tc>
        <w:tc>
          <w:tcPr>
            <w:tcW w:w="1084" w:type="pct"/>
            <w:tcBorders>
              <w:top w:val="nil"/>
              <w:left w:val="nil"/>
              <w:bottom w:val="single" w:sz="4" w:space="0" w:color="auto"/>
              <w:right w:val="single" w:sz="4" w:space="0" w:color="auto"/>
            </w:tcBorders>
            <w:shd w:val="clear" w:color="auto" w:fill="E7E6E6" w:themeFill="background2"/>
            <w:vAlign w:val="center"/>
            <w:hideMark/>
          </w:tcPr>
          <w:p w14:paraId="06596DE4" w14:textId="77777777" w:rsidR="000271E4" w:rsidRPr="005660EF" w:rsidRDefault="000271E4" w:rsidP="000271E4">
            <w:pPr>
              <w:spacing w:after="0" w:line="240" w:lineRule="auto"/>
              <w:jc w:val="right"/>
              <w:rPr>
                <w:rFonts w:ascii="Arial" w:eastAsia="Times New Roman" w:hAnsi="Arial" w:cs="Arial"/>
                <w:b/>
                <w:bCs/>
                <w:color w:val="000000"/>
                <w:sz w:val="18"/>
                <w:szCs w:val="18"/>
                <w:lang w:eastAsia="sl-SI"/>
              </w:rPr>
            </w:pPr>
            <w:r w:rsidRPr="005660EF">
              <w:rPr>
                <w:rFonts w:ascii="Arial" w:eastAsia="Times New Roman" w:hAnsi="Arial" w:cs="Arial"/>
                <w:b/>
                <w:bCs/>
                <w:color w:val="000000"/>
                <w:sz w:val="18"/>
                <w:szCs w:val="18"/>
                <w:lang w:eastAsia="sl-SI"/>
              </w:rPr>
              <w:t>2.918.594.609</w:t>
            </w:r>
          </w:p>
        </w:tc>
        <w:tc>
          <w:tcPr>
            <w:tcW w:w="807" w:type="pct"/>
            <w:tcBorders>
              <w:top w:val="nil"/>
              <w:left w:val="nil"/>
              <w:bottom w:val="single" w:sz="4" w:space="0" w:color="auto"/>
              <w:right w:val="single" w:sz="4" w:space="0" w:color="auto"/>
            </w:tcBorders>
            <w:shd w:val="clear" w:color="auto" w:fill="E7E6E6" w:themeFill="background2"/>
            <w:vAlign w:val="center"/>
            <w:hideMark/>
          </w:tcPr>
          <w:p w14:paraId="2FD96D58" w14:textId="41DE7A6A" w:rsidR="000271E4" w:rsidRPr="005660EF" w:rsidRDefault="000271E4" w:rsidP="000271E4">
            <w:pPr>
              <w:spacing w:after="0" w:line="240" w:lineRule="auto"/>
              <w:jc w:val="right"/>
              <w:rPr>
                <w:rFonts w:ascii="Arial" w:eastAsia="Times New Roman" w:hAnsi="Arial" w:cs="Arial"/>
                <w:b/>
                <w:color w:val="000000"/>
                <w:sz w:val="18"/>
                <w:szCs w:val="18"/>
                <w:lang w:eastAsia="sl-SI"/>
              </w:rPr>
            </w:pPr>
            <w:r w:rsidRPr="005660EF">
              <w:rPr>
                <w:rFonts w:ascii="Arial" w:eastAsia="Times New Roman" w:hAnsi="Arial" w:cs="Arial"/>
                <w:b/>
                <w:color w:val="000000"/>
                <w:sz w:val="18"/>
                <w:szCs w:val="18"/>
                <w:lang w:eastAsia="sl-SI"/>
              </w:rPr>
              <w:t>100,00</w:t>
            </w:r>
            <w:r w:rsidR="001A3829">
              <w:rPr>
                <w:rFonts w:ascii="Arial" w:eastAsia="Times New Roman" w:hAnsi="Arial" w:cs="Arial"/>
                <w:b/>
                <w:color w:val="000000"/>
                <w:sz w:val="18"/>
                <w:szCs w:val="18"/>
                <w:lang w:eastAsia="sl-SI"/>
              </w:rPr>
              <w:t xml:space="preserve"> </w:t>
            </w:r>
            <w:r w:rsidRPr="005660EF">
              <w:rPr>
                <w:rFonts w:ascii="Arial" w:eastAsia="Times New Roman" w:hAnsi="Arial" w:cs="Arial"/>
                <w:b/>
                <w:color w:val="000000"/>
                <w:sz w:val="18"/>
                <w:szCs w:val="18"/>
                <w:lang w:eastAsia="sl-SI"/>
              </w:rPr>
              <w:t>%</w:t>
            </w:r>
          </w:p>
        </w:tc>
        <w:tc>
          <w:tcPr>
            <w:tcW w:w="731" w:type="pct"/>
            <w:tcBorders>
              <w:top w:val="nil"/>
              <w:left w:val="nil"/>
              <w:bottom w:val="single" w:sz="4" w:space="0" w:color="auto"/>
              <w:right w:val="single" w:sz="4" w:space="0" w:color="auto"/>
            </w:tcBorders>
            <w:shd w:val="clear" w:color="auto" w:fill="E7E6E6" w:themeFill="background2"/>
            <w:vAlign w:val="center"/>
            <w:hideMark/>
          </w:tcPr>
          <w:p w14:paraId="43448534" w14:textId="53F36B90" w:rsidR="000271E4" w:rsidRPr="005660EF" w:rsidRDefault="000271E4" w:rsidP="000271E4">
            <w:pPr>
              <w:spacing w:after="0" w:line="240" w:lineRule="auto"/>
              <w:jc w:val="right"/>
              <w:rPr>
                <w:rFonts w:ascii="Arial" w:eastAsia="Times New Roman" w:hAnsi="Arial" w:cs="Arial"/>
                <w:b/>
                <w:color w:val="000000"/>
                <w:sz w:val="18"/>
                <w:szCs w:val="18"/>
                <w:lang w:eastAsia="sl-SI"/>
              </w:rPr>
            </w:pPr>
            <w:r w:rsidRPr="005660EF">
              <w:rPr>
                <w:rFonts w:ascii="Arial" w:eastAsia="Times New Roman" w:hAnsi="Arial" w:cs="Arial"/>
                <w:b/>
                <w:color w:val="000000"/>
                <w:sz w:val="18"/>
                <w:szCs w:val="18"/>
                <w:lang w:eastAsia="sl-SI"/>
              </w:rPr>
              <w:t>100,00</w:t>
            </w:r>
            <w:r w:rsidR="001A3829">
              <w:rPr>
                <w:rFonts w:ascii="Arial" w:eastAsia="Times New Roman" w:hAnsi="Arial" w:cs="Arial"/>
                <w:b/>
                <w:color w:val="000000"/>
                <w:sz w:val="18"/>
                <w:szCs w:val="18"/>
                <w:lang w:eastAsia="sl-SI"/>
              </w:rPr>
              <w:t xml:space="preserve"> </w:t>
            </w:r>
            <w:r w:rsidRPr="005660EF">
              <w:rPr>
                <w:rFonts w:ascii="Arial" w:eastAsia="Times New Roman" w:hAnsi="Arial" w:cs="Arial"/>
                <w:b/>
                <w:color w:val="000000"/>
                <w:sz w:val="18"/>
                <w:szCs w:val="18"/>
                <w:lang w:eastAsia="sl-SI"/>
              </w:rPr>
              <w:t>%</w:t>
            </w:r>
          </w:p>
        </w:tc>
        <w:tc>
          <w:tcPr>
            <w:tcW w:w="840" w:type="pct"/>
            <w:tcBorders>
              <w:top w:val="nil"/>
              <w:left w:val="nil"/>
              <w:bottom w:val="single" w:sz="4" w:space="0" w:color="auto"/>
              <w:right w:val="single" w:sz="4" w:space="0" w:color="auto"/>
            </w:tcBorders>
            <w:shd w:val="clear" w:color="auto" w:fill="E7E6E6" w:themeFill="background2"/>
            <w:vAlign w:val="center"/>
            <w:hideMark/>
          </w:tcPr>
          <w:p w14:paraId="36B6E7FB" w14:textId="77777777" w:rsidR="000271E4" w:rsidRPr="005660EF" w:rsidRDefault="000271E4" w:rsidP="000271E4">
            <w:pPr>
              <w:spacing w:after="0" w:line="240" w:lineRule="auto"/>
              <w:jc w:val="center"/>
              <w:rPr>
                <w:rFonts w:ascii="Arial" w:eastAsia="Times New Roman" w:hAnsi="Arial" w:cs="Arial"/>
                <w:b/>
                <w:bCs/>
                <w:color w:val="000000"/>
                <w:sz w:val="18"/>
                <w:szCs w:val="18"/>
                <w:lang w:eastAsia="sl-SI"/>
              </w:rPr>
            </w:pPr>
            <w:r w:rsidRPr="005660EF">
              <w:rPr>
                <w:rFonts w:ascii="Arial" w:eastAsia="Times New Roman" w:hAnsi="Arial" w:cs="Arial"/>
                <w:b/>
                <w:bCs/>
                <w:color w:val="000000"/>
                <w:sz w:val="18"/>
                <w:szCs w:val="18"/>
                <w:lang w:eastAsia="sl-SI"/>
              </w:rPr>
              <w:t>2,5</w:t>
            </w:r>
          </w:p>
        </w:tc>
      </w:tr>
    </w:tbl>
    <w:p w14:paraId="7493D9BC" w14:textId="77777777" w:rsidR="004A613D" w:rsidRPr="005660EF" w:rsidRDefault="004A613D" w:rsidP="004A613D">
      <w:pPr>
        <w:spacing w:after="0" w:line="240" w:lineRule="auto"/>
        <w:jc w:val="center"/>
        <w:rPr>
          <w:rFonts w:ascii="Arial" w:hAnsi="Arial" w:cs="Arial"/>
          <w:sz w:val="18"/>
        </w:rPr>
      </w:pPr>
    </w:p>
    <w:p w14:paraId="7A9FDE81" w14:textId="2A5225D1" w:rsidR="00821795" w:rsidRPr="005660EF" w:rsidRDefault="00821795" w:rsidP="004A613D">
      <w:pPr>
        <w:spacing w:after="0" w:line="240" w:lineRule="auto"/>
        <w:jc w:val="center"/>
        <w:rPr>
          <w:rFonts w:ascii="Arial" w:hAnsi="Arial" w:cs="Arial"/>
          <w:sz w:val="18"/>
        </w:rPr>
      </w:pPr>
      <w:r w:rsidRPr="005660EF">
        <w:rPr>
          <w:rFonts w:ascii="Arial" w:hAnsi="Arial" w:cs="Arial"/>
          <w:sz w:val="18"/>
        </w:rPr>
        <w:t>Vir: Statistični podatki o javnih naročilih, oddanih v letu 201</w:t>
      </w:r>
      <w:r w:rsidR="000271E4" w:rsidRPr="005660EF">
        <w:rPr>
          <w:rFonts w:ascii="Arial" w:hAnsi="Arial" w:cs="Arial"/>
          <w:sz w:val="18"/>
        </w:rPr>
        <w:t>8</w:t>
      </w:r>
    </w:p>
    <w:p w14:paraId="3752FD87" w14:textId="77777777" w:rsidR="004A613D" w:rsidRPr="005660EF" w:rsidRDefault="004A613D" w:rsidP="000F2B07">
      <w:pPr>
        <w:tabs>
          <w:tab w:val="left" w:pos="567"/>
          <w:tab w:val="left" w:pos="993"/>
        </w:tabs>
        <w:spacing w:after="0" w:line="360" w:lineRule="auto"/>
        <w:jc w:val="both"/>
        <w:rPr>
          <w:rFonts w:ascii="Arial" w:hAnsi="Arial" w:cs="Arial"/>
          <w:sz w:val="20"/>
          <w:szCs w:val="20"/>
        </w:rPr>
      </w:pPr>
    </w:p>
    <w:p w14:paraId="133DFDF6" w14:textId="483305EC" w:rsidR="007B5C52" w:rsidRPr="00E93524" w:rsidRDefault="007B5C52" w:rsidP="00E96696">
      <w:pPr>
        <w:spacing w:line="360" w:lineRule="auto"/>
        <w:jc w:val="both"/>
        <w:rPr>
          <w:rFonts w:ascii="Arial" w:eastAsia="Times New Roman" w:hAnsi="Arial" w:cs="Arial"/>
          <w:color w:val="000000"/>
          <w:sz w:val="20"/>
          <w:szCs w:val="20"/>
          <w:lang w:eastAsia="sl-SI"/>
        </w:rPr>
      </w:pPr>
      <w:r w:rsidRPr="00F9780B">
        <w:rPr>
          <w:rFonts w:ascii="Arial" w:hAnsi="Arial" w:cs="Arial"/>
          <w:sz w:val="20"/>
          <w:szCs w:val="20"/>
        </w:rPr>
        <w:t>Iz statističnih podatkov o javnih naročilih, oddanih v letu 201</w:t>
      </w:r>
      <w:r w:rsidR="00844E49" w:rsidRPr="00F9780B">
        <w:rPr>
          <w:rFonts w:ascii="Arial" w:hAnsi="Arial" w:cs="Arial"/>
          <w:sz w:val="20"/>
          <w:szCs w:val="20"/>
        </w:rPr>
        <w:t>8</w:t>
      </w:r>
      <w:r w:rsidRPr="00F9780B">
        <w:rPr>
          <w:rFonts w:ascii="Arial" w:hAnsi="Arial" w:cs="Arial"/>
          <w:sz w:val="20"/>
          <w:szCs w:val="20"/>
        </w:rPr>
        <w:t xml:space="preserve">, </w:t>
      </w:r>
      <w:r w:rsidR="00FD48CF" w:rsidRPr="00F9780B">
        <w:rPr>
          <w:rFonts w:ascii="Arial" w:hAnsi="Arial" w:cs="Arial"/>
          <w:sz w:val="20"/>
          <w:szCs w:val="20"/>
        </w:rPr>
        <w:t>izhaja</w:t>
      </w:r>
      <w:r w:rsidRPr="00F9780B">
        <w:rPr>
          <w:rFonts w:ascii="Arial" w:hAnsi="Arial" w:cs="Arial"/>
          <w:sz w:val="20"/>
          <w:szCs w:val="20"/>
        </w:rPr>
        <w:t xml:space="preserve"> tudi, da so naročniki </w:t>
      </w:r>
      <w:r w:rsidR="000B77E2" w:rsidRPr="00F9780B">
        <w:rPr>
          <w:rFonts w:ascii="Arial" w:hAnsi="Arial" w:cs="Arial"/>
          <w:sz w:val="20"/>
          <w:szCs w:val="20"/>
        </w:rPr>
        <w:t xml:space="preserve">postopek javnega naročanja </w:t>
      </w:r>
      <w:r w:rsidR="00FD4717">
        <w:rPr>
          <w:rFonts w:ascii="Arial" w:hAnsi="Arial" w:cs="Arial"/>
          <w:sz w:val="20"/>
          <w:szCs w:val="20"/>
        </w:rPr>
        <w:t xml:space="preserve">največkrat </w:t>
      </w:r>
      <w:r w:rsidR="000B77E2" w:rsidRPr="00F9780B">
        <w:rPr>
          <w:rFonts w:ascii="Arial" w:hAnsi="Arial" w:cs="Arial"/>
          <w:sz w:val="20"/>
          <w:szCs w:val="20"/>
        </w:rPr>
        <w:t xml:space="preserve">delili na več javnih naročil pri naročanju </w:t>
      </w:r>
      <w:r w:rsidRPr="00F9780B">
        <w:rPr>
          <w:rFonts w:ascii="Arial" w:hAnsi="Arial" w:cs="Arial"/>
          <w:sz w:val="20"/>
          <w:szCs w:val="20"/>
        </w:rPr>
        <w:t xml:space="preserve">blaga, in sicer v </w:t>
      </w:r>
      <w:r w:rsidR="00F9780B" w:rsidRPr="00F9780B">
        <w:rPr>
          <w:rFonts w:ascii="Arial" w:hAnsi="Arial" w:cs="Arial"/>
          <w:sz w:val="20"/>
          <w:szCs w:val="20"/>
        </w:rPr>
        <w:t>989</w:t>
      </w:r>
      <w:r w:rsidRPr="00F9780B">
        <w:rPr>
          <w:rFonts w:ascii="Arial" w:hAnsi="Arial" w:cs="Arial"/>
          <w:sz w:val="20"/>
          <w:szCs w:val="20"/>
        </w:rPr>
        <w:t xml:space="preserve"> primerih oziroma </w:t>
      </w:r>
      <w:r w:rsidR="00FD48CF" w:rsidRPr="00F9780B">
        <w:rPr>
          <w:rFonts w:ascii="Arial" w:hAnsi="Arial" w:cs="Arial"/>
          <w:sz w:val="20"/>
          <w:szCs w:val="20"/>
        </w:rPr>
        <w:t xml:space="preserve">pri </w:t>
      </w:r>
      <w:r w:rsidR="00086322" w:rsidRPr="00086322">
        <w:rPr>
          <w:rFonts w:ascii="Arial" w:hAnsi="Arial" w:cs="Arial"/>
          <w:sz w:val="20"/>
          <w:szCs w:val="20"/>
        </w:rPr>
        <w:t>37,04</w:t>
      </w:r>
      <w:r w:rsidR="000B6197" w:rsidRPr="00086322">
        <w:rPr>
          <w:rFonts w:ascii="Arial" w:hAnsi="Arial" w:cs="Arial"/>
          <w:sz w:val="20"/>
          <w:szCs w:val="20"/>
        </w:rPr>
        <w:t xml:space="preserve"> </w:t>
      </w:r>
      <w:r w:rsidR="0029442D" w:rsidRPr="00086322">
        <w:rPr>
          <w:rFonts w:ascii="Arial" w:hAnsi="Arial" w:cs="Arial"/>
          <w:sz w:val="20"/>
          <w:szCs w:val="20"/>
        </w:rPr>
        <w:t>%</w:t>
      </w:r>
      <w:r w:rsidRPr="00086322">
        <w:rPr>
          <w:rFonts w:ascii="Arial" w:hAnsi="Arial" w:cs="Arial"/>
          <w:sz w:val="20"/>
          <w:szCs w:val="20"/>
        </w:rPr>
        <w:t xml:space="preserve"> naročil blaga</w:t>
      </w:r>
      <w:r w:rsidRPr="00E93524">
        <w:rPr>
          <w:rFonts w:ascii="Arial" w:hAnsi="Arial" w:cs="Arial"/>
          <w:sz w:val="20"/>
          <w:szCs w:val="20"/>
        </w:rPr>
        <w:t xml:space="preserve">, najmanjkrat pa pri oddaji naročil gradenj, in sicer v </w:t>
      </w:r>
      <w:r w:rsidR="00B32D46" w:rsidRPr="00E93524">
        <w:rPr>
          <w:rFonts w:ascii="Arial" w:hAnsi="Arial" w:cs="Arial"/>
          <w:sz w:val="20"/>
          <w:szCs w:val="20"/>
        </w:rPr>
        <w:t>1</w:t>
      </w:r>
      <w:r w:rsidR="00E93524" w:rsidRPr="00E93524">
        <w:rPr>
          <w:rFonts w:ascii="Arial" w:hAnsi="Arial" w:cs="Arial"/>
          <w:sz w:val="20"/>
          <w:szCs w:val="20"/>
        </w:rPr>
        <w:t>46</w:t>
      </w:r>
      <w:r w:rsidRPr="00E93524">
        <w:rPr>
          <w:rFonts w:ascii="Arial" w:hAnsi="Arial" w:cs="Arial"/>
          <w:sz w:val="20"/>
          <w:szCs w:val="20"/>
        </w:rPr>
        <w:t xml:space="preserve"> primerih oziroma </w:t>
      </w:r>
      <w:r w:rsidR="00FD48CF" w:rsidRPr="00E93524">
        <w:rPr>
          <w:rFonts w:ascii="Arial" w:hAnsi="Arial" w:cs="Arial"/>
          <w:sz w:val="20"/>
          <w:szCs w:val="20"/>
        </w:rPr>
        <w:t xml:space="preserve">pri </w:t>
      </w:r>
      <w:r w:rsidR="00E93524" w:rsidRPr="00E93524">
        <w:rPr>
          <w:rFonts w:ascii="Arial" w:eastAsia="Times New Roman" w:hAnsi="Arial" w:cs="Arial"/>
          <w:color w:val="000000"/>
          <w:sz w:val="20"/>
          <w:szCs w:val="20"/>
          <w:lang w:eastAsia="sl-SI"/>
        </w:rPr>
        <w:t>8,79</w:t>
      </w:r>
      <w:r w:rsidR="00E96696" w:rsidRPr="00E93524">
        <w:rPr>
          <w:rFonts w:ascii="Arial" w:eastAsia="Times New Roman" w:hAnsi="Arial" w:cs="Arial"/>
          <w:color w:val="000000"/>
          <w:sz w:val="20"/>
          <w:szCs w:val="20"/>
          <w:lang w:eastAsia="sl-SI"/>
        </w:rPr>
        <w:t xml:space="preserve"> </w:t>
      </w:r>
      <w:r w:rsidR="0029442D" w:rsidRPr="00E93524">
        <w:rPr>
          <w:rFonts w:ascii="Arial" w:hAnsi="Arial" w:cs="Arial"/>
          <w:sz w:val="20"/>
          <w:szCs w:val="20"/>
        </w:rPr>
        <w:t>%</w:t>
      </w:r>
      <w:r w:rsidRPr="00E93524">
        <w:rPr>
          <w:rFonts w:ascii="Arial" w:hAnsi="Arial" w:cs="Arial"/>
          <w:sz w:val="20"/>
          <w:szCs w:val="20"/>
        </w:rPr>
        <w:t xml:space="preserve"> naročil gradenj.</w:t>
      </w:r>
    </w:p>
    <w:p w14:paraId="7DC1F829" w14:textId="0AAC3751" w:rsidR="008354FC" w:rsidRPr="00DA0AE6" w:rsidRDefault="008354FC" w:rsidP="008A61FD">
      <w:pPr>
        <w:spacing w:before="120" w:after="120" w:line="240" w:lineRule="auto"/>
        <w:jc w:val="both"/>
        <w:rPr>
          <w:rFonts w:ascii="Arial" w:hAnsi="Arial" w:cs="Arial"/>
          <w:sz w:val="20"/>
        </w:rPr>
      </w:pPr>
      <w:r w:rsidRPr="00DA0AE6">
        <w:rPr>
          <w:rFonts w:ascii="Arial" w:hAnsi="Arial" w:cs="Arial"/>
          <w:sz w:val="20"/>
        </w:rPr>
        <w:t xml:space="preserve">Preglednica </w:t>
      </w:r>
      <w:r w:rsidR="00EB4423">
        <w:rPr>
          <w:rFonts w:ascii="Arial" w:hAnsi="Arial" w:cs="Arial"/>
          <w:sz w:val="20"/>
        </w:rPr>
        <w:t>38</w:t>
      </w:r>
      <w:r w:rsidRPr="00DA0AE6">
        <w:rPr>
          <w:rFonts w:ascii="Arial" w:hAnsi="Arial" w:cs="Arial"/>
          <w:sz w:val="20"/>
        </w:rPr>
        <w:t xml:space="preserve">: Delitev postopkov javnega naročanja na naročila </w:t>
      </w:r>
      <w:r w:rsidR="00FD48CF" w:rsidRPr="00DA0AE6">
        <w:rPr>
          <w:rFonts w:ascii="Arial" w:hAnsi="Arial" w:cs="Arial"/>
          <w:sz w:val="20"/>
        </w:rPr>
        <w:t>po</w:t>
      </w:r>
      <w:r w:rsidRPr="00DA0AE6">
        <w:rPr>
          <w:rFonts w:ascii="Arial" w:hAnsi="Arial" w:cs="Arial"/>
          <w:sz w:val="20"/>
        </w:rPr>
        <w:t xml:space="preserve"> številu in vrednosti glede na predmet naročanja </w:t>
      </w:r>
    </w:p>
    <w:tbl>
      <w:tblPr>
        <w:tblW w:w="7792" w:type="dxa"/>
        <w:jc w:val="center"/>
        <w:tblCellMar>
          <w:left w:w="70" w:type="dxa"/>
          <w:right w:w="70" w:type="dxa"/>
        </w:tblCellMar>
        <w:tblLook w:val="04A0" w:firstRow="1" w:lastRow="0" w:firstColumn="1" w:lastColumn="0" w:noHBand="0" w:noVBand="1"/>
      </w:tblPr>
      <w:tblGrid>
        <w:gridCol w:w="1271"/>
        <w:gridCol w:w="1623"/>
        <w:gridCol w:w="1779"/>
        <w:gridCol w:w="1276"/>
        <w:gridCol w:w="1843"/>
      </w:tblGrid>
      <w:tr w:rsidR="00ED4CE1" w:rsidRPr="00DA0AE6" w14:paraId="2ADD0842" w14:textId="77777777" w:rsidTr="00AF16C3">
        <w:trPr>
          <w:trHeight w:val="561"/>
          <w:jc w:val="center"/>
        </w:trPr>
        <w:tc>
          <w:tcPr>
            <w:tcW w:w="127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694BD8" w14:textId="77777777" w:rsidR="00ED4CE1" w:rsidRPr="00DA0AE6" w:rsidRDefault="00ED4CE1" w:rsidP="00ED4CE1">
            <w:pPr>
              <w:spacing w:after="0" w:line="240" w:lineRule="auto"/>
              <w:jc w:val="center"/>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Predmet</w:t>
            </w:r>
          </w:p>
        </w:tc>
        <w:tc>
          <w:tcPr>
            <w:tcW w:w="162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98F5DC1" w14:textId="612342EA" w:rsidR="00ED4CE1" w:rsidRPr="00DA0AE6" w:rsidRDefault="00ED4CE1" w:rsidP="00ED4CE1">
            <w:pPr>
              <w:spacing w:after="0" w:line="240" w:lineRule="auto"/>
              <w:jc w:val="center"/>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Št. postopkov z enim naročilom</w:t>
            </w:r>
          </w:p>
        </w:tc>
        <w:tc>
          <w:tcPr>
            <w:tcW w:w="177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C0CAF7A" w14:textId="5C438338" w:rsidR="00ED4CE1" w:rsidRPr="00DA0AE6" w:rsidRDefault="00ED4CE1" w:rsidP="00ED4CE1">
            <w:pPr>
              <w:spacing w:after="0" w:line="240" w:lineRule="auto"/>
              <w:jc w:val="center"/>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Vrednost postopkov z enim naročilom</w:t>
            </w:r>
          </w:p>
        </w:tc>
        <w:tc>
          <w:tcPr>
            <w:tcW w:w="12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DB48042" w14:textId="673CA25B" w:rsidR="00ED4CE1" w:rsidRPr="00DA0AE6" w:rsidRDefault="00ED4CE1" w:rsidP="00ED4CE1">
            <w:pPr>
              <w:spacing w:after="0" w:line="240" w:lineRule="auto"/>
              <w:jc w:val="center"/>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Št. postopkov z več naročili</w:t>
            </w:r>
          </w:p>
        </w:tc>
        <w:tc>
          <w:tcPr>
            <w:tcW w:w="18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0A952DE" w14:textId="77777777" w:rsidR="00ED4CE1" w:rsidRPr="00DA0AE6" w:rsidRDefault="00ED4CE1" w:rsidP="00ED4CE1">
            <w:pPr>
              <w:spacing w:after="0" w:line="240" w:lineRule="auto"/>
              <w:jc w:val="center"/>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Vrednost postopkov z več naročili</w:t>
            </w:r>
          </w:p>
        </w:tc>
      </w:tr>
      <w:tr w:rsidR="00DA0AE6" w:rsidRPr="00DA0AE6" w14:paraId="66997141" w14:textId="77777777" w:rsidTr="00AF16C3">
        <w:trPr>
          <w:trHeight w:val="29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929E52" w14:textId="5EF51F7A" w:rsidR="00DA0AE6" w:rsidRPr="00DA0AE6" w:rsidRDefault="00DA0AE6" w:rsidP="00DA0AE6">
            <w:pPr>
              <w:spacing w:after="0" w:line="240" w:lineRule="auto"/>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Blago</w:t>
            </w:r>
          </w:p>
        </w:tc>
        <w:tc>
          <w:tcPr>
            <w:tcW w:w="1623" w:type="dxa"/>
            <w:tcBorders>
              <w:top w:val="nil"/>
              <w:left w:val="nil"/>
              <w:bottom w:val="single" w:sz="4" w:space="0" w:color="auto"/>
              <w:right w:val="single" w:sz="4" w:space="0" w:color="auto"/>
            </w:tcBorders>
            <w:shd w:val="clear" w:color="auto" w:fill="auto"/>
            <w:vAlign w:val="center"/>
            <w:hideMark/>
          </w:tcPr>
          <w:p w14:paraId="1FD0A188" w14:textId="1083BD4B"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1.681</w:t>
            </w:r>
          </w:p>
        </w:tc>
        <w:tc>
          <w:tcPr>
            <w:tcW w:w="1779" w:type="dxa"/>
            <w:tcBorders>
              <w:top w:val="nil"/>
              <w:left w:val="nil"/>
              <w:bottom w:val="single" w:sz="4" w:space="0" w:color="auto"/>
              <w:right w:val="single" w:sz="4" w:space="0" w:color="auto"/>
            </w:tcBorders>
            <w:shd w:val="clear" w:color="auto" w:fill="auto"/>
            <w:vAlign w:val="center"/>
            <w:hideMark/>
          </w:tcPr>
          <w:p w14:paraId="21D1AE0F" w14:textId="3E1138C4"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729.072.428</w:t>
            </w:r>
          </w:p>
        </w:tc>
        <w:tc>
          <w:tcPr>
            <w:tcW w:w="1276" w:type="dxa"/>
            <w:tcBorders>
              <w:top w:val="nil"/>
              <w:left w:val="nil"/>
              <w:bottom w:val="single" w:sz="4" w:space="0" w:color="auto"/>
              <w:right w:val="single" w:sz="4" w:space="0" w:color="auto"/>
            </w:tcBorders>
            <w:shd w:val="clear" w:color="auto" w:fill="auto"/>
            <w:vAlign w:val="center"/>
            <w:hideMark/>
          </w:tcPr>
          <w:p w14:paraId="040F2C27" w14:textId="782DFF5D"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989</w:t>
            </w:r>
          </w:p>
        </w:tc>
        <w:tc>
          <w:tcPr>
            <w:tcW w:w="1843" w:type="dxa"/>
            <w:tcBorders>
              <w:top w:val="nil"/>
              <w:left w:val="nil"/>
              <w:bottom w:val="single" w:sz="4" w:space="0" w:color="auto"/>
              <w:right w:val="single" w:sz="4" w:space="0" w:color="auto"/>
            </w:tcBorders>
            <w:shd w:val="clear" w:color="auto" w:fill="auto"/>
            <w:vAlign w:val="center"/>
            <w:hideMark/>
          </w:tcPr>
          <w:p w14:paraId="551D7835" w14:textId="03718148"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468.553.568</w:t>
            </w:r>
          </w:p>
        </w:tc>
      </w:tr>
      <w:tr w:rsidR="00DA0AE6" w:rsidRPr="00DA0AE6" w14:paraId="39617CAC" w14:textId="77777777" w:rsidTr="00AF16C3">
        <w:trPr>
          <w:trHeight w:val="29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79AA8F3" w14:textId="39CDCDF3" w:rsidR="00DA0AE6" w:rsidRPr="00DA0AE6" w:rsidRDefault="00DA0AE6" w:rsidP="00DA0AE6">
            <w:pPr>
              <w:spacing w:after="0" w:line="240" w:lineRule="auto"/>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Storitve</w:t>
            </w:r>
          </w:p>
        </w:tc>
        <w:tc>
          <w:tcPr>
            <w:tcW w:w="1623" w:type="dxa"/>
            <w:tcBorders>
              <w:top w:val="nil"/>
              <w:left w:val="nil"/>
              <w:bottom w:val="single" w:sz="4" w:space="0" w:color="auto"/>
              <w:right w:val="single" w:sz="4" w:space="0" w:color="auto"/>
            </w:tcBorders>
            <w:shd w:val="clear" w:color="auto" w:fill="auto"/>
            <w:vAlign w:val="center"/>
            <w:hideMark/>
          </w:tcPr>
          <w:p w14:paraId="7350400D" w14:textId="2FECDB23"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2.011</w:t>
            </w:r>
          </w:p>
        </w:tc>
        <w:tc>
          <w:tcPr>
            <w:tcW w:w="1779" w:type="dxa"/>
            <w:tcBorders>
              <w:top w:val="nil"/>
              <w:left w:val="nil"/>
              <w:bottom w:val="single" w:sz="4" w:space="0" w:color="auto"/>
              <w:right w:val="single" w:sz="4" w:space="0" w:color="auto"/>
            </w:tcBorders>
            <w:shd w:val="clear" w:color="auto" w:fill="auto"/>
            <w:vAlign w:val="center"/>
            <w:hideMark/>
          </w:tcPr>
          <w:p w14:paraId="68B62164" w14:textId="7F59D8E4"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554.579.384</w:t>
            </w:r>
          </w:p>
        </w:tc>
        <w:tc>
          <w:tcPr>
            <w:tcW w:w="1276" w:type="dxa"/>
            <w:tcBorders>
              <w:top w:val="nil"/>
              <w:left w:val="nil"/>
              <w:bottom w:val="single" w:sz="4" w:space="0" w:color="auto"/>
              <w:right w:val="single" w:sz="4" w:space="0" w:color="auto"/>
            </w:tcBorders>
            <w:shd w:val="clear" w:color="auto" w:fill="auto"/>
            <w:vAlign w:val="center"/>
            <w:hideMark/>
          </w:tcPr>
          <w:p w14:paraId="2E2BDE1C" w14:textId="73E8EEFF"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397</w:t>
            </w:r>
          </w:p>
        </w:tc>
        <w:tc>
          <w:tcPr>
            <w:tcW w:w="1843" w:type="dxa"/>
            <w:tcBorders>
              <w:top w:val="nil"/>
              <w:left w:val="nil"/>
              <w:bottom w:val="single" w:sz="4" w:space="0" w:color="auto"/>
              <w:right w:val="single" w:sz="4" w:space="0" w:color="auto"/>
            </w:tcBorders>
            <w:shd w:val="clear" w:color="auto" w:fill="auto"/>
            <w:vAlign w:val="center"/>
            <w:hideMark/>
          </w:tcPr>
          <w:p w14:paraId="63F49769" w14:textId="1EB2D07A"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209.362.698</w:t>
            </w:r>
          </w:p>
        </w:tc>
      </w:tr>
      <w:tr w:rsidR="00DA0AE6" w:rsidRPr="00DA0AE6" w14:paraId="7901393A" w14:textId="77777777" w:rsidTr="00AF16C3">
        <w:trPr>
          <w:trHeight w:val="29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F8B10B" w14:textId="4B6D5DE9" w:rsidR="00DA0AE6" w:rsidRPr="00DA0AE6" w:rsidRDefault="00DA0AE6" w:rsidP="00DA0AE6">
            <w:pPr>
              <w:spacing w:after="0" w:line="240" w:lineRule="auto"/>
              <w:rPr>
                <w:rFonts w:ascii="Arial" w:eastAsia="Times New Roman" w:hAnsi="Arial" w:cs="Arial"/>
                <w:color w:val="000000"/>
                <w:sz w:val="18"/>
                <w:szCs w:val="18"/>
                <w:lang w:eastAsia="sl-SI"/>
              </w:rPr>
            </w:pPr>
            <w:r w:rsidRPr="00DA0AE6">
              <w:rPr>
                <w:rFonts w:ascii="Arial" w:eastAsia="Times New Roman" w:hAnsi="Arial" w:cs="Arial"/>
                <w:color w:val="000000"/>
                <w:sz w:val="18"/>
                <w:szCs w:val="18"/>
                <w:lang w:eastAsia="sl-SI"/>
              </w:rPr>
              <w:t>Gradnje</w:t>
            </w:r>
          </w:p>
        </w:tc>
        <w:tc>
          <w:tcPr>
            <w:tcW w:w="1623" w:type="dxa"/>
            <w:tcBorders>
              <w:top w:val="nil"/>
              <w:left w:val="nil"/>
              <w:bottom w:val="single" w:sz="4" w:space="0" w:color="auto"/>
              <w:right w:val="single" w:sz="4" w:space="0" w:color="auto"/>
            </w:tcBorders>
            <w:shd w:val="clear" w:color="auto" w:fill="auto"/>
            <w:vAlign w:val="center"/>
            <w:hideMark/>
          </w:tcPr>
          <w:p w14:paraId="3EACD5AD" w14:textId="60A054DE"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1.515</w:t>
            </w:r>
          </w:p>
        </w:tc>
        <w:tc>
          <w:tcPr>
            <w:tcW w:w="1779" w:type="dxa"/>
            <w:tcBorders>
              <w:top w:val="nil"/>
              <w:left w:val="nil"/>
              <w:bottom w:val="single" w:sz="4" w:space="0" w:color="auto"/>
              <w:right w:val="single" w:sz="4" w:space="0" w:color="auto"/>
            </w:tcBorders>
            <w:shd w:val="clear" w:color="auto" w:fill="auto"/>
            <w:vAlign w:val="center"/>
            <w:hideMark/>
          </w:tcPr>
          <w:p w14:paraId="078E303B" w14:textId="40228E91"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837.843.308</w:t>
            </w:r>
          </w:p>
        </w:tc>
        <w:tc>
          <w:tcPr>
            <w:tcW w:w="1276" w:type="dxa"/>
            <w:tcBorders>
              <w:top w:val="nil"/>
              <w:left w:val="nil"/>
              <w:bottom w:val="single" w:sz="4" w:space="0" w:color="auto"/>
              <w:right w:val="single" w:sz="4" w:space="0" w:color="auto"/>
            </w:tcBorders>
            <w:shd w:val="clear" w:color="auto" w:fill="auto"/>
            <w:vAlign w:val="center"/>
            <w:hideMark/>
          </w:tcPr>
          <w:p w14:paraId="74DD0DDD" w14:textId="68E20FA7"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146</w:t>
            </w:r>
          </w:p>
        </w:tc>
        <w:tc>
          <w:tcPr>
            <w:tcW w:w="1843" w:type="dxa"/>
            <w:tcBorders>
              <w:top w:val="nil"/>
              <w:left w:val="nil"/>
              <w:bottom w:val="single" w:sz="4" w:space="0" w:color="auto"/>
              <w:right w:val="single" w:sz="4" w:space="0" w:color="auto"/>
            </w:tcBorders>
            <w:shd w:val="clear" w:color="auto" w:fill="auto"/>
            <w:vAlign w:val="center"/>
            <w:hideMark/>
          </w:tcPr>
          <w:p w14:paraId="5F69CD98" w14:textId="08516147" w:rsidR="00DA0AE6" w:rsidRPr="00DA0AE6" w:rsidRDefault="00DA0AE6" w:rsidP="00DA0AE6">
            <w:pPr>
              <w:spacing w:after="0" w:line="240" w:lineRule="auto"/>
              <w:jc w:val="right"/>
              <w:rPr>
                <w:rFonts w:ascii="Arial" w:eastAsia="Times New Roman" w:hAnsi="Arial" w:cs="Arial"/>
                <w:color w:val="000000"/>
                <w:sz w:val="18"/>
                <w:szCs w:val="18"/>
                <w:lang w:eastAsia="sl-SI"/>
              </w:rPr>
            </w:pPr>
            <w:r w:rsidRPr="00DA0AE6">
              <w:rPr>
                <w:rFonts w:ascii="Arial" w:hAnsi="Arial" w:cs="Arial"/>
                <w:sz w:val="18"/>
                <w:szCs w:val="18"/>
              </w:rPr>
              <w:t>119.183.223</w:t>
            </w:r>
          </w:p>
        </w:tc>
      </w:tr>
      <w:tr w:rsidR="00DA0AE6" w:rsidRPr="00DA0AE6" w14:paraId="6EDFB2B3" w14:textId="77777777" w:rsidTr="00B45EE0">
        <w:trPr>
          <w:trHeight w:val="292"/>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FD4D52" w14:textId="4443E713" w:rsidR="00DA0AE6" w:rsidRPr="00DA0AE6" w:rsidRDefault="00DA0AE6" w:rsidP="00DA0AE6">
            <w:pPr>
              <w:spacing w:after="0" w:line="240" w:lineRule="auto"/>
              <w:rPr>
                <w:rFonts w:ascii="Arial" w:eastAsia="Times New Roman" w:hAnsi="Arial" w:cs="Arial"/>
                <w:b/>
                <w:color w:val="000000"/>
                <w:sz w:val="18"/>
                <w:szCs w:val="18"/>
                <w:lang w:eastAsia="sl-SI"/>
              </w:rPr>
            </w:pPr>
            <w:r w:rsidRPr="00DA0AE6">
              <w:rPr>
                <w:rFonts w:ascii="Arial" w:eastAsia="Times New Roman" w:hAnsi="Arial" w:cs="Arial"/>
                <w:b/>
                <w:color w:val="000000"/>
                <w:sz w:val="18"/>
                <w:szCs w:val="18"/>
                <w:lang w:eastAsia="sl-SI"/>
              </w:rPr>
              <w:t>Skupaj</w:t>
            </w:r>
          </w:p>
        </w:tc>
        <w:tc>
          <w:tcPr>
            <w:tcW w:w="16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8C2852" w14:textId="67FA8A56" w:rsidR="00DA0AE6" w:rsidRPr="00DA0AE6" w:rsidRDefault="00DA0AE6" w:rsidP="00DA0AE6">
            <w:pPr>
              <w:spacing w:after="0" w:line="240" w:lineRule="auto"/>
              <w:jc w:val="right"/>
              <w:rPr>
                <w:rFonts w:ascii="Arial" w:eastAsia="Times New Roman" w:hAnsi="Arial" w:cs="Arial"/>
                <w:b/>
                <w:color w:val="000000"/>
                <w:sz w:val="18"/>
                <w:szCs w:val="18"/>
                <w:lang w:eastAsia="sl-SI"/>
              </w:rPr>
            </w:pPr>
            <w:r w:rsidRPr="00DA0AE6">
              <w:rPr>
                <w:rFonts w:ascii="Arial" w:hAnsi="Arial" w:cs="Arial"/>
                <w:b/>
                <w:sz w:val="18"/>
                <w:szCs w:val="18"/>
              </w:rPr>
              <w:t>5.207</w:t>
            </w:r>
          </w:p>
        </w:tc>
        <w:tc>
          <w:tcPr>
            <w:tcW w:w="17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F389FD" w14:textId="59715EE2" w:rsidR="00DA0AE6" w:rsidRPr="00DA0AE6" w:rsidRDefault="00DA0AE6" w:rsidP="00DA0AE6">
            <w:pPr>
              <w:spacing w:after="0" w:line="240" w:lineRule="auto"/>
              <w:jc w:val="right"/>
              <w:rPr>
                <w:rFonts w:ascii="Arial" w:eastAsia="Times New Roman" w:hAnsi="Arial" w:cs="Arial"/>
                <w:b/>
                <w:color w:val="000000"/>
                <w:sz w:val="18"/>
                <w:szCs w:val="18"/>
                <w:lang w:eastAsia="sl-SI"/>
              </w:rPr>
            </w:pPr>
            <w:r w:rsidRPr="00DA0AE6">
              <w:rPr>
                <w:rFonts w:ascii="Arial" w:hAnsi="Arial" w:cs="Arial"/>
                <w:b/>
                <w:sz w:val="18"/>
                <w:szCs w:val="18"/>
              </w:rPr>
              <w:t>2.121.495.120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016B3B" w14:textId="79F869FE" w:rsidR="00DA0AE6" w:rsidRPr="00DA0AE6" w:rsidRDefault="00DA0AE6" w:rsidP="00DA0AE6">
            <w:pPr>
              <w:spacing w:after="0" w:line="240" w:lineRule="auto"/>
              <w:jc w:val="right"/>
              <w:rPr>
                <w:rFonts w:ascii="Arial" w:eastAsia="Times New Roman" w:hAnsi="Arial" w:cs="Arial"/>
                <w:b/>
                <w:color w:val="000000"/>
                <w:sz w:val="18"/>
                <w:szCs w:val="18"/>
                <w:lang w:eastAsia="sl-SI"/>
              </w:rPr>
            </w:pPr>
            <w:r w:rsidRPr="00DA0AE6">
              <w:rPr>
                <w:rFonts w:ascii="Arial" w:hAnsi="Arial" w:cs="Arial"/>
                <w:b/>
                <w:sz w:val="18"/>
                <w:szCs w:val="18"/>
              </w:rPr>
              <w:t>1.532</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7B7260" w14:textId="12984FB1" w:rsidR="00DA0AE6" w:rsidRPr="00DA0AE6" w:rsidRDefault="00DA0AE6" w:rsidP="00DA0AE6">
            <w:pPr>
              <w:spacing w:after="0" w:line="240" w:lineRule="auto"/>
              <w:jc w:val="right"/>
              <w:rPr>
                <w:rFonts w:ascii="Arial" w:eastAsia="Times New Roman" w:hAnsi="Arial" w:cs="Arial"/>
                <w:b/>
                <w:color w:val="000000"/>
                <w:sz w:val="18"/>
                <w:szCs w:val="18"/>
                <w:lang w:eastAsia="sl-SI"/>
              </w:rPr>
            </w:pPr>
            <w:r w:rsidRPr="00DA0AE6">
              <w:rPr>
                <w:rFonts w:ascii="Arial" w:hAnsi="Arial" w:cs="Arial"/>
                <w:b/>
                <w:sz w:val="18"/>
                <w:szCs w:val="18"/>
              </w:rPr>
              <w:t>797.099.489</w:t>
            </w:r>
          </w:p>
        </w:tc>
      </w:tr>
    </w:tbl>
    <w:p w14:paraId="1D5F7013" w14:textId="77777777" w:rsidR="004A613D" w:rsidRPr="00DA0AE6" w:rsidRDefault="004A613D" w:rsidP="004A613D">
      <w:pPr>
        <w:spacing w:after="0" w:line="240" w:lineRule="auto"/>
        <w:jc w:val="center"/>
        <w:rPr>
          <w:rFonts w:ascii="Arial" w:hAnsi="Arial" w:cs="Arial"/>
          <w:sz w:val="18"/>
        </w:rPr>
      </w:pPr>
    </w:p>
    <w:p w14:paraId="601898F5" w14:textId="3DF8C2E9" w:rsidR="008354FC" w:rsidRPr="00DA0AE6" w:rsidRDefault="008354FC" w:rsidP="00701C10">
      <w:pPr>
        <w:spacing w:after="240" w:line="240" w:lineRule="auto"/>
        <w:jc w:val="center"/>
        <w:rPr>
          <w:rFonts w:ascii="Arial" w:hAnsi="Arial" w:cs="Arial"/>
          <w:sz w:val="18"/>
        </w:rPr>
      </w:pPr>
      <w:r w:rsidRPr="00DA0AE6">
        <w:rPr>
          <w:rFonts w:ascii="Arial" w:hAnsi="Arial" w:cs="Arial"/>
          <w:sz w:val="18"/>
        </w:rPr>
        <w:t>Vir: Statistični podatki o javni</w:t>
      </w:r>
      <w:r w:rsidR="00E74372" w:rsidRPr="00DA0AE6">
        <w:rPr>
          <w:rFonts w:ascii="Arial" w:hAnsi="Arial" w:cs="Arial"/>
          <w:sz w:val="18"/>
        </w:rPr>
        <w:t>h naročilih, oddanih v letu 201</w:t>
      </w:r>
      <w:r w:rsidR="00DA0AE6" w:rsidRPr="00DA0AE6">
        <w:rPr>
          <w:rFonts w:ascii="Arial" w:hAnsi="Arial" w:cs="Arial"/>
          <w:sz w:val="18"/>
        </w:rPr>
        <w:t>8</w:t>
      </w:r>
    </w:p>
    <w:p w14:paraId="7644EEFA" w14:textId="5A1F3BF2" w:rsidR="00E426BE" w:rsidRPr="00E94653" w:rsidRDefault="00E426BE" w:rsidP="002A1622">
      <w:pPr>
        <w:tabs>
          <w:tab w:val="left" w:pos="567"/>
          <w:tab w:val="left" w:pos="993"/>
        </w:tabs>
        <w:spacing w:line="360" w:lineRule="auto"/>
        <w:jc w:val="both"/>
        <w:rPr>
          <w:rFonts w:ascii="Arial" w:hAnsi="Arial" w:cs="Arial"/>
          <w:sz w:val="20"/>
          <w:szCs w:val="20"/>
        </w:rPr>
      </w:pPr>
      <w:r w:rsidRPr="00EB4423">
        <w:rPr>
          <w:rFonts w:ascii="Arial" w:hAnsi="Arial" w:cs="Arial"/>
          <w:sz w:val="20"/>
          <w:szCs w:val="20"/>
        </w:rPr>
        <w:t xml:space="preserve">Iz spodnje preglednice je razvidno, da je v postopkih, v katerih je bilo vključenih več naročil, </w:t>
      </w:r>
      <w:r w:rsidRPr="00E94653">
        <w:rPr>
          <w:rFonts w:ascii="Arial" w:hAnsi="Arial" w:cs="Arial"/>
          <w:sz w:val="20"/>
          <w:szCs w:val="20"/>
        </w:rPr>
        <w:t>konkurenčnost večja.</w:t>
      </w:r>
    </w:p>
    <w:p w14:paraId="7C29CA70" w14:textId="261F459E" w:rsidR="00E426BE" w:rsidRPr="00EB4423" w:rsidRDefault="00E426BE" w:rsidP="00E426BE">
      <w:pPr>
        <w:spacing w:before="120" w:after="120" w:line="240" w:lineRule="auto"/>
        <w:jc w:val="both"/>
        <w:rPr>
          <w:rFonts w:ascii="Arial" w:hAnsi="Arial" w:cs="Arial"/>
          <w:sz w:val="20"/>
        </w:rPr>
      </w:pPr>
      <w:r w:rsidRPr="00E94653">
        <w:rPr>
          <w:rFonts w:ascii="Arial" w:hAnsi="Arial" w:cs="Arial"/>
          <w:sz w:val="20"/>
        </w:rPr>
        <w:t xml:space="preserve">Preglednica </w:t>
      </w:r>
      <w:r w:rsidR="00EB4423">
        <w:rPr>
          <w:rFonts w:ascii="Arial" w:hAnsi="Arial" w:cs="Arial"/>
          <w:sz w:val="20"/>
        </w:rPr>
        <w:t>39</w:t>
      </w:r>
      <w:r w:rsidRPr="00EB4423">
        <w:rPr>
          <w:rFonts w:ascii="Arial" w:hAnsi="Arial" w:cs="Arial"/>
          <w:sz w:val="20"/>
        </w:rPr>
        <w:t xml:space="preserve">: Število in deleži </w:t>
      </w:r>
      <w:r w:rsidR="003972E1" w:rsidRPr="00E94653">
        <w:rPr>
          <w:rFonts w:ascii="Arial" w:hAnsi="Arial" w:cs="Arial"/>
          <w:sz w:val="20"/>
        </w:rPr>
        <w:t>postopkov</w:t>
      </w:r>
      <w:r w:rsidRPr="00EB4423">
        <w:rPr>
          <w:rFonts w:ascii="Arial" w:hAnsi="Arial" w:cs="Arial"/>
          <w:sz w:val="20"/>
        </w:rPr>
        <w:t xml:space="preserve"> z eno </w:t>
      </w:r>
      <w:r w:rsidR="003972E1" w:rsidRPr="00E94653">
        <w:rPr>
          <w:rFonts w:ascii="Arial" w:hAnsi="Arial" w:cs="Arial"/>
          <w:sz w:val="20"/>
        </w:rPr>
        <w:t>ali več prejetimi</w:t>
      </w:r>
      <w:r w:rsidRPr="00EB4423">
        <w:rPr>
          <w:rFonts w:ascii="Arial" w:hAnsi="Arial" w:cs="Arial"/>
          <w:sz w:val="20"/>
        </w:rPr>
        <w:t xml:space="preserve"> ponudb</w:t>
      </w:r>
      <w:r w:rsidR="003972E1" w:rsidRPr="00E94653">
        <w:rPr>
          <w:rFonts w:ascii="Arial" w:hAnsi="Arial" w:cs="Arial"/>
          <w:sz w:val="20"/>
        </w:rPr>
        <w:t>ami</w:t>
      </w:r>
      <w:r w:rsidRPr="00EB4423">
        <w:rPr>
          <w:rFonts w:ascii="Arial" w:hAnsi="Arial" w:cs="Arial"/>
          <w:sz w:val="20"/>
        </w:rPr>
        <w:t xml:space="preserve"> v postopkih z enim </w:t>
      </w:r>
      <w:r w:rsidR="007A3E35" w:rsidRPr="00E94653">
        <w:rPr>
          <w:rFonts w:ascii="Arial" w:hAnsi="Arial" w:cs="Arial"/>
          <w:sz w:val="20"/>
        </w:rPr>
        <w:t>ali</w:t>
      </w:r>
      <w:r w:rsidR="003972E1" w:rsidRPr="00E94653">
        <w:rPr>
          <w:rFonts w:ascii="Arial" w:hAnsi="Arial" w:cs="Arial"/>
          <w:sz w:val="20"/>
        </w:rPr>
        <w:t xml:space="preserve"> več </w:t>
      </w:r>
      <w:r w:rsidRPr="00EB4423">
        <w:rPr>
          <w:rFonts w:ascii="Arial" w:hAnsi="Arial" w:cs="Arial"/>
          <w:sz w:val="20"/>
        </w:rPr>
        <w:t>naročil</w:t>
      </w:r>
      <w:r w:rsidR="007A3E35" w:rsidRPr="00E94653">
        <w:rPr>
          <w:rFonts w:ascii="Arial" w:hAnsi="Arial" w:cs="Arial"/>
          <w:sz w:val="20"/>
        </w:rPr>
        <w:t>i</w:t>
      </w:r>
      <w:r w:rsidRPr="00EB4423">
        <w:rPr>
          <w:rFonts w:ascii="Arial" w:hAnsi="Arial" w:cs="Arial"/>
          <w:sz w:val="20"/>
        </w:rPr>
        <w:t xml:space="preserve"> </w:t>
      </w:r>
    </w:p>
    <w:tbl>
      <w:tblPr>
        <w:tblW w:w="8460" w:type="dxa"/>
        <w:jc w:val="center"/>
        <w:tblCellMar>
          <w:left w:w="70" w:type="dxa"/>
          <w:right w:w="70" w:type="dxa"/>
        </w:tblCellMar>
        <w:tblLook w:val="04A0" w:firstRow="1" w:lastRow="0" w:firstColumn="1" w:lastColumn="0" w:noHBand="0" w:noVBand="1"/>
      </w:tblPr>
      <w:tblGrid>
        <w:gridCol w:w="4200"/>
        <w:gridCol w:w="1240"/>
        <w:gridCol w:w="1640"/>
        <w:gridCol w:w="1380"/>
      </w:tblGrid>
      <w:tr w:rsidR="003972E1" w:rsidRPr="00E94653" w14:paraId="634697FE" w14:textId="77777777" w:rsidTr="00E94653">
        <w:trPr>
          <w:trHeight w:val="480"/>
          <w:jc w:val="center"/>
        </w:trPr>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C9FD" w14:textId="77777777" w:rsidR="003972E1" w:rsidRPr="00E94653" w:rsidRDefault="003972E1" w:rsidP="003972E1">
            <w:pPr>
              <w:spacing w:after="0" w:line="240" w:lineRule="auto"/>
              <w:jc w:val="center"/>
              <w:rPr>
                <w:rFonts w:ascii="Arial" w:eastAsia="Times New Roman" w:hAnsi="Arial" w:cs="Arial"/>
                <w:color w:val="000000"/>
                <w:sz w:val="18"/>
                <w:szCs w:val="18"/>
                <w:lang w:eastAsia="sl-SI"/>
              </w:rPr>
            </w:pPr>
            <w:r w:rsidRPr="00EB4423">
              <w:rPr>
                <w:rFonts w:ascii="Arial" w:eastAsia="Times New Roman" w:hAnsi="Arial" w:cs="Arial"/>
                <w:color w:val="000000"/>
                <w:sz w:val="18"/>
                <w:szCs w:val="18"/>
                <w:lang w:eastAsia="sl-SI"/>
              </w:rPr>
              <w:t>Delitev postopkov na naročila in št. prejetih ponudb</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FCDD4D0" w14:textId="77777777" w:rsidR="003972E1" w:rsidRPr="00E94653" w:rsidRDefault="003972E1" w:rsidP="003972E1">
            <w:pPr>
              <w:spacing w:after="0" w:line="240" w:lineRule="auto"/>
              <w:jc w:val="center"/>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Št postopkov</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66A0A99" w14:textId="77777777" w:rsidR="003972E1" w:rsidRPr="00E94653" w:rsidRDefault="003972E1" w:rsidP="003972E1">
            <w:pPr>
              <w:spacing w:after="0" w:line="240" w:lineRule="auto"/>
              <w:jc w:val="center"/>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Delež v št. postopkov</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D258405" w14:textId="77777777" w:rsidR="003972E1" w:rsidRPr="00E94653" w:rsidRDefault="003972E1" w:rsidP="003972E1">
            <w:pPr>
              <w:spacing w:after="0" w:line="240" w:lineRule="auto"/>
              <w:jc w:val="center"/>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Delež v št. vseh postopkov</w:t>
            </w:r>
          </w:p>
        </w:tc>
      </w:tr>
      <w:tr w:rsidR="003972E1" w:rsidRPr="00E94653" w14:paraId="0D048AA1"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2641E5DC" w14:textId="3F62CFC2" w:rsidR="003972E1" w:rsidRPr="00E94653" w:rsidRDefault="003972E1">
            <w:pPr>
              <w:spacing w:after="0" w:line="240" w:lineRule="auto"/>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 xml:space="preserve">Postopek z enim naročilom </w:t>
            </w:r>
            <w:r w:rsidR="001A3829">
              <w:rPr>
                <w:rFonts w:ascii="Arial" w:hAnsi="Arial" w:cs="Arial"/>
                <w:color w:val="000000" w:themeColor="text1"/>
                <w:sz w:val="20"/>
                <w:szCs w:val="20"/>
              </w:rPr>
              <w:sym w:font="Symbol" w:char="F02D"/>
            </w:r>
            <w:r w:rsidRPr="00E94653">
              <w:rPr>
                <w:rFonts w:ascii="Arial" w:eastAsia="Times New Roman" w:hAnsi="Arial" w:cs="Arial"/>
                <w:color w:val="000000"/>
                <w:sz w:val="18"/>
                <w:szCs w:val="18"/>
                <w:lang w:eastAsia="sl-SI"/>
              </w:rPr>
              <w:t xml:space="preserve"> prejeta 1 ponudba</w:t>
            </w:r>
          </w:p>
        </w:tc>
        <w:tc>
          <w:tcPr>
            <w:tcW w:w="1240" w:type="dxa"/>
            <w:tcBorders>
              <w:top w:val="nil"/>
              <w:left w:val="nil"/>
              <w:bottom w:val="single" w:sz="4" w:space="0" w:color="auto"/>
              <w:right w:val="single" w:sz="4" w:space="0" w:color="auto"/>
            </w:tcBorders>
            <w:shd w:val="clear" w:color="auto" w:fill="auto"/>
            <w:vAlign w:val="center"/>
            <w:hideMark/>
          </w:tcPr>
          <w:p w14:paraId="491BE2B1"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2.535</w:t>
            </w:r>
          </w:p>
        </w:tc>
        <w:tc>
          <w:tcPr>
            <w:tcW w:w="1640" w:type="dxa"/>
            <w:tcBorders>
              <w:top w:val="nil"/>
              <w:left w:val="nil"/>
              <w:bottom w:val="single" w:sz="4" w:space="0" w:color="auto"/>
              <w:right w:val="single" w:sz="4" w:space="0" w:color="auto"/>
            </w:tcBorders>
            <w:shd w:val="clear" w:color="auto" w:fill="auto"/>
            <w:vAlign w:val="center"/>
            <w:hideMark/>
          </w:tcPr>
          <w:p w14:paraId="4DD47BDD"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48,68 %</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A0A5C6" w14:textId="77777777" w:rsidR="003972E1" w:rsidRPr="00E94653" w:rsidRDefault="003972E1" w:rsidP="003972E1">
            <w:pPr>
              <w:spacing w:after="0" w:line="240" w:lineRule="auto"/>
              <w:jc w:val="right"/>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77,27 %</w:t>
            </w:r>
          </w:p>
        </w:tc>
      </w:tr>
      <w:tr w:rsidR="003972E1" w:rsidRPr="00E94653" w14:paraId="65EA4FE3"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0246F2F9" w14:textId="4CC912CD" w:rsidR="003972E1" w:rsidRPr="00E94653" w:rsidRDefault="003972E1">
            <w:pPr>
              <w:spacing w:after="0" w:line="240" w:lineRule="auto"/>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 xml:space="preserve">Postopek z enim naročilom </w:t>
            </w:r>
            <w:r w:rsidR="001A3829">
              <w:rPr>
                <w:rFonts w:ascii="Arial" w:hAnsi="Arial" w:cs="Arial"/>
                <w:color w:val="000000" w:themeColor="text1"/>
                <w:sz w:val="20"/>
                <w:szCs w:val="20"/>
              </w:rPr>
              <w:sym w:font="Symbol" w:char="F02D"/>
            </w:r>
            <w:r w:rsidRPr="00E94653">
              <w:rPr>
                <w:rFonts w:ascii="Arial" w:eastAsia="Times New Roman" w:hAnsi="Arial" w:cs="Arial"/>
                <w:color w:val="000000"/>
                <w:sz w:val="18"/>
                <w:szCs w:val="18"/>
                <w:lang w:eastAsia="sl-SI"/>
              </w:rPr>
              <w:t xml:space="preserve"> prejetih več ponudb</w:t>
            </w:r>
          </w:p>
        </w:tc>
        <w:tc>
          <w:tcPr>
            <w:tcW w:w="1240" w:type="dxa"/>
            <w:tcBorders>
              <w:top w:val="nil"/>
              <w:left w:val="nil"/>
              <w:bottom w:val="single" w:sz="4" w:space="0" w:color="auto"/>
              <w:right w:val="single" w:sz="4" w:space="0" w:color="auto"/>
            </w:tcBorders>
            <w:shd w:val="clear" w:color="auto" w:fill="auto"/>
            <w:vAlign w:val="center"/>
            <w:hideMark/>
          </w:tcPr>
          <w:p w14:paraId="76E3DB93"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2.672</w:t>
            </w:r>
          </w:p>
        </w:tc>
        <w:tc>
          <w:tcPr>
            <w:tcW w:w="1640" w:type="dxa"/>
            <w:tcBorders>
              <w:top w:val="nil"/>
              <w:left w:val="nil"/>
              <w:bottom w:val="single" w:sz="4" w:space="0" w:color="auto"/>
              <w:right w:val="single" w:sz="4" w:space="0" w:color="auto"/>
            </w:tcBorders>
            <w:shd w:val="clear" w:color="auto" w:fill="auto"/>
            <w:vAlign w:val="center"/>
            <w:hideMark/>
          </w:tcPr>
          <w:p w14:paraId="1E6B7B30"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51,32 %</w:t>
            </w:r>
          </w:p>
        </w:tc>
        <w:tc>
          <w:tcPr>
            <w:tcW w:w="1380" w:type="dxa"/>
            <w:vMerge/>
            <w:tcBorders>
              <w:top w:val="nil"/>
              <w:left w:val="single" w:sz="4" w:space="0" w:color="auto"/>
              <w:bottom w:val="single" w:sz="4" w:space="0" w:color="000000"/>
              <w:right w:val="single" w:sz="4" w:space="0" w:color="auto"/>
            </w:tcBorders>
            <w:vAlign w:val="center"/>
            <w:hideMark/>
          </w:tcPr>
          <w:p w14:paraId="1C619052" w14:textId="77777777" w:rsidR="003972E1" w:rsidRPr="00E94653" w:rsidRDefault="003972E1" w:rsidP="003972E1">
            <w:pPr>
              <w:spacing w:after="0" w:line="240" w:lineRule="auto"/>
              <w:rPr>
                <w:rFonts w:ascii="Arial" w:eastAsia="Times New Roman" w:hAnsi="Arial" w:cs="Arial"/>
                <w:b/>
                <w:bCs/>
                <w:color w:val="000000"/>
                <w:sz w:val="18"/>
                <w:szCs w:val="18"/>
                <w:lang w:eastAsia="sl-SI"/>
              </w:rPr>
            </w:pPr>
          </w:p>
        </w:tc>
      </w:tr>
      <w:tr w:rsidR="003972E1" w:rsidRPr="00E94653" w14:paraId="763692AE"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690796D9" w14:textId="77777777" w:rsidR="003972E1" w:rsidRPr="00E94653" w:rsidRDefault="003972E1" w:rsidP="003972E1">
            <w:pPr>
              <w:spacing w:after="0" w:line="240" w:lineRule="auto"/>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 xml:space="preserve">Skupaj </w:t>
            </w:r>
          </w:p>
        </w:tc>
        <w:tc>
          <w:tcPr>
            <w:tcW w:w="1240" w:type="dxa"/>
            <w:tcBorders>
              <w:top w:val="nil"/>
              <w:left w:val="nil"/>
              <w:bottom w:val="single" w:sz="4" w:space="0" w:color="auto"/>
              <w:right w:val="single" w:sz="4" w:space="0" w:color="auto"/>
            </w:tcBorders>
            <w:shd w:val="clear" w:color="auto" w:fill="auto"/>
            <w:vAlign w:val="center"/>
            <w:hideMark/>
          </w:tcPr>
          <w:p w14:paraId="6332E570" w14:textId="77777777" w:rsidR="003972E1" w:rsidRPr="00E94653" w:rsidRDefault="003972E1" w:rsidP="003972E1">
            <w:pPr>
              <w:spacing w:after="0" w:line="240" w:lineRule="auto"/>
              <w:jc w:val="right"/>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5.207</w:t>
            </w:r>
          </w:p>
        </w:tc>
        <w:tc>
          <w:tcPr>
            <w:tcW w:w="1640" w:type="dxa"/>
            <w:tcBorders>
              <w:top w:val="nil"/>
              <w:left w:val="nil"/>
              <w:bottom w:val="single" w:sz="4" w:space="0" w:color="auto"/>
              <w:right w:val="single" w:sz="4" w:space="0" w:color="auto"/>
            </w:tcBorders>
            <w:shd w:val="clear" w:color="auto" w:fill="auto"/>
            <w:vAlign w:val="center"/>
            <w:hideMark/>
          </w:tcPr>
          <w:p w14:paraId="3298D507" w14:textId="77777777" w:rsidR="003972E1" w:rsidRPr="00E94653" w:rsidRDefault="003972E1" w:rsidP="003972E1">
            <w:pPr>
              <w:spacing w:after="0" w:line="240" w:lineRule="auto"/>
              <w:jc w:val="right"/>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100,00 %</w:t>
            </w:r>
          </w:p>
        </w:tc>
        <w:tc>
          <w:tcPr>
            <w:tcW w:w="1380" w:type="dxa"/>
            <w:vMerge/>
            <w:tcBorders>
              <w:top w:val="nil"/>
              <w:left w:val="single" w:sz="4" w:space="0" w:color="auto"/>
              <w:bottom w:val="single" w:sz="4" w:space="0" w:color="000000"/>
              <w:right w:val="single" w:sz="4" w:space="0" w:color="auto"/>
            </w:tcBorders>
            <w:vAlign w:val="center"/>
            <w:hideMark/>
          </w:tcPr>
          <w:p w14:paraId="2C313121" w14:textId="77777777" w:rsidR="003972E1" w:rsidRPr="00E94653" w:rsidRDefault="003972E1" w:rsidP="003972E1">
            <w:pPr>
              <w:spacing w:after="0" w:line="240" w:lineRule="auto"/>
              <w:rPr>
                <w:rFonts w:ascii="Arial" w:eastAsia="Times New Roman" w:hAnsi="Arial" w:cs="Arial"/>
                <w:b/>
                <w:bCs/>
                <w:color w:val="000000"/>
                <w:sz w:val="18"/>
                <w:szCs w:val="18"/>
                <w:lang w:eastAsia="sl-SI"/>
              </w:rPr>
            </w:pPr>
          </w:p>
        </w:tc>
      </w:tr>
      <w:tr w:rsidR="003972E1" w:rsidRPr="00E94653" w14:paraId="6979B2F1"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26A6194B" w14:textId="58E32DB2" w:rsidR="003972E1" w:rsidRPr="00E94653" w:rsidRDefault="003972E1">
            <w:pPr>
              <w:spacing w:after="0" w:line="240" w:lineRule="auto"/>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 xml:space="preserve">Postopek z več naročili </w:t>
            </w:r>
            <w:r w:rsidR="001A3829">
              <w:rPr>
                <w:rFonts w:ascii="Arial" w:hAnsi="Arial" w:cs="Arial"/>
                <w:color w:val="000000" w:themeColor="text1"/>
                <w:sz w:val="20"/>
                <w:szCs w:val="20"/>
              </w:rPr>
              <w:sym w:font="Symbol" w:char="F02D"/>
            </w:r>
            <w:r w:rsidRPr="00E94653">
              <w:rPr>
                <w:rFonts w:ascii="Arial" w:eastAsia="Times New Roman" w:hAnsi="Arial" w:cs="Arial"/>
                <w:color w:val="000000"/>
                <w:sz w:val="18"/>
                <w:szCs w:val="18"/>
                <w:lang w:eastAsia="sl-SI"/>
              </w:rPr>
              <w:t xml:space="preserve"> prejeta 1 ponudba</w:t>
            </w:r>
          </w:p>
        </w:tc>
        <w:tc>
          <w:tcPr>
            <w:tcW w:w="1240" w:type="dxa"/>
            <w:tcBorders>
              <w:top w:val="nil"/>
              <w:left w:val="nil"/>
              <w:bottom w:val="single" w:sz="4" w:space="0" w:color="auto"/>
              <w:right w:val="single" w:sz="4" w:space="0" w:color="auto"/>
            </w:tcBorders>
            <w:shd w:val="clear" w:color="auto" w:fill="auto"/>
            <w:vAlign w:val="center"/>
            <w:hideMark/>
          </w:tcPr>
          <w:p w14:paraId="4D25244B"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328</w:t>
            </w:r>
          </w:p>
        </w:tc>
        <w:tc>
          <w:tcPr>
            <w:tcW w:w="1640" w:type="dxa"/>
            <w:tcBorders>
              <w:top w:val="nil"/>
              <w:left w:val="nil"/>
              <w:bottom w:val="single" w:sz="4" w:space="0" w:color="auto"/>
              <w:right w:val="single" w:sz="4" w:space="0" w:color="auto"/>
            </w:tcBorders>
            <w:shd w:val="clear" w:color="auto" w:fill="auto"/>
            <w:vAlign w:val="center"/>
            <w:hideMark/>
          </w:tcPr>
          <w:p w14:paraId="24EE271E"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21,41 %</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F6384" w14:textId="77777777" w:rsidR="003972E1" w:rsidRPr="00E94653" w:rsidRDefault="003972E1" w:rsidP="003972E1">
            <w:pPr>
              <w:spacing w:after="0" w:line="240" w:lineRule="auto"/>
              <w:jc w:val="right"/>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22,73 %</w:t>
            </w:r>
          </w:p>
        </w:tc>
      </w:tr>
      <w:tr w:rsidR="003972E1" w:rsidRPr="00E94653" w14:paraId="44138711"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7CD2A848" w14:textId="1E5CDCBC" w:rsidR="003972E1" w:rsidRPr="00E94653" w:rsidRDefault="003972E1" w:rsidP="003972E1">
            <w:pPr>
              <w:spacing w:after="0" w:line="240" w:lineRule="auto"/>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 xml:space="preserve">Postopek z več naročili </w:t>
            </w:r>
            <w:r w:rsidR="001A3829">
              <w:rPr>
                <w:rFonts w:ascii="Arial" w:hAnsi="Arial" w:cs="Arial"/>
                <w:color w:val="000000" w:themeColor="text1"/>
                <w:sz w:val="20"/>
                <w:szCs w:val="20"/>
              </w:rPr>
              <w:sym w:font="Symbol" w:char="F02D"/>
            </w:r>
            <w:r w:rsidRPr="00E94653">
              <w:rPr>
                <w:rFonts w:ascii="Arial" w:eastAsia="Times New Roman" w:hAnsi="Arial" w:cs="Arial"/>
                <w:color w:val="000000"/>
                <w:sz w:val="18"/>
                <w:szCs w:val="18"/>
                <w:lang w:eastAsia="sl-SI"/>
              </w:rPr>
              <w:t xml:space="preserve"> prejetih več ponudb</w:t>
            </w:r>
          </w:p>
        </w:tc>
        <w:tc>
          <w:tcPr>
            <w:tcW w:w="1240" w:type="dxa"/>
            <w:tcBorders>
              <w:top w:val="nil"/>
              <w:left w:val="nil"/>
              <w:bottom w:val="single" w:sz="4" w:space="0" w:color="auto"/>
              <w:right w:val="single" w:sz="4" w:space="0" w:color="auto"/>
            </w:tcBorders>
            <w:shd w:val="clear" w:color="auto" w:fill="auto"/>
            <w:vAlign w:val="center"/>
            <w:hideMark/>
          </w:tcPr>
          <w:p w14:paraId="388EBF1A"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1.204</w:t>
            </w:r>
          </w:p>
        </w:tc>
        <w:tc>
          <w:tcPr>
            <w:tcW w:w="1640" w:type="dxa"/>
            <w:tcBorders>
              <w:top w:val="nil"/>
              <w:left w:val="nil"/>
              <w:bottom w:val="single" w:sz="4" w:space="0" w:color="auto"/>
              <w:right w:val="single" w:sz="4" w:space="0" w:color="auto"/>
            </w:tcBorders>
            <w:shd w:val="clear" w:color="auto" w:fill="auto"/>
            <w:vAlign w:val="center"/>
            <w:hideMark/>
          </w:tcPr>
          <w:p w14:paraId="5746267B" w14:textId="77777777" w:rsidR="003972E1" w:rsidRPr="00E94653" w:rsidRDefault="003972E1" w:rsidP="003972E1">
            <w:pPr>
              <w:spacing w:after="0" w:line="240" w:lineRule="auto"/>
              <w:jc w:val="right"/>
              <w:rPr>
                <w:rFonts w:ascii="Arial" w:eastAsia="Times New Roman" w:hAnsi="Arial" w:cs="Arial"/>
                <w:color w:val="000000"/>
                <w:sz w:val="18"/>
                <w:szCs w:val="18"/>
                <w:lang w:eastAsia="sl-SI"/>
              </w:rPr>
            </w:pPr>
            <w:r w:rsidRPr="00E94653">
              <w:rPr>
                <w:rFonts w:ascii="Arial" w:eastAsia="Times New Roman" w:hAnsi="Arial" w:cs="Arial"/>
                <w:color w:val="000000"/>
                <w:sz w:val="18"/>
                <w:szCs w:val="18"/>
                <w:lang w:eastAsia="sl-SI"/>
              </w:rPr>
              <w:t>78,59 %</w:t>
            </w:r>
          </w:p>
        </w:tc>
        <w:tc>
          <w:tcPr>
            <w:tcW w:w="1380" w:type="dxa"/>
            <w:vMerge/>
            <w:tcBorders>
              <w:top w:val="nil"/>
              <w:left w:val="single" w:sz="4" w:space="0" w:color="auto"/>
              <w:bottom w:val="single" w:sz="4" w:space="0" w:color="000000"/>
              <w:right w:val="single" w:sz="4" w:space="0" w:color="auto"/>
            </w:tcBorders>
            <w:vAlign w:val="center"/>
            <w:hideMark/>
          </w:tcPr>
          <w:p w14:paraId="393F14F3" w14:textId="77777777" w:rsidR="003972E1" w:rsidRPr="00E94653" w:rsidRDefault="003972E1" w:rsidP="003972E1">
            <w:pPr>
              <w:spacing w:after="0" w:line="240" w:lineRule="auto"/>
              <w:rPr>
                <w:rFonts w:ascii="Arial" w:eastAsia="Times New Roman" w:hAnsi="Arial" w:cs="Arial"/>
                <w:b/>
                <w:bCs/>
                <w:color w:val="000000"/>
                <w:sz w:val="18"/>
                <w:szCs w:val="18"/>
                <w:lang w:eastAsia="sl-SI"/>
              </w:rPr>
            </w:pPr>
          </w:p>
        </w:tc>
      </w:tr>
      <w:tr w:rsidR="003972E1" w:rsidRPr="003972E1" w14:paraId="68335816"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3C317A62" w14:textId="77777777" w:rsidR="003972E1" w:rsidRPr="00E94653" w:rsidRDefault="003972E1" w:rsidP="003972E1">
            <w:pPr>
              <w:spacing w:after="0" w:line="240" w:lineRule="auto"/>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Skupaj</w:t>
            </w:r>
          </w:p>
        </w:tc>
        <w:tc>
          <w:tcPr>
            <w:tcW w:w="1240" w:type="dxa"/>
            <w:tcBorders>
              <w:top w:val="nil"/>
              <w:left w:val="nil"/>
              <w:bottom w:val="single" w:sz="4" w:space="0" w:color="auto"/>
              <w:right w:val="single" w:sz="4" w:space="0" w:color="auto"/>
            </w:tcBorders>
            <w:shd w:val="clear" w:color="auto" w:fill="auto"/>
            <w:vAlign w:val="center"/>
            <w:hideMark/>
          </w:tcPr>
          <w:p w14:paraId="5130C7F5" w14:textId="77777777" w:rsidR="003972E1" w:rsidRPr="00E94653" w:rsidRDefault="003972E1" w:rsidP="003972E1">
            <w:pPr>
              <w:spacing w:after="0" w:line="240" w:lineRule="auto"/>
              <w:jc w:val="right"/>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1.532</w:t>
            </w:r>
          </w:p>
        </w:tc>
        <w:tc>
          <w:tcPr>
            <w:tcW w:w="1640" w:type="dxa"/>
            <w:tcBorders>
              <w:top w:val="nil"/>
              <w:left w:val="nil"/>
              <w:bottom w:val="single" w:sz="4" w:space="0" w:color="auto"/>
              <w:right w:val="single" w:sz="4" w:space="0" w:color="auto"/>
            </w:tcBorders>
            <w:shd w:val="clear" w:color="auto" w:fill="auto"/>
            <w:vAlign w:val="center"/>
            <w:hideMark/>
          </w:tcPr>
          <w:p w14:paraId="5773F159" w14:textId="77777777" w:rsidR="003972E1" w:rsidRPr="003972E1" w:rsidRDefault="003972E1" w:rsidP="003972E1">
            <w:pPr>
              <w:spacing w:after="0" w:line="240" w:lineRule="auto"/>
              <w:jc w:val="right"/>
              <w:rPr>
                <w:rFonts w:ascii="Arial" w:eastAsia="Times New Roman" w:hAnsi="Arial" w:cs="Arial"/>
                <w:b/>
                <w:bCs/>
                <w:color w:val="000000"/>
                <w:sz w:val="18"/>
                <w:szCs w:val="18"/>
                <w:lang w:eastAsia="sl-SI"/>
              </w:rPr>
            </w:pPr>
            <w:r w:rsidRPr="00E94653">
              <w:rPr>
                <w:rFonts w:ascii="Arial" w:eastAsia="Times New Roman" w:hAnsi="Arial" w:cs="Arial"/>
                <w:b/>
                <w:bCs/>
                <w:color w:val="000000"/>
                <w:sz w:val="18"/>
                <w:szCs w:val="18"/>
                <w:lang w:eastAsia="sl-SI"/>
              </w:rPr>
              <w:t>100,00 %</w:t>
            </w:r>
          </w:p>
        </w:tc>
        <w:tc>
          <w:tcPr>
            <w:tcW w:w="1380" w:type="dxa"/>
            <w:vMerge/>
            <w:tcBorders>
              <w:top w:val="nil"/>
              <w:left w:val="single" w:sz="4" w:space="0" w:color="auto"/>
              <w:bottom w:val="single" w:sz="4" w:space="0" w:color="000000"/>
              <w:right w:val="single" w:sz="4" w:space="0" w:color="auto"/>
            </w:tcBorders>
            <w:vAlign w:val="center"/>
            <w:hideMark/>
          </w:tcPr>
          <w:p w14:paraId="15FEBA07" w14:textId="77777777" w:rsidR="003972E1" w:rsidRPr="003972E1" w:rsidRDefault="003972E1" w:rsidP="003972E1">
            <w:pPr>
              <w:spacing w:after="0" w:line="240" w:lineRule="auto"/>
              <w:rPr>
                <w:rFonts w:ascii="Arial" w:eastAsia="Times New Roman" w:hAnsi="Arial" w:cs="Arial"/>
                <w:b/>
                <w:bCs/>
                <w:color w:val="000000"/>
                <w:sz w:val="18"/>
                <w:szCs w:val="18"/>
                <w:lang w:eastAsia="sl-SI"/>
              </w:rPr>
            </w:pPr>
          </w:p>
        </w:tc>
      </w:tr>
    </w:tbl>
    <w:p w14:paraId="3FDAE6F8" w14:textId="77777777" w:rsidR="008E08B4" w:rsidRDefault="008E08B4" w:rsidP="008E08B4">
      <w:pPr>
        <w:spacing w:after="0" w:line="240" w:lineRule="auto"/>
        <w:jc w:val="center"/>
        <w:rPr>
          <w:rFonts w:ascii="Arial" w:hAnsi="Arial" w:cs="Arial"/>
          <w:sz w:val="18"/>
        </w:rPr>
      </w:pPr>
    </w:p>
    <w:p w14:paraId="0A9AC13C" w14:textId="6DF3DFBA" w:rsidR="008E08B4" w:rsidRPr="00DA0AE6" w:rsidRDefault="008E08B4" w:rsidP="008E08B4">
      <w:pPr>
        <w:spacing w:after="240" w:line="240" w:lineRule="auto"/>
        <w:jc w:val="center"/>
        <w:rPr>
          <w:rFonts w:ascii="Arial" w:hAnsi="Arial" w:cs="Arial"/>
          <w:sz w:val="18"/>
        </w:rPr>
      </w:pPr>
      <w:r w:rsidRPr="00DA0AE6">
        <w:rPr>
          <w:rFonts w:ascii="Arial" w:hAnsi="Arial" w:cs="Arial"/>
          <w:sz w:val="18"/>
        </w:rPr>
        <w:t>Vir: Statistični podatki o javnih naročilih, oddanih v letu 2018</w:t>
      </w:r>
    </w:p>
    <w:p w14:paraId="5F138323" w14:textId="77777777" w:rsidR="008E08B4" w:rsidRDefault="008E08B4" w:rsidP="002A1622">
      <w:pPr>
        <w:tabs>
          <w:tab w:val="left" w:pos="567"/>
          <w:tab w:val="left" w:pos="993"/>
        </w:tabs>
        <w:spacing w:line="360" w:lineRule="auto"/>
        <w:jc w:val="both"/>
        <w:rPr>
          <w:rFonts w:ascii="Arial" w:hAnsi="Arial" w:cs="Arial"/>
          <w:sz w:val="20"/>
          <w:szCs w:val="20"/>
        </w:rPr>
      </w:pPr>
    </w:p>
    <w:p w14:paraId="71D49FE3" w14:textId="028C6536" w:rsidR="002A1622" w:rsidRPr="00EF2D0B" w:rsidRDefault="002A1622" w:rsidP="002A1622">
      <w:pPr>
        <w:tabs>
          <w:tab w:val="left" w:pos="567"/>
          <w:tab w:val="left" w:pos="993"/>
        </w:tabs>
        <w:spacing w:line="360" w:lineRule="auto"/>
        <w:jc w:val="both"/>
        <w:rPr>
          <w:rFonts w:ascii="Arial" w:hAnsi="Arial" w:cs="Arial"/>
          <w:sz w:val="20"/>
          <w:szCs w:val="20"/>
          <w:highlight w:val="yellow"/>
        </w:rPr>
      </w:pPr>
      <w:r w:rsidRPr="00D304BB">
        <w:rPr>
          <w:rFonts w:ascii="Arial" w:hAnsi="Arial" w:cs="Arial"/>
          <w:sz w:val="20"/>
          <w:szCs w:val="20"/>
        </w:rPr>
        <w:lastRenderedPageBreak/>
        <w:t xml:space="preserve">Naročniki so v postopkih z enim naročilom prejeli samo eno ponudbo v </w:t>
      </w:r>
      <w:r w:rsidR="00CC5EDF" w:rsidRPr="00D304BB">
        <w:rPr>
          <w:rFonts w:ascii="Arial" w:hAnsi="Arial" w:cs="Arial"/>
          <w:sz w:val="20"/>
          <w:szCs w:val="20"/>
        </w:rPr>
        <w:t>2</w:t>
      </w:r>
      <w:r w:rsidR="00A576EB" w:rsidRPr="00D304BB">
        <w:rPr>
          <w:rFonts w:ascii="Arial" w:hAnsi="Arial" w:cs="Arial"/>
          <w:sz w:val="20"/>
          <w:szCs w:val="20"/>
        </w:rPr>
        <w:t>535</w:t>
      </w:r>
      <w:r w:rsidRPr="00D304BB">
        <w:rPr>
          <w:rFonts w:ascii="Arial" w:hAnsi="Arial" w:cs="Arial"/>
          <w:sz w:val="20"/>
          <w:szCs w:val="20"/>
        </w:rPr>
        <w:t xml:space="preserve"> primerih. </w:t>
      </w:r>
      <w:r w:rsidR="00F55D6A" w:rsidRPr="00D304BB">
        <w:rPr>
          <w:rFonts w:ascii="Arial" w:hAnsi="Arial" w:cs="Arial"/>
          <w:sz w:val="20"/>
          <w:szCs w:val="20"/>
        </w:rPr>
        <w:t xml:space="preserve">Naročniki so eno ponudbo za naročilo v postopku z enim naročilom največkrat prejeli v postopkih naročila male vrednosti, in sicer v dobri polovici postopkov z enim naročilom. Veliko postopkov, kjer je naročnik prejel samo eno ponudbo, je tudi v </w:t>
      </w:r>
      <w:r w:rsidR="00F55D6A" w:rsidRPr="00D304BB">
        <w:rPr>
          <w:rFonts w:ascii="Arial" w:eastAsia="Times New Roman" w:hAnsi="Arial" w:cs="Arial"/>
          <w:color w:val="000000"/>
          <w:sz w:val="20"/>
          <w:szCs w:val="20"/>
          <w:lang w:eastAsia="sl-SI"/>
        </w:rPr>
        <w:t xml:space="preserve">postopkih s pogajanji brez predhodne objave, </w:t>
      </w:r>
      <w:r w:rsidR="00F55D6A" w:rsidRPr="00D304BB">
        <w:rPr>
          <w:rFonts w:ascii="Arial" w:hAnsi="Arial" w:cs="Arial"/>
          <w:sz w:val="20"/>
          <w:szCs w:val="20"/>
        </w:rPr>
        <w:t>kjer je takih primerov 6</w:t>
      </w:r>
      <w:r w:rsidR="00D304BB" w:rsidRPr="00D304BB">
        <w:rPr>
          <w:rFonts w:ascii="Arial" w:hAnsi="Arial" w:cs="Arial"/>
          <w:sz w:val="20"/>
          <w:szCs w:val="20"/>
        </w:rPr>
        <w:t>59</w:t>
      </w:r>
      <w:r w:rsidR="00F55D6A" w:rsidRPr="00D304BB">
        <w:rPr>
          <w:rFonts w:ascii="Arial" w:hAnsi="Arial" w:cs="Arial"/>
          <w:sz w:val="20"/>
          <w:szCs w:val="20"/>
        </w:rPr>
        <w:t xml:space="preserve"> oziroma 2</w:t>
      </w:r>
      <w:r w:rsidR="00D304BB" w:rsidRPr="00D304BB">
        <w:rPr>
          <w:rFonts w:ascii="Arial" w:hAnsi="Arial" w:cs="Arial"/>
          <w:sz w:val="20"/>
          <w:szCs w:val="20"/>
        </w:rPr>
        <w:t>6</w:t>
      </w:r>
      <w:r w:rsidR="001A3829">
        <w:rPr>
          <w:rFonts w:ascii="Arial" w:hAnsi="Arial" w:cs="Arial"/>
          <w:sz w:val="20"/>
          <w:szCs w:val="20"/>
        </w:rPr>
        <w:t> </w:t>
      </w:r>
      <w:r w:rsidR="00F55D6A" w:rsidRPr="00D304BB">
        <w:rPr>
          <w:rFonts w:ascii="Arial" w:hAnsi="Arial" w:cs="Arial"/>
          <w:sz w:val="20"/>
          <w:szCs w:val="20"/>
        </w:rPr>
        <w:t xml:space="preserve">% teh naročil, in </w:t>
      </w:r>
      <w:r w:rsidR="00FD48CF" w:rsidRPr="00D304BB">
        <w:rPr>
          <w:rFonts w:ascii="Arial" w:hAnsi="Arial" w:cs="Arial"/>
          <w:sz w:val="20"/>
          <w:szCs w:val="20"/>
        </w:rPr>
        <w:t xml:space="preserve">v </w:t>
      </w:r>
      <w:r w:rsidR="00F55D6A" w:rsidRPr="00D304BB">
        <w:rPr>
          <w:rFonts w:ascii="Arial" w:hAnsi="Arial" w:cs="Arial"/>
          <w:sz w:val="20"/>
          <w:szCs w:val="20"/>
        </w:rPr>
        <w:t>odprtih postopk</w:t>
      </w:r>
      <w:r w:rsidR="00FD48CF" w:rsidRPr="00D304BB">
        <w:rPr>
          <w:rFonts w:ascii="Arial" w:hAnsi="Arial" w:cs="Arial"/>
          <w:sz w:val="20"/>
          <w:szCs w:val="20"/>
        </w:rPr>
        <w:t>ih</w:t>
      </w:r>
      <w:r w:rsidR="00F55D6A" w:rsidRPr="00D304BB">
        <w:rPr>
          <w:rFonts w:ascii="Arial" w:hAnsi="Arial" w:cs="Arial"/>
          <w:sz w:val="20"/>
          <w:szCs w:val="20"/>
        </w:rPr>
        <w:t>, kjer je takih primerov 3</w:t>
      </w:r>
      <w:r w:rsidR="00D304BB" w:rsidRPr="00D304BB">
        <w:rPr>
          <w:rFonts w:ascii="Arial" w:hAnsi="Arial" w:cs="Arial"/>
          <w:sz w:val="20"/>
          <w:szCs w:val="20"/>
        </w:rPr>
        <w:t>55</w:t>
      </w:r>
      <w:r w:rsidR="00F55D6A" w:rsidRPr="00D304BB">
        <w:rPr>
          <w:rFonts w:ascii="Arial" w:hAnsi="Arial" w:cs="Arial"/>
          <w:sz w:val="20"/>
          <w:szCs w:val="20"/>
        </w:rPr>
        <w:t xml:space="preserve"> oziroma 14 % teh naročil.</w:t>
      </w:r>
      <w:r w:rsidR="00FA0EF9">
        <w:rPr>
          <w:rFonts w:ascii="Arial" w:hAnsi="Arial" w:cs="Arial"/>
          <w:sz w:val="20"/>
          <w:szCs w:val="20"/>
        </w:rPr>
        <w:t xml:space="preserve"> </w:t>
      </w:r>
      <w:r w:rsidR="00C16DE2" w:rsidRPr="00D304BB">
        <w:rPr>
          <w:rFonts w:ascii="Arial" w:hAnsi="Arial" w:cs="Arial"/>
          <w:sz w:val="20"/>
          <w:szCs w:val="20"/>
        </w:rPr>
        <w:t xml:space="preserve"> </w:t>
      </w:r>
    </w:p>
    <w:p w14:paraId="0A55A438" w14:textId="342FA10B" w:rsidR="00C16DE2" w:rsidRPr="00683B6A" w:rsidRDefault="00C16DE2" w:rsidP="00C16DE2">
      <w:pPr>
        <w:spacing w:before="120" w:after="120" w:line="240" w:lineRule="auto"/>
        <w:jc w:val="both"/>
        <w:rPr>
          <w:rFonts w:ascii="Arial" w:hAnsi="Arial" w:cs="Arial"/>
          <w:sz w:val="20"/>
        </w:rPr>
      </w:pPr>
      <w:r w:rsidRPr="00EB4423">
        <w:rPr>
          <w:rFonts w:ascii="Arial" w:hAnsi="Arial" w:cs="Arial"/>
          <w:sz w:val="20"/>
        </w:rPr>
        <w:t xml:space="preserve">Preglednica </w:t>
      </w:r>
      <w:r w:rsidR="00EB4423" w:rsidRPr="00E94653">
        <w:rPr>
          <w:rFonts w:ascii="Arial" w:hAnsi="Arial" w:cs="Arial"/>
          <w:sz w:val="20"/>
        </w:rPr>
        <w:t>40</w:t>
      </w:r>
      <w:r w:rsidRPr="00EB4423">
        <w:rPr>
          <w:rFonts w:ascii="Arial" w:hAnsi="Arial" w:cs="Arial"/>
          <w:sz w:val="20"/>
        </w:rPr>
        <w:t>: Število, vrednost in deleži naročil z eno prejeto ponudbo v postopkih z enim naročilom</w:t>
      </w:r>
      <w:r w:rsidRPr="00683B6A">
        <w:rPr>
          <w:rFonts w:ascii="Arial" w:hAnsi="Arial" w:cs="Arial"/>
          <w:sz w:val="20"/>
        </w:rPr>
        <w:t xml:space="preserve"> glede na vrsto postopka </w:t>
      </w:r>
    </w:p>
    <w:tbl>
      <w:tblPr>
        <w:tblW w:w="5000" w:type="pct"/>
        <w:tblCellMar>
          <w:left w:w="70" w:type="dxa"/>
          <w:right w:w="70" w:type="dxa"/>
        </w:tblCellMar>
        <w:tblLook w:val="04A0" w:firstRow="1" w:lastRow="0" w:firstColumn="1" w:lastColumn="0" w:noHBand="0" w:noVBand="1"/>
      </w:tblPr>
      <w:tblGrid>
        <w:gridCol w:w="3237"/>
        <w:gridCol w:w="941"/>
        <w:gridCol w:w="1802"/>
        <w:gridCol w:w="1561"/>
        <w:gridCol w:w="1521"/>
      </w:tblGrid>
      <w:tr w:rsidR="00683B6A" w:rsidRPr="00683B6A" w14:paraId="4B9FFEDC" w14:textId="77777777" w:rsidTr="00683B6A">
        <w:trPr>
          <w:trHeight w:val="300"/>
        </w:trPr>
        <w:tc>
          <w:tcPr>
            <w:tcW w:w="2201"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F4D95A0" w14:textId="77777777" w:rsidR="00683B6A" w:rsidRPr="00683B6A" w:rsidRDefault="00683B6A" w:rsidP="00683B6A">
            <w:pPr>
              <w:spacing w:after="0" w:line="240" w:lineRule="auto"/>
              <w:jc w:val="center"/>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Vrsta postopka</w:t>
            </w:r>
          </w:p>
        </w:tc>
        <w:tc>
          <w:tcPr>
            <w:tcW w:w="444" w:type="pct"/>
            <w:tcBorders>
              <w:top w:val="single" w:sz="4" w:space="0" w:color="auto"/>
              <w:left w:val="nil"/>
              <w:bottom w:val="single" w:sz="4" w:space="0" w:color="auto"/>
              <w:right w:val="single" w:sz="4" w:space="0" w:color="auto"/>
            </w:tcBorders>
            <w:shd w:val="clear" w:color="000000" w:fill="EDEDED"/>
            <w:noWrap/>
            <w:vAlign w:val="center"/>
            <w:hideMark/>
          </w:tcPr>
          <w:p w14:paraId="3E71F989" w14:textId="77777777" w:rsidR="00683B6A" w:rsidRPr="00683B6A" w:rsidRDefault="00683B6A" w:rsidP="00683B6A">
            <w:pPr>
              <w:spacing w:after="0" w:line="240" w:lineRule="auto"/>
              <w:jc w:val="center"/>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Št. naročil</w:t>
            </w:r>
          </w:p>
        </w:tc>
        <w:tc>
          <w:tcPr>
            <w:tcW w:w="888" w:type="pct"/>
            <w:tcBorders>
              <w:top w:val="single" w:sz="4" w:space="0" w:color="auto"/>
              <w:left w:val="nil"/>
              <w:bottom w:val="single" w:sz="4" w:space="0" w:color="auto"/>
              <w:right w:val="single" w:sz="4" w:space="0" w:color="auto"/>
            </w:tcBorders>
            <w:shd w:val="clear" w:color="000000" w:fill="EDEDED"/>
            <w:noWrap/>
            <w:vAlign w:val="center"/>
            <w:hideMark/>
          </w:tcPr>
          <w:p w14:paraId="357ED184" w14:textId="77777777" w:rsidR="00683B6A" w:rsidRPr="00683B6A" w:rsidRDefault="00683B6A" w:rsidP="00683B6A">
            <w:pPr>
              <w:spacing w:after="0" w:line="240" w:lineRule="auto"/>
              <w:jc w:val="center"/>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Pogodbena vrednost</w:t>
            </w:r>
          </w:p>
        </w:tc>
        <w:tc>
          <w:tcPr>
            <w:tcW w:w="743" w:type="pct"/>
            <w:tcBorders>
              <w:top w:val="single" w:sz="4" w:space="0" w:color="auto"/>
              <w:left w:val="nil"/>
              <w:bottom w:val="single" w:sz="4" w:space="0" w:color="auto"/>
              <w:right w:val="single" w:sz="4" w:space="0" w:color="auto"/>
            </w:tcBorders>
            <w:shd w:val="clear" w:color="000000" w:fill="EDEDED"/>
            <w:noWrap/>
            <w:vAlign w:val="center"/>
            <w:hideMark/>
          </w:tcPr>
          <w:p w14:paraId="5D387923" w14:textId="77777777" w:rsidR="00683B6A" w:rsidRPr="00683B6A" w:rsidRDefault="00683B6A" w:rsidP="00683B6A">
            <w:pPr>
              <w:spacing w:after="0" w:line="240" w:lineRule="auto"/>
              <w:jc w:val="center"/>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Delež v št. naročil</w:t>
            </w:r>
          </w:p>
        </w:tc>
        <w:tc>
          <w:tcPr>
            <w:tcW w:w="724" w:type="pct"/>
            <w:tcBorders>
              <w:top w:val="single" w:sz="4" w:space="0" w:color="auto"/>
              <w:left w:val="nil"/>
              <w:bottom w:val="single" w:sz="4" w:space="0" w:color="auto"/>
              <w:right w:val="single" w:sz="4" w:space="0" w:color="auto"/>
            </w:tcBorders>
            <w:shd w:val="clear" w:color="000000" w:fill="EDEDED"/>
            <w:noWrap/>
            <w:vAlign w:val="center"/>
            <w:hideMark/>
          </w:tcPr>
          <w:p w14:paraId="5A8C18CB" w14:textId="77777777" w:rsidR="00683B6A" w:rsidRPr="00683B6A" w:rsidRDefault="00683B6A" w:rsidP="00683B6A">
            <w:pPr>
              <w:spacing w:after="0" w:line="240" w:lineRule="auto"/>
              <w:jc w:val="center"/>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Delež v vrednosti</w:t>
            </w:r>
          </w:p>
        </w:tc>
      </w:tr>
      <w:tr w:rsidR="00683B6A" w:rsidRPr="00683B6A" w14:paraId="7FCB6E84"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540112F7"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Konkurenčni dialog</w:t>
            </w:r>
          </w:p>
        </w:tc>
        <w:tc>
          <w:tcPr>
            <w:tcW w:w="444" w:type="pct"/>
            <w:tcBorders>
              <w:top w:val="nil"/>
              <w:left w:val="nil"/>
              <w:bottom w:val="single" w:sz="4" w:space="0" w:color="auto"/>
              <w:right w:val="single" w:sz="4" w:space="0" w:color="auto"/>
            </w:tcBorders>
            <w:shd w:val="clear" w:color="auto" w:fill="auto"/>
            <w:vAlign w:val="center"/>
            <w:hideMark/>
          </w:tcPr>
          <w:p w14:paraId="48416DCA"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w:t>
            </w:r>
          </w:p>
        </w:tc>
        <w:tc>
          <w:tcPr>
            <w:tcW w:w="888" w:type="pct"/>
            <w:tcBorders>
              <w:top w:val="nil"/>
              <w:left w:val="nil"/>
              <w:bottom w:val="single" w:sz="4" w:space="0" w:color="auto"/>
              <w:right w:val="single" w:sz="4" w:space="0" w:color="auto"/>
            </w:tcBorders>
            <w:shd w:val="clear" w:color="auto" w:fill="auto"/>
            <w:vAlign w:val="center"/>
            <w:hideMark/>
          </w:tcPr>
          <w:p w14:paraId="111DB2FB"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4.808.879</w:t>
            </w:r>
          </w:p>
        </w:tc>
        <w:tc>
          <w:tcPr>
            <w:tcW w:w="743" w:type="pct"/>
            <w:tcBorders>
              <w:top w:val="nil"/>
              <w:left w:val="nil"/>
              <w:bottom w:val="single" w:sz="4" w:space="0" w:color="auto"/>
              <w:right w:val="single" w:sz="4" w:space="0" w:color="auto"/>
            </w:tcBorders>
            <w:shd w:val="clear" w:color="auto" w:fill="auto"/>
            <w:noWrap/>
            <w:vAlign w:val="center"/>
            <w:hideMark/>
          </w:tcPr>
          <w:p w14:paraId="3B67FD6F" w14:textId="21FC62E1"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0,08 %</w:t>
            </w:r>
          </w:p>
        </w:tc>
        <w:tc>
          <w:tcPr>
            <w:tcW w:w="724" w:type="pct"/>
            <w:tcBorders>
              <w:top w:val="nil"/>
              <w:left w:val="nil"/>
              <w:bottom w:val="single" w:sz="4" w:space="0" w:color="auto"/>
              <w:right w:val="single" w:sz="4" w:space="0" w:color="auto"/>
            </w:tcBorders>
            <w:shd w:val="clear" w:color="auto" w:fill="auto"/>
            <w:noWrap/>
            <w:vAlign w:val="center"/>
            <w:hideMark/>
          </w:tcPr>
          <w:p w14:paraId="1F725249" w14:textId="04E5EC26"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0,48 %</w:t>
            </w:r>
          </w:p>
        </w:tc>
      </w:tr>
      <w:tr w:rsidR="00683B6A" w:rsidRPr="00683B6A" w14:paraId="2DBFEE78"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3A5BC067"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Konkurenčni postopek s pogajanji</w:t>
            </w:r>
          </w:p>
        </w:tc>
        <w:tc>
          <w:tcPr>
            <w:tcW w:w="444" w:type="pct"/>
            <w:tcBorders>
              <w:top w:val="nil"/>
              <w:left w:val="nil"/>
              <w:bottom w:val="single" w:sz="4" w:space="0" w:color="auto"/>
              <w:right w:val="single" w:sz="4" w:space="0" w:color="auto"/>
            </w:tcBorders>
            <w:shd w:val="clear" w:color="auto" w:fill="auto"/>
            <w:vAlign w:val="center"/>
            <w:hideMark/>
          </w:tcPr>
          <w:p w14:paraId="6CF11265"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43</w:t>
            </w:r>
          </w:p>
        </w:tc>
        <w:tc>
          <w:tcPr>
            <w:tcW w:w="888" w:type="pct"/>
            <w:tcBorders>
              <w:top w:val="nil"/>
              <w:left w:val="nil"/>
              <w:bottom w:val="single" w:sz="4" w:space="0" w:color="auto"/>
              <w:right w:val="single" w:sz="4" w:space="0" w:color="auto"/>
            </w:tcBorders>
            <w:shd w:val="clear" w:color="auto" w:fill="auto"/>
            <w:vAlign w:val="center"/>
            <w:hideMark/>
          </w:tcPr>
          <w:p w14:paraId="775BAADE"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25.253.329</w:t>
            </w:r>
          </w:p>
        </w:tc>
        <w:tc>
          <w:tcPr>
            <w:tcW w:w="743" w:type="pct"/>
            <w:tcBorders>
              <w:top w:val="nil"/>
              <w:left w:val="nil"/>
              <w:bottom w:val="single" w:sz="4" w:space="0" w:color="auto"/>
              <w:right w:val="single" w:sz="4" w:space="0" w:color="auto"/>
            </w:tcBorders>
            <w:shd w:val="clear" w:color="auto" w:fill="auto"/>
            <w:noWrap/>
            <w:vAlign w:val="center"/>
            <w:hideMark/>
          </w:tcPr>
          <w:p w14:paraId="12B7025C" w14:textId="59AE7FFF"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1,70 %</w:t>
            </w:r>
          </w:p>
        </w:tc>
        <w:tc>
          <w:tcPr>
            <w:tcW w:w="724" w:type="pct"/>
            <w:tcBorders>
              <w:top w:val="nil"/>
              <w:left w:val="nil"/>
              <w:bottom w:val="single" w:sz="4" w:space="0" w:color="auto"/>
              <w:right w:val="single" w:sz="4" w:space="0" w:color="auto"/>
            </w:tcBorders>
            <w:shd w:val="clear" w:color="auto" w:fill="auto"/>
            <w:noWrap/>
            <w:vAlign w:val="center"/>
            <w:hideMark/>
          </w:tcPr>
          <w:p w14:paraId="11E232B4" w14:textId="11E748F1"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2,53 %</w:t>
            </w:r>
          </w:p>
        </w:tc>
      </w:tr>
      <w:tr w:rsidR="00683B6A" w:rsidRPr="00683B6A" w14:paraId="7E01D4A7"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372C4B95"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Odprti postopek</w:t>
            </w:r>
          </w:p>
        </w:tc>
        <w:tc>
          <w:tcPr>
            <w:tcW w:w="444" w:type="pct"/>
            <w:tcBorders>
              <w:top w:val="nil"/>
              <w:left w:val="nil"/>
              <w:bottom w:val="single" w:sz="4" w:space="0" w:color="auto"/>
              <w:right w:val="single" w:sz="4" w:space="0" w:color="auto"/>
            </w:tcBorders>
            <w:shd w:val="clear" w:color="auto" w:fill="auto"/>
            <w:vAlign w:val="center"/>
            <w:hideMark/>
          </w:tcPr>
          <w:p w14:paraId="395C72BD"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355</w:t>
            </w:r>
          </w:p>
        </w:tc>
        <w:tc>
          <w:tcPr>
            <w:tcW w:w="888" w:type="pct"/>
            <w:tcBorders>
              <w:top w:val="nil"/>
              <w:left w:val="nil"/>
              <w:bottom w:val="single" w:sz="4" w:space="0" w:color="auto"/>
              <w:right w:val="single" w:sz="4" w:space="0" w:color="auto"/>
            </w:tcBorders>
            <w:shd w:val="clear" w:color="auto" w:fill="auto"/>
            <w:vAlign w:val="center"/>
            <w:hideMark/>
          </w:tcPr>
          <w:p w14:paraId="2AAA8DCF"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520.486.140</w:t>
            </w:r>
          </w:p>
        </w:tc>
        <w:tc>
          <w:tcPr>
            <w:tcW w:w="743" w:type="pct"/>
            <w:tcBorders>
              <w:top w:val="nil"/>
              <w:left w:val="nil"/>
              <w:bottom w:val="single" w:sz="4" w:space="0" w:color="auto"/>
              <w:right w:val="single" w:sz="4" w:space="0" w:color="auto"/>
            </w:tcBorders>
            <w:shd w:val="clear" w:color="auto" w:fill="auto"/>
            <w:noWrap/>
            <w:vAlign w:val="center"/>
            <w:hideMark/>
          </w:tcPr>
          <w:p w14:paraId="6C0F0D2C" w14:textId="419AD2B3"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14,00 %</w:t>
            </w:r>
          </w:p>
        </w:tc>
        <w:tc>
          <w:tcPr>
            <w:tcW w:w="724" w:type="pct"/>
            <w:tcBorders>
              <w:top w:val="nil"/>
              <w:left w:val="nil"/>
              <w:bottom w:val="single" w:sz="4" w:space="0" w:color="auto"/>
              <w:right w:val="single" w:sz="4" w:space="0" w:color="auto"/>
            </w:tcBorders>
            <w:shd w:val="clear" w:color="auto" w:fill="auto"/>
            <w:noWrap/>
            <w:vAlign w:val="center"/>
            <w:hideMark/>
          </w:tcPr>
          <w:p w14:paraId="18793C0F" w14:textId="5734914A"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52,13 %</w:t>
            </w:r>
          </w:p>
        </w:tc>
      </w:tr>
      <w:tr w:rsidR="00683B6A" w:rsidRPr="00683B6A" w14:paraId="5FC1EA2E"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2747F644"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Omejeni postopek</w:t>
            </w:r>
          </w:p>
        </w:tc>
        <w:tc>
          <w:tcPr>
            <w:tcW w:w="444" w:type="pct"/>
            <w:tcBorders>
              <w:top w:val="nil"/>
              <w:left w:val="nil"/>
              <w:bottom w:val="single" w:sz="4" w:space="0" w:color="auto"/>
              <w:right w:val="single" w:sz="4" w:space="0" w:color="auto"/>
            </w:tcBorders>
            <w:shd w:val="clear" w:color="auto" w:fill="auto"/>
            <w:vAlign w:val="center"/>
            <w:hideMark/>
          </w:tcPr>
          <w:p w14:paraId="0EBF6240"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w:t>
            </w:r>
          </w:p>
        </w:tc>
        <w:tc>
          <w:tcPr>
            <w:tcW w:w="888" w:type="pct"/>
            <w:tcBorders>
              <w:top w:val="nil"/>
              <w:left w:val="nil"/>
              <w:bottom w:val="single" w:sz="4" w:space="0" w:color="auto"/>
              <w:right w:val="single" w:sz="4" w:space="0" w:color="auto"/>
            </w:tcBorders>
            <w:shd w:val="clear" w:color="auto" w:fill="auto"/>
            <w:vAlign w:val="center"/>
            <w:hideMark/>
          </w:tcPr>
          <w:p w14:paraId="5F28F908"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24.316</w:t>
            </w:r>
          </w:p>
        </w:tc>
        <w:tc>
          <w:tcPr>
            <w:tcW w:w="743" w:type="pct"/>
            <w:tcBorders>
              <w:top w:val="nil"/>
              <w:left w:val="nil"/>
              <w:bottom w:val="single" w:sz="4" w:space="0" w:color="auto"/>
              <w:right w:val="single" w:sz="4" w:space="0" w:color="auto"/>
            </w:tcBorders>
            <w:shd w:val="clear" w:color="auto" w:fill="auto"/>
            <w:noWrap/>
            <w:vAlign w:val="center"/>
            <w:hideMark/>
          </w:tcPr>
          <w:p w14:paraId="41E68232" w14:textId="771E1041"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0,04 %</w:t>
            </w:r>
          </w:p>
        </w:tc>
        <w:tc>
          <w:tcPr>
            <w:tcW w:w="724" w:type="pct"/>
            <w:tcBorders>
              <w:top w:val="nil"/>
              <w:left w:val="nil"/>
              <w:bottom w:val="single" w:sz="4" w:space="0" w:color="auto"/>
              <w:right w:val="single" w:sz="4" w:space="0" w:color="auto"/>
            </w:tcBorders>
            <w:shd w:val="clear" w:color="auto" w:fill="auto"/>
            <w:noWrap/>
            <w:vAlign w:val="center"/>
            <w:hideMark/>
          </w:tcPr>
          <w:p w14:paraId="431D8D48" w14:textId="7ACA9DF6"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0,00 %</w:t>
            </w:r>
          </w:p>
        </w:tc>
      </w:tr>
      <w:tr w:rsidR="00683B6A" w:rsidRPr="00683B6A" w14:paraId="2C0FE855"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2D41DD8C"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Postopek naročila male vrednosti</w:t>
            </w:r>
          </w:p>
        </w:tc>
        <w:tc>
          <w:tcPr>
            <w:tcW w:w="444" w:type="pct"/>
            <w:tcBorders>
              <w:top w:val="nil"/>
              <w:left w:val="nil"/>
              <w:bottom w:val="single" w:sz="4" w:space="0" w:color="auto"/>
              <w:right w:val="single" w:sz="4" w:space="0" w:color="auto"/>
            </w:tcBorders>
            <w:shd w:val="clear" w:color="auto" w:fill="auto"/>
            <w:vAlign w:val="center"/>
            <w:hideMark/>
          </w:tcPr>
          <w:p w14:paraId="52DD20D8"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1.425</w:t>
            </w:r>
          </w:p>
        </w:tc>
        <w:tc>
          <w:tcPr>
            <w:tcW w:w="888" w:type="pct"/>
            <w:tcBorders>
              <w:top w:val="nil"/>
              <w:left w:val="nil"/>
              <w:bottom w:val="single" w:sz="4" w:space="0" w:color="auto"/>
              <w:right w:val="single" w:sz="4" w:space="0" w:color="auto"/>
            </w:tcBorders>
            <w:shd w:val="clear" w:color="auto" w:fill="auto"/>
            <w:vAlign w:val="center"/>
            <w:hideMark/>
          </w:tcPr>
          <w:p w14:paraId="0841E845"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141.410.880</w:t>
            </w:r>
          </w:p>
        </w:tc>
        <w:tc>
          <w:tcPr>
            <w:tcW w:w="743" w:type="pct"/>
            <w:tcBorders>
              <w:top w:val="nil"/>
              <w:left w:val="nil"/>
              <w:bottom w:val="single" w:sz="4" w:space="0" w:color="auto"/>
              <w:right w:val="single" w:sz="4" w:space="0" w:color="auto"/>
            </w:tcBorders>
            <w:shd w:val="clear" w:color="auto" w:fill="auto"/>
            <w:noWrap/>
            <w:vAlign w:val="center"/>
            <w:hideMark/>
          </w:tcPr>
          <w:p w14:paraId="637864D3" w14:textId="0673908D"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56,21 %</w:t>
            </w:r>
          </w:p>
        </w:tc>
        <w:tc>
          <w:tcPr>
            <w:tcW w:w="724" w:type="pct"/>
            <w:tcBorders>
              <w:top w:val="nil"/>
              <w:left w:val="nil"/>
              <w:bottom w:val="single" w:sz="4" w:space="0" w:color="auto"/>
              <w:right w:val="single" w:sz="4" w:space="0" w:color="auto"/>
            </w:tcBorders>
            <w:shd w:val="clear" w:color="auto" w:fill="auto"/>
            <w:noWrap/>
            <w:vAlign w:val="center"/>
            <w:hideMark/>
          </w:tcPr>
          <w:p w14:paraId="1CC0D09D" w14:textId="4B6EF5CC"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14,16 %</w:t>
            </w:r>
          </w:p>
        </w:tc>
      </w:tr>
      <w:tr w:rsidR="00683B6A" w:rsidRPr="00683B6A" w14:paraId="45864CB7"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7950E1C9"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Postopek s pogajanji brez predhodne objave</w:t>
            </w:r>
          </w:p>
        </w:tc>
        <w:tc>
          <w:tcPr>
            <w:tcW w:w="444" w:type="pct"/>
            <w:tcBorders>
              <w:top w:val="nil"/>
              <w:left w:val="nil"/>
              <w:bottom w:val="single" w:sz="4" w:space="0" w:color="auto"/>
              <w:right w:val="single" w:sz="4" w:space="0" w:color="auto"/>
            </w:tcBorders>
            <w:shd w:val="clear" w:color="auto" w:fill="auto"/>
            <w:vAlign w:val="center"/>
            <w:hideMark/>
          </w:tcPr>
          <w:p w14:paraId="2EF2E537"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659</w:t>
            </w:r>
          </w:p>
        </w:tc>
        <w:tc>
          <w:tcPr>
            <w:tcW w:w="888" w:type="pct"/>
            <w:tcBorders>
              <w:top w:val="nil"/>
              <w:left w:val="nil"/>
              <w:bottom w:val="single" w:sz="4" w:space="0" w:color="auto"/>
              <w:right w:val="single" w:sz="4" w:space="0" w:color="auto"/>
            </w:tcBorders>
            <w:shd w:val="clear" w:color="auto" w:fill="auto"/>
            <w:vAlign w:val="center"/>
            <w:hideMark/>
          </w:tcPr>
          <w:p w14:paraId="375038F0"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244.662.955</w:t>
            </w:r>
          </w:p>
        </w:tc>
        <w:tc>
          <w:tcPr>
            <w:tcW w:w="743" w:type="pct"/>
            <w:tcBorders>
              <w:top w:val="nil"/>
              <w:left w:val="nil"/>
              <w:bottom w:val="single" w:sz="4" w:space="0" w:color="auto"/>
              <w:right w:val="single" w:sz="4" w:space="0" w:color="auto"/>
            </w:tcBorders>
            <w:shd w:val="clear" w:color="auto" w:fill="auto"/>
            <w:noWrap/>
            <w:vAlign w:val="center"/>
            <w:hideMark/>
          </w:tcPr>
          <w:p w14:paraId="1BA50D61" w14:textId="5CC14D79"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26,00 %</w:t>
            </w:r>
          </w:p>
        </w:tc>
        <w:tc>
          <w:tcPr>
            <w:tcW w:w="724" w:type="pct"/>
            <w:tcBorders>
              <w:top w:val="nil"/>
              <w:left w:val="nil"/>
              <w:bottom w:val="single" w:sz="4" w:space="0" w:color="auto"/>
              <w:right w:val="single" w:sz="4" w:space="0" w:color="auto"/>
            </w:tcBorders>
            <w:shd w:val="clear" w:color="auto" w:fill="auto"/>
            <w:noWrap/>
            <w:vAlign w:val="center"/>
            <w:hideMark/>
          </w:tcPr>
          <w:p w14:paraId="25FF12F0" w14:textId="0CF674A5"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24,50 %</w:t>
            </w:r>
          </w:p>
        </w:tc>
      </w:tr>
      <w:tr w:rsidR="00683B6A" w:rsidRPr="00683B6A" w14:paraId="2A0F3E6E"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4C39E5EA"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Postopek s pogajanji po predhodni objavi</w:t>
            </w:r>
          </w:p>
        </w:tc>
        <w:tc>
          <w:tcPr>
            <w:tcW w:w="444" w:type="pct"/>
            <w:tcBorders>
              <w:top w:val="nil"/>
              <w:left w:val="nil"/>
              <w:bottom w:val="single" w:sz="4" w:space="0" w:color="auto"/>
              <w:right w:val="single" w:sz="4" w:space="0" w:color="auto"/>
            </w:tcBorders>
            <w:shd w:val="clear" w:color="auto" w:fill="auto"/>
            <w:vAlign w:val="center"/>
            <w:hideMark/>
          </w:tcPr>
          <w:p w14:paraId="64362F40"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41</w:t>
            </w:r>
          </w:p>
        </w:tc>
        <w:tc>
          <w:tcPr>
            <w:tcW w:w="888" w:type="pct"/>
            <w:tcBorders>
              <w:top w:val="nil"/>
              <w:left w:val="nil"/>
              <w:bottom w:val="single" w:sz="4" w:space="0" w:color="auto"/>
              <w:right w:val="single" w:sz="4" w:space="0" w:color="auto"/>
            </w:tcBorders>
            <w:shd w:val="clear" w:color="auto" w:fill="auto"/>
            <w:vAlign w:val="center"/>
            <w:hideMark/>
          </w:tcPr>
          <w:p w14:paraId="0DBFA403"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60.786.711</w:t>
            </w:r>
          </w:p>
        </w:tc>
        <w:tc>
          <w:tcPr>
            <w:tcW w:w="743" w:type="pct"/>
            <w:tcBorders>
              <w:top w:val="nil"/>
              <w:left w:val="nil"/>
              <w:bottom w:val="single" w:sz="4" w:space="0" w:color="auto"/>
              <w:right w:val="single" w:sz="4" w:space="0" w:color="auto"/>
            </w:tcBorders>
            <w:shd w:val="clear" w:color="auto" w:fill="auto"/>
            <w:noWrap/>
            <w:vAlign w:val="center"/>
            <w:hideMark/>
          </w:tcPr>
          <w:p w14:paraId="0C03C0F0" w14:textId="33928156"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1,62 %</w:t>
            </w:r>
          </w:p>
        </w:tc>
        <w:tc>
          <w:tcPr>
            <w:tcW w:w="724" w:type="pct"/>
            <w:tcBorders>
              <w:top w:val="nil"/>
              <w:left w:val="nil"/>
              <w:bottom w:val="single" w:sz="4" w:space="0" w:color="auto"/>
              <w:right w:val="single" w:sz="4" w:space="0" w:color="auto"/>
            </w:tcBorders>
            <w:shd w:val="clear" w:color="auto" w:fill="auto"/>
            <w:noWrap/>
            <w:vAlign w:val="center"/>
            <w:hideMark/>
          </w:tcPr>
          <w:p w14:paraId="070D735C" w14:textId="2AC4B46D"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6,09 %</w:t>
            </w:r>
          </w:p>
        </w:tc>
      </w:tr>
      <w:tr w:rsidR="00683B6A" w:rsidRPr="00683B6A" w14:paraId="240EBE6F"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25DAC9AB" w14:textId="77777777" w:rsidR="00683B6A" w:rsidRPr="00683B6A" w:rsidRDefault="00683B6A" w:rsidP="00683B6A">
            <w:pPr>
              <w:spacing w:after="0" w:line="240" w:lineRule="auto"/>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Postopek zbiranja ponudb po predhodni objavi</w:t>
            </w:r>
          </w:p>
        </w:tc>
        <w:tc>
          <w:tcPr>
            <w:tcW w:w="444" w:type="pct"/>
            <w:tcBorders>
              <w:top w:val="nil"/>
              <w:left w:val="nil"/>
              <w:bottom w:val="single" w:sz="4" w:space="0" w:color="auto"/>
              <w:right w:val="single" w:sz="4" w:space="0" w:color="auto"/>
            </w:tcBorders>
            <w:shd w:val="clear" w:color="auto" w:fill="auto"/>
            <w:vAlign w:val="center"/>
            <w:hideMark/>
          </w:tcPr>
          <w:p w14:paraId="55777871"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9</w:t>
            </w:r>
          </w:p>
        </w:tc>
        <w:tc>
          <w:tcPr>
            <w:tcW w:w="888" w:type="pct"/>
            <w:tcBorders>
              <w:top w:val="nil"/>
              <w:left w:val="nil"/>
              <w:bottom w:val="single" w:sz="4" w:space="0" w:color="auto"/>
              <w:right w:val="single" w:sz="4" w:space="0" w:color="auto"/>
            </w:tcBorders>
            <w:shd w:val="clear" w:color="auto" w:fill="auto"/>
            <w:vAlign w:val="center"/>
            <w:hideMark/>
          </w:tcPr>
          <w:p w14:paraId="6354604A" w14:textId="77777777"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1.082.830</w:t>
            </w:r>
          </w:p>
        </w:tc>
        <w:tc>
          <w:tcPr>
            <w:tcW w:w="743" w:type="pct"/>
            <w:tcBorders>
              <w:top w:val="nil"/>
              <w:left w:val="nil"/>
              <w:bottom w:val="single" w:sz="4" w:space="0" w:color="auto"/>
              <w:right w:val="single" w:sz="4" w:space="0" w:color="auto"/>
            </w:tcBorders>
            <w:shd w:val="clear" w:color="auto" w:fill="auto"/>
            <w:noWrap/>
            <w:vAlign w:val="center"/>
            <w:hideMark/>
          </w:tcPr>
          <w:p w14:paraId="36FEDD89" w14:textId="5E94B492"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0,36 %</w:t>
            </w:r>
          </w:p>
        </w:tc>
        <w:tc>
          <w:tcPr>
            <w:tcW w:w="724" w:type="pct"/>
            <w:tcBorders>
              <w:top w:val="nil"/>
              <w:left w:val="nil"/>
              <w:bottom w:val="single" w:sz="4" w:space="0" w:color="auto"/>
              <w:right w:val="single" w:sz="4" w:space="0" w:color="auto"/>
            </w:tcBorders>
            <w:shd w:val="clear" w:color="auto" w:fill="auto"/>
            <w:noWrap/>
            <w:vAlign w:val="center"/>
            <w:hideMark/>
          </w:tcPr>
          <w:p w14:paraId="6A85A4C3" w14:textId="79158C7D" w:rsidR="00683B6A" w:rsidRPr="00683B6A" w:rsidRDefault="00683B6A" w:rsidP="00683B6A">
            <w:pPr>
              <w:spacing w:after="0" w:line="240" w:lineRule="auto"/>
              <w:jc w:val="right"/>
              <w:rPr>
                <w:rFonts w:ascii="Arial" w:eastAsia="Times New Roman" w:hAnsi="Arial" w:cs="Arial"/>
                <w:color w:val="000000"/>
                <w:sz w:val="18"/>
                <w:szCs w:val="18"/>
                <w:lang w:eastAsia="sl-SI"/>
              </w:rPr>
            </w:pPr>
            <w:r w:rsidRPr="00683B6A">
              <w:rPr>
                <w:rFonts w:ascii="Arial" w:eastAsia="Times New Roman" w:hAnsi="Arial" w:cs="Arial"/>
                <w:color w:val="000000"/>
                <w:sz w:val="18"/>
                <w:szCs w:val="18"/>
                <w:lang w:eastAsia="sl-SI"/>
              </w:rPr>
              <w:t>0,11 %</w:t>
            </w:r>
          </w:p>
        </w:tc>
      </w:tr>
      <w:tr w:rsidR="00683B6A" w:rsidRPr="00683B6A" w14:paraId="41C6A033" w14:textId="77777777" w:rsidTr="00683B6A">
        <w:trPr>
          <w:trHeight w:val="300"/>
        </w:trPr>
        <w:tc>
          <w:tcPr>
            <w:tcW w:w="2201"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64AC69E2" w14:textId="77777777" w:rsidR="00683B6A" w:rsidRPr="00683B6A" w:rsidRDefault="00683B6A" w:rsidP="00683B6A">
            <w:pPr>
              <w:spacing w:after="0" w:line="240" w:lineRule="auto"/>
              <w:rPr>
                <w:rFonts w:ascii="Arial" w:eastAsia="Times New Roman" w:hAnsi="Arial" w:cs="Arial"/>
                <w:b/>
                <w:bCs/>
                <w:color w:val="000000"/>
                <w:sz w:val="18"/>
                <w:szCs w:val="18"/>
                <w:lang w:eastAsia="sl-SI"/>
              </w:rPr>
            </w:pPr>
            <w:r w:rsidRPr="00683B6A">
              <w:rPr>
                <w:rFonts w:ascii="Arial" w:eastAsia="Times New Roman" w:hAnsi="Arial" w:cs="Arial"/>
                <w:b/>
                <w:bCs/>
                <w:color w:val="000000"/>
                <w:sz w:val="18"/>
                <w:szCs w:val="18"/>
                <w:lang w:eastAsia="sl-SI"/>
              </w:rPr>
              <w:t>Skupaj</w:t>
            </w:r>
          </w:p>
        </w:tc>
        <w:tc>
          <w:tcPr>
            <w:tcW w:w="444" w:type="pct"/>
            <w:tcBorders>
              <w:top w:val="nil"/>
              <w:left w:val="nil"/>
              <w:bottom w:val="single" w:sz="4" w:space="0" w:color="auto"/>
              <w:right w:val="single" w:sz="4" w:space="0" w:color="auto"/>
            </w:tcBorders>
            <w:shd w:val="clear" w:color="auto" w:fill="E7E6E6" w:themeFill="background2"/>
            <w:noWrap/>
            <w:vAlign w:val="center"/>
            <w:hideMark/>
          </w:tcPr>
          <w:p w14:paraId="456700D5" w14:textId="77777777" w:rsidR="00683B6A" w:rsidRPr="00683B6A" w:rsidRDefault="00683B6A" w:rsidP="00683B6A">
            <w:pPr>
              <w:spacing w:after="0" w:line="240" w:lineRule="auto"/>
              <w:jc w:val="right"/>
              <w:rPr>
                <w:rFonts w:ascii="Arial" w:eastAsia="Times New Roman" w:hAnsi="Arial" w:cs="Arial"/>
                <w:b/>
                <w:bCs/>
                <w:color w:val="000000"/>
                <w:sz w:val="18"/>
                <w:szCs w:val="18"/>
                <w:lang w:eastAsia="sl-SI"/>
              </w:rPr>
            </w:pPr>
            <w:r w:rsidRPr="00683B6A">
              <w:rPr>
                <w:rFonts w:ascii="Arial" w:eastAsia="Times New Roman" w:hAnsi="Arial" w:cs="Arial"/>
                <w:b/>
                <w:bCs/>
                <w:color w:val="000000"/>
                <w:sz w:val="18"/>
                <w:szCs w:val="18"/>
                <w:lang w:eastAsia="sl-SI"/>
              </w:rPr>
              <w:t>2.535</w:t>
            </w:r>
          </w:p>
        </w:tc>
        <w:tc>
          <w:tcPr>
            <w:tcW w:w="888" w:type="pct"/>
            <w:tcBorders>
              <w:top w:val="nil"/>
              <w:left w:val="nil"/>
              <w:bottom w:val="single" w:sz="4" w:space="0" w:color="auto"/>
              <w:right w:val="single" w:sz="4" w:space="0" w:color="auto"/>
            </w:tcBorders>
            <w:shd w:val="clear" w:color="auto" w:fill="E7E6E6" w:themeFill="background2"/>
            <w:noWrap/>
            <w:vAlign w:val="center"/>
            <w:hideMark/>
          </w:tcPr>
          <w:p w14:paraId="1B97BD47" w14:textId="77777777" w:rsidR="00683B6A" w:rsidRPr="00683B6A" w:rsidRDefault="00683B6A" w:rsidP="00683B6A">
            <w:pPr>
              <w:spacing w:after="0" w:line="240" w:lineRule="auto"/>
              <w:jc w:val="right"/>
              <w:rPr>
                <w:rFonts w:ascii="Arial" w:eastAsia="Times New Roman" w:hAnsi="Arial" w:cs="Arial"/>
                <w:b/>
                <w:bCs/>
                <w:color w:val="000000"/>
                <w:sz w:val="18"/>
                <w:szCs w:val="18"/>
                <w:lang w:eastAsia="sl-SI"/>
              </w:rPr>
            </w:pPr>
            <w:r w:rsidRPr="00683B6A">
              <w:rPr>
                <w:rFonts w:ascii="Arial" w:eastAsia="Times New Roman" w:hAnsi="Arial" w:cs="Arial"/>
                <w:b/>
                <w:bCs/>
                <w:color w:val="000000"/>
                <w:sz w:val="18"/>
                <w:szCs w:val="18"/>
                <w:lang w:eastAsia="sl-SI"/>
              </w:rPr>
              <w:t>998.516.040</w:t>
            </w:r>
          </w:p>
        </w:tc>
        <w:tc>
          <w:tcPr>
            <w:tcW w:w="743" w:type="pct"/>
            <w:tcBorders>
              <w:top w:val="nil"/>
              <w:left w:val="nil"/>
              <w:bottom w:val="single" w:sz="4" w:space="0" w:color="auto"/>
              <w:right w:val="single" w:sz="4" w:space="0" w:color="auto"/>
            </w:tcBorders>
            <w:shd w:val="clear" w:color="auto" w:fill="E7E6E6" w:themeFill="background2"/>
            <w:noWrap/>
            <w:vAlign w:val="center"/>
            <w:hideMark/>
          </w:tcPr>
          <w:p w14:paraId="274514BA" w14:textId="199D34D2" w:rsidR="00683B6A" w:rsidRPr="00683B6A" w:rsidRDefault="00683B6A" w:rsidP="00683B6A">
            <w:pPr>
              <w:spacing w:after="0" w:line="240" w:lineRule="auto"/>
              <w:jc w:val="right"/>
              <w:rPr>
                <w:rFonts w:ascii="Arial" w:eastAsia="Times New Roman" w:hAnsi="Arial" w:cs="Arial"/>
                <w:b/>
                <w:bCs/>
                <w:color w:val="000000"/>
                <w:sz w:val="18"/>
                <w:szCs w:val="18"/>
                <w:lang w:eastAsia="sl-SI"/>
              </w:rPr>
            </w:pPr>
            <w:r w:rsidRPr="00683B6A">
              <w:rPr>
                <w:rFonts w:ascii="Arial" w:eastAsia="Times New Roman" w:hAnsi="Arial" w:cs="Arial"/>
                <w:b/>
                <w:bCs/>
                <w:color w:val="000000"/>
                <w:sz w:val="18"/>
                <w:szCs w:val="18"/>
                <w:lang w:eastAsia="sl-SI"/>
              </w:rPr>
              <w:t>100,00 %</w:t>
            </w:r>
          </w:p>
        </w:tc>
        <w:tc>
          <w:tcPr>
            <w:tcW w:w="724" w:type="pct"/>
            <w:tcBorders>
              <w:top w:val="nil"/>
              <w:left w:val="nil"/>
              <w:bottom w:val="single" w:sz="4" w:space="0" w:color="auto"/>
              <w:right w:val="single" w:sz="4" w:space="0" w:color="auto"/>
            </w:tcBorders>
            <w:shd w:val="clear" w:color="auto" w:fill="E7E6E6" w:themeFill="background2"/>
            <w:noWrap/>
            <w:vAlign w:val="center"/>
            <w:hideMark/>
          </w:tcPr>
          <w:p w14:paraId="2038E56F" w14:textId="0094C1F0" w:rsidR="00683B6A" w:rsidRPr="00683B6A" w:rsidRDefault="00683B6A" w:rsidP="00683B6A">
            <w:pPr>
              <w:spacing w:after="0" w:line="240" w:lineRule="auto"/>
              <w:jc w:val="right"/>
              <w:rPr>
                <w:rFonts w:ascii="Arial" w:eastAsia="Times New Roman" w:hAnsi="Arial" w:cs="Arial"/>
                <w:b/>
                <w:bCs/>
                <w:color w:val="000000"/>
                <w:sz w:val="18"/>
                <w:szCs w:val="18"/>
                <w:lang w:eastAsia="sl-SI"/>
              </w:rPr>
            </w:pPr>
            <w:r w:rsidRPr="00683B6A">
              <w:rPr>
                <w:rFonts w:ascii="Arial" w:eastAsia="Times New Roman" w:hAnsi="Arial" w:cs="Arial"/>
                <w:b/>
                <w:bCs/>
                <w:color w:val="000000"/>
                <w:sz w:val="18"/>
                <w:szCs w:val="18"/>
                <w:lang w:eastAsia="sl-SI"/>
              </w:rPr>
              <w:t>100,00 %</w:t>
            </w:r>
          </w:p>
        </w:tc>
      </w:tr>
    </w:tbl>
    <w:p w14:paraId="66814AE3" w14:textId="77777777" w:rsidR="00C16DE2" w:rsidRPr="00683B6A" w:rsidRDefault="00C16DE2" w:rsidP="00C16DE2">
      <w:pPr>
        <w:spacing w:after="0" w:line="240" w:lineRule="auto"/>
        <w:jc w:val="center"/>
        <w:rPr>
          <w:rFonts w:ascii="Arial" w:hAnsi="Arial" w:cs="Arial"/>
          <w:sz w:val="18"/>
        </w:rPr>
      </w:pPr>
    </w:p>
    <w:p w14:paraId="515A2356" w14:textId="25B66DE9" w:rsidR="00C16DE2" w:rsidRPr="00683B6A" w:rsidRDefault="00C16DE2" w:rsidP="00C16DE2">
      <w:pPr>
        <w:spacing w:after="0" w:line="240" w:lineRule="auto"/>
        <w:jc w:val="center"/>
        <w:rPr>
          <w:rFonts w:ascii="Arial" w:hAnsi="Arial" w:cs="Arial"/>
          <w:sz w:val="18"/>
        </w:rPr>
      </w:pPr>
      <w:r w:rsidRPr="00683B6A">
        <w:rPr>
          <w:rFonts w:ascii="Arial" w:hAnsi="Arial" w:cs="Arial"/>
          <w:sz w:val="18"/>
        </w:rPr>
        <w:t>Vir: Statistični podatki o javni</w:t>
      </w:r>
      <w:r w:rsidR="00C82474" w:rsidRPr="00683B6A">
        <w:rPr>
          <w:rFonts w:ascii="Arial" w:hAnsi="Arial" w:cs="Arial"/>
          <w:sz w:val="18"/>
        </w:rPr>
        <w:t>h naročilih, oddanih v letu 201</w:t>
      </w:r>
      <w:r w:rsidR="00683B6A" w:rsidRPr="00683B6A">
        <w:rPr>
          <w:rFonts w:ascii="Arial" w:hAnsi="Arial" w:cs="Arial"/>
          <w:sz w:val="18"/>
        </w:rPr>
        <w:t>8</w:t>
      </w:r>
    </w:p>
    <w:p w14:paraId="7AEFCFED" w14:textId="64A801C6" w:rsidR="002A1622" w:rsidRPr="00683B6A" w:rsidRDefault="002A1622" w:rsidP="000F2B07">
      <w:pPr>
        <w:tabs>
          <w:tab w:val="left" w:pos="567"/>
          <w:tab w:val="left" w:pos="993"/>
        </w:tabs>
        <w:spacing w:after="0" w:line="360" w:lineRule="auto"/>
        <w:jc w:val="both"/>
        <w:rPr>
          <w:rFonts w:ascii="Arial" w:hAnsi="Arial" w:cs="Arial"/>
          <w:sz w:val="20"/>
          <w:szCs w:val="20"/>
        </w:rPr>
      </w:pPr>
      <w:r w:rsidRPr="00683B6A">
        <w:rPr>
          <w:rFonts w:ascii="Arial" w:hAnsi="Arial" w:cs="Arial"/>
          <w:sz w:val="20"/>
          <w:szCs w:val="20"/>
        </w:rPr>
        <w:t xml:space="preserve"> </w:t>
      </w:r>
    </w:p>
    <w:p w14:paraId="00724A3D" w14:textId="3073F609" w:rsidR="00CC5EDF" w:rsidRPr="00C70298" w:rsidRDefault="002A1622" w:rsidP="00CC5EDF">
      <w:pPr>
        <w:tabs>
          <w:tab w:val="left" w:pos="567"/>
          <w:tab w:val="left" w:pos="993"/>
        </w:tabs>
        <w:spacing w:line="360" w:lineRule="auto"/>
        <w:jc w:val="both"/>
        <w:rPr>
          <w:rFonts w:ascii="Arial" w:hAnsi="Arial" w:cs="Arial"/>
          <w:sz w:val="20"/>
          <w:szCs w:val="20"/>
        </w:rPr>
      </w:pPr>
      <w:r w:rsidRPr="00C70298">
        <w:rPr>
          <w:rFonts w:ascii="Arial" w:hAnsi="Arial" w:cs="Arial"/>
          <w:sz w:val="20"/>
          <w:szCs w:val="20"/>
        </w:rPr>
        <w:t xml:space="preserve">V postopkih, v katerih je bilo vključenih več naročil, so naročniki pri </w:t>
      </w:r>
      <w:r w:rsidR="0022207A" w:rsidRPr="00C70298">
        <w:rPr>
          <w:rFonts w:ascii="Arial" w:hAnsi="Arial" w:cs="Arial"/>
          <w:sz w:val="20"/>
          <w:szCs w:val="20"/>
        </w:rPr>
        <w:t>3</w:t>
      </w:r>
      <w:r w:rsidR="00C70298" w:rsidRPr="00C70298">
        <w:rPr>
          <w:rFonts w:ascii="Arial" w:hAnsi="Arial" w:cs="Arial"/>
          <w:sz w:val="20"/>
          <w:szCs w:val="20"/>
        </w:rPr>
        <w:t>851</w:t>
      </w:r>
      <w:r w:rsidRPr="00C70298">
        <w:rPr>
          <w:rFonts w:ascii="Arial" w:hAnsi="Arial" w:cs="Arial"/>
          <w:sz w:val="20"/>
          <w:szCs w:val="20"/>
        </w:rPr>
        <w:t xml:space="preserve"> naročilih prejeli samo eno ponudbo.</w:t>
      </w:r>
      <w:r w:rsidR="00CC5EDF" w:rsidRPr="00C70298">
        <w:rPr>
          <w:rFonts w:ascii="Arial" w:hAnsi="Arial" w:cs="Arial"/>
          <w:sz w:val="20"/>
          <w:szCs w:val="20"/>
        </w:rPr>
        <w:t xml:space="preserve"> Naročniki so eno ponudbo za naročilo v postopku z več naročili največkrat prejeli v odprtih postopkih, in sicer v dobri polovici postopkov z več naročili</w:t>
      </w:r>
      <w:r w:rsidR="00FD48CF" w:rsidRPr="00C70298">
        <w:rPr>
          <w:rFonts w:ascii="Arial" w:hAnsi="Arial" w:cs="Arial"/>
          <w:sz w:val="20"/>
          <w:szCs w:val="20"/>
        </w:rPr>
        <w:t>,</w:t>
      </w:r>
      <w:r w:rsidR="00CC5EDF" w:rsidRPr="00C70298">
        <w:rPr>
          <w:rFonts w:ascii="Arial" w:hAnsi="Arial" w:cs="Arial"/>
          <w:sz w:val="20"/>
          <w:szCs w:val="20"/>
        </w:rPr>
        <w:t xml:space="preserve"> in eno prejeto ponudbo za posamezno naročilo. Veliko je tudi postopkov </w:t>
      </w:r>
      <w:r w:rsidR="00FD48CF" w:rsidRPr="00C70298">
        <w:rPr>
          <w:rFonts w:ascii="Arial" w:hAnsi="Arial" w:cs="Arial"/>
          <w:sz w:val="20"/>
          <w:szCs w:val="20"/>
        </w:rPr>
        <w:t xml:space="preserve">za </w:t>
      </w:r>
      <w:r w:rsidR="00CC5EDF" w:rsidRPr="00C70298">
        <w:rPr>
          <w:rFonts w:ascii="Arial" w:hAnsi="Arial" w:cs="Arial"/>
          <w:sz w:val="20"/>
          <w:szCs w:val="20"/>
        </w:rPr>
        <w:t xml:space="preserve">naročila male vrednosti, takih primerov </w:t>
      </w:r>
      <w:r w:rsidR="00664C3D" w:rsidRPr="00C70298">
        <w:rPr>
          <w:rFonts w:ascii="Arial" w:hAnsi="Arial" w:cs="Arial"/>
          <w:sz w:val="20"/>
          <w:szCs w:val="20"/>
        </w:rPr>
        <w:t xml:space="preserve">je </w:t>
      </w:r>
      <w:r w:rsidR="00425A08" w:rsidRPr="00C70298">
        <w:rPr>
          <w:rFonts w:ascii="Arial" w:hAnsi="Arial" w:cs="Arial"/>
          <w:sz w:val="20"/>
          <w:szCs w:val="20"/>
        </w:rPr>
        <w:t>1</w:t>
      </w:r>
      <w:r w:rsidR="00C70298" w:rsidRPr="00C70298">
        <w:rPr>
          <w:rFonts w:ascii="Arial" w:hAnsi="Arial" w:cs="Arial"/>
          <w:sz w:val="20"/>
          <w:szCs w:val="20"/>
        </w:rPr>
        <w:t>535</w:t>
      </w:r>
      <w:r w:rsidR="00CC5EDF" w:rsidRPr="00C70298">
        <w:rPr>
          <w:rFonts w:ascii="Arial" w:hAnsi="Arial" w:cs="Arial"/>
          <w:sz w:val="20"/>
          <w:szCs w:val="20"/>
        </w:rPr>
        <w:t xml:space="preserve"> oziroma </w:t>
      </w:r>
      <w:r w:rsidR="00425A08" w:rsidRPr="00C70298">
        <w:rPr>
          <w:rFonts w:ascii="Arial" w:hAnsi="Arial" w:cs="Arial"/>
          <w:sz w:val="20"/>
          <w:szCs w:val="20"/>
        </w:rPr>
        <w:t>39,</w:t>
      </w:r>
      <w:r w:rsidR="00C70298" w:rsidRPr="00C70298">
        <w:rPr>
          <w:rFonts w:ascii="Arial" w:hAnsi="Arial" w:cs="Arial"/>
          <w:sz w:val="20"/>
          <w:szCs w:val="20"/>
        </w:rPr>
        <w:t>86</w:t>
      </w:r>
      <w:r w:rsidR="00CC5EDF" w:rsidRPr="00C70298">
        <w:rPr>
          <w:rFonts w:ascii="Arial" w:hAnsi="Arial" w:cs="Arial"/>
          <w:sz w:val="20"/>
          <w:szCs w:val="20"/>
        </w:rPr>
        <w:t xml:space="preserve"> </w:t>
      </w:r>
      <w:r w:rsidR="0029442D" w:rsidRPr="00C70298">
        <w:rPr>
          <w:rFonts w:ascii="Arial" w:hAnsi="Arial" w:cs="Arial"/>
          <w:sz w:val="20"/>
          <w:szCs w:val="20"/>
        </w:rPr>
        <w:t>%</w:t>
      </w:r>
      <w:r w:rsidR="00CC5EDF" w:rsidRPr="00C70298">
        <w:rPr>
          <w:rFonts w:ascii="Arial" w:hAnsi="Arial" w:cs="Arial"/>
          <w:sz w:val="20"/>
          <w:szCs w:val="20"/>
        </w:rPr>
        <w:t xml:space="preserve"> teh </w:t>
      </w:r>
      <w:r w:rsidR="00AC44FC" w:rsidRPr="00C70298">
        <w:rPr>
          <w:rFonts w:ascii="Arial" w:hAnsi="Arial" w:cs="Arial"/>
          <w:sz w:val="20"/>
          <w:szCs w:val="20"/>
        </w:rPr>
        <w:t>naročil</w:t>
      </w:r>
      <w:r w:rsidR="00CC5EDF" w:rsidRPr="00C70298">
        <w:rPr>
          <w:rFonts w:ascii="Arial" w:hAnsi="Arial" w:cs="Arial"/>
          <w:sz w:val="20"/>
          <w:szCs w:val="20"/>
        </w:rPr>
        <w:t>.</w:t>
      </w:r>
      <w:r w:rsidR="00FA0EF9">
        <w:rPr>
          <w:rFonts w:ascii="Arial" w:hAnsi="Arial" w:cs="Arial"/>
          <w:sz w:val="20"/>
          <w:szCs w:val="20"/>
        </w:rPr>
        <w:t xml:space="preserve"> </w:t>
      </w:r>
    </w:p>
    <w:p w14:paraId="5FC18B3F" w14:textId="224200F5" w:rsidR="00C16DE2" w:rsidRPr="006D4D74" w:rsidRDefault="0083702C" w:rsidP="000857BF">
      <w:pPr>
        <w:spacing w:before="120" w:after="120" w:line="240" w:lineRule="auto"/>
        <w:jc w:val="both"/>
        <w:rPr>
          <w:rFonts w:ascii="Arial" w:hAnsi="Arial" w:cs="Arial"/>
          <w:sz w:val="20"/>
        </w:rPr>
      </w:pPr>
      <w:r w:rsidRPr="006D4D74">
        <w:rPr>
          <w:rFonts w:ascii="Arial" w:hAnsi="Arial" w:cs="Arial"/>
          <w:sz w:val="20"/>
          <w:szCs w:val="20"/>
        </w:rPr>
        <w:t>P</w:t>
      </w:r>
      <w:r w:rsidR="00C16DE2" w:rsidRPr="006D4D74">
        <w:rPr>
          <w:rFonts w:ascii="Arial" w:hAnsi="Arial" w:cs="Arial"/>
          <w:sz w:val="20"/>
        </w:rPr>
        <w:t xml:space="preserve">reglednica </w:t>
      </w:r>
      <w:r w:rsidRPr="006D4D74">
        <w:rPr>
          <w:rFonts w:ascii="Arial" w:hAnsi="Arial" w:cs="Arial"/>
          <w:sz w:val="20"/>
        </w:rPr>
        <w:t>4</w:t>
      </w:r>
      <w:r w:rsidR="00EB4423">
        <w:rPr>
          <w:rFonts w:ascii="Arial" w:hAnsi="Arial" w:cs="Arial"/>
          <w:sz w:val="20"/>
        </w:rPr>
        <w:t>1</w:t>
      </w:r>
      <w:r w:rsidR="00C16DE2" w:rsidRPr="006D4D74">
        <w:rPr>
          <w:rFonts w:ascii="Arial" w:hAnsi="Arial" w:cs="Arial"/>
          <w:sz w:val="20"/>
        </w:rPr>
        <w:t xml:space="preserve">: </w:t>
      </w:r>
      <w:r w:rsidR="000857BF" w:rsidRPr="00683B6A">
        <w:rPr>
          <w:rFonts w:ascii="Arial" w:hAnsi="Arial" w:cs="Arial"/>
          <w:sz w:val="20"/>
        </w:rPr>
        <w:t xml:space="preserve">Število, vrednost in deleži naročil z eno prejeto ponudbo v postopkih z </w:t>
      </w:r>
      <w:r w:rsidR="000857BF">
        <w:rPr>
          <w:rFonts w:ascii="Arial" w:hAnsi="Arial" w:cs="Arial"/>
          <w:sz w:val="20"/>
        </w:rPr>
        <w:t>več naročili</w:t>
      </w:r>
      <w:r w:rsidR="000857BF" w:rsidRPr="00683B6A">
        <w:rPr>
          <w:rFonts w:ascii="Arial" w:hAnsi="Arial" w:cs="Arial"/>
          <w:sz w:val="20"/>
        </w:rPr>
        <w:t xml:space="preserve"> glede na vrsto postopka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7"/>
        <w:gridCol w:w="941"/>
        <w:gridCol w:w="1802"/>
        <w:gridCol w:w="1561"/>
        <w:gridCol w:w="1521"/>
      </w:tblGrid>
      <w:tr w:rsidR="006D4D74" w:rsidRPr="006D4D74" w14:paraId="5FCA4C0B" w14:textId="77777777" w:rsidTr="006D4D74">
        <w:trPr>
          <w:trHeight w:val="300"/>
        </w:trPr>
        <w:tc>
          <w:tcPr>
            <w:tcW w:w="2134" w:type="pct"/>
            <w:shd w:val="clear" w:color="000000" w:fill="EDEDED"/>
            <w:noWrap/>
            <w:vAlign w:val="center"/>
            <w:hideMark/>
          </w:tcPr>
          <w:p w14:paraId="72770260" w14:textId="77777777" w:rsidR="00C45C5A" w:rsidRPr="00C45C5A" w:rsidRDefault="00C45C5A" w:rsidP="00C45C5A">
            <w:pPr>
              <w:spacing w:after="0" w:line="240" w:lineRule="auto"/>
              <w:jc w:val="center"/>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Vrsta postopka</w:t>
            </w:r>
          </w:p>
        </w:tc>
        <w:tc>
          <w:tcPr>
            <w:tcW w:w="455" w:type="pct"/>
            <w:shd w:val="clear" w:color="000000" w:fill="EDEDED"/>
            <w:noWrap/>
            <w:vAlign w:val="center"/>
            <w:hideMark/>
          </w:tcPr>
          <w:p w14:paraId="5AA3055C" w14:textId="77777777" w:rsidR="00C45C5A" w:rsidRPr="00C45C5A" w:rsidRDefault="00C45C5A" w:rsidP="00C45C5A">
            <w:pPr>
              <w:spacing w:after="0" w:line="240" w:lineRule="auto"/>
              <w:jc w:val="center"/>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Št. naročil</w:t>
            </w:r>
          </w:p>
        </w:tc>
        <w:tc>
          <w:tcPr>
            <w:tcW w:w="909" w:type="pct"/>
            <w:shd w:val="clear" w:color="000000" w:fill="EDEDED"/>
            <w:noWrap/>
            <w:vAlign w:val="center"/>
            <w:hideMark/>
          </w:tcPr>
          <w:p w14:paraId="3B1192FB" w14:textId="77777777" w:rsidR="00C45C5A" w:rsidRPr="00C45C5A" w:rsidRDefault="00C45C5A" w:rsidP="00C45C5A">
            <w:pPr>
              <w:spacing w:after="0" w:line="240" w:lineRule="auto"/>
              <w:jc w:val="center"/>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Pogodbena vrednost</w:t>
            </w:r>
          </w:p>
        </w:tc>
        <w:tc>
          <w:tcPr>
            <w:tcW w:w="761" w:type="pct"/>
            <w:shd w:val="clear" w:color="000000" w:fill="EDEDED"/>
            <w:noWrap/>
            <w:vAlign w:val="center"/>
            <w:hideMark/>
          </w:tcPr>
          <w:p w14:paraId="2C408AFD" w14:textId="77777777" w:rsidR="00C45C5A" w:rsidRPr="00C45C5A" w:rsidRDefault="00C45C5A" w:rsidP="00C45C5A">
            <w:pPr>
              <w:spacing w:after="0" w:line="240" w:lineRule="auto"/>
              <w:jc w:val="center"/>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Delež v št. naročil</w:t>
            </w:r>
          </w:p>
        </w:tc>
        <w:tc>
          <w:tcPr>
            <w:tcW w:w="741" w:type="pct"/>
            <w:shd w:val="clear" w:color="000000" w:fill="EDEDED"/>
            <w:noWrap/>
            <w:vAlign w:val="center"/>
            <w:hideMark/>
          </w:tcPr>
          <w:p w14:paraId="4320E3A7" w14:textId="77777777" w:rsidR="00C45C5A" w:rsidRPr="00C45C5A" w:rsidRDefault="00C45C5A" w:rsidP="00C45C5A">
            <w:pPr>
              <w:spacing w:after="0" w:line="240" w:lineRule="auto"/>
              <w:jc w:val="center"/>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Delež v vrednosti</w:t>
            </w:r>
          </w:p>
        </w:tc>
      </w:tr>
      <w:tr w:rsidR="00C45C5A" w:rsidRPr="00C45C5A" w14:paraId="6CD25C4E" w14:textId="77777777" w:rsidTr="006D4D74">
        <w:trPr>
          <w:trHeight w:val="300"/>
        </w:trPr>
        <w:tc>
          <w:tcPr>
            <w:tcW w:w="2134" w:type="pct"/>
            <w:shd w:val="clear" w:color="auto" w:fill="auto"/>
            <w:vAlign w:val="center"/>
            <w:hideMark/>
          </w:tcPr>
          <w:p w14:paraId="6ED41BAF"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Konkurenčni dialog</w:t>
            </w:r>
          </w:p>
        </w:tc>
        <w:tc>
          <w:tcPr>
            <w:tcW w:w="455" w:type="pct"/>
            <w:shd w:val="clear" w:color="auto" w:fill="auto"/>
            <w:vAlign w:val="center"/>
            <w:hideMark/>
          </w:tcPr>
          <w:p w14:paraId="5A36F2AC"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w:t>
            </w:r>
          </w:p>
        </w:tc>
        <w:tc>
          <w:tcPr>
            <w:tcW w:w="909" w:type="pct"/>
            <w:shd w:val="clear" w:color="auto" w:fill="auto"/>
            <w:vAlign w:val="center"/>
            <w:hideMark/>
          </w:tcPr>
          <w:p w14:paraId="0908921F"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697.464</w:t>
            </w:r>
          </w:p>
        </w:tc>
        <w:tc>
          <w:tcPr>
            <w:tcW w:w="761" w:type="pct"/>
            <w:shd w:val="clear" w:color="auto" w:fill="auto"/>
            <w:noWrap/>
            <w:vAlign w:val="center"/>
            <w:hideMark/>
          </w:tcPr>
          <w:p w14:paraId="28DA5660" w14:textId="620B15F9"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0,03</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5B3073AB" w14:textId="44A1FEAF"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0,26</w:t>
            </w:r>
            <w:r w:rsidR="00CA71C0">
              <w:rPr>
                <w:rFonts w:ascii="Arial" w:eastAsia="Times New Roman" w:hAnsi="Arial" w:cs="Arial"/>
                <w:color w:val="000000"/>
                <w:sz w:val="18"/>
                <w:szCs w:val="18"/>
                <w:lang w:eastAsia="sl-SI"/>
              </w:rPr>
              <w:t xml:space="preserve"> %</w:t>
            </w:r>
          </w:p>
        </w:tc>
      </w:tr>
      <w:tr w:rsidR="00C45C5A" w:rsidRPr="00C45C5A" w14:paraId="6DE59BF8" w14:textId="77777777" w:rsidTr="006D4D74">
        <w:trPr>
          <w:trHeight w:val="300"/>
        </w:trPr>
        <w:tc>
          <w:tcPr>
            <w:tcW w:w="2134" w:type="pct"/>
            <w:shd w:val="clear" w:color="auto" w:fill="auto"/>
            <w:vAlign w:val="center"/>
            <w:hideMark/>
          </w:tcPr>
          <w:p w14:paraId="5D2C1FD5"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Konkurenčni postopek s pogajanji</w:t>
            </w:r>
          </w:p>
        </w:tc>
        <w:tc>
          <w:tcPr>
            <w:tcW w:w="455" w:type="pct"/>
            <w:shd w:val="clear" w:color="auto" w:fill="auto"/>
            <w:vAlign w:val="center"/>
            <w:hideMark/>
          </w:tcPr>
          <w:p w14:paraId="00CE2632"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24</w:t>
            </w:r>
          </w:p>
        </w:tc>
        <w:tc>
          <w:tcPr>
            <w:tcW w:w="909" w:type="pct"/>
            <w:shd w:val="clear" w:color="auto" w:fill="auto"/>
            <w:vAlign w:val="center"/>
            <w:hideMark/>
          </w:tcPr>
          <w:p w14:paraId="7F9BEA48"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2.658.322</w:t>
            </w:r>
          </w:p>
        </w:tc>
        <w:tc>
          <w:tcPr>
            <w:tcW w:w="761" w:type="pct"/>
            <w:shd w:val="clear" w:color="auto" w:fill="auto"/>
            <w:noWrap/>
            <w:vAlign w:val="center"/>
            <w:hideMark/>
          </w:tcPr>
          <w:p w14:paraId="1B77CD1D" w14:textId="431EE5F2"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0,62</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5E04816A" w14:textId="255F9FBE"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0,98</w:t>
            </w:r>
            <w:r w:rsidR="00CA71C0">
              <w:rPr>
                <w:rFonts w:ascii="Arial" w:eastAsia="Times New Roman" w:hAnsi="Arial" w:cs="Arial"/>
                <w:color w:val="000000"/>
                <w:sz w:val="18"/>
                <w:szCs w:val="18"/>
                <w:lang w:eastAsia="sl-SI"/>
              </w:rPr>
              <w:t xml:space="preserve"> %</w:t>
            </w:r>
          </w:p>
        </w:tc>
      </w:tr>
      <w:tr w:rsidR="00C45C5A" w:rsidRPr="00C45C5A" w14:paraId="658B6EB6" w14:textId="77777777" w:rsidTr="006D4D74">
        <w:trPr>
          <w:trHeight w:val="300"/>
        </w:trPr>
        <w:tc>
          <w:tcPr>
            <w:tcW w:w="2134" w:type="pct"/>
            <w:shd w:val="clear" w:color="auto" w:fill="auto"/>
            <w:vAlign w:val="center"/>
            <w:hideMark/>
          </w:tcPr>
          <w:p w14:paraId="1C9D587B"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Odprti postopek</w:t>
            </w:r>
          </w:p>
        </w:tc>
        <w:tc>
          <w:tcPr>
            <w:tcW w:w="455" w:type="pct"/>
            <w:shd w:val="clear" w:color="auto" w:fill="auto"/>
            <w:vAlign w:val="center"/>
            <w:hideMark/>
          </w:tcPr>
          <w:p w14:paraId="5B582300"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2.100</w:t>
            </w:r>
          </w:p>
        </w:tc>
        <w:tc>
          <w:tcPr>
            <w:tcW w:w="909" w:type="pct"/>
            <w:shd w:val="clear" w:color="auto" w:fill="auto"/>
            <w:vAlign w:val="center"/>
            <w:hideMark/>
          </w:tcPr>
          <w:p w14:paraId="5F43994E"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176.663.644</w:t>
            </w:r>
          </w:p>
        </w:tc>
        <w:tc>
          <w:tcPr>
            <w:tcW w:w="761" w:type="pct"/>
            <w:shd w:val="clear" w:color="auto" w:fill="auto"/>
            <w:noWrap/>
            <w:vAlign w:val="center"/>
            <w:hideMark/>
          </w:tcPr>
          <w:p w14:paraId="3F5D2B2A" w14:textId="29051CCD"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54,53</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744DBE53" w14:textId="4CDB1C2E"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64,85</w:t>
            </w:r>
            <w:r w:rsidR="00CA71C0">
              <w:rPr>
                <w:rFonts w:ascii="Arial" w:eastAsia="Times New Roman" w:hAnsi="Arial" w:cs="Arial"/>
                <w:color w:val="000000"/>
                <w:sz w:val="18"/>
                <w:szCs w:val="18"/>
                <w:lang w:eastAsia="sl-SI"/>
              </w:rPr>
              <w:t xml:space="preserve"> %</w:t>
            </w:r>
          </w:p>
        </w:tc>
      </w:tr>
      <w:tr w:rsidR="00C45C5A" w:rsidRPr="00C45C5A" w14:paraId="26043A49" w14:textId="77777777" w:rsidTr="006D4D74">
        <w:trPr>
          <w:trHeight w:val="300"/>
        </w:trPr>
        <w:tc>
          <w:tcPr>
            <w:tcW w:w="2134" w:type="pct"/>
            <w:shd w:val="clear" w:color="auto" w:fill="auto"/>
            <w:vAlign w:val="center"/>
            <w:hideMark/>
          </w:tcPr>
          <w:p w14:paraId="31231FFF"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Omejeni postopek</w:t>
            </w:r>
          </w:p>
        </w:tc>
        <w:tc>
          <w:tcPr>
            <w:tcW w:w="455" w:type="pct"/>
            <w:shd w:val="clear" w:color="auto" w:fill="auto"/>
            <w:vAlign w:val="center"/>
            <w:hideMark/>
          </w:tcPr>
          <w:p w14:paraId="2B8F5859"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5</w:t>
            </w:r>
          </w:p>
        </w:tc>
        <w:tc>
          <w:tcPr>
            <w:tcW w:w="909" w:type="pct"/>
            <w:shd w:val="clear" w:color="auto" w:fill="auto"/>
            <w:vAlign w:val="center"/>
            <w:hideMark/>
          </w:tcPr>
          <w:p w14:paraId="353D1896"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1.392.000</w:t>
            </w:r>
          </w:p>
        </w:tc>
        <w:tc>
          <w:tcPr>
            <w:tcW w:w="761" w:type="pct"/>
            <w:shd w:val="clear" w:color="auto" w:fill="auto"/>
            <w:noWrap/>
            <w:vAlign w:val="center"/>
            <w:hideMark/>
          </w:tcPr>
          <w:p w14:paraId="03E50C8F" w14:textId="5DC9E551"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0,13</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051F8A2B" w14:textId="38EF2E9A"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0,51</w:t>
            </w:r>
            <w:r w:rsidR="00CA71C0">
              <w:rPr>
                <w:rFonts w:ascii="Arial" w:eastAsia="Times New Roman" w:hAnsi="Arial" w:cs="Arial"/>
                <w:color w:val="000000"/>
                <w:sz w:val="18"/>
                <w:szCs w:val="18"/>
                <w:lang w:eastAsia="sl-SI"/>
              </w:rPr>
              <w:t xml:space="preserve"> %</w:t>
            </w:r>
          </w:p>
        </w:tc>
      </w:tr>
      <w:tr w:rsidR="00C45C5A" w:rsidRPr="00C45C5A" w14:paraId="0122EF47" w14:textId="77777777" w:rsidTr="006D4D74">
        <w:trPr>
          <w:trHeight w:val="300"/>
        </w:trPr>
        <w:tc>
          <w:tcPr>
            <w:tcW w:w="2134" w:type="pct"/>
            <w:shd w:val="clear" w:color="auto" w:fill="auto"/>
            <w:vAlign w:val="center"/>
            <w:hideMark/>
          </w:tcPr>
          <w:p w14:paraId="0B3CD1DF"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Postopek naročila male vrednosti</w:t>
            </w:r>
          </w:p>
        </w:tc>
        <w:tc>
          <w:tcPr>
            <w:tcW w:w="455" w:type="pct"/>
            <w:shd w:val="clear" w:color="auto" w:fill="auto"/>
            <w:vAlign w:val="center"/>
            <w:hideMark/>
          </w:tcPr>
          <w:p w14:paraId="374C1933"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1.535</w:t>
            </w:r>
          </w:p>
        </w:tc>
        <w:tc>
          <w:tcPr>
            <w:tcW w:w="909" w:type="pct"/>
            <w:shd w:val="clear" w:color="auto" w:fill="auto"/>
            <w:vAlign w:val="center"/>
            <w:hideMark/>
          </w:tcPr>
          <w:p w14:paraId="7D6F9469"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34.144.686</w:t>
            </w:r>
          </w:p>
        </w:tc>
        <w:tc>
          <w:tcPr>
            <w:tcW w:w="761" w:type="pct"/>
            <w:shd w:val="clear" w:color="auto" w:fill="auto"/>
            <w:noWrap/>
            <w:vAlign w:val="center"/>
            <w:hideMark/>
          </w:tcPr>
          <w:p w14:paraId="3C9D8D03" w14:textId="68D3746B"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39,86</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03377227" w14:textId="3A8224BD"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12,53</w:t>
            </w:r>
            <w:r w:rsidR="00CA71C0">
              <w:rPr>
                <w:rFonts w:ascii="Arial" w:eastAsia="Times New Roman" w:hAnsi="Arial" w:cs="Arial"/>
                <w:color w:val="000000"/>
                <w:sz w:val="18"/>
                <w:szCs w:val="18"/>
                <w:lang w:eastAsia="sl-SI"/>
              </w:rPr>
              <w:t xml:space="preserve"> %</w:t>
            </w:r>
          </w:p>
        </w:tc>
      </w:tr>
      <w:tr w:rsidR="00C45C5A" w:rsidRPr="00C45C5A" w14:paraId="61A9B9B9" w14:textId="77777777" w:rsidTr="006D4D74">
        <w:trPr>
          <w:trHeight w:val="300"/>
        </w:trPr>
        <w:tc>
          <w:tcPr>
            <w:tcW w:w="2134" w:type="pct"/>
            <w:shd w:val="clear" w:color="auto" w:fill="auto"/>
            <w:vAlign w:val="center"/>
            <w:hideMark/>
          </w:tcPr>
          <w:p w14:paraId="3442379C"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Postopek s pogajanji brez predhodne objave</w:t>
            </w:r>
          </w:p>
        </w:tc>
        <w:tc>
          <w:tcPr>
            <w:tcW w:w="455" w:type="pct"/>
            <w:shd w:val="clear" w:color="auto" w:fill="auto"/>
            <w:vAlign w:val="center"/>
            <w:hideMark/>
          </w:tcPr>
          <w:p w14:paraId="6B5C2AB7"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102</w:t>
            </w:r>
          </w:p>
        </w:tc>
        <w:tc>
          <w:tcPr>
            <w:tcW w:w="909" w:type="pct"/>
            <w:shd w:val="clear" w:color="auto" w:fill="auto"/>
            <w:vAlign w:val="center"/>
            <w:hideMark/>
          </w:tcPr>
          <w:p w14:paraId="49DF8D60"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15.940.834</w:t>
            </w:r>
          </w:p>
        </w:tc>
        <w:tc>
          <w:tcPr>
            <w:tcW w:w="761" w:type="pct"/>
            <w:shd w:val="clear" w:color="auto" w:fill="auto"/>
            <w:noWrap/>
            <w:vAlign w:val="center"/>
            <w:hideMark/>
          </w:tcPr>
          <w:p w14:paraId="203F8AD9" w14:textId="761D2325"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2,65</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40BE5AAF" w14:textId="0B1F499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5,85</w:t>
            </w:r>
            <w:r w:rsidR="00CA71C0">
              <w:rPr>
                <w:rFonts w:ascii="Arial" w:eastAsia="Times New Roman" w:hAnsi="Arial" w:cs="Arial"/>
                <w:color w:val="000000"/>
                <w:sz w:val="18"/>
                <w:szCs w:val="18"/>
                <w:lang w:eastAsia="sl-SI"/>
              </w:rPr>
              <w:t xml:space="preserve"> %</w:t>
            </w:r>
          </w:p>
        </w:tc>
      </w:tr>
      <w:tr w:rsidR="00C45C5A" w:rsidRPr="00C45C5A" w14:paraId="2D3A57A7" w14:textId="77777777" w:rsidTr="006D4D74">
        <w:trPr>
          <w:trHeight w:val="300"/>
        </w:trPr>
        <w:tc>
          <w:tcPr>
            <w:tcW w:w="2134" w:type="pct"/>
            <w:shd w:val="clear" w:color="auto" w:fill="auto"/>
            <w:vAlign w:val="center"/>
            <w:hideMark/>
          </w:tcPr>
          <w:p w14:paraId="4746D95B" w14:textId="77777777" w:rsidR="00C45C5A" w:rsidRPr="00C45C5A" w:rsidRDefault="00C45C5A" w:rsidP="006D4D74">
            <w:pPr>
              <w:spacing w:after="0" w:line="240" w:lineRule="auto"/>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Postopek s pogajanji po predhodni objavi</w:t>
            </w:r>
          </w:p>
        </w:tc>
        <w:tc>
          <w:tcPr>
            <w:tcW w:w="455" w:type="pct"/>
            <w:shd w:val="clear" w:color="auto" w:fill="auto"/>
            <w:vAlign w:val="center"/>
            <w:hideMark/>
          </w:tcPr>
          <w:p w14:paraId="040D4829"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84</w:t>
            </w:r>
          </w:p>
        </w:tc>
        <w:tc>
          <w:tcPr>
            <w:tcW w:w="909" w:type="pct"/>
            <w:shd w:val="clear" w:color="auto" w:fill="auto"/>
            <w:vAlign w:val="center"/>
            <w:hideMark/>
          </w:tcPr>
          <w:p w14:paraId="0C96070B" w14:textId="77777777"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40.923.283</w:t>
            </w:r>
          </w:p>
        </w:tc>
        <w:tc>
          <w:tcPr>
            <w:tcW w:w="761" w:type="pct"/>
            <w:shd w:val="clear" w:color="auto" w:fill="auto"/>
            <w:noWrap/>
            <w:vAlign w:val="center"/>
            <w:hideMark/>
          </w:tcPr>
          <w:p w14:paraId="7298E2AC" w14:textId="017A7C71"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2,18</w:t>
            </w:r>
            <w:r w:rsidR="00CA71C0">
              <w:rPr>
                <w:rFonts w:ascii="Arial" w:eastAsia="Times New Roman" w:hAnsi="Arial" w:cs="Arial"/>
                <w:color w:val="000000"/>
                <w:sz w:val="18"/>
                <w:szCs w:val="18"/>
                <w:lang w:eastAsia="sl-SI"/>
              </w:rPr>
              <w:t xml:space="preserve"> %</w:t>
            </w:r>
          </w:p>
        </w:tc>
        <w:tc>
          <w:tcPr>
            <w:tcW w:w="741" w:type="pct"/>
            <w:shd w:val="clear" w:color="auto" w:fill="auto"/>
            <w:noWrap/>
            <w:vAlign w:val="center"/>
            <w:hideMark/>
          </w:tcPr>
          <w:p w14:paraId="6E3CCABB" w14:textId="761E1D69" w:rsidR="00C45C5A" w:rsidRPr="00C45C5A" w:rsidRDefault="00C45C5A" w:rsidP="006D4D74">
            <w:pPr>
              <w:spacing w:after="0" w:line="240" w:lineRule="auto"/>
              <w:jc w:val="right"/>
              <w:rPr>
                <w:rFonts w:ascii="Arial" w:eastAsia="Times New Roman" w:hAnsi="Arial" w:cs="Arial"/>
                <w:color w:val="000000"/>
                <w:sz w:val="18"/>
                <w:szCs w:val="18"/>
                <w:lang w:eastAsia="sl-SI"/>
              </w:rPr>
            </w:pPr>
            <w:r w:rsidRPr="00C45C5A">
              <w:rPr>
                <w:rFonts w:ascii="Arial" w:eastAsia="Times New Roman" w:hAnsi="Arial" w:cs="Arial"/>
                <w:color w:val="000000"/>
                <w:sz w:val="18"/>
                <w:szCs w:val="18"/>
                <w:lang w:eastAsia="sl-SI"/>
              </w:rPr>
              <w:t>15,02</w:t>
            </w:r>
            <w:r w:rsidR="00CA71C0">
              <w:rPr>
                <w:rFonts w:ascii="Arial" w:eastAsia="Times New Roman" w:hAnsi="Arial" w:cs="Arial"/>
                <w:color w:val="000000"/>
                <w:sz w:val="18"/>
                <w:szCs w:val="18"/>
                <w:lang w:eastAsia="sl-SI"/>
              </w:rPr>
              <w:t xml:space="preserve"> %</w:t>
            </w:r>
          </w:p>
        </w:tc>
      </w:tr>
      <w:tr w:rsidR="00CA71C0" w:rsidRPr="00C45C5A" w14:paraId="0BE3C498" w14:textId="77777777" w:rsidTr="00CA71C0">
        <w:trPr>
          <w:trHeight w:val="300"/>
        </w:trPr>
        <w:tc>
          <w:tcPr>
            <w:tcW w:w="2134" w:type="pct"/>
            <w:shd w:val="clear" w:color="auto" w:fill="E7E6E6" w:themeFill="background2"/>
            <w:vAlign w:val="center"/>
            <w:hideMark/>
          </w:tcPr>
          <w:p w14:paraId="324174EA" w14:textId="77777777" w:rsidR="00C45C5A" w:rsidRPr="00C45C5A" w:rsidRDefault="00C45C5A" w:rsidP="006D4D74">
            <w:pPr>
              <w:spacing w:after="0" w:line="240" w:lineRule="auto"/>
              <w:rPr>
                <w:rFonts w:ascii="Arial" w:eastAsia="Times New Roman" w:hAnsi="Arial" w:cs="Arial"/>
                <w:b/>
                <w:bCs/>
                <w:color w:val="000000"/>
                <w:sz w:val="18"/>
                <w:szCs w:val="18"/>
                <w:lang w:eastAsia="sl-SI"/>
              </w:rPr>
            </w:pPr>
            <w:r w:rsidRPr="00C45C5A">
              <w:rPr>
                <w:rFonts w:ascii="Arial" w:eastAsia="Times New Roman" w:hAnsi="Arial" w:cs="Arial"/>
                <w:b/>
                <w:bCs/>
                <w:color w:val="000000"/>
                <w:sz w:val="18"/>
                <w:szCs w:val="18"/>
                <w:lang w:eastAsia="sl-SI"/>
              </w:rPr>
              <w:t>Skupaj</w:t>
            </w:r>
          </w:p>
        </w:tc>
        <w:tc>
          <w:tcPr>
            <w:tcW w:w="455" w:type="pct"/>
            <w:shd w:val="clear" w:color="auto" w:fill="E7E6E6" w:themeFill="background2"/>
            <w:noWrap/>
            <w:vAlign w:val="center"/>
            <w:hideMark/>
          </w:tcPr>
          <w:p w14:paraId="142F0748" w14:textId="77777777" w:rsidR="00C45C5A" w:rsidRPr="00C45C5A" w:rsidRDefault="00C45C5A" w:rsidP="006D4D74">
            <w:pPr>
              <w:spacing w:after="0" w:line="240" w:lineRule="auto"/>
              <w:jc w:val="right"/>
              <w:rPr>
                <w:rFonts w:ascii="Arial" w:eastAsia="Times New Roman" w:hAnsi="Arial" w:cs="Arial"/>
                <w:b/>
                <w:bCs/>
                <w:color w:val="000000"/>
                <w:sz w:val="18"/>
                <w:szCs w:val="18"/>
                <w:lang w:eastAsia="sl-SI"/>
              </w:rPr>
            </w:pPr>
            <w:r w:rsidRPr="00C45C5A">
              <w:rPr>
                <w:rFonts w:ascii="Arial" w:eastAsia="Times New Roman" w:hAnsi="Arial" w:cs="Arial"/>
                <w:b/>
                <w:bCs/>
                <w:color w:val="000000"/>
                <w:sz w:val="18"/>
                <w:szCs w:val="18"/>
                <w:lang w:eastAsia="sl-SI"/>
              </w:rPr>
              <w:t>3.851</w:t>
            </w:r>
          </w:p>
        </w:tc>
        <w:tc>
          <w:tcPr>
            <w:tcW w:w="909" w:type="pct"/>
            <w:shd w:val="clear" w:color="auto" w:fill="E7E6E6" w:themeFill="background2"/>
            <w:noWrap/>
            <w:vAlign w:val="center"/>
            <w:hideMark/>
          </w:tcPr>
          <w:p w14:paraId="6B371990" w14:textId="77777777" w:rsidR="00C45C5A" w:rsidRPr="00C45C5A" w:rsidRDefault="00C45C5A" w:rsidP="006D4D74">
            <w:pPr>
              <w:spacing w:after="0" w:line="240" w:lineRule="auto"/>
              <w:jc w:val="right"/>
              <w:rPr>
                <w:rFonts w:ascii="Arial" w:eastAsia="Times New Roman" w:hAnsi="Arial" w:cs="Arial"/>
                <w:b/>
                <w:bCs/>
                <w:color w:val="000000"/>
                <w:sz w:val="18"/>
                <w:szCs w:val="18"/>
                <w:lang w:eastAsia="sl-SI"/>
              </w:rPr>
            </w:pPr>
            <w:r w:rsidRPr="00C45C5A">
              <w:rPr>
                <w:rFonts w:ascii="Arial" w:eastAsia="Times New Roman" w:hAnsi="Arial" w:cs="Arial"/>
                <w:b/>
                <w:bCs/>
                <w:color w:val="000000"/>
                <w:sz w:val="18"/>
                <w:szCs w:val="18"/>
                <w:lang w:eastAsia="sl-SI"/>
              </w:rPr>
              <w:t>272.420.233</w:t>
            </w:r>
          </w:p>
        </w:tc>
        <w:tc>
          <w:tcPr>
            <w:tcW w:w="761" w:type="pct"/>
            <w:shd w:val="clear" w:color="auto" w:fill="E7E6E6" w:themeFill="background2"/>
            <w:noWrap/>
            <w:vAlign w:val="center"/>
            <w:hideMark/>
          </w:tcPr>
          <w:p w14:paraId="3BDCA34C" w14:textId="53D3C0D6" w:rsidR="00C45C5A" w:rsidRPr="00C45C5A" w:rsidRDefault="00C45C5A" w:rsidP="006D4D74">
            <w:pPr>
              <w:spacing w:after="0" w:line="240" w:lineRule="auto"/>
              <w:jc w:val="right"/>
              <w:rPr>
                <w:rFonts w:ascii="Arial" w:eastAsia="Times New Roman" w:hAnsi="Arial" w:cs="Arial"/>
                <w:b/>
                <w:bCs/>
                <w:color w:val="000000"/>
                <w:sz w:val="18"/>
                <w:szCs w:val="18"/>
                <w:lang w:eastAsia="sl-SI"/>
              </w:rPr>
            </w:pPr>
            <w:r w:rsidRPr="00C45C5A">
              <w:rPr>
                <w:rFonts w:ascii="Arial" w:eastAsia="Times New Roman" w:hAnsi="Arial" w:cs="Arial"/>
                <w:b/>
                <w:bCs/>
                <w:color w:val="000000"/>
                <w:sz w:val="18"/>
                <w:szCs w:val="18"/>
                <w:lang w:eastAsia="sl-SI"/>
              </w:rPr>
              <w:t>100,00</w:t>
            </w:r>
            <w:r w:rsidR="00CA71C0">
              <w:rPr>
                <w:rFonts w:ascii="Arial" w:eastAsia="Times New Roman" w:hAnsi="Arial" w:cs="Arial"/>
                <w:b/>
                <w:bCs/>
                <w:color w:val="000000"/>
                <w:sz w:val="18"/>
                <w:szCs w:val="18"/>
                <w:lang w:eastAsia="sl-SI"/>
              </w:rPr>
              <w:t xml:space="preserve"> %</w:t>
            </w:r>
          </w:p>
        </w:tc>
        <w:tc>
          <w:tcPr>
            <w:tcW w:w="741" w:type="pct"/>
            <w:shd w:val="clear" w:color="auto" w:fill="E7E6E6" w:themeFill="background2"/>
            <w:noWrap/>
            <w:vAlign w:val="center"/>
            <w:hideMark/>
          </w:tcPr>
          <w:p w14:paraId="1A71695D" w14:textId="0EE49BF0" w:rsidR="00C45C5A" w:rsidRPr="00C45C5A" w:rsidRDefault="00C45C5A" w:rsidP="006D4D74">
            <w:pPr>
              <w:spacing w:after="0" w:line="240" w:lineRule="auto"/>
              <w:jc w:val="right"/>
              <w:rPr>
                <w:rFonts w:ascii="Arial" w:eastAsia="Times New Roman" w:hAnsi="Arial" w:cs="Arial"/>
                <w:b/>
                <w:bCs/>
                <w:color w:val="000000"/>
                <w:sz w:val="18"/>
                <w:szCs w:val="18"/>
                <w:lang w:eastAsia="sl-SI"/>
              </w:rPr>
            </w:pPr>
            <w:r w:rsidRPr="00C45C5A">
              <w:rPr>
                <w:rFonts w:ascii="Arial" w:eastAsia="Times New Roman" w:hAnsi="Arial" w:cs="Arial"/>
                <w:b/>
                <w:bCs/>
                <w:color w:val="000000"/>
                <w:sz w:val="18"/>
                <w:szCs w:val="18"/>
                <w:lang w:eastAsia="sl-SI"/>
              </w:rPr>
              <w:t>100,00</w:t>
            </w:r>
            <w:r w:rsidR="00CA71C0">
              <w:rPr>
                <w:rFonts w:ascii="Arial" w:eastAsia="Times New Roman" w:hAnsi="Arial" w:cs="Arial"/>
                <w:b/>
                <w:bCs/>
                <w:color w:val="000000"/>
                <w:sz w:val="18"/>
                <w:szCs w:val="18"/>
                <w:lang w:eastAsia="sl-SI"/>
              </w:rPr>
              <w:t xml:space="preserve"> %</w:t>
            </w:r>
          </w:p>
        </w:tc>
      </w:tr>
    </w:tbl>
    <w:p w14:paraId="6FE7D8E1" w14:textId="77777777" w:rsidR="00C16DE2" w:rsidRPr="006D4D74" w:rsidRDefault="00C16DE2" w:rsidP="00C16DE2">
      <w:pPr>
        <w:spacing w:after="0" w:line="240" w:lineRule="auto"/>
        <w:jc w:val="center"/>
        <w:rPr>
          <w:rFonts w:ascii="Arial" w:hAnsi="Arial" w:cs="Arial"/>
          <w:sz w:val="18"/>
        </w:rPr>
      </w:pPr>
    </w:p>
    <w:p w14:paraId="111924FB" w14:textId="4F4A62E0" w:rsidR="00C16DE2" w:rsidRPr="006D4D74" w:rsidRDefault="00C16DE2" w:rsidP="00C16DE2">
      <w:pPr>
        <w:spacing w:after="0" w:line="240" w:lineRule="auto"/>
        <w:jc w:val="center"/>
        <w:rPr>
          <w:rFonts w:ascii="Arial" w:hAnsi="Arial" w:cs="Arial"/>
          <w:sz w:val="18"/>
        </w:rPr>
      </w:pPr>
      <w:r w:rsidRPr="006D4D74">
        <w:rPr>
          <w:rFonts w:ascii="Arial" w:hAnsi="Arial" w:cs="Arial"/>
          <w:sz w:val="18"/>
        </w:rPr>
        <w:t>Vir: Statistični podatki o javni</w:t>
      </w:r>
      <w:r w:rsidR="00251F1D" w:rsidRPr="006D4D74">
        <w:rPr>
          <w:rFonts w:ascii="Arial" w:hAnsi="Arial" w:cs="Arial"/>
          <w:sz w:val="18"/>
        </w:rPr>
        <w:t>h naročilih, oddanih v letu 201</w:t>
      </w:r>
      <w:r w:rsidR="006D4D74" w:rsidRPr="006D4D74">
        <w:rPr>
          <w:rFonts w:ascii="Arial" w:hAnsi="Arial" w:cs="Arial"/>
          <w:sz w:val="18"/>
        </w:rPr>
        <w:t>8</w:t>
      </w:r>
    </w:p>
    <w:p w14:paraId="6D8C1BAE" w14:textId="723D6F11" w:rsidR="00C16DE2" w:rsidRDefault="00C16DE2" w:rsidP="002A1622">
      <w:pPr>
        <w:tabs>
          <w:tab w:val="left" w:pos="567"/>
          <w:tab w:val="left" w:pos="993"/>
        </w:tabs>
        <w:spacing w:line="360" w:lineRule="auto"/>
        <w:jc w:val="both"/>
        <w:rPr>
          <w:rFonts w:ascii="Arial" w:hAnsi="Arial" w:cs="Arial"/>
          <w:sz w:val="20"/>
          <w:szCs w:val="20"/>
        </w:rPr>
      </w:pPr>
    </w:p>
    <w:p w14:paraId="39DACA79" w14:textId="77777777" w:rsidR="00F45253" w:rsidRPr="006D4D74" w:rsidRDefault="00F45253" w:rsidP="002A1622">
      <w:pPr>
        <w:tabs>
          <w:tab w:val="left" w:pos="567"/>
          <w:tab w:val="left" w:pos="993"/>
        </w:tabs>
        <w:spacing w:line="360" w:lineRule="auto"/>
        <w:jc w:val="both"/>
        <w:rPr>
          <w:rFonts w:ascii="Arial" w:hAnsi="Arial" w:cs="Arial"/>
          <w:sz w:val="20"/>
          <w:szCs w:val="20"/>
        </w:rPr>
      </w:pPr>
    </w:p>
    <w:p w14:paraId="63343A6B" w14:textId="68D16F54" w:rsidR="00B11580" w:rsidRPr="000C250D" w:rsidRDefault="00B11580" w:rsidP="00B11580">
      <w:pPr>
        <w:pStyle w:val="Naslov3"/>
        <w:rPr>
          <w:rFonts w:ascii="Arial" w:hAnsi="Arial" w:cs="Arial"/>
          <w:sz w:val="22"/>
          <w:szCs w:val="22"/>
        </w:rPr>
      </w:pPr>
      <w:bookmarkStart w:id="29" w:name="_Toc17114067"/>
      <w:r w:rsidRPr="000C250D">
        <w:rPr>
          <w:rFonts w:ascii="Arial" w:hAnsi="Arial" w:cs="Arial"/>
          <w:sz w:val="22"/>
          <w:szCs w:val="22"/>
        </w:rPr>
        <w:lastRenderedPageBreak/>
        <w:t>2.7.2 Sedež ponudnikov</w:t>
      </w:r>
      <w:bookmarkEnd w:id="29"/>
    </w:p>
    <w:p w14:paraId="6A4FC8F6" w14:textId="1E4F5264" w:rsidR="004A613D" w:rsidRPr="000C250D" w:rsidRDefault="004A613D" w:rsidP="002149C7">
      <w:pPr>
        <w:pStyle w:val="ZADEVA"/>
        <w:jc w:val="both"/>
        <w:rPr>
          <w:rFonts w:cs="Arial"/>
          <w:b w:val="0"/>
          <w:szCs w:val="20"/>
          <w:lang w:val="sl-SI"/>
        </w:rPr>
      </w:pPr>
    </w:p>
    <w:p w14:paraId="1F6EABEB" w14:textId="2C8B0198" w:rsidR="002149C7" w:rsidRPr="000C250D" w:rsidRDefault="002149C7" w:rsidP="00E36A05">
      <w:pPr>
        <w:spacing w:line="360" w:lineRule="auto"/>
        <w:jc w:val="both"/>
        <w:rPr>
          <w:rFonts w:ascii="Arial" w:hAnsi="Arial" w:cs="Arial"/>
          <w:sz w:val="20"/>
          <w:szCs w:val="20"/>
          <w:lang w:eastAsia="sl-SI"/>
        </w:rPr>
      </w:pPr>
      <w:r w:rsidRPr="000C250D">
        <w:rPr>
          <w:rFonts w:ascii="Arial" w:hAnsi="Arial" w:cs="Arial"/>
          <w:bCs/>
          <w:sz w:val="20"/>
          <w:szCs w:val="20"/>
          <w:lang w:eastAsia="sl-SI"/>
        </w:rPr>
        <w:t xml:space="preserve">Naročniki so </w:t>
      </w:r>
      <w:r w:rsidR="001A3829">
        <w:rPr>
          <w:rFonts w:ascii="Arial" w:hAnsi="Arial" w:cs="Arial"/>
          <w:bCs/>
          <w:sz w:val="20"/>
          <w:szCs w:val="20"/>
          <w:lang w:eastAsia="sl-SI"/>
        </w:rPr>
        <w:t>leta</w:t>
      </w:r>
      <w:r w:rsidR="00E36A05" w:rsidRPr="000C250D">
        <w:rPr>
          <w:rFonts w:ascii="Arial" w:hAnsi="Arial" w:cs="Arial"/>
          <w:bCs/>
          <w:sz w:val="20"/>
          <w:szCs w:val="20"/>
          <w:lang w:eastAsia="sl-SI"/>
        </w:rPr>
        <w:t xml:space="preserve"> 201</w:t>
      </w:r>
      <w:r w:rsidR="000C250D" w:rsidRPr="000C250D">
        <w:rPr>
          <w:rFonts w:ascii="Arial" w:hAnsi="Arial" w:cs="Arial"/>
          <w:bCs/>
          <w:sz w:val="20"/>
          <w:szCs w:val="20"/>
          <w:lang w:eastAsia="sl-SI"/>
        </w:rPr>
        <w:t>8</w:t>
      </w:r>
      <w:r w:rsidR="00E36A05" w:rsidRPr="000C250D">
        <w:rPr>
          <w:rFonts w:ascii="Arial" w:hAnsi="Arial" w:cs="Arial"/>
          <w:bCs/>
          <w:sz w:val="20"/>
          <w:szCs w:val="20"/>
          <w:lang w:eastAsia="sl-SI"/>
        </w:rPr>
        <w:t xml:space="preserve"> ponudnikom s sedežem v Republiki Sloveniji oddali več kot 97 </w:t>
      </w:r>
      <w:r w:rsidR="0029442D" w:rsidRPr="000C250D">
        <w:rPr>
          <w:rFonts w:ascii="Arial" w:hAnsi="Arial" w:cs="Arial"/>
          <w:bCs/>
          <w:sz w:val="20"/>
          <w:szCs w:val="20"/>
          <w:lang w:eastAsia="sl-SI"/>
        </w:rPr>
        <w:t>%</w:t>
      </w:r>
      <w:r w:rsidR="00E36A05" w:rsidRPr="000C250D">
        <w:rPr>
          <w:rFonts w:ascii="Arial" w:hAnsi="Arial" w:cs="Arial"/>
          <w:bCs/>
          <w:sz w:val="20"/>
          <w:szCs w:val="20"/>
          <w:lang w:eastAsia="sl-SI"/>
        </w:rPr>
        <w:t xml:space="preserve"> javnih naročil. Vrednost teh naročil </w:t>
      </w:r>
      <w:r w:rsidR="00AE7174" w:rsidRPr="000C250D">
        <w:rPr>
          <w:rFonts w:ascii="Arial" w:hAnsi="Arial" w:cs="Arial"/>
          <w:bCs/>
          <w:sz w:val="20"/>
          <w:szCs w:val="20"/>
          <w:lang w:eastAsia="sl-SI"/>
        </w:rPr>
        <w:t xml:space="preserve">je </w:t>
      </w:r>
      <w:r w:rsidR="000C250D" w:rsidRPr="000C250D">
        <w:rPr>
          <w:rFonts w:ascii="Arial" w:hAnsi="Arial" w:cs="Arial"/>
          <w:bCs/>
          <w:sz w:val="20"/>
          <w:szCs w:val="20"/>
          <w:lang w:eastAsia="sl-SI"/>
        </w:rPr>
        <w:t xml:space="preserve">86,69 </w:t>
      </w:r>
      <w:r w:rsidR="00CD4647">
        <w:rPr>
          <w:rFonts w:ascii="Arial" w:hAnsi="Arial" w:cs="Arial"/>
          <w:bCs/>
          <w:sz w:val="20"/>
          <w:szCs w:val="20"/>
          <w:lang w:eastAsia="sl-SI"/>
        </w:rPr>
        <w:t>%</w:t>
      </w:r>
      <w:r w:rsidR="00CD4647" w:rsidRPr="000C250D">
        <w:rPr>
          <w:rFonts w:ascii="Arial" w:hAnsi="Arial" w:cs="Arial"/>
          <w:bCs/>
          <w:sz w:val="20"/>
          <w:szCs w:val="20"/>
          <w:lang w:eastAsia="sl-SI"/>
        </w:rPr>
        <w:t xml:space="preserve"> </w:t>
      </w:r>
      <w:r w:rsidR="00E36A05" w:rsidRPr="000C250D">
        <w:rPr>
          <w:rFonts w:ascii="Arial" w:hAnsi="Arial" w:cs="Arial"/>
          <w:bCs/>
          <w:sz w:val="20"/>
          <w:szCs w:val="20"/>
          <w:lang w:eastAsia="sl-SI"/>
        </w:rPr>
        <w:t>vseh oddanih javnih naročil.</w:t>
      </w:r>
      <w:r w:rsidRPr="000C250D">
        <w:rPr>
          <w:rFonts w:ascii="Arial" w:hAnsi="Arial" w:cs="Arial"/>
          <w:sz w:val="20"/>
          <w:szCs w:val="20"/>
          <w:lang w:eastAsia="sl-SI"/>
        </w:rPr>
        <w:t xml:space="preserve"> </w:t>
      </w:r>
    </w:p>
    <w:p w14:paraId="5342B8AD" w14:textId="6BC8EDF2" w:rsidR="008F7759" w:rsidRPr="00992170" w:rsidRDefault="008F7759" w:rsidP="008F7759">
      <w:pPr>
        <w:spacing w:line="360" w:lineRule="auto"/>
        <w:jc w:val="both"/>
        <w:rPr>
          <w:rFonts w:ascii="Arial" w:hAnsi="Arial" w:cs="Arial"/>
          <w:sz w:val="20"/>
          <w:szCs w:val="20"/>
          <w:lang w:eastAsia="sl-SI"/>
        </w:rPr>
      </w:pPr>
      <w:r w:rsidRPr="004B5F0A">
        <w:rPr>
          <w:rFonts w:ascii="Arial" w:hAnsi="Arial" w:cs="Arial"/>
          <w:bCs/>
          <w:sz w:val="20"/>
          <w:szCs w:val="20"/>
          <w:lang w:eastAsia="sl-SI"/>
        </w:rPr>
        <w:t>Naročniki so pri tujih ponudnikih najpogosteje naročali blago</w:t>
      </w:r>
      <w:r w:rsidR="00A84A86" w:rsidRPr="004B5F0A">
        <w:rPr>
          <w:rFonts w:ascii="Arial" w:hAnsi="Arial" w:cs="Arial"/>
          <w:bCs/>
          <w:sz w:val="20"/>
          <w:szCs w:val="20"/>
          <w:lang w:eastAsia="sl-SI"/>
        </w:rPr>
        <w:t xml:space="preserve">. </w:t>
      </w:r>
      <w:r w:rsidR="00CD4647">
        <w:rPr>
          <w:rFonts w:ascii="Arial" w:hAnsi="Arial" w:cs="Arial"/>
          <w:bCs/>
          <w:sz w:val="20"/>
          <w:szCs w:val="20"/>
          <w:lang w:eastAsia="sl-SI"/>
        </w:rPr>
        <w:t>Leta</w:t>
      </w:r>
      <w:r w:rsidR="00A84A86" w:rsidRPr="004B5F0A">
        <w:rPr>
          <w:rFonts w:ascii="Arial" w:hAnsi="Arial" w:cs="Arial"/>
          <w:bCs/>
          <w:sz w:val="20"/>
          <w:szCs w:val="20"/>
          <w:lang w:eastAsia="sl-SI"/>
        </w:rPr>
        <w:t xml:space="preserve"> 201</w:t>
      </w:r>
      <w:r w:rsidR="004B5F0A" w:rsidRPr="004B5F0A">
        <w:rPr>
          <w:rFonts w:ascii="Arial" w:hAnsi="Arial" w:cs="Arial"/>
          <w:bCs/>
          <w:sz w:val="20"/>
          <w:szCs w:val="20"/>
          <w:lang w:eastAsia="sl-SI"/>
        </w:rPr>
        <w:t>8</w:t>
      </w:r>
      <w:r w:rsidRPr="004B5F0A">
        <w:rPr>
          <w:rFonts w:ascii="Arial" w:hAnsi="Arial" w:cs="Arial"/>
          <w:bCs/>
          <w:sz w:val="20"/>
          <w:szCs w:val="20"/>
          <w:lang w:eastAsia="sl-SI"/>
        </w:rPr>
        <w:t xml:space="preserve"> je bilo tovrstnih oddanih </w:t>
      </w:r>
      <w:r w:rsidR="00526D5F" w:rsidRPr="004B5F0A">
        <w:rPr>
          <w:rFonts w:ascii="Arial" w:hAnsi="Arial" w:cs="Arial"/>
          <w:bCs/>
          <w:sz w:val="20"/>
          <w:szCs w:val="20"/>
          <w:lang w:eastAsia="sl-SI"/>
        </w:rPr>
        <w:t>javnih naročil</w:t>
      </w:r>
      <w:r w:rsidRPr="004B5F0A">
        <w:rPr>
          <w:rFonts w:ascii="Arial" w:hAnsi="Arial" w:cs="Arial"/>
          <w:bCs/>
          <w:sz w:val="20"/>
          <w:szCs w:val="20"/>
          <w:lang w:eastAsia="sl-SI"/>
        </w:rPr>
        <w:t xml:space="preserve"> </w:t>
      </w:r>
      <w:r w:rsidR="00A84A86" w:rsidRPr="004B5F0A">
        <w:rPr>
          <w:rFonts w:ascii="Arial" w:hAnsi="Arial" w:cs="Arial"/>
          <w:bCs/>
          <w:sz w:val="20"/>
          <w:szCs w:val="20"/>
          <w:lang w:eastAsia="sl-SI"/>
        </w:rPr>
        <w:t>2</w:t>
      </w:r>
      <w:r w:rsidR="004B5F0A" w:rsidRPr="004B5F0A">
        <w:rPr>
          <w:rFonts w:ascii="Arial" w:hAnsi="Arial" w:cs="Arial"/>
          <w:bCs/>
          <w:sz w:val="20"/>
          <w:szCs w:val="20"/>
          <w:lang w:eastAsia="sl-SI"/>
        </w:rPr>
        <w:t>71</w:t>
      </w:r>
      <w:r w:rsidRPr="00416593">
        <w:rPr>
          <w:rFonts w:ascii="Arial" w:hAnsi="Arial" w:cs="Arial"/>
          <w:bCs/>
          <w:sz w:val="20"/>
          <w:szCs w:val="20"/>
          <w:lang w:eastAsia="sl-SI"/>
        </w:rPr>
        <w:t xml:space="preserve">, njihova skupna vrednost pa </w:t>
      </w:r>
      <w:r w:rsidR="00416593" w:rsidRPr="00416593">
        <w:rPr>
          <w:rFonts w:ascii="Arial" w:hAnsi="Arial" w:cs="Arial"/>
          <w:bCs/>
          <w:sz w:val="20"/>
          <w:szCs w:val="20"/>
          <w:lang w:eastAsia="sl-SI"/>
        </w:rPr>
        <w:t>znaša 320.794.045</w:t>
      </w:r>
      <w:r w:rsidR="00A84A86" w:rsidRPr="00416593">
        <w:rPr>
          <w:rFonts w:ascii="Arial" w:hAnsi="Arial" w:cs="Arial"/>
          <w:bCs/>
          <w:sz w:val="20"/>
          <w:szCs w:val="20"/>
          <w:lang w:eastAsia="sl-SI"/>
        </w:rPr>
        <w:t xml:space="preserve"> </w:t>
      </w:r>
      <w:r w:rsidRPr="00416593">
        <w:rPr>
          <w:rFonts w:ascii="Arial" w:hAnsi="Arial" w:cs="Arial"/>
          <w:sz w:val="20"/>
          <w:szCs w:val="20"/>
          <w:lang w:eastAsia="sl-SI"/>
        </w:rPr>
        <w:t xml:space="preserve">evrov. </w:t>
      </w:r>
      <w:r w:rsidR="00526D5F" w:rsidRPr="00416593">
        <w:rPr>
          <w:rFonts w:ascii="Arial" w:hAnsi="Arial" w:cs="Arial"/>
          <w:sz w:val="20"/>
          <w:szCs w:val="20"/>
          <w:lang w:eastAsia="sl-SI"/>
        </w:rPr>
        <w:t xml:space="preserve">Podrobnejša razporeditev oddanih </w:t>
      </w:r>
      <w:r w:rsidR="00526D5F" w:rsidRPr="00992170">
        <w:rPr>
          <w:rFonts w:ascii="Arial" w:hAnsi="Arial" w:cs="Arial"/>
          <w:sz w:val="20"/>
          <w:szCs w:val="20"/>
          <w:lang w:eastAsia="sl-SI"/>
        </w:rPr>
        <w:t xml:space="preserve">javnih naročil glede na predmet naročanja in sedež ponudnika je </w:t>
      </w:r>
      <w:r w:rsidR="00C82337" w:rsidRPr="00992170">
        <w:rPr>
          <w:rFonts w:ascii="Arial" w:hAnsi="Arial" w:cs="Arial"/>
          <w:sz w:val="20"/>
          <w:szCs w:val="20"/>
          <w:lang w:eastAsia="sl-SI"/>
        </w:rPr>
        <w:t>prikazana</w:t>
      </w:r>
      <w:r w:rsidR="00526D5F" w:rsidRPr="00992170">
        <w:rPr>
          <w:rFonts w:ascii="Arial" w:hAnsi="Arial" w:cs="Arial"/>
          <w:sz w:val="20"/>
          <w:szCs w:val="20"/>
          <w:lang w:eastAsia="sl-SI"/>
        </w:rPr>
        <w:t xml:space="preserve"> v spodnji preglednici.</w:t>
      </w:r>
    </w:p>
    <w:p w14:paraId="3B07886A" w14:textId="592B884D" w:rsidR="00E36A05" w:rsidRPr="00992170" w:rsidRDefault="00E36A05" w:rsidP="008A61FD">
      <w:pPr>
        <w:spacing w:before="120" w:after="120" w:line="240" w:lineRule="auto"/>
        <w:jc w:val="both"/>
        <w:rPr>
          <w:rFonts w:ascii="Arial" w:hAnsi="Arial" w:cs="Arial"/>
          <w:sz w:val="20"/>
        </w:rPr>
      </w:pPr>
      <w:r w:rsidRPr="00992170">
        <w:rPr>
          <w:rFonts w:ascii="Arial" w:hAnsi="Arial" w:cs="Arial"/>
          <w:sz w:val="20"/>
        </w:rPr>
        <w:t xml:space="preserve">Preglednica </w:t>
      </w:r>
      <w:r w:rsidR="0083702C" w:rsidRPr="00992170">
        <w:rPr>
          <w:rFonts w:ascii="Arial" w:hAnsi="Arial" w:cs="Arial"/>
          <w:sz w:val="20"/>
        </w:rPr>
        <w:t>4</w:t>
      </w:r>
      <w:r w:rsidR="00EB4423">
        <w:rPr>
          <w:rFonts w:ascii="Arial" w:hAnsi="Arial" w:cs="Arial"/>
          <w:sz w:val="20"/>
        </w:rPr>
        <w:t>2</w:t>
      </w:r>
      <w:r w:rsidRPr="00992170">
        <w:rPr>
          <w:rFonts w:ascii="Arial" w:hAnsi="Arial" w:cs="Arial"/>
          <w:sz w:val="20"/>
        </w:rPr>
        <w:t>: Delež uspešnosti tujih ponudnikov glede na predmet naročanja</w:t>
      </w:r>
    </w:p>
    <w:tbl>
      <w:tblPr>
        <w:tblW w:w="8378" w:type="dxa"/>
        <w:jc w:val="center"/>
        <w:tblCellMar>
          <w:left w:w="70" w:type="dxa"/>
          <w:right w:w="70" w:type="dxa"/>
        </w:tblCellMar>
        <w:tblLook w:val="04A0" w:firstRow="1" w:lastRow="0" w:firstColumn="1" w:lastColumn="0" w:noHBand="0" w:noVBand="1"/>
      </w:tblPr>
      <w:tblGrid>
        <w:gridCol w:w="993"/>
        <w:gridCol w:w="1701"/>
        <w:gridCol w:w="850"/>
        <w:gridCol w:w="1432"/>
        <w:gridCol w:w="1701"/>
        <w:gridCol w:w="1701"/>
      </w:tblGrid>
      <w:tr w:rsidR="00AC44FC" w:rsidRPr="00992170" w14:paraId="066FDAC9" w14:textId="77777777" w:rsidTr="007E6D2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3D0F8C" w14:textId="6B08B03C" w:rsidR="00AC44FC" w:rsidRPr="00992170" w:rsidRDefault="00AC44FC" w:rsidP="00AC44FC">
            <w:pPr>
              <w:spacing w:after="0" w:line="240" w:lineRule="auto"/>
              <w:jc w:val="center"/>
              <w:rPr>
                <w:rFonts w:ascii="Arial" w:eastAsia="Times New Roman" w:hAnsi="Arial" w:cs="Arial"/>
                <w:sz w:val="18"/>
                <w:szCs w:val="18"/>
                <w:lang w:eastAsia="sl-SI"/>
              </w:rPr>
            </w:pPr>
            <w:r w:rsidRPr="00992170">
              <w:rPr>
                <w:rFonts w:ascii="Arial" w:eastAsia="Times New Roman" w:hAnsi="Arial" w:cs="Arial"/>
                <w:sz w:val="18"/>
                <w:szCs w:val="18"/>
                <w:lang w:eastAsia="sl-SI"/>
              </w:rPr>
              <w:t xml:space="preserve">Predmet </w:t>
            </w:r>
          </w:p>
        </w:tc>
        <w:tc>
          <w:tcPr>
            <w:tcW w:w="170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F8A5137" w14:textId="7558B798" w:rsidR="00AC44FC" w:rsidRPr="00992170" w:rsidRDefault="00AC44FC" w:rsidP="00AC44FC">
            <w:pPr>
              <w:spacing w:after="0" w:line="240" w:lineRule="auto"/>
              <w:jc w:val="center"/>
              <w:rPr>
                <w:rFonts w:ascii="Arial" w:eastAsia="Times New Roman" w:hAnsi="Arial" w:cs="Arial"/>
                <w:sz w:val="18"/>
                <w:szCs w:val="18"/>
                <w:lang w:eastAsia="sl-SI"/>
              </w:rPr>
            </w:pPr>
            <w:r w:rsidRPr="00992170">
              <w:rPr>
                <w:rFonts w:ascii="Arial" w:eastAsia="Times New Roman" w:hAnsi="Arial" w:cs="Arial"/>
                <w:sz w:val="18"/>
                <w:szCs w:val="18"/>
                <w:lang w:eastAsia="sl-SI"/>
              </w:rPr>
              <w:t>Sedež ponudnika</w:t>
            </w:r>
          </w:p>
        </w:tc>
        <w:tc>
          <w:tcPr>
            <w:tcW w:w="85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5A7F46" w14:textId="70ED6077" w:rsidR="00AC44FC" w:rsidRPr="00992170" w:rsidRDefault="00AC44FC" w:rsidP="00AC44FC">
            <w:pPr>
              <w:spacing w:after="0" w:line="240" w:lineRule="auto"/>
              <w:jc w:val="center"/>
              <w:rPr>
                <w:rFonts w:ascii="Arial" w:eastAsia="Times New Roman" w:hAnsi="Arial" w:cs="Arial"/>
                <w:sz w:val="18"/>
                <w:szCs w:val="18"/>
                <w:lang w:eastAsia="sl-SI"/>
              </w:rPr>
            </w:pPr>
            <w:r w:rsidRPr="00992170">
              <w:rPr>
                <w:rFonts w:ascii="Arial" w:eastAsia="Times New Roman" w:hAnsi="Arial" w:cs="Arial"/>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2D18787" w14:textId="10ED6F25" w:rsidR="00AC44FC" w:rsidRPr="00992170" w:rsidRDefault="00AC44FC" w:rsidP="00AC44FC">
            <w:pPr>
              <w:spacing w:after="0" w:line="240" w:lineRule="auto"/>
              <w:jc w:val="center"/>
              <w:rPr>
                <w:rFonts w:ascii="Arial" w:eastAsia="Times New Roman" w:hAnsi="Arial" w:cs="Arial"/>
                <w:sz w:val="18"/>
                <w:szCs w:val="18"/>
                <w:lang w:eastAsia="sl-SI"/>
              </w:rPr>
            </w:pPr>
            <w:r w:rsidRPr="00992170">
              <w:rPr>
                <w:rFonts w:ascii="Arial" w:eastAsia="Times New Roman" w:hAnsi="Arial" w:cs="Arial"/>
                <w:sz w:val="18"/>
                <w:szCs w:val="18"/>
                <w:lang w:eastAsia="sl-SI"/>
              </w:rPr>
              <w:t xml:space="preserve">Pogodbena vrednost </w:t>
            </w:r>
          </w:p>
        </w:tc>
        <w:tc>
          <w:tcPr>
            <w:tcW w:w="170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B4943D8" w14:textId="0C1059CC" w:rsidR="00AC44FC" w:rsidRPr="00992170" w:rsidRDefault="00AC44FC" w:rsidP="00AC44FC">
            <w:pPr>
              <w:spacing w:after="0" w:line="240" w:lineRule="auto"/>
              <w:jc w:val="center"/>
              <w:rPr>
                <w:rFonts w:ascii="Arial" w:eastAsia="Times New Roman" w:hAnsi="Arial" w:cs="Arial"/>
                <w:sz w:val="18"/>
                <w:szCs w:val="18"/>
                <w:lang w:eastAsia="sl-SI"/>
              </w:rPr>
            </w:pPr>
            <w:r w:rsidRPr="00992170">
              <w:rPr>
                <w:rFonts w:ascii="Arial" w:eastAsia="Times New Roman" w:hAnsi="Arial" w:cs="Arial"/>
                <w:sz w:val="18"/>
                <w:szCs w:val="18"/>
                <w:lang w:eastAsia="sl-SI"/>
              </w:rPr>
              <w:t>Delež v št. istovrstnih naročil</w:t>
            </w:r>
          </w:p>
        </w:tc>
        <w:tc>
          <w:tcPr>
            <w:tcW w:w="170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BCB4C5" w14:textId="583F772E" w:rsidR="00AC44FC" w:rsidRPr="00992170" w:rsidRDefault="00AC44FC" w:rsidP="00AC44FC">
            <w:pPr>
              <w:spacing w:after="0" w:line="240" w:lineRule="auto"/>
              <w:jc w:val="center"/>
              <w:rPr>
                <w:rFonts w:ascii="Arial" w:eastAsia="Times New Roman" w:hAnsi="Arial" w:cs="Arial"/>
                <w:sz w:val="18"/>
                <w:szCs w:val="18"/>
                <w:lang w:eastAsia="sl-SI"/>
              </w:rPr>
            </w:pPr>
            <w:r w:rsidRPr="00992170">
              <w:rPr>
                <w:rFonts w:ascii="Arial" w:eastAsia="Times New Roman" w:hAnsi="Arial" w:cs="Arial"/>
                <w:sz w:val="18"/>
                <w:szCs w:val="18"/>
                <w:lang w:eastAsia="sl-SI"/>
              </w:rPr>
              <w:t>Delež v vrednosti istovrstnih naročil</w:t>
            </w:r>
          </w:p>
        </w:tc>
      </w:tr>
      <w:tr w:rsidR="00154A47" w:rsidRPr="00992170" w14:paraId="3097CD1A" w14:textId="77777777" w:rsidTr="00232353">
        <w:trPr>
          <w:trHeight w:val="2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C29162F" w14:textId="4C1458CF"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Blago</w:t>
            </w:r>
          </w:p>
        </w:tc>
        <w:tc>
          <w:tcPr>
            <w:tcW w:w="1701" w:type="dxa"/>
            <w:tcBorders>
              <w:top w:val="nil"/>
              <w:left w:val="nil"/>
              <w:bottom w:val="single" w:sz="4" w:space="0" w:color="auto"/>
              <w:right w:val="single" w:sz="4" w:space="0" w:color="auto"/>
            </w:tcBorders>
            <w:shd w:val="clear" w:color="auto" w:fill="auto"/>
            <w:vAlign w:val="center"/>
            <w:hideMark/>
          </w:tcPr>
          <w:p w14:paraId="1F44AF4A" w14:textId="777777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Slovenija</w:t>
            </w:r>
          </w:p>
        </w:tc>
        <w:tc>
          <w:tcPr>
            <w:tcW w:w="850" w:type="dxa"/>
            <w:tcBorders>
              <w:top w:val="nil"/>
              <w:left w:val="nil"/>
              <w:bottom w:val="single" w:sz="4" w:space="0" w:color="auto"/>
              <w:right w:val="single" w:sz="4" w:space="0" w:color="auto"/>
            </w:tcBorders>
            <w:shd w:val="clear" w:color="auto" w:fill="auto"/>
            <w:vAlign w:val="center"/>
            <w:hideMark/>
          </w:tcPr>
          <w:p w14:paraId="290575C9" w14:textId="005BFB08"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10.696</w:t>
            </w:r>
          </w:p>
        </w:tc>
        <w:tc>
          <w:tcPr>
            <w:tcW w:w="1432" w:type="dxa"/>
            <w:tcBorders>
              <w:top w:val="nil"/>
              <w:left w:val="nil"/>
              <w:bottom w:val="single" w:sz="4" w:space="0" w:color="auto"/>
              <w:right w:val="single" w:sz="4" w:space="0" w:color="auto"/>
            </w:tcBorders>
            <w:shd w:val="clear" w:color="auto" w:fill="auto"/>
            <w:vAlign w:val="center"/>
            <w:hideMark/>
          </w:tcPr>
          <w:p w14:paraId="518479EF" w14:textId="768DCE5B"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876.831.951</w:t>
            </w:r>
          </w:p>
        </w:tc>
        <w:tc>
          <w:tcPr>
            <w:tcW w:w="1701" w:type="dxa"/>
            <w:tcBorders>
              <w:top w:val="nil"/>
              <w:left w:val="nil"/>
              <w:bottom w:val="single" w:sz="4" w:space="0" w:color="auto"/>
              <w:right w:val="single" w:sz="4" w:space="0" w:color="auto"/>
            </w:tcBorders>
            <w:shd w:val="clear" w:color="auto" w:fill="auto"/>
            <w:vAlign w:val="center"/>
            <w:hideMark/>
          </w:tcPr>
          <w:p w14:paraId="62469E76" w14:textId="5C77773E"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97,53</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3A1080" w14:textId="5102C602"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73,21</w:t>
            </w:r>
            <w:r w:rsidR="00992170" w:rsidRPr="00992170">
              <w:rPr>
                <w:rFonts w:ascii="Arial" w:hAnsi="Arial" w:cs="Arial"/>
                <w:sz w:val="18"/>
                <w:szCs w:val="18"/>
              </w:rPr>
              <w:t xml:space="preserve"> %</w:t>
            </w:r>
          </w:p>
        </w:tc>
      </w:tr>
      <w:tr w:rsidR="00154A47" w:rsidRPr="00992170" w14:paraId="51787314"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4AA426AD"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166C9896" w14:textId="777777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druga država EU</w:t>
            </w:r>
          </w:p>
        </w:tc>
        <w:tc>
          <w:tcPr>
            <w:tcW w:w="850" w:type="dxa"/>
            <w:tcBorders>
              <w:top w:val="nil"/>
              <w:left w:val="nil"/>
              <w:bottom w:val="single" w:sz="4" w:space="0" w:color="auto"/>
              <w:right w:val="single" w:sz="4" w:space="0" w:color="auto"/>
            </w:tcBorders>
            <w:shd w:val="clear" w:color="auto" w:fill="auto"/>
            <w:vAlign w:val="center"/>
            <w:hideMark/>
          </w:tcPr>
          <w:p w14:paraId="5F266EE2" w14:textId="528E3802"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232</w:t>
            </w:r>
          </w:p>
        </w:tc>
        <w:tc>
          <w:tcPr>
            <w:tcW w:w="1432" w:type="dxa"/>
            <w:tcBorders>
              <w:top w:val="nil"/>
              <w:left w:val="nil"/>
              <w:bottom w:val="single" w:sz="4" w:space="0" w:color="auto"/>
              <w:right w:val="single" w:sz="4" w:space="0" w:color="auto"/>
            </w:tcBorders>
            <w:shd w:val="clear" w:color="auto" w:fill="auto"/>
            <w:vAlign w:val="center"/>
            <w:hideMark/>
          </w:tcPr>
          <w:p w14:paraId="6078BD60" w14:textId="7C726821"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310.216.107</w:t>
            </w:r>
          </w:p>
        </w:tc>
        <w:tc>
          <w:tcPr>
            <w:tcW w:w="1701" w:type="dxa"/>
            <w:tcBorders>
              <w:top w:val="nil"/>
              <w:left w:val="nil"/>
              <w:bottom w:val="single" w:sz="4" w:space="0" w:color="auto"/>
              <w:right w:val="single" w:sz="4" w:space="0" w:color="auto"/>
            </w:tcBorders>
            <w:shd w:val="clear" w:color="auto" w:fill="auto"/>
            <w:vAlign w:val="center"/>
            <w:hideMark/>
          </w:tcPr>
          <w:p w14:paraId="1305ED96" w14:textId="4586BDBA"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2,12</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784192" w14:textId="14F3C760"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25,90</w:t>
            </w:r>
            <w:r w:rsidR="00992170" w:rsidRPr="00992170">
              <w:rPr>
                <w:rFonts w:ascii="Arial" w:hAnsi="Arial" w:cs="Arial"/>
                <w:sz w:val="18"/>
                <w:szCs w:val="18"/>
              </w:rPr>
              <w:t xml:space="preserve"> %</w:t>
            </w:r>
          </w:p>
        </w:tc>
      </w:tr>
      <w:tr w:rsidR="00154A47" w:rsidRPr="00992170" w14:paraId="17FA14E5"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14E39578"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79E9CFD7" w14:textId="165D52EE" w:rsidR="00154A47" w:rsidRPr="00992170" w:rsidRDefault="00CD4647" w:rsidP="00154A47">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zunaj</w:t>
            </w:r>
            <w:r w:rsidRPr="00992170">
              <w:rPr>
                <w:rFonts w:ascii="Arial" w:eastAsia="Times New Roman" w:hAnsi="Arial" w:cs="Arial"/>
                <w:sz w:val="18"/>
                <w:szCs w:val="18"/>
                <w:lang w:eastAsia="sl-SI"/>
              </w:rPr>
              <w:t xml:space="preserve"> </w:t>
            </w:r>
            <w:r w:rsidR="00154A47" w:rsidRPr="00992170">
              <w:rPr>
                <w:rFonts w:ascii="Arial" w:eastAsia="Times New Roman" w:hAnsi="Arial" w:cs="Arial"/>
                <w:sz w:val="18"/>
                <w:szCs w:val="18"/>
                <w:lang w:eastAsia="sl-SI"/>
              </w:rPr>
              <w:t>EU</w:t>
            </w:r>
          </w:p>
        </w:tc>
        <w:tc>
          <w:tcPr>
            <w:tcW w:w="850" w:type="dxa"/>
            <w:tcBorders>
              <w:top w:val="nil"/>
              <w:left w:val="nil"/>
              <w:bottom w:val="single" w:sz="4" w:space="0" w:color="auto"/>
              <w:right w:val="single" w:sz="4" w:space="0" w:color="auto"/>
            </w:tcBorders>
            <w:shd w:val="clear" w:color="auto" w:fill="auto"/>
            <w:vAlign w:val="center"/>
            <w:hideMark/>
          </w:tcPr>
          <w:p w14:paraId="19D7749A" w14:textId="2EF2AB3A"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39</w:t>
            </w:r>
          </w:p>
        </w:tc>
        <w:tc>
          <w:tcPr>
            <w:tcW w:w="1432" w:type="dxa"/>
            <w:tcBorders>
              <w:top w:val="nil"/>
              <w:left w:val="nil"/>
              <w:bottom w:val="single" w:sz="4" w:space="0" w:color="auto"/>
              <w:right w:val="single" w:sz="4" w:space="0" w:color="auto"/>
            </w:tcBorders>
            <w:shd w:val="clear" w:color="auto" w:fill="auto"/>
            <w:vAlign w:val="center"/>
            <w:hideMark/>
          </w:tcPr>
          <w:p w14:paraId="79A0F768" w14:textId="3CBC5309"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10.577.938</w:t>
            </w:r>
          </w:p>
        </w:tc>
        <w:tc>
          <w:tcPr>
            <w:tcW w:w="1701" w:type="dxa"/>
            <w:tcBorders>
              <w:top w:val="nil"/>
              <w:left w:val="nil"/>
              <w:bottom w:val="single" w:sz="4" w:space="0" w:color="auto"/>
              <w:right w:val="single" w:sz="4" w:space="0" w:color="auto"/>
            </w:tcBorders>
            <w:shd w:val="clear" w:color="auto" w:fill="auto"/>
            <w:vAlign w:val="center"/>
            <w:hideMark/>
          </w:tcPr>
          <w:p w14:paraId="2F404B37" w14:textId="60ACBE2D"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0,36</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0924F53" w14:textId="0BD7670B"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0,88</w:t>
            </w:r>
            <w:r w:rsidR="00992170" w:rsidRPr="00992170">
              <w:rPr>
                <w:rFonts w:ascii="Arial" w:hAnsi="Arial" w:cs="Arial"/>
                <w:sz w:val="18"/>
                <w:szCs w:val="18"/>
              </w:rPr>
              <w:t xml:space="preserve"> %</w:t>
            </w:r>
          </w:p>
        </w:tc>
      </w:tr>
      <w:tr w:rsidR="00154A47" w:rsidRPr="00992170" w14:paraId="2C0FAA95"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700064B0"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5A23A96C" w14:textId="53E5EBE5" w:rsidR="00154A47" w:rsidRPr="00992170" w:rsidRDefault="00154A47" w:rsidP="00154A47">
            <w:pPr>
              <w:spacing w:after="0" w:line="240" w:lineRule="auto"/>
              <w:jc w:val="both"/>
              <w:rPr>
                <w:rFonts w:ascii="Arial" w:eastAsia="Times New Roman" w:hAnsi="Arial" w:cs="Arial"/>
                <w:b/>
                <w:bCs/>
                <w:sz w:val="18"/>
                <w:szCs w:val="18"/>
                <w:lang w:eastAsia="sl-SI"/>
              </w:rPr>
            </w:pPr>
            <w:r w:rsidRPr="00992170">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auto"/>
            <w:vAlign w:val="center"/>
            <w:hideMark/>
          </w:tcPr>
          <w:p w14:paraId="25278D3F" w14:textId="0C9759EE"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10.967</w:t>
            </w:r>
          </w:p>
        </w:tc>
        <w:tc>
          <w:tcPr>
            <w:tcW w:w="1432" w:type="dxa"/>
            <w:tcBorders>
              <w:top w:val="nil"/>
              <w:left w:val="nil"/>
              <w:bottom w:val="single" w:sz="4" w:space="0" w:color="auto"/>
              <w:right w:val="single" w:sz="4" w:space="0" w:color="auto"/>
            </w:tcBorders>
            <w:shd w:val="clear" w:color="auto" w:fill="auto"/>
            <w:vAlign w:val="center"/>
            <w:hideMark/>
          </w:tcPr>
          <w:p w14:paraId="79626AC5" w14:textId="2E658685"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1.197.625.996</w:t>
            </w:r>
          </w:p>
        </w:tc>
        <w:tc>
          <w:tcPr>
            <w:tcW w:w="1701" w:type="dxa"/>
            <w:tcBorders>
              <w:top w:val="nil"/>
              <w:left w:val="nil"/>
              <w:bottom w:val="single" w:sz="4" w:space="0" w:color="auto"/>
              <w:right w:val="single" w:sz="4" w:space="0" w:color="auto"/>
            </w:tcBorders>
            <w:shd w:val="clear" w:color="auto" w:fill="auto"/>
            <w:vAlign w:val="center"/>
            <w:hideMark/>
          </w:tcPr>
          <w:p w14:paraId="4FA7134F" w14:textId="3E42D5C8"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100,00</w:t>
            </w:r>
            <w:r w:rsidR="00992170" w:rsidRPr="00992170">
              <w:rPr>
                <w:rFonts w:ascii="Arial" w:hAnsi="Arial" w:cs="Arial"/>
                <w:b/>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9C8E65" w14:textId="7A85D5F1"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100,00</w:t>
            </w:r>
            <w:r w:rsidR="00992170" w:rsidRPr="00992170">
              <w:rPr>
                <w:rFonts w:ascii="Arial" w:hAnsi="Arial" w:cs="Arial"/>
                <w:b/>
                <w:sz w:val="18"/>
                <w:szCs w:val="18"/>
              </w:rPr>
              <w:t xml:space="preserve"> %</w:t>
            </w:r>
          </w:p>
        </w:tc>
      </w:tr>
      <w:tr w:rsidR="00154A47" w:rsidRPr="00992170" w14:paraId="7D58C49E" w14:textId="77777777" w:rsidTr="00232353">
        <w:trPr>
          <w:trHeight w:val="2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00FF390" w14:textId="51A1E725"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Storitve</w:t>
            </w:r>
          </w:p>
        </w:tc>
        <w:tc>
          <w:tcPr>
            <w:tcW w:w="1701" w:type="dxa"/>
            <w:tcBorders>
              <w:top w:val="nil"/>
              <w:left w:val="nil"/>
              <w:bottom w:val="single" w:sz="4" w:space="0" w:color="auto"/>
              <w:right w:val="single" w:sz="4" w:space="0" w:color="auto"/>
            </w:tcBorders>
            <w:shd w:val="clear" w:color="auto" w:fill="auto"/>
            <w:vAlign w:val="center"/>
            <w:hideMark/>
          </w:tcPr>
          <w:p w14:paraId="2EFFC88F" w14:textId="777777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Slovenija</w:t>
            </w:r>
          </w:p>
        </w:tc>
        <w:tc>
          <w:tcPr>
            <w:tcW w:w="850" w:type="dxa"/>
            <w:tcBorders>
              <w:top w:val="nil"/>
              <w:left w:val="nil"/>
              <w:bottom w:val="single" w:sz="4" w:space="0" w:color="auto"/>
              <w:right w:val="single" w:sz="4" w:space="0" w:color="auto"/>
            </w:tcBorders>
            <w:shd w:val="clear" w:color="auto" w:fill="auto"/>
            <w:vAlign w:val="center"/>
            <w:hideMark/>
          </w:tcPr>
          <w:p w14:paraId="25BDE97F" w14:textId="67DD3EC8"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3.761</w:t>
            </w:r>
          </w:p>
        </w:tc>
        <w:tc>
          <w:tcPr>
            <w:tcW w:w="1432" w:type="dxa"/>
            <w:tcBorders>
              <w:top w:val="nil"/>
              <w:left w:val="nil"/>
              <w:bottom w:val="single" w:sz="4" w:space="0" w:color="auto"/>
              <w:right w:val="single" w:sz="4" w:space="0" w:color="auto"/>
            </w:tcBorders>
            <w:shd w:val="clear" w:color="auto" w:fill="auto"/>
            <w:vAlign w:val="center"/>
            <w:hideMark/>
          </w:tcPr>
          <w:p w14:paraId="01B374EC" w14:textId="7ADFCB99"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717.545.466</w:t>
            </w:r>
          </w:p>
        </w:tc>
        <w:tc>
          <w:tcPr>
            <w:tcW w:w="1701" w:type="dxa"/>
            <w:tcBorders>
              <w:top w:val="nil"/>
              <w:left w:val="nil"/>
              <w:bottom w:val="single" w:sz="4" w:space="0" w:color="auto"/>
              <w:right w:val="single" w:sz="4" w:space="0" w:color="auto"/>
            </w:tcBorders>
            <w:shd w:val="clear" w:color="auto" w:fill="auto"/>
            <w:vAlign w:val="center"/>
            <w:hideMark/>
          </w:tcPr>
          <w:p w14:paraId="5C9935A9" w14:textId="3270C630"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96,68</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CAC6983" w14:textId="0256237C"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93,93</w:t>
            </w:r>
            <w:r w:rsidR="00992170" w:rsidRPr="00992170">
              <w:rPr>
                <w:rFonts w:ascii="Arial" w:hAnsi="Arial" w:cs="Arial"/>
                <w:sz w:val="18"/>
                <w:szCs w:val="18"/>
              </w:rPr>
              <w:t xml:space="preserve"> %</w:t>
            </w:r>
          </w:p>
        </w:tc>
      </w:tr>
      <w:tr w:rsidR="00154A47" w:rsidRPr="00992170" w14:paraId="1C20B766"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517BCF51"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15CD4240" w14:textId="777777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druga država EU</w:t>
            </w:r>
          </w:p>
        </w:tc>
        <w:tc>
          <w:tcPr>
            <w:tcW w:w="850" w:type="dxa"/>
            <w:tcBorders>
              <w:top w:val="nil"/>
              <w:left w:val="nil"/>
              <w:bottom w:val="single" w:sz="4" w:space="0" w:color="auto"/>
              <w:right w:val="single" w:sz="4" w:space="0" w:color="auto"/>
            </w:tcBorders>
            <w:shd w:val="clear" w:color="auto" w:fill="auto"/>
            <w:vAlign w:val="center"/>
            <w:hideMark/>
          </w:tcPr>
          <w:p w14:paraId="7E735355" w14:textId="79809E98"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108</w:t>
            </w:r>
          </w:p>
        </w:tc>
        <w:tc>
          <w:tcPr>
            <w:tcW w:w="1432" w:type="dxa"/>
            <w:tcBorders>
              <w:top w:val="nil"/>
              <w:left w:val="nil"/>
              <w:bottom w:val="single" w:sz="4" w:space="0" w:color="auto"/>
              <w:right w:val="single" w:sz="4" w:space="0" w:color="auto"/>
            </w:tcBorders>
            <w:shd w:val="clear" w:color="auto" w:fill="auto"/>
            <w:vAlign w:val="center"/>
            <w:hideMark/>
          </w:tcPr>
          <w:p w14:paraId="2950EC06" w14:textId="7FA503E1"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36.043.374</w:t>
            </w:r>
          </w:p>
        </w:tc>
        <w:tc>
          <w:tcPr>
            <w:tcW w:w="1701" w:type="dxa"/>
            <w:tcBorders>
              <w:top w:val="nil"/>
              <w:left w:val="nil"/>
              <w:bottom w:val="single" w:sz="4" w:space="0" w:color="auto"/>
              <w:right w:val="single" w:sz="4" w:space="0" w:color="auto"/>
            </w:tcBorders>
            <w:shd w:val="clear" w:color="auto" w:fill="auto"/>
            <w:vAlign w:val="center"/>
            <w:hideMark/>
          </w:tcPr>
          <w:p w14:paraId="207B7DAB" w14:textId="25BA7CF1"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2,78</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C90DAA5" w14:textId="0D5C74FC"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4,72</w:t>
            </w:r>
            <w:r w:rsidR="00992170" w:rsidRPr="00992170">
              <w:rPr>
                <w:rFonts w:ascii="Arial" w:hAnsi="Arial" w:cs="Arial"/>
                <w:sz w:val="18"/>
                <w:szCs w:val="18"/>
              </w:rPr>
              <w:t xml:space="preserve"> %</w:t>
            </w:r>
          </w:p>
        </w:tc>
      </w:tr>
      <w:tr w:rsidR="00154A47" w:rsidRPr="00992170" w14:paraId="65E76D93"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2E287429"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60FD13E5" w14:textId="15432B3D" w:rsidR="00154A47" w:rsidRPr="00992170" w:rsidRDefault="00CD4647" w:rsidP="00154A47">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zunaj</w:t>
            </w:r>
            <w:r w:rsidRPr="00992170">
              <w:rPr>
                <w:rFonts w:ascii="Arial" w:eastAsia="Times New Roman" w:hAnsi="Arial" w:cs="Arial"/>
                <w:sz w:val="18"/>
                <w:szCs w:val="18"/>
                <w:lang w:eastAsia="sl-SI"/>
              </w:rPr>
              <w:t xml:space="preserve"> </w:t>
            </w:r>
            <w:r w:rsidR="00154A47" w:rsidRPr="00992170">
              <w:rPr>
                <w:rFonts w:ascii="Arial" w:eastAsia="Times New Roman" w:hAnsi="Arial" w:cs="Arial"/>
                <w:sz w:val="18"/>
                <w:szCs w:val="18"/>
                <w:lang w:eastAsia="sl-SI"/>
              </w:rPr>
              <w:t>EU</w:t>
            </w:r>
          </w:p>
        </w:tc>
        <w:tc>
          <w:tcPr>
            <w:tcW w:w="850" w:type="dxa"/>
            <w:tcBorders>
              <w:top w:val="nil"/>
              <w:left w:val="nil"/>
              <w:bottom w:val="single" w:sz="4" w:space="0" w:color="auto"/>
              <w:right w:val="single" w:sz="4" w:space="0" w:color="auto"/>
            </w:tcBorders>
            <w:shd w:val="clear" w:color="auto" w:fill="auto"/>
            <w:vAlign w:val="center"/>
            <w:hideMark/>
          </w:tcPr>
          <w:p w14:paraId="67F13193" w14:textId="09691F5B"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21</w:t>
            </w:r>
          </w:p>
        </w:tc>
        <w:tc>
          <w:tcPr>
            <w:tcW w:w="1432" w:type="dxa"/>
            <w:tcBorders>
              <w:top w:val="nil"/>
              <w:left w:val="nil"/>
              <w:bottom w:val="single" w:sz="4" w:space="0" w:color="auto"/>
              <w:right w:val="single" w:sz="4" w:space="0" w:color="auto"/>
            </w:tcBorders>
            <w:shd w:val="clear" w:color="auto" w:fill="auto"/>
            <w:vAlign w:val="center"/>
            <w:hideMark/>
          </w:tcPr>
          <w:p w14:paraId="2B07B822" w14:textId="7A61EB47"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10.353.242</w:t>
            </w:r>
          </w:p>
        </w:tc>
        <w:tc>
          <w:tcPr>
            <w:tcW w:w="1701" w:type="dxa"/>
            <w:tcBorders>
              <w:top w:val="nil"/>
              <w:left w:val="nil"/>
              <w:bottom w:val="single" w:sz="4" w:space="0" w:color="auto"/>
              <w:right w:val="single" w:sz="4" w:space="0" w:color="auto"/>
            </w:tcBorders>
            <w:shd w:val="clear" w:color="auto" w:fill="auto"/>
            <w:vAlign w:val="center"/>
            <w:hideMark/>
          </w:tcPr>
          <w:p w14:paraId="622FC11F" w14:textId="44621133"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0,54</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10BB1F" w14:textId="4065E27F"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1,36</w:t>
            </w:r>
            <w:r w:rsidR="00992170" w:rsidRPr="00992170">
              <w:rPr>
                <w:rFonts w:ascii="Arial" w:hAnsi="Arial" w:cs="Arial"/>
                <w:sz w:val="18"/>
                <w:szCs w:val="18"/>
              </w:rPr>
              <w:t xml:space="preserve"> %</w:t>
            </w:r>
          </w:p>
        </w:tc>
      </w:tr>
      <w:tr w:rsidR="00154A47" w:rsidRPr="00992170" w14:paraId="5B2C6EA4"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7A638E05"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584C4C0D" w14:textId="04207BD5" w:rsidR="00154A47" w:rsidRPr="00992170" w:rsidRDefault="00154A47" w:rsidP="00154A47">
            <w:pPr>
              <w:spacing w:after="0" w:line="240" w:lineRule="auto"/>
              <w:jc w:val="both"/>
              <w:rPr>
                <w:rFonts w:ascii="Arial" w:eastAsia="Times New Roman" w:hAnsi="Arial" w:cs="Arial"/>
                <w:b/>
                <w:bCs/>
                <w:sz w:val="18"/>
                <w:szCs w:val="18"/>
                <w:lang w:eastAsia="sl-SI"/>
              </w:rPr>
            </w:pPr>
            <w:r w:rsidRPr="00992170">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auto"/>
            <w:vAlign w:val="center"/>
            <w:hideMark/>
          </w:tcPr>
          <w:p w14:paraId="020E80D8" w14:textId="782EF966"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3.890</w:t>
            </w:r>
          </w:p>
        </w:tc>
        <w:tc>
          <w:tcPr>
            <w:tcW w:w="1432" w:type="dxa"/>
            <w:tcBorders>
              <w:top w:val="nil"/>
              <w:left w:val="nil"/>
              <w:bottom w:val="single" w:sz="4" w:space="0" w:color="auto"/>
              <w:right w:val="single" w:sz="4" w:space="0" w:color="auto"/>
            </w:tcBorders>
            <w:shd w:val="clear" w:color="auto" w:fill="auto"/>
            <w:vAlign w:val="center"/>
            <w:hideMark/>
          </w:tcPr>
          <w:p w14:paraId="01718416" w14:textId="76885723"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763.942.082</w:t>
            </w:r>
          </w:p>
        </w:tc>
        <w:tc>
          <w:tcPr>
            <w:tcW w:w="1701" w:type="dxa"/>
            <w:tcBorders>
              <w:top w:val="nil"/>
              <w:left w:val="nil"/>
              <w:bottom w:val="single" w:sz="4" w:space="0" w:color="auto"/>
              <w:right w:val="single" w:sz="4" w:space="0" w:color="auto"/>
            </w:tcBorders>
            <w:shd w:val="clear" w:color="auto" w:fill="auto"/>
            <w:vAlign w:val="center"/>
            <w:hideMark/>
          </w:tcPr>
          <w:p w14:paraId="7AE4FA83" w14:textId="16E30483"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100,00</w:t>
            </w:r>
            <w:r w:rsidR="00992170" w:rsidRPr="00992170">
              <w:rPr>
                <w:rFonts w:ascii="Arial" w:hAnsi="Arial" w:cs="Arial"/>
                <w:b/>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D6B5F1B" w14:textId="5102FE52"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100,00</w:t>
            </w:r>
            <w:r w:rsidR="00992170" w:rsidRPr="00992170">
              <w:rPr>
                <w:rFonts w:ascii="Arial" w:hAnsi="Arial" w:cs="Arial"/>
                <w:b/>
                <w:sz w:val="18"/>
                <w:szCs w:val="18"/>
              </w:rPr>
              <w:t xml:space="preserve"> %</w:t>
            </w:r>
          </w:p>
        </w:tc>
      </w:tr>
      <w:tr w:rsidR="00154A47" w:rsidRPr="00992170" w14:paraId="66CBC69C" w14:textId="77777777" w:rsidTr="00232353">
        <w:trPr>
          <w:trHeight w:val="2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29D6FA1" w14:textId="365403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Gradnje</w:t>
            </w:r>
          </w:p>
        </w:tc>
        <w:tc>
          <w:tcPr>
            <w:tcW w:w="1701" w:type="dxa"/>
            <w:tcBorders>
              <w:top w:val="nil"/>
              <w:left w:val="nil"/>
              <w:bottom w:val="single" w:sz="4" w:space="0" w:color="auto"/>
              <w:right w:val="single" w:sz="4" w:space="0" w:color="auto"/>
            </w:tcBorders>
            <w:shd w:val="clear" w:color="auto" w:fill="auto"/>
            <w:vAlign w:val="center"/>
            <w:hideMark/>
          </w:tcPr>
          <w:p w14:paraId="7CD05C76" w14:textId="777777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Slovenija</w:t>
            </w:r>
          </w:p>
        </w:tc>
        <w:tc>
          <w:tcPr>
            <w:tcW w:w="850" w:type="dxa"/>
            <w:tcBorders>
              <w:top w:val="nil"/>
              <w:left w:val="nil"/>
              <w:bottom w:val="single" w:sz="4" w:space="0" w:color="auto"/>
              <w:right w:val="single" w:sz="4" w:space="0" w:color="auto"/>
            </w:tcBorders>
            <w:shd w:val="clear" w:color="auto" w:fill="auto"/>
            <w:vAlign w:val="center"/>
            <w:hideMark/>
          </w:tcPr>
          <w:p w14:paraId="60780710" w14:textId="28DB6204"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2.002</w:t>
            </w:r>
          </w:p>
        </w:tc>
        <w:tc>
          <w:tcPr>
            <w:tcW w:w="1432" w:type="dxa"/>
            <w:tcBorders>
              <w:top w:val="nil"/>
              <w:left w:val="nil"/>
              <w:bottom w:val="single" w:sz="4" w:space="0" w:color="auto"/>
              <w:right w:val="single" w:sz="4" w:space="0" w:color="auto"/>
            </w:tcBorders>
            <w:shd w:val="clear" w:color="auto" w:fill="auto"/>
            <w:vAlign w:val="center"/>
            <w:hideMark/>
          </w:tcPr>
          <w:p w14:paraId="77B3D5BD" w14:textId="15E37C3A"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935.851.456</w:t>
            </w:r>
          </w:p>
        </w:tc>
        <w:tc>
          <w:tcPr>
            <w:tcW w:w="1701" w:type="dxa"/>
            <w:tcBorders>
              <w:top w:val="nil"/>
              <w:left w:val="nil"/>
              <w:bottom w:val="single" w:sz="4" w:space="0" w:color="auto"/>
              <w:right w:val="single" w:sz="4" w:space="0" w:color="auto"/>
            </w:tcBorders>
            <w:shd w:val="clear" w:color="auto" w:fill="auto"/>
            <w:vAlign w:val="center"/>
            <w:hideMark/>
          </w:tcPr>
          <w:p w14:paraId="491BA733" w14:textId="02A86808"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99,70</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4EA2CF7" w14:textId="04BA9B58"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97,79</w:t>
            </w:r>
            <w:r w:rsidR="00992170" w:rsidRPr="00992170">
              <w:rPr>
                <w:rFonts w:ascii="Arial" w:hAnsi="Arial" w:cs="Arial"/>
                <w:sz w:val="18"/>
                <w:szCs w:val="18"/>
              </w:rPr>
              <w:t xml:space="preserve"> %</w:t>
            </w:r>
          </w:p>
        </w:tc>
      </w:tr>
      <w:tr w:rsidR="00154A47" w:rsidRPr="00992170" w14:paraId="30C1A723"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328F486E"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3DDA842B" w14:textId="77777777" w:rsidR="00154A47" w:rsidRPr="00992170" w:rsidRDefault="00154A47" w:rsidP="00154A47">
            <w:pPr>
              <w:spacing w:after="0" w:line="240" w:lineRule="auto"/>
              <w:jc w:val="both"/>
              <w:rPr>
                <w:rFonts w:ascii="Arial" w:eastAsia="Times New Roman" w:hAnsi="Arial" w:cs="Arial"/>
                <w:sz w:val="18"/>
                <w:szCs w:val="18"/>
                <w:lang w:eastAsia="sl-SI"/>
              </w:rPr>
            </w:pPr>
            <w:r w:rsidRPr="00992170">
              <w:rPr>
                <w:rFonts w:ascii="Arial" w:eastAsia="Times New Roman" w:hAnsi="Arial" w:cs="Arial"/>
                <w:sz w:val="18"/>
                <w:szCs w:val="18"/>
                <w:lang w:eastAsia="sl-SI"/>
              </w:rPr>
              <w:t>druga država EU</w:t>
            </w:r>
          </w:p>
        </w:tc>
        <w:tc>
          <w:tcPr>
            <w:tcW w:w="850" w:type="dxa"/>
            <w:tcBorders>
              <w:top w:val="nil"/>
              <w:left w:val="nil"/>
              <w:bottom w:val="single" w:sz="4" w:space="0" w:color="auto"/>
              <w:right w:val="single" w:sz="4" w:space="0" w:color="auto"/>
            </w:tcBorders>
            <w:shd w:val="clear" w:color="auto" w:fill="auto"/>
            <w:vAlign w:val="center"/>
            <w:hideMark/>
          </w:tcPr>
          <w:p w14:paraId="030D4828" w14:textId="2A0CA2EA"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6</w:t>
            </w:r>
          </w:p>
        </w:tc>
        <w:tc>
          <w:tcPr>
            <w:tcW w:w="1432" w:type="dxa"/>
            <w:tcBorders>
              <w:top w:val="nil"/>
              <w:left w:val="nil"/>
              <w:bottom w:val="single" w:sz="4" w:space="0" w:color="auto"/>
              <w:right w:val="single" w:sz="4" w:space="0" w:color="auto"/>
            </w:tcBorders>
            <w:shd w:val="clear" w:color="auto" w:fill="auto"/>
            <w:vAlign w:val="center"/>
            <w:hideMark/>
          </w:tcPr>
          <w:p w14:paraId="2F95D48A" w14:textId="4BBA22D1"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21.175.075</w:t>
            </w:r>
          </w:p>
        </w:tc>
        <w:tc>
          <w:tcPr>
            <w:tcW w:w="1701" w:type="dxa"/>
            <w:tcBorders>
              <w:top w:val="nil"/>
              <w:left w:val="nil"/>
              <w:bottom w:val="single" w:sz="4" w:space="0" w:color="auto"/>
              <w:right w:val="single" w:sz="4" w:space="0" w:color="auto"/>
            </w:tcBorders>
            <w:shd w:val="clear" w:color="auto" w:fill="auto"/>
            <w:vAlign w:val="center"/>
            <w:hideMark/>
          </w:tcPr>
          <w:p w14:paraId="220779D8" w14:textId="6D60579B"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0,30</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DA176F" w14:textId="40C4FFEC"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2,21</w:t>
            </w:r>
            <w:r w:rsidR="00992170" w:rsidRPr="00992170">
              <w:rPr>
                <w:rFonts w:ascii="Arial" w:hAnsi="Arial" w:cs="Arial"/>
                <w:sz w:val="18"/>
                <w:szCs w:val="18"/>
              </w:rPr>
              <w:t xml:space="preserve"> %</w:t>
            </w:r>
          </w:p>
        </w:tc>
      </w:tr>
      <w:tr w:rsidR="00154A47" w:rsidRPr="00992170" w14:paraId="0B491E6C"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1035AAD5"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75E75AEF" w14:textId="4CDE6E2B" w:rsidR="00154A47" w:rsidRPr="00992170" w:rsidRDefault="00CD4647" w:rsidP="00154A47">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zunaj</w:t>
            </w:r>
            <w:r w:rsidRPr="00992170">
              <w:rPr>
                <w:rFonts w:ascii="Arial" w:eastAsia="Times New Roman" w:hAnsi="Arial" w:cs="Arial"/>
                <w:sz w:val="18"/>
                <w:szCs w:val="18"/>
                <w:lang w:eastAsia="sl-SI"/>
              </w:rPr>
              <w:t xml:space="preserve"> </w:t>
            </w:r>
            <w:r w:rsidR="00154A47" w:rsidRPr="00992170">
              <w:rPr>
                <w:rFonts w:ascii="Arial" w:eastAsia="Times New Roman" w:hAnsi="Arial" w:cs="Arial"/>
                <w:sz w:val="18"/>
                <w:szCs w:val="18"/>
                <w:lang w:eastAsia="sl-SI"/>
              </w:rPr>
              <w:t>EU</w:t>
            </w:r>
          </w:p>
        </w:tc>
        <w:tc>
          <w:tcPr>
            <w:tcW w:w="850" w:type="dxa"/>
            <w:tcBorders>
              <w:top w:val="nil"/>
              <w:left w:val="nil"/>
              <w:bottom w:val="single" w:sz="4" w:space="0" w:color="auto"/>
              <w:right w:val="single" w:sz="4" w:space="0" w:color="auto"/>
            </w:tcBorders>
            <w:shd w:val="clear" w:color="auto" w:fill="auto"/>
            <w:vAlign w:val="center"/>
            <w:hideMark/>
          </w:tcPr>
          <w:p w14:paraId="47986D72" w14:textId="58F64CA9"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w:t>
            </w:r>
          </w:p>
        </w:tc>
        <w:tc>
          <w:tcPr>
            <w:tcW w:w="1432" w:type="dxa"/>
            <w:tcBorders>
              <w:top w:val="nil"/>
              <w:left w:val="nil"/>
              <w:bottom w:val="single" w:sz="4" w:space="0" w:color="auto"/>
              <w:right w:val="single" w:sz="4" w:space="0" w:color="auto"/>
            </w:tcBorders>
            <w:shd w:val="clear" w:color="auto" w:fill="auto"/>
            <w:vAlign w:val="center"/>
            <w:hideMark/>
          </w:tcPr>
          <w:p w14:paraId="3DAB9A89" w14:textId="0A922142"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w:t>
            </w:r>
          </w:p>
        </w:tc>
        <w:tc>
          <w:tcPr>
            <w:tcW w:w="1701" w:type="dxa"/>
            <w:tcBorders>
              <w:top w:val="nil"/>
              <w:left w:val="nil"/>
              <w:bottom w:val="single" w:sz="4" w:space="0" w:color="auto"/>
              <w:right w:val="single" w:sz="4" w:space="0" w:color="auto"/>
            </w:tcBorders>
            <w:shd w:val="clear" w:color="auto" w:fill="auto"/>
            <w:vAlign w:val="center"/>
            <w:hideMark/>
          </w:tcPr>
          <w:p w14:paraId="7B5457BA" w14:textId="2F3EB0E5"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0,00</w:t>
            </w:r>
            <w:r w:rsidR="00992170" w:rsidRPr="00992170">
              <w:rPr>
                <w:rFonts w:ascii="Arial" w:hAnsi="Arial"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DB6723A" w14:textId="2AB53F59" w:rsidR="00154A47" w:rsidRPr="00992170" w:rsidRDefault="00154A47" w:rsidP="00232353">
            <w:pPr>
              <w:spacing w:after="0" w:line="240" w:lineRule="auto"/>
              <w:jc w:val="right"/>
              <w:rPr>
                <w:rFonts w:ascii="Arial" w:eastAsia="Times New Roman" w:hAnsi="Arial" w:cs="Arial"/>
                <w:sz w:val="18"/>
                <w:szCs w:val="18"/>
                <w:lang w:eastAsia="sl-SI"/>
              </w:rPr>
            </w:pPr>
            <w:r w:rsidRPr="00992170">
              <w:rPr>
                <w:rFonts w:ascii="Arial" w:hAnsi="Arial" w:cs="Arial"/>
                <w:sz w:val="18"/>
                <w:szCs w:val="18"/>
              </w:rPr>
              <w:t>0,00</w:t>
            </w:r>
            <w:r w:rsidR="00992170" w:rsidRPr="00992170">
              <w:rPr>
                <w:rFonts w:ascii="Arial" w:hAnsi="Arial" w:cs="Arial"/>
                <w:sz w:val="18"/>
                <w:szCs w:val="18"/>
              </w:rPr>
              <w:t xml:space="preserve"> %</w:t>
            </w:r>
          </w:p>
        </w:tc>
      </w:tr>
      <w:tr w:rsidR="00154A47" w:rsidRPr="00992170" w14:paraId="7E533303" w14:textId="77777777" w:rsidTr="00232353">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0F20D8C0" w14:textId="77777777" w:rsidR="00154A47" w:rsidRPr="00992170" w:rsidRDefault="00154A47" w:rsidP="00154A47">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7A27E41C" w14:textId="441BE57A" w:rsidR="00154A47" w:rsidRPr="00992170" w:rsidRDefault="00154A47" w:rsidP="00154A47">
            <w:pPr>
              <w:spacing w:after="0" w:line="240" w:lineRule="auto"/>
              <w:jc w:val="both"/>
              <w:rPr>
                <w:rFonts w:ascii="Arial" w:eastAsia="Times New Roman" w:hAnsi="Arial" w:cs="Arial"/>
                <w:b/>
                <w:bCs/>
                <w:sz w:val="18"/>
                <w:szCs w:val="18"/>
                <w:lang w:eastAsia="sl-SI"/>
              </w:rPr>
            </w:pPr>
            <w:r w:rsidRPr="00992170">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auto"/>
            <w:vAlign w:val="center"/>
            <w:hideMark/>
          </w:tcPr>
          <w:p w14:paraId="6767065F" w14:textId="721936B0"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2.008</w:t>
            </w:r>
          </w:p>
        </w:tc>
        <w:tc>
          <w:tcPr>
            <w:tcW w:w="1432" w:type="dxa"/>
            <w:tcBorders>
              <w:top w:val="nil"/>
              <w:left w:val="nil"/>
              <w:bottom w:val="single" w:sz="4" w:space="0" w:color="auto"/>
              <w:right w:val="single" w:sz="4" w:space="0" w:color="auto"/>
            </w:tcBorders>
            <w:shd w:val="clear" w:color="auto" w:fill="auto"/>
            <w:vAlign w:val="center"/>
            <w:hideMark/>
          </w:tcPr>
          <w:p w14:paraId="766C629E" w14:textId="4A7ADD28"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957.026.531</w:t>
            </w:r>
          </w:p>
        </w:tc>
        <w:tc>
          <w:tcPr>
            <w:tcW w:w="1701" w:type="dxa"/>
            <w:tcBorders>
              <w:top w:val="nil"/>
              <w:left w:val="nil"/>
              <w:bottom w:val="single" w:sz="4" w:space="0" w:color="auto"/>
              <w:right w:val="single" w:sz="4" w:space="0" w:color="auto"/>
            </w:tcBorders>
            <w:shd w:val="clear" w:color="auto" w:fill="auto"/>
            <w:vAlign w:val="center"/>
            <w:hideMark/>
          </w:tcPr>
          <w:p w14:paraId="37104E1F" w14:textId="2E2C804E"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100,00</w:t>
            </w:r>
            <w:r w:rsidR="00992170" w:rsidRPr="00992170">
              <w:rPr>
                <w:rFonts w:ascii="Arial" w:hAnsi="Arial" w:cs="Arial"/>
                <w:b/>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791C585" w14:textId="32D612ED"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100,00</w:t>
            </w:r>
            <w:r w:rsidR="00992170" w:rsidRPr="00992170">
              <w:rPr>
                <w:rFonts w:ascii="Arial" w:hAnsi="Arial" w:cs="Arial"/>
                <w:b/>
                <w:sz w:val="18"/>
                <w:szCs w:val="18"/>
              </w:rPr>
              <w:t xml:space="preserve"> %</w:t>
            </w:r>
          </w:p>
        </w:tc>
      </w:tr>
      <w:tr w:rsidR="00154A47" w:rsidRPr="00992170" w14:paraId="3A8E05E7" w14:textId="77777777" w:rsidTr="00B45EE0">
        <w:trPr>
          <w:gridAfter w:val="2"/>
          <w:wAfter w:w="3402" w:type="dxa"/>
          <w:trHeight w:val="284"/>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58D90707" w14:textId="705EC896" w:rsidR="00154A47" w:rsidRPr="00992170" w:rsidRDefault="00154A47" w:rsidP="00154A47">
            <w:pPr>
              <w:spacing w:after="0" w:line="240" w:lineRule="auto"/>
              <w:rPr>
                <w:rFonts w:ascii="Arial" w:eastAsia="Times New Roman" w:hAnsi="Arial" w:cs="Arial"/>
                <w:b/>
                <w:bCs/>
                <w:sz w:val="18"/>
                <w:szCs w:val="18"/>
                <w:lang w:eastAsia="sl-SI"/>
              </w:rPr>
            </w:pPr>
            <w:r w:rsidRPr="00992170">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18EF8B03" w14:textId="6DFF0E91"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16.865</w:t>
            </w:r>
          </w:p>
        </w:tc>
        <w:tc>
          <w:tcPr>
            <w:tcW w:w="1432" w:type="dxa"/>
            <w:tcBorders>
              <w:top w:val="nil"/>
              <w:left w:val="nil"/>
              <w:bottom w:val="single" w:sz="4" w:space="0" w:color="auto"/>
              <w:right w:val="single" w:sz="4" w:space="0" w:color="auto"/>
            </w:tcBorders>
            <w:shd w:val="clear" w:color="auto" w:fill="E7E6E6" w:themeFill="background2"/>
            <w:vAlign w:val="center"/>
            <w:hideMark/>
          </w:tcPr>
          <w:p w14:paraId="38B4A20B" w14:textId="3A92DE66" w:rsidR="00154A47" w:rsidRPr="00992170" w:rsidRDefault="00154A47" w:rsidP="00232353">
            <w:pPr>
              <w:spacing w:after="0" w:line="240" w:lineRule="auto"/>
              <w:jc w:val="right"/>
              <w:rPr>
                <w:rFonts w:ascii="Arial" w:eastAsia="Times New Roman" w:hAnsi="Arial" w:cs="Arial"/>
                <w:b/>
                <w:bCs/>
                <w:sz w:val="18"/>
                <w:szCs w:val="18"/>
                <w:lang w:eastAsia="sl-SI"/>
              </w:rPr>
            </w:pPr>
            <w:r w:rsidRPr="00992170">
              <w:rPr>
                <w:rFonts w:ascii="Arial" w:hAnsi="Arial" w:cs="Arial"/>
                <w:b/>
                <w:sz w:val="18"/>
                <w:szCs w:val="18"/>
              </w:rPr>
              <w:t>2.918.594.609</w:t>
            </w:r>
          </w:p>
        </w:tc>
      </w:tr>
      <w:tr w:rsidR="008F7759" w:rsidRPr="00992170" w14:paraId="3DBF0A0B" w14:textId="77777777" w:rsidTr="007E6D2B">
        <w:trPr>
          <w:trHeight w:val="240"/>
          <w:jc w:val="center"/>
        </w:trPr>
        <w:tc>
          <w:tcPr>
            <w:tcW w:w="993" w:type="dxa"/>
            <w:tcBorders>
              <w:top w:val="nil"/>
              <w:left w:val="nil"/>
              <w:bottom w:val="nil"/>
              <w:right w:val="nil"/>
            </w:tcBorders>
            <w:shd w:val="clear" w:color="auto" w:fill="auto"/>
            <w:noWrap/>
            <w:vAlign w:val="center"/>
            <w:hideMark/>
          </w:tcPr>
          <w:p w14:paraId="758546BB" w14:textId="77777777" w:rsidR="008F7759" w:rsidRPr="00992170" w:rsidRDefault="008F7759" w:rsidP="008F7759">
            <w:pPr>
              <w:spacing w:after="0" w:line="240" w:lineRule="auto"/>
              <w:rPr>
                <w:rFonts w:ascii="Arial" w:eastAsia="Times New Roman" w:hAnsi="Arial" w:cs="Arial"/>
                <w:sz w:val="18"/>
                <w:szCs w:val="18"/>
                <w:lang w:eastAsia="sl-SI"/>
              </w:rPr>
            </w:pPr>
          </w:p>
        </w:tc>
        <w:tc>
          <w:tcPr>
            <w:tcW w:w="1701" w:type="dxa"/>
            <w:tcBorders>
              <w:top w:val="nil"/>
              <w:left w:val="nil"/>
              <w:bottom w:val="nil"/>
              <w:right w:val="nil"/>
            </w:tcBorders>
            <w:shd w:val="clear" w:color="auto" w:fill="auto"/>
            <w:noWrap/>
            <w:vAlign w:val="center"/>
            <w:hideMark/>
          </w:tcPr>
          <w:p w14:paraId="14F76FA5" w14:textId="77777777" w:rsidR="008F7759" w:rsidRPr="00992170" w:rsidRDefault="008F7759" w:rsidP="008F7759">
            <w:pPr>
              <w:spacing w:after="0" w:line="240" w:lineRule="auto"/>
              <w:rPr>
                <w:rFonts w:ascii="Arial" w:eastAsia="Times New Roman" w:hAnsi="Arial" w:cs="Arial"/>
                <w:sz w:val="18"/>
                <w:szCs w:val="18"/>
                <w:lang w:eastAsia="sl-SI"/>
              </w:rPr>
            </w:pPr>
          </w:p>
        </w:tc>
        <w:tc>
          <w:tcPr>
            <w:tcW w:w="850" w:type="dxa"/>
            <w:tcBorders>
              <w:top w:val="nil"/>
              <w:left w:val="nil"/>
              <w:bottom w:val="nil"/>
              <w:right w:val="nil"/>
            </w:tcBorders>
            <w:shd w:val="clear" w:color="auto" w:fill="auto"/>
            <w:noWrap/>
            <w:vAlign w:val="center"/>
            <w:hideMark/>
          </w:tcPr>
          <w:p w14:paraId="7382BC38" w14:textId="77777777" w:rsidR="008F7759" w:rsidRPr="00992170" w:rsidRDefault="008F7759" w:rsidP="008F7759">
            <w:pPr>
              <w:spacing w:after="0" w:line="240" w:lineRule="auto"/>
              <w:rPr>
                <w:rFonts w:ascii="Arial" w:eastAsia="Times New Roman" w:hAnsi="Arial" w:cs="Arial"/>
                <w:sz w:val="18"/>
                <w:szCs w:val="18"/>
                <w:lang w:eastAsia="sl-SI"/>
              </w:rPr>
            </w:pPr>
          </w:p>
        </w:tc>
        <w:tc>
          <w:tcPr>
            <w:tcW w:w="1432" w:type="dxa"/>
            <w:tcBorders>
              <w:top w:val="nil"/>
              <w:left w:val="nil"/>
              <w:bottom w:val="nil"/>
              <w:right w:val="nil"/>
            </w:tcBorders>
            <w:shd w:val="clear" w:color="auto" w:fill="auto"/>
            <w:noWrap/>
            <w:vAlign w:val="center"/>
            <w:hideMark/>
          </w:tcPr>
          <w:p w14:paraId="797BA1C8" w14:textId="77777777" w:rsidR="008F7759" w:rsidRPr="00992170" w:rsidRDefault="008F7759" w:rsidP="008F7759">
            <w:pPr>
              <w:spacing w:after="0" w:line="240" w:lineRule="auto"/>
              <w:rPr>
                <w:rFonts w:ascii="Arial" w:eastAsia="Times New Roman" w:hAnsi="Arial" w:cs="Arial"/>
                <w:sz w:val="18"/>
                <w:szCs w:val="18"/>
                <w:lang w:eastAsia="sl-SI"/>
              </w:rPr>
            </w:pPr>
          </w:p>
        </w:tc>
        <w:tc>
          <w:tcPr>
            <w:tcW w:w="1701" w:type="dxa"/>
            <w:tcBorders>
              <w:top w:val="nil"/>
              <w:left w:val="nil"/>
              <w:bottom w:val="nil"/>
              <w:right w:val="nil"/>
            </w:tcBorders>
            <w:shd w:val="clear" w:color="auto" w:fill="auto"/>
            <w:noWrap/>
            <w:vAlign w:val="center"/>
            <w:hideMark/>
          </w:tcPr>
          <w:p w14:paraId="16FA7629" w14:textId="77777777" w:rsidR="008F7759" w:rsidRPr="00992170" w:rsidRDefault="008F7759" w:rsidP="008F7759">
            <w:pPr>
              <w:spacing w:after="0" w:line="240" w:lineRule="auto"/>
              <w:rPr>
                <w:rFonts w:ascii="Arial" w:eastAsia="Times New Roman" w:hAnsi="Arial" w:cs="Arial"/>
                <w:sz w:val="18"/>
                <w:szCs w:val="18"/>
                <w:lang w:eastAsia="sl-SI"/>
              </w:rPr>
            </w:pPr>
          </w:p>
        </w:tc>
        <w:tc>
          <w:tcPr>
            <w:tcW w:w="1701" w:type="dxa"/>
            <w:tcBorders>
              <w:top w:val="nil"/>
              <w:left w:val="nil"/>
              <w:bottom w:val="nil"/>
              <w:right w:val="nil"/>
            </w:tcBorders>
            <w:shd w:val="clear" w:color="auto" w:fill="auto"/>
            <w:noWrap/>
            <w:vAlign w:val="center"/>
            <w:hideMark/>
          </w:tcPr>
          <w:p w14:paraId="2193CA27" w14:textId="77777777" w:rsidR="008F7759" w:rsidRPr="00992170" w:rsidRDefault="008F7759" w:rsidP="008F7759">
            <w:pPr>
              <w:spacing w:after="0" w:line="240" w:lineRule="auto"/>
              <w:rPr>
                <w:rFonts w:ascii="Arial" w:eastAsia="Times New Roman" w:hAnsi="Arial" w:cs="Arial"/>
                <w:sz w:val="18"/>
                <w:szCs w:val="18"/>
                <w:lang w:eastAsia="sl-SI"/>
              </w:rPr>
            </w:pPr>
          </w:p>
        </w:tc>
      </w:tr>
    </w:tbl>
    <w:p w14:paraId="3C8B949A" w14:textId="4CAEC884" w:rsidR="008F7759" w:rsidRPr="00992170" w:rsidRDefault="008F7759" w:rsidP="00701C10">
      <w:pPr>
        <w:spacing w:after="240" w:line="240" w:lineRule="auto"/>
        <w:jc w:val="center"/>
        <w:rPr>
          <w:rFonts w:ascii="Arial" w:hAnsi="Arial" w:cs="Arial"/>
          <w:sz w:val="18"/>
        </w:rPr>
      </w:pPr>
      <w:r w:rsidRPr="00992170">
        <w:rPr>
          <w:rFonts w:ascii="Arial" w:hAnsi="Arial" w:cs="Arial"/>
          <w:sz w:val="18"/>
        </w:rPr>
        <w:t>Vir: Statistični podatki o javni</w:t>
      </w:r>
      <w:r w:rsidR="007E6D2B" w:rsidRPr="00992170">
        <w:rPr>
          <w:rFonts w:ascii="Arial" w:hAnsi="Arial" w:cs="Arial"/>
          <w:sz w:val="18"/>
        </w:rPr>
        <w:t>h naročilih, oddanih v letu 201</w:t>
      </w:r>
      <w:r w:rsidR="00154A47" w:rsidRPr="00992170">
        <w:rPr>
          <w:rFonts w:ascii="Arial" w:hAnsi="Arial" w:cs="Arial"/>
          <w:sz w:val="18"/>
        </w:rPr>
        <w:t>8</w:t>
      </w:r>
    </w:p>
    <w:p w14:paraId="51E4D848" w14:textId="1ADE7DE0" w:rsidR="00170C9C" w:rsidRPr="00170C9C" w:rsidRDefault="00CD4647" w:rsidP="009865C3">
      <w:pPr>
        <w:spacing w:line="360" w:lineRule="auto"/>
        <w:jc w:val="both"/>
        <w:rPr>
          <w:rFonts w:ascii="Arial" w:hAnsi="Arial" w:cs="Arial"/>
          <w:bCs/>
          <w:sz w:val="20"/>
          <w:szCs w:val="20"/>
          <w:lang w:eastAsia="sl-SI"/>
        </w:rPr>
      </w:pPr>
      <w:r>
        <w:rPr>
          <w:rFonts w:ascii="Arial" w:hAnsi="Arial" w:cs="Arial"/>
          <w:sz w:val="20"/>
          <w:szCs w:val="20"/>
        </w:rPr>
        <w:t>Leta</w:t>
      </w:r>
      <w:r w:rsidR="00170C9C" w:rsidRPr="00C462BD">
        <w:rPr>
          <w:rFonts w:ascii="Arial" w:hAnsi="Arial" w:cs="Arial"/>
          <w:sz w:val="20"/>
          <w:szCs w:val="20"/>
        </w:rPr>
        <w:t xml:space="preserve"> 2018 je bilo slovenskim ponudnikom oddanih 16.459</w:t>
      </w:r>
      <w:r w:rsidR="00FA0EF9">
        <w:rPr>
          <w:rFonts w:ascii="Arial" w:hAnsi="Arial" w:cs="Arial"/>
          <w:sz w:val="20"/>
          <w:szCs w:val="20"/>
        </w:rPr>
        <w:t xml:space="preserve"> </w:t>
      </w:r>
      <w:r w:rsidR="00170C9C" w:rsidRPr="00C462BD">
        <w:rPr>
          <w:rFonts w:ascii="Arial" w:hAnsi="Arial" w:cs="Arial"/>
          <w:sz w:val="20"/>
          <w:szCs w:val="20"/>
        </w:rPr>
        <w:t>javnih naročil, ki jih je treba objaviti na portalu javnih naročil oziroma v Uradnem listu Evropske unije, in sicer v skupni vrednosti 2.530.228.873 evrov, kar je 97,59 % vseh naročil, ki jih je treba objaviti, in 86,69 % vrednosti teh naročil. Ponudniki iz drugih držav so pridobili 406 javnih naročil v vrednosti 388.365.736 evrov, kar je po številu 2,41 % naročil, ki jih je treba objaviti, po vrednosti pa 13,31 % teh naročil</w:t>
      </w:r>
      <w:r w:rsidR="00170C9C" w:rsidRPr="00C462BD">
        <w:rPr>
          <w:rFonts w:ascii="Arial" w:hAnsi="Arial" w:cs="Arial"/>
          <w:bCs/>
          <w:sz w:val="20"/>
          <w:szCs w:val="20"/>
          <w:lang w:eastAsia="sl-SI"/>
        </w:rPr>
        <w:t>.</w:t>
      </w:r>
      <w:r w:rsidR="00170C9C" w:rsidRPr="007C0BE0">
        <w:rPr>
          <w:rFonts w:ascii="Arial" w:hAnsi="Arial" w:cs="Arial"/>
          <w:bCs/>
          <w:sz w:val="20"/>
          <w:szCs w:val="20"/>
          <w:lang w:eastAsia="sl-SI"/>
        </w:rPr>
        <w:t xml:space="preserve"> </w:t>
      </w:r>
    </w:p>
    <w:p w14:paraId="4337F8AD" w14:textId="648FAE26" w:rsidR="009865C3" w:rsidRPr="00DF2EF4" w:rsidRDefault="00DD2501" w:rsidP="009865C3">
      <w:pPr>
        <w:spacing w:line="360" w:lineRule="auto"/>
        <w:jc w:val="both"/>
        <w:rPr>
          <w:rFonts w:ascii="Arial" w:hAnsi="Arial" w:cs="Arial"/>
          <w:sz w:val="20"/>
          <w:szCs w:val="20"/>
          <w:lang w:eastAsia="sl-SI"/>
        </w:rPr>
      </w:pPr>
      <w:r w:rsidRPr="00FD70BD">
        <w:rPr>
          <w:rFonts w:ascii="Arial" w:hAnsi="Arial" w:cs="Arial"/>
          <w:sz w:val="20"/>
          <w:szCs w:val="20"/>
          <w:lang w:eastAsia="sl-SI"/>
        </w:rPr>
        <w:t>Največja razlika v d</w:t>
      </w:r>
      <w:r w:rsidR="00D346AF" w:rsidRPr="00FD70BD">
        <w:rPr>
          <w:rFonts w:ascii="Arial" w:hAnsi="Arial" w:cs="Arial"/>
          <w:sz w:val="20"/>
          <w:szCs w:val="20"/>
          <w:lang w:eastAsia="sl-SI"/>
        </w:rPr>
        <w:t>elež</w:t>
      </w:r>
      <w:r w:rsidRPr="00FD70BD">
        <w:rPr>
          <w:rFonts w:ascii="Arial" w:hAnsi="Arial" w:cs="Arial"/>
          <w:sz w:val="20"/>
          <w:szCs w:val="20"/>
          <w:lang w:eastAsia="sl-SI"/>
        </w:rPr>
        <w:t>u</w:t>
      </w:r>
      <w:r w:rsidR="00D346AF" w:rsidRPr="00FD70BD">
        <w:rPr>
          <w:rFonts w:ascii="Arial" w:hAnsi="Arial" w:cs="Arial"/>
          <w:sz w:val="20"/>
          <w:szCs w:val="20"/>
          <w:lang w:eastAsia="sl-SI"/>
        </w:rPr>
        <w:t xml:space="preserve"> tujih ponudnikov </w:t>
      </w:r>
      <w:r w:rsidR="00C82337" w:rsidRPr="00FD70BD">
        <w:rPr>
          <w:rFonts w:ascii="Arial" w:hAnsi="Arial" w:cs="Arial"/>
          <w:sz w:val="20"/>
          <w:szCs w:val="20"/>
          <w:lang w:eastAsia="sl-SI"/>
        </w:rPr>
        <w:t>po</w:t>
      </w:r>
      <w:r w:rsidR="00D346AF" w:rsidRPr="00FD70BD">
        <w:rPr>
          <w:rFonts w:ascii="Arial" w:hAnsi="Arial" w:cs="Arial"/>
          <w:sz w:val="20"/>
          <w:szCs w:val="20"/>
          <w:lang w:eastAsia="sl-SI"/>
        </w:rPr>
        <w:t xml:space="preserve"> številu oddanih </w:t>
      </w:r>
      <w:r w:rsidRPr="00FD70BD">
        <w:rPr>
          <w:rFonts w:ascii="Arial" w:hAnsi="Arial" w:cs="Arial"/>
          <w:sz w:val="20"/>
          <w:szCs w:val="20"/>
          <w:lang w:eastAsia="sl-SI"/>
        </w:rPr>
        <w:t>javnih naročil</w:t>
      </w:r>
      <w:r w:rsidR="009865C3" w:rsidRPr="00FD70BD">
        <w:rPr>
          <w:rFonts w:ascii="Arial" w:hAnsi="Arial" w:cs="Arial"/>
          <w:sz w:val="20"/>
          <w:szCs w:val="20"/>
          <w:lang w:eastAsia="sl-SI"/>
        </w:rPr>
        <w:t>,</w:t>
      </w:r>
      <w:r w:rsidR="00D346AF" w:rsidRPr="00FD70BD">
        <w:rPr>
          <w:rFonts w:ascii="Arial" w:hAnsi="Arial" w:cs="Arial"/>
          <w:sz w:val="20"/>
          <w:szCs w:val="20"/>
          <w:lang w:eastAsia="sl-SI"/>
        </w:rPr>
        <w:t xml:space="preserve"> objavljenih na portalu javnih naročil in v </w:t>
      </w:r>
      <w:r w:rsidR="00D346AF" w:rsidRPr="00FD70BD">
        <w:rPr>
          <w:rFonts w:ascii="Arial" w:hAnsi="Arial" w:cs="Arial"/>
          <w:bCs/>
          <w:sz w:val="20"/>
          <w:szCs w:val="20"/>
        </w:rPr>
        <w:t xml:space="preserve">Uradnem listu Evropske unije, glede na delež pri </w:t>
      </w:r>
      <w:r w:rsidRPr="00FD70BD">
        <w:rPr>
          <w:rFonts w:ascii="Arial" w:hAnsi="Arial" w:cs="Arial"/>
          <w:bCs/>
          <w:sz w:val="20"/>
          <w:szCs w:val="20"/>
        </w:rPr>
        <w:t xml:space="preserve">javnih </w:t>
      </w:r>
      <w:r w:rsidR="00D346AF" w:rsidRPr="00FD70BD">
        <w:rPr>
          <w:rFonts w:ascii="Arial" w:hAnsi="Arial" w:cs="Arial"/>
          <w:bCs/>
          <w:sz w:val="20"/>
          <w:szCs w:val="20"/>
        </w:rPr>
        <w:t xml:space="preserve">naročilih, objavljenih </w:t>
      </w:r>
      <w:r w:rsidR="00D346AF" w:rsidRPr="00FD70BD">
        <w:rPr>
          <w:rFonts w:ascii="Arial" w:hAnsi="Arial" w:cs="Arial"/>
          <w:sz w:val="20"/>
          <w:szCs w:val="20"/>
          <w:lang w:eastAsia="sl-SI"/>
        </w:rPr>
        <w:t>samo na portalu javnih naročil</w:t>
      </w:r>
      <w:r w:rsidR="00AE3124" w:rsidRPr="00FD70BD">
        <w:rPr>
          <w:rFonts w:ascii="Arial" w:hAnsi="Arial" w:cs="Arial"/>
          <w:sz w:val="20"/>
          <w:szCs w:val="20"/>
          <w:lang w:eastAsia="sl-SI"/>
        </w:rPr>
        <w:t>,</w:t>
      </w:r>
      <w:r w:rsidR="00A402D7" w:rsidRPr="00FD70BD">
        <w:rPr>
          <w:rFonts w:ascii="Arial" w:hAnsi="Arial" w:cs="Arial"/>
          <w:sz w:val="20"/>
          <w:szCs w:val="20"/>
          <w:lang w:eastAsia="sl-SI"/>
        </w:rPr>
        <w:t xml:space="preserve"> je pri naročilih </w:t>
      </w:r>
      <w:r w:rsidR="00FD70BD" w:rsidRPr="00FD70BD">
        <w:rPr>
          <w:rFonts w:ascii="Arial" w:hAnsi="Arial" w:cs="Arial"/>
          <w:sz w:val="20"/>
          <w:szCs w:val="20"/>
          <w:lang w:eastAsia="sl-SI"/>
        </w:rPr>
        <w:t>gradenj</w:t>
      </w:r>
      <w:r w:rsidRPr="00FD70BD">
        <w:rPr>
          <w:rFonts w:ascii="Arial" w:hAnsi="Arial" w:cs="Arial"/>
          <w:sz w:val="20"/>
          <w:szCs w:val="20"/>
          <w:lang w:eastAsia="sl-SI"/>
        </w:rPr>
        <w:t>, in sicer</w:t>
      </w:r>
      <w:r w:rsidR="00D346AF" w:rsidRPr="00FD70BD">
        <w:rPr>
          <w:rFonts w:ascii="Arial" w:hAnsi="Arial" w:cs="Arial"/>
          <w:sz w:val="20"/>
          <w:szCs w:val="20"/>
          <w:lang w:eastAsia="sl-SI"/>
        </w:rPr>
        <w:t xml:space="preserve"> </w:t>
      </w:r>
      <w:r w:rsidR="00FD70BD" w:rsidRPr="00FD70BD">
        <w:rPr>
          <w:rFonts w:ascii="Arial" w:hAnsi="Arial" w:cs="Arial"/>
          <w:sz w:val="20"/>
          <w:szCs w:val="20"/>
          <w:lang w:eastAsia="sl-SI"/>
        </w:rPr>
        <w:t>2,09</w:t>
      </w:r>
      <w:r w:rsidR="00D346AF" w:rsidRPr="00FD70BD">
        <w:rPr>
          <w:rFonts w:ascii="Arial" w:hAnsi="Arial" w:cs="Arial"/>
          <w:sz w:val="20"/>
          <w:szCs w:val="20"/>
          <w:lang w:eastAsia="sl-SI"/>
        </w:rPr>
        <w:t xml:space="preserve"> odstotne </w:t>
      </w:r>
      <w:r w:rsidR="00D346AF" w:rsidRPr="00DF2EF4">
        <w:rPr>
          <w:rFonts w:ascii="Arial" w:hAnsi="Arial" w:cs="Arial"/>
          <w:sz w:val="20"/>
          <w:szCs w:val="20"/>
          <w:lang w:eastAsia="sl-SI"/>
        </w:rPr>
        <w:t xml:space="preserve">točke. </w:t>
      </w:r>
      <w:r w:rsidR="009865C3" w:rsidRPr="00DF2EF4">
        <w:rPr>
          <w:rFonts w:ascii="Arial" w:hAnsi="Arial" w:cs="Arial"/>
          <w:sz w:val="20"/>
          <w:szCs w:val="20"/>
          <w:lang w:eastAsia="sl-SI"/>
        </w:rPr>
        <w:t xml:space="preserve">Razlika v deležu vrednosti </w:t>
      </w:r>
      <w:r w:rsidR="00AE3124" w:rsidRPr="00DF2EF4">
        <w:rPr>
          <w:rFonts w:ascii="Arial" w:hAnsi="Arial" w:cs="Arial"/>
          <w:sz w:val="20"/>
          <w:szCs w:val="20"/>
          <w:lang w:eastAsia="sl-SI"/>
        </w:rPr>
        <w:t xml:space="preserve">je </w:t>
      </w:r>
      <w:r w:rsidR="009865C3" w:rsidRPr="00DF2EF4">
        <w:rPr>
          <w:rFonts w:ascii="Arial" w:hAnsi="Arial" w:cs="Arial"/>
          <w:sz w:val="20"/>
          <w:szCs w:val="20"/>
          <w:lang w:eastAsia="sl-SI"/>
        </w:rPr>
        <w:t>največja pri naročilih</w:t>
      </w:r>
      <w:r w:rsidR="00DF2EF4" w:rsidRPr="00DF2EF4">
        <w:rPr>
          <w:rFonts w:ascii="Arial" w:hAnsi="Arial" w:cs="Arial"/>
          <w:sz w:val="20"/>
          <w:szCs w:val="20"/>
          <w:lang w:eastAsia="sl-SI"/>
        </w:rPr>
        <w:t xml:space="preserve"> blaga</w:t>
      </w:r>
      <w:r w:rsidR="009865C3" w:rsidRPr="00DF2EF4">
        <w:rPr>
          <w:rFonts w:ascii="Arial" w:hAnsi="Arial" w:cs="Arial"/>
          <w:sz w:val="20"/>
          <w:szCs w:val="20"/>
          <w:lang w:eastAsia="sl-SI"/>
        </w:rPr>
        <w:t xml:space="preserve">, kjer je delež pri številu naročil, oddanih tujim ponudnikom, </w:t>
      </w:r>
      <w:r w:rsidR="002E0EEE" w:rsidRPr="00DF2EF4">
        <w:rPr>
          <w:rFonts w:ascii="Arial" w:hAnsi="Arial" w:cs="Arial"/>
          <w:sz w:val="20"/>
          <w:szCs w:val="20"/>
          <w:lang w:eastAsia="sl-SI"/>
        </w:rPr>
        <w:t>večji</w:t>
      </w:r>
      <w:r w:rsidR="009865C3" w:rsidRPr="00DF2EF4">
        <w:rPr>
          <w:rFonts w:ascii="Arial" w:hAnsi="Arial" w:cs="Arial"/>
          <w:sz w:val="20"/>
          <w:szCs w:val="20"/>
          <w:lang w:eastAsia="sl-SI"/>
        </w:rPr>
        <w:t xml:space="preserve"> pri naročilih, ki so </w:t>
      </w:r>
      <w:r w:rsidR="00226AE1" w:rsidRPr="00DF2EF4">
        <w:rPr>
          <w:rFonts w:ascii="Arial" w:hAnsi="Arial" w:cs="Arial"/>
          <w:sz w:val="20"/>
          <w:szCs w:val="20"/>
          <w:lang w:eastAsia="sl-SI"/>
        </w:rPr>
        <w:t>bila</w:t>
      </w:r>
      <w:r w:rsidR="009865C3" w:rsidRPr="00DF2EF4">
        <w:rPr>
          <w:rFonts w:ascii="Arial" w:hAnsi="Arial" w:cs="Arial"/>
          <w:sz w:val="20"/>
          <w:szCs w:val="20"/>
          <w:lang w:eastAsia="sl-SI"/>
        </w:rPr>
        <w:t xml:space="preserve"> objavljen</w:t>
      </w:r>
      <w:r w:rsidR="00226AE1" w:rsidRPr="00DF2EF4">
        <w:rPr>
          <w:rFonts w:ascii="Arial" w:hAnsi="Arial" w:cs="Arial"/>
          <w:sz w:val="20"/>
          <w:szCs w:val="20"/>
          <w:lang w:eastAsia="sl-SI"/>
        </w:rPr>
        <w:t>a na portalu javnih naročil in</w:t>
      </w:r>
      <w:r w:rsidR="009865C3" w:rsidRPr="00DF2EF4">
        <w:rPr>
          <w:rFonts w:ascii="Arial" w:hAnsi="Arial" w:cs="Arial"/>
          <w:sz w:val="20"/>
          <w:szCs w:val="20"/>
          <w:lang w:eastAsia="sl-SI"/>
        </w:rPr>
        <w:t xml:space="preserve"> v </w:t>
      </w:r>
      <w:r w:rsidR="009865C3" w:rsidRPr="00DF2EF4">
        <w:rPr>
          <w:rFonts w:ascii="Arial" w:hAnsi="Arial" w:cs="Arial"/>
          <w:bCs/>
          <w:sz w:val="20"/>
          <w:szCs w:val="20"/>
        </w:rPr>
        <w:t>Uradnem listu Evropske unije</w:t>
      </w:r>
      <w:r w:rsidR="009865C3" w:rsidRPr="00DF2EF4">
        <w:rPr>
          <w:rFonts w:ascii="Arial" w:hAnsi="Arial" w:cs="Arial"/>
          <w:sz w:val="20"/>
          <w:szCs w:val="20"/>
          <w:lang w:eastAsia="sl-SI"/>
        </w:rPr>
        <w:t xml:space="preserve">, in sicer za </w:t>
      </w:r>
      <w:r w:rsidR="00DF2EF4" w:rsidRPr="00DF2EF4">
        <w:rPr>
          <w:rFonts w:ascii="Arial" w:hAnsi="Arial" w:cs="Arial"/>
          <w:sz w:val="20"/>
          <w:szCs w:val="20"/>
          <w:lang w:eastAsia="sl-SI"/>
        </w:rPr>
        <w:t>21,08</w:t>
      </w:r>
      <w:r w:rsidR="009865C3" w:rsidRPr="00DF2EF4">
        <w:rPr>
          <w:rFonts w:ascii="Arial" w:hAnsi="Arial" w:cs="Arial"/>
          <w:sz w:val="20"/>
          <w:szCs w:val="20"/>
          <w:lang w:eastAsia="sl-SI"/>
        </w:rPr>
        <w:t> odstotne točke.</w:t>
      </w:r>
    </w:p>
    <w:p w14:paraId="013DBEA3" w14:textId="7618CEE1" w:rsidR="00856997" w:rsidRPr="000364D4" w:rsidRDefault="00780489" w:rsidP="008A61FD">
      <w:pPr>
        <w:spacing w:before="120" w:after="120" w:line="240" w:lineRule="auto"/>
        <w:jc w:val="both"/>
        <w:rPr>
          <w:rFonts w:ascii="Arial" w:hAnsi="Arial" w:cs="Arial"/>
          <w:sz w:val="20"/>
        </w:rPr>
      </w:pPr>
      <w:r w:rsidRPr="000364D4">
        <w:rPr>
          <w:rFonts w:ascii="Arial" w:hAnsi="Arial" w:cs="Arial"/>
          <w:sz w:val="20"/>
        </w:rPr>
        <w:t xml:space="preserve">Preglednica </w:t>
      </w:r>
      <w:r w:rsidR="00AE18EF" w:rsidRPr="000364D4">
        <w:rPr>
          <w:rFonts w:ascii="Arial" w:hAnsi="Arial" w:cs="Arial"/>
          <w:sz w:val="20"/>
        </w:rPr>
        <w:t>4</w:t>
      </w:r>
      <w:r w:rsidR="00EB4423">
        <w:rPr>
          <w:rFonts w:ascii="Arial" w:hAnsi="Arial" w:cs="Arial"/>
          <w:sz w:val="20"/>
        </w:rPr>
        <w:t>3</w:t>
      </w:r>
      <w:r w:rsidRPr="000364D4">
        <w:rPr>
          <w:rFonts w:ascii="Arial" w:hAnsi="Arial" w:cs="Arial"/>
          <w:sz w:val="20"/>
        </w:rPr>
        <w:t xml:space="preserve">: Delež uspešnosti tujih ponudnikov </w:t>
      </w:r>
      <w:r w:rsidR="00AC44FC" w:rsidRPr="000364D4">
        <w:rPr>
          <w:rFonts w:ascii="Arial" w:hAnsi="Arial" w:cs="Arial"/>
          <w:sz w:val="20"/>
        </w:rPr>
        <w:t>glede na predmet naročanja in mesto objave javnega naročila</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
        <w:gridCol w:w="1589"/>
        <w:gridCol w:w="971"/>
        <w:gridCol w:w="940"/>
        <w:gridCol w:w="1916"/>
        <w:gridCol w:w="1304"/>
        <w:gridCol w:w="951"/>
      </w:tblGrid>
      <w:tr w:rsidR="00D37591" w:rsidRPr="000364D4" w14:paraId="39F4D7C7" w14:textId="77777777" w:rsidTr="00F45253">
        <w:trPr>
          <w:trHeight w:val="960"/>
          <w:tblHeader/>
          <w:jc w:val="center"/>
        </w:trPr>
        <w:tc>
          <w:tcPr>
            <w:tcW w:w="821" w:type="dxa"/>
            <w:shd w:val="clear" w:color="000000" w:fill="EDEDED"/>
            <w:vAlign w:val="center"/>
            <w:hideMark/>
          </w:tcPr>
          <w:p w14:paraId="57C375FE"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 xml:space="preserve">Predmet </w:t>
            </w:r>
          </w:p>
        </w:tc>
        <w:tc>
          <w:tcPr>
            <w:tcW w:w="1589" w:type="dxa"/>
            <w:shd w:val="clear" w:color="000000" w:fill="EDEDED"/>
            <w:vAlign w:val="center"/>
            <w:hideMark/>
          </w:tcPr>
          <w:p w14:paraId="00928903"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Objava v UL EU</w:t>
            </w:r>
          </w:p>
        </w:tc>
        <w:tc>
          <w:tcPr>
            <w:tcW w:w="971" w:type="dxa"/>
            <w:shd w:val="clear" w:color="000000" w:fill="EDEDED"/>
            <w:vAlign w:val="center"/>
            <w:hideMark/>
          </w:tcPr>
          <w:p w14:paraId="109EF59C"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Sedež ponudnika</w:t>
            </w:r>
          </w:p>
        </w:tc>
        <w:tc>
          <w:tcPr>
            <w:tcW w:w="940" w:type="dxa"/>
            <w:shd w:val="clear" w:color="000000" w:fill="EDEDED"/>
            <w:vAlign w:val="center"/>
            <w:hideMark/>
          </w:tcPr>
          <w:p w14:paraId="3D411A05"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Št. naročil</w:t>
            </w:r>
          </w:p>
        </w:tc>
        <w:tc>
          <w:tcPr>
            <w:tcW w:w="1916" w:type="dxa"/>
            <w:shd w:val="clear" w:color="000000" w:fill="EDEDED"/>
            <w:vAlign w:val="center"/>
            <w:hideMark/>
          </w:tcPr>
          <w:p w14:paraId="05900793"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Pogodbena vrednost</w:t>
            </w:r>
          </w:p>
        </w:tc>
        <w:tc>
          <w:tcPr>
            <w:tcW w:w="1304" w:type="dxa"/>
            <w:shd w:val="clear" w:color="000000" w:fill="EDEDED"/>
            <w:vAlign w:val="center"/>
            <w:hideMark/>
          </w:tcPr>
          <w:p w14:paraId="017F54CB"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Delež v št. istovrstnih naročil</w:t>
            </w:r>
          </w:p>
        </w:tc>
        <w:tc>
          <w:tcPr>
            <w:tcW w:w="951" w:type="dxa"/>
            <w:shd w:val="clear" w:color="000000" w:fill="EDEDED"/>
            <w:vAlign w:val="center"/>
            <w:hideMark/>
          </w:tcPr>
          <w:p w14:paraId="0CE4A0AD" w14:textId="77777777" w:rsidR="00EE3640" w:rsidRPr="00EE3640" w:rsidRDefault="00EE3640" w:rsidP="00EE364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Delež v vrednosti istovrstnih naročil</w:t>
            </w:r>
          </w:p>
        </w:tc>
      </w:tr>
      <w:tr w:rsidR="005609C0" w:rsidRPr="00EE3640" w14:paraId="760D813D" w14:textId="77777777" w:rsidTr="00B03975">
        <w:trPr>
          <w:trHeight w:val="300"/>
          <w:jc w:val="center"/>
        </w:trPr>
        <w:tc>
          <w:tcPr>
            <w:tcW w:w="821" w:type="dxa"/>
            <w:vMerge w:val="restart"/>
            <w:shd w:val="clear" w:color="auto" w:fill="auto"/>
            <w:vAlign w:val="center"/>
            <w:hideMark/>
          </w:tcPr>
          <w:p w14:paraId="0106C4DA" w14:textId="77777777" w:rsidR="005609C0" w:rsidRPr="00EE3640" w:rsidRDefault="005609C0" w:rsidP="005609C0">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Blago</w:t>
            </w:r>
          </w:p>
        </w:tc>
        <w:tc>
          <w:tcPr>
            <w:tcW w:w="1589" w:type="dxa"/>
            <w:vMerge w:val="restart"/>
            <w:shd w:val="clear" w:color="auto" w:fill="auto"/>
            <w:vAlign w:val="center"/>
            <w:hideMark/>
          </w:tcPr>
          <w:p w14:paraId="7BBA8901" w14:textId="77777777" w:rsidR="005609C0" w:rsidRPr="00EE3640" w:rsidRDefault="005609C0" w:rsidP="005609C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DA</w:t>
            </w:r>
          </w:p>
        </w:tc>
        <w:tc>
          <w:tcPr>
            <w:tcW w:w="971" w:type="dxa"/>
            <w:shd w:val="clear" w:color="auto" w:fill="auto"/>
            <w:vAlign w:val="center"/>
            <w:hideMark/>
          </w:tcPr>
          <w:p w14:paraId="3E26D2D7" w14:textId="77777777" w:rsidR="005609C0" w:rsidRPr="00EE3640" w:rsidRDefault="005609C0" w:rsidP="005609C0">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Slovenija</w:t>
            </w:r>
          </w:p>
        </w:tc>
        <w:tc>
          <w:tcPr>
            <w:tcW w:w="940" w:type="dxa"/>
            <w:shd w:val="clear" w:color="auto" w:fill="auto"/>
            <w:noWrap/>
            <w:vAlign w:val="center"/>
            <w:hideMark/>
          </w:tcPr>
          <w:p w14:paraId="727361A3"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6.396</w:t>
            </w:r>
          </w:p>
        </w:tc>
        <w:tc>
          <w:tcPr>
            <w:tcW w:w="1916" w:type="dxa"/>
            <w:shd w:val="clear" w:color="auto" w:fill="auto"/>
            <w:noWrap/>
            <w:vAlign w:val="center"/>
            <w:hideMark/>
          </w:tcPr>
          <w:p w14:paraId="4F759AC2"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725.628.413</w:t>
            </w:r>
          </w:p>
        </w:tc>
        <w:tc>
          <w:tcPr>
            <w:tcW w:w="1304" w:type="dxa"/>
            <w:shd w:val="clear" w:color="auto" w:fill="auto"/>
            <w:noWrap/>
            <w:vAlign w:val="center"/>
            <w:hideMark/>
          </w:tcPr>
          <w:p w14:paraId="6DBED7B8" w14:textId="283454A0"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98,10</w:t>
            </w:r>
            <w:r w:rsidR="00226EE5" w:rsidRPr="000364D4">
              <w:rPr>
                <w:rFonts w:ascii="Arial" w:hAnsi="Arial" w:cs="Arial"/>
                <w:sz w:val="18"/>
                <w:szCs w:val="18"/>
              </w:rPr>
              <w:t xml:space="preserve"> %</w:t>
            </w:r>
          </w:p>
        </w:tc>
        <w:tc>
          <w:tcPr>
            <w:tcW w:w="951" w:type="dxa"/>
            <w:shd w:val="clear" w:color="auto" w:fill="auto"/>
            <w:noWrap/>
            <w:vAlign w:val="center"/>
            <w:hideMark/>
          </w:tcPr>
          <w:p w14:paraId="4D66A67A" w14:textId="4A2FFC3E"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70,30</w:t>
            </w:r>
            <w:r w:rsidR="00226EE5" w:rsidRPr="000364D4">
              <w:rPr>
                <w:rFonts w:ascii="Arial" w:hAnsi="Arial" w:cs="Arial"/>
                <w:sz w:val="18"/>
                <w:szCs w:val="18"/>
              </w:rPr>
              <w:t xml:space="preserve"> %</w:t>
            </w:r>
          </w:p>
        </w:tc>
      </w:tr>
      <w:tr w:rsidR="005609C0" w:rsidRPr="00EE3640" w14:paraId="7046F3BC" w14:textId="77777777" w:rsidTr="00B03975">
        <w:trPr>
          <w:trHeight w:val="300"/>
          <w:jc w:val="center"/>
        </w:trPr>
        <w:tc>
          <w:tcPr>
            <w:tcW w:w="821" w:type="dxa"/>
            <w:vMerge/>
            <w:vAlign w:val="center"/>
            <w:hideMark/>
          </w:tcPr>
          <w:p w14:paraId="7F240914" w14:textId="77777777" w:rsidR="005609C0" w:rsidRPr="00EE3640" w:rsidRDefault="005609C0" w:rsidP="005609C0">
            <w:pPr>
              <w:spacing w:after="0" w:line="240" w:lineRule="auto"/>
              <w:rPr>
                <w:rFonts w:ascii="Arial" w:eastAsia="Times New Roman" w:hAnsi="Arial" w:cs="Arial"/>
                <w:color w:val="000000"/>
                <w:sz w:val="18"/>
                <w:szCs w:val="18"/>
                <w:lang w:eastAsia="sl-SI"/>
              </w:rPr>
            </w:pPr>
          </w:p>
        </w:tc>
        <w:tc>
          <w:tcPr>
            <w:tcW w:w="1589" w:type="dxa"/>
            <w:vMerge/>
            <w:vAlign w:val="center"/>
            <w:hideMark/>
          </w:tcPr>
          <w:p w14:paraId="247D314A" w14:textId="77777777" w:rsidR="005609C0" w:rsidRPr="00EE3640" w:rsidRDefault="005609C0" w:rsidP="005609C0">
            <w:pPr>
              <w:spacing w:after="0" w:line="240" w:lineRule="auto"/>
              <w:rPr>
                <w:rFonts w:ascii="Arial" w:eastAsia="Times New Roman" w:hAnsi="Arial" w:cs="Arial"/>
                <w:color w:val="000000"/>
                <w:sz w:val="18"/>
                <w:szCs w:val="18"/>
                <w:lang w:eastAsia="sl-SI"/>
              </w:rPr>
            </w:pPr>
          </w:p>
        </w:tc>
        <w:tc>
          <w:tcPr>
            <w:tcW w:w="971" w:type="dxa"/>
            <w:shd w:val="clear" w:color="auto" w:fill="auto"/>
            <w:vAlign w:val="center"/>
            <w:hideMark/>
          </w:tcPr>
          <w:p w14:paraId="71D8A272" w14:textId="77777777" w:rsidR="005609C0" w:rsidRPr="00EE3640" w:rsidRDefault="005609C0" w:rsidP="005609C0">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tujina</w:t>
            </w:r>
          </w:p>
        </w:tc>
        <w:tc>
          <w:tcPr>
            <w:tcW w:w="940" w:type="dxa"/>
            <w:shd w:val="clear" w:color="auto" w:fill="auto"/>
            <w:noWrap/>
            <w:vAlign w:val="center"/>
            <w:hideMark/>
          </w:tcPr>
          <w:p w14:paraId="1EDCE2F5"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124</w:t>
            </w:r>
          </w:p>
        </w:tc>
        <w:tc>
          <w:tcPr>
            <w:tcW w:w="1916" w:type="dxa"/>
            <w:shd w:val="clear" w:color="auto" w:fill="auto"/>
            <w:noWrap/>
            <w:vAlign w:val="center"/>
            <w:hideMark/>
          </w:tcPr>
          <w:p w14:paraId="1AFB8814"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306.529.012</w:t>
            </w:r>
          </w:p>
        </w:tc>
        <w:tc>
          <w:tcPr>
            <w:tcW w:w="1304" w:type="dxa"/>
            <w:shd w:val="clear" w:color="auto" w:fill="auto"/>
            <w:noWrap/>
            <w:vAlign w:val="center"/>
            <w:hideMark/>
          </w:tcPr>
          <w:p w14:paraId="3EA02E26" w14:textId="6E8C968E"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1,90</w:t>
            </w:r>
            <w:r w:rsidR="00226EE5" w:rsidRPr="000364D4">
              <w:rPr>
                <w:rFonts w:ascii="Arial" w:hAnsi="Arial" w:cs="Arial"/>
                <w:sz w:val="18"/>
                <w:szCs w:val="18"/>
              </w:rPr>
              <w:t xml:space="preserve"> %</w:t>
            </w:r>
          </w:p>
        </w:tc>
        <w:tc>
          <w:tcPr>
            <w:tcW w:w="951" w:type="dxa"/>
            <w:shd w:val="clear" w:color="auto" w:fill="auto"/>
            <w:noWrap/>
            <w:vAlign w:val="center"/>
            <w:hideMark/>
          </w:tcPr>
          <w:p w14:paraId="22173B34" w14:textId="0C3D7FAC"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29,70</w:t>
            </w:r>
            <w:r w:rsidR="00226EE5" w:rsidRPr="000364D4">
              <w:rPr>
                <w:rFonts w:ascii="Arial" w:hAnsi="Arial" w:cs="Arial"/>
                <w:sz w:val="18"/>
                <w:szCs w:val="18"/>
              </w:rPr>
              <w:t xml:space="preserve"> %</w:t>
            </w:r>
          </w:p>
        </w:tc>
      </w:tr>
      <w:tr w:rsidR="005609C0" w:rsidRPr="00EE3640" w14:paraId="24EEAC6B" w14:textId="77777777" w:rsidTr="00B03975">
        <w:trPr>
          <w:trHeight w:val="300"/>
          <w:jc w:val="center"/>
        </w:trPr>
        <w:tc>
          <w:tcPr>
            <w:tcW w:w="821" w:type="dxa"/>
            <w:vMerge/>
            <w:vAlign w:val="center"/>
            <w:hideMark/>
          </w:tcPr>
          <w:p w14:paraId="6D0155D3" w14:textId="77777777" w:rsidR="005609C0" w:rsidRPr="00EE3640" w:rsidRDefault="005609C0" w:rsidP="005609C0">
            <w:pPr>
              <w:spacing w:after="0" w:line="240" w:lineRule="auto"/>
              <w:rPr>
                <w:rFonts w:ascii="Arial" w:eastAsia="Times New Roman" w:hAnsi="Arial" w:cs="Arial"/>
                <w:color w:val="000000"/>
                <w:sz w:val="18"/>
                <w:szCs w:val="18"/>
                <w:lang w:eastAsia="sl-SI"/>
              </w:rPr>
            </w:pPr>
          </w:p>
        </w:tc>
        <w:tc>
          <w:tcPr>
            <w:tcW w:w="1589" w:type="dxa"/>
            <w:vMerge w:val="restart"/>
            <w:shd w:val="clear" w:color="auto" w:fill="auto"/>
            <w:vAlign w:val="center"/>
            <w:hideMark/>
          </w:tcPr>
          <w:p w14:paraId="67467A75" w14:textId="77777777" w:rsidR="005609C0" w:rsidRPr="00EE3640" w:rsidRDefault="005609C0" w:rsidP="005609C0">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NE</w:t>
            </w:r>
          </w:p>
        </w:tc>
        <w:tc>
          <w:tcPr>
            <w:tcW w:w="971" w:type="dxa"/>
            <w:shd w:val="clear" w:color="auto" w:fill="auto"/>
            <w:vAlign w:val="center"/>
            <w:hideMark/>
          </w:tcPr>
          <w:p w14:paraId="15D4CF9F" w14:textId="77777777" w:rsidR="005609C0" w:rsidRPr="00EE3640" w:rsidRDefault="005609C0" w:rsidP="005609C0">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Slovenija</w:t>
            </w:r>
          </w:p>
        </w:tc>
        <w:tc>
          <w:tcPr>
            <w:tcW w:w="940" w:type="dxa"/>
            <w:shd w:val="clear" w:color="auto" w:fill="auto"/>
            <w:noWrap/>
            <w:vAlign w:val="center"/>
            <w:hideMark/>
          </w:tcPr>
          <w:p w14:paraId="202DB691"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4.300</w:t>
            </w:r>
          </w:p>
        </w:tc>
        <w:tc>
          <w:tcPr>
            <w:tcW w:w="1916" w:type="dxa"/>
            <w:shd w:val="clear" w:color="auto" w:fill="auto"/>
            <w:noWrap/>
            <w:vAlign w:val="center"/>
            <w:hideMark/>
          </w:tcPr>
          <w:p w14:paraId="14C1AE2C"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151.203.538</w:t>
            </w:r>
          </w:p>
        </w:tc>
        <w:tc>
          <w:tcPr>
            <w:tcW w:w="1304" w:type="dxa"/>
            <w:shd w:val="clear" w:color="auto" w:fill="auto"/>
            <w:noWrap/>
            <w:vAlign w:val="center"/>
            <w:hideMark/>
          </w:tcPr>
          <w:p w14:paraId="65438B20" w14:textId="70924D88"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96,69</w:t>
            </w:r>
            <w:r w:rsidR="00226EE5" w:rsidRPr="000364D4">
              <w:rPr>
                <w:rFonts w:ascii="Arial" w:hAnsi="Arial" w:cs="Arial"/>
                <w:sz w:val="18"/>
                <w:szCs w:val="18"/>
              </w:rPr>
              <w:t xml:space="preserve"> %</w:t>
            </w:r>
          </w:p>
        </w:tc>
        <w:tc>
          <w:tcPr>
            <w:tcW w:w="951" w:type="dxa"/>
            <w:shd w:val="clear" w:color="auto" w:fill="auto"/>
            <w:noWrap/>
            <w:vAlign w:val="center"/>
            <w:hideMark/>
          </w:tcPr>
          <w:p w14:paraId="6B3D2CDB" w14:textId="3FA4AF8F"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91,38</w:t>
            </w:r>
            <w:r w:rsidR="00226EE5" w:rsidRPr="000364D4">
              <w:rPr>
                <w:rFonts w:ascii="Arial" w:hAnsi="Arial" w:cs="Arial"/>
                <w:sz w:val="18"/>
                <w:szCs w:val="18"/>
              </w:rPr>
              <w:t xml:space="preserve"> %</w:t>
            </w:r>
          </w:p>
        </w:tc>
      </w:tr>
      <w:tr w:rsidR="005609C0" w:rsidRPr="00EE3640" w14:paraId="1FAAC018" w14:textId="77777777" w:rsidTr="00B03975">
        <w:trPr>
          <w:trHeight w:val="300"/>
          <w:jc w:val="center"/>
        </w:trPr>
        <w:tc>
          <w:tcPr>
            <w:tcW w:w="821" w:type="dxa"/>
            <w:vMerge/>
            <w:vAlign w:val="center"/>
            <w:hideMark/>
          </w:tcPr>
          <w:p w14:paraId="73595D35" w14:textId="77777777" w:rsidR="005609C0" w:rsidRPr="00EE3640" w:rsidRDefault="005609C0" w:rsidP="005609C0">
            <w:pPr>
              <w:spacing w:after="0" w:line="240" w:lineRule="auto"/>
              <w:rPr>
                <w:rFonts w:ascii="Arial" w:eastAsia="Times New Roman" w:hAnsi="Arial" w:cs="Arial"/>
                <w:color w:val="000000"/>
                <w:sz w:val="18"/>
                <w:szCs w:val="18"/>
                <w:lang w:eastAsia="sl-SI"/>
              </w:rPr>
            </w:pPr>
          </w:p>
        </w:tc>
        <w:tc>
          <w:tcPr>
            <w:tcW w:w="1589" w:type="dxa"/>
            <w:vMerge/>
            <w:vAlign w:val="center"/>
            <w:hideMark/>
          </w:tcPr>
          <w:p w14:paraId="4659C060" w14:textId="77777777" w:rsidR="005609C0" w:rsidRPr="00EE3640" w:rsidRDefault="005609C0" w:rsidP="005609C0">
            <w:pPr>
              <w:spacing w:after="0" w:line="240" w:lineRule="auto"/>
              <w:rPr>
                <w:rFonts w:ascii="Arial" w:eastAsia="Times New Roman" w:hAnsi="Arial" w:cs="Arial"/>
                <w:color w:val="000000"/>
                <w:sz w:val="18"/>
                <w:szCs w:val="18"/>
                <w:lang w:eastAsia="sl-SI"/>
              </w:rPr>
            </w:pPr>
          </w:p>
        </w:tc>
        <w:tc>
          <w:tcPr>
            <w:tcW w:w="971" w:type="dxa"/>
            <w:shd w:val="clear" w:color="auto" w:fill="auto"/>
            <w:vAlign w:val="center"/>
            <w:hideMark/>
          </w:tcPr>
          <w:p w14:paraId="7C36021B" w14:textId="77777777" w:rsidR="005609C0" w:rsidRPr="00EE3640" w:rsidRDefault="005609C0" w:rsidP="005609C0">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tujina</w:t>
            </w:r>
          </w:p>
        </w:tc>
        <w:tc>
          <w:tcPr>
            <w:tcW w:w="940" w:type="dxa"/>
            <w:shd w:val="clear" w:color="auto" w:fill="auto"/>
            <w:noWrap/>
            <w:vAlign w:val="center"/>
            <w:hideMark/>
          </w:tcPr>
          <w:p w14:paraId="3EFBC0D7"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147</w:t>
            </w:r>
          </w:p>
        </w:tc>
        <w:tc>
          <w:tcPr>
            <w:tcW w:w="1916" w:type="dxa"/>
            <w:shd w:val="clear" w:color="auto" w:fill="auto"/>
            <w:noWrap/>
            <w:vAlign w:val="center"/>
            <w:hideMark/>
          </w:tcPr>
          <w:p w14:paraId="5B21DBD5" w14:textId="77777777" w:rsidR="005609C0" w:rsidRPr="00EE3640" w:rsidRDefault="005609C0" w:rsidP="005609C0">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14.265.033</w:t>
            </w:r>
          </w:p>
        </w:tc>
        <w:tc>
          <w:tcPr>
            <w:tcW w:w="1304" w:type="dxa"/>
            <w:shd w:val="clear" w:color="auto" w:fill="auto"/>
            <w:noWrap/>
            <w:vAlign w:val="center"/>
            <w:hideMark/>
          </w:tcPr>
          <w:p w14:paraId="3CFB7184" w14:textId="2C5E60E9"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3,31</w:t>
            </w:r>
            <w:r w:rsidR="00226EE5" w:rsidRPr="000364D4">
              <w:rPr>
                <w:rFonts w:ascii="Arial" w:hAnsi="Arial" w:cs="Arial"/>
                <w:sz w:val="18"/>
                <w:szCs w:val="18"/>
              </w:rPr>
              <w:t xml:space="preserve"> %</w:t>
            </w:r>
          </w:p>
        </w:tc>
        <w:tc>
          <w:tcPr>
            <w:tcW w:w="951" w:type="dxa"/>
            <w:shd w:val="clear" w:color="auto" w:fill="auto"/>
            <w:noWrap/>
            <w:vAlign w:val="center"/>
            <w:hideMark/>
          </w:tcPr>
          <w:p w14:paraId="153EA774" w14:textId="31100E52" w:rsidR="005609C0" w:rsidRPr="00EE3640" w:rsidRDefault="005609C0"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8,62</w:t>
            </w:r>
            <w:r w:rsidR="00226EE5" w:rsidRPr="000364D4">
              <w:rPr>
                <w:rFonts w:ascii="Arial" w:hAnsi="Arial" w:cs="Arial"/>
                <w:sz w:val="18"/>
                <w:szCs w:val="18"/>
              </w:rPr>
              <w:t xml:space="preserve"> %</w:t>
            </w:r>
          </w:p>
        </w:tc>
      </w:tr>
      <w:tr w:rsidR="005609C0" w:rsidRPr="000364D4" w14:paraId="1DC38494" w14:textId="77777777" w:rsidTr="00B03975">
        <w:trPr>
          <w:gridAfter w:val="2"/>
          <w:wAfter w:w="2255" w:type="dxa"/>
          <w:trHeight w:val="300"/>
          <w:jc w:val="center"/>
        </w:trPr>
        <w:tc>
          <w:tcPr>
            <w:tcW w:w="821" w:type="dxa"/>
            <w:vMerge/>
            <w:vAlign w:val="center"/>
            <w:hideMark/>
          </w:tcPr>
          <w:p w14:paraId="74981FF9" w14:textId="77777777" w:rsidR="005609C0" w:rsidRPr="00EE3640" w:rsidRDefault="005609C0" w:rsidP="00EE3640">
            <w:pPr>
              <w:spacing w:after="0" w:line="240" w:lineRule="auto"/>
              <w:rPr>
                <w:rFonts w:ascii="Arial" w:eastAsia="Times New Roman" w:hAnsi="Arial" w:cs="Arial"/>
                <w:color w:val="000000"/>
                <w:sz w:val="18"/>
                <w:szCs w:val="18"/>
                <w:lang w:eastAsia="sl-SI"/>
              </w:rPr>
            </w:pPr>
          </w:p>
        </w:tc>
        <w:tc>
          <w:tcPr>
            <w:tcW w:w="2560" w:type="dxa"/>
            <w:gridSpan w:val="2"/>
            <w:shd w:val="clear" w:color="auto" w:fill="auto"/>
            <w:vAlign w:val="center"/>
            <w:hideMark/>
          </w:tcPr>
          <w:p w14:paraId="0B0F89B3" w14:textId="77777777" w:rsidR="005609C0" w:rsidRPr="00EE3640" w:rsidRDefault="005609C0" w:rsidP="00EE3640">
            <w:pPr>
              <w:spacing w:after="0" w:line="240" w:lineRule="auto"/>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Skupaj</w:t>
            </w:r>
          </w:p>
        </w:tc>
        <w:tc>
          <w:tcPr>
            <w:tcW w:w="940" w:type="dxa"/>
            <w:shd w:val="clear" w:color="auto" w:fill="auto"/>
            <w:noWrap/>
            <w:vAlign w:val="center"/>
            <w:hideMark/>
          </w:tcPr>
          <w:p w14:paraId="6E223D6A" w14:textId="77777777" w:rsidR="005609C0" w:rsidRPr="00EE3640" w:rsidRDefault="005609C0"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10.967</w:t>
            </w:r>
          </w:p>
        </w:tc>
        <w:tc>
          <w:tcPr>
            <w:tcW w:w="1916" w:type="dxa"/>
            <w:shd w:val="clear" w:color="auto" w:fill="auto"/>
            <w:noWrap/>
            <w:vAlign w:val="center"/>
            <w:hideMark/>
          </w:tcPr>
          <w:p w14:paraId="329AFDD9" w14:textId="77777777" w:rsidR="005609C0" w:rsidRPr="00EE3640" w:rsidRDefault="005609C0"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1.197.625.996</w:t>
            </w:r>
          </w:p>
        </w:tc>
      </w:tr>
      <w:tr w:rsidR="005D6CB4" w:rsidRPr="00EE3640" w14:paraId="74FB6379" w14:textId="77777777" w:rsidTr="00B03975">
        <w:trPr>
          <w:trHeight w:val="300"/>
          <w:jc w:val="center"/>
        </w:trPr>
        <w:tc>
          <w:tcPr>
            <w:tcW w:w="821" w:type="dxa"/>
            <w:vMerge w:val="restart"/>
            <w:shd w:val="clear" w:color="auto" w:fill="auto"/>
            <w:vAlign w:val="center"/>
            <w:hideMark/>
          </w:tcPr>
          <w:p w14:paraId="70C1D52A" w14:textId="77777777" w:rsidR="005D6CB4" w:rsidRPr="00EE3640" w:rsidRDefault="005D6CB4" w:rsidP="005D6CB4">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Storitve</w:t>
            </w:r>
          </w:p>
        </w:tc>
        <w:tc>
          <w:tcPr>
            <w:tcW w:w="1589" w:type="dxa"/>
            <w:vMerge w:val="restart"/>
            <w:shd w:val="clear" w:color="auto" w:fill="auto"/>
            <w:vAlign w:val="center"/>
            <w:hideMark/>
          </w:tcPr>
          <w:p w14:paraId="571B9D53" w14:textId="77777777" w:rsidR="005D6CB4" w:rsidRPr="00EE3640" w:rsidRDefault="005D6CB4" w:rsidP="005D6CB4">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DA</w:t>
            </w:r>
          </w:p>
        </w:tc>
        <w:tc>
          <w:tcPr>
            <w:tcW w:w="971" w:type="dxa"/>
            <w:shd w:val="clear" w:color="auto" w:fill="auto"/>
            <w:vAlign w:val="center"/>
            <w:hideMark/>
          </w:tcPr>
          <w:p w14:paraId="596F56BD" w14:textId="77777777" w:rsidR="005D6CB4" w:rsidRPr="00EE3640" w:rsidRDefault="005D6CB4" w:rsidP="005D6CB4">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Slovenija</w:t>
            </w:r>
          </w:p>
        </w:tc>
        <w:tc>
          <w:tcPr>
            <w:tcW w:w="940" w:type="dxa"/>
            <w:shd w:val="clear" w:color="auto" w:fill="auto"/>
            <w:noWrap/>
            <w:vAlign w:val="center"/>
            <w:hideMark/>
          </w:tcPr>
          <w:p w14:paraId="1F5F657B"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1.383</w:t>
            </w:r>
          </w:p>
        </w:tc>
        <w:tc>
          <w:tcPr>
            <w:tcW w:w="1916" w:type="dxa"/>
            <w:shd w:val="clear" w:color="auto" w:fill="auto"/>
            <w:noWrap/>
            <w:vAlign w:val="center"/>
            <w:hideMark/>
          </w:tcPr>
          <w:p w14:paraId="29C4EAD7"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569.374.240</w:t>
            </w:r>
          </w:p>
        </w:tc>
        <w:tc>
          <w:tcPr>
            <w:tcW w:w="1304" w:type="dxa"/>
            <w:shd w:val="clear" w:color="auto" w:fill="auto"/>
            <w:noWrap/>
            <w:vAlign w:val="center"/>
            <w:hideMark/>
          </w:tcPr>
          <w:p w14:paraId="0271F4B4" w14:textId="7F8C511D"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96,98</w:t>
            </w:r>
            <w:r w:rsidR="00226EE5" w:rsidRPr="000364D4">
              <w:rPr>
                <w:rFonts w:ascii="Arial" w:hAnsi="Arial" w:cs="Arial"/>
                <w:sz w:val="18"/>
                <w:szCs w:val="18"/>
              </w:rPr>
              <w:t xml:space="preserve"> %</w:t>
            </w:r>
          </w:p>
        </w:tc>
        <w:tc>
          <w:tcPr>
            <w:tcW w:w="951" w:type="dxa"/>
            <w:shd w:val="clear" w:color="auto" w:fill="auto"/>
            <w:noWrap/>
            <w:vAlign w:val="center"/>
            <w:hideMark/>
          </w:tcPr>
          <w:p w14:paraId="68C55283" w14:textId="30FD0422"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94,22</w:t>
            </w:r>
            <w:r w:rsidR="00226EE5" w:rsidRPr="000364D4">
              <w:rPr>
                <w:rFonts w:ascii="Arial" w:hAnsi="Arial" w:cs="Arial"/>
                <w:sz w:val="18"/>
                <w:szCs w:val="18"/>
              </w:rPr>
              <w:t xml:space="preserve"> %</w:t>
            </w:r>
          </w:p>
        </w:tc>
      </w:tr>
      <w:tr w:rsidR="005D6CB4" w:rsidRPr="00EE3640" w14:paraId="63C45624" w14:textId="77777777" w:rsidTr="00B03975">
        <w:trPr>
          <w:trHeight w:val="300"/>
          <w:jc w:val="center"/>
        </w:trPr>
        <w:tc>
          <w:tcPr>
            <w:tcW w:w="821" w:type="dxa"/>
            <w:vMerge/>
            <w:vAlign w:val="center"/>
            <w:hideMark/>
          </w:tcPr>
          <w:p w14:paraId="6B2421C6" w14:textId="77777777" w:rsidR="005D6CB4" w:rsidRPr="00EE3640" w:rsidRDefault="005D6CB4" w:rsidP="005D6CB4">
            <w:pPr>
              <w:spacing w:after="0" w:line="240" w:lineRule="auto"/>
              <w:rPr>
                <w:rFonts w:ascii="Arial" w:eastAsia="Times New Roman" w:hAnsi="Arial" w:cs="Arial"/>
                <w:color w:val="000000"/>
                <w:sz w:val="18"/>
                <w:szCs w:val="18"/>
                <w:lang w:eastAsia="sl-SI"/>
              </w:rPr>
            </w:pPr>
          </w:p>
        </w:tc>
        <w:tc>
          <w:tcPr>
            <w:tcW w:w="1589" w:type="dxa"/>
            <w:vMerge/>
            <w:vAlign w:val="center"/>
            <w:hideMark/>
          </w:tcPr>
          <w:p w14:paraId="64309CD8" w14:textId="77777777" w:rsidR="005D6CB4" w:rsidRPr="00EE3640" w:rsidRDefault="005D6CB4" w:rsidP="005D6CB4">
            <w:pPr>
              <w:spacing w:after="0" w:line="240" w:lineRule="auto"/>
              <w:rPr>
                <w:rFonts w:ascii="Arial" w:eastAsia="Times New Roman" w:hAnsi="Arial" w:cs="Arial"/>
                <w:color w:val="000000"/>
                <w:sz w:val="18"/>
                <w:szCs w:val="18"/>
                <w:lang w:eastAsia="sl-SI"/>
              </w:rPr>
            </w:pPr>
          </w:p>
        </w:tc>
        <w:tc>
          <w:tcPr>
            <w:tcW w:w="971" w:type="dxa"/>
            <w:shd w:val="clear" w:color="auto" w:fill="auto"/>
            <w:vAlign w:val="center"/>
            <w:hideMark/>
          </w:tcPr>
          <w:p w14:paraId="37FDE44F" w14:textId="77777777" w:rsidR="005D6CB4" w:rsidRPr="00EE3640" w:rsidRDefault="005D6CB4" w:rsidP="005D6CB4">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tujina</w:t>
            </w:r>
          </w:p>
        </w:tc>
        <w:tc>
          <w:tcPr>
            <w:tcW w:w="940" w:type="dxa"/>
            <w:shd w:val="clear" w:color="auto" w:fill="auto"/>
            <w:noWrap/>
            <w:vAlign w:val="center"/>
            <w:hideMark/>
          </w:tcPr>
          <w:p w14:paraId="222C7C60"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43</w:t>
            </w:r>
          </w:p>
        </w:tc>
        <w:tc>
          <w:tcPr>
            <w:tcW w:w="1916" w:type="dxa"/>
            <w:shd w:val="clear" w:color="auto" w:fill="auto"/>
            <w:noWrap/>
            <w:vAlign w:val="center"/>
            <w:hideMark/>
          </w:tcPr>
          <w:p w14:paraId="1FAC21E7"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34.950.916</w:t>
            </w:r>
          </w:p>
        </w:tc>
        <w:tc>
          <w:tcPr>
            <w:tcW w:w="1304" w:type="dxa"/>
            <w:shd w:val="clear" w:color="auto" w:fill="auto"/>
            <w:noWrap/>
            <w:vAlign w:val="center"/>
            <w:hideMark/>
          </w:tcPr>
          <w:p w14:paraId="299D6925" w14:textId="57696B42"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3,02</w:t>
            </w:r>
            <w:r w:rsidR="00226EE5" w:rsidRPr="000364D4">
              <w:rPr>
                <w:rFonts w:ascii="Arial" w:hAnsi="Arial" w:cs="Arial"/>
                <w:sz w:val="18"/>
                <w:szCs w:val="18"/>
              </w:rPr>
              <w:t xml:space="preserve"> %</w:t>
            </w:r>
          </w:p>
        </w:tc>
        <w:tc>
          <w:tcPr>
            <w:tcW w:w="951" w:type="dxa"/>
            <w:shd w:val="clear" w:color="auto" w:fill="auto"/>
            <w:noWrap/>
            <w:vAlign w:val="center"/>
            <w:hideMark/>
          </w:tcPr>
          <w:p w14:paraId="16D77C32" w14:textId="1FB37368"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5,78</w:t>
            </w:r>
            <w:r w:rsidR="00226EE5" w:rsidRPr="000364D4">
              <w:rPr>
                <w:rFonts w:ascii="Arial" w:hAnsi="Arial" w:cs="Arial"/>
                <w:sz w:val="18"/>
                <w:szCs w:val="18"/>
              </w:rPr>
              <w:t xml:space="preserve"> %</w:t>
            </w:r>
          </w:p>
        </w:tc>
      </w:tr>
      <w:tr w:rsidR="005D6CB4" w:rsidRPr="00EE3640" w14:paraId="29257075" w14:textId="77777777" w:rsidTr="00B03975">
        <w:trPr>
          <w:trHeight w:val="300"/>
          <w:jc w:val="center"/>
        </w:trPr>
        <w:tc>
          <w:tcPr>
            <w:tcW w:w="821" w:type="dxa"/>
            <w:vMerge/>
            <w:vAlign w:val="center"/>
            <w:hideMark/>
          </w:tcPr>
          <w:p w14:paraId="7E2983F5" w14:textId="77777777" w:rsidR="005D6CB4" w:rsidRPr="00EE3640" w:rsidRDefault="005D6CB4" w:rsidP="005D6CB4">
            <w:pPr>
              <w:spacing w:after="0" w:line="240" w:lineRule="auto"/>
              <w:rPr>
                <w:rFonts w:ascii="Arial" w:eastAsia="Times New Roman" w:hAnsi="Arial" w:cs="Arial"/>
                <w:color w:val="000000"/>
                <w:sz w:val="18"/>
                <w:szCs w:val="18"/>
                <w:lang w:eastAsia="sl-SI"/>
              </w:rPr>
            </w:pPr>
          </w:p>
        </w:tc>
        <w:tc>
          <w:tcPr>
            <w:tcW w:w="1589" w:type="dxa"/>
            <w:vMerge w:val="restart"/>
            <w:shd w:val="clear" w:color="auto" w:fill="auto"/>
            <w:vAlign w:val="center"/>
            <w:hideMark/>
          </w:tcPr>
          <w:p w14:paraId="19B848E4" w14:textId="77777777" w:rsidR="005D6CB4" w:rsidRPr="00EE3640" w:rsidRDefault="005D6CB4" w:rsidP="005D6CB4">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NE</w:t>
            </w:r>
          </w:p>
        </w:tc>
        <w:tc>
          <w:tcPr>
            <w:tcW w:w="971" w:type="dxa"/>
            <w:shd w:val="clear" w:color="auto" w:fill="auto"/>
            <w:vAlign w:val="center"/>
            <w:hideMark/>
          </w:tcPr>
          <w:p w14:paraId="4DD1021B" w14:textId="77777777" w:rsidR="005D6CB4" w:rsidRPr="00EE3640" w:rsidRDefault="005D6CB4" w:rsidP="005D6CB4">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Slovenija</w:t>
            </w:r>
          </w:p>
        </w:tc>
        <w:tc>
          <w:tcPr>
            <w:tcW w:w="940" w:type="dxa"/>
            <w:shd w:val="clear" w:color="auto" w:fill="auto"/>
            <w:noWrap/>
            <w:vAlign w:val="center"/>
            <w:hideMark/>
          </w:tcPr>
          <w:p w14:paraId="664AB73F"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2.378</w:t>
            </w:r>
          </w:p>
        </w:tc>
        <w:tc>
          <w:tcPr>
            <w:tcW w:w="1916" w:type="dxa"/>
            <w:shd w:val="clear" w:color="auto" w:fill="auto"/>
            <w:noWrap/>
            <w:vAlign w:val="center"/>
            <w:hideMark/>
          </w:tcPr>
          <w:p w14:paraId="5B64EC3D"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148.171.226</w:t>
            </w:r>
          </w:p>
        </w:tc>
        <w:tc>
          <w:tcPr>
            <w:tcW w:w="1304" w:type="dxa"/>
            <w:shd w:val="clear" w:color="auto" w:fill="auto"/>
            <w:noWrap/>
            <w:vAlign w:val="center"/>
            <w:hideMark/>
          </w:tcPr>
          <w:p w14:paraId="49C7BFC5" w14:textId="5746F6E3"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96,51</w:t>
            </w:r>
            <w:r w:rsidR="00226EE5" w:rsidRPr="000364D4">
              <w:rPr>
                <w:rFonts w:ascii="Arial" w:hAnsi="Arial" w:cs="Arial"/>
                <w:sz w:val="18"/>
                <w:szCs w:val="18"/>
              </w:rPr>
              <w:t xml:space="preserve"> %</w:t>
            </w:r>
          </w:p>
        </w:tc>
        <w:tc>
          <w:tcPr>
            <w:tcW w:w="951" w:type="dxa"/>
            <w:shd w:val="clear" w:color="auto" w:fill="auto"/>
            <w:noWrap/>
            <w:vAlign w:val="center"/>
            <w:hideMark/>
          </w:tcPr>
          <w:p w14:paraId="0F14B9B8" w14:textId="669E9487"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92,83</w:t>
            </w:r>
            <w:r w:rsidR="00226EE5" w:rsidRPr="000364D4">
              <w:rPr>
                <w:rFonts w:ascii="Arial" w:hAnsi="Arial" w:cs="Arial"/>
                <w:sz w:val="18"/>
                <w:szCs w:val="18"/>
              </w:rPr>
              <w:t xml:space="preserve"> %</w:t>
            </w:r>
          </w:p>
        </w:tc>
      </w:tr>
      <w:tr w:rsidR="005D6CB4" w:rsidRPr="00EE3640" w14:paraId="762F31AD" w14:textId="77777777" w:rsidTr="00B03975">
        <w:trPr>
          <w:trHeight w:val="300"/>
          <w:jc w:val="center"/>
        </w:trPr>
        <w:tc>
          <w:tcPr>
            <w:tcW w:w="821" w:type="dxa"/>
            <w:vMerge/>
            <w:vAlign w:val="center"/>
            <w:hideMark/>
          </w:tcPr>
          <w:p w14:paraId="1C57FD37" w14:textId="77777777" w:rsidR="005D6CB4" w:rsidRPr="00EE3640" w:rsidRDefault="005D6CB4" w:rsidP="005D6CB4">
            <w:pPr>
              <w:spacing w:after="0" w:line="240" w:lineRule="auto"/>
              <w:rPr>
                <w:rFonts w:ascii="Arial" w:eastAsia="Times New Roman" w:hAnsi="Arial" w:cs="Arial"/>
                <w:color w:val="000000"/>
                <w:sz w:val="18"/>
                <w:szCs w:val="18"/>
                <w:lang w:eastAsia="sl-SI"/>
              </w:rPr>
            </w:pPr>
          </w:p>
        </w:tc>
        <w:tc>
          <w:tcPr>
            <w:tcW w:w="1589" w:type="dxa"/>
            <w:vMerge/>
            <w:vAlign w:val="center"/>
            <w:hideMark/>
          </w:tcPr>
          <w:p w14:paraId="7699F01C" w14:textId="77777777" w:rsidR="005D6CB4" w:rsidRPr="00EE3640" w:rsidRDefault="005D6CB4" w:rsidP="005D6CB4">
            <w:pPr>
              <w:spacing w:after="0" w:line="240" w:lineRule="auto"/>
              <w:rPr>
                <w:rFonts w:ascii="Arial" w:eastAsia="Times New Roman" w:hAnsi="Arial" w:cs="Arial"/>
                <w:color w:val="000000"/>
                <w:sz w:val="18"/>
                <w:szCs w:val="18"/>
                <w:lang w:eastAsia="sl-SI"/>
              </w:rPr>
            </w:pPr>
          </w:p>
        </w:tc>
        <w:tc>
          <w:tcPr>
            <w:tcW w:w="971" w:type="dxa"/>
            <w:shd w:val="clear" w:color="auto" w:fill="auto"/>
            <w:vAlign w:val="center"/>
            <w:hideMark/>
          </w:tcPr>
          <w:p w14:paraId="0A9D46CE" w14:textId="77777777" w:rsidR="005D6CB4" w:rsidRPr="00EE3640" w:rsidRDefault="005D6CB4" w:rsidP="005D6CB4">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tujina</w:t>
            </w:r>
          </w:p>
        </w:tc>
        <w:tc>
          <w:tcPr>
            <w:tcW w:w="940" w:type="dxa"/>
            <w:shd w:val="clear" w:color="auto" w:fill="auto"/>
            <w:noWrap/>
            <w:vAlign w:val="center"/>
            <w:hideMark/>
          </w:tcPr>
          <w:p w14:paraId="4EB1FE37"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86</w:t>
            </w:r>
          </w:p>
        </w:tc>
        <w:tc>
          <w:tcPr>
            <w:tcW w:w="1916" w:type="dxa"/>
            <w:shd w:val="clear" w:color="auto" w:fill="auto"/>
            <w:noWrap/>
            <w:vAlign w:val="center"/>
            <w:hideMark/>
          </w:tcPr>
          <w:p w14:paraId="1D72525C" w14:textId="77777777" w:rsidR="005D6CB4" w:rsidRPr="00EE3640" w:rsidRDefault="005D6CB4" w:rsidP="005D6CB4">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11.445.700</w:t>
            </w:r>
          </w:p>
        </w:tc>
        <w:tc>
          <w:tcPr>
            <w:tcW w:w="1304" w:type="dxa"/>
            <w:shd w:val="clear" w:color="auto" w:fill="auto"/>
            <w:noWrap/>
            <w:vAlign w:val="center"/>
            <w:hideMark/>
          </w:tcPr>
          <w:p w14:paraId="45CE46BF" w14:textId="75B11111"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3,49</w:t>
            </w:r>
            <w:r w:rsidR="00226EE5" w:rsidRPr="000364D4">
              <w:rPr>
                <w:rFonts w:ascii="Arial" w:hAnsi="Arial" w:cs="Arial"/>
                <w:sz w:val="18"/>
                <w:szCs w:val="18"/>
              </w:rPr>
              <w:t xml:space="preserve"> %</w:t>
            </w:r>
          </w:p>
        </w:tc>
        <w:tc>
          <w:tcPr>
            <w:tcW w:w="951" w:type="dxa"/>
            <w:shd w:val="clear" w:color="auto" w:fill="auto"/>
            <w:noWrap/>
            <w:vAlign w:val="center"/>
            <w:hideMark/>
          </w:tcPr>
          <w:p w14:paraId="157CF77D" w14:textId="0C876DBC" w:rsidR="005D6CB4" w:rsidRPr="00EE3640" w:rsidRDefault="005D6CB4"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7,17</w:t>
            </w:r>
            <w:r w:rsidR="00226EE5" w:rsidRPr="000364D4">
              <w:rPr>
                <w:rFonts w:ascii="Arial" w:hAnsi="Arial" w:cs="Arial"/>
                <w:sz w:val="18"/>
                <w:szCs w:val="18"/>
              </w:rPr>
              <w:t xml:space="preserve"> %</w:t>
            </w:r>
          </w:p>
        </w:tc>
      </w:tr>
      <w:tr w:rsidR="005D6CB4" w:rsidRPr="000364D4" w14:paraId="6A457A49" w14:textId="77777777" w:rsidTr="00B03975">
        <w:trPr>
          <w:gridAfter w:val="2"/>
          <w:wAfter w:w="2255" w:type="dxa"/>
          <w:trHeight w:val="300"/>
          <w:jc w:val="center"/>
        </w:trPr>
        <w:tc>
          <w:tcPr>
            <w:tcW w:w="821" w:type="dxa"/>
            <w:vMerge/>
            <w:vAlign w:val="center"/>
            <w:hideMark/>
          </w:tcPr>
          <w:p w14:paraId="0B91ADB1" w14:textId="77777777" w:rsidR="005D6CB4" w:rsidRPr="00EE3640" w:rsidRDefault="005D6CB4" w:rsidP="00EE3640">
            <w:pPr>
              <w:spacing w:after="0" w:line="240" w:lineRule="auto"/>
              <w:rPr>
                <w:rFonts w:ascii="Arial" w:eastAsia="Times New Roman" w:hAnsi="Arial" w:cs="Arial"/>
                <w:color w:val="000000"/>
                <w:sz w:val="18"/>
                <w:szCs w:val="18"/>
                <w:lang w:eastAsia="sl-SI"/>
              </w:rPr>
            </w:pPr>
          </w:p>
        </w:tc>
        <w:tc>
          <w:tcPr>
            <w:tcW w:w="2560" w:type="dxa"/>
            <w:gridSpan w:val="2"/>
            <w:shd w:val="clear" w:color="auto" w:fill="auto"/>
            <w:vAlign w:val="center"/>
            <w:hideMark/>
          </w:tcPr>
          <w:p w14:paraId="6EC10BE1" w14:textId="77777777" w:rsidR="005D6CB4" w:rsidRPr="00EE3640" w:rsidRDefault="005D6CB4" w:rsidP="00EE3640">
            <w:pPr>
              <w:spacing w:after="0" w:line="240" w:lineRule="auto"/>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Skupaj</w:t>
            </w:r>
          </w:p>
        </w:tc>
        <w:tc>
          <w:tcPr>
            <w:tcW w:w="940" w:type="dxa"/>
            <w:shd w:val="clear" w:color="auto" w:fill="auto"/>
            <w:noWrap/>
            <w:vAlign w:val="center"/>
            <w:hideMark/>
          </w:tcPr>
          <w:p w14:paraId="7EF1B9DC" w14:textId="77777777" w:rsidR="005D6CB4" w:rsidRPr="00EE3640" w:rsidRDefault="005D6CB4"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3.890</w:t>
            </w:r>
          </w:p>
        </w:tc>
        <w:tc>
          <w:tcPr>
            <w:tcW w:w="1916" w:type="dxa"/>
            <w:shd w:val="clear" w:color="auto" w:fill="auto"/>
            <w:noWrap/>
            <w:vAlign w:val="center"/>
            <w:hideMark/>
          </w:tcPr>
          <w:p w14:paraId="1A742855" w14:textId="77777777" w:rsidR="005D6CB4" w:rsidRPr="00EE3640" w:rsidRDefault="005D6CB4"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763.942.082</w:t>
            </w:r>
          </w:p>
        </w:tc>
      </w:tr>
      <w:tr w:rsidR="001D0152" w:rsidRPr="00EE3640" w14:paraId="6F986924" w14:textId="77777777" w:rsidTr="00B03975">
        <w:trPr>
          <w:trHeight w:val="300"/>
          <w:jc w:val="center"/>
        </w:trPr>
        <w:tc>
          <w:tcPr>
            <w:tcW w:w="821" w:type="dxa"/>
            <w:vMerge w:val="restart"/>
            <w:shd w:val="clear" w:color="auto" w:fill="auto"/>
            <w:vAlign w:val="center"/>
            <w:hideMark/>
          </w:tcPr>
          <w:p w14:paraId="06713E28" w14:textId="77777777" w:rsidR="001D0152" w:rsidRPr="00EE3640" w:rsidRDefault="001D0152" w:rsidP="001D0152">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Gradnje</w:t>
            </w:r>
          </w:p>
        </w:tc>
        <w:tc>
          <w:tcPr>
            <w:tcW w:w="1589" w:type="dxa"/>
            <w:vMerge w:val="restart"/>
            <w:shd w:val="clear" w:color="auto" w:fill="auto"/>
            <w:vAlign w:val="center"/>
            <w:hideMark/>
          </w:tcPr>
          <w:p w14:paraId="416A2CC5" w14:textId="77777777" w:rsidR="001D0152" w:rsidRPr="00EE3640" w:rsidRDefault="001D0152" w:rsidP="001D0152">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DA</w:t>
            </w:r>
          </w:p>
        </w:tc>
        <w:tc>
          <w:tcPr>
            <w:tcW w:w="971" w:type="dxa"/>
            <w:shd w:val="clear" w:color="auto" w:fill="auto"/>
            <w:vAlign w:val="center"/>
            <w:hideMark/>
          </w:tcPr>
          <w:p w14:paraId="214449CD" w14:textId="77777777" w:rsidR="001D0152" w:rsidRPr="00EE3640" w:rsidRDefault="001D0152" w:rsidP="001D0152">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Slovenija</w:t>
            </w:r>
          </w:p>
        </w:tc>
        <w:tc>
          <w:tcPr>
            <w:tcW w:w="940" w:type="dxa"/>
            <w:shd w:val="clear" w:color="auto" w:fill="auto"/>
            <w:noWrap/>
            <w:vAlign w:val="center"/>
            <w:hideMark/>
          </w:tcPr>
          <w:p w14:paraId="53CFF4D8"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85</w:t>
            </w:r>
          </w:p>
        </w:tc>
        <w:tc>
          <w:tcPr>
            <w:tcW w:w="1916" w:type="dxa"/>
            <w:shd w:val="clear" w:color="auto" w:fill="auto"/>
            <w:noWrap/>
            <w:vAlign w:val="center"/>
            <w:hideMark/>
          </w:tcPr>
          <w:p w14:paraId="6BF0E539"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288.223.363</w:t>
            </w:r>
          </w:p>
        </w:tc>
        <w:tc>
          <w:tcPr>
            <w:tcW w:w="1304" w:type="dxa"/>
            <w:shd w:val="clear" w:color="auto" w:fill="auto"/>
            <w:noWrap/>
            <w:vAlign w:val="center"/>
            <w:hideMark/>
          </w:tcPr>
          <w:p w14:paraId="1396A4FC" w14:textId="2E35FDC0"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97,70</w:t>
            </w:r>
            <w:r w:rsidR="00226EE5" w:rsidRPr="000364D4">
              <w:rPr>
                <w:rFonts w:ascii="Arial" w:hAnsi="Arial" w:cs="Arial"/>
                <w:sz w:val="18"/>
                <w:szCs w:val="18"/>
              </w:rPr>
              <w:t xml:space="preserve"> %</w:t>
            </w:r>
          </w:p>
        </w:tc>
        <w:tc>
          <w:tcPr>
            <w:tcW w:w="951" w:type="dxa"/>
            <w:shd w:val="clear" w:color="auto" w:fill="auto"/>
            <w:noWrap/>
            <w:vAlign w:val="center"/>
            <w:hideMark/>
          </w:tcPr>
          <w:p w14:paraId="154412F8" w14:textId="0CA18AB2"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93,39</w:t>
            </w:r>
            <w:r w:rsidR="00226EE5" w:rsidRPr="000364D4">
              <w:rPr>
                <w:rFonts w:ascii="Arial" w:hAnsi="Arial" w:cs="Arial"/>
                <w:sz w:val="18"/>
                <w:szCs w:val="18"/>
              </w:rPr>
              <w:t xml:space="preserve"> %</w:t>
            </w:r>
          </w:p>
        </w:tc>
      </w:tr>
      <w:tr w:rsidR="001D0152" w:rsidRPr="00EE3640" w14:paraId="5EBCB127" w14:textId="77777777" w:rsidTr="00B03975">
        <w:trPr>
          <w:trHeight w:val="300"/>
          <w:jc w:val="center"/>
        </w:trPr>
        <w:tc>
          <w:tcPr>
            <w:tcW w:w="821" w:type="dxa"/>
            <w:vMerge/>
            <w:vAlign w:val="center"/>
            <w:hideMark/>
          </w:tcPr>
          <w:p w14:paraId="45067AFF" w14:textId="77777777" w:rsidR="001D0152" w:rsidRPr="00EE3640" w:rsidRDefault="001D0152" w:rsidP="001D0152">
            <w:pPr>
              <w:spacing w:after="0" w:line="240" w:lineRule="auto"/>
              <w:rPr>
                <w:rFonts w:ascii="Arial" w:eastAsia="Times New Roman" w:hAnsi="Arial" w:cs="Arial"/>
                <w:color w:val="000000"/>
                <w:sz w:val="18"/>
                <w:szCs w:val="18"/>
                <w:lang w:eastAsia="sl-SI"/>
              </w:rPr>
            </w:pPr>
          </w:p>
        </w:tc>
        <w:tc>
          <w:tcPr>
            <w:tcW w:w="1589" w:type="dxa"/>
            <w:vMerge/>
            <w:vAlign w:val="center"/>
            <w:hideMark/>
          </w:tcPr>
          <w:p w14:paraId="24A9584A" w14:textId="77777777" w:rsidR="001D0152" w:rsidRPr="00EE3640" w:rsidRDefault="001D0152" w:rsidP="001D0152">
            <w:pPr>
              <w:spacing w:after="0" w:line="240" w:lineRule="auto"/>
              <w:rPr>
                <w:rFonts w:ascii="Arial" w:eastAsia="Times New Roman" w:hAnsi="Arial" w:cs="Arial"/>
                <w:color w:val="000000"/>
                <w:sz w:val="18"/>
                <w:szCs w:val="18"/>
                <w:lang w:eastAsia="sl-SI"/>
              </w:rPr>
            </w:pPr>
          </w:p>
        </w:tc>
        <w:tc>
          <w:tcPr>
            <w:tcW w:w="971" w:type="dxa"/>
            <w:shd w:val="clear" w:color="auto" w:fill="auto"/>
            <w:vAlign w:val="center"/>
            <w:hideMark/>
          </w:tcPr>
          <w:p w14:paraId="0FACC595" w14:textId="77777777" w:rsidR="001D0152" w:rsidRPr="00EE3640" w:rsidRDefault="001D0152" w:rsidP="001D0152">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tujina</w:t>
            </w:r>
          </w:p>
        </w:tc>
        <w:tc>
          <w:tcPr>
            <w:tcW w:w="940" w:type="dxa"/>
            <w:shd w:val="clear" w:color="auto" w:fill="auto"/>
            <w:noWrap/>
            <w:vAlign w:val="center"/>
            <w:hideMark/>
          </w:tcPr>
          <w:p w14:paraId="7224AF88"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2</w:t>
            </w:r>
          </w:p>
        </w:tc>
        <w:tc>
          <w:tcPr>
            <w:tcW w:w="1916" w:type="dxa"/>
            <w:shd w:val="clear" w:color="auto" w:fill="auto"/>
            <w:noWrap/>
            <w:vAlign w:val="center"/>
            <w:hideMark/>
          </w:tcPr>
          <w:p w14:paraId="046EDC69"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20.414.432</w:t>
            </w:r>
          </w:p>
        </w:tc>
        <w:tc>
          <w:tcPr>
            <w:tcW w:w="1304" w:type="dxa"/>
            <w:shd w:val="clear" w:color="auto" w:fill="auto"/>
            <w:noWrap/>
            <w:vAlign w:val="center"/>
            <w:hideMark/>
          </w:tcPr>
          <w:p w14:paraId="2C0A601E" w14:textId="76BBB533"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2,30</w:t>
            </w:r>
            <w:r w:rsidR="00226EE5" w:rsidRPr="000364D4">
              <w:rPr>
                <w:rFonts w:ascii="Arial" w:hAnsi="Arial" w:cs="Arial"/>
                <w:sz w:val="18"/>
                <w:szCs w:val="18"/>
              </w:rPr>
              <w:t xml:space="preserve"> %</w:t>
            </w:r>
          </w:p>
        </w:tc>
        <w:tc>
          <w:tcPr>
            <w:tcW w:w="951" w:type="dxa"/>
            <w:shd w:val="clear" w:color="auto" w:fill="auto"/>
            <w:noWrap/>
            <w:vAlign w:val="center"/>
            <w:hideMark/>
          </w:tcPr>
          <w:p w14:paraId="25162CAD" w14:textId="5BA0A1A4"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6,61</w:t>
            </w:r>
            <w:r w:rsidR="00226EE5" w:rsidRPr="000364D4">
              <w:rPr>
                <w:rFonts w:ascii="Arial" w:hAnsi="Arial" w:cs="Arial"/>
                <w:sz w:val="18"/>
                <w:szCs w:val="18"/>
              </w:rPr>
              <w:t xml:space="preserve"> %</w:t>
            </w:r>
          </w:p>
        </w:tc>
      </w:tr>
      <w:tr w:rsidR="001D0152" w:rsidRPr="00EE3640" w14:paraId="0E8D5729" w14:textId="77777777" w:rsidTr="00B03975">
        <w:trPr>
          <w:trHeight w:val="300"/>
          <w:jc w:val="center"/>
        </w:trPr>
        <w:tc>
          <w:tcPr>
            <w:tcW w:w="821" w:type="dxa"/>
            <w:vMerge/>
            <w:vAlign w:val="center"/>
            <w:hideMark/>
          </w:tcPr>
          <w:p w14:paraId="07E509E0" w14:textId="77777777" w:rsidR="001D0152" w:rsidRPr="00EE3640" w:rsidRDefault="001D0152" w:rsidP="001D0152">
            <w:pPr>
              <w:spacing w:after="0" w:line="240" w:lineRule="auto"/>
              <w:rPr>
                <w:rFonts w:ascii="Arial" w:eastAsia="Times New Roman" w:hAnsi="Arial" w:cs="Arial"/>
                <w:color w:val="000000"/>
                <w:sz w:val="18"/>
                <w:szCs w:val="18"/>
                <w:lang w:eastAsia="sl-SI"/>
              </w:rPr>
            </w:pPr>
          </w:p>
        </w:tc>
        <w:tc>
          <w:tcPr>
            <w:tcW w:w="1589" w:type="dxa"/>
            <w:vMerge w:val="restart"/>
            <w:shd w:val="clear" w:color="auto" w:fill="auto"/>
            <w:vAlign w:val="center"/>
            <w:hideMark/>
          </w:tcPr>
          <w:p w14:paraId="78B88EA5" w14:textId="77777777" w:rsidR="001D0152" w:rsidRPr="00EE3640" w:rsidRDefault="001D0152" w:rsidP="001D0152">
            <w:pPr>
              <w:spacing w:after="0" w:line="240" w:lineRule="auto"/>
              <w:jc w:val="center"/>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NE</w:t>
            </w:r>
          </w:p>
        </w:tc>
        <w:tc>
          <w:tcPr>
            <w:tcW w:w="971" w:type="dxa"/>
            <w:shd w:val="clear" w:color="auto" w:fill="auto"/>
            <w:vAlign w:val="center"/>
            <w:hideMark/>
          </w:tcPr>
          <w:p w14:paraId="5B453997" w14:textId="77777777" w:rsidR="001D0152" w:rsidRPr="00EE3640" w:rsidRDefault="001D0152" w:rsidP="001D0152">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Slovenija</w:t>
            </w:r>
          </w:p>
        </w:tc>
        <w:tc>
          <w:tcPr>
            <w:tcW w:w="940" w:type="dxa"/>
            <w:shd w:val="clear" w:color="auto" w:fill="auto"/>
            <w:noWrap/>
            <w:vAlign w:val="center"/>
            <w:hideMark/>
          </w:tcPr>
          <w:p w14:paraId="09BF3432"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1.917</w:t>
            </w:r>
          </w:p>
        </w:tc>
        <w:tc>
          <w:tcPr>
            <w:tcW w:w="1916" w:type="dxa"/>
            <w:shd w:val="clear" w:color="auto" w:fill="auto"/>
            <w:noWrap/>
            <w:vAlign w:val="center"/>
            <w:hideMark/>
          </w:tcPr>
          <w:p w14:paraId="07420995"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647.628.093</w:t>
            </w:r>
          </w:p>
        </w:tc>
        <w:tc>
          <w:tcPr>
            <w:tcW w:w="1304" w:type="dxa"/>
            <w:shd w:val="clear" w:color="auto" w:fill="auto"/>
            <w:noWrap/>
            <w:vAlign w:val="center"/>
            <w:hideMark/>
          </w:tcPr>
          <w:p w14:paraId="0B763B13" w14:textId="2F6B5F30"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99,79</w:t>
            </w:r>
            <w:r w:rsidR="00226EE5" w:rsidRPr="000364D4">
              <w:rPr>
                <w:rFonts w:ascii="Arial" w:hAnsi="Arial" w:cs="Arial"/>
                <w:sz w:val="18"/>
                <w:szCs w:val="18"/>
              </w:rPr>
              <w:t xml:space="preserve"> %</w:t>
            </w:r>
          </w:p>
        </w:tc>
        <w:tc>
          <w:tcPr>
            <w:tcW w:w="951" w:type="dxa"/>
            <w:shd w:val="clear" w:color="auto" w:fill="auto"/>
            <w:noWrap/>
            <w:vAlign w:val="center"/>
            <w:hideMark/>
          </w:tcPr>
          <w:p w14:paraId="51C5063E" w14:textId="4A2A85B8"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99,88</w:t>
            </w:r>
            <w:r w:rsidR="00226EE5" w:rsidRPr="000364D4">
              <w:rPr>
                <w:rFonts w:ascii="Arial" w:hAnsi="Arial" w:cs="Arial"/>
                <w:sz w:val="18"/>
                <w:szCs w:val="18"/>
              </w:rPr>
              <w:t xml:space="preserve"> %</w:t>
            </w:r>
          </w:p>
        </w:tc>
      </w:tr>
      <w:tr w:rsidR="001D0152" w:rsidRPr="00EE3640" w14:paraId="4EF87BF9" w14:textId="77777777" w:rsidTr="00B03975">
        <w:trPr>
          <w:trHeight w:val="300"/>
          <w:jc w:val="center"/>
        </w:trPr>
        <w:tc>
          <w:tcPr>
            <w:tcW w:w="821" w:type="dxa"/>
            <w:vMerge/>
            <w:vAlign w:val="center"/>
            <w:hideMark/>
          </w:tcPr>
          <w:p w14:paraId="5F55832E" w14:textId="77777777" w:rsidR="001D0152" w:rsidRPr="00EE3640" w:rsidRDefault="001D0152" w:rsidP="001D0152">
            <w:pPr>
              <w:spacing w:after="0" w:line="240" w:lineRule="auto"/>
              <w:rPr>
                <w:rFonts w:ascii="Arial" w:eastAsia="Times New Roman" w:hAnsi="Arial" w:cs="Arial"/>
                <w:color w:val="000000"/>
                <w:sz w:val="18"/>
                <w:szCs w:val="18"/>
                <w:lang w:eastAsia="sl-SI"/>
              </w:rPr>
            </w:pPr>
          </w:p>
        </w:tc>
        <w:tc>
          <w:tcPr>
            <w:tcW w:w="1589" w:type="dxa"/>
            <w:vMerge/>
            <w:vAlign w:val="center"/>
            <w:hideMark/>
          </w:tcPr>
          <w:p w14:paraId="6E9659E5" w14:textId="77777777" w:rsidR="001D0152" w:rsidRPr="00EE3640" w:rsidRDefault="001D0152" w:rsidP="001D0152">
            <w:pPr>
              <w:spacing w:after="0" w:line="240" w:lineRule="auto"/>
              <w:rPr>
                <w:rFonts w:ascii="Arial" w:eastAsia="Times New Roman" w:hAnsi="Arial" w:cs="Arial"/>
                <w:color w:val="000000"/>
                <w:sz w:val="18"/>
                <w:szCs w:val="18"/>
                <w:lang w:eastAsia="sl-SI"/>
              </w:rPr>
            </w:pPr>
          </w:p>
        </w:tc>
        <w:tc>
          <w:tcPr>
            <w:tcW w:w="971" w:type="dxa"/>
            <w:shd w:val="clear" w:color="auto" w:fill="auto"/>
            <w:vAlign w:val="center"/>
            <w:hideMark/>
          </w:tcPr>
          <w:p w14:paraId="19038C65" w14:textId="77777777" w:rsidR="001D0152" w:rsidRPr="00EE3640" w:rsidRDefault="001D0152" w:rsidP="001D0152">
            <w:pPr>
              <w:spacing w:after="0" w:line="240" w:lineRule="auto"/>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tujina</w:t>
            </w:r>
          </w:p>
        </w:tc>
        <w:tc>
          <w:tcPr>
            <w:tcW w:w="940" w:type="dxa"/>
            <w:shd w:val="clear" w:color="auto" w:fill="auto"/>
            <w:noWrap/>
            <w:vAlign w:val="center"/>
            <w:hideMark/>
          </w:tcPr>
          <w:p w14:paraId="382DCF3D"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4</w:t>
            </w:r>
          </w:p>
        </w:tc>
        <w:tc>
          <w:tcPr>
            <w:tcW w:w="1916" w:type="dxa"/>
            <w:shd w:val="clear" w:color="auto" w:fill="auto"/>
            <w:noWrap/>
            <w:vAlign w:val="center"/>
            <w:hideMark/>
          </w:tcPr>
          <w:p w14:paraId="50743B1D" w14:textId="77777777" w:rsidR="001D0152" w:rsidRPr="00EE3640" w:rsidRDefault="001D0152" w:rsidP="001D0152">
            <w:pPr>
              <w:spacing w:after="0" w:line="240" w:lineRule="auto"/>
              <w:jc w:val="right"/>
              <w:rPr>
                <w:rFonts w:ascii="Arial" w:eastAsia="Times New Roman" w:hAnsi="Arial" w:cs="Arial"/>
                <w:color w:val="000000"/>
                <w:sz w:val="18"/>
                <w:szCs w:val="18"/>
                <w:lang w:eastAsia="sl-SI"/>
              </w:rPr>
            </w:pPr>
            <w:r w:rsidRPr="00EE3640">
              <w:rPr>
                <w:rFonts w:ascii="Arial" w:eastAsia="Times New Roman" w:hAnsi="Arial" w:cs="Arial"/>
                <w:color w:val="000000"/>
                <w:sz w:val="18"/>
                <w:szCs w:val="18"/>
                <w:lang w:eastAsia="sl-SI"/>
              </w:rPr>
              <w:t>760.643</w:t>
            </w:r>
          </w:p>
        </w:tc>
        <w:tc>
          <w:tcPr>
            <w:tcW w:w="1304" w:type="dxa"/>
            <w:shd w:val="clear" w:color="auto" w:fill="auto"/>
            <w:noWrap/>
            <w:vAlign w:val="center"/>
            <w:hideMark/>
          </w:tcPr>
          <w:p w14:paraId="160CAD37" w14:textId="5243E1D3"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0,21</w:t>
            </w:r>
            <w:r w:rsidR="00226EE5" w:rsidRPr="000364D4">
              <w:rPr>
                <w:rFonts w:ascii="Arial" w:hAnsi="Arial" w:cs="Arial"/>
                <w:sz w:val="18"/>
                <w:szCs w:val="18"/>
              </w:rPr>
              <w:t xml:space="preserve"> %</w:t>
            </w:r>
          </w:p>
        </w:tc>
        <w:tc>
          <w:tcPr>
            <w:tcW w:w="951" w:type="dxa"/>
            <w:shd w:val="clear" w:color="auto" w:fill="auto"/>
            <w:noWrap/>
            <w:vAlign w:val="center"/>
            <w:hideMark/>
          </w:tcPr>
          <w:p w14:paraId="7F5DDD1C" w14:textId="2909C2BB" w:rsidR="001D0152" w:rsidRPr="00EE3640" w:rsidRDefault="001D0152" w:rsidP="00183B73">
            <w:pPr>
              <w:spacing w:after="0" w:line="240" w:lineRule="auto"/>
              <w:jc w:val="right"/>
              <w:rPr>
                <w:rFonts w:ascii="Arial" w:eastAsia="Times New Roman" w:hAnsi="Arial" w:cs="Arial"/>
                <w:color w:val="000000"/>
                <w:sz w:val="18"/>
                <w:szCs w:val="18"/>
                <w:lang w:eastAsia="sl-SI"/>
              </w:rPr>
            </w:pPr>
            <w:r w:rsidRPr="000364D4">
              <w:rPr>
                <w:rFonts w:ascii="Arial" w:hAnsi="Arial" w:cs="Arial"/>
                <w:sz w:val="18"/>
                <w:szCs w:val="18"/>
              </w:rPr>
              <w:t>0,12</w:t>
            </w:r>
            <w:r w:rsidR="00226EE5" w:rsidRPr="000364D4">
              <w:rPr>
                <w:rFonts w:ascii="Arial" w:hAnsi="Arial" w:cs="Arial"/>
                <w:sz w:val="18"/>
                <w:szCs w:val="18"/>
              </w:rPr>
              <w:t xml:space="preserve"> %</w:t>
            </w:r>
          </w:p>
        </w:tc>
      </w:tr>
      <w:tr w:rsidR="001D0152" w:rsidRPr="000364D4" w14:paraId="65F713F8" w14:textId="77777777" w:rsidTr="00B03975">
        <w:trPr>
          <w:gridAfter w:val="2"/>
          <w:wAfter w:w="2255" w:type="dxa"/>
          <w:trHeight w:val="300"/>
          <w:jc w:val="center"/>
        </w:trPr>
        <w:tc>
          <w:tcPr>
            <w:tcW w:w="821" w:type="dxa"/>
            <w:vMerge/>
            <w:vAlign w:val="center"/>
            <w:hideMark/>
          </w:tcPr>
          <w:p w14:paraId="2DB8E297" w14:textId="77777777" w:rsidR="001D0152" w:rsidRPr="00EE3640" w:rsidRDefault="001D0152" w:rsidP="00EE3640">
            <w:pPr>
              <w:spacing w:after="0" w:line="240" w:lineRule="auto"/>
              <w:rPr>
                <w:rFonts w:ascii="Arial" w:eastAsia="Times New Roman" w:hAnsi="Arial" w:cs="Arial"/>
                <w:color w:val="000000"/>
                <w:sz w:val="18"/>
                <w:szCs w:val="18"/>
                <w:lang w:eastAsia="sl-SI"/>
              </w:rPr>
            </w:pPr>
          </w:p>
        </w:tc>
        <w:tc>
          <w:tcPr>
            <w:tcW w:w="2560" w:type="dxa"/>
            <w:gridSpan w:val="2"/>
            <w:shd w:val="clear" w:color="auto" w:fill="auto"/>
            <w:noWrap/>
            <w:vAlign w:val="center"/>
            <w:hideMark/>
          </w:tcPr>
          <w:p w14:paraId="28D97A3F" w14:textId="77777777" w:rsidR="001D0152" w:rsidRPr="00EE3640" w:rsidRDefault="001D0152" w:rsidP="00EE3640">
            <w:pPr>
              <w:spacing w:after="0" w:line="240" w:lineRule="auto"/>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Skupaj</w:t>
            </w:r>
          </w:p>
        </w:tc>
        <w:tc>
          <w:tcPr>
            <w:tcW w:w="940" w:type="dxa"/>
            <w:shd w:val="clear" w:color="auto" w:fill="auto"/>
            <w:noWrap/>
            <w:vAlign w:val="center"/>
            <w:hideMark/>
          </w:tcPr>
          <w:p w14:paraId="3A338FFD" w14:textId="77777777" w:rsidR="001D0152" w:rsidRPr="00EE3640" w:rsidRDefault="001D0152"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2.008</w:t>
            </w:r>
          </w:p>
        </w:tc>
        <w:tc>
          <w:tcPr>
            <w:tcW w:w="1916" w:type="dxa"/>
            <w:shd w:val="clear" w:color="auto" w:fill="auto"/>
            <w:noWrap/>
            <w:vAlign w:val="center"/>
            <w:hideMark/>
          </w:tcPr>
          <w:p w14:paraId="6727B33A" w14:textId="77777777" w:rsidR="001D0152" w:rsidRPr="00EE3640" w:rsidRDefault="001D0152"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957.026.531</w:t>
            </w:r>
          </w:p>
        </w:tc>
      </w:tr>
      <w:tr w:rsidR="00EE3640" w:rsidRPr="00EE3640" w14:paraId="2BC7C584" w14:textId="77777777" w:rsidTr="00B45EE0">
        <w:trPr>
          <w:gridAfter w:val="2"/>
          <w:wAfter w:w="2255" w:type="dxa"/>
          <w:trHeight w:val="300"/>
          <w:jc w:val="center"/>
        </w:trPr>
        <w:tc>
          <w:tcPr>
            <w:tcW w:w="3381" w:type="dxa"/>
            <w:gridSpan w:val="3"/>
            <w:shd w:val="clear" w:color="auto" w:fill="E7E6E6" w:themeFill="background2"/>
            <w:noWrap/>
            <w:vAlign w:val="center"/>
            <w:hideMark/>
          </w:tcPr>
          <w:p w14:paraId="52C5F6D9" w14:textId="77777777" w:rsidR="00EE3640" w:rsidRPr="00EE3640" w:rsidRDefault="00EE3640" w:rsidP="00EE3640">
            <w:pPr>
              <w:spacing w:after="0" w:line="240" w:lineRule="auto"/>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Skupaj</w:t>
            </w:r>
          </w:p>
        </w:tc>
        <w:tc>
          <w:tcPr>
            <w:tcW w:w="940" w:type="dxa"/>
            <w:shd w:val="clear" w:color="auto" w:fill="E7E6E6" w:themeFill="background2"/>
            <w:noWrap/>
            <w:vAlign w:val="center"/>
            <w:hideMark/>
          </w:tcPr>
          <w:p w14:paraId="0F9BBE53" w14:textId="77777777" w:rsidR="00EE3640" w:rsidRPr="00EE3640" w:rsidRDefault="00EE3640"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16.865</w:t>
            </w:r>
          </w:p>
        </w:tc>
        <w:tc>
          <w:tcPr>
            <w:tcW w:w="1916" w:type="dxa"/>
            <w:shd w:val="clear" w:color="auto" w:fill="E7E6E6" w:themeFill="background2"/>
            <w:noWrap/>
            <w:vAlign w:val="center"/>
            <w:hideMark/>
          </w:tcPr>
          <w:p w14:paraId="64E1214F" w14:textId="77777777" w:rsidR="00EE3640" w:rsidRPr="00EE3640" w:rsidRDefault="00EE3640" w:rsidP="00EE3640">
            <w:pPr>
              <w:spacing w:after="0" w:line="240" w:lineRule="auto"/>
              <w:jc w:val="right"/>
              <w:rPr>
                <w:rFonts w:ascii="Arial" w:eastAsia="Times New Roman" w:hAnsi="Arial" w:cs="Arial"/>
                <w:b/>
                <w:bCs/>
                <w:color w:val="000000"/>
                <w:sz w:val="18"/>
                <w:szCs w:val="18"/>
                <w:lang w:eastAsia="sl-SI"/>
              </w:rPr>
            </w:pPr>
            <w:r w:rsidRPr="00EE3640">
              <w:rPr>
                <w:rFonts w:ascii="Arial" w:eastAsia="Times New Roman" w:hAnsi="Arial" w:cs="Arial"/>
                <w:b/>
                <w:bCs/>
                <w:color w:val="000000"/>
                <w:sz w:val="18"/>
                <w:szCs w:val="18"/>
                <w:lang w:eastAsia="sl-SI"/>
              </w:rPr>
              <w:t>2.918.594.609</w:t>
            </w:r>
          </w:p>
        </w:tc>
      </w:tr>
    </w:tbl>
    <w:p w14:paraId="07D03A61" w14:textId="77777777" w:rsidR="004A613D" w:rsidRPr="000364D4" w:rsidRDefault="004A613D" w:rsidP="004A613D">
      <w:pPr>
        <w:spacing w:after="0" w:line="240" w:lineRule="auto"/>
        <w:jc w:val="center"/>
        <w:rPr>
          <w:rFonts w:ascii="Arial" w:hAnsi="Arial" w:cs="Arial"/>
          <w:sz w:val="18"/>
        </w:rPr>
      </w:pPr>
    </w:p>
    <w:p w14:paraId="1F54C4F6" w14:textId="539EC4E4" w:rsidR="002149C7" w:rsidRPr="000364D4" w:rsidRDefault="002149C7" w:rsidP="004A613D">
      <w:pPr>
        <w:spacing w:after="0" w:line="240" w:lineRule="auto"/>
        <w:jc w:val="center"/>
        <w:rPr>
          <w:rFonts w:ascii="Arial" w:hAnsi="Arial" w:cs="Arial"/>
          <w:sz w:val="18"/>
        </w:rPr>
      </w:pPr>
      <w:r w:rsidRPr="000364D4">
        <w:rPr>
          <w:rFonts w:ascii="Arial" w:hAnsi="Arial" w:cs="Arial"/>
          <w:sz w:val="18"/>
        </w:rPr>
        <w:t>Vir: Statistični podatki o javni</w:t>
      </w:r>
      <w:r w:rsidR="00550208" w:rsidRPr="000364D4">
        <w:rPr>
          <w:rFonts w:ascii="Arial" w:hAnsi="Arial" w:cs="Arial"/>
          <w:sz w:val="18"/>
        </w:rPr>
        <w:t>h naročilih, oddanih v letu 201</w:t>
      </w:r>
      <w:r w:rsidR="00EE3640" w:rsidRPr="000364D4">
        <w:rPr>
          <w:rFonts w:ascii="Arial" w:hAnsi="Arial" w:cs="Arial"/>
          <w:sz w:val="18"/>
        </w:rPr>
        <w:t>8</w:t>
      </w:r>
    </w:p>
    <w:p w14:paraId="4DE7B43B" w14:textId="77777777" w:rsidR="00F81313" w:rsidRPr="00EF2D0B" w:rsidRDefault="00F81313" w:rsidP="004A613D">
      <w:pPr>
        <w:spacing w:after="0" w:line="240" w:lineRule="auto"/>
        <w:jc w:val="center"/>
        <w:rPr>
          <w:rFonts w:ascii="Arial" w:hAnsi="Arial" w:cs="Arial"/>
          <w:sz w:val="18"/>
          <w:highlight w:val="yellow"/>
        </w:rPr>
      </w:pPr>
    </w:p>
    <w:p w14:paraId="5B56F280" w14:textId="77777777" w:rsidR="00F45253" w:rsidRDefault="00F45253" w:rsidP="006A0A09">
      <w:pPr>
        <w:spacing w:line="360" w:lineRule="auto"/>
        <w:jc w:val="both"/>
        <w:rPr>
          <w:rFonts w:ascii="Arial" w:hAnsi="Arial" w:cs="Arial"/>
          <w:sz w:val="20"/>
          <w:szCs w:val="20"/>
          <w:lang w:eastAsia="sl-SI"/>
        </w:rPr>
      </w:pPr>
    </w:p>
    <w:p w14:paraId="437750E5" w14:textId="7136B8A8" w:rsidR="001F6CF7" w:rsidRPr="00C77DD6" w:rsidRDefault="006A0A09" w:rsidP="006A0A09">
      <w:pPr>
        <w:spacing w:line="360" w:lineRule="auto"/>
        <w:jc w:val="both"/>
        <w:rPr>
          <w:rFonts w:ascii="Arial" w:hAnsi="Arial" w:cs="Arial"/>
          <w:sz w:val="20"/>
          <w:szCs w:val="20"/>
          <w:lang w:eastAsia="sl-SI"/>
        </w:rPr>
      </w:pPr>
      <w:r w:rsidRPr="00B74E6E">
        <w:rPr>
          <w:rFonts w:ascii="Arial" w:hAnsi="Arial" w:cs="Arial"/>
          <w:sz w:val="20"/>
          <w:szCs w:val="20"/>
          <w:lang w:eastAsia="sl-SI"/>
        </w:rPr>
        <w:t>Graf </w:t>
      </w:r>
      <w:r w:rsidR="0083702C" w:rsidRPr="00B74E6E">
        <w:rPr>
          <w:rFonts w:ascii="Arial" w:hAnsi="Arial" w:cs="Arial"/>
          <w:sz w:val="20"/>
          <w:szCs w:val="20"/>
          <w:lang w:eastAsia="sl-SI"/>
        </w:rPr>
        <w:t>4</w:t>
      </w:r>
      <w:r w:rsidRPr="00B74E6E">
        <w:rPr>
          <w:rFonts w:ascii="Arial" w:hAnsi="Arial" w:cs="Arial"/>
          <w:sz w:val="20"/>
          <w:szCs w:val="20"/>
          <w:lang w:eastAsia="sl-SI"/>
        </w:rPr>
        <w:t xml:space="preserve"> prikazuje, da so bili </w:t>
      </w:r>
      <w:r w:rsidR="00CD4647">
        <w:rPr>
          <w:rFonts w:ascii="Arial" w:hAnsi="Arial" w:cs="Arial"/>
          <w:sz w:val="20"/>
          <w:szCs w:val="20"/>
          <w:lang w:eastAsia="sl-SI"/>
        </w:rPr>
        <w:t>leta</w:t>
      </w:r>
      <w:r w:rsidRPr="00B74E6E">
        <w:rPr>
          <w:rFonts w:ascii="Arial" w:hAnsi="Arial" w:cs="Arial"/>
          <w:sz w:val="20"/>
          <w:szCs w:val="20"/>
          <w:lang w:eastAsia="sl-SI"/>
        </w:rPr>
        <w:t xml:space="preserve"> 201</w:t>
      </w:r>
      <w:r w:rsidR="00B74E6E" w:rsidRPr="00B74E6E">
        <w:rPr>
          <w:rFonts w:ascii="Arial" w:hAnsi="Arial" w:cs="Arial"/>
          <w:sz w:val="20"/>
          <w:szCs w:val="20"/>
          <w:lang w:eastAsia="sl-SI"/>
        </w:rPr>
        <w:t>8</w:t>
      </w:r>
      <w:r w:rsidRPr="00B74E6E">
        <w:rPr>
          <w:rFonts w:ascii="Arial" w:hAnsi="Arial" w:cs="Arial"/>
          <w:sz w:val="20"/>
          <w:szCs w:val="20"/>
          <w:lang w:eastAsia="sl-SI"/>
        </w:rPr>
        <w:t xml:space="preserve"> v postopkih javnih naročil po vrednosti oddanih </w:t>
      </w:r>
      <w:r w:rsidR="009B2527" w:rsidRPr="00B74E6E">
        <w:rPr>
          <w:rFonts w:ascii="Arial" w:hAnsi="Arial" w:cs="Arial"/>
          <w:sz w:val="20"/>
          <w:szCs w:val="20"/>
          <w:lang w:eastAsia="sl-SI"/>
        </w:rPr>
        <w:t>naročil</w:t>
      </w:r>
      <w:r w:rsidRPr="00B74E6E">
        <w:rPr>
          <w:rFonts w:ascii="Arial" w:hAnsi="Arial" w:cs="Arial"/>
          <w:sz w:val="20"/>
          <w:szCs w:val="20"/>
          <w:lang w:eastAsia="sl-SI"/>
        </w:rPr>
        <w:t xml:space="preserve"> med tujimi </w:t>
      </w:r>
      <w:r w:rsidR="002240CA" w:rsidRPr="00B74E6E">
        <w:rPr>
          <w:rFonts w:ascii="Arial" w:hAnsi="Arial" w:cs="Arial"/>
          <w:sz w:val="20"/>
          <w:szCs w:val="20"/>
          <w:lang w:eastAsia="sl-SI"/>
        </w:rPr>
        <w:t xml:space="preserve">ponudniki </w:t>
      </w:r>
      <w:r w:rsidRPr="00B74E6E">
        <w:rPr>
          <w:rFonts w:ascii="Arial" w:hAnsi="Arial" w:cs="Arial"/>
          <w:sz w:val="20"/>
          <w:szCs w:val="20"/>
          <w:lang w:eastAsia="sl-SI"/>
        </w:rPr>
        <w:t xml:space="preserve">najuspešnejši ponudniki iz </w:t>
      </w:r>
      <w:r w:rsidR="00B74E6E" w:rsidRPr="00B74E6E">
        <w:rPr>
          <w:rFonts w:ascii="Arial" w:hAnsi="Arial" w:cs="Arial"/>
          <w:sz w:val="20"/>
          <w:szCs w:val="20"/>
          <w:lang w:eastAsia="sl-SI"/>
        </w:rPr>
        <w:t>Poljske, Avstrije in Nemčije</w:t>
      </w:r>
      <w:r w:rsidR="00203977" w:rsidRPr="000D3FEA">
        <w:rPr>
          <w:rFonts w:ascii="Arial" w:hAnsi="Arial" w:cs="Arial"/>
          <w:sz w:val="20"/>
          <w:szCs w:val="20"/>
          <w:lang w:eastAsia="sl-SI"/>
        </w:rPr>
        <w:t>.</w:t>
      </w:r>
      <w:r w:rsidRPr="000D3FEA">
        <w:rPr>
          <w:rFonts w:ascii="Arial" w:hAnsi="Arial" w:cs="Arial"/>
          <w:sz w:val="20"/>
          <w:szCs w:val="20"/>
          <w:lang w:eastAsia="sl-SI"/>
        </w:rPr>
        <w:t xml:space="preserve"> Ponudniki iz </w:t>
      </w:r>
      <w:r w:rsidR="000D3FEA" w:rsidRPr="000D3FEA">
        <w:rPr>
          <w:rFonts w:ascii="Arial" w:hAnsi="Arial" w:cs="Arial"/>
          <w:sz w:val="20"/>
          <w:szCs w:val="20"/>
          <w:lang w:eastAsia="sl-SI"/>
        </w:rPr>
        <w:t>Poljske</w:t>
      </w:r>
      <w:r w:rsidR="00C8023B" w:rsidRPr="000D3FEA">
        <w:rPr>
          <w:rFonts w:ascii="Arial" w:hAnsi="Arial" w:cs="Arial"/>
          <w:sz w:val="20"/>
          <w:szCs w:val="20"/>
          <w:lang w:eastAsia="sl-SI"/>
        </w:rPr>
        <w:t xml:space="preserve"> </w:t>
      </w:r>
      <w:r w:rsidRPr="000D3FEA">
        <w:rPr>
          <w:rFonts w:ascii="Arial" w:hAnsi="Arial" w:cs="Arial"/>
          <w:sz w:val="20"/>
          <w:szCs w:val="20"/>
          <w:lang w:eastAsia="sl-SI"/>
        </w:rPr>
        <w:t xml:space="preserve">so pridobili </w:t>
      </w:r>
      <w:r w:rsidR="00CD4647">
        <w:rPr>
          <w:rFonts w:ascii="Arial" w:hAnsi="Arial" w:cs="Arial"/>
          <w:sz w:val="20"/>
          <w:szCs w:val="20"/>
          <w:lang w:eastAsia="sl-SI"/>
        </w:rPr>
        <w:t>tri</w:t>
      </w:r>
      <w:r w:rsidR="00CD4647" w:rsidRPr="000D3FEA">
        <w:rPr>
          <w:rFonts w:ascii="Arial" w:hAnsi="Arial" w:cs="Arial"/>
          <w:sz w:val="20"/>
          <w:szCs w:val="20"/>
          <w:lang w:eastAsia="sl-SI"/>
        </w:rPr>
        <w:t xml:space="preserve"> </w:t>
      </w:r>
      <w:r w:rsidR="00C8023B" w:rsidRPr="000D3FEA">
        <w:rPr>
          <w:rFonts w:ascii="Arial" w:hAnsi="Arial" w:cs="Arial"/>
          <w:sz w:val="20"/>
          <w:szCs w:val="20"/>
          <w:lang w:eastAsia="sl-SI"/>
        </w:rPr>
        <w:t>naročil</w:t>
      </w:r>
      <w:r w:rsidR="000D3FEA" w:rsidRPr="000D3FEA">
        <w:rPr>
          <w:rFonts w:ascii="Arial" w:hAnsi="Arial" w:cs="Arial"/>
          <w:sz w:val="20"/>
          <w:szCs w:val="20"/>
          <w:lang w:eastAsia="sl-SI"/>
        </w:rPr>
        <w:t>a</w:t>
      </w:r>
      <w:r w:rsidR="00653914" w:rsidRPr="000D3FEA">
        <w:rPr>
          <w:rFonts w:ascii="Arial" w:hAnsi="Arial" w:cs="Arial"/>
          <w:sz w:val="20"/>
          <w:szCs w:val="20"/>
          <w:lang w:eastAsia="sl-SI"/>
        </w:rPr>
        <w:t xml:space="preserve"> v vrednosti</w:t>
      </w:r>
      <w:r w:rsidRPr="000D3FEA">
        <w:rPr>
          <w:rFonts w:ascii="Arial" w:hAnsi="Arial" w:cs="Arial"/>
          <w:sz w:val="20"/>
          <w:szCs w:val="20"/>
          <w:lang w:eastAsia="sl-SI"/>
        </w:rPr>
        <w:t xml:space="preserve"> </w:t>
      </w:r>
      <w:r w:rsidR="000D3FEA" w:rsidRPr="000D3FEA">
        <w:rPr>
          <w:rFonts w:ascii="Arial" w:hAnsi="Arial" w:cs="Arial"/>
          <w:sz w:val="20"/>
          <w:szCs w:val="20"/>
          <w:lang w:eastAsia="sl-SI"/>
        </w:rPr>
        <w:t xml:space="preserve">170.270.680 </w:t>
      </w:r>
      <w:r w:rsidRPr="000D3FEA">
        <w:rPr>
          <w:rFonts w:ascii="Arial" w:hAnsi="Arial" w:cs="Arial"/>
          <w:sz w:val="20"/>
          <w:szCs w:val="20"/>
          <w:lang w:eastAsia="sl-SI"/>
        </w:rPr>
        <w:t xml:space="preserve">evrov, kar je po vrednosti </w:t>
      </w:r>
      <w:r w:rsidR="000D3FEA" w:rsidRPr="000D3FEA">
        <w:rPr>
          <w:rFonts w:ascii="Arial" w:hAnsi="Arial" w:cs="Arial"/>
          <w:sz w:val="20"/>
          <w:szCs w:val="20"/>
          <w:lang w:eastAsia="sl-SI"/>
        </w:rPr>
        <w:t>43,84</w:t>
      </w:r>
      <w:r w:rsidR="00C8023B" w:rsidRPr="000D3FEA">
        <w:rPr>
          <w:rFonts w:ascii="Arial" w:hAnsi="Arial" w:cs="Arial"/>
          <w:sz w:val="20"/>
          <w:szCs w:val="20"/>
          <w:lang w:eastAsia="sl-SI"/>
        </w:rPr>
        <w:t xml:space="preserve"> </w:t>
      </w:r>
      <w:r w:rsidR="0029442D" w:rsidRPr="000D3FEA">
        <w:rPr>
          <w:rFonts w:ascii="Arial" w:hAnsi="Arial" w:cs="Arial"/>
          <w:sz w:val="20"/>
          <w:szCs w:val="20"/>
          <w:lang w:eastAsia="sl-SI"/>
        </w:rPr>
        <w:t>%</w:t>
      </w:r>
      <w:r w:rsidRPr="000D3FEA">
        <w:rPr>
          <w:rFonts w:ascii="Arial" w:hAnsi="Arial" w:cs="Arial"/>
          <w:sz w:val="20"/>
          <w:szCs w:val="20"/>
          <w:lang w:eastAsia="sl-SI"/>
        </w:rPr>
        <w:t xml:space="preserve"> vseh </w:t>
      </w:r>
      <w:r w:rsidR="00653914" w:rsidRPr="000D3FEA">
        <w:rPr>
          <w:rFonts w:ascii="Arial" w:hAnsi="Arial" w:cs="Arial"/>
          <w:sz w:val="20"/>
          <w:szCs w:val="20"/>
          <w:lang w:eastAsia="sl-SI"/>
        </w:rPr>
        <w:t>naročil</w:t>
      </w:r>
      <w:r w:rsidRPr="000D3FEA">
        <w:rPr>
          <w:rFonts w:ascii="Arial" w:hAnsi="Arial" w:cs="Arial"/>
          <w:sz w:val="20"/>
          <w:szCs w:val="20"/>
          <w:lang w:eastAsia="sl-SI"/>
        </w:rPr>
        <w:t>, ki so bil</w:t>
      </w:r>
      <w:r w:rsidR="00B417B3" w:rsidRPr="000D3FEA">
        <w:rPr>
          <w:rFonts w:ascii="Arial" w:hAnsi="Arial" w:cs="Arial"/>
          <w:sz w:val="20"/>
          <w:szCs w:val="20"/>
          <w:lang w:eastAsia="sl-SI"/>
        </w:rPr>
        <w:t>a</w:t>
      </w:r>
      <w:r w:rsidRPr="000D3FEA">
        <w:rPr>
          <w:rFonts w:ascii="Arial" w:hAnsi="Arial" w:cs="Arial"/>
          <w:sz w:val="20"/>
          <w:szCs w:val="20"/>
          <w:lang w:eastAsia="sl-SI"/>
        </w:rPr>
        <w:t xml:space="preserve"> </w:t>
      </w:r>
      <w:r w:rsidR="00CD4647" w:rsidRPr="000D3FEA">
        <w:rPr>
          <w:rFonts w:ascii="Arial" w:hAnsi="Arial" w:cs="Arial"/>
          <w:sz w:val="20"/>
          <w:szCs w:val="20"/>
          <w:lang w:eastAsia="sl-SI"/>
        </w:rPr>
        <w:t>let</w:t>
      </w:r>
      <w:r w:rsidR="00CD4647">
        <w:rPr>
          <w:rFonts w:ascii="Arial" w:hAnsi="Arial" w:cs="Arial"/>
          <w:sz w:val="20"/>
          <w:szCs w:val="20"/>
          <w:lang w:eastAsia="sl-SI"/>
        </w:rPr>
        <w:t>a</w:t>
      </w:r>
      <w:r w:rsidR="00CD4647" w:rsidRPr="000D3FEA">
        <w:rPr>
          <w:rFonts w:ascii="Arial" w:hAnsi="Arial" w:cs="Arial"/>
          <w:sz w:val="20"/>
          <w:szCs w:val="20"/>
          <w:lang w:eastAsia="sl-SI"/>
        </w:rPr>
        <w:t xml:space="preserve"> </w:t>
      </w:r>
      <w:r w:rsidRPr="000D3FEA">
        <w:rPr>
          <w:rFonts w:ascii="Arial" w:hAnsi="Arial" w:cs="Arial"/>
          <w:sz w:val="20"/>
          <w:szCs w:val="20"/>
          <w:lang w:eastAsia="sl-SI"/>
        </w:rPr>
        <w:t>201</w:t>
      </w:r>
      <w:r w:rsidR="000D3FEA" w:rsidRPr="000D3FEA">
        <w:rPr>
          <w:rFonts w:ascii="Arial" w:hAnsi="Arial" w:cs="Arial"/>
          <w:sz w:val="20"/>
          <w:szCs w:val="20"/>
          <w:lang w:eastAsia="sl-SI"/>
        </w:rPr>
        <w:t>8</w:t>
      </w:r>
      <w:r w:rsidRPr="000D3FEA">
        <w:rPr>
          <w:rFonts w:ascii="Arial" w:hAnsi="Arial" w:cs="Arial"/>
          <w:sz w:val="20"/>
          <w:szCs w:val="20"/>
          <w:lang w:eastAsia="sl-SI"/>
        </w:rPr>
        <w:t xml:space="preserve"> oddan</w:t>
      </w:r>
      <w:r w:rsidR="00AE3124" w:rsidRPr="000D3FEA">
        <w:rPr>
          <w:rFonts w:ascii="Arial" w:hAnsi="Arial" w:cs="Arial"/>
          <w:sz w:val="20"/>
          <w:szCs w:val="20"/>
          <w:lang w:eastAsia="sl-SI"/>
        </w:rPr>
        <w:t>a</w:t>
      </w:r>
      <w:r w:rsidRPr="000D3FEA">
        <w:rPr>
          <w:rFonts w:ascii="Arial" w:hAnsi="Arial" w:cs="Arial"/>
          <w:sz w:val="20"/>
          <w:szCs w:val="20"/>
          <w:lang w:eastAsia="sl-SI"/>
        </w:rPr>
        <w:t xml:space="preserve"> tujim ponudnikom. Po vrednosti </w:t>
      </w:r>
      <w:r w:rsidR="00C5601E" w:rsidRPr="000D3FEA">
        <w:rPr>
          <w:rFonts w:ascii="Arial" w:hAnsi="Arial" w:cs="Arial"/>
          <w:sz w:val="20"/>
          <w:szCs w:val="20"/>
          <w:lang w:eastAsia="sl-SI"/>
        </w:rPr>
        <w:t xml:space="preserve">so za </w:t>
      </w:r>
      <w:r w:rsidR="00653914" w:rsidRPr="000D3FEA">
        <w:rPr>
          <w:rFonts w:ascii="Arial" w:hAnsi="Arial" w:cs="Arial"/>
          <w:sz w:val="20"/>
          <w:szCs w:val="20"/>
          <w:lang w:eastAsia="sl-SI"/>
        </w:rPr>
        <w:t>ponudnik</w:t>
      </w:r>
      <w:r w:rsidR="00C5601E" w:rsidRPr="000D3FEA">
        <w:rPr>
          <w:rFonts w:ascii="Arial" w:hAnsi="Arial" w:cs="Arial"/>
          <w:sz w:val="20"/>
          <w:szCs w:val="20"/>
          <w:lang w:eastAsia="sl-SI"/>
        </w:rPr>
        <w:t>i</w:t>
      </w:r>
      <w:r w:rsidR="00653914" w:rsidRPr="000D3FEA">
        <w:rPr>
          <w:rFonts w:ascii="Arial" w:hAnsi="Arial" w:cs="Arial"/>
          <w:sz w:val="20"/>
          <w:szCs w:val="20"/>
          <w:lang w:eastAsia="sl-SI"/>
        </w:rPr>
        <w:t xml:space="preserve"> iz </w:t>
      </w:r>
      <w:r w:rsidR="000D3FEA" w:rsidRPr="000D3FEA">
        <w:rPr>
          <w:rFonts w:ascii="Arial" w:hAnsi="Arial" w:cs="Arial"/>
          <w:sz w:val="20"/>
          <w:szCs w:val="20"/>
          <w:lang w:eastAsia="sl-SI"/>
        </w:rPr>
        <w:t>Poljske</w:t>
      </w:r>
      <w:r w:rsidR="001F6CF7" w:rsidRPr="000D3FEA">
        <w:rPr>
          <w:rFonts w:ascii="Arial" w:hAnsi="Arial" w:cs="Arial"/>
          <w:sz w:val="20"/>
          <w:szCs w:val="20"/>
          <w:lang w:eastAsia="sl-SI"/>
        </w:rPr>
        <w:t xml:space="preserve"> </w:t>
      </w:r>
      <w:r w:rsidR="00C5601E" w:rsidRPr="000D3FEA">
        <w:rPr>
          <w:rFonts w:ascii="Arial" w:hAnsi="Arial" w:cs="Arial"/>
          <w:sz w:val="20"/>
          <w:szCs w:val="20"/>
          <w:lang w:eastAsia="sl-SI"/>
        </w:rPr>
        <w:t>na drugem mestu</w:t>
      </w:r>
      <w:r w:rsidRPr="000D3FEA">
        <w:rPr>
          <w:rFonts w:ascii="Arial" w:hAnsi="Arial" w:cs="Arial"/>
          <w:sz w:val="20"/>
          <w:szCs w:val="20"/>
          <w:lang w:eastAsia="sl-SI"/>
        </w:rPr>
        <w:t xml:space="preserve"> ponudniki iz </w:t>
      </w:r>
      <w:r w:rsidR="000D3FEA" w:rsidRPr="000D3FEA">
        <w:rPr>
          <w:rFonts w:ascii="Arial" w:hAnsi="Arial" w:cs="Arial"/>
          <w:sz w:val="20"/>
          <w:szCs w:val="20"/>
          <w:lang w:eastAsia="sl-SI"/>
        </w:rPr>
        <w:t>Avstrije</w:t>
      </w:r>
      <w:r w:rsidRPr="000D3FEA">
        <w:rPr>
          <w:rFonts w:ascii="Arial" w:hAnsi="Arial" w:cs="Arial"/>
          <w:sz w:val="20"/>
          <w:szCs w:val="20"/>
          <w:lang w:eastAsia="sl-SI"/>
        </w:rPr>
        <w:t xml:space="preserve">, ki jim je bilo oddanih </w:t>
      </w:r>
      <w:r w:rsidR="000D3FEA" w:rsidRPr="000D3FEA">
        <w:rPr>
          <w:rFonts w:ascii="Arial" w:hAnsi="Arial" w:cs="Arial"/>
          <w:sz w:val="20"/>
          <w:szCs w:val="20"/>
          <w:lang w:eastAsia="sl-SI"/>
        </w:rPr>
        <w:t>60</w:t>
      </w:r>
      <w:r w:rsidR="00653914" w:rsidRPr="000D3FEA">
        <w:rPr>
          <w:rFonts w:ascii="Arial" w:hAnsi="Arial" w:cs="Arial"/>
          <w:sz w:val="20"/>
          <w:szCs w:val="20"/>
          <w:lang w:eastAsia="sl-SI"/>
        </w:rPr>
        <w:t xml:space="preserve"> naročil</w:t>
      </w:r>
      <w:r w:rsidRPr="000D3FEA">
        <w:rPr>
          <w:rFonts w:ascii="Arial" w:hAnsi="Arial" w:cs="Arial"/>
          <w:sz w:val="20"/>
          <w:szCs w:val="20"/>
          <w:lang w:eastAsia="sl-SI"/>
        </w:rPr>
        <w:t xml:space="preserve"> v vrednosti </w:t>
      </w:r>
      <w:r w:rsidR="000D3FEA" w:rsidRPr="000D3FEA">
        <w:rPr>
          <w:rFonts w:ascii="Arial" w:hAnsi="Arial" w:cs="Arial"/>
          <w:sz w:val="20"/>
          <w:szCs w:val="20"/>
          <w:lang w:eastAsia="sl-SI"/>
        </w:rPr>
        <w:t xml:space="preserve">53.467.576 </w:t>
      </w:r>
      <w:r w:rsidRPr="00C77DD6">
        <w:rPr>
          <w:rFonts w:ascii="Arial" w:hAnsi="Arial" w:cs="Arial"/>
          <w:sz w:val="20"/>
          <w:szCs w:val="20"/>
          <w:lang w:eastAsia="sl-SI"/>
        </w:rPr>
        <w:t>evrov.</w:t>
      </w:r>
      <w:r w:rsidR="00155413" w:rsidRPr="00C77DD6">
        <w:rPr>
          <w:rFonts w:ascii="Arial" w:hAnsi="Arial" w:cs="Arial"/>
          <w:sz w:val="20"/>
          <w:szCs w:val="20"/>
          <w:lang w:eastAsia="sl-SI"/>
        </w:rPr>
        <w:t xml:space="preserve"> </w:t>
      </w:r>
      <w:r w:rsidR="00C5601E" w:rsidRPr="00C77DD6">
        <w:rPr>
          <w:rFonts w:ascii="Arial" w:hAnsi="Arial" w:cs="Arial"/>
          <w:sz w:val="20"/>
          <w:szCs w:val="20"/>
          <w:lang w:eastAsia="sl-SI"/>
        </w:rPr>
        <w:t xml:space="preserve">Za </w:t>
      </w:r>
      <w:r w:rsidR="00C77DD6" w:rsidRPr="00C77DD6">
        <w:rPr>
          <w:rFonts w:ascii="Arial" w:hAnsi="Arial" w:cs="Arial"/>
          <w:sz w:val="20"/>
          <w:szCs w:val="20"/>
          <w:lang w:eastAsia="sl-SI"/>
        </w:rPr>
        <w:t>avstrijskimi</w:t>
      </w:r>
      <w:r w:rsidR="00653914" w:rsidRPr="00C77DD6">
        <w:rPr>
          <w:rFonts w:ascii="Arial" w:hAnsi="Arial" w:cs="Arial"/>
          <w:sz w:val="20"/>
          <w:szCs w:val="20"/>
          <w:lang w:eastAsia="sl-SI"/>
        </w:rPr>
        <w:t xml:space="preserve"> </w:t>
      </w:r>
      <w:r w:rsidRPr="00C77DD6">
        <w:rPr>
          <w:rFonts w:ascii="Arial" w:hAnsi="Arial" w:cs="Arial"/>
          <w:sz w:val="20"/>
          <w:szCs w:val="20"/>
          <w:lang w:eastAsia="sl-SI"/>
        </w:rPr>
        <w:t>ponudnik</w:t>
      </w:r>
      <w:r w:rsidR="00C5601E" w:rsidRPr="00C77DD6">
        <w:rPr>
          <w:rFonts w:ascii="Arial" w:hAnsi="Arial" w:cs="Arial"/>
          <w:sz w:val="20"/>
          <w:szCs w:val="20"/>
          <w:lang w:eastAsia="sl-SI"/>
        </w:rPr>
        <w:t>i so</w:t>
      </w:r>
      <w:r w:rsidRPr="00C77DD6">
        <w:rPr>
          <w:rFonts w:ascii="Arial" w:hAnsi="Arial" w:cs="Arial"/>
          <w:sz w:val="20"/>
          <w:szCs w:val="20"/>
          <w:lang w:eastAsia="sl-SI"/>
        </w:rPr>
        <w:t xml:space="preserve"> </w:t>
      </w:r>
      <w:r w:rsidR="00653914" w:rsidRPr="00C77DD6">
        <w:rPr>
          <w:rFonts w:ascii="Arial" w:hAnsi="Arial" w:cs="Arial"/>
          <w:sz w:val="20"/>
          <w:szCs w:val="20"/>
          <w:lang w:eastAsia="sl-SI"/>
        </w:rPr>
        <w:t xml:space="preserve">po vrednosti ponudniki iz Nemčije, </w:t>
      </w:r>
      <w:r w:rsidR="00AE3124" w:rsidRPr="00C77DD6">
        <w:rPr>
          <w:rFonts w:ascii="Arial" w:hAnsi="Arial" w:cs="Arial"/>
          <w:sz w:val="20"/>
          <w:szCs w:val="20"/>
          <w:lang w:eastAsia="sl-SI"/>
        </w:rPr>
        <w:t xml:space="preserve">tem </w:t>
      </w:r>
      <w:r w:rsidR="00653914" w:rsidRPr="00C77DD6">
        <w:rPr>
          <w:rFonts w:ascii="Arial" w:hAnsi="Arial" w:cs="Arial"/>
          <w:sz w:val="20"/>
          <w:szCs w:val="20"/>
          <w:lang w:eastAsia="sl-SI"/>
        </w:rPr>
        <w:t>je bilo oddanih</w:t>
      </w:r>
      <w:r w:rsidR="00155413" w:rsidRPr="00C77DD6">
        <w:rPr>
          <w:rFonts w:ascii="Arial" w:hAnsi="Arial" w:cs="Arial"/>
          <w:sz w:val="20"/>
          <w:szCs w:val="20"/>
          <w:lang w:eastAsia="sl-SI"/>
        </w:rPr>
        <w:t xml:space="preserve"> </w:t>
      </w:r>
      <w:r w:rsidR="00C77DD6" w:rsidRPr="00C77DD6">
        <w:rPr>
          <w:rFonts w:ascii="Arial" w:hAnsi="Arial" w:cs="Arial"/>
          <w:sz w:val="20"/>
          <w:szCs w:val="20"/>
          <w:lang w:eastAsia="sl-SI"/>
        </w:rPr>
        <w:t>57</w:t>
      </w:r>
      <w:r w:rsidR="00653914" w:rsidRPr="00C77DD6">
        <w:rPr>
          <w:rFonts w:ascii="Arial" w:hAnsi="Arial" w:cs="Arial"/>
          <w:sz w:val="20"/>
          <w:szCs w:val="20"/>
          <w:lang w:eastAsia="sl-SI"/>
        </w:rPr>
        <w:t xml:space="preserve"> naročil</w:t>
      </w:r>
      <w:r w:rsidRPr="00C77DD6">
        <w:rPr>
          <w:rFonts w:ascii="Arial" w:hAnsi="Arial" w:cs="Arial"/>
          <w:sz w:val="20"/>
          <w:szCs w:val="20"/>
          <w:lang w:eastAsia="sl-SI"/>
        </w:rPr>
        <w:t xml:space="preserve"> v vrednosti </w:t>
      </w:r>
      <w:r w:rsidR="00C77DD6" w:rsidRPr="00C77DD6">
        <w:rPr>
          <w:rFonts w:ascii="Arial" w:hAnsi="Arial" w:cs="Arial"/>
          <w:sz w:val="20"/>
          <w:szCs w:val="20"/>
          <w:lang w:eastAsia="sl-SI"/>
        </w:rPr>
        <w:t xml:space="preserve">36.986.841 </w:t>
      </w:r>
      <w:r w:rsidRPr="00C77DD6">
        <w:rPr>
          <w:rFonts w:ascii="Arial" w:hAnsi="Arial" w:cs="Arial"/>
          <w:sz w:val="20"/>
          <w:szCs w:val="20"/>
          <w:lang w:eastAsia="sl-SI"/>
        </w:rPr>
        <w:t>evrov</w:t>
      </w:r>
      <w:r w:rsidR="00653914" w:rsidRPr="00C77DD6">
        <w:rPr>
          <w:rFonts w:ascii="Arial" w:hAnsi="Arial" w:cs="Arial"/>
          <w:sz w:val="20"/>
          <w:szCs w:val="20"/>
          <w:lang w:eastAsia="sl-SI"/>
        </w:rPr>
        <w:t xml:space="preserve">. Ponudnikom iz navedenih treh držav </w:t>
      </w:r>
      <w:r w:rsidR="005D4DB0" w:rsidRPr="00C77DD6">
        <w:rPr>
          <w:rFonts w:ascii="Arial" w:hAnsi="Arial" w:cs="Arial"/>
          <w:sz w:val="20"/>
          <w:szCs w:val="20"/>
          <w:lang w:eastAsia="sl-SI"/>
        </w:rPr>
        <w:t>je</w:t>
      </w:r>
      <w:r w:rsidR="00653914" w:rsidRPr="00C77DD6">
        <w:rPr>
          <w:rFonts w:ascii="Arial" w:hAnsi="Arial" w:cs="Arial"/>
          <w:sz w:val="20"/>
          <w:szCs w:val="20"/>
          <w:lang w:eastAsia="sl-SI"/>
        </w:rPr>
        <w:t xml:space="preserve"> </w:t>
      </w:r>
      <w:r w:rsidR="005D4DB0" w:rsidRPr="00C77DD6">
        <w:rPr>
          <w:rFonts w:ascii="Arial" w:hAnsi="Arial" w:cs="Arial"/>
          <w:sz w:val="20"/>
          <w:szCs w:val="20"/>
          <w:lang w:eastAsia="sl-SI"/>
        </w:rPr>
        <w:t xml:space="preserve">bila po vrednosti </w:t>
      </w:r>
      <w:r w:rsidR="00653914" w:rsidRPr="00C77DD6">
        <w:rPr>
          <w:rFonts w:ascii="Arial" w:hAnsi="Arial" w:cs="Arial"/>
          <w:sz w:val="20"/>
          <w:szCs w:val="20"/>
          <w:lang w:eastAsia="sl-SI"/>
        </w:rPr>
        <w:t>oddana več kot polovica</w:t>
      </w:r>
      <w:r w:rsidR="004A67FB" w:rsidRPr="00C77DD6">
        <w:rPr>
          <w:rFonts w:ascii="Arial" w:hAnsi="Arial" w:cs="Arial"/>
          <w:sz w:val="20"/>
          <w:szCs w:val="20"/>
          <w:lang w:eastAsia="sl-SI"/>
        </w:rPr>
        <w:t xml:space="preserve"> vseh</w:t>
      </w:r>
      <w:r w:rsidR="00653914" w:rsidRPr="00C77DD6">
        <w:rPr>
          <w:rFonts w:ascii="Arial" w:hAnsi="Arial" w:cs="Arial"/>
          <w:sz w:val="20"/>
          <w:szCs w:val="20"/>
          <w:lang w:eastAsia="sl-SI"/>
        </w:rPr>
        <w:t xml:space="preserve"> naročil</w:t>
      </w:r>
      <w:r w:rsidR="005D4DB0" w:rsidRPr="00C77DD6">
        <w:rPr>
          <w:rFonts w:ascii="Arial" w:hAnsi="Arial" w:cs="Arial"/>
          <w:sz w:val="20"/>
          <w:szCs w:val="20"/>
          <w:lang w:eastAsia="sl-SI"/>
        </w:rPr>
        <w:t>, ki so bila oddana tujim ponudnikom.</w:t>
      </w:r>
      <w:r w:rsidR="00653914" w:rsidRPr="00C77DD6">
        <w:rPr>
          <w:rFonts w:ascii="Arial" w:hAnsi="Arial" w:cs="Arial"/>
          <w:sz w:val="20"/>
          <w:szCs w:val="20"/>
          <w:lang w:eastAsia="sl-SI"/>
        </w:rPr>
        <w:t xml:space="preserve"> </w:t>
      </w:r>
    </w:p>
    <w:p w14:paraId="2F086C30" w14:textId="77777777" w:rsidR="00F45253" w:rsidRDefault="00F45253">
      <w:pPr>
        <w:rPr>
          <w:rFonts w:ascii="Arial" w:hAnsi="Arial" w:cs="Arial"/>
          <w:sz w:val="20"/>
        </w:rPr>
      </w:pPr>
      <w:r>
        <w:rPr>
          <w:rFonts w:ascii="Arial" w:hAnsi="Arial" w:cs="Arial"/>
          <w:sz w:val="20"/>
        </w:rPr>
        <w:br w:type="page"/>
      </w:r>
    </w:p>
    <w:p w14:paraId="1C7E31D8" w14:textId="31A200E0" w:rsidR="00203977" w:rsidRPr="007D2A53" w:rsidRDefault="00203977" w:rsidP="008A61FD">
      <w:pPr>
        <w:spacing w:before="120" w:after="120" w:line="240" w:lineRule="auto"/>
        <w:jc w:val="both"/>
        <w:rPr>
          <w:rFonts w:ascii="Arial" w:hAnsi="Arial" w:cs="Arial"/>
          <w:sz w:val="20"/>
        </w:rPr>
      </w:pPr>
      <w:r w:rsidRPr="007D2A53">
        <w:rPr>
          <w:rFonts w:ascii="Arial" w:hAnsi="Arial" w:cs="Arial"/>
          <w:sz w:val="20"/>
        </w:rPr>
        <w:lastRenderedPageBreak/>
        <w:t xml:space="preserve">Graf </w:t>
      </w:r>
      <w:r w:rsidR="00EB4423">
        <w:rPr>
          <w:rFonts w:ascii="Arial" w:hAnsi="Arial" w:cs="Arial"/>
          <w:sz w:val="20"/>
        </w:rPr>
        <w:t>4</w:t>
      </w:r>
      <w:r w:rsidRPr="007D2A53">
        <w:rPr>
          <w:rFonts w:ascii="Arial" w:hAnsi="Arial" w:cs="Arial"/>
          <w:sz w:val="20"/>
        </w:rPr>
        <w:t>: Delež tujih ponudnikov glede na vrednost vseh oddanih javnih naročil</w:t>
      </w:r>
      <w:r w:rsidR="00C77DD6">
        <w:rPr>
          <w:rFonts w:ascii="Arial" w:hAnsi="Arial" w:cs="Arial"/>
          <w:sz w:val="20"/>
        </w:rPr>
        <w:t xml:space="preserve"> </w:t>
      </w:r>
    </w:p>
    <w:p w14:paraId="48F03155" w14:textId="273C18C8" w:rsidR="00405D1A" w:rsidRPr="007D2A53" w:rsidRDefault="003D2DB7" w:rsidP="007D2A53">
      <w:pPr>
        <w:spacing w:before="120" w:after="120" w:line="240" w:lineRule="auto"/>
        <w:jc w:val="center"/>
        <w:rPr>
          <w:rFonts w:ascii="Arial" w:hAnsi="Arial" w:cs="Arial"/>
          <w:sz w:val="20"/>
        </w:rPr>
      </w:pPr>
      <w:r>
        <w:rPr>
          <w:noProof/>
          <w:lang w:eastAsia="sl-SI"/>
        </w:rPr>
        <w:drawing>
          <wp:inline distT="0" distB="0" distL="0" distR="0" wp14:anchorId="1D652737" wp14:editId="7B7E0506">
            <wp:extent cx="5089525" cy="4701396"/>
            <wp:effectExtent l="0" t="0" r="15875" b="4445"/>
            <wp:docPr id="5" name="Grafikon 5" descr="Delež tujih ponudnikov glede na vrednost vseh oddanih javnih naročil.">
              <a:extLst xmlns:a="http://schemas.openxmlformats.org/drawingml/2006/main">
                <a:ext uri="{FF2B5EF4-FFF2-40B4-BE49-F238E27FC236}">
                  <a16:creationId xmlns:a16="http://schemas.microsoft.com/office/drawing/2014/main" id="{90F21C24-B526-4B56-83F2-99BA9AFE5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9F0E3F" w14:textId="5C1251DF" w:rsidR="00203977" w:rsidRPr="007D2A53" w:rsidRDefault="00203977" w:rsidP="007D2A53">
      <w:pPr>
        <w:spacing w:after="240" w:line="240" w:lineRule="auto"/>
        <w:jc w:val="center"/>
        <w:rPr>
          <w:rFonts w:ascii="Arial" w:hAnsi="Arial" w:cs="Arial"/>
          <w:sz w:val="18"/>
        </w:rPr>
      </w:pPr>
      <w:r w:rsidRPr="007D2A53">
        <w:rPr>
          <w:rFonts w:ascii="Arial" w:hAnsi="Arial" w:cs="Arial"/>
          <w:sz w:val="18"/>
        </w:rPr>
        <w:t>Vir: Statistični podatki o javnih naročilih, oddanih v letu 201</w:t>
      </w:r>
      <w:r w:rsidR="007D2A53" w:rsidRPr="007D2A53">
        <w:rPr>
          <w:rFonts w:ascii="Arial" w:hAnsi="Arial" w:cs="Arial"/>
          <w:sz w:val="18"/>
        </w:rPr>
        <w:t>8</w:t>
      </w:r>
    </w:p>
    <w:p w14:paraId="04A13AB6" w14:textId="7A3F4159" w:rsidR="00203977" w:rsidRPr="00A52CFD" w:rsidRDefault="00203977" w:rsidP="00203977">
      <w:pPr>
        <w:spacing w:line="360" w:lineRule="auto"/>
        <w:jc w:val="both"/>
        <w:rPr>
          <w:rFonts w:ascii="Arial" w:hAnsi="Arial" w:cs="Arial"/>
          <w:sz w:val="20"/>
          <w:szCs w:val="20"/>
          <w:lang w:eastAsia="sl-SI"/>
        </w:rPr>
      </w:pPr>
      <w:r w:rsidRPr="00074FF5">
        <w:rPr>
          <w:rFonts w:ascii="Arial" w:hAnsi="Arial" w:cs="Arial"/>
          <w:sz w:val="20"/>
          <w:szCs w:val="20"/>
          <w:lang w:eastAsia="sl-SI"/>
        </w:rPr>
        <w:t>Naročnik</w:t>
      </w:r>
      <w:r w:rsidR="00826F93" w:rsidRPr="00074FF5">
        <w:rPr>
          <w:rFonts w:ascii="Arial" w:hAnsi="Arial" w:cs="Arial"/>
          <w:sz w:val="20"/>
          <w:szCs w:val="20"/>
          <w:lang w:eastAsia="sl-SI"/>
        </w:rPr>
        <w:t xml:space="preserve">i so tujim ponudnikom oddali </w:t>
      </w:r>
      <w:r w:rsidR="00074FF5" w:rsidRPr="00074FF5">
        <w:rPr>
          <w:rFonts w:ascii="Arial" w:hAnsi="Arial" w:cs="Arial"/>
          <w:sz w:val="20"/>
          <w:szCs w:val="20"/>
          <w:lang w:eastAsia="sl-SI"/>
        </w:rPr>
        <w:t>406</w:t>
      </w:r>
      <w:r w:rsidRPr="00074FF5">
        <w:rPr>
          <w:rFonts w:ascii="Arial" w:hAnsi="Arial" w:cs="Arial"/>
          <w:sz w:val="20"/>
          <w:szCs w:val="20"/>
          <w:lang w:eastAsia="sl-SI"/>
        </w:rPr>
        <w:t xml:space="preserve"> </w:t>
      </w:r>
      <w:r w:rsidR="00653914" w:rsidRPr="00074FF5">
        <w:rPr>
          <w:rFonts w:ascii="Arial" w:hAnsi="Arial" w:cs="Arial"/>
          <w:sz w:val="20"/>
          <w:szCs w:val="20"/>
          <w:lang w:eastAsia="sl-SI"/>
        </w:rPr>
        <w:t>naročil</w:t>
      </w:r>
      <w:r w:rsidRPr="00074FF5">
        <w:rPr>
          <w:rFonts w:ascii="Arial" w:hAnsi="Arial" w:cs="Arial"/>
          <w:sz w:val="20"/>
          <w:szCs w:val="20"/>
          <w:lang w:eastAsia="sl-SI"/>
        </w:rPr>
        <w:t xml:space="preserve"> v vrednosti </w:t>
      </w:r>
      <w:r w:rsidR="00074FF5" w:rsidRPr="00074FF5">
        <w:rPr>
          <w:rFonts w:ascii="Arial" w:hAnsi="Arial" w:cs="Arial"/>
          <w:sz w:val="20"/>
          <w:szCs w:val="20"/>
          <w:lang w:eastAsia="sl-SI"/>
        </w:rPr>
        <w:t xml:space="preserve">388.365.736 </w:t>
      </w:r>
      <w:r w:rsidRPr="00074FF5">
        <w:rPr>
          <w:rFonts w:ascii="Arial" w:hAnsi="Arial" w:cs="Arial"/>
          <w:sz w:val="20"/>
          <w:szCs w:val="20"/>
          <w:lang w:eastAsia="sl-SI"/>
        </w:rPr>
        <w:t xml:space="preserve">evrov. Največ </w:t>
      </w:r>
      <w:r w:rsidR="004A67FB" w:rsidRPr="00074FF5">
        <w:rPr>
          <w:rFonts w:ascii="Arial" w:hAnsi="Arial" w:cs="Arial"/>
          <w:sz w:val="20"/>
          <w:szCs w:val="20"/>
          <w:lang w:eastAsia="sl-SI"/>
        </w:rPr>
        <w:t>naročil so</w:t>
      </w:r>
      <w:r w:rsidR="00B417B3" w:rsidRPr="00074FF5">
        <w:rPr>
          <w:rFonts w:ascii="Arial" w:hAnsi="Arial" w:cs="Arial"/>
          <w:sz w:val="20"/>
          <w:szCs w:val="20"/>
          <w:lang w:eastAsia="sl-SI"/>
        </w:rPr>
        <w:t xml:space="preserve"> </w:t>
      </w:r>
      <w:r w:rsidRPr="00074FF5">
        <w:rPr>
          <w:rFonts w:ascii="Arial" w:hAnsi="Arial" w:cs="Arial"/>
          <w:sz w:val="20"/>
          <w:szCs w:val="20"/>
          <w:lang w:eastAsia="sl-SI"/>
        </w:rPr>
        <w:t xml:space="preserve">tujim ponudnikom oddali naročniki iz osrednjeslovenske regije, in </w:t>
      </w:r>
      <w:r w:rsidRPr="00E500EF">
        <w:rPr>
          <w:rFonts w:ascii="Arial" w:hAnsi="Arial" w:cs="Arial"/>
          <w:sz w:val="20"/>
          <w:szCs w:val="20"/>
          <w:lang w:eastAsia="sl-SI"/>
        </w:rPr>
        <w:t>sicer</w:t>
      </w:r>
      <w:r w:rsidR="00826F93" w:rsidRPr="00E500EF">
        <w:rPr>
          <w:rFonts w:ascii="Arial" w:hAnsi="Arial" w:cs="Arial"/>
          <w:sz w:val="20"/>
          <w:szCs w:val="20"/>
          <w:lang w:eastAsia="sl-SI"/>
        </w:rPr>
        <w:t xml:space="preserve"> 1</w:t>
      </w:r>
      <w:r w:rsidR="00074FF5" w:rsidRPr="00E500EF">
        <w:rPr>
          <w:rFonts w:ascii="Arial" w:hAnsi="Arial" w:cs="Arial"/>
          <w:sz w:val="20"/>
          <w:szCs w:val="20"/>
          <w:lang w:eastAsia="sl-SI"/>
        </w:rPr>
        <w:t>79</w:t>
      </w:r>
      <w:r w:rsidRPr="00E500EF">
        <w:rPr>
          <w:rFonts w:ascii="Arial" w:hAnsi="Arial" w:cs="Arial"/>
          <w:sz w:val="20"/>
          <w:szCs w:val="20"/>
          <w:lang w:eastAsia="sl-SI"/>
        </w:rPr>
        <w:t>. Tuj</w:t>
      </w:r>
      <w:r w:rsidR="00826F93" w:rsidRPr="00E500EF">
        <w:rPr>
          <w:rFonts w:ascii="Arial" w:hAnsi="Arial" w:cs="Arial"/>
          <w:sz w:val="20"/>
          <w:szCs w:val="20"/>
          <w:lang w:eastAsia="sl-SI"/>
        </w:rPr>
        <w:t xml:space="preserve">im ponudnikom so naročniki iz </w:t>
      </w:r>
      <w:r w:rsidR="00E500EF" w:rsidRPr="00E500EF">
        <w:rPr>
          <w:rFonts w:ascii="Arial" w:hAnsi="Arial" w:cs="Arial"/>
          <w:sz w:val="20"/>
          <w:szCs w:val="20"/>
          <w:lang w:eastAsia="sl-SI"/>
        </w:rPr>
        <w:t>osrednjeslovenske</w:t>
      </w:r>
      <w:r w:rsidRPr="00E500EF">
        <w:rPr>
          <w:rFonts w:ascii="Arial" w:hAnsi="Arial" w:cs="Arial"/>
          <w:sz w:val="20"/>
          <w:szCs w:val="20"/>
          <w:lang w:eastAsia="sl-SI"/>
        </w:rPr>
        <w:t xml:space="preserve"> regije oddali </w:t>
      </w:r>
      <w:r w:rsidR="00653914" w:rsidRPr="00E500EF">
        <w:rPr>
          <w:rFonts w:ascii="Arial" w:hAnsi="Arial" w:cs="Arial"/>
          <w:sz w:val="20"/>
          <w:szCs w:val="20"/>
          <w:lang w:eastAsia="sl-SI"/>
        </w:rPr>
        <w:t>naročila v</w:t>
      </w:r>
      <w:r w:rsidRPr="00E500EF">
        <w:rPr>
          <w:rFonts w:ascii="Arial" w:hAnsi="Arial" w:cs="Arial"/>
          <w:sz w:val="20"/>
          <w:szCs w:val="20"/>
          <w:lang w:eastAsia="sl-SI"/>
        </w:rPr>
        <w:t xml:space="preserve"> največji </w:t>
      </w:r>
      <w:r w:rsidR="004A67FB" w:rsidRPr="00E500EF">
        <w:rPr>
          <w:rFonts w:ascii="Arial" w:hAnsi="Arial" w:cs="Arial"/>
          <w:sz w:val="20"/>
          <w:szCs w:val="20"/>
          <w:lang w:eastAsia="sl-SI"/>
        </w:rPr>
        <w:t xml:space="preserve">skupni </w:t>
      </w:r>
      <w:r w:rsidRPr="00E500EF">
        <w:rPr>
          <w:rFonts w:ascii="Arial" w:hAnsi="Arial" w:cs="Arial"/>
          <w:sz w:val="20"/>
          <w:szCs w:val="20"/>
          <w:lang w:eastAsia="sl-SI"/>
        </w:rPr>
        <w:t xml:space="preserve">vrednosti, in sicer za </w:t>
      </w:r>
      <w:r w:rsidR="00E500EF" w:rsidRPr="00E500EF">
        <w:rPr>
          <w:rFonts w:ascii="Arial" w:hAnsi="Arial" w:cs="Arial"/>
          <w:sz w:val="20"/>
          <w:szCs w:val="20"/>
          <w:lang w:eastAsia="sl-SI"/>
        </w:rPr>
        <w:t xml:space="preserve">283.532.469 </w:t>
      </w:r>
      <w:r w:rsidRPr="00A52CFD">
        <w:rPr>
          <w:rFonts w:ascii="Arial" w:hAnsi="Arial" w:cs="Arial"/>
          <w:sz w:val="20"/>
          <w:szCs w:val="20"/>
          <w:lang w:eastAsia="sl-SI"/>
        </w:rPr>
        <w:t xml:space="preserve">evrov. V deležu števila vseh oddanih </w:t>
      </w:r>
      <w:r w:rsidR="00653914" w:rsidRPr="00A52CFD">
        <w:rPr>
          <w:rFonts w:ascii="Arial" w:hAnsi="Arial" w:cs="Arial"/>
          <w:sz w:val="20"/>
          <w:szCs w:val="20"/>
          <w:lang w:eastAsia="sl-SI"/>
        </w:rPr>
        <w:t>naročil</w:t>
      </w:r>
      <w:r w:rsidRPr="00A52CFD">
        <w:rPr>
          <w:rFonts w:ascii="Arial" w:hAnsi="Arial" w:cs="Arial"/>
          <w:sz w:val="20"/>
          <w:szCs w:val="20"/>
          <w:lang w:eastAsia="sl-SI"/>
        </w:rPr>
        <w:t xml:space="preserve"> tujim ponudnikom so ponudniki iz </w:t>
      </w:r>
      <w:r w:rsidR="00653914" w:rsidRPr="00A52CFD">
        <w:rPr>
          <w:rFonts w:ascii="Arial" w:hAnsi="Arial" w:cs="Arial"/>
          <w:sz w:val="20"/>
          <w:szCs w:val="20"/>
          <w:lang w:eastAsia="sl-SI"/>
        </w:rPr>
        <w:t>te regije</w:t>
      </w:r>
      <w:r w:rsidRPr="00A52CFD">
        <w:rPr>
          <w:rFonts w:ascii="Arial" w:hAnsi="Arial" w:cs="Arial"/>
          <w:sz w:val="20"/>
          <w:szCs w:val="20"/>
          <w:lang w:eastAsia="sl-SI"/>
        </w:rPr>
        <w:t xml:space="preserve"> oddali </w:t>
      </w:r>
      <w:r w:rsidR="00A52CFD" w:rsidRPr="00A52CFD">
        <w:rPr>
          <w:rFonts w:ascii="Arial" w:hAnsi="Arial" w:cs="Arial"/>
          <w:sz w:val="20"/>
          <w:szCs w:val="20"/>
          <w:lang w:eastAsia="sl-SI"/>
        </w:rPr>
        <w:t>slabo</w:t>
      </w:r>
      <w:r w:rsidRPr="00A52CFD">
        <w:rPr>
          <w:rFonts w:ascii="Arial" w:hAnsi="Arial" w:cs="Arial"/>
          <w:sz w:val="20"/>
          <w:szCs w:val="20"/>
          <w:lang w:eastAsia="sl-SI"/>
        </w:rPr>
        <w:t xml:space="preserve"> </w:t>
      </w:r>
      <w:r w:rsidR="00A52CFD" w:rsidRPr="00A52CFD">
        <w:rPr>
          <w:rFonts w:ascii="Arial" w:hAnsi="Arial" w:cs="Arial"/>
          <w:sz w:val="20"/>
          <w:szCs w:val="20"/>
          <w:lang w:eastAsia="sl-SI"/>
        </w:rPr>
        <w:t>polovico</w:t>
      </w:r>
      <w:r w:rsidR="00653914" w:rsidRPr="00A52CFD">
        <w:rPr>
          <w:rFonts w:ascii="Arial" w:hAnsi="Arial" w:cs="Arial"/>
          <w:sz w:val="20"/>
          <w:szCs w:val="20"/>
          <w:lang w:eastAsia="sl-SI"/>
        </w:rPr>
        <w:t xml:space="preserve">, po vrednosti pa </w:t>
      </w:r>
      <w:r w:rsidR="00A52CFD" w:rsidRPr="00A52CFD">
        <w:rPr>
          <w:rFonts w:ascii="Arial" w:hAnsi="Arial" w:cs="Arial"/>
          <w:sz w:val="20"/>
          <w:szCs w:val="20"/>
          <w:lang w:eastAsia="sl-SI"/>
        </w:rPr>
        <w:t>73,01</w:t>
      </w:r>
      <w:r w:rsidR="00653914" w:rsidRPr="00A52CFD">
        <w:rPr>
          <w:rFonts w:ascii="Arial" w:hAnsi="Arial" w:cs="Arial"/>
          <w:sz w:val="20"/>
          <w:szCs w:val="20"/>
          <w:lang w:eastAsia="sl-SI"/>
        </w:rPr>
        <w:t xml:space="preserve"> </w:t>
      </w:r>
      <w:r w:rsidR="0029442D" w:rsidRPr="00A52CFD">
        <w:rPr>
          <w:rFonts w:ascii="Arial" w:hAnsi="Arial" w:cs="Arial"/>
          <w:sz w:val="20"/>
          <w:szCs w:val="20"/>
          <w:lang w:eastAsia="sl-SI"/>
        </w:rPr>
        <w:t>%</w:t>
      </w:r>
      <w:r w:rsidR="00653914" w:rsidRPr="00A52CFD">
        <w:rPr>
          <w:rFonts w:ascii="Arial" w:hAnsi="Arial" w:cs="Arial"/>
          <w:sz w:val="20"/>
          <w:szCs w:val="20"/>
          <w:lang w:eastAsia="sl-SI"/>
        </w:rPr>
        <w:t xml:space="preserve"> vseh naročil.</w:t>
      </w:r>
      <w:r w:rsidRPr="00A52CFD">
        <w:rPr>
          <w:rFonts w:ascii="Arial" w:hAnsi="Arial" w:cs="Arial"/>
          <w:sz w:val="20"/>
          <w:szCs w:val="20"/>
          <w:lang w:eastAsia="sl-SI"/>
        </w:rPr>
        <w:t xml:space="preserve"> </w:t>
      </w:r>
    </w:p>
    <w:p w14:paraId="79BC4E90" w14:textId="76819B3D" w:rsidR="006A0A09" w:rsidRPr="00A52CFD" w:rsidRDefault="006A0A09" w:rsidP="001C08E5">
      <w:pPr>
        <w:rPr>
          <w:rFonts w:ascii="Arial" w:hAnsi="Arial" w:cs="Arial"/>
          <w:sz w:val="20"/>
        </w:rPr>
      </w:pPr>
      <w:r w:rsidRPr="00A52CFD">
        <w:rPr>
          <w:rFonts w:ascii="Arial" w:hAnsi="Arial" w:cs="Arial"/>
          <w:sz w:val="20"/>
        </w:rPr>
        <w:t xml:space="preserve">Preglednica </w:t>
      </w:r>
      <w:r w:rsidR="00474678" w:rsidRPr="00A52CFD">
        <w:rPr>
          <w:rFonts w:ascii="Arial" w:hAnsi="Arial" w:cs="Arial"/>
          <w:sz w:val="20"/>
        </w:rPr>
        <w:t>4</w:t>
      </w:r>
      <w:r w:rsidR="00EB4423">
        <w:rPr>
          <w:rFonts w:ascii="Arial" w:hAnsi="Arial" w:cs="Arial"/>
          <w:sz w:val="20"/>
        </w:rPr>
        <w:t>4</w:t>
      </w:r>
      <w:r w:rsidRPr="00A52CFD">
        <w:rPr>
          <w:rFonts w:ascii="Arial" w:hAnsi="Arial" w:cs="Arial"/>
          <w:sz w:val="20"/>
        </w:rPr>
        <w:t>: Uspešnost tujih ponudnikov glede na regijo naročnika</w:t>
      </w:r>
    </w:p>
    <w:tbl>
      <w:tblPr>
        <w:tblW w:w="5000" w:type="pct"/>
        <w:jc w:val="center"/>
        <w:tblCellMar>
          <w:left w:w="70" w:type="dxa"/>
          <w:right w:w="70" w:type="dxa"/>
        </w:tblCellMar>
        <w:tblLook w:val="04A0" w:firstRow="1" w:lastRow="0" w:firstColumn="1" w:lastColumn="0" w:noHBand="0" w:noVBand="1"/>
      </w:tblPr>
      <w:tblGrid>
        <w:gridCol w:w="2952"/>
        <w:gridCol w:w="1154"/>
        <w:gridCol w:w="2855"/>
        <w:gridCol w:w="1200"/>
        <w:gridCol w:w="901"/>
      </w:tblGrid>
      <w:tr w:rsidR="005A2EDF" w:rsidRPr="00A52CFD" w14:paraId="619A0073" w14:textId="77777777" w:rsidTr="004E69E6">
        <w:trPr>
          <w:trHeight w:val="480"/>
          <w:tblHeader/>
          <w:jc w:val="center"/>
        </w:trPr>
        <w:tc>
          <w:tcPr>
            <w:tcW w:w="162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9A69887" w14:textId="77777777" w:rsidR="005327A9" w:rsidRPr="005327A9" w:rsidRDefault="005327A9" w:rsidP="005327A9">
            <w:pPr>
              <w:spacing w:after="0" w:line="240" w:lineRule="auto"/>
              <w:jc w:val="center"/>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Regija naročnika</w:t>
            </w:r>
          </w:p>
        </w:tc>
        <w:tc>
          <w:tcPr>
            <w:tcW w:w="637" w:type="pct"/>
            <w:tcBorders>
              <w:top w:val="single" w:sz="4" w:space="0" w:color="auto"/>
              <w:left w:val="nil"/>
              <w:bottom w:val="single" w:sz="4" w:space="0" w:color="auto"/>
              <w:right w:val="single" w:sz="4" w:space="0" w:color="auto"/>
            </w:tcBorders>
            <w:shd w:val="clear" w:color="000000" w:fill="EDEDED"/>
            <w:vAlign w:val="center"/>
            <w:hideMark/>
          </w:tcPr>
          <w:p w14:paraId="77363294" w14:textId="77777777" w:rsidR="005327A9" w:rsidRPr="005327A9" w:rsidRDefault="005327A9" w:rsidP="005327A9">
            <w:pPr>
              <w:spacing w:after="0" w:line="240" w:lineRule="auto"/>
              <w:jc w:val="center"/>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Št. naročil</w:t>
            </w:r>
          </w:p>
        </w:tc>
        <w:tc>
          <w:tcPr>
            <w:tcW w:w="1575" w:type="pct"/>
            <w:tcBorders>
              <w:top w:val="single" w:sz="4" w:space="0" w:color="auto"/>
              <w:left w:val="nil"/>
              <w:bottom w:val="single" w:sz="4" w:space="0" w:color="auto"/>
              <w:right w:val="single" w:sz="4" w:space="0" w:color="auto"/>
            </w:tcBorders>
            <w:shd w:val="clear" w:color="000000" w:fill="EDEDED"/>
            <w:vAlign w:val="center"/>
            <w:hideMark/>
          </w:tcPr>
          <w:p w14:paraId="753F592A" w14:textId="77777777" w:rsidR="005327A9" w:rsidRPr="005327A9" w:rsidRDefault="005327A9" w:rsidP="005327A9">
            <w:pPr>
              <w:spacing w:after="0" w:line="240" w:lineRule="auto"/>
              <w:jc w:val="center"/>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Pogodbena vrednost</w:t>
            </w:r>
          </w:p>
        </w:tc>
        <w:tc>
          <w:tcPr>
            <w:tcW w:w="662" w:type="pct"/>
            <w:tcBorders>
              <w:top w:val="single" w:sz="4" w:space="0" w:color="auto"/>
              <w:left w:val="nil"/>
              <w:bottom w:val="single" w:sz="4" w:space="0" w:color="auto"/>
              <w:right w:val="single" w:sz="4" w:space="0" w:color="auto"/>
            </w:tcBorders>
            <w:shd w:val="clear" w:color="000000" w:fill="EDEDED"/>
            <w:vAlign w:val="center"/>
            <w:hideMark/>
          </w:tcPr>
          <w:p w14:paraId="1A4C94C6" w14:textId="77777777" w:rsidR="005327A9" w:rsidRPr="005327A9" w:rsidRDefault="005327A9" w:rsidP="005327A9">
            <w:pPr>
              <w:spacing w:after="0" w:line="240" w:lineRule="auto"/>
              <w:jc w:val="center"/>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Delež v št. naročil</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06F434CB" w14:textId="77777777" w:rsidR="005327A9" w:rsidRPr="005327A9" w:rsidRDefault="005327A9" w:rsidP="005327A9">
            <w:pPr>
              <w:spacing w:after="0" w:line="240" w:lineRule="auto"/>
              <w:jc w:val="center"/>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Delež v vrednosti</w:t>
            </w:r>
          </w:p>
        </w:tc>
      </w:tr>
      <w:tr w:rsidR="005A2EDF" w:rsidRPr="00A52CFD" w14:paraId="2518E319"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6C101829"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OSREDNJESLOVENSKA</w:t>
            </w:r>
          </w:p>
        </w:tc>
        <w:tc>
          <w:tcPr>
            <w:tcW w:w="637" w:type="pct"/>
            <w:tcBorders>
              <w:top w:val="nil"/>
              <w:left w:val="nil"/>
              <w:bottom w:val="single" w:sz="4" w:space="0" w:color="auto"/>
              <w:right w:val="single" w:sz="4" w:space="0" w:color="auto"/>
            </w:tcBorders>
            <w:shd w:val="clear" w:color="auto" w:fill="auto"/>
            <w:vAlign w:val="center"/>
            <w:hideMark/>
          </w:tcPr>
          <w:p w14:paraId="407BDBAC"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179</w:t>
            </w:r>
          </w:p>
        </w:tc>
        <w:tc>
          <w:tcPr>
            <w:tcW w:w="1575" w:type="pct"/>
            <w:tcBorders>
              <w:top w:val="nil"/>
              <w:left w:val="nil"/>
              <w:bottom w:val="single" w:sz="4" w:space="0" w:color="auto"/>
              <w:right w:val="single" w:sz="4" w:space="0" w:color="auto"/>
            </w:tcBorders>
            <w:shd w:val="clear" w:color="auto" w:fill="auto"/>
            <w:vAlign w:val="center"/>
            <w:hideMark/>
          </w:tcPr>
          <w:p w14:paraId="6AA73C35"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283.532.469</w:t>
            </w:r>
          </w:p>
        </w:tc>
        <w:tc>
          <w:tcPr>
            <w:tcW w:w="662" w:type="pct"/>
            <w:tcBorders>
              <w:top w:val="nil"/>
              <w:left w:val="nil"/>
              <w:bottom w:val="single" w:sz="4" w:space="0" w:color="auto"/>
              <w:right w:val="single" w:sz="4" w:space="0" w:color="auto"/>
            </w:tcBorders>
            <w:shd w:val="clear" w:color="auto" w:fill="auto"/>
            <w:noWrap/>
            <w:vAlign w:val="center"/>
            <w:hideMark/>
          </w:tcPr>
          <w:p w14:paraId="2CBDBE95" w14:textId="204BD783"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44,09</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645213D" w14:textId="08FA3C94"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73,01</w:t>
            </w:r>
            <w:r w:rsidRPr="00A52CFD">
              <w:rPr>
                <w:rFonts w:ascii="Arial" w:eastAsia="Times New Roman" w:hAnsi="Arial" w:cs="Arial"/>
                <w:color w:val="000000"/>
                <w:sz w:val="18"/>
                <w:szCs w:val="18"/>
                <w:lang w:eastAsia="sl-SI"/>
              </w:rPr>
              <w:t xml:space="preserve"> %</w:t>
            </w:r>
          </w:p>
        </w:tc>
      </w:tr>
      <w:tr w:rsidR="005A2EDF" w:rsidRPr="00A52CFD" w14:paraId="1F5819FA"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46CD09ED"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OBALNO-KRAŠKA</w:t>
            </w:r>
          </w:p>
        </w:tc>
        <w:tc>
          <w:tcPr>
            <w:tcW w:w="637" w:type="pct"/>
            <w:tcBorders>
              <w:top w:val="nil"/>
              <w:left w:val="nil"/>
              <w:bottom w:val="single" w:sz="4" w:space="0" w:color="auto"/>
              <w:right w:val="single" w:sz="4" w:space="0" w:color="auto"/>
            </w:tcBorders>
            <w:shd w:val="clear" w:color="auto" w:fill="auto"/>
            <w:vAlign w:val="center"/>
            <w:hideMark/>
          </w:tcPr>
          <w:p w14:paraId="4302ACC1"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20</w:t>
            </w:r>
          </w:p>
        </w:tc>
        <w:tc>
          <w:tcPr>
            <w:tcW w:w="1575" w:type="pct"/>
            <w:tcBorders>
              <w:top w:val="nil"/>
              <w:left w:val="nil"/>
              <w:bottom w:val="single" w:sz="4" w:space="0" w:color="auto"/>
              <w:right w:val="single" w:sz="4" w:space="0" w:color="auto"/>
            </w:tcBorders>
            <w:shd w:val="clear" w:color="auto" w:fill="auto"/>
            <w:vAlign w:val="center"/>
            <w:hideMark/>
          </w:tcPr>
          <w:p w14:paraId="58AA31EB"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28.516.211</w:t>
            </w:r>
          </w:p>
        </w:tc>
        <w:tc>
          <w:tcPr>
            <w:tcW w:w="662" w:type="pct"/>
            <w:tcBorders>
              <w:top w:val="nil"/>
              <w:left w:val="nil"/>
              <w:bottom w:val="single" w:sz="4" w:space="0" w:color="auto"/>
              <w:right w:val="single" w:sz="4" w:space="0" w:color="auto"/>
            </w:tcBorders>
            <w:shd w:val="clear" w:color="auto" w:fill="auto"/>
            <w:noWrap/>
            <w:vAlign w:val="center"/>
            <w:hideMark/>
          </w:tcPr>
          <w:p w14:paraId="1449DAFE" w14:textId="33461130"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4,93</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062F4D9" w14:textId="149ADB1A"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7,34</w:t>
            </w:r>
            <w:r w:rsidRPr="00A52CFD">
              <w:rPr>
                <w:rFonts w:ascii="Arial" w:eastAsia="Times New Roman" w:hAnsi="Arial" w:cs="Arial"/>
                <w:color w:val="000000"/>
                <w:sz w:val="18"/>
                <w:szCs w:val="18"/>
                <w:lang w:eastAsia="sl-SI"/>
              </w:rPr>
              <w:t xml:space="preserve"> %</w:t>
            </w:r>
          </w:p>
        </w:tc>
      </w:tr>
      <w:tr w:rsidR="005A2EDF" w:rsidRPr="00A52CFD" w14:paraId="47F500F7"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11E94A17"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SAVINJSKA</w:t>
            </w:r>
          </w:p>
        </w:tc>
        <w:tc>
          <w:tcPr>
            <w:tcW w:w="637" w:type="pct"/>
            <w:tcBorders>
              <w:top w:val="nil"/>
              <w:left w:val="nil"/>
              <w:bottom w:val="single" w:sz="4" w:space="0" w:color="auto"/>
              <w:right w:val="single" w:sz="4" w:space="0" w:color="auto"/>
            </w:tcBorders>
            <w:shd w:val="clear" w:color="auto" w:fill="auto"/>
            <w:vAlign w:val="center"/>
            <w:hideMark/>
          </w:tcPr>
          <w:p w14:paraId="3DCC05A9"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54</w:t>
            </w:r>
          </w:p>
        </w:tc>
        <w:tc>
          <w:tcPr>
            <w:tcW w:w="1575" w:type="pct"/>
            <w:tcBorders>
              <w:top w:val="nil"/>
              <w:left w:val="nil"/>
              <w:bottom w:val="single" w:sz="4" w:space="0" w:color="auto"/>
              <w:right w:val="single" w:sz="4" w:space="0" w:color="auto"/>
            </w:tcBorders>
            <w:shd w:val="clear" w:color="auto" w:fill="auto"/>
            <w:vAlign w:val="center"/>
            <w:hideMark/>
          </w:tcPr>
          <w:p w14:paraId="5701EBCD"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24.991.819</w:t>
            </w:r>
          </w:p>
        </w:tc>
        <w:tc>
          <w:tcPr>
            <w:tcW w:w="662" w:type="pct"/>
            <w:tcBorders>
              <w:top w:val="nil"/>
              <w:left w:val="nil"/>
              <w:bottom w:val="single" w:sz="4" w:space="0" w:color="auto"/>
              <w:right w:val="single" w:sz="4" w:space="0" w:color="auto"/>
            </w:tcBorders>
            <w:shd w:val="clear" w:color="auto" w:fill="auto"/>
            <w:noWrap/>
            <w:vAlign w:val="center"/>
            <w:hideMark/>
          </w:tcPr>
          <w:p w14:paraId="7FBFF548" w14:textId="5036F5F0"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13,30</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231B4E2" w14:textId="1216BC65"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6,44</w:t>
            </w:r>
            <w:r w:rsidRPr="00A52CFD">
              <w:rPr>
                <w:rFonts w:ascii="Arial" w:eastAsia="Times New Roman" w:hAnsi="Arial" w:cs="Arial"/>
                <w:color w:val="000000"/>
                <w:sz w:val="18"/>
                <w:szCs w:val="18"/>
                <w:lang w:eastAsia="sl-SI"/>
              </w:rPr>
              <w:t xml:space="preserve"> %</w:t>
            </w:r>
          </w:p>
        </w:tc>
      </w:tr>
      <w:tr w:rsidR="005A2EDF" w:rsidRPr="00A52CFD" w14:paraId="47656146"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1D32ECC9"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POSAVSKA</w:t>
            </w:r>
          </w:p>
        </w:tc>
        <w:tc>
          <w:tcPr>
            <w:tcW w:w="637" w:type="pct"/>
            <w:tcBorders>
              <w:top w:val="nil"/>
              <w:left w:val="nil"/>
              <w:bottom w:val="single" w:sz="4" w:space="0" w:color="auto"/>
              <w:right w:val="single" w:sz="4" w:space="0" w:color="auto"/>
            </w:tcBorders>
            <w:shd w:val="clear" w:color="auto" w:fill="auto"/>
            <w:vAlign w:val="center"/>
            <w:hideMark/>
          </w:tcPr>
          <w:p w14:paraId="45B29876"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70</w:t>
            </w:r>
          </w:p>
        </w:tc>
        <w:tc>
          <w:tcPr>
            <w:tcW w:w="1575" w:type="pct"/>
            <w:tcBorders>
              <w:top w:val="nil"/>
              <w:left w:val="nil"/>
              <w:bottom w:val="single" w:sz="4" w:space="0" w:color="auto"/>
              <w:right w:val="single" w:sz="4" w:space="0" w:color="auto"/>
            </w:tcBorders>
            <w:shd w:val="clear" w:color="auto" w:fill="auto"/>
            <w:vAlign w:val="center"/>
            <w:hideMark/>
          </w:tcPr>
          <w:p w14:paraId="6F8FBE9B"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23.823.377</w:t>
            </w:r>
          </w:p>
        </w:tc>
        <w:tc>
          <w:tcPr>
            <w:tcW w:w="662" w:type="pct"/>
            <w:tcBorders>
              <w:top w:val="nil"/>
              <w:left w:val="nil"/>
              <w:bottom w:val="single" w:sz="4" w:space="0" w:color="auto"/>
              <w:right w:val="single" w:sz="4" w:space="0" w:color="auto"/>
            </w:tcBorders>
            <w:shd w:val="clear" w:color="auto" w:fill="auto"/>
            <w:noWrap/>
            <w:vAlign w:val="center"/>
            <w:hideMark/>
          </w:tcPr>
          <w:p w14:paraId="7890350B" w14:textId="5523EE1B"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17,24</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F4FE733" w14:textId="63EDC414"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6,13</w:t>
            </w:r>
            <w:r w:rsidRPr="00A52CFD">
              <w:rPr>
                <w:rFonts w:ascii="Arial" w:eastAsia="Times New Roman" w:hAnsi="Arial" w:cs="Arial"/>
                <w:color w:val="000000"/>
                <w:sz w:val="18"/>
                <w:szCs w:val="18"/>
                <w:lang w:eastAsia="sl-SI"/>
              </w:rPr>
              <w:t xml:space="preserve"> %</w:t>
            </w:r>
          </w:p>
        </w:tc>
      </w:tr>
      <w:tr w:rsidR="005A2EDF" w:rsidRPr="00A52CFD" w14:paraId="436BA1BE"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17519ACA"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PODRAVSKA</w:t>
            </w:r>
          </w:p>
        </w:tc>
        <w:tc>
          <w:tcPr>
            <w:tcW w:w="637" w:type="pct"/>
            <w:tcBorders>
              <w:top w:val="nil"/>
              <w:left w:val="nil"/>
              <w:bottom w:val="single" w:sz="4" w:space="0" w:color="auto"/>
              <w:right w:val="single" w:sz="4" w:space="0" w:color="auto"/>
            </w:tcBorders>
            <w:shd w:val="clear" w:color="auto" w:fill="auto"/>
            <w:vAlign w:val="center"/>
            <w:hideMark/>
          </w:tcPr>
          <w:p w14:paraId="30AC017D"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53</w:t>
            </w:r>
          </w:p>
        </w:tc>
        <w:tc>
          <w:tcPr>
            <w:tcW w:w="1575" w:type="pct"/>
            <w:tcBorders>
              <w:top w:val="nil"/>
              <w:left w:val="nil"/>
              <w:bottom w:val="single" w:sz="4" w:space="0" w:color="auto"/>
              <w:right w:val="single" w:sz="4" w:space="0" w:color="auto"/>
            </w:tcBorders>
            <w:shd w:val="clear" w:color="auto" w:fill="auto"/>
            <w:vAlign w:val="center"/>
            <w:hideMark/>
          </w:tcPr>
          <w:p w14:paraId="51C1E489"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12.647.661</w:t>
            </w:r>
          </w:p>
        </w:tc>
        <w:tc>
          <w:tcPr>
            <w:tcW w:w="662" w:type="pct"/>
            <w:tcBorders>
              <w:top w:val="nil"/>
              <w:left w:val="nil"/>
              <w:bottom w:val="single" w:sz="4" w:space="0" w:color="auto"/>
              <w:right w:val="single" w:sz="4" w:space="0" w:color="auto"/>
            </w:tcBorders>
            <w:shd w:val="clear" w:color="auto" w:fill="auto"/>
            <w:noWrap/>
            <w:vAlign w:val="center"/>
            <w:hideMark/>
          </w:tcPr>
          <w:p w14:paraId="16694A97" w14:textId="08AD30FB"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13,05</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05F4F21" w14:textId="6FC66FED"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3,26</w:t>
            </w:r>
            <w:r w:rsidRPr="00A52CFD">
              <w:rPr>
                <w:rFonts w:ascii="Arial" w:eastAsia="Times New Roman" w:hAnsi="Arial" w:cs="Arial"/>
                <w:color w:val="000000"/>
                <w:sz w:val="18"/>
                <w:szCs w:val="18"/>
                <w:lang w:eastAsia="sl-SI"/>
              </w:rPr>
              <w:t xml:space="preserve"> %</w:t>
            </w:r>
          </w:p>
        </w:tc>
      </w:tr>
      <w:tr w:rsidR="005A2EDF" w:rsidRPr="00A52CFD" w14:paraId="784872EC"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1328E06D"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GORIŠKA</w:t>
            </w:r>
          </w:p>
        </w:tc>
        <w:tc>
          <w:tcPr>
            <w:tcW w:w="637" w:type="pct"/>
            <w:tcBorders>
              <w:top w:val="nil"/>
              <w:left w:val="nil"/>
              <w:bottom w:val="single" w:sz="4" w:space="0" w:color="auto"/>
              <w:right w:val="single" w:sz="4" w:space="0" w:color="auto"/>
            </w:tcBorders>
            <w:shd w:val="clear" w:color="auto" w:fill="auto"/>
            <w:vAlign w:val="center"/>
            <w:hideMark/>
          </w:tcPr>
          <w:p w14:paraId="22366661"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5</w:t>
            </w:r>
          </w:p>
        </w:tc>
        <w:tc>
          <w:tcPr>
            <w:tcW w:w="1575" w:type="pct"/>
            <w:tcBorders>
              <w:top w:val="nil"/>
              <w:left w:val="nil"/>
              <w:bottom w:val="single" w:sz="4" w:space="0" w:color="auto"/>
              <w:right w:val="single" w:sz="4" w:space="0" w:color="auto"/>
            </w:tcBorders>
            <w:shd w:val="clear" w:color="auto" w:fill="auto"/>
            <w:vAlign w:val="center"/>
            <w:hideMark/>
          </w:tcPr>
          <w:p w14:paraId="1C02543C"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6.827.242</w:t>
            </w:r>
          </w:p>
        </w:tc>
        <w:tc>
          <w:tcPr>
            <w:tcW w:w="662" w:type="pct"/>
            <w:tcBorders>
              <w:top w:val="nil"/>
              <w:left w:val="nil"/>
              <w:bottom w:val="single" w:sz="4" w:space="0" w:color="auto"/>
              <w:right w:val="single" w:sz="4" w:space="0" w:color="auto"/>
            </w:tcBorders>
            <w:shd w:val="clear" w:color="auto" w:fill="auto"/>
            <w:noWrap/>
            <w:vAlign w:val="center"/>
            <w:hideMark/>
          </w:tcPr>
          <w:p w14:paraId="20662FBB" w14:textId="432775AF"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1,23</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B41D9AD" w14:textId="6D45839D"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1,76</w:t>
            </w:r>
            <w:r w:rsidRPr="00A52CFD">
              <w:rPr>
                <w:rFonts w:ascii="Arial" w:eastAsia="Times New Roman" w:hAnsi="Arial" w:cs="Arial"/>
                <w:color w:val="000000"/>
                <w:sz w:val="18"/>
                <w:szCs w:val="18"/>
                <w:lang w:eastAsia="sl-SI"/>
              </w:rPr>
              <w:t xml:space="preserve"> %</w:t>
            </w:r>
          </w:p>
        </w:tc>
      </w:tr>
      <w:tr w:rsidR="005A2EDF" w:rsidRPr="00A52CFD" w14:paraId="0D057705"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0E6DC6F7"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GORENJSKA</w:t>
            </w:r>
          </w:p>
        </w:tc>
        <w:tc>
          <w:tcPr>
            <w:tcW w:w="637" w:type="pct"/>
            <w:tcBorders>
              <w:top w:val="nil"/>
              <w:left w:val="nil"/>
              <w:bottom w:val="single" w:sz="4" w:space="0" w:color="auto"/>
              <w:right w:val="single" w:sz="4" w:space="0" w:color="auto"/>
            </w:tcBorders>
            <w:shd w:val="clear" w:color="auto" w:fill="auto"/>
            <w:vAlign w:val="center"/>
            <w:hideMark/>
          </w:tcPr>
          <w:p w14:paraId="2476B5B1"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15</w:t>
            </w:r>
          </w:p>
        </w:tc>
        <w:tc>
          <w:tcPr>
            <w:tcW w:w="1575" w:type="pct"/>
            <w:tcBorders>
              <w:top w:val="nil"/>
              <w:left w:val="nil"/>
              <w:bottom w:val="single" w:sz="4" w:space="0" w:color="auto"/>
              <w:right w:val="single" w:sz="4" w:space="0" w:color="auto"/>
            </w:tcBorders>
            <w:shd w:val="clear" w:color="auto" w:fill="auto"/>
            <w:vAlign w:val="center"/>
            <w:hideMark/>
          </w:tcPr>
          <w:p w14:paraId="79251779"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6.232.437</w:t>
            </w:r>
          </w:p>
        </w:tc>
        <w:tc>
          <w:tcPr>
            <w:tcW w:w="662" w:type="pct"/>
            <w:tcBorders>
              <w:top w:val="nil"/>
              <w:left w:val="nil"/>
              <w:bottom w:val="single" w:sz="4" w:space="0" w:color="auto"/>
              <w:right w:val="single" w:sz="4" w:space="0" w:color="auto"/>
            </w:tcBorders>
            <w:shd w:val="clear" w:color="auto" w:fill="auto"/>
            <w:noWrap/>
            <w:vAlign w:val="center"/>
            <w:hideMark/>
          </w:tcPr>
          <w:p w14:paraId="1F02646F" w14:textId="3D28C1E9"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3,69</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39D3CA52" w14:textId="2D44C143"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1,60</w:t>
            </w:r>
            <w:r w:rsidRPr="00A52CFD">
              <w:rPr>
                <w:rFonts w:ascii="Arial" w:eastAsia="Times New Roman" w:hAnsi="Arial" w:cs="Arial"/>
                <w:color w:val="000000"/>
                <w:sz w:val="18"/>
                <w:szCs w:val="18"/>
                <w:lang w:eastAsia="sl-SI"/>
              </w:rPr>
              <w:t xml:space="preserve"> %</w:t>
            </w:r>
          </w:p>
        </w:tc>
      </w:tr>
      <w:tr w:rsidR="005A2EDF" w:rsidRPr="00A52CFD" w14:paraId="540CF0BD"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25B3BC61"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JUGOVZHODNA SLOVENIJA</w:t>
            </w:r>
          </w:p>
        </w:tc>
        <w:tc>
          <w:tcPr>
            <w:tcW w:w="637" w:type="pct"/>
            <w:tcBorders>
              <w:top w:val="nil"/>
              <w:left w:val="nil"/>
              <w:bottom w:val="single" w:sz="4" w:space="0" w:color="auto"/>
              <w:right w:val="single" w:sz="4" w:space="0" w:color="auto"/>
            </w:tcBorders>
            <w:shd w:val="clear" w:color="auto" w:fill="auto"/>
            <w:vAlign w:val="center"/>
            <w:hideMark/>
          </w:tcPr>
          <w:p w14:paraId="7B4EAC9A"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4</w:t>
            </w:r>
          </w:p>
        </w:tc>
        <w:tc>
          <w:tcPr>
            <w:tcW w:w="1575" w:type="pct"/>
            <w:tcBorders>
              <w:top w:val="nil"/>
              <w:left w:val="nil"/>
              <w:bottom w:val="single" w:sz="4" w:space="0" w:color="auto"/>
              <w:right w:val="single" w:sz="4" w:space="0" w:color="auto"/>
            </w:tcBorders>
            <w:shd w:val="clear" w:color="auto" w:fill="auto"/>
            <w:vAlign w:val="center"/>
            <w:hideMark/>
          </w:tcPr>
          <w:p w14:paraId="14408835"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768.352</w:t>
            </w:r>
          </w:p>
        </w:tc>
        <w:tc>
          <w:tcPr>
            <w:tcW w:w="662" w:type="pct"/>
            <w:tcBorders>
              <w:top w:val="nil"/>
              <w:left w:val="nil"/>
              <w:bottom w:val="single" w:sz="4" w:space="0" w:color="auto"/>
              <w:right w:val="single" w:sz="4" w:space="0" w:color="auto"/>
            </w:tcBorders>
            <w:shd w:val="clear" w:color="auto" w:fill="auto"/>
            <w:noWrap/>
            <w:vAlign w:val="center"/>
            <w:hideMark/>
          </w:tcPr>
          <w:p w14:paraId="0AB62143" w14:textId="246776E0"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0,99</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826D02D" w14:textId="5F89BC06"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0,20</w:t>
            </w:r>
            <w:r w:rsidRPr="00A52CFD">
              <w:rPr>
                <w:rFonts w:ascii="Arial" w:eastAsia="Times New Roman" w:hAnsi="Arial" w:cs="Arial"/>
                <w:color w:val="000000"/>
                <w:sz w:val="18"/>
                <w:szCs w:val="18"/>
                <w:lang w:eastAsia="sl-SI"/>
              </w:rPr>
              <w:t xml:space="preserve"> %</w:t>
            </w:r>
          </w:p>
        </w:tc>
      </w:tr>
      <w:tr w:rsidR="005A2EDF" w:rsidRPr="00A52CFD" w14:paraId="6AB782C8"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0F7C6AD0"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KOROŠKA</w:t>
            </w:r>
          </w:p>
        </w:tc>
        <w:tc>
          <w:tcPr>
            <w:tcW w:w="637" w:type="pct"/>
            <w:tcBorders>
              <w:top w:val="nil"/>
              <w:left w:val="nil"/>
              <w:bottom w:val="single" w:sz="4" w:space="0" w:color="auto"/>
              <w:right w:val="single" w:sz="4" w:space="0" w:color="auto"/>
            </w:tcBorders>
            <w:shd w:val="clear" w:color="auto" w:fill="auto"/>
            <w:vAlign w:val="center"/>
            <w:hideMark/>
          </w:tcPr>
          <w:p w14:paraId="331A7379"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w:t>
            </w:r>
          </w:p>
        </w:tc>
        <w:tc>
          <w:tcPr>
            <w:tcW w:w="1575" w:type="pct"/>
            <w:tcBorders>
              <w:top w:val="nil"/>
              <w:left w:val="nil"/>
              <w:bottom w:val="single" w:sz="4" w:space="0" w:color="auto"/>
              <w:right w:val="single" w:sz="4" w:space="0" w:color="auto"/>
            </w:tcBorders>
            <w:shd w:val="clear" w:color="auto" w:fill="auto"/>
            <w:vAlign w:val="center"/>
            <w:hideMark/>
          </w:tcPr>
          <w:p w14:paraId="18CCAE7E"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631.284</w:t>
            </w:r>
          </w:p>
        </w:tc>
        <w:tc>
          <w:tcPr>
            <w:tcW w:w="662" w:type="pct"/>
            <w:tcBorders>
              <w:top w:val="nil"/>
              <w:left w:val="nil"/>
              <w:bottom w:val="single" w:sz="4" w:space="0" w:color="auto"/>
              <w:right w:val="single" w:sz="4" w:space="0" w:color="auto"/>
            </w:tcBorders>
            <w:shd w:val="clear" w:color="auto" w:fill="auto"/>
            <w:noWrap/>
            <w:vAlign w:val="center"/>
            <w:hideMark/>
          </w:tcPr>
          <w:p w14:paraId="7F4EE0D3" w14:textId="7120C61D"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0,49</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01402AE" w14:textId="41A93B68"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0,16</w:t>
            </w:r>
            <w:r w:rsidRPr="00A52CFD">
              <w:rPr>
                <w:rFonts w:ascii="Arial" w:eastAsia="Times New Roman" w:hAnsi="Arial" w:cs="Arial"/>
                <w:color w:val="000000"/>
                <w:sz w:val="18"/>
                <w:szCs w:val="18"/>
                <w:lang w:eastAsia="sl-SI"/>
              </w:rPr>
              <w:t xml:space="preserve"> %</w:t>
            </w:r>
          </w:p>
        </w:tc>
      </w:tr>
      <w:tr w:rsidR="005A2EDF" w:rsidRPr="00A52CFD" w14:paraId="42057DA1"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1D212DFE"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lastRenderedPageBreak/>
              <w:t>POMURSKA</w:t>
            </w:r>
          </w:p>
        </w:tc>
        <w:tc>
          <w:tcPr>
            <w:tcW w:w="637" w:type="pct"/>
            <w:tcBorders>
              <w:top w:val="nil"/>
              <w:left w:val="nil"/>
              <w:bottom w:val="single" w:sz="4" w:space="0" w:color="auto"/>
              <w:right w:val="single" w:sz="4" w:space="0" w:color="auto"/>
            </w:tcBorders>
            <w:shd w:val="clear" w:color="auto" w:fill="auto"/>
            <w:vAlign w:val="center"/>
            <w:hideMark/>
          </w:tcPr>
          <w:p w14:paraId="1CEE1C01"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w:t>
            </w:r>
          </w:p>
        </w:tc>
        <w:tc>
          <w:tcPr>
            <w:tcW w:w="1575" w:type="pct"/>
            <w:tcBorders>
              <w:top w:val="nil"/>
              <w:left w:val="nil"/>
              <w:bottom w:val="single" w:sz="4" w:space="0" w:color="auto"/>
              <w:right w:val="single" w:sz="4" w:space="0" w:color="auto"/>
            </w:tcBorders>
            <w:shd w:val="clear" w:color="auto" w:fill="auto"/>
            <w:vAlign w:val="center"/>
            <w:hideMark/>
          </w:tcPr>
          <w:p w14:paraId="75B504B6"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366.134</w:t>
            </w:r>
          </w:p>
        </w:tc>
        <w:tc>
          <w:tcPr>
            <w:tcW w:w="662" w:type="pct"/>
            <w:tcBorders>
              <w:top w:val="nil"/>
              <w:left w:val="nil"/>
              <w:bottom w:val="single" w:sz="4" w:space="0" w:color="auto"/>
              <w:right w:val="single" w:sz="4" w:space="0" w:color="auto"/>
            </w:tcBorders>
            <w:shd w:val="clear" w:color="auto" w:fill="auto"/>
            <w:noWrap/>
            <w:vAlign w:val="center"/>
            <w:hideMark/>
          </w:tcPr>
          <w:p w14:paraId="3C82BCB8" w14:textId="2F057B15"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0,49</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E8EA965" w14:textId="0BD0E42D"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0,09</w:t>
            </w:r>
            <w:r w:rsidRPr="00A52CFD">
              <w:rPr>
                <w:rFonts w:ascii="Arial" w:eastAsia="Times New Roman" w:hAnsi="Arial" w:cs="Arial"/>
                <w:color w:val="000000"/>
                <w:sz w:val="18"/>
                <w:szCs w:val="18"/>
                <w:lang w:eastAsia="sl-SI"/>
              </w:rPr>
              <w:t xml:space="preserve"> %</w:t>
            </w:r>
          </w:p>
        </w:tc>
      </w:tr>
      <w:tr w:rsidR="005A2EDF" w:rsidRPr="00A52CFD" w14:paraId="65720E42" w14:textId="77777777" w:rsidTr="00074FF5">
        <w:trPr>
          <w:trHeight w:val="300"/>
          <w:jc w:val="center"/>
        </w:trPr>
        <w:tc>
          <w:tcPr>
            <w:tcW w:w="1629" w:type="pct"/>
            <w:tcBorders>
              <w:top w:val="nil"/>
              <w:left w:val="single" w:sz="4" w:space="0" w:color="auto"/>
              <w:bottom w:val="single" w:sz="4" w:space="0" w:color="auto"/>
              <w:right w:val="single" w:sz="4" w:space="0" w:color="auto"/>
            </w:tcBorders>
            <w:shd w:val="clear" w:color="auto" w:fill="auto"/>
            <w:vAlign w:val="center"/>
            <w:hideMark/>
          </w:tcPr>
          <w:p w14:paraId="67B15FBB" w14:textId="77777777" w:rsidR="005327A9" w:rsidRPr="005327A9" w:rsidRDefault="005327A9" w:rsidP="005327A9">
            <w:pPr>
              <w:spacing w:after="0" w:line="240" w:lineRule="auto"/>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ZASAVSKA</w:t>
            </w:r>
          </w:p>
        </w:tc>
        <w:tc>
          <w:tcPr>
            <w:tcW w:w="637" w:type="pct"/>
            <w:tcBorders>
              <w:top w:val="nil"/>
              <w:left w:val="nil"/>
              <w:bottom w:val="single" w:sz="4" w:space="0" w:color="auto"/>
              <w:right w:val="single" w:sz="4" w:space="0" w:color="auto"/>
            </w:tcBorders>
            <w:shd w:val="clear" w:color="auto" w:fill="auto"/>
            <w:vAlign w:val="center"/>
            <w:hideMark/>
          </w:tcPr>
          <w:p w14:paraId="1AB26566"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w:t>
            </w:r>
          </w:p>
        </w:tc>
        <w:tc>
          <w:tcPr>
            <w:tcW w:w="1575" w:type="pct"/>
            <w:tcBorders>
              <w:top w:val="nil"/>
              <w:left w:val="nil"/>
              <w:bottom w:val="single" w:sz="4" w:space="0" w:color="auto"/>
              <w:right w:val="single" w:sz="4" w:space="0" w:color="auto"/>
            </w:tcBorders>
            <w:shd w:val="clear" w:color="auto" w:fill="auto"/>
            <w:vAlign w:val="center"/>
            <w:hideMark/>
          </w:tcPr>
          <w:p w14:paraId="48E8B313" w14:textId="77777777" w:rsidR="005327A9" w:rsidRPr="005327A9" w:rsidRDefault="005327A9" w:rsidP="00074FF5">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28.750</w:t>
            </w:r>
          </w:p>
        </w:tc>
        <w:tc>
          <w:tcPr>
            <w:tcW w:w="662" w:type="pct"/>
            <w:tcBorders>
              <w:top w:val="nil"/>
              <w:left w:val="nil"/>
              <w:bottom w:val="single" w:sz="4" w:space="0" w:color="auto"/>
              <w:right w:val="single" w:sz="4" w:space="0" w:color="auto"/>
            </w:tcBorders>
            <w:shd w:val="clear" w:color="auto" w:fill="auto"/>
            <w:noWrap/>
            <w:vAlign w:val="center"/>
            <w:hideMark/>
          </w:tcPr>
          <w:p w14:paraId="222AC283" w14:textId="6DDB40E6"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0,49</w:t>
            </w:r>
            <w:r w:rsidRPr="00A52CFD">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D74D090" w14:textId="650A4F92" w:rsidR="005327A9" w:rsidRPr="005327A9" w:rsidRDefault="005327A9" w:rsidP="005327A9">
            <w:pPr>
              <w:spacing w:after="0" w:line="240" w:lineRule="auto"/>
              <w:jc w:val="right"/>
              <w:rPr>
                <w:rFonts w:ascii="Arial" w:eastAsia="Times New Roman" w:hAnsi="Arial" w:cs="Arial"/>
                <w:color w:val="000000"/>
                <w:sz w:val="18"/>
                <w:szCs w:val="18"/>
                <w:lang w:eastAsia="sl-SI"/>
              </w:rPr>
            </w:pPr>
            <w:r w:rsidRPr="005327A9">
              <w:rPr>
                <w:rFonts w:ascii="Arial" w:eastAsia="Times New Roman" w:hAnsi="Arial" w:cs="Arial"/>
                <w:color w:val="000000"/>
                <w:sz w:val="18"/>
                <w:szCs w:val="18"/>
                <w:lang w:eastAsia="sl-SI"/>
              </w:rPr>
              <w:t>0,01</w:t>
            </w:r>
            <w:r w:rsidRPr="00A52CFD">
              <w:rPr>
                <w:rFonts w:ascii="Arial" w:eastAsia="Times New Roman" w:hAnsi="Arial" w:cs="Arial"/>
                <w:color w:val="000000"/>
                <w:sz w:val="18"/>
                <w:szCs w:val="18"/>
                <w:lang w:eastAsia="sl-SI"/>
              </w:rPr>
              <w:t xml:space="preserve"> %</w:t>
            </w:r>
          </w:p>
        </w:tc>
      </w:tr>
      <w:tr w:rsidR="005A2EDF" w:rsidRPr="00A52CFD" w14:paraId="2F2AAB01" w14:textId="77777777" w:rsidTr="00FE5059">
        <w:trPr>
          <w:trHeight w:val="300"/>
          <w:jc w:val="center"/>
        </w:trPr>
        <w:tc>
          <w:tcPr>
            <w:tcW w:w="1629"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6399F408" w14:textId="77777777" w:rsidR="005327A9" w:rsidRPr="005327A9" w:rsidRDefault="005327A9" w:rsidP="005327A9">
            <w:pPr>
              <w:spacing w:after="0" w:line="240" w:lineRule="auto"/>
              <w:rPr>
                <w:rFonts w:ascii="Arial" w:eastAsia="Times New Roman" w:hAnsi="Arial" w:cs="Arial"/>
                <w:b/>
                <w:bCs/>
                <w:color w:val="000000"/>
                <w:sz w:val="18"/>
                <w:szCs w:val="18"/>
                <w:lang w:eastAsia="sl-SI"/>
              </w:rPr>
            </w:pPr>
            <w:r w:rsidRPr="005327A9">
              <w:rPr>
                <w:rFonts w:ascii="Arial" w:eastAsia="Times New Roman" w:hAnsi="Arial" w:cs="Arial"/>
                <w:b/>
                <w:bCs/>
                <w:color w:val="000000"/>
                <w:sz w:val="18"/>
                <w:szCs w:val="18"/>
                <w:lang w:eastAsia="sl-SI"/>
              </w:rPr>
              <w:t>Skupaj</w:t>
            </w:r>
          </w:p>
        </w:tc>
        <w:tc>
          <w:tcPr>
            <w:tcW w:w="637" w:type="pct"/>
            <w:tcBorders>
              <w:top w:val="nil"/>
              <w:left w:val="nil"/>
              <w:bottom w:val="single" w:sz="4" w:space="0" w:color="auto"/>
              <w:right w:val="single" w:sz="4" w:space="0" w:color="auto"/>
            </w:tcBorders>
            <w:shd w:val="clear" w:color="auto" w:fill="E7E6E6" w:themeFill="background2"/>
            <w:noWrap/>
            <w:vAlign w:val="center"/>
            <w:hideMark/>
          </w:tcPr>
          <w:p w14:paraId="2433D2FD" w14:textId="77777777" w:rsidR="005327A9" w:rsidRPr="005327A9" w:rsidRDefault="005327A9" w:rsidP="00074FF5">
            <w:pPr>
              <w:spacing w:after="0" w:line="240" w:lineRule="auto"/>
              <w:jc w:val="right"/>
              <w:rPr>
                <w:rFonts w:ascii="Arial" w:eastAsia="Times New Roman" w:hAnsi="Arial" w:cs="Arial"/>
                <w:b/>
                <w:bCs/>
                <w:color w:val="000000"/>
                <w:sz w:val="18"/>
                <w:szCs w:val="18"/>
                <w:lang w:eastAsia="sl-SI"/>
              </w:rPr>
            </w:pPr>
            <w:r w:rsidRPr="005327A9">
              <w:rPr>
                <w:rFonts w:ascii="Arial" w:eastAsia="Times New Roman" w:hAnsi="Arial" w:cs="Arial"/>
                <w:b/>
                <w:bCs/>
                <w:color w:val="000000"/>
                <w:sz w:val="18"/>
                <w:szCs w:val="18"/>
                <w:lang w:eastAsia="sl-SI"/>
              </w:rPr>
              <w:t>406</w:t>
            </w:r>
          </w:p>
        </w:tc>
        <w:tc>
          <w:tcPr>
            <w:tcW w:w="1575" w:type="pct"/>
            <w:tcBorders>
              <w:top w:val="nil"/>
              <w:left w:val="nil"/>
              <w:bottom w:val="single" w:sz="4" w:space="0" w:color="auto"/>
              <w:right w:val="single" w:sz="4" w:space="0" w:color="auto"/>
            </w:tcBorders>
            <w:shd w:val="clear" w:color="auto" w:fill="E7E6E6" w:themeFill="background2"/>
            <w:noWrap/>
            <w:vAlign w:val="center"/>
            <w:hideMark/>
          </w:tcPr>
          <w:p w14:paraId="733205F4" w14:textId="77777777" w:rsidR="005327A9" w:rsidRPr="005327A9" w:rsidRDefault="005327A9" w:rsidP="00074FF5">
            <w:pPr>
              <w:spacing w:after="0" w:line="240" w:lineRule="auto"/>
              <w:jc w:val="right"/>
              <w:rPr>
                <w:rFonts w:ascii="Arial" w:eastAsia="Times New Roman" w:hAnsi="Arial" w:cs="Arial"/>
                <w:b/>
                <w:bCs/>
                <w:color w:val="000000"/>
                <w:sz w:val="18"/>
                <w:szCs w:val="18"/>
                <w:lang w:eastAsia="sl-SI"/>
              </w:rPr>
            </w:pPr>
            <w:r w:rsidRPr="005327A9">
              <w:rPr>
                <w:rFonts w:ascii="Arial" w:eastAsia="Times New Roman" w:hAnsi="Arial" w:cs="Arial"/>
                <w:b/>
                <w:bCs/>
                <w:color w:val="000000"/>
                <w:sz w:val="18"/>
                <w:szCs w:val="18"/>
                <w:lang w:eastAsia="sl-SI"/>
              </w:rPr>
              <w:t>388.365.736</w:t>
            </w:r>
          </w:p>
        </w:tc>
        <w:tc>
          <w:tcPr>
            <w:tcW w:w="662" w:type="pct"/>
            <w:tcBorders>
              <w:top w:val="nil"/>
              <w:left w:val="nil"/>
              <w:bottom w:val="single" w:sz="4" w:space="0" w:color="auto"/>
              <w:right w:val="single" w:sz="4" w:space="0" w:color="auto"/>
            </w:tcBorders>
            <w:shd w:val="clear" w:color="auto" w:fill="E7E6E6" w:themeFill="background2"/>
            <w:noWrap/>
            <w:vAlign w:val="center"/>
            <w:hideMark/>
          </w:tcPr>
          <w:p w14:paraId="611B5DDF" w14:textId="047398A4" w:rsidR="005327A9" w:rsidRPr="005327A9" w:rsidRDefault="005327A9" w:rsidP="005327A9">
            <w:pPr>
              <w:spacing w:after="0" w:line="240" w:lineRule="auto"/>
              <w:jc w:val="right"/>
              <w:rPr>
                <w:rFonts w:ascii="Arial" w:eastAsia="Times New Roman" w:hAnsi="Arial" w:cs="Arial"/>
                <w:b/>
                <w:color w:val="000000"/>
                <w:sz w:val="18"/>
                <w:szCs w:val="18"/>
                <w:lang w:eastAsia="sl-SI"/>
              </w:rPr>
            </w:pPr>
            <w:r w:rsidRPr="005327A9">
              <w:rPr>
                <w:rFonts w:ascii="Arial" w:eastAsia="Times New Roman" w:hAnsi="Arial" w:cs="Arial"/>
                <w:b/>
                <w:color w:val="000000"/>
                <w:sz w:val="18"/>
                <w:szCs w:val="18"/>
                <w:lang w:eastAsia="sl-SI"/>
              </w:rPr>
              <w:t>100,00</w:t>
            </w:r>
            <w:r w:rsidRPr="00A52CFD">
              <w:rPr>
                <w:rFonts w:ascii="Arial" w:eastAsia="Times New Roman" w:hAnsi="Arial" w:cs="Arial"/>
                <w:b/>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E7E6E6" w:themeFill="background2"/>
            <w:noWrap/>
            <w:vAlign w:val="center"/>
            <w:hideMark/>
          </w:tcPr>
          <w:p w14:paraId="71ED1424" w14:textId="3FCA5A7D" w:rsidR="005327A9" w:rsidRPr="005327A9" w:rsidRDefault="005327A9" w:rsidP="005327A9">
            <w:pPr>
              <w:spacing w:after="0" w:line="240" w:lineRule="auto"/>
              <w:jc w:val="right"/>
              <w:rPr>
                <w:rFonts w:ascii="Arial" w:eastAsia="Times New Roman" w:hAnsi="Arial" w:cs="Arial"/>
                <w:b/>
                <w:color w:val="000000"/>
                <w:sz w:val="18"/>
                <w:szCs w:val="18"/>
                <w:lang w:eastAsia="sl-SI"/>
              </w:rPr>
            </w:pPr>
            <w:r w:rsidRPr="005327A9">
              <w:rPr>
                <w:rFonts w:ascii="Arial" w:eastAsia="Times New Roman" w:hAnsi="Arial" w:cs="Arial"/>
                <w:b/>
                <w:color w:val="000000"/>
                <w:sz w:val="18"/>
                <w:szCs w:val="18"/>
                <w:lang w:eastAsia="sl-SI"/>
              </w:rPr>
              <w:t>100,00</w:t>
            </w:r>
            <w:r w:rsidRPr="00A52CFD">
              <w:rPr>
                <w:rFonts w:ascii="Arial" w:eastAsia="Times New Roman" w:hAnsi="Arial" w:cs="Arial"/>
                <w:b/>
                <w:color w:val="000000"/>
                <w:sz w:val="18"/>
                <w:szCs w:val="18"/>
                <w:lang w:eastAsia="sl-SI"/>
              </w:rPr>
              <w:t xml:space="preserve"> %</w:t>
            </w:r>
          </w:p>
        </w:tc>
      </w:tr>
    </w:tbl>
    <w:p w14:paraId="62926C4E" w14:textId="77777777" w:rsidR="00203977" w:rsidRPr="00A52CFD" w:rsidRDefault="00203977" w:rsidP="003B5408">
      <w:pPr>
        <w:spacing w:after="0" w:line="240" w:lineRule="auto"/>
        <w:jc w:val="center"/>
        <w:rPr>
          <w:rFonts w:ascii="Arial" w:hAnsi="Arial" w:cs="Arial"/>
          <w:sz w:val="20"/>
          <w:szCs w:val="20"/>
          <w:lang w:eastAsia="sl-SI"/>
        </w:rPr>
      </w:pPr>
    </w:p>
    <w:p w14:paraId="7EACE49E" w14:textId="096D5DA4" w:rsidR="006A0A09" w:rsidRPr="00A52CFD" w:rsidRDefault="006A0A09" w:rsidP="004A65AD">
      <w:pPr>
        <w:spacing w:after="0" w:line="240" w:lineRule="auto"/>
        <w:jc w:val="center"/>
        <w:rPr>
          <w:rFonts w:ascii="Arial" w:hAnsi="Arial" w:cs="Arial"/>
          <w:sz w:val="18"/>
        </w:rPr>
      </w:pPr>
      <w:r w:rsidRPr="00A52CFD">
        <w:rPr>
          <w:rFonts w:ascii="Arial" w:hAnsi="Arial" w:cs="Arial"/>
          <w:sz w:val="18"/>
        </w:rPr>
        <w:t>Vir: Statistični podatki o javnih naročilih, oddanih v letu 201</w:t>
      </w:r>
      <w:r w:rsidR="005327A9" w:rsidRPr="00A52CFD">
        <w:rPr>
          <w:rFonts w:ascii="Arial" w:hAnsi="Arial" w:cs="Arial"/>
          <w:sz w:val="18"/>
        </w:rPr>
        <w:t>8</w:t>
      </w:r>
    </w:p>
    <w:p w14:paraId="2195710F" w14:textId="21432D57" w:rsidR="006A0A09" w:rsidRPr="00A52CFD" w:rsidRDefault="006A0A09" w:rsidP="004A65AD">
      <w:pPr>
        <w:pStyle w:val="ZADEVA"/>
        <w:jc w:val="both"/>
        <w:rPr>
          <w:rFonts w:cs="Arial"/>
          <w:b w:val="0"/>
          <w:szCs w:val="20"/>
          <w:lang w:val="sl-SI"/>
        </w:rPr>
      </w:pPr>
    </w:p>
    <w:p w14:paraId="2ECC6632" w14:textId="35DBB171" w:rsidR="00E71F9A" w:rsidRPr="00B12184" w:rsidRDefault="00E71F9A" w:rsidP="004A65AD">
      <w:pPr>
        <w:pStyle w:val="Naslov3"/>
        <w:rPr>
          <w:rFonts w:ascii="Arial" w:hAnsi="Arial" w:cs="Arial"/>
          <w:sz w:val="22"/>
          <w:szCs w:val="22"/>
        </w:rPr>
      </w:pPr>
      <w:bookmarkStart w:id="30" w:name="_Toc17114068"/>
      <w:r w:rsidRPr="00B12184">
        <w:rPr>
          <w:rFonts w:ascii="Arial" w:hAnsi="Arial" w:cs="Arial"/>
          <w:sz w:val="22"/>
          <w:szCs w:val="22"/>
        </w:rPr>
        <w:t>2.7.3 Lokalno naročanje</w:t>
      </w:r>
      <w:bookmarkEnd w:id="30"/>
      <w:r w:rsidRPr="00B12184">
        <w:rPr>
          <w:rFonts w:ascii="Arial" w:hAnsi="Arial" w:cs="Arial"/>
          <w:sz w:val="22"/>
          <w:szCs w:val="22"/>
        </w:rPr>
        <w:t xml:space="preserve"> </w:t>
      </w:r>
    </w:p>
    <w:p w14:paraId="7279615B" w14:textId="77777777" w:rsidR="00B11580" w:rsidRPr="00B12184" w:rsidRDefault="00B11580" w:rsidP="00854405">
      <w:pPr>
        <w:pStyle w:val="ZADEVA"/>
        <w:jc w:val="both"/>
        <w:rPr>
          <w:rFonts w:cs="Arial"/>
          <w:b w:val="0"/>
          <w:szCs w:val="20"/>
          <w:lang w:val="sl-SI"/>
        </w:rPr>
      </w:pPr>
    </w:p>
    <w:p w14:paraId="3598CE0E" w14:textId="375105CA" w:rsidR="00F83DD4" w:rsidRPr="003D7D6F" w:rsidRDefault="00CD4647" w:rsidP="00F83DD4">
      <w:pPr>
        <w:spacing w:line="360" w:lineRule="auto"/>
        <w:jc w:val="both"/>
        <w:rPr>
          <w:rFonts w:ascii="Arial" w:hAnsi="Arial" w:cs="Arial"/>
          <w:sz w:val="20"/>
          <w:szCs w:val="20"/>
          <w:lang w:eastAsia="sl-SI"/>
        </w:rPr>
      </w:pPr>
      <w:r>
        <w:rPr>
          <w:rFonts w:ascii="Arial" w:hAnsi="Arial" w:cs="Arial"/>
          <w:sz w:val="20"/>
          <w:szCs w:val="20"/>
        </w:rPr>
        <w:t>Leta</w:t>
      </w:r>
      <w:r w:rsidR="00223908" w:rsidRPr="00B12184">
        <w:rPr>
          <w:rFonts w:ascii="Arial" w:hAnsi="Arial" w:cs="Arial"/>
          <w:sz w:val="20"/>
          <w:szCs w:val="20"/>
        </w:rPr>
        <w:t xml:space="preserve"> 201</w:t>
      </w:r>
      <w:r w:rsidR="00B12184" w:rsidRPr="00B12184">
        <w:rPr>
          <w:rFonts w:ascii="Arial" w:hAnsi="Arial" w:cs="Arial"/>
          <w:sz w:val="20"/>
          <w:szCs w:val="20"/>
        </w:rPr>
        <w:t>8</w:t>
      </w:r>
      <w:r w:rsidR="00F83DD4" w:rsidRPr="00B12184">
        <w:rPr>
          <w:rFonts w:ascii="Arial" w:hAnsi="Arial" w:cs="Arial"/>
          <w:sz w:val="20"/>
          <w:szCs w:val="20"/>
        </w:rPr>
        <w:t xml:space="preserve"> so naročniki </w:t>
      </w:r>
      <w:r w:rsidR="00F83DD4" w:rsidRPr="005A22F3">
        <w:rPr>
          <w:rFonts w:ascii="Arial" w:hAnsi="Arial" w:cs="Arial"/>
          <w:sz w:val="20"/>
          <w:szCs w:val="20"/>
        </w:rPr>
        <w:t xml:space="preserve">slovenskim ponudnikom oddali </w:t>
      </w:r>
      <w:r w:rsidR="005A22F3" w:rsidRPr="005A22F3">
        <w:rPr>
          <w:rFonts w:ascii="Arial" w:hAnsi="Arial" w:cs="Arial"/>
          <w:sz w:val="20"/>
          <w:szCs w:val="20"/>
        </w:rPr>
        <w:t>16.459</w:t>
      </w:r>
      <w:r w:rsidR="00F83DD4" w:rsidRPr="005A22F3">
        <w:rPr>
          <w:rFonts w:ascii="Arial" w:hAnsi="Arial" w:cs="Arial"/>
          <w:sz w:val="20"/>
          <w:szCs w:val="20"/>
        </w:rPr>
        <w:t xml:space="preserve"> javnih naročil v vrednosti </w:t>
      </w:r>
      <w:r w:rsidR="005A22F3" w:rsidRPr="005A22F3">
        <w:rPr>
          <w:rFonts w:ascii="Arial" w:hAnsi="Arial" w:cs="Arial"/>
          <w:sz w:val="20"/>
          <w:szCs w:val="20"/>
        </w:rPr>
        <w:t>2.530.228.</w:t>
      </w:r>
      <w:r w:rsidR="005A22F3" w:rsidRPr="003D7D6F">
        <w:rPr>
          <w:rFonts w:ascii="Arial" w:hAnsi="Arial" w:cs="Arial"/>
          <w:sz w:val="20"/>
          <w:szCs w:val="20"/>
        </w:rPr>
        <w:t xml:space="preserve">873 </w:t>
      </w:r>
      <w:r w:rsidR="00F83DD4" w:rsidRPr="003D7D6F">
        <w:rPr>
          <w:rFonts w:ascii="Arial" w:hAnsi="Arial" w:cs="Arial"/>
          <w:sz w:val="20"/>
          <w:szCs w:val="20"/>
        </w:rPr>
        <w:t xml:space="preserve">evrov. Največ javnih naročil je bilo dodeljenih ponudnikom iz osrednjeslovenske regije, in sicer </w:t>
      </w:r>
      <w:r w:rsidR="003D7D6F" w:rsidRPr="003D7D6F">
        <w:rPr>
          <w:rFonts w:ascii="Arial" w:hAnsi="Arial" w:cs="Arial"/>
          <w:sz w:val="20"/>
          <w:szCs w:val="20"/>
        </w:rPr>
        <w:t>9081</w:t>
      </w:r>
      <w:r w:rsidR="00F83DD4" w:rsidRPr="003D7D6F">
        <w:rPr>
          <w:rFonts w:ascii="Arial" w:hAnsi="Arial" w:cs="Arial"/>
          <w:sz w:val="20"/>
          <w:szCs w:val="20"/>
        </w:rPr>
        <w:t xml:space="preserve"> </w:t>
      </w:r>
      <w:r>
        <w:rPr>
          <w:rFonts w:ascii="Arial" w:hAnsi="Arial" w:cs="Arial"/>
          <w:sz w:val="20"/>
          <w:szCs w:val="20"/>
        </w:rPr>
        <w:t>(</w:t>
      </w:r>
      <w:r w:rsidR="00F83DD4" w:rsidRPr="003D7D6F">
        <w:rPr>
          <w:rFonts w:ascii="Arial" w:hAnsi="Arial" w:cs="Arial"/>
          <w:sz w:val="20"/>
          <w:szCs w:val="20"/>
        </w:rPr>
        <w:t xml:space="preserve">v vrednosti </w:t>
      </w:r>
      <w:r w:rsidR="003D7D6F" w:rsidRPr="003D7D6F">
        <w:rPr>
          <w:rFonts w:ascii="Arial" w:hAnsi="Arial" w:cs="Arial"/>
          <w:sz w:val="20"/>
          <w:szCs w:val="20"/>
        </w:rPr>
        <w:t xml:space="preserve">1.348.441.812 </w:t>
      </w:r>
      <w:r w:rsidR="00F83DD4" w:rsidRPr="003D7D6F">
        <w:rPr>
          <w:rFonts w:ascii="Arial" w:hAnsi="Arial" w:cs="Arial"/>
          <w:sz w:val="20"/>
          <w:szCs w:val="20"/>
        </w:rPr>
        <w:t>evrov</w:t>
      </w:r>
      <w:r>
        <w:rPr>
          <w:rFonts w:ascii="Arial" w:hAnsi="Arial" w:cs="Arial"/>
          <w:sz w:val="20"/>
          <w:szCs w:val="20"/>
        </w:rPr>
        <w:t>)</w:t>
      </w:r>
      <w:r w:rsidR="00F83DD4" w:rsidRPr="003D7D6F">
        <w:rPr>
          <w:rFonts w:ascii="Arial" w:hAnsi="Arial" w:cs="Arial"/>
          <w:sz w:val="20"/>
          <w:szCs w:val="20"/>
        </w:rPr>
        <w:t>. Preglednica </w:t>
      </w:r>
      <w:r w:rsidR="00F0766F" w:rsidRPr="003D7D6F">
        <w:rPr>
          <w:rFonts w:ascii="Arial" w:hAnsi="Arial" w:cs="Arial"/>
          <w:sz w:val="20"/>
          <w:szCs w:val="20"/>
        </w:rPr>
        <w:t>4</w:t>
      </w:r>
      <w:r w:rsidR="000C657B">
        <w:rPr>
          <w:rFonts w:ascii="Arial" w:hAnsi="Arial" w:cs="Arial"/>
          <w:sz w:val="20"/>
          <w:szCs w:val="20"/>
        </w:rPr>
        <w:t>5</w:t>
      </w:r>
      <w:r w:rsidR="00F83DD4" w:rsidRPr="003D7D6F">
        <w:rPr>
          <w:rFonts w:ascii="Arial" w:hAnsi="Arial" w:cs="Arial"/>
          <w:sz w:val="20"/>
          <w:szCs w:val="20"/>
        </w:rPr>
        <w:t xml:space="preserve"> prikazuje delež javnih naročil, oddanih slovenskim ponudnikom, glede na regijo</w:t>
      </w:r>
      <w:r w:rsidR="00F83DD4" w:rsidRPr="003D7D6F">
        <w:rPr>
          <w:rFonts w:ascii="Arial" w:hAnsi="Arial" w:cs="Arial"/>
          <w:sz w:val="20"/>
          <w:szCs w:val="20"/>
          <w:lang w:eastAsia="sl-SI"/>
        </w:rPr>
        <w:t>.</w:t>
      </w:r>
      <w:r w:rsidR="005A22F3" w:rsidRPr="003D7D6F">
        <w:rPr>
          <w:rFonts w:ascii="Arial" w:hAnsi="Arial" w:cs="Arial"/>
          <w:sz w:val="20"/>
          <w:szCs w:val="20"/>
        </w:rPr>
        <w:t xml:space="preserve"> </w:t>
      </w:r>
    </w:p>
    <w:p w14:paraId="4225BB70" w14:textId="652D70E3" w:rsidR="00F83DD4" w:rsidRPr="000E23B9" w:rsidRDefault="00F83DD4" w:rsidP="008A61FD">
      <w:pPr>
        <w:spacing w:before="120" w:after="120" w:line="240" w:lineRule="auto"/>
        <w:jc w:val="both"/>
        <w:rPr>
          <w:rFonts w:ascii="Arial" w:hAnsi="Arial" w:cs="Arial"/>
          <w:sz w:val="20"/>
        </w:rPr>
      </w:pPr>
      <w:r w:rsidRPr="000E23B9">
        <w:rPr>
          <w:rFonts w:ascii="Arial" w:hAnsi="Arial" w:cs="Arial"/>
          <w:sz w:val="18"/>
          <w:szCs w:val="18"/>
        </w:rPr>
        <w:t>Preglednica</w:t>
      </w:r>
      <w:r w:rsidRPr="000E23B9">
        <w:rPr>
          <w:rFonts w:ascii="Arial" w:hAnsi="Arial" w:cs="Arial"/>
          <w:sz w:val="20"/>
        </w:rPr>
        <w:t> </w:t>
      </w:r>
      <w:r w:rsidR="00474678" w:rsidRPr="000E23B9">
        <w:rPr>
          <w:rFonts w:ascii="Arial" w:hAnsi="Arial" w:cs="Arial"/>
          <w:sz w:val="20"/>
        </w:rPr>
        <w:t>4</w:t>
      </w:r>
      <w:r w:rsidR="00EB4423">
        <w:rPr>
          <w:rFonts w:ascii="Arial" w:hAnsi="Arial" w:cs="Arial"/>
          <w:sz w:val="20"/>
        </w:rPr>
        <w:t>5</w:t>
      </w:r>
      <w:r w:rsidRPr="000E23B9">
        <w:rPr>
          <w:rFonts w:ascii="Arial" w:hAnsi="Arial" w:cs="Arial"/>
          <w:sz w:val="20"/>
        </w:rPr>
        <w:t>: Javna naročila, oddana slovenskim ponudnikom</w:t>
      </w:r>
      <w:r w:rsidR="00DD2501" w:rsidRPr="000E23B9">
        <w:rPr>
          <w:rFonts w:ascii="Arial" w:hAnsi="Arial" w:cs="Arial"/>
          <w:sz w:val="20"/>
        </w:rPr>
        <w:t>, glede na regijo ponudnika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1"/>
        <w:gridCol w:w="941"/>
        <w:gridCol w:w="1802"/>
        <w:gridCol w:w="1561"/>
        <w:gridCol w:w="1521"/>
      </w:tblGrid>
      <w:tr w:rsidR="00665BA8" w:rsidRPr="000E23B9" w14:paraId="46F18D38" w14:textId="77777777" w:rsidTr="00665BA8">
        <w:trPr>
          <w:trHeight w:val="480"/>
          <w:jc w:val="center"/>
        </w:trPr>
        <w:tc>
          <w:tcPr>
            <w:tcW w:w="0" w:type="auto"/>
            <w:shd w:val="clear" w:color="000000" w:fill="EDEDED"/>
            <w:vAlign w:val="center"/>
            <w:hideMark/>
          </w:tcPr>
          <w:p w14:paraId="2501B0AB" w14:textId="77777777" w:rsidR="000E23B9" w:rsidRPr="000E23B9" w:rsidRDefault="000E23B9" w:rsidP="000E23B9">
            <w:pPr>
              <w:spacing w:after="0" w:line="240" w:lineRule="auto"/>
              <w:jc w:val="center"/>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Regija ponudnika</w:t>
            </w:r>
          </w:p>
        </w:tc>
        <w:tc>
          <w:tcPr>
            <w:tcW w:w="0" w:type="auto"/>
            <w:shd w:val="clear" w:color="000000" w:fill="EDEDED"/>
            <w:vAlign w:val="center"/>
            <w:hideMark/>
          </w:tcPr>
          <w:p w14:paraId="4CE362FE" w14:textId="77777777" w:rsidR="000E23B9" w:rsidRPr="000E23B9" w:rsidRDefault="000E23B9" w:rsidP="000E23B9">
            <w:pPr>
              <w:spacing w:after="0" w:line="240" w:lineRule="auto"/>
              <w:jc w:val="center"/>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Št. naročil</w:t>
            </w:r>
          </w:p>
        </w:tc>
        <w:tc>
          <w:tcPr>
            <w:tcW w:w="0" w:type="auto"/>
            <w:shd w:val="clear" w:color="000000" w:fill="EDEDED"/>
            <w:vAlign w:val="center"/>
            <w:hideMark/>
          </w:tcPr>
          <w:p w14:paraId="4A598011" w14:textId="77777777" w:rsidR="000E23B9" w:rsidRPr="000E23B9" w:rsidRDefault="000E23B9" w:rsidP="000E23B9">
            <w:pPr>
              <w:spacing w:after="0" w:line="240" w:lineRule="auto"/>
              <w:jc w:val="center"/>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Pogodbena vrednost</w:t>
            </w:r>
          </w:p>
        </w:tc>
        <w:tc>
          <w:tcPr>
            <w:tcW w:w="0" w:type="auto"/>
            <w:shd w:val="clear" w:color="000000" w:fill="EDEDED"/>
            <w:vAlign w:val="center"/>
            <w:hideMark/>
          </w:tcPr>
          <w:p w14:paraId="6692E530" w14:textId="77777777" w:rsidR="000E23B9" w:rsidRPr="000E23B9" w:rsidRDefault="000E23B9" w:rsidP="000E23B9">
            <w:pPr>
              <w:spacing w:after="0" w:line="240" w:lineRule="auto"/>
              <w:jc w:val="center"/>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Delež v št. naročil</w:t>
            </w:r>
          </w:p>
        </w:tc>
        <w:tc>
          <w:tcPr>
            <w:tcW w:w="0" w:type="auto"/>
            <w:shd w:val="clear" w:color="000000" w:fill="EDEDED"/>
            <w:vAlign w:val="center"/>
            <w:hideMark/>
          </w:tcPr>
          <w:p w14:paraId="2C6F5A8D" w14:textId="77777777" w:rsidR="000E23B9" w:rsidRPr="000E23B9" w:rsidRDefault="000E23B9" w:rsidP="000E23B9">
            <w:pPr>
              <w:spacing w:after="0" w:line="240" w:lineRule="auto"/>
              <w:jc w:val="center"/>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Delež v vrednosti</w:t>
            </w:r>
          </w:p>
        </w:tc>
      </w:tr>
      <w:tr w:rsidR="000E23B9" w:rsidRPr="000E23B9" w14:paraId="49ECACFB" w14:textId="77777777" w:rsidTr="00665BA8">
        <w:trPr>
          <w:trHeight w:val="300"/>
          <w:jc w:val="center"/>
        </w:trPr>
        <w:tc>
          <w:tcPr>
            <w:tcW w:w="0" w:type="auto"/>
            <w:shd w:val="clear" w:color="auto" w:fill="auto"/>
            <w:noWrap/>
            <w:vAlign w:val="center"/>
            <w:hideMark/>
          </w:tcPr>
          <w:p w14:paraId="3BC36773"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GORENJSKA</w:t>
            </w:r>
          </w:p>
        </w:tc>
        <w:tc>
          <w:tcPr>
            <w:tcW w:w="0" w:type="auto"/>
            <w:shd w:val="clear" w:color="auto" w:fill="auto"/>
            <w:noWrap/>
            <w:vAlign w:val="center"/>
            <w:hideMark/>
          </w:tcPr>
          <w:p w14:paraId="526472E7"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1.144</w:t>
            </w:r>
          </w:p>
        </w:tc>
        <w:tc>
          <w:tcPr>
            <w:tcW w:w="0" w:type="auto"/>
            <w:shd w:val="clear" w:color="auto" w:fill="auto"/>
            <w:noWrap/>
            <w:vAlign w:val="center"/>
            <w:hideMark/>
          </w:tcPr>
          <w:p w14:paraId="7298F6BC"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122.455.992</w:t>
            </w:r>
          </w:p>
        </w:tc>
        <w:tc>
          <w:tcPr>
            <w:tcW w:w="0" w:type="auto"/>
            <w:shd w:val="clear" w:color="auto" w:fill="auto"/>
            <w:noWrap/>
            <w:vAlign w:val="center"/>
            <w:hideMark/>
          </w:tcPr>
          <w:p w14:paraId="713E7CEF" w14:textId="3D6BCDD2"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6,95</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054BD9BC" w14:textId="5217F9DD"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4,84</w:t>
            </w:r>
            <w:r w:rsidR="00665BA8">
              <w:rPr>
                <w:rFonts w:ascii="Arial" w:eastAsia="Times New Roman" w:hAnsi="Arial" w:cs="Arial"/>
                <w:color w:val="000000"/>
                <w:sz w:val="18"/>
                <w:szCs w:val="18"/>
                <w:lang w:eastAsia="sl-SI"/>
              </w:rPr>
              <w:t xml:space="preserve"> %</w:t>
            </w:r>
          </w:p>
        </w:tc>
      </w:tr>
      <w:tr w:rsidR="000E23B9" w:rsidRPr="000E23B9" w14:paraId="69417F84" w14:textId="77777777" w:rsidTr="00665BA8">
        <w:trPr>
          <w:trHeight w:val="300"/>
          <w:jc w:val="center"/>
        </w:trPr>
        <w:tc>
          <w:tcPr>
            <w:tcW w:w="0" w:type="auto"/>
            <w:shd w:val="clear" w:color="auto" w:fill="auto"/>
            <w:noWrap/>
            <w:vAlign w:val="center"/>
            <w:hideMark/>
          </w:tcPr>
          <w:p w14:paraId="17B4EF0E"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GORIŠKA</w:t>
            </w:r>
          </w:p>
        </w:tc>
        <w:tc>
          <w:tcPr>
            <w:tcW w:w="0" w:type="auto"/>
            <w:shd w:val="clear" w:color="auto" w:fill="auto"/>
            <w:noWrap/>
            <w:vAlign w:val="center"/>
            <w:hideMark/>
          </w:tcPr>
          <w:p w14:paraId="1343A5B5"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541</w:t>
            </w:r>
          </w:p>
        </w:tc>
        <w:tc>
          <w:tcPr>
            <w:tcW w:w="0" w:type="auto"/>
            <w:shd w:val="clear" w:color="auto" w:fill="auto"/>
            <w:noWrap/>
            <w:vAlign w:val="center"/>
            <w:hideMark/>
          </w:tcPr>
          <w:p w14:paraId="2538DE62"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114.855.618</w:t>
            </w:r>
          </w:p>
        </w:tc>
        <w:tc>
          <w:tcPr>
            <w:tcW w:w="0" w:type="auto"/>
            <w:shd w:val="clear" w:color="auto" w:fill="auto"/>
            <w:noWrap/>
            <w:vAlign w:val="center"/>
            <w:hideMark/>
          </w:tcPr>
          <w:p w14:paraId="11B80FF9" w14:textId="403008C6"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3,29</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5D498A0A" w14:textId="1E016458"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4,54</w:t>
            </w:r>
            <w:r w:rsidR="00665BA8">
              <w:rPr>
                <w:rFonts w:ascii="Arial" w:eastAsia="Times New Roman" w:hAnsi="Arial" w:cs="Arial"/>
                <w:color w:val="000000"/>
                <w:sz w:val="18"/>
                <w:szCs w:val="18"/>
                <w:lang w:eastAsia="sl-SI"/>
              </w:rPr>
              <w:t xml:space="preserve"> %</w:t>
            </w:r>
          </w:p>
        </w:tc>
      </w:tr>
      <w:tr w:rsidR="000E23B9" w:rsidRPr="000E23B9" w14:paraId="2FC7EF67" w14:textId="77777777" w:rsidTr="00665BA8">
        <w:trPr>
          <w:trHeight w:val="300"/>
          <w:jc w:val="center"/>
        </w:trPr>
        <w:tc>
          <w:tcPr>
            <w:tcW w:w="0" w:type="auto"/>
            <w:shd w:val="clear" w:color="auto" w:fill="auto"/>
            <w:noWrap/>
            <w:vAlign w:val="center"/>
            <w:hideMark/>
          </w:tcPr>
          <w:p w14:paraId="10C5DBA6"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JUGOVZHODNA SLOVENIJA</w:t>
            </w:r>
          </w:p>
        </w:tc>
        <w:tc>
          <w:tcPr>
            <w:tcW w:w="0" w:type="auto"/>
            <w:shd w:val="clear" w:color="auto" w:fill="auto"/>
            <w:noWrap/>
            <w:vAlign w:val="center"/>
            <w:hideMark/>
          </w:tcPr>
          <w:p w14:paraId="118829FA"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416</w:t>
            </w:r>
          </w:p>
        </w:tc>
        <w:tc>
          <w:tcPr>
            <w:tcW w:w="0" w:type="auto"/>
            <w:shd w:val="clear" w:color="auto" w:fill="auto"/>
            <w:noWrap/>
            <w:vAlign w:val="center"/>
            <w:hideMark/>
          </w:tcPr>
          <w:p w14:paraId="2FBF17EA"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80.004.918</w:t>
            </w:r>
          </w:p>
        </w:tc>
        <w:tc>
          <w:tcPr>
            <w:tcW w:w="0" w:type="auto"/>
            <w:shd w:val="clear" w:color="auto" w:fill="auto"/>
            <w:noWrap/>
            <w:vAlign w:val="center"/>
            <w:hideMark/>
          </w:tcPr>
          <w:p w14:paraId="51053968" w14:textId="7DBE1B19"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2,53</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50783CF9" w14:textId="26CD4BDA"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3,16</w:t>
            </w:r>
            <w:r w:rsidR="00665BA8">
              <w:rPr>
                <w:rFonts w:ascii="Arial" w:eastAsia="Times New Roman" w:hAnsi="Arial" w:cs="Arial"/>
                <w:color w:val="000000"/>
                <w:sz w:val="18"/>
                <w:szCs w:val="18"/>
                <w:lang w:eastAsia="sl-SI"/>
              </w:rPr>
              <w:t xml:space="preserve"> %</w:t>
            </w:r>
          </w:p>
        </w:tc>
      </w:tr>
      <w:tr w:rsidR="000E23B9" w:rsidRPr="000E23B9" w14:paraId="187EC776" w14:textId="77777777" w:rsidTr="00665BA8">
        <w:trPr>
          <w:trHeight w:val="300"/>
          <w:jc w:val="center"/>
        </w:trPr>
        <w:tc>
          <w:tcPr>
            <w:tcW w:w="0" w:type="auto"/>
            <w:shd w:val="clear" w:color="auto" w:fill="auto"/>
            <w:noWrap/>
            <w:vAlign w:val="center"/>
            <w:hideMark/>
          </w:tcPr>
          <w:p w14:paraId="24381F2E"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KOROŠKA</w:t>
            </w:r>
          </w:p>
        </w:tc>
        <w:tc>
          <w:tcPr>
            <w:tcW w:w="0" w:type="auto"/>
            <w:shd w:val="clear" w:color="auto" w:fill="auto"/>
            <w:noWrap/>
            <w:vAlign w:val="center"/>
            <w:hideMark/>
          </w:tcPr>
          <w:p w14:paraId="1810FC9C"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275</w:t>
            </w:r>
          </w:p>
        </w:tc>
        <w:tc>
          <w:tcPr>
            <w:tcW w:w="0" w:type="auto"/>
            <w:shd w:val="clear" w:color="auto" w:fill="auto"/>
            <w:noWrap/>
            <w:vAlign w:val="center"/>
            <w:hideMark/>
          </w:tcPr>
          <w:p w14:paraId="5EB7986E"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41.071.516</w:t>
            </w:r>
          </w:p>
        </w:tc>
        <w:tc>
          <w:tcPr>
            <w:tcW w:w="0" w:type="auto"/>
            <w:shd w:val="clear" w:color="auto" w:fill="auto"/>
            <w:noWrap/>
            <w:vAlign w:val="center"/>
            <w:hideMark/>
          </w:tcPr>
          <w:p w14:paraId="445F90CC" w14:textId="381293E2"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1,67</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2142BDF9" w14:textId="55A7B72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1,62</w:t>
            </w:r>
            <w:r w:rsidR="00665BA8">
              <w:rPr>
                <w:rFonts w:ascii="Arial" w:eastAsia="Times New Roman" w:hAnsi="Arial" w:cs="Arial"/>
                <w:color w:val="000000"/>
                <w:sz w:val="18"/>
                <w:szCs w:val="18"/>
                <w:lang w:eastAsia="sl-SI"/>
              </w:rPr>
              <w:t xml:space="preserve"> %</w:t>
            </w:r>
          </w:p>
        </w:tc>
      </w:tr>
      <w:tr w:rsidR="000E23B9" w:rsidRPr="000E23B9" w14:paraId="7B90D243" w14:textId="77777777" w:rsidTr="00665BA8">
        <w:trPr>
          <w:trHeight w:val="300"/>
          <w:jc w:val="center"/>
        </w:trPr>
        <w:tc>
          <w:tcPr>
            <w:tcW w:w="0" w:type="auto"/>
            <w:shd w:val="clear" w:color="auto" w:fill="auto"/>
            <w:noWrap/>
            <w:vAlign w:val="center"/>
            <w:hideMark/>
          </w:tcPr>
          <w:p w14:paraId="52B6B0B7"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OBALNO-KRAŠKA</w:t>
            </w:r>
          </w:p>
        </w:tc>
        <w:tc>
          <w:tcPr>
            <w:tcW w:w="0" w:type="auto"/>
            <w:shd w:val="clear" w:color="auto" w:fill="auto"/>
            <w:noWrap/>
            <w:vAlign w:val="center"/>
            <w:hideMark/>
          </w:tcPr>
          <w:p w14:paraId="45A634D2"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380</w:t>
            </w:r>
          </w:p>
        </w:tc>
        <w:tc>
          <w:tcPr>
            <w:tcW w:w="0" w:type="auto"/>
            <w:shd w:val="clear" w:color="auto" w:fill="auto"/>
            <w:noWrap/>
            <w:vAlign w:val="center"/>
            <w:hideMark/>
          </w:tcPr>
          <w:p w14:paraId="14453C0D"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151.796.744</w:t>
            </w:r>
          </w:p>
        </w:tc>
        <w:tc>
          <w:tcPr>
            <w:tcW w:w="0" w:type="auto"/>
            <w:shd w:val="clear" w:color="auto" w:fill="auto"/>
            <w:noWrap/>
            <w:vAlign w:val="center"/>
            <w:hideMark/>
          </w:tcPr>
          <w:p w14:paraId="3F1D7772" w14:textId="5471E75C"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2,31</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687C1725" w14:textId="29C685C9"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6,00</w:t>
            </w:r>
            <w:r w:rsidR="00665BA8">
              <w:rPr>
                <w:rFonts w:ascii="Arial" w:eastAsia="Times New Roman" w:hAnsi="Arial" w:cs="Arial"/>
                <w:color w:val="000000"/>
                <w:sz w:val="18"/>
                <w:szCs w:val="18"/>
                <w:lang w:eastAsia="sl-SI"/>
              </w:rPr>
              <w:t xml:space="preserve"> %</w:t>
            </w:r>
          </w:p>
        </w:tc>
      </w:tr>
      <w:tr w:rsidR="000E23B9" w:rsidRPr="000E23B9" w14:paraId="00E0DD2F" w14:textId="77777777" w:rsidTr="00665BA8">
        <w:trPr>
          <w:trHeight w:val="300"/>
          <w:jc w:val="center"/>
        </w:trPr>
        <w:tc>
          <w:tcPr>
            <w:tcW w:w="0" w:type="auto"/>
            <w:shd w:val="clear" w:color="auto" w:fill="auto"/>
            <w:noWrap/>
            <w:vAlign w:val="center"/>
            <w:hideMark/>
          </w:tcPr>
          <w:p w14:paraId="7DDF3CC9"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OSREDNJESLOVENSKA</w:t>
            </w:r>
          </w:p>
        </w:tc>
        <w:tc>
          <w:tcPr>
            <w:tcW w:w="0" w:type="auto"/>
            <w:shd w:val="clear" w:color="auto" w:fill="auto"/>
            <w:noWrap/>
            <w:vAlign w:val="center"/>
            <w:hideMark/>
          </w:tcPr>
          <w:p w14:paraId="782BF350"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9.081</w:t>
            </w:r>
          </w:p>
        </w:tc>
        <w:tc>
          <w:tcPr>
            <w:tcW w:w="0" w:type="auto"/>
            <w:shd w:val="clear" w:color="auto" w:fill="auto"/>
            <w:noWrap/>
            <w:vAlign w:val="center"/>
            <w:hideMark/>
          </w:tcPr>
          <w:p w14:paraId="49222D7D"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1.348.441.812</w:t>
            </w:r>
          </w:p>
        </w:tc>
        <w:tc>
          <w:tcPr>
            <w:tcW w:w="0" w:type="auto"/>
            <w:shd w:val="clear" w:color="auto" w:fill="auto"/>
            <w:noWrap/>
            <w:vAlign w:val="center"/>
            <w:hideMark/>
          </w:tcPr>
          <w:p w14:paraId="3F37DDC4" w14:textId="6E598041"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55,17</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5D437B5F" w14:textId="05E13F1D"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53,29</w:t>
            </w:r>
            <w:r w:rsidR="00665BA8">
              <w:rPr>
                <w:rFonts w:ascii="Arial" w:eastAsia="Times New Roman" w:hAnsi="Arial" w:cs="Arial"/>
                <w:color w:val="000000"/>
                <w:sz w:val="18"/>
                <w:szCs w:val="18"/>
                <w:lang w:eastAsia="sl-SI"/>
              </w:rPr>
              <w:t xml:space="preserve"> %</w:t>
            </w:r>
          </w:p>
        </w:tc>
      </w:tr>
      <w:tr w:rsidR="000E23B9" w:rsidRPr="000E23B9" w14:paraId="6C8D57EF" w14:textId="77777777" w:rsidTr="00665BA8">
        <w:trPr>
          <w:trHeight w:val="300"/>
          <w:jc w:val="center"/>
        </w:trPr>
        <w:tc>
          <w:tcPr>
            <w:tcW w:w="0" w:type="auto"/>
            <w:shd w:val="clear" w:color="auto" w:fill="auto"/>
            <w:noWrap/>
            <w:vAlign w:val="center"/>
            <w:hideMark/>
          </w:tcPr>
          <w:p w14:paraId="4D91F63E"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PODRAVSKA</w:t>
            </w:r>
          </w:p>
        </w:tc>
        <w:tc>
          <w:tcPr>
            <w:tcW w:w="0" w:type="auto"/>
            <w:shd w:val="clear" w:color="auto" w:fill="auto"/>
            <w:noWrap/>
            <w:vAlign w:val="center"/>
            <w:hideMark/>
          </w:tcPr>
          <w:p w14:paraId="73A07BC4"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1.804</w:t>
            </w:r>
          </w:p>
        </w:tc>
        <w:tc>
          <w:tcPr>
            <w:tcW w:w="0" w:type="auto"/>
            <w:shd w:val="clear" w:color="auto" w:fill="auto"/>
            <w:noWrap/>
            <w:vAlign w:val="center"/>
            <w:hideMark/>
          </w:tcPr>
          <w:p w14:paraId="6EB9124D"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205.815.583</w:t>
            </w:r>
          </w:p>
        </w:tc>
        <w:tc>
          <w:tcPr>
            <w:tcW w:w="0" w:type="auto"/>
            <w:shd w:val="clear" w:color="auto" w:fill="auto"/>
            <w:noWrap/>
            <w:vAlign w:val="center"/>
            <w:hideMark/>
          </w:tcPr>
          <w:p w14:paraId="4CFFF6CD" w14:textId="62C5D35D"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10,96</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12AC06CB" w14:textId="76BDE58D"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8,13</w:t>
            </w:r>
            <w:r w:rsidR="00665BA8">
              <w:rPr>
                <w:rFonts w:ascii="Arial" w:eastAsia="Times New Roman" w:hAnsi="Arial" w:cs="Arial"/>
                <w:color w:val="000000"/>
                <w:sz w:val="18"/>
                <w:szCs w:val="18"/>
                <w:lang w:eastAsia="sl-SI"/>
              </w:rPr>
              <w:t xml:space="preserve"> %</w:t>
            </w:r>
          </w:p>
        </w:tc>
      </w:tr>
      <w:tr w:rsidR="000E23B9" w:rsidRPr="000E23B9" w14:paraId="66332745" w14:textId="77777777" w:rsidTr="00665BA8">
        <w:trPr>
          <w:trHeight w:val="300"/>
          <w:jc w:val="center"/>
        </w:trPr>
        <w:tc>
          <w:tcPr>
            <w:tcW w:w="0" w:type="auto"/>
            <w:shd w:val="clear" w:color="auto" w:fill="auto"/>
            <w:noWrap/>
            <w:vAlign w:val="center"/>
            <w:hideMark/>
          </w:tcPr>
          <w:p w14:paraId="057362E4"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POMURSKA</w:t>
            </w:r>
          </w:p>
        </w:tc>
        <w:tc>
          <w:tcPr>
            <w:tcW w:w="0" w:type="auto"/>
            <w:shd w:val="clear" w:color="auto" w:fill="auto"/>
            <w:noWrap/>
            <w:vAlign w:val="center"/>
            <w:hideMark/>
          </w:tcPr>
          <w:p w14:paraId="36A56A12"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720</w:t>
            </w:r>
          </w:p>
        </w:tc>
        <w:tc>
          <w:tcPr>
            <w:tcW w:w="0" w:type="auto"/>
            <w:shd w:val="clear" w:color="auto" w:fill="auto"/>
            <w:noWrap/>
            <w:vAlign w:val="center"/>
            <w:hideMark/>
          </w:tcPr>
          <w:p w14:paraId="02E2F295"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134.213.550</w:t>
            </w:r>
          </w:p>
        </w:tc>
        <w:tc>
          <w:tcPr>
            <w:tcW w:w="0" w:type="auto"/>
            <w:shd w:val="clear" w:color="auto" w:fill="auto"/>
            <w:noWrap/>
            <w:vAlign w:val="center"/>
            <w:hideMark/>
          </w:tcPr>
          <w:p w14:paraId="578100E4" w14:textId="4CC451AD"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4,37</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0B0BFE9B" w14:textId="5EB9F6CC"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5,30</w:t>
            </w:r>
            <w:r w:rsidR="00665BA8">
              <w:rPr>
                <w:rFonts w:ascii="Arial" w:eastAsia="Times New Roman" w:hAnsi="Arial" w:cs="Arial"/>
                <w:color w:val="000000"/>
                <w:sz w:val="18"/>
                <w:szCs w:val="18"/>
                <w:lang w:eastAsia="sl-SI"/>
              </w:rPr>
              <w:t xml:space="preserve"> %</w:t>
            </w:r>
          </w:p>
        </w:tc>
      </w:tr>
      <w:tr w:rsidR="000E23B9" w:rsidRPr="000E23B9" w14:paraId="0B81D94C" w14:textId="77777777" w:rsidTr="00665BA8">
        <w:trPr>
          <w:trHeight w:val="300"/>
          <w:jc w:val="center"/>
        </w:trPr>
        <w:tc>
          <w:tcPr>
            <w:tcW w:w="0" w:type="auto"/>
            <w:shd w:val="clear" w:color="auto" w:fill="auto"/>
            <w:noWrap/>
            <w:vAlign w:val="center"/>
            <w:hideMark/>
          </w:tcPr>
          <w:p w14:paraId="53766D4A"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POSAVSKA</w:t>
            </w:r>
          </w:p>
        </w:tc>
        <w:tc>
          <w:tcPr>
            <w:tcW w:w="0" w:type="auto"/>
            <w:shd w:val="clear" w:color="auto" w:fill="auto"/>
            <w:noWrap/>
            <w:vAlign w:val="center"/>
            <w:hideMark/>
          </w:tcPr>
          <w:p w14:paraId="014B86F4"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260</w:t>
            </w:r>
          </w:p>
        </w:tc>
        <w:tc>
          <w:tcPr>
            <w:tcW w:w="0" w:type="auto"/>
            <w:shd w:val="clear" w:color="auto" w:fill="auto"/>
            <w:noWrap/>
            <w:vAlign w:val="center"/>
            <w:hideMark/>
          </w:tcPr>
          <w:p w14:paraId="4984F4AA"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52.563.701</w:t>
            </w:r>
          </w:p>
        </w:tc>
        <w:tc>
          <w:tcPr>
            <w:tcW w:w="0" w:type="auto"/>
            <w:shd w:val="clear" w:color="auto" w:fill="auto"/>
            <w:noWrap/>
            <w:vAlign w:val="center"/>
            <w:hideMark/>
          </w:tcPr>
          <w:p w14:paraId="0CAAF62E" w14:textId="234220E1"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1,58</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15B2E82E" w14:textId="415EB7A2"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2,08</w:t>
            </w:r>
            <w:r w:rsidR="00665BA8">
              <w:rPr>
                <w:rFonts w:ascii="Arial" w:eastAsia="Times New Roman" w:hAnsi="Arial" w:cs="Arial"/>
                <w:color w:val="000000"/>
                <w:sz w:val="18"/>
                <w:szCs w:val="18"/>
                <w:lang w:eastAsia="sl-SI"/>
              </w:rPr>
              <w:t xml:space="preserve"> %</w:t>
            </w:r>
          </w:p>
        </w:tc>
      </w:tr>
      <w:tr w:rsidR="000E23B9" w:rsidRPr="000E23B9" w14:paraId="4F23DEBA" w14:textId="77777777" w:rsidTr="00665BA8">
        <w:trPr>
          <w:trHeight w:val="300"/>
          <w:jc w:val="center"/>
        </w:trPr>
        <w:tc>
          <w:tcPr>
            <w:tcW w:w="0" w:type="auto"/>
            <w:shd w:val="clear" w:color="auto" w:fill="auto"/>
            <w:noWrap/>
            <w:vAlign w:val="center"/>
            <w:hideMark/>
          </w:tcPr>
          <w:p w14:paraId="0F79EF03"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PRIMORSKO-NOTRANJSKA</w:t>
            </w:r>
          </w:p>
        </w:tc>
        <w:tc>
          <w:tcPr>
            <w:tcW w:w="0" w:type="auto"/>
            <w:shd w:val="clear" w:color="auto" w:fill="auto"/>
            <w:noWrap/>
            <w:vAlign w:val="center"/>
            <w:hideMark/>
          </w:tcPr>
          <w:p w14:paraId="53D2F49F"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280</w:t>
            </w:r>
          </w:p>
        </w:tc>
        <w:tc>
          <w:tcPr>
            <w:tcW w:w="0" w:type="auto"/>
            <w:shd w:val="clear" w:color="auto" w:fill="auto"/>
            <w:noWrap/>
            <w:vAlign w:val="center"/>
            <w:hideMark/>
          </w:tcPr>
          <w:p w14:paraId="5EFF49E2"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16.894.203</w:t>
            </w:r>
          </w:p>
        </w:tc>
        <w:tc>
          <w:tcPr>
            <w:tcW w:w="0" w:type="auto"/>
            <w:shd w:val="clear" w:color="auto" w:fill="auto"/>
            <w:noWrap/>
            <w:vAlign w:val="center"/>
            <w:hideMark/>
          </w:tcPr>
          <w:p w14:paraId="02C23FF1" w14:textId="43192FC4"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1,70</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711BB60C" w14:textId="17034046"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0,67</w:t>
            </w:r>
            <w:r w:rsidR="00665BA8">
              <w:rPr>
                <w:rFonts w:ascii="Arial" w:eastAsia="Times New Roman" w:hAnsi="Arial" w:cs="Arial"/>
                <w:color w:val="000000"/>
                <w:sz w:val="18"/>
                <w:szCs w:val="18"/>
                <w:lang w:eastAsia="sl-SI"/>
              </w:rPr>
              <w:t xml:space="preserve"> %</w:t>
            </w:r>
          </w:p>
        </w:tc>
      </w:tr>
      <w:tr w:rsidR="000E23B9" w:rsidRPr="000E23B9" w14:paraId="0D8D942F" w14:textId="77777777" w:rsidTr="00665BA8">
        <w:trPr>
          <w:trHeight w:val="300"/>
          <w:jc w:val="center"/>
        </w:trPr>
        <w:tc>
          <w:tcPr>
            <w:tcW w:w="0" w:type="auto"/>
            <w:shd w:val="clear" w:color="auto" w:fill="auto"/>
            <w:noWrap/>
            <w:vAlign w:val="center"/>
            <w:hideMark/>
          </w:tcPr>
          <w:p w14:paraId="2E24536C"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SAVINJSKA</w:t>
            </w:r>
          </w:p>
        </w:tc>
        <w:tc>
          <w:tcPr>
            <w:tcW w:w="0" w:type="auto"/>
            <w:shd w:val="clear" w:color="auto" w:fill="auto"/>
            <w:noWrap/>
            <w:vAlign w:val="center"/>
            <w:hideMark/>
          </w:tcPr>
          <w:p w14:paraId="42A12582"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1.361</w:t>
            </w:r>
          </w:p>
        </w:tc>
        <w:tc>
          <w:tcPr>
            <w:tcW w:w="0" w:type="auto"/>
            <w:shd w:val="clear" w:color="auto" w:fill="auto"/>
            <w:noWrap/>
            <w:vAlign w:val="center"/>
            <w:hideMark/>
          </w:tcPr>
          <w:p w14:paraId="3B28CCCF"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221.603.825</w:t>
            </w:r>
          </w:p>
        </w:tc>
        <w:tc>
          <w:tcPr>
            <w:tcW w:w="0" w:type="auto"/>
            <w:shd w:val="clear" w:color="auto" w:fill="auto"/>
            <w:noWrap/>
            <w:vAlign w:val="center"/>
            <w:hideMark/>
          </w:tcPr>
          <w:p w14:paraId="27460036" w14:textId="1AD14E3C"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8,27</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4382D762" w14:textId="706762E5"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8,76</w:t>
            </w:r>
            <w:r w:rsidR="00665BA8">
              <w:rPr>
                <w:rFonts w:ascii="Arial" w:eastAsia="Times New Roman" w:hAnsi="Arial" w:cs="Arial"/>
                <w:color w:val="000000"/>
                <w:sz w:val="18"/>
                <w:szCs w:val="18"/>
                <w:lang w:eastAsia="sl-SI"/>
              </w:rPr>
              <w:t xml:space="preserve"> %</w:t>
            </w:r>
          </w:p>
        </w:tc>
      </w:tr>
      <w:tr w:rsidR="000E23B9" w:rsidRPr="000E23B9" w14:paraId="28A86FCE" w14:textId="77777777" w:rsidTr="00665BA8">
        <w:trPr>
          <w:trHeight w:val="300"/>
          <w:jc w:val="center"/>
        </w:trPr>
        <w:tc>
          <w:tcPr>
            <w:tcW w:w="0" w:type="auto"/>
            <w:shd w:val="clear" w:color="auto" w:fill="auto"/>
            <w:noWrap/>
            <w:vAlign w:val="center"/>
            <w:hideMark/>
          </w:tcPr>
          <w:p w14:paraId="0B7A90CA" w14:textId="77777777" w:rsidR="000E23B9" w:rsidRPr="000E23B9" w:rsidRDefault="000E23B9" w:rsidP="000E23B9">
            <w:pPr>
              <w:spacing w:after="0" w:line="240" w:lineRule="auto"/>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ZASAVSKA</w:t>
            </w:r>
          </w:p>
        </w:tc>
        <w:tc>
          <w:tcPr>
            <w:tcW w:w="0" w:type="auto"/>
            <w:shd w:val="clear" w:color="auto" w:fill="auto"/>
            <w:noWrap/>
            <w:vAlign w:val="center"/>
            <w:hideMark/>
          </w:tcPr>
          <w:p w14:paraId="78115452"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197</w:t>
            </w:r>
          </w:p>
        </w:tc>
        <w:tc>
          <w:tcPr>
            <w:tcW w:w="0" w:type="auto"/>
            <w:shd w:val="clear" w:color="auto" w:fill="auto"/>
            <w:noWrap/>
            <w:vAlign w:val="center"/>
            <w:hideMark/>
          </w:tcPr>
          <w:p w14:paraId="4BDCBDCE" w14:textId="77777777"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40.511.411</w:t>
            </w:r>
          </w:p>
        </w:tc>
        <w:tc>
          <w:tcPr>
            <w:tcW w:w="0" w:type="auto"/>
            <w:shd w:val="clear" w:color="auto" w:fill="auto"/>
            <w:noWrap/>
            <w:vAlign w:val="center"/>
            <w:hideMark/>
          </w:tcPr>
          <w:p w14:paraId="6E6A76F4" w14:textId="2FC7C241"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1,20</w:t>
            </w:r>
            <w:r w:rsidR="00665BA8">
              <w:rPr>
                <w:rFonts w:ascii="Arial" w:eastAsia="Times New Roman" w:hAnsi="Arial" w:cs="Arial"/>
                <w:color w:val="000000"/>
                <w:sz w:val="18"/>
                <w:szCs w:val="18"/>
                <w:lang w:eastAsia="sl-SI"/>
              </w:rPr>
              <w:t xml:space="preserve"> %</w:t>
            </w:r>
          </w:p>
        </w:tc>
        <w:tc>
          <w:tcPr>
            <w:tcW w:w="0" w:type="auto"/>
            <w:shd w:val="clear" w:color="auto" w:fill="auto"/>
            <w:noWrap/>
            <w:vAlign w:val="center"/>
            <w:hideMark/>
          </w:tcPr>
          <w:p w14:paraId="056256CB" w14:textId="0921BD11" w:rsidR="000E23B9" w:rsidRPr="000E23B9" w:rsidRDefault="000E23B9" w:rsidP="000E23B9">
            <w:pPr>
              <w:spacing w:after="0" w:line="240" w:lineRule="auto"/>
              <w:jc w:val="right"/>
              <w:rPr>
                <w:rFonts w:ascii="Arial" w:eastAsia="Times New Roman" w:hAnsi="Arial" w:cs="Arial"/>
                <w:color w:val="000000"/>
                <w:sz w:val="18"/>
                <w:szCs w:val="18"/>
                <w:lang w:eastAsia="sl-SI"/>
              </w:rPr>
            </w:pPr>
            <w:r w:rsidRPr="000E23B9">
              <w:rPr>
                <w:rFonts w:ascii="Arial" w:eastAsia="Times New Roman" w:hAnsi="Arial" w:cs="Arial"/>
                <w:color w:val="000000"/>
                <w:sz w:val="18"/>
                <w:szCs w:val="18"/>
                <w:lang w:eastAsia="sl-SI"/>
              </w:rPr>
              <w:t>1,60</w:t>
            </w:r>
            <w:r w:rsidR="00665BA8">
              <w:rPr>
                <w:rFonts w:ascii="Arial" w:eastAsia="Times New Roman" w:hAnsi="Arial" w:cs="Arial"/>
                <w:color w:val="000000"/>
                <w:sz w:val="18"/>
                <w:szCs w:val="18"/>
                <w:lang w:eastAsia="sl-SI"/>
              </w:rPr>
              <w:t xml:space="preserve"> %</w:t>
            </w:r>
          </w:p>
        </w:tc>
      </w:tr>
      <w:tr w:rsidR="00665BA8" w:rsidRPr="000E23B9" w14:paraId="06B9991F" w14:textId="77777777" w:rsidTr="00665BA8">
        <w:trPr>
          <w:trHeight w:val="300"/>
          <w:jc w:val="center"/>
        </w:trPr>
        <w:tc>
          <w:tcPr>
            <w:tcW w:w="0" w:type="auto"/>
            <w:shd w:val="clear" w:color="auto" w:fill="E7E6E6" w:themeFill="background2"/>
            <w:noWrap/>
            <w:vAlign w:val="center"/>
            <w:hideMark/>
          </w:tcPr>
          <w:p w14:paraId="60D6054E" w14:textId="77777777" w:rsidR="000E23B9" w:rsidRPr="000E23B9" w:rsidRDefault="000E23B9" w:rsidP="000E23B9">
            <w:pPr>
              <w:spacing w:after="0" w:line="240" w:lineRule="auto"/>
              <w:rPr>
                <w:rFonts w:ascii="Arial" w:eastAsia="Times New Roman" w:hAnsi="Arial" w:cs="Arial"/>
                <w:b/>
                <w:bCs/>
                <w:color w:val="000000"/>
                <w:sz w:val="18"/>
                <w:szCs w:val="18"/>
                <w:lang w:eastAsia="sl-SI"/>
              </w:rPr>
            </w:pPr>
            <w:r w:rsidRPr="000E23B9">
              <w:rPr>
                <w:rFonts w:ascii="Arial" w:eastAsia="Times New Roman" w:hAnsi="Arial" w:cs="Arial"/>
                <w:b/>
                <w:bCs/>
                <w:color w:val="000000"/>
                <w:sz w:val="18"/>
                <w:szCs w:val="18"/>
                <w:lang w:eastAsia="sl-SI"/>
              </w:rPr>
              <w:t>Skupaj</w:t>
            </w:r>
          </w:p>
        </w:tc>
        <w:tc>
          <w:tcPr>
            <w:tcW w:w="0" w:type="auto"/>
            <w:shd w:val="clear" w:color="auto" w:fill="E7E6E6" w:themeFill="background2"/>
            <w:noWrap/>
            <w:vAlign w:val="center"/>
            <w:hideMark/>
          </w:tcPr>
          <w:p w14:paraId="0D966884" w14:textId="77777777" w:rsidR="000E23B9" w:rsidRPr="000E23B9" w:rsidRDefault="000E23B9" w:rsidP="000E23B9">
            <w:pPr>
              <w:spacing w:after="0" w:line="240" w:lineRule="auto"/>
              <w:jc w:val="right"/>
              <w:rPr>
                <w:rFonts w:ascii="Arial" w:eastAsia="Times New Roman" w:hAnsi="Arial" w:cs="Arial"/>
                <w:b/>
                <w:bCs/>
                <w:color w:val="000000"/>
                <w:sz w:val="18"/>
                <w:szCs w:val="18"/>
                <w:lang w:eastAsia="sl-SI"/>
              </w:rPr>
            </w:pPr>
            <w:r w:rsidRPr="000E23B9">
              <w:rPr>
                <w:rFonts w:ascii="Arial" w:eastAsia="Times New Roman" w:hAnsi="Arial" w:cs="Arial"/>
                <w:b/>
                <w:bCs/>
                <w:color w:val="000000"/>
                <w:sz w:val="18"/>
                <w:szCs w:val="18"/>
                <w:lang w:eastAsia="sl-SI"/>
              </w:rPr>
              <w:t>16.459</w:t>
            </w:r>
          </w:p>
        </w:tc>
        <w:tc>
          <w:tcPr>
            <w:tcW w:w="0" w:type="auto"/>
            <w:shd w:val="clear" w:color="auto" w:fill="E7E6E6" w:themeFill="background2"/>
            <w:noWrap/>
            <w:vAlign w:val="center"/>
            <w:hideMark/>
          </w:tcPr>
          <w:p w14:paraId="5E3447FF" w14:textId="77777777" w:rsidR="000E23B9" w:rsidRPr="000E23B9" w:rsidRDefault="000E23B9" w:rsidP="000E23B9">
            <w:pPr>
              <w:spacing w:after="0" w:line="240" w:lineRule="auto"/>
              <w:jc w:val="right"/>
              <w:rPr>
                <w:rFonts w:ascii="Arial" w:eastAsia="Times New Roman" w:hAnsi="Arial" w:cs="Arial"/>
                <w:b/>
                <w:bCs/>
                <w:color w:val="000000"/>
                <w:sz w:val="18"/>
                <w:szCs w:val="18"/>
                <w:lang w:eastAsia="sl-SI"/>
              </w:rPr>
            </w:pPr>
            <w:r w:rsidRPr="000E23B9">
              <w:rPr>
                <w:rFonts w:ascii="Arial" w:eastAsia="Times New Roman" w:hAnsi="Arial" w:cs="Arial"/>
                <w:b/>
                <w:bCs/>
                <w:color w:val="000000"/>
                <w:sz w:val="18"/>
                <w:szCs w:val="18"/>
                <w:lang w:eastAsia="sl-SI"/>
              </w:rPr>
              <w:t>2.530.228.873</w:t>
            </w:r>
          </w:p>
        </w:tc>
        <w:tc>
          <w:tcPr>
            <w:tcW w:w="0" w:type="auto"/>
            <w:shd w:val="clear" w:color="auto" w:fill="E7E6E6" w:themeFill="background2"/>
            <w:noWrap/>
            <w:vAlign w:val="center"/>
            <w:hideMark/>
          </w:tcPr>
          <w:p w14:paraId="16BAFCBF" w14:textId="495548BF" w:rsidR="000E23B9" w:rsidRPr="000E23B9" w:rsidRDefault="000E23B9" w:rsidP="000E23B9">
            <w:pPr>
              <w:spacing w:after="0" w:line="240" w:lineRule="auto"/>
              <w:jc w:val="right"/>
              <w:rPr>
                <w:rFonts w:ascii="Arial" w:eastAsia="Times New Roman" w:hAnsi="Arial" w:cs="Arial"/>
                <w:b/>
                <w:bCs/>
                <w:color w:val="000000"/>
                <w:sz w:val="18"/>
                <w:szCs w:val="18"/>
                <w:lang w:eastAsia="sl-SI"/>
              </w:rPr>
            </w:pPr>
            <w:r w:rsidRPr="000E23B9">
              <w:rPr>
                <w:rFonts w:ascii="Arial" w:eastAsia="Times New Roman" w:hAnsi="Arial" w:cs="Arial"/>
                <w:b/>
                <w:bCs/>
                <w:color w:val="000000"/>
                <w:sz w:val="18"/>
                <w:szCs w:val="18"/>
                <w:lang w:eastAsia="sl-SI"/>
              </w:rPr>
              <w:t>100,00</w:t>
            </w:r>
            <w:r w:rsidR="00665BA8">
              <w:rPr>
                <w:rFonts w:ascii="Arial" w:eastAsia="Times New Roman" w:hAnsi="Arial" w:cs="Arial"/>
                <w:b/>
                <w:bCs/>
                <w:color w:val="000000"/>
                <w:sz w:val="18"/>
                <w:szCs w:val="18"/>
                <w:lang w:eastAsia="sl-SI"/>
              </w:rPr>
              <w:t xml:space="preserve"> %</w:t>
            </w:r>
          </w:p>
        </w:tc>
        <w:tc>
          <w:tcPr>
            <w:tcW w:w="0" w:type="auto"/>
            <w:shd w:val="clear" w:color="auto" w:fill="E7E6E6" w:themeFill="background2"/>
            <w:noWrap/>
            <w:vAlign w:val="center"/>
            <w:hideMark/>
          </w:tcPr>
          <w:p w14:paraId="1E7EEF93" w14:textId="6311C18D" w:rsidR="000E23B9" w:rsidRPr="000E23B9" w:rsidRDefault="000E23B9" w:rsidP="000E23B9">
            <w:pPr>
              <w:spacing w:after="0" w:line="240" w:lineRule="auto"/>
              <w:jc w:val="right"/>
              <w:rPr>
                <w:rFonts w:ascii="Arial" w:eastAsia="Times New Roman" w:hAnsi="Arial" w:cs="Arial"/>
                <w:b/>
                <w:bCs/>
                <w:color w:val="000000"/>
                <w:sz w:val="18"/>
                <w:szCs w:val="18"/>
                <w:lang w:eastAsia="sl-SI"/>
              </w:rPr>
            </w:pPr>
            <w:r w:rsidRPr="000E23B9">
              <w:rPr>
                <w:rFonts w:ascii="Arial" w:eastAsia="Times New Roman" w:hAnsi="Arial" w:cs="Arial"/>
                <w:b/>
                <w:bCs/>
                <w:color w:val="000000"/>
                <w:sz w:val="18"/>
                <w:szCs w:val="18"/>
                <w:lang w:eastAsia="sl-SI"/>
              </w:rPr>
              <w:t>100,00</w:t>
            </w:r>
            <w:r w:rsidR="00665BA8">
              <w:rPr>
                <w:rFonts w:ascii="Arial" w:eastAsia="Times New Roman" w:hAnsi="Arial" w:cs="Arial"/>
                <w:b/>
                <w:bCs/>
                <w:color w:val="000000"/>
                <w:sz w:val="18"/>
                <w:szCs w:val="18"/>
                <w:lang w:eastAsia="sl-SI"/>
              </w:rPr>
              <w:t xml:space="preserve"> %</w:t>
            </w:r>
          </w:p>
        </w:tc>
      </w:tr>
    </w:tbl>
    <w:p w14:paraId="7C590BFD" w14:textId="77777777" w:rsidR="004A613D" w:rsidRPr="000E23B9" w:rsidRDefault="004A613D" w:rsidP="004A613D">
      <w:pPr>
        <w:spacing w:after="0" w:line="240" w:lineRule="auto"/>
        <w:jc w:val="center"/>
        <w:rPr>
          <w:rFonts w:ascii="Arial" w:hAnsi="Arial" w:cs="Arial"/>
          <w:sz w:val="18"/>
        </w:rPr>
      </w:pPr>
    </w:p>
    <w:p w14:paraId="4CF29524" w14:textId="3DFA904F" w:rsidR="00F83DD4" w:rsidRPr="000E23B9" w:rsidRDefault="00F83DD4" w:rsidP="004A613D">
      <w:pPr>
        <w:spacing w:after="0" w:line="360" w:lineRule="auto"/>
        <w:jc w:val="center"/>
        <w:rPr>
          <w:rFonts w:ascii="Arial" w:hAnsi="Arial" w:cs="Arial"/>
          <w:sz w:val="18"/>
        </w:rPr>
      </w:pPr>
      <w:r w:rsidRPr="000E23B9">
        <w:rPr>
          <w:rFonts w:ascii="Arial" w:hAnsi="Arial" w:cs="Arial"/>
          <w:sz w:val="18"/>
        </w:rPr>
        <w:t>Vir: Statistični podatki o javni</w:t>
      </w:r>
      <w:r w:rsidR="00CA1B75" w:rsidRPr="000E23B9">
        <w:rPr>
          <w:rFonts w:ascii="Arial" w:hAnsi="Arial" w:cs="Arial"/>
          <w:sz w:val="18"/>
        </w:rPr>
        <w:t>h naročilih, oddanih v letu 201</w:t>
      </w:r>
      <w:r w:rsidR="000E23B9" w:rsidRPr="000E23B9">
        <w:rPr>
          <w:rFonts w:ascii="Arial" w:hAnsi="Arial" w:cs="Arial"/>
          <w:sz w:val="18"/>
        </w:rPr>
        <w:t>8</w:t>
      </w:r>
    </w:p>
    <w:p w14:paraId="651C910A" w14:textId="77777777" w:rsidR="00310231" w:rsidRPr="000E23B9" w:rsidRDefault="00310231" w:rsidP="001B3568">
      <w:pPr>
        <w:spacing w:line="360" w:lineRule="auto"/>
        <w:jc w:val="both"/>
        <w:rPr>
          <w:rFonts w:ascii="Arial" w:hAnsi="Arial" w:cs="Arial"/>
          <w:sz w:val="20"/>
          <w:szCs w:val="20"/>
          <w:lang w:eastAsia="sl-SI"/>
        </w:rPr>
      </w:pPr>
    </w:p>
    <w:p w14:paraId="7F8B46FA" w14:textId="38EAE454" w:rsidR="0036281E" w:rsidRPr="005D6AF2" w:rsidRDefault="00F83DD4" w:rsidP="001B3568">
      <w:pPr>
        <w:spacing w:line="360" w:lineRule="auto"/>
        <w:jc w:val="both"/>
        <w:rPr>
          <w:rStyle w:val="Naslov2Znak"/>
          <w:rFonts w:ascii="Arial" w:eastAsiaTheme="minorHAnsi" w:hAnsi="Arial" w:cs="Arial"/>
          <w:color w:val="auto"/>
          <w:sz w:val="20"/>
          <w:szCs w:val="20"/>
          <w:lang w:eastAsia="sl-SI"/>
        </w:rPr>
      </w:pPr>
      <w:r w:rsidRPr="005C4191">
        <w:rPr>
          <w:rFonts w:ascii="Arial" w:hAnsi="Arial" w:cs="Arial"/>
          <w:sz w:val="20"/>
          <w:szCs w:val="20"/>
          <w:lang w:eastAsia="sl-SI"/>
        </w:rPr>
        <w:t xml:space="preserve">Slika 1 prikazuje delež javnih naročil, ki so jih naročniki iz posamezne regije oddali ponudnikom iz iste regije, in sicer glede na vrednost javnih naročil te regije, oddanih slovenskim ponudnikom. </w:t>
      </w:r>
      <w:r w:rsidR="001B3568" w:rsidRPr="005C4191">
        <w:rPr>
          <w:rFonts w:ascii="Arial" w:hAnsi="Arial" w:cs="Arial"/>
          <w:sz w:val="20"/>
          <w:szCs w:val="20"/>
          <w:lang w:eastAsia="sl-SI"/>
        </w:rPr>
        <w:t>Naročila, ki jih naročniki oddajo na podlagi petega odstavka 73. člena ZJN-3 (načelo kratkih verig), niso vsebovana</w:t>
      </w:r>
      <w:r w:rsidR="001B3568" w:rsidRPr="005C4191">
        <w:rPr>
          <w:rFonts w:ascii="Arial" w:hAnsi="Arial" w:cs="Arial"/>
        </w:rPr>
        <w:t xml:space="preserve">. </w:t>
      </w:r>
      <w:r w:rsidRPr="005D075B">
        <w:rPr>
          <w:rFonts w:ascii="Arial" w:hAnsi="Arial" w:cs="Arial"/>
          <w:sz w:val="20"/>
          <w:szCs w:val="20"/>
          <w:lang w:eastAsia="sl-SI"/>
        </w:rPr>
        <w:t xml:space="preserve">Največji delež vrednosti naročil, ki so jih naročniki oddali ponudnikom iz iste regije, je pri naročnikih iz </w:t>
      </w:r>
      <w:r w:rsidR="00B417B3" w:rsidRPr="005D075B">
        <w:rPr>
          <w:rFonts w:ascii="Arial" w:hAnsi="Arial" w:cs="Arial"/>
          <w:sz w:val="20"/>
          <w:szCs w:val="20"/>
          <w:lang w:eastAsia="sl-SI"/>
        </w:rPr>
        <w:t>o</w:t>
      </w:r>
      <w:r w:rsidRPr="005D075B">
        <w:rPr>
          <w:rFonts w:ascii="Arial" w:hAnsi="Arial" w:cs="Arial"/>
          <w:sz w:val="20"/>
          <w:szCs w:val="20"/>
          <w:lang w:eastAsia="sl-SI"/>
        </w:rPr>
        <w:t>srednjeslovenske regije</w:t>
      </w:r>
      <w:r w:rsidR="00CD4647">
        <w:rPr>
          <w:rFonts w:ascii="Arial" w:hAnsi="Arial" w:cs="Arial"/>
          <w:sz w:val="20"/>
          <w:szCs w:val="20"/>
          <w:lang w:eastAsia="sl-SI"/>
        </w:rPr>
        <w:t>,</w:t>
      </w:r>
      <w:r w:rsidRPr="005D075B">
        <w:rPr>
          <w:rFonts w:ascii="Arial" w:hAnsi="Arial" w:cs="Arial"/>
          <w:sz w:val="20"/>
          <w:szCs w:val="20"/>
          <w:lang w:eastAsia="sl-SI"/>
        </w:rPr>
        <w:t xml:space="preserve"> in </w:t>
      </w:r>
      <w:r w:rsidR="00CD4647">
        <w:rPr>
          <w:rFonts w:ascii="Arial" w:hAnsi="Arial" w:cs="Arial"/>
          <w:sz w:val="20"/>
          <w:szCs w:val="20"/>
          <w:lang w:eastAsia="sl-SI"/>
        </w:rPr>
        <w:t>sicer</w:t>
      </w:r>
      <w:r w:rsidR="00CD4647" w:rsidRPr="005D075B">
        <w:rPr>
          <w:rFonts w:ascii="Arial" w:hAnsi="Arial" w:cs="Arial"/>
          <w:sz w:val="20"/>
          <w:szCs w:val="20"/>
          <w:lang w:eastAsia="sl-SI"/>
        </w:rPr>
        <w:t xml:space="preserve"> </w:t>
      </w:r>
      <w:r w:rsidR="006A4C49" w:rsidRPr="005D075B">
        <w:rPr>
          <w:rFonts w:ascii="Arial" w:hAnsi="Arial" w:cs="Arial"/>
          <w:sz w:val="20"/>
          <w:szCs w:val="20"/>
          <w:lang w:eastAsia="sl-SI"/>
        </w:rPr>
        <w:t>6</w:t>
      </w:r>
      <w:r w:rsidR="00DE021F">
        <w:rPr>
          <w:rFonts w:ascii="Arial" w:hAnsi="Arial" w:cs="Arial"/>
          <w:sz w:val="20"/>
          <w:szCs w:val="20"/>
          <w:lang w:eastAsia="sl-SI"/>
        </w:rPr>
        <w:t>6</w:t>
      </w:r>
      <w:r w:rsidR="006A4C49" w:rsidRPr="005D075B">
        <w:rPr>
          <w:rFonts w:ascii="Arial" w:hAnsi="Arial" w:cs="Arial"/>
          <w:sz w:val="20"/>
          <w:szCs w:val="20"/>
          <w:lang w:eastAsia="sl-SI"/>
        </w:rPr>
        <w:t>,</w:t>
      </w:r>
      <w:r w:rsidR="005D075B" w:rsidRPr="005D075B">
        <w:rPr>
          <w:rFonts w:ascii="Arial" w:hAnsi="Arial" w:cs="Arial"/>
          <w:sz w:val="20"/>
          <w:szCs w:val="20"/>
          <w:lang w:eastAsia="sl-SI"/>
        </w:rPr>
        <w:t>6</w:t>
      </w:r>
      <w:r w:rsidR="0029442D" w:rsidRPr="005D075B">
        <w:rPr>
          <w:rFonts w:ascii="Arial" w:hAnsi="Arial" w:cs="Arial"/>
          <w:sz w:val="20"/>
          <w:szCs w:val="20"/>
          <w:lang w:eastAsia="sl-SI"/>
        </w:rPr>
        <w:t xml:space="preserve"> %</w:t>
      </w:r>
      <w:r w:rsidRPr="005D075B">
        <w:rPr>
          <w:rFonts w:ascii="Arial" w:hAnsi="Arial" w:cs="Arial"/>
          <w:sz w:val="20"/>
          <w:szCs w:val="20"/>
          <w:lang w:eastAsia="sl-SI"/>
        </w:rPr>
        <w:t xml:space="preserve"> oziroma</w:t>
      </w:r>
      <w:r w:rsidR="005D075B" w:rsidRPr="005D075B">
        <w:rPr>
          <w:rFonts w:ascii="Arial" w:hAnsi="Arial" w:cs="Arial"/>
          <w:sz w:val="20"/>
          <w:szCs w:val="20"/>
          <w:lang w:eastAsia="sl-SI"/>
        </w:rPr>
        <w:t xml:space="preserve"> 896.153.345</w:t>
      </w:r>
      <w:r w:rsidRPr="005D075B">
        <w:rPr>
          <w:rFonts w:ascii="Arial" w:hAnsi="Arial" w:cs="Arial"/>
          <w:sz w:val="20"/>
          <w:szCs w:val="20"/>
          <w:lang w:eastAsia="sl-SI"/>
        </w:rPr>
        <w:t xml:space="preserve"> evrov</w:t>
      </w:r>
      <w:r w:rsidRPr="005D6AF2">
        <w:rPr>
          <w:rFonts w:ascii="Arial" w:hAnsi="Arial" w:cs="Arial"/>
          <w:sz w:val="20"/>
          <w:szCs w:val="20"/>
          <w:lang w:eastAsia="sl-SI"/>
        </w:rPr>
        <w:t>. Najmanjši delež vrednosti naročil, ki so jih naročniki oddali ponudnikom iz iste regije</w:t>
      </w:r>
      <w:r w:rsidR="00B417B3" w:rsidRPr="005D6AF2">
        <w:rPr>
          <w:rFonts w:ascii="Arial" w:hAnsi="Arial" w:cs="Arial"/>
          <w:sz w:val="20"/>
          <w:szCs w:val="20"/>
          <w:lang w:eastAsia="sl-SI"/>
        </w:rPr>
        <w:t>,</w:t>
      </w:r>
      <w:r w:rsidRPr="005D6AF2">
        <w:rPr>
          <w:rFonts w:ascii="Arial" w:hAnsi="Arial" w:cs="Arial"/>
          <w:sz w:val="20"/>
          <w:szCs w:val="20"/>
          <w:lang w:eastAsia="sl-SI"/>
        </w:rPr>
        <w:t xml:space="preserve"> je pri naročnikih iz </w:t>
      </w:r>
      <w:r w:rsidR="00B417B3" w:rsidRPr="005D6AF2">
        <w:rPr>
          <w:rFonts w:ascii="Arial" w:hAnsi="Arial" w:cs="Arial"/>
          <w:sz w:val="20"/>
          <w:szCs w:val="20"/>
          <w:lang w:eastAsia="sl-SI"/>
        </w:rPr>
        <w:t>p</w:t>
      </w:r>
      <w:r w:rsidR="00C717D2" w:rsidRPr="005D6AF2">
        <w:rPr>
          <w:rFonts w:ascii="Arial" w:hAnsi="Arial" w:cs="Arial"/>
          <w:sz w:val="20"/>
          <w:szCs w:val="20"/>
          <w:lang w:eastAsia="sl-SI"/>
        </w:rPr>
        <w:t>rimorsko-notranjske</w:t>
      </w:r>
      <w:r w:rsidRPr="005D6AF2">
        <w:rPr>
          <w:rFonts w:ascii="Arial" w:hAnsi="Arial" w:cs="Arial"/>
          <w:sz w:val="20"/>
          <w:szCs w:val="20"/>
          <w:lang w:eastAsia="sl-SI"/>
        </w:rPr>
        <w:t xml:space="preserve"> regije</w:t>
      </w:r>
      <w:r w:rsidR="00CD4647">
        <w:rPr>
          <w:rFonts w:ascii="Arial" w:hAnsi="Arial" w:cs="Arial"/>
          <w:sz w:val="20"/>
          <w:szCs w:val="20"/>
          <w:lang w:eastAsia="sl-SI"/>
        </w:rPr>
        <w:t>,</w:t>
      </w:r>
      <w:r w:rsidRPr="005D6AF2">
        <w:rPr>
          <w:rFonts w:ascii="Arial" w:hAnsi="Arial" w:cs="Arial"/>
          <w:sz w:val="20"/>
          <w:szCs w:val="20"/>
          <w:lang w:eastAsia="sl-SI"/>
        </w:rPr>
        <w:t xml:space="preserve"> in </w:t>
      </w:r>
      <w:r w:rsidR="00CD4647">
        <w:rPr>
          <w:rFonts w:ascii="Arial" w:hAnsi="Arial" w:cs="Arial"/>
          <w:sz w:val="20"/>
          <w:szCs w:val="20"/>
          <w:lang w:eastAsia="sl-SI"/>
        </w:rPr>
        <w:t>sicer</w:t>
      </w:r>
      <w:r w:rsidR="00CD4647" w:rsidRPr="005D6AF2">
        <w:rPr>
          <w:rFonts w:ascii="Arial" w:hAnsi="Arial" w:cs="Arial"/>
          <w:sz w:val="20"/>
          <w:szCs w:val="20"/>
          <w:lang w:eastAsia="sl-SI"/>
        </w:rPr>
        <w:t xml:space="preserve"> </w:t>
      </w:r>
      <w:r w:rsidR="005D6AF2" w:rsidRPr="005D6AF2">
        <w:rPr>
          <w:rFonts w:ascii="Arial" w:hAnsi="Arial" w:cs="Arial"/>
          <w:sz w:val="20"/>
          <w:szCs w:val="20"/>
          <w:lang w:eastAsia="sl-SI"/>
        </w:rPr>
        <w:t>14,46</w:t>
      </w:r>
      <w:r w:rsidR="006011DB" w:rsidRPr="005D6AF2">
        <w:rPr>
          <w:rFonts w:ascii="Arial" w:hAnsi="Arial" w:cs="Arial"/>
          <w:sz w:val="20"/>
          <w:szCs w:val="20"/>
          <w:lang w:eastAsia="sl-SI"/>
        </w:rPr>
        <w:t xml:space="preserve"> </w:t>
      </w:r>
      <w:r w:rsidR="0029442D" w:rsidRPr="005D6AF2">
        <w:rPr>
          <w:rFonts w:ascii="Arial" w:hAnsi="Arial" w:cs="Arial"/>
          <w:sz w:val="20"/>
          <w:szCs w:val="20"/>
          <w:lang w:eastAsia="sl-SI"/>
        </w:rPr>
        <w:t>%</w:t>
      </w:r>
      <w:r w:rsidR="006011DB" w:rsidRPr="005D6AF2">
        <w:rPr>
          <w:rFonts w:ascii="Arial" w:hAnsi="Arial" w:cs="Arial"/>
          <w:sz w:val="20"/>
          <w:szCs w:val="20"/>
          <w:lang w:eastAsia="sl-SI"/>
        </w:rPr>
        <w:t xml:space="preserve"> oziroma </w:t>
      </w:r>
      <w:r w:rsidR="005D6AF2" w:rsidRPr="005D6AF2">
        <w:rPr>
          <w:rFonts w:ascii="Arial" w:hAnsi="Arial" w:cs="Arial"/>
          <w:sz w:val="20"/>
          <w:szCs w:val="20"/>
          <w:lang w:eastAsia="sl-SI"/>
        </w:rPr>
        <w:t xml:space="preserve">2.867.232 </w:t>
      </w:r>
      <w:r w:rsidR="006011DB" w:rsidRPr="005D6AF2">
        <w:rPr>
          <w:rFonts w:ascii="Arial" w:hAnsi="Arial" w:cs="Arial"/>
          <w:sz w:val="20"/>
          <w:szCs w:val="20"/>
          <w:lang w:eastAsia="sl-SI"/>
        </w:rPr>
        <w:t>evrov</w:t>
      </w:r>
      <w:r w:rsidRPr="005D6AF2">
        <w:rPr>
          <w:rFonts w:ascii="Arial" w:hAnsi="Arial" w:cs="Arial"/>
          <w:sz w:val="20"/>
          <w:szCs w:val="20"/>
          <w:lang w:eastAsia="sl-SI"/>
        </w:rPr>
        <w:t>.</w:t>
      </w:r>
      <w:r w:rsidR="00C717D2" w:rsidRPr="005D6AF2">
        <w:rPr>
          <w:rFonts w:ascii="Arial" w:hAnsi="Arial" w:cs="Arial"/>
          <w:sz w:val="20"/>
          <w:szCs w:val="20"/>
          <w:lang w:eastAsia="sl-SI"/>
        </w:rPr>
        <w:t xml:space="preserve"> </w:t>
      </w:r>
    </w:p>
    <w:p w14:paraId="690152C5" w14:textId="77777777" w:rsidR="004E69E6" w:rsidRDefault="004E69E6" w:rsidP="008A61FD">
      <w:pPr>
        <w:spacing w:before="120" w:after="120" w:line="240" w:lineRule="auto"/>
        <w:jc w:val="both"/>
        <w:rPr>
          <w:rFonts w:ascii="Arial" w:hAnsi="Arial" w:cs="Arial"/>
          <w:sz w:val="20"/>
        </w:rPr>
      </w:pPr>
    </w:p>
    <w:p w14:paraId="600E2B58" w14:textId="77777777" w:rsidR="004E69E6" w:rsidRDefault="004E69E6" w:rsidP="008A61FD">
      <w:pPr>
        <w:spacing w:before="120" w:after="120" w:line="240" w:lineRule="auto"/>
        <w:jc w:val="both"/>
        <w:rPr>
          <w:rFonts w:ascii="Arial" w:hAnsi="Arial" w:cs="Arial"/>
          <w:sz w:val="20"/>
        </w:rPr>
      </w:pPr>
    </w:p>
    <w:p w14:paraId="49AA3E48" w14:textId="77777777" w:rsidR="004E69E6" w:rsidRDefault="004E69E6" w:rsidP="008A61FD">
      <w:pPr>
        <w:spacing w:before="120" w:after="120" w:line="240" w:lineRule="auto"/>
        <w:jc w:val="both"/>
        <w:rPr>
          <w:rFonts w:ascii="Arial" w:hAnsi="Arial" w:cs="Arial"/>
          <w:sz w:val="20"/>
        </w:rPr>
      </w:pPr>
    </w:p>
    <w:p w14:paraId="639FFF61" w14:textId="1AA1BBB1" w:rsidR="00F83DD4" w:rsidRPr="00891473" w:rsidRDefault="00F83DD4" w:rsidP="008A61FD">
      <w:pPr>
        <w:spacing w:before="120" w:after="120" w:line="240" w:lineRule="auto"/>
        <w:jc w:val="both"/>
        <w:rPr>
          <w:rFonts w:ascii="Arial" w:hAnsi="Arial" w:cs="Arial"/>
          <w:sz w:val="20"/>
        </w:rPr>
      </w:pPr>
      <w:r w:rsidRPr="00891473">
        <w:rPr>
          <w:rFonts w:ascii="Arial" w:hAnsi="Arial" w:cs="Arial"/>
          <w:sz w:val="20"/>
        </w:rPr>
        <w:lastRenderedPageBreak/>
        <w:t xml:space="preserve">Slika 1: </w:t>
      </w:r>
      <w:r w:rsidR="004F4843" w:rsidRPr="00891473">
        <w:rPr>
          <w:rFonts w:ascii="Arial" w:hAnsi="Arial" w:cs="Arial"/>
          <w:sz w:val="20"/>
        </w:rPr>
        <w:t>Ozemeljska</w:t>
      </w:r>
      <w:r w:rsidR="004F22C9" w:rsidRPr="00891473">
        <w:rPr>
          <w:rFonts w:ascii="Arial" w:hAnsi="Arial" w:cs="Arial"/>
          <w:sz w:val="20"/>
        </w:rPr>
        <w:t xml:space="preserve"> porazdelitev javnih naročil</w:t>
      </w:r>
    </w:p>
    <w:p w14:paraId="4C83DFC4" w14:textId="77777777" w:rsidR="006011DB" w:rsidRPr="00891473" w:rsidRDefault="006011DB" w:rsidP="008A61FD">
      <w:pPr>
        <w:spacing w:before="120" w:after="120" w:line="240" w:lineRule="auto"/>
        <w:jc w:val="both"/>
        <w:rPr>
          <w:rFonts w:ascii="Arial" w:hAnsi="Arial" w:cs="Arial"/>
          <w:sz w:val="20"/>
        </w:rPr>
      </w:pPr>
    </w:p>
    <w:p w14:paraId="68C0079C" w14:textId="05789A33" w:rsidR="006011DB" w:rsidRPr="00891473" w:rsidRDefault="00891473" w:rsidP="006011DB">
      <w:pPr>
        <w:spacing w:before="120" w:after="120" w:line="240" w:lineRule="auto"/>
        <w:jc w:val="center"/>
        <w:rPr>
          <w:rFonts w:ascii="Arial" w:hAnsi="Arial" w:cs="Arial"/>
          <w:sz w:val="20"/>
        </w:rPr>
      </w:pPr>
      <w:r w:rsidRPr="00891473">
        <w:rPr>
          <w:noProof/>
          <w:lang w:eastAsia="sl-SI"/>
        </w:rPr>
        <w:drawing>
          <wp:inline distT="0" distB="0" distL="0" distR="0" wp14:anchorId="7EC05264" wp14:editId="678F556F">
            <wp:extent cx="4414724" cy="3061401"/>
            <wp:effectExtent l="0" t="0" r="5080" b="5715"/>
            <wp:docPr id="2" name="Slika 2" descr="Ozemeljska porazdelitev javnih naroč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Ozemeljska porazdelitev javnih naročil."/>
                    <pic:cNvPicPr/>
                  </pic:nvPicPr>
                  <pic:blipFill>
                    <a:blip r:embed="rId12"/>
                    <a:stretch>
                      <a:fillRect/>
                    </a:stretch>
                  </pic:blipFill>
                  <pic:spPr>
                    <a:xfrm>
                      <a:off x="0" y="0"/>
                      <a:ext cx="4416657" cy="3062742"/>
                    </a:xfrm>
                    <a:prstGeom prst="rect">
                      <a:avLst/>
                    </a:prstGeom>
                  </pic:spPr>
                </pic:pic>
              </a:graphicData>
            </a:graphic>
          </wp:inline>
        </w:drawing>
      </w:r>
    </w:p>
    <w:p w14:paraId="49E7C63B" w14:textId="28914272" w:rsidR="00F83DD4" w:rsidRPr="00891473" w:rsidRDefault="00F83DD4" w:rsidP="00701C10">
      <w:pPr>
        <w:spacing w:after="240" w:line="240" w:lineRule="auto"/>
        <w:jc w:val="center"/>
        <w:rPr>
          <w:rFonts w:ascii="Arial" w:hAnsi="Arial" w:cs="Arial"/>
          <w:sz w:val="18"/>
        </w:rPr>
      </w:pPr>
      <w:r w:rsidRPr="00891473">
        <w:rPr>
          <w:rFonts w:ascii="Arial" w:hAnsi="Arial" w:cs="Arial"/>
          <w:sz w:val="18"/>
        </w:rPr>
        <w:t>Vir: Statistični podatki o javni</w:t>
      </w:r>
      <w:r w:rsidR="00F859E3" w:rsidRPr="00891473">
        <w:rPr>
          <w:rFonts w:ascii="Arial" w:hAnsi="Arial" w:cs="Arial"/>
          <w:sz w:val="18"/>
        </w:rPr>
        <w:t>h naročilih, oddanih v letu 201</w:t>
      </w:r>
      <w:r w:rsidR="00891473" w:rsidRPr="00891473">
        <w:rPr>
          <w:rFonts w:ascii="Arial" w:hAnsi="Arial" w:cs="Arial"/>
          <w:sz w:val="18"/>
        </w:rPr>
        <w:t>8</w:t>
      </w:r>
    </w:p>
    <w:p w14:paraId="15C9FAFD" w14:textId="77777777" w:rsidR="00F83DD4" w:rsidRPr="00EF2D0B" w:rsidRDefault="00F83DD4" w:rsidP="00854405">
      <w:pPr>
        <w:pStyle w:val="ZADEVA"/>
        <w:jc w:val="both"/>
        <w:rPr>
          <w:rFonts w:cs="Arial"/>
          <w:b w:val="0"/>
          <w:szCs w:val="20"/>
          <w:highlight w:val="yellow"/>
          <w:lang w:val="sl-SI"/>
        </w:rPr>
      </w:pPr>
    </w:p>
    <w:p w14:paraId="00AE7F33" w14:textId="4640574E" w:rsidR="001C6865" w:rsidRPr="007C442B" w:rsidRDefault="001C6865" w:rsidP="001C6865">
      <w:pPr>
        <w:pStyle w:val="Naslov3"/>
        <w:rPr>
          <w:rFonts w:ascii="Arial" w:hAnsi="Arial" w:cs="Arial"/>
          <w:sz w:val="22"/>
          <w:szCs w:val="22"/>
        </w:rPr>
      </w:pPr>
      <w:bookmarkStart w:id="31" w:name="_Toc17114069"/>
      <w:r w:rsidRPr="007C442B">
        <w:rPr>
          <w:rFonts w:ascii="Arial" w:hAnsi="Arial" w:cs="Arial"/>
          <w:sz w:val="22"/>
          <w:szCs w:val="22"/>
        </w:rPr>
        <w:t>2.7.4 Velikost ponudnikov</w:t>
      </w:r>
      <w:bookmarkEnd w:id="31"/>
    </w:p>
    <w:p w14:paraId="41527F59" w14:textId="77777777" w:rsidR="00B11580" w:rsidRPr="007C442B" w:rsidRDefault="00B11580" w:rsidP="00854405">
      <w:pPr>
        <w:pStyle w:val="ZADEVA"/>
        <w:jc w:val="both"/>
        <w:rPr>
          <w:rFonts w:cs="Arial"/>
          <w:b w:val="0"/>
          <w:szCs w:val="20"/>
          <w:lang w:val="sl-SI"/>
        </w:rPr>
      </w:pPr>
    </w:p>
    <w:p w14:paraId="4B19E6C8" w14:textId="29D7C8D7" w:rsidR="00F83DD4" w:rsidRPr="007C442B" w:rsidRDefault="004F4843" w:rsidP="000F2B07">
      <w:pPr>
        <w:spacing w:line="360" w:lineRule="auto"/>
        <w:jc w:val="both"/>
        <w:rPr>
          <w:rFonts w:ascii="Arial" w:hAnsi="Arial" w:cs="Arial"/>
          <w:bCs/>
          <w:sz w:val="20"/>
          <w:szCs w:val="20"/>
          <w:lang w:eastAsia="sl-SI"/>
        </w:rPr>
      </w:pPr>
      <w:r w:rsidRPr="007C442B">
        <w:rPr>
          <w:rFonts w:ascii="Arial" w:hAnsi="Arial" w:cs="Arial"/>
          <w:bCs/>
          <w:sz w:val="20"/>
          <w:szCs w:val="20"/>
          <w:lang w:eastAsia="sl-SI"/>
        </w:rPr>
        <w:t>P</w:t>
      </w:r>
      <w:r w:rsidR="00F83DD4" w:rsidRPr="007C442B">
        <w:rPr>
          <w:rFonts w:ascii="Arial" w:hAnsi="Arial" w:cs="Arial"/>
          <w:bCs/>
          <w:sz w:val="20"/>
          <w:szCs w:val="20"/>
          <w:lang w:eastAsia="sl-SI"/>
        </w:rPr>
        <w:t>odatk</w:t>
      </w:r>
      <w:r w:rsidRPr="007C442B">
        <w:rPr>
          <w:rFonts w:ascii="Arial" w:hAnsi="Arial" w:cs="Arial"/>
          <w:bCs/>
          <w:sz w:val="20"/>
          <w:szCs w:val="20"/>
          <w:lang w:eastAsia="sl-SI"/>
        </w:rPr>
        <w:t>i</w:t>
      </w:r>
      <w:r w:rsidR="00F83DD4" w:rsidRPr="007C442B">
        <w:rPr>
          <w:rFonts w:ascii="Arial" w:hAnsi="Arial" w:cs="Arial"/>
          <w:bCs/>
          <w:sz w:val="20"/>
          <w:szCs w:val="20"/>
          <w:lang w:eastAsia="sl-SI"/>
        </w:rPr>
        <w:t xml:space="preserve"> iz Poslovnega registra Slovenije, ki jih obdeluje Agencija Republike Slovenije za javnopravne evidence in storitve (AJPES), o velikosti posameznih ponudn</w:t>
      </w:r>
      <w:r w:rsidR="00717CB6" w:rsidRPr="007C442B">
        <w:rPr>
          <w:rFonts w:ascii="Arial" w:hAnsi="Arial" w:cs="Arial"/>
          <w:bCs/>
          <w:sz w:val="20"/>
          <w:szCs w:val="20"/>
          <w:lang w:eastAsia="sl-SI"/>
        </w:rPr>
        <w:t>ikov, ki so jim bila v letu 201</w:t>
      </w:r>
      <w:r w:rsidR="007C442B" w:rsidRPr="007C442B">
        <w:rPr>
          <w:rFonts w:ascii="Arial" w:hAnsi="Arial" w:cs="Arial"/>
          <w:bCs/>
          <w:sz w:val="20"/>
          <w:szCs w:val="20"/>
          <w:lang w:eastAsia="sl-SI"/>
        </w:rPr>
        <w:t>8</w:t>
      </w:r>
      <w:r w:rsidR="00F83DD4" w:rsidRPr="007C442B">
        <w:rPr>
          <w:rFonts w:ascii="Arial" w:hAnsi="Arial" w:cs="Arial"/>
          <w:bCs/>
          <w:sz w:val="20"/>
          <w:szCs w:val="20"/>
          <w:lang w:eastAsia="sl-SI"/>
        </w:rPr>
        <w:t xml:space="preserve"> dodeljena javna naročila, in podatk</w:t>
      </w:r>
      <w:r w:rsidRPr="007C442B">
        <w:rPr>
          <w:rFonts w:ascii="Arial" w:hAnsi="Arial" w:cs="Arial"/>
          <w:bCs/>
          <w:sz w:val="20"/>
          <w:szCs w:val="20"/>
          <w:lang w:eastAsia="sl-SI"/>
        </w:rPr>
        <w:t>i</w:t>
      </w:r>
      <w:r w:rsidR="00F83DD4" w:rsidRPr="007C442B">
        <w:rPr>
          <w:rFonts w:ascii="Arial" w:hAnsi="Arial" w:cs="Arial"/>
          <w:bCs/>
          <w:sz w:val="20"/>
          <w:szCs w:val="20"/>
          <w:lang w:eastAsia="sl-SI"/>
        </w:rPr>
        <w:t xml:space="preserve">, ki so jih naročniki oddali na portalu javnih naročil, </w:t>
      </w:r>
      <w:r w:rsidRPr="007C442B">
        <w:rPr>
          <w:rFonts w:ascii="Arial" w:hAnsi="Arial" w:cs="Arial"/>
          <w:bCs/>
          <w:sz w:val="20"/>
          <w:szCs w:val="20"/>
          <w:lang w:eastAsia="sl-SI"/>
        </w:rPr>
        <w:t>kažejo</w:t>
      </w:r>
      <w:r w:rsidR="00F83DD4" w:rsidRPr="007C442B">
        <w:rPr>
          <w:rFonts w:ascii="Arial" w:hAnsi="Arial" w:cs="Arial"/>
          <w:bCs/>
          <w:sz w:val="20"/>
          <w:szCs w:val="20"/>
          <w:lang w:eastAsia="sl-SI"/>
        </w:rPr>
        <w:t xml:space="preserve"> razpršenost oziroma porazdelitev javnih naročil glede na velikost slovenskih ponudnikov (na </w:t>
      </w:r>
      <w:proofErr w:type="spellStart"/>
      <w:r w:rsidR="00F83DD4" w:rsidRPr="007C442B">
        <w:rPr>
          <w:rFonts w:ascii="Arial" w:hAnsi="Arial" w:cs="Arial"/>
          <w:bCs/>
          <w:sz w:val="20"/>
          <w:szCs w:val="20"/>
          <w:lang w:eastAsia="sl-SI"/>
        </w:rPr>
        <w:t>mikro</w:t>
      </w:r>
      <w:proofErr w:type="spellEnd"/>
      <w:r w:rsidR="00F83DD4" w:rsidRPr="007C442B">
        <w:rPr>
          <w:rFonts w:ascii="Arial" w:hAnsi="Arial" w:cs="Arial"/>
          <w:bCs/>
          <w:sz w:val="20"/>
          <w:szCs w:val="20"/>
          <w:lang w:eastAsia="sl-SI"/>
        </w:rPr>
        <w:t>, ma</w:t>
      </w:r>
      <w:r w:rsidRPr="007C442B">
        <w:rPr>
          <w:rFonts w:ascii="Arial" w:hAnsi="Arial" w:cs="Arial"/>
          <w:bCs/>
          <w:sz w:val="20"/>
          <w:szCs w:val="20"/>
          <w:lang w:eastAsia="sl-SI"/>
        </w:rPr>
        <w:t>jhne</w:t>
      </w:r>
      <w:r w:rsidR="00F83DD4" w:rsidRPr="007C442B">
        <w:rPr>
          <w:rFonts w:ascii="Arial" w:hAnsi="Arial" w:cs="Arial"/>
          <w:bCs/>
          <w:sz w:val="20"/>
          <w:szCs w:val="20"/>
          <w:lang w:eastAsia="sl-SI"/>
        </w:rPr>
        <w:t>, srednje in velike družbe ter ma</w:t>
      </w:r>
      <w:r w:rsidRPr="007C442B">
        <w:rPr>
          <w:rFonts w:ascii="Arial" w:hAnsi="Arial" w:cs="Arial"/>
          <w:bCs/>
          <w:sz w:val="20"/>
          <w:szCs w:val="20"/>
          <w:lang w:eastAsia="sl-SI"/>
        </w:rPr>
        <w:t>jhne</w:t>
      </w:r>
      <w:r w:rsidR="00F83DD4" w:rsidRPr="007C442B">
        <w:rPr>
          <w:rFonts w:ascii="Arial" w:hAnsi="Arial" w:cs="Arial"/>
          <w:bCs/>
          <w:sz w:val="20"/>
          <w:szCs w:val="20"/>
          <w:lang w:eastAsia="sl-SI"/>
        </w:rPr>
        <w:t>, srednje in velike podjetnike).</w:t>
      </w:r>
    </w:p>
    <w:p w14:paraId="159CA297" w14:textId="61C656F1" w:rsidR="00180D5C" w:rsidRPr="00250834" w:rsidRDefault="00F83DD4" w:rsidP="00CD10B9">
      <w:pPr>
        <w:spacing w:line="360" w:lineRule="auto"/>
        <w:jc w:val="both"/>
        <w:rPr>
          <w:rFonts w:ascii="Arial" w:hAnsi="Arial" w:cs="Arial"/>
          <w:sz w:val="20"/>
          <w:szCs w:val="20"/>
          <w:lang w:eastAsia="sl-SI"/>
        </w:rPr>
      </w:pPr>
      <w:r w:rsidRPr="00250834">
        <w:rPr>
          <w:rFonts w:ascii="Arial" w:hAnsi="Arial" w:cs="Arial"/>
          <w:sz w:val="20"/>
          <w:szCs w:val="20"/>
        </w:rPr>
        <w:t>V deležu oddanih javnih naročil glede na vrednost imajo</w:t>
      </w:r>
      <w:r w:rsidR="004F4843" w:rsidRPr="00250834">
        <w:rPr>
          <w:rFonts w:ascii="Arial" w:hAnsi="Arial" w:cs="Arial"/>
          <w:sz w:val="20"/>
          <w:szCs w:val="20"/>
        </w:rPr>
        <w:t xml:space="preserve"> </w:t>
      </w:r>
      <w:r w:rsidR="00250834" w:rsidRPr="00250834">
        <w:rPr>
          <w:rFonts w:ascii="Arial" w:hAnsi="Arial" w:cs="Arial"/>
          <w:sz w:val="20"/>
          <w:szCs w:val="20"/>
        </w:rPr>
        <w:t>velike</w:t>
      </w:r>
      <w:r w:rsidRPr="00250834">
        <w:rPr>
          <w:rFonts w:ascii="Arial" w:hAnsi="Arial" w:cs="Arial"/>
          <w:sz w:val="20"/>
          <w:szCs w:val="20"/>
        </w:rPr>
        <w:t xml:space="preserve"> enote največji delež, in sicer ta znaša </w:t>
      </w:r>
      <w:r w:rsidR="00250834" w:rsidRPr="00250834">
        <w:rPr>
          <w:rFonts w:ascii="Arial" w:hAnsi="Arial" w:cs="Arial"/>
          <w:sz w:val="20"/>
          <w:szCs w:val="20"/>
        </w:rPr>
        <w:t>35,33</w:t>
      </w:r>
      <w:r w:rsidR="00A4663C" w:rsidRPr="00250834">
        <w:rPr>
          <w:rFonts w:ascii="Arial" w:hAnsi="Arial" w:cs="Arial"/>
          <w:sz w:val="20"/>
          <w:szCs w:val="20"/>
        </w:rPr>
        <w:t xml:space="preserve"> </w:t>
      </w:r>
      <w:r w:rsidR="0029442D" w:rsidRPr="00250834">
        <w:rPr>
          <w:rFonts w:ascii="Arial" w:hAnsi="Arial" w:cs="Arial"/>
          <w:sz w:val="20"/>
          <w:szCs w:val="20"/>
        </w:rPr>
        <w:t>%</w:t>
      </w:r>
      <w:r w:rsidRPr="00250834">
        <w:rPr>
          <w:rFonts w:ascii="Arial" w:hAnsi="Arial" w:cs="Arial"/>
          <w:sz w:val="20"/>
          <w:szCs w:val="20"/>
        </w:rPr>
        <w:t>, dodeljenih pa jim je bilo</w:t>
      </w:r>
      <w:r w:rsidR="00250834" w:rsidRPr="00250834">
        <w:rPr>
          <w:rFonts w:ascii="Arial" w:hAnsi="Arial" w:cs="Arial"/>
          <w:sz w:val="20"/>
          <w:szCs w:val="20"/>
        </w:rPr>
        <w:t xml:space="preserve"> 4086 </w:t>
      </w:r>
      <w:r w:rsidR="00CD10B9" w:rsidRPr="00250834">
        <w:rPr>
          <w:rFonts w:ascii="Arial" w:hAnsi="Arial" w:cs="Arial"/>
          <w:sz w:val="20"/>
          <w:szCs w:val="20"/>
        </w:rPr>
        <w:t xml:space="preserve">javnih </w:t>
      </w:r>
      <w:r w:rsidRPr="00250834">
        <w:rPr>
          <w:rFonts w:ascii="Arial" w:hAnsi="Arial" w:cs="Arial"/>
          <w:sz w:val="20"/>
          <w:szCs w:val="20"/>
        </w:rPr>
        <w:t xml:space="preserve">naročil v vrednosti </w:t>
      </w:r>
      <w:r w:rsidR="00250834" w:rsidRPr="00250834">
        <w:rPr>
          <w:rFonts w:ascii="Arial" w:hAnsi="Arial" w:cs="Arial"/>
          <w:sz w:val="20"/>
          <w:szCs w:val="20"/>
        </w:rPr>
        <w:t xml:space="preserve">893.901.340 </w:t>
      </w:r>
      <w:r w:rsidRPr="00250834">
        <w:rPr>
          <w:rFonts w:ascii="Arial" w:hAnsi="Arial" w:cs="Arial"/>
          <w:sz w:val="20"/>
          <w:szCs w:val="20"/>
        </w:rPr>
        <w:t>evrov</w:t>
      </w:r>
      <w:r w:rsidRPr="00323355">
        <w:rPr>
          <w:rFonts w:ascii="Arial" w:hAnsi="Arial" w:cs="Arial"/>
          <w:sz w:val="20"/>
          <w:szCs w:val="20"/>
        </w:rPr>
        <w:t>. Največji delež v številu oddanih naročil imajo</w:t>
      </w:r>
      <w:r w:rsidR="00250834" w:rsidRPr="00323355">
        <w:rPr>
          <w:rFonts w:ascii="Arial" w:hAnsi="Arial" w:cs="Arial"/>
          <w:sz w:val="20"/>
          <w:szCs w:val="20"/>
        </w:rPr>
        <w:t xml:space="preserve"> </w:t>
      </w:r>
      <w:r w:rsidRPr="00323355">
        <w:rPr>
          <w:rFonts w:ascii="Arial" w:hAnsi="Arial" w:cs="Arial"/>
          <w:sz w:val="20"/>
          <w:szCs w:val="20"/>
        </w:rPr>
        <w:t>m</w:t>
      </w:r>
      <w:r w:rsidR="00A4663C" w:rsidRPr="00323355">
        <w:rPr>
          <w:rFonts w:ascii="Arial" w:hAnsi="Arial" w:cs="Arial"/>
          <w:sz w:val="20"/>
          <w:szCs w:val="20"/>
        </w:rPr>
        <w:t>ajhne</w:t>
      </w:r>
      <w:r w:rsidRPr="00323355">
        <w:rPr>
          <w:rFonts w:ascii="Arial" w:hAnsi="Arial" w:cs="Arial"/>
          <w:sz w:val="20"/>
          <w:szCs w:val="20"/>
        </w:rPr>
        <w:t xml:space="preserve"> enote, in sicer </w:t>
      </w:r>
      <w:r w:rsidR="00323355" w:rsidRPr="00323355">
        <w:rPr>
          <w:rFonts w:ascii="Arial" w:hAnsi="Arial" w:cs="Arial"/>
          <w:sz w:val="20"/>
          <w:szCs w:val="20"/>
        </w:rPr>
        <w:t>34,86</w:t>
      </w:r>
      <w:r w:rsidR="00A4663C" w:rsidRPr="00323355">
        <w:rPr>
          <w:rFonts w:ascii="Arial" w:hAnsi="Arial" w:cs="Arial"/>
          <w:sz w:val="20"/>
          <w:szCs w:val="20"/>
        </w:rPr>
        <w:t xml:space="preserve"> </w:t>
      </w:r>
      <w:r w:rsidR="0029442D" w:rsidRPr="00323355">
        <w:rPr>
          <w:rFonts w:ascii="Arial" w:hAnsi="Arial" w:cs="Arial"/>
          <w:sz w:val="20"/>
          <w:szCs w:val="20"/>
        </w:rPr>
        <w:t>%</w:t>
      </w:r>
      <w:r w:rsidR="00A4663C" w:rsidRPr="00323355">
        <w:rPr>
          <w:rFonts w:ascii="Arial" w:hAnsi="Arial" w:cs="Arial"/>
          <w:sz w:val="20"/>
          <w:szCs w:val="20"/>
        </w:rPr>
        <w:t xml:space="preserve">. </w:t>
      </w:r>
      <w:r w:rsidRPr="00323355">
        <w:rPr>
          <w:rFonts w:ascii="Arial" w:hAnsi="Arial" w:cs="Arial"/>
          <w:sz w:val="20"/>
          <w:szCs w:val="20"/>
        </w:rPr>
        <w:t>Porazdel</w:t>
      </w:r>
      <w:r w:rsidR="007869A2" w:rsidRPr="00323355">
        <w:rPr>
          <w:rFonts w:ascii="Arial" w:hAnsi="Arial" w:cs="Arial"/>
          <w:sz w:val="20"/>
          <w:szCs w:val="20"/>
        </w:rPr>
        <w:t>itev oddanih</w:t>
      </w:r>
      <w:r w:rsidR="007869A2" w:rsidRPr="00250834">
        <w:rPr>
          <w:rFonts w:ascii="Arial" w:hAnsi="Arial" w:cs="Arial"/>
          <w:sz w:val="20"/>
          <w:szCs w:val="20"/>
        </w:rPr>
        <w:t xml:space="preserve"> naročil v letu 201</w:t>
      </w:r>
      <w:r w:rsidR="00124B73">
        <w:rPr>
          <w:rFonts w:ascii="Arial" w:hAnsi="Arial" w:cs="Arial"/>
          <w:sz w:val="20"/>
          <w:szCs w:val="20"/>
        </w:rPr>
        <w:t>8</w:t>
      </w:r>
      <w:r w:rsidRPr="00250834">
        <w:rPr>
          <w:rFonts w:ascii="Arial" w:hAnsi="Arial" w:cs="Arial"/>
          <w:sz w:val="20"/>
          <w:szCs w:val="20"/>
        </w:rPr>
        <w:t xml:space="preserve"> glede na velikost slovenskih ponudnikov, njihov delež v številu oddanih naročil </w:t>
      </w:r>
      <w:r w:rsidR="001B3568" w:rsidRPr="00250834">
        <w:rPr>
          <w:rFonts w:ascii="Arial" w:hAnsi="Arial" w:cs="Arial"/>
          <w:sz w:val="20"/>
          <w:szCs w:val="20"/>
        </w:rPr>
        <w:t>in njihov</w:t>
      </w:r>
      <w:r w:rsidR="0046668F" w:rsidRPr="00250834">
        <w:rPr>
          <w:rFonts w:ascii="Arial" w:hAnsi="Arial" w:cs="Arial"/>
          <w:sz w:val="20"/>
          <w:szCs w:val="20"/>
        </w:rPr>
        <w:t>o</w:t>
      </w:r>
      <w:r w:rsidR="001B3568" w:rsidRPr="00250834">
        <w:rPr>
          <w:rFonts w:ascii="Arial" w:hAnsi="Arial" w:cs="Arial"/>
          <w:sz w:val="20"/>
          <w:szCs w:val="20"/>
        </w:rPr>
        <w:t xml:space="preserve"> vrednost </w:t>
      </w:r>
      <w:r w:rsidR="004F4843" w:rsidRPr="00250834">
        <w:rPr>
          <w:rFonts w:ascii="Arial" w:hAnsi="Arial" w:cs="Arial"/>
          <w:sz w:val="20"/>
          <w:szCs w:val="20"/>
        </w:rPr>
        <w:t>so prikazani</w:t>
      </w:r>
      <w:r w:rsidR="001B3568" w:rsidRPr="00250834">
        <w:rPr>
          <w:rFonts w:ascii="Arial" w:hAnsi="Arial" w:cs="Arial"/>
          <w:sz w:val="20"/>
          <w:szCs w:val="20"/>
        </w:rPr>
        <w:t xml:space="preserve"> </w:t>
      </w:r>
      <w:r w:rsidR="004F4843" w:rsidRPr="00250834">
        <w:rPr>
          <w:rFonts w:ascii="Arial" w:hAnsi="Arial" w:cs="Arial"/>
          <w:sz w:val="20"/>
          <w:szCs w:val="20"/>
        </w:rPr>
        <w:t>v</w:t>
      </w:r>
      <w:r w:rsidR="001B3568" w:rsidRPr="00250834">
        <w:rPr>
          <w:rFonts w:ascii="Arial" w:hAnsi="Arial" w:cs="Arial"/>
          <w:sz w:val="20"/>
          <w:szCs w:val="20"/>
        </w:rPr>
        <w:t xml:space="preserve"> spodnj</w:t>
      </w:r>
      <w:r w:rsidR="004F4843" w:rsidRPr="00250834">
        <w:rPr>
          <w:rFonts w:ascii="Arial" w:hAnsi="Arial" w:cs="Arial"/>
          <w:sz w:val="20"/>
          <w:szCs w:val="20"/>
        </w:rPr>
        <w:t>i</w:t>
      </w:r>
      <w:r w:rsidR="001B3568" w:rsidRPr="00250834">
        <w:rPr>
          <w:rFonts w:ascii="Arial" w:hAnsi="Arial" w:cs="Arial"/>
          <w:sz w:val="20"/>
          <w:szCs w:val="20"/>
        </w:rPr>
        <w:t xml:space="preserve"> preglednic</w:t>
      </w:r>
      <w:r w:rsidR="004F4843" w:rsidRPr="00250834">
        <w:rPr>
          <w:rFonts w:ascii="Arial" w:hAnsi="Arial" w:cs="Arial"/>
          <w:sz w:val="20"/>
          <w:szCs w:val="20"/>
        </w:rPr>
        <w:t>i</w:t>
      </w:r>
      <w:r w:rsidR="001B3568" w:rsidRPr="00250834">
        <w:rPr>
          <w:rFonts w:ascii="Arial" w:hAnsi="Arial" w:cs="Arial"/>
          <w:sz w:val="20"/>
          <w:szCs w:val="20"/>
        </w:rPr>
        <w:t>.</w:t>
      </w:r>
    </w:p>
    <w:p w14:paraId="351627E3" w14:textId="1B50ACE1" w:rsidR="00180D5C" w:rsidRPr="00160C98" w:rsidRDefault="00CD10B9" w:rsidP="008A61FD">
      <w:pPr>
        <w:spacing w:before="120" w:after="120" w:line="240" w:lineRule="auto"/>
        <w:jc w:val="both"/>
        <w:rPr>
          <w:rFonts w:ascii="Arial" w:hAnsi="Arial" w:cs="Arial"/>
          <w:sz w:val="20"/>
        </w:rPr>
      </w:pPr>
      <w:r w:rsidRPr="00160C98">
        <w:rPr>
          <w:rFonts w:ascii="Arial" w:hAnsi="Arial" w:cs="Arial"/>
          <w:sz w:val="20"/>
        </w:rPr>
        <w:t xml:space="preserve">Preglednica </w:t>
      </w:r>
      <w:r w:rsidR="00AE18EF" w:rsidRPr="00160C98">
        <w:rPr>
          <w:rFonts w:ascii="Arial" w:hAnsi="Arial" w:cs="Arial"/>
          <w:sz w:val="20"/>
        </w:rPr>
        <w:t>4</w:t>
      </w:r>
      <w:r w:rsidR="00EB4423">
        <w:rPr>
          <w:rFonts w:ascii="Arial" w:hAnsi="Arial" w:cs="Arial"/>
          <w:sz w:val="20"/>
        </w:rPr>
        <w:t>6</w:t>
      </w:r>
      <w:r w:rsidRPr="00160C98">
        <w:rPr>
          <w:rFonts w:ascii="Arial" w:hAnsi="Arial" w:cs="Arial"/>
          <w:sz w:val="20"/>
        </w:rPr>
        <w:t>: Porazdelitev oddanih javnih naročil glede na velikost slovenskih ponudnikov, delež v številu oddanih istovrstnih naročil in delež v pogodbenih vrednostih glede na predmet naročanja</w:t>
      </w:r>
    </w:p>
    <w:tbl>
      <w:tblPr>
        <w:tblW w:w="5000" w:type="pct"/>
        <w:tblCellMar>
          <w:left w:w="70" w:type="dxa"/>
          <w:right w:w="70" w:type="dxa"/>
        </w:tblCellMar>
        <w:tblLook w:val="04A0" w:firstRow="1" w:lastRow="0" w:firstColumn="1" w:lastColumn="0" w:noHBand="0" w:noVBand="1"/>
      </w:tblPr>
      <w:tblGrid>
        <w:gridCol w:w="988"/>
        <w:gridCol w:w="2835"/>
        <w:gridCol w:w="1415"/>
        <w:gridCol w:w="1919"/>
        <w:gridCol w:w="952"/>
        <w:gridCol w:w="953"/>
      </w:tblGrid>
      <w:tr w:rsidR="006F6C88" w:rsidRPr="00160C98" w14:paraId="570E00D8" w14:textId="77777777" w:rsidTr="004E69E6">
        <w:trPr>
          <w:trHeight w:val="960"/>
          <w:tblHeader/>
        </w:trPr>
        <w:tc>
          <w:tcPr>
            <w:tcW w:w="54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FB46CF4"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 xml:space="preserve">Predmet </w:t>
            </w:r>
          </w:p>
        </w:tc>
        <w:tc>
          <w:tcPr>
            <w:tcW w:w="1564" w:type="pct"/>
            <w:tcBorders>
              <w:top w:val="single" w:sz="4" w:space="0" w:color="auto"/>
              <w:left w:val="nil"/>
              <w:bottom w:val="single" w:sz="4" w:space="0" w:color="auto"/>
              <w:right w:val="single" w:sz="4" w:space="0" w:color="auto"/>
            </w:tcBorders>
            <w:shd w:val="clear" w:color="000000" w:fill="EDEDED"/>
            <w:vAlign w:val="center"/>
            <w:hideMark/>
          </w:tcPr>
          <w:p w14:paraId="37C48F2E"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Velikost ponudnika</w:t>
            </w:r>
          </w:p>
        </w:tc>
        <w:tc>
          <w:tcPr>
            <w:tcW w:w="781" w:type="pct"/>
            <w:tcBorders>
              <w:top w:val="single" w:sz="4" w:space="0" w:color="auto"/>
              <w:left w:val="nil"/>
              <w:bottom w:val="single" w:sz="4" w:space="0" w:color="auto"/>
              <w:right w:val="single" w:sz="4" w:space="0" w:color="auto"/>
            </w:tcBorders>
            <w:shd w:val="clear" w:color="000000" w:fill="EDEDED"/>
            <w:vAlign w:val="center"/>
            <w:hideMark/>
          </w:tcPr>
          <w:p w14:paraId="0AB59694"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Št. naročil</w:t>
            </w:r>
          </w:p>
        </w:tc>
        <w:tc>
          <w:tcPr>
            <w:tcW w:w="1059" w:type="pct"/>
            <w:tcBorders>
              <w:top w:val="single" w:sz="4" w:space="0" w:color="auto"/>
              <w:left w:val="nil"/>
              <w:bottom w:val="single" w:sz="4" w:space="0" w:color="auto"/>
              <w:right w:val="single" w:sz="4" w:space="0" w:color="auto"/>
            </w:tcBorders>
            <w:shd w:val="clear" w:color="000000" w:fill="EDEDED"/>
            <w:vAlign w:val="center"/>
            <w:hideMark/>
          </w:tcPr>
          <w:p w14:paraId="735E6E73"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08C024F2"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Delež v št. istovrstnih naročil</w:t>
            </w:r>
          </w:p>
        </w:tc>
        <w:tc>
          <w:tcPr>
            <w:tcW w:w="526" w:type="pct"/>
            <w:tcBorders>
              <w:top w:val="single" w:sz="4" w:space="0" w:color="auto"/>
              <w:left w:val="nil"/>
              <w:bottom w:val="single" w:sz="4" w:space="0" w:color="auto"/>
              <w:right w:val="single" w:sz="4" w:space="0" w:color="auto"/>
            </w:tcBorders>
            <w:shd w:val="clear" w:color="000000" w:fill="EDEDED"/>
            <w:vAlign w:val="center"/>
            <w:hideMark/>
          </w:tcPr>
          <w:p w14:paraId="4E56126F"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Delež v vrednosti istovrstnih naročil</w:t>
            </w:r>
          </w:p>
        </w:tc>
      </w:tr>
      <w:tr w:rsidR="006F6C88" w:rsidRPr="00160C98" w14:paraId="4FA4AF4F" w14:textId="77777777" w:rsidTr="00160C98">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4F43341C"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Blago</w:t>
            </w:r>
          </w:p>
        </w:tc>
        <w:tc>
          <w:tcPr>
            <w:tcW w:w="1564" w:type="pct"/>
            <w:tcBorders>
              <w:top w:val="nil"/>
              <w:left w:val="nil"/>
              <w:bottom w:val="single" w:sz="4" w:space="0" w:color="auto"/>
              <w:right w:val="single" w:sz="4" w:space="0" w:color="auto"/>
            </w:tcBorders>
            <w:shd w:val="clear" w:color="auto" w:fill="auto"/>
            <w:vAlign w:val="center"/>
            <w:hideMark/>
          </w:tcPr>
          <w:p w14:paraId="6033079D" w14:textId="77777777" w:rsidR="006F6C88" w:rsidRPr="00160C98" w:rsidRDefault="006F6C88" w:rsidP="00160C98">
            <w:pPr>
              <w:spacing w:after="0" w:line="240" w:lineRule="auto"/>
              <w:rPr>
                <w:rFonts w:ascii="Arial" w:eastAsia="Times New Roman" w:hAnsi="Arial" w:cs="Arial"/>
                <w:color w:val="000000"/>
                <w:sz w:val="18"/>
                <w:szCs w:val="18"/>
                <w:lang w:eastAsia="sl-SI"/>
              </w:rPr>
            </w:pPr>
            <w:proofErr w:type="spellStart"/>
            <w:r w:rsidRPr="00160C98">
              <w:rPr>
                <w:rFonts w:ascii="Arial" w:eastAsia="Times New Roman" w:hAnsi="Arial" w:cs="Arial"/>
                <w:color w:val="000000"/>
                <w:sz w:val="18"/>
                <w:szCs w:val="18"/>
                <w:lang w:eastAsia="sl-SI"/>
              </w:rPr>
              <w:t>Mikro</w:t>
            </w:r>
            <w:proofErr w:type="spellEnd"/>
            <w:r w:rsidRPr="00160C98">
              <w:rPr>
                <w:rFonts w:ascii="Arial" w:eastAsia="Times New Roman" w:hAnsi="Arial" w:cs="Arial"/>
                <w:color w:val="000000"/>
                <w:sz w:val="18"/>
                <w:szCs w:val="18"/>
                <w:lang w:eastAsia="sl-SI"/>
              </w:rPr>
              <w:t xml:space="preserve"> enote</w:t>
            </w:r>
          </w:p>
        </w:tc>
        <w:tc>
          <w:tcPr>
            <w:tcW w:w="781" w:type="pct"/>
            <w:tcBorders>
              <w:top w:val="nil"/>
              <w:left w:val="nil"/>
              <w:bottom w:val="single" w:sz="4" w:space="0" w:color="auto"/>
              <w:right w:val="single" w:sz="4" w:space="0" w:color="auto"/>
            </w:tcBorders>
            <w:shd w:val="clear" w:color="auto" w:fill="auto"/>
            <w:vAlign w:val="center"/>
            <w:hideMark/>
          </w:tcPr>
          <w:p w14:paraId="20B7EC07"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946</w:t>
            </w:r>
          </w:p>
        </w:tc>
        <w:tc>
          <w:tcPr>
            <w:tcW w:w="1059" w:type="pct"/>
            <w:tcBorders>
              <w:top w:val="nil"/>
              <w:left w:val="nil"/>
              <w:bottom w:val="single" w:sz="4" w:space="0" w:color="auto"/>
              <w:right w:val="single" w:sz="4" w:space="0" w:color="auto"/>
            </w:tcBorders>
            <w:shd w:val="clear" w:color="auto" w:fill="auto"/>
            <w:vAlign w:val="center"/>
            <w:hideMark/>
          </w:tcPr>
          <w:p w14:paraId="4AE681CA"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66.728.961</w:t>
            </w:r>
          </w:p>
        </w:tc>
        <w:tc>
          <w:tcPr>
            <w:tcW w:w="525" w:type="pct"/>
            <w:tcBorders>
              <w:top w:val="nil"/>
              <w:left w:val="nil"/>
              <w:bottom w:val="single" w:sz="4" w:space="0" w:color="auto"/>
              <w:right w:val="single" w:sz="4" w:space="0" w:color="auto"/>
            </w:tcBorders>
            <w:shd w:val="clear" w:color="auto" w:fill="auto"/>
            <w:noWrap/>
            <w:vAlign w:val="center"/>
            <w:hideMark/>
          </w:tcPr>
          <w:p w14:paraId="080DF389" w14:textId="5B82911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8,84</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1A447762" w14:textId="4C95F9C5"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7,61</w:t>
            </w:r>
            <w:r w:rsidR="00160C98" w:rsidRPr="00160C98">
              <w:rPr>
                <w:rFonts w:ascii="Arial" w:eastAsia="Times New Roman" w:hAnsi="Arial" w:cs="Arial"/>
                <w:color w:val="000000"/>
                <w:sz w:val="18"/>
                <w:szCs w:val="18"/>
                <w:lang w:eastAsia="sl-SI"/>
              </w:rPr>
              <w:t xml:space="preserve"> %</w:t>
            </w:r>
          </w:p>
        </w:tc>
      </w:tr>
      <w:tr w:rsidR="006F6C88" w:rsidRPr="00160C98" w14:paraId="63EF9BCE"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7BE65930"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4EF8916E"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Majhne enote</w:t>
            </w:r>
          </w:p>
        </w:tc>
        <w:tc>
          <w:tcPr>
            <w:tcW w:w="781" w:type="pct"/>
            <w:tcBorders>
              <w:top w:val="nil"/>
              <w:left w:val="nil"/>
              <w:bottom w:val="single" w:sz="4" w:space="0" w:color="auto"/>
              <w:right w:val="single" w:sz="4" w:space="0" w:color="auto"/>
            </w:tcBorders>
            <w:shd w:val="clear" w:color="auto" w:fill="auto"/>
            <w:vAlign w:val="center"/>
            <w:hideMark/>
          </w:tcPr>
          <w:p w14:paraId="30F000B4"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3.547</w:t>
            </w:r>
          </w:p>
        </w:tc>
        <w:tc>
          <w:tcPr>
            <w:tcW w:w="1059" w:type="pct"/>
            <w:tcBorders>
              <w:top w:val="nil"/>
              <w:left w:val="nil"/>
              <w:bottom w:val="single" w:sz="4" w:space="0" w:color="auto"/>
              <w:right w:val="single" w:sz="4" w:space="0" w:color="auto"/>
            </w:tcBorders>
            <w:shd w:val="clear" w:color="auto" w:fill="auto"/>
            <w:vAlign w:val="center"/>
            <w:hideMark/>
          </w:tcPr>
          <w:p w14:paraId="0257C7C5"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246.432.364</w:t>
            </w:r>
          </w:p>
        </w:tc>
        <w:tc>
          <w:tcPr>
            <w:tcW w:w="525" w:type="pct"/>
            <w:tcBorders>
              <w:top w:val="nil"/>
              <w:left w:val="nil"/>
              <w:bottom w:val="single" w:sz="4" w:space="0" w:color="auto"/>
              <w:right w:val="single" w:sz="4" w:space="0" w:color="auto"/>
            </w:tcBorders>
            <w:shd w:val="clear" w:color="auto" w:fill="auto"/>
            <w:noWrap/>
            <w:vAlign w:val="center"/>
            <w:hideMark/>
          </w:tcPr>
          <w:p w14:paraId="7C9783E4" w14:textId="666F7D19"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33,16</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5BABABED" w14:textId="66F86823"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28,10</w:t>
            </w:r>
            <w:r w:rsidR="00160C98" w:rsidRPr="00160C98">
              <w:rPr>
                <w:rFonts w:ascii="Arial" w:eastAsia="Times New Roman" w:hAnsi="Arial" w:cs="Arial"/>
                <w:color w:val="000000"/>
                <w:sz w:val="18"/>
                <w:szCs w:val="18"/>
                <w:lang w:eastAsia="sl-SI"/>
              </w:rPr>
              <w:t xml:space="preserve"> %</w:t>
            </w:r>
          </w:p>
        </w:tc>
      </w:tr>
      <w:tr w:rsidR="006F6C88" w:rsidRPr="00160C98" w14:paraId="21915AE0"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7A391F93"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7C7D4043"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Srednje enote</w:t>
            </w:r>
          </w:p>
        </w:tc>
        <w:tc>
          <w:tcPr>
            <w:tcW w:w="781" w:type="pct"/>
            <w:tcBorders>
              <w:top w:val="nil"/>
              <w:left w:val="nil"/>
              <w:bottom w:val="single" w:sz="4" w:space="0" w:color="auto"/>
              <w:right w:val="single" w:sz="4" w:space="0" w:color="auto"/>
            </w:tcBorders>
            <w:shd w:val="clear" w:color="auto" w:fill="auto"/>
            <w:vAlign w:val="center"/>
            <w:hideMark/>
          </w:tcPr>
          <w:p w14:paraId="6C173FE6"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2.712</w:t>
            </w:r>
          </w:p>
        </w:tc>
        <w:tc>
          <w:tcPr>
            <w:tcW w:w="1059" w:type="pct"/>
            <w:tcBorders>
              <w:top w:val="nil"/>
              <w:left w:val="nil"/>
              <w:bottom w:val="single" w:sz="4" w:space="0" w:color="auto"/>
              <w:right w:val="single" w:sz="4" w:space="0" w:color="auto"/>
            </w:tcBorders>
            <w:shd w:val="clear" w:color="auto" w:fill="auto"/>
            <w:vAlign w:val="center"/>
            <w:hideMark/>
          </w:tcPr>
          <w:p w14:paraId="52FB5A9B"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215.560.235</w:t>
            </w:r>
          </w:p>
        </w:tc>
        <w:tc>
          <w:tcPr>
            <w:tcW w:w="525" w:type="pct"/>
            <w:tcBorders>
              <w:top w:val="nil"/>
              <w:left w:val="nil"/>
              <w:bottom w:val="single" w:sz="4" w:space="0" w:color="auto"/>
              <w:right w:val="single" w:sz="4" w:space="0" w:color="auto"/>
            </w:tcBorders>
            <w:shd w:val="clear" w:color="auto" w:fill="auto"/>
            <w:noWrap/>
            <w:vAlign w:val="center"/>
            <w:hideMark/>
          </w:tcPr>
          <w:p w14:paraId="0FCFD67C" w14:textId="78A2FBE6"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25,36</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33641549" w14:textId="5510AC6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24,58</w:t>
            </w:r>
            <w:r w:rsidR="00160C98" w:rsidRPr="00160C98">
              <w:rPr>
                <w:rFonts w:ascii="Arial" w:eastAsia="Times New Roman" w:hAnsi="Arial" w:cs="Arial"/>
                <w:color w:val="000000"/>
                <w:sz w:val="18"/>
                <w:szCs w:val="18"/>
                <w:lang w:eastAsia="sl-SI"/>
              </w:rPr>
              <w:t xml:space="preserve"> %</w:t>
            </w:r>
          </w:p>
        </w:tc>
      </w:tr>
      <w:tr w:rsidR="006F6C88" w:rsidRPr="00160C98" w14:paraId="6386C4DE"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6058168B"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2E65C42A"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Velike enote</w:t>
            </w:r>
          </w:p>
        </w:tc>
        <w:tc>
          <w:tcPr>
            <w:tcW w:w="781" w:type="pct"/>
            <w:tcBorders>
              <w:top w:val="nil"/>
              <w:left w:val="nil"/>
              <w:bottom w:val="single" w:sz="4" w:space="0" w:color="auto"/>
              <w:right w:val="single" w:sz="4" w:space="0" w:color="auto"/>
            </w:tcBorders>
            <w:shd w:val="clear" w:color="auto" w:fill="auto"/>
            <w:vAlign w:val="center"/>
            <w:hideMark/>
          </w:tcPr>
          <w:p w14:paraId="112347CB"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3.287</w:t>
            </w:r>
          </w:p>
        </w:tc>
        <w:tc>
          <w:tcPr>
            <w:tcW w:w="1059" w:type="pct"/>
            <w:tcBorders>
              <w:top w:val="nil"/>
              <w:left w:val="nil"/>
              <w:bottom w:val="single" w:sz="4" w:space="0" w:color="auto"/>
              <w:right w:val="single" w:sz="4" w:space="0" w:color="auto"/>
            </w:tcBorders>
            <w:shd w:val="clear" w:color="auto" w:fill="auto"/>
            <w:vAlign w:val="center"/>
            <w:hideMark/>
          </w:tcPr>
          <w:p w14:paraId="1185E3A2"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334.345.908</w:t>
            </w:r>
          </w:p>
        </w:tc>
        <w:tc>
          <w:tcPr>
            <w:tcW w:w="525" w:type="pct"/>
            <w:tcBorders>
              <w:top w:val="nil"/>
              <w:left w:val="nil"/>
              <w:bottom w:val="single" w:sz="4" w:space="0" w:color="auto"/>
              <w:right w:val="single" w:sz="4" w:space="0" w:color="auto"/>
            </w:tcBorders>
            <w:shd w:val="clear" w:color="auto" w:fill="auto"/>
            <w:noWrap/>
            <w:vAlign w:val="center"/>
            <w:hideMark/>
          </w:tcPr>
          <w:p w14:paraId="587A69C2" w14:textId="1318743B"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30,73</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6B38223F" w14:textId="3DE2A078"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38,13</w:t>
            </w:r>
            <w:r w:rsidR="00160C98" w:rsidRPr="00160C98">
              <w:rPr>
                <w:rFonts w:ascii="Arial" w:eastAsia="Times New Roman" w:hAnsi="Arial" w:cs="Arial"/>
                <w:color w:val="000000"/>
                <w:sz w:val="18"/>
                <w:szCs w:val="18"/>
                <w:lang w:eastAsia="sl-SI"/>
              </w:rPr>
              <w:t xml:space="preserve"> %</w:t>
            </w:r>
          </w:p>
        </w:tc>
      </w:tr>
      <w:tr w:rsidR="006F6C88" w:rsidRPr="00160C98" w14:paraId="0115DEAE"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443B6DC3"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36EEA802"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Velikost RS se ne izračunava</w:t>
            </w:r>
          </w:p>
        </w:tc>
        <w:tc>
          <w:tcPr>
            <w:tcW w:w="781" w:type="pct"/>
            <w:tcBorders>
              <w:top w:val="nil"/>
              <w:left w:val="nil"/>
              <w:bottom w:val="single" w:sz="4" w:space="0" w:color="auto"/>
              <w:right w:val="single" w:sz="4" w:space="0" w:color="auto"/>
            </w:tcBorders>
            <w:shd w:val="clear" w:color="auto" w:fill="auto"/>
            <w:vAlign w:val="center"/>
            <w:hideMark/>
          </w:tcPr>
          <w:p w14:paraId="7CB02A37"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170</w:t>
            </w:r>
          </w:p>
        </w:tc>
        <w:tc>
          <w:tcPr>
            <w:tcW w:w="1059" w:type="pct"/>
            <w:tcBorders>
              <w:top w:val="nil"/>
              <w:left w:val="nil"/>
              <w:bottom w:val="single" w:sz="4" w:space="0" w:color="auto"/>
              <w:right w:val="single" w:sz="4" w:space="0" w:color="auto"/>
            </w:tcBorders>
            <w:shd w:val="clear" w:color="auto" w:fill="auto"/>
            <w:vAlign w:val="center"/>
            <w:hideMark/>
          </w:tcPr>
          <w:p w14:paraId="0D5089DA"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11.270.938</w:t>
            </w:r>
          </w:p>
        </w:tc>
        <w:tc>
          <w:tcPr>
            <w:tcW w:w="525" w:type="pct"/>
            <w:tcBorders>
              <w:top w:val="nil"/>
              <w:left w:val="nil"/>
              <w:bottom w:val="single" w:sz="4" w:space="0" w:color="auto"/>
              <w:right w:val="single" w:sz="4" w:space="0" w:color="auto"/>
            </w:tcBorders>
            <w:shd w:val="clear" w:color="auto" w:fill="auto"/>
            <w:noWrap/>
            <w:vAlign w:val="center"/>
            <w:hideMark/>
          </w:tcPr>
          <w:p w14:paraId="65C52C10" w14:textId="50EFEA22"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1,59</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583840AC" w14:textId="5C720FCD"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1,29</w:t>
            </w:r>
            <w:r w:rsidR="00160C98" w:rsidRPr="00160C98">
              <w:rPr>
                <w:rFonts w:ascii="Arial" w:eastAsia="Times New Roman" w:hAnsi="Arial" w:cs="Arial"/>
                <w:color w:val="000000"/>
                <w:sz w:val="18"/>
                <w:szCs w:val="18"/>
                <w:lang w:eastAsia="sl-SI"/>
              </w:rPr>
              <w:t xml:space="preserve"> %</w:t>
            </w:r>
          </w:p>
        </w:tc>
      </w:tr>
      <w:tr w:rsidR="006F6C88" w:rsidRPr="00160C98" w14:paraId="04C9E026"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3F0C64AB"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597EDB72"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Ni podatka o velikosti</w:t>
            </w:r>
          </w:p>
        </w:tc>
        <w:tc>
          <w:tcPr>
            <w:tcW w:w="781" w:type="pct"/>
            <w:tcBorders>
              <w:top w:val="nil"/>
              <w:left w:val="nil"/>
              <w:bottom w:val="single" w:sz="4" w:space="0" w:color="auto"/>
              <w:right w:val="single" w:sz="4" w:space="0" w:color="auto"/>
            </w:tcBorders>
            <w:shd w:val="clear" w:color="auto" w:fill="auto"/>
            <w:vAlign w:val="center"/>
            <w:hideMark/>
          </w:tcPr>
          <w:p w14:paraId="72B59C39"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34</w:t>
            </w:r>
          </w:p>
        </w:tc>
        <w:tc>
          <w:tcPr>
            <w:tcW w:w="1059" w:type="pct"/>
            <w:tcBorders>
              <w:top w:val="nil"/>
              <w:left w:val="nil"/>
              <w:bottom w:val="single" w:sz="4" w:space="0" w:color="auto"/>
              <w:right w:val="single" w:sz="4" w:space="0" w:color="auto"/>
            </w:tcBorders>
            <w:shd w:val="clear" w:color="auto" w:fill="auto"/>
            <w:vAlign w:val="center"/>
            <w:hideMark/>
          </w:tcPr>
          <w:p w14:paraId="3C37218E"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2.493.545</w:t>
            </w:r>
          </w:p>
        </w:tc>
        <w:tc>
          <w:tcPr>
            <w:tcW w:w="525" w:type="pct"/>
            <w:tcBorders>
              <w:top w:val="nil"/>
              <w:left w:val="nil"/>
              <w:bottom w:val="single" w:sz="4" w:space="0" w:color="auto"/>
              <w:right w:val="single" w:sz="4" w:space="0" w:color="auto"/>
            </w:tcBorders>
            <w:shd w:val="clear" w:color="auto" w:fill="auto"/>
            <w:noWrap/>
            <w:vAlign w:val="center"/>
            <w:hideMark/>
          </w:tcPr>
          <w:p w14:paraId="2A0F1F53" w14:textId="6CC6A4E8"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0,32</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21318BB8" w14:textId="79804E20"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0,28</w:t>
            </w:r>
            <w:r w:rsidR="00160C98" w:rsidRPr="00160C98">
              <w:rPr>
                <w:rFonts w:ascii="Arial" w:eastAsia="Times New Roman" w:hAnsi="Arial" w:cs="Arial"/>
                <w:color w:val="000000"/>
                <w:sz w:val="18"/>
                <w:szCs w:val="18"/>
                <w:lang w:eastAsia="sl-SI"/>
              </w:rPr>
              <w:t xml:space="preserve"> %</w:t>
            </w:r>
          </w:p>
        </w:tc>
      </w:tr>
      <w:tr w:rsidR="006F6C88" w:rsidRPr="00160C98" w14:paraId="454D7D9A"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4FA8BE29"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794191E" w14:textId="77777777" w:rsidR="006F6C88" w:rsidRPr="00160C98" w:rsidRDefault="006F6C88" w:rsidP="00160C98">
            <w:pPr>
              <w:spacing w:after="0" w:line="240" w:lineRule="auto"/>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auto"/>
            <w:vAlign w:val="center"/>
            <w:hideMark/>
          </w:tcPr>
          <w:p w14:paraId="27944ECB" w14:textId="77777777"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10.696</w:t>
            </w:r>
          </w:p>
        </w:tc>
        <w:tc>
          <w:tcPr>
            <w:tcW w:w="1059" w:type="pct"/>
            <w:tcBorders>
              <w:top w:val="nil"/>
              <w:left w:val="nil"/>
              <w:bottom w:val="single" w:sz="4" w:space="0" w:color="auto"/>
              <w:right w:val="single" w:sz="4" w:space="0" w:color="auto"/>
            </w:tcBorders>
            <w:shd w:val="clear" w:color="auto" w:fill="auto"/>
            <w:vAlign w:val="center"/>
            <w:hideMark/>
          </w:tcPr>
          <w:p w14:paraId="7F9F92BD" w14:textId="77777777"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876.831.951</w:t>
            </w:r>
          </w:p>
        </w:tc>
        <w:tc>
          <w:tcPr>
            <w:tcW w:w="525" w:type="pct"/>
            <w:tcBorders>
              <w:top w:val="nil"/>
              <w:left w:val="nil"/>
              <w:bottom w:val="single" w:sz="4" w:space="0" w:color="auto"/>
              <w:right w:val="single" w:sz="4" w:space="0" w:color="auto"/>
            </w:tcBorders>
            <w:shd w:val="clear" w:color="auto" w:fill="auto"/>
            <w:noWrap/>
            <w:vAlign w:val="center"/>
            <w:hideMark/>
          </w:tcPr>
          <w:p w14:paraId="27CD6A6D" w14:textId="632495B3"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100,00</w:t>
            </w:r>
            <w:r w:rsidR="00160C98" w:rsidRPr="00160C98">
              <w:rPr>
                <w:rFonts w:ascii="Arial" w:eastAsia="Times New Roman" w:hAnsi="Arial" w:cs="Arial"/>
                <w:b/>
                <w:bCs/>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0E78A48D" w14:textId="623B1F69"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100,00</w:t>
            </w:r>
            <w:r w:rsidR="00160C98" w:rsidRPr="00160C98">
              <w:rPr>
                <w:rFonts w:ascii="Arial" w:eastAsia="Times New Roman" w:hAnsi="Arial" w:cs="Arial"/>
                <w:b/>
                <w:bCs/>
                <w:color w:val="000000"/>
                <w:sz w:val="18"/>
                <w:szCs w:val="18"/>
                <w:lang w:eastAsia="sl-SI"/>
              </w:rPr>
              <w:t xml:space="preserve"> %</w:t>
            </w:r>
          </w:p>
        </w:tc>
      </w:tr>
      <w:tr w:rsidR="006F6C88" w:rsidRPr="00160C98" w14:paraId="1BBB4A6B" w14:textId="77777777" w:rsidTr="00160C98">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48D8689E"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Storitve</w:t>
            </w:r>
          </w:p>
        </w:tc>
        <w:tc>
          <w:tcPr>
            <w:tcW w:w="1564" w:type="pct"/>
            <w:tcBorders>
              <w:top w:val="nil"/>
              <w:left w:val="nil"/>
              <w:bottom w:val="single" w:sz="4" w:space="0" w:color="auto"/>
              <w:right w:val="single" w:sz="4" w:space="0" w:color="auto"/>
            </w:tcBorders>
            <w:shd w:val="clear" w:color="auto" w:fill="auto"/>
            <w:vAlign w:val="center"/>
            <w:hideMark/>
          </w:tcPr>
          <w:p w14:paraId="31324FEA" w14:textId="77777777" w:rsidR="006F6C88" w:rsidRPr="00160C98" w:rsidRDefault="006F6C88" w:rsidP="00160C98">
            <w:pPr>
              <w:spacing w:after="0" w:line="240" w:lineRule="auto"/>
              <w:rPr>
                <w:rFonts w:ascii="Arial" w:eastAsia="Times New Roman" w:hAnsi="Arial" w:cs="Arial"/>
                <w:color w:val="000000"/>
                <w:sz w:val="18"/>
                <w:szCs w:val="18"/>
                <w:lang w:eastAsia="sl-SI"/>
              </w:rPr>
            </w:pPr>
            <w:proofErr w:type="spellStart"/>
            <w:r w:rsidRPr="00160C98">
              <w:rPr>
                <w:rFonts w:ascii="Arial" w:eastAsia="Times New Roman" w:hAnsi="Arial" w:cs="Arial"/>
                <w:color w:val="000000"/>
                <w:sz w:val="18"/>
                <w:szCs w:val="18"/>
                <w:lang w:eastAsia="sl-SI"/>
              </w:rPr>
              <w:t>Mikro</w:t>
            </w:r>
            <w:proofErr w:type="spellEnd"/>
            <w:r w:rsidRPr="00160C98">
              <w:rPr>
                <w:rFonts w:ascii="Arial" w:eastAsia="Times New Roman" w:hAnsi="Arial" w:cs="Arial"/>
                <w:color w:val="000000"/>
                <w:sz w:val="18"/>
                <w:szCs w:val="18"/>
                <w:lang w:eastAsia="sl-SI"/>
              </w:rPr>
              <w:t xml:space="preserve"> enote</w:t>
            </w:r>
          </w:p>
        </w:tc>
        <w:tc>
          <w:tcPr>
            <w:tcW w:w="781" w:type="pct"/>
            <w:tcBorders>
              <w:top w:val="nil"/>
              <w:left w:val="nil"/>
              <w:bottom w:val="single" w:sz="4" w:space="0" w:color="auto"/>
              <w:right w:val="single" w:sz="4" w:space="0" w:color="auto"/>
            </w:tcBorders>
            <w:shd w:val="clear" w:color="auto" w:fill="auto"/>
            <w:vAlign w:val="center"/>
            <w:hideMark/>
          </w:tcPr>
          <w:p w14:paraId="723087AA"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1.096</w:t>
            </w:r>
          </w:p>
        </w:tc>
        <w:tc>
          <w:tcPr>
            <w:tcW w:w="1059" w:type="pct"/>
            <w:tcBorders>
              <w:top w:val="nil"/>
              <w:left w:val="nil"/>
              <w:bottom w:val="single" w:sz="4" w:space="0" w:color="auto"/>
              <w:right w:val="single" w:sz="4" w:space="0" w:color="auto"/>
            </w:tcBorders>
            <w:shd w:val="clear" w:color="auto" w:fill="auto"/>
            <w:vAlign w:val="center"/>
            <w:hideMark/>
          </w:tcPr>
          <w:p w14:paraId="4AD185C9"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110.675.896</w:t>
            </w:r>
          </w:p>
        </w:tc>
        <w:tc>
          <w:tcPr>
            <w:tcW w:w="525" w:type="pct"/>
            <w:tcBorders>
              <w:top w:val="nil"/>
              <w:left w:val="nil"/>
              <w:bottom w:val="single" w:sz="4" w:space="0" w:color="auto"/>
              <w:right w:val="single" w:sz="4" w:space="0" w:color="auto"/>
            </w:tcBorders>
            <w:shd w:val="clear" w:color="auto" w:fill="auto"/>
            <w:noWrap/>
            <w:vAlign w:val="center"/>
            <w:hideMark/>
          </w:tcPr>
          <w:p w14:paraId="630641C4" w14:textId="1E7639E1"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29,14</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0215DC91" w14:textId="1AB2B906"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15,42</w:t>
            </w:r>
            <w:r w:rsidR="00160C98" w:rsidRPr="00160C98">
              <w:rPr>
                <w:rFonts w:ascii="Arial" w:eastAsia="Times New Roman" w:hAnsi="Arial" w:cs="Arial"/>
                <w:color w:val="000000"/>
                <w:sz w:val="18"/>
                <w:szCs w:val="18"/>
                <w:lang w:eastAsia="sl-SI"/>
              </w:rPr>
              <w:t xml:space="preserve"> %</w:t>
            </w:r>
          </w:p>
        </w:tc>
      </w:tr>
      <w:tr w:rsidR="006F6C88" w:rsidRPr="00160C98" w14:paraId="13FABCB7"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7B22B6FF"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7DD35A75"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Majhne enote</w:t>
            </w:r>
          </w:p>
        </w:tc>
        <w:tc>
          <w:tcPr>
            <w:tcW w:w="781" w:type="pct"/>
            <w:tcBorders>
              <w:top w:val="nil"/>
              <w:left w:val="nil"/>
              <w:bottom w:val="single" w:sz="4" w:space="0" w:color="auto"/>
              <w:right w:val="single" w:sz="4" w:space="0" w:color="auto"/>
            </w:tcBorders>
            <w:shd w:val="clear" w:color="auto" w:fill="auto"/>
            <w:vAlign w:val="center"/>
            <w:hideMark/>
          </w:tcPr>
          <w:p w14:paraId="3042243B"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1.283</w:t>
            </w:r>
          </w:p>
        </w:tc>
        <w:tc>
          <w:tcPr>
            <w:tcW w:w="1059" w:type="pct"/>
            <w:tcBorders>
              <w:top w:val="nil"/>
              <w:left w:val="nil"/>
              <w:bottom w:val="single" w:sz="4" w:space="0" w:color="auto"/>
              <w:right w:val="single" w:sz="4" w:space="0" w:color="auto"/>
            </w:tcBorders>
            <w:shd w:val="clear" w:color="auto" w:fill="auto"/>
            <w:vAlign w:val="center"/>
            <w:hideMark/>
          </w:tcPr>
          <w:p w14:paraId="7474AA4C"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232.625.067</w:t>
            </w:r>
          </w:p>
        </w:tc>
        <w:tc>
          <w:tcPr>
            <w:tcW w:w="525" w:type="pct"/>
            <w:tcBorders>
              <w:top w:val="nil"/>
              <w:left w:val="nil"/>
              <w:bottom w:val="single" w:sz="4" w:space="0" w:color="auto"/>
              <w:right w:val="single" w:sz="4" w:space="0" w:color="auto"/>
            </w:tcBorders>
            <w:shd w:val="clear" w:color="auto" w:fill="auto"/>
            <w:noWrap/>
            <w:vAlign w:val="center"/>
            <w:hideMark/>
          </w:tcPr>
          <w:p w14:paraId="3AB60EA9" w14:textId="64CBA828"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34,11</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755D3658" w14:textId="1736E88D"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32,42</w:t>
            </w:r>
            <w:r w:rsidR="00160C98" w:rsidRPr="00160C98">
              <w:rPr>
                <w:rFonts w:ascii="Arial" w:eastAsia="Times New Roman" w:hAnsi="Arial" w:cs="Arial"/>
                <w:color w:val="000000"/>
                <w:sz w:val="18"/>
                <w:szCs w:val="18"/>
                <w:lang w:eastAsia="sl-SI"/>
              </w:rPr>
              <w:t xml:space="preserve"> %</w:t>
            </w:r>
          </w:p>
        </w:tc>
      </w:tr>
      <w:tr w:rsidR="006F6C88" w:rsidRPr="00160C98" w14:paraId="425CC5CD"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15267DF1"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00BA48A4"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Srednje enote</w:t>
            </w:r>
          </w:p>
        </w:tc>
        <w:tc>
          <w:tcPr>
            <w:tcW w:w="781" w:type="pct"/>
            <w:tcBorders>
              <w:top w:val="nil"/>
              <w:left w:val="nil"/>
              <w:bottom w:val="single" w:sz="4" w:space="0" w:color="auto"/>
              <w:right w:val="single" w:sz="4" w:space="0" w:color="auto"/>
            </w:tcBorders>
            <w:shd w:val="clear" w:color="auto" w:fill="auto"/>
            <w:vAlign w:val="center"/>
            <w:hideMark/>
          </w:tcPr>
          <w:p w14:paraId="05817700"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607</w:t>
            </w:r>
          </w:p>
        </w:tc>
        <w:tc>
          <w:tcPr>
            <w:tcW w:w="1059" w:type="pct"/>
            <w:tcBorders>
              <w:top w:val="nil"/>
              <w:left w:val="nil"/>
              <w:bottom w:val="single" w:sz="4" w:space="0" w:color="auto"/>
              <w:right w:val="single" w:sz="4" w:space="0" w:color="auto"/>
            </w:tcBorders>
            <w:shd w:val="clear" w:color="auto" w:fill="auto"/>
            <w:vAlign w:val="center"/>
            <w:hideMark/>
          </w:tcPr>
          <w:p w14:paraId="52BEF00D"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132.071.978</w:t>
            </w:r>
          </w:p>
        </w:tc>
        <w:tc>
          <w:tcPr>
            <w:tcW w:w="525" w:type="pct"/>
            <w:tcBorders>
              <w:top w:val="nil"/>
              <w:left w:val="nil"/>
              <w:bottom w:val="single" w:sz="4" w:space="0" w:color="auto"/>
              <w:right w:val="single" w:sz="4" w:space="0" w:color="auto"/>
            </w:tcBorders>
            <w:shd w:val="clear" w:color="auto" w:fill="auto"/>
            <w:noWrap/>
            <w:vAlign w:val="center"/>
            <w:hideMark/>
          </w:tcPr>
          <w:p w14:paraId="020BF8C7" w14:textId="5B80E054"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16,14</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20539A8D" w14:textId="5C33CEEE"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18,41</w:t>
            </w:r>
            <w:r w:rsidR="00160C98" w:rsidRPr="00160C98">
              <w:rPr>
                <w:rFonts w:ascii="Arial" w:eastAsia="Times New Roman" w:hAnsi="Arial" w:cs="Arial"/>
                <w:color w:val="000000"/>
                <w:sz w:val="18"/>
                <w:szCs w:val="18"/>
                <w:lang w:eastAsia="sl-SI"/>
              </w:rPr>
              <w:t xml:space="preserve"> %</w:t>
            </w:r>
          </w:p>
        </w:tc>
      </w:tr>
      <w:tr w:rsidR="006F6C88" w:rsidRPr="00160C98" w14:paraId="06840B6F"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7C1D2B40"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06113808"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Velike enote</w:t>
            </w:r>
          </w:p>
        </w:tc>
        <w:tc>
          <w:tcPr>
            <w:tcW w:w="781" w:type="pct"/>
            <w:tcBorders>
              <w:top w:val="nil"/>
              <w:left w:val="nil"/>
              <w:bottom w:val="single" w:sz="4" w:space="0" w:color="auto"/>
              <w:right w:val="single" w:sz="4" w:space="0" w:color="auto"/>
            </w:tcBorders>
            <w:shd w:val="clear" w:color="auto" w:fill="auto"/>
            <w:vAlign w:val="center"/>
            <w:hideMark/>
          </w:tcPr>
          <w:p w14:paraId="5D9F2F18"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479</w:t>
            </w:r>
          </w:p>
        </w:tc>
        <w:tc>
          <w:tcPr>
            <w:tcW w:w="1059" w:type="pct"/>
            <w:tcBorders>
              <w:top w:val="nil"/>
              <w:left w:val="nil"/>
              <w:bottom w:val="single" w:sz="4" w:space="0" w:color="auto"/>
              <w:right w:val="single" w:sz="4" w:space="0" w:color="auto"/>
            </w:tcBorders>
            <w:shd w:val="clear" w:color="auto" w:fill="auto"/>
            <w:vAlign w:val="center"/>
            <w:hideMark/>
          </w:tcPr>
          <w:p w14:paraId="3EDEA1A8"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215.287.871</w:t>
            </w:r>
          </w:p>
        </w:tc>
        <w:tc>
          <w:tcPr>
            <w:tcW w:w="525" w:type="pct"/>
            <w:tcBorders>
              <w:top w:val="nil"/>
              <w:left w:val="nil"/>
              <w:bottom w:val="single" w:sz="4" w:space="0" w:color="auto"/>
              <w:right w:val="single" w:sz="4" w:space="0" w:color="auto"/>
            </w:tcBorders>
            <w:shd w:val="clear" w:color="auto" w:fill="auto"/>
            <w:noWrap/>
            <w:vAlign w:val="center"/>
            <w:hideMark/>
          </w:tcPr>
          <w:p w14:paraId="7DEC801F" w14:textId="06D37979"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12,74</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74FC1A26" w14:textId="4DA106BC"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30,00</w:t>
            </w:r>
            <w:r w:rsidR="00160C98" w:rsidRPr="00160C98">
              <w:rPr>
                <w:rFonts w:ascii="Arial" w:eastAsia="Times New Roman" w:hAnsi="Arial" w:cs="Arial"/>
                <w:color w:val="000000"/>
                <w:sz w:val="18"/>
                <w:szCs w:val="18"/>
                <w:lang w:eastAsia="sl-SI"/>
              </w:rPr>
              <w:t xml:space="preserve"> %</w:t>
            </w:r>
          </w:p>
        </w:tc>
      </w:tr>
      <w:tr w:rsidR="006F6C88" w:rsidRPr="00160C98" w14:paraId="4BE2F0F2"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12B75CE5"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F73802E"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Velikost RS se ne izračunava</w:t>
            </w:r>
          </w:p>
        </w:tc>
        <w:tc>
          <w:tcPr>
            <w:tcW w:w="781" w:type="pct"/>
            <w:tcBorders>
              <w:top w:val="nil"/>
              <w:left w:val="nil"/>
              <w:bottom w:val="single" w:sz="4" w:space="0" w:color="auto"/>
              <w:right w:val="single" w:sz="4" w:space="0" w:color="auto"/>
            </w:tcBorders>
            <w:shd w:val="clear" w:color="auto" w:fill="auto"/>
            <w:vAlign w:val="center"/>
            <w:hideMark/>
          </w:tcPr>
          <w:p w14:paraId="2D092706"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271</w:t>
            </w:r>
          </w:p>
        </w:tc>
        <w:tc>
          <w:tcPr>
            <w:tcW w:w="1059" w:type="pct"/>
            <w:tcBorders>
              <w:top w:val="nil"/>
              <w:left w:val="nil"/>
              <w:bottom w:val="single" w:sz="4" w:space="0" w:color="auto"/>
              <w:right w:val="single" w:sz="4" w:space="0" w:color="auto"/>
            </w:tcBorders>
            <w:shd w:val="clear" w:color="auto" w:fill="auto"/>
            <w:vAlign w:val="center"/>
            <w:hideMark/>
          </w:tcPr>
          <w:p w14:paraId="532AE181"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23.297.117</w:t>
            </w:r>
          </w:p>
        </w:tc>
        <w:tc>
          <w:tcPr>
            <w:tcW w:w="525" w:type="pct"/>
            <w:tcBorders>
              <w:top w:val="nil"/>
              <w:left w:val="nil"/>
              <w:bottom w:val="single" w:sz="4" w:space="0" w:color="auto"/>
              <w:right w:val="single" w:sz="4" w:space="0" w:color="auto"/>
            </w:tcBorders>
            <w:shd w:val="clear" w:color="auto" w:fill="auto"/>
            <w:noWrap/>
            <w:vAlign w:val="center"/>
            <w:hideMark/>
          </w:tcPr>
          <w:p w14:paraId="2F19E0EA" w14:textId="6084DFB1"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7,21</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0ED63CB0" w14:textId="1730B8BB"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3,25</w:t>
            </w:r>
            <w:r w:rsidR="00160C98" w:rsidRPr="00160C98">
              <w:rPr>
                <w:rFonts w:ascii="Arial" w:eastAsia="Times New Roman" w:hAnsi="Arial" w:cs="Arial"/>
                <w:color w:val="000000"/>
                <w:sz w:val="18"/>
                <w:szCs w:val="18"/>
                <w:lang w:eastAsia="sl-SI"/>
              </w:rPr>
              <w:t xml:space="preserve"> %</w:t>
            </w:r>
          </w:p>
        </w:tc>
      </w:tr>
      <w:tr w:rsidR="006F6C88" w:rsidRPr="00160C98" w14:paraId="6870A741"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5C4258EA"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785A0383"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Ni podatka o velikosti</w:t>
            </w:r>
          </w:p>
        </w:tc>
        <w:tc>
          <w:tcPr>
            <w:tcW w:w="781" w:type="pct"/>
            <w:tcBorders>
              <w:top w:val="nil"/>
              <w:left w:val="nil"/>
              <w:bottom w:val="single" w:sz="4" w:space="0" w:color="auto"/>
              <w:right w:val="single" w:sz="4" w:space="0" w:color="auto"/>
            </w:tcBorders>
            <w:shd w:val="clear" w:color="auto" w:fill="auto"/>
            <w:vAlign w:val="center"/>
            <w:hideMark/>
          </w:tcPr>
          <w:p w14:paraId="3045B81E"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25</w:t>
            </w:r>
          </w:p>
        </w:tc>
        <w:tc>
          <w:tcPr>
            <w:tcW w:w="1059" w:type="pct"/>
            <w:tcBorders>
              <w:top w:val="nil"/>
              <w:left w:val="nil"/>
              <w:bottom w:val="single" w:sz="4" w:space="0" w:color="auto"/>
              <w:right w:val="single" w:sz="4" w:space="0" w:color="auto"/>
            </w:tcBorders>
            <w:shd w:val="clear" w:color="auto" w:fill="auto"/>
            <w:vAlign w:val="center"/>
            <w:hideMark/>
          </w:tcPr>
          <w:p w14:paraId="7DB536BA"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3.587.537</w:t>
            </w:r>
          </w:p>
        </w:tc>
        <w:tc>
          <w:tcPr>
            <w:tcW w:w="525" w:type="pct"/>
            <w:tcBorders>
              <w:top w:val="nil"/>
              <w:left w:val="nil"/>
              <w:bottom w:val="single" w:sz="4" w:space="0" w:color="auto"/>
              <w:right w:val="single" w:sz="4" w:space="0" w:color="auto"/>
            </w:tcBorders>
            <w:shd w:val="clear" w:color="auto" w:fill="auto"/>
            <w:noWrap/>
            <w:vAlign w:val="center"/>
            <w:hideMark/>
          </w:tcPr>
          <w:p w14:paraId="2C0189FD" w14:textId="7925BE6F"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0,66</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521771AC" w14:textId="18D3550D"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0,50</w:t>
            </w:r>
            <w:r w:rsidR="00160C98" w:rsidRPr="00160C98">
              <w:rPr>
                <w:rFonts w:ascii="Arial" w:eastAsia="Times New Roman" w:hAnsi="Arial" w:cs="Arial"/>
                <w:color w:val="000000"/>
                <w:sz w:val="18"/>
                <w:szCs w:val="18"/>
                <w:lang w:eastAsia="sl-SI"/>
              </w:rPr>
              <w:t xml:space="preserve"> %</w:t>
            </w:r>
          </w:p>
        </w:tc>
      </w:tr>
      <w:tr w:rsidR="006F6C88" w:rsidRPr="00160C98" w14:paraId="65354B71"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44CD454D"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1E868E7" w14:textId="77777777" w:rsidR="006F6C88" w:rsidRPr="00160C98" w:rsidRDefault="006F6C88" w:rsidP="00160C98">
            <w:pPr>
              <w:spacing w:after="0" w:line="240" w:lineRule="auto"/>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auto"/>
            <w:vAlign w:val="center"/>
            <w:hideMark/>
          </w:tcPr>
          <w:p w14:paraId="1C0D15CD" w14:textId="77777777"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3.761</w:t>
            </w:r>
          </w:p>
        </w:tc>
        <w:tc>
          <w:tcPr>
            <w:tcW w:w="1059" w:type="pct"/>
            <w:tcBorders>
              <w:top w:val="nil"/>
              <w:left w:val="nil"/>
              <w:bottom w:val="single" w:sz="4" w:space="0" w:color="auto"/>
              <w:right w:val="single" w:sz="4" w:space="0" w:color="auto"/>
            </w:tcBorders>
            <w:shd w:val="clear" w:color="auto" w:fill="auto"/>
            <w:vAlign w:val="center"/>
            <w:hideMark/>
          </w:tcPr>
          <w:p w14:paraId="3D0A0F92" w14:textId="77777777"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717.545.466</w:t>
            </w:r>
          </w:p>
        </w:tc>
        <w:tc>
          <w:tcPr>
            <w:tcW w:w="525" w:type="pct"/>
            <w:tcBorders>
              <w:top w:val="nil"/>
              <w:left w:val="nil"/>
              <w:bottom w:val="single" w:sz="4" w:space="0" w:color="auto"/>
              <w:right w:val="single" w:sz="4" w:space="0" w:color="auto"/>
            </w:tcBorders>
            <w:shd w:val="clear" w:color="auto" w:fill="auto"/>
            <w:noWrap/>
            <w:vAlign w:val="center"/>
            <w:hideMark/>
          </w:tcPr>
          <w:p w14:paraId="4604336C" w14:textId="0CEFC7BA"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100,00</w:t>
            </w:r>
            <w:r w:rsidR="00160C98" w:rsidRPr="00160C98">
              <w:rPr>
                <w:rFonts w:ascii="Arial" w:eastAsia="Times New Roman" w:hAnsi="Arial" w:cs="Arial"/>
                <w:b/>
                <w:bCs/>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2A3598D7" w14:textId="24CF4F6A"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100,00</w:t>
            </w:r>
            <w:r w:rsidR="00160C98" w:rsidRPr="00160C98">
              <w:rPr>
                <w:rFonts w:ascii="Arial" w:eastAsia="Times New Roman" w:hAnsi="Arial" w:cs="Arial"/>
                <w:b/>
                <w:bCs/>
                <w:color w:val="000000"/>
                <w:sz w:val="18"/>
                <w:szCs w:val="18"/>
                <w:lang w:eastAsia="sl-SI"/>
              </w:rPr>
              <w:t xml:space="preserve"> %</w:t>
            </w:r>
          </w:p>
        </w:tc>
      </w:tr>
      <w:tr w:rsidR="006F6C88" w:rsidRPr="00160C98" w14:paraId="1FA0D89D" w14:textId="77777777" w:rsidTr="00160C98">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489C1800" w14:textId="77777777" w:rsidR="006F6C88" w:rsidRPr="00160C98" w:rsidRDefault="006F6C88" w:rsidP="006F6C88">
            <w:pPr>
              <w:spacing w:after="0" w:line="240" w:lineRule="auto"/>
              <w:jc w:val="center"/>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Gradnje</w:t>
            </w:r>
          </w:p>
        </w:tc>
        <w:tc>
          <w:tcPr>
            <w:tcW w:w="1564" w:type="pct"/>
            <w:tcBorders>
              <w:top w:val="nil"/>
              <w:left w:val="nil"/>
              <w:bottom w:val="single" w:sz="4" w:space="0" w:color="auto"/>
              <w:right w:val="single" w:sz="4" w:space="0" w:color="auto"/>
            </w:tcBorders>
            <w:shd w:val="clear" w:color="auto" w:fill="auto"/>
            <w:vAlign w:val="center"/>
            <w:hideMark/>
          </w:tcPr>
          <w:p w14:paraId="27518BB2" w14:textId="77777777" w:rsidR="006F6C88" w:rsidRPr="00160C98" w:rsidRDefault="006F6C88" w:rsidP="00160C98">
            <w:pPr>
              <w:spacing w:after="0" w:line="240" w:lineRule="auto"/>
              <w:rPr>
                <w:rFonts w:ascii="Arial" w:eastAsia="Times New Roman" w:hAnsi="Arial" w:cs="Arial"/>
                <w:color w:val="000000"/>
                <w:sz w:val="18"/>
                <w:szCs w:val="18"/>
                <w:lang w:eastAsia="sl-SI"/>
              </w:rPr>
            </w:pPr>
            <w:proofErr w:type="spellStart"/>
            <w:r w:rsidRPr="00160C98">
              <w:rPr>
                <w:rFonts w:ascii="Arial" w:eastAsia="Times New Roman" w:hAnsi="Arial" w:cs="Arial"/>
                <w:color w:val="000000"/>
                <w:sz w:val="18"/>
                <w:szCs w:val="18"/>
                <w:lang w:eastAsia="sl-SI"/>
              </w:rPr>
              <w:t>Mikro</w:t>
            </w:r>
            <w:proofErr w:type="spellEnd"/>
            <w:r w:rsidRPr="00160C98">
              <w:rPr>
                <w:rFonts w:ascii="Arial" w:eastAsia="Times New Roman" w:hAnsi="Arial" w:cs="Arial"/>
                <w:color w:val="000000"/>
                <w:sz w:val="18"/>
                <w:szCs w:val="18"/>
                <w:lang w:eastAsia="sl-SI"/>
              </w:rPr>
              <w:t xml:space="preserve"> enote</w:t>
            </w:r>
          </w:p>
        </w:tc>
        <w:tc>
          <w:tcPr>
            <w:tcW w:w="781" w:type="pct"/>
            <w:tcBorders>
              <w:top w:val="nil"/>
              <w:left w:val="nil"/>
              <w:bottom w:val="single" w:sz="4" w:space="0" w:color="auto"/>
              <w:right w:val="single" w:sz="4" w:space="0" w:color="auto"/>
            </w:tcBorders>
            <w:shd w:val="clear" w:color="auto" w:fill="auto"/>
            <w:vAlign w:val="center"/>
            <w:hideMark/>
          </w:tcPr>
          <w:p w14:paraId="7E690161"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284</w:t>
            </w:r>
          </w:p>
        </w:tc>
        <w:tc>
          <w:tcPr>
            <w:tcW w:w="1059" w:type="pct"/>
            <w:tcBorders>
              <w:top w:val="nil"/>
              <w:left w:val="nil"/>
              <w:bottom w:val="single" w:sz="4" w:space="0" w:color="auto"/>
              <w:right w:val="single" w:sz="4" w:space="0" w:color="auto"/>
            </w:tcBorders>
            <w:shd w:val="clear" w:color="auto" w:fill="auto"/>
            <w:vAlign w:val="center"/>
            <w:hideMark/>
          </w:tcPr>
          <w:p w14:paraId="1D66DEA7"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42.499.646</w:t>
            </w:r>
          </w:p>
        </w:tc>
        <w:tc>
          <w:tcPr>
            <w:tcW w:w="525" w:type="pct"/>
            <w:tcBorders>
              <w:top w:val="nil"/>
              <w:left w:val="nil"/>
              <w:bottom w:val="single" w:sz="4" w:space="0" w:color="auto"/>
              <w:right w:val="single" w:sz="4" w:space="0" w:color="auto"/>
            </w:tcBorders>
            <w:shd w:val="clear" w:color="auto" w:fill="auto"/>
            <w:noWrap/>
            <w:vAlign w:val="center"/>
            <w:hideMark/>
          </w:tcPr>
          <w:p w14:paraId="0E785C40" w14:textId="1A545FFE"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14,19</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3A77C3D7" w14:textId="61045658"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4,54</w:t>
            </w:r>
            <w:r w:rsidR="00160C98" w:rsidRPr="00160C98">
              <w:rPr>
                <w:rFonts w:ascii="Arial" w:eastAsia="Times New Roman" w:hAnsi="Arial" w:cs="Arial"/>
                <w:color w:val="000000"/>
                <w:sz w:val="18"/>
                <w:szCs w:val="18"/>
                <w:lang w:eastAsia="sl-SI"/>
              </w:rPr>
              <w:t xml:space="preserve"> %</w:t>
            </w:r>
          </w:p>
        </w:tc>
      </w:tr>
      <w:tr w:rsidR="006F6C88" w:rsidRPr="00160C98" w14:paraId="704D8D63"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78A2B9C7"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5BDF0B8"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Majhne enote</w:t>
            </w:r>
          </w:p>
        </w:tc>
        <w:tc>
          <w:tcPr>
            <w:tcW w:w="781" w:type="pct"/>
            <w:tcBorders>
              <w:top w:val="nil"/>
              <w:left w:val="nil"/>
              <w:bottom w:val="single" w:sz="4" w:space="0" w:color="auto"/>
              <w:right w:val="single" w:sz="4" w:space="0" w:color="auto"/>
            </w:tcBorders>
            <w:shd w:val="clear" w:color="auto" w:fill="auto"/>
            <w:vAlign w:val="center"/>
            <w:hideMark/>
          </w:tcPr>
          <w:p w14:paraId="32C88C33"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908</w:t>
            </w:r>
          </w:p>
        </w:tc>
        <w:tc>
          <w:tcPr>
            <w:tcW w:w="1059" w:type="pct"/>
            <w:tcBorders>
              <w:top w:val="nil"/>
              <w:left w:val="nil"/>
              <w:bottom w:val="single" w:sz="4" w:space="0" w:color="auto"/>
              <w:right w:val="single" w:sz="4" w:space="0" w:color="auto"/>
            </w:tcBorders>
            <w:shd w:val="clear" w:color="auto" w:fill="auto"/>
            <w:vAlign w:val="center"/>
            <w:hideMark/>
          </w:tcPr>
          <w:p w14:paraId="52B753B2"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267.048.764</w:t>
            </w:r>
          </w:p>
        </w:tc>
        <w:tc>
          <w:tcPr>
            <w:tcW w:w="525" w:type="pct"/>
            <w:tcBorders>
              <w:top w:val="nil"/>
              <w:left w:val="nil"/>
              <w:bottom w:val="single" w:sz="4" w:space="0" w:color="auto"/>
              <w:right w:val="single" w:sz="4" w:space="0" w:color="auto"/>
            </w:tcBorders>
            <w:shd w:val="clear" w:color="auto" w:fill="auto"/>
            <w:noWrap/>
            <w:vAlign w:val="center"/>
            <w:hideMark/>
          </w:tcPr>
          <w:p w14:paraId="5E12C554" w14:textId="5FF5A728"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45,35</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1129166A" w14:textId="0B7096B4"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28,54</w:t>
            </w:r>
            <w:r w:rsidR="00160C98" w:rsidRPr="00160C98">
              <w:rPr>
                <w:rFonts w:ascii="Arial" w:eastAsia="Times New Roman" w:hAnsi="Arial" w:cs="Arial"/>
                <w:color w:val="000000"/>
                <w:sz w:val="18"/>
                <w:szCs w:val="18"/>
                <w:lang w:eastAsia="sl-SI"/>
              </w:rPr>
              <w:t xml:space="preserve"> %</w:t>
            </w:r>
          </w:p>
        </w:tc>
      </w:tr>
      <w:tr w:rsidR="006F6C88" w:rsidRPr="00160C98" w14:paraId="1E6129AA"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6A360799"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35CE6381"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Srednje enote</w:t>
            </w:r>
          </w:p>
        </w:tc>
        <w:tc>
          <w:tcPr>
            <w:tcW w:w="781" w:type="pct"/>
            <w:tcBorders>
              <w:top w:val="nil"/>
              <w:left w:val="nil"/>
              <w:bottom w:val="single" w:sz="4" w:space="0" w:color="auto"/>
              <w:right w:val="single" w:sz="4" w:space="0" w:color="auto"/>
            </w:tcBorders>
            <w:shd w:val="clear" w:color="auto" w:fill="auto"/>
            <w:vAlign w:val="center"/>
            <w:hideMark/>
          </w:tcPr>
          <w:p w14:paraId="49CC2D6B"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468</w:t>
            </w:r>
          </w:p>
        </w:tc>
        <w:tc>
          <w:tcPr>
            <w:tcW w:w="1059" w:type="pct"/>
            <w:tcBorders>
              <w:top w:val="nil"/>
              <w:left w:val="nil"/>
              <w:bottom w:val="single" w:sz="4" w:space="0" w:color="auto"/>
              <w:right w:val="single" w:sz="4" w:space="0" w:color="auto"/>
            </w:tcBorders>
            <w:shd w:val="clear" w:color="auto" w:fill="auto"/>
            <w:vAlign w:val="center"/>
            <w:hideMark/>
          </w:tcPr>
          <w:p w14:paraId="38F74EBE"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276.267.400</w:t>
            </w:r>
          </w:p>
        </w:tc>
        <w:tc>
          <w:tcPr>
            <w:tcW w:w="525" w:type="pct"/>
            <w:tcBorders>
              <w:top w:val="nil"/>
              <w:left w:val="nil"/>
              <w:bottom w:val="single" w:sz="4" w:space="0" w:color="auto"/>
              <w:right w:val="single" w:sz="4" w:space="0" w:color="auto"/>
            </w:tcBorders>
            <w:shd w:val="clear" w:color="auto" w:fill="auto"/>
            <w:noWrap/>
            <w:vAlign w:val="center"/>
            <w:hideMark/>
          </w:tcPr>
          <w:p w14:paraId="0294A5F2" w14:textId="6009DAE8"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23,38</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1BAEDD01" w14:textId="614EFD9F"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29,52</w:t>
            </w:r>
            <w:r w:rsidR="00160C98" w:rsidRPr="00160C98">
              <w:rPr>
                <w:rFonts w:ascii="Arial" w:eastAsia="Times New Roman" w:hAnsi="Arial" w:cs="Arial"/>
                <w:color w:val="000000"/>
                <w:sz w:val="18"/>
                <w:szCs w:val="18"/>
                <w:lang w:eastAsia="sl-SI"/>
              </w:rPr>
              <w:t xml:space="preserve"> %</w:t>
            </w:r>
          </w:p>
        </w:tc>
      </w:tr>
      <w:tr w:rsidR="006F6C88" w:rsidRPr="00160C98" w14:paraId="749D4976"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10880F04"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4EB4BF07"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Velike enote</w:t>
            </w:r>
          </w:p>
        </w:tc>
        <w:tc>
          <w:tcPr>
            <w:tcW w:w="781" w:type="pct"/>
            <w:tcBorders>
              <w:top w:val="nil"/>
              <w:left w:val="nil"/>
              <w:bottom w:val="single" w:sz="4" w:space="0" w:color="auto"/>
              <w:right w:val="single" w:sz="4" w:space="0" w:color="auto"/>
            </w:tcBorders>
            <w:shd w:val="clear" w:color="auto" w:fill="auto"/>
            <w:vAlign w:val="center"/>
            <w:hideMark/>
          </w:tcPr>
          <w:p w14:paraId="071160B0"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320</w:t>
            </w:r>
          </w:p>
        </w:tc>
        <w:tc>
          <w:tcPr>
            <w:tcW w:w="1059" w:type="pct"/>
            <w:tcBorders>
              <w:top w:val="nil"/>
              <w:left w:val="nil"/>
              <w:bottom w:val="single" w:sz="4" w:space="0" w:color="auto"/>
              <w:right w:val="single" w:sz="4" w:space="0" w:color="auto"/>
            </w:tcBorders>
            <w:shd w:val="clear" w:color="auto" w:fill="auto"/>
            <w:vAlign w:val="center"/>
            <w:hideMark/>
          </w:tcPr>
          <w:p w14:paraId="40B6FE0E"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344.267.561</w:t>
            </w:r>
          </w:p>
        </w:tc>
        <w:tc>
          <w:tcPr>
            <w:tcW w:w="525" w:type="pct"/>
            <w:tcBorders>
              <w:top w:val="nil"/>
              <w:left w:val="nil"/>
              <w:bottom w:val="single" w:sz="4" w:space="0" w:color="auto"/>
              <w:right w:val="single" w:sz="4" w:space="0" w:color="auto"/>
            </w:tcBorders>
            <w:shd w:val="clear" w:color="auto" w:fill="auto"/>
            <w:noWrap/>
            <w:vAlign w:val="center"/>
            <w:hideMark/>
          </w:tcPr>
          <w:p w14:paraId="473D28D1" w14:textId="656DD28B"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15,98</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1053A994" w14:textId="6013D75F"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36,79</w:t>
            </w:r>
            <w:r w:rsidR="00160C98" w:rsidRPr="00160C98">
              <w:rPr>
                <w:rFonts w:ascii="Arial" w:eastAsia="Times New Roman" w:hAnsi="Arial" w:cs="Arial"/>
                <w:color w:val="000000"/>
                <w:sz w:val="18"/>
                <w:szCs w:val="18"/>
                <w:lang w:eastAsia="sl-SI"/>
              </w:rPr>
              <w:t xml:space="preserve"> %</w:t>
            </w:r>
          </w:p>
        </w:tc>
      </w:tr>
      <w:tr w:rsidR="006F6C88" w:rsidRPr="00160C98" w14:paraId="648C612A"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511824A2"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264242EE"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Velikost RS se ne izračunava</w:t>
            </w:r>
          </w:p>
        </w:tc>
        <w:tc>
          <w:tcPr>
            <w:tcW w:w="781" w:type="pct"/>
            <w:tcBorders>
              <w:top w:val="nil"/>
              <w:left w:val="nil"/>
              <w:bottom w:val="single" w:sz="4" w:space="0" w:color="auto"/>
              <w:right w:val="single" w:sz="4" w:space="0" w:color="auto"/>
            </w:tcBorders>
            <w:shd w:val="clear" w:color="auto" w:fill="auto"/>
            <w:vAlign w:val="center"/>
            <w:hideMark/>
          </w:tcPr>
          <w:p w14:paraId="570E6366"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4</w:t>
            </w:r>
          </w:p>
        </w:tc>
        <w:tc>
          <w:tcPr>
            <w:tcW w:w="1059" w:type="pct"/>
            <w:tcBorders>
              <w:top w:val="nil"/>
              <w:left w:val="nil"/>
              <w:bottom w:val="single" w:sz="4" w:space="0" w:color="auto"/>
              <w:right w:val="single" w:sz="4" w:space="0" w:color="auto"/>
            </w:tcBorders>
            <w:shd w:val="clear" w:color="auto" w:fill="auto"/>
            <w:vAlign w:val="center"/>
            <w:hideMark/>
          </w:tcPr>
          <w:p w14:paraId="5E083012"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1.801.616</w:t>
            </w:r>
          </w:p>
        </w:tc>
        <w:tc>
          <w:tcPr>
            <w:tcW w:w="525" w:type="pct"/>
            <w:tcBorders>
              <w:top w:val="nil"/>
              <w:left w:val="nil"/>
              <w:bottom w:val="single" w:sz="4" w:space="0" w:color="auto"/>
              <w:right w:val="single" w:sz="4" w:space="0" w:color="auto"/>
            </w:tcBorders>
            <w:shd w:val="clear" w:color="auto" w:fill="auto"/>
            <w:noWrap/>
            <w:vAlign w:val="center"/>
            <w:hideMark/>
          </w:tcPr>
          <w:p w14:paraId="7B291194" w14:textId="7A7AF939"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0,20</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7194624F" w14:textId="5DC4F7B4"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0,19</w:t>
            </w:r>
            <w:r w:rsidR="00160C98" w:rsidRPr="00160C98">
              <w:rPr>
                <w:rFonts w:ascii="Arial" w:eastAsia="Times New Roman" w:hAnsi="Arial" w:cs="Arial"/>
                <w:color w:val="000000"/>
                <w:sz w:val="18"/>
                <w:szCs w:val="18"/>
                <w:lang w:eastAsia="sl-SI"/>
              </w:rPr>
              <w:t xml:space="preserve"> %</w:t>
            </w:r>
          </w:p>
        </w:tc>
      </w:tr>
      <w:tr w:rsidR="006F6C88" w:rsidRPr="00160C98" w14:paraId="4B059FA8"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78787AD2"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410CC014" w14:textId="77777777" w:rsidR="006F6C88" w:rsidRPr="00160C98" w:rsidRDefault="006F6C88" w:rsidP="00160C98">
            <w:pPr>
              <w:spacing w:after="0" w:line="240" w:lineRule="auto"/>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Ni podatka o velikosti</w:t>
            </w:r>
          </w:p>
        </w:tc>
        <w:tc>
          <w:tcPr>
            <w:tcW w:w="781" w:type="pct"/>
            <w:tcBorders>
              <w:top w:val="nil"/>
              <w:left w:val="nil"/>
              <w:bottom w:val="single" w:sz="4" w:space="0" w:color="auto"/>
              <w:right w:val="single" w:sz="4" w:space="0" w:color="auto"/>
            </w:tcBorders>
            <w:shd w:val="clear" w:color="auto" w:fill="auto"/>
            <w:vAlign w:val="center"/>
            <w:hideMark/>
          </w:tcPr>
          <w:p w14:paraId="2131876C"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18</w:t>
            </w:r>
          </w:p>
        </w:tc>
        <w:tc>
          <w:tcPr>
            <w:tcW w:w="1059" w:type="pct"/>
            <w:tcBorders>
              <w:top w:val="nil"/>
              <w:left w:val="nil"/>
              <w:bottom w:val="single" w:sz="4" w:space="0" w:color="auto"/>
              <w:right w:val="single" w:sz="4" w:space="0" w:color="auto"/>
            </w:tcBorders>
            <w:shd w:val="clear" w:color="auto" w:fill="auto"/>
            <w:vAlign w:val="center"/>
            <w:hideMark/>
          </w:tcPr>
          <w:p w14:paraId="04251101" w14:textId="77777777"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3.966.469</w:t>
            </w:r>
          </w:p>
        </w:tc>
        <w:tc>
          <w:tcPr>
            <w:tcW w:w="525" w:type="pct"/>
            <w:tcBorders>
              <w:top w:val="nil"/>
              <w:left w:val="nil"/>
              <w:bottom w:val="single" w:sz="4" w:space="0" w:color="auto"/>
              <w:right w:val="single" w:sz="4" w:space="0" w:color="auto"/>
            </w:tcBorders>
            <w:shd w:val="clear" w:color="auto" w:fill="auto"/>
            <w:noWrap/>
            <w:vAlign w:val="center"/>
            <w:hideMark/>
          </w:tcPr>
          <w:p w14:paraId="1D0A13E1" w14:textId="36F9C6EC"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0,90</w:t>
            </w:r>
            <w:r w:rsidR="00160C98" w:rsidRPr="00160C98">
              <w:rPr>
                <w:rFonts w:ascii="Arial" w:eastAsia="Times New Roman" w:hAnsi="Arial" w:cs="Arial"/>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26A96147" w14:textId="6E88B0AB" w:rsidR="006F6C88" w:rsidRPr="00160C98" w:rsidRDefault="006F6C88" w:rsidP="00160C98">
            <w:pPr>
              <w:spacing w:after="0" w:line="240" w:lineRule="auto"/>
              <w:jc w:val="right"/>
              <w:rPr>
                <w:rFonts w:ascii="Arial" w:eastAsia="Times New Roman" w:hAnsi="Arial" w:cs="Arial"/>
                <w:color w:val="000000"/>
                <w:sz w:val="18"/>
                <w:szCs w:val="18"/>
                <w:lang w:eastAsia="sl-SI"/>
              </w:rPr>
            </w:pPr>
            <w:r w:rsidRPr="00160C98">
              <w:rPr>
                <w:rFonts w:ascii="Arial" w:eastAsia="Times New Roman" w:hAnsi="Arial" w:cs="Arial"/>
                <w:color w:val="000000"/>
                <w:sz w:val="18"/>
                <w:szCs w:val="18"/>
                <w:lang w:eastAsia="sl-SI"/>
              </w:rPr>
              <w:t>0,42</w:t>
            </w:r>
            <w:r w:rsidR="00160C98" w:rsidRPr="00160C98">
              <w:rPr>
                <w:rFonts w:ascii="Arial" w:eastAsia="Times New Roman" w:hAnsi="Arial" w:cs="Arial"/>
                <w:color w:val="000000"/>
                <w:sz w:val="18"/>
                <w:szCs w:val="18"/>
                <w:lang w:eastAsia="sl-SI"/>
              </w:rPr>
              <w:t xml:space="preserve"> %</w:t>
            </w:r>
          </w:p>
        </w:tc>
      </w:tr>
      <w:tr w:rsidR="006F6C88" w:rsidRPr="00160C98" w14:paraId="7AF54E60" w14:textId="77777777" w:rsidTr="00160C98">
        <w:trPr>
          <w:trHeight w:val="300"/>
        </w:trPr>
        <w:tc>
          <w:tcPr>
            <w:tcW w:w="545" w:type="pct"/>
            <w:vMerge/>
            <w:tcBorders>
              <w:top w:val="nil"/>
              <w:left w:val="single" w:sz="4" w:space="0" w:color="auto"/>
              <w:bottom w:val="single" w:sz="4" w:space="0" w:color="auto"/>
              <w:right w:val="single" w:sz="4" w:space="0" w:color="auto"/>
            </w:tcBorders>
            <w:vAlign w:val="center"/>
            <w:hideMark/>
          </w:tcPr>
          <w:p w14:paraId="31CAD915" w14:textId="77777777" w:rsidR="006F6C88" w:rsidRPr="00160C98" w:rsidRDefault="006F6C88" w:rsidP="006F6C88">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noWrap/>
            <w:vAlign w:val="center"/>
            <w:hideMark/>
          </w:tcPr>
          <w:p w14:paraId="4DF6C76E" w14:textId="77777777" w:rsidR="006F6C88" w:rsidRPr="00160C98" w:rsidRDefault="006F6C88" w:rsidP="00160C98">
            <w:pPr>
              <w:spacing w:after="0" w:line="240" w:lineRule="auto"/>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auto"/>
            <w:noWrap/>
            <w:vAlign w:val="center"/>
            <w:hideMark/>
          </w:tcPr>
          <w:p w14:paraId="0F4DA7C6" w14:textId="77777777"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2.002</w:t>
            </w:r>
          </w:p>
        </w:tc>
        <w:tc>
          <w:tcPr>
            <w:tcW w:w="1059" w:type="pct"/>
            <w:tcBorders>
              <w:top w:val="nil"/>
              <w:left w:val="nil"/>
              <w:bottom w:val="single" w:sz="4" w:space="0" w:color="auto"/>
              <w:right w:val="single" w:sz="4" w:space="0" w:color="auto"/>
            </w:tcBorders>
            <w:shd w:val="clear" w:color="auto" w:fill="auto"/>
            <w:noWrap/>
            <w:vAlign w:val="center"/>
            <w:hideMark/>
          </w:tcPr>
          <w:p w14:paraId="3129FE1E" w14:textId="77777777"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935.851.456</w:t>
            </w:r>
          </w:p>
        </w:tc>
        <w:tc>
          <w:tcPr>
            <w:tcW w:w="525" w:type="pct"/>
            <w:tcBorders>
              <w:top w:val="nil"/>
              <w:left w:val="nil"/>
              <w:bottom w:val="single" w:sz="4" w:space="0" w:color="auto"/>
              <w:right w:val="single" w:sz="4" w:space="0" w:color="auto"/>
            </w:tcBorders>
            <w:shd w:val="clear" w:color="auto" w:fill="auto"/>
            <w:noWrap/>
            <w:vAlign w:val="center"/>
            <w:hideMark/>
          </w:tcPr>
          <w:p w14:paraId="33069EAA" w14:textId="3412D548"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100,00</w:t>
            </w:r>
            <w:r w:rsidR="00160C98" w:rsidRPr="00160C98">
              <w:rPr>
                <w:rFonts w:ascii="Arial" w:eastAsia="Times New Roman" w:hAnsi="Arial" w:cs="Arial"/>
                <w:b/>
                <w:bCs/>
                <w:color w:val="000000"/>
                <w:sz w:val="18"/>
                <w:szCs w:val="18"/>
                <w:lang w:eastAsia="sl-SI"/>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14:paraId="2001AA77" w14:textId="282B31A6" w:rsidR="006F6C88" w:rsidRPr="00160C98" w:rsidRDefault="006F6C8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100,00</w:t>
            </w:r>
            <w:r w:rsidR="00160C98" w:rsidRPr="00160C98">
              <w:rPr>
                <w:rFonts w:ascii="Arial" w:eastAsia="Times New Roman" w:hAnsi="Arial" w:cs="Arial"/>
                <w:b/>
                <w:bCs/>
                <w:color w:val="000000"/>
                <w:sz w:val="18"/>
                <w:szCs w:val="18"/>
                <w:lang w:eastAsia="sl-SI"/>
              </w:rPr>
              <w:t xml:space="preserve"> %</w:t>
            </w:r>
          </w:p>
        </w:tc>
      </w:tr>
      <w:tr w:rsidR="00160C98" w:rsidRPr="00160C98" w14:paraId="1C1D02DC" w14:textId="77777777" w:rsidTr="00160C98">
        <w:trPr>
          <w:gridAfter w:val="2"/>
          <w:wAfter w:w="1051" w:type="pct"/>
          <w:trHeight w:val="300"/>
        </w:trPr>
        <w:tc>
          <w:tcPr>
            <w:tcW w:w="2109"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CCAD17" w14:textId="77777777" w:rsidR="00160C98" w:rsidRPr="00160C98" w:rsidRDefault="00160C98" w:rsidP="006F6C88">
            <w:pPr>
              <w:spacing w:after="0" w:line="240" w:lineRule="auto"/>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E7E6E6" w:themeFill="background2"/>
            <w:noWrap/>
            <w:vAlign w:val="center"/>
            <w:hideMark/>
          </w:tcPr>
          <w:p w14:paraId="5A191AB4" w14:textId="77777777" w:rsidR="00160C98" w:rsidRPr="00160C98" w:rsidRDefault="00160C9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16.459</w:t>
            </w:r>
          </w:p>
        </w:tc>
        <w:tc>
          <w:tcPr>
            <w:tcW w:w="1059" w:type="pct"/>
            <w:tcBorders>
              <w:top w:val="nil"/>
              <w:left w:val="nil"/>
              <w:bottom w:val="single" w:sz="4" w:space="0" w:color="auto"/>
              <w:right w:val="single" w:sz="4" w:space="0" w:color="auto"/>
            </w:tcBorders>
            <w:shd w:val="clear" w:color="auto" w:fill="E7E6E6" w:themeFill="background2"/>
            <w:noWrap/>
            <w:vAlign w:val="center"/>
            <w:hideMark/>
          </w:tcPr>
          <w:p w14:paraId="102252F2" w14:textId="77777777" w:rsidR="00160C98" w:rsidRPr="00160C98" w:rsidRDefault="00160C98" w:rsidP="00160C98">
            <w:pPr>
              <w:spacing w:after="0" w:line="240" w:lineRule="auto"/>
              <w:jc w:val="right"/>
              <w:rPr>
                <w:rFonts w:ascii="Arial" w:eastAsia="Times New Roman" w:hAnsi="Arial" w:cs="Arial"/>
                <w:b/>
                <w:bCs/>
                <w:color w:val="000000"/>
                <w:sz w:val="18"/>
                <w:szCs w:val="18"/>
                <w:lang w:eastAsia="sl-SI"/>
              </w:rPr>
            </w:pPr>
            <w:r w:rsidRPr="00160C98">
              <w:rPr>
                <w:rFonts w:ascii="Arial" w:eastAsia="Times New Roman" w:hAnsi="Arial" w:cs="Arial"/>
                <w:b/>
                <w:bCs/>
                <w:color w:val="000000"/>
                <w:sz w:val="18"/>
                <w:szCs w:val="18"/>
                <w:lang w:eastAsia="sl-SI"/>
              </w:rPr>
              <w:t>2.530.228.873</w:t>
            </w:r>
          </w:p>
        </w:tc>
      </w:tr>
    </w:tbl>
    <w:p w14:paraId="57CF3CD7" w14:textId="77777777" w:rsidR="004A613D" w:rsidRPr="00160C98" w:rsidRDefault="004A613D" w:rsidP="004A613D">
      <w:pPr>
        <w:spacing w:after="0" w:line="240" w:lineRule="auto"/>
        <w:jc w:val="center"/>
        <w:rPr>
          <w:rFonts w:ascii="Arial" w:hAnsi="Arial" w:cs="Arial"/>
          <w:sz w:val="18"/>
        </w:rPr>
      </w:pPr>
    </w:p>
    <w:p w14:paraId="718BA743" w14:textId="64E10A44" w:rsidR="00180D5C" w:rsidRPr="00160C98" w:rsidRDefault="00180D5C" w:rsidP="004A613D">
      <w:pPr>
        <w:spacing w:after="0" w:line="240" w:lineRule="auto"/>
        <w:jc w:val="center"/>
        <w:rPr>
          <w:rFonts w:ascii="Arial" w:hAnsi="Arial" w:cs="Arial"/>
          <w:sz w:val="18"/>
        </w:rPr>
      </w:pPr>
      <w:r w:rsidRPr="00160C98">
        <w:rPr>
          <w:rFonts w:ascii="Arial" w:hAnsi="Arial" w:cs="Arial"/>
          <w:sz w:val="18"/>
        </w:rPr>
        <w:t>Vir: Statistični podatki o javni</w:t>
      </w:r>
      <w:r w:rsidR="00815600" w:rsidRPr="00160C98">
        <w:rPr>
          <w:rFonts w:ascii="Arial" w:hAnsi="Arial" w:cs="Arial"/>
          <w:sz w:val="18"/>
        </w:rPr>
        <w:t>h naročilih, oddanih v letu 201</w:t>
      </w:r>
      <w:r w:rsidR="006F6C88" w:rsidRPr="00160C98">
        <w:rPr>
          <w:rFonts w:ascii="Arial" w:hAnsi="Arial" w:cs="Arial"/>
          <w:sz w:val="18"/>
        </w:rPr>
        <w:t>8</w:t>
      </w:r>
    </w:p>
    <w:p w14:paraId="517EB067" w14:textId="77777777" w:rsidR="00B11580" w:rsidRPr="00160C98" w:rsidRDefault="00B11580" w:rsidP="00854405">
      <w:pPr>
        <w:pStyle w:val="ZADEVA"/>
        <w:jc w:val="both"/>
        <w:rPr>
          <w:rFonts w:cs="Arial"/>
          <w:b w:val="0"/>
          <w:szCs w:val="20"/>
          <w:lang w:val="sl-SI"/>
        </w:rPr>
      </w:pPr>
    </w:p>
    <w:p w14:paraId="04424626" w14:textId="3AA15BF2" w:rsidR="001C6865" w:rsidRPr="0051659F" w:rsidRDefault="001C6865" w:rsidP="001C6865">
      <w:pPr>
        <w:pStyle w:val="Naslov3"/>
        <w:rPr>
          <w:rFonts w:ascii="Arial" w:hAnsi="Arial" w:cs="Arial"/>
          <w:sz w:val="22"/>
          <w:szCs w:val="22"/>
        </w:rPr>
      </w:pPr>
      <w:bookmarkStart w:id="32" w:name="_Toc17114070"/>
      <w:r w:rsidRPr="0051659F">
        <w:rPr>
          <w:rFonts w:ascii="Arial" w:hAnsi="Arial" w:cs="Arial"/>
          <w:sz w:val="22"/>
          <w:szCs w:val="22"/>
        </w:rPr>
        <w:t>2.7.5 Izločanje ponudnikov</w:t>
      </w:r>
      <w:bookmarkEnd w:id="32"/>
      <w:r w:rsidR="00B90B8D" w:rsidRPr="0051659F">
        <w:rPr>
          <w:rFonts w:ascii="Arial" w:hAnsi="Arial" w:cs="Arial"/>
          <w:sz w:val="22"/>
          <w:szCs w:val="22"/>
        </w:rPr>
        <w:t xml:space="preserve"> </w:t>
      </w:r>
    </w:p>
    <w:p w14:paraId="7D89D467" w14:textId="77777777" w:rsidR="00B11580" w:rsidRPr="0051659F" w:rsidRDefault="00B11580" w:rsidP="00854405">
      <w:pPr>
        <w:pStyle w:val="ZADEVA"/>
        <w:jc w:val="both"/>
        <w:rPr>
          <w:rFonts w:cs="Arial"/>
          <w:b w:val="0"/>
          <w:szCs w:val="20"/>
          <w:lang w:val="sl-SI"/>
        </w:rPr>
      </w:pPr>
    </w:p>
    <w:p w14:paraId="07E4984A" w14:textId="6EC4FF3B" w:rsidR="000B0538" w:rsidRPr="00EC1CCB" w:rsidRDefault="000B0538" w:rsidP="000B0538">
      <w:pPr>
        <w:spacing w:line="360" w:lineRule="auto"/>
        <w:jc w:val="both"/>
        <w:rPr>
          <w:rFonts w:ascii="Arial" w:hAnsi="Arial" w:cs="Arial"/>
          <w:sz w:val="20"/>
          <w:szCs w:val="20"/>
        </w:rPr>
      </w:pPr>
      <w:r w:rsidRPr="0051659F">
        <w:rPr>
          <w:rFonts w:ascii="Arial" w:hAnsi="Arial" w:cs="Arial"/>
          <w:sz w:val="20"/>
          <w:szCs w:val="20"/>
        </w:rPr>
        <w:t xml:space="preserve">Naročniki so v skladu z </w:t>
      </w:r>
      <w:proofErr w:type="spellStart"/>
      <w:r w:rsidRPr="0051659F">
        <w:rPr>
          <w:rFonts w:ascii="Arial" w:hAnsi="Arial" w:cs="Arial"/>
          <w:sz w:val="20"/>
          <w:szCs w:val="20"/>
        </w:rPr>
        <w:t>javnonaročniško</w:t>
      </w:r>
      <w:proofErr w:type="spellEnd"/>
      <w:r w:rsidRPr="0051659F">
        <w:rPr>
          <w:rFonts w:ascii="Arial" w:hAnsi="Arial" w:cs="Arial"/>
          <w:sz w:val="20"/>
          <w:szCs w:val="20"/>
        </w:rPr>
        <w:t xml:space="preserve"> zakonodajo iz postopka javnega naročanja </w:t>
      </w:r>
      <w:r w:rsidR="00F92565" w:rsidRPr="0051659F">
        <w:rPr>
          <w:rFonts w:ascii="Arial" w:hAnsi="Arial" w:cs="Arial"/>
          <w:sz w:val="20"/>
          <w:szCs w:val="20"/>
        </w:rPr>
        <w:t xml:space="preserve">pri </w:t>
      </w:r>
      <w:r w:rsidR="006F3021" w:rsidRPr="0051659F">
        <w:rPr>
          <w:rFonts w:ascii="Arial" w:hAnsi="Arial" w:cs="Arial"/>
          <w:sz w:val="20"/>
          <w:szCs w:val="20"/>
        </w:rPr>
        <w:t>25</w:t>
      </w:r>
      <w:r w:rsidR="001107AD" w:rsidRPr="0051659F">
        <w:rPr>
          <w:rFonts w:ascii="Arial" w:hAnsi="Arial" w:cs="Arial"/>
          <w:sz w:val="20"/>
          <w:szCs w:val="20"/>
        </w:rPr>
        <w:t xml:space="preserve"> javnih naročilih </w:t>
      </w:r>
      <w:r w:rsidRPr="0051659F">
        <w:rPr>
          <w:rFonts w:ascii="Arial" w:hAnsi="Arial" w:cs="Arial"/>
          <w:sz w:val="20"/>
          <w:szCs w:val="20"/>
        </w:rPr>
        <w:t xml:space="preserve">izločili </w:t>
      </w:r>
      <w:r w:rsidR="00F92565" w:rsidRPr="0051659F">
        <w:rPr>
          <w:rFonts w:ascii="Arial" w:hAnsi="Arial" w:cs="Arial"/>
          <w:sz w:val="20"/>
          <w:szCs w:val="20"/>
        </w:rPr>
        <w:t>3</w:t>
      </w:r>
      <w:r w:rsidR="0051659F" w:rsidRPr="0051659F">
        <w:rPr>
          <w:rFonts w:ascii="Arial" w:hAnsi="Arial" w:cs="Arial"/>
          <w:sz w:val="20"/>
          <w:szCs w:val="20"/>
        </w:rPr>
        <w:t>4</w:t>
      </w:r>
      <w:r w:rsidRPr="0051659F">
        <w:rPr>
          <w:rFonts w:ascii="Arial" w:hAnsi="Arial" w:cs="Arial"/>
          <w:sz w:val="20"/>
          <w:szCs w:val="20"/>
        </w:rPr>
        <w:t xml:space="preserve"> </w:t>
      </w:r>
      <w:r w:rsidR="001107AD" w:rsidRPr="0051659F">
        <w:rPr>
          <w:rFonts w:ascii="Arial" w:hAnsi="Arial" w:cs="Arial"/>
          <w:sz w:val="20"/>
          <w:szCs w:val="20"/>
        </w:rPr>
        <w:t>ponudnikov</w:t>
      </w:r>
      <w:r w:rsidRPr="0051659F">
        <w:rPr>
          <w:rFonts w:ascii="Arial" w:hAnsi="Arial" w:cs="Arial"/>
          <w:sz w:val="20"/>
          <w:szCs w:val="20"/>
        </w:rPr>
        <w:t xml:space="preserve">, ker so bili ti ali njihovi zakoniti zastopniki pravnomočno obsojeni za kazniva dejanja. </w:t>
      </w:r>
      <w:r w:rsidR="001107AD" w:rsidRPr="00EC1CCB">
        <w:rPr>
          <w:rFonts w:ascii="Arial" w:hAnsi="Arial" w:cs="Arial"/>
          <w:sz w:val="20"/>
          <w:szCs w:val="20"/>
        </w:rPr>
        <w:t>Največ gospodarskih subjektov je bilo izločenih pri izvedbi odprtih postopkov za naročanje blaga na sploš</w:t>
      </w:r>
      <w:r w:rsidR="006C2244" w:rsidRPr="00EC1CCB">
        <w:rPr>
          <w:rFonts w:ascii="Arial" w:hAnsi="Arial" w:cs="Arial"/>
          <w:sz w:val="20"/>
          <w:szCs w:val="20"/>
        </w:rPr>
        <w:t xml:space="preserve">nem področju, kjer je bil pri </w:t>
      </w:r>
      <w:r w:rsidR="00CD4647">
        <w:rPr>
          <w:rFonts w:ascii="Arial" w:hAnsi="Arial" w:cs="Arial"/>
          <w:sz w:val="20"/>
          <w:szCs w:val="20"/>
        </w:rPr>
        <w:t>osmih</w:t>
      </w:r>
      <w:r w:rsidR="00CD4647" w:rsidRPr="00EC1CCB">
        <w:rPr>
          <w:rFonts w:ascii="Arial" w:hAnsi="Arial" w:cs="Arial"/>
          <w:sz w:val="20"/>
          <w:szCs w:val="20"/>
        </w:rPr>
        <w:t xml:space="preserve"> </w:t>
      </w:r>
      <w:r w:rsidR="001107AD" w:rsidRPr="00EC1CCB">
        <w:rPr>
          <w:rFonts w:ascii="Arial" w:hAnsi="Arial" w:cs="Arial"/>
          <w:sz w:val="20"/>
          <w:szCs w:val="20"/>
        </w:rPr>
        <w:t xml:space="preserve">naročilih izločen po en ponudnik. </w:t>
      </w:r>
    </w:p>
    <w:p w14:paraId="78B4B435" w14:textId="338EA182" w:rsidR="00B37E65" w:rsidRPr="00EC1CCB" w:rsidRDefault="00B37E65" w:rsidP="008A61FD">
      <w:pPr>
        <w:spacing w:before="120" w:after="120" w:line="240" w:lineRule="auto"/>
        <w:jc w:val="both"/>
        <w:rPr>
          <w:rFonts w:ascii="Arial" w:hAnsi="Arial" w:cs="Arial"/>
          <w:sz w:val="20"/>
        </w:rPr>
      </w:pPr>
      <w:r w:rsidRPr="00EC1CCB">
        <w:rPr>
          <w:rFonts w:ascii="Arial" w:hAnsi="Arial" w:cs="Arial"/>
          <w:sz w:val="20"/>
        </w:rPr>
        <w:t>Preglednica </w:t>
      </w:r>
      <w:r w:rsidR="00EB4423">
        <w:rPr>
          <w:rFonts w:ascii="Arial" w:hAnsi="Arial" w:cs="Arial"/>
          <w:sz w:val="20"/>
        </w:rPr>
        <w:t>47</w:t>
      </w:r>
      <w:r w:rsidRPr="00EC1CCB">
        <w:rPr>
          <w:rFonts w:ascii="Arial" w:hAnsi="Arial" w:cs="Arial"/>
          <w:sz w:val="20"/>
        </w:rPr>
        <w:t xml:space="preserve">: </w:t>
      </w:r>
      <w:r w:rsidR="0046668F" w:rsidRPr="00EC1CCB">
        <w:rPr>
          <w:rFonts w:ascii="Arial" w:hAnsi="Arial" w:cs="Arial"/>
          <w:sz w:val="20"/>
        </w:rPr>
        <w:t>P</w:t>
      </w:r>
      <w:r w:rsidRPr="00EC1CCB">
        <w:rPr>
          <w:rFonts w:ascii="Arial" w:hAnsi="Arial" w:cs="Arial"/>
          <w:sz w:val="20"/>
        </w:rPr>
        <w:t>onudniki</w:t>
      </w:r>
      <w:r w:rsidR="0046668F" w:rsidRPr="00EC1CCB">
        <w:rPr>
          <w:rFonts w:ascii="Arial" w:hAnsi="Arial" w:cs="Arial"/>
          <w:sz w:val="20"/>
        </w:rPr>
        <w:t>,</w:t>
      </w:r>
      <w:r w:rsidRPr="00EC1CCB">
        <w:rPr>
          <w:rFonts w:ascii="Arial" w:hAnsi="Arial" w:cs="Arial"/>
          <w:sz w:val="20"/>
        </w:rPr>
        <w:t xml:space="preserve"> </w:t>
      </w:r>
      <w:r w:rsidR="0046668F" w:rsidRPr="00EC1CCB">
        <w:rPr>
          <w:rFonts w:ascii="Arial" w:hAnsi="Arial" w:cs="Arial"/>
          <w:sz w:val="20"/>
        </w:rPr>
        <w:t xml:space="preserve">izločeni </w:t>
      </w:r>
      <w:r w:rsidRPr="00EC1CCB">
        <w:rPr>
          <w:rFonts w:ascii="Arial" w:hAnsi="Arial" w:cs="Arial"/>
          <w:sz w:val="20"/>
        </w:rPr>
        <w:t>zaradi pravnomočne kazenske obsodbe</w:t>
      </w:r>
      <w:r w:rsidR="00A659FB" w:rsidRPr="00EC1CCB">
        <w:rPr>
          <w:rFonts w:ascii="Arial" w:hAnsi="Arial" w:cs="Arial"/>
          <w:sz w:val="20"/>
        </w:rPr>
        <w:t>,</w:t>
      </w:r>
      <w:r w:rsidRPr="00EC1CCB">
        <w:rPr>
          <w:rFonts w:ascii="Arial" w:hAnsi="Arial" w:cs="Arial"/>
          <w:sz w:val="20"/>
        </w:rPr>
        <w:t xml:space="preserve"> glede na področje, predmet in vrsto postopka</w:t>
      </w:r>
    </w:p>
    <w:tbl>
      <w:tblPr>
        <w:tblW w:w="5000" w:type="pct"/>
        <w:tblCellMar>
          <w:left w:w="70" w:type="dxa"/>
          <w:right w:w="70" w:type="dxa"/>
        </w:tblCellMar>
        <w:tblLook w:val="04A0" w:firstRow="1" w:lastRow="0" w:firstColumn="1" w:lastColumn="0" w:noHBand="0" w:noVBand="1"/>
      </w:tblPr>
      <w:tblGrid>
        <w:gridCol w:w="851"/>
        <w:gridCol w:w="821"/>
        <w:gridCol w:w="3375"/>
        <w:gridCol w:w="1470"/>
        <w:gridCol w:w="2545"/>
      </w:tblGrid>
      <w:tr w:rsidR="00EC1CCB" w:rsidRPr="00EC1CCB" w14:paraId="1011A8D8" w14:textId="77777777" w:rsidTr="00EC1CCB">
        <w:trPr>
          <w:trHeight w:val="300"/>
        </w:trPr>
        <w:tc>
          <w:tcPr>
            <w:tcW w:w="47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A245B03" w14:textId="77777777" w:rsidR="00EC1CCB" w:rsidRPr="00EC1CCB" w:rsidRDefault="00EC1CCB" w:rsidP="00EC1CCB">
            <w:pPr>
              <w:spacing w:after="0" w:line="240" w:lineRule="auto"/>
              <w:jc w:val="center"/>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Področje</w:t>
            </w:r>
          </w:p>
        </w:tc>
        <w:tc>
          <w:tcPr>
            <w:tcW w:w="453" w:type="pct"/>
            <w:tcBorders>
              <w:top w:val="single" w:sz="4" w:space="0" w:color="auto"/>
              <w:left w:val="nil"/>
              <w:bottom w:val="single" w:sz="4" w:space="0" w:color="auto"/>
              <w:right w:val="single" w:sz="4" w:space="0" w:color="auto"/>
            </w:tcBorders>
            <w:shd w:val="clear" w:color="000000" w:fill="EDEDED"/>
            <w:vAlign w:val="center"/>
            <w:hideMark/>
          </w:tcPr>
          <w:p w14:paraId="5FC468E4" w14:textId="77777777" w:rsidR="00EC1CCB" w:rsidRPr="00EC1CCB" w:rsidRDefault="00EC1CCB" w:rsidP="00EC1CCB">
            <w:pPr>
              <w:spacing w:after="0" w:line="240" w:lineRule="auto"/>
              <w:jc w:val="center"/>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 xml:space="preserve">Predmet </w:t>
            </w:r>
          </w:p>
        </w:tc>
        <w:tc>
          <w:tcPr>
            <w:tcW w:w="1862" w:type="pct"/>
            <w:tcBorders>
              <w:top w:val="single" w:sz="4" w:space="0" w:color="auto"/>
              <w:left w:val="nil"/>
              <w:bottom w:val="single" w:sz="4" w:space="0" w:color="auto"/>
              <w:right w:val="single" w:sz="4" w:space="0" w:color="auto"/>
            </w:tcBorders>
            <w:shd w:val="clear" w:color="000000" w:fill="EDEDED"/>
            <w:vAlign w:val="center"/>
            <w:hideMark/>
          </w:tcPr>
          <w:p w14:paraId="0CF8D4C3" w14:textId="77777777" w:rsidR="00EC1CCB" w:rsidRPr="00EC1CCB" w:rsidRDefault="00EC1CCB" w:rsidP="00EC1CCB">
            <w:pPr>
              <w:spacing w:after="0" w:line="240" w:lineRule="auto"/>
              <w:jc w:val="center"/>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Vrsta postopka</w:t>
            </w:r>
          </w:p>
        </w:tc>
        <w:tc>
          <w:tcPr>
            <w:tcW w:w="811" w:type="pct"/>
            <w:tcBorders>
              <w:top w:val="single" w:sz="4" w:space="0" w:color="auto"/>
              <w:left w:val="nil"/>
              <w:bottom w:val="single" w:sz="4" w:space="0" w:color="auto"/>
              <w:right w:val="single" w:sz="4" w:space="0" w:color="auto"/>
            </w:tcBorders>
            <w:shd w:val="clear" w:color="000000" w:fill="EDEDED"/>
            <w:vAlign w:val="center"/>
            <w:hideMark/>
          </w:tcPr>
          <w:p w14:paraId="4106FFD3" w14:textId="77777777" w:rsidR="00EC1CCB" w:rsidRPr="00EC1CCB" w:rsidRDefault="00EC1CCB" w:rsidP="00EC1CCB">
            <w:pPr>
              <w:spacing w:after="0" w:line="240" w:lineRule="auto"/>
              <w:jc w:val="center"/>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Št. naročil</w:t>
            </w:r>
          </w:p>
        </w:tc>
        <w:tc>
          <w:tcPr>
            <w:tcW w:w="1405" w:type="pct"/>
            <w:tcBorders>
              <w:top w:val="single" w:sz="4" w:space="0" w:color="auto"/>
              <w:left w:val="nil"/>
              <w:bottom w:val="single" w:sz="4" w:space="0" w:color="auto"/>
              <w:right w:val="single" w:sz="4" w:space="0" w:color="auto"/>
            </w:tcBorders>
            <w:shd w:val="clear" w:color="000000" w:fill="EDEDED"/>
            <w:vAlign w:val="center"/>
            <w:hideMark/>
          </w:tcPr>
          <w:p w14:paraId="44912A54" w14:textId="77777777" w:rsidR="00EC1CCB" w:rsidRPr="00EC1CCB" w:rsidRDefault="00EC1CCB" w:rsidP="00EC1CCB">
            <w:pPr>
              <w:spacing w:after="0" w:line="240" w:lineRule="auto"/>
              <w:jc w:val="center"/>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Št. izločenih ponudnikov pri posameznem naročilu</w:t>
            </w:r>
          </w:p>
        </w:tc>
      </w:tr>
      <w:tr w:rsidR="00EC1CCB" w:rsidRPr="00EC1CCB" w14:paraId="3C730F84" w14:textId="77777777" w:rsidTr="0026330A">
        <w:trPr>
          <w:trHeight w:val="300"/>
        </w:trPr>
        <w:tc>
          <w:tcPr>
            <w:tcW w:w="470" w:type="pct"/>
            <w:vMerge w:val="restart"/>
            <w:tcBorders>
              <w:top w:val="nil"/>
              <w:left w:val="single" w:sz="4" w:space="0" w:color="auto"/>
              <w:bottom w:val="single" w:sz="4" w:space="0" w:color="000000"/>
              <w:right w:val="single" w:sz="4" w:space="0" w:color="auto"/>
            </w:tcBorders>
            <w:shd w:val="clear" w:color="auto" w:fill="auto"/>
            <w:vAlign w:val="center"/>
            <w:hideMark/>
          </w:tcPr>
          <w:p w14:paraId="10870F28" w14:textId="61C3ED89" w:rsidR="00EC1CCB" w:rsidRPr="00EC1CCB" w:rsidRDefault="0046644C" w:rsidP="00EC1CCB">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w:t>
            </w:r>
            <w:r w:rsidR="00EC1CCB" w:rsidRPr="00EC1CCB">
              <w:rPr>
                <w:rFonts w:ascii="Arial" w:eastAsia="Times New Roman" w:hAnsi="Arial" w:cs="Arial"/>
                <w:color w:val="000000"/>
                <w:sz w:val="18"/>
                <w:szCs w:val="18"/>
                <w:lang w:eastAsia="sl-SI"/>
              </w:rPr>
              <w:t>plošno</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3D36" w14:textId="77777777" w:rsidR="00EC1CCB" w:rsidRPr="00EC1CCB" w:rsidRDefault="00EC1CCB" w:rsidP="0026330A">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Blago</w:t>
            </w:r>
          </w:p>
        </w:tc>
        <w:tc>
          <w:tcPr>
            <w:tcW w:w="1862" w:type="pct"/>
            <w:tcBorders>
              <w:top w:val="nil"/>
              <w:left w:val="nil"/>
              <w:bottom w:val="single" w:sz="4" w:space="0" w:color="auto"/>
              <w:right w:val="single" w:sz="4" w:space="0" w:color="auto"/>
            </w:tcBorders>
            <w:shd w:val="clear" w:color="auto" w:fill="auto"/>
            <w:vAlign w:val="center"/>
            <w:hideMark/>
          </w:tcPr>
          <w:p w14:paraId="1C0205A1"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Odprti postopek</w:t>
            </w:r>
          </w:p>
        </w:tc>
        <w:tc>
          <w:tcPr>
            <w:tcW w:w="811" w:type="pct"/>
            <w:tcBorders>
              <w:top w:val="nil"/>
              <w:left w:val="nil"/>
              <w:bottom w:val="single" w:sz="4" w:space="0" w:color="auto"/>
              <w:right w:val="single" w:sz="4" w:space="0" w:color="auto"/>
            </w:tcBorders>
            <w:shd w:val="clear" w:color="auto" w:fill="auto"/>
            <w:vAlign w:val="center"/>
            <w:hideMark/>
          </w:tcPr>
          <w:p w14:paraId="149EB022"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8</w:t>
            </w:r>
          </w:p>
        </w:tc>
        <w:tc>
          <w:tcPr>
            <w:tcW w:w="1405" w:type="pct"/>
            <w:tcBorders>
              <w:top w:val="nil"/>
              <w:left w:val="nil"/>
              <w:bottom w:val="single" w:sz="4" w:space="0" w:color="auto"/>
              <w:right w:val="single" w:sz="4" w:space="0" w:color="auto"/>
            </w:tcBorders>
            <w:shd w:val="clear" w:color="auto" w:fill="auto"/>
            <w:vAlign w:val="center"/>
            <w:hideMark/>
          </w:tcPr>
          <w:p w14:paraId="26D7B622"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r>
      <w:tr w:rsidR="00EC1CCB" w:rsidRPr="00EC1CCB" w14:paraId="31F76B62"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25271AA3"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tcBorders>
              <w:top w:val="nil"/>
              <w:left w:val="single" w:sz="4" w:space="0" w:color="auto"/>
              <w:bottom w:val="single" w:sz="4" w:space="0" w:color="000000"/>
              <w:right w:val="single" w:sz="4" w:space="0" w:color="auto"/>
            </w:tcBorders>
            <w:vAlign w:val="center"/>
            <w:hideMark/>
          </w:tcPr>
          <w:p w14:paraId="6835B754" w14:textId="77777777" w:rsidR="00EC1CCB" w:rsidRPr="00EC1CCB" w:rsidRDefault="00EC1CCB" w:rsidP="0026330A">
            <w:pPr>
              <w:spacing w:after="0" w:line="240" w:lineRule="auto"/>
              <w:rPr>
                <w:rFonts w:ascii="Arial" w:eastAsia="Times New Roman" w:hAnsi="Arial" w:cs="Arial"/>
                <w:color w:val="000000"/>
                <w:sz w:val="18"/>
                <w:szCs w:val="18"/>
                <w:lang w:eastAsia="sl-SI"/>
              </w:rPr>
            </w:pPr>
          </w:p>
        </w:tc>
        <w:tc>
          <w:tcPr>
            <w:tcW w:w="1862" w:type="pct"/>
            <w:tcBorders>
              <w:top w:val="nil"/>
              <w:left w:val="nil"/>
              <w:bottom w:val="single" w:sz="4" w:space="0" w:color="auto"/>
              <w:right w:val="single" w:sz="4" w:space="0" w:color="auto"/>
            </w:tcBorders>
            <w:shd w:val="clear" w:color="auto" w:fill="auto"/>
            <w:vAlign w:val="center"/>
            <w:hideMark/>
          </w:tcPr>
          <w:p w14:paraId="6FC702BB"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Omejeni postopek</w:t>
            </w:r>
          </w:p>
        </w:tc>
        <w:tc>
          <w:tcPr>
            <w:tcW w:w="811" w:type="pct"/>
            <w:tcBorders>
              <w:top w:val="nil"/>
              <w:left w:val="nil"/>
              <w:bottom w:val="single" w:sz="4" w:space="0" w:color="auto"/>
              <w:right w:val="single" w:sz="4" w:space="0" w:color="auto"/>
            </w:tcBorders>
            <w:shd w:val="clear" w:color="auto" w:fill="auto"/>
            <w:vAlign w:val="center"/>
            <w:hideMark/>
          </w:tcPr>
          <w:p w14:paraId="40C0AB62"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c>
          <w:tcPr>
            <w:tcW w:w="1405" w:type="pct"/>
            <w:tcBorders>
              <w:top w:val="nil"/>
              <w:left w:val="nil"/>
              <w:bottom w:val="single" w:sz="4" w:space="0" w:color="auto"/>
              <w:right w:val="single" w:sz="4" w:space="0" w:color="auto"/>
            </w:tcBorders>
            <w:shd w:val="clear" w:color="auto" w:fill="auto"/>
            <w:vAlign w:val="center"/>
            <w:hideMark/>
          </w:tcPr>
          <w:p w14:paraId="3A7B945C"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6</w:t>
            </w:r>
          </w:p>
        </w:tc>
      </w:tr>
      <w:tr w:rsidR="00EC1CCB" w:rsidRPr="00EC1CCB" w14:paraId="0C26D64A"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7BDF5FE5"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tcBorders>
              <w:top w:val="nil"/>
              <w:left w:val="single" w:sz="4" w:space="0" w:color="auto"/>
              <w:bottom w:val="single" w:sz="4" w:space="0" w:color="000000"/>
              <w:right w:val="single" w:sz="4" w:space="0" w:color="auto"/>
            </w:tcBorders>
            <w:vAlign w:val="center"/>
            <w:hideMark/>
          </w:tcPr>
          <w:p w14:paraId="436ED777" w14:textId="77777777" w:rsidR="00EC1CCB" w:rsidRPr="00EC1CCB" w:rsidRDefault="00EC1CCB" w:rsidP="0026330A">
            <w:pPr>
              <w:spacing w:after="0" w:line="240" w:lineRule="auto"/>
              <w:rPr>
                <w:rFonts w:ascii="Arial" w:eastAsia="Times New Roman" w:hAnsi="Arial" w:cs="Arial"/>
                <w:color w:val="000000"/>
                <w:sz w:val="18"/>
                <w:szCs w:val="18"/>
                <w:lang w:eastAsia="sl-SI"/>
              </w:rPr>
            </w:pPr>
          </w:p>
        </w:tc>
        <w:tc>
          <w:tcPr>
            <w:tcW w:w="1862" w:type="pct"/>
            <w:tcBorders>
              <w:top w:val="nil"/>
              <w:left w:val="nil"/>
              <w:bottom w:val="single" w:sz="4" w:space="0" w:color="auto"/>
              <w:right w:val="single" w:sz="4" w:space="0" w:color="auto"/>
            </w:tcBorders>
            <w:shd w:val="clear" w:color="auto" w:fill="auto"/>
            <w:vAlign w:val="center"/>
            <w:hideMark/>
          </w:tcPr>
          <w:p w14:paraId="0E4CD310"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Postopek naročila male vrednosti</w:t>
            </w:r>
          </w:p>
        </w:tc>
        <w:tc>
          <w:tcPr>
            <w:tcW w:w="811" w:type="pct"/>
            <w:tcBorders>
              <w:top w:val="nil"/>
              <w:left w:val="nil"/>
              <w:bottom w:val="single" w:sz="4" w:space="0" w:color="auto"/>
              <w:right w:val="single" w:sz="4" w:space="0" w:color="auto"/>
            </w:tcBorders>
            <w:shd w:val="clear" w:color="auto" w:fill="auto"/>
            <w:vAlign w:val="center"/>
            <w:hideMark/>
          </w:tcPr>
          <w:p w14:paraId="3449D6B1"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4</w:t>
            </w:r>
          </w:p>
        </w:tc>
        <w:tc>
          <w:tcPr>
            <w:tcW w:w="1405" w:type="pct"/>
            <w:tcBorders>
              <w:top w:val="nil"/>
              <w:left w:val="nil"/>
              <w:bottom w:val="single" w:sz="4" w:space="0" w:color="auto"/>
              <w:right w:val="single" w:sz="4" w:space="0" w:color="auto"/>
            </w:tcBorders>
            <w:shd w:val="clear" w:color="auto" w:fill="auto"/>
            <w:vAlign w:val="center"/>
            <w:hideMark/>
          </w:tcPr>
          <w:p w14:paraId="0FBE21E4"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r>
      <w:tr w:rsidR="00EC1CCB" w:rsidRPr="00EC1CCB" w14:paraId="4EE58883"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48F779AC"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tcBorders>
              <w:top w:val="nil"/>
              <w:left w:val="single" w:sz="4" w:space="0" w:color="auto"/>
              <w:bottom w:val="single" w:sz="4" w:space="0" w:color="000000"/>
              <w:right w:val="single" w:sz="4" w:space="0" w:color="auto"/>
            </w:tcBorders>
            <w:vAlign w:val="center"/>
            <w:hideMark/>
          </w:tcPr>
          <w:p w14:paraId="59039C71" w14:textId="77777777" w:rsidR="00EC1CCB" w:rsidRPr="00EC1CCB" w:rsidRDefault="00EC1CCB" w:rsidP="0026330A">
            <w:pPr>
              <w:spacing w:after="0" w:line="240" w:lineRule="auto"/>
              <w:rPr>
                <w:rFonts w:ascii="Arial" w:eastAsia="Times New Roman" w:hAnsi="Arial" w:cs="Arial"/>
                <w:color w:val="000000"/>
                <w:sz w:val="18"/>
                <w:szCs w:val="18"/>
                <w:lang w:eastAsia="sl-SI"/>
              </w:rPr>
            </w:pPr>
          </w:p>
        </w:tc>
        <w:tc>
          <w:tcPr>
            <w:tcW w:w="1862" w:type="pct"/>
            <w:tcBorders>
              <w:top w:val="nil"/>
              <w:left w:val="nil"/>
              <w:bottom w:val="single" w:sz="4" w:space="0" w:color="auto"/>
              <w:right w:val="single" w:sz="4" w:space="0" w:color="auto"/>
            </w:tcBorders>
            <w:shd w:val="clear" w:color="auto" w:fill="auto"/>
            <w:vAlign w:val="center"/>
            <w:hideMark/>
          </w:tcPr>
          <w:p w14:paraId="7A957689"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Postopek naročila male vrednosti</w:t>
            </w:r>
          </w:p>
        </w:tc>
        <w:tc>
          <w:tcPr>
            <w:tcW w:w="811" w:type="pct"/>
            <w:tcBorders>
              <w:top w:val="nil"/>
              <w:left w:val="nil"/>
              <w:bottom w:val="single" w:sz="4" w:space="0" w:color="auto"/>
              <w:right w:val="single" w:sz="4" w:space="0" w:color="auto"/>
            </w:tcBorders>
            <w:shd w:val="clear" w:color="auto" w:fill="auto"/>
            <w:vAlign w:val="center"/>
            <w:hideMark/>
          </w:tcPr>
          <w:p w14:paraId="52F15DA7"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2</w:t>
            </w:r>
          </w:p>
        </w:tc>
        <w:tc>
          <w:tcPr>
            <w:tcW w:w="1405" w:type="pct"/>
            <w:tcBorders>
              <w:top w:val="nil"/>
              <w:left w:val="nil"/>
              <w:bottom w:val="single" w:sz="4" w:space="0" w:color="auto"/>
              <w:right w:val="single" w:sz="4" w:space="0" w:color="auto"/>
            </w:tcBorders>
            <w:shd w:val="clear" w:color="auto" w:fill="auto"/>
            <w:vAlign w:val="center"/>
            <w:hideMark/>
          </w:tcPr>
          <w:p w14:paraId="10A2C17D"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2</w:t>
            </w:r>
          </w:p>
        </w:tc>
      </w:tr>
      <w:tr w:rsidR="00EC1CCB" w:rsidRPr="00EC1CCB" w14:paraId="502F5A8A"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56B2FAF5"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14:paraId="2B525C07" w14:textId="77777777" w:rsidR="00EC1CCB" w:rsidRPr="00EC1CCB" w:rsidRDefault="00EC1CCB" w:rsidP="0026330A">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Storitve</w:t>
            </w:r>
          </w:p>
        </w:tc>
        <w:tc>
          <w:tcPr>
            <w:tcW w:w="1862" w:type="pct"/>
            <w:tcBorders>
              <w:top w:val="nil"/>
              <w:left w:val="nil"/>
              <w:bottom w:val="single" w:sz="4" w:space="0" w:color="auto"/>
              <w:right w:val="single" w:sz="4" w:space="0" w:color="auto"/>
            </w:tcBorders>
            <w:shd w:val="clear" w:color="auto" w:fill="auto"/>
            <w:vAlign w:val="center"/>
            <w:hideMark/>
          </w:tcPr>
          <w:p w14:paraId="11A135EA"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Postopek s pogajanji brez predhodne objave</w:t>
            </w:r>
          </w:p>
        </w:tc>
        <w:tc>
          <w:tcPr>
            <w:tcW w:w="811" w:type="pct"/>
            <w:tcBorders>
              <w:top w:val="nil"/>
              <w:left w:val="nil"/>
              <w:bottom w:val="single" w:sz="4" w:space="0" w:color="auto"/>
              <w:right w:val="single" w:sz="4" w:space="0" w:color="auto"/>
            </w:tcBorders>
            <w:shd w:val="clear" w:color="auto" w:fill="auto"/>
            <w:vAlign w:val="center"/>
            <w:hideMark/>
          </w:tcPr>
          <w:p w14:paraId="709DFC6A"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2</w:t>
            </w:r>
          </w:p>
        </w:tc>
        <w:tc>
          <w:tcPr>
            <w:tcW w:w="1405" w:type="pct"/>
            <w:tcBorders>
              <w:top w:val="nil"/>
              <w:left w:val="nil"/>
              <w:bottom w:val="single" w:sz="4" w:space="0" w:color="auto"/>
              <w:right w:val="single" w:sz="4" w:space="0" w:color="auto"/>
            </w:tcBorders>
            <w:shd w:val="clear" w:color="auto" w:fill="auto"/>
            <w:vAlign w:val="center"/>
            <w:hideMark/>
          </w:tcPr>
          <w:p w14:paraId="77E9675D"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r>
      <w:tr w:rsidR="00EC1CCB" w:rsidRPr="00EC1CCB" w14:paraId="3001A6D3"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43B12E6F"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tcBorders>
              <w:top w:val="nil"/>
              <w:left w:val="single" w:sz="4" w:space="0" w:color="auto"/>
              <w:bottom w:val="single" w:sz="4" w:space="0" w:color="000000"/>
              <w:right w:val="single" w:sz="4" w:space="0" w:color="auto"/>
            </w:tcBorders>
            <w:vAlign w:val="center"/>
            <w:hideMark/>
          </w:tcPr>
          <w:p w14:paraId="7F4F2B0B" w14:textId="77777777" w:rsidR="00EC1CCB" w:rsidRPr="00EC1CCB" w:rsidRDefault="00EC1CCB" w:rsidP="0026330A">
            <w:pPr>
              <w:spacing w:after="0" w:line="240" w:lineRule="auto"/>
              <w:rPr>
                <w:rFonts w:ascii="Arial" w:eastAsia="Times New Roman" w:hAnsi="Arial" w:cs="Arial"/>
                <w:color w:val="000000"/>
                <w:sz w:val="18"/>
                <w:szCs w:val="18"/>
                <w:lang w:eastAsia="sl-SI"/>
              </w:rPr>
            </w:pPr>
          </w:p>
        </w:tc>
        <w:tc>
          <w:tcPr>
            <w:tcW w:w="1862" w:type="pct"/>
            <w:tcBorders>
              <w:top w:val="nil"/>
              <w:left w:val="nil"/>
              <w:bottom w:val="single" w:sz="4" w:space="0" w:color="auto"/>
              <w:right w:val="single" w:sz="4" w:space="0" w:color="auto"/>
            </w:tcBorders>
            <w:shd w:val="clear" w:color="auto" w:fill="auto"/>
            <w:vAlign w:val="center"/>
            <w:hideMark/>
          </w:tcPr>
          <w:p w14:paraId="1B333338"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Odprti postopek</w:t>
            </w:r>
          </w:p>
        </w:tc>
        <w:tc>
          <w:tcPr>
            <w:tcW w:w="811" w:type="pct"/>
            <w:tcBorders>
              <w:top w:val="nil"/>
              <w:left w:val="nil"/>
              <w:bottom w:val="single" w:sz="4" w:space="0" w:color="auto"/>
              <w:right w:val="single" w:sz="4" w:space="0" w:color="auto"/>
            </w:tcBorders>
            <w:shd w:val="clear" w:color="auto" w:fill="auto"/>
            <w:vAlign w:val="center"/>
            <w:hideMark/>
          </w:tcPr>
          <w:p w14:paraId="1640A651"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2</w:t>
            </w:r>
          </w:p>
        </w:tc>
        <w:tc>
          <w:tcPr>
            <w:tcW w:w="1405" w:type="pct"/>
            <w:tcBorders>
              <w:top w:val="nil"/>
              <w:left w:val="nil"/>
              <w:bottom w:val="single" w:sz="4" w:space="0" w:color="auto"/>
              <w:right w:val="single" w:sz="4" w:space="0" w:color="auto"/>
            </w:tcBorders>
            <w:shd w:val="clear" w:color="auto" w:fill="auto"/>
            <w:vAlign w:val="center"/>
            <w:hideMark/>
          </w:tcPr>
          <w:p w14:paraId="49392307"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r>
      <w:tr w:rsidR="00EC1CCB" w:rsidRPr="00EC1CCB" w14:paraId="1BFE7A27"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4A69B9FA"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tcBorders>
              <w:top w:val="nil"/>
              <w:left w:val="single" w:sz="4" w:space="0" w:color="auto"/>
              <w:bottom w:val="single" w:sz="4" w:space="0" w:color="000000"/>
              <w:right w:val="single" w:sz="4" w:space="0" w:color="auto"/>
            </w:tcBorders>
            <w:vAlign w:val="center"/>
            <w:hideMark/>
          </w:tcPr>
          <w:p w14:paraId="5510970B" w14:textId="77777777" w:rsidR="00EC1CCB" w:rsidRPr="00EC1CCB" w:rsidRDefault="00EC1CCB" w:rsidP="0026330A">
            <w:pPr>
              <w:spacing w:after="0" w:line="240" w:lineRule="auto"/>
              <w:rPr>
                <w:rFonts w:ascii="Arial" w:eastAsia="Times New Roman" w:hAnsi="Arial" w:cs="Arial"/>
                <w:color w:val="000000"/>
                <w:sz w:val="18"/>
                <w:szCs w:val="18"/>
                <w:lang w:eastAsia="sl-SI"/>
              </w:rPr>
            </w:pPr>
          </w:p>
        </w:tc>
        <w:tc>
          <w:tcPr>
            <w:tcW w:w="1862" w:type="pct"/>
            <w:tcBorders>
              <w:top w:val="nil"/>
              <w:left w:val="nil"/>
              <w:bottom w:val="single" w:sz="4" w:space="0" w:color="auto"/>
              <w:right w:val="single" w:sz="4" w:space="0" w:color="auto"/>
            </w:tcBorders>
            <w:shd w:val="clear" w:color="auto" w:fill="auto"/>
            <w:vAlign w:val="center"/>
            <w:hideMark/>
          </w:tcPr>
          <w:p w14:paraId="787F580F"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Postopek naročila male vrednosti</w:t>
            </w:r>
          </w:p>
        </w:tc>
        <w:tc>
          <w:tcPr>
            <w:tcW w:w="811" w:type="pct"/>
            <w:tcBorders>
              <w:top w:val="nil"/>
              <w:left w:val="nil"/>
              <w:bottom w:val="single" w:sz="4" w:space="0" w:color="auto"/>
              <w:right w:val="single" w:sz="4" w:space="0" w:color="auto"/>
            </w:tcBorders>
            <w:shd w:val="clear" w:color="auto" w:fill="auto"/>
            <w:vAlign w:val="center"/>
            <w:hideMark/>
          </w:tcPr>
          <w:p w14:paraId="48623A33"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2</w:t>
            </w:r>
          </w:p>
        </w:tc>
        <w:tc>
          <w:tcPr>
            <w:tcW w:w="1405" w:type="pct"/>
            <w:tcBorders>
              <w:top w:val="nil"/>
              <w:left w:val="nil"/>
              <w:bottom w:val="single" w:sz="4" w:space="0" w:color="auto"/>
              <w:right w:val="single" w:sz="4" w:space="0" w:color="auto"/>
            </w:tcBorders>
            <w:shd w:val="clear" w:color="auto" w:fill="auto"/>
            <w:vAlign w:val="center"/>
            <w:hideMark/>
          </w:tcPr>
          <w:p w14:paraId="7B5F8F04"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r>
      <w:tr w:rsidR="00EC1CCB" w:rsidRPr="00EC1CCB" w14:paraId="6C39DE80"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0CA0DAA6"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vMerge/>
            <w:tcBorders>
              <w:top w:val="nil"/>
              <w:left w:val="single" w:sz="4" w:space="0" w:color="auto"/>
              <w:bottom w:val="single" w:sz="4" w:space="0" w:color="000000"/>
              <w:right w:val="single" w:sz="4" w:space="0" w:color="auto"/>
            </w:tcBorders>
            <w:vAlign w:val="center"/>
            <w:hideMark/>
          </w:tcPr>
          <w:p w14:paraId="11F0D9CA" w14:textId="77777777" w:rsidR="00EC1CCB" w:rsidRPr="00EC1CCB" w:rsidRDefault="00EC1CCB" w:rsidP="0026330A">
            <w:pPr>
              <w:spacing w:after="0" w:line="240" w:lineRule="auto"/>
              <w:rPr>
                <w:rFonts w:ascii="Arial" w:eastAsia="Times New Roman" w:hAnsi="Arial" w:cs="Arial"/>
                <w:color w:val="000000"/>
                <w:sz w:val="18"/>
                <w:szCs w:val="18"/>
                <w:lang w:eastAsia="sl-SI"/>
              </w:rPr>
            </w:pPr>
          </w:p>
        </w:tc>
        <w:tc>
          <w:tcPr>
            <w:tcW w:w="1862" w:type="pct"/>
            <w:tcBorders>
              <w:top w:val="nil"/>
              <w:left w:val="nil"/>
              <w:bottom w:val="single" w:sz="4" w:space="0" w:color="auto"/>
              <w:right w:val="single" w:sz="4" w:space="0" w:color="auto"/>
            </w:tcBorders>
            <w:shd w:val="clear" w:color="auto" w:fill="auto"/>
            <w:vAlign w:val="center"/>
            <w:hideMark/>
          </w:tcPr>
          <w:p w14:paraId="5FDFD8CC"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Postopek naročila male vrednosti</w:t>
            </w:r>
          </w:p>
        </w:tc>
        <w:tc>
          <w:tcPr>
            <w:tcW w:w="811" w:type="pct"/>
            <w:tcBorders>
              <w:top w:val="nil"/>
              <w:left w:val="nil"/>
              <w:bottom w:val="single" w:sz="4" w:space="0" w:color="auto"/>
              <w:right w:val="single" w:sz="4" w:space="0" w:color="auto"/>
            </w:tcBorders>
            <w:shd w:val="clear" w:color="auto" w:fill="auto"/>
            <w:vAlign w:val="center"/>
            <w:hideMark/>
          </w:tcPr>
          <w:p w14:paraId="298CEFB7"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c>
          <w:tcPr>
            <w:tcW w:w="1405" w:type="pct"/>
            <w:tcBorders>
              <w:top w:val="nil"/>
              <w:left w:val="nil"/>
              <w:bottom w:val="single" w:sz="4" w:space="0" w:color="auto"/>
              <w:right w:val="single" w:sz="4" w:space="0" w:color="auto"/>
            </w:tcBorders>
            <w:shd w:val="clear" w:color="auto" w:fill="auto"/>
            <w:vAlign w:val="center"/>
            <w:hideMark/>
          </w:tcPr>
          <w:p w14:paraId="1ED4FEA6"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3</w:t>
            </w:r>
          </w:p>
        </w:tc>
      </w:tr>
      <w:tr w:rsidR="00EC1CCB" w:rsidRPr="00EC1CCB" w14:paraId="44B7091F" w14:textId="77777777" w:rsidTr="0026330A">
        <w:trPr>
          <w:trHeight w:val="300"/>
        </w:trPr>
        <w:tc>
          <w:tcPr>
            <w:tcW w:w="470" w:type="pct"/>
            <w:vMerge/>
            <w:tcBorders>
              <w:top w:val="nil"/>
              <w:left w:val="single" w:sz="4" w:space="0" w:color="auto"/>
              <w:bottom w:val="single" w:sz="4" w:space="0" w:color="000000"/>
              <w:right w:val="single" w:sz="4" w:space="0" w:color="auto"/>
            </w:tcBorders>
            <w:vAlign w:val="center"/>
            <w:hideMark/>
          </w:tcPr>
          <w:p w14:paraId="0319B72F" w14:textId="77777777" w:rsidR="00EC1CCB" w:rsidRPr="00EC1CCB" w:rsidRDefault="00EC1CCB" w:rsidP="00EC1CCB">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0C954218" w14:textId="77777777" w:rsidR="00EC1CCB" w:rsidRPr="00EC1CCB" w:rsidRDefault="00EC1CCB" w:rsidP="0026330A">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Gradnje</w:t>
            </w:r>
          </w:p>
        </w:tc>
        <w:tc>
          <w:tcPr>
            <w:tcW w:w="1862" w:type="pct"/>
            <w:tcBorders>
              <w:top w:val="nil"/>
              <w:left w:val="nil"/>
              <w:bottom w:val="single" w:sz="4" w:space="0" w:color="auto"/>
              <w:right w:val="single" w:sz="4" w:space="0" w:color="auto"/>
            </w:tcBorders>
            <w:shd w:val="clear" w:color="auto" w:fill="auto"/>
            <w:vAlign w:val="center"/>
            <w:hideMark/>
          </w:tcPr>
          <w:p w14:paraId="55155927" w14:textId="77777777" w:rsidR="00EC1CCB" w:rsidRPr="00EC1CCB" w:rsidRDefault="00EC1CCB" w:rsidP="00EC1CCB">
            <w:pPr>
              <w:spacing w:after="0" w:line="240" w:lineRule="auto"/>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Postopek naročila male vrednosti</w:t>
            </w:r>
          </w:p>
        </w:tc>
        <w:tc>
          <w:tcPr>
            <w:tcW w:w="811" w:type="pct"/>
            <w:tcBorders>
              <w:top w:val="nil"/>
              <w:left w:val="nil"/>
              <w:bottom w:val="single" w:sz="4" w:space="0" w:color="auto"/>
              <w:right w:val="single" w:sz="4" w:space="0" w:color="auto"/>
            </w:tcBorders>
            <w:shd w:val="clear" w:color="auto" w:fill="auto"/>
            <w:vAlign w:val="center"/>
            <w:hideMark/>
          </w:tcPr>
          <w:p w14:paraId="2F0A141D"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3</w:t>
            </w:r>
          </w:p>
        </w:tc>
        <w:tc>
          <w:tcPr>
            <w:tcW w:w="1405" w:type="pct"/>
            <w:tcBorders>
              <w:top w:val="nil"/>
              <w:left w:val="nil"/>
              <w:bottom w:val="single" w:sz="4" w:space="0" w:color="auto"/>
              <w:right w:val="single" w:sz="4" w:space="0" w:color="auto"/>
            </w:tcBorders>
            <w:shd w:val="clear" w:color="auto" w:fill="auto"/>
            <w:vAlign w:val="center"/>
            <w:hideMark/>
          </w:tcPr>
          <w:p w14:paraId="30B256C1" w14:textId="77777777" w:rsidR="00EC1CCB" w:rsidRPr="00EC1CCB" w:rsidRDefault="00EC1CCB" w:rsidP="00EC1CCB">
            <w:pPr>
              <w:spacing w:after="0" w:line="240" w:lineRule="auto"/>
              <w:jc w:val="right"/>
              <w:rPr>
                <w:rFonts w:ascii="Arial" w:eastAsia="Times New Roman" w:hAnsi="Arial" w:cs="Arial"/>
                <w:color w:val="000000"/>
                <w:sz w:val="18"/>
                <w:szCs w:val="18"/>
                <w:lang w:eastAsia="sl-SI"/>
              </w:rPr>
            </w:pPr>
            <w:r w:rsidRPr="00EC1CCB">
              <w:rPr>
                <w:rFonts w:ascii="Arial" w:eastAsia="Times New Roman" w:hAnsi="Arial" w:cs="Arial"/>
                <w:color w:val="000000"/>
                <w:sz w:val="18"/>
                <w:szCs w:val="18"/>
                <w:lang w:eastAsia="sl-SI"/>
              </w:rPr>
              <w:t>1</w:t>
            </w:r>
          </w:p>
        </w:tc>
      </w:tr>
    </w:tbl>
    <w:p w14:paraId="05050952" w14:textId="77777777" w:rsidR="004A613D" w:rsidRPr="00EF2D0B" w:rsidRDefault="004A613D" w:rsidP="004A613D">
      <w:pPr>
        <w:spacing w:after="0" w:line="240" w:lineRule="auto"/>
        <w:jc w:val="center"/>
        <w:rPr>
          <w:rFonts w:ascii="Arial" w:hAnsi="Arial" w:cs="Arial"/>
          <w:sz w:val="18"/>
          <w:highlight w:val="yellow"/>
        </w:rPr>
      </w:pPr>
    </w:p>
    <w:p w14:paraId="5615E034" w14:textId="232426DA" w:rsidR="00B37E65" w:rsidRDefault="00B37E65" w:rsidP="004A613D">
      <w:pPr>
        <w:spacing w:after="0" w:line="240" w:lineRule="auto"/>
        <w:jc w:val="center"/>
        <w:rPr>
          <w:rFonts w:ascii="Arial" w:hAnsi="Arial" w:cs="Arial"/>
          <w:sz w:val="18"/>
        </w:rPr>
      </w:pPr>
      <w:r w:rsidRPr="00EC1CCB">
        <w:rPr>
          <w:rFonts w:ascii="Arial" w:hAnsi="Arial" w:cs="Arial"/>
          <w:sz w:val="18"/>
        </w:rPr>
        <w:t>Vir: Statistični podatki o javni</w:t>
      </w:r>
      <w:r w:rsidR="00612CAA" w:rsidRPr="00EC1CCB">
        <w:rPr>
          <w:rFonts w:ascii="Arial" w:hAnsi="Arial" w:cs="Arial"/>
          <w:sz w:val="18"/>
        </w:rPr>
        <w:t>h naročilih, oddanih v letu 201</w:t>
      </w:r>
      <w:r w:rsidR="00EC1CCB" w:rsidRPr="00EC1CCB">
        <w:rPr>
          <w:rFonts w:ascii="Arial" w:hAnsi="Arial" w:cs="Arial"/>
          <w:sz w:val="18"/>
        </w:rPr>
        <w:t>8</w:t>
      </w:r>
    </w:p>
    <w:p w14:paraId="3CF332BE" w14:textId="77777777" w:rsidR="004E69E6" w:rsidRPr="00EC1CCB" w:rsidRDefault="004E69E6" w:rsidP="004A613D">
      <w:pPr>
        <w:spacing w:after="0" w:line="240" w:lineRule="auto"/>
        <w:jc w:val="center"/>
        <w:rPr>
          <w:rFonts w:ascii="Arial" w:hAnsi="Arial" w:cs="Arial"/>
          <w:sz w:val="18"/>
        </w:rPr>
      </w:pPr>
    </w:p>
    <w:p w14:paraId="2CC22EEC" w14:textId="7B8B09A9" w:rsidR="00F64986" w:rsidRPr="0021468C" w:rsidRDefault="00F64986" w:rsidP="00F64986">
      <w:pPr>
        <w:pStyle w:val="Naslov3"/>
        <w:rPr>
          <w:rFonts w:ascii="Arial" w:hAnsi="Arial" w:cs="Arial"/>
          <w:sz w:val="22"/>
          <w:szCs w:val="22"/>
        </w:rPr>
      </w:pPr>
      <w:bookmarkStart w:id="33" w:name="_Toc17114071"/>
      <w:r w:rsidRPr="0021468C">
        <w:rPr>
          <w:rFonts w:ascii="Arial" w:hAnsi="Arial" w:cs="Arial"/>
          <w:sz w:val="22"/>
          <w:szCs w:val="22"/>
        </w:rPr>
        <w:lastRenderedPageBreak/>
        <w:t>2.7.6 Podizvajalci</w:t>
      </w:r>
      <w:bookmarkEnd w:id="33"/>
    </w:p>
    <w:p w14:paraId="308ECCE8" w14:textId="77777777" w:rsidR="00F64986" w:rsidRPr="0021468C" w:rsidRDefault="00F64986" w:rsidP="00854405">
      <w:pPr>
        <w:pStyle w:val="ZADEVA"/>
        <w:jc w:val="both"/>
        <w:rPr>
          <w:rFonts w:cs="Arial"/>
          <w:b w:val="0"/>
          <w:szCs w:val="20"/>
          <w:lang w:val="sl-SI"/>
        </w:rPr>
      </w:pPr>
    </w:p>
    <w:p w14:paraId="2EEDE4B9" w14:textId="5816262B" w:rsidR="00B37E65" w:rsidRPr="00766EC9" w:rsidRDefault="00711BE8" w:rsidP="00B37E65">
      <w:pPr>
        <w:spacing w:line="360" w:lineRule="auto"/>
        <w:jc w:val="both"/>
        <w:rPr>
          <w:rFonts w:ascii="Arial" w:hAnsi="Arial" w:cs="Arial"/>
          <w:sz w:val="20"/>
          <w:szCs w:val="20"/>
        </w:rPr>
      </w:pPr>
      <w:r>
        <w:rPr>
          <w:rFonts w:ascii="Arial" w:hAnsi="Arial" w:cs="Arial"/>
          <w:sz w:val="20"/>
          <w:szCs w:val="20"/>
        </w:rPr>
        <w:t>Leta</w:t>
      </w:r>
      <w:r w:rsidR="0096196E" w:rsidRPr="00766EC9">
        <w:rPr>
          <w:rFonts w:ascii="Arial" w:hAnsi="Arial" w:cs="Arial"/>
          <w:sz w:val="20"/>
          <w:szCs w:val="20"/>
        </w:rPr>
        <w:t xml:space="preserve"> 201</w:t>
      </w:r>
      <w:r w:rsidR="0021468C" w:rsidRPr="00766EC9">
        <w:rPr>
          <w:rFonts w:ascii="Arial" w:hAnsi="Arial" w:cs="Arial"/>
          <w:sz w:val="20"/>
          <w:szCs w:val="20"/>
        </w:rPr>
        <w:t>8</w:t>
      </w:r>
      <w:r w:rsidR="00B37E65" w:rsidRPr="00766EC9">
        <w:rPr>
          <w:rFonts w:ascii="Arial" w:hAnsi="Arial" w:cs="Arial"/>
          <w:sz w:val="20"/>
          <w:szCs w:val="20"/>
        </w:rPr>
        <w:t xml:space="preserve"> je</w:t>
      </w:r>
      <w:r w:rsidR="0096196E" w:rsidRPr="00766EC9">
        <w:rPr>
          <w:rFonts w:ascii="Arial" w:hAnsi="Arial" w:cs="Arial"/>
          <w:sz w:val="20"/>
          <w:szCs w:val="20"/>
        </w:rPr>
        <w:t xml:space="preserve"> bilo v </w:t>
      </w:r>
      <w:proofErr w:type="spellStart"/>
      <w:r w:rsidR="0096196E" w:rsidRPr="00766EC9">
        <w:rPr>
          <w:rFonts w:ascii="Arial" w:hAnsi="Arial" w:cs="Arial"/>
          <w:sz w:val="20"/>
          <w:szCs w:val="20"/>
        </w:rPr>
        <w:t>podizvajanje</w:t>
      </w:r>
      <w:proofErr w:type="spellEnd"/>
      <w:r w:rsidR="0096196E" w:rsidRPr="00766EC9">
        <w:rPr>
          <w:rFonts w:ascii="Arial" w:hAnsi="Arial" w:cs="Arial"/>
          <w:sz w:val="20"/>
          <w:szCs w:val="20"/>
        </w:rPr>
        <w:t xml:space="preserve"> oddanih </w:t>
      </w:r>
      <w:r w:rsidR="0021468C" w:rsidRPr="00766EC9">
        <w:rPr>
          <w:rFonts w:ascii="Arial" w:hAnsi="Arial" w:cs="Arial"/>
          <w:sz w:val="20"/>
          <w:szCs w:val="20"/>
        </w:rPr>
        <w:t>931</w:t>
      </w:r>
      <w:r w:rsidR="00B37E65" w:rsidRPr="00766EC9">
        <w:rPr>
          <w:rFonts w:ascii="Arial" w:hAnsi="Arial" w:cs="Arial"/>
          <w:sz w:val="20"/>
          <w:szCs w:val="20"/>
        </w:rPr>
        <w:t xml:space="preserve"> javnih naročil. Podizvajalci so bili udeleženi v</w:t>
      </w:r>
      <w:r w:rsidR="00766EC9" w:rsidRPr="00766EC9">
        <w:rPr>
          <w:rFonts w:ascii="Arial" w:hAnsi="Arial" w:cs="Arial"/>
          <w:sz w:val="20"/>
          <w:szCs w:val="20"/>
        </w:rPr>
        <w:t xml:space="preserve"> </w:t>
      </w:r>
      <w:r w:rsidR="00B37E65" w:rsidRPr="00766EC9">
        <w:rPr>
          <w:rFonts w:ascii="Arial" w:hAnsi="Arial" w:cs="Arial"/>
          <w:sz w:val="20"/>
          <w:szCs w:val="20"/>
        </w:rPr>
        <w:t xml:space="preserve">konkurenčnih postopkih s pogajanji, </w:t>
      </w:r>
      <w:r w:rsidR="00A659FB" w:rsidRPr="00766EC9">
        <w:rPr>
          <w:rFonts w:ascii="Arial" w:hAnsi="Arial" w:cs="Arial"/>
          <w:sz w:val="20"/>
          <w:szCs w:val="20"/>
        </w:rPr>
        <w:t xml:space="preserve">v </w:t>
      </w:r>
      <w:r w:rsidR="00B37E65" w:rsidRPr="00766EC9">
        <w:rPr>
          <w:rFonts w:ascii="Arial" w:hAnsi="Arial" w:cs="Arial"/>
          <w:sz w:val="20"/>
          <w:szCs w:val="20"/>
        </w:rPr>
        <w:t xml:space="preserve">odprtih postopkih, </w:t>
      </w:r>
      <w:r w:rsidR="004774D7" w:rsidRPr="00766EC9">
        <w:rPr>
          <w:rFonts w:ascii="Arial" w:hAnsi="Arial" w:cs="Arial"/>
          <w:sz w:val="20"/>
          <w:szCs w:val="20"/>
        </w:rPr>
        <w:t>omejen</w:t>
      </w:r>
      <w:r w:rsidR="00766EC9" w:rsidRPr="00766EC9">
        <w:rPr>
          <w:rFonts w:ascii="Arial" w:hAnsi="Arial" w:cs="Arial"/>
          <w:sz w:val="20"/>
          <w:szCs w:val="20"/>
        </w:rPr>
        <w:t>ih</w:t>
      </w:r>
      <w:r w:rsidR="004774D7" w:rsidRPr="00766EC9">
        <w:rPr>
          <w:rFonts w:ascii="Arial" w:hAnsi="Arial" w:cs="Arial"/>
          <w:sz w:val="20"/>
          <w:szCs w:val="20"/>
        </w:rPr>
        <w:t xml:space="preserve"> postopk</w:t>
      </w:r>
      <w:r w:rsidR="00766EC9" w:rsidRPr="00766EC9">
        <w:rPr>
          <w:rFonts w:ascii="Arial" w:hAnsi="Arial" w:cs="Arial"/>
          <w:sz w:val="20"/>
          <w:szCs w:val="20"/>
        </w:rPr>
        <w:t>ih</w:t>
      </w:r>
      <w:r w:rsidR="004774D7" w:rsidRPr="00766EC9">
        <w:rPr>
          <w:rFonts w:ascii="Arial" w:hAnsi="Arial" w:cs="Arial"/>
          <w:sz w:val="20"/>
          <w:szCs w:val="20"/>
        </w:rPr>
        <w:t>, postopkih naročil</w:t>
      </w:r>
      <w:r w:rsidR="00B37E65" w:rsidRPr="00766EC9">
        <w:rPr>
          <w:rFonts w:ascii="Arial" w:hAnsi="Arial" w:cs="Arial"/>
          <w:sz w:val="20"/>
          <w:szCs w:val="20"/>
        </w:rPr>
        <w:t xml:space="preserve"> male vrednosti, postopkih s pogajanji brez predhodne objave, </w:t>
      </w:r>
      <w:r w:rsidR="00A659FB" w:rsidRPr="00766EC9">
        <w:rPr>
          <w:rFonts w:ascii="Arial" w:hAnsi="Arial" w:cs="Arial"/>
          <w:sz w:val="20"/>
          <w:szCs w:val="20"/>
        </w:rPr>
        <w:t xml:space="preserve">v </w:t>
      </w:r>
      <w:r w:rsidR="00B37E65" w:rsidRPr="00766EC9">
        <w:rPr>
          <w:rFonts w:ascii="Arial" w:hAnsi="Arial" w:cs="Arial"/>
          <w:sz w:val="20"/>
          <w:szCs w:val="20"/>
        </w:rPr>
        <w:t>postopkih s pogajanji po predhodni objav</w:t>
      </w:r>
      <w:r w:rsidR="003F51AD" w:rsidRPr="00766EC9">
        <w:rPr>
          <w:rFonts w:ascii="Arial" w:hAnsi="Arial" w:cs="Arial"/>
          <w:sz w:val="20"/>
          <w:szCs w:val="20"/>
        </w:rPr>
        <w:t>i</w:t>
      </w:r>
      <w:r w:rsidR="004774D7" w:rsidRPr="00766EC9">
        <w:rPr>
          <w:rFonts w:ascii="Arial" w:hAnsi="Arial" w:cs="Arial"/>
          <w:sz w:val="20"/>
          <w:szCs w:val="20"/>
        </w:rPr>
        <w:t xml:space="preserve"> in v postopku</w:t>
      </w:r>
      <w:r w:rsidR="00B37E65" w:rsidRPr="00766EC9">
        <w:rPr>
          <w:rFonts w:ascii="Arial" w:hAnsi="Arial" w:cs="Arial"/>
          <w:sz w:val="20"/>
          <w:szCs w:val="20"/>
        </w:rPr>
        <w:t xml:space="preserve"> zbiranja ponudb po predhodni objavi.</w:t>
      </w:r>
    </w:p>
    <w:p w14:paraId="776C628C" w14:textId="2771286E" w:rsidR="00B37E65" w:rsidRPr="004C39EE" w:rsidRDefault="00B37E65" w:rsidP="008A61FD">
      <w:pPr>
        <w:spacing w:before="120" w:after="120" w:line="240" w:lineRule="auto"/>
        <w:jc w:val="both"/>
        <w:rPr>
          <w:rFonts w:ascii="Arial" w:hAnsi="Arial" w:cs="Arial"/>
          <w:sz w:val="20"/>
        </w:rPr>
      </w:pPr>
      <w:r w:rsidRPr="004C39EE">
        <w:rPr>
          <w:rFonts w:ascii="Arial" w:hAnsi="Arial" w:cs="Arial"/>
          <w:sz w:val="20"/>
        </w:rPr>
        <w:t xml:space="preserve">Preglednica </w:t>
      </w:r>
      <w:r w:rsidR="00EB4423">
        <w:rPr>
          <w:rFonts w:ascii="Arial" w:hAnsi="Arial" w:cs="Arial"/>
          <w:sz w:val="20"/>
        </w:rPr>
        <w:t>48</w:t>
      </w:r>
      <w:r w:rsidRPr="004C39EE">
        <w:rPr>
          <w:rFonts w:ascii="Arial" w:hAnsi="Arial" w:cs="Arial"/>
          <w:sz w:val="20"/>
        </w:rPr>
        <w:t xml:space="preserve">: Udeležba podizvajalcev </w:t>
      </w:r>
      <w:r w:rsidR="00A659FB" w:rsidRPr="004C39EE">
        <w:rPr>
          <w:rFonts w:ascii="Arial" w:hAnsi="Arial" w:cs="Arial"/>
          <w:sz w:val="20"/>
        </w:rPr>
        <w:t>pri</w:t>
      </w:r>
      <w:r w:rsidRPr="004C39EE">
        <w:rPr>
          <w:rFonts w:ascii="Arial" w:hAnsi="Arial" w:cs="Arial"/>
          <w:sz w:val="20"/>
        </w:rPr>
        <w:t xml:space="preserve"> posameznih </w:t>
      </w:r>
      <w:r w:rsidR="00E14B7E" w:rsidRPr="004C39EE">
        <w:rPr>
          <w:rFonts w:ascii="Arial" w:hAnsi="Arial" w:cs="Arial"/>
          <w:sz w:val="20"/>
        </w:rPr>
        <w:t>javnih naročilih</w:t>
      </w:r>
    </w:p>
    <w:tbl>
      <w:tblPr>
        <w:tblW w:w="6620" w:type="dxa"/>
        <w:jc w:val="center"/>
        <w:tblCellMar>
          <w:left w:w="70" w:type="dxa"/>
          <w:right w:w="70" w:type="dxa"/>
        </w:tblCellMar>
        <w:tblLook w:val="04A0" w:firstRow="1" w:lastRow="0" w:firstColumn="1" w:lastColumn="0" w:noHBand="0" w:noVBand="1"/>
      </w:tblPr>
      <w:tblGrid>
        <w:gridCol w:w="1300"/>
        <w:gridCol w:w="1060"/>
        <w:gridCol w:w="1480"/>
        <w:gridCol w:w="1220"/>
        <w:gridCol w:w="1560"/>
      </w:tblGrid>
      <w:tr w:rsidR="00AC44FC" w:rsidRPr="004C39EE" w14:paraId="73614102" w14:textId="77777777" w:rsidTr="009B792F">
        <w:trPr>
          <w:trHeight w:val="480"/>
          <w:jc w:val="center"/>
        </w:trPr>
        <w:tc>
          <w:tcPr>
            <w:tcW w:w="130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2FD2C3F" w14:textId="6D8F18E2" w:rsidR="00AC44FC" w:rsidRPr="004C39EE" w:rsidRDefault="00AC44FC" w:rsidP="00AC44FC">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Oddano podizvajalcem</w:t>
            </w:r>
          </w:p>
        </w:tc>
        <w:tc>
          <w:tcPr>
            <w:tcW w:w="10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59759E9" w14:textId="024D3E47" w:rsidR="00AC44FC" w:rsidRPr="004C39EE" w:rsidRDefault="00AC44FC" w:rsidP="00AC44FC">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Št. naročil</w:t>
            </w:r>
          </w:p>
        </w:tc>
        <w:tc>
          <w:tcPr>
            <w:tcW w:w="1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A60FE23" w14:textId="26FA1700" w:rsidR="00AC44FC" w:rsidRPr="004C39EE" w:rsidRDefault="000F2B07" w:rsidP="00AC44FC">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Pogodbena vrednost</w:t>
            </w:r>
          </w:p>
        </w:tc>
        <w:tc>
          <w:tcPr>
            <w:tcW w:w="12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6024AEC" w14:textId="48295BA5" w:rsidR="00AC44FC" w:rsidRPr="004C39EE" w:rsidRDefault="00AC44FC" w:rsidP="00AC44FC">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Delež v št. vseh naročil</w:t>
            </w:r>
          </w:p>
        </w:tc>
        <w:tc>
          <w:tcPr>
            <w:tcW w:w="15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1012125" w14:textId="245B6106" w:rsidR="00AC44FC" w:rsidRPr="004C39EE" w:rsidRDefault="00AC44FC" w:rsidP="00AC44FC">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Delež v vrednosti vseh naročil</w:t>
            </w:r>
          </w:p>
        </w:tc>
      </w:tr>
      <w:tr w:rsidR="00B00C9D" w:rsidRPr="004C39EE" w14:paraId="1828DBA4" w14:textId="77777777" w:rsidTr="00B00C9D">
        <w:trPr>
          <w:trHeight w:val="28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507EF3F" w14:textId="77777777" w:rsidR="00B00C9D" w:rsidRPr="004C39EE" w:rsidRDefault="00B00C9D" w:rsidP="00B00C9D">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DA</w:t>
            </w:r>
          </w:p>
        </w:tc>
        <w:tc>
          <w:tcPr>
            <w:tcW w:w="1060" w:type="dxa"/>
            <w:tcBorders>
              <w:top w:val="nil"/>
              <w:left w:val="nil"/>
              <w:bottom w:val="single" w:sz="4" w:space="0" w:color="auto"/>
              <w:right w:val="single" w:sz="4" w:space="0" w:color="auto"/>
            </w:tcBorders>
            <w:shd w:val="clear" w:color="auto" w:fill="auto"/>
            <w:vAlign w:val="center"/>
            <w:hideMark/>
          </w:tcPr>
          <w:p w14:paraId="4C72381A" w14:textId="4351A1D1"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931</w:t>
            </w:r>
          </w:p>
        </w:tc>
        <w:tc>
          <w:tcPr>
            <w:tcW w:w="1480" w:type="dxa"/>
            <w:tcBorders>
              <w:top w:val="nil"/>
              <w:left w:val="nil"/>
              <w:bottom w:val="single" w:sz="4" w:space="0" w:color="auto"/>
              <w:right w:val="single" w:sz="4" w:space="0" w:color="auto"/>
            </w:tcBorders>
            <w:shd w:val="clear" w:color="auto" w:fill="auto"/>
            <w:vAlign w:val="center"/>
            <w:hideMark/>
          </w:tcPr>
          <w:p w14:paraId="54DF0CCB" w14:textId="4721B226"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444.269.131</w:t>
            </w:r>
          </w:p>
        </w:tc>
        <w:tc>
          <w:tcPr>
            <w:tcW w:w="1220" w:type="dxa"/>
            <w:tcBorders>
              <w:top w:val="nil"/>
              <w:left w:val="nil"/>
              <w:bottom w:val="single" w:sz="4" w:space="0" w:color="auto"/>
              <w:right w:val="single" w:sz="4" w:space="0" w:color="auto"/>
            </w:tcBorders>
            <w:shd w:val="clear" w:color="auto" w:fill="auto"/>
            <w:noWrap/>
            <w:vAlign w:val="center"/>
            <w:hideMark/>
          </w:tcPr>
          <w:p w14:paraId="0BFAAF4D" w14:textId="7346A04A"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5,52 %</w:t>
            </w:r>
          </w:p>
        </w:tc>
        <w:tc>
          <w:tcPr>
            <w:tcW w:w="1560" w:type="dxa"/>
            <w:tcBorders>
              <w:top w:val="nil"/>
              <w:left w:val="nil"/>
              <w:bottom w:val="single" w:sz="4" w:space="0" w:color="auto"/>
              <w:right w:val="single" w:sz="4" w:space="0" w:color="auto"/>
            </w:tcBorders>
            <w:shd w:val="clear" w:color="auto" w:fill="auto"/>
            <w:noWrap/>
            <w:vAlign w:val="center"/>
            <w:hideMark/>
          </w:tcPr>
          <w:p w14:paraId="2B23D180" w14:textId="543DB65A"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15,22 %</w:t>
            </w:r>
          </w:p>
        </w:tc>
      </w:tr>
      <w:tr w:rsidR="00B00C9D" w:rsidRPr="004C39EE" w14:paraId="3727D93F" w14:textId="77777777" w:rsidTr="00B00C9D">
        <w:trPr>
          <w:trHeight w:val="28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27EE8A2" w14:textId="77777777" w:rsidR="00B00C9D" w:rsidRPr="004C39EE" w:rsidRDefault="00B00C9D" w:rsidP="00B00C9D">
            <w:pPr>
              <w:spacing w:after="0" w:line="240" w:lineRule="auto"/>
              <w:jc w:val="center"/>
              <w:rPr>
                <w:rFonts w:ascii="Arial" w:eastAsia="Times New Roman" w:hAnsi="Arial" w:cs="Arial"/>
                <w:color w:val="000000"/>
                <w:sz w:val="18"/>
                <w:szCs w:val="18"/>
                <w:lang w:eastAsia="sl-SI"/>
              </w:rPr>
            </w:pPr>
            <w:r w:rsidRPr="004C39EE">
              <w:rPr>
                <w:rFonts w:ascii="Arial" w:eastAsia="Times New Roman" w:hAnsi="Arial" w:cs="Arial"/>
                <w:color w:val="000000"/>
                <w:sz w:val="18"/>
                <w:szCs w:val="18"/>
                <w:lang w:eastAsia="sl-SI"/>
              </w:rPr>
              <w:t>NE</w:t>
            </w:r>
          </w:p>
        </w:tc>
        <w:tc>
          <w:tcPr>
            <w:tcW w:w="1060" w:type="dxa"/>
            <w:tcBorders>
              <w:top w:val="nil"/>
              <w:left w:val="nil"/>
              <w:bottom w:val="single" w:sz="4" w:space="0" w:color="auto"/>
              <w:right w:val="single" w:sz="4" w:space="0" w:color="auto"/>
            </w:tcBorders>
            <w:shd w:val="clear" w:color="auto" w:fill="auto"/>
            <w:vAlign w:val="center"/>
            <w:hideMark/>
          </w:tcPr>
          <w:p w14:paraId="09AF88B0" w14:textId="6A6EA17C"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15.934</w:t>
            </w:r>
          </w:p>
        </w:tc>
        <w:tc>
          <w:tcPr>
            <w:tcW w:w="1480" w:type="dxa"/>
            <w:tcBorders>
              <w:top w:val="nil"/>
              <w:left w:val="nil"/>
              <w:bottom w:val="single" w:sz="4" w:space="0" w:color="auto"/>
              <w:right w:val="single" w:sz="4" w:space="0" w:color="auto"/>
            </w:tcBorders>
            <w:shd w:val="clear" w:color="auto" w:fill="auto"/>
            <w:vAlign w:val="center"/>
            <w:hideMark/>
          </w:tcPr>
          <w:p w14:paraId="2E1B88E7" w14:textId="7E0BA519"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2.474.325.478</w:t>
            </w:r>
          </w:p>
        </w:tc>
        <w:tc>
          <w:tcPr>
            <w:tcW w:w="1220" w:type="dxa"/>
            <w:tcBorders>
              <w:top w:val="nil"/>
              <w:left w:val="nil"/>
              <w:bottom w:val="single" w:sz="4" w:space="0" w:color="auto"/>
              <w:right w:val="single" w:sz="4" w:space="0" w:color="auto"/>
            </w:tcBorders>
            <w:shd w:val="clear" w:color="auto" w:fill="auto"/>
            <w:noWrap/>
            <w:vAlign w:val="center"/>
            <w:hideMark/>
          </w:tcPr>
          <w:p w14:paraId="715FCBE6" w14:textId="77802061"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94,48 %</w:t>
            </w:r>
          </w:p>
        </w:tc>
        <w:tc>
          <w:tcPr>
            <w:tcW w:w="1560" w:type="dxa"/>
            <w:tcBorders>
              <w:top w:val="nil"/>
              <w:left w:val="nil"/>
              <w:bottom w:val="single" w:sz="4" w:space="0" w:color="auto"/>
              <w:right w:val="single" w:sz="4" w:space="0" w:color="auto"/>
            </w:tcBorders>
            <w:shd w:val="clear" w:color="auto" w:fill="auto"/>
            <w:noWrap/>
            <w:vAlign w:val="center"/>
            <w:hideMark/>
          </w:tcPr>
          <w:p w14:paraId="031E296C" w14:textId="5E897176" w:rsidR="00B00C9D" w:rsidRPr="004C39EE" w:rsidRDefault="00B00C9D" w:rsidP="00B00C9D">
            <w:pPr>
              <w:spacing w:after="0" w:line="240" w:lineRule="auto"/>
              <w:jc w:val="right"/>
              <w:rPr>
                <w:rFonts w:ascii="Arial" w:eastAsia="Times New Roman" w:hAnsi="Arial" w:cs="Arial"/>
                <w:color w:val="000000"/>
                <w:sz w:val="18"/>
                <w:szCs w:val="18"/>
                <w:lang w:eastAsia="sl-SI"/>
              </w:rPr>
            </w:pPr>
            <w:r w:rsidRPr="004C39EE">
              <w:rPr>
                <w:rFonts w:ascii="Arial" w:hAnsi="Arial" w:cs="Arial"/>
                <w:sz w:val="18"/>
                <w:szCs w:val="18"/>
              </w:rPr>
              <w:t>84,78 %</w:t>
            </w:r>
          </w:p>
        </w:tc>
      </w:tr>
      <w:tr w:rsidR="00B00C9D" w:rsidRPr="004C39EE" w14:paraId="1E615372" w14:textId="77777777" w:rsidTr="00B45EE0">
        <w:trPr>
          <w:trHeight w:val="284"/>
          <w:jc w:val="center"/>
        </w:trPr>
        <w:tc>
          <w:tcPr>
            <w:tcW w:w="1300" w:type="dxa"/>
            <w:tcBorders>
              <w:top w:val="nil"/>
              <w:left w:val="single" w:sz="4" w:space="0" w:color="auto"/>
              <w:bottom w:val="single" w:sz="4" w:space="0" w:color="auto"/>
              <w:right w:val="single" w:sz="4" w:space="0" w:color="auto"/>
            </w:tcBorders>
            <w:shd w:val="clear" w:color="auto" w:fill="E7E6E6" w:themeFill="background2"/>
            <w:vAlign w:val="center"/>
            <w:hideMark/>
          </w:tcPr>
          <w:p w14:paraId="0EC60488" w14:textId="7C6A0158" w:rsidR="00B00C9D" w:rsidRPr="004C39EE" w:rsidRDefault="00B00C9D" w:rsidP="00B00C9D">
            <w:pPr>
              <w:spacing w:after="0" w:line="240" w:lineRule="auto"/>
              <w:jc w:val="both"/>
              <w:rPr>
                <w:rFonts w:ascii="Arial" w:eastAsia="Times New Roman" w:hAnsi="Arial" w:cs="Arial"/>
                <w:b/>
                <w:bCs/>
                <w:color w:val="000000"/>
                <w:sz w:val="18"/>
                <w:szCs w:val="18"/>
                <w:lang w:eastAsia="sl-SI"/>
              </w:rPr>
            </w:pPr>
            <w:r w:rsidRPr="004C39EE">
              <w:rPr>
                <w:rFonts w:ascii="Arial" w:eastAsia="Times New Roman" w:hAnsi="Arial" w:cs="Arial"/>
                <w:b/>
                <w:bCs/>
                <w:color w:val="000000"/>
                <w:sz w:val="18"/>
                <w:szCs w:val="18"/>
                <w:lang w:eastAsia="sl-SI"/>
              </w:rPr>
              <w:t>Skupaj</w:t>
            </w:r>
          </w:p>
        </w:tc>
        <w:tc>
          <w:tcPr>
            <w:tcW w:w="1060" w:type="dxa"/>
            <w:tcBorders>
              <w:top w:val="nil"/>
              <w:left w:val="nil"/>
              <w:bottom w:val="single" w:sz="4" w:space="0" w:color="auto"/>
              <w:right w:val="single" w:sz="4" w:space="0" w:color="auto"/>
            </w:tcBorders>
            <w:shd w:val="clear" w:color="auto" w:fill="E7E6E6" w:themeFill="background2"/>
            <w:vAlign w:val="center"/>
            <w:hideMark/>
          </w:tcPr>
          <w:p w14:paraId="5DA89A30" w14:textId="35E30DCF" w:rsidR="00B00C9D" w:rsidRPr="004C39EE" w:rsidRDefault="00B00C9D" w:rsidP="00B00C9D">
            <w:pPr>
              <w:spacing w:after="0" w:line="240" w:lineRule="auto"/>
              <w:jc w:val="right"/>
              <w:rPr>
                <w:rFonts w:ascii="Arial" w:eastAsia="Times New Roman" w:hAnsi="Arial" w:cs="Arial"/>
                <w:b/>
                <w:bCs/>
                <w:color w:val="000000"/>
                <w:sz w:val="18"/>
                <w:szCs w:val="18"/>
                <w:lang w:eastAsia="sl-SI"/>
              </w:rPr>
            </w:pPr>
            <w:r w:rsidRPr="004C39EE">
              <w:rPr>
                <w:rFonts w:ascii="Arial" w:hAnsi="Arial" w:cs="Arial"/>
                <w:b/>
                <w:sz w:val="18"/>
                <w:szCs w:val="18"/>
              </w:rPr>
              <w:t>16.865</w:t>
            </w:r>
          </w:p>
        </w:tc>
        <w:tc>
          <w:tcPr>
            <w:tcW w:w="1480" w:type="dxa"/>
            <w:tcBorders>
              <w:top w:val="nil"/>
              <w:left w:val="nil"/>
              <w:bottom w:val="single" w:sz="4" w:space="0" w:color="auto"/>
              <w:right w:val="single" w:sz="4" w:space="0" w:color="auto"/>
            </w:tcBorders>
            <w:shd w:val="clear" w:color="auto" w:fill="E7E6E6" w:themeFill="background2"/>
            <w:vAlign w:val="center"/>
            <w:hideMark/>
          </w:tcPr>
          <w:p w14:paraId="283019E7" w14:textId="1CA0CFB8" w:rsidR="00B00C9D" w:rsidRPr="004C39EE" w:rsidRDefault="00B00C9D" w:rsidP="00B00C9D">
            <w:pPr>
              <w:spacing w:after="0" w:line="240" w:lineRule="auto"/>
              <w:jc w:val="right"/>
              <w:rPr>
                <w:rFonts w:ascii="Arial" w:eastAsia="Times New Roman" w:hAnsi="Arial" w:cs="Arial"/>
                <w:b/>
                <w:bCs/>
                <w:color w:val="000000"/>
                <w:sz w:val="18"/>
                <w:szCs w:val="18"/>
                <w:lang w:eastAsia="sl-SI"/>
              </w:rPr>
            </w:pPr>
            <w:r w:rsidRPr="004C39EE">
              <w:rPr>
                <w:rFonts w:ascii="Arial" w:hAnsi="Arial" w:cs="Arial"/>
                <w:b/>
                <w:sz w:val="18"/>
                <w:szCs w:val="18"/>
              </w:rPr>
              <w:t>2.918.594.609</w:t>
            </w:r>
          </w:p>
        </w:tc>
        <w:tc>
          <w:tcPr>
            <w:tcW w:w="1220" w:type="dxa"/>
            <w:tcBorders>
              <w:top w:val="nil"/>
              <w:left w:val="nil"/>
              <w:bottom w:val="single" w:sz="4" w:space="0" w:color="auto"/>
              <w:right w:val="single" w:sz="4" w:space="0" w:color="auto"/>
            </w:tcBorders>
            <w:shd w:val="clear" w:color="auto" w:fill="E7E6E6" w:themeFill="background2"/>
            <w:vAlign w:val="center"/>
            <w:hideMark/>
          </w:tcPr>
          <w:p w14:paraId="585E6D10" w14:textId="09671FDA" w:rsidR="00B00C9D" w:rsidRPr="004C39EE" w:rsidRDefault="00B00C9D" w:rsidP="00B00C9D">
            <w:pPr>
              <w:spacing w:after="0" w:line="240" w:lineRule="auto"/>
              <w:jc w:val="right"/>
              <w:rPr>
                <w:rFonts w:ascii="Arial" w:eastAsia="Times New Roman" w:hAnsi="Arial" w:cs="Arial"/>
                <w:b/>
                <w:bCs/>
                <w:color w:val="000000"/>
                <w:sz w:val="18"/>
                <w:szCs w:val="18"/>
                <w:lang w:eastAsia="sl-SI"/>
              </w:rPr>
            </w:pPr>
            <w:r w:rsidRPr="004C39EE">
              <w:rPr>
                <w:rFonts w:ascii="Arial" w:hAnsi="Arial" w:cs="Arial"/>
                <w:b/>
                <w:sz w:val="18"/>
                <w:szCs w:val="18"/>
              </w:rPr>
              <w:t>100,00 %</w:t>
            </w:r>
          </w:p>
        </w:tc>
        <w:tc>
          <w:tcPr>
            <w:tcW w:w="1560" w:type="dxa"/>
            <w:tcBorders>
              <w:top w:val="nil"/>
              <w:left w:val="nil"/>
              <w:bottom w:val="single" w:sz="4" w:space="0" w:color="auto"/>
              <w:right w:val="single" w:sz="4" w:space="0" w:color="auto"/>
            </w:tcBorders>
            <w:shd w:val="clear" w:color="auto" w:fill="E7E6E6" w:themeFill="background2"/>
            <w:vAlign w:val="center"/>
            <w:hideMark/>
          </w:tcPr>
          <w:p w14:paraId="398AD6DB" w14:textId="59D2A2BE" w:rsidR="00B00C9D" w:rsidRPr="004C39EE" w:rsidRDefault="00B00C9D" w:rsidP="00B00C9D">
            <w:pPr>
              <w:spacing w:after="0" w:line="240" w:lineRule="auto"/>
              <w:jc w:val="right"/>
              <w:rPr>
                <w:rFonts w:ascii="Arial" w:eastAsia="Times New Roman" w:hAnsi="Arial" w:cs="Arial"/>
                <w:b/>
                <w:bCs/>
                <w:color w:val="000000"/>
                <w:sz w:val="18"/>
                <w:szCs w:val="18"/>
                <w:lang w:eastAsia="sl-SI"/>
              </w:rPr>
            </w:pPr>
            <w:r w:rsidRPr="004C39EE">
              <w:rPr>
                <w:rFonts w:ascii="Arial" w:hAnsi="Arial" w:cs="Arial"/>
                <w:b/>
                <w:sz w:val="18"/>
                <w:szCs w:val="18"/>
              </w:rPr>
              <w:t>100,00 %</w:t>
            </w:r>
          </w:p>
        </w:tc>
      </w:tr>
    </w:tbl>
    <w:p w14:paraId="121EE051" w14:textId="77777777" w:rsidR="004A613D" w:rsidRPr="004C39EE" w:rsidRDefault="004A613D" w:rsidP="004A613D">
      <w:pPr>
        <w:spacing w:after="0" w:line="240" w:lineRule="auto"/>
        <w:jc w:val="center"/>
        <w:rPr>
          <w:rFonts w:ascii="Arial" w:hAnsi="Arial" w:cs="Arial"/>
          <w:sz w:val="18"/>
        </w:rPr>
      </w:pPr>
    </w:p>
    <w:p w14:paraId="273BC42B" w14:textId="6BCB3CD8" w:rsidR="00B37E65" w:rsidRPr="004C39EE" w:rsidRDefault="00B37E65" w:rsidP="004A613D">
      <w:pPr>
        <w:spacing w:after="0" w:line="240" w:lineRule="auto"/>
        <w:jc w:val="center"/>
        <w:rPr>
          <w:rFonts w:ascii="Arial" w:hAnsi="Arial" w:cs="Arial"/>
          <w:sz w:val="18"/>
        </w:rPr>
      </w:pPr>
      <w:r w:rsidRPr="004C39EE">
        <w:rPr>
          <w:rFonts w:ascii="Arial" w:hAnsi="Arial" w:cs="Arial"/>
          <w:sz w:val="18"/>
        </w:rPr>
        <w:t>Vir: Statistični podatki o javni</w:t>
      </w:r>
      <w:r w:rsidR="0096196E" w:rsidRPr="004C39EE">
        <w:rPr>
          <w:rFonts w:ascii="Arial" w:hAnsi="Arial" w:cs="Arial"/>
          <w:sz w:val="18"/>
        </w:rPr>
        <w:t>h naročilih, oddanih v letu 201</w:t>
      </w:r>
      <w:r w:rsidR="00B00C9D" w:rsidRPr="004C39EE">
        <w:rPr>
          <w:rFonts w:ascii="Arial" w:hAnsi="Arial" w:cs="Arial"/>
          <w:sz w:val="18"/>
        </w:rPr>
        <w:t>8</w:t>
      </w:r>
    </w:p>
    <w:p w14:paraId="344F6DA4" w14:textId="77777777" w:rsidR="00E14B7E" w:rsidRPr="004C39EE" w:rsidRDefault="00E14B7E" w:rsidP="000F2B07">
      <w:pPr>
        <w:spacing w:after="0" w:line="360" w:lineRule="auto"/>
        <w:jc w:val="both"/>
        <w:rPr>
          <w:rFonts w:ascii="Arial" w:hAnsi="Arial" w:cs="Arial"/>
          <w:sz w:val="20"/>
          <w:szCs w:val="20"/>
          <w:lang w:eastAsia="sl-SI"/>
        </w:rPr>
      </w:pPr>
    </w:p>
    <w:p w14:paraId="220B5572" w14:textId="4BCD9BBD" w:rsidR="00FF68C7" w:rsidRPr="009A38EB" w:rsidRDefault="00AC44FC" w:rsidP="00B37E65">
      <w:pPr>
        <w:spacing w:line="360" w:lineRule="auto"/>
        <w:jc w:val="both"/>
        <w:rPr>
          <w:rFonts w:ascii="Arial" w:hAnsi="Arial" w:cs="Arial"/>
          <w:sz w:val="20"/>
          <w:szCs w:val="20"/>
          <w:lang w:eastAsia="sl-SI"/>
        </w:rPr>
      </w:pPr>
      <w:r w:rsidRPr="009A38EB">
        <w:rPr>
          <w:rFonts w:ascii="Arial" w:hAnsi="Arial" w:cs="Arial"/>
          <w:sz w:val="20"/>
          <w:szCs w:val="20"/>
          <w:lang w:eastAsia="sl-SI"/>
        </w:rPr>
        <w:t>Podizvajalci so bili največkrat vključeni v ponudbe, ki so jih izbrani ponudniki oddali na podlagi izvedenega postopka naročil</w:t>
      </w:r>
      <w:r w:rsidR="00204BAE" w:rsidRPr="009A38EB">
        <w:rPr>
          <w:rFonts w:ascii="Arial" w:hAnsi="Arial" w:cs="Arial"/>
          <w:sz w:val="20"/>
          <w:szCs w:val="20"/>
          <w:lang w:eastAsia="sl-SI"/>
        </w:rPr>
        <w:t xml:space="preserve">a male vrednosti, in sicer v </w:t>
      </w:r>
      <w:r w:rsidR="009A38EB" w:rsidRPr="009A38EB">
        <w:rPr>
          <w:rFonts w:ascii="Arial" w:hAnsi="Arial" w:cs="Arial"/>
          <w:sz w:val="20"/>
          <w:szCs w:val="20"/>
          <w:lang w:eastAsia="sl-SI"/>
        </w:rPr>
        <w:t>532</w:t>
      </w:r>
      <w:r w:rsidRPr="009A38EB">
        <w:rPr>
          <w:rFonts w:ascii="Arial" w:hAnsi="Arial" w:cs="Arial"/>
          <w:sz w:val="20"/>
          <w:szCs w:val="20"/>
          <w:lang w:eastAsia="sl-SI"/>
        </w:rPr>
        <w:t xml:space="preserve"> naročilih</w:t>
      </w:r>
      <w:r w:rsidR="00A659FB" w:rsidRPr="009A38EB">
        <w:rPr>
          <w:rFonts w:ascii="Arial" w:hAnsi="Arial" w:cs="Arial"/>
          <w:sz w:val="20"/>
          <w:szCs w:val="20"/>
          <w:lang w:eastAsia="sl-SI"/>
        </w:rPr>
        <w:t xml:space="preserve"> s </w:t>
      </w:r>
      <w:r w:rsidRPr="009A38EB">
        <w:rPr>
          <w:rFonts w:ascii="Arial" w:hAnsi="Arial" w:cs="Arial"/>
          <w:sz w:val="20"/>
          <w:szCs w:val="20"/>
          <w:lang w:eastAsia="sl-SI"/>
        </w:rPr>
        <w:t>skupn</w:t>
      </w:r>
      <w:r w:rsidR="00A659FB" w:rsidRPr="009A38EB">
        <w:rPr>
          <w:rFonts w:ascii="Arial" w:hAnsi="Arial" w:cs="Arial"/>
          <w:sz w:val="20"/>
          <w:szCs w:val="20"/>
          <w:lang w:eastAsia="sl-SI"/>
        </w:rPr>
        <w:t>o</w:t>
      </w:r>
      <w:r w:rsidRPr="009A38EB">
        <w:rPr>
          <w:rFonts w:ascii="Arial" w:hAnsi="Arial" w:cs="Arial"/>
          <w:sz w:val="20"/>
          <w:szCs w:val="20"/>
          <w:lang w:eastAsia="sl-SI"/>
        </w:rPr>
        <w:t xml:space="preserve"> vrednost</w:t>
      </w:r>
      <w:r w:rsidR="00A659FB" w:rsidRPr="009A38EB">
        <w:rPr>
          <w:rFonts w:ascii="Arial" w:hAnsi="Arial" w:cs="Arial"/>
          <w:sz w:val="20"/>
          <w:szCs w:val="20"/>
          <w:lang w:eastAsia="sl-SI"/>
        </w:rPr>
        <w:t>jo</w:t>
      </w:r>
      <w:r w:rsidRPr="009A38EB">
        <w:rPr>
          <w:rFonts w:ascii="Arial" w:hAnsi="Arial" w:cs="Arial"/>
          <w:sz w:val="20"/>
          <w:szCs w:val="20"/>
          <w:lang w:eastAsia="sl-SI"/>
        </w:rPr>
        <w:t xml:space="preserve"> </w:t>
      </w:r>
      <w:r w:rsidR="009A38EB" w:rsidRPr="009A38EB">
        <w:rPr>
          <w:rFonts w:ascii="Arial" w:hAnsi="Arial" w:cs="Arial"/>
          <w:sz w:val="20"/>
          <w:szCs w:val="20"/>
          <w:lang w:eastAsia="sl-SI"/>
        </w:rPr>
        <w:t xml:space="preserve">62.781.017 </w:t>
      </w:r>
      <w:r w:rsidRPr="009A38EB">
        <w:rPr>
          <w:rFonts w:ascii="Arial" w:hAnsi="Arial" w:cs="Arial"/>
          <w:sz w:val="20"/>
          <w:szCs w:val="20"/>
          <w:lang w:eastAsia="sl-SI"/>
        </w:rPr>
        <w:t xml:space="preserve">evrov, glede na vrednost pa </w:t>
      </w:r>
      <w:r w:rsidR="00A659FB" w:rsidRPr="009A38EB">
        <w:rPr>
          <w:rFonts w:ascii="Arial" w:hAnsi="Arial" w:cs="Arial"/>
          <w:sz w:val="20"/>
          <w:szCs w:val="20"/>
          <w:lang w:eastAsia="sl-SI"/>
        </w:rPr>
        <w:t>v ponudbe</w:t>
      </w:r>
      <w:r w:rsidRPr="009A38EB">
        <w:rPr>
          <w:rFonts w:ascii="Arial" w:hAnsi="Arial" w:cs="Arial"/>
          <w:sz w:val="20"/>
          <w:szCs w:val="20"/>
          <w:lang w:eastAsia="sl-SI"/>
        </w:rPr>
        <w:t>, oddan</w:t>
      </w:r>
      <w:r w:rsidR="00A659FB" w:rsidRPr="009A38EB">
        <w:rPr>
          <w:rFonts w:ascii="Arial" w:hAnsi="Arial" w:cs="Arial"/>
          <w:sz w:val="20"/>
          <w:szCs w:val="20"/>
          <w:lang w:eastAsia="sl-SI"/>
        </w:rPr>
        <w:t>e</w:t>
      </w:r>
      <w:r w:rsidRPr="009A38EB">
        <w:rPr>
          <w:rFonts w:ascii="Arial" w:hAnsi="Arial" w:cs="Arial"/>
          <w:sz w:val="20"/>
          <w:szCs w:val="20"/>
          <w:lang w:eastAsia="sl-SI"/>
        </w:rPr>
        <w:t xml:space="preserve"> na podlagi izvedenega o</w:t>
      </w:r>
      <w:r w:rsidR="007A0D51" w:rsidRPr="009A38EB">
        <w:rPr>
          <w:rFonts w:ascii="Arial" w:hAnsi="Arial" w:cs="Arial"/>
          <w:sz w:val="20"/>
          <w:szCs w:val="20"/>
          <w:lang w:eastAsia="sl-SI"/>
        </w:rPr>
        <w:t xml:space="preserve">dprtega postopka, in sicer v </w:t>
      </w:r>
      <w:r w:rsidR="009A38EB" w:rsidRPr="009A38EB">
        <w:rPr>
          <w:rFonts w:ascii="Arial" w:hAnsi="Arial" w:cs="Arial"/>
          <w:sz w:val="20"/>
          <w:szCs w:val="20"/>
          <w:lang w:eastAsia="sl-SI"/>
        </w:rPr>
        <w:t>304</w:t>
      </w:r>
      <w:r w:rsidRPr="009A38EB">
        <w:rPr>
          <w:rFonts w:ascii="Arial" w:hAnsi="Arial" w:cs="Arial"/>
          <w:sz w:val="20"/>
          <w:szCs w:val="20"/>
          <w:lang w:eastAsia="sl-SI"/>
        </w:rPr>
        <w:t xml:space="preserve"> naročilih</w:t>
      </w:r>
      <w:r w:rsidR="00A659FB" w:rsidRPr="009A38EB">
        <w:rPr>
          <w:rFonts w:ascii="Arial" w:hAnsi="Arial" w:cs="Arial"/>
          <w:sz w:val="20"/>
          <w:szCs w:val="20"/>
          <w:lang w:eastAsia="sl-SI"/>
        </w:rPr>
        <w:t xml:space="preserve"> </w:t>
      </w:r>
      <w:r w:rsidR="00711BE8">
        <w:rPr>
          <w:rFonts w:ascii="Arial" w:hAnsi="Arial" w:cs="Arial"/>
          <w:sz w:val="20"/>
          <w:szCs w:val="20"/>
          <w:lang w:eastAsia="sl-SI"/>
        </w:rPr>
        <w:t>z</w:t>
      </w:r>
      <w:r w:rsidRPr="009A38EB">
        <w:rPr>
          <w:rFonts w:ascii="Arial" w:hAnsi="Arial" w:cs="Arial"/>
          <w:sz w:val="20"/>
          <w:szCs w:val="20"/>
          <w:lang w:eastAsia="sl-SI"/>
        </w:rPr>
        <w:t xml:space="preserve"> vrednost</w:t>
      </w:r>
      <w:r w:rsidR="00A659FB" w:rsidRPr="009A38EB">
        <w:rPr>
          <w:rFonts w:ascii="Arial" w:hAnsi="Arial" w:cs="Arial"/>
          <w:sz w:val="20"/>
          <w:szCs w:val="20"/>
          <w:lang w:eastAsia="sl-SI"/>
        </w:rPr>
        <w:t>jo</w:t>
      </w:r>
      <w:r w:rsidRPr="009A38EB">
        <w:rPr>
          <w:rFonts w:ascii="Arial" w:hAnsi="Arial" w:cs="Arial"/>
          <w:sz w:val="20"/>
          <w:szCs w:val="20"/>
        </w:rPr>
        <w:t xml:space="preserve"> </w:t>
      </w:r>
      <w:r w:rsidR="009A38EB" w:rsidRPr="009A38EB">
        <w:rPr>
          <w:rFonts w:ascii="Arial" w:hAnsi="Arial" w:cs="Arial"/>
          <w:sz w:val="20"/>
          <w:szCs w:val="20"/>
        </w:rPr>
        <w:t xml:space="preserve">261.642.592 </w:t>
      </w:r>
      <w:r w:rsidRPr="009A38EB">
        <w:rPr>
          <w:rFonts w:ascii="Arial" w:hAnsi="Arial" w:cs="Arial"/>
          <w:sz w:val="20"/>
          <w:szCs w:val="20"/>
          <w:lang w:eastAsia="sl-SI"/>
        </w:rPr>
        <w:t>evrov</w:t>
      </w:r>
      <w:r w:rsidR="00B37E65" w:rsidRPr="009A38EB">
        <w:rPr>
          <w:rFonts w:ascii="Arial" w:hAnsi="Arial" w:cs="Arial"/>
          <w:sz w:val="20"/>
          <w:szCs w:val="20"/>
          <w:lang w:eastAsia="sl-SI"/>
        </w:rPr>
        <w:t>.</w:t>
      </w:r>
    </w:p>
    <w:p w14:paraId="774B4A64" w14:textId="2921221A" w:rsidR="00B37E65" w:rsidRPr="00417FC0" w:rsidRDefault="00B37E65" w:rsidP="008A61FD">
      <w:pPr>
        <w:spacing w:before="120" w:after="120" w:line="240" w:lineRule="auto"/>
        <w:jc w:val="both"/>
        <w:rPr>
          <w:rFonts w:ascii="Arial" w:hAnsi="Arial" w:cs="Arial"/>
          <w:sz w:val="20"/>
        </w:rPr>
      </w:pPr>
      <w:r w:rsidRPr="00417FC0">
        <w:rPr>
          <w:rFonts w:ascii="Arial" w:hAnsi="Arial" w:cs="Arial"/>
          <w:sz w:val="20"/>
        </w:rPr>
        <w:t xml:space="preserve">Preglednica </w:t>
      </w:r>
      <w:r w:rsidR="00EB4423">
        <w:rPr>
          <w:rFonts w:ascii="Arial" w:hAnsi="Arial" w:cs="Arial"/>
          <w:sz w:val="20"/>
        </w:rPr>
        <w:t>49</w:t>
      </w:r>
      <w:r w:rsidRPr="00417FC0">
        <w:rPr>
          <w:rFonts w:ascii="Arial" w:hAnsi="Arial" w:cs="Arial"/>
          <w:sz w:val="20"/>
        </w:rPr>
        <w:t xml:space="preserve">: Udeležba podizvajalcev v </w:t>
      </w:r>
      <w:r w:rsidR="00E14B7E" w:rsidRPr="00417FC0">
        <w:rPr>
          <w:rFonts w:ascii="Arial" w:hAnsi="Arial" w:cs="Arial"/>
          <w:sz w:val="20"/>
        </w:rPr>
        <w:t xml:space="preserve">številu javnih naročil, njihovi vrednosti in deležu glede na vrsto </w:t>
      </w:r>
      <w:r w:rsidRPr="00417FC0">
        <w:rPr>
          <w:rFonts w:ascii="Arial" w:hAnsi="Arial" w:cs="Arial"/>
          <w:sz w:val="20"/>
        </w:rPr>
        <w:t>postopk</w:t>
      </w:r>
      <w:r w:rsidR="00E14B7E" w:rsidRPr="00417FC0">
        <w:rPr>
          <w:rFonts w:ascii="Arial" w:hAnsi="Arial" w:cs="Arial"/>
          <w:sz w:val="20"/>
        </w:rPr>
        <w:t>a</w:t>
      </w:r>
      <w:r w:rsidR="0046668F" w:rsidRPr="00417FC0">
        <w:rPr>
          <w:rFonts w:ascii="Arial" w:hAnsi="Arial" w:cs="Arial"/>
          <w:sz w:val="20"/>
        </w:rPr>
        <w:t xml:space="preserve"> </w:t>
      </w:r>
    </w:p>
    <w:tbl>
      <w:tblPr>
        <w:tblW w:w="7961" w:type="dxa"/>
        <w:jc w:val="center"/>
        <w:tblCellMar>
          <w:left w:w="70" w:type="dxa"/>
          <w:right w:w="70" w:type="dxa"/>
        </w:tblCellMar>
        <w:tblLook w:val="04A0" w:firstRow="1" w:lastRow="0" w:firstColumn="1" w:lastColumn="0" w:noHBand="0" w:noVBand="1"/>
      </w:tblPr>
      <w:tblGrid>
        <w:gridCol w:w="4020"/>
        <w:gridCol w:w="920"/>
        <w:gridCol w:w="1141"/>
        <w:gridCol w:w="940"/>
        <w:gridCol w:w="940"/>
      </w:tblGrid>
      <w:tr w:rsidR="00417FC0" w:rsidRPr="006F6517" w14:paraId="458A8467" w14:textId="77777777" w:rsidTr="006F6517">
        <w:trPr>
          <w:trHeight w:val="480"/>
          <w:jc w:val="center"/>
        </w:trPr>
        <w:tc>
          <w:tcPr>
            <w:tcW w:w="40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F2DDE7C" w14:textId="77777777" w:rsidR="00417FC0" w:rsidRPr="006F6517" w:rsidRDefault="00417FC0" w:rsidP="00417FC0">
            <w:pPr>
              <w:spacing w:after="0" w:line="240" w:lineRule="auto"/>
              <w:jc w:val="center"/>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Vrsta postopka</w:t>
            </w:r>
          </w:p>
        </w:tc>
        <w:tc>
          <w:tcPr>
            <w:tcW w:w="920" w:type="dxa"/>
            <w:tcBorders>
              <w:top w:val="single" w:sz="4" w:space="0" w:color="auto"/>
              <w:left w:val="nil"/>
              <w:bottom w:val="single" w:sz="4" w:space="0" w:color="auto"/>
              <w:right w:val="single" w:sz="4" w:space="0" w:color="auto"/>
            </w:tcBorders>
            <w:shd w:val="clear" w:color="000000" w:fill="EDEDED"/>
            <w:vAlign w:val="center"/>
            <w:hideMark/>
          </w:tcPr>
          <w:p w14:paraId="0DBD1663" w14:textId="77777777" w:rsidR="00417FC0" w:rsidRPr="006F6517" w:rsidRDefault="00417FC0" w:rsidP="00417FC0">
            <w:pPr>
              <w:spacing w:after="0" w:line="240" w:lineRule="auto"/>
              <w:jc w:val="center"/>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Št. naročil</w:t>
            </w:r>
          </w:p>
        </w:tc>
        <w:tc>
          <w:tcPr>
            <w:tcW w:w="1141" w:type="dxa"/>
            <w:tcBorders>
              <w:top w:val="single" w:sz="4" w:space="0" w:color="auto"/>
              <w:left w:val="nil"/>
              <w:bottom w:val="single" w:sz="4" w:space="0" w:color="auto"/>
              <w:right w:val="single" w:sz="4" w:space="0" w:color="auto"/>
            </w:tcBorders>
            <w:shd w:val="clear" w:color="000000" w:fill="EDEDED"/>
            <w:vAlign w:val="center"/>
            <w:hideMark/>
          </w:tcPr>
          <w:p w14:paraId="2A10978D" w14:textId="77777777" w:rsidR="00417FC0" w:rsidRPr="006F6517" w:rsidRDefault="00417FC0" w:rsidP="00417FC0">
            <w:pPr>
              <w:spacing w:after="0" w:line="240" w:lineRule="auto"/>
              <w:jc w:val="center"/>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 xml:space="preserve">Pogodbena vrednost </w:t>
            </w:r>
          </w:p>
        </w:tc>
        <w:tc>
          <w:tcPr>
            <w:tcW w:w="940" w:type="dxa"/>
            <w:tcBorders>
              <w:top w:val="single" w:sz="4" w:space="0" w:color="auto"/>
              <w:left w:val="nil"/>
              <w:bottom w:val="single" w:sz="4" w:space="0" w:color="auto"/>
              <w:right w:val="single" w:sz="4" w:space="0" w:color="auto"/>
            </w:tcBorders>
            <w:shd w:val="clear" w:color="000000" w:fill="EDEDED"/>
            <w:vAlign w:val="center"/>
            <w:hideMark/>
          </w:tcPr>
          <w:p w14:paraId="5992CFEB" w14:textId="77777777" w:rsidR="00417FC0" w:rsidRPr="006F6517" w:rsidRDefault="00417FC0" w:rsidP="00417FC0">
            <w:pPr>
              <w:spacing w:after="0" w:line="240" w:lineRule="auto"/>
              <w:jc w:val="center"/>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Delež v št. naročil</w:t>
            </w:r>
          </w:p>
        </w:tc>
        <w:tc>
          <w:tcPr>
            <w:tcW w:w="940" w:type="dxa"/>
            <w:tcBorders>
              <w:top w:val="single" w:sz="4" w:space="0" w:color="auto"/>
              <w:left w:val="nil"/>
              <w:bottom w:val="single" w:sz="4" w:space="0" w:color="auto"/>
              <w:right w:val="single" w:sz="4" w:space="0" w:color="auto"/>
            </w:tcBorders>
            <w:shd w:val="clear" w:color="000000" w:fill="EDEDED"/>
            <w:vAlign w:val="center"/>
            <w:hideMark/>
          </w:tcPr>
          <w:p w14:paraId="703F4016" w14:textId="77777777" w:rsidR="00417FC0" w:rsidRPr="006F6517" w:rsidRDefault="00417FC0" w:rsidP="00417FC0">
            <w:pPr>
              <w:spacing w:after="0" w:line="240" w:lineRule="auto"/>
              <w:jc w:val="center"/>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Delež v vrednosti</w:t>
            </w:r>
          </w:p>
        </w:tc>
      </w:tr>
      <w:tr w:rsidR="006F6517" w:rsidRPr="006F6517" w14:paraId="73177623"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6E06395C"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Konkurenčni postopek s pogajanji</w:t>
            </w:r>
          </w:p>
        </w:tc>
        <w:tc>
          <w:tcPr>
            <w:tcW w:w="920" w:type="dxa"/>
            <w:tcBorders>
              <w:top w:val="nil"/>
              <w:left w:val="nil"/>
              <w:bottom w:val="single" w:sz="4" w:space="0" w:color="auto"/>
              <w:right w:val="single" w:sz="4" w:space="0" w:color="auto"/>
            </w:tcBorders>
            <w:shd w:val="clear" w:color="auto" w:fill="auto"/>
            <w:vAlign w:val="center"/>
            <w:hideMark/>
          </w:tcPr>
          <w:p w14:paraId="7FD3655F" w14:textId="6FCEA009"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27</w:t>
            </w:r>
          </w:p>
        </w:tc>
        <w:tc>
          <w:tcPr>
            <w:tcW w:w="1141" w:type="dxa"/>
            <w:tcBorders>
              <w:top w:val="nil"/>
              <w:left w:val="nil"/>
              <w:bottom w:val="single" w:sz="4" w:space="0" w:color="auto"/>
              <w:right w:val="single" w:sz="4" w:space="0" w:color="auto"/>
            </w:tcBorders>
            <w:shd w:val="clear" w:color="auto" w:fill="auto"/>
            <w:vAlign w:val="center"/>
            <w:hideMark/>
          </w:tcPr>
          <w:p w14:paraId="6BE4DD87" w14:textId="412CBF3A"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40.127.723</w:t>
            </w:r>
          </w:p>
        </w:tc>
        <w:tc>
          <w:tcPr>
            <w:tcW w:w="940" w:type="dxa"/>
            <w:tcBorders>
              <w:top w:val="nil"/>
              <w:left w:val="nil"/>
              <w:bottom w:val="single" w:sz="4" w:space="0" w:color="auto"/>
              <w:right w:val="single" w:sz="4" w:space="0" w:color="auto"/>
            </w:tcBorders>
            <w:shd w:val="clear" w:color="auto" w:fill="auto"/>
            <w:noWrap/>
            <w:vAlign w:val="center"/>
            <w:hideMark/>
          </w:tcPr>
          <w:p w14:paraId="46137329" w14:textId="24F726FB"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2,90</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7335D41E" w14:textId="7BB05845"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9,03</w:t>
            </w:r>
            <w:r>
              <w:rPr>
                <w:rFonts w:ascii="Arial" w:hAnsi="Arial" w:cs="Arial"/>
                <w:sz w:val="18"/>
                <w:szCs w:val="18"/>
              </w:rPr>
              <w:t xml:space="preserve"> </w:t>
            </w:r>
            <w:r w:rsidRPr="006F6517">
              <w:rPr>
                <w:rFonts w:ascii="Arial" w:hAnsi="Arial" w:cs="Arial"/>
                <w:sz w:val="18"/>
                <w:szCs w:val="18"/>
              </w:rPr>
              <w:t>%</w:t>
            </w:r>
          </w:p>
        </w:tc>
      </w:tr>
      <w:tr w:rsidR="006F6517" w:rsidRPr="006F6517" w14:paraId="428D783F"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661C04A3"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Odprti postopek</w:t>
            </w:r>
          </w:p>
        </w:tc>
        <w:tc>
          <w:tcPr>
            <w:tcW w:w="920" w:type="dxa"/>
            <w:tcBorders>
              <w:top w:val="nil"/>
              <w:left w:val="nil"/>
              <w:bottom w:val="single" w:sz="4" w:space="0" w:color="auto"/>
              <w:right w:val="single" w:sz="4" w:space="0" w:color="auto"/>
            </w:tcBorders>
            <w:shd w:val="clear" w:color="auto" w:fill="auto"/>
            <w:vAlign w:val="center"/>
            <w:hideMark/>
          </w:tcPr>
          <w:p w14:paraId="5BEADF05" w14:textId="6DDAEB37"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304</w:t>
            </w:r>
          </w:p>
        </w:tc>
        <w:tc>
          <w:tcPr>
            <w:tcW w:w="1141" w:type="dxa"/>
            <w:tcBorders>
              <w:top w:val="nil"/>
              <w:left w:val="nil"/>
              <w:bottom w:val="single" w:sz="4" w:space="0" w:color="auto"/>
              <w:right w:val="single" w:sz="4" w:space="0" w:color="auto"/>
            </w:tcBorders>
            <w:shd w:val="clear" w:color="auto" w:fill="auto"/>
            <w:vAlign w:val="center"/>
            <w:hideMark/>
          </w:tcPr>
          <w:p w14:paraId="5C7A9BAE" w14:textId="4B7B4730"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261.642.592</w:t>
            </w:r>
          </w:p>
        </w:tc>
        <w:tc>
          <w:tcPr>
            <w:tcW w:w="940" w:type="dxa"/>
            <w:tcBorders>
              <w:top w:val="nil"/>
              <w:left w:val="nil"/>
              <w:bottom w:val="single" w:sz="4" w:space="0" w:color="auto"/>
              <w:right w:val="single" w:sz="4" w:space="0" w:color="auto"/>
            </w:tcBorders>
            <w:shd w:val="clear" w:color="auto" w:fill="auto"/>
            <w:noWrap/>
            <w:vAlign w:val="center"/>
            <w:hideMark/>
          </w:tcPr>
          <w:p w14:paraId="66B34C62" w14:textId="389F2E3F"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32,65</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07863435" w14:textId="37375AA9"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58,89</w:t>
            </w:r>
            <w:r>
              <w:rPr>
                <w:rFonts w:ascii="Arial" w:hAnsi="Arial" w:cs="Arial"/>
                <w:sz w:val="18"/>
                <w:szCs w:val="18"/>
              </w:rPr>
              <w:t xml:space="preserve"> </w:t>
            </w:r>
            <w:r w:rsidRPr="006F6517">
              <w:rPr>
                <w:rFonts w:ascii="Arial" w:hAnsi="Arial" w:cs="Arial"/>
                <w:sz w:val="18"/>
                <w:szCs w:val="18"/>
              </w:rPr>
              <w:t>%</w:t>
            </w:r>
          </w:p>
        </w:tc>
      </w:tr>
      <w:tr w:rsidR="006F6517" w:rsidRPr="006F6517" w14:paraId="720F3086"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84ADC0F"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Omejeni postopek</w:t>
            </w:r>
          </w:p>
        </w:tc>
        <w:tc>
          <w:tcPr>
            <w:tcW w:w="920" w:type="dxa"/>
            <w:tcBorders>
              <w:top w:val="nil"/>
              <w:left w:val="nil"/>
              <w:bottom w:val="single" w:sz="4" w:space="0" w:color="auto"/>
              <w:right w:val="single" w:sz="4" w:space="0" w:color="auto"/>
            </w:tcBorders>
            <w:shd w:val="clear" w:color="auto" w:fill="auto"/>
            <w:vAlign w:val="center"/>
            <w:hideMark/>
          </w:tcPr>
          <w:p w14:paraId="7AE8F6C0" w14:textId="077F538A"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2</w:t>
            </w:r>
          </w:p>
        </w:tc>
        <w:tc>
          <w:tcPr>
            <w:tcW w:w="1141" w:type="dxa"/>
            <w:tcBorders>
              <w:top w:val="nil"/>
              <w:left w:val="nil"/>
              <w:bottom w:val="single" w:sz="4" w:space="0" w:color="auto"/>
              <w:right w:val="single" w:sz="4" w:space="0" w:color="auto"/>
            </w:tcBorders>
            <w:shd w:val="clear" w:color="auto" w:fill="auto"/>
            <w:vAlign w:val="center"/>
            <w:hideMark/>
          </w:tcPr>
          <w:p w14:paraId="564F12A5" w14:textId="3D453F30"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3.699.600</w:t>
            </w:r>
          </w:p>
        </w:tc>
        <w:tc>
          <w:tcPr>
            <w:tcW w:w="940" w:type="dxa"/>
            <w:tcBorders>
              <w:top w:val="nil"/>
              <w:left w:val="nil"/>
              <w:bottom w:val="single" w:sz="4" w:space="0" w:color="auto"/>
              <w:right w:val="single" w:sz="4" w:space="0" w:color="auto"/>
            </w:tcBorders>
            <w:shd w:val="clear" w:color="auto" w:fill="auto"/>
            <w:noWrap/>
            <w:vAlign w:val="center"/>
            <w:hideMark/>
          </w:tcPr>
          <w:p w14:paraId="328B1730" w14:textId="4DBDF02B"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0,21</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1D055EB6" w14:textId="619DC827"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0,83</w:t>
            </w:r>
            <w:r>
              <w:rPr>
                <w:rFonts w:ascii="Arial" w:hAnsi="Arial" w:cs="Arial"/>
                <w:sz w:val="18"/>
                <w:szCs w:val="18"/>
              </w:rPr>
              <w:t xml:space="preserve"> </w:t>
            </w:r>
            <w:r w:rsidRPr="006F6517">
              <w:rPr>
                <w:rFonts w:ascii="Arial" w:hAnsi="Arial" w:cs="Arial"/>
                <w:sz w:val="18"/>
                <w:szCs w:val="18"/>
              </w:rPr>
              <w:t>%</w:t>
            </w:r>
          </w:p>
        </w:tc>
      </w:tr>
      <w:tr w:rsidR="006F6517" w:rsidRPr="006F6517" w14:paraId="27D1F4A7"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BC57EAA"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Postopek naročila male vrednosti</w:t>
            </w:r>
          </w:p>
        </w:tc>
        <w:tc>
          <w:tcPr>
            <w:tcW w:w="920" w:type="dxa"/>
            <w:tcBorders>
              <w:top w:val="nil"/>
              <w:left w:val="nil"/>
              <w:bottom w:val="single" w:sz="4" w:space="0" w:color="auto"/>
              <w:right w:val="single" w:sz="4" w:space="0" w:color="auto"/>
            </w:tcBorders>
            <w:shd w:val="clear" w:color="auto" w:fill="auto"/>
            <w:vAlign w:val="center"/>
            <w:hideMark/>
          </w:tcPr>
          <w:p w14:paraId="72990E81" w14:textId="3DC3600E"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532</w:t>
            </w:r>
          </w:p>
        </w:tc>
        <w:tc>
          <w:tcPr>
            <w:tcW w:w="1141" w:type="dxa"/>
            <w:tcBorders>
              <w:top w:val="nil"/>
              <w:left w:val="nil"/>
              <w:bottom w:val="single" w:sz="4" w:space="0" w:color="auto"/>
              <w:right w:val="single" w:sz="4" w:space="0" w:color="auto"/>
            </w:tcBorders>
            <w:shd w:val="clear" w:color="auto" w:fill="auto"/>
            <w:vAlign w:val="center"/>
            <w:hideMark/>
          </w:tcPr>
          <w:p w14:paraId="74CE6764" w14:textId="036364B0"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62.781.017</w:t>
            </w:r>
          </w:p>
        </w:tc>
        <w:tc>
          <w:tcPr>
            <w:tcW w:w="940" w:type="dxa"/>
            <w:tcBorders>
              <w:top w:val="nil"/>
              <w:left w:val="nil"/>
              <w:bottom w:val="single" w:sz="4" w:space="0" w:color="auto"/>
              <w:right w:val="single" w:sz="4" w:space="0" w:color="auto"/>
            </w:tcBorders>
            <w:shd w:val="clear" w:color="auto" w:fill="auto"/>
            <w:noWrap/>
            <w:vAlign w:val="center"/>
            <w:hideMark/>
          </w:tcPr>
          <w:p w14:paraId="2D616356" w14:textId="0AB36DD4"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57,14</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0C2CA566" w14:textId="7D147A4C"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14,13</w:t>
            </w:r>
            <w:r>
              <w:rPr>
                <w:rFonts w:ascii="Arial" w:hAnsi="Arial" w:cs="Arial"/>
                <w:sz w:val="18"/>
                <w:szCs w:val="18"/>
              </w:rPr>
              <w:t xml:space="preserve"> </w:t>
            </w:r>
            <w:r w:rsidRPr="006F6517">
              <w:rPr>
                <w:rFonts w:ascii="Arial" w:hAnsi="Arial" w:cs="Arial"/>
                <w:sz w:val="18"/>
                <w:szCs w:val="18"/>
              </w:rPr>
              <w:t>%</w:t>
            </w:r>
          </w:p>
        </w:tc>
      </w:tr>
      <w:tr w:rsidR="006F6517" w:rsidRPr="006F6517" w14:paraId="14B2C8F2"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CA35FCB"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Postopek s pogajanji brez predhodne objave</w:t>
            </w:r>
          </w:p>
        </w:tc>
        <w:tc>
          <w:tcPr>
            <w:tcW w:w="920" w:type="dxa"/>
            <w:tcBorders>
              <w:top w:val="nil"/>
              <w:left w:val="nil"/>
              <w:bottom w:val="single" w:sz="4" w:space="0" w:color="auto"/>
              <w:right w:val="single" w:sz="4" w:space="0" w:color="auto"/>
            </w:tcBorders>
            <w:shd w:val="clear" w:color="auto" w:fill="auto"/>
            <w:vAlign w:val="center"/>
            <w:hideMark/>
          </w:tcPr>
          <w:p w14:paraId="629EC044" w14:textId="75735CA8"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43</w:t>
            </w:r>
          </w:p>
        </w:tc>
        <w:tc>
          <w:tcPr>
            <w:tcW w:w="1141" w:type="dxa"/>
            <w:tcBorders>
              <w:top w:val="nil"/>
              <w:left w:val="nil"/>
              <w:bottom w:val="single" w:sz="4" w:space="0" w:color="auto"/>
              <w:right w:val="single" w:sz="4" w:space="0" w:color="auto"/>
            </w:tcBorders>
            <w:shd w:val="clear" w:color="auto" w:fill="auto"/>
            <w:vAlign w:val="center"/>
            <w:hideMark/>
          </w:tcPr>
          <w:p w14:paraId="7F42E284" w14:textId="28D987DA"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55.757.225</w:t>
            </w:r>
          </w:p>
        </w:tc>
        <w:tc>
          <w:tcPr>
            <w:tcW w:w="940" w:type="dxa"/>
            <w:tcBorders>
              <w:top w:val="nil"/>
              <w:left w:val="nil"/>
              <w:bottom w:val="single" w:sz="4" w:space="0" w:color="auto"/>
              <w:right w:val="single" w:sz="4" w:space="0" w:color="auto"/>
            </w:tcBorders>
            <w:shd w:val="clear" w:color="auto" w:fill="auto"/>
            <w:noWrap/>
            <w:vAlign w:val="center"/>
            <w:hideMark/>
          </w:tcPr>
          <w:p w14:paraId="43F8DEC9" w14:textId="20890714"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4,62</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3D87902C" w14:textId="15A4B8A9"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12,55</w:t>
            </w:r>
            <w:r>
              <w:rPr>
                <w:rFonts w:ascii="Arial" w:hAnsi="Arial" w:cs="Arial"/>
                <w:sz w:val="18"/>
                <w:szCs w:val="18"/>
              </w:rPr>
              <w:t xml:space="preserve"> </w:t>
            </w:r>
            <w:r w:rsidRPr="006F6517">
              <w:rPr>
                <w:rFonts w:ascii="Arial" w:hAnsi="Arial" w:cs="Arial"/>
                <w:sz w:val="18"/>
                <w:szCs w:val="18"/>
              </w:rPr>
              <w:t>%</w:t>
            </w:r>
          </w:p>
        </w:tc>
      </w:tr>
      <w:tr w:rsidR="006F6517" w:rsidRPr="006F6517" w14:paraId="7215B486"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9D3A10A"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Postopek s pogajanji po predhodni objavi</w:t>
            </w:r>
          </w:p>
        </w:tc>
        <w:tc>
          <w:tcPr>
            <w:tcW w:w="920" w:type="dxa"/>
            <w:tcBorders>
              <w:top w:val="nil"/>
              <w:left w:val="nil"/>
              <w:bottom w:val="single" w:sz="4" w:space="0" w:color="auto"/>
              <w:right w:val="single" w:sz="4" w:space="0" w:color="auto"/>
            </w:tcBorders>
            <w:shd w:val="clear" w:color="auto" w:fill="auto"/>
            <w:vAlign w:val="center"/>
            <w:hideMark/>
          </w:tcPr>
          <w:p w14:paraId="36D5CE28" w14:textId="66D5E0B5"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19</w:t>
            </w:r>
          </w:p>
        </w:tc>
        <w:tc>
          <w:tcPr>
            <w:tcW w:w="1141" w:type="dxa"/>
            <w:tcBorders>
              <w:top w:val="nil"/>
              <w:left w:val="nil"/>
              <w:bottom w:val="single" w:sz="4" w:space="0" w:color="auto"/>
              <w:right w:val="single" w:sz="4" w:space="0" w:color="auto"/>
            </w:tcBorders>
            <w:shd w:val="clear" w:color="auto" w:fill="auto"/>
            <w:vAlign w:val="center"/>
            <w:hideMark/>
          </w:tcPr>
          <w:p w14:paraId="43529FFC" w14:textId="2EA94E56"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19.805.328</w:t>
            </w:r>
          </w:p>
        </w:tc>
        <w:tc>
          <w:tcPr>
            <w:tcW w:w="940" w:type="dxa"/>
            <w:tcBorders>
              <w:top w:val="nil"/>
              <w:left w:val="nil"/>
              <w:bottom w:val="single" w:sz="4" w:space="0" w:color="auto"/>
              <w:right w:val="single" w:sz="4" w:space="0" w:color="auto"/>
            </w:tcBorders>
            <w:shd w:val="clear" w:color="auto" w:fill="auto"/>
            <w:noWrap/>
            <w:vAlign w:val="center"/>
            <w:hideMark/>
          </w:tcPr>
          <w:p w14:paraId="53D05D03" w14:textId="43E1526C"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2,04</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7B8D2D74" w14:textId="6B4CF964"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4,46</w:t>
            </w:r>
            <w:r>
              <w:rPr>
                <w:rFonts w:ascii="Arial" w:hAnsi="Arial" w:cs="Arial"/>
                <w:sz w:val="18"/>
                <w:szCs w:val="18"/>
              </w:rPr>
              <w:t xml:space="preserve"> </w:t>
            </w:r>
            <w:r w:rsidRPr="006F6517">
              <w:rPr>
                <w:rFonts w:ascii="Arial" w:hAnsi="Arial" w:cs="Arial"/>
                <w:sz w:val="18"/>
                <w:szCs w:val="18"/>
              </w:rPr>
              <w:t>%</w:t>
            </w:r>
          </w:p>
        </w:tc>
      </w:tr>
      <w:tr w:rsidR="006F6517" w:rsidRPr="006F6517" w14:paraId="33225D27"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5BB5C69" w14:textId="77777777" w:rsidR="006F6517" w:rsidRPr="006F6517" w:rsidRDefault="006F6517" w:rsidP="006F6517">
            <w:pPr>
              <w:spacing w:after="0" w:line="240" w:lineRule="auto"/>
              <w:rPr>
                <w:rFonts w:ascii="Arial" w:eastAsia="Times New Roman" w:hAnsi="Arial" w:cs="Arial"/>
                <w:color w:val="000000"/>
                <w:sz w:val="18"/>
                <w:szCs w:val="18"/>
                <w:lang w:eastAsia="sl-SI"/>
              </w:rPr>
            </w:pPr>
            <w:r w:rsidRPr="006F6517">
              <w:rPr>
                <w:rFonts w:ascii="Arial" w:eastAsia="Times New Roman" w:hAnsi="Arial" w:cs="Arial"/>
                <w:color w:val="000000"/>
                <w:sz w:val="18"/>
                <w:szCs w:val="18"/>
                <w:lang w:eastAsia="sl-SI"/>
              </w:rPr>
              <w:t>Postopek zbiranja ponudb po predhodni objavi</w:t>
            </w:r>
          </w:p>
        </w:tc>
        <w:tc>
          <w:tcPr>
            <w:tcW w:w="920" w:type="dxa"/>
            <w:tcBorders>
              <w:top w:val="nil"/>
              <w:left w:val="nil"/>
              <w:bottom w:val="single" w:sz="4" w:space="0" w:color="auto"/>
              <w:right w:val="single" w:sz="4" w:space="0" w:color="auto"/>
            </w:tcBorders>
            <w:shd w:val="clear" w:color="auto" w:fill="auto"/>
            <w:vAlign w:val="center"/>
            <w:hideMark/>
          </w:tcPr>
          <w:p w14:paraId="3FD4F8FE" w14:textId="1AB5FFDB"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4</w:t>
            </w:r>
          </w:p>
        </w:tc>
        <w:tc>
          <w:tcPr>
            <w:tcW w:w="1141" w:type="dxa"/>
            <w:tcBorders>
              <w:top w:val="nil"/>
              <w:left w:val="nil"/>
              <w:bottom w:val="single" w:sz="4" w:space="0" w:color="auto"/>
              <w:right w:val="single" w:sz="4" w:space="0" w:color="auto"/>
            </w:tcBorders>
            <w:shd w:val="clear" w:color="auto" w:fill="auto"/>
            <w:vAlign w:val="center"/>
            <w:hideMark/>
          </w:tcPr>
          <w:p w14:paraId="686101BC" w14:textId="55CDD84D"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455.646</w:t>
            </w:r>
          </w:p>
        </w:tc>
        <w:tc>
          <w:tcPr>
            <w:tcW w:w="940" w:type="dxa"/>
            <w:tcBorders>
              <w:top w:val="nil"/>
              <w:left w:val="nil"/>
              <w:bottom w:val="single" w:sz="4" w:space="0" w:color="auto"/>
              <w:right w:val="single" w:sz="4" w:space="0" w:color="auto"/>
            </w:tcBorders>
            <w:shd w:val="clear" w:color="auto" w:fill="auto"/>
            <w:noWrap/>
            <w:vAlign w:val="center"/>
            <w:hideMark/>
          </w:tcPr>
          <w:p w14:paraId="6C8C84DA" w14:textId="3623D001"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0,43</w:t>
            </w:r>
            <w:r>
              <w:rPr>
                <w:rFonts w:ascii="Arial" w:hAnsi="Arial" w:cs="Arial"/>
                <w:sz w:val="18"/>
                <w:szCs w:val="18"/>
              </w:rPr>
              <w:t xml:space="preserve"> </w:t>
            </w:r>
            <w:r w:rsidRPr="006F6517">
              <w:rPr>
                <w:rFonts w:ascii="Arial" w:hAnsi="Arial" w:cs="Arial"/>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65D18D30" w14:textId="030874E8" w:rsidR="006F6517" w:rsidRPr="006F6517" w:rsidRDefault="006F6517" w:rsidP="006F6517">
            <w:pPr>
              <w:spacing w:after="0" w:line="240" w:lineRule="auto"/>
              <w:jc w:val="right"/>
              <w:rPr>
                <w:rFonts w:ascii="Arial" w:eastAsia="Times New Roman" w:hAnsi="Arial" w:cs="Arial"/>
                <w:color w:val="000000"/>
                <w:sz w:val="18"/>
                <w:szCs w:val="18"/>
                <w:lang w:eastAsia="sl-SI"/>
              </w:rPr>
            </w:pPr>
            <w:r w:rsidRPr="006F6517">
              <w:rPr>
                <w:rFonts w:ascii="Arial" w:hAnsi="Arial" w:cs="Arial"/>
                <w:sz w:val="18"/>
                <w:szCs w:val="18"/>
              </w:rPr>
              <w:t>0,10</w:t>
            </w:r>
            <w:r>
              <w:rPr>
                <w:rFonts w:ascii="Arial" w:hAnsi="Arial" w:cs="Arial"/>
                <w:sz w:val="18"/>
                <w:szCs w:val="18"/>
              </w:rPr>
              <w:t xml:space="preserve"> </w:t>
            </w:r>
            <w:r w:rsidRPr="006F6517">
              <w:rPr>
                <w:rFonts w:ascii="Arial" w:hAnsi="Arial" w:cs="Arial"/>
                <w:sz w:val="18"/>
                <w:szCs w:val="18"/>
              </w:rPr>
              <w:t>%</w:t>
            </w:r>
          </w:p>
        </w:tc>
      </w:tr>
      <w:tr w:rsidR="006F6517" w:rsidRPr="006F6517" w14:paraId="2D747655" w14:textId="77777777" w:rsidTr="006F6517">
        <w:trPr>
          <w:trHeight w:val="300"/>
          <w:jc w:val="center"/>
        </w:trPr>
        <w:tc>
          <w:tcPr>
            <w:tcW w:w="402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85C7E87" w14:textId="77777777" w:rsidR="006F6517" w:rsidRPr="006F6517" w:rsidRDefault="006F6517" w:rsidP="006F6517">
            <w:pPr>
              <w:spacing w:after="0" w:line="240" w:lineRule="auto"/>
              <w:rPr>
                <w:rFonts w:ascii="Arial" w:eastAsia="Times New Roman" w:hAnsi="Arial" w:cs="Arial"/>
                <w:b/>
                <w:bCs/>
                <w:color w:val="000000"/>
                <w:sz w:val="18"/>
                <w:szCs w:val="18"/>
                <w:lang w:eastAsia="sl-SI"/>
              </w:rPr>
            </w:pPr>
            <w:r w:rsidRPr="006F6517">
              <w:rPr>
                <w:rFonts w:ascii="Arial" w:eastAsia="Times New Roman" w:hAnsi="Arial" w:cs="Arial"/>
                <w:b/>
                <w:bCs/>
                <w:color w:val="000000"/>
                <w:sz w:val="18"/>
                <w:szCs w:val="18"/>
                <w:lang w:eastAsia="sl-SI"/>
              </w:rPr>
              <w:t>Skupaj</w:t>
            </w:r>
          </w:p>
        </w:tc>
        <w:tc>
          <w:tcPr>
            <w:tcW w:w="920" w:type="dxa"/>
            <w:tcBorders>
              <w:top w:val="nil"/>
              <w:left w:val="nil"/>
              <w:bottom w:val="single" w:sz="4" w:space="0" w:color="auto"/>
              <w:right w:val="single" w:sz="4" w:space="0" w:color="auto"/>
            </w:tcBorders>
            <w:shd w:val="clear" w:color="auto" w:fill="E7E6E6" w:themeFill="background2"/>
            <w:noWrap/>
            <w:vAlign w:val="center"/>
            <w:hideMark/>
          </w:tcPr>
          <w:p w14:paraId="1F6EE753" w14:textId="7F74634D" w:rsidR="006F6517" w:rsidRPr="006F6517" w:rsidRDefault="006F6517" w:rsidP="006F6517">
            <w:pPr>
              <w:spacing w:after="0" w:line="240" w:lineRule="auto"/>
              <w:jc w:val="right"/>
              <w:rPr>
                <w:rFonts w:ascii="Arial" w:eastAsia="Times New Roman" w:hAnsi="Arial" w:cs="Arial"/>
                <w:b/>
                <w:bCs/>
                <w:color w:val="000000"/>
                <w:sz w:val="18"/>
                <w:szCs w:val="18"/>
                <w:lang w:eastAsia="sl-SI"/>
              </w:rPr>
            </w:pPr>
            <w:r w:rsidRPr="006F6517">
              <w:rPr>
                <w:rFonts w:ascii="Arial" w:hAnsi="Arial" w:cs="Arial"/>
                <w:b/>
                <w:sz w:val="18"/>
                <w:szCs w:val="18"/>
              </w:rPr>
              <w:t>931</w:t>
            </w:r>
          </w:p>
        </w:tc>
        <w:tc>
          <w:tcPr>
            <w:tcW w:w="1141" w:type="dxa"/>
            <w:tcBorders>
              <w:top w:val="nil"/>
              <w:left w:val="nil"/>
              <w:bottom w:val="single" w:sz="4" w:space="0" w:color="auto"/>
              <w:right w:val="single" w:sz="4" w:space="0" w:color="auto"/>
            </w:tcBorders>
            <w:shd w:val="clear" w:color="auto" w:fill="E7E6E6" w:themeFill="background2"/>
            <w:noWrap/>
            <w:vAlign w:val="center"/>
            <w:hideMark/>
          </w:tcPr>
          <w:p w14:paraId="7CAD0C4D" w14:textId="720F82D2" w:rsidR="006F6517" w:rsidRPr="006F6517" w:rsidRDefault="006F6517" w:rsidP="006F6517">
            <w:pPr>
              <w:spacing w:after="0" w:line="240" w:lineRule="auto"/>
              <w:jc w:val="right"/>
              <w:rPr>
                <w:rFonts w:ascii="Arial" w:eastAsia="Times New Roman" w:hAnsi="Arial" w:cs="Arial"/>
                <w:b/>
                <w:bCs/>
                <w:color w:val="000000"/>
                <w:sz w:val="18"/>
                <w:szCs w:val="18"/>
                <w:lang w:eastAsia="sl-SI"/>
              </w:rPr>
            </w:pPr>
            <w:r w:rsidRPr="006F6517">
              <w:rPr>
                <w:rFonts w:ascii="Arial" w:hAnsi="Arial" w:cs="Arial"/>
                <w:b/>
                <w:sz w:val="18"/>
                <w:szCs w:val="18"/>
              </w:rPr>
              <w:t>444.269.131</w:t>
            </w:r>
          </w:p>
        </w:tc>
        <w:tc>
          <w:tcPr>
            <w:tcW w:w="940" w:type="dxa"/>
            <w:tcBorders>
              <w:top w:val="nil"/>
              <w:left w:val="nil"/>
              <w:bottom w:val="single" w:sz="4" w:space="0" w:color="auto"/>
              <w:right w:val="single" w:sz="4" w:space="0" w:color="auto"/>
            </w:tcBorders>
            <w:shd w:val="clear" w:color="auto" w:fill="E7E6E6" w:themeFill="background2"/>
            <w:noWrap/>
            <w:vAlign w:val="center"/>
            <w:hideMark/>
          </w:tcPr>
          <w:p w14:paraId="15BDEC2C" w14:textId="16EF76E1" w:rsidR="006F6517" w:rsidRPr="006F6517" w:rsidRDefault="006F6517" w:rsidP="006F6517">
            <w:pPr>
              <w:spacing w:after="0" w:line="240" w:lineRule="auto"/>
              <w:jc w:val="right"/>
              <w:rPr>
                <w:rFonts w:ascii="Arial" w:eastAsia="Times New Roman" w:hAnsi="Arial" w:cs="Arial"/>
                <w:b/>
                <w:bCs/>
                <w:color w:val="000000"/>
                <w:sz w:val="18"/>
                <w:szCs w:val="18"/>
                <w:lang w:eastAsia="sl-SI"/>
              </w:rPr>
            </w:pPr>
            <w:r w:rsidRPr="006F6517">
              <w:rPr>
                <w:rFonts w:ascii="Arial" w:hAnsi="Arial" w:cs="Arial"/>
                <w:b/>
                <w:sz w:val="18"/>
                <w:szCs w:val="18"/>
              </w:rPr>
              <w:t>100,00</w:t>
            </w:r>
            <w:r>
              <w:rPr>
                <w:rFonts w:ascii="Arial" w:hAnsi="Arial" w:cs="Arial"/>
                <w:b/>
                <w:sz w:val="18"/>
                <w:szCs w:val="18"/>
              </w:rPr>
              <w:t xml:space="preserve"> </w:t>
            </w:r>
            <w:r w:rsidRPr="006F6517">
              <w:rPr>
                <w:rFonts w:ascii="Arial" w:hAnsi="Arial" w:cs="Arial"/>
                <w:b/>
                <w:sz w:val="18"/>
                <w:szCs w:val="18"/>
              </w:rPr>
              <w:t>%</w:t>
            </w:r>
          </w:p>
        </w:tc>
        <w:tc>
          <w:tcPr>
            <w:tcW w:w="940" w:type="dxa"/>
            <w:tcBorders>
              <w:top w:val="nil"/>
              <w:left w:val="nil"/>
              <w:bottom w:val="single" w:sz="4" w:space="0" w:color="auto"/>
              <w:right w:val="single" w:sz="4" w:space="0" w:color="auto"/>
            </w:tcBorders>
            <w:shd w:val="clear" w:color="auto" w:fill="E7E6E6" w:themeFill="background2"/>
            <w:noWrap/>
            <w:vAlign w:val="center"/>
            <w:hideMark/>
          </w:tcPr>
          <w:p w14:paraId="321A13C0" w14:textId="76799A41" w:rsidR="006F6517" w:rsidRPr="006F6517" w:rsidRDefault="006F6517" w:rsidP="006F6517">
            <w:pPr>
              <w:spacing w:after="0" w:line="240" w:lineRule="auto"/>
              <w:jc w:val="right"/>
              <w:rPr>
                <w:rFonts w:ascii="Arial" w:eastAsia="Times New Roman" w:hAnsi="Arial" w:cs="Arial"/>
                <w:b/>
                <w:bCs/>
                <w:color w:val="000000"/>
                <w:sz w:val="18"/>
                <w:szCs w:val="18"/>
                <w:lang w:eastAsia="sl-SI"/>
              </w:rPr>
            </w:pPr>
            <w:r w:rsidRPr="006F6517">
              <w:rPr>
                <w:rFonts w:ascii="Arial" w:hAnsi="Arial" w:cs="Arial"/>
                <w:b/>
                <w:sz w:val="18"/>
                <w:szCs w:val="18"/>
              </w:rPr>
              <w:t>100,00</w:t>
            </w:r>
            <w:r>
              <w:rPr>
                <w:rFonts w:ascii="Arial" w:hAnsi="Arial" w:cs="Arial"/>
                <w:b/>
                <w:sz w:val="18"/>
                <w:szCs w:val="18"/>
              </w:rPr>
              <w:t xml:space="preserve"> </w:t>
            </w:r>
            <w:r w:rsidRPr="006F6517">
              <w:rPr>
                <w:rFonts w:ascii="Arial" w:hAnsi="Arial" w:cs="Arial"/>
                <w:b/>
                <w:sz w:val="18"/>
                <w:szCs w:val="18"/>
              </w:rPr>
              <w:t>%</w:t>
            </w:r>
          </w:p>
        </w:tc>
      </w:tr>
    </w:tbl>
    <w:p w14:paraId="17BCFEE8" w14:textId="77777777" w:rsidR="004A613D" w:rsidRPr="00417FC0" w:rsidRDefault="004A613D" w:rsidP="004A613D">
      <w:pPr>
        <w:spacing w:after="0" w:line="240" w:lineRule="auto"/>
        <w:jc w:val="center"/>
        <w:rPr>
          <w:rFonts w:ascii="Arial" w:hAnsi="Arial" w:cs="Arial"/>
          <w:sz w:val="18"/>
        </w:rPr>
      </w:pPr>
    </w:p>
    <w:p w14:paraId="2566CAD3" w14:textId="7F5884C4" w:rsidR="00B37E65" w:rsidRPr="00417FC0" w:rsidRDefault="00B37E65" w:rsidP="004A613D">
      <w:pPr>
        <w:spacing w:after="0" w:line="240" w:lineRule="auto"/>
        <w:jc w:val="center"/>
        <w:rPr>
          <w:rFonts w:ascii="Arial" w:hAnsi="Arial" w:cs="Arial"/>
          <w:sz w:val="18"/>
        </w:rPr>
      </w:pPr>
      <w:r w:rsidRPr="00417FC0">
        <w:rPr>
          <w:rFonts w:ascii="Arial" w:hAnsi="Arial" w:cs="Arial"/>
          <w:sz w:val="18"/>
        </w:rPr>
        <w:t>Vir: Statistični podatki o javni</w:t>
      </w:r>
      <w:r w:rsidR="009F3ACC" w:rsidRPr="00417FC0">
        <w:rPr>
          <w:rFonts w:ascii="Arial" w:hAnsi="Arial" w:cs="Arial"/>
          <w:sz w:val="18"/>
        </w:rPr>
        <w:t>h naročilih, oddanih v letu 201</w:t>
      </w:r>
      <w:r w:rsidR="00417FC0" w:rsidRPr="00417FC0">
        <w:rPr>
          <w:rFonts w:ascii="Arial" w:hAnsi="Arial" w:cs="Arial"/>
          <w:sz w:val="18"/>
        </w:rPr>
        <w:t>8</w:t>
      </w:r>
    </w:p>
    <w:p w14:paraId="01D937D2" w14:textId="77777777" w:rsidR="00E14B7E" w:rsidRPr="00EF2D0B" w:rsidRDefault="00E14B7E" w:rsidP="000F2B07">
      <w:pPr>
        <w:spacing w:after="0" w:line="360" w:lineRule="auto"/>
        <w:jc w:val="both"/>
        <w:rPr>
          <w:rFonts w:ascii="Arial" w:hAnsi="Arial" w:cs="Arial"/>
          <w:sz w:val="20"/>
          <w:szCs w:val="20"/>
          <w:highlight w:val="yellow"/>
          <w:lang w:eastAsia="sl-SI"/>
        </w:rPr>
      </w:pPr>
    </w:p>
    <w:p w14:paraId="737FC7E8" w14:textId="17F663E8" w:rsidR="00B37E65" w:rsidRPr="00555154" w:rsidRDefault="00B37E65" w:rsidP="00B37E65">
      <w:pPr>
        <w:spacing w:line="360" w:lineRule="auto"/>
        <w:jc w:val="both"/>
        <w:rPr>
          <w:rFonts w:ascii="Arial" w:hAnsi="Arial" w:cs="Arial"/>
          <w:sz w:val="20"/>
          <w:szCs w:val="20"/>
          <w:lang w:eastAsia="sl-SI"/>
        </w:rPr>
      </w:pPr>
      <w:r w:rsidRPr="00555154">
        <w:rPr>
          <w:rFonts w:ascii="Arial" w:hAnsi="Arial" w:cs="Arial"/>
          <w:sz w:val="20"/>
          <w:szCs w:val="20"/>
          <w:lang w:eastAsia="sl-SI"/>
        </w:rPr>
        <w:t xml:space="preserve">Glede na področje je bilo največ </w:t>
      </w:r>
      <w:r w:rsidR="009B2527" w:rsidRPr="00555154">
        <w:rPr>
          <w:rFonts w:ascii="Arial" w:hAnsi="Arial" w:cs="Arial"/>
          <w:sz w:val="20"/>
          <w:szCs w:val="20"/>
          <w:lang w:eastAsia="sl-SI"/>
        </w:rPr>
        <w:t>naročil</w:t>
      </w:r>
      <w:r w:rsidRPr="00555154">
        <w:rPr>
          <w:rFonts w:ascii="Arial" w:hAnsi="Arial" w:cs="Arial"/>
          <w:sz w:val="20"/>
          <w:szCs w:val="20"/>
          <w:lang w:eastAsia="sl-SI"/>
        </w:rPr>
        <w:t xml:space="preserve"> oddanih v </w:t>
      </w:r>
      <w:proofErr w:type="spellStart"/>
      <w:r w:rsidRPr="00555154">
        <w:rPr>
          <w:rFonts w:ascii="Arial" w:hAnsi="Arial" w:cs="Arial"/>
          <w:sz w:val="20"/>
          <w:szCs w:val="20"/>
          <w:lang w:eastAsia="sl-SI"/>
        </w:rPr>
        <w:t>podizvajanje</w:t>
      </w:r>
      <w:proofErr w:type="spellEnd"/>
      <w:r w:rsidRPr="00555154">
        <w:rPr>
          <w:rFonts w:ascii="Arial" w:hAnsi="Arial" w:cs="Arial"/>
          <w:sz w:val="20"/>
          <w:szCs w:val="20"/>
          <w:lang w:eastAsia="sl-SI"/>
        </w:rPr>
        <w:t xml:space="preserve"> v </w:t>
      </w:r>
      <w:r w:rsidR="00E14B7E" w:rsidRPr="00555154">
        <w:rPr>
          <w:rFonts w:ascii="Arial" w:hAnsi="Arial" w:cs="Arial"/>
          <w:sz w:val="20"/>
          <w:szCs w:val="20"/>
          <w:lang w:eastAsia="sl-SI"/>
        </w:rPr>
        <w:t xml:space="preserve">javnih </w:t>
      </w:r>
      <w:r w:rsidRPr="00555154">
        <w:rPr>
          <w:rFonts w:ascii="Arial" w:hAnsi="Arial" w:cs="Arial"/>
          <w:sz w:val="20"/>
          <w:szCs w:val="20"/>
          <w:lang w:eastAsia="sl-SI"/>
        </w:rPr>
        <w:t xml:space="preserve">naročilih </w:t>
      </w:r>
      <w:r w:rsidR="00E14B7E" w:rsidRPr="00555154">
        <w:rPr>
          <w:rFonts w:ascii="Arial" w:hAnsi="Arial" w:cs="Arial"/>
          <w:sz w:val="20"/>
          <w:szCs w:val="20"/>
          <w:lang w:eastAsia="sl-SI"/>
        </w:rPr>
        <w:t xml:space="preserve">na </w:t>
      </w:r>
      <w:r w:rsidRPr="00555154">
        <w:rPr>
          <w:rFonts w:ascii="Arial" w:hAnsi="Arial" w:cs="Arial"/>
          <w:sz w:val="20"/>
          <w:szCs w:val="20"/>
          <w:lang w:eastAsia="sl-SI"/>
        </w:rPr>
        <w:t>splošne</w:t>
      </w:r>
      <w:r w:rsidR="00E14B7E" w:rsidRPr="00555154">
        <w:rPr>
          <w:rFonts w:ascii="Arial" w:hAnsi="Arial" w:cs="Arial"/>
          <w:sz w:val="20"/>
          <w:szCs w:val="20"/>
          <w:lang w:eastAsia="sl-SI"/>
        </w:rPr>
        <w:t>m</w:t>
      </w:r>
      <w:r w:rsidRPr="00555154">
        <w:rPr>
          <w:rFonts w:ascii="Arial" w:hAnsi="Arial" w:cs="Arial"/>
          <w:sz w:val="20"/>
          <w:szCs w:val="20"/>
          <w:lang w:eastAsia="sl-SI"/>
        </w:rPr>
        <w:t xml:space="preserve"> področj</w:t>
      </w:r>
      <w:r w:rsidR="00E14B7E" w:rsidRPr="00555154">
        <w:rPr>
          <w:rFonts w:ascii="Arial" w:hAnsi="Arial" w:cs="Arial"/>
          <w:sz w:val="20"/>
          <w:szCs w:val="20"/>
          <w:lang w:eastAsia="sl-SI"/>
        </w:rPr>
        <w:t>u, in sicer</w:t>
      </w:r>
      <w:r w:rsidR="00C17633" w:rsidRPr="00555154">
        <w:rPr>
          <w:rFonts w:ascii="Arial" w:hAnsi="Arial" w:cs="Arial"/>
          <w:sz w:val="20"/>
          <w:szCs w:val="20"/>
          <w:lang w:eastAsia="sl-SI"/>
        </w:rPr>
        <w:t xml:space="preserve"> </w:t>
      </w:r>
      <w:r w:rsidR="00555154" w:rsidRPr="00555154">
        <w:rPr>
          <w:rFonts w:ascii="Arial" w:hAnsi="Arial" w:cs="Arial"/>
          <w:sz w:val="20"/>
          <w:szCs w:val="20"/>
          <w:lang w:eastAsia="sl-SI"/>
        </w:rPr>
        <w:t>805</w:t>
      </w:r>
      <w:r w:rsidR="00A659FB" w:rsidRPr="00555154">
        <w:rPr>
          <w:rFonts w:ascii="Arial" w:hAnsi="Arial" w:cs="Arial"/>
          <w:sz w:val="20"/>
          <w:szCs w:val="20"/>
          <w:lang w:eastAsia="sl-SI"/>
        </w:rPr>
        <w:t xml:space="preserve"> v vrednosti</w:t>
      </w:r>
      <w:r w:rsidRPr="00555154">
        <w:rPr>
          <w:rFonts w:ascii="Arial" w:hAnsi="Arial" w:cs="Arial"/>
          <w:sz w:val="20"/>
          <w:szCs w:val="20"/>
          <w:lang w:eastAsia="sl-SI"/>
        </w:rPr>
        <w:t xml:space="preserve"> </w:t>
      </w:r>
      <w:r w:rsidR="00555154" w:rsidRPr="00555154">
        <w:rPr>
          <w:rFonts w:ascii="Arial" w:hAnsi="Arial" w:cs="Arial"/>
          <w:sz w:val="20"/>
          <w:szCs w:val="20"/>
          <w:lang w:eastAsia="sl-SI"/>
        </w:rPr>
        <w:t xml:space="preserve">373.585.714 </w:t>
      </w:r>
      <w:r w:rsidRPr="00555154">
        <w:rPr>
          <w:rFonts w:ascii="Arial" w:hAnsi="Arial" w:cs="Arial"/>
          <w:sz w:val="20"/>
          <w:szCs w:val="20"/>
          <w:lang w:eastAsia="sl-SI"/>
        </w:rPr>
        <w:t xml:space="preserve">evrov. </w:t>
      </w:r>
    </w:p>
    <w:p w14:paraId="4D591D10" w14:textId="77777777" w:rsidR="004E69E6" w:rsidRDefault="004E69E6" w:rsidP="000F2B07">
      <w:pPr>
        <w:rPr>
          <w:rFonts w:ascii="Arial" w:hAnsi="Arial" w:cs="Arial"/>
          <w:sz w:val="20"/>
        </w:rPr>
      </w:pPr>
    </w:p>
    <w:p w14:paraId="5E392002" w14:textId="77777777" w:rsidR="004E69E6" w:rsidRDefault="004E69E6" w:rsidP="000F2B07">
      <w:pPr>
        <w:rPr>
          <w:rFonts w:ascii="Arial" w:hAnsi="Arial" w:cs="Arial"/>
          <w:sz w:val="20"/>
        </w:rPr>
      </w:pPr>
    </w:p>
    <w:p w14:paraId="6ACAF18D" w14:textId="77777777" w:rsidR="004E69E6" w:rsidRDefault="004E69E6" w:rsidP="000F2B07">
      <w:pPr>
        <w:rPr>
          <w:rFonts w:ascii="Arial" w:hAnsi="Arial" w:cs="Arial"/>
          <w:sz w:val="20"/>
        </w:rPr>
      </w:pPr>
    </w:p>
    <w:p w14:paraId="01DBB24D" w14:textId="77777777" w:rsidR="004E69E6" w:rsidRDefault="004E69E6" w:rsidP="000F2B07">
      <w:pPr>
        <w:rPr>
          <w:rFonts w:ascii="Arial" w:hAnsi="Arial" w:cs="Arial"/>
          <w:sz w:val="20"/>
        </w:rPr>
      </w:pPr>
    </w:p>
    <w:p w14:paraId="7F6D74C5" w14:textId="77777777" w:rsidR="004E69E6" w:rsidRDefault="004E69E6" w:rsidP="000F2B07">
      <w:pPr>
        <w:rPr>
          <w:rFonts w:ascii="Arial" w:hAnsi="Arial" w:cs="Arial"/>
          <w:sz w:val="20"/>
        </w:rPr>
      </w:pPr>
    </w:p>
    <w:p w14:paraId="319574D0" w14:textId="77777777" w:rsidR="004E69E6" w:rsidRDefault="004E69E6" w:rsidP="000F2B07">
      <w:pPr>
        <w:rPr>
          <w:rFonts w:ascii="Arial" w:hAnsi="Arial" w:cs="Arial"/>
          <w:sz w:val="20"/>
        </w:rPr>
      </w:pPr>
    </w:p>
    <w:p w14:paraId="41EBB923" w14:textId="2525AE1E" w:rsidR="00E14B7E" w:rsidRPr="00150E69" w:rsidRDefault="00E14B7E" w:rsidP="000F2B07">
      <w:pPr>
        <w:rPr>
          <w:rFonts w:ascii="Arial" w:hAnsi="Arial" w:cs="Arial"/>
          <w:sz w:val="20"/>
        </w:rPr>
      </w:pPr>
      <w:r w:rsidRPr="00150E69">
        <w:rPr>
          <w:rFonts w:ascii="Arial" w:hAnsi="Arial" w:cs="Arial"/>
          <w:sz w:val="20"/>
        </w:rPr>
        <w:lastRenderedPageBreak/>
        <w:t xml:space="preserve">Preglednica </w:t>
      </w:r>
      <w:r w:rsidR="00474678" w:rsidRPr="00150E69">
        <w:rPr>
          <w:rFonts w:ascii="Arial" w:hAnsi="Arial" w:cs="Arial"/>
          <w:sz w:val="20"/>
        </w:rPr>
        <w:t>5</w:t>
      </w:r>
      <w:r w:rsidR="00EB4423">
        <w:rPr>
          <w:rFonts w:ascii="Arial" w:hAnsi="Arial" w:cs="Arial"/>
          <w:sz w:val="20"/>
        </w:rPr>
        <w:t>0</w:t>
      </w:r>
      <w:r w:rsidRPr="00150E69">
        <w:rPr>
          <w:rFonts w:ascii="Arial" w:hAnsi="Arial" w:cs="Arial"/>
          <w:sz w:val="20"/>
        </w:rPr>
        <w:t>: Udeležba podizvajalcev v številu javnih naročil, njihovi vrednosti in deležu glede na področje</w:t>
      </w:r>
      <w:r w:rsidR="00026063" w:rsidRPr="00150E69">
        <w:rPr>
          <w:rFonts w:ascii="Arial" w:hAnsi="Arial" w:cs="Arial"/>
          <w:sz w:val="20"/>
        </w:rPr>
        <w:t xml:space="preserve"> naročanja</w:t>
      </w:r>
    </w:p>
    <w:tbl>
      <w:tblPr>
        <w:tblW w:w="8493" w:type="dxa"/>
        <w:jc w:val="center"/>
        <w:tblCellMar>
          <w:left w:w="70" w:type="dxa"/>
          <w:right w:w="70" w:type="dxa"/>
        </w:tblCellMar>
        <w:tblLook w:val="04A0" w:firstRow="1" w:lastRow="0" w:firstColumn="1" w:lastColumn="0" w:noHBand="0" w:noVBand="1"/>
      </w:tblPr>
      <w:tblGrid>
        <w:gridCol w:w="1698"/>
        <w:gridCol w:w="1699"/>
        <w:gridCol w:w="1698"/>
        <w:gridCol w:w="1699"/>
        <w:gridCol w:w="1699"/>
      </w:tblGrid>
      <w:tr w:rsidR="00150E69" w:rsidRPr="00150E69" w14:paraId="2F1F6846" w14:textId="77777777" w:rsidTr="009318DA">
        <w:trPr>
          <w:trHeight w:val="828"/>
          <w:jc w:val="center"/>
        </w:trPr>
        <w:tc>
          <w:tcPr>
            <w:tcW w:w="169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9F4FE00" w14:textId="77777777" w:rsidR="00150E69" w:rsidRPr="00150E69" w:rsidRDefault="00150E69" w:rsidP="009318DA">
            <w:pPr>
              <w:spacing w:after="0" w:line="240" w:lineRule="auto"/>
              <w:jc w:val="center"/>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Področje</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6C14CB9" w14:textId="77777777" w:rsidR="00150E69" w:rsidRPr="00150E69" w:rsidRDefault="00150E69" w:rsidP="009318DA">
            <w:pPr>
              <w:spacing w:after="0" w:line="240" w:lineRule="auto"/>
              <w:jc w:val="center"/>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Št. naročil</w:t>
            </w:r>
          </w:p>
        </w:tc>
        <w:tc>
          <w:tcPr>
            <w:tcW w:w="169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0A91F77" w14:textId="77777777" w:rsidR="00150E69" w:rsidRPr="00150E69" w:rsidRDefault="00150E69" w:rsidP="009318DA">
            <w:pPr>
              <w:spacing w:after="0" w:line="240" w:lineRule="auto"/>
              <w:jc w:val="center"/>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 xml:space="preserve">Pogodbena vrednost </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328CBEE" w14:textId="77777777" w:rsidR="00150E69" w:rsidRPr="00150E69" w:rsidRDefault="00150E69" w:rsidP="009318DA">
            <w:pPr>
              <w:spacing w:after="0" w:line="240" w:lineRule="auto"/>
              <w:jc w:val="center"/>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Delež v št. naročil</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F245009" w14:textId="77777777" w:rsidR="00150E69" w:rsidRPr="00150E69" w:rsidRDefault="00150E69" w:rsidP="009318DA">
            <w:pPr>
              <w:spacing w:after="0" w:line="240" w:lineRule="auto"/>
              <w:jc w:val="center"/>
              <w:rPr>
                <w:rFonts w:ascii="Arial" w:eastAsia="Times New Roman" w:hAnsi="Arial" w:cs="Arial"/>
                <w:sz w:val="18"/>
                <w:szCs w:val="18"/>
                <w:lang w:eastAsia="sl-SI"/>
              </w:rPr>
            </w:pPr>
            <w:r w:rsidRPr="00150E69">
              <w:rPr>
                <w:rFonts w:ascii="Arial" w:eastAsia="Times New Roman" w:hAnsi="Arial" w:cs="Arial"/>
                <w:sz w:val="18"/>
                <w:szCs w:val="18"/>
                <w:lang w:eastAsia="sl-SI"/>
              </w:rPr>
              <w:t xml:space="preserve">Delež v vrednosti </w:t>
            </w:r>
          </w:p>
        </w:tc>
      </w:tr>
      <w:tr w:rsidR="00150E69" w:rsidRPr="00150E69" w14:paraId="1A8DE580" w14:textId="77777777" w:rsidTr="009318DA">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62F01AC5" w14:textId="77777777" w:rsidR="00150E69" w:rsidRPr="00150E69" w:rsidRDefault="00150E69" w:rsidP="009318DA">
            <w:pPr>
              <w:spacing w:after="0" w:line="240" w:lineRule="auto"/>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Splošno</w:t>
            </w:r>
          </w:p>
        </w:tc>
        <w:tc>
          <w:tcPr>
            <w:tcW w:w="1699" w:type="dxa"/>
            <w:tcBorders>
              <w:top w:val="nil"/>
              <w:left w:val="nil"/>
              <w:bottom w:val="single" w:sz="4" w:space="0" w:color="auto"/>
              <w:right w:val="single" w:sz="4" w:space="0" w:color="auto"/>
            </w:tcBorders>
            <w:shd w:val="clear" w:color="auto" w:fill="auto"/>
            <w:vAlign w:val="center"/>
            <w:hideMark/>
          </w:tcPr>
          <w:p w14:paraId="303FF380"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805</w:t>
            </w:r>
          </w:p>
        </w:tc>
        <w:tc>
          <w:tcPr>
            <w:tcW w:w="1698" w:type="dxa"/>
            <w:tcBorders>
              <w:top w:val="nil"/>
              <w:left w:val="nil"/>
              <w:bottom w:val="single" w:sz="4" w:space="0" w:color="auto"/>
              <w:right w:val="single" w:sz="4" w:space="0" w:color="auto"/>
            </w:tcBorders>
            <w:shd w:val="clear" w:color="auto" w:fill="auto"/>
            <w:vAlign w:val="center"/>
            <w:hideMark/>
          </w:tcPr>
          <w:p w14:paraId="206D399D"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373.585.714</w:t>
            </w:r>
          </w:p>
        </w:tc>
        <w:tc>
          <w:tcPr>
            <w:tcW w:w="1699" w:type="dxa"/>
            <w:tcBorders>
              <w:top w:val="nil"/>
              <w:left w:val="nil"/>
              <w:bottom w:val="single" w:sz="4" w:space="0" w:color="auto"/>
              <w:right w:val="single" w:sz="4" w:space="0" w:color="auto"/>
            </w:tcBorders>
            <w:shd w:val="clear" w:color="auto" w:fill="auto"/>
            <w:vAlign w:val="center"/>
            <w:hideMark/>
          </w:tcPr>
          <w:p w14:paraId="1947F3C9"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86,47 %</w:t>
            </w:r>
          </w:p>
        </w:tc>
        <w:tc>
          <w:tcPr>
            <w:tcW w:w="1699" w:type="dxa"/>
            <w:tcBorders>
              <w:top w:val="nil"/>
              <w:left w:val="nil"/>
              <w:bottom w:val="single" w:sz="4" w:space="0" w:color="auto"/>
              <w:right w:val="single" w:sz="4" w:space="0" w:color="auto"/>
            </w:tcBorders>
            <w:shd w:val="clear" w:color="auto" w:fill="auto"/>
            <w:vAlign w:val="center"/>
            <w:hideMark/>
          </w:tcPr>
          <w:p w14:paraId="78601EE3" w14:textId="77777777" w:rsidR="00150E69" w:rsidRPr="00150E69" w:rsidRDefault="00150E69" w:rsidP="009318DA">
            <w:pPr>
              <w:spacing w:after="0" w:line="240" w:lineRule="auto"/>
              <w:jc w:val="right"/>
              <w:rPr>
                <w:rFonts w:ascii="Arial" w:eastAsia="Times New Roman" w:hAnsi="Arial" w:cs="Arial"/>
                <w:sz w:val="18"/>
                <w:szCs w:val="18"/>
                <w:lang w:eastAsia="sl-SI"/>
              </w:rPr>
            </w:pPr>
            <w:r w:rsidRPr="00150E69">
              <w:rPr>
                <w:rFonts w:ascii="Arial" w:hAnsi="Arial" w:cs="Arial"/>
                <w:sz w:val="18"/>
                <w:szCs w:val="18"/>
              </w:rPr>
              <w:t>84,09 %</w:t>
            </w:r>
          </w:p>
        </w:tc>
      </w:tr>
      <w:tr w:rsidR="00150E69" w:rsidRPr="00150E69" w14:paraId="25659E1A" w14:textId="77777777" w:rsidTr="009318DA">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50AA1CDE" w14:textId="77777777" w:rsidR="00150E69" w:rsidRPr="00150E69" w:rsidRDefault="00150E69" w:rsidP="009318DA">
            <w:pPr>
              <w:spacing w:after="0" w:line="240" w:lineRule="auto"/>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Infrastrukturno</w:t>
            </w:r>
          </w:p>
        </w:tc>
        <w:tc>
          <w:tcPr>
            <w:tcW w:w="1699" w:type="dxa"/>
            <w:tcBorders>
              <w:top w:val="nil"/>
              <w:left w:val="nil"/>
              <w:bottom w:val="single" w:sz="4" w:space="0" w:color="auto"/>
              <w:right w:val="single" w:sz="4" w:space="0" w:color="auto"/>
            </w:tcBorders>
            <w:shd w:val="clear" w:color="auto" w:fill="auto"/>
            <w:vAlign w:val="center"/>
            <w:hideMark/>
          </w:tcPr>
          <w:p w14:paraId="2922416C"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109</w:t>
            </w:r>
          </w:p>
        </w:tc>
        <w:tc>
          <w:tcPr>
            <w:tcW w:w="1698" w:type="dxa"/>
            <w:tcBorders>
              <w:top w:val="nil"/>
              <w:left w:val="nil"/>
              <w:bottom w:val="single" w:sz="4" w:space="0" w:color="auto"/>
              <w:right w:val="single" w:sz="4" w:space="0" w:color="auto"/>
            </w:tcBorders>
            <w:shd w:val="clear" w:color="auto" w:fill="auto"/>
            <w:vAlign w:val="center"/>
            <w:hideMark/>
          </w:tcPr>
          <w:p w14:paraId="22349EBC"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62.664.005</w:t>
            </w:r>
          </w:p>
        </w:tc>
        <w:tc>
          <w:tcPr>
            <w:tcW w:w="1699" w:type="dxa"/>
            <w:tcBorders>
              <w:top w:val="nil"/>
              <w:left w:val="nil"/>
              <w:bottom w:val="single" w:sz="4" w:space="0" w:color="auto"/>
              <w:right w:val="single" w:sz="4" w:space="0" w:color="auto"/>
            </w:tcBorders>
            <w:shd w:val="clear" w:color="auto" w:fill="auto"/>
            <w:vAlign w:val="center"/>
            <w:hideMark/>
          </w:tcPr>
          <w:p w14:paraId="57BA453F"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11,71 %</w:t>
            </w:r>
          </w:p>
        </w:tc>
        <w:tc>
          <w:tcPr>
            <w:tcW w:w="1699" w:type="dxa"/>
            <w:tcBorders>
              <w:top w:val="nil"/>
              <w:left w:val="nil"/>
              <w:bottom w:val="single" w:sz="4" w:space="0" w:color="auto"/>
              <w:right w:val="single" w:sz="4" w:space="0" w:color="auto"/>
            </w:tcBorders>
            <w:shd w:val="clear" w:color="auto" w:fill="auto"/>
            <w:vAlign w:val="center"/>
            <w:hideMark/>
          </w:tcPr>
          <w:p w14:paraId="1FFF6F82" w14:textId="77777777" w:rsidR="00150E69" w:rsidRPr="00150E69" w:rsidRDefault="00150E69" w:rsidP="009318DA">
            <w:pPr>
              <w:spacing w:after="0" w:line="240" w:lineRule="auto"/>
              <w:jc w:val="right"/>
              <w:rPr>
                <w:rFonts w:ascii="Arial" w:eastAsia="Times New Roman" w:hAnsi="Arial" w:cs="Arial"/>
                <w:sz w:val="18"/>
                <w:szCs w:val="18"/>
                <w:lang w:eastAsia="sl-SI"/>
              </w:rPr>
            </w:pPr>
            <w:r w:rsidRPr="00150E69">
              <w:rPr>
                <w:rFonts w:ascii="Arial" w:hAnsi="Arial" w:cs="Arial"/>
                <w:sz w:val="18"/>
                <w:szCs w:val="18"/>
              </w:rPr>
              <w:t>14,10 %</w:t>
            </w:r>
          </w:p>
        </w:tc>
      </w:tr>
      <w:tr w:rsidR="00150E69" w:rsidRPr="00150E69" w14:paraId="565B6D5D" w14:textId="77777777" w:rsidTr="009318DA">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466F170C" w14:textId="77777777" w:rsidR="00150E69" w:rsidRPr="00150E69" w:rsidRDefault="00150E69" w:rsidP="009318DA">
            <w:pPr>
              <w:spacing w:after="0" w:line="240" w:lineRule="auto"/>
              <w:rPr>
                <w:rFonts w:ascii="Arial" w:eastAsia="Times New Roman" w:hAnsi="Arial" w:cs="Arial"/>
                <w:color w:val="000000"/>
                <w:sz w:val="18"/>
                <w:szCs w:val="18"/>
                <w:lang w:eastAsia="sl-SI"/>
              </w:rPr>
            </w:pPr>
            <w:r w:rsidRPr="00150E69">
              <w:rPr>
                <w:rFonts w:ascii="Arial" w:eastAsia="Times New Roman" w:hAnsi="Arial" w:cs="Arial"/>
                <w:color w:val="000000"/>
                <w:sz w:val="18"/>
                <w:szCs w:val="18"/>
                <w:lang w:eastAsia="sl-SI"/>
              </w:rPr>
              <w:t>Obrambno</w:t>
            </w:r>
          </w:p>
        </w:tc>
        <w:tc>
          <w:tcPr>
            <w:tcW w:w="1699" w:type="dxa"/>
            <w:tcBorders>
              <w:top w:val="nil"/>
              <w:left w:val="nil"/>
              <w:bottom w:val="single" w:sz="4" w:space="0" w:color="auto"/>
              <w:right w:val="single" w:sz="4" w:space="0" w:color="auto"/>
            </w:tcBorders>
            <w:shd w:val="clear" w:color="auto" w:fill="auto"/>
            <w:vAlign w:val="center"/>
            <w:hideMark/>
          </w:tcPr>
          <w:p w14:paraId="2ED40BC4"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14:paraId="17D420F8"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8.019.412</w:t>
            </w:r>
          </w:p>
        </w:tc>
        <w:tc>
          <w:tcPr>
            <w:tcW w:w="1699" w:type="dxa"/>
            <w:tcBorders>
              <w:top w:val="nil"/>
              <w:left w:val="nil"/>
              <w:bottom w:val="single" w:sz="4" w:space="0" w:color="auto"/>
              <w:right w:val="single" w:sz="4" w:space="0" w:color="auto"/>
            </w:tcBorders>
            <w:shd w:val="clear" w:color="auto" w:fill="auto"/>
            <w:vAlign w:val="center"/>
            <w:hideMark/>
          </w:tcPr>
          <w:p w14:paraId="40017780" w14:textId="77777777" w:rsidR="00150E69" w:rsidRPr="00150E69" w:rsidRDefault="00150E69" w:rsidP="009318DA">
            <w:pPr>
              <w:spacing w:after="0" w:line="240" w:lineRule="auto"/>
              <w:jc w:val="right"/>
              <w:rPr>
                <w:rFonts w:ascii="Arial" w:eastAsia="Times New Roman" w:hAnsi="Arial" w:cs="Arial"/>
                <w:color w:val="000000"/>
                <w:sz w:val="18"/>
                <w:szCs w:val="18"/>
                <w:lang w:eastAsia="sl-SI"/>
              </w:rPr>
            </w:pPr>
            <w:r w:rsidRPr="00150E69">
              <w:rPr>
                <w:rFonts w:ascii="Arial" w:hAnsi="Arial" w:cs="Arial"/>
                <w:sz w:val="18"/>
                <w:szCs w:val="18"/>
              </w:rPr>
              <w:t>1,83 %</w:t>
            </w:r>
          </w:p>
        </w:tc>
        <w:tc>
          <w:tcPr>
            <w:tcW w:w="1699" w:type="dxa"/>
            <w:tcBorders>
              <w:top w:val="nil"/>
              <w:left w:val="nil"/>
              <w:bottom w:val="single" w:sz="4" w:space="0" w:color="auto"/>
              <w:right w:val="single" w:sz="4" w:space="0" w:color="auto"/>
            </w:tcBorders>
            <w:shd w:val="clear" w:color="auto" w:fill="auto"/>
            <w:vAlign w:val="center"/>
            <w:hideMark/>
          </w:tcPr>
          <w:p w14:paraId="13524630" w14:textId="77777777" w:rsidR="00150E69" w:rsidRPr="00150E69" w:rsidRDefault="00150E69" w:rsidP="009318DA">
            <w:pPr>
              <w:spacing w:after="0" w:line="240" w:lineRule="auto"/>
              <w:jc w:val="right"/>
              <w:rPr>
                <w:rFonts w:ascii="Arial" w:eastAsia="Times New Roman" w:hAnsi="Arial" w:cs="Arial"/>
                <w:sz w:val="18"/>
                <w:szCs w:val="18"/>
                <w:lang w:eastAsia="sl-SI"/>
              </w:rPr>
            </w:pPr>
            <w:r w:rsidRPr="00150E69">
              <w:rPr>
                <w:rFonts w:ascii="Arial" w:hAnsi="Arial" w:cs="Arial"/>
                <w:sz w:val="18"/>
                <w:szCs w:val="18"/>
              </w:rPr>
              <w:t>1,81 %</w:t>
            </w:r>
          </w:p>
        </w:tc>
      </w:tr>
      <w:tr w:rsidR="00150E69" w:rsidRPr="00150E69" w14:paraId="114B37A0" w14:textId="77777777" w:rsidTr="00B45EE0">
        <w:trPr>
          <w:trHeight w:val="290"/>
          <w:jc w:val="center"/>
        </w:trPr>
        <w:tc>
          <w:tcPr>
            <w:tcW w:w="1698" w:type="dxa"/>
            <w:tcBorders>
              <w:top w:val="nil"/>
              <w:left w:val="single" w:sz="4" w:space="0" w:color="auto"/>
              <w:bottom w:val="single" w:sz="4" w:space="0" w:color="auto"/>
              <w:right w:val="single" w:sz="4" w:space="0" w:color="auto"/>
            </w:tcBorders>
            <w:shd w:val="clear" w:color="auto" w:fill="E7E6E6" w:themeFill="background2"/>
            <w:vAlign w:val="center"/>
            <w:hideMark/>
          </w:tcPr>
          <w:p w14:paraId="0C7F5F08" w14:textId="77777777" w:rsidR="00150E69" w:rsidRPr="00150E69" w:rsidRDefault="00150E69" w:rsidP="009318DA">
            <w:pPr>
              <w:spacing w:after="0" w:line="240" w:lineRule="auto"/>
              <w:rPr>
                <w:rFonts w:ascii="Arial" w:eastAsia="Times New Roman" w:hAnsi="Arial" w:cs="Arial"/>
                <w:b/>
                <w:bCs/>
                <w:color w:val="000000"/>
                <w:sz w:val="18"/>
                <w:szCs w:val="18"/>
                <w:lang w:eastAsia="sl-SI"/>
              </w:rPr>
            </w:pPr>
            <w:r w:rsidRPr="00150E69">
              <w:rPr>
                <w:rFonts w:ascii="Arial" w:eastAsia="Times New Roman" w:hAnsi="Arial" w:cs="Arial"/>
                <w:b/>
                <w:bCs/>
                <w:color w:val="000000"/>
                <w:sz w:val="18"/>
                <w:szCs w:val="18"/>
                <w:lang w:eastAsia="sl-SI"/>
              </w:rPr>
              <w:t>Skupaj</w:t>
            </w:r>
          </w:p>
        </w:tc>
        <w:tc>
          <w:tcPr>
            <w:tcW w:w="1699" w:type="dxa"/>
            <w:tcBorders>
              <w:top w:val="nil"/>
              <w:left w:val="nil"/>
              <w:bottom w:val="single" w:sz="4" w:space="0" w:color="auto"/>
              <w:right w:val="single" w:sz="4" w:space="0" w:color="auto"/>
            </w:tcBorders>
            <w:shd w:val="clear" w:color="auto" w:fill="E7E6E6" w:themeFill="background2"/>
            <w:vAlign w:val="center"/>
            <w:hideMark/>
          </w:tcPr>
          <w:p w14:paraId="0D6D6C02" w14:textId="77777777" w:rsidR="00150E69" w:rsidRPr="00150E69" w:rsidRDefault="00150E69" w:rsidP="009318DA">
            <w:pPr>
              <w:spacing w:after="0" w:line="240" w:lineRule="auto"/>
              <w:jc w:val="right"/>
              <w:rPr>
                <w:rFonts w:ascii="Arial" w:eastAsia="Times New Roman" w:hAnsi="Arial" w:cs="Arial"/>
                <w:b/>
                <w:bCs/>
                <w:color w:val="000000"/>
                <w:sz w:val="18"/>
                <w:szCs w:val="18"/>
                <w:lang w:eastAsia="sl-SI"/>
              </w:rPr>
            </w:pPr>
            <w:r w:rsidRPr="00150E69">
              <w:rPr>
                <w:rFonts w:ascii="Arial" w:hAnsi="Arial" w:cs="Arial"/>
                <w:b/>
                <w:sz w:val="18"/>
                <w:szCs w:val="18"/>
              </w:rPr>
              <w:t>931</w:t>
            </w:r>
          </w:p>
        </w:tc>
        <w:tc>
          <w:tcPr>
            <w:tcW w:w="1698" w:type="dxa"/>
            <w:tcBorders>
              <w:top w:val="nil"/>
              <w:left w:val="nil"/>
              <w:bottom w:val="single" w:sz="4" w:space="0" w:color="auto"/>
              <w:right w:val="single" w:sz="4" w:space="0" w:color="auto"/>
            </w:tcBorders>
            <w:shd w:val="clear" w:color="auto" w:fill="E7E6E6" w:themeFill="background2"/>
            <w:vAlign w:val="center"/>
            <w:hideMark/>
          </w:tcPr>
          <w:p w14:paraId="39D541BF" w14:textId="77777777" w:rsidR="00150E69" w:rsidRPr="00150E69" w:rsidRDefault="00150E69" w:rsidP="009318DA">
            <w:pPr>
              <w:spacing w:after="0" w:line="240" w:lineRule="auto"/>
              <w:jc w:val="right"/>
              <w:rPr>
                <w:rFonts w:ascii="Arial" w:eastAsia="Times New Roman" w:hAnsi="Arial" w:cs="Arial"/>
                <w:b/>
                <w:bCs/>
                <w:color w:val="000000"/>
                <w:sz w:val="18"/>
                <w:szCs w:val="18"/>
                <w:lang w:eastAsia="sl-SI"/>
              </w:rPr>
            </w:pPr>
            <w:r w:rsidRPr="00150E69">
              <w:rPr>
                <w:rFonts w:ascii="Arial" w:hAnsi="Arial" w:cs="Arial"/>
                <w:b/>
                <w:sz w:val="18"/>
                <w:szCs w:val="18"/>
              </w:rPr>
              <w:t>444.269.131</w:t>
            </w:r>
          </w:p>
        </w:tc>
        <w:tc>
          <w:tcPr>
            <w:tcW w:w="169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5481EFE" w14:textId="77777777" w:rsidR="00150E69" w:rsidRPr="00150E69" w:rsidRDefault="00150E69" w:rsidP="009318DA">
            <w:pPr>
              <w:spacing w:after="0" w:line="240" w:lineRule="auto"/>
              <w:jc w:val="right"/>
              <w:rPr>
                <w:rFonts w:ascii="Arial" w:eastAsia="Times New Roman" w:hAnsi="Arial" w:cs="Arial"/>
                <w:b/>
                <w:color w:val="000000"/>
                <w:sz w:val="18"/>
                <w:szCs w:val="18"/>
                <w:lang w:eastAsia="sl-SI"/>
              </w:rPr>
            </w:pPr>
            <w:r w:rsidRPr="00150E69">
              <w:rPr>
                <w:rFonts w:ascii="Arial" w:hAnsi="Arial" w:cs="Arial"/>
                <w:b/>
                <w:sz w:val="18"/>
                <w:szCs w:val="18"/>
              </w:rPr>
              <w:t>100,00 %</w:t>
            </w:r>
          </w:p>
        </w:tc>
        <w:tc>
          <w:tcPr>
            <w:tcW w:w="169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AD9D19C" w14:textId="77777777" w:rsidR="00150E69" w:rsidRPr="00150E69" w:rsidRDefault="00150E69" w:rsidP="009318DA">
            <w:pPr>
              <w:spacing w:after="0" w:line="240" w:lineRule="auto"/>
              <w:jc w:val="right"/>
              <w:rPr>
                <w:rFonts w:ascii="Arial" w:eastAsia="Times New Roman" w:hAnsi="Arial" w:cs="Arial"/>
                <w:b/>
                <w:color w:val="000000"/>
                <w:sz w:val="18"/>
                <w:szCs w:val="18"/>
                <w:lang w:eastAsia="sl-SI"/>
              </w:rPr>
            </w:pPr>
            <w:r w:rsidRPr="00150E69">
              <w:rPr>
                <w:rFonts w:ascii="Arial" w:hAnsi="Arial" w:cs="Arial"/>
                <w:b/>
                <w:sz w:val="18"/>
                <w:szCs w:val="18"/>
              </w:rPr>
              <w:t>100,00 %</w:t>
            </w:r>
          </w:p>
        </w:tc>
      </w:tr>
    </w:tbl>
    <w:p w14:paraId="0C582B9C" w14:textId="77777777" w:rsidR="004A613D" w:rsidRPr="00150E69" w:rsidRDefault="004A613D" w:rsidP="004A613D">
      <w:pPr>
        <w:spacing w:after="0" w:line="240" w:lineRule="auto"/>
        <w:jc w:val="center"/>
        <w:rPr>
          <w:rFonts w:ascii="Arial" w:hAnsi="Arial" w:cs="Arial"/>
          <w:sz w:val="18"/>
        </w:rPr>
      </w:pPr>
    </w:p>
    <w:p w14:paraId="6086B8AA" w14:textId="2BAAF061" w:rsidR="00B37E65" w:rsidRPr="00150E69" w:rsidRDefault="00B37E65" w:rsidP="004A613D">
      <w:pPr>
        <w:spacing w:after="0" w:line="240" w:lineRule="auto"/>
        <w:jc w:val="center"/>
        <w:rPr>
          <w:rFonts w:ascii="Arial" w:hAnsi="Arial" w:cs="Arial"/>
          <w:sz w:val="18"/>
        </w:rPr>
      </w:pPr>
      <w:r w:rsidRPr="00150E69">
        <w:rPr>
          <w:rFonts w:ascii="Arial" w:hAnsi="Arial" w:cs="Arial"/>
          <w:sz w:val="18"/>
        </w:rPr>
        <w:t>Vir: Statistični podatki o javni</w:t>
      </w:r>
      <w:r w:rsidR="002B0443" w:rsidRPr="00150E69">
        <w:rPr>
          <w:rFonts w:ascii="Arial" w:hAnsi="Arial" w:cs="Arial"/>
          <w:sz w:val="18"/>
        </w:rPr>
        <w:t>h naročilih, oddanih v letu 201</w:t>
      </w:r>
      <w:r w:rsidR="00150E69" w:rsidRPr="00150E69">
        <w:rPr>
          <w:rFonts w:ascii="Arial" w:hAnsi="Arial" w:cs="Arial"/>
          <w:sz w:val="18"/>
        </w:rPr>
        <w:t>8</w:t>
      </w:r>
    </w:p>
    <w:p w14:paraId="537B0A19" w14:textId="77777777" w:rsidR="004E69E6" w:rsidRPr="00150E69" w:rsidRDefault="004E69E6" w:rsidP="00C43679">
      <w:pPr>
        <w:pStyle w:val="ZADEVA"/>
        <w:ind w:left="0" w:firstLine="0"/>
        <w:jc w:val="both"/>
        <w:rPr>
          <w:rFonts w:cs="Arial"/>
          <w:b w:val="0"/>
          <w:szCs w:val="20"/>
          <w:lang w:val="sl-SI"/>
        </w:rPr>
      </w:pPr>
    </w:p>
    <w:p w14:paraId="5EEDB018" w14:textId="0EBF47DB" w:rsidR="00B905EB" w:rsidRPr="0001737D" w:rsidRDefault="00B905EB" w:rsidP="00B905EB">
      <w:pPr>
        <w:pStyle w:val="Naslov2"/>
        <w:rPr>
          <w:rFonts w:ascii="Arial" w:hAnsi="Arial" w:cs="Arial"/>
          <w:szCs w:val="20"/>
        </w:rPr>
      </w:pPr>
      <w:bookmarkStart w:id="34" w:name="_Toc17114072"/>
      <w:r w:rsidRPr="0001737D">
        <w:rPr>
          <w:rFonts w:ascii="Arial" w:hAnsi="Arial" w:cs="Arial"/>
          <w:sz w:val="22"/>
          <w:szCs w:val="22"/>
        </w:rPr>
        <w:t>2.8 Največji naročniki, najuspešnejši ponudniki in največja naročila</w:t>
      </w:r>
      <w:bookmarkEnd w:id="34"/>
    </w:p>
    <w:p w14:paraId="0032DAC2" w14:textId="01ECD0C1" w:rsidR="00CB617D" w:rsidRPr="0001737D" w:rsidRDefault="00CB617D" w:rsidP="004611B6">
      <w:pPr>
        <w:pStyle w:val="ZADEVA"/>
        <w:ind w:left="0" w:firstLine="0"/>
        <w:jc w:val="both"/>
        <w:rPr>
          <w:rFonts w:cs="Arial"/>
          <w:b w:val="0"/>
          <w:szCs w:val="20"/>
          <w:lang w:val="sl-SI"/>
        </w:rPr>
      </w:pPr>
    </w:p>
    <w:p w14:paraId="34CA974B" w14:textId="385228BF" w:rsidR="00A25CC2" w:rsidRPr="0001737D" w:rsidRDefault="00A25CC2" w:rsidP="00A25CC2">
      <w:pPr>
        <w:pStyle w:val="Naslov3"/>
        <w:rPr>
          <w:rFonts w:ascii="Arial" w:hAnsi="Arial" w:cs="Arial"/>
          <w:sz w:val="22"/>
          <w:szCs w:val="22"/>
        </w:rPr>
      </w:pPr>
      <w:bookmarkStart w:id="35" w:name="_Toc17114073"/>
      <w:r w:rsidRPr="0001737D">
        <w:rPr>
          <w:rFonts w:ascii="Arial" w:hAnsi="Arial" w:cs="Arial"/>
          <w:sz w:val="22"/>
          <w:szCs w:val="22"/>
        </w:rPr>
        <w:t>2.8.1 Naročniki z največjo vrednostjo oddanih naročil v letu 201</w:t>
      </w:r>
      <w:r w:rsidR="0001737D" w:rsidRPr="0001737D">
        <w:rPr>
          <w:rFonts w:ascii="Arial" w:hAnsi="Arial" w:cs="Arial"/>
          <w:sz w:val="22"/>
          <w:szCs w:val="22"/>
        </w:rPr>
        <w:t>8</w:t>
      </w:r>
      <w:bookmarkEnd w:id="35"/>
    </w:p>
    <w:p w14:paraId="5B1AF42F" w14:textId="77777777" w:rsidR="00B905EB" w:rsidRPr="00EF2D0B" w:rsidRDefault="00B905EB" w:rsidP="00854405">
      <w:pPr>
        <w:pStyle w:val="ZADEVA"/>
        <w:jc w:val="both"/>
        <w:rPr>
          <w:rFonts w:cs="Arial"/>
          <w:b w:val="0"/>
          <w:szCs w:val="20"/>
          <w:highlight w:val="yellow"/>
          <w:lang w:val="sl-SI"/>
        </w:rPr>
      </w:pPr>
    </w:p>
    <w:p w14:paraId="6206B192" w14:textId="7A06B9E0" w:rsidR="00B67E80" w:rsidRPr="00B67E80" w:rsidRDefault="00711BE8" w:rsidP="00B67E80">
      <w:pPr>
        <w:spacing w:line="360" w:lineRule="auto"/>
        <w:jc w:val="both"/>
        <w:rPr>
          <w:rFonts w:ascii="Arial" w:eastAsia="Times New Roman" w:hAnsi="Arial" w:cs="Arial"/>
          <w:color w:val="000000"/>
          <w:sz w:val="20"/>
          <w:szCs w:val="20"/>
          <w:lang w:eastAsia="sl-SI"/>
        </w:rPr>
      </w:pPr>
      <w:r>
        <w:rPr>
          <w:rFonts w:ascii="Arial" w:hAnsi="Arial" w:cs="Arial"/>
          <w:sz w:val="20"/>
          <w:szCs w:val="20"/>
        </w:rPr>
        <w:t>Leta</w:t>
      </w:r>
      <w:r w:rsidR="002A5FF5" w:rsidRPr="00B67E80">
        <w:rPr>
          <w:rFonts w:ascii="Arial" w:hAnsi="Arial" w:cs="Arial"/>
          <w:sz w:val="20"/>
          <w:szCs w:val="20"/>
        </w:rPr>
        <w:t xml:space="preserve"> 201</w:t>
      </w:r>
      <w:r w:rsidR="00B67E80" w:rsidRPr="00B67E80">
        <w:rPr>
          <w:rFonts w:ascii="Arial" w:hAnsi="Arial" w:cs="Arial"/>
          <w:sz w:val="20"/>
          <w:szCs w:val="20"/>
        </w:rPr>
        <w:t>8</w:t>
      </w:r>
      <w:r w:rsidR="00F83DD4" w:rsidRPr="00B67E80">
        <w:rPr>
          <w:rFonts w:ascii="Arial" w:hAnsi="Arial" w:cs="Arial"/>
          <w:sz w:val="20"/>
          <w:szCs w:val="20"/>
        </w:rPr>
        <w:t xml:space="preserve"> so največ sredstev za blago, storitve oziroma gradnje namenili </w:t>
      </w:r>
      <w:r w:rsidR="00B67E80" w:rsidRPr="00B67E80">
        <w:rPr>
          <w:rFonts w:ascii="Arial" w:eastAsia="Times New Roman" w:hAnsi="Arial" w:cs="Arial"/>
          <w:color w:val="000000"/>
          <w:sz w:val="20"/>
          <w:szCs w:val="20"/>
          <w:lang w:eastAsia="sl-SI"/>
        </w:rPr>
        <w:t xml:space="preserve">Direkcija Republike Slovenije za infrastrukturo, Slovenske železnice </w:t>
      </w:r>
      <w:r>
        <w:rPr>
          <w:rFonts w:ascii="Arial" w:eastAsia="Times New Roman" w:hAnsi="Arial" w:cs="Arial"/>
          <w:color w:val="000000"/>
          <w:sz w:val="20"/>
          <w:szCs w:val="20"/>
          <w:lang w:eastAsia="sl-SI"/>
        </w:rPr>
        <w:sym w:font="Symbol" w:char="F02D"/>
      </w:r>
      <w:r w:rsidR="00B67E80" w:rsidRPr="00B67E80">
        <w:rPr>
          <w:rFonts w:ascii="Arial" w:eastAsia="Times New Roman" w:hAnsi="Arial" w:cs="Arial"/>
          <w:color w:val="000000"/>
          <w:sz w:val="20"/>
          <w:szCs w:val="20"/>
          <w:lang w:eastAsia="sl-SI"/>
        </w:rPr>
        <w:t xml:space="preserve"> Potniški promet, d. o. o.</w:t>
      </w:r>
      <w:r>
        <w:rPr>
          <w:rFonts w:ascii="Arial" w:eastAsia="Times New Roman" w:hAnsi="Arial" w:cs="Arial"/>
          <w:color w:val="000000"/>
          <w:sz w:val="20"/>
          <w:szCs w:val="20"/>
          <w:lang w:eastAsia="sl-SI"/>
        </w:rPr>
        <w:t>,</w:t>
      </w:r>
      <w:r w:rsidR="00B67E80" w:rsidRPr="00B67E80">
        <w:rPr>
          <w:rFonts w:ascii="Arial" w:eastAsia="Times New Roman" w:hAnsi="Arial" w:cs="Arial"/>
          <w:color w:val="000000"/>
          <w:sz w:val="20"/>
          <w:szCs w:val="20"/>
          <w:lang w:eastAsia="sl-SI"/>
        </w:rPr>
        <w:t xml:space="preserve"> in Družba za avtoceste v Republiki Sloveniji</w:t>
      </w:r>
      <w:r w:rsidR="001A7FBB">
        <w:rPr>
          <w:rFonts w:ascii="Arial" w:eastAsia="Times New Roman" w:hAnsi="Arial" w:cs="Arial"/>
          <w:color w:val="000000"/>
          <w:sz w:val="20"/>
          <w:szCs w:val="20"/>
          <w:lang w:eastAsia="sl-SI"/>
        </w:rPr>
        <w:t>,</w:t>
      </w:r>
      <w:r w:rsidR="00B67E80" w:rsidRPr="00B67E80">
        <w:rPr>
          <w:rFonts w:ascii="Arial" w:eastAsia="Times New Roman" w:hAnsi="Arial" w:cs="Arial"/>
          <w:color w:val="000000"/>
          <w:sz w:val="20"/>
          <w:szCs w:val="20"/>
          <w:lang w:eastAsia="sl-SI"/>
        </w:rPr>
        <w:t xml:space="preserve"> d. d.</w:t>
      </w:r>
    </w:p>
    <w:p w14:paraId="70125AFD" w14:textId="7DB7B236" w:rsidR="00F83DD4" w:rsidRPr="0001737D" w:rsidRDefault="00F83DD4" w:rsidP="008A61FD">
      <w:pPr>
        <w:spacing w:before="120" w:after="120" w:line="240" w:lineRule="auto"/>
        <w:jc w:val="both"/>
        <w:rPr>
          <w:rFonts w:ascii="Arial" w:hAnsi="Arial" w:cs="Arial"/>
          <w:sz w:val="20"/>
        </w:rPr>
      </w:pPr>
      <w:r w:rsidRPr="0001737D">
        <w:rPr>
          <w:rFonts w:ascii="Arial" w:hAnsi="Arial" w:cs="Arial"/>
          <w:sz w:val="20"/>
        </w:rPr>
        <w:t xml:space="preserve">Preglednica </w:t>
      </w:r>
      <w:r w:rsidR="00474678" w:rsidRPr="0001737D">
        <w:rPr>
          <w:rFonts w:ascii="Arial" w:hAnsi="Arial" w:cs="Arial"/>
          <w:sz w:val="20"/>
        </w:rPr>
        <w:t>5</w:t>
      </w:r>
      <w:r w:rsidR="00EB4423">
        <w:rPr>
          <w:rFonts w:ascii="Arial" w:hAnsi="Arial" w:cs="Arial"/>
          <w:sz w:val="20"/>
        </w:rPr>
        <w:t>1</w:t>
      </w:r>
      <w:r w:rsidRPr="0001737D">
        <w:rPr>
          <w:rFonts w:ascii="Arial" w:hAnsi="Arial" w:cs="Arial"/>
          <w:sz w:val="20"/>
        </w:rPr>
        <w:t xml:space="preserve">: </w:t>
      </w:r>
      <w:r w:rsidR="00252272" w:rsidRPr="0001737D">
        <w:rPr>
          <w:rFonts w:ascii="Arial" w:hAnsi="Arial" w:cs="Arial"/>
          <w:sz w:val="20"/>
        </w:rPr>
        <w:t>Petnajst</w:t>
      </w:r>
      <w:r w:rsidRPr="0001737D">
        <w:rPr>
          <w:rFonts w:ascii="Arial" w:hAnsi="Arial" w:cs="Arial"/>
          <w:sz w:val="20"/>
        </w:rPr>
        <w:t xml:space="preserve"> naročnikov z največjo vredno</w:t>
      </w:r>
      <w:r w:rsidR="009C708C" w:rsidRPr="0001737D">
        <w:rPr>
          <w:rFonts w:ascii="Arial" w:hAnsi="Arial" w:cs="Arial"/>
          <w:sz w:val="20"/>
        </w:rPr>
        <w:t>stjo oddanih naročil v letu 201</w:t>
      </w:r>
      <w:r w:rsidR="0001737D" w:rsidRPr="0001737D">
        <w:rPr>
          <w:rFonts w:ascii="Arial" w:hAnsi="Arial" w:cs="Arial"/>
          <w:sz w:val="20"/>
        </w:rPr>
        <w:t>8</w:t>
      </w:r>
    </w:p>
    <w:tbl>
      <w:tblPr>
        <w:tblW w:w="0" w:type="auto"/>
        <w:jc w:val="center"/>
        <w:tblCellMar>
          <w:left w:w="70" w:type="dxa"/>
          <w:right w:w="70" w:type="dxa"/>
        </w:tblCellMar>
        <w:tblLook w:val="04A0" w:firstRow="1" w:lastRow="0" w:firstColumn="1" w:lastColumn="0" w:noHBand="0" w:noVBand="1"/>
      </w:tblPr>
      <w:tblGrid>
        <w:gridCol w:w="5171"/>
        <w:gridCol w:w="1802"/>
      </w:tblGrid>
      <w:tr w:rsidR="0001737D" w:rsidRPr="0001737D" w14:paraId="5798774D" w14:textId="77777777" w:rsidTr="00BC279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46726232" w14:textId="77777777" w:rsidR="0001737D" w:rsidRPr="0001737D" w:rsidRDefault="0001737D" w:rsidP="0001737D">
            <w:pPr>
              <w:spacing w:after="0" w:line="240" w:lineRule="auto"/>
              <w:jc w:val="center"/>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Naročnik</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2D2DF839" w14:textId="77777777" w:rsidR="0001737D" w:rsidRPr="0001737D" w:rsidRDefault="0001737D" w:rsidP="0001737D">
            <w:pPr>
              <w:spacing w:after="0" w:line="240" w:lineRule="auto"/>
              <w:jc w:val="center"/>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Pogodbena vrednost</w:t>
            </w:r>
          </w:p>
        </w:tc>
      </w:tr>
      <w:tr w:rsidR="0001737D" w:rsidRPr="0001737D" w14:paraId="7DFB1C23"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5A196" w14:textId="16FCB868"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DIREKCIJA REPUBLIKE SLOVENIJE ZA INFRASTRUKTURO</w:t>
            </w:r>
          </w:p>
        </w:tc>
        <w:tc>
          <w:tcPr>
            <w:tcW w:w="0" w:type="auto"/>
            <w:tcBorders>
              <w:top w:val="nil"/>
              <w:left w:val="nil"/>
              <w:bottom w:val="single" w:sz="4" w:space="0" w:color="auto"/>
              <w:right w:val="single" w:sz="4" w:space="0" w:color="auto"/>
            </w:tcBorders>
            <w:shd w:val="clear" w:color="auto" w:fill="auto"/>
            <w:vAlign w:val="center"/>
            <w:hideMark/>
          </w:tcPr>
          <w:p w14:paraId="31B4BE73"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288.539.890</w:t>
            </w:r>
          </w:p>
        </w:tc>
      </w:tr>
      <w:tr w:rsidR="0001737D" w:rsidRPr="0001737D" w14:paraId="3BFB46FA"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36D2B" w14:textId="6F15B890" w:rsidR="0001737D" w:rsidRPr="0001737D" w:rsidRDefault="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 xml:space="preserve">SLOVENSKE ŽELEZNICE </w:t>
            </w:r>
            <w:r w:rsidR="00711BE8">
              <w:rPr>
                <w:rFonts w:ascii="Arial" w:eastAsia="Times New Roman" w:hAnsi="Arial" w:cs="Arial"/>
                <w:color w:val="000000"/>
                <w:sz w:val="18"/>
                <w:szCs w:val="18"/>
                <w:lang w:eastAsia="sl-SI"/>
              </w:rPr>
              <w:sym w:font="Symbol" w:char="F02D"/>
            </w:r>
            <w:r w:rsidRPr="0001737D">
              <w:rPr>
                <w:rFonts w:ascii="Arial" w:eastAsia="Times New Roman" w:hAnsi="Arial" w:cs="Arial"/>
                <w:color w:val="000000"/>
                <w:sz w:val="18"/>
                <w:szCs w:val="18"/>
                <w:lang w:eastAsia="sl-SI"/>
              </w:rPr>
              <w:t xml:space="preserve"> POTNIŠKI PROMET, </w:t>
            </w:r>
            <w:r w:rsidR="00EA4E6F" w:rsidRPr="0001737D">
              <w:rPr>
                <w:rFonts w:ascii="Arial" w:eastAsia="Times New Roman" w:hAnsi="Arial" w:cs="Arial"/>
                <w:color w:val="000000"/>
                <w:sz w:val="18"/>
                <w:szCs w:val="18"/>
                <w:lang w:eastAsia="sl-SI"/>
              </w:rPr>
              <w:t>d.</w:t>
            </w:r>
            <w:r w:rsidR="00711BE8">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o.</w:t>
            </w:r>
            <w:r w:rsidR="00711BE8">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582FC73D"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175.426.318</w:t>
            </w:r>
          </w:p>
        </w:tc>
      </w:tr>
      <w:tr w:rsidR="0001737D" w:rsidRPr="0001737D" w14:paraId="25113321"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DEBA2A" w14:textId="5B2FB698"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DRUŽBA ZA AVTOCESTE V REPUBLIKI SLOVENIJI</w:t>
            </w:r>
            <w:r w:rsidR="001626F3">
              <w:rPr>
                <w:rFonts w:ascii="Arial" w:eastAsia="Times New Roman" w:hAnsi="Arial" w:cs="Arial"/>
                <w:color w:val="000000"/>
                <w:sz w:val="18"/>
                <w:szCs w:val="18"/>
                <w:lang w:eastAsia="sl-SI"/>
              </w:rPr>
              <w:t>,</w:t>
            </w:r>
            <w:r w:rsidRPr="0001737D">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d.</w:t>
            </w:r>
            <w:r w:rsidR="00EA4E6F">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d.</w:t>
            </w:r>
          </w:p>
        </w:tc>
        <w:tc>
          <w:tcPr>
            <w:tcW w:w="0" w:type="auto"/>
            <w:tcBorders>
              <w:top w:val="nil"/>
              <w:left w:val="nil"/>
              <w:bottom w:val="single" w:sz="4" w:space="0" w:color="auto"/>
              <w:right w:val="single" w:sz="4" w:space="0" w:color="auto"/>
            </w:tcBorders>
            <w:shd w:val="clear" w:color="auto" w:fill="auto"/>
            <w:vAlign w:val="center"/>
            <w:hideMark/>
          </w:tcPr>
          <w:p w14:paraId="4898B2D3"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123.493.949</w:t>
            </w:r>
          </w:p>
        </w:tc>
      </w:tr>
      <w:tr w:rsidR="0001737D" w:rsidRPr="0001737D" w14:paraId="247CE514"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330BD" w14:textId="27C615F0"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MINISTRSTVO ZA OBRAMBO REPUBLIKE SLOVENIJE</w:t>
            </w:r>
          </w:p>
        </w:tc>
        <w:tc>
          <w:tcPr>
            <w:tcW w:w="0" w:type="auto"/>
            <w:tcBorders>
              <w:top w:val="nil"/>
              <w:left w:val="nil"/>
              <w:bottom w:val="single" w:sz="4" w:space="0" w:color="auto"/>
              <w:right w:val="single" w:sz="4" w:space="0" w:color="auto"/>
            </w:tcBorders>
            <w:shd w:val="clear" w:color="auto" w:fill="auto"/>
            <w:vAlign w:val="center"/>
            <w:hideMark/>
          </w:tcPr>
          <w:p w14:paraId="69D17B87"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117.659.460</w:t>
            </w:r>
          </w:p>
        </w:tc>
      </w:tr>
      <w:tr w:rsidR="0001737D" w:rsidRPr="0001737D" w14:paraId="45FA68D7"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CED7B" w14:textId="5870A66B"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MESTNA OBČINA LJUBLJANA</w:t>
            </w:r>
          </w:p>
        </w:tc>
        <w:tc>
          <w:tcPr>
            <w:tcW w:w="0" w:type="auto"/>
            <w:tcBorders>
              <w:top w:val="nil"/>
              <w:left w:val="nil"/>
              <w:bottom w:val="single" w:sz="4" w:space="0" w:color="auto"/>
              <w:right w:val="single" w:sz="4" w:space="0" w:color="auto"/>
            </w:tcBorders>
            <w:shd w:val="clear" w:color="auto" w:fill="auto"/>
            <w:vAlign w:val="center"/>
            <w:hideMark/>
          </w:tcPr>
          <w:p w14:paraId="7BDF70E1"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107.530.984</w:t>
            </w:r>
          </w:p>
        </w:tc>
      </w:tr>
      <w:tr w:rsidR="0001737D" w:rsidRPr="0001737D" w14:paraId="62C2B7A1"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4D8BF" w14:textId="36FE1C14"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MINISTRSTVO ZA JAVNO UPRAVO</w:t>
            </w:r>
          </w:p>
        </w:tc>
        <w:tc>
          <w:tcPr>
            <w:tcW w:w="0" w:type="auto"/>
            <w:tcBorders>
              <w:top w:val="nil"/>
              <w:left w:val="nil"/>
              <w:bottom w:val="single" w:sz="4" w:space="0" w:color="auto"/>
              <w:right w:val="single" w:sz="4" w:space="0" w:color="auto"/>
            </w:tcBorders>
            <w:shd w:val="clear" w:color="auto" w:fill="auto"/>
            <w:vAlign w:val="center"/>
            <w:hideMark/>
          </w:tcPr>
          <w:p w14:paraId="134BECA8"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82.904.665</w:t>
            </w:r>
          </w:p>
        </w:tc>
      </w:tr>
      <w:tr w:rsidR="0001737D" w:rsidRPr="0001737D" w14:paraId="0F4F438B"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B8A15" w14:textId="746143B0"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LUKA KOPER</w:t>
            </w:r>
          </w:p>
        </w:tc>
        <w:tc>
          <w:tcPr>
            <w:tcW w:w="0" w:type="auto"/>
            <w:tcBorders>
              <w:top w:val="nil"/>
              <w:left w:val="nil"/>
              <w:bottom w:val="single" w:sz="4" w:space="0" w:color="auto"/>
              <w:right w:val="single" w:sz="4" w:space="0" w:color="auto"/>
            </w:tcBorders>
            <w:shd w:val="clear" w:color="auto" w:fill="auto"/>
            <w:vAlign w:val="center"/>
            <w:hideMark/>
          </w:tcPr>
          <w:p w14:paraId="4CBD255D"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82.853.001</w:t>
            </w:r>
          </w:p>
        </w:tc>
      </w:tr>
      <w:tr w:rsidR="0001737D" w:rsidRPr="0001737D" w14:paraId="62DFA8DA"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EEE68" w14:textId="029F9F44"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POŠTA SLOVENIJE</w:t>
            </w:r>
            <w:r>
              <w:rPr>
                <w:rFonts w:ascii="Arial" w:eastAsia="Times New Roman" w:hAnsi="Arial" w:cs="Arial"/>
                <w:color w:val="000000"/>
                <w:sz w:val="18"/>
                <w:szCs w:val="18"/>
                <w:lang w:eastAsia="sl-SI"/>
              </w:rPr>
              <w:t>,</w:t>
            </w:r>
            <w:r w:rsidRPr="0001737D">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d.</w:t>
            </w:r>
            <w:r w:rsidR="00711BE8">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o.</w:t>
            </w:r>
            <w:r w:rsidR="00711BE8">
              <w:rPr>
                <w:rFonts w:ascii="Arial" w:eastAsia="Times New Roman" w:hAnsi="Arial" w:cs="Arial"/>
                <w:color w:val="000000"/>
                <w:sz w:val="18"/>
                <w:szCs w:val="18"/>
                <w:lang w:eastAsia="sl-SI"/>
              </w:rPr>
              <w:t xml:space="preserve"> </w:t>
            </w:r>
            <w:r w:rsidR="00EA4E6F" w:rsidRPr="0001737D">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796CED7C"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62.162.243</w:t>
            </w:r>
          </w:p>
        </w:tc>
      </w:tr>
      <w:tr w:rsidR="0001737D" w:rsidRPr="0001737D" w14:paraId="243D7E25"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DA84F" w14:textId="5E3F9D0C"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UNIVERZITETNI KLINIČNI CENTER LJUBLJANA</w:t>
            </w:r>
          </w:p>
        </w:tc>
        <w:tc>
          <w:tcPr>
            <w:tcW w:w="0" w:type="auto"/>
            <w:tcBorders>
              <w:top w:val="nil"/>
              <w:left w:val="nil"/>
              <w:bottom w:val="single" w:sz="4" w:space="0" w:color="auto"/>
              <w:right w:val="single" w:sz="4" w:space="0" w:color="auto"/>
            </w:tcBorders>
            <w:shd w:val="clear" w:color="auto" w:fill="auto"/>
            <w:vAlign w:val="center"/>
            <w:hideMark/>
          </w:tcPr>
          <w:p w14:paraId="590EB4DE"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57.491.375</w:t>
            </w:r>
          </w:p>
        </w:tc>
      </w:tr>
      <w:tr w:rsidR="0001737D" w:rsidRPr="0001737D" w14:paraId="430F4448"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D0E95" w14:textId="3F4E01D6"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ELES, D.</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03C54C5D"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56.256.794</w:t>
            </w:r>
          </w:p>
        </w:tc>
      </w:tr>
      <w:tr w:rsidR="0001737D" w:rsidRPr="0001737D" w14:paraId="3417CD7F"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B5659" w14:textId="482648A7"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UNIVERZITETNI KLINIČNI CENTER MARIBOR</w:t>
            </w:r>
          </w:p>
        </w:tc>
        <w:tc>
          <w:tcPr>
            <w:tcW w:w="0" w:type="auto"/>
            <w:tcBorders>
              <w:top w:val="nil"/>
              <w:left w:val="nil"/>
              <w:bottom w:val="single" w:sz="4" w:space="0" w:color="auto"/>
              <w:right w:val="single" w:sz="4" w:space="0" w:color="auto"/>
            </w:tcBorders>
            <w:shd w:val="clear" w:color="auto" w:fill="auto"/>
            <w:vAlign w:val="center"/>
            <w:hideMark/>
          </w:tcPr>
          <w:p w14:paraId="1CEC6628"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53.587.190</w:t>
            </w:r>
          </w:p>
        </w:tc>
      </w:tr>
      <w:tr w:rsidR="0001737D" w:rsidRPr="0001737D" w14:paraId="13F3F024"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3471F" w14:textId="36708AE2"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MINISTRSTVO ZA NOTRANJE ZADEVE</w:t>
            </w:r>
          </w:p>
        </w:tc>
        <w:tc>
          <w:tcPr>
            <w:tcW w:w="0" w:type="auto"/>
            <w:tcBorders>
              <w:top w:val="nil"/>
              <w:left w:val="nil"/>
              <w:bottom w:val="single" w:sz="4" w:space="0" w:color="auto"/>
              <w:right w:val="single" w:sz="4" w:space="0" w:color="auto"/>
            </w:tcBorders>
            <w:shd w:val="clear" w:color="auto" w:fill="auto"/>
            <w:vAlign w:val="center"/>
            <w:hideMark/>
          </w:tcPr>
          <w:p w14:paraId="1A3C3CC4"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48.153.541</w:t>
            </w:r>
          </w:p>
        </w:tc>
      </w:tr>
      <w:tr w:rsidR="0001737D" w:rsidRPr="0001737D" w14:paraId="71C7843E"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04CC1" w14:textId="2F358F18"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JAVNI HOLDING LJUBLJANA, D.</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739D3A03"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47.817.169</w:t>
            </w:r>
          </w:p>
        </w:tc>
      </w:tr>
      <w:tr w:rsidR="0001737D" w:rsidRPr="0001737D" w14:paraId="102354FE"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921CF" w14:textId="2E03EC7C" w:rsidR="0001737D" w:rsidRPr="0001737D" w:rsidRDefault="0001737D" w:rsidP="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NUKLEARNA ELEKTRARNA KRŠKO</w:t>
            </w:r>
            <w:r>
              <w:rPr>
                <w:rFonts w:ascii="Arial" w:eastAsia="Times New Roman" w:hAnsi="Arial" w:cs="Arial"/>
                <w:color w:val="000000"/>
                <w:sz w:val="18"/>
                <w:szCs w:val="18"/>
                <w:lang w:eastAsia="sl-SI"/>
              </w:rPr>
              <w:t>,</w:t>
            </w:r>
            <w:r w:rsidRPr="0001737D">
              <w:rPr>
                <w:rFonts w:ascii="Arial" w:eastAsia="Times New Roman" w:hAnsi="Arial" w:cs="Arial"/>
                <w:color w:val="000000"/>
                <w:sz w:val="18"/>
                <w:szCs w:val="18"/>
                <w:lang w:eastAsia="sl-SI"/>
              </w:rPr>
              <w:t xml:space="preserve"> D.</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5B02A93C"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44.379.687</w:t>
            </w:r>
          </w:p>
        </w:tc>
      </w:tr>
      <w:tr w:rsidR="0001737D" w:rsidRPr="0001737D" w14:paraId="7C7794AE"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040DB" w14:textId="2F56659F" w:rsidR="0001737D" w:rsidRPr="0001737D" w:rsidRDefault="0001737D">
            <w:pPr>
              <w:spacing w:after="0" w:line="240" w:lineRule="auto"/>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 xml:space="preserve">SLOVENSKE ŽELEZNICE </w:t>
            </w:r>
            <w:r w:rsidR="00711BE8">
              <w:rPr>
                <w:rFonts w:ascii="Arial" w:eastAsia="Times New Roman" w:hAnsi="Arial" w:cs="Arial"/>
                <w:color w:val="000000"/>
                <w:sz w:val="18"/>
                <w:szCs w:val="18"/>
                <w:lang w:eastAsia="sl-SI"/>
              </w:rPr>
              <w:sym w:font="Symbol" w:char="F02D"/>
            </w:r>
            <w:r w:rsidRPr="0001737D">
              <w:rPr>
                <w:rFonts w:ascii="Arial" w:eastAsia="Times New Roman" w:hAnsi="Arial" w:cs="Arial"/>
                <w:color w:val="000000"/>
                <w:sz w:val="18"/>
                <w:szCs w:val="18"/>
                <w:lang w:eastAsia="sl-SI"/>
              </w:rPr>
              <w:t xml:space="preserve"> INFRASTRUKTURA, D.</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r w:rsidR="001626F3">
              <w:rPr>
                <w:rFonts w:ascii="Arial" w:eastAsia="Times New Roman" w:hAnsi="Arial" w:cs="Arial"/>
                <w:color w:val="000000"/>
                <w:sz w:val="18"/>
                <w:szCs w:val="18"/>
                <w:lang w:eastAsia="sl-SI"/>
              </w:rPr>
              <w:t xml:space="preserve"> </w:t>
            </w:r>
            <w:r w:rsidRPr="0001737D">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7144EE51" w14:textId="77777777" w:rsidR="0001737D" w:rsidRPr="0001737D" w:rsidRDefault="0001737D" w:rsidP="0001737D">
            <w:pPr>
              <w:spacing w:after="0" w:line="240" w:lineRule="auto"/>
              <w:jc w:val="right"/>
              <w:rPr>
                <w:rFonts w:ascii="Arial" w:eastAsia="Times New Roman" w:hAnsi="Arial" w:cs="Arial"/>
                <w:color w:val="000000"/>
                <w:sz w:val="18"/>
                <w:szCs w:val="18"/>
                <w:lang w:eastAsia="sl-SI"/>
              </w:rPr>
            </w:pPr>
            <w:r w:rsidRPr="0001737D">
              <w:rPr>
                <w:rFonts w:ascii="Arial" w:eastAsia="Times New Roman" w:hAnsi="Arial" w:cs="Arial"/>
                <w:color w:val="000000"/>
                <w:sz w:val="18"/>
                <w:szCs w:val="18"/>
                <w:lang w:eastAsia="sl-SI"/>
              </w:rPr>
              <w:t>41.278.212</w:t>
            </w:r>
          </w:p>
        </w:tc>
      </w:tr>
    </w:tbl>
    <w:p w14:paraId="195E7F5E" w14:textId="77777777" w:rsidR="00546CEE" w:rsidRPr="00EF2D0B" w:rsidRDefault="00546CEE" w:rsidP="00546CEE">
      <w:pPr>
        <w:spacing w:after="0" w:line="240" w:lineRule="auto"/>
        <w:jc w:val="center"/>
        <w:rPr>
          <w:rFonts w:ascii="Arial" w:hAnsi="Arial" w:cs="Arial"/>
          <w:sz w:val="18"/>
          <w:highlight w:val="yellow"/>
        </w:rPr>
      </w:pPr>
    </w:p>
    <w:p w14:paraId="00AD530E" w14:textId="45EC688F" w:rsidR="00B905EB" w:rsidRDefault="00F83DD4" w:rsidP="004A613D">
      <w:pPr>
        <w:spacing w:after="0" w:line="240" w:lineRule="auto"/>
        <w:jc w:val="center"/>
        <w:rPr>
          <w:rFonts w:ascii="Arial" w:hAnsi="Arial" w:cs="Arial"/>
          <w:sz w:val="18"/>
        </w:rPr>
      </w:pPr>
      <w:r w:rsidRPr="00A17A3B">
        <w:rPr>
          <w:rFonts w:ascii="Arial" w:hAnsi="Arial" w:cs="Arial"/>
          <w:sz w:val="18"/>
        </w:rPr>
        <w:t>Vir: Statistični podatki o javni</w:t>
      </w:r>
      <w:r w:rsidR="009C708C" w:rsidRPr="00A17A3B">
        <w:rPr>
          <w:rFonts w:ascii="Arial" w:hAnsi="Arial" w:cs="Arial"/>
          <w:sz w:val="18"/>
        </w:rPr>
        <w:t>h naročilih, oddanih v letu 201</w:t>
      </w:r>
      <w:r w:rsidR="00A17A3B" w:rsidRPr="00A17A3B">
        <w:rPr>
          <w:rFonts w:ascii="Arial" w:hAnsi="Arial" w:cs="Arial"/>
          <w:sz w:val="18"/>
        </w:rPr>
        <w:t>8</w:t>
      </w:r>
    </w:p>
    <w:p w14:paraId="2546BF2A" w14:textId="40E37859" w:rsidR="00B45EE0" w:rsidRDefault="00B45EE0" w:rsidP="004A613D">
      <w:pPr>
        <w:spacing w:after="0" w:line="240" w:lineRule="auto"/>
        <w:jc w:val="center"/>
        <w:rPr>
          <w:rFonts w:ascii="Arial" w:hAnsi="Arial" w:cs="Arial"/>
          <w:sz w:val="18"/>
        </w:rPr>
      </w:pPr>
    </w:p>
    <w:p w14:paraId="718CD342" w14:textId="77777777" w:rsidR="004E69E6" w:rsidRPr="00A17A3B" w:rsidRDefault="004E69E6" w:rsidP="004A613D">
      <w:pPr>
        <w:spacing w:after="0" w:line="240" w:lineRule="auto"/>
        <w:jc w:val="center"/>
        <w:rPr>
          <w:rFonts w:ascii="Arial" w:hAnsi="Arial" w:cs="Arial"/>
          <w:sz w:val="18"/>
        </w:rPr>
      </w:pPr>
    </w:p>
    <w:p w14:paraId="6B5F179C" w14:textId="3AEAB139" w:rsidR="004A21A3" w:rsidRPr="00F37A5E" w:rsidRDefault="004A21A3" w:rsidP="004A21A3">
      <w:pPr>
        <w:pStyle w:val="Naslov3"/>
        <w:rPr>
          <w:rFonts w:ascii="Arial" w:hAnsi="Arial" w:cs="Arial"/>
          <w:sz w:val="22"/>
          <w:szCs w:val="22"/>
        </w:rPr>
      </w:pPr>
      <w:bookmarkStart w:id="36" w:name="_Toc17114074"/>
      <w:r w:rsidRPr="00F37A5E">
        <w:rPr>
          <w:rFonts w:ascii="Arial" w:hAnsi="Arial" w:cs="Arial"/>
          <w:sz w:val="22"/>
          <w:szCs w:val="22"/>
        </w:rPr>
        <w:t xml:space="preserve">2.8.2 </w:t>
      </w:r>
      <w:r w:rsidR="00252272" w:rsidRPr="00F37A5E">
        <w:rPr>
          <w:rFonts w:ascii="Arial" w:hAnsi="Arial" w:cs="Arial"/>
          <w:sz w:val="22"/>
          <w:szCs w:val="22"/>
        </w:rPr>
        <w:t>Ponudniki</w:t>
      </w:r>
      <w:r w:rsidRPr="00F37A5E">
        <w:rPr>
          <w:rFonts w:ascii="Arial" w:hAnsi="Arial" w:cs="Arial"/>
          <w:sz w:val="22"/>
          <w:szCs w:val="22"/>
        </w:rPr>
        <w:t xml:space="preserve"> z največjo vrednostjo oddanih naročil v letu 201</w:t>
      </w:r>
      <w:r w:rsidR="00F37A5E" w:rsidRPr="00F37A5E">
        <w:rPr>
          <w:rFonts w:ascii="Arial" w:hAnsi="Arial" w:cs="Arial"/>
          <w:sz w:val="22"/>
          <w:szCs w:val="22"/>
        </w:rPr>
        <w:t>8</w:t>
      </w:r>
      <w:bookmarkEnd w:id="36"/>
    </w:p>
    <w:p w14:paraId="3A19BDA3" w14:textId="77777777" w:rsidR="00B905EB" w:rsidRPr="00F37A5E" w:rsidRDefault="00B905EB" w:rsidP="00854405">
      <w:pPr>
        <w:pStyle w:val="ZADEVA"/>
        <w:jc w:val="both"/>
        <w:rPr>
          <w:rFonts w:cs="Arial"/>
          <w:b w:val="0"/>
          <w:szCs w:val="20"/>
          <w:lang w:val="sl-SI"/>
        </w:rPr>
      </w:pPr>
    </w:p>
    <w:p w14:paraId="1FFFE294" w14:textId="2085619A" w:rsidR="00F83DD4" w:rsidRPr="00F37A5E" w:rsidRDefault="00711BE8" w:rsidP="00252272">
      <w:pPr>
        <w:spacing w:line="360" w:lineRule="auto"/>
        <w:jc w:val="both"/>
        <w:rPr>
          <w:rFonts w:ascii="Arial" w:hAnsi="Arial" w:cs="Arial"/>
          <w:b/>
          <w:i/>
          <w:sz w:val="20"/>
          <w:szCs w:val="20"/>
          <w:lang w:eastAsia="sl-SI"/>
        </w:rPr>
      </w:pPr>
      <w:r>
        <w:rPr>
          <w:rFonts w:ascii="Arial" w:hAnsi="Arial" w:cs="Arial"/>
          <w:sz w:val="20"/>
          <w:szCs w:val="20"/>
        </w:rPr>
        <w:t>Leta</w:t>
      </w:r>
      <w:r w:rsidR="0007470C" w:rsidRPr="00F37A5E">
        <w:rPr>
          <w:rFonts w:ascii="Arial" w:hAnsi="Arial" w:cs="Arial"/>
          <w:sz w:val="20"/>
          <w:szCs w:val="20"/>
        </w:rPr>
        <w:t xml:space="preserve"> 201</w:t>
      </w:r>
      <w:r w:rsidR="00F37A5E" w:rsidRPr="00F37A5E">
        <w:rPr>
          <w:rFonts w:ascii="Arial" w:hAnsi="Arial" w:cs="Arial"/>
          <w:sz w:val="20"/>
          <w:szCs w:val="20"/>
        </w:rPr>
        <w:t>8</w:t>
      </w:r>
      <w:r w:rsidR="00252272" w:rsidRPr="00F37A5E">
        <w:rPr>
          <w:rFonts w:ascii="Arial" w:hAnsi="Arial" w:cs="Arial"/>
          <w:sz w:val="20"/>
          <w:szCs w:val="20"/>
        </w:rPr>
        <w:t xml:space="preserve"> je bilo </w:t>
      </w:r>
      <w:r w:rsidR="00F37A5E" w:rsidRPr="00F37A5E">
        <w:rPr>
          <w:rFonts w:ascii="Arial" w:hAnsi="Arial" w:cs="Arial"/>
          <w:sz w:val="20"/>
          <w:szCs w:val="20"/>
        </w:rPr>
        <w:t>devet</w:t>
      </w:r>
      <w:r w:rsidR="00252272" w:rsidRPr="00F37A5E">
        <w:rPr>
          <w:rFonts w:ascii="Arial" w:hAnsi="Arial" w:cs="Arial"/>
          <w:sz w:val="20"/>
          <w:szCs w:val="20"/>
        </w:rPr>
        <w:t xml:space="preserve"> ponudnikov, ki so po vrednosti pridobili največ javnih naročil iz Slovenije, </w:t>
      </w:r>
      <w:r w:rsidR="00F37A5E" w:rsidRPr="00F37A5E">
        <w:rPr>
          <w:rFonts w:ascii="Arial" w:hAnsi="Arial" w:cs="Arial"/>
          <w:sz w:val="20"/>
          <w:szCs w:val="20"/>
        </w:rPr>
        <w:t xml:space="preserve">en </w:t>
      </w:r>
      <w:r w:rsidR="00D6524D" w:rsidRPr="00F37A5E">
        <w:rPr>
          <w:rFonts w:ascii="Arial" w:hAnsi="Arial" w:cs="Arial"/>
          <w:sz w:val="20"/>
          <w:szCs w:val="20"/>
        </w:rPr>
        <w:t xml:space="preserve">ponudnik </w:t>
      </w:r>
      <w:r w:rsidR="00252272" w:rsidRPr="00F37A5E">
        <w:rPr>
          <w:rFonts w:ascii="Arial" w:hAnsi="Arial" w:cs="Arial"/>
          <w:sz w:val="20"/>
          <w:szCs w:val="20"/>
        </w:rPr>
        <w:t xml:space="preserve">pa </w:t>
      </w:r>
      <w:r w:rsidR="00F37A5E" w:rsidRPr="00F37A5E">
        <w:rPr>
          <w:rFonts w:ascii="Arial" w:hAnsi="Arial" w:cs="Arial"/>
          <w:sz w:val="20"/>
          <w:szCs w:val="20"/>
        </w:rPr>
        <w:t>je bil tuj</w:t>
      </w:r>
      <w:r w:rsidR="00252272" w:rsidRPr="00F37A5E">
        <w:rPr>
          <w:rFonts w:ascii="Arial" w:hAnsi="Arial" w:cs="Arial"/>
          <w:sz w:val="20"/>
          <w:szCs w:val="20"/>
        </w:rPr>
        <w:t>.</w:t>
      </w:r>
      <w:r w:rsidR="00252272" w:rsidRPr="00F37A5E">
        <w:rPr>
          <w:rFonts w:ascii="Arial" w:hAnsi="Arial" w:cs="Arial"/>
          <w:sz w:val="20"/>
          <w:szCs w:val="20"/>
          <w:lang w:eastAsia="sl-SI"/>
        </w:rPr>
        <w:t xml:space="preserve"> </w:t>
      </w:r>
    </w:p>
    <w:p w14:paraId="62AF6B63" w14:textId="77777777" w:rsidR="004E69E6" w:rsidRDefault="004E69E6" w:rsidP="0096196E">
      <w:pPr>
        <w:rPr>
          <w:rFonts w:ascii="Arial" w:hAnsi="Arial" w:cs="Arial"/>
          <w:sz w:val="20"/>
        </w:rPr>
      </w:pPr>
    </w:p>
    <w:p w14:paraId="65D6C503" w14:textId="77777777" w:rsidR="004E69E6" w:rsidRDefault="004E69E6" w:rsidP="0096196E">
      <w:pPr>
        <w:rPr>
          <w:rFonts w:ascii="Arial" w:hAnsi="Arial" w:cs="Arial"/>
          <w:sz w:val="20"/>
        </w:rPr>
      </w:pPr>
    </w:p>
    <w:p w14:paraId="36A40E0D" w14:textId="7EB7A235" w:rsidR="00F83DD4" w:rsidRPr="00F37A5E" w:rsidRDefault="00F83DD4" w:rsidP="0096196E">
      <w:pPr>
        <w:rPr>
          <w:rFonts w:ascii="Arial" w:hAnsi="Arial" w:cs="Arial"/>
          <w:sz w:val="20"/>
        </w:rPr>
      </w:pPr>
      <w:r w:rsidRPr="00F37A5E">
        <w:rPr>
          <w:rFonts w:ascii="Arial" w:hAnsi="Arial" w:cs="Arial"/>
          <w:sz w:val="20"/>
        </w:rPr>
        <w:lastRenderedPageBreak/>
        <w:t xml:space="preserve">Preglednica </w:t>
      </w:r>
      <w:r w:rsidR="00474678" w:rsidRPr="00F37A5E">
        <w:rPr>
          <w:rFonts w:ascii="Arial" w:hAnsi="Arial" w:cs="Arial"/>
          <w:sz w:val="20"/>
        </w:rPr>
        <w:t>5</w:t>
      </w:r>
      <w:r w:rsidR="00EB4423">
        <w:rPr>
          <w:rFonts w:ascii="Arial" w:hAnsi="Arial" w:cs="Arial"/>
          <w:sz w:val="20"/>
        </w:rPr>
        <w:t>2</w:t>
      </w:r>
      <w:r w:rsidR="007A4AEF" w:rsidRPr="00F37A5E">
        <w:rPr>
          <w:rFonts w:ascii="Arial" w:hAnsi="Arial" w:cs="Arial"/>
          <w:sz w:val="20"/>
        </w:rPr>
        <w:t>: Deset ponudnikov s skupno</w:t>
      </w:r>
      <w:r w:rsidRPr="00F37A5E">
        <w:rPr>
          <w:rFonts w:ascii="Arial" w:hAnsi="Arial" w:cs="Arial"/>
          <w:sz w:val="20"/>
        </w:rPr>
        <w:t xml:space="preserve"> največjo vrednostj</w:t>
      </w:r>
      <w:r w:rsidR="003C5EDA" w:rsidRPr="00F37A5E">
        <w:rPr>
          <w:rFonts w:ascii="Arial" w:hAnsi="Arial" w:cs="Arial"/>
          <w:sz w:val="20"/>
        </w:rPr>
        <w:t>o dodeljenih naročil v letu 201</w:t>
      </w:r>
      <w:r w:rsidR="00F37A5E">
        <w:rPr>
          <w:rFonts w:ascii="Arial" w:hAnsi="Arial" w:cs="Arial"/>
          <w:sz w:val="20"/>
        </w:rPr>
        <w:t>8</w:t>
      </w:r>
    </w:p>
    <w:tbl>
      <w:tblPr>
        <w:tblW w:w="0" w:type="auto"/>
        <w:jc w:val="center"/>
        <w:tblCellMar>
          <w:left w:w="70" w:type="dxa"/>
          <w:right w:w="70" w:type="dxa"/>
        </w:tblCellMar>
        <w:tblLook w:val="04A0" w:firstRow="1" w:lastRow="0" w:firstColumn="1" w:lastColumn="0" w:noHBand="0" w:noVBand="1"/>
      </w:tblPr>
      <w:tblGrid>
        <w:gridCol w:w="5241"/>
        <w:gridCol w:w="1802"/>
      </w:tblGrid>
      <w:tr w:rsidR="006C2895" w:rsidRPr="006C2895" w14:paraId="653FC657" w14:textId="77777777" w:rsidTr="00BC279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6DE75E0D" w14:textId="77777777" w:rsidR="006C2895" w:rsidRPr="006C2895" w:rsidRDefault="006C2895" w:rsidP="006C2895">
            <w:pPr>
              <w:spacing w:after="0" w:line="240" w:lineRule="auto"/>
              <w:jc w:val="center"/>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Ponudnik</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60101D45" w14:textId="77777777" w:rsidR="006C2895" w:rsidRPr="006C2895" w:rsidRDefault="006C2895" w:rsidP="006C2895">
            <w:pPr>
              <w:spacing w:after="0" w:line="240" w:lineRule="auto"/>
              <w:jc w:val="center"/>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Pogodbena vrednost</w:t>
            </w:r>
          </w:p>
        </w:tc>
      </w:tr>
      <w:tr w:rsidR="006C2895" w:rsidRPr="006C2895" w14:paraId="575D1ECA"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8F57C" w14:textId="58C712EC"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 xml:space="preserve">STADLER </w:t>
            </w:r>
            <w:proofErr w:type="spellStart"/>
            <w:r w:rsidRPr="006C2895">
              <w:rPr>
                <w:rFonts w:ascii="Arial" w:eastAsia="Times New Roman" w:hAnsi="Arial" w:cs="Arial"/>
                <w:color w:val="000000"/>
                <w:sz w:val="18"/>
                <w:szCs w:val="18"/>
                <w:lang w:eastAsia="sl-SI"/>
              </w:rPr>
              <w:t>Polska</w:t>
            </w:r>
            <w:proofErr w:type="spellEnd"/>
            <w:r w:rsidRPr="006C2895">
              <w:rPr>
                <w:rFonts w:ascii="Arial" w:eastAsia="Times New Roman" w:hAnsi="Arial" w:cs="Arial"/>
                <w:color w:val="000000"/>
                <w:sz w:val="18"/>
                <w:szCs w:val="18"/>
                <w:lang w:eastAsia="sl-SI"/>
              </w:rPr>
              <w:t xml:space="preserve"> Sp. Z</w:t>
            </w:r>
            <w:r w:rsidR="00256123">
              <w:rPr>
                <w:rFonts w:ascii="Arial" w:eastAsia="Times New Roman" w:hAnsi="Arial" w:cs="Arial"/>
                <w:color w:val="000000"/>
                <w:sz w:val="18"/>
                <w:szCs w:val="18"/>
                <w:lang w:eastAsia="sl-SI"/>
              </w:rPr>
              <w:t>,</w:t>
            </w:r>
            <w:r w:rsidRPr="006C2895">
              <w:rPr>
                <w:rFonts w:ascii="Arial" w:eastAsia="Times New Roman" w:hAnsi="Arial" w:cs="Arial"/>
                <w:color w:val="000000"/>
                <w:sz w:val="18"/>
                <w:szCs w:val="18"/>
                <w:lang w:eastAsia="sl-SI"/>
              </w:rPr>
              <w:t xml:space="preserve"> o.</w:t>
            </w:r>
            <w:r w:rsidR="00256123">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1EDE75E2"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169.994.500</w:t>
            </w:r>
          </w:p>
        </w:tc>
      </w:tr>
      <w:tr w:rsidR="006C2895" w:rsidRPr="006C2895" w14:paraId="1B15498B"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3145C" w14:textId="37FE0672" w:rsidR="006C2895" w:rsidRPr="006C2895" w:rsidRDefault="006C2895">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 xml:space="preserve">SŽ </w:t>
            </w:r>
            <w:r w:rsidR="002B74A3">
              <w:rPr>
                <w:rFonts w:ascii="Arial" w:eastAsia="Times New Roman" w:hAnsi="Arial" w:cs="Arial"/>
                <w:color w:val="000000"/>
                <w:sz w:val="18"/>
                <w:szCs w:val="18"/>
                <w:lang w:eastAsia="sl-SI"/>
              </w:rPr>
              <w:sym w:font="Symbol" w:char="F02D"/>
            </w:r>
            <w:r w:rsidRPr="006C2895">
              <w:rPr>
                <w:rFonts w:ascii="Arial" w:eastAsia="Times New Roman" w:hAnsi="Arial" w:cs="Arial"/>
                <w:color w:val="000000"/>
                <w:sz w:val="18"/>
                <w:szCs w:val="18"/>
                <w:lang w:eastAsia="sl-SI"/>
              </w:rPr>
              <w:t xml:space="preserve"> ŽELEZNIŠKO GRADBENO PODJETJE LJUBLJANA</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p>
        </w:tc>
        <w:tc>
          <w:tcPr>
            <w:tcW w:w="0" w:type="auto"/>
            <w:tcBorders>
              <w:top w:val="nil"/>
              <w:left w:val="nil"/>
              <w:bottom w:val="single" w:sz="4" w:space="0" w:color="auto"/>
              <w:right w:val="single" w:sz="4" w:space="0" w:color="auto"/>
            </w:tcBorders>
            <w:shd w:val="clear" w:color="auto" w:fill="auto"/>
            <w:vAlign w:val="center"/>
            <w:hideMark/>
          </w:tcPr>
          <w:p w14:paraId="1BE0D342"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87.814.307</w:t>
            </w:r>
          </w:p>
        </w:tc>
      </w:tr>
      <w:tr w:rsidR="006C2895" w:rsidRPr="006C2895" w14:paraId="481C71E0"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326AD" w14:textId="72CFB9E2"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POMGRAD, 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p>
        </w:tc>
        <w:tc>
          <w:tcPr>
            <w:tcW w:w="0" w:type="auto"/>
            <w:tcBorders>
              <w:top w:val="nil"/>
              <w:left w:val="nil"/>
              <w:bottom w:val="single" w:sz="4" w:space="0" w:color="auto"/>
              <w:right w:val="single" w:sz="4" w:space="0" w:color="auto"/>
            </w:tcBorders>
            <w:shd w:val="clear" w:color="auto" w:fill="auto"/>
            <w:vAlign w:val="center"/>
            <w:hideMark/>
          </w:tcPr>
          <w:p w14:paraId="65DF71C5"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76.167.420</w:t>
            </w:r>
          </w:p>
        </w:tc>
      </w:tr>
      <w:tr w:rsidR="006C2895" w:rsidRPr="006C2895" w14:paraId="1DE77870"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97A04" w14:textId="261B0824"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TELEKOM SLOVENIJE, 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p>
        </w:tc>
        <w:tc>
          <w:tcPr>
            <w:tcW w:w="0" w:type="auto"/>
            <w:tcBorders>
              <w:top w:val="nil"/>
              <w:left w:val="nil"/>
              <w:bottom w:val="single" w:sz="4" w:space="0" w:color="auto"/>
              <w:right w:val="single" w:sz="4" w:space="0" w:color="auto"/>
            </w:tcBorders>
            <w:shd w:val="clear" w:color="auto" w:fill="auto"/>
            <w:vAlign w:val="center"/>
            <w:hideMark/>
          </w:tcPr>
          <w:p w14:paraId="4BDAA48C"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57.600.775</w:t>
            </w:r>
          </w:p>
        </w:tc>
      </w:tr>
      <w:tr w:rsidR="006C2895" w:rsidRPr="006C2895" w14:paraId="19A0E9AE"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4118A" w14:textId="50B5AE83"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 xml:space="preserve">PETROL, </w:t>
            </w:r>
            <w:r w:rsidR="00BC2791">
              <w:rPr>
                <w:rFonts w:ascii="Arial" w:eastAsia="Times New Roman" w:hAnsi="Arial" w:cs="Arial"/>
                <w:color w:val="000000"/>
                <w:sz w:val="18"/>
                <w:szCs w:val="18"/>
                <w:lang w:eastAsia="sl-SI"/>
              </w:rPr>
              <w:t>d. d.</w:t>
            </w:r>
          </w:p>
        </w:tc>
        <w:tc>
          <w:tcPr>
            <w:tcW w:w="0" w:type="auto"/>
            <w:tcBorders>
              <w:top w:val="nil"/>
              <w:left w:val="nil"/>
              <w:bottom w:val="single" w:sz="4" w:space="0" w:color="auto"/>
              <w:right w:val="single" w:sz="4" w:space="0" w:color="auto"/>
            </w:tcBorders>
            <w:shd w:val="clear" w:color="auto" w:fill="auto"/>
            <w:vAlign w:val="center"/>
            <w:hideMark/>
          </w:tcPr>
          <w:p w14:paraId="3B21C575"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56.816.115</w:t>
            </w:r>
          </w:p>
        </w:tc>
      </w:tr>
      <w:tr w:rsidR="006C2895" w:rsidRPr="006C2895" w14:paraId="1C82522A"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17953" w14:textId="716A24DD"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GORENJSKA GRADBENA DRUŽBA</w:t>
            </w:r>
            <w:r w:rsidR="00BC2791">
              <w:rPr>
                <w:rFonts w:ascii="Arial" w:eastAsia="Times New Roman" w:hAnsi="Arial" w:cs="Arial"/>
                <w:color w:val="000000"/>
                <w:sz w:val="18"/>
                <w:szCs w:val="18"/>
                <w:lang w:eastAsia="sl-SI"/>
              </w:rPr>
              <w:t>,</w:t>
            </w:r>
            <w:r w:rsidRPr="006C2895">
              <w:rPr>
                <w:rFonts w:ascii="Arial" w:eastAsia="Times New Roman" w:hAnsi="Arial" w:cs="Arial"/>
                <w:color w:val="000000"/>
                <w:sz w:val="18"/>
                <w:szCs w:val="18"/>
                <w:lang w:eastAsia="sl-SI"/>
              </w:rPr>
              <w:t xml:space="preserve"> 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p>
        </w:tc>
        <w:tc>
          <w:tcPr>
            <w:tcW w:w="0" w:type="auto"/>
            <w:tcBorders>
              <w:top w:val="nil"/>
              <w:left w:val="nil"/>
              <w:bottom w:val="single" w:sz="4" w:space="0" w:color="auto"/>
              <w:right w:val="single" w:sz="4" w:space="0" w:color="auto"/>
            </w:tcBorders>
            <w:shd w:val="clear" w:color="auto" w:fill="auto"/>
            <w:vAlign w:val="center"/>
            <w:hideMark/>
          </w:tcPr>
          <w:p w14:paraId="7E083912"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42.903.335</w:t>
            </w:r>
          </w:p>
        </w:tc>
      </w:tr>
      <w:tr w:rsidR="006C2895" w:rsidRPr="006C2895" w14:paraId="67CBE1CE"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6DB04" w14:textId="1A2B9F75"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STRABAG</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0C5D066B"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39.833.031</w:t>
            </w:r>
          </w:p>
        </w:tc>
      </w:tr>
      <w:tr w:rsidR="006C2895" w:rsidRPr="006C2895" w14:paraId="079DA03A"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278C0" w14:textId="60E98C86"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KOLEKTOR CESTNO PODJETJE NOVA GORICA, 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5AFF1A37"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37.453.666</w:t>
            </w:r>
          </w:p>
        </w:tc>
      </w:tr>
      <w:tr w:rsidR="006C2895" w:rsidRPr="006C2895" w14:paraId="5A24A954"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8884B" w14:textId="2C7A9359"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CGP, 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d.</w:t>
            </w:r>
          </w:p>
        </w:tc>
        <w:tc>
          <w:tcPr>
            <w:tcW w:w="0" w:type="auto"/>
            <w:tcBorders>
              <w:top w:val="nil"/>
              <w:left w:val="nil"/>
              <w:bottom w:val="single" w:sz="4" w:space="0" w:color="auto"/>
              <w:right w:val="single" w:sz="4" w:space="0" w:color="auto"/>
            </w:tcBorders>
            <w:shd w:val="clear" w:color="auto" w:fill="auto"/>
            <w:vAlign w:val="center"/>
            <w:hideMark/>
          </w:tcPr>
          <w:p w14:paraId="59317A10"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33.892.318</w:t>
            </w:r>
          </w:p>
        </w:tc>
      </w:tr>
      <w:tr w:rsidR="006C2895" w:rsidRPr="006C2895" w14:paraId="1D868BF0" w14:textId="77777777" w:rsidTr="00BC279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0DC79" w14:textId="06570F7B" w:rsidR="006C2895" w:rsidRPr="006C2895" w:rsidRDefault="006C2895" w:rsidP="00BC2791">
            <w:pPr>
              <w:spacing w:after="0" w:line="240" w:lineRule="auto"/>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KPL, d.</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r w:rsidR="00BC2791">
              <w:rPr>
                <w:rFonts w:ascii="Arial" w:eastAsia="Times New Roman" w:hAnsi="Arial" w:cs="Arial"/>
                <w:color w:val="000000"/>
                <w:sz w:val="18"/>
                <w:szCs w:val="18"/>
                <w:lang w:eastAsia="sl-SI"/>
              </w:rPr>
              <w:t xml:space="preserve"> </w:t>
            </w:r>
            <w:r w:rsidRPr="006C2895">
              <w:rPr>
                <w:rFonts w:ascii="Arial" w:eastAsia="Times New Roman" w:hAnsi="Arial" w:cs="Arial"/>
                <w:color w:val="000000"/>
                <w:sz w:val="18"/>
                <w:szCs w:val="18"/>
                <w:lang w:eastAsia="sl-SI"/>
              </w:rPr>
              <w:t>o.</w:t>
            </w:r>
          </w:p>
        </w:tc>
        <w:tc>
          <w:tcPr>
            <w:tcW w:w="0" w:type="auto"/>
            <w:tcBorders>
              <w:top w:val="nil"/>
              <w:left w:val="nil"/>
              <w:bottom w:val="single" w:sz="4" w:space="0" w:color="auto"/>
              <w:right w:val="single" w:sz="4" w:space="0" w:color="auto"/>
            </w:tcBorders>
            <w:shd w:val="clear" w:color="auto" w:fill="auto"/>
            <w:vAlign w:val="center"/>
            <w:hideMark/>
          </w:tcPr>
          <w:p w14:paraId="2996E972" w14:textId="77777777" w:rsidR="006C2895" w:rsidRPr="006C2895" w:rsidRDefault="006C2895" w:rsidP="00BC2791">
            <w:pPr>
              <w:spacing w:after="0" w:line="240" w:lineRule="auto"/>
              <w:jc w:val="right"/>
              <w:rPr>
                <w:rFonts w:ascii="Arial" w:eastAsia="Times New Roman" w:hAnsi="Arial" w:cs="Arial"/>
                <w:color w:val="000000"/>
                <w:sz w:val="18"/>
                <w:szCs w:val="18"/>
                <w:lang w:eastAsia="sl-SI"/>
              </w:rPr>
            </w:pPr>
            <w:r w:rsidRPr="006C2895">
              <w:rPr>
                <w:rFonts w:ascii="Arial" w:eastAsia="Times New Roman" w:hAnsi="Arial" w:cs="Arial"/>
                <w:color w:val="000000"/>
                <w:sz w:val="18"/>
                <w:szCs w:val="18"/>
                <w:lang w:eastAsia="sl-SI"/>
              </w:rPr>
              <w:t>31.410.151</w:t>
            </w:r>
          </w:p>
        </w:tc>
      </w:tr>
    </w:tbl>
    <w:p w14:paraId="4BFB300F" w14:textId="77777777" w:rsidR="004A613D" w:rsidRPr="00BC2791" w:rsidRDefault="004A613D" w:rsidP="004A613D">
      <w:pPr>
        <w:spacing w:after="0" w:line="240" w:lineRule="auto"/>
        <w:jc w:val="center"/>
        <w:rPr>
          <w:rFonts w:ascii="Arial" w:hAnsi="Arial" w:cs="Arial"/>
          <w:sz w:val="18"/>
        </w:rPr>
      </w:pPr>
    </w:p>
    <w:p w14:paraId="37107AAA" w14:textId="766F43C4" w:rsidR="00F83DD4" w:rsidRPr="00BC2791" w:rsidRDefault="00F83DD4" w:rsidP="004A613D">
      <w:pPr>
        <w:spacing w:after="0" w:line="240" w:lineRule="auto"/>
        <w:jc w:val="center"/>
        <w:rPr>
          <w:rFonts w:ascii="Arial" w:hAnsi="Arial" w:cs="Arial"/>
          <w:sz w:val="18"/>
        </w:rPr>
      </w:pPr>
      <w:r w:rsidRPr="00BC2791">
        <w:rPr>
          <w:rFonts w:ascii="Arial" w:hAnsi="Arial" w:cs="Arial"/>
          <w:sz w:val="18"/>
        </w:rPr>
        <w:t>Vir: Statistični podatki o javni</w:t>
      </w:r>
      <w:r w:rsidR="003C5EDA" w:rsidRPr="00BC2791">
        <w:rPr>
          <w:rFonts w:ascii="Arial" w:hAnsi="Arial" w:cs="Arial"/>
          <w:sz w:val="18"/>
        </w:rPr>
        <w:t>h naročilih, oddanih v letu 201</w:t>
      </w:r>
      <w:r w:rsidR="00BC2791" w:rsidRPr="00BC2791">
        <w:rPr>
          <w:rFonts w:ascii="Arial" w:hAnsi="Arial" w:cs="Arial"/>
          <w:sz w:val="18"/>
        </w:rPr>
        <w:t>8</w:t>
      </w:r>
    </w:p>
    <w:p w14:paraId="0E3EA1A1" w14:textId="77777777" w:rsidR="00B905EB" w:rsidRPr="00EF2D0B" w:rsidRDefault="00B905EB" w:rsidP="00854405">
      <w:pPr>
        <w:pStyle w:val="ZADEVA"/>
        <w:jc w:val="both"/>
        <w:rPr>
          <w:rFonts w:cs="Arial"/>
          <w:b w:val="0"/>
          <w:szCs w:val="20"/>
          <w:highlight w:val="yellow"/>
          <w:lang w:val="sl-SI"/>
        </w:rPr>
      </w:pPr>
    </w:p>
    <w:p w14:paraId="13CB571C" w14:textId="2B9C9FF1" w:rsidR="004A21A3" w:rsidRPr="004F7165" w:rsidRDefault="004A21A3" w:rsidP="004A21A3">
      <w:pPr>
        <w:pStyle w:val="Naslov3"/>
        <w:rPr>
          <w:rFonts w:ascii="Arial" w:hAnsi="Arial" w:cs="Arial"/>
          <w:sz w:val="22"/>
          <w:szCs w:val="22"/>
        </w:rPr>
      </w:pPr>
      <w:bookmarkStart w:id="37" w:name="_Toc17114075"/>
      <w:r w:rsidRPr="004F7165">
        <w:rPr>
          <w:rFonts w:ascii="Arial" w:hAnsi="Arial" w:cs="Arial"/>
          <w:sz w:val="22"/>
          <w:szCs w:val="22"/>
        </w:rPr>
        <w:t>2.8.3 Največja oddana naročila v letu 201</w:t>
      </w:r>
      <w:r w:rsidR="004F7165" w:rsidRPr="004F7165">
        <w:rPr>
          <w:rFonts w:ascii="Arial" w:hAnsi="Arial" w:cs="Arial"/>
          <w:sz w:val="22"/>
          <w:szCs w:val="22"/>
        </w:rPr>
        <w:t>8</w:t>
      </w:r>
      <w:bookmarkEnd w:id="37"/>
    </w:p>
    <w:p w14:paraId="7AD99ACB" w14:textId="77777777" w:rsidR="004A21A3" w:rsidRPr="00EF2D0B" w:rsidRDefault="004A21A3" w:rsidP="00854405">
      <w:pPr>
        <w:pStyle w:val="ZADEVA"/>
        <w:jc w:val="both"/>
        <w:rPr>
          <w:rFonts w:cs="Arial"/>
          <w:b w:val="0"/>
          <w:szCs w:val="20"/>
          <w:highlight w:val="yellow"/>
          <w:lang w:val="sl-SI"/>
        </w:rPr>
      </w:pPr>
    </w:p>
    <w:p w14:paraId="30B78E93" w14:textId="5C5DEFD9" w:rsidR="009155CC" w:rsidRPr="00EF2D0B" w:rsidRDefault="009155CC" w:rsidP="00AC44FC">
      <w:pPr>
        <w:spacing w:line="360" w:lineRule="auto"/>
        <w:jc w:val="both"/>
        <w:rPr>
          <w:rFonts w:ascii="Arial" w:hAnsi="Arial" w:cs="Arial"/>
          <w:sz w:val="20"/>
          <w:szCs w:val="20"/>
          <w:highlight w:val="yellow"/>
          <w:lang w:eastAsia="sl-SI"/>
        </w:rPr>
      </w:pPr>
      <w:r w:rsidRPr="00B525E9">
        <w:rPr>
          <w:rFonts w:ascii="Arial" w:hAnsi="Arial" w:cs="Arial"/>
          <w:sz w:val="20"/>
          <w:szCs w:val="20"/>
          <w:lang w:eastAsia="sl-SI"/>
        </w:rPr>
        <w:t xml:space="preserve">Iz statističnih podatkov </w:t>
      </w:r>
      <w:r w:rsidR="001E6D56" w:rsidRPr="00B525E9">
        <w:rPr>
          <w:rFonts w:ascii="Arial" w:hAnsi="Arial" w:cs="Arial"/>
          <w:sz w:val="20"/>
          <w:szCs w:val="20"/>
          <w:lang w:eastAsia="sl-SI"/>
        </w:rPr>
        <w:t>izhaja</w:t>
      </w:r>
      <w:r w:rsidRPr="00B525E9">
        <w:rPr>
          <w:rFonts w:ascii="Arial" w:hAnsi="Arial" w:cs="Arial"/>
          <w:sz w:val="20"/>
          <w:szCs w:val="20"/>
          <w:lang w:eastAsia="sl-SI"/>
        </w:rPr>
        <w:t>, da 15 največjih</w:t>
      </w:r>
      <w:r w:rsidR="003F5C42" w:rsidRPr="00B525E9">
        <w:rPr>
          <w:rFonts w:ascii="Arial" w:hAnsi="Arial" w:cs="Arial"/>
          <w:sz w:val="20"/>
          <w:szCs w:val="20"/>
          <w:lang w:eastAsia="sl-SI"/>
        </w:rPr>
        <w:t xml:space="preserve"> javnih</w:t>
      </w:r>
      <w:r w:rsidR="002C0EF5" w:rsidRPr="00B525E9">
        <w:rPr>
          <w:rFonts w:ascii="Arial" w:hAnsi="Arial" w:cs="Arial"/>
          <w:sz w:val="20"/>
          <w:szCs w:val="20"/>
          <w:lang w:eastAsia="sl-SI"/>
        </w:rPr>
        <w:t xml:space="preserve"> naročil v letu 201</w:t>
      </w:r>
      <w:r w:rsidR="00B525E9" w:rsidRPr="00B525E9">
        <w:rPr>
          <w:rFonts w:ascii="Arial" w:hAnsi="Arial" w:cs="Arial"/>
          <w:sz w:val="20"/>
          <w:szCs w:val="20"/>
          <w:lang w:eastAsia="sl-SI"/>
        </w:rPr>
        <w:t>8</w:t>
      </w:r>
      <w:r w:rsidRPr="00B525E9">
        <w:rPr>
          <w:rFonts w:ascii="Arial" w:hAnsi="Arial" w:cs="Arial"/>
          <w:sz w:val="20"/>
          <w:szCs w:val="20"/>
          <w:lang w:eastAsia="sl-SI"/>
        </w:rPr>
        <w:t xml:space="preserve"> po vrednosti </w:t>
      </w:r>
      <w:r w:rsidRPr="007174E1">
        <w:rPr>
          <w:rFonts w:ascii="Arial" w:hAnsi="Arial" w:cs="Arial"/>
          <w:sz w:val="20"/>
          <w:szCs w:val="20"/>
          <w:lang w:eastAsia="sl-SI"/>
        </w:rPr>
        <w:t xml:space="preserve">obsega </w:t>
      </w:r>
      <w:r w:rsidR="002C0EF5" w:rsidRPr="007174E1">
        <w:rPr>
          <w:rFonts w:ascii="Arial" w:hAnsi="Arial" w:cs="Arial"/>
          <w:sz w:val="20"/>
          <w:szCs w:val="20"/>
          <w:lang w:eastAsia="sl-SI"/>
        </w:rPr>
        <w:t xml:space="preserve">skoraj </w:t>
      </w:r>
      <w:r w:rsidRPr="007174E1">
        <w:rPr>
          <w:rFonts w:ascii="Arial" w:hAnsi="Arial" w:cs="Arial"/>
          <w:sz w:val="20"/>
          <w:szCs w:val="20"/>
          <w:lang w:eastAsia="sl-SI"/>
        </w:rPr>
        <w:t>petino (</w:t>
      </w:r>
      <w:r w:rsidR="007174E1" w:rsidRPr="007174E1">
        <w:rPr>
          <w:rFonts w:ascii="Arial" w:hAnsi="Arial" w:cs="Arial"/>
          <w:sz w:val="20"/>
          <w:szCs w:val="20"/>
          <w:lang w:eastAsia="sl-SI"/>
        </w:rPr>
        <w:t>15,55</w:t>
      </w:r>
      <w:r w:rsidR="00D6524D" w:rsidRPr="007174E1">
        <w:rPr>
          <w:rFonts w:ascii="Arial" w:hAnsi="Arial" w:cs="Arial"/>
          <w:sz w:val="20"/>
          <w:szCs w:val="20"/>
          <w:lang w:eastAsia="sl-SI"/>
        </w:rPr>
        <w:t xml:space="preserve"> </w:t>
      </w:r>
      <w:r w:rsidR="0029442D" w:rsidRPr="007174E1">
        <w:rPr>
          <w:rFonts w:ascii="Arial" w:hAnsi="Arial" w:cs="Arial"/>
          <w:sz w:val="20"/>
          <w:szCs w:val="20"/>
          <w:lang w:eastAsia="sl-SI"/>
        </w:rPr>
        <w:t>%</w:t>
      </w:r>
      <w:r w:rsidRPr="007174E1">
        <w:rPr>
          <w:rFonts w:ascii="Arial" w:hAnsi="Arial" w:cs="Arial"/>
          <w:sz w:val="20"/>
          <w:szCs w:val="20"/>
          <w:lang w:eastAsia="sl-SI"/>
        </w:rPr>
        <w:t xml:space="preserve">) vseh </w:t>
      </w:r>
      <w:r w:rsidR="003F5C42" w:rsidRPr="007174E1">
        <w:rPr>
          <w:rFonts w:ascii="Arial" w:hAnsi="Arial" w:cs="Arial"/>
          <w:sz w:val="20"/>
          <w:szCs w:val="20"/>
          <w:lang w:eastAsia="sl-SI"/>
        </w:rPr>
        <w:t xml:space="preserve">javnih </w:t>
      </w:r>
      <w:r w:rsidRPr="007174E1">
        <w:rPr>
          <w:rFonts w:ascii="Arial" w:hAnsi="Arial" w:cs="Arial"/>
          <w:sz w:val="20"/>
          <w:szCs w:val="20"/>
          <w:lang w:eastAsia="sl-SI"/>
        </w:rPr>
        <w:t>naročil, ki so jih naročniki objavili na portalu javnih naročil in v Uradnem listu Evropske unije</w:t>
      </w:r>
      <w:r w:rsidRPr="000E4796">
        <w:rPr>
          <w:rFonts w:ascii="Arial" w:hAnsi="Arial" w:cs="Arial"/>
          <w:sz w:val="20"/>
          <w:szCs w:val="20"/>
          <w:lang w:eastAsia="sl-SI"/>
        </w:rPr>
        <w:t xml:space="preserve">. </w:t>
      </w:r>
      <w:r w:rsidR="00FA2E18" w:rsidRPr="000E4796">
        <w:rPr>
          <w:rFonts w:ascii="Arial" w:hAnsi="Arial" w:cs="Arial"/>
          <w:sz w:val="20"/>
          <w:szCs w:val="20"/>
          <w:lang w:eastAsia="sl-SI"/>
        </w:rPr>
        <w:t>D</w:t>
      </w:r>
      <w:r w:rsidR="000E4796" w:rsidRPr="000E4796">
        <w:rPr>
          <w:rFonts w:ascii="Arial" w:hAnsi="Arial" w:cs="Arial"/>
          <w:sz w:val="20"/>
          <w:szCs w:val="20"/>
          <w:lang w:eastAsia="sl-SI"/>
        </w:rPr>
        <w:t>evet</w:t>
      </w:r>
      <w:r w:rsidR="00FA2E18" w:rsidRPr="000E4796">
        <w:rPr>
          <w:rFonts w:ascii="Arial" w:hAnsi="Arial" w:cs="Arial"/>
          <w:sz w:val="20"/>
          <w:szCs w:val="20"/>
          <w:lang w:eastAsia="sl-SI"/>
        </w:rPr>
        <w:t xml:space="preserve"> j</w:t>
      </w:r>
      <w:r w:rsidR="003F5C42" w:rsidRPr="000E4796">
        <w:rPr>
          <w:rFonts w:ascii="Arial" w:hAnsi="Arial" w:cs="Arial"/>
          <w:sz w:val="20"/>
          <w:szCs w:val="20"/>
          <w:lang w:eastAsia="sl-SI"/>
        </w:rPr>
        <w:t xml:space="preserve">avnih </w:t>
      </w:r>
      <w:r w:rsidRPr="000E4796">
        <w:rPr>
          <w:rFonts w:ascii="Arial" w:hAnsi="Arial" w:cs="Arial"/>
          <w:sz w:val="20"/>
          <w:szCs w:val="20"/>
          <w:lang w:eastAsia="sl-SI"/>
        </w:rPr>
        <w:t>naročil je bilo oddanih na splošnem,</w:t>
      </w:r>
      <w:r w:rsidR="000E4796" w:rsidRPr="000E4796">
        <w:rPr>
          <w:rFonts w:ascii="Arial" w:hAnsi="Arial" w:cs="Arial"/>
          <w:sz w:val="20"/>
          <w:szCs w:val="20"/>
          <w:lang w:eastAsia="sl-SI"/>
        </w:rPr>
        <w:t xml:space="preserve"> pet</w:t>
      </w:r>
      <w:r w:rsidRPr="000E4796">
        <w:rPr>
          <w:rFonts w:ascii="Arial" w:hAnsi="Arial" w:cs="Arial"/>
          <w:sz w:val="20"/>
          <w:szCs w:val="20"/>
          <w:lang w:eastAsia="sl-SI"/>
        </w:rPr>
        <w:t xml:space="preserve"> na infrastrukturnem</w:t>
      </w:r>
      <w:r w:rsidR="000E4796" w:rsidRPr="000E4796">
        <w:rPr>
          <w:rFonts w:ascii="Arial" w:hAnsi="Arial" w:cs="Arial"/>
          <w:sz w:val="20"/>
          <w:szCs w:val="20"/>
          <w:lang w:eastAsia="sl-SI"/>
        </w:rPr>
        <w:t xml:space="preserve"> in eno javno naročilo na obrambnem</w:t>
      </w:r>
      <w:r w:rsidR="003F5C42" w:rsidRPr="000E4796">
        <w:rPr>
          <w:rFonts w:ascii="Arial" w:hAnsi="Arial" w:cs="Arial"/>
          <w:sz w:val="20"/>
          <w:szCs w:val="20"/>
          <w:lang w:eastAsia="sl-SI"/>
        </w:rPr>
        <w:t xml:space="preserve"> področju</w:t>
      </w:r>
      <w:r w:rsidRPr="000E4796">
        <w:rPr>
          <w:rFonts w:ascii="Arial" w:hAnsi="Arial" w:cs="Arial"/>
          <w:sz w:val="20"/>
          <w:szCs w:val="20"/>
          <w:lang w:eastAsia="sl-SI"/>
        </w:rPr>
        <w:t>.</w:t>
      </w:r>
      <w:r w:rsidRPr="007174E1">
        <w:rPr>
          <w:rFonts w:ascii="Arial" w:hAnsi="Arial" w:cs="Arial"/>
          <w:sz w:val="20"/>
          <w:szCs w:val="20"/>
          <w:lang w:eastAsia="sl-SI"/>
        </w:rPr>
        <w:t xml:space="preserve"> Prevladovalo je naročanje </w:t>
      </w:r>
      <w:r w:rsidR="007174E1" w:rsidRPr="007174E1">
        <w:rPr>
          <w:rFonts w:ascii="Arial" w:hAnsi="Arial" w:cs="Arial"/>
          <w:sz w:val="20"/>
          <w:szCs w:val="20"/>
          <w:lang w:eastAsia="sl-SI"/>
        </w:rPr>
        <w:t>blaga</w:t>
      </w:r>
      <w:r w:rsidR="002C0EF5" w:rsidRPr="007174E1">
        <w:rPr>
          <w:rFonts w:ascii="Arial" w:hAnsi="Arial" w:cs="Arial"/>
          <w:sz w:val="20"/>
          <w:szCs w:val="20"/>
          <w:lang w:eastAsia="sl-SI"/>
        </w:rPr>
        <w:t xml:space="preserve"> </w:t>
      </w:r>
      <w:r w:rsidRPr="007174E1">
        <w:rPr>
          <w:rFonts w:ascii="Arial" w:hAnsi="Arial" w:cs="Arial"/>
          <w:sz w:val="20"/>
          <w:szCs w:val="20"/>
          <w:lang w:eastAsia="sl-SI"/>
        </w:rPr>
        <w:t>(</w:t>
      </w:r>
      <w:r w:rsidR="007174E1" w:rsidRPr="007174E1">
        <w:rPr>
          <w:rFonts w:ascii="Arial" w:hAnsi="Arial" w:cs="Arial"/>
          <w:sz w:val="20"/>
          <w:szCs w:val="20"/>
          <w:lang w:eastAsia="sl-SI"/>
        </w:rPr>
        <w:t>osem</w:t>
      </w:r>
      <w:r w:rsidR="002C0EF5" w:rsidRPr="007174E1">
        <w:rPr>
          <w:rFonts w:ascii="Arial" w:hAnsi="Arial" w:cs="Arial"/>
          <w:sz w:val="20"/>
          <w:szCs w:val="20"/>
          <w:lang w:eastAsia="sl-SI"/>
        </w:rPr>
        <w:t xml:space="preserve"> </w:t>
      </w:r>
      <w:r w:rsidR="003F5C42" w:rsidRPr="007174E1">
        <w:rPr>
          <w:rFonts w:ascii="Arial" w:hAnsi="Arial" w:cs="Arial"/>
          <w:sz w:val="20"/>
          <w:szCs w:val="20"/>
          <w:lang w:eastAsia="sl-SI"/>
        </w:rPr>
        <w:t xml:space="preserve">javnih </w:t>
      </w:r>
      <w:r w:rsidR="002C0EF5" w:rsidRPr="007174E1">
        <w:rPr>
          <w:rFonts w:ascii="Arial" w:hAnsi="Arial" w:cs="Arial"/>
          <w:sz w:val="20"/>
          <w:szCs w:val="20"/>
          <w:lang w:eastAsia="sl-SI"/>
        </w:rPr>
        <w:t>naročil), preostala naročila so bila naročila storitev</w:t>
      </w:r>
      <w:r w:rsidR="007174E1" w:rsidRPr="007174E1">
        <w:rPr>
          <w:rFonts w:ascii="Arial" w:hAnsi="Arial" w:cs="Arial"/>
          <w:sz w:val="20"/>
          <w:szCs w:val="20"/>
          <w:lang w:eastAsia="sl-SI"/>
        </w:rPr>
        <w:t xml:space="preserve"> in gradnje. </w:t>
      </w:r>
    </w:p>
    <w:p w14:paraId="7B5A3D2B" w14:textId="6235EF11" w:rsidR="003F5C42" w:rsidRPr="004F7165" w:rsidRDefault="003F5C42" w:rsidP="008A61FD">
      <w:pPr>
        <w:spacing w:before="120" w:after="120" w:line="240" w:lineRule="auto"/>
        <w:jc w:val="both"/>
        <w:rPr>
          <w:rFonts w:ascii="Arial" w:hAnsi="Arial" w:cs="Arial"/>
          <w:sz w:val="20"/>
        </w:rPr>
      </w:pPr>
      <w:r w:rsidRPr="004F7165">
        <w:rPr>
          <w:rFonts w:ascii="Arial" w:hAnsi="Arial" w:cs="Arial"/>
          <w:sz w:val="20"/>
        </w:rPr>
        <w:t xml:space="preserve">Preglednica </w:t>
      </w:r>
      <w:r w:rsidR="00474678" w:rsidRPr="004F7165">
        <w:rPr>
          <w:rFonts w:ascii="Arial" w:hAnsi="Arial" w:cs="Arial"/>
          <w:sz w:val="20"/>
        </w:rPr>
        <w:t>5</w:t>
      </w:r>
      <w:r w:rsidR="00EB4423">
        <w:rPr>
          <w:rFonts w:ascii="Arial" w:hAnsi="Arial" w:cs="Arial"/>
          <w:sz w:val="20"/>
        </w:rPr>
        <w:t>3</w:t>
      </w:r>
      <w:r w:rsidRPr="004F7165">
        <w:rPr>
          <w:rFonts w:ascii="Arial" w:hAnsi="Arial" w:cs="Arial"/>
          <w:sz w:val="20"/>
        </w:rPr>
        <w:t>: Petnaj</w:t>
      </w:r>
      <w:r w:rsidR="001D1611" w:rsidRPr="004F7165">
        <w:rPr>
          <w:rFonts w:ascii="Arial" w:hAnsi="Arial" w:cs="Arial"/>
          <w:sz w:val="20"/>
        </w:rPr>
        <w:t>st največjih naročil v letu 201</w:t>
      </w:r>
      <w:r w:rsidR="004F7165" w:rsidRPr="004F7165">
        <w:rPr>
          <w:rFonts w:ascii="Arial" w:hAnsi="Arial" w:cs="Arial"/>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9"/>
        <w:gridCol w:w="3535"/>
        <w:gridCol w:w="821"/>
        <w:gridCol w:w="1427"/>
      </w:tblGrid>
      <w:tr w:rsidR="004F6936" w:rsidRPr="004F6936" w14:paraId="0AEA6933" w14:textId="77777777" w:rsidTr="000B5B5F">
        <w:trPr>
          <w:trHeight w:val="255"/>
          <w:tblHeader/>
          <w:jc w:val="center"/>
        </w:trPr>
        <w:tc>
          <w:tcPr>
            <w:tcW w:w="0" w:type="auto"/>
            <w:shd w:val="clear" w:color="000000" w:fill="EDEDED"/>
            <w:vAlign w:val="center"/>
            <w:hideMark/>
          </w:tcPr>
          <w:p w14:paraId="6D7E2BAA" w14:textId="77777777" w:rsidR="004F6936" w:rsidRPr="004F6936" w:rsidRDefault="004F6936" w:rsidP="004F6936">
            <w:pPr>
              <w:spacing w:after="0" w:line="240" w:lineRule="auto"/>
              <w:jc w:val="center"/>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Naročnik</w:t>
            </w:r>
          </w:p>
        </w:tc>
        <w:tc>
          <w:tcPr>
            <w:tcW w:w="0" w:type="auto"/>
            <w:shd w:val="clear" w:color="000000" w:fill="EDEDED"/>
            <w:vAlign w:val="center"/>
            <w:hideMark/>
          </w:tcPr>
          <w:p w14:paraId="1C5E1358" w14:textId="77777777" w:rsidR="004F6936" w:rsidRPr="004F6936" w:rsidRDefault="004F6936" w:rsidP="004F6936">
            <w:pPr>
              <w:spacing w:after="0" w:line="240" w:lineRule="auto"/>
              <w:jc w:val="center"/>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Ponudnik</w:t>
            </w:r>
          </w:p>
        </w:tc>
        <w:tc>
          <w:tcPr>
            <w:tcW w:w="0" w:type="auto"/>
            <w:shd w:val="clear" w:color="000000" w:fill="EDEDED"/>
            <w:vAlign w:val="center"/>
            <w:hideMark/>
          </w:tcPr>
          <w:p w14:paraId="6018D0BD" w14:textId="77777777" w:rsidR="004F6936" w:rsidRPr="004F6936" w:rsidRDefault="004F6936" w:rsidP="004F6936">
            <w:pPr>
              <w:spacing w:after="0" w:line="240" w:lineRule="auto"/>
              <w:jc w:val="center"/>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Predmet</w:t>
            </w:r>
          </w:p>
        </w:tc>
        <w:tc>
          <w:tcPr>
            <w:tcW w:w="0" w:type="auto"/>
            <w:shd w:val="clear" w:color="000000" w:fill="EDEDED"/>
            <w:vAlign w:val="center"/>
            <w:hideMark/>
          </w:tcPr>
          <w:p w14:paraId="330CBE39" w14:textId="77777777" w:rsidR="004F6936" w:rsidRPr="004F6936" w:rsidRDefault="004F6936" w:rsidP="004F6936">
            <w:pPr>
              <w:spacing w:after="0" w:line="240" w:lineRule="auto"/>
              <w:jc w:val="center"/>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Pogodbena vrednost</w:t>
            </w:r>
          </w:p>
        </w:tc>
      </w:tr>
      <w:tr w:rsidR="004F6936" w:rsidRPr="004F6936" w14:paraId="7E9C7409" w14:textId="77777777" w:rsidTr="000B5B5F">
        <w:trPr>
          <w:trHeight w:val="255"/>
          <w:jc w:val="center"/>
        </w:trPr>
        <w:tc>
          <w:tcPr>
            <w:tcW w:w="0" w:type="auto"/>
            <w:shd w:val="clear" w:color="auto" w:fill="auto"/>
            <w:vAlign w:val="center"/>
            <w:hideMark/>
          </w:tcPr>
          <w:p w14:paraId="5DD290DC" w14:textId="274A116B" w:rsidR="004F6936" w:rsidRPr="004F6936" w:rsidRDefault="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SLOVENSKE ŽELEZNICE </w:t>
            </w:r>
            <w:r w:rsidR="002B74A3">
              <w:rPr>
                <w:rFonts w:ascii="Arial" w:eastAsia="Times New Roman" w:hAnsi="Arial" w:cs="Arial"/>
                <w:color w:val="000000"/>
                <w:sz w:val="18"/>
                <w:szCs w:val="18"/>
                <w:lang w:eastAsia="sl-SI"/>
              </w:rPr>
              <w:sym w:font="Symbol" w:char="F02D"/>
            </w:r>
            <w:r w:rsidRPr="004F6936">
              <w:rPr>
                <w:rFonts w:ascii="Arial" w:eastAsia="Times New Roman" w:hAnsi="Arial" w:cs="Arial"/>
                <w:color w:val="000000"/>
                <w:sz w:val="18"/>
                <w:szCs w:val="18"/>
                <w:lang w:eastAsia="sl-SI"/>
              </w:rPr>
              <w:t xml:space="preserve"> POTNIŠKI PROMET</w:t>
            </w:r>
            <w:r w:rsidR="004F6936" w:rsidRPr="004F6936">
              <w:rPr>
                <w:rFonts w:ascii="Arial" w:eastAsia="Times New Roman" w:hAnsi="Arial" w:cs="Arial"/>
                <w:color w:val="000000"/>
                <w:sz w:val="18"/>
                <w:szCs w:val="18"/>
                <w:lang w:eastAsia="sl-SI"/>
              </w:rPr>
              <w:t>, d. o. o.</w:t>
            </w:r>
          </w:p>
        </w:tc>
        <w:tc>
          <w:tcPr>
            <w:tcW w:w="0" w:type="auto"/>
            <w:shd w:val="clear" w:color="auto" w:fill="auto"/>
            <w:vAlign w:val="center"/>
            <w:hideMark/>
          </w:tcPr>
          <w:p w14:paraId="720C1EC3"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STADLER </w:t>
            </w:r>
            <w:proofErr w:type="spellStart"/>
            <w:r w:rsidRPr="004F6936">
              <w:rPr>
                <w:rFonts w:ascii="Arial" w:eastAsia="Times New Roman" w:hAnsi="Arial" w:cs="Arial"/>
                <w:color w:val="000000"/>
                <w:sz w:val="18"/>
                <w:szCs w:val="18"/>
                <w:lang w:eastAsia="sl-SI"/>
              </w:rPr>
              <w:t>Polska</w:t>
            </w:r>
            <w:proofErr w:type="spellEnd"/>
            <w:r w:rsidRPr="004F6936">
              <w:rPr>
                <w:rFonts w:ascii="Arial" w:eastAsia="Times New Roman" w:hAnsi="Arial" w:cs="Arial"/>
                <w:color w:val="000000"/>
                <w:sz w:val="18"/>
                <w:szCs w:val="18"/>
                <w:lang w:eastAsia="sl-SI"/>
              </w:rPr>
              <w:t xml:space="preserve"> Sp. Z, o. o.</w:t>
            </w:r>
          </w:p>
        </w:tc>
        <w:tc>
          <w:tcPr>
            <w:tcW w:w="0" w:type="auto"/>
            <w:shd w:val="clear" w:color="auto" w:fill="auto"/>
            <w:vAlign w:val="center"/>
            <w:hideMark/>
          </w:tcPr>
          <w:p w14:paraId="56050CAF"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1AC47A81"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169.994.500</w:t>
            </w:r>
          </w:p>
        </w:tc>
      </w:tr>
      <w:tr w:rsidR="004F6936" w:rsidRPr="004F6936" w14:paraId="68E570BB" w14:textId="77777777" w:rsidTr="000B5B5F">
        <w:trPr>
          <w:trHeight w:val="255"/>
          <w:jc w:val="center"/>
        </w:trPr>
        <w:tc>
          <w:tcPr>
            <w:tcW w:w="0" w:type="auto"/>
            <w:shd w:val="clear" w:color="auto" w:fill="auto"/>
            <w:vAlign w:val="center"/>
            <w:hideMark/>
          </w:tcPr>
          <w:p w14:paraId="531C80EB"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DIREKCIJA REPUBLIKE SLOVENIJE ZA INFRASTRUKTURO</w:t>
            </w:r>
          </w:p>
        </w:tc>
        <w:tc>
          <w:tcPr>
            <w:tcW w:w="0" w:type="auto"/>
            <w:shd w:val="clear" w:color="auto" w:fill="auto"/>
            <w:vAlign w:val="center"/>
            <w:hideMark/>
          </w:tcPr>
          <w:p w14:paraId="078A96C2" w14:textId="5F8AECB8"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SŽ </w:t>
            </w:r>
            <w:r w:rsidR="002B74A3">
              <w:rPr>
                <w:rFonts w:ascii="Arial" w:eastAsia="Times New Roman" w:hAnsi="Arial" w:cs="Arial"/>
                <w:color w:val="000000"/>
                <w:sz w:val="18"/>
                <w:szCs w:val="18"/>
                <w:lang w:eastAsia="sl-SI"/>
              </w:rPr>
              <w:sym w:font="Symbol" w:char="F02D"/>
            </w:r>
            <w:r w:rsidRPr="004F6936">
              <w:rPr>
                <w:rFonts w:ascii="Arial" w:eastAsia="Times New Roman" w:hAnsi="Arial" w:cs="Arial"/>
                <w:color w:val="000000"/>
                <w:sz w:val="18"/>
                <w:szCs w:val="18"/>
                <w:lang w:eastAsia="sl-SI"/>
              </w:rPr>
              <w:t xml:space="preserve"> ŽELEZNIŠKO GRADBENO PODJETJE LJUBLJANA, d. d.</w:t>
            </w:r>
          </w:p>
        </w:tc>
        <w:tc>
          <w:tcPr>
            <w:tcW w:w="0" w:type="auto"/>
            <w:shd w:val="clear" w:color="auto" w:fill="auto"/>
            <w:vAlign w:val="center"/>
            <w:hideMark/>
          </w:tcPr>
          <w:p w14:paraId="6AC64CB7"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Gradnje</w:t>
            </w:r>
          </w:p>
        </w:tc>
        <w:tc>
          <w:tcPr>
            <w:tcW w:w="0" w:type="auto"/>
            <w:shd w:val="clear" w:color="auto" w:fill="auto"/>
            <w:vAlign w:val="center"/>
            <w:hideMark/>
          </w:tcPr>
          <w:p w14:paraId="547A0A2E"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45.490.118</w:t>
            </w:r>
          </w:p>
        </w:tc>
      </w:tr>
      <w:tr w:rsidR="004F6936" w:rsidRPr="004F6936" w14:paraId="6FBC5754" w14:textId="77777777" w:rsidTr="000B5B5F">
        <w:trPr>
          <w:trHeight w:val="255"/>
          <w:jc w:val="center"/>
        </w:trPr>
        <w:tc>
          <w:tcPr>
            <w:tcW w:w="0" w:type="auto"/>
            <w:shd w:val="clear" w:color="auto" w:fill="auto"/>
            <w:vAlign w:val="center"/>
            <w:hideMark/>
          </w:tcPr>
          <w:p w14:paraId="4522B6F6"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DIREKCIJA REPUBLIKE SLOVENIJE ZA INFRASTRUKTURO</w:t>
            </w:r>
          </w:p>
        </w:tc>
        <w:tc>
          <w:tcPr>
            <w:tcW w:w="0" w:type="auto"/>
            <w:shd w:val="clear" w:color="auto" w:fill="auto"/>
            <w:vAlign w:val="center"/>
            <w:hideMark/>
          </w:tcPr>
          <w:p w14:paraId="5FD1CCF6"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POMGRAD, d. d.</w:t>
            </w:r>
          </w:p>
        </w:tc>
        <w:tc>
          <w:tcPr>
            <w:tcW w:w="0" w:type="auto"/>
            <w:shd w:val="clear" w:color="auto" w:fill="auto"/>
            <w:vAlign w:val="center"/>
            <w:hideMark/>
          </w:tcPr>
          <w:p w14:paraId="0EB0F228"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Gradnje</w:t>
            </w:r>
          </w:p>
        </w:tc>
        <w:tc>
          <w:tcPr>
            <w:tcW w:w="0" w:type="auto"/>
            <w:shd w:val="clear" w:color="auto" w:fill="auto"/>
            <w:vAlign w:val="center"/>
            <w:hideMark/>
          </w:tcPr>
          <w:p w14:paraId="35469484"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36.366.675</w:t>
            </w:r>
          </w:p>
        </w:tc>
      </w:tr>
      <w:tr w:rsidR="004F6936" w:rsidRPr="004F6936" w14:paraId="52B52532" w14:textId="77777777" w:rsidTr="000B5B5F">
        <w:trPr>
          <w:trHeight w:val="255"/>
          <w:jc w:val="center"/>
        </w:trPr>
        <w:tc>
          <w:tcPr>
            <w:tcW w:w="0" w:type="auto"/>
            <w:shd w:val="clear" w:color="auto" w:fill="auto"/>
            <w:vAlign w:val="center"/>
            <w:hideMark/>
          </w:tcPr>
          <w:p w14:paraId="276F2761" w14:textId="6FA8272E" w:rsidR="004F6936" w:rsidRPr="004F6936" w:rsidRDefault="004F7165"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SLOVENSKE ŽELEZNICE </w:t>
            </w:r>
            <w:r w:rsidR="002B74A3">
              <w:rPr>
                <w:rFonts w:ascii="Arial" w:eastAsia="Times New Roman" w:hAnsi="Arial" w:cs="Arial"/>
                <w:color w:val="000000"/>
                <w:sz w:val="18"/>
                <w:szCs w:val="18"/>
                <w:lang w:eastAsia="sl-SI"/>
              </w:rPr>
              <w:sym w:font="Symbol" w:char="F02D"/>
            </w:r>
            <w:r w:rsidRPr="004F6936">
              <w:rPr>
                <w:rFonts w:ascii="Arial" w:eastAsia="Times New Roman" w:hAnsi="Arial" w:cs="Arial"/>
                <w:color w:val="000000"/>
                <w:sz w:val="18"/>
                <w:szCs w:val="18"/>
                <w:lang w:eastAsia="sl-SI"/>
              </w:rPr>
              <w:t xml:space="preserve"> INFRASTRUKTURA</w:t>
            </w:r>
            <w:r w:rsidR="004F6936" w:rsidRPr="004F6936">
              <w:rPr>
                <w:rFonts w:ascii="Arial" w:eastAsia="Times New Roman" w:hAnsi="Arial" w:cs="Arial"/>
                <w:color w:val="000000"/>
                <w:sz w:val="18"/>
                <w:szCs w:val="18"/>
                <w:lang w:eastAsia="sl-SI"/>
              </w:rPr>
              <w:t>, d. o. o.</w:t>
            </w:r>
          </w:p>
        </w:tc>
        <w:tc>
          <w:tcPr>
            <w:tcW w:w="0" w:type="auto"/>
            <w:shd w:val="clear" w:color="auto" w:fill="auto"/>
            <w:vAlign w:val="center"/>
            <w:hideMark/>
          </w:tcPr>
          <w:p w14:paraId="6E46836F" w14:textId="20F415D6"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SŽ </w:t>
            </w:r>
            <w:r w:rsidR="002B74A3">
              <w:rPr>
                <w:rFonts w:ascii="Arial" w:eastAsia="Times New Roman" w:hAnsi="Arial" w:cs="Arial"/>
                <w:color w:val="000000"/>
                <w:sz w:val="18"/>
                <w:szCs w:val="18"/>
                <w:lang w:eastAsia="sl-SI"/>
              </w:rPr>
              <w:sym w:font="Symbol" w:char="F02D"/>
            </w:r>
            <w:r w:rsidRPr="004F6936">
              <w:rPr>
                <w:rFonts w:ascii="Arial" w:eastAsia="Times New Roman" w:hAnsi="Arial" w:cs="Arial"/>
                <w:color w:val="000000"/>
                <w:sz w:val="18"/>
                <w:szCs w:val="18"/>
                <w:lang w:eastAsia="sl-SI"/>
              </w:rPr>
              <w:t xml:space="preserve"> ŽELEZNIŠKO GRADBENO PODJETJE LJUBLJANA, d. d.</w:t>
            </w:r>
          </w:p>
        </w:tc>
        <w:tc>
          <w:tcPr>
            <w:tcW w:w="0" w:type="auto"/>
            <w:shd w:val="clear" w:color="auto" w:fill="auto"/>
            <w:vAlign w:val="center"/>
            <w:hideMark/>
          </w:tcPr>
          <w:p w14:paraId="222D394E"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Storitve</w:t>
            </w:r>
          </w:p>
        </w:tc>
        <w:tc>
          <w:tcPr>
            <w:tcW w:w="0" w:type="auto"/>
            <w:shd w:val="clear" w:color="auto" w:fill="auto"/>
            <w:vAlign w:val="center"/>
            <w:hideMark/>
          </w:tcPr>
          <w:p w14:paraId="3BFC221A"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30.000.000</w:t>
            </w:r>
          </w:p>
        </w:tc>
      </w:tr>
      <w:tr w:rsidR="004F6936" w:rsidRPr="004F6936" w14:paraId="1DB787B7" w14:textId="77777777" w:rsidTr="000B5B5F">
        <w:trPr>
          <w:trHeight w:val="255"/>
          <w:jc w:val="center"/>
        </w:trPr>
        <w:tc>
          <w:tcPr>
            <w:tcW w:w="0" w:type="auto"/>
            <w:shd w:val="clear" w:color="auto" w:fill="auto"/>
            <w:vAlign w:val="center"/>
            <w:hideMark/>
          </w:tcPr>
          <w:p w14:paraId="0A60E2A2"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MINISTRSTVO ZA JAVNO UPRAVO</w:t>
            </w:r>
          </w:p>
        </w:tc>
        <w:tc>
          <w:tcPr>
            <w:tcW w:w="0" w:type="auto"/>
            <w:shd w:val="clear" w:color="auto" w:fill="auto"/>
            <w:vAlign w:val="center"/>
            <w:hideMark/>
          </w:tcPr>
          <w:p w14:paraId="41E310CE"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TELEKOM SLOVENIJE, d. d.</w:t>
            </w:r>
          </w:p>
        </w:tc>
        <w:tc>
          <w:tcPr>
            <w:tcW w:w="0" w:type="auto"/>
            <w:shd w:val="clear" w:color="auto" w:fill="auto"/>
            <w:vAlign w:val="center"/>
            <w:hideMark/>
          </w:tcPr>
          <w:p w14:paraId="3F089244"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46E015F7"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25.711.832</w:t>
            </w:r>
          </w:p>
        </w:tc>
      </w:tr>
      <w:tr w:rsidR="004F6936" w:rsidRPr="004F6936" w14:paraId="3B2CFC80" w14:textId="77777777" w:rsidTr="000B5B5F">
        <w:trPr>
          <w:trHeight w:val="255"/>
          <w:jc w:val="center"/>
        </w:trPr>
        <w:tc>
          <w:tcPr>
            <w:tcW w:w="0" w:type="auto"/>
            <w:shd w:val="clear" w:color="auto" w:fill="auto"/>
            <w:vAlign w:val="center"/>
            <w:hideMark/>
          </w:tcPr>
          <w:p w14:paraId="24DE28EF"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MINISTRSTVO ZA OBRAMBO REPUBLIKE SLOVENIJE</w:t>
            </w:r>
          </w:p>
        </w:tc>
        <w:tc>
          <w:tcPr>
            <w:tcW w:w="0" w:type="auto"/>
            <w:shd w:val="clear" w:color="auto" w:fill="auto"/>
            <w:vAlign w:val="center"/>
            <w:hideMark/>
          </w:tcPr>
          <w:p w14:paraId="79D52E2A" w14:textId="204BD237" w:rsidR="004F6936" w:rsidRPr="004F6936" w:rsidRDefault="004F7165"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FRANZ ACHLEITNER FAHRZEUGBAU UND REIFENZENTRUM GMBH</w:t>
            </w:r>
          </w:p>
        </w:tc>
        <w:tc>
          <w:tcPr>
            <w:tcW w:w="0" w:type="auto"/>
            <w:shd w:val="clear" w:color="auto" w:fill="auto"/>
            <w:vAlign w:val="center"/>
            <w:hideMark/>
          </w:tcPr>
          <w:p w14:paraId="0258FD31"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2AF60510"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21.270.492</w:t>
            </w:r>
          </w:p>
        </w:tc>
      </w:tr>
      <w:tr w:rsidR="004F6936" w:rsidRPr="004F6936" w14:paraId="563EFC0F" w14:textId="77777777" w:rsidTr="000B5B5F">
        <w:trPr>
          <w:trHeight w:val="255"/>
          <w:jc w:val="center"/>
        </w:trPr>
        <w:tc>
          <w:tcPr>
            <w:tcW w:w="0" w:type="auto"/>
            <w:shd w:val="clear" w:color="auto" w:fill="auto"/>
            <w:vAlign w:val="center"/>
            <w:hideMark/>
          </w:tcPr>
          <w:p w14:paraId="47DF8222"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UNIVERZITETNI KLINIČNI CENTER MARIBOR</w:t>
            </w:r>
          </w:p>
        </w:tc>
        <w:tc>
          <w:tcPr>
            <w:tcW w:w="0" w:type="auto"/>
            <w:shd w:val="clear" w:color="auto" w:fill="auto"/>
            <w:vAlign w:val="center"/>
            <w:hideMark/>
          </w:tcPr>
          <w:p w14:paraId="64901EB4"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MARK MEDICAL, d. o. o.</w:t>
            </w:r>
          </w:p>
        </w:tc>
        <w:tc>
          <w:tcPr>
            <w:tcW w:w="0" w:type="auto"/>
            <w:shd w:val="clear" w:color="auto" w:fill="auto"/>
            <w:vAlign w:val="center"/>
            <w:hideMark/>
          </w:tcPr>
          <w:p w14:paraId="07F6BCC1"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1FB3F808"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20.308.230</w:t>
            </w:r>
          </w:p>
        </w:tc>
      </w:tr>
      <w:tr w:rsidR="004F6936" w:rsidRPr="004F6936" w14:paraId="7CB753A1" w14:textId="77777777" w:rsidTr="000B5B5F">
        <w:trPr>
          <w:trHeight w:val="255"/>
          <w:jc w:val="center"/>
        </w:trPr>
        <w:tc>
          <w:tcPr>
            <w:tcW w:w="0" w:type="auto"/>
            <w:shd w:val="clear" w:color="auto" w:fill="auto"/>
            <w:vAlign w:val="center"/>
            <w:hideMark/>
          </w:tcPr>
          <w:p w14:paraId="4958AB48"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MESTNA OBČINA LJUBLJANA</w:t>
            </w:r>
          </w:p>
        </w:tc>
        <w:tc>
          <w:tcPr>
            <w:tcW w:w="0" w:type="auto"/>
            <w:shd w:val="clear" w:color="auto" w:fill="auto"/>
            <w:vAlign w:val="center"/>
            <w:hideMark/>
          </w:tcPr>
          <w:p w14:paraId="69AFCF35"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STRABAG, d. o. o.</w:t>
            </w:r>
          </w:p>
        </w:tc>
        <w:tc>
          <w:tcPr>
            <w:tcW w:w="0" w:type="auto"/>
            <w:shd w:val="clear" w:color="auto" w:fill="auto"/>
            <w:vAlign w:val="center"/>
            <w:hideMark/>
          </w:tcPr>
          <w:p w14:paraId="18AD0D3B"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Gradnje</w:t>
            </w:r>
          </w:p>
        </w:tc>
        <w:tc>
          <w:tcPr>
            <w:tcW w:w="0" w:type="auto"/>
            <w:shd w:val="clear" w:color="auto" w:fill="auto"/>
            <w:vAlign w:val="center"/>
            <w:hideMark/>
          </w:tcPr>
          <w:p w14:paraId="41E15644"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17.683.912</w:t>
            </w:r>
          </w:p>
        </w:tc>
      </w:tr>
      <w:tr w:rsidR="004F6936" w:rsidRPr="004F6936" w14:paraId="6781803F" w14:textId="77777777" w:rsidTr="000B5B5F">
        <w:trPr>
          <w:trHeight w:val="255"/>
          <w:jc w:val="center"/>
        </w:trPr>
        <w:tc>
          <w:tcPr>
            <w:tcW w:w="0" w:type="auto"/>
            <w:shd w:val="clear" w:color="auto" w:fill="auto"/>
            <w:vAlign w:val="center"/>
            <w:hideMark/>
          </w:tcPr>
          <w:p w14:paraId="20103B08"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LUKA KOPER, d. d. </w:t>
            </w:r>
          </w:p>
        </w:tc>
        <w:tc>
          <w:tcPr>
            <w:tcW w:w="0" w:type="auto"/>
            <w:shd w:val="clear" w:color="auto" w:fill="auto"/>
            <w:vAlign w:val="center"/>
            <w:hideMark/>
          </w:tcPr>
          <w:p w14:paraId="29B558FB" w14:textId="121A3D48" w:rsidR="004F6936" w:rsidRPr="004F6936" w:rsidRDefault="004F7165"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FLSMIDTH WADGASSEN GMBH</w:t>
            </w:r>
          </w:p>
        </w:tc>
        <w:tc>
          <w:tcPr>
            <w:tcW w:w="0" w:type="auto"/>
            <w:shd w:val="clear" w:color="auto" w:fill="auto"/>
            <w:vAlign w:val="center"/>
            <w:hideMark/>
          </w:tcPr>
          <w:p w14:paraId="2D235C11"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408FCB92"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14.930.000</w:t>
            </w:r>
          </w:p>
        </w:tc>
      </w:tr>
      <w:tr w:rsidR="004F6936" w:rsidRPr="004F6936" w14:paraId="242A1123" w14:textId="77777777" w:rsidTr="000B5B5F">
        <w:trPr>
          <w:trHeight w:val="255"/>
          <w:jc w:val="center"/>
        </w:trPr>
        <w:tc>
          <w:tcPr>
            <w:tcW w:w="0" w:type="auto"/>
            <w:shd w:val="clear" w:color="auto" w:fill="auto"/>
            <w:vAlign w:val="center"/>
            <w:hideMark/>
          </w:tcPr>
          <w:p w14:paraId="6E21D36A"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DIREKCIJA REPUBLIKE SLOVENIJE ZA INFRASTRUKTURO</w:t>
            </w:r>
          </w:p>
        </w:tc>
        <w:tc>
          <w:tcPr>
            <w:tcW w:w="0" w:type="auto"/>
            <w:shd w:val="clear" w:color="auto" w:fill="auto"/>
            <w:vAlign w:val="center"/>
            <w:hideMark/>
          </w:tcPr>
          <w:p w14:paraId="22B8843E" w14:textId="08799F8B" w:rsidR="004F6936" w:rsidRPr="004F6936" w:rsidRDefault="004F7165"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SIEMENS MOBILITY GMBH</w:t>
            </w:r>
          </w:p>
        </w:tc>
        <w:tc>
          <w:tcPr>
            <w:tcW w:w="0" w:type="auto"/>
            <w:shd w:val="clear" w:color="auto" w:fill="auto"/>
            <w:vAlign w:val="center"/>
            <w:hideMark/>
          </w:tcPr>
          <w:p w14:paraId="1BB60662"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Gradnje</w:t>
            </w:r>
          </w:p>
        </w:tc>
        <w:tc>
          <w:tcPr>
            <w:tcW w:w="0" w:type="auto"/>
            <w:shd w:val="clear" w:color="auto" w:fill="auto"/>
            <w:vAlign w:val="center"/>
            <w:hideMark/>
          </w:tcPr>
          <w:p w14:paraId="311F987F"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13.315.154</w:t>
            </w:r>
          </w:p>
        </w:tc>
      </w:tr>
      <w:tr w:rsidR="004F6936" w:rsidRPr="004F6936" w14:paraId="74792C61" w14:textId="77777777" w:rsidTr="000B5B5F">
        <w:trPr>
          <w:trHeight w:val="255"/>
          <w:jc w:val="center"/>
        </w:trPr>
        <w:tc>
          <w:tcPr>
            <w:tcW w:w="0" w:type="auto"/>
            <w:shd w:val="clear" w:color="auto" w:fill="auto"/>
            <w:vAlign w:val="center"/>
            <w:hideMark/>
          </w:tcPr>
          <w:p w14:paraId="7CE02CC0"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MINISTRSTVO ZA NOTRANJE ZADEVE</w:t>
            </w:r>
          </w:p>
        </w:tc>
        <w:tc>
          <w:tcPr>
            <w:tcW w:w="0" w:type="auto"/>
            <w:shd w:val="clear" w:color="auto" w:fill="auto"/>
            <w:vAlign w:val="center"/>
            <w:hideMark/>
          </w:tcPr>
          <w:p w14:paraId="3F21B511" w14:textId="045EF7B8" w:rsidR="004F6936" w:rsidRPr="004F6936" w:rsidRDefault="004F7165"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LEONARDO SOCIETÀ PER AZIONI</w:t>
            </w:r>
          </w:p>
        </w:tc>
        <w:tc>
          <w:tcPr>
            <w:tcW w:w="0" w:type="auto"/>
            <w:shd w:val="clear" w:color="auto" w:fill="auto"/>
            <w:vAlign w:val="center"/>
            <w:hideMark/>
          </w:tcPr>
          <w:p w14:paraId="0B2C15A3"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3546B421"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12.806.597</w:t>
            </w:r>
          </w:p>
        </w:tc>
      </w:tr>
      <w:tr w:rsidR="004F6936" w:rsidRPr="004F6936" w14:paraId="0464E694" w14:textId="77777777" w:rsidTr="000B5B5F">
        <w:trPr>
          <w:trHeight w:val="255"/>
          <w:jc w:val="center"/>
        </w:trPr>
        <w:tc>
          <w:tcPr>
            <w:tcW w:w="0" w:type="auto"/>
            <w:shd w:val="clear" w:color="auto" w:fill="auto"/>
            <w:vAlign w:val="center"/>
            <w:hideMark/>
          </w:tcPr>
          <w:p w14:paraId="67A86FA2"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POŠTA SLOVENIJE, d. o. o.</w:t>
            </w:r>
          </w:p>
        </w:tc>
        <w:tc>
          <w:tcPr>
            <w:tcW w:w="0" w:type="auto"/>
            <w:shd w:val="clear" w:color="auto" w:fill="auto"/>
            <w:vAlign w:val="center"/>
            <w:hideMark/>
          </w:tcPr>
          <w:p w14:paraId="43CF975B" w14:textId="4EF66B9D"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ADRIATIC SLOVENICA,</w:t>
            </w:r>
            <w:r w:rsidR="00FA0EF9">
              <w:rPr>
                <w:rFonts w:ascii="Arial" w:eastAsia="Times New Roman" w:hAnsi="Arial" w:cs="Arial"/>
                <w:color w:val="000000"/>
                <w:sz w:val="18"/>
                <w:szCs w:val="18"/>
                <w:lang w:eastAsia="sl-SI"/>
              </w:rPr>
              <w:t xml:space="preserve"> </w:t>
            </w:r>
            <w:r w:rsidRPr="004F6936">
              <w:rPr>
                <w:rFonts w:ascii="Arial" w:eastAsia="Times New Roman" w:hAnsi="Arial" w:cs="Arial"/>
                <w:color w:val="000000"/>
                <w:sz w:val="18"/>
                <w:szCs w:val="18"/>
                <w:lang w:eastAsia="sl-SI"/>
              </w:rPr>
              <w:t>d. d.</w:t>
            </w:r>
          </w:p>
        </w:tc>
        <w:tc>
          <w:tcPr>
            <w:tcW w:w="0" w:type="auto"/>
            <w:shd w:val="clear" w:color="auto" w:fill="auto"/>
            <w:vAlign w:val="center"/>
            <w:hideMark/>
          </w:tcPr>
          <w:p w14:paraId="0DEE616B"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Storitve</w:t>
            </w:r>
          </w:p>
        </w:tc>
        <w:tc>
          <w:tcPr>
            <w:tcW w:w="0" w:type="auto"/>
            <w:shd w:val="clear" w:color="auto" w:fill="auto"/>
            <w:vAlign w:val="center"/>
            <w:hideMark/>
          </w:tcPr>
          <w:p w14:paraId="0D1BF3CE"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12.165.832</w:t>
            </w:r>
          </w:p>
        </w:tc>
      </w:tr>
      <w:tr w:rsidR="004F6936" w:rsidRPr="004F6936" w14:paraId="11642683" w14:textId="77777777" w:rsidTr="000B5B5F">
        <w:trPr>
          <w:trHeight w:val="255"/>
          <w:jc w:val="center"/>
        </w:trPr>
        <w:tc>
          <w:tcPr>
            <w:tcW w:w="0" w:type="auto"/>
            <w:shd w:val="clear" w:color="auto" w:fill="auto"/>
            <w:vAlign w:val="center"/>
            <w:hideMark/>
          </w:tcPr>
          <w:p w14:paraId="2DEE6CD8"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LUKA KOPER, d. d. </w:t>
            </w:r>
          </w:p>
        </w:tc>
        <w:tc>
          <w:tcPr>
            <w:tcW w:w="0" w:type="auto"/>
            <w:shd w:val="clear" w:color="auto" w:fill="auto"/>
            <w:vAlign w:val="center"/>
            <w:hideMark/>
          </w:tcPr>
          <w:p w14:paraId="2ED27356"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OMV SLOVENIJA, d. o. o.</w:t>
            </w:r>
          </w:p>
        </w:tc>
        <w:tc>
          <w:tcPr>
            <w:tcW w:w="0" w:type="auto"/>
            <w:shd w:val="clear" w:color="auto" w:fill="auto"/>
            <w:vAlign w:val="center"/>
            <w:hideMark/>
          </w:tcPr>
          <w:p w14:paraId="5A9F6E0D"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314DD153"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11.850.011</w:t>
            </w:r>
          </w:p>
        </w:tc>
      </w:tr>
      <w:tr w:rsidR="004F6936" w:rsidRPr="004F6936" w14:paraId="3647E6BD" w14:textId="77777777" w:rsidTr="000B5B5F">
        <w:trPr>
          <w:trHeight w:val="255"/>
          <w:jc w:val="center"/>
        </w:trPr>
        <w:tc>
          <w:tcPr>
            <w:tcW w:w="0" w:type="auto"/>
            <w:shd w:val="clear" w:color="auto" w:fill="auto"/>
            <w:vAlign w:val="center"/>
            <w:hideMark/>
          </w:tcPr>
          <w:p w14:paraId="4A261C66"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JAVNO PODJETJE ENERGETIKA LJUBLJANA, d. o. o.</w:t>
            </w:r>
          </w:p>
        </w:tc>
        <w:tc>
          <w:tcPr>
            <w:tcW w:w="0" w:type="auto"/>
            <w:shd w:val="clear" w:color="auto" w:fill="auto"/>
            <w:vAlign w:val="center"/>
            <w:hideMark/>
          </w:tcPr>
          <w:p w14:paraId="331C405C"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 xml:space="preserve">LUKA KOPER, d. d. </w:t>
            </w:r>
          </w:p>
        </w:tc>
        <w:tc>
          <w:tcPr>
            <w:tcW w:w="0" w:type="auto"/>
            <w:shd w:val="clear" w:color="auto" w:fill="auto"/>
            <w:vAlign w:val="center"/>
            <w:hideMark/>
          </w:tcPr>
          <w:p w14:paraId="5DDDD1F3"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Storitve</w:t>
            </w:r>
          </w:p>
        </w:tc>
        <w:tc>
          <w:tcPr>
            <w:tcW w:w="0" w:type="auto"/>
            <w:shd w:val="clear" w:color="auto" w:fill="auto"/>
            <w:vAlign w:val="center"/>
            <w:hideMark/>
          </w:tcPr>
          <w:p w14:paraId="21CC50E3"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11.000.000</w:t>
            </w:r>
          </w:p>
        </w:tc>
      </w:tr>
      <w:tr w:rsidR="004F6936" w:rsidRPr="004F6936" w14:paraId="27A075AB" w14:textId="77777777" w:rsidTr="000B5B5F">
        <w:trPr>
          <w:trHeight w:val="255"/>
          <w:jc w:val="center"/>
        </w:trPr>
        <w:tc>
          <w:tcPr>
            <w:tcW w:w="0" w:type="auto"/>
            <w:shd w:val="clear" w:color="auto" w:fill="auto"/>
            <w:vAlign w:val="center"/>
            <w:hideMark/>
          </w:tcPr>
          <w:p w14:paraId="7F6BA511"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MESTNA OBČINA LJUBLJANA</w:t>
            </w:r>
          </w:p>
        </w:tc>
        <w:tc>
          <w:tcPr>
            <w:tcW w:w="0" w:type="auto"/>
            <w:shd w:val="clear" w:color="auto" w:fill="auto"/>
            <w:vAlign w:val="center"/>
            <w:hideMark/>
          </w:tcPr>
          <w:p w14:paraId="5FA87728" w14:textId="77777777" w:rsidR="004F6936" w:rsidRPr="004F6936" w:rsidRDefault="004F6936" w:rsidP="00736C97">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JAVNO PODJETJE ENERGETIKA LJUBLJANA, d. o. o.</w:t>
            </w:r>
          </w:p>
        </w:tc>
        <w:tc>
          <w:tcPr>
            <w:tcW w:w="0" w:type="auto"/>
            <w:shd w:val="clear" w:color="auto" w:fill="auto"/>
            <w:vAlign w:val="center"/>
            <w:hideMark/>
          </w:tcPr>
          <w:p w14:paraId="5CF02EA5" w14:textId="77777777" w:rsidR="004F6936" w:rsidRPr="004F6936" w:rsidRDefault="004F6936" w:rsidP="004F7165">
            <w:pPr>
              <w:spacing w:after="0" w:line="240" w:lineRule="auto"/>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Blago</w:t>
            </w:r>
          </w:p>
        </w:tc>
        <w:tc>
          <w:tcPr>
            <w:tcW w:w="0" w:type="auto"/>
            <w:shd w:val="clear" w:color="auto" w:fill="auto"/>
            <w:vAlign w:val="center"/>
            <w:hideMark/>
          </w:tcPr>
          <w:p w14:paraId="053A461D" w14:textId="77777777" w:rsidR="004F6936" w:rsidRPr="004F6936" w:rsidRDefault="004F6936" w:rsidP="004F7165">
            <w:pPr>
              <w:spacing w:after="0" w:line="240" w:lineRule="auto"/>
              <w:jc w:val="right"/>
              <w:rPr>
                <w:rFonts w:ascii="Arial" w:eastAsia="Times New Roman" w:hAnsi="Arial" w:cs="Arial"/>
                <w:color w:val="000000"/>
                <w:sz w:val="18"/>
                <w:szCs w:val="18"/>
                <w:lang w:eastAsia="sl-SI"/>
              </w:rPr>
            </w:pPr>
            <w:r w:rsidRPr="004F6936">
              <w:rPr>
                <w:rFonts w:ascii="Arial" w:eastAsia="Times New Roman" w:hAnsi="Arial" w:cs="Arial"/>
                <w:color w:val="000000"/>
                <w:sz w:val="18"/>
                <w:szCs w:val="18"/>
                <w:lang w:eastAsia="sl-SI"/>
              </w:rPr>
              <w:t>10.895.508</w:t>
            </w:r>
          </w:p>
        </w:tc>
      </w:tr>
    </w:tbl>
    <w:p w14:paraId="6246EACB" w14:textId="77777777" w:rsidR="009155CC" w:rsidRPr="00EF2D0B" w:rsidRDefault="009155CC" w:rsidP="00854405">
      <w:pPr>
        <w:pStyle w:val="ZADEVA"/>
        <w:jc w:val="both"/>
        <w:rPr>
          <w:rFonts w:cs="Arial"/>
          <w:b w:val="0"/>
          <w:szCs w:val="20"/>
          <w:highlight w:val="yellow"/>
          <w:lang w:val="sl-SI"/>
        </w:rPr>
      </w:pPr>
    </w:p>
    <w:p w14:paraId="22651557" w14:textId="0252AC4C" w:rsidR="004E69E6" w:rsidRPr="004E69E6" w:rsidRDefault="00F83DD4" w:rsidP="004E69E6">
      <w:pPr>
        <w:spacing w:after="240" w:line="240" w:lineRule="auto"/>
        <w:jc w:val="center"/>
        <w:rPr>
          <w:rFonts w:ascii="Arial" w:hAnsi="Arial" w:cs="Arial"/>
          <w:sz w:val="18"/>
        </w:rPr>
      </w:pPr>
      <w:r w:rsidRPr="004F7165">
        <w:rPr>
          <w:rFonts w:ascii="Arial" w:hAnsi="Arial" w:cs="Arial"/>
          <w:sz w:val="18"/>
        </w:rPr>
        <w:t>Vir: Statistični podatki o javni</w:t>
      </w:r>
      <w:r w:rsidR="001D1611" w:rsidRPr="004F7165">
        <w:rPr>
          <w:rFonts w:ascii="Arial" w:hAnsi="Arial" w:cs="Arial"/>
          <w:sz w:val="18"/>
        </w:rPr>
        <w:t>h naročilih, oddanih v letu 201</w:t>
      </w:r>
      <w:r w:rsidR="004F7165" w:rsidRPr="004F7165">
        <w:rPr>
          <w:rFonts w:ascii="Arial" w:hAnsi="Arial" w:cs="Arial"/>
          <w:sz w:val="18"/>
        </w:rPr>
        <w:t>8</w:t>
      </w:r>
    </w:p>
    <w:p w14:paraId="071F0064" w14:textId="60E45288" w:rsidR="00806D8E" w:rsidRPr="00B83849" w:rsidRDefault="00806D8E" w:rsidP="00806D8E">
      <w:pPr>
        <w:pStyle w:val="Naslov2"/>
        <w:rPr>
          <w:rFonts w:ascii="Arial" w:hAnsi="Arial" w:cs="Arial"/>
          <w:szCs w:val="20"/>
        </w:rPr>
      </w:pPr>
      <w:bookmarkStart w:id="38" w:name="_Toc17114076"/>
      <w:r w:rsidRPr="00B83849">
        <w:rPr>
          <w:rFonts w:ascii="Arial" w:hAnsi="Arial" w:cs="Arial"/>
          <w:sz w:val="22"/>
          <w:szCs w:val="22"/>
        </w:rPr>
        <w:lastRenderedPageBreak/>
        <w:t xml:space="preserve">2.9 Naročila, </w:t>
      </w:r>
      <w:r w:rsidR="00B90B8D" w:rsidRPr="00B83849">
        <w:rPr>
          <w:rFonts w:ascii="Arial" w:hAnsi="Arial" w:cs="Arial"/>
          <w:sz w:val="22"/>
          <w:szCs w:val="22"/>
        </w:rPr>
        <w:t>(</w:t>
      </w:r>
      <w:r w:rsidRPr="00B83849">
        <w:rPr>
          <w:rFonts w:ascii="Arial" w:hAnsi="Arial" w:cs="Arial"/>
          <w:sz w:val="22"/>
          <w:szCs w:val="22"/>
        </w:rPr>
        <w:t>so</w:t>
      </w:r>
      <w:r w:rsidR="00B90B8D" w:rsidRPr="00B83849">
        <w:rPr>
          <w:rFonts w:ascii="Arial" w:hAnsi="Arial" w:cs="Arial"/>
          <w:sz w:val="22"/>
          <w:szCs w:val="22"/>
        </w:rPr>
        <w:t>)</w:t>
      </w:r>
      <w:r w:rsidRPr="00B83849">
        <w:rPr>
          <w:rFonts w:ascii="Arial" w:hAnsi="Arial" w:cs="Arial"/>
          <w:sz w:val="22"/>
          <w:szCs w:val="22"/>
        </w:rPr>
        <w:t>financirana s sredstvi Evropske unije</w:t>
      </w:r>
      <w:bookmarkEnd w:id="38"/>
      <w:r w:rsidR="00B90B8D" w:rsidRPr="00B83849">
        <w:rPr>
          <w:rFonts w:ascii="Arial" w:hAnsi="Arial" w:cs="Arial"/>
          <w:sz w:val="22"/>
          <w:szCs w:val="22"/>
        </w:rPr>
        <w:t xml:space="preserve"> </w:t>
      </w:r>
    </w:p>
    <w:p w14:paraId="4B5EC35C" w14:textId="77777777" w:rsidR="004A21A3" w:rsidRPr="00B83849" w:rsidRDefault="004A21A3" w:rsidP="00854405">
      <w:pPr>
        <w:pStyle w:val="ZADEVA"/>
        <w:jc w:val="both"/>
        <w:rPr>
          <w:rFonts w:cs="Arial"/>
          <w:b w:val="0"/>
          <w:szCs w:val="20"/>
          <w:lang w:val="sl-SI"/>
        </w:rPr>
      </w:pPr>
    </w:p>
    <w:p w14:paraId="3DD53D69" w14:textId="6DDE8ED5" w:rsidR="003F5C42" w:rsidRPr="006359DE" w:rsidRDefault="002B74A3" w:rsidP="006359DE">
      <w:pPr>
        <w:spacing w:line="360" w:lineRule="auto"/>
        <w:jc w:val="both"/>
        <w:rPr>
          <w:rFonts w:ascii="Arial" w:eastAsia="Times New Roman" w:hAnsi="Arial" w:cs="Arial"/>
          <w:color w:val="000000"/>
          <w:sz w:val="20"/>
          <w:szCs w:val="20"/>
          <w:lang w:eastAsia="sl-SI"/>
        </w:rPr>
      </w:pPr>
      <w:r>
        <w:rPr>
          <w:rFonts w:ascii="Arial" w:hAnsi="Arial" w:cs="Arial"/>
          <w:sz w:val="20"/>
          <w:szCs w:val="20"/>
          <w:lang w:eastAsia="sl-SI"/>
        </w:rPr>
        <w:t>Leta</w:t>
      </w:r>
      <w:r w:rsidR="00CF29C9" w:rsidRPr="00B83849">
        <w:rPr>
          <w:rFonts w:ascii="Arial" w:hAnsi="Arial" w:cs="Arial"/>
          <w:sz w:val="20"/>
          <w:szCs w:val="20"/>
          <w:lang w:eastAsia="sl-SI"/>
        </w:rPr>
        <w:t xml:space="preserve"> 201</w:t>
      </w:r>
      <w:r w:rsidR="00B83849" w:rsidRPr="00B83849">
        <w:rPr>
          <w:rFonts w:ascii="Arial" w:hAnsi="Arial" w:cs="Arial"/>
          <w:sz w:val="20"/>
          <w:szCs w:val="20"/>
          <w:lang w:eastAsia="sl-SI"/>
        </w:rPr>
        <w:t>8</w:t>
      </w:r>
      <w:r w:rsidR="005954B6" w:rsidRPr="00B83849">
        <w:rPr>
          <w:rFonts w:ascii="Arial" w:hAnsi="Arial" w:cs="Arial"/>
          <w:sz w:val="20"/>
          <w:szCs w:val="20"/>
          <w:lang w:eastAsia="sl-SI"/>
        </w:rPr>
        <w:t xml:space="preserve"> </w:t>
      </w:r>
      <w:r>
        <w:rPr>
          <w:rFonts w:ascii="Arial" w:hAnsi="Arial" w:cs="Arial"/>
          <w:sz w:val="20"/>
          <w:szCs w:val="20"/>
          <w:lang w:eastAsia="sl-SI"/>
        </w:rPr>
        <w:t>sta</w:t>
      </w:r>
      <w:r w:rsidRPr="00B83849">
        <w:rPr>
          <w:rFonts w:ascii="Arial" w:hAnsi="Arial" w:cs="Arial"/>
          <w:sz w:val="20"/>
          <w:szCs w:val="20"/>
          <w:lang w:eastAsia="sl-SI"/>
        </w:rPr>
        <w:t xml:space="preserve"> </w:t>
      </w:r>
      <w:r w:rsidR="005954B6" w:rsidRPr="00B83849">
        <w:rPr>
          <w:rFonts w:ascii="Arial" w:hAnsi="Arial" w:cs="Arial"/>
          <w:sz w:val="20"/>
          <w:szCs w:val="20"/>
          <w:lang w:eastAsia="sl-SI"/>
        </w:rPr>
        <w:t>bil</w:t>
      </w:r>
      <w:r>
        <w:rPr>
          <w:rFonts w:ascii="Arial" w:hAnsi="Arial" w:cs="Arial"/>
          <w:sz w:val="20"/>
          <w:szCs w:val="20"/>
          <w:lang w:eastAsia="sl-SI"/>
        </w:rPr>
        <w:t>i</w:t>
      </w:r>
      <w:r w:rsidR="005954B6" w:rsidRPr="00B83849">
        <w:rPr>
          <w:rFonts w:ascii="Arial" w:hAnsi="Arial" w:cs="Arial"/>
          <w:sz w:val="20"/>
          <w:szCs w:val="20"/>
          <w:lang w:eastAsia="sl-SI"/>
        </w:rPr>
        <w:t xml:space="preserve"> oddani </w:t>
      </w:r>
      <w:r w:rsidR="00B83849" w:rsidRPr="00B83849">
        <w:rPr>
          <w:rFonts w:ascii="Arial" w:hAnsi="Arial" w:cs="Arial"/>
          <w:sz w:val="20"/>
          <w:szCs w:val="20"/>
          <w:lang w:eastAsia="sl-SI"/>
        </w:rPr>
        <w:t>902</w:t>
      </w:r>
      <w:r w:rsidR="003F5C42" w:rsidRPr="00B83849">
        <w:rPr>
          <w:rFonts w:ascii="Arial" w:hAnsi="Arial" w:cs="Arial"/>
          <w:sz w:val="20"/>
          <w:szCs w:val="20"/>
          <w:lang w:eastAsia="sl-SI"/>
        </w:rPr>
        <w:t xml:space="preserve"> naročil</w:t>
      </w:r>
      <w:r>
        <w:rPr>
          <w:rFonts w:ascii="Arial" w:hAnsi="Arial" w:cs="Arial"/>
          <w:sz w:val="20"/>
          <w:szCs w:val="20"/>
          <w:lang w:eastAsia="sl-SI"/>
        </w:rPr>
        <w:t>i</w:t>
      </w:r>
      <w:r w:rsidR="003F5C42" w:rsidRPr="00B83849">
        <w:rPr>
          <w:rFonts w:ascii="Arial" w:hAnsi="Arial" w:cs="Arial"/>
          <w:sz w:val="20"/>
          <w:szCs w:val="20"/>
          <w:lang w:eastAsia="sl-SI"/>
        </w:rPr>
        <w:t xml:space="preserve">, ki </w:t>
      </w:r>
      <w:r w:rsidRPr="00B83849">
        <w:rPr>
          <w:rFonts w:ascii="Arial" w:hAnsi="Arial" w:cs="Arial"/>
          <w:sz w:val="20"/>
          <w:szCs w:val="20"/>
          <w:lang w:eastAsia="sl-SI"/>
        </w:rPr>
        <w:t>s</w:t>
      </w:r>
      <w:r>
        <w:rPr>
          <w:rFonts w:ascii="Arial" w:hAnsi="Arial" w:cs="Arial"/>
          <w:sz w:val="20"/>
          <w:szCs w:val="20"/>
          <w:lang w:eastAsia="sl-SI"/>
        </w:rPr>
        <w:t>ta</w:t>
      </w:r>
      <w:r w:rsidRPr="00B83849">
        <w:rPr>
          <w:rFonts w:ascii="Arial" w:hAnsi="Arial" w:cs="Arial"/>
          <w:sz w:val="20"/>
          <w:szCs w:val="20"/>
          <w:lang w:eastAsia="sl-SI"/>
        </w:rPr>
        <w:t xml:space="preserve"> </w:t>
      </w:r>
      <w:r w:rsidR="003F5C42" w:rsidRPr="00B83849">
        <w:rPr>
          <w:rFonts w:ascii="Arial" w:hAnsi="Arial" w:cs="Arial"/>
          <w:sz w:val="20"/>
          <w:szCs w:val="20"/>
          <w:lang w:eastAsia="sl-SI"/>
        </w:rPr>
        <w:t>bila (so)</w:t>
      </w:r>
      <w:r w:rsidRPr="00B83849">
        <w:rPr>
          <w:rFonts w:ascii="Arial" w:hAnsi="Arial" w:cs="Arial"/>
          <w:sz w:val="20"/>
          <w:szCs w:val="20"/>
          <w:lang w:eastAsia="sl-SI"/>
        </w:rPr>
        <w:t>financiran</w:t>
      </w:r>
      <w:r>
        <w:rPr>
          <w:rFonts w:ascii="Arial" w:hAnsi="Arial" w:cs="Arial"/>
          <w:sz w:val="20"/>
          <w:szCs w:val="20"/>
          <w:lang w:eastAsia="sl-SI"/>
        </w:rPr>
        <w:t>i</w:t>
      </w:r>
      <w:r w:rsidRPr="00B83849">
        <w:rPr>
          <w:rFonts w:ascii="Arial" w:hAnsi="Arial" w:cs="Arial"/>
          <w:sz w:val="20"/>
          <w:szCs w:val="20"/>
          <w:lang w:eastAsia="sl-SI"/>
        </w:rPr>
        <w:t xml:space="preserve"> </w:t>
      </w:r>
      <w:r w:rsidR="003F5C42" w:rsidRPr="00B83849">
        <w:rPr>
          <w:rFonts w:ascii="Arial" w:hAnsi="Arial" w:cs="Arial"/>
          <w:sz w:val="20"/>
          <w:szCs w:val="20"/>
          <w:lang w:eastAsia="sl-SI"/>
        </w:rPr>
        <w:t xml:space="preserve">s sredstvi Evropske unije iz različnih skladov in programov. </w:t>
      </w:r>
      <w:r w:rsidR="003F5C42" w:rsidRPr="006359DE">
        <w:rPr>
          <w:rFonts w:ascii="Arial" w:hAnsi="Arial" w:cs="Arial"/>
          <w:sz w:val="20"/>
          <w:szCs w:val="20"/>
          <w:lang w:eastAsia="sl-SI"/>
        </w:rPr>
        <w:t xml:space="preserve">Vrednost oddanih naročil je bila </w:t>
      </w:r>
      <w:r w:rsidR="00B83849" w:rsidRPr="006359DE">
        <w:rPr>
          <w:rFonts w:ascii="Arial" w:hAnsi="Arial" w:cs="Arial"/>
          <w:sz w:val="20"/>
          <w:szCs w:val="20"/>
          <w:lang w:eastAsia="sl-SI"/>
        </w:rPr>
        <w:t xml:space="preserve">354.663.683 </w:t>
      </w:r>
      <w:r w:rsidR="003F5C42" w:rsidRPr="006359DE">
        <w:rPr>
          <w:rFonts w:ascii="Arial" w:hAnsi="Arial" w:cs="Arial"/>
          <w:sz w:val="20"/>
          <w:szCs w:val="20"/>
          <w:lang w:eastAsia="sl-SI"/>
        </w:rPr>
        <w:t>evrov.</w:t>
      </w:r>
    </w:p>
    <w:p w14:paraId="38A1A9C8" w14:textId="35D0D0C8" w:rsidR="003F5C42" w:rsidRPr="00A9062B" w:rsidRDefault="003F5C42" w:rsidP="003F5C42">
      <w:pPr>
        <w:spacing w:line="360" w:lineRule="auto"/>
        <w:jc w:val="both"/>
        <w:rPr>
          <w:rFonts w:ascii="Arial" w:hAnsi="Arial" w:cs="Arial"/>
          <w:sz w:val="20"/>
          <w:szCs w:val="20"/>
          <w:lang w:eastAsia="sl-SI"/>
        </w:rPr>
      </w:pPr>
      <w:r w:rsidRPr="00A9062B">
        <w:rPr>
          <w:rFonts w:ascii="Arial" w:hAnsi="Arial" w:cs="Arial"/>
          <w:sz w:val="20"/>
          <w:szCs w:val="20"/>
          <w:lang w:eastAsia="sl-SI"/>
        </w:rPr>
        <w:t xml:space="preserve">Največ </w:t>
      </w:r>
      <w:r w:rsidR="0046317B" w:rsidRPr="00A9062B">
        <w:rPr>
          <w:rFonts w:ascii="Arial" w:hAnsi="Arial" w:cs="Arial"/>
          <w:sz w:val="20"/>
          <w:szCs w:val="20"/>
          <w:lang w:eastAsia="sl-SI"/>
        </w:rPr>
        <w:t>javni</w:t>
      </w:r>
      <w:r w:rsidR="00B16993" w:rsidRPr="00A9062B">
        <w:rPr>
          <w:rFonts w:ascii="Arial" w:hAnsi="Arial" w:cs="Arial"/>
          <w:sz w:val="20"/>
          <w:szCs w:val="20"/>
          <w:lang w:eastAsia="sl-SI"/>
        </w:rPr>
        <w:t>h</w:t>
      </w:r>
      <w:r w:rsidR="0046317B" w:rsidRPr="00A9062B">
        <w:rPr>
          <w:rFonts w:ascii="Arial" w:hAnsi="Arial" w:cs="Arial"/>
          <w:sz w:val="20"/>
          <w:szCs w:val="20"/>
          <w:lang w:eastAsia="sl-SI"/>
        </w:rPr>
        <w:t xml:space="preserve"> </w:t>
      </w:r>
      <w:r w:rsidRPr="00A9062B">
        <w:rPr>
          <w:rFonts w:ascii="Arial" w:hAnsi="Arial" w:cs="Arial"/>
          <w:sz w:val="20"/>
          <w:szCs w:val="20"/>
          <w:lang w:eastAsia="sl-SI"/>
        </w:rPr>
        <w:t xml:space="preserve">naročil po številu in vrednosti so </w:t>
      </w:r>
      <w:r w:rsidR="00A9062B" w:rsidRPr="00A9062B">
        <w:rPr>
          <w:rFonts w:ascii="Arial" w:hAnsi="Arial" w:cs="Arial"/>
          <w:sz w:val="20"/>
          <w:szCs w:val="20"/>
          <w:lang w:eastAsia="sl-SI"/>
        </w:rPr>
        <w:t>oddale samoupravne lokalne skupnosti</w:t>
      </w:r>
      <w:r w:rsidR="00F30D93" w:rsidRPr="00A9062B">
        <w:rPr>
          <w:rFonts w:ascii="Arial" w:hAnsi="Arial" w:cs="Arial"/>
          <w:sz w:val="20"/>
          <w:szCs w:val="20"/>
          <w:lang w:eastAsia="sl-SI"/>
        </w:rPr>
        <w:t xml:space="preserve">, in sicer </w:t>
      </w:r>
      <w:r w:rsidR="00A9062B" w:rsidRPr="00A9062B">
        <w:rPr>
          <w:rFonts w:ascii="Arial" w:hAnsi="Arial" w:cs="Arial"/>
          <w:sz w:val="20"/>
          <w:szCs w:val="20"/>
          <w:lang w:eastAsia="sl-SI"/>
        </w:rPr>
        <w:t>323</w:t>
      </w:r>
      <w:r w:rsidRPr="00A9062B">
        <w:rPr>
          <w:rFonts w:ascii="Arial" w:hAnsi="Arial" w:cs="Arial"/>
          <w:sz w:val="20"/>
          <w:szCs w:val="20"/>
          <w:lang w:eastAsia="sl-SI"/>
        </w:rPr>
        <w:t xml:space="preserve"> naročil v skupni vrednosti </w:t>
      </w:r>
      <w:r w:rsidR="00A9062B" w:rsidRPr="00A9062B">
        <w:rPr>
          <w:rFonts w:ascii="Arial" w:hAnsi="Arial" w:cs="Arial"/>
          <w:sz w:val="20"/>
          <w:szCs w:val="20"/>
          <w:lang w:eastAsia="sl-SI"/>
        </w:rPr>
        <w:t xml:space="preserve">104.372.633 </w:t>
      </w:r>
      <w:r w:rsidRPr="00A9062B">
        <w:rPr>
          <w:rFonts w:ascii="Arial" w:hAnsi="Arial" w:cs="Arial"/>
          <w:sz w:val="20"/>
          <w:szCs w:val="20"/>
          <w:lang w:eastAsia="sl-SI"/>
        </w:rPr>
        <w:t xml:space="preserve">evrov. </w:t>
      </w:r>
      <w:r w:rsidR="0046317B" w:rsidRPr="00A9062B">
        <w:rPr>
          <w:rFonts w:ascii="Arial" w:hAnsi="Arial" w:cs="Arial"/>
          <w:sz w:val="20"/>
          <w:szCs w:val="20"/>
          <w:lang w:eastAsia="sl-SI"/>
        </w:rPr>
        <w:t xml:space="preserve">V spodnji preglednici so razvidni podatki o številu, vrednosti oddanih javnih naročil, (so)financiranih s </w:t>
      </w:r>
      <w:r w:rsidRPr="00A9062B">
        <w:rPr>
          <w:rFonts w:ascii="Arial" w:hAnsi="Arial" w:cs="Arial"/>
          <w:sz w:val="20"/>
          <w:szCs w:val="20"/>
          <w:lang w:eastAsia="sl-SI"/>
        </w:rPr>
        <w:t>sredstvi Evropske unije</w:t>
      </w:r>
      <w:r w:rsidR="001E6D56" w:rsidRPr="00A9062B">
        <w:rPr>
          <w:rFonts w:ascii="Arial" w:hAnsi="Arial" w:cs="Arial"/>
          <w:sz w:val="20"/>
          <w:szCs w:val="20"/>
          <w:lang w:eastAsia="sl-SI"/>
        </w:rPr>
        <w:t>,</w:t>
      </w:r>
      <w:r w:rsidR="0046317B" w:rsidRPr="00A9062B">
        <w:rPr>
          <w:rFonts w:ascii="Arial" w:hAnsi="Arial" w:cs="Arial"/>
          <w:sz w:val="20"/>
          <w:szCs w:val="20"/>
          <w:lang w:eastAsia="sl-SI"/>
        </w:rPr>
        <w:t xml:space="preserve"> </w:t>
      </w:r>
      <w:r w:rsidR="001E6D56" w:rsidRPr="00A9062B">
        <w:rPr>
          <w:rFonts w:ascii="Arial" w:hAnsi="Arial" w:cs="Arial"/>
          <w:sz w:val="20"/>
          <w:szCs w:val="20"/>
          <w:lang w:eastAsia="sl-SI"/>
        </w:rPr>
        <w:t>in</w:t>
      </w:r>
      <w:r w:rsidR="0046317B" w:rsidRPr="00A9062B">
        <w:rPr>
          <w:rFonts w:ascii="Arial" w:hAnsi="Arial" w:cs="Arial"/>
          <w:sz w:val="20"/>
          <w:szCs w:val="20"/>
          <w:lang w:eastAsia="sl-SI"/>
        </w:rPr>
        <w:t xml:space="preserve"> njihovi deleži v vrednosti vseh oddanih javnih naročil </w:t>
      </w:r>
      <w:r w:rsidR="001E6D56" w:rsidRPr="00A9062B">
        <w:rPr>
          <w:rFonts w:ascii="Arial" w:hAnsi="Arial" w:cs="Arial"/>
          <w:sz w:val="20"/>
          <w:szCs w:val="20"/>
          <w:lang w:eastAsia="sl-SI"/>
        </w:rPr>
        <w:t>v okviru posamezne</w:t>
      </w:r>
      <w:r w:rsidR="00A9062B" w:rsidRPr="00A9062B">
        <w:rPr>
          <w:rFonts w:ascii="Arial" w:hAnsi="Arial" w:cs="Arial"/>
          <w:sz w:val="20"/>
          <w:szCs w:val="20"/>
          <w:lang w:eastAsia="sl-SI"/>
        </w:rPr>
        <w:t xml:space="preserve"> </w:t>
      </w:r>
      <w:r w:rsidR="0046317B" w:rsidRPr="00A9062B">
        <w:rPr>
          <w:rFonts w:ascii="Arial" w:hAnsi="Arial" w:cs="Arial"/>
          <w:sz w:val="20"/>
          <w:szCs w:val="20"/>
          <w:lang w:eastAsia="sl-SI"/>
        </w:rPr>
        <w:t>kategorije naročnika.</w:t>
      </w:r>
    </w:p>
    <w:p w14:paraId="2CFB1FD2" w14:textId="4A214E98" w:rsidR="003F5C42" w:rsidRPr="00A9062B" w:rsidRDefault="003F5C42" w:rsidP="008A61FD">
      <w:pPr>
        <w:spacing w:before="120" w:after="120" w:line="240" w:lineRule="auto"/>
        <w:jc w:val="both"/>
        <w:rPr>
          <w:rFonts w:ascii="Arial" w:hAnsi="Arial" w:cs="Arial"/>
          <w:sz w:val="20"/>
        </w:rPr>
      </w:pPr>
      <w:r w:rsidRPr="00A9062B">
        <w:rPr>
          <w:rFonts w:ascii="Arial" w:hAnsi="Arial" w:cs="Arial"/>
          <w:sz w:val="20"/>
        </w:rPr>
        <w:t xml:space="preserve">Preglednica </w:t>
      </w:r>
      <w:r w:rsidR="00474678" w:rsidRPr="00A9062B">
        <w:rPr>
          <w:rFonts w:ascii="Arial" w:hAnsi="Arial" w:cs="Arial"/>
          <w:sz w:val="20"/>
        </w:rPr>
        <w:t>5</w:t>
      </w:r>
      <w:r w:rsidR="00EB4423">
        <w:rPr>
          <w:rFonts w:ascii="Arial" w:hAnsi="Arial" w:cs="Arial"/>
          <w:sz w:val="20"/>
        </w:rPr>
        <w:t>4</w:t>
      </w:r>
      <w:r w:rsidRPr="00A9062B">
        <w:rPr>
          <w:rFonts w:ascii="Arial" w:hAnsi="Arial" w:cs="Arial"/>
          <w:sz w:val="20"/>
        </w:rPr>
        <w:t xml:space="preserve">: </w:t>
      </w:r>
      <w:r w:rsidR="0046317B" w:rsidRPr="00A9062B">
        <w:rPr>
          <w:rFonts w:ascii="Arial" w:hAnsi="Arial" w:cs="Arial"/>
          <w:sz w:val="20"/>
        </w:rPr>
        <w:t>Število javnih naročil</w:t>
      </w:r>
      <w:r w:rsidR="00D6524D" w:rsidRPr="00A9062B">
        <w:rPr>
          <w:rFonts w:ascii="Arial" w:hAnsi="Arial" w:cs="Arial"/>
          <w:sz w:val="20"/>
        </w:rPr>
        <w:t>,</w:t>
      </w:r>
      <w:r w:rsidR="0046317B" w:rsidRPr="00A9062B">
        <w:rPr>
          <w:rFonts w:ascii="Arial" w:hAnsi="Arial" w:cs="Arial"/>
          <w:sz w:val="20"/>
        </w:rPr>
        <w:t xml:space="preserve"> (so)financiranih</w:t>
      </w:r>
      <w:r w:rsidRPr="00A9062B">
        <w:rPr>
          <w:rFonts w:ascii="Arial" w:hAnsi="Arial" w:cs="Arial"/>
          <w:sz w:val="20"/>
        </w:rPr>
        <w:t xml:space="preserve"> s sredstvi Evropske unije, </w:t>
      </w:r>
      <w:r w:rsidR="0046317B" w:rsidRPr="00A9062B">
        <w:rPr>
          <w:rFonts w:ascii="Arial" w:hAnsi="Arial" w:cs="Arial"/>
          <w:sz w:val="20"/>
        </w:rPr>
        <w:t xml:space="preserve">njihova vrednost in delež v vrednosti vseh javnih naročil </w:t>
      </w:r>
      <w:r w:rsidR="00422CFD" w:rsidRPr="00A9062B">
        <w:rPr>
          <w:rFonts w:ascii="Arial" w:hAnsi="Arial" w:cs="Arial"/>
          <w:sz w:val="20"/>
        </w:rPr>
        <w:t xml:space="preserve">v okviru posamezne </w:t>
      </w:r>
      <w:r w:rsidR="00615E69" w:rsidRPr="00A9062B">
        <w:rPr>
          <w:rFonts w:ascii="Arial" w:hAnsi="Arial" w:cs="Arial"/>
          <w:sz w:val="20"/>
        </w:rPr>
        <w:t>kategorije</w:t>
      </w:r>
      <w:r w:rsidR="00A15487" w:rsidRPr="00A9062B">
        <w:rPr>
          <w:rFonts w:ascii="Arial" w:hAnsi="Arial" w:cs="Arial"/>
          <w:sz w:val="20"/>
        </w:rPr>
        <w:t xml:space="preserve">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5"/>
        <w:gridCol w:w="1560"/>
        <w:gridCol w:w="1560"/>
        <w:gridCol w:w="1704"/>
        <w:gridCol w:w="1693"/>
      </w:tblGrid>
      <w:tr w:rsidR="00A9062B" w:rsidRPr="00A9062B" w14:paraId="39660EAC" w14:textId="77777777" w:rsidTr="00F3604D">
        <w:trPr>
          <w:trHeight w:val="735"/>
        </w:trPr>
        <w:tc>
          <w:tcPr>
            <w:tcW w:w="1404" w:type="pct"/>
            <w:shd w:val="clear" w:color="000000" w:fill="EDEDED"/>
            <w:vAlign w:val="center"/>
            <w:hideMark/>
          </w:tcPr>
          <w:p w14:paraId="2A3DF007" w14:textId="77777777" w:rsidR="00A9062B" w:rsidRPr="00A9062B" w:rsidRDefault="00A9062B" w:rsidP="00A9062B">
            <w:pPr>
              <w:spacing w:after="0" w:line="240" w:lineRule="auto"/>
              <w:jc w:val="center"/>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Kategorija naročnika</w:t>
            </w:r>
          </w:p>
        </w:tc>
        <w:tc>
          <w:tcPr>
            <w:tcW w:w="861" w:type="pct"/>
            <w:shd w:val="clear" w:color="000000" w:fill="EDEDED"/>
            <w:vAlign w:val="center"/>
            <w:hideMark/>
          </w:tcPr>
          <w:p w14:paraId="252E121D" w14:textId="77777777" w:rsidR="00A9062B" w:rsidRPr="00A9062B" w:rsidRDefault="00A9062B" w:rsidP="00A9062B">
            <w:pPr>
              <w:spacing w:after="0" w:line="240" w:lineRule="auto"/>
              <w:jc w:val="center"/>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Št. naročil</w:t>
            </w:r>
          </w:p>
        </w:tc>
        <w:tc>
          <w:tcPr>
            <w:tcW w:w="861" w:type="pct"/>
            <w:shd w:val="clear" w:color="000000" w:fill="EDEDED"/>
            <w:vAlign w:val="center"/>
            <w:hideMark/>
          </w:tcPr>
          <w:p w14:paraId="7379A6A4" w14:textId="77777777" w:rsidR="00A9062B" w:rsidRPr="00A9062B" w:rsidRDefault="00A9062B" w:rsidP="00A9062B">
            <w:pPr>
              <w:spacing w:after="0" w:line="240" w:lineRule="auto"/>
              <w:jc w:val="center"/>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Pogodbena vrednost</w:t>
            </w:r>
          </w:p>
        </w:tc>
        <w:tc>
          <w:tcPr>
            <w:tcW w:w="940" w:type="pct"/>
            <w:shd w:val="clear" w:color="000000" w:fill="EDEDED"/>
            <w:vAlign w:val="center"/>
            <w:hideMark/>
          </w:tcPr>
          <w:p w14:paraId="1CFAE60E" w14:textId="77777777" w:rsidR="00A9062B" w:rsidRPr="00A9062B" w:rsidRDefault="00A9062B" w:rsidP="00A9062B">
            <w:pPr>
              <w:spacing w:after="0" w:line="240" w:lineRule="auto"/>
              <w:jc w:val="center"/>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Delež št. naročil v št. vseh naročil glede na kategorijo naročnika</w:t>
            </w:r>
          </w:p>
        </w:tc>
        <w:tc>
          <w:tcPr>
            <w:tcW w:w="934" w:type="pct"/>
            <w:shd w:val="clear" w:color="000000" w:fill="EDEDED"/>
            <w:vAlign w:val="center"/>
            <w:hideMark/>
          </w:tcPr>
          <w:p w14:paraId="60585FF4" w14:textId="77777777" w:rsidR="00A9062B" w:rsidRPr="00A9062B" w:rsidRDefault="00A9062B" w:rsidP="00A9062B">
            <w:pPr>
              <w:spacing w:after="0" w:line="240" w:lineRule="auto"/>
              <w:jc w:val="center"/>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Delež v vrednosti vseh naročil glede na kategorijo naročnika</w:t>
            </w:r>
          </w:p>
        </w:tc>
      </w:tr>
      <w:tr w:rsidR="00A9062B" w:rsidRPr="00A9062B" w14:paraId="798AADC1" w14:textId="77777777" w:rsidTr="00F3604D">
        <w:trPr>
          <w:trHeight w:val="300"/>
        </w:trPr>
        <w:tc>
          <w:tcPr>
            <w:tcW w:w="1404" w:type="pct"/>
            <w:shd w:val="clear" w:color="auto" w:fill="auto"/>
            <w:vAlign w:val="center"/>
            <w:hideMark/>
          </w:tcPr>
          <w:p w14:paraId="1B4DC011"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Organi RS</w:t>
            </w:r>
          </w:p>
        </w:tc>
        <w:tc>
          <w:tcPr>
            <w:tcW w:w="861" w:type="pct"/>
            <w:shd w:val="clear" w:color="auto" w:fill="auto"/>
            <w:vAlign w:val="center"/>
            <w:hideMark/>
          </w:tcPr>
          <w:p w14:paraId="10CE0F04"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214</w:t>
            </w:r>
          </w:p>
        </w:tc>
        <w:tc>
          <w:tcPr>
            <w:tcW w:w="861" w:type="pct"/>
            <w:shd w:val="clear" w:color="auto" w:fill="auto"/>
            <w:vAlign w:val="center"/>
            <w:hideMark/>
          </w:tcPr>
          <w:p w14:paraId="4C22C0D4"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181.131.251</w:t>
            </w:r>
          </w:p>
        </w:tc>
        <w:tc>
          <w:tcPr>
            <w:tcW w:w="940" w:type="pct"/>
            <w:shd w:val="clear" w:color="auto" w:fill="auto"/>
            <w:noWrap/>
            <w:vAlign w:val="center"/>
            <w:hideMark/>
          </w:tcPr>
          <w:p w14:paraId="6C4C5D94" w14:textId="4B3B7170"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11,19 %</w:t>
            </w:r>
          </w:p>
        </w:tc>
        <w:tc>
          <w:tcPr>
            <w:tcW w:w="934" w:type="pct"/>
            <w:shd w:val="clear" w:color="auto" w:fill="auto"/>
            <w:noWrap/>
            <w:vAlign w:val="center"/>
            <w:hideMark/>
          </w:tcPr>
          <w:p w14:paraId="48AEEB6E" w14:textId="55B4B54C"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28,07 %</w:t>
            </w:r>
          </w:p>
        </w:tc>
      </w:tr>
      <w:tr w:rsidR="00A9062B" w:rsidRPr="00A9062B" w14:paraId="562A91B1" w14:textId="77777777" w:rsidTr="00F3604D">
        <w:trPr>
          <w:trHeight w:val="300"/>
        </w:trPr>
        <w:tc>
          <w:tcPr>
            <w:tcW w:w="1404" w:type="pct"/>
            <w:shd w:val="clear" w:color="auto" w:fill="auto"/>
            <w:noWrap/>
            <w:vAlign w:val="center"/>
            <w:hideMark/>
          </w:tcPr>
          <w:p w14:paraId="5838BA4D"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Samoupravne lokalne skupnosti</w:t>
            </w:r>
          </w:p>
        </w:tc>
        <w:tc>
          <w:tcPr>
            <w:tcW w:w="861" w:type="pct"/>
            <w:shd w:val="clear" w:color="auto" w:fill="auto"/>
            <w:vAlign w:val="center"/>
            <w:hideMark/>
          </w:tcPr>
          <w:p w14:paraId="134FF91D"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323</w:t>
            </w:r>
          </w:p>
        </w:tc>
        <w:tc>
          <w:tcPr>
            <w:tcW w:w="861" w:type="pct"/>
            <w:shd w:val="clear" w:color="auto" w:fill="auto"/>
            <w:vAlign w:val="center"/>
            <w:hideMark/>
          </w:tcPr>
          <w:p w14:paraId="7E14788A"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104.372.633</w:t>
            </w:r>
          </w:p>
        </w:tc>
        <w:tc>
          <w:tcPr>
            <w:tcW w:w="940" w:type="pct"/>
            <w:shd w:val="clear" w:color="auto" w:fill="auto"/>
            <w:noWrap/>
            <w:vAlign w:val="center"/>
            <w:hideMark/>
          </w:tcPr>
          <w:p w14:paraId="7261505F" w14:textId="427BBB9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17,08 %</w:t>
            </w:r>
          </w:p>
        </w:tc>
        <w:tc>
          <w:tcPr>
            <w:tcW w:w="934" w:type="pct"/>
            <w:shd w:val="clear" w:color="auto" w:fill="auto"/>
            <w:noWrap/>
            <w:vAlign w:val="center"/>
            <w:hideMark/>
          </w:tcPr>
          <w:p w14:paraId="1A5551A9" w14:textId="109BFD1A"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22,13 %</w:t>
            </w:r>
          </w:p>
        </w:tc>
      </w:tr>
      <w:tr w:rsidR="00A9062B" w:rsidRPr="00A9062B" w14:paraId="553B467F" w14:textId="77777777" w:rsidTr="00F3604D">
        <w:trPr>
          <w:trHeight w:val="300"/>
        </w:trPr>
        <w:tc>
          <w:tcPr>
            <w:tcW w:w="1404" w:type="pct"/>
            <w:shd w:val="clear" w:color="auto" w:fill="auto"/>
            <w:vAlign w:val="center"/>
            <w:hideMark/>
          </w:tcPr>
          <w:p w14:paraId="3A241036"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Javni skladi</w:t>
            </w:r>
          </w:p>
        </w:tc>
        <w:tc>
          <w:tcPr>
            <w:tcW w:w="861" w:type="pct"/>
            <w:shd w:val="clear" w:color="auto" w:fill="auto"/>
            <w:vAlign w:val="center"/>
            <w:hideMark/>
          </w:tcPr>
          <w:p w14:paraId="148ECA73"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14</w:t>
            </w:r>
          </w:p>
        </w:tc>
        <w:tc>
          <w:tcPr>
            <w:tcW w:w="861" w:type="pct"/>
            <w:shd w:val="clear" w:color="auto" w:fill="auto"/>
            <w:vAlign w:val="center"/>
            <w:hideMark/>
          </w:tcPr>
          <w:p w14:paraId="44F967A8"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733.099</w:t>
            </w:r>
          </w:p>
        </w:tc>
        <w:tc>
          <w:tcPr>
            <w:tcW w:w="940" w:type="pct"/>
            <w:shd w:val="clear" w:color="auto" w:fill="auto"/>
            <w:noWrap/>
            <w:vAlign w:val="center"/>
            <w:hideMark/>
          </w:tcPr>
          <w:p w14:paraId="2F0A759E" w14:textId="1FD86AE5"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23,73 %</w:t>
            </w:r>
          </w:p>
        </w:tc>
        <w:tc>
          <w:tcPr>
            <w:tcW w:w="934" w:type="pct"/>
            <w:shd w:val="clear" w:color="auto" w:fill="auto"/>
            <w:noWrap/>
            <w:vAlign w:val="center"/>
            <w:hideMark/>
          </w:tcPr>
          <w:p w14:paraId="3F4F0338" w14:textId="4B4995C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5,69 %</w:t>
            </w:r>
          </w:p>
        </w:tc>
      </w:tr>
      <w:tr w:rsidR="00A9062B" w:rsidRPr="00A9062B" w14:paraId="2D5C6B90" w14:textId="77777777" w:rsidTr="00F3604D">
        <w:trPr>
          <w:trHeight w:val="300"/>
        </w:trPr>
        <w:tc>
          <w:tcPr>
            <w:tcW w:w="1404" w:type="pct"/>
            <w:shd w:val="clear" w:color="auto" w:fill="auto"/>
            <w:vAlign w:val="center"/>
            <w:hideMark/>
          </w:tcPr>
          <w:p w14:paraId="5E0C5718"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Javne agencije</w:t>
            </w:r>
          </w:p>
        </w:tc>
        <w:tc>
          <w:tcPr>
            <w:tcW w:w="861" w:type="pct"/>
            <w:shd w:val="clear" w:color="auto" w:fill="auto"/>
            <w:vAlign w:val="center"/>
            <w:hideMark/>
          </w:tcPr>
          <w:p w14:paraId="1A760F35"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w:t>
            </w:r>
          </w:p>
        </w:tc>
        <w:tc>
          <w:tcPr>
            <w:tcW w:w="861" w:type="pct"/>
            <w:shd w:val="clear" w:color="auto" w:fill="auto"/>
            <w:vAlign w:val="center"/>
            <w:hideMark/>
          </w:tcPr>
          <w:p w14:paraId="3E3235C7"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108.698</w:t>
            </w:r>
          </w:p>
        </w:tc>
        <w:tc>
          <w:tcPr>
            <w:tcW w:w="940" w:type="pct"/>
            <w:shd w:val="clear" w:color="auto" w:fill="auto"/>
            <w:noWrap/>
            <w:vAlign w:val="center"/>
            <w:hideMark/>
          </w:tcPr>
          <w:p w14:paraId="2745DEBF" w14:textId="4C89A144"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1,68 %</w:t>
            </w:r>
          </w:p>
        </w:tc>
        <w:tc>
          <w:tcPr>
            <w:tcW w:w="934" w:type="pct"/>
            <w:shd w:val="clear" w:color="auto" w:fill="auto"/>
            <w:noWrap/>
            <w:vAlign w:val="center"/>
            <w:hideMark/>
          </w:tcPr>
          <w:p w14:paraId="3E7F1BDB" w14:textId="6103CA22"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1,40 %</w:t>
            </w:r>
          </w:p>
        </w:tc>
      </w:tr>
      <w:tr w:rsidR="00A9062B" w:rsidRPr="00A9062B" w14:paraId="6A3F3D9F" w14:textId="77777777" w:rsidTr="00F3604D">
        <w:trPr>
          <w:trHeight w:val="300"/>
        </w:trPr>
        <w:tc>
          <w:tcPr>
            <w:tcW w:w="1404" w:type="pct"/>
            <w:shd w:val="clear" w:color="auto" w:fill="auto"/>
            <w:vAlign w:val="center"/>
            <w:hideMark/>
          </w:tcPr>
          <w:p w14:paraId="4D974655"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Javni zavodi</w:t>
            </w:r>
          </w:p>
        </w:tc>
        <w:tc>
          <w:tcPr>
            <w:tcW w:w="861" w:type="pct"/>
            <w:shd w:val="clear" w:color="auto" w:fill="auto"/>
            <w:vAlign w:val="center"/>
            <w:hideMark/>
          </w:tcPr>
          <w:p w14:paraId="3F720E9C"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272</w:t>
            </w:r>
          </w:p>
        </w:tc>
        <w:tc>
          <w:tcPr>
            <w:tcW w:w="861" w:type="pct"/>
            <w:shd w:val="clear" w:color="auto" w:fill="auto"/>
            <w:vAlign w:val="center"/>
            <w:hideMark/>
          </w:tcPr>
          <w:p w14:paraId="15A74773"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37.292.604</w:t>
            </w:r>
          </w:p>
        </w:tc>
        <w:tc>
          <w:tcPr>
            <w:tcW w:w="940" w:type="pct"/>
            <w:shd w:val="clear" w:color="auto" w:fill="auto"/>
            <w:noWrap/>
            <w:vAlign w:val="center"/>
            <w:hideMark/>
          </w:tcPr>
          <w:p w14:paraId="4D6CB2E9" w14:textId="56FC91E2"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2,79 %</w:t>
            </w:r>
          </w:p>
        </w:tc>
        <w:tc>
          <w:tcPr>
            <w:tcW w:w="934" w:type="pct"/>
            <w:shd w:val="clear" w:color="auto" w:fill="auto"/>
            <w:noWrap/>
            <w:vAlign w:val="center"/>
            <w:hideMark/>
          </w:tcPr>
          <w:p w14:paraId="5E186DF5" w14:textId="696E6832"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5,74 %</w:t>
            </w:r>
          </w:p>
        </w:tc>
      </w:tr>
      <w:tr w:rsidR="00A9062B" w:rsidRPr="00A9062B" w14:paraId="289BC71E" w14:textId="77777777" w:rsidTr="00F3604D">
        <w:trPr>
          <w:trHeight w:val="300"/>
        </w:trPr>
        <w:tc>
          <w:tcPr>
            <w:tcW w:w="1404" w:type="pct"/>
            <w:shd w:val="clear" w:color="auto" w:fill="auto"/>
            <w:noWrap/>
            <w:vAlign w:val="center"/>
            <w:hideMark/>
          </w:tcPr>
          <w:p w14:paraId="172BF300"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861" w:type="pct"/>
            <w:shd w:val="clear" w:color="auto" w:fill="auto"/>
            <w:vAlign w:val="center"/>
            <w:hideMark/>
          </w:tcPr>
          <w:p w14:paraId="0C16129B"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36</w:t>
            </w:r>
          </w:p>
        </w:tc>
        <w:tc>
          <w:tcPr>
            <w:tcW w:w="861" w:type="pct"/>
            <w:shd w:val="clear" w:color="auto" w:fill="auto"/>
            <w:vAlign w:val="center"/>
            <w:hideMark/>
          </w:tcPr>
          <w:p w14:paraId="45D48259"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28.052.572</w:t>
            </w:r>
          </w:p>
        </w:tc>
        <w:tc>
          <w:tcPr>
            <w:tcW w:w="940" w:type="pct"/>
            <w:shd w:val="clear" w:color="auto" w:fill="auto"/>
            <w:noWrap/>
            <w:vAlign w:val="center"/>
            <w:hideMark/>
          </w:tcPr>
          <w:p w14:paraId="04997976" w14:textId="32755F52"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1,23 %</w:t>
            </w:r>
          </w:p>
        </w:tc>
        <w:tc>
          <w:tcPr>
            <w:tcW w:w="934" w:type="pct"/>
            <w:shd w:val="clear" w:color="auto" w:fill="auto"/>
            <w:noWrap/>
            <w:vAlign w:val="center"/>
            <w:hideMark/>
          </w:tcPr>
          <w:p w14:paraId="0ED55147" w14:textId="4BA02AF1"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2,57 %</w:t>
            </w:r>
          </w:p>
        </w:tc>
      </w:tr>
      <w:tr w:rsidR="00A9062B" w:rsidRPr="00A9062B" w14:paraId="6EBB190E" w14:textId="77777777" w:rsidTr="00F3604D">
        <w:trPr>
          <w:trHeight w:val="300"/>
        </w:trPr>
        <w:tc>
          <w:tcPr>
            <w:tcW w:w="1404" w:type="pct"/>
            <w:shd w:val="clear" w:color="auto" w:fill="auto"/>
            <w:vAlign w:val="center"/>
            <w:hideMark/>
          </w:tcPr>
          <w:p w14:paraId="7B3297D2" w14:textId="77777777" w:rsidR="00A9062B" w:rsidRPr="00A9062B" w:rsidRDefault="00A9062B" w:rsidP="00A9062B">
            <w:pPr>
              <w:spacing w:after="0" w:line="240" w:lineRule="auto"/>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Razni subjekti</w:t>
            </w:r>
          </w:p>
        </w:tc>
        <w:tc>
          <w:tcPr>
            <w:tcW w:w="861" w:type="pct"/>
            <w:shd w:val="clear" w:color="auto" w:fill="auto"/>
            <w:vAlign w:val="center"/>
            <w:hideMark/>
          </w:tcPr>
          <w:p w14:paraId="5EF74FE5"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41</w:t>
            </w:r>
          </w:p>
        </w:tc>
        <w:tc>
          <w:tcPr>
            <w:tcW w:w="861" w:type="pct"/>
            <w:shd w:val="clear" w:color="auto" w:fill="auto"/>
            <w:vAlign w:val="center"/>
            <w:hideMark/>
          </w:tcPr>
          <w:p w14:paraId="50C0E0BA" w14:textId="7777777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2.972.826</w:t>
            </w:r>
          </w:p>
        </w:tc>
        <w:tc>
          <w:tcPr>
            <w:tcW w:w="940" w:type="pct"/>
            <w:shd w:val="clear" w:color="auto" w:fill="auto"/>
            <w:noWrap/>
            <w:vAlign w:val="center"/>
            <w:hideMark/>
          </w:tcPr>
          <w:p w14:paraId="127A25ED" w14:textId="5BD6ACEC"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49,40 %</w:t>
            </w:r>
          </w:p>
        </w:tc>
        <w:tc>
          <w:tcPr>
            <w:tcW w:w="934" w:type="pct"/>
            <w:shd w:val="clear" w:color="auto" w:fill="auto"/>
            <w:noWrap/>
            <w:vAlign w:val="center"/>
            <w:hideMark/>
          </w:tcPr>
          <w:p w14:paraId="730DAD37" w14:textId="5A9C4527" w:rsidR="00A9062B" w:rsidRPr="00A9062B" w:rsidRDefault="00A9062B" w:rsidP="00A9062B">
            <w:pPr>
              <w:spacing w:after="0" w:line="240" w:lineRule="auto"/>
              <w:jc w:val="right"/>
              <w:rPr>
                <w:rFonts w:ascii="Arial" w:eastAsia="Times New Roman" w:hAnsi="Arial" w:cs="Arial"/>
                <w:color w:val="000000"/>
                <w:sz w:val="18"/>
                <w:szCs w:val="18"/>
                <w:lang w:eastAsia="sl-SI"/>
              </w:rPr>
            </w:pPr>
            <w:r w:rsidRPr="00A9062B">
              <w:rPr>
                <w:rFonts w:ascii="Arial" w:eastAsia="Times New Roman" w:hAnsi="Arial" w:cs="Arial"/>
                <w:color w:val="000000"/>
                <w:sz w:val="18"/>
                <w:szCs w:val="18"/>
                <w:lang w:eastAsia="sl-SI"/>
              </w:rPr>
              <w:t>18,35 %</w:t>
            </w:r>
          </w:p>
        </w:tc>
      </w:tr>
      <w:tr w:rsidR="00A9062B" w:rsidRPr="00A9062B" w14:paraId="0A011712" w14:textId="77777777" w:rsidTr="00F3604D">
        <w:trPr>
          <w:gridAfter w:val="2"/>
          <w:wAfter w:w="1874" w:type="pct"/>
          <w:trHeight w:val="300"/>
        </w:trPr>
        <w:tc>
          <w:tcPr>
            <w:tcW w:w="1404" w:type="pct"/>
            <w:shd w:val="clear" w:color="auto" w:fill="E7E6E6" w:themeFill="background2"/>
            <w:noWrap/>
            <w:vAlign w:val="center"/>
            <w:hideMark/>
          </w:tcPr>
          <w:p w14:paraId="1ABD1484" w14:textId="77777777" w:rsidR="00A9062B" w:rsidRPr="00A9062B" w:rsidRDefault="00A9062B" w:rsidP="00A9062B">
            <w:pPr>
              <w:spacing w:after="0" w:line="240" w:lineRule="auto"/>
              <w:rPr>
                <w:rFonts w:ascii="Arial" w:eastAsia="Times New Roman" w:hAnsi="Arial" w:cs="Arial"/>
                <w:b/>
                <w:color w:val="000000"/>
                <w:sz w:val="18"/>
                <w:szCs w:val="18"/>
                <w:lang w:eastAsia="sl-SI"/>
              </w:rPr>
            </w:pPr>
            <w:r w:rsidRPr="00A9062B">
              <w:rPr>
                <w:rFonts w:ascii="Arial" w:eastAsia="Times New Roman" w:hAnsi="Arial" w:cs="Arial"/>
                <w:b/>
                <w:color w:val="000000"/>
                <w:sz w:val="18"/>
                <w:szCs w:val="18"/>
                <w:lang w:eastAsia="sl-SI"/>
              </w:rPr>
              <w:t>Skupaj</w:t>
            </w:r>
          </w:p>
        </w:tc>
        <w:tc>
          <w:tcPr>
            <w:tcW w:w="861" w:type="pct"/>
            <w:shd w:val="clear" w:color="auto" w:fill="E7E6E6" w:themeFill="background2"/>
            <w:noWrap/>
            <w:vAlign w:val="center"/>
            <w:hideMark/>
          </w:tcPr>
          <w:p w14:paraId="62C8CB1E" w14:textId="77777777" w:rsidR="00A9062B" w:rsidRPr="00A9062B" w:rsidRDefault="00A9062B" w:rsidP="00A9062B">
            <w:pPr>
              <w:spacing w:after="0" w:line="240" w:lineRule="auto"/>
              <w:jc w:val="right"/>
              <w:rPr>
                <w:rFonts w:ascii="Arial" w:eastAsia="Times New Roman" w:hAnsi="Arial" w:cs="Arial"/>
                <w:b/>
                <w:color w:val="000000"/>
                <w:sz w:val="18"/>
                <w:szCs w:val="18"/>
                <w:lang w:eastAsia="sl-SI"/>
              </w:rPr>
            </w:pPr>
            <w:r w:rsidRPr="00A9062B">
              <w:rPr>
                <w:rFonts w:ascii="Arial" w:eastAsia="Times New Roman" w:hAnsi="Arial" w:cs="Arial"/>
                <w:b/>
                <w:color w:val="000000"/>
                <w:sz w:val="18"/>
                <w:szCs w:val="18"/>
                <w:lang w:eastAsia="sl-SI"/>
              </w:rPr>
              <w:t>902</w:t>
            </w:r>
          </w:p>
        </w:tc>
        <w:tc>
          <w:tcPr>
            <w:tcW w:w="861" w:type="pct"/>
            <w:shd w:val="clear" w:color="auto" w:fill="E7E6E6" w:themeFill="background2"/>
            <w:noWrap/>
            <w:vAlign w:val="center"/>
            <w:hideMark/>
          </w:tcPr>
          <w:p w14:paraId="4C251C75" w14:textId="77777777" w:rsidR="00A9062B" w:rsidRPr="00A9062B" w:rsidRDefault="00A9062B" w:rsidP="00A9062B">
            <w:pPr>
              <w:spacing w:after="0" w:line="240" w:lineRule="auto"/>
              <w:jc w:val="right"/>
              <w:rPr>
                <w:rFonts w:ascii="Arial" w:eastAsia="Times New Roman" w:hAnsi="Arial" w:cs="Arial"/>
                <w:b/>
                <w:color w:val="000000"/>
                <w:sz w:val="18"/>
                <w:szCs w:val="18"/>
                <w:lang w:eastAsia="sl-SI"/>
              </w:rPr>
            </w:pPr>
            <w:r w:rsidRPr="00A9062B">
              <w:rPr>
                <w:rFonts w:ascii="Arial" w:eastAsia="Times New Roman" w:hAnsi="Arial" w:cs="Arial"/>
                <w:b/>
                <w:color w:val="000000"/>
                <w:sz w:val="18"/>
                <w:szCs w:val="18"/>
                <w:lang w:eastAsia="sl-SI"/>
              </w:rPr>
              <w:t>354.663.683</w:t>
            </w:r>
          </w:p>
        </w:tc>
      </w:tr>
    </w:tbl>
    <w:p w14:paraId="50CB98EF" w14:textId="77777777" w:rsidR="004A613D" w:rsidRPr="00A9062B" w:rsidRDefault="004A613D" w:rsidP="004A613D">
      <w:pPr>
        <w:spacing w:after="0" w:line="240" w:lineRule="auto"/>
        <w:jc w:val="center"/>
        <w:rPr>
          <w:rFonts w:ascii="Arial" w:hAnsi="Arial" w:cs="Arial"/>
          <w:b/>
          <w:sz w:val="18"/>
        </w:rPr>
      </w:pPr>
    </w:p>
    <w:p w14:paraId="3852EB52" w14:textId="0F33B070" w:rsidR="004E69E6" w:rsidRDefault="003F5C42" w:rsidP="004E69E6">
      <w:pPr>
        <w:spacing w:after="0" w:line="240" w:lineRule="auto"/>
        <w:jc w:val="center"/>
        <w:rPr>
          <w:rFonts w:ascii="Arial" w:hAnsi="Arial" w:cs="Arial"/>
          <w:sz w:val="18"/>
        </w:rPr>
      </w:pPr>
      <w:r w:rsidRPr="00A9062B">
        <w:rPr>
          <w:rFonts w:ascii="Arial" w:hAnsi="Arial" w:cs="Arial"/>
          <w:sz w:val="18"/>
        </w:rPr>
        <w:t>Vir: Statistični podatki o javni</w:t>
      </w:r>
      <w:r w:rsidR="00F30D93" w:rsidRPr="00A9062B">
        <w:rPr>
          <w:rFonts w:ascii="Arial" w:hAnsi="Arial" w:cs="Arial"/>
          <w:sz w:val="18"/>
        </w:rPr>
        <w:t>h naročilih, oddanih v letu 201</w:t>
      </w:r>
      <w:r w:rsidR="00A9062B" w:rsidRPr="00A9062B">
        <w:rPr>
          <w:rFonts w:ascii="Arial" w:hAnsi="Arial" w:cs="Arial"/>
          <w:sz w:val="18"/>
        </w:rPr>
        <w:t>8</w:t>
      </w:r>
    </w:p>
    <w:p w14:paraId="4D0469B1" w14:textId="77777777" w:rsidR="004E69E6" w:rsidRPr="004E69E6" w:rsidRDefault="004E69E6" w:rsidP="004E69E6">
      <w:pPr>
        <w:spacing w:after="0" w:line="240" w:lineRule="auto"/>
        <w:jc w:val="center"/>
        <w:rPr>
          <w:rFonts w:ascii="Arial" w:hAnsi="Arial" w:cs="Arial"/>
          <w:sz w:val="18"/>
        </w:rPr>
      </w:pPr>
    </w:p>
    <w:p w14:paraId="6ED887A6" w14:textId="38A8A1C6" w:rsidR="003F5C42" w:rsidRPr="00086008" w:rsidRDefault="00422CFD" w:rsidP="00E913F2">
      <w:pPr>
        <w:spacing w:line="360" w:lineRule="auto"/>
        <w:jc w:val="both"/>
        <w:rPr>
          <w:rFonts w:ascii="Arial" w:eastAsia="Times New Roman" w:hAnsi="Arial" w:cs="Arial"/>
          <w:color w:val="000000"/>
          <w:sz w:val="20"/>
          <w:szCs w:val="20"/>
          <w:lang w:eastAsia="sl-SI"/>
        </w:rPr>
      </w:pPr>
      <w:r w:rsidRPr="00086008">
        <w:rPr>
          <w:rFonts w:ascii="Arial" w:hAnsi="Arial" w:cs="Arial"/>
          <w:sz w:val="20"/>
          <w:szCs w:val="20"/>
          <w:lang w:eastAsia="sl-SI"/>
        </w:rPr>
        <w:t>Med</w:t>
      </w:r>
      <w:r w:rsidR="003F5C42" w:rsidRPr="00086008">
        <w:rPr>
          <w:rFonts w:ascii="Arial" w:hAnsi="Arial" w:cs="Arial"/>
          <w:sz w:val="20"/>
          <w:szCs w:val="20"/>
          <w:lang w:eastAsia="sl-SI"/>
        </w:rPr>
        <w:t xml:space="preserve"> naročil</w:t>
      </w:r>
      <w:r w:rsidRPr="00086008">
        <w:rPr>
          <w:rFonts w:ascii="Arial" w:hAnsi="Arial" w:cs="Arial"/>
          <w:sz w:val="20"/>
          <w:szCs w:val="20"/>
          <w:lang w:eastAsia="sl-SI"/>
        </w:rPr>
        <w:t>i</w:t>
      </w:r>
      <w:r w:rsidR="003F5C42" w:rsidRPr="00086008">
        <w:rPr>
          <w:rFonts w:ascii="Arial" w:hAnsi="Arial" w:cs="Arial"/>
          <w:sz w:val="20"/>
          <w:szCs w:val="20"/>
          <w:lang w:eastAsia="sl-SI"/>
        </w:rPr>
        <w:t>, (so)financirani</w:t>
      </w:r>
      <w:r w:rsidRPr="00086008">
        <w:rPr>
          <w:rFonts w:ascii="Arial" w:hAnsi="Arial" w:cs="Arial"/>
          <w:sz w:val="20"/>
          <w:szCs w:val="20"/>
          <w:lang w:eastAsia="sl-SI"/>
        </w:rPr>
        <w:t>mi</w:t>
      </w:r>
      <w:r w:rsidR="003F5C42" w:rsidRPr="00086008">
        <w:rPr>
          <w:rFonts w:ascii="Arial" w:hAnsi="Arial" w:cs="Arial"/>
          <w:sz w:val="20"/>
          <w:szCs w:val="20"/>
          <w:lang w:eastAsia="sl-SI"/>
        </w:rPr>
        <w:t xml:space="preserve"> s sredstvi Evropske unije, so naročniki vrednostno oddali največ </w:t>
      </w:r>
      <w:r w:rsidR="0046317B" w:rsidRPr="00086008">
        <w:rPr>
          <w:rFonts w:ascii="Arial" w:hAnsi="Arial" w:cs="Arial"/>
          <w:sz w:val="20"/>
          <w:szCs w:val="20"/>
          <w:lang w:eastAsia="sl-SI"/>
        </w:rPr>
        <w:t xml:space="preserve">javnih </w:t>
      </w:r>
      <w:r w:rsidR="003F5C42" w:rsidRPr="00086008">
        <w:rPr>
          <w:rFonts w:ascii="Arial" w:hAnsi="Arial" w:cs="Arial"/>
          <w:sz w:val="20"/>
          <w:szCs w:val="20"/>
          <w:lang w:eastAsia="sl-SI"/>
        </w:rPr>
        <w:t>naročil gradenj</w:t>
      </w:r>
      <w:r w:rsidR="00E913F2" w:rsidRPr="00086008">
        <w:rPr>
          <w:rFonts w:ascii="Arial" w:hAnsi="Arial" w:cs="Arial"/>
          <w:sz w:val="20"/>
          <w:szCs w:val="20"/>
          <w:lang w:eastAsia="sl-SI"/>
        </w:rPr>
        <w:t xml:space="preserve">, in sicer </w:t>
      </w:r>
      <w:r w:rsidR="00086008" w:rsidRPr="00086008">
        <w:rPr>
          <w:rFonts w:ascii="Arial" w:hAnsi="Arial" w:cs="Arial"/>
          <w:sz w:val="20"/>
          <w:szCs w:val="20"/>
          <w:lang w:eastAsia="sl-SI"/>
        </w:rPr>
        <w:t>235</w:t>
      </w:r>
      <w:r w:rsidR="003F5C42" w:rsidRPr="00086008">
        <w:rPr>
          <w:rFonts w:ascii="Arial" w:hAnsi="Arial" w:cs="Arial"/>
          <w:sz w:val="20"/>
          <w:szCs w:val="20"/>
          <w:lang w:eastAsia="sl-SI"/>
        </w:rPr>
        <w:t xml:space="preserve"> v vrednosti </w:t>
      </w:r>
      <w:r w:rsidR="00086008" w:rsidRPr="00086008">
        <w:rPr>
          <w:rFonts w:ascii="Arial" w:hAnsi="Arial" w:cs="Arial"/>
          <w:sz w:val="20"/>
          <w:szCs w:val="20"/>
          <w:lang w:eastAsia="sl-SI"/>
        </w:rPr>
        <w:t xml:space="preserve">202.765.725 </w:t>
      </w:r>
      <w:r w:rsidR="003F5C42" w:rsidRPr="00086008">
        <w:rPr>
          <w:rFonts w:ascii="Arial" w:hAnsi="Arial" w:cs="Arial"/>
          <w:sz w:val="20"/>
          <w:szCs w:val="20"/>
          <w:lang w:eastAsia="sl-SI"/>
        </w:rPr>
        <w:t>e</w:t>
      </w:r>
      <w:r w:rsidR="00E913F2" w:rsidRPr="00086008">
        <w:rPr>
          <w:rFonts w:ascii="Arial" w:hAnsi="Arial" w:cs="Arial"/>
          <w:sz w:val="20"/>
          <w:szCs w:val="20"/>
          <w:lang w:eastAsia="sl-SI"/>
        </w:rPr>
        <w:t>vrov</w:t>
      </w:r>
      <w:r w:rsidR="00450D38">
        <w:rPr>
          <w:rFonts w:ascii="Arial" w:hAnsi="Arial" w:cs="Arial"/>
          <w:sz w:val="20"/>
          <w:szCs w:val="20"/>
          <w:lang w:eastAsia="sl-SI"/>
        </w:rPr>
        <w:t>,</w:t>
      </w:r>
      <w:r w:rsidRPr="00086008">
        <w:rPr>
          <w:rFonts w:ascii="Arial" w:hAnsi="Arial" w:cs="Arial"/>
          <w:sz w:val="20"/>
          <w:szCs w:val="20"/>
          <w:lang w:eastAsia="sl-SI"/>
        </w:rPr>
        <w:t xml:space="preserve"> in </w:t>
      </w:r>
      <w:r w:rsidR="00086008" w:rsidRPr="00086008">
        <w:rPr>
          <w:rFonts w:ascii="Arial" w:hAnsi="Arial" w:cs="Arial"/>
          <w:sz w:val="20"/>
          <w:szCs w:val="20"/>
          <w:lang w:eastAsia="sl-SI"/>
        </w:rPr>
        <w:t>352</w:t>
      </w:r>
      <w:r w:rsidR="003F5C42" w:rsidRPr="00086008">
        <w:rPr>
          <w:rFonts w:ascii="Arial" w:hAnsi="Arial" w:cs="Arial"/>
          <w:sz w:val="20"/>
          <w:szCs w:val="20"/>
          <w:lang w:eastAsia="sl-SI"/>
        </w:rPr>
        <w:t xml:space="preserve"> </w:t>
      </w:r>
      <w:r w:rsidR="0046317B" w:rsidRPr="00086008">
        <w:rPr>
          <w:rFonts w:ascii="Arial" w:hAnsi="Arial" w:cs="Arial"/>
          <w:sz w:val="20"/>
          <w:szCs w:val="20"/>
          <w:lang w:eastAsia="sl-SI"/>
        </w:rPr>
        <w:t xml:space="preserve">javnih </w:t>
      </w:r>
      <w:r w:rsidR="003F5C42" w:rsidRPr="00086008">
        <w:rPr>
          <w:rFonts w:ascii="Arial" w:hAnsi="Arial" w:cs="Arial"/>
          <w:sz w:val="20"/>
          <w:szCs w:val="20"/>
          <w:lang w:eastAsia="sl-SI"/>
        </w:rPr>
        <w:t xml:space="preserve">naročil </w:t>
      </w:r>
      <w:r w:rsidR="00086008" w:rsidRPr="00086008">
        <w:rPr>
          <w:rFonts w:ascii="Arial" w:hAnsi="Arial" w:cs="Arial"/>
          <w:sz w:val="20"/>
          <w:szCs w:val="20"/>
          <w:lang w:eastAsia="sl-SI"/>
        </w:rPr>
        <w:t>blaga</w:t>
      </w:r>
      <w:r w:rsidR="003F5C42" w:rsidRPr="00086008">
        <w:rPr>
          <w:rFonts w:ascii="Arial" w:hAnsi="Arial" w:cs="Arial"/>
          <w:sz w:val="20"/>
          <w:szCs w:val="20"/>
          <w:lang w:eastAsia="sl-SI"/>
        </w:rPr>
        <w:t xml:space="preserve"> v vrednosti </w:t>
      </w:r>
      <w:r w:rsidR="00086008" w:rsidRPr="00086008">
        <w:rPr>
          <w:rFonts w:ascii="Arial" w:hAnsi="Arial" w:cs="Arial"/>
          <w:sz w:val="20"/>
          <w:szCs w:val="20"/>
          <w:lang w:eastAsia="sl-SI"/>
        </w:rPr>
        <w:t xml:space="preserve">78.077.717 </w:t>
      </w:r>
      <w:r w:rsidR="003F5C42" w:rsidRPr="00086008">
        <w:rPr>
          <w:rFonts w:ascii="Arial" w:hAnsi="Arial" w:cs="Arial"/>
          <w:sz w:val="20"/>
          <w:szCs w:val="20"/>
          <w:lang w:eastAsia="sl-SI"/>
        </w:rPr>
        <w:t xml:space="preserve">evrov. Vrednostno najmanj je bilo </w:t>
      </w:r>
      <w:r w:rsidR="0046317B" w:rsidRPr="00086008">
        <w:rPr>
          <w:rFonts w:ascii="Arial" w:hAnsi="Arial" w:cs="Arial"/>
          <w:sz w:val="20"/>
          <w:szCs w:val="20"/>
          <w:lang w:eastAsia="sl-SI"/>
        </w:rPr>
        <w:t xml:space="preserve">javnih </w:t>
      </w:r>
      <w:r w:rsidR="003F5C42" w:rsidRPr="00086008">
        <w:rPr>
          <w:rFonts w:ascii="Arial" w:hAnsi="Arial" w:cs="Arial"/>
          <w:sz w:val="20"/>
          <w:szCs w:val="20"/>
          <w:lang w:eastAsia="sl-SI"/>
        </w:rPr>
        <w:t xml:space="preserve">naročil </w:t>
      </w:r>
      <w:r w:rsidR="00086008" w:rsidRPr="00086008">
        <w:rPr>
          <w:rFonts w:ascii="Arial" w:hAnsi="Arial" w:cs="Arial"/>
          <w:sz w:val="20"/>
          <w:szCs w:val="20"/>
          <w:lang w:eastAsia="sl-SI"/>
        </w:rPr>
        <w:t>storitev</w:t>
      </w:r>
      <w:r w:rsidR="00E913F2" w:rsidRPr="00086008">
        <w:rPr>
          <w:rFonts w:ascii="Arial" w:hAnsi="Arial" w:cs="Arial"/>
          <w:sz w:val="20"/>
          <w:szCs w:val="20"/>
          <w:lang w:eastAsia="sl-SI"/>
        </w:rPr>
        <w:t xml:space="preserve">, saj so naročniki oddali </w:t>
      </w:r>
      <w:r w:rsidR="00086008" w:rsidRPr="00086008">
        <w:rPr>
          <w:rFonts w:ascii="Arial" w:hAnsi="Arial" w:cs="Arial"/>
          <w:sz w:val="20"/>
          <w:szCs w:val="20"/>
          <w:lang w:eastAsia="sl-SI"/>
        </w:rPr>
        <w:t>315</w:t>
      </w:r>
      <w:r w:rsidR="003F5C42" w:rsidRPr="00086008">
        <w:rPr>
          <w:rFonts w:ascii="Arial" w:hAnsi="Arial" w:cs="Arial"/>
          <w:sz w:val="20"/>
          <w:szCs w:val="20"/>
          <w:lang w:eastAsia="sl-SI"/>
        </w:rPr>
        <w:t xml:space="preserve"> naročil s pogodbeno vrednostjo </w:t>
      </w:r>
      <w:r w:rsidR="00086008" w:rsidRPr="00086008">
        <w:rPr>
          <w:rFonts w:ascii="Arial" w:hAnsi="Arial" w:cs="Arial"/>
          <w:sz w:val="20"/>
          <w:szCs w:val="20"/>
          <w:lang w:eastAsia="sl-SI"/>
        </w:rPr>
        <w:t xml:space="preserve">73.820.241 </w:t>
      </w:r>
      <w:r w:rsidR="003F5C42" w:rsidRPr="00086008">
        <w:rPr>
          <w:rFonts w:ascii="Arial" w:hAnsi="Arial" w:cs="Arial"/>
          <w:sz w:val="20"/>
          <w:szCs w:val="20"/>
          <w:lang w:eastAsia="sl-SI"/>
        </w:rPr>
        <w:t>evrov.</w:t>
      </w:r>
    </w:p>
    <w:p w14:paraId="03D8E451" w14:textId="7AD0FAE0" w:rsidR="003F5C42" w:rsidRPr="000466A4" w:rsidRDefault="003F5C42" w:rsidP="008A61FD">
      <w:pPr>
        <w:spacing w:before="120" w:after="120" w:line="240" w:lineRule="auto"/>
        <w:jc w:val="both"/>
        <w:rPr>
          <w:rFonts w:ascii="Arial" w:hAnsi="Arial" w:cs="Arial"/>
          <w:sz w:val="20"/>
        </w:rPr>
      </w:pPr>
      <w:r w:rsidRPr="000466A4">
        <w:rPr>
          <w:rFonts w:ascii="Arial" w:hAnsi="Arial" w:cs="Arial"/>
          <w:sz w:val="20"/>
        </w:rPr>
        <w:t xml:space="preserve">Preglednica </w:t>
      </w:r>
      <w:r w:rsidR="00474678" w:rsidRPr="000466A4">
        <w:rPr>
          <w:rFonts w:ascii="Arial" w:hAnsi="Arial" w:cs="Arial"/>
          <w:sz w:val="20"/>
        </w:rPr>
        <w:t>5</w:t>
      </w:r>
      <w:r w:rsidR="00EB4423">
        <w:rPr>
          <w:rFonts w:ascii="Arial" w:hAnsi="Arial" w:cs="Arial"/>
          <w:sz w:val="20"/>
        </w:rPr>
        <w:t>5</w:t>
      </w:r>
      <w:r w:rsidRPr="000466A4">
        <w:rPr>
          <w:rFonts w:ascii="Arial" w:hAnsi="Arial" w:cs="Arial"/>
          <w:sz w:val="20"/>
        </w:rPr>
        <w:t>: Javna naročila, (so</w:t>
      </w:r>
      <w:r w:rsidR="0046317B" w:rsidRPr="000466A4">
        <w:rPr>
          <w:rFonts w:ascii="Arial" w:hAnsi="Arial" w:cs="Arial"/>
          <w:sz w:val="20"/>
        </w:rPr>
        <w:t>)</w:t>
      </w:r>
      <w:r w:rsidRPr="000466A4">
        <w:rPr>
          <w:rFonts w:ascii="Arial" w:hAnsi="Arial" w:cs="Arial"/>
          <w:sz w:val="20"/>
        </w:rPr>
        <w:t>financirana s sredstvi Evropske unije, po predmetu naročanja</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80"/>
        <w:gridCol w:w="1180"/>
        <w:gridCol w:w="1300"/>
        <w:gridCol w:w="1392"/>
      </w:tblGrid>
      <w:tr w:rsidR="00782528" w:rsidRPr="000466A4" w14:paraId="5E6A439A" w14:textId="77777777" w:rsidTr="00C634E2">
        <w:trPr>
          <w:trHeight w:val="720"/>
          <w:jc w:val="center"/>
        </w:trPr>
        <w:tc>
          <w:tcPr>
            <w:tcW w:w="960" w:type="dxa"/>
            <w:shd w:val="clear" w:color="auto" w:fill="EDEDED" w:themeFill="accent3" w:themeFillTint="33"/>
            <w:vAlign w:val="center"/>
            <w:hideMark/>
          </w:tcPr>
          <w:p w14:paraId="5853B12A" w14:textId="77777777" w:rsidR="00782528" w:rsidRPr="000466A4" w:rsidRDefault="00782528" w:rsidP="00782528">
            <w:pPr>
              <w:spacing w:after="0" w:line="240" w:lineRule="auto"/>
              <w:jc w:val="center"/>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Predmet</w:t>
            </w:r>
          </w:p>
        </w:tc>
        <w:tc>
          <w:tcPr>
            <w:tcW w:w="980" w:type="dxa"/>
            <w:shd w:val="clear" w:color="auto" w:fill="EDEDED" w:themeFill="accent3" w:themeFillTint="33"/>
            <w:vAlign w:val="center"/>
            <w:hideMark/>
          </w:tcPr>
          <w:p w14:paraId="1DC06D61" w14:textId="77777777" w:rsidR="00782528" w:rsidRPr="000466A4" w:rsidRDefault="00782528" w:rsidP="00782528">
            <w:pPr>
              <w:spacing w:after="0" w:line="240" w:lineRule="auto"/>
              <w:jc w:val="center"/>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Št. naročil</w:t>
            </w:r>
          </w:p>
        </w:tc>
        <w:tc>
          <w:tcPr>
            <w:tcW w:w="1180" w:type="dxa"/>
            <w:shd w:val="clear" w:color="auto" w:fill="EDEDED" w:themeFill="accent3" w:themeFillTint="33"/>
            <w:vAlign w:val="center"/>
            <w:hideMark/>
          </w:tcPr>
          <w:p w14:paraId="7A30E2E6" w14:textId="77777777" w:rsidR="00782528" w:rsidRPr="000466A4" w:rsidRDefault="00782528" w:rsidP="00782528">
            <w:pPr>
              <w:spacing w:after="0" w:line="240" w:lineRule="auto"/>
              <w:jc w:val="center"/>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Pogodbena vrednost</w:t>
            </w:r>
          </w:p>
        </w:tc>
        <w:tc>
          <w:tcPr>
            <w:tcW w:w="1300" w:type="dxa"/>
            <w:shd w:val="clear" w:color="auto" w:fill="EDEDED" w:themeFill="accent3" w:themeFillTint="33"/>
            <w:vAlign w:val="center"/>
            <w:hideMark/>
          </w:tcPr>
          <w:p w14:paraId="407D8864" w14:textId="23152165" w:rsidR="00782528" w:rsidRPr="000466A4" w:rsidRDefault="00782528" w:rsidP="00782528">
            <w:pPr>
              <w:spacing w:after="0" w:line="240" w:lineRule="auto"/>
              <w:jc w:val="center"/>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 xml:space="preserve">Delež v št. </w:t>
            </w:r>
            <w:r w:rsidR="00C91176" w:rsidRPr="000466A4">
              <w:rPr>
                <w:rFonts w:ascii="Arial" w:eastAsia="Times New Roman" w:hAnsi="Arial" w:cs="Arial"/>
                <w:color w:val="000000"/>
                <w:sz w:val="18"/>
                <w:szCs w:val="18"/>
                <w:lang w:eastAsia="sl-SI"/>
              </w:rPr>
              <w:t>n</w:t>
            </w:r>
            <w:r w:rsidRPr="000466A4">
              <w:rPr>
                <w:rFonts w:ascii="Arial" w:eastAsia="Times New Roman" w:hAnsi="Arial" w:cs="Arial"/>
                <w:color w:val="000000"/>
                <w:sz w:val="18"/>
                <w:szCs w:val="18"/>
                <w:lang w:eastAsia="sl-SI"/>
              </w:rPr>
              <w:t>aročil</w:t>
            </w:r>
          </w:p>
        </w:tc>
        <w:tc>
          <w:tcPr>
            <w:tcW w:w="1392" w:type="dxa"/>
            <w:shd w:val="clear" w:color="auto" w:fill="EDEDED" w:themeFill="accent3" w:themeFillTint="33"/>
            <w:vAlign w:val="center"/>
            <w:hideMark/>
          </w:tcPr>
          <w:p w14:paraId="2AE64177" w14:textId="66668B0A" w:rsidR="00782528" w:rsidRPr="000466A4" w:rsidRDefault="00782528" w:rsidP="00782528">
            <w:pPr>
              <w:spacing w:after="0" w:line="240" w:lineRule="auto"/>
              <w:jc w:val="center"/>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Delež v vrednosti</w:t>
            </w:r>
          </w:p>
        </w:tc>
      </w:tr>
      <w:tr w:rsidR="000466A4" w:rsidRPr="000466A4" w14:paraId="4B34448D" w14:textId="77777777" w:rsidTr="00C634E2">
        <w:trPr>
          <w:trHeight w:val="300"/>
          <w:jc w:val="center"/>
        </w:trPr>
        <w:tc>
          <w:tcPr>
            <w:tcW w:w="960" w:type="dxa"/>
            <w:shd w:val="clear" w:color="auto" w:fill="auto"/>
            <w:vAlign w:val="center"/>
            <w:hideMark/>
          </w:tcPr>
          <w:p w14:paraId="2DB04ED3" w14:textId="49D79D3C" w:rsidR="000466A4" w:rsidRPr="000466A4" w:rsidRDefault="000466A4" w:rsidP="000466A4">
            <w:pPr>
              <w:spacing w:after="0" w:line="240" w:lineRule="auto"/>
              <w:jc w:val="both"/>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 xml:space="preserve">Blago </w:t>
            </w:r>
          </w:p>
        </w:tc>
        <w:tc>
          <w:tcPr>
            <w:tcW w:w="980" w:type="dxa"/>
            <w:shd w:val="clear" w:color="auto" w:fill="auto"/>
            <w:vAlign w:val="center"/>
            <w:hideMark/>
          </w:tcPr>
          <w:p w14:paraId="5FCCD35C" w14:textId="59CB2750"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352</w:t>
            </w:r>
          </w:p>
        </w:tc>
        <w:tc>
          <w:tcPr>
            <w:tcW w:w="1180" w:type="dxa"/>
            <w:shd w:val="clear" w:color="auto" w:fill="auto"/>
            <w:vAlign w:val="center"/>
            <w:hideMark/>
          </w:tcPr>
          <w:p w14:paraId="4FD5610A" w14:textId="380F2F0C" w:rsidR="000466A4" w:rsidRPr="000466A4" w:rsidRDefault="000466A4" w:rsidP="000466A4">
            <w:pPr>
              <w:spacing w:after="0" w:line="240" w:lineRule="auto"/>
              <w:jc w:val="right"/>
              <w:rPr>
                <w:rFonts w:ascii="Arial" w:eastAsia="Times New Roman" w:hAnsi="Arial" w:cs="Arial"/>
                <w:color w:val="000000"/>
                <w:sz w:val="18"/>
                <w:szCs w:val="18"/>
                <w:lang w:eastAsia="sl-SI"/>
              </w:rPr>
            </w:pPr>
            <w:bookmarkStart w:id="39" w:name="_Hlk11757107"/>
            <w:r w:rsidRPr="000466A4">
              <w:rPr>
                <w:rFonts w:ascii="Arial" w:hAnsi="Arial" w:cs="Arial"/>
                <w:sz w:val="18"/>
                <w:szCs w:val="18"/>
              </w:rPr>
              <w:t>78.077.717</w:t>
            </w:r>
            <w:bookmarkEnd w:id="39"/>
          </w:p>
        </w:tc>
        <w:tc>
          <w:tcPr>
            <w:tcW w:w="1300" w:type="dxa"/>
            <w:shd w:val="clear" w:color="auto" w:fill="auto"/>
            <w:vAlign w:val="center"/>
            <w:hideMark/>
          </w:tcPr>
          <w:p w14:paraId="47F896B2" w14:textId="4AE78672"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39,02 %</w:t>
            </w:r>
          </w:p>
        </w:tc>
        <w:tc>
          <w:tcPr>
            <w:tcW w:w="1392" w:type="dxa"/>
            <w:shd w:val="clear" w:color="auto" w:fill="auto"/>
            <w:vAlign w:val="center"/>
            <w:hideMark/>
          </w:tcPr>
          <w:p w14:paraId="26BA113E" w14:textId="51D17238"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22,01 %</w:t>
            </w:r>
          </w:p>
        </w:tc>
      </w:tr>
      <w:tr w:rsidR="000466A4" w:rsidRPr="000466A4" w14:paraId="307F2FEB" w14:textId="77777777" w:rsidTr="00C634E2">
        <w:trPr>
          <w:trHeight w:val="300"/>
          <w:jc w:val="center"/>
        </w:trPr>
        <w:tc>
          <w:tcPr>
            <w:tcW w:w="960" w:type="dxa"/>
            <w:shd w:val="clear" w:color="auto" w:fill="auto"/>
            <w:vAlign w:val="center"/>
            <w:hideMark/>
          </w:tcPr>
          <w:p w14:paraId="2F36A493" w14:textId="09D23991" w:rsidR="000466A4" w:rsidRPr="000466A4" w:rsidRDefault="000466A4" w:rsidP="000466A4">
            <w:pPr>
              <w:spacing w:after="0" w:line="240" w:lineRule="auto"/>
              <w:jc w:val="both"/>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Storitve</w:t>
            </w:r>
          </w:p>
        </w:tc>
        <w:tc>
          <w:tcPr>
            <w:tcW w:w="980" w:type="dxa"/>
            <w:shd w:val="clear" w:color="auto" w:fill="auto"/>
            <w:vAlign w:val="center"/>
            <w:hideMark/>
          </w:tcPr>
          <w:p w14:paraId="5E545C97" w14:textId="0E4CC8D2"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315</w:t>
            </w:r>
          </w:p>
        </w:tc>
        <w:tc>
          <w:tcPr>
            <w:tcW w:w="1180" w:type="dxa"/>
            <w:shd w:val="clear" w:color="auto" w:fill="auto"/>
            <w:vAlign w:val="center"/>
            <w:hideMark/>
          </w:tcPr>
          <w:p w14:paraId="6570E7BE" w14:textId="2A0D3D70"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73.820.241</w:t>
            </w:r>
          </w:p>
        </w:tc>
        <w:tc>
          <w:tcPr>
            <w:tcW w:w="1300" w:type="dxa"/>
            <w:shd w:val="clear" w:color="auto" w:fill="auto"/>
            <w:vAlign w:val="center"/>
            <w:hideMark/>
          </w:tcPr>
          <w:p w14:paraId="37774A87" w14:textId="2F1D9BE8"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34,92 %</w:t>
            </w:r>
          </w:p>
        </w:tc>
        <w:tc>
          <w:tcPr>
            <w:tcW w:w="1392" w:type="dxa"/>
            <w:shd w:val="clear" w:color="auto" w:fill="auto"/>
            <w:vAlign w:val="center"/>
            <w:hideMark/>
          </w:tcPr>
          <w:p w14:paraId="7672E319" w14:textId="6B17B31F"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20,81 %</w:t>
            </w:r>
          </w:p>
        </w:tc>
      </w:tr>
      <w:tr w:rsidR="000466A4" w:rsidRPr="000466A4" w14:paraId="57305E22" w14:textId="77777777" w:rsidTr="00C634E2">
        <w:trPr>
          <w:trHeight w:val="300"/>
          <w:jc w:val="center"/>
        </w:trPr>
        <w:tc>
          <w:tcPr>
            <w:tcW w:w="960" w:type="dxa"/>
            <w:shd w:val="clear" w:color="auto" w:fill="auto"/>
            <w:vAlign w:val="center"/>
            <w:hideMark/>
          </w:tcPr>
          <w:p w14:paraId="1A5E0B56" w14:textId="5DA975DB" w:rsidR="000466A4" w:rsidRPr="000466A4" w:rsidRDefault="000466A4" w:rsidP="000466A4">
            <w:pPr>
              <w:spacing w:after="0" w:line="240" w:lineRule="auto"/>
              <w:jc w:val="both"/>
              <w:rPr>
                <w:rFonts w:ascii="Arial" w:eastAsia="Times New Roman" w:hAnsi="Arial" w:cs="Arial"/>
                <w:color w:val="000000"/>
                <w:sz w:val="18"/>
                <w:szCs w:val="18"/>
                <w:lang w:eastAsia="sl-SI"/>
              </w:rPr>
            </w:pPr>
            <w:r w:rsidRPr="000466A4">
              <w:rPr>
                <w:rFonts w:ascii="Arial" w:eastAsia="Times New Roman" w:hAnsi="Arial" w:cs="Arial"/>
                <w:color w:val="000000"/>
                <w:sz w:val="18"/>
                <w:szCs w:val="18"/>
                <w:lang w:eastAsia="sl-SI"/>
              </w:rPr>
              <w:t>Gradnje</w:t>
            </w:r>
          </w:p>
        </w:tc>
        <w:tc>
          <w:tcPr>
            <w:tcW w:w="980" w:type="dxa"/>
            <w:shd w:val="clear" w:color="auto" w:fill="auto"/>
            <w:vAlign w:val="center"/>
            <w:hideMark/>
          </w:tcPr>
          <w:p w14:paraId="24E5A83A" w14:textId="2F78FCF1"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235</w:t>
            </w:r>
          </w:p>
        </w:tc>
        <w:tc>
          <w:tcPr>
            <w:tcW w:w="1180" w:type="dxa"/>
            <w:shd w:val="clear" w:color="auto" w:fill="auto"/>
            <w:vAlign w:val="center"/>
            <w:hideMark/>
          </w:tcPr>
          <w:p w14:paraId="19738593" w14:textId="5B0F96B7"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202.765.725</w:t>
            </w:r>
          </w:p>
        </w:tc>
        <w:tc>
          <w:tcPr>
            <w:tcW w:w="1300" w:type="dxa"/>
            <w:shd w:val="clear" w:color="auto" w:fill="auto"/>
            <w:vAlign w:val="center"/>
            <w:hideMark/>
          </w:tcPr>
          <w:p w14:paraId="7FD81D55" w14:textId="1DF2DA9E"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26,05 %</w:t>
            </w:r>
          </w:p>
        </w:tc>
        <w:tc>
          <w:tcPr>
            <w:tcW w:w="1392" w:type="dxa"/>
            <w:shd w:val="clear" w:color="auto" w:fill="auto"/>
            <w:vAlign w:val="center"/>
            <w:hideMark/>
          </w:tcPr>
          <w:p w14:paraId="20EA4A48" w14:textId="073F91DE" w:rsidR="000466A4" w:rsidRPr="000466A4" w:rsidRDefault="000466A4" w:rsidP="000466A4">
            <w:pPr>
              <w:spacing w:after="0" w:line="240" w:lineRule="auto"/>
              <w:jc w:val="right"/>
              <w:rPr>
                <w:rFonts w:ascii="Arial" w:eastAsia="Times New Roman" w:hAnsi="Arial" w:cs="Arial"/>
                <w:color w:val="000000"/>
                <w:sz w:val="18"/>
                <w:szCs w:val="18"/>
                <w:lang w:eastAsia="sl-SI"/>
              </w:rPr>
            </w:pPr>
            <w:r w:rsidRPr="000466A4">
              <w:rPr>
                <w:rFonts w:ascii="Arial" w:hAnsi="Arial" w:cs="Arial"/>
                <w:sz w:val="18"/>
                <w:szCs w:val="18"/>
              </w:rPr>
              <w:t>57,17 %</w:t>
            </w:r>
          </w:p>
        </w:tc>
      </w:tr>
      <w:tr w:rsidR="000466A4" w:rsidRPr="000466A4" w14:paraId="2A174C2E" w14:textId="77777777" w:rsidTr="00B45EE0">
        <w:trPr>
          <w:trHeight w:val="300"/>
          <w:jc w:val="center"/>
        </w:trPr>
        <w:tc>
          <w:tcPr>
            <w:tcW w:w="960" w:type="dxa"/>
            <w:shd w:val="clear" w:color="auto" w:fill="E7E6E6" w:themeFill="background2"/>
            <w:vAlign w:val="center"/>
            <w:hideMark/>
          </w:tcPr>
          <w:p w14:paraId="75981E1B" w14:textId="7CDB262B" w:rsidR="000466A4" w:rsidRPr="000466A4" w:rsidRDefault="000466A4" w:rsidP="000466A4">
            <w:pPr>
              <w:spacing w:after="0" w:line="240" w:lineRule="auto"/>
              <w:jc w:val="both"/>
              <w:rPr>
                <w:rFonts w:ascii="Arial" w:eastAsia="Times New Roman" w:hAnsi="Arial" w:cs="Arial"/>
                <w:b/>
                <w:bCs/>
                <w:color w:val="000000"/>
                <w:sz w:val="18"/>
                <w:szCs w:val="18"/>
                <w:lang w:eastAsia="sl-SI"/>
              </w:rPr>
            </w:pPr>
            <w:r w:rsidRPr="000466A4">
              <w:rPr>
                <w:rFonts w:ascii="Arial" w:eastAsia="Times New Roman" w:hAnsi="Arial" w:cs="Arial"/>
                <w:b/>
                <w:bCs/>
                <w:color w:val="000000"/>
                <w:sz w:val="18"/>
                <w:szCs w:val="18"/>
                <w:lang w:eastAsia="sl-SI"/>
              </w:rPr>
              <w:t xml:space="preserve">Skupaj </w:t>
            </w:r>
          </w:p>
        </w:tc>
        <w:tc>
          <w:tcPr>
            <w:tcW w:w="980" w:type="dxa"/>
            <w:shd w:val="clear" w:color="auto" w:fill="E7E6E6" w:themeFill="background2"/>
            <w:vAlign w:val="center"/>
            <w:hideMark/>
          </w:tcPr>
          <w:p w14:paraId="67C7F741" w14:textId="2DAE8E3F" w:rsidR="000466A4" w:rsidRPr="000466A4" w:rsidRDefault="000466A4" w:rsidP="000466A4">
            <w:pPr>
              <w:spacing w:after="0" w:line="240" w:lineRule="auto"/>
              <w:jc w:val="right"/>
              <w:rPr>
                <w:rFonts w:ascii="Arial" w:eastAsia="Times New Roman" w:hAnsi="Arial" w:cs="Arial"/>
                <w:b/>
                <w:color w:val="000000"/>
                <w:sz w:val="18"/>
                <w:szCs w:val="18"/>
                <w:lang w:eastAsia="sl-SI"/>
              </w:rPr>
            </w:pPr>
            <w:r w:rsidRPr="000466A4">
              <w:rPr>
                <w:rFonts w:ascii="Arial" w:hAnsi="Arial" w:cs="Arial"/>
                <w:b/>
                <w:sz w:val="18"/>
                <w:szCs w:val="18"/>
              </w:rPr>
              <w:t>902</w:t>
            </w:r>
          </w:p>
        </w:tc>
        <w:tc>
          <w:tcPr>
            <w:tcW w:w="1180" w:type="dxa"/>
            <w:shd w:val="clear" w:color="auto" w:fill="E7E6E6" w:themeFill="background2"/>
            <w:vAlign w:val="center"/>
            <w:hideMark/>
          </w:tcPr>
          <w:p w14:paraId="7D6565C8" w14:textId="6DC28C87" w:rsidR="000466A4" w:rsidRPr="000466A4" w:rsidRDefault="000466A4" w:rsidP="000466A4">
            <w:pPr>
              <w:spacing w:after="0" w:line="240" w:lineRule="auto"/>
              <w:jc w:val="right"/>
              <w:rPr>
                <w:rFonts w:ascii="Arial" w:eastAsia="Times New Roman" w:hAnsi="Arial" w:cs="Arial"/>
                <w:b/>
                <w:color w:val="000000"/>
                <w:sz w:val="18"/>
                <w:szCs w:val="18"/>
                <w:lang w:eastAsia="sl-SI"/>
              </w:rPr>
            </w:pPr>
            <w:r w:rsidRPr="000466A4">
              <w:rPr>
                <w:rFonts w:ascii="Arial" w:hAnsi="Arial" w:cs="Arial"/>
                <w:b/>
                <w:sz w:val="18"/>
                <w:szCs w:val="18"/>
              </w:rPr>
              <w:t>354.663.683</w:t>
            </w:r>
          </w:p>
        </w:tc>
        <w:tc>
          <w:tcPr>
            <w:tcW w:w="1300" w:type="dxa"/>
            <w:shd w:val="clear" w:color="auto" w:fill="E7E6E6" w:themeFill="background2"/>
            <w:vAlign w:val="center"/>
            <w:hideMark/>
          </w:tcPr>
          <w:p w14:paraId="35FE9C73" w14:textId="08B98FE1" w:rsidR="000466A4" w:rsidRPr="000466A4" w:rsidRDefault="000466A4" w:rsidP="000466A4">
            <w:pPr>
              <w:spacing w:after="0" w:line="240" w:lineRule="auto"/>
              <w:jc w:val="right"/>
              <w:rPr>
                <w:rFonts w:ascii="Arial" w:eastAsia="Times New Roman" w:hAnsi="Arial" w:cs="Arial"/>
                <w:b/>
                <w:color w:val="000000"/>
                <w:sz w:val="18"/>
                <w:szCs w:val="18"/>
                <w:lang w:eastAsia="sl-SI"/>
              </w:rPr>
            </w:pPr>
            <w:r w:rsidRPr="000466A4">
              <w:rPr>
                <w:rFonts w:ascii="Arial" w:hAnsi="Arial" w:cs="Arial"/>
                <w:b/>
                <w:sz w:val="18"/>
                <w:szCs w:val="18"/>
              </w:rPr>
              <w:t>100,00 %</w:t>
            </w:r>
          </w:p>
        </w:tc>
        <w:tc>
          <w:tcPr>
            <w:tcW w:w="1392" w:type="dxa"/>
            <w:shd w:val="clear" w:color="auto" w:fill="E7E6E6" w:themeFill="background2"/>
            <w:vAlign w:val="center"/>
            <w:hideMark/>
          </w:tcPr>
          <w:p w14:paraId="03C4A5BF" w14:textId="2CCBB0D1" w:rsidR="000466A4" w:rsidRPr="000466A4" w:rsidRDefault="000466A4" w:rsidP="000466A4">
            <w:pPr>
              <w:spacing w:after="0" w:line="240" w:lineRule="auto"/>
              <w:jc w:val="right"/>
              <w:rPr>
                <w:rFonts w:ascii="Arial" w:eastAsia="Times New Roman" w:hAnsi="Arial" w:cs="Arial"/>
                <w:b/>
                <w:color w:val="000000"/>
                <w:sz w:val="18"/>
                <w:szCs w:val="18"/>
                <w:lang w:eastAsia="sl-SI"/>
              </w:rPr>
            </w:pPr>
            <w:r w:rsidRPr="000466A4">
              <w:rPr>
                <w:rFonts w:ascii="Arial" w:hAnsi="Arial" w:cs="Arial"/>
                <w:b/>
                <w:sz w:val="18"/>
                <w:szCs w:val="18"/>
              </w:rPr>
              <w:t>100,00 %</w:t>
            </w:r>
          </w:p>
        </w:tc>
      </w:tr>
    </w:tbl>
    <w:p w14:paraId="10B268B4" w14:textId="77777777" w:rsidR="004A613D" w:rsidRPr="000466A4" w:rsidRDefault="004A613D" w:rsidP="004A613D">
      <w:pPr>
        <w:spacing w:after="0" w:line="240" w:lineRule="auto"/>
        <w:jc w:val="center"/>
        <w:rPr>
          <w:rFonts w:ascii="Arial" w:hAnsi="Arial" w:cs="Arial"/>
          <w:sz w:val="18"/>
        </w:rPr>
      </w:pPr>
    </w:p>
    <w:p w14:paraId="20E41A96" w14:textId="03015096" w:rsidR="00782528" w:rsidRPr="000466A4" w:rsidRDefault="00782528" w:rsidP="004A613D">
      <w:pPr>
        <w:spacing w:after="0" w:line="240" w:lineRule="auto"/>
        <w:jc w:val="center"/>
        <w:rPr>
          <w:rFonts w:ascii="Arial" w:hAnsi="Arial" w:cs="Arial"/>
          <w:sz w:val="18"/>
        </w:rPr>
      </w:pPr>
      <w:r w:rsidRPr="000466A4">
        <w:rPr>
          <w:rFonts w:ascii="Arial" w:hAnsi="Arial" w:cs="Arial"/>
          <w:sz w:val="18"/>
        </w:rPr>
        <w:t>Vir: Statistični podatki o javni</w:t>
      </w:r>
      <w:r w:rsidR="00E913F2" w:rsidRPr="000466A4">
        <w:rPr>
          <w:rFonts w:ascii="Arial" w:hAnsi="Arial" w:cs="Arial"/>
          <w:sz w:val="18"/>
        </w:rPr>
        <w:t>h naročilih, oddanih v letu 201</w:t>
      </w:r>
      <w:r w:rsidR="000466A4" w:rsidRPr="000466A4">
        <w:rPr>
          <w:rFonts w:ascii="Arial" w:hAnsi="Arial" w:cs="Arial"/>
          <w:sz w:val="18"/>
        </w:rPr>
        <w:t>8</w:t>
      </w:r>
    </w:p>
    <w:p w14:paraId="7DD2906B" w14:textId="77777777" w:rsidR="000B5B5F" w:rsidRDefault="000B5B5F" w:rsidP="003F5C42">
      <w:pPr>
        <w:pStyle w:val="Standard"/>
        <w:spacing w:line="360" w:lineRule="auto"/>
        <w:rPr>
          <w:rFonts w:cs="Arial"/>
          <w:sz w:val="20"/>
          <w:szCs w:val="20"/>
          <w:lang w:eastAsia="sl-SI"/>
        </w:rPr>
      </w:pPr>
    </w:p>
    <w:p w14:paraId="0A3926D8" w14:textId="5365A75E" w:rsidR="003F5C42" w:rsidRPr="00616302" w:rsidRDefault="00BB4C01" w:rsidP="003F5C42">
      <w:pPr>
        <w:pStyle w:val="Standard"/>
        <w:spacing w:line="360" w:lineRule="auto"/>
        <w:rPr>
          <w:rFonts w:cs="Arial"/>
          <w:sz w:val="20"/>
          <w:szCs w:val="20"/>
          <w:lang w:eastAsia="sl-SI"/>
        </w:rPr>
      </w:pPr>
      <w:r w:rsidRPr="00616302">
        <w:rPr>
          <w:rFonts w:cs="Arial"/>
          <w:sz w:val="20"/>
          <w:szCs w:val="20"/>
          <w:lang w:eastAsia="sl-SI"/>
        </w:rPr>
        <w:t xml:space="preserve">Največjo vrednost naročil so </w:t>
      </w:r>
      <w:r w:rsidR="003F5C42" w:rsidRPr="00616302">
        <w:rPr>
          <w:rFonts w:cs="Arial"/>
          <w:sz w:val="20"/>
          <w:szCs w:val="20"/>
          <w:lang w:eastAsia="sl-SI"/>
        </w:rPr>
        <w:t>naročniki oddali z uporabo odprtega postopka</w:t>
      </w:r>
      <w:r w:rsidR="003D3D5C" w:rsidRPr="00616302">
        <w:rPr>
          <w:rFonts w:cs="Arial"/>
          <w:sz w:val="20"/>
          <w:szCs w:val="20"/>
          <w:lang w:eastAsia="sl-SI"/>
        </w:rPr>
        <w:t xml:space="preserve">, in sicer </w:t>
      </w:r>
      <w:r w:rsidR="00616302" w:rsidRPr="00616302">
        <w:rPr>
          <w:rFonts w:cs="Arial"/>
          <w:sz w:val="20"/>
          <w:szCs w:val="20"/>
          <w:lang w:eastAsia="sl-SI"/>
        </w:rPr>
        <w:t>321</w:t>
      </w:r>
      <w:r w:rsidR="003F5C42" w:rsidRPr="00616302">
        <w:rPr>
          <w:rFonts w:cs="Arial"/>
          <w:sz w:val="20"/>
          <w:szCs w:val="20"/>
          <w:lang w:eastAsia="sl-SI"/>
        </w:rPr>
        <w:t xml:space="preserve"> naročil v vrednosti </w:t>
      </w:r>
      <w:r w:rsidR="00616302" w:rsidRPr="00616302">
        <w:rPr>
          <w:rFonts w:cs="Arial"/>
          <w:sz w:val="20"/>
          <w:szCs w:val="20"/>
          <w:lang w:eastAsia="sl-SI"/>
        </w:rPr>
        <w:t xml:space="preserve">240.770.500 </w:t>
      </w:r>
      <w:r w:rsidR="003F5C42" w:rsidRPr="00616302">
        <w:rPr>
          <w:rFonts w:cs="Arial"/>
          <w:sz w:val="20"/>
          <w:szCs w:val="20"/>
          <w:lang w:eastAsia="sl-SI"/>
        </w:rPr>
        <w:t xml:space="preserve">evrov, kar je </w:t>
      </w:r>
      <w:r w:rsidR="00616302" w:rsidRPr="00616302">
        <w:rPr>
          <w:rFonts w:cs="Arial"/>
          <w:sz w:val="20"/>
          <w:szCs w:val="20"/>
          <w:lang w:eastAsia="sl-SI"/>
        </w:rPr>
        <w:t>67,89</w:t>
      </w:r>
      <w:r w:rsidR="003D3D5C" w:rsidRPr="00616302">
        <w:rPr>
          <w:rFonts w:cs="Arial"/>
          <w:sz w:val="20"/>
          <w:szCs w:val="20"/>
          <w:lang w:eastAsia="sl-SI"/>
        </w:rPr>
        <w:t xml:space="preserve"> </w:t>
      </w:r>
      <w:r w:rsidR="0029442D" w:rsidRPr="00616302">
        <w:rPr>
          <w:rFonts w:cs="Arial"/>
          <w:sz w:val="20"/>
          <w:szCs w:val="20"/>
          <w:lang w:eastAsia="sl-SI"/>
        </w:rPr>
        <w:t>%</w:t>
      </w:r>
      <w:r w:rsidR="003F5C42" w:rsidRPr="00616302">
        <w:rPr>
          <w:rFonts w:cs="Arial"/>
          <w:sz w:val="20"/>
          <w:szCs w:val="20"/>
          <w:lang w:eastAsia="sl-SI"/>
        </w:rPr>
        <w:t xml:space="preserve"> vrednosti naročil, </w:t>
      </w:r>
      <w:r w:rsidR="0009505B" w:rsidRPr="00616302">
        <w:rPr>
          <w:rFonts w:cs="Arial"/>
          <w:sz w:val="20"/>
          <w:szCs w:val="20"/>
          <w:lang w:eastAsia="sl-SI"/>
        </w:rPr>
        <w:t>(</w:t>
      </w:r>
      <w:r w:rsidR="003F5C42" w:rsidRPr="00616302">
        <w:rPr>
          <w:rFonts w:cs="Arial"/>
          <w:sz w:val="20"/>
          <w:szCs w:val="20"/>
          <w:lang w:eastAsia="sl-SI"/>
        </w:rPr>
        <w:t>so</w:t>
      </w:r>
      <w:r w:rsidR="0009505B" w:rsidRPr="00616302">
        <w:rPr>
          <w:rFonts w:cs="Arial"/>
          <w:sz w:val="20"/>
          <w:szCs w:val="20"/>
          <w:lang w:eastAsia="sl-SI"/>
        </w:rPr>
        <w:t>)</w:t>
      </w:r>
      <w:r w:rsidR="003F5C42" w:rsidRPr="00616302">
        <w:rPr>
          <w:rFonts w:cs="Arial"/>
          <w:sz w:val="20"/>
          <w:szCs w:val="20"/>
          <w:lang w:eastAsia="sl-SI"/>
        </w:rPr>
        <w:t>financiranih s sredstvi Evropske unije.</w:t>
      </w:r>
    </w:p>
    <w:p w14:paraId="7397B402" w14:textId="77777777" w:rsidR="000B5B5F" w:rsidRDefault="000B5B5F">
      <w:pPr>
        <w:rPr>
          <w:rFonts w:ascii="Arial" w:hAnsi="Arial" w:cs="Arial"/>
          <w:sz w:val="20"/>
        </w:rPr>
      </w:pPr>
      <w:r>
        <w:rPr>
          <w:rFonts w:ascii="Arial" w:hAnsi="Arial" w:cs="Arial"/>
          <w:sz w:val="20"/>
        </w:rPr>
        <w:br w:type="page"/>
      </w:r>
    </w:p>
    <w:p w14:paraId="3C45611F" w14:textId="11FB5FD2" w:rsidR="003F5C42" w:rsidRPr="00780821" w:rsidRDefault="003F5C42" w:rsidP="00701C10">
      <w:pPr>
        <w:spacing w:before="120" w:after="120" w:line="240" w:lineRule="auto"/>
        <w:jc w:val="both"/>
        <w:rPr>
          <w:rFonts w:ascii="Arial" w:hAnsi="Arial" w:cs="Arial"/>
          <w:sz w:val="20"/>
        </w:rPr>
      </w:pPr>
      <w:r w:rsidRPr="00780821">
        <w:rPr>
          <w:rFonts w:ascii="Arial" w:hAnsi="Arial" w:cs="Arial"/>
          <w:sz w:val="20"/>
        </w:rPr>
        <w:lastRenderedPageBreak/>
        <w:t xml:space="preserve">Preglednica </w:t>
      </w:r>
      <w:r w:rsidR="00AE18EF" w:rsidRPr="00780821">
        <w:rPr>
          <w:rFonts w:ascii="Arial" w:hAnsi="Arial" w:cs="Arial"/>
          <w:sz w:val="20"/>
        </w:rPr>
        <w:t>5</w:t>
      </w:r>
      <w:r w:rsidR="00EB4423">
        <w:rPr>
          <w:rFonts w:ascii="Arial" w:hAnsi="Arial" w:cs="Arial"/>
          <w:sz w:val="20"/>
        </w:rPr>
        <w:t>6</w:t>
      </w:r>
      <w:r w:rsidRPr="00780821">
        <w:rPr>
          <w:rFonts w:ascii="Arial" w:hAnsi="Arial" w:cs="Arial"/>
          <w:sz w:val="20"/>
        </w:rPr>
        <w:t xml:space="preserve">: Javna naročila, </w:t>
      </w:r>
      <w:r w:rsidR="0009505B" w:rsidRPr="00780821">
        <w:rPr>
          <w:rFonts w:ascii="Arial" w:hAnsi="Arial" w:cs="Arial"/>
          <w:sz w:val="20"/>
        </w:rPr>
        <w:t>(</w:t>
      </w:r>
      <w:r w:rsidRPr="00780821">
        <w:rPr>
          <w:rFonts w:ascii="Arial" w:hAnsi="Arial" w:cs="Arial"/>
          <w:sz w:val="20"/>
        </w:rPr>
        <w:t>so</w:t>
      </w:r>
      <w:r w:rsidR="0009505B" w:rsidRPr="00780821">
        <w:rPr>
          <w:rFonts w:ascii="Arial" w:hAnsi="Arial" w:cs="Arial"/>
          <w:sz w:val="20"/>
        </w:rPr>
        <w:t>)</w:t>
      </w:r>
      <w:r w:rsidRPr="00780821">
        <w:rPr>
          <w:rFonts w:ascii="Arial" w:hAnsi="Arial" w:cs="Arial"/>
          <w:sz w:val="20"/>
        </w:rPr>
        <w:t>financirana s sredstvi Evropske unije, po vrsti postopka</w:t>
      </w:r>
    </w:p>
    <w:tbl>
      <w:tblPr>
        <w:tblW w:w="5000" w:type="pct"/>
        <w:tblCellMar>
          <w:left w:w="70" w:type="dxa"/>
          <w:right w:w="70" w:type="dxa"/>
        </w:tblCellMar>
        <w:tblLook w:val="04A0" w:firstRow="1" w:lastRow="0" w:firstColumn="1" w:lastColumn="0" w:noHBand="0" w:noVBand="1"/>
      </w:tblPr>
      <w:tblGrid>
        <w:gridCol w:w="3868"/>
        <w:gridCol w:w="825"/>
        <w:gridCol w:w="1647"/>
        <w:gridCol w:w="1379"/>
        <w:gridCol w:w="1343"/>
      </w:tblGrid>
      <w:tr w:rsidR="00FD2A81" w:rsidRPr="00FD2A81" w14:paraId="1F5199CE" w14:textId="77777777" w:rsidTr="00FD2A81">
        <w:trPr>
          <w:trHeight w:val="300"/>
        </w:trPr>
        <w:tc>
          <w:tcPr>
            <w:tcW w:w="213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1356FAB" w14:textId="77777777" w:rsidR="00FD2A81" w:rsidRPr="00FD2A81" w:rsidRDefault="00FD2A81" w:rsidP="00FD2A81">
            <w:pPr>
              <w:spacing w:after="0" w:line="240" w:lineRule="auto"/>
              <w:jc w:val="center"/>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Vrsta postopka</w:t>
            </w:r>
          </w:p>
        </w:tc>
        <w:tc>
          <w:tcPr>
            <w:tcW w:w="455" w:type="pct"/>
            <w:tcBorders>
              <w:top w:val="single" w:sz="4" w:space="0" w:color="auto"/>
              <w:left w:val="nil"/>
              <w:bottom w:val="single" w:sz="4" w:space="0" w:color="auto"/>
              <w:right w:val="single" w:sz="4" w:space="0" w:color="auto"/>
            </w:tcBorders>
            <w:shd w:val="clear" w:color="000000" w:fill="EDEDED"/>
            <w:vAlign w:val="center"/>
            <w:hideMark/>
          </w:tcPr>
          <w:p w14:paraId="7A09A4D5" w14:textId="77777777" w:rsidR="00FD2A81" w:rsidRPr="00FD2A81" w:rsidRDefault="00FD2A81" w:rsidP="00FD2A81">
            <w:pPr>
              <w:spacing w:after="0" w:line="240" w:lineRule="auto"/>
              <w:jc w:val="center"/>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Št. naročil</w:t>
            </w:r>
          </w:p>
        </w:tc>
        <w:tc>
          <w:tcPr>
            <w:tcW w:w="909" w:type="pct"/>
            <w:tcBorders>
              <w:top w:val="single" w:sz="4" w:space="0" w:color="auto"/>
              <w:left w:val="nil"/>
              <w:bottom w:val="single" w:sz="4" w:space="0" w:color="auto"/>
              <w:right w:val="single" w:sz="4" w:space="0" w:color="auto"/>
            </w:tcBorders>
            <w:shd w:val="clear" w:color="000000" w:fill="EDEDED"/>
            <w:vAlign w:val="center"/>
            <w:hideMark/>
          </w:tcPr>
          <w:p w14:paraId="5F05804B" w14:textId="77777777" w:rsidR="00FD2A81" w:rsidRPr="00FD2A81" w:rsidRDefault="00FD2A81" w:rsidP="00FD2A81">
            <w:pPr>
              <w:spacing w:after="0" w:line="240" w:lineRule="auto"/>
              <w:jc w:val="center"/>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Pogodbena vrednost</w:t>
            </w:r>
          </w:p>
        </w:tc>
        <w:tc>
          <w:tcPr>
            <w:tcW w:w="761" w:type="pct"/>
            <w:tcBorders>
              <w:top w:val="single" w:sz="4" w:space="0" w:color="auto"/>
              <w:left w:val="nil"/>
              <w:bottom w:val="single" w:sz="4" w:space="0" w:color="auto"/>
              <w:right w:val="single" w:sz="4" w:space="0" w:color="auto"/>
            </w:tcBorders>
            <w:shd w:val="clear" w:color="000000" w:fill="EDEDED"/>
            <w:vAlign w:val="center"/>
            <w:hideMark/>
          </w:tcPr>
          <w:p w14:paraId="7117A312" w14:textId="77777777" w:rsidR="00FD2A81" w:rsidRPr="00FD2A81" w:rsidRDefault="00FD2A81" w:rsidP="00FD2A81">
            <w:pPr>
              <w:spacing w:after="0" w:line="240" w:lineRule="auto"/>
              <w:jc w:val="center"/>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Delež v št. naročil</w:t>
            </w:r>
          </w:p>
        </w:tc>
        <w:tc>
          <w:tcPr>
            <w:tcW w:w="741" w:type="pct"/>
            <w:tcBorders>
              <w:top w:val="single" w:sz="4" w:space="0" w:color="auto"/>
              <w:left w:val="nil"/>
              <w:bottom w:val="single" w:sz="4" w:space="0" w:color="auto"/>
              <w:right w:val="single" w:sz="4" w:space="0" w:color="auto"/>
            </w:tcBorders>
            <w:shd w:val="clear" w:color="000000" w:fill="EDEDED"/>
            <w:vAlign w:val="center"/>
            <w:hideMark/>
          </w:tcPr>
          <w:p w14:paraId="32D7E3F9" w14:textId="77777777" w:rsidR="00FD2A81" w:rsidRPr="00FD2A81" w:rsidRDefault="00FD2A81" w:rsidP="00FD2A81">
            <w:pPr>
              <w:spacing w:after="0" w:line="240" w:lineRule="auto"/>
              <w:jc w:val="center"/>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Delež v vrednosti</w:t>
            </w:r>
          </w:p>
        </w:tc>
      </w:tr>
      <w:tr w:rsidR="00FD2A81" w:rsidRPr="00FD2A81" w14:paraId="563D5917" w14:textId="77777777" w:rsidTr="00BB42F9">
        <w:trPr>
          <w:trHeight w:val="300"/>
        </w:trPr>
        <w:tc>
          <w:tcPr>
            <w:tcW w:w="2134" w:type="pct"/>
            <w:tcBorders>
              <w:top w:val="nil"/>
              <w:left w:val="single" w:sz="4" w:space="0" w:color="auto"/>
              <w:bottom w:val="single" w:sz="4" w:space="0" w:color="auto"/>
              <w:right w:val="single" w:sz="4" w:space="0" w:color="auto"/>
            </w:tcBorders>
            <w:shd w:val="clear" w:color="auto" w:fill="auto"/>
            <w:noWrap/>
            <w:vAlign w:val="center"/>
            <w:hideMark/>
          </w:tcPr>
          <w:p w14:paraId="18863F37" w14:textId="77777777" w:rsidR="00FD2A81" w:rsidRPr="00FD2A81" w:rsidRDefault="00FD2A81" w:rsidP="00BB42F9">
            <w:pPr>
              <w:spacing w:after="0" w:line="240" w:lineRule="auto"/>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Konkurenčni dialog</w:t>
            </w:r>
          </w:p>
        </w:tc>
        <w:tc>
          <w:tcPr>
            <w:tcW w:w="455" w:type="pct"/>
            <w:tcBorders>
              <w:top w:val="nil"/>
              <w:left w:val="nil"/>
              <w:bottom w:val="single" w:sz="4" w:space="0" w:color="auto"/>
              <w:right w:val="single" w:sz="4" w:space="0" w:color="auto"/>
            </w:tcBorders>
            <w:shd w:val="clear" w:color="auto" w:fill="auto"/>
            <w:noWrap/>
            <w:vAlign w:val="center"/>
            <w:hideMark/>
          </w:tcPr>
          <w:p w14:paraId="7133F07A"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1</w:t>
            </w:r>
          </w:p>
        </w:tc>
        <w:tc>
          <w:tcPr>
            <w:tcW w:w="909" w:type="pct"/>
            <w:tcBorders>
              <w:top w:val="nil"/>
              <w:left w:val="nil"/>
              <w:bottom w:val="single" w:sz="4" w:space="0" w:color="auto"/>
              <w:right w:val="single" w:sz="4" w:space="0" w:color="auto"/>
            </w:tcBorders>
            <w:shd w:val="clear" w:color="auto" w:fill="auto"/>
            <w:noWrap/>
            <w:vAlign w:val="center"/>
            <w:hideMark/>
          </w:tcPr>
          <w:p w14:paraId="709D6DCE"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4.784.929</w:t>
            </w:r>
          </w:p>
        </w:tc>
        <w:tc>
          <w:tcPr>
            <w:tcW w:w="761" w:type="pct"/>
            <w:tcBorders>
              <w:top w:val="nil"/>
              <w:left w:val="nil"/>
              <w:bottom w:val="single" w:sz="4" w:space="0" w:color="auto"/>
              <w:right w:val="single" w:sz="4" w:space="0" w:color="auto"/>
            </w:tcBorders>
            <w:shd w:val="clear" w:color="auto" w:fill="auto"/>
            <w:noWrap/>
            <w:vAlign w:val="center"/>
            <w:hideMark/>
          </w:tcPr>
          <w:p w14:paraId="628A70D8" w14:textId="1BC665A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0,11</w:t>
            </w:r>
            <w:r w:rsidR="00BB42F9">
              <w:rPr>
                <w:rFonts w:ascii="Arial" w:eastAsia="Times New Roman" w:hAnsi="Arial" w:cs="Arial"/>
                <w:color w:val="000000"/>
                <w:sz w:val="18"/>
                <w:szCs w:val="18"/>
                <w:lang w:eastAsia="sl-SI"/>
              </w:rPr>
              <w:t xml:space="preserve"> %</w:t>
            </w:r>
          </w:p>
        </w:tc>
        <w:tc>
          <w:tcPr>
            <w:tcW w:w="741" w:type="pct"/>
            <w:tcBorders>
              <w:top w:val="nil"/>
              <w:left w:val="nil"/>
              <w:bottom w:val="single" w:sz="4" w:space="0" w:color="auto"/>
              <w:right w:val="single" w:sz="4" w:space="0" w:color="auto"/>
            </w:tcBorders>
            <w:shd w:val="clear" w:color="auto" w:fill="auto"/>
            <w:noWrap/>
            <w:vAlign w:val="center"/>
            <w:hideMark/>
          </w:tcPr>
          <w:p w14:paraId="7417F5CB" w14:textId="357F67AE"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1,35</w:t>
            </w:r>
            <w:r w:rsidR="00BB42F9">
              <w:rPr>
                <w:rFonts w:ascii="Arial" w:eastAsia="Times New Roman" w:hAnsi="Arial" w:cs="Arial"/>
                <w:color w:val="000000"/>
                <w:sz w:val="18"/>
                <w:szCs w:val="18"/>
                <w:lang w:eastAsia="sl-SI"/>
              </w:rPr>
              <w:t xml:space="preserve"> %</w:t>
            </w:r>
          </w:p>
        </w:tc>
      </w:tr>
      <w:tr w:rsidR="00FD2A81" w:rsidRPr="00FD2A81" w14:paraId="66E8B8DB" w14:textId="77777777" w:rsidTr="00BB42F9">
        <w:trPr>
          <w:trHeight w:val="300"/>
        </w:trPr>
        <w:tc>
          <w:tcPr>
            <w:tcW w:w="2134" w:type="pct"/>
            <w:tcBorders>
              <w:top w:val="nil"/>
              <w:left w:val="single" w:sz="4" w:space="0" w:color="auto"/>
              <w:bottom w:val="single" w:sz="4" w:space="0" w:color="auto"/>
              <w:right w:val="single" w:sz="4" w:space="0" w:color="auto"/>
            </w:tcBorders>
            <w:shd w:val="clear" w:color="auto" w:fill="auto"/>
            <w:noWrap/>
            <w:vAlign w:val="center"/>
            <w:hideMark/>
          </w:tcPr>
          <w:p w14:paraId="0A8FBA60" w14:textId="77777777" w:rsidR="00FD2A81" w:rsidRPr="00FD2A81" w:rsidRDefault="00FD2A81" w:rsidP="00BB42F9">
            <w:pPr>
              <w:spacing w:after="0" w:line="240" w:lineRule="auto"/>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Konkurenčni postopek s pogajanji</w:t>
            </w:r>
          </w:p>
        </w:tc>
        <w:tc>
          <w:tcPr>
            <w:tcW w:w="455" w:type="pct"/>
            <w:tcBorders>
              <w:top w:val="nil"/>
              <w:left w:val="nil"/>
              <w:bottom w:val="single" w:sz="4" w:space="0" w:color="auto"/>
              <w:right w:val="single" w:sz="4" w:space="0" w:color="auto"/>
            </w:tcBorders>
            <w:shd w:val="clear" w:color="auto" w:fill="auto"/>
            <w:noWrap/>
            <w:vAlign w:val="center"/>
            <w:hideMark/>
          </w:tcPr>
          <w:p w14:paraId="46EDA162"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28</w:t>
            </w:r>
          </w:p>
        </w:tc>
        <w:tc>
          <w:tcPr>
            <w:tcW w:w="909" w:type="pct"/>
            <w:tcBorders>
              <w:top w:val="nil"/>
              <w:left w:val="nil"/>
              <w:bottom w:val="single" w:sz="4" w:space="0" w:color="auto"/>
              <w:right w:val="single" w:sz="4" w:space="0" w:color="auto"/>
            </w:tcBorders>
            <w:shd w:val="clear" w:color="auto" w:fill="auto"/>
            <w:noWrap/>
            <w:vAlign w:val="center"/>
            <w:hideMark/>
          </w:tcPr>
          <w:p w14:paraId="25550265"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49.405.451</w:t>
            </w:r>
          </w:p>
        </w:tc>
        <w:tc>
          <w:tcPr>
            <w:tcW w:w="761" w:type="pct"/>
            <w:tcBorders>
              <w:top w:val="nil"/>
              <w:left w:val="nil"/>
              <w:bottom w:val="single" w:sz="4" w:space="0" w:color="auto"/>
              <w:right w:val="single" w:sz="4" w:space="0" w:color="auto"/>
            </w:tcBorders>
            <w:shd w:val="clear" w:color="auto" w:fill="auto"/>
            <w:noWrap/>
            <w:vAlign w:val="center"/>
            <w:hideMark/>
          </w:tcPr>
          <w:p w14:paraId="4949B5B5" w14:textId="288ABB5D"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3,10</w:t>
            </w:r>
            <w:r w:rsidR="00BB42F9">
              <w:rPr>
                <w:rFonts w:ascii="Arial" w:eastAsia="Times New Roman" w:hAnsi="Arial" w:cs="Arial"/>
                <w:color w:val="000000"/>
                <w:sz w:val="18"/>
                <w:szCs w:val="18"/>
                <w:lang w:eastAsia="sl-SI"/>
              </w:rPr>
              <w:t xml:space="preserve"> %</w:t>
            </w:r>
          </w:p>
        </w:tc>
        <w:tc>
          <w:tcPr>
            <w:tcW w:w="741" w:type="pct"/>
            <w:tcBorders>
              <w:top w:val="nil"/>
              <w:left w:val="nil"/>
              <w:bottom w:val="single" w:sz="4" w:space="0" w:color="auto"/>
              <w:right w:val="single" w:sz="4" w:space="0" w:color="auto"/>
            </w:tcBorders>
            <w:shd w:val="clear" w:color="auto" w:fill="auto"/>
            <w:noWrap/>
            <w:vAlign w:val="center"/>
            <w:hideMark/>
          </w:tcPr>
          <w:p w14:paraId="2BCCB281" w14:textId="2EB55D38"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13,93</w:t>
            </w:r>
            <w:r w:rsidR="00BB42F9">
              <w:rPr>
                <w:rFonts w:ascii="Arial" w:eastAsia="Times New Roman" w:hAnsi="Arial" w:cs="Arial"/>
                <w:color w:val="000000"/>
                <w:sz w:val="18"/>
                <w:szCs w:val="18"/>
                <w:lang w:eastAsia="sl-SI"/>
              </w:rPr>
              <w:t xml:space="preserve"> %</w:t>
            </w:r>
          </w:p>
        </w:tc>
      </w:tr>
      <w:tr w:rsidR="00FD2A81" w:rsidRPr="00FD2A81" w14:paraId="18B3702F" w14:textId="77777777" w:rsidTr="00BB42F9">
        <w:trPr>
          <w:trHeight w:val="300"/>
        </w:trPr>
        <w:tc>
          <w:tcPr>
            <w:tcW w:w="2134" w:type="pct"/>
            <w:tcBorders>
              <w:top w:val="nil"/>
              <w:left w:val="single" w:sz="4" w:space="0" w:color="auto"/>
              <w:bottom w:val="single" w:sz="4" w:space="0" w:color="auto"/>
              <w:right w:val="single" w:sz="4" w:space="0" w:color="auto"/>
            </w:tcBorders>
            <w:shd w:val="clear" w:color="auto" w:fill="auto"/>
            <w:noWrap/>
            <w:vAlign w:val="center"/>
            <w:hideMark/>
          </w:tcPr>
          <w:p w14:paraId="09089A08" w14:textId="77777777" w:rsidR="00FD2A81" w:rsidRPr="00FD2A81" w:rsidRDefault="00FD2A81" w:rsidP="00BB42F9">
            <w:pPr>
              <w:spacing w:after="0" w:line="240" w:lineRule="auto"/>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Odprti postopek</w:t>
            </w:r>
          </w:p>
        </w:tc>
        <w:tc>
          <w:tcPr>
            <w:tcW w:w="455" w:type="pct"/>
            <w:tcBorders>
              <w:top w:val="nil"/>
              <w:left w:val="nil"/>
              <w:bottom w:val="single" w:sz="4" w:space="0" w:color="auto"/>
              <w:right w:val="single" w:sz="4" w:space="0" w:color="auto"/>
            </w:tcBorders>
            <w:shd w:val="clear" w:color="auto" w:fill="auto"/>
            <w:noWrap/>
            <w:vAlign w:val="center"/>
            <w:hideMark/>
          </w:tcPr>
          <w:p w14:paraId="2A09CAAC"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321</w:t>
            </w:r>
          </w:p>
        </w:tc>
        <w:tc>
          <w:tcPr>
            <w:tcW w:w="909" w:type="pct"/>
            <w:tcBorders>
              <w:top w:val="nil"/>
              <w:left w:val="nil"/>
              <w:bottom w:val="single" w:sz="4" w:space="0" w:color="auto"/>
              <w:right w:val="single" w:sz="4" w:space="0" w:color="auto"/>
            </w:tcBorders>
            <w:shd w:val="clear" w:color="auto" w:fill="auto"/>
            <w:noWrap/>
            <w:vAlign w:val="center"/>
            <w:hideMark/>
          </w:tcPr>
          <w:p w14:paraId="54B0F0F0"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240.770.500</w:t>
            </w:r>
          </w:p>
        </w:tc>
        <w:tc>
          <w:tcPr>
            <w:tcW w:w="761" w:type="pct"/>
            <w:tcBorders>
              <w:top w:val="nil"/>
              <w:left w:val="nil"/>
              <w:bottom w:val="single" w:sz="4" w:space="0" w:color="auto"/>
              <w:right w:val="single" w:sz="4" w:space="0" w:color="auto"/>
            </w:tcBorders>
            <w:shd w:val="clear" w:color="auto" w:fill="auto"/>
            <w:noWrap/>
            <w:vAlign w:val="center"/>
            <w:hideMark/>
          </w:tcPr>
          <w:p w14:paraId="231819D4" w14:textId="0C427C71"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35,59</w:t>
            </w:r>
            <w:r w:rsidR="00BB42F9">
              <w:rPr>
                <w:rFonts w:ascii="Arial" w:eastAsia="Times New Roman" w:hAnsi="Arial" w:cs="Arial"/>
                <w:color w:val="000000"/>
                <w:sz w:val="18"/>
                <w:szCs w:val="18"/>
                <w:lang w:eastAsia="sl-SI"/>
              </w:rPr>
              <w:t xml:space="preserve"> %</w:t>
            </w:r>
          </w:p>
        </w:tc>
        <w:tc>
          <w:tcPr>
            <w:tcW w:w="741" w:type="pct"/>
            <w:tcBorders>
              <w:top w:val="nil"/>
              <w:left w:val="nil"/>
              <w:bottom w:val="single" w:sz="4" w:space="0" w:color="auto"/>
              <w:right w:val="single" w:sz="4" w:space="0" w:color="auto"/>
            </w:tcBorders>
            <w:shd w:val="clear" w:color="auto" w:fill="auto"/>
            <w:noWrap/>
            <w:vAlign w:val="center"/>
            <w:hideMark/>
          </w:tcPr>
          <w:p w14:paraId="6EA3B068" w14:textId="15B8B6D2"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67,89</w:t>
            </w:r>
            <w:r w:rsidR="00BB42F9">
              <w:rPr>
                <w:rFonts w:ascii="Arial" w:eastAsia="Times New Roman" w:hAnsi="Arial" w:cs="Arial"/>
                <w:color w:val="000000"/>
                <w:sz w:val="18"/>
                <w:szCs w:val="18"/>
                <w:lang w:eastAsia="sl-SI"/>
              </w:rPr>
              <w:t xml:space="preserve"> %</w:t>
            </w:r>
          </w:p>
        </w:tc>
      </w:tr>
      <w:tr w:rsidR="00FD2A81" w:rsidRPr="00FD2A81" w14:paraId="758D70E8" w14:textId="77777777" w:rsidTr="00BB42F9">
        <w:trPr>
          <w:trHeight w:val="300"/>
        </w:trPr>
        <w:tc>
          <w:tcPr>
            <w:tcW w:w="2134" w:type="pct"/>
            <w:tcBorders>
              <w:top w:val="nil"/>
              <w:left w:val="single" w:sz="4" w:space="0" w:color="auto"/>
              <w:bottom w:val="single" w:sz="4" w:space="0" w:color="auto"/>
              <w:right w:val="single" w:sz="4" w:space="0" w:color="auto"/>
            </w:tcBorders>
            <w:shd w:val="clear" w:color="auto" w:fill="auto"/>
            <w:noWrap/>
            <w:vAlign w:val="center"/>
            <w:hideMark/>
          </w:tcPr>
          <w:p w14:paraId="36E36BDA" w14:textId="77777777" w:rsidR="00FD2A81" w:rsidRPr="00FD2A81" w:rsidRDefault="00FD2A81" w:rsidP="00BB42F9">
            <w:pPr>
              <w:spacing w:after="0" w:line="240" w:lineRule="auto"/>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Postopek naročila male vrednosti</w:t>
            </w:r>
          </w:p>
        </w:tc>
        <w:tc>
          <w:tcPr>
            <w:tcW w:w="455" w:type="pct"/>
            <w:tcBorders>
              <w:top w:val="nil"/>
              <w:left w:val="nil"/>
              <w:bottom w:val="single" w:sz="4" w:space="0" w:color="auto"/>
              <w:right w:val="single" w:sz="4" w:space="0" w:color="auto"/>
            </w:tcBorders>
            <w:shd w:val="clear" w:color="auto" w:fill="auto"/>
            <w:noWrap/>
            <w:vAlign w:val="center"/>
            <w:hideMark/>
          </w:tcPr>
          <w:p w14:paraId="4DAD6D8D"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520</w:t>
            </w:r>
          </w:p>
        </w:tc>
        <w:tc>
          <w:tcPr>
            <w:tcW w:w="909" w:type="pct"/>
            <w:tcBorders>
              <w:top w:val="nil"/>
              <w:left w:val="nil"/>
              <w:bottom w:val="single" w:sz="4" w:space="0" w:color="auto"/>
              <w:right w:val="single" w:sz="4" w:space="0" w:color="auto"/>
            </w:tcBorders>
            <w:shd w:val="clear" w:color="auto" w:fill="auto"/>
            <w:noWrap/>
            <w:vAlign w:val="center"/>
            <w:hideMark/>
          </w:tcPr>
          <w:p w14:paraId="11508E85"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30.614.187</w:t>
            </w:r>
          </w:p>
        </w:tc>
        <w:tc>
          <w:tcPr>
            <w:tcW w:w="761" w:type="pct"/>
            <w:tcBorders>
              <w:top w:val="nil"/>
              <w:left w:val="nil"/>
              <w:bottom w:val="single" w:sz="4" w:space="0" w:color="auto"/>
              <w:right w:val="single" w:sz="4" w:space="0" w:color="auto"/>
            </w:tcBorders>
            <w:shd w:val="clear" w:color="auto" w:fill="auto"/>
            <w:noWrap/>
            <w:vAlign w:val="center"/>
            <w:hideMark/>
          </w:tcPr>
          <w:p w14:paraId="5A78450E" w14:textId="3F9DAEA2"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57,65</w:t>
            </w:r>
            <w:r w:rsidR="00BB42F9">
              <w:rPr>
                <w:rFonts w:ascii="Arial" w:eastAsia="Times New Roman" w:hAnsi="Arial" w:cs="Arial"/>
                <w:color w:val="000000"/>
                <w:sz w:val="18"/>
                <w:szCs w:val="18"/>
                <w:lang w:eastAsia="sl-SI"/>
              </w:rPr>
              <w:t xml:space="preserve"> %</w:t>
            </w:r>
          </w:p>
        </w:tc>
        <w:tc>
          <w:tcPr>
            <w:tcW w:w="741" w:type="pct"/>
            <w:tcBorders>
              <w:top w:val="nil"/>
              <w:left w:val="nil"/>
              <w:bottom w:val="single" w:sz="4" w:space="0" w:color="auto"/>
              <w:right w:val="single" w:sz="4" w:space="0" w:color="auto"/>
            </w:tcBorders>
            <w:shd w:val="clear" w:color="auto" w:fill="auto"/>
            <w:noWrap/>
            <w:vAlign w:val="center"/>
            <w:hideMark/>
          </w:tcPr>
          <w:p w14:paraId="52FE0187" w14:textId="287F57C9"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8,63</w:t>
            </w:r>
            <w:r w:rsidR="00BB42F9">
              <w:rPr>
                <w:rFonts w:ascii="Arial" w:eastAsia="Times New Roman" w:hAnsi="Arial" w:cs="Arial"/>
                <w:color w:val="000000"/>
                <w:sz w:val="18"/>
                <w:szCs w:val="18"/>
                <w:lang w:eastAsia="sl-SI"/>
              </w:rPr>
              <w:t xml:space="preserve"> %</w:t>
            </w:r>
          </w:p>
        </w:tc>
      </w:tr>
      <w:tr w:rsidR="00FD2A81" w:rsidRPr="00FD2A81" w14:paraId="1C2ABCA0" w14:textId="77777777" w:rsidTr="00BB42F9">
        <w:trPr>
          <w:trHeight w:val="300"/>
        </w:trPr>
        <w:tc>
          <w:tcPr>
            <w:tcW w:w="2134" w:type="pct"/>
            <w:tcBorders>
              <w:top w:val="nil"/>
              <w:left w:val="single" w:sz="4" w:space="0" w:color="auto"/>
              <w:bottom w:val="single" w:sz="4" w:space="0" w:color="auto"/>
              <w:right w:val="single" w:sz="4" w:space="0" w:color="auto"/>
            </w:tcBorders>
            <w:shd w:val="clear" w:color="auto" w:fill="auto"/>
            <w:noWrap/>
            <w:vAlign w:val="center"/>
            <w:hideMark/>
          </w:tcPr>
          <w:p w14:paraId="4E315E74" w14:textId="77777777" w:rsidR="00FD2A81" w:rsidRPr="00FD2A81" w:rsidRDefault="00FD2A81" w:rsidP="00BB42F9">
            <w:pPr>
              <w:spacing w:after="0" w:line="240" w:lineRule="auto"/>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Postopek s pogajanji brez predhodne objave</w:t>
            </w:r>
          </w:p>
        </w:tc>
        <w:tc>
          <w:tcPr>
            <w:tcW w:w="455" w:type="pct"/>
            <w:tcBorders>
              <w:top w:val="nil"/>
              <w:left w:val="nil"/>
              <w:bottom w:val="single" w:sz="4" w:space="0" w:color="auto"/>
              <w:right w:val="single" w:sz="4" w:space="0" w:color="auto"/>
            </w:tcBorders>
            <w:shd w:val="clear" w:color="auto" w:fill="auto"/>
            <w:noWrap/>
            <w:vAlign w:val="center"/>
            <w:hideMark/>
          </w:tcPr>
          <w:p w14:paraId="570170D0"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32</w:t>
            </w:r>
          </w:p>
        </w:tc>
        <w:tc>
          <w:tcPr>
            <w:tcW w:w="909" w:type="pct"/>
            <w:tcBorders>
              <w:top w:val="nil"/>
              <w:left w:val="nil"/>
              <w:bottom w:val="single" w:sz="4" w:space="0" w:color="auto"/>
              <w:right w:val="single" w:sz="4" w:space="0" w:color="auto"/>
            </w:tcBorders>
            <w:shd w:val="clear" w:color="auto" w:fill="auto"/>
            <w:noWrap/>
            <w:vAlign w:val="center"/>
            <w:hideMark/>
          </w:tcPr>
          <w:p w14:paraId="6D51D23F" w14:textId="77777777"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29.088.616</w:t>
            </w:r>
          </w:p>
        </w:tc>
        <w:tc>
          <w:tcPr>
            <w:tcW w:w="761" w:type="pct"/>
            <w:tcBorders>
              <w:top w:val="nil"/>
              <w:left w:val="nil"/>
              <w:bottom w:val="single" w:sz="4" w:space="0" w:color="auto"/>
              <w:right w:val="single" w:sz="4" w:space="0" w:color="auto"/>
            </w:tcBorders>
            <w:shd w:val="clear" w:color="auto" w:fill="auto"/>
            <w:noWrap/>
            <w:vAlign w:val="center"/>
            <w:hideMark/>
          </w:tcPr>
          <w:p w14:paraId="76FBB04C" w14:textId="0FE4D239"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3,55</w:t>
            </w:r>
            <w:r w:rsidR="00BB42F9">
              <w:rPr>
                <w:rFonts w:ascii="Arial" w:eastAsia="Times New Roman" w:hAnsi="Arial" w:cs="Arial"/>
                <w:color w:val="000000"/>
                <w:sz w:val="18"/>
                <w:szCs w:val="18"/>
                <w:lang w:eastAsia="sl-SI"/>
              </w:rPr>
              <w:t xml:space="preserve"> %</w:t>
            </w:r>
          </w:p>
        </w:tc>
        <w:tc>
          <w:tcPr>
            <w:tcW w:w="741" w:type="pct"/>
            <w:tcBorders>
              <w:top w:val="nil"/>
              <w:left w:val="nil"/>
              <w:bottom w:val="single" w:sz="4" w:space="0" w:color="auto"/>
              <w:right w:val="single" w:sz="4" w:space="0" w:color="auto"/>
            </w:tcBorders>
            <w:shd w:val="clear" w:color="auto" w:fill="auto"/>
            <w:noWrap/>
            <w:vAlign w:val="center"/>
            <w:hideMark/>
          </w:tcPr>
          <w:p w14:paraId="30A745BA" w14:textId="30398A2E" w:rsidR="00FD2A81" w:rsidRPr="00FD2A81" w:rsidRDefault="00FD2A81" w:rsidP="00BB42F9">
            <w:pPr>
              <w:spacing w:after="0" w:line="240" w:lineRule="auto"/>
              <w:jc w:val="right"/>
              <w:rPr>
                <w:rFonts w:ascii="Arial" w:eastAsia="Times New Roman" w:hAnsi="Arial" w:cs="Arial"/>
                <w:color w:val="000000"/>
                <w:sz w:val="18"/>
                <w:szCs w:val="18"/>
                <w:lang w:eastAsia="sl-SI"/>
              </w:rPr>
            </w:pPr>
            <w:r w:rsidRPr="00FD2A81">
              <w:rPr>
                <w:rFonts w:ascii="Arial" w:eastAsia="Times New Roman" w:hAnsi="Arial" w:cs="Arial"/>
                <w:color w:val="000000"/>
                <w:sz w:val="18"/>
                <w:szCs w:val="18"/>
                <w:lang w:eastAsia="sl-SI"/>
              </w:rPr>
              <w:t>8,20</w:t>
            </w:r>
            <w:r w:rsidR="00BB42F9">
              <w:rPr>
                <w:rFonts w:ascii="Arial" w:eastAsia="Times New Roman" w:hAnsi="Arial" w:cs="Arial"/>
                <w:color w:val="000000"/>
                <w:sz w:val="18"/>
                <w:szCs w:val="18"/>
                <w:lang w:eastAsia="sl-SI"/>
              </w:rPr>
              <w:t xml:space="preserve"> %</w:t>
            </w:r>
          </w:p>
        </w:tc>
      </w:tr>
      <w:tr w:rsidR="00FD2A81" w:rsidRPr="00FD2A81" w14:paraId="0E19003C" w14:textId="77777777" w:rsidTr="00BB42F9">
        <w:trPr>
          <w:trHeight w:val="300"/>
        </w:trPr>
        <w:tc>
          <w:tcPr>
            <w:tcW w:w="2134"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2E93079D" w14:textId="77777777" w:rsidR="00FD2A81" w:rsidRPr="00FD2A81" w:rsidRDefault="00FD2A81" w:rsidP="00BB42F9">
            <w:pPr>
              <w:spacing w:after="0" w:line="240" w:lineRule="auto"/>
              <w:rPr>
                <w:rFonts w:ascii="Arial" w:eastAsia="Times New Roman" w:hAnsi="Arial" w:cs="Arial"/>
                <w:b/>
                <w:bCs/>
                <w:color w:val="000000"/>
                <w:sz w:val="18"/>
                <w:szCs w:val="18"/>
                <w:lang w:eastAsia="sl-SI"/>
              </w:rPr>
            </w:pPr>
            <w:r w:rsidRPr="00FD2A81">
              <w:rPr>
                <w:rFonts w:ascii="Arial" w:eastAsia="Times New Roman" w:hAnsi="Arial" w:cs="Arial"/>
                <w:b/>
                <w:bCs/>
                <w:color w:val="000000"/>
                <w:sz w:val="18"/>
                <w:szCs w:val="18"/>
                <w:lang w:eastAsia="sl-SI"/>
              </w:rPr>
              <w:t>Skupaj</w:t>
            </w:r>
          </w:p>
        </w:tc>
        <w:tc>
          <w:tcPr>
            <w:tcW w:w="455" w:type="pct"/>
            <w:tcBorders>
              <w:top w:val="nil"/>
              <w:left w:val="nil"/>
              <w:bottom w:val="single" w:sz="4" w:space="0" w:color="auto"/>
              <w:right w:val="single" w:sz="4" w:space="0" w:color="auto"/>
            </w:tcBorders>
            <w:shd w:val="clear" w:color="auto" w:fill="E7E6E6" w:themeFill="background2"/>
            <w:noWrap/>
            <w:vAlign w:val="center"/>
            <w:hideMark/>
          </w:tcPr>
          <w:p w14:paraId="5997E26F" w14:textId="77777777" w:rsidR="00FD2A81" w:rsidRPr="00FD2A81" w:rsidRDefault="00FD2A81" w:rsidP="00BB42F9">
            <w:pPr>
              <w:spacing w:after="0" w:line="240" w:lineRule="auto"/>
              <w:jc w:val="right"/>
              <w:rPr>
                <w:rFonts w:ascii="Arial" w:eastAsia="Times New Roman" w:hAnsi="Arial" w:cs="Arial"/>
                <w:b/>
                <w:bCs/>
                <w:color w:val="000000"/>
                <w:sz w:val="18"/>
                <w:szCs w:val="18"/>
                <w:lang w:eastAsia="sl-SI"/>
              </w:rPr>
            </w:pPr>
            <w:r w:rsidRPr="00FD2A81">
              <w:rPr>
                <w:rFonts w:ascii="Arial" w:eastAsia="Times New Roman" w:hAnsi="Arial" w:cs="Arial"/>
                <w:b/>
                <w:bCs/>
                <w:color w:val="000000"/>
                <w:sz w:val="18"/>
                <w:szCs w:val="18"/>
                <w:lang w:eastAsia="sl-SI"/>
              </w:rPr>
              <w:t>902</w:t>
            </w:r>
          </w:p>
        </w:tc>
        <w:tc>
          <w:tcPr>
            <w:tcW w:w="909" w:type="pct"/>
            <w:tcBorders>
              <w:top w:val="nil"/>
              <w:left w:val="nil"/>
              <w:bottom w:val="single" w:sz="4" w:space="0" w:color="auto"/>
              <w:right w:val="single" w:sz="4" w:space="0" w:color="auto"/>
            </w:tcBorders>
            <w:shd w:val="clear" w:color="auto" w:fill="E7E6E6" w:themeFill="background2"/>
            <w:noWrap/>
            <w:vAlign w:val="center"/>
            <w:hideMark/>
          </w:tcPr>
          <w:p w14:paraId="32D69258" w14:textId="77777777" w:rsidR="00FD2A81" w:rsidRPr="00FD2A81" w:rsidRDefault="00FD2A81" w:rsidP="00BB42F9">
            <w:pPr>
              <w:spacing w:after="0" w:line="240" w:lineRule="auto"/>
              <w:jc w:val="right"/>
              <w:rPr>
                <w:rFonts w:ascii="Arial" w:eastAsia="Times New Roman" w:hAnsi="Arial" w:cs="Arial"/>
                <w:b/>
                <w:bCs/>
                <w:color w:val="000000"/>
                <w:sz w:val="18"/>
                <w:szCs w:val="18"/>
                <w:lang w:eastAsia="sl-SI"/>
              </w:rPr>
            </w:pPr>
            <w:r w:rsidRPr="00FD2A81">
              <w:rPr>
                <w:rFonts w:ascii="Arial" w:eastAsia="Times New Roman" w:hAnsi="Arial" w:cs="Arial"/>
                <w:b/>
                <w:bCs/>
                <w:color w:val="000000"/>
                <w:sz w:val="18"/>
                <w:szCs w:val="18"/>
                <w:lang w:eastAsia="sl-SI"/>
              </w:rPr>
              <w:t>354.663.683</w:t>
            </w:r>
          </w:p>
        </w:tc>
        <w:tc>
          <w:tcPr>
            <w:tcW w:w="761" w:type="pct"/>
            <w:tcBorders>
              <w:top w:val="nil"/>
              <w:left w:val="nil"/>
              <w:bottom w:val="single" w:sz="4" w:space="0" w:color="auto"/>
              <w:right w:val="single" w:sz="4" w:space="0" w:color="auto"/>
            </w:tcBorders>
            <w:shd w:val="clear" w:color="auto" w:fill="E7E6E6" w:themeFill="background2"/>
            <w:noWrap/>
            <w:vAlign w:val="center"/>
            <w:hideMark/>
          </w:tcPr>
          <w:p w14:paraId="6CB90186" w14:textId="2AB17401" w:rsidR="00FD2A81" w:rsidRPr="00FD2A81" w:rsidRDefault="00FD2A81" w:rsidP="00BB42F9">
            <w:pPr>
              <w:spacing w:after="0" w:line="240" w:lineRule="auto"/>
              <w:jc w:val="right"/>
              <w:rPr>
                <w:rFonts w:ascii="Arial" w:eastAsia="Times New Roman" w:hAnsi="Arial" w:cs="Arial"/>
                <w:b/>
                <w:bCs/>
                <w:color w:val="000000"/>
                <w:sz w:val="18"/>
                <w:szCs w:val="18"/>
                <w:lang w:eastAsia="sl-SI"/>
              </w:rPr>
            </w:pPr>
            <w:r w:rsidRPr="00FD2A81">
              <w:rPr>
                <w:rFonts w:ascii="Arial" w:eastAsia="Times New Roman" w:hAnsi="Arial" w:cs="Arial"/>
                <w:b/>
                <w:bCs/>
                <w:color w:val="000000"/>
                <w:sz w:val="18"/>
                <w:szCs w:val="18"/>
                <w:lang w:eastAsia="sl-SI"/>
              </w:rPr>
              <w:t>100,00</w:t>
            </w:r>
            <w:r w:rsidR="00BB42F9">
              <w:rPr>
                <w:rFonts w:ascii="Arial" w:eastAsia="Times New Roman" w:hAnsi="Arial" w:cs="Arial"/>
                <w:b/>
                <w:bCs/>
                <w:color w:val="000000"/>
                <w:sz w:val="18"/>
                <w:szCs w:val="18"/>
                <w:lang w:eastAsia="sl-SI"/>
              </w:rPr>
              <w:t xml:space="preserve"> %</w:t>
            </w:r>
          </w:p>
        </w:tc>
        <w:tc>
          <w:tcPr>
            <w:tcW w:w="741" w:type="pct"/>
            <w:tcBorders>
              <w:top w:val="nil"/>
              <w:left w:val="nil"/>
              <w:bottom w:val="single" w:sz="4" w:space="0" w:color="auto"/>
              <w:right w:val="single" w:sz="4" w:space="0" w:color="auto"/>
            </w:tcBorders>
            <w:shd w:val="clear" w:color="auto" w:fill="E7E6E6" w:themeFill="background2"/>
            <w:noWrap/>
            <w:vAlign w:val="center"/>
            <w:hideMark/>
          </w:tcPr>
          <w:p w14:paraId="107C5D6E" w14:textId="6DD49272" w:rsidR="00FD2A81" w:rsidRPr="00FD2A81" w:rsidRDefault="00FD2A81" w:rsidP="00BB42F9">
            <w:pPr>
              <w:spacing w:after="0" w:line="240" w:lineRule="auto"/>
              <w:jc w:val="right"/>
              <w:rPr>
                <w:rFonts w:ascii="Arial" w:eastAsia="Times New Roman" w:hAnsi="Arial" w:cs="Arial"/>
                <w:b/>
                <w:bCs/>
                <w:color w:val="000000"/>
                <w:sz w:val="18"/>
                <w:szCs w:val="18"/>
                <w:lang w:eastAsia="sl-SI"/>
              </w:rPr>
            </w:pPr>
            <w:r w:rsidRPr="00FD2A81">
              <w:rPr>
                <w:rFonts w:ascii="Arial" w:eastAsia="Times New Roman" w:hAnsi="Arial" w:cs="Arial"/>
                <w:b/>
                <w:bCs/>
                <w:color w:val="000000"/>
                <w:sz w:val="18"/>
                <w:szCs w:val="18"/>
                <w:lang w:eastAsia="sl-SI"/>
              </w:rPr>
              <w:t>100,00</w:t>
            </w:r>
            <w:r w:rsidR="00BB42F9">
              <w:rPr>
                <w:rFonts w:ascii="Arial" w:eastAsia="Times New Roman" w:hAnsi="Arial" w:cs="Arial"/>
                <w:b/>
                <w:bCs/>
                <w:color w:val="000000"/>
                <w:sz w:val="18"/>
                <w:szCs w:val="18"/>
                <w:lang w:eastAsia="sl-SI"/>
              </w:rPr>
              <w:t xml:space="preserve"> %</w:t>
            </w:r>
          </w:p>
        </w:tc>
      </w:tr>
    </w:tbl>
    <w:p w14:paraId="5E5FDA22" w14:textId="77777777" w:rsidR="004A613D" w:rsidRPr="00780821" w:rsidRDefault="004A613D" w:rsidP="004A613D">
      <w:pPr>
        <w:spacing w:after="0" w:line="240" w:lineRule="auto"/>
        <w:jc w:val="center"/>
        <w:rPr>
          <w:rFonts w:ascii="Arial" w:hAnsi="Arial" w:cs="Arial"/>
          <w:sz w:val="18"/>
        </w:rPr>
      </w:pPr>
    </w:p>
    <w:p w14:paraId="7A148D8D" w14:textId="308EF8F0" w:rsidR="003F5C42" w:rsidRPr="00780821" w:rsidRDefault="003F5C42" w:rsidP="004A613D">
      <w:pPr>
        <w:spacing w:after="0" w:line="240" w:lineRule="auto"/>
        <w:jc w:val="center"/>
        <w:rPr>
          <w:rFonts w:ascii="Arial" w:hAnsi="Arial" w:cs="Arial"/>
          <w:sz w:val="18"/>
        </w:rPr>
      </w:pPr>
      <w:r w:rsidRPr="00780821">
        <w:rPr>
          <w:rFonts w:ascii="Arial" w:hAnsi="Arial" w:cs="Arial"/>
          <w:sz w:val="18"/>
        </w:rPr>
        <w:t>Vir: Statistični podatki o javnih naročilih, oddanih</w:t>
      </w:r>
      <w:r w:rsidR="003D3D5C" w:rsidRPr="00780821">
        <w:rPr>
          <w:rFonts w:ascii="Arial" w:hAnsi="Arial" w:cs="Arial"/>
          <w:sz w:val="18"/>
        </w:rPr>
        <w:t xml:space="preserve"> v letu 201</w:t>
      </w:r>
      <w:r w:rsidR="00780821" w:rsidRPr="00780821">
        <w:rPr>
          <w:rFonts w:ascii="Arial" w:hAnsi="Arial" w:cs="Arial"/>
          <w:sz w:val="18"/>
        </w:rPr>
        <w:t>8</w:t>
      </w:r>
    </w:p>
    <w:p w14:paraId="73706D1C" w14:textId="77777777" w:rsidR="000B5B5F" w:rsidRDefault="000B5B5F" w:rsidP="009B1F9D">
      <w:pPr>
        <w:spacing w:before="120" w:after="120" w:line="360" w:lineRule="auto"/>
        <w:jc w:val="both"/>
        <w:rPr>
          <w:rFonts w:ascii="Arial" w:hAnsi="Arial" w:cs="Arial"/>
          <w:sz w:val="20"/>
          <w:szCs w:val="20"/>
          <w:lang w:eastAsia="sl-SI"/>
        </w:rPr>
      </w:pPr>
    </w:p>
    <w:p w14:paraId="516D1CCC" w14:textId="1DE19DD3" w:rsidR="009B1F9D" w:rsidRPr="00840215" w:rsidRDefault="002B74A3" w:rsidP="009B1F9D">
      <w:pPr>
        <w:spacing w:before="120" w:after="120" w:line="360" w:lineRule="auto"/>
        <w:jc w:val="both"/>
        <w:rPr>
          <w:rFonts w:ascii="Arial" w:hAnsi="Arial" w:cs="Arial"/>
          <w:sz w:val="20"/>
          <w:szCs w:val="20"/>
          <w:lang w:eastAsia="sl-SI"/>
        </w:rPr>
      </w:pPr>
      <w:r>
        <w:rPr>
          <w:rFonts w:ascii="Arial" w:hAnsi="Arial" w:cs="Arial"/>
          <w:sz w:val="20"/>
          <w:szCs w:val="20"/>
          <w:lang w:eastAsia="sl-SI"/>
        </w:rPr>
        <w:t>Leta</w:t>
      </w:r>
      <w:r w:rsidR="009B1F9D" w:rsidRPr="00840215">
        <w:rPr>
          <w:rFonts w:ascii="Arial" w:hAnsi="Arial" w:cs="Arial"/>
          <w:sz w:val="20"/>
          <w:szCs w:val="20"/>
          <w:lang w:eastAsia="sl-SI"/>
        </w:rPr>
        <w:t xml:space="preserve"> 201</w:t>
      </w:r>
      <w:r w:rsidR="005E789E" w:rsidRPr="00840215">
        <w:rPr>
          <w:rFonts w:ascii="Arial" w:hAnsi="Arial" w:cs="Arial"/>
          <w:sz w:val="20"/>
          <w:szCs w:val="20"/>
          <w:lang w:eastAsia="sl-SI"/>
        </w:rPr>
        <w:t>8</w:t>
      </w:r>
      <w:r w:rsidR="009B1F9D" w:rsidRPr="00840215">
        <w:rPr>
          <w:rFonts w:ascii="Arial" w:hAnsi="Arial" w:cs="Arial"/>
          <w:sz w:val="20"/>
          <w:szCs w:val="20"/>
          <w:lang w:eastAsia="sl-SI"/>
        </w:rPr>
        <w:t xml:space="preserve"> </w:t>
      </w:r>
      <w:r w:rsidR="00325434" w:rsidRPr="00840215">
        <w:rPr>
          <w:rFonts w:ascii="Arial" w:hAnsi="Arial" w:cs="Arial"/>
          <w:sz w:val="20"/>
          <w:szCs w:val="20"/>
          <w:lang w:eastAsia="sl-SI"/>
        </w:rPr>
        <w:t xml:space="preserve">so bile </w:t>
      </w:r>
      <w:r w:rsidR="009B1F9D" w:rsidRPr="00840215">
        <w:rPr>
          <w:rFonts w:ascii="Arial" w:hAnsi="Arial" w:cs="Arial"/>
          <w:sz w:val="20"/>
          <w:szCs w:val="20"/>
          <w:lang w:eastAsia="sl-SI"/>
        </w:rPr>
        <w:t xml:space="preserve">pogodbene vrednosti pri javnih naročilih, (so)financiranih s sredstvi Evropske unije, </w:t>
      </w:r>
      <w:r w:rsidR="005E789E" w:rsidRPr="00840215">
        <w:rPr>
          <w:rFonts w:ascii="Arial" w:hAnsi="Arial" w:cs="Arial"/>
          <w:sz w:val="20"/>
          <w:szCs w:val="20"/>
          <w:lang w:eastAsia="sl-SI"/>
        </w:rPr>
        <w:t>višje</w:t>
      </w:r>
      <w:r w:rsidR="00325434" w:rsidRPr="00840215">
        <w:rPr>
          <w:rFonts w:ascii="Arial" w:hAnsi="Arial" w:cs="Arial"/>
          <w:sz w:val="20"/>
          <w:szCs w:val="20"/>
          <w:lang w:eastAsia="sl-SI"/>
        </w:rPr>
        <w:t xml:space="preserve">, </w:t>
      </w:r>
      <w:r w:rsidR="009B1F9D" w:rsidRPr="00840215">
        <w:rPr>
          <w:rFonts w:ascii="Arial" w:hAnsi="Arial" w:cs="Arial"/>
          <w:sz w:val="20"/>
          <w:szCs w:val="20"/>
          <w:lang w:eastAsia="sl-SI"/>
        </w:rPr>
        <w:t xml:space="preserve">kar je bilo </w:t>
      </w:r>
      <w:r w:rsidR="004C7C23" w:rsidRPr="00840215">
        <w:rPr>
          <w:rFonts w:ascii="Arial" w:hAnsi="Arial" w:cs="Arial"/>
          <w:sz w:val="20"/>
          <w:szCs w:val="20"/>
          <w:lang w:eastAsia="sl-SI"/>
        </w:rPr>
        <w:t xml:space="preserve">pričakovano </w:t>
      </w:r>
      <w:r w:rsidR="009B1F9D" w:rsidRPr="00840215">
        <w:rPr>
          <w:rFonts w:ascii="Arial" w:hAnsi="Arial" w:cs="Arial"/>
          <w:sz w:val="20"/>
          <w:szCs w:val="20"/>
          <w:lang w:eastAsia="sl-SI"/>
        </w:rPr>
        <w:t xml:space="preserve">glede na novo finančno </w:t>
      </w:r>
      <w:r w:rsidR="004C7C23" w:rsidRPr="00840215">
        <w:rPr>
          <w:rFonts w:ascii="Arial" w:hAnsi="Arial" w:cs="Arial"/>
          <w:sz w:val="20"/>
          <w:szCs w:val="20"/>
          <w:lang w:eastAsia="sl-SI"/>
        </w:rPr>
        <w:t>obdobje</w:t>
      </w:r>
      <w:r w:rsidR="009B1F9D" w:rsidRPr="00840215">
        <w:rPr>
          <w:rFonts w:ascii="Arial" w:hAnsi="Arial" w:cs="Arial"/>
          <w:sz w:val="20"/>
          <w:szCs w:val="20"/>
          <w:lang w:eastAsia="sl-SI"/>
        </w:rPr>
        <w:t xml:space="preserve">. </w:t>
      </w:r>
      <w:r>
        <w:rPr>
          <w:rFonts w:ascii="Arial" w:hAnsi="Arial" w:cs="Arial"/>
          <w:sz w:val="20"/>
          <w:szCs w:val="20"/>
          <w:lang w:eastAsia="sl-SI"/>
        </w:rPr>
        <w:t>Leta</w:t>
      </w:r>
      <w:r w:rsidR="009B1F9D" w:rsidRPr="00840215">
        <w:rPr>
          <w:rFonts w:ascii="Arial" w:hAnsi="Arial" w:cs="Arial"/>
          <w:sz w:val="20"/>
          <w:szCs w:val="20"/>
          <w:lang w:eastAsia="sl-SI"/>
        </w:rPr>
        <w:t xml:space="preserve"> 2016 se je namreč nadaljeval trend upadanja pogodbene vrednosti javnih naročil, (so)financiranih s sredstvi Evropske unije, ki se je začel leta 2014. Glede na vrednost oddanih javnih naročil, </w:t>
      </w:r>
      <w:r w:rsidR="009B1F9D" w:rsidRPr="00840215">
        <w:rPr>
          <w:rFonts w:ascii="Arial" w:hAnsi="Arial" w:cs="Arial"/>
          <w:sz w:val="20"/>
          <w:szCs w:val="20"/>
        </w:rPr>
        <w:t>(so)financiranih s sredstvi Evropske unije v posameznem letu</w:t>
      </w:r>
      <w:r w:rsidR="009B1F9D" w:rsidRPr="00840215">
        <w:rPr>
          <w:rFonts w:ascii="Arial" w:hAnsi="Arial" w:cs="Arial"/>
          <w:sz w:val="20"/>
          <w:szCs w:val="20"/>
          <w:lang w:eastAsia="sl-SI"/>
        </w:rPr>
        <w:t xml:space="preserve">, je mogoče sklepati, da so naročniki v letih 2012, 2013 in 2014 oddali javna naročila v večji vrednosti, ker se je </w:t>
      </w:r>
      <w:r w:rsidRPr="00840215">
        <w:rPr>
          <w:rFonts w:ascii="Arial" w:hAnsi="Arial" w:cs="Arial"/>
          <w:sz w:val="20"/>
          <w:szCs w:val="20"/>
          <w:lang w:eastAsia="sl-SI"/>
        </w:rPr>
        <w:t>let</w:t>
      </w:r>
      <w:r>
        <w:rPr>
          <w:rFonts w:ascii="Arial" w:hAnsi="Arial" w:cs="Arial"/>
          <w:sz w:val="20"/>
          <w:szCs w:val="20"/>
          <w:lang w:eastAsia="sl-SI"/>
        </w:rPr>
        <w:t>a</w:t>
      </w:r>
      <w:r w:rsidRPr="00840215">
        <w:rPr>
          <w:rFonts w:ascii="Arial" w:hAnsi="Arial" w:cs="Arial"/>
          <w:sz w:val="20"/>
          <w:szCs w:val="20"/>
          <w:lang w:eastAsia="sl-SI"/>
        </w:rPr>
        <w:t xml:space="preserve"> </w:t>
      </w:r>
      <w:r w:rsidR="009B1F9D" w:rsidRPr="00840215">
        <w:rPr>
          <w:rFonts w:ascii="Arial" w:hAnsi="Arial" w:cs="Arial"/>
          <w:sz w:val="20"/>
          <w:szCs w:val="20"/>
          <w:lang w:eastAsia="sl-SI"/>
        </w:rPr>
        <w:t xml:space="preserve">2015 </w:t>
      </w:r>
      <w:r w:rsidR="0015039C" w:rsidRPr="00840215">
        <w:rPr>
          <w:rFonts w:ascii="Arial" w:hAnsi="Arial" w:cs="Arial"/>
          <w:sz w:val="20"/>
          <w:szCs w:val="20"/>
          <w:lang w:eastAsia="sl-SI"/>
        </w:rPr>
        <w:t>končeval</w:t>
      </w:r>
      <w:r w:rsidR="009B1F9D" w:rsidRPr="00840215">
        <w:rPr>
          <w:rFonts w:ascii="Arial" w:hAnsi="Arial" w:cs="Arial"/>
          <w:sz w:val="20"/>
          <w:szCs w:val="20"/>
          <w:lang w:eastAsia="sl-SI"/>
        </w:rPr>
        <w:t xml:space="preserve"> večletni finančni okvir Evropske unije in je bilo treba vse postopke oddaje javnih naročil izvesti pravočasno, da </w:t>
      </w:r>
      <w:r w:rsidR="004C7C23" w:rsidRPr="00840215">
        <w:rPr>
          <w:rFonts w:ascii="Arial" w:hAnsi="Arial" w:cs="Arial"/>
          <w:sz w:val="20"/>
          <w:szCs w:val="20"/>
          <w:lang w:eastAsia="sl-SI"/>
        </w:rPr>
        <w:t>so bili</w:t>
      </w:r>
      <w:r w:rsidR="009B1F9D" w:rsidRPr="00840215">
        <w:rPr>
          <w:rFonts w:ascii="Arial" w:hAnsi="Arial" w:cs="Arial"/>
          <w:sz w:val="20"/>
          <w:szCs w:val="20"/>
          <w:lang w:eastAsia="sl-SI"/>
        </w:rPr>
        <w:t xml:space="preserve"> projekti pravočasno končani in naročniki upravičeni do črpanja evropskih sredstev. </w:t>
      </w:r>
    </w:p>
    <w:p w14:paraId="3F68A792" w14:textId="7AD9A11A" w:rsidR="003F5C42" w:rsidRPr="009F5906" w:rsidRDefault="003F5C42" w:rsidP="00701C10">
      <w:pPr>
        <w:spacing w:before="120" w:after="120" w:line="240" w:lineRule="auto"/>
        <w:jc w:val="both"/>
        <w:rPr>
          <w:rFonts w:ascii="Arial" w:hAnsi="Arial" w:cs="Arial"/>
          <w:sz w:val="20"/>
        </w:rPr>
      </w:pPr>
      <w:r w:rsidRPr="009F5906">
        <w:rPr>
          <w:rFonts w:ascii="Arial" w:hAnsi="Arial" w:cs="Arial"/>
          <w:sz w:val="20"/>
        </w:rPr>
        <w:t xml:space="preserve">Preglednica </w:t>
      </w:r>
      <w:r w:rsidR="00EB4423">
        <w:rPr>
          <w:rFonts w:ascii="Arial" w:hAnsi="Arial" w:cs="Arial"/>
          <w:sz w:val="20"/>
        </w:rPr>
        <w:t>57</w:t>
      </w:r>
      <w:r w:rsidRPr="009F5906">
        <w:rPr>
          <w:rFonts w:ascii="Arial" w:hAnsi="Arial" w:cs="Arial"/>
          <w:sz w:val="20"/>
        </w:rPr>
        <w:t xml:space="preserve">: Javna naročila, (so)financirana s sredstvi Evropske unije, v </w:t>
      </w:r>
      <w:r w:rsidR="00D126AA" w:rsidRPr="009F5906">
        <w:rPr>
          <w:rFonts w:ascii="Arial" w:hAnsi="Arial" w:cs="Arial"/>
          <w:sz w:val="20"/>
        </w:rPr>
        <w:t xml:space="preserve">letih 2012, 2013, 2014, 2015, </w:t>
      </w:r>
      <w:r w:rsidRPr="009F5906">
        <w:rPr>
          <w:rFonts w:ascii="Arial" w:hAnsi="Arial" w:cs="Arial"/>
          <w:sz w:val="20"/>
        </w:rPr>
        <w:t>2016</w:t>
      </w:r>
      <w:r w:rsidR="009F5906" w:rsidRPr="009F5906">
        <w:rPr>
          <w:rFonts w:ascii="Arial" w:hAnsi="Arial" w:cs="Arial"/>
          <w:sz w:val="20"/>
        </w:rPr>
        <w:t xml:space="preserve">, </w:t>
      </w:r>
      <w:r w:rsidR="00D126AA" w:rsidRPr="009F5906">
        <w:rPr>
          <w:rFonts w:ascii="Arial" w:hAnsi="Arial" w:cs="Arial"/>
          <w:sz w:val="20"/>
        </w:rPr>
        <w:t>2017</w:t>
      </w:r>
      <w:r w:rsidR="009F5906" w:rsidRPr="009F5906">
        <w:rPr>
          <w:rFonts w:ascii="Arial" w:hAnsi="Arial" w:cs="Arial"/>
          <w:sz w:val="20"/>
        </w:rPr>
        <w:t xml:space="preserve"> in 2018</w:t>
      </w:r>
    </w:p>
    <w:tbl>
      <w:tblPr>
        <w:tblW w:w="4820" w:type="dxa"/>
        <w:jc w:val="center"/>
        <w:tblCellMar>
          <w:left w:w="70" w:type="dxa"/>
          <w:right w:w="70" w:type="dxa"/>
        </w:tblCellMar>
        <w:tblLook w:val="04A0" w:firstRow="1" w:lastRow="0" w:firstColumn="1" w:lastColumn="0" w:noHBand="0" w:noVBand="1"/>
      </w:tblPr>
      <w:tblGrid>
        <w:gridCol w:w="2620"/>
        <w:gridCol w:w="2200"/>
      </w:tblGrid>
      <w:tr w:rsidR="00C37684" w:rsidRPr="009F5906" w14:paraId="031695EB" w14:textId="77777777" w:rsidTr="00AA33FC">
        <w:trPr>
          <w:trHeight w:val="317"/>
          <w:tblHeader/>
          <w:jc w:val="center"/>
        </w:trPr>
        <w:tc>
          <w:tcPr>
            <w:tcW w:w="26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22C2C89"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Leto</w:t>
            </w:r>
          </w:p>
        </w:tc>
        <w:tc>
          <w:tcPr>
            <w:tcW w:w="22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3B57357"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Pogodbena vrednost</w:t>
            </w:r>
          </w:p>
        </w:tc>
      </w:tr>
      <w:tr w:rsidR="00C37684" w:rsidRPr="009F5906" w14:paraId="670FDF45"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4820C86"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2012</w:t>
            </w:r>
          </w:p>
        </w:tc>
        <w:tc>
          <w:tcPr>
            <w:tcW w:w="2200" w:type="dxa"/>
            <w:tcBorders>
              <w:top w:val="nil"/>
              <w:left w:val="nil"/>
              <w:bottom w:val="single" w:sz="4" w:space="0" w:color="auto"/>
              <w:right w:val="single" w:sz="4" w:space="0" w:color="auto"/>
            </w:tcBorders>
            <w:shd w:val="clear" w:color="auto" w:fill="auto"/>
            <w:noWrap/>
            <w:vAlign w:val="center"/>
            <w:hideMark/>
          </w:tcPr>
          <w:p w14:paraId="5C273457" w14:textId="77777777" w:rsidR="00C37684" w:rsidRPr="009F5906" w:rsidRDefault="00C37684" w:rsidP="00C37684">
            <w:pPr>
              <w:spacing w:after="0" w:line="240" w:lineRule="auto"/>
              <w:jc w:val="right"/>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633.505.237</w:t>
            </w:r>
          </w:p>
        </w:tc>
      </w:tr>
      <w:tr w:rsidR="00C37684" w:rsidRPr="009F5906" w14:paraId="010ED150"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6F548F5"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2013</w:t>
            </w:r>
          </w:p>
        </w:tc>
        <w:tc>
          <w:tcPr>
            <w:tcW w:w="2200" w:type="dxa"/>
            <w:tcBorders>
              <w:top w:val="nil"/>
              <w:left w:val="nil"/>
              <w:bottom w:val="single" w:sz="4" w:space="0" w:color="auto"/>
              <w:right w:val="single" w:sz="4" w:space="0" w:color="auto"/>
            </w:tcBorders>
            <w:shd w:val="clear" w:color="auto" w:fill="auto"/>
            <w:noWrap/>
            <w:vAlign w:val="center"/>
            <w:hideMark/>
          </w:tcPr>
          <w:p w14:paraId="6AFCD89C" w14:textId="77777777" w:rsidR="00C37684" w:rsidRPr="009F5906" w:rsidRDefault="00C37684" w:rsidP="00C37684">
            <w:pPr>
              <w:spacing w:after="0" w:line="240" w:lineRule="auto"/>
              <w:jc w:val="right"/>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1.510.376.463</w:t>
            </w:r>
          </w:p>
        </w:tc>
      </w:tr>
      <w:tr w:rsidR="00C37684" w:rsidRPr="009F5906" w14:paraId="44F7B2C7"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0808843"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2014</w:t>
            </w:r>
          </w:p>
        </w:tc>
        <w:tc>
          <w:tcPr>
            <w:tcW w:w="2200" w:type="dxa"/>
            <w:tcBorders>
              <w:top w:val="nil"/>
              <w:left w:val="nil"/>
              <w:bottom w:val="single" w:sz="4" w:space="0" w:color="auto"/>
              <w:right w:val="single" w:sz="4" w:space="0" w:color="auto"/>
            </w:tcBorders>
            <w:shd w:val="clear" w:color="auto" w:fill="auto"/>
            <w:vAlign w:val="center"/>
            <w:hideMark/>
          </w:tcPr>
          <w:p w14:paraId="4DF82D89" w14:textId="77777777" w:rsidR="00C37684" w:rsidRPr="009F5906" w:rsidRDefault="00C37684" w:rsidP="00C37684">
            <w:pPr>
              <w:spacing w:after="0" w:line="240" w:lineRule="auto"/>
              <w:jc w:val="right"/>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621.366.346</w:t>
            </w:r>
          </w:p>
        </w:tc>
      </w:tr>
      <w:tr w:rsidR="00C37684" w:rsidRPr="009F5906" w14:paraId="75DE387A"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D9261E5"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2015</w:t>
            </w:r>
          </w:p>
        </w:tc>
        <w:tc>
          <w:tcPr>
            <w:tcW w:w="2200" w:type="dxa"/>
            <w:tcBorders>
              <w:top w:val="nil"/>
              <w:left w:val="nil"/>
              <w:bottom w:val="single" w:sz="4" w:space="0" w:color="auto"/>
              <w:right w:val="single" w:sz="4" w:space="0" w:color="auto"/>
            </w:tcBorders>
            <w:shd w:val="clear" w:color="auto" w:fill="auto"/>
            <w:vAlign w:val="center"/>
            <w:hideMark/>
          </w:tcPr>
          <w:p w14:paraId="23C273B9" w14:textId="77777777" w:rsidR="00C37684" w:rsidRPr="009F5906" w:rsidRDefault="00C37684" w:rsidP="00C37684">
            <w:pPr>
              <w:spacing w:after="0" w:line="240" w:lineRule="auto"/>
              <w:jc w:val="right"/>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270.467.037</w:t>
            </w:r>
          </w:p>
        </w:tc>
      </w:tr>
      <w:tr w:rsidR="00C37684" w:rsidRPr="009F5906" w14:paraId="5C3BC2BC"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89F8" w14:textId="77777777" w:rsidR="00C37684" w:rsidRPr="009F5906" w:rsidRDefault="00C37684" w:rsidP="00C3768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2016</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99ECD6D" w14:textId="77777777" w:rsidR="00C37684" w:rsidRPr="009F5906" w:rsidRDefault="00C37684" w:rsidP="00C37684">
            <w:pPr>
              <w:spacing w:after="0" w:line="240" w:lineRule="auto"/>
              <w:jc w:val="right"/>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132.491.958</w:t>
            </w:r>
          </w:p>
        </w:tc>
      </w:tr>
      <w:tr w:rsidR="000C19F4" w:rsidRPr="009F5906" w14:paraId="2F929590"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7FBCF12" w14:textId="507CAC93" w:rsidR="000C19F4" w:rsidRPr="009F5906" w:rsidRDefault="000C19F4" w:rsidP="000C19F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2017</w:t>
            </w:r>
          </w:p>
        </w:tc>
        <w:tc>
          <w:tcPr>
            <w:tcW w:w="2200" w:type="dxa"/>
            <w:tcBorders>
              <w:top w:val="single" w:sz="4" w:space="0" w:color="auto"/>
              <w:left w:val="nil"/>
              <w:bottom w:val="single" w:sz="4" w:space="0" w:color="auto"/>
              <w:right w:val="single" w:sz="4" w:space="0" w:color="auto"/>
            </w:tcBorders>
            <w:shd w:val="clear" w:color="auto" w:fill="auto"/>
            <w:vAlign w:val="center"/>
          </w:tcPr>
          <w:p w14:paraId="7243D6C1" w14:textId="39A14791" w:rsidR="000C19F4" w:rsidRPr="009F5906" w:rsidRDefault="000C19F4" w:rsidP="000C19F4">
            <w:pPr>
              <w:spacing w:after="0" w:line="240" w:lineRule="auto"/>
              <w:jc w:val="right"/>
              <w:rPr>
                <w:rFonts w:ascii="Arial" w:eastAsia="Times New Roman" w:hAnsi="Arial" w:cs="Arial"/>
                <w:color w:val="000000"/>
                <w:sz w:val="18"/>
                <w:szCs w:val="18"/>
                <w:lang w:eastAsia="sl-SI"/>
              </w:rPr>
            </w:pPr>
            <w:r w:rsidRPr="009F5906">
              <w:rPr>
                <w:rFonts w:ascii="Arial" w:hAnsi="Arial" w:cs="Arial"/>
                <w:color w:val="000000"/>
                <w:sz w:val="18"/>
                <w:szCs w:val="18"/>
              </w:rPr>
              <w:t>238.429.978</w:t>
            </w:r>
          </w:p>
        </w:tc>
      </w:tr>
      <w:tr w:rsidR="009F5906" w:rsidRPr="009F5906" w14:paraId="6B174003"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EFE391F" w14:textId="60D26D0B" w:rsidR="009F5906" w:rsidRPr="009F5906" w:rsidRDefault="009F5906" w:rsidP="000C19F4">
            <w:pPr>
              <w:spacing w:after="0" w:line="240" w:lineRule="auto"/>
              <w:jc w:val="center"/>
              <w:rPr>
                <w:rFonts w:ascii="Arial" w:eastAsia="Times New Roman" w:hAnsi="Arial" w:cs="Arial"/>
                <w:color w:val="000000"/>
                <w:sz w:val="18"/>
                <w:szCs w:val="18"/>
                <w:lang w:eastAsia="sl-SI"/>
              </w:rPr>
            </w:pPr>
            <w:r w:rsidRPr="009F5906">
              <w:rPr>
                <w:rFonts w:ascii="Arial" w:eastAsia="Times New Roman" w:hAnsi="Arial" w:cs="Arial"/>
                <w:color w:val="000000"/>
                <w:sz w:val="18"/>
                <w:szCs w:val="18"/>
                <w:lang w:eastAsia="sl-SI"/>
              </w:rPr>
              <w:t>2018</w:t>
            </w:r>
          </w:p>
        </w:tc>
        <w:tc>
          <w:tcPr>
            <w:tcW w:w="2200" w:type="dxa"/>
            <w:tcBorders>
              <w:top w:val="single" w:sz="4" w:space="0" w:color="auto"/>
              <w:left w:val="nil"/>
              <w:bottom w:val="single" w:sz="4" w:space="0" w:color="auto"/>
              <w:right w:val="single" w:sz="4" w:space="0" w:color="auto"/>
            </w:tcBorders>
            <w:shd w:val="clear" w:color="auto" w:fill="auto"/>
            <w:vAlign w:val="center"/>
          </w:tcPr>
          <w:p w14:paraId="29E25658" w14:textId="7C2B798A" w:rsidR="009F5906" w:rsidRPr="009F5906" w:rsidRDefault="009F5906" w:rsidP="000C19F4">
            <w:pPr>
              <w:spacing w:after="0" w:line="240" w:lineRule="auto"/>
              <w:jc w:val="right"/>
              <w:rPr>
                <w:rFonts w:ascii="Arial" w:hAnsi="Arial" w:cs="Arial"/>
                <w:color w:val="000000"/>
                <w:sz w:val="18"/>
                <w:szCs w:val="18"/>
              </w:rPr>
            </w:pPr>
            <w:r w:rsidRPr="009F5906">
              <w:rPr>
                <w:rFonts w:ascii="Arial" w:hAnsi="Arial" w:cs="Arial"/>
                <w:sz w:val="18"/>
                <w:szCs w:val="18"/>
                <w:lang w:eastAsia="sl-SI"/>
              </w:rPr>
              <w:t>354.663.683</w:t>
            </w:r>
          </w:p>
        </w:tc>
      </w:tr>
    </w:tbl>
    <w:p w14:paraId="5FBFBE33" w14:textId="77777777" w:rsidR="004A613D" w:rsidRPr="009F5906" w:rsidRDefault="004A613D" w:rsidP="004A613D">
      <w:pPr>
        <w:spacing w:after="0" w:line="240" w:lineRule="auto"/>
        <w:jc w:val="center"/>
        <w:rPr>
          <w:rFonts w:ascii="Arial" w:hAnsi="Arial" w:cs="Arial"/>
          <w:sz w:val="18"/>
        </w:rPr>
      </w:pPr>
    </w:p>
    <w:p w14:paraId="358CC245" w14:textId="3C699E1C" w:rsidR="004A613D" w:rsidRPr="009F5906" w:rsidRDefault="00C37684" w:rsidP="004A613D">
      <w:pPr>
        <w:spacing w:after="0" w:line="240" w:lineRule="auto"/>
        <w:jc w:val="center"/>
        <w:rPr>
          <w:rFonts w:ascii="Arial" w:hAnsi="Arial" w:cs="Arial"/>
          <w:sz w:val="18"/>
        </w:rPr>
      </w:pPr>
      <w:r w:rsidRPr="009F5906">
        <w:rPr>
          <w:rFonts w:ascii="Arial" w:hAnsi="Arial" w:cs="Arial"/>
          <w:sz w:val="18"/>
        </w:rPr>
        <w:t xml:space="preserve">Vir: Statistični podatki o javnih naročilih, oddanih v </w:t>
      </w:r>
      <w:r w:rsidR="000C19F4" w:rsidRPr="009F5906">
        <w:rPr>
          <w:rFonts w:ascii="Arial" w:hAnsi="Arial" w:cs="Arial"/>
          <w:sz w:val="18"/>
        </w:rPr>
        <w:t>letih 2012</w:t>
      </w:r>
      <w:r w:rsidR="002B74A3">
        <w:rPr>
          <w:rFonts w:ascii="Arial" w:eastAsia="Times New Roman" w:hAnsi="Arial" w:cs="Arial"/>
          <w:color w:val="000000"/>
          <w:sz w:val="18"/>
          <w:szCs w:val="18"/>
          <w:lang w:eastAsia="sl-SI"/>
        </w:rPr>
        <w:sym w:font="Symbol" w:char="F02D"/>
      </w:r>
      <w:r w:rsidR="000C19F4" w:rsidRPr="009F5906">
        <w:rPr>
          <w:rFonts w:ascii="Arial" w:hAnsi="Arial" w:cs="Arial"/>
          <w:sz w:val="18"/>
        </w:rPr>
        <w:t>201</w:t>
      </w:r>
      <w:r w:rsidR="009F5906" w:rsidRPr="009F5906">
        <w:rPr>
          <w:rFonts w:ascii="Arial" w:hAnsi="Arial" w:cs="Arial"/>
          <w:sz w:val="18"/>
        </w:rPr>
        <w:t>8</w:t>
      </w:r>
    </w:p>
    <w:p w14:paraId="48E3D7B5" w14:textId="4BEE3F3D" w:rsidR="004A613D" w:rsidRPr="00EF2D0B" w:rsidRDefault="004A613D" w:rsidP="004A613D">
      <w:pPr>
        <w:spacing w:after="0" w:line="240" w:lineRule="auto"/>
        <w:jc w:val="center"/>
        <w:rPr>
          <w:rFonts w:ascii="Arial" w:hAnsi="Arial" w:cs="Arial"/>
          <w:sz w:val="18"/>
          <w:highlight w:val="yellow"/>
        </w:rPr>
      </w:pPr>
    </w:p>
    <w:p w14:paraId="4C97B8D1" w14:textId="360425B0" w:rsidR="00806D8E" w:rsidRPr="008E1C0B" w:rsidRDefault="00806D8E" w:rsidP="00806D8E">
      <w:pPr>
        <w:pStyle w:val="Naslov2"/>
        <w:rPr>
          <w:rFonts w:ascii="Arial" w:hAnsi="Arial" w:cs="Arial"/>
          <w:szCs w:val="20"/>
        </w:rPr>
      </w:pPr>
      <w:bookmarkStart w:id="40" w:name="_Toc17114077"/>
      <w:r w:rsidRPr="008E1C0B">
        <w:rPr>
          <w:rFonts w:ascii="Arial" w:hAnsi="Arial" w:cs="Arial"/>
          <w:sz w:val="22"/>
          <w:szCs w:val="22"/>
        </w:rPr>
        <w:t xml:space="preserve">2.10 </w:t>
      </w:r>
      <w:r w:rsidR="00731C4D" w:rsidRPr="008E1C0B">
        <w:rPr>
          <w:rFonts w:ascii="Arial" w:hAnsi="Arial" w:cs="Arial"/>
          <w:sz w:val="22"/>
          <w:szCs w:val="22"/>
        </w:rPr>
        <w:t xml:space="preserve">Zeleno in </w:t>
      </w:r>
      <w:r w:rsidRPr="008E1C0B">
        <w:rPr>
          <w:rFonts w:ascii="Arial" w:hAnsi="Arial" w:cs="Arial"/>
          <w:sz w:val="22"/>
          <w:szCs w:val="22"/>
        </w:rPr>
        <w:t xml:space="preserve">družbeno odgovorno </w:t>
      </w:r>
      <w:r w:rsidR="00731C4D" w:rsidRPr="008E1C0B">
        <w:rPr>
          <w:rFonts w:ascii="Arial" w:hAnsi="Arial" w:cs="Arial"/>
          <w:sz w:val="22"/>
          <w:szCs w:val="22"/>
        </w:rPr>
        <w:t xml:space="preserve">javno </w:t>
      </w:r>
      <w:r w:rsidRPr="008E1C0B">
        <w:rPr>
          <w:rFonts w:ascii="Arial" w:hAnsi="Arial" w:cs="Arial"/>
          <w:sz w:val="22"/>
          <w:szCs w:val="22"/>
        </w:rPr>
        <w:t>naročanje</w:t>
      </w:r>
      <w:bookmarkEnd w:id="40"/>
    </w:p>
    <w:p w14:paraId="739A19B7" w14:textId="77777777" w:rsidR="00B905EB" w:rsidRPr="008E1C0B" w:rsidRDefault="00B905EB" w:rsidP="00854405">
      <w:pPr>
        <w:pStyle w:val="ZADEVA"/>
        <w:jc w:val="both"/>
        <w:rPr>
          <w:rFonts w:cs="Arial"/>
          <w:b w:val="0"/>
          <w:szCs w:val="20"/>
          <w:lang w:val="sl-SI"/>
        </w:rPr>
      </w:pPr>
    </w:p>
    <w:p w14:paraId="26737AF5" w14:textId="34DF57EF" w:rsidR="00575CFA" w:rsidRPr="008E1C0B" w:rsidRDefault="00575CFA" w:rsidP="00575CFA">
      <w:pPr>
        <w:pStyle w:val="Naslov2"/>
        <w:rPr>
          <w:rFonts w:ascii="Arial" w:hAnsi="Arial" w:cs="Arial"/>
          <w:szCs w:val="20"/>
        </w:rPr>
      </w:pPr>
      <w:bookmarkStart w:id="41" w:name="_Toc17114078"/>
      <w:r w:rsidRPr="008E1C0B">
        <w:rPr>
          <w:rFonts w:ascii="Arial" w:hAnsi="Arial" w:cs="Arial"/>
          <w:sz w:val="22"/>
          <w:szCs w:val="22"/>
        </w:rPr>
        <w:t>2.</w:t>
      </w:r>
      <w:r w:rsidR="00731C4D" w:rsidRPr="008E1C0B">
        <w:rPr>
          <w:rFonts w:ascii="Arial" w:hAnsi="Arial" w:cs="Arial"/>
          <w:sz w:val="22"/>
          <w:szCs w:val="22"/>
        </w:rPr>
        <w:t>10.1</w:t>
      </w:r>
      <w:r w:rsidRPr="008E1C0B">
        <w:rPr>
          <w:rFonts w:ascii="Arial" w:hAnsi="Arial" w:cs="Arial"/>
          <w:sz w:val="22"/>
          <w:szCs w:val="22"/>
        </w:rPr>
        <w:t xml:space="preserve"> Zeleno javno naročanje</w:t>
      </w:r>
      <w:bookmarkEnd w:id="41"/>
    </w:p>
    <w:p w14:paraId="3740D103" w14:textId="77777777" w:rsidR="00806D8E" w:rsidRPr="00EF2D0B" w:rsidRDefault="00806D8E" w:rsidP="00854405">
      <w:pPr>
        <w:pStyle w:val="ZADEVA"/>
        <w:jc w:val="both"/>
        <w:rPr>
          <w:rFonts w:cs="Arial"/>
          <w:b w:val="0"/>
          <w:szCs w:val="20"/>
          <w:highlight w:val="yellow"/>
          <w:lang w:val="sl-SI"/>
        </w:rPr>
      </w:pPr>
    </w:p>
    <w:p w14:paraId="7EA41C9F" w14:textId="1B3C62E7" w:rsidR="00F742E4" w:rsidRPr="00F742E4" w:rsidRDefault="00F742E4" w:rsidP="00F742E4">
      <w:pPr>
        <w:spacing w:line="360" w:lineRule="auto"/>
        <w:jc w:val="both"/>
        <w:rPr>
          <w:rFonts w:ascii="Arial" w:hAnsi="Arial" w:cs="Arial"/>
          <w:color w:val="000000" w:themeColor="text1"/>
          <w:sz w:val="20"/>
          <w:szCs w:val="20"/>
          <w:lang w:eastAsia="sl-SI"/>
        </w:rPr>
      </w:pPr>
      <w:r w:rsidRPr="00F742E4">
        <w:rPr>
          <w:rFonts w:ascii="Arial" w:hAnsi="Arial" w:cs="Arial"/>
          <w:color w:val="000000" w:themeColor="text1"/>
          <w:sz w:val="20"/>
          <w:szCs w:val="20"/>
          <w:lang w:eastAsia="sl-SI"/>
        </w:rPr>
        <w:t xml:space="preserve">Zeleno javno naročanje je naročanje, pri katerem naročnik po ZJN-3 naroča blago, storitve ali gradnje, ki imajo v primerjavi z običajnim blagom, storitvami in gradnjami v celotnem obdobju njihovega trajanja manjši vpliv na okolje in enako ali boljšo funkcionalnost. Uredba o zelenem javnem naročanju (Uradni list RS, št. 51/17; Uredba o </w:t>
      </w:r>
      <w:proofErr w:type="spellStart"/>
      <w:r w:rsidRPr="00F742E4">
        <w:rPr>
          <w:rFonts w:ascii="Arial" w:hAnsi="Arial" w:cs="Arial"/>
          <w:color w:val="000000" w:themeColor="text1"/>
          <w:sz w:val="20"/>
          <w:szCs w:val="20"/>
          <w:lang w:eastAsia="sl-SI"/>
        </w:rPr>
        <w:t>ZeJN</w:t>
      </w:r>
      <w:proofErr w:type="spellEnd"/>
      <w:r w:rsidRPr="00F742E4">
        <w:rPr>
          <w:rFonts w:ascii="Arial" w:hAnsi="Arial" w:cs="Arial"/>
          <w:color w:val="000000" w:themeColor="text1"/>
          <w:sz w:val="20"/>
          <w:szCs w:val="20"/>
          <w:lang w:eastAsia="sl-SI"/>
        </w:rPr>
        <w:t xml:space="preserve">) določa 20 predmetov zelenega javnega naročanja, pri katerih je zeleno javno naročanje obvezno. Uredba o </w:t>
      </w:r>
      <w:proofErr w:type="spellStart"/>
      <w:r w:rsidRPr="00F742E4">
        <w:rPr>
          <w:rFonts w:ascii="Arial" w:hAnsi="Arial" w:cs="Arial"/>
          <w:color w:val="000000" w:themeColor="text1"/>
          <w:sz w:val="20"/>
          <w:szCs w:val="20"/>
          <w:lang w:eastAsia="sl-SI"/>
        </w:rPr>
        <w:t>ZeJN</w:t>
      </w:r>
      <w:proofErr w:type="spellEnd"/>
      <w:r w:rsidRPr="00F742E4">
        <w:rPr>
          <w:rFonts w:ascii="Arial" w:hAnsi="Arial" w:cs="Arial"/>
          <w:color w:val="000000" w:themeColor="text1"/>
          <w:sz w:val="20"/>
          <w:szCs w:val="20"/>
          <w:lang w:eastAsia="sl-SI"/>
        </w:rPr>
        <w:t xml:space="preserve"> določa cilje za posamezne predmete pri vsakokratni oddaji naročila, ki jih morajo naročniki izpolniti ob oddaji posameznega zelenega javnega naročila. </w:t>
      </w:r>
      <w:proofErr w:type="spellStart"/>
      <w:r w:rsidRPr="00F742E4">
        <w:rPr>
          <w:rFonts w:ascii="Arial" w:hAnsi="Arial" w:cs="Arial"/>
          <w:color w:val="000000" w:themeColor="text1"/>
          <w:sz w:val="20"/>
          <w:szCs w:val="20"/>
          <w:lang w:eastAsia="sl-SI"/>
        </w:rPr>
        <w:t>Okoljske</w:t>
      </w:r>
      <w:proofErr w:type="spellEnd"/>
      <w:r w:rsidRPr="00F742E4">
        <w:rPr>
          <w:rFonts w:ascii="Arial" w:hAnsi="Arial" w:cs="Arial"/>
          <w:color w:val="000000" w:themeColor="text1"/>
          <w:sz w:val="20"/>
          <w:szCs w:val="20"/>
          <w:lang w:eastAsia="sl-SI"/>
        </w:rPr>
        <w:t xml:space="preserve"> zahteve lahko naročniki v postopek javnega naročila vključijo na več načinov, kot tehnične </w:t>
      </w:r>
      <w:r w:rsidRPr="00F742E4">
        <w:rPr>
          <w:rFonts w:ascii="Arial" w:hAnsi="Arial" w:cs="Arial"/>
          <w:color w:val="000000" w:themeColor="text1"/>
          <w:sz w:val="20"/>
          <w:szCs w:val="20"/>
          <w:lang w:eastAsia="sl-SI"/>
        </w:rPr>
        <w:lastRenderedPageBreak/>
        <w:t xml:space="preserve">specifikacije, kot razlog za izključitev, kot pogoj za sodelovanje, merilo za oddajo javnega naročila ali posebno pogodbeno določilo. Naročniki pri posameznem naročilu lahko </w:t>
      </w:r>
      <w:proofErr w:type="spellStart"/>
      <w:r w:rsidRPr="00F742E4">
        <w:rPr>
          <w:rFonts w:ascii="Arial" w:hAnsi="Arial" w:cs="Arial"/>
          <w:color w:val="000000" w:themeColor="text1"/>
          <w:sz w:val="20"/>
          <w:szCs w:val="20"/>
          <w:lang w:eastAsia="sl-SI"/>
        </w:rPr>
        <w:t>okoljske</w:t>
      </w:r>
      <w:proofErr w:type="spellEnd"/>
      <w:r w:rsidRPr="00F742E4">
        <w:rPr>
          <w:rFonts w:ascii="Arial" w:hAnsi="Arial" w:cs="Arial"/>
          <w:color w:val="000000" w:themeColor="text1"/>
          <w:sz w:val="20"/>
          <w:szCs w:val="20"/>
          <w:lang w:eastAsia="sl-SI"/>
        </w:rPr>
        <w:t xml:space="preserve"> zahteve vključijo na navedeni način ali več navedenih načinov.</w:t>
      </w:r>
    </w:p>
    <w:p w14:paraId="78EAEE47" w14:textId="3AE3742F" w:rsidR="00F742E4" w:rsidRPr="00F742E4" w:rsidRDefault="002B74A3" w:rsidP="00F742E4">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Leta</w:t>
      </w:r>
      <w:r w:rsidR="00F742E4" w:rsidRPr="00F742E4">
        <w:rPr>
          <w:rFonts w:ascii="Arial" w:hAnsi="Arial" w:cs="Arial"/>
          <w:color w:val="000000" w:themeColor="text1"/>
          <w:sz w:val="20"/>
          <w:szCs w:val="20"/>
          <w:lang w:eastAsia="sl-SI"/>
        </w:rPr>
        <w:t xml:space="preserve"> 2018 so naročniki oddali 16.865 naročil v vrednosti 2.918.594.609 evrov. Najmanj en </w:t>
      </w:r>
      <w:proofErr w:type="spellStart"/>
      <w:r w:rsidR="00F742E4" w:rsidRPr="00F742E4">
        <w:rPr>
          <w:rFonts w:ascii="Arial" w:hAnsi="Arial" w:cs="Arial"/>
          <w:color w:val="000000" w:themeColor="text1"/>
          <w:sz w:val="20"/>
          <w:szCs w:val="20"/>
          <w:lang w:eastAsia="sl-SI"/>
        </w:rPr>
        <w:t>okoljski</w:t>
      </w:r>
      <w:proofErr w:type="spellEnd"/>
      <w:r w:rsidR="00F742E4" w:rsidRPr="00F742E4">
        <w:rPr>
          <w:rFonts w:ascii="Arial" w:hAnsi="Arial" w:cs="Arial"/>
          <w:color w:val="000000" w:themeColor="text1"/>
          <w:sz w:val="20"/>
          <w:szCs w:val="20"/>
          <w:lang w:eastAsia="sl-SI"/>
        </w:rPr>
        <w:t xml:space="preserve"> vidik so vključili v 5771 naročilih, kar pomeni 34,22 % vseh oddanih naročil v tem letu. Vrednost teh naročil je 559.393.716 evrov, kar pomeni 19,17-odstotni delež. </w:t>
      </w:r>
    </w:p>
    <w:p w14:paraId="2258E16D" w14:textId="29CEE38A" w:rsidR="00F742E4" w:rsidRDefault="00F742E4" w:rsidP="00F742E4">
      <w:pPr>
        <w:spacing w:line="360" w:lineRule="auto"/>
        <w:jc w:val="both"/>
        <w:rPr>
          <w:rFonts w:ascii="Arial" w:hAnsi="Arial" w:cs="Arial"/>
          <w:color w:val="000000" w:themeColor="text1"/>
          <w:sz w:val="20"/>
          <w:szCs w:val="20"/>
          <w:lang w:eastAsia="sl-SI"/>
        </w:rPr>
      </w:pPr>
      <w:r w:rsidRPr="00F742E4">
        <w:rPr>
          <w:rFonts w:ascii="Arial" w:hAnsi="Arial" w:cs="Arial"/>
          <w:color w:val="000000" w:themeColor="text1"/>
          <w:sz w:val="20"/>
          <w:szCs w:val="20"/>
          <w:lang w:eastAsia="sl-SI"/>
        </w:rPr>
        <w:t xml:space="preserve">Med temi je bilo oddanih 4539 naročil, za katere </w:t>
      </w:r>
      <w:proofErr w:type="spellStart"/>
      <w:r w:rsidRPr="00F742E4">
        <w:rPr>
          <w:rFonts w:ascii="Arial" w:hAnsi="Arial" w:cs="Arial"/>
          <w:color w:val="000000" w:themeColor="text1"/>
          <w:sz w:val="20"/>
          <w:szCs w:val="20"/>
          <w:lang w:eastAsia="sl-SI"/>
        </w:rPr>
        <w:t>okoljske</w:t>
      </w:r>
      <w:proofErr w:type="spellEnd"/>
      <w:r w:rsidRPr="00F742E4">
        <w:rPr>
          <w:rFonts w:ascii="Arial" w:hAnsi="Arial" w:cs="Arial"/>
          <w:color w:val="000000" w:themeColor="text1"/>
          <w:sz w:val="20"/>
          <w:szCs w:val="20"/>
          <w:lang w:eastAsia="sl-SI"/>
        </w:rPr>
        <w:t xml:space="preserve"> zahteve določa Uredba o </w:t>
      </w:r>
      <w:proofErr w:type="spellStart"/>
      <w:r w:rsidRPr="00F742E4">
        <w:rPr>
          <w:rFonts w:ascii="Arial" w:hAnsi="Arial" w:cs="Arial"/>
          <w:color w:val="000000" w:themeColor="text1"/>
          <w:sz w:val="20"/>
          <w:szCs w:val="20"/>
          <w:lang w:eastAsia="sl-SI"/>
        </w:rPr>
        <w:t>ZeJN</w:t>
      </w:r>
      <w:proofErr w:type="spellEnd"/>
      <w:r w:rsidRPr="00F742E4">
        <w:rPr>
          <w:rFonts w:ascii="Arial" w:hAnsi="Arial" w:cs="Arial"/>
          <w:color w:val="000000" w:themeColor="text1"/>
          <w:sz w:val="20"/>
          <w:szCs w:val="20"/>
          <w:lang w:eastAsia="sl-SI"/>
        </w:rPr>
        <w:t xml:space="preserve">, v vrednosti 295.152.677 evrov. Delež teh pomeni 26,91 % v številu in 10,11 % v vrednosti vseh oddanih naročil v letu 2018. V preostalih 1232 naročilih v vrednosti 264.241.039 evrov so naročniki </w:t>
      </w:r>
      <w:proofErr w:type="spellStart"/>
      <w:r w:rsidRPr="00F742E4">
        <w:rPr>
          <w:rFonts w:ascii="Arial" w:hAnsi="Arial" w:cs="Arial"/>
          <w:color w:val="000000" w:themeColor="text1"/>
          <w:sz w:val="20"/>
          <w:szCs w:val="20"/>
          <w:lang w:eastAsia="sl-SI"/>
        </w:rPr>
        <w:t>okoljski</w:t>
      </w:r>
      <w:proofErr w:type="spellEnd"/>
      <w:r w:rsidRPr="00F742E4">
        <w:rPr>
          <w:rFonts w:ascii="Arial" w:hAnsi="Arial" w:cs="Arial"/>
          <w:color w:val="000000" w:themeColor="text1"/>
          <w:sz w:val="20"/>
          <w:szCs w:val="20"/>
          <w:lang w:eastAsia="sl-SI"/>
        </w:rPr>
        <w:t xml:space="preserve"> vidik upoštevali prostovoljno, kar je 7,31 </w:t>
      </w:r>
      <w:r w:rsidR="00FA0EF9">
        <w:rPr>
          <w:rFonts w:ascii="Arial" w:hAnsi="Arial" w:cs="Arial"/>
          <w:color w:val="000000" w:themeColor="text1"/>
          <w:sz w:val="20"/>
          <w:szCs w:val="20"/>
          <w:lang w:eastAsia="sl-SI"/>
        </w:rPr>
        <w:t>%</w:t>
      </w:r>
      <w:r w:rsidR="00FA0EF9" w:rsidRPr="00F742E4">
        <w:rPr>
          <w:rFonts w:ascii="Arial" w:hAnsi="Arial" w:cs="Arial"/>
          <w:color w:val="000000" w:themeColor="text1"/>
          <w:sz w:val="20"/>
          <w:szCs w:val="20"/>
          <w:lang w:eastAsia="sl-SI"/>
        </w:rPr>
        <w:t xml:space="preserve"> </w:t>
      </w:r>
      <w:r w:rsidRPr="00F742E4">
        <w:rPr>
          <w:rFonts w:ascii="Arial" w:hAnsi="Arial" w:cs="Arial"/>
          <w:color w:val="000000" w:themeColor="text1"/>
          <w:sz w:val="20"/>
          <w:szCs w:val="20"/>
          <w:lang w:eastAsia="sl-SI"/>
        </w:rPr>
        <w:t xml:space="preserve">vseh naročil in 9,05 </w:t>
      </w:r>
      <w:r w:rsidR="00FA0EF9">
        <w:rPr>
          <w:rFonts w:ascii="Arial" w:hAnsi="Arial" w:cs="Arial"/>
          <w:color w:val="000000" w:themeColor="text1"/>
          <w:sz w:val="20"/>
          <w:szCs w:val="20"/>
          <w:lang w:eastAsia="sl-SI"/>
        </w:rPr>
        <w:t>%</w:t>
      </w:r>
      <w:r w:rsidR="00FA0EF9" w:rsidRPr="00F742E4">
        <w:rPr>
          <w:rFonts w:ascii="Arial" w:hAnsi="Arial" w:cs="Arial"/>
          <w:color w:val="000000" w:themeColor="text1"/>
          <w:sz w:val="20"/>
          <w:szCs w:val="20"/>
          <w:lang w:eastAsia="sl-SI"/>
        </w:rPr>
        <w:t xml:space="preserve"> </w:t>
      </w:r>
      <w:r w:rsidRPr="00F742E4">
        <w:rPr>
          <w:rFonts w:ascii="Arial" w:hAnsi="Arial" w:cs="Arial"/>
          <w:color w:val="000000" w:themeColor="text1"/>
          <w:sz w:val="20"/>
          <w:szCs w:val="20"/>
          <w:lang w:eastAsia="sl-SI"/>
        </w:rPr>
        <w:t>vrednosti vseh oddanih naročil v letu 2018.</w:t>
      </w:r>
    </w:p>
    <w:p w14:paraId="3E7F5F24" w14:textId="77777777" w:rsidR="008C1A77" w:rsidRPr="00173F6A" w:rsidRDefault="008C1A77" w:rsidP="008C1A77">
      <w:pPr>
        <w:spacing w:line="360" w:lineRule="auto"/>
        <w:jc w:val="both"/>
        <w:rPr>
          <w:rFonts w:ascii="Arial" w:hAnsi="Arial" w:cs="Arial"/>
          <w:color w:val="000000" w:themeColor="text1"/>
          <w:sz w:val="20"/>
          <w:szCs w:val="20"/>
        </w:rPr>
      </w:pPr>
      <w:r w:rsidRPr="00173F6A">
        <w:rPr>
          <w:rFonts w:ascii="Arial" w:hAnsi="Arial" w:cs="Arial"/>
          <w:color w:val="000000" w:themeColor="text1"/>
          <w:sz w:val="20"/>
          <w:szCs w:val="20"/>
        </w:rPr>
        <w:t xml:space="preserve">Iz statističnih podatkov izhaja, da naročniki v 2272 naročilih v vrednosti 389.173.174 evrov, kjer </w:t>
      </w:r>
      <w:r>
        <w:rPr>
          <w:rFonts w:ascii="Arial" w:hAnsi="Arial" w:cs="Arial"/>
          <w:color w:val="000000" w:themeColor="text1"/>
          <w:sz w:val="20"/>
          <w:szCs w:val="20"/>
        </w:rPr>
        <w:t>predmet naročanja predstavlja vsaj enega izmed predmetov zelenega javnega naročanja</w:t>
      </w:r>
      <w:r w:rsidRPr="00173F6A">
        <w:rPr>
          <w:rFonts w:ascii="Arial" w:hAnsi="Arial" w:cs="Arial"/>
          <w:color w:val="000000" w:themeColor="text1"/>
          <w:sz w:val="20"/>
          <w:szCs w:val="20"/>
        </w:rPr>
        <w:t xml:space="preserve">, niso vključili nobenega </w:t>
      </w:r>
      <w:proofErr w:type="spellStart"/>
      <w:r w:rsidRPr="00173F6A">
        <w:rPr>
          <w:rFonts w:ascii="Arial" w:hAnsi="Arial" w:cs="Arial"/>
          <w:color w:val="000000" w:themeColor="text1"/>
          <w:sz w:val="20"/>
          <w:szCs w:val="20"/>
        </w:rPr>
        <w:t>okoljskega</w:t>
      </w:r>
      <w:proofErr w:type="spellEnd"/>
      <w:r w:rsidRPr="00173F6A">
        <w:rPr>
          <w:rFonts w:ascii="Arial" w:hAnsi="Arial" w:cs="Arial"/>
          <w:color w:val="000000" w:themeColor="text1"/>
          <w:sz w:val="20"/>
          <w:szCs w:val="20"/>
        </w:rPr>
        <w:t xml:space="preserve"> vidika. </w:t>
      </w:r>
    </w:p>
    <w:p w14:paraId="3B83B9CC" w14:textId="3771AC30" w:rsidR="00F742E4" w:rsidRPr="0057145D" w:rsidRDefault="008C1A77" w:rsidP="008C1A77">
      <w:pPr>
        <w:spacing w:line="360" w:lineRule="auto"/>
        <w:jc w:val="both"/>
        <w:rPr>
          <w:rFonts w:ascii="Arial" w:hAnsi="Arial" w:cs="Arial"/>
          <w:color w:val="000000" w:themeColor="text1"/>
          <w:sz w:val="20"/>
          <w:szCs w:val="20"/>
          <w:lang w:eastAsia="sl-SI"/>
        </w:rPr>
      </w:pPr>
      <w:r w:rsidRPr="002E6FDA">
        <w:rPr>
          <w:rFonts w:ascii="Arial" w:hAnsi="Arial" w:cs="Arial"/>
          <w:sz w:val="20"/>
          <w:szCs w:val="20"/>
        </w:rPr>
        <w:t>Največji delež zelenih naročil v vseh naročilih glede na področje je na splošnem področju, kjer so zelena naročila dobra tretjina vse</w:t>
      </w:r>
      <w:r>
        <w:rPr>
          <w:rFonts w:ascii="Arial" w:hAnsi="Arial" w:cs="Arial"/>
          <w:sz w:val="20"/>
          <w:szCs w:val="20"/>
        </w:rPr>
        <w:t>h</w:t>
      </w:r>
      <w:r w:rsidRPr="002E6FDA">
        <w:rPr>
          <w:rFonts w:ascii="Arial" w:hAnsi="Arial" w:cs="Arial"/>
          <w:sz w:val="20"/>
          <w:szCs w:val="20"/>
        </w:rPr>
        <w:t xml:space="preserve"> oddanih naročil na tem področju. Prav tako je na splošnem področju največji delež zelenih naročil po vrednosti vseh naročil glede na področje.</w:t>
      </w:r>
    </w:p>
    <w:p w14:paraId="23B0AD6E" w14:textId="6DCE9215" w:rsidR="00F83DD4" w:rsidRPr="003C0F61" w:rsidRDefault="00F83DD4" w:rsidP="00701C10">
      <w:pPr>
        <w:spacing w:before="120" w:after="120" w:line="240" w:lineRule="auto"/>
        <w:jc w:val="both"/>
        <w:rPr>
          <w:rFonts w:ascii="Arial" w:hAnsi="Arial" w:cs="Arial"/>
          <w:sz w:val="20"/>
        </w:rPr>
      </w:pPr>
      <w:r w:rsidRPr="003C0F61">
        <w:rPr>
          <w:rFonts w:ascii="Arial" w:hAnsi="Arial" w:cs="Arial"/>
          <w:sz w:val="20"/>
        </w:rPr>
        <w:t xml:space="preserve">Preglednica </w:t>
      </w:r>
      <w:r w:rsidR="008C1A77">
        <w:rPr>
          <w:rFonts w:ascii="Arial" w:hAnsi="Arial" w:cs="Arial"/>
          <w:sz w:val="20"/>
        </w:rPr>
        <w:t>58</w:t>
      </w:r>
      <w:r w:rsidRPr="003C0F61">
        <w:rPr>
          <w:rFonts w:ascii="Arial" w:hAnsi="Arial" w:cs="Arial"/>
          <w:sz w:val="20"/>
        </w:rPr>
        <w:t>: Število in vrednosti ter deleži zelenih naročil glede na področje</w:t>
      </w:r>
      <w:r w:rsidR="00B4367F" w:rsidRPr="003C0F61">
        <w:rPr>
          <w:rFonts w:ascii="Arial" w:hAnsi="Arial" w:cs="Arial"/>
          <w:sz w:val="20"/>
        </w:rPr>
        <w:t xml:space="preserve"> naročanja</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3"/>
        <w:gridCol w:w="1089"/>
        <w:gridCol w:w="1311"/>
        <w:gridCol w:w="1778"/>
        <w:gridCol w:w="1801"/>
      </w:tblGrid>
      <w:tr w:rsidR="00CA253A" w:rsidRPr="003C0F61" w14:paraId="275DA0D4" w14:textId="77777777" w:rsidTr="004339BC">
        <w:trPr>
          <w:trHeight w:val="735"/>
          <w:jc w:val="center"/>
        </w:trPr>
        <w:tc>
          <w:tcPr>
            <w:tcW w:w="1623" w:type="dxa"/>
            <w:shd w:val="clear" w:color="auto" w:fill="EDEDED" w:themeFill="accent3" w:themeFillTint="33"/>
            <w:vAlign w:val="center"/>
            <w:hideMark/>
          </w:tcPr>
          <w:p w14:paraId="16838C43" w14:textId="67379D0B" w:rsidR="00CA253A" w:rsidRPr="003C0F61" w:rsidRDefault="000F2B07" w:rsidP="00CA253A">
            <w:pPr>
              <w:spacing w:after="0" w:line="240" w:lineRule="auto"/>
              <w:jc w:val="center"/>
              <w:rPr>
                <w:rFonts w:ascii="Arial" w:eastAsia="Times New Roman" w:hAnsi="Arial" w:cs="Arial"/>
                <w:color w:val="000000"/>
                <w:sz w:val="18"/>
                <w:szCs w:val="18"/>
                <w:lang w:eastAsia="sl-SI"/>
              </w:rPr>
            </w:pPr>
            <w:r w:rsidRPr="003C0F61">
              <w:rPr>
                <w:rFonts w:ascii="Arial" w:eastAsia="Times New Roman" w:hAnsi="Arial" w:cs="Arial"/>
                <w:color w:val="000000"/>
                <w:sz w:val="18"/>
                <w:szCs w:val="18"/>
                <w:lang w:eastAsia="sl-SI"/>
              </w:rPr>
              <w:t>Področje</w:t>
            </w:r>
            <w:r w:rsidR="00CA253A" w:rsidRPr="003C0F61">
              <w:rPr>
                <w:rFonts w:ascii="Arial" w:eastAsia="Times New Roman" w:hAnsi="Arial" w:cs="Arial"/>
                <w:color w:val="000000"/>
                <w:sz w:val="18"/>
                <w:szCs w:val="18"/>
                <w:lang w:eastAsia="sl-SI"/>
              </w:rPr>
              <w:t xml:space="preserve"> </w:t>
            </w:r>
          </w:p>
        </w:tc>
        <w:tc>
          <w:tcPr>
            <w:tcW w:w="1089" w:type="dxa"/>
            <w:shd w:val="clear" w:color="auto" w:fill="EDEDED" w:themeFill="accent3" w:themeFillTint="33"/>
            <w:vAlign w:val="center"/>
            <w:hideMark/>
          </w:tcPr>
          <w:p w14:paraId="4FA8AAF9" w14:textId="77777777" w:rsidR="00CA253A" w:rsidRPr="003C0F61" w:rsidRDefault="00CA253A" w:rsidP="00CA253A">
            <w:pPr>
              <w:spacing w:after="0" w:line="240" w:lineRule="auto"/>
              <w:jc w:val="center"/>
              <w:rPr>
                <w:rFonts w:ascii="Arial" w:eastAsia="Times New Roman" w:hAnsi="Arial" w:cs="Arial"/>
                <w:color w:val="000000"/>
                <w:sz w:val="18"/>
                <w:szCs w:val="18"/>
                <w:lang w:eastAsia="sl-SI"/>
              </w:rPr>
            </w:pPr>
            <w:r w:rsidRPr="003C0F61">
              <w:rPr>
                <w:rFonts w:ascii="Arial" w:eastAsia="Times New Roman" w:hAnsi="Arial" w:cs="Arial"/>
                <w:color w:val="000000"/>
                <w:sz w:val="18"/>
                <w:szCs w:val="18"/>
                <w:lang w:eastAsia="sl-SI"/>
              </w:rPr>
              <w:t>Št. zelenih naročil</w:t>
            </w:r>
          </w:p>
        </w:tc>
        <w:tc>
          <w:tcPr>
            <w:tcW w:w="1311" w:type="dxa"/>
            <w:shd w:val="clear" w:color="auto" w:fill="EDEDED" w:themeFill="accent3" w:themeFillTint="33"/>
            <w:vAlign w:val="center"/>
            <w:hideMark/>
          </w:tcPr>
          <w:p w14:paraId="14B3FAFC" w14:textId="77777777" w:rsidR="00CA253A" w:rsidRPr="003C0F61" w:rsidRDefault="00CA253A" w:rsidP="00CA253A">
            <w:pPr>
              <w:spacing w:after="0" w:line="240" w:lineRule="auto"/>
              <w:jc w:val="center"/>
              <w:rPr>
                <w:rFonts w:ascii="Arial" w:eastAsia="Times New Roman" w:hAnsi="Arial" w:cs="Arial"/>
                <w:color w:val="000000"/>
                <w:sz w:val="18"/>
                <w:szCs w:val="18"/>
                <w:lang w:eastAsia="sl-SI"/>
              </w:rPr>
            </w:pPr>
            <w:r w:rsidRPr="003C0F61">
              <w:rPr>
                <w:rFonts w:ascii="Arial" w:eastAsia="Times New Roman" w:hAnsi="Arial" w:cs="Arial"/>
                <w:color w:val="000000"/>
                <w:sz w:val="18"/>
                <w:szCs w:val="18"/>
                <w:lang w:eastAsia="sl-SI"/>
              </w:rPr>
              <w:t>Pogodbena vrednost</w:t>
            </w:r>
          </w:p>
        </w:tc>
        <w:tc>
          <w:tcPr>
            <w:tcW w:w="1778" w:type="dxa"/>
            <w:shd w:val="clear" w:color="auto" w:fill="EDEDED" w:themeFill="accent3" w:themeFillTint="33"/>
            <w:vAlign w:val="center"/>
            <w:hideMark/>
          </w:tcPr>
          <w:p w14:paraId="57B057EF" w14:textId="77777777" w:rsidR="00CA253A" w:rsidRPr="003C0F61" w:rsidRDefault="00CA253A" w:rsidP="00CA253A">
            <w:pPr>
              <w:spacing w:after="0" w:line="240" w:lineRule="auto"/>
              <w:jc w:val="center"/>
              <w:rPr>
                <w:rFonts w:ascii="Arial" w:eastAsia="Times New Roman" w:hAnsi="Arial" w:cs="Arial"/>
                <w:color w:val="000000"/>
                <w:sz w:val="18"/>
                <w:szCs w:val="18"/>
                <w:lang w:eastAsia="sl-SI"/>
              </w:rPr>
            </w:pPr>
            <w:r w:rsidRPr="003C0F61">
              <w:rPr>
                <w:rFonts w:ascii="Arial" w:eastAsia="Times New Roman" w:hAnsi="Arial" w:cs="Arial"/>
                <w:color w:val="000000"/>
                <w:sz w:val="18"/>
                <w:szCs w:val="18"/>
                <w:lang w:eastAsia="sl-SI"/>
              </w:rPr>
              <w:t>Delež v št. naročil na istem področju</w:t>
            </w:r>
          </w:p>
        </w:tc>
        <w:tc>
          <w:tcPr>
            <w:tcW w:w="1801" w:type="dxa"/>
            <w:shd w:val="clear" w:color="auto" w:fill="EDEDED" w:themeFill="accent3" w:themeFillTint="33"/>
            <w:vAlign w:val="center"/>
            <w:hideMark/>
          </w:tcPr>
          <w:p w14:paraId="232A431E" w14:textId="73D20C7A" w:rsidR="00CA253A" w:rsidRPr="003C0F61" w:rsidRDefault="00CA253A" w:rsidP="00CA253A">
            <w:pPr>
              <w:spacing w:after="0" w:line="240" w:lineRule="auto"/>
              <w:jc w:val="center"/>
              <w:rPr>
                <w:rFonts w:ascii="Arial" w:eastAsia="Times New Roman" w:hAnsi="Arial" w:cs="Arial"/>
                <w:color w:val="000000"/>
                <w:sz w:val="18"/>
                <w:szCs w:val="18"/>
                <w:lang w:eastAsia="sl-SI"/>
              </w:rPr>
            </w:pPr>
            <w:r w:rsidRPr="003C0F61">
              <w:rPr>
                <w:rFonts w:ascii="Arial" w:eastAsia="Times New Roman" w:hAnsi="Arial" w:cs="Arial"/>
                <w:color w:val="000000"/>
                <w:sz w:val="18"/>
                <w:szCs w:val="18"/>
                <w:lang w:eastAsia="sl-SI"/>
              </w:rPr>
              <w:t>Delež v vrednosti na istem področju</w:t>
            </w:r>
          </w:p>
        </w:tc>
      </w:tr>
      <w:tr w:rsidR="00E62385" w:rsidRPr="003C0F61" w14:paraId="4D1BACBA" w14:textId="77777777" w:rsidTr="004339BC">
        <w:trPr>
          <w:trHeight w:val="284"/>
          <w:jc w:val="center"/>
        </w:trPr>
        <w:tc>
          <w:tcPr>
            <w:tcW w:w="1623" w:type="dxa"/>
            <w:shd w:val="clear" w:color="auto" w:fill="auto"/>
            <w:vAlign w:val="center"/>
            <w:hideMark/>
          </w:tcPr>
          <w:p w14:paraId="4DEFB111" w14:textId="10AFA5F4" w:rsidR="00E62385" w:rsidRPr="003C0F61" w:rsidRDefault="00E62385" w:rsidP="00E62385">
            <w:pPr>
              <w:spacing w:after="0" w:line="240" w:lineRule="auto"/>
              <w:jc w:val="both"/>
              <w:rPr>
                <w:rFonts w:ascii="Arial" w:eastAsia="Times New Roman" w:hAnsi="Arial" w:cs="Arial"/>
                <w:sz w:val="18"/>
                <w:szCs w:val="18"/>
                <w:lang w:eastAsia="sl-SI"/>
              </w:rPr>
            </w:pPr>
            <w:r w:rsidRPr="003C0F61">
              <w:rPr>
                <w:rFonts w:ascii="Arial" w:eastAsia="Times New Roman" w:hAnsi="Arial" w:cs="Arial"/>
                <w:sz w:val="18"/>
                <w:szCs w:val="18"/>
                <w:lang w:eastAsia="sl-SI"/>
              </w:rPr>
              <w:t>Splošno</w:t>
            </w:r>
          </w:p>
        </w:tc>
        <w:tc>
          <w:tcPr>
            <w:tcW w:w="1089" w:type="dxa"/>
            <w:shd w:val="clear" w:color="auto" w:fill="auto"/>
            <w:vAlign w:val="center"/>
            <w:hideMark/>
          </w:tcPr>
          <w:p w14:paraId="7F68C106" w14:textId="7DC63C90"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5.578</w:t>
            </w:r>
          </w:p>
        </w:tc>
        <w:tc>
          <w:tcPr>
            <w:tcW w:w="1311" w:type="dxa"/>
            <w:shd w:val="clear" w:color="auto" w:fill="auto"/>
            <w:vAlign w:val="center"/>
            <w:hideMark/>
          </w:tcPr>
          <w:p w14:paraId="70C1F9F0" w14:textId="77B35875"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515.671.596</w:t>
            </w:r>
          </w:p>
        </w:tc>
        <w:tc>
          <w:tcPr>
            <w:tcW w:w="1778" w:type="dxa"/>
            <w:shd w:val="clear" w:color="auto" w:fill="auto"/>
            <w:vAlign w:val="center"/>
            <w:hideMark/>
          </w:tcPr>
          <w:p w14:paraId="5C9E68A4" w14:textId="2AEB51A5"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36,69</w:t>
            </w:r>
            <w:r w:rsidR="003C0F61" w:rsidRPr="003C0F61">
              <w:rPr>
                <w:rFonts w:ascii="Arial" w:hAnsi="Arial" w:cs="Arial"/>
                <w:sz w:val="18"/>
                <w:szCs w:val="18"/>
              </w:rPr>
              <w:t xml:space="preserve"> </w:t>
            </w:r>
            <w:r w:rsidRPr="003C0F61">
              <w:rPr>
                <w:rFonts w:ascii="Arial" w:hAnsi="Arial" w:cs="Arial"/>
                <w:sz w:val="18"/>
                <w:szCs w:val="18"/>
              </w:rPr>
              <w:t>%</w:t>
            </w:r>
          </w:p>
        </w:tc>
        <w:tc>
          <w:tcPr>
            <w:tcW w:w="1801" w:type="dxa"/>
            <w:shd w:val="clear" w:color="auto" w:fill="auto"/>
            <w:vAlign w:val="center"/>
            <w:hideMark/>
          </w:tcPr>
          <w:p w14:paraId="4421508B" w14:textId="74A52BFB"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22,78</w:t>
            </w:r>
            <w:r w:rsidR="003C0F61" w:rsidRPr="003C0F61">
              <w:rPr>
                <w:rFonts w:ascii="Arial" w:hAnsi="Arial" w:cs="Arial"/>
                <w:sz w:val="18"/>
                <w:szCs w:val="18"/>
              </w:rPr>
              <w:t xml:space="preserve"> </w:t>
            </w:r>
            <w:r w:rsidRPr="003C0F61">
              <w:rPr>
                <w:rFonts w:ascii="Arial" w:hAnsi="Arial" w:cs="Arial"/>
                <w:sz w:val="18"/>
                <w:szCs w:val="18"/>
              </w:rPr>
              <w:t>%</w:t>
            </w:r>
          </w:p>
        </w:tc>
      </w:tr>
      <w:tr w:rsidR="00E62385" w:rsidRPr="003C0F61" w14:paraId="2CD01A59" w14:textId="77777777" w:rsidTr="004339BC">
        <w:trPr>
          <w:trHeight w:val="284"/>
          <w:jc w:val="center"/>
        </w:trPr>
        <w:tc>
          <w:tcPr>
            <w:tcW w:w="1623" w:type="dxa"/>
            <w:shd w:val="clear" w:color="auto" w:fill="auto"/>
            <w:vAlign w:val="center"/>
            <w:hideMark/>
          </w:tcPr>
          <w:p w14:paraId="39BE394E" w14:textId="4C822AE3" w:rsidR="00E62385" w:rsidRPr="003C0F61" w:rsidRDefault="00E62385" w:rsidP="00E62385">
            <w:pPr>
              <w:spacing w:after="0" w:line="240" w:lineRule="auto"/>
              <w:jc w:val="both"/>
              <w:rPr>
                <w:rFonts w:ascii="Arial" w:eastAsia="Times New Roman" w:hAnsi="Arial" w:cs="Arial"/>
                <w:sz w:val="18"/>
                <w:szCs w:val="18"/>
                <w:lang w:eastAsia="sl-SI"/>
              </w:rPr>
            </w:pPr>
            <w:r w:rsidRPr="003C0F61">
              <w:rPr>
                <w:rFonts w:ascii="Arial" w:eastAsia="Times New Roman" w:hAnsi="Arial" w:cs="Arial"/>
                <w:sz w:val="18"/>
                <w:szCs w:val="18"/>
                <w:lang w:eastAsia="sl-SI"/>
              </w:rPr>
              <w:t>Infrastrukturno</w:t>
            </w:r>
          </w:p>
        </w:tc>
        <w:tc>
          <w:tcPr>
            <w:tcW w:w="1089" w:type="dxa"/>
            <w:shd w:val="clear" w:color="auto" w:fill="auto"/>
            <w:vAlign w:val="center"/>
            <w:hideMark/>
          </w:tcPr>
          <w:p w14:paraId="51A94817" w14:textId="0EB87727"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193</w:t>
            </w:r>
          </w:p>
        </w:tc>
        <w:tc>
          <w:tcPr>
            <w:tcW w:w="1311" w:type="dxa"/>
            <w:shd w:val="clear" w:color="auto" w:fill="auto"/>
            <w:vAlign w:val="center"/>
            <w:hideMark/>
          </w:tcPr>
          <w:p w14:paraId="663F83A1" w14:textId="3C4DD5EB"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43.722.120</w:t>
            </w:r>
          </w:p>
        </w:tc>
        <w:tc>
          <w:tcPr>
            <w:tcW w:w="1778" w:type="dxa"/>
            <w:shd w:val="clear" w:color="auto" w:fill="auto"/>
            <w:vAlign w:val="center"/>
            <w:hideMark/>
          </w:tcPr>
          <w:p w14:paraId="2DA99932" w14:textId="20A7E7D5"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12,22</w:t>
            </w:r>
            <w:r w:rsidR="003C0F61" w:rsidRPr="003C0F61">
              <w:rPr>
                <w:rFonts w:ascii="Arial" w:hAnsi="Arial" w:cs="Arial"/>
                <w:sz w:val="18"/>
                <w:szCs w:val="18"/>
              </w:rPr>
              <w:t xml:space="preserve"> </w:t>
            </w:r>
            <w:r w:rsidRPr="003C0F61">
              <w:rPr>
                <w:rFonts w:ascii="Arial" w:hAnsi="Arial" w:cs="Arial"/>
                <w:sz w:val="18"/>
                <w:szCs w:val="18"/>
              </w:rPr>
              <w:t>%</w:t>
            </w:r>
          </w:p>
        </w:tc>
        <w:tc>
          <w:tcPr>
            <w:tcW w:w="1801" w:type="dxa"/>
            <w:shd w:val="clear" w:color="auto" w:fill="auto"/>
            <w:vAlign w:val="center"/>
            <w:hideMark/>
          </w:tcPr>
          <w:p w14:paraId="5E66E79B" w14:textId="7F95441A"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7,42</w:t>
            </w:r>
            <w:r w:rsidR="003C0F61" w:rsidRPr="003C0F61">
              <w:rPr>
                <w:rFonts w:ascii="Arial" w:hAnsi="Arial" w:cs="Arial"/>
                <w:sz w:val="18"/>
                <w:szCs w:val="18"/>
              </w:rPr>
              <w:t xml:space="preserve"> </w:t>
            </w:r>
            <w:r w:rsidRPr="003C0F61">
              <w:rPr>
                <w:rFonts w:ascii="Arial" w:hAnsi="Arial" w:cs="Arial"/>
                <w:sz w:val="18"/>
                <w:szCs w:val="18"/>
              </w:rPr>
              <w:t>%</w:t>
            </w:r>
          </w:p>
        </w:tc>
      </w:tr>
      <w:tr w:rsidR="00E62385" w:rsidRPr="003C0F61" w14:paraId="68A20AC3" w14:textId="77777777" w:rsidTr="004339BC">
        <w:trPr>
          <w:trHeight w:val="284"/>
          <w:jc w:val="center"/>
        </w:trPr>
        <w:tc>
          <w:tcPr>
            <w:tcW w:w="1623" w:type="dxa"/>
            <w:shd w:val="clear" w:color="auto" w:fill="auto"/>
            <w:vAlign w:val="center"/>
            <w:hideMark/>
          </w:tcPr>
          <w:p w14:paraId="468F9788" w14:textId="6CFDB40B" w:rsidR="00E62385" w:rsidRPr="003C0F61" w:rsidRDefault="00E62385" w:rsidP="00E62385">
            <w:pPr>
              <w:spacing w:after="0" w:line="240" w:lineRule="auto"/>
              <w:jc w:val="both"/>
              <w:rPr>
                <w:rFonts w:ascii="Arial" w:eastAsia="Times New Roman" w:hAnsi="Arial" w:cs="Arial"/>
                <w:sz w:val="18"/>
                <w:szCs w:val="18"/>
                <w:lang w:eastAsia="sl-SI"/>
              </w:rPr>
            </w:pPr>
            <w:r w:rsidRPr="003C0F61">
              <w:rPr>
                <w:rFonts w:ascii="Arial" w:eastAsia="Times New Roman" w:hAnsi="Arial" w:cs="Arial"/>
                <w:sz w:val="18"/>
                <w:szCs w:val="18"/>
                <w:lang w:eastAsia="sl-SI"/>
              </w:rPr>
              <w:t>Obrambno</w:t>
            </w:r>
          </w:p>
        </w:tc>
        <w:tc>
          <w:tcPr>
            <w:tcW w:w="1089" w:type="dxa"/>
            <w:shd w:val="clear" w:color="auto" w:fill="auto"/>
            <w:vAlign w:val="center"/>
            <w:hideMark/>
          </w:tcPr>
          <w:p w14:paraId="0DB51606" w14:textId="3D5ED2B8"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0</w:t>
            </w:r>
          </w:p>
        </w:tc>
        <w:tc>
          <w:tcPr>
            <w:tcW w:w="1311" w:type="dxa"/>
            <w:shd w:val="clear" w:color="auto" w:fill="auto"/>
            <w:vAlign w:val="center"/>
            <w:hideMark/>
          </w:tcPr>
          <w:p w14:paraId="771AA0F2" w14:textId="5583BE74"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0</w:t>
            </w:r>
          </w:p>
        </w:tc>
        <w:tc>
          <w:tcPr>
            <w:tcW w:w="1778" w:type="dxa"/>
            <w:shd w:val="clear" w:color="auto" w:fill="auto"/>
            <w:vAlign w:val="center"/>
            <w:hideMark/>
          </w:tcPr>
          <w:p w14:paraId="539D49AA" w14:textId="64759564"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0,00</w:t>
            </w:r>
            <w:r w:rsidR="003C0F61" w:rsidRPr="003C0F61">
              <w:rPr>
                <w:rFonts w:ascii="Arial" w:hAnsi="Arial" w:cs="Arial"/>
                <w:sz w:val="18"/>
                <w:szCs w:val="18"/>
              </w:rPr>
              <w:t xml:space="preserve"> </w:t>
            </w:r>
            <w:r w:rsidRPr="003C0F61">
              <w:rPr>
                <w:rFonts w:ascii="Arial" w:hAnsi="Arial" w:cs="Arial"/>
                <w:sz w:val="18"/>
                <w:szCs w:val="18"/>
              </w:rPr>
              <w:t>%</w:t>
            </w:r>
          </w:p>
        </w:tc>
        <w:tc>
          <w:tcPr>
            <w:tcW w:w="1801" w:type="dxa"/>
            <w:shd w:val="clear" w:color="auto" w:fill="auto"/>
            <w:vAlign w:val="center"/>
            <w:hideMark/>
          </w:tcPr>
          <w:p w14:paraId="541FF25F" w14:textId="1C628678" w:rsidR="00E62385" w:rsidRPr="003C0F61" w:rsidRDefault="00E62385" w:rsidP="003C0F61">
            <w:pPr>
              <w:spacing w:after="0" w:line="240" w:lineRule="auto"/>
              <w:jc w:val="right"/>
              <w:rPr>
                <w:rFonts w:ascii="Arial" w:eastAsia="Times New Roman" w:hAnsi="Arial" w:cs="Arial"/>
                <w:sz w:val="18"/>
                <w:szCs w:val="18"/>
                <w:lang w:eastAsia="sl-SI"/>
              </w:rPr>
            </w:pPr>
            <w:r w:rsidRPr="003C0F61">
              <w:rPr>
                <w:rFonts w:ascii="Arial" w:hAnsi="Arial" w:cs="Arial"/>
                <w:sz w:val="18"/>
                <w:szCs w:val="18"/>
              </w:rPr>
              <w:t>0,00</w:t>
            </w:r>
            <w:r w:rsidR="003C0F61" w:rsidRPr="003C0F61">
              <w:rPr>
                <w:rFonts w:ascii="Arial" w:hAnsi="Arial" w:cs="Arial"/>
                <w:sz w:val="18"/>
                <w:szCs w:val="18"/>
              </w:rPr>
              <w:t xml:space="preserve"> </w:t>
            </w:r>
            <w:r w:rsidRPr="003C0F61">
              <w:rPr>
                <w:rFonts w:ascii="Arial" w:hAnsi="Arial" w:cs="Arial"/>
                <w:sz w:val="18"/>
                <w:szCs w:val="18"/>
              </w:rPr>
              <w:t>%</w:t>
            </w:r>
          </w:p>
        </w:tc>
      </w:tr>
      <w:tr w:rsidR="00E62385" w:rsidRPr="003C0F61" w14:paraId="2D3AF08C" w14:textId="77777777" w:rsidTr="004339BC">
        <w:trPr>
          <w:trHeight w:val="284"/>
          <w:jc w:val="center"/>
        </w:trPr>
        <w:tc>
          <w:tcPr>
            <w:tcW w:w="1623" w:type="dxa"/>
            <w:shd w:val="clear" w:color="auto" w:fill="E7E6E6" w:themeFill="background2"/>
            <w:vAlign w:val="center"/>
            <w:hideMark/>
          </w:tcPr>
          <w:p w14:paraId="2B83DC64" w14:textId="59686BC7" w:rsidR="00E62385" w:rsidRPr="003C0F61" w:rsidRDefault="00E62385" w:rsidP="00E62385">
            <w:pPr>
              <w:spacing w:after="0" w:line="240" w:lineRule="auto"/>
              <w:jc w:val="both"/>
              <w:rPr>
                <w:rFonts w:ascii="Arial" w:eastAsia="Times New Roman" w:hAnsi="Arial" w:cs="Arial"/>
                <w:b/>
                <w:sz w:val="18"/>
                <w:szCs w:val="18"/>
                <w:lang w:eastAsia="sl-SI"/>
              </w:rPr>
            </w:pPr>
            <w:r w:rsidRPr="003C0F61">
              <w:rPr>
                <w:rFonts w:ascii="Arial" w:eastAsia="Times New Roman" w:hAnsi="Arial" w:cs="Arial"/>
                <w:b/>
                <w:sz w:val="18"/>
                <w:szCs w:val="18"/>
                <w:lang w:eastAsia="sl-SI"/>
              </w:rPr>
              <w:t>Skupaj</w:t>
            </w:r>
          </w:p>
        </w:tc>
        <w:tc>
          <w:tcPr>
            <w:tcW w:w="1089" w:type="dxa"/>
            <w:shd w:val="clear" w:color="auto" w:fill="E7E6E6" w:themeFill="background2"/>
            <w:vAlign w:val="center"/>
            <w:hideMark/>
          </w:tcPr>
          <w:p w14:paraId="7CAAC456" w14:textId="02DEE930" w:rsidR="00E62385" w:rsidRPr="003C0F61" w:rsidRDefault="00E62385" w:rsidP="003C0F61">
            <w:pPr>
              <w:spacing w:after="0" w:line="240" w:lineRule="auto"/>
              <w:jc w:val="right"/>
              <w:rPr>
                <w:rFonts w:ascii="Arial" w:eastAsia="Times New Roman" w:hAnsi="Arial" w:cs="Arial"/>
                <w:b/>
                <w:bCs/>
                <w:sz w:val="18"/>
                <w:szCs w:val="18"/>
                <w:lang w:eastAsia="sl-SI"/>
              </w:rPr>
            </w:pPr>
            <w:r w:rsidRPr="003C0F61">
              <w:rPr>
                <w:rFonts w:ascii="Arial" w:hAnsi="Arial" w:cs="Arial"/>
                <w:b/>
                <w:sz w:val="18"/>
                <w:szCs w:val="18"/>
              </w:rPr>
              <w:t>5.771</w:t>
            </w:r>
          </w:p>
        </w:tc>
        <w:tc>
          <w:tcPr>
            <w:tcW w:w="1311" w:type="dxa"/>
            <w:shd w:val="clear" w:color="auto" w:fill="E7E6E6" w:themeFill="background2"/>
            <w:vAlign w:val="center"/>
            <w:hideMark/>
          </w:tcPr>
          <w:p w14:paraId="3E3B198B" w14:textId="11B2CC02" w:rsidR="00E62385" w:rsidRPr="003C0F61" w:rsidRDefault="00E62385" w:rsidP="003C0F61">
            <w:pPr>
              <w:spacing w:after="0" w:line="240" w:lineRule="auto"/>
              <w:jc w:val="right"/>
              <w:rPr>
                <w:rFonts w:ascii="Arial" w:eastAsia="Times New Roman" w:hAnsi="Arial" w:cs="Arial"/>
                <w:b/>
                <w:bCs/>
                <w:sz w:val="18"/>
                <w:szCs w:val="18"/>
                <w:lang w:eastAsia="sl-SI"/>
              </w:rPr>
            </w:pPr>
            <w:r w:rsidRPr="003C0F61">
              <w:rPr>
                <w:rFonts w:ascii="Arial" w:hAnsi="Arial" w:cs="Arial"/>
                <w:b/>
                <w:sz w:val="18"/>
                <w:szCs w:val="18"/>
              </w:rPr>
              <w:t>559.393.716</w:t>
            </w:r>
          </w:p>
        </w:tc>
        <w:tc>
          <w:tcPr>
            <w:tcW w:w="1778" w:type="dxa"/>
            <w:shd w:val="clear" w:color="auto" w:fill="E7E6E6" w:themeFill="background2"/>
            <w:vAlign w:val="center"/>
            <w:hideMark/>
          </w:tcPr>
          <w:p w14:paraId="7C4FBE89" w14:textId="0DF11451" w:rsidR="00E62385" w:rsidRPr="003C0F61" w:rsidRDefault="00E62385" w:rsidP="003C0F61">
            <w:pPr>
              <w:spacing w:after="0" w:line="240" w:lineRule="auto"/>
              <w:jc w:val="right"/>
              <w:rPr>
                <w:rFonts w:ascii="Arial" w:eastAsia="Times New Roman" w:hAnsi="Arial" w:cs="Arial"/>
                <w:b/>
                <w:bCs/>
                <w:sz w:val="18"/>
                <w:szCs w:val="18"/>
                <w:lang w:eastAsia="sl-SI"/>
              </w:rPr>
            </w:pPr>
            <w:r w:rsidRPr="003C0F61">
              <w:rPr>
                <w:rFonts w:ascii="Arial" w:hAnsi="Arial" w:cs="Arial"/>
                <w:b/>
                <w:sz w:val="18"/>
                <w:szCs w:val="18"/>
              </w:rPr>
              <w:t>34,22</w:t>
            </w:r>
            <w:r w:rsidR="003C0F61" w:rsidRPr="003C0F61">
              <w:rPr>
                <w:rFonts w:ascii="Arial" w:hAnsi="Arial" w:cs="Arial"/>
                <w:b/>
                <w:sz w:val="18"/>
                <w:szCs w:val="18"/>
              </w:rPr>
              <w:t xml:space="preserve"> </w:t>
            </w:r>
            <w:r w:rsidRPr="003C0F61">
              <w:rPr>
                <w:rFonts w:ascii="Arial" w:hAnsi="Arial" w:cs="Arial"/>
                <w:b/>
                <w:sz w:val="18"/>
                <w:szCs w:val="18"/>
              </w:rPr>
              <w:t>%</w:t>
            </w:r>
          </w:p>
        </w:tc>
        <w:tc>
          <w:tcPr>
            <w:tcW w:w="1801" w:type="dxa"/>
            <w:shd w:val="clear" w:color="auto" w:fill="E7E6E6" w:themeFill="background2"/>
            <w:vAlign w:val="center"/>
            <w:hideMark/>
          </w:tcPr>
          <w:p w14:paraId="1A4D9432" w14:textId="0ACD682A" w:rsidR="00E62385" w:rsidRPr="003C0F61" w:rsidRDefault="00E62385" w:rsidP="003C0F61">
            <w:pPr>
              <w:spacing w:after="0" w:line="240" w:lineRule="auto"/>
              <w:jc w:val="right"/>
              <w:rPr>
                <w:rFonts w:ascii="Arial" w:eastAsia="Times New Roman" w:hAnsi="Arial" w:cs="Arial"/>
                <w:b/>
                <w:bCs/>
                <w:sz w:val="18"/>
                <w:szCs w:val="18"/>
                <w:lang w:eastAsia="sl-SI"/>
              </w:rPr>
            </w:pPr>
            <w:r w:rsidRPr="003C0F61">
              <w:rPr>
                <w:rFonts w:ascii="Arial" w:hAnsi="Arial" w:cs="Arial"/>
                <w:b/>
                <w:sz w:val="18"/>
                <w:szCs w:val="18"/>
              </w:rPr>
              <w:t>19,17</w:t>
            </w:r>
            <w:r w:rsidR="003C0F61" w:rsidRPr="003C0F61">
              <w:rPr>
                <w:rFonts w:ascii="Arial" w:hAnsi="Arial" w:cs="Arial"/>
                <w:b/>
                <w:sz w:val="18"/>
                <w:szCs w:val="18"/>
              </w:rPr>
              <w:t xml:space="preserve"> </w:t>
            </w:r>
            <w:r w:rsidRPr="003C0F61">
              <w:rPr>
                <w:rFonts w:ascii="Arial" w:hAnsi="Arial" w:cs="Arial"/>
                <w:b/>
                <w:sz w:val="18"/>
                <w:szCs w:val="18"/>
              </w:rPr>
              <w:t>%</w:t>
            </w:r>
          </w:p>
        </w:tc>
      </w:tr>
    </w:tbl>
    <w:p w14:paraId="5B76FABA" w14:textId="77777777" w:rsidR="00BB4C01" w:rsidRPr="003C0F61" w:rsidRDefault="00BB4C01" w:rsidP="004A613D">
      <w:pPr>
        <w:spacing w:after="0" w:line="240" w:lineRule="auto"/>
        <w:jc w:val="center"/>
        <w:rPr>
          <w:rFonts w:ascii="Arial" w:hAnsi="Arial" w:cs="Arial"/>
          <w:sz w:val="18"/>
        </w:rPr>
      </w:pPr>
    </w:p>
    <w:p w14:paraId="5BED9C84" w14:textId="0ADE42FD" w:rsidR="00F83DD4" w:rsidRPr="003C0F61" w:rsidRDefault="00F83DD4" w:rsidP="004A613D">
      <w:pPr>
        <w:spacing w:after="0" w:line="240" w:lineRule="auto"/>
        <w:jc w:val="center"/>
        <w:rPr>
          <w:rFonts w:ascii="Arial" w:hAnsi="Arial" w:cs="Arial"/>
          <w:sz w:val="18"/>
        </w:rPr>
      </w:pPr>
      <w:r w:rsidRPr="003C0F61">
        <w:rPr>
          <w:rFonts w:ascii="Arial" w:hAnsi="Arial" w:cs="Arial"/>
          <w:sz w:val="18"/>
        </w:rPr>
        <w:t>Vir: Statistični podatki o javni</w:t>
      </w:r>
      <w:r w:rsidR="00141C15" w:rsidRPr="003C0F61">
        <w:rPr>
          <w:rFonts w:ascii="Arial" w:hAnsi="Arial" w:cs="Arial"/>
          <w:sz w:val="18"/>
        </w:rPr>
        <w:t>h naročilih, oddanih v letu 201</w:t>
      </w:r>
      <w:r w:rsidR="003C0F61" w:rsidRPr="003C0F61">
        <w:rPr>
          <w:rFonts w:ascii="Arial" w:hAnsi="Arial" w:cs="Arial"/>
          <w:sz w:val="18"/>
        </w:rPr>
        <w:t>8</w:t>
      </w:r>
    </w:p>
    <w:p w14:paraId="57482EA8" w14:textId="77777777" w:rsidR="007A4837" w:rsidRPr="003C0F61" w:rsidRDefault="007A4837" w:rsidP="00F83DD4">
      <w:pPr>
        <w:spacing w:line="360" w:lineRule="auto"/>
        <w:jc w:val="both"/>
        <w:rPr>
          <w:rFonts w:ascii="Arial" w:hAnsi="Arial" w:cs="Arial"/>
          <w:bCs/>
          <w:sz w:val="20"/>
          <w:szCs w:val="20"/>
        </w:rPr>
      </w:pPr>
    </w:p>
    <w:p w14:paraId="459A5DC0" w14:textId="0AE03B1B" w:rsidR="00F83DD4" w:rsidRPr="007D74D2" w:rsidRDefault="00F83DD4" w:rsidP="00F83DD4">
      <w:pPr>
        <w:spacing w:line="360" w:lineRule="auto"/>
        <w:jc w:val="both"/>
        <w:rPr>
          <w:rFonts w:ascii="Arial" w:hAnsi="Arial" w:cs="Arial"/>
          <w:bCs/>
          <w:sz w:val="20"/>
          <w:szCs w:val="20"/>
        </w:rPr>
      </w:pPr>
      <w:r w:rsidRPr="007D74D2">
        <w:rPr>
          <w:rFonts w:ascii="Arial" w:hAnsi="Arial" w:cs="Arial"/>
          <w:bCs/>
          <w:sz w:val="20"/>
          <w:szCs w:val="20"/>
        </w:rPr>
        <w:t>Glede na predmet naročanja je največji de</w:t>
      </w:r>
      <w:r w:rsidR="00E01FC9" w:rsidRPr="007D74D2">
        <w:rPr>
          <w:rFonts w:ascii="Arial" w:hAnsi="Arial" w:cs="Arial"/>
          <w:bCs/>
          <w:sz w:val="20"/>
          <w:szCs w:val="20"/>
        </w:rPr>
        <w:t>lež zelenih naročil po številu</w:t>
      </w:r>
      <w:r w:rsidR="00BB4C01" w:rsidRPr="007D74D2">
        <w:rPr>
          <w:rFonts w:ascii="Arial" w:hAnsi="Arial" w:cs="Arial"/>
          <w:bCs/>
          <w:sz w:val="20"/>
          <w:szCs w:val="20"/>
        </w:rPr>
        <w:t xml:space="preserve"> pri naročilih blaga</w:t>
      </w:r>
      <w:r w:rsidRPr="007D74D2">
        <w:rPr>
          <w:rFonts w:ascii="Arial" w:hAnsi="Arial" w:cs="Arial"/>
          <w:bCs/>
          <w:sz w:val="20"/>
          <w:szCs w:val="20"/>
        </w:rPr>
        <w:t xml:space="preserve">, </w:t>
      </w:r>
      <w:r w:rsidR="00E01FC9" w:rsidRPr="007D74D2">
        <w:rPr>
          <w:rFonts w:ascii="Arial" w:hAnsi="Arial" w:cs="Arial"/>
          <w:bCs/>
          <w:sz w:val="20"/>
          <w:szCs w:val="20"/>
        </w:rPr>
        <w:t xml:space="preserve">po vrednosti pa pri naročilih gradenj, </w:t>
      </w:r>
      <w:r w:rsidRPr="007D74D2">
        <w:rPr>
          <w:rFonts w:ascii="Arial" w:hAnsi="Arial" w:cs="Arial"/>
          <w:bCs/>
          <w:sz w:val="20"/>
          <w:szCs w:val="20"/>
        </w:rPr>
        <w:t xml:space="preserve">kar </w:t>
      </w:r>
      <w:r w:rsidR="00325434" w:rsidRPr="007D74D2">
        <w:rPr>
          <w:rFonts w:ascii="Arial" w:hAnsi="Arial" w:cs="Arial"/>
          <w:bCs/>
          <w:sz w:val="20"/>
          <w:szCs w:val="20"/>
        </w:rPr>
        <w:t>prikazuje</w:t>
      </w:r>
      <w:r w:rsidRPr="007D74D2">
        <w:rPr>
          <w:rFonts w:ascii="Arial" w:hAnsi="Arial" w:cs="Arial"/>
          <w:bCs/>
          <w:sz w:val="20"/>
          <w:szCs w:val="20"/>
        </w:rPr>
        <w:t xml:space="preserve"> spodnj</w:t>
      </w:r>
      <w:r w:rsidR="00325434" w:rsidRPr="007D74D2">
        <w:rPr>
          <w:rFonts w:ascii="Arial" w:hAnsi="Arial" w:cs="Arial"/>
          <w:bCs/>
          <w:sz w:val="20"/>
          <w:szCs w:val="20"/>
        </w:rPr>
        <w:t>a</w:t>
      </w:r>
      <w:r w:rsidRPr="007D74D2">
        <w:rPr>
          <w:rFonts w:ascii="Arial" w:hAnsi="Arial" w:cs="Arial"/>
          <w:bCs/>
          <w:sz w:val="20"/>
          <w:szCs w:val="20"/>
        </w:rPr>
        <w:t xml:space="preserve"> preglednic</w:t>
      </w:r>
      <w:r w:rsidR="00325434" w:rsidRPr="007D74D2">
        <w:rPr>
          <w:rFonts w:ascii="Arial" w:hAnsi="Arial" w:cs="Arial"/>
          <w:bCs/>
          <w:sz w:val="20"/>
          <w:szCs w:val="20"/>
        </w:rPr>
        <w:t>a</w:t>
      </w:r>
      <w:r w:rsidRPr="007D74D2">
        <w:rPr>
          <w:rFonts w:ascii="Arial" w:hAnsi="Arial" w:cs="Arial"/>
          <w:bCs/>
          <w:sz w:val="20"/>
          <w:szCs w:val="20"/>
        </w:rPr>
        <w:t>.</w:t>
      </w:r>
    </w:p>
    <w:p w14:paraId="4E0B7ADF" w14:textId="7891DD71" w:rsidR="00F83DD4" w:rsidRPr="00927AF5" w:rsidRDefault="00F83DD4" w:rsidP="00701C10">
      <w:pPr>
        <w:spacing w:before="120" w:after="120" w:line="240" w:lineRule="auto"/>
        <w:jc w:val="both"/>
        <w:rPr>
          <w:rFonts w:ascii="Arial" w:hAnsi="Arial" w:cs="Arial"/>
          <w:sz w:val="20"/>
        </w:rPr>
      </w:pPr>
      <w:r w:rsidRPr="00927AF5">
        <w:rPr>
          <w:rFonts w:ascii="Arial" w:hAnsi="Arial" w:cs="Arial"/>
          <w:sz w:val="20"/>
        </w:rPr>
        <w:t xml:space="preserve">Preglednica </w:t>
      </w:r>
      <w:r w:rsidR="008C1A77">
        <w:rPr>
          <w:rFonts w:ascii="Arial" w:hAnsi="Arial" w:cs="Arial"/>
          <w:sz w:val="20"/>
        </w:rPr>
        <w:t>59</w:t>
      </w:r>
      <w:r w:rsidRPr="00927AF5">
        <w:rPr>
          <w:rFonts w:ascii="Arial" w:hAnsi="Arial" w:cs="Arial"/>
          <w:sz w:val="20"/>
        </w:rPr>
        <w:t>: Število in vrednosti ter deleži zelenih naročil glede na predmet</w:t>
      </w:r>
      <w:r w:rsidR="000F2B07" w:rsidRPr="00927AF5">
        <w:rPr>
          <w:rFonts w:ascii="Arial" w:hAnsi="Arial" w:cs="Arial"/>
          <w:sz w:val="20"/>
        </w:rPr>
        <w:t xml:space="preserve"> naročanja</w:t>
      </w:r>
    </w:p>
    <w:tbl>
      <w:tblPr>
        <w:tblW w:w="7271" w:type="dxa"/>
        <w:jc w:val="center"/>
        <w:tblCellMar>
          <w:left w:w="70" w:type="dxa"/>
          <w:right w:w="70" w:type="dxa"/>
        </w:tblCellMar>
        <w:tblLook w:val="04A0" w:firstRow="1" w:lastRow="0" w:firstColumn="1" w:lastColumn="0" w:noHBand="0" w:noVBand="1"/>
      </w:tblPr>
      <w:tblGrid>
        <w:gridCol w:w="1413"/>
        <w:gridCol w:w="1134"/>
        <w:gridCol w:w="1276"/>
        <w:gridCol w:w="1828"/>
        <w:gridCol w:w="1620"/>
      </w:tblGrid>
      <w:tr w:rsidR="00BB4C01" w:rsidRPr="00927AF5" w14:paraId="6B198C71" w14:textId="77777777" w:rsidTr="00F252ED">
        <w:trPr>
          <w:trHeight w:val="720"/>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92DD194" w14:textId="6D02AC2C" w:rsidR="00BB4C01" w:rsidRPr="00927AF5" w:rsidRDefault="00BB4C01" w:rsidP="00BB4C01">
            <w:pPr>
              <w:spacing w:after="0" w:line="240" w:lineRule="auto"/>
              <w:jc w:val="center"/>
              <w:rPr>
                <w:rFonts w:ascii="Arial" w:eastAsia="Times New Roman" w:hAnsi="Arial" w:cs="Arial"/>
                <w:sz w:val="18"/>
                <w:szCs w:val="18"/>
                <w:lang w:eastAsia="sl-SI"/>
              </w:rPr>
            </w:pPr>
            <w:r w:rsidRPr="00927AF5">
              <w:rPr>
                <w:rFonts w:ascii="Arial" w:eastAsia="Times New Roman" w:hAnsi="Arial" w:cs="Arial"/>
                <w:sz w:val="18"/>
                <w:szCs w:val="18"/>
                <w:lang w:eastAsia="sl-SI"/>
              </w:rPr>
              <w:t xml:space="preserve">Predmet </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DCE09F5" w14:textId="3AEEC89B" w:rsidR="00BB4C01" w:rsidRPr="00927AF5" w:rsidRDefault="00BB4C01" w:rsidP="00BB4C01">
            <w:pPr>
              <w:spacing w:after="0" w:line="240" w:lineRule="auto"/>
              <w:jc w:val="center"/>
              <w:rPr>
                <w:rFonts w:ascii="Arial" w:eastAsia="Times New Roman" w:hAnsi="Arial" w:cs="Arial"/>
                <w:sz w:val="18"/>
                <w:szCs w:val="18"/>
                <w:lang w:eastAsia="sl-SI"/>
              </w:rPr>
            </w:pPr>
            <w:r w:rsidRPr="00927AF5">
              <w:rPr>
                <w:rFonts w:ascii="Arial" w:eastAsia="Times New Roman" w:hAnsi="Arial" w:cs="Arial"/>
                <w:sz w:val="18"/>
                <w:szCs w:val="18"/>
                <w:lang w:eastAsia="sl-SI"/>
              </w:rPr>
              <w:t>Št. zelenih naročil</w:t>
            </w:r>
          </w:p>
        </w:tc>
        <w:tc>
          <w:tcPr>
            <w:tcW w:w="12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460EB1F" w14:textId="1831FC06" w:rsidR="00BB4C01" w:rsidRPr="00927AF5" w:rsidRDefault="00BB4C01" w:rsidP="00BB4C01">
            <w:pPr>
              <w:spacing w:after="0" w:line="240" w:lineRule="auto"/>
              <w:jc w:val="center"/>
              <w:rPr>
                <w:rFonts w:ascii="Arial" w:eastAsia="Times New Roman" w:hAnsi="Arial" w:cs="Arial"/>
                <w:sz w:val="18"/>
                <w:szCs w:val="18"/>
                <w:lang w:eastAsia="sl-SI"/>
              </w:rPr>
            </w:pPr>
            <w:r w:rsidRPr="00927AF5">
              <w:rPr>
                <w:rFonts w:ascii="Arial" w:eastAsia="Times New Roman" w:hAnsi="Arial" w:cs="Arial"/>
                <w:sz w:val="18"/>
                <w:szCs w:val="18"/>
                <w:lang w:eastAsia="sl-SI"/>
              </w:rPr>
              <w:t>Pogodbena vrednost</w:t>
            </w:r>
          </w:p>
        </w:tc>
        <w:tc>
          <w:tcPr>
            <w:tcW w:w="182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528EC7C" w14:textId="6073148B" w:rsidR="00BB4C01" w:rsidRPr="00927AF5" w:rsidRDefault="00BB4C01" w:rsidP="00BB4C01">
            <w:pPr>
              <w:spacing w:after="0" w:line="240" w:lineRule="auto"/>
              <w:jc w:val="center"/>
              <w:rPr>
                <w:rFonts w:ascii="Arial" w:eastAsia="Times New Roman" w:hAnsi="Arial" w:cs="Arial"/>
                <w:sz w:val="18"/>
                <w:szCs w:val="18"/>
                <w:lang w:eastAsia="sl-SI"/>
              </w:rPr>
            </w:pPr>
            <w:r w:rsidRPr="00927AF5">
              <w:rPr>
                <w:rFonts w:ascii="Arial" w:eastAsia="Times New Roman" w:hAnsi="Arial" w:cs="Arial"/>
                <w:sz w:val="18"/>
                <w:szCs w:val="18"/>
                <w:lang w:eastAsia="sl-SI"/>
              </w:rPr>
              <w:t>Delež v št. naročil</w:t>
            </w:r>
          </w:p>
        </w:tc>
        <w:tc>
          <w:tcPr>
            <w:tcW w:w="16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E054449" w14:textId="14C10277" w:rsidR="00BB4C01" w:rsidRPr="00927AF5" w:rsidRDefault="00BB4C01" w:rsidP="00BB4C01">
            <w:pPr>
              <w:spacing w:after="0" w:line="240" w:lineRule="auto"/>
              <w:jc w:val="center"/>
              <w:rPr>
                <w:rFonts w:ascii="Arial" w:eastAsia="Times New Roman" w:hAnsi="Arial" w:cs="Arial"/>
                <w:sz w:val="18"/>
                <w:szCs w:val="18"/>
                <w:lang w:eastAsia="sl-SI"/>
              </w:rPr>
            </w:pPr>
            <w:r w:rsidRPr="00927AF5">
              <w:rPr>
                <w:rFonts w:ascii="Arial" w:eastAsia="Times New Roman" w:hAnsi="Arial" w:cs="Arial"/>
                <w:sz w:val="18"/>
                <w:szCs w:val="18"/>
                <w:lang w:eastAsia="sl-SI"/>
              </w:rPr>
              <w:t xml:space="preserve">Delež v vrednosti </w:t>
            </w:r>
          </w:p>
        </w:tc>
      </w:tr>
      <w:tr w:rsidR="003D3CD6" w:rsidRPr="00927AF5" w14:paraId="3E45EB02" w14:textId="77777777" w:rsidTr="00927AF5">
        <w:trPr>
          <w:trHeight w:val="28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E2DC8C8" w14:textId="27CB8BE8" w:rsidR="003D3CD6" w:rsidRPr="00927AF5" w:rsidRDefault="003D3CD6" w:rsidP="003D3CD6">
            <w:pPr>
              <w:spacing w:after="0" w:line="240" w:lineRule="auto"/>
              <w:jc w:val="both"/>
              <w:rPr>
                <w:rFonts w:ascii="Arial" w:eastAsia="Times New Roman" w:hAnsi="Arial" w:cs="Arial"/>
                <w:sz w:val="18"/>
                <w:szCs w:val="18"/>
                <w:lang w:eastAsia="sl-SI"/>
              </w:rPr>
            </w:pPr>
            <w:r w:rsidRPr="00927AF5">
              <w:rPr>
                <w:rFonts w:ascii="Arial" w:eastAsia="Times New Roman" w:hAnsi="Arial" w:cs="Arial"/>
                <w:sz w:val="18"/>
                <w:szCs w:val="18"/>
                <w:lang w:eastAsia="sl-SI"/>
              </w:rPr>
              <w:t>Blago</w:t>
            </w:r>
          </w:p>
        </w:tc>
        <w:tc>
          <w:tcPr>
            <w:tcW w:w="1134" w:type="dxa"/>
            <w:tcBorders>
              <w:top w:val="nil"/>
              <w:left w:val="nil"/>
              <w:bottom w:val="single" w:sz="4" w:space="0" w:color="auto"/>
              <w:right w:val="single" w:sz="4" w:space="0" w:color="auto"/>
            </w:tcBorders>
            <w:shd w:val="clear" w:color="auto" w:fill="auto"/>
            <w:vAlign w:val="center"/>
            <w:hideMark/>
          </w:tcPr>
          <w:p w14:paraId="4D7C72B4" w14:textId="574938FE"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4.734</w:t>
            </w:r>
          </w:p>
        </w:tc>
        <w:tc>
          <w:tcPr>
            <w:tcW w:w="1276" w:type="dxa"/>
            <w:tcBorders>
              <w:top w:val="nil"/>
              <w:left w:val="nil"/>
              <w:bottom w:val="single" w:sz="4" w:space="0" w:color="auto"/>
              <w:right w:val="single" w:sz="4" w:space="0" w:color="auto"/>
            </w:tcBorders>
            <w:shd w:val="clear" w:color="auto" w:fill="auto"/>
            <w:vAlign w:val="center"/>
            <w:hideMark/>
          </w:tcPr>
          <w:p w14:paraId="3A493942" w14:textId="69B10940"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207.167.638</w:t>
            </w:r>
          </w:p>
        </w:tc>
        <w:tc>
          <w:tcPr>
            <w:tcW w:w="1828" w:type="dxa"/>
            <w:tcBorders>
              <w:top w:val="nil"/>
              <w:left w:val="nil"/>
              <w:bottom w:val="single" w:sz="4" w:space="0" w:color="auto"/>
              <w:right w:val="single" w:sz="4" w:space="0" w:color="auto"/>
            </w:tcBorders>
            <w:shd w:val="clear" w:color="auto" w:fill="auto"/>
            <w:vAlign w:val="center"/>
            <w:hideMark/>
          </w:tcPr>
          <w:p w14:paraId="262678F6" w14:textId="396495E6"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82,03</w:t>
            </w:r>
            <w:r w:rsidR="00927AF5" w:rsidRPr="00927AF5">
              <w:rPr>
                <w:rFonts w:ascii="Arial" w:hAnsi="Arial" w:cs="Arial"/>
                <w:sz w:val="18"/>
                <w:szCs w:val="18"/>
              </w:rPr>
              <w:t xml:space="preserve"> </w:t>
            </w:r>
            <w:r w:rsidRPr="00927AF5">
              <w:rPr>
                <w:rFonts w:ascii="Arial" w:hAnsi="Arial" w:cs="Arial"/>
                <w:sz w:val="18"/>
                <w:szCs w:val="18"/>
              </w:rPr>
              <w:t>%</w:t>
            </w:r>
          </w:p>
        </w:tc>
        <w:tc>
          <w:tcPr>
            <w:tcW w:w="1620" w:type="dxa"/>
            <w:tcBorders>
              <w:top w:val="nil"/>
              <w:left w:val="nil"/>
              <w:bottom w:val="single" w:sz="4" w:space="0" w:color="auto"/>
              <w:right w:val="single" w:sz="4" w:space="0" w:color="auto"/>
            </w:tcBorders>
            <w:shd w:val="clear" w:color="auto" w:fill="auto"/>
            <w:vAlign w:val="center"/>
            <w:hideMark/>
          </w:tcPr>
          <w:p w14:paraId="2CFB42FF" w14:textId="547D5BA6"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37,03</w:t>
            </w:r>
            <w:r w:rsidR="00927AF5" w:rsidRPr="00927AF5">
              <w:rPr>
                <w:rFonts w:ascii="Arial" w:hAnsi="Arial" w:cs="Arial"/>
                <w:sz w:val="18"/>
                <w:szCs w:val="18"/>
              </w:rPr>
              <w:t xml:space="preserve"> </w:t>
            </w:r>
            <w:r w:rsidRPr="00927AF5">
              <w:rPr>
                <w:rFonts w:ascii="Arial" w:hAnsi="Arial" w:cs="Arial"/>
                <w:sz w:val="18"/>
                <w:szCs w:val="18"/>
              </w:rPr>
              <w:t>%</w:t>
            </w:r>
          </w:p>
        </w:tc>
      </w:tr>
      <w:tr w:rsidR="003D3CD6" w:rsidRPr="00927AF5" w14:paraId="6483ED49" w14:textId="77777777" w:rsidTr="00927AF5">
        <w:trPr>
          <w:trHeight w:val="28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B557250" w14:textId="08341728" w:rsidR="003D3CD6" w:rsidRPr="00927AF5" w:rsidRDefault="003D3CD6" w:rsidP="003D3CD6">
            <w:pPr>
              <w:spacing w:after="0" w:line="240" w:lineRule="auto"/>
              <w:jc w:val="both"/>
              <w:rPr>
                <w:rFonts w:ascii="Arial" w:eastAsia="Times New Roman" w:hAnsi="Arial" w:cs="Arial"/>
                <w:sz w:val="18"/>
                <w:szCs w:val="18"/>
                <w:lang w:eastAsia="sl-SI"/>
              </w:rPr>
            </w:pPr>
            <w:r w:rsidRPr="00927AF5">
              <w:rPr>
                <w:rFonts w:ascii="Arial" w:eastAsia="Times New Roman" w:hAnsi="Arial" w:cs="Arial"/>
                <w:sz w:val="18"/>
                <w:szCs w:val="18"/>
                <w:lang w:eastAsia="sl-SI"/>
              </w:rPr>
              <w:t>Storitve</w:t>
            </w:r>
          </w:p>
        </w:tc>
        <w:tc>
          <w:tcPr>
            <w:tcW w:w="1134" w:type="dxa"/>
            <w:tcBorders>
              <w:top w:val="nil"/>
              <w:left w:val="nil"/>
              <w:bottom w:val="single" w:sz="4" w:space="0" w:color="auto"/>
              <w:right w:val="single" w:sz="4" w:space="0" w:color="auto"/>
            </w:tcBorders>
            <w:shd w:val="clear" w:color="auto" w:fill="auto"/>
            <w:vAlign w:val="center"/>
            <w:hideMark/>
          </w:tcPr>
          <w:p w14:paraId="380F1E96" w14:textId="33C814A8"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475</w:t>
            </w:r>
          </w:p>
        </w:tc>
        <w:tc>
          <w:tcPr>
            <w:tcW w:w="1276" w:type="dxa"/>
            <w:tcBorders>
              <w:top w:val="nil"/>
              <w:left w:val="nil"/>
              <w:bottom w:val="single" w:sz="4" w:space="0" w:color="auto"/>
              <w:right w:val="single" w:sz="4" w:space="0" w:color="auto"/>
            </w:tcBorders>
            <w:shd w:val="clear" w:color="auto" w:fill="auto"/>
            <w:vAlign w:val="center"/>
            <w:hideMark/>
          </w:tcPr>
          <w:p w14:paraId="37152AD2" w14:textId="6722E5AA"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73.865.096</w:t>
            </w:r>
          </w:p>
        </w:tc>
        <w:tc>
          <w:tcPr>
            <w:tcW w:w="1828" w:type="dxa"/>
            <w:tcBorders>
              <w:top w:val="nil"/>
              <w:left w:val="nil"/>
              <w:bottom w:val="single" w:sz="4" w:space="0" w:color="auto"/>
              <w:right w:val="single" w:sz="4" w:space="0" w:color="auto"/>
            </w:tcBorders>
            <w:shd w:val="clear" w:color="auto" w:fill="auto"/>
            <w:vAlign w:val="center"/>
            <w:hideMark/>
          </w:tcPr>
          <w:p w14:paraId="42189B52" w14:textId="62D76AF9"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8,23</w:t>
            </w:r>
            <w:r w:rsidR="00927AF5" w:rsidRPr="00927AF5">
              <w:rPr>
                <w:rFonts w:ascii="Arial" w:hAnsi="Arial" w:cs="Arial"/>
                <w:sz w:val="18"/>
                <w:szCs w:val="18"/>
              </w:rPr>
              <w:t xml:space="preserve"> </w:t>
            </w:r>
            <w:r w:rsidRPr="00927AF5">
              <w:rPr>
                <w:rFonts w:ascii="Arial" w:hAnsi="Arial" w:cs="Arial"/>
                <w:sz w:val="18"/>
                <w:szCs w:val="18"/>
              </w:rPr>
              <w:t>%</w:t>
            </w:r>
          </w:p>
        </w:tc>
        <w:tc>
          <w:tcPr>
            <w:tcW w:w="1620" w:type="dxa"/>
            <w:tcBorders>
              <w:top w:val="nil"/>
              <w:left w:val="nil"/>
              <w:bottom w:val="single" w:sz="4" w:space="0" w:color="auto"/>
              <w:right w:val="single" w:sz="4" w:space="0" w:color="auto"/>
            </w:tcBorders>
            <w:shd w:val="clear" w:color="auto" w:fill="auto"/>
            <w:vAlign w:val="center"/>
            <w:hideMark/>
          </w:tcPr>
          <w:p w14:paraId="450B7B3F" w14:textId="6831CC5D"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13,20</w:t>
            </w:r>
            <w:r w:rsidR="00927AF5" w:rsidRPr="00927AF5">
              <w:rPr>
                <w:rFonts w:ascii="Arial" w:hAnsi="Arial" w:cs="Arial"/>
                <w:sz w:val="18"/>
                <w:szCs w:val="18"/>
              </w:rPr>
              <w:t xml:space="preserve"> </w:t>
            </w:r>
            <w:r w:rsidRPr="00927AF5">
              <w:rPr>
                <w:rFonts w:ascii="Arial" w:hAnsi="Arial" w:cs="Arial"/>
                <w:sz w:val="18"/>
                <w:szCs w:val="18"/>
              </w:rPr>
              <w:t>%</w:t>
            </w:r>
          </w:p>
        </w:tc>
      </w:tr>
      <w:tr w:rsidR="003D3CD6" w:rsidRPr="00927AF5" w14:paraId="5DCAF1C5" w14:textId="77777777" w:rsidTr="00927AF5">
        <w:trPr>
          <w:trHeight w:val="28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32FBB6" w14:textId="521EE5E5" w:rsidR="003D3CD6" w:rsidRPr="00927AF5" w:rsidRDefault="003D3CD6" w:rsidP="003D3CD6">
            <w:pPr>
              <w:spacing w:after="0" w:line="240" w:lineRule="auto"/>
              <w:jc w:val="both"/>
              <w:rPr>
                <w:rFonts w:ascii="Arial" w:eastAsia="Times New Roman" w:hAnsi="Arial" w:cs="Arial"/>
                <w:sz w:val="18"/>
                <w:szCs w:val="18"/>
                <w:lang w:eastAsia="sl-SI"/>
              </w:rPr>
            </w:pPr>
            <w:r w:rsidRPr="00927AF5">
              <w:rPr>
                <w:rFonts w:ascii="Arial" w:eastAsia="Times New Roman" w:hAnsi="Arial" w:cs="Arial"/>
                <w:sz w:val="18"/>
                <w:szCs w:val="18"/>
                <w:lang w:eastAsia="sl-SI"/>
              </w:rPr>
              <w:t>Gradnje</w:t>
            </w:r>
          </w:p>
        </w:tc>
        <w:tc>
          <w:tcPr>
            <w:tcW w:w="1134" w:type="dxa"/>
            <w:tcBorders>
              <w:top w:val="nil"/>
              <w:left w:val="nil"/>
              <w:bottom w:val="single" w:sz="4" w:space="0" w:color="auto"/>
              <w:right w:val="single" w:sz="4" w:space="0" w:color="auto"/>
            </w:tcBorders>
            <w:shd w:val="clear" w:color="auto" w:fill="auto"/>
            <w:vAlign w:val="center"/>
            <w:hideMark/>
          </w:tcPr>
          <w:p w14:paraId="22EF4811" w14:textId="7713A8EC"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562</w:t>
            </w:r>
          </w:p>
        </w:tc>
        <w:tc>
          <w:tcPr>
            <w:tcW w:w="1276" w:type="dxa"/>
            <w:tcBorders>
              <w:top w:val="nil"/>
              <w:left w:val="nil"/>
              <w:bottom w:val="single" w:sz="4" w:space="0" w:color="auto"/>
              <w:right w:val="single" w:sz="4" w:space="0" w:color="auto"/>
            </w:tcBorders>
            <w:shd w:val="clear" w:color="auto" w:fill="auto"/>
            <w:vAlign w:val="center"/>
            <w:hideMark/>
          </w:tcPr>
          <w:p w14:paraId="50AC6A93" w14:textId="038E93EF"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278.360.982</w:t>
            </w:r>
          </w:p>
        </w:tc>
        <w:tc>
          <w:tcPr>
            <w:tcW w:w="1828" w:type="dxa"/>
            <w:tcBorders>
              <w:top w:val="nil"/>
              <w:left w:val="nil"/>
              <w:bottom w:val="single" w:sz="4" w:space="0" w:color="auto"/>
              <w:right w:val="single" w:sz="4" w:space="0" w:color="auto"/>
            </w:tcBorders>
            <w:shd w:val="clear" w:color="auto" w:fill="auto"/>
            <w:vAlign w:val="center"/>
            <w:hideMark/>
          </w:tcPr>
          <w:p w14:paraId="01815E4D" w14:textId="7D2FCB2A"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9,74</w:t>
            </w:r>
            <w:r w:rsidR="00927AF5" w:rsidRPr="00927AF5">
              <w:rPr>
                <w:rFonts w:ascii="Arial" w:hAnsi="Arial" w:cs="Arial"/>
                <w:sz w:val="18"/>
                <w:szCs w:val="18"/>
              </w:rPr>
              <w:t xml:space="preserve"> </w:t>
            </w:r>
            <w:r w:rsidRPr="00927AF5">
              <w:rPr>
                <w:rFonts w:ascii="Arial" w:hAnsi="Arial" w:cs="Arial"/>
                <w:sz w:val="18"/>
                <w:szCs w:val="18"/>
              </w:rPr>
              <w:t>%</w:t>
            </w:r>
          </w:p>
        </w:tc>
        <w:tc>
          <w:tcPr>
            <w:tcW w:w="1620" w:type="dxa"/>
            <w:tcBorders>
              <w:top w:val="nil"/>
              <w:left w:val="nil"/>
              <w:bottom w:val="single" w:sz="4" w:space="0" w:color="auto"/>
              <w:right w:val="single" w:sz="4" w:space="0" w:color="auto"/>
            </w:tcBorders>
            <w:shd w:val="clear" w:color="auto" w:fill="auto"/>
            <w:vAlign w:val="center"/>
            <w:hideMark/>
          </w:tcPr>
          <w:p w14:paraId="5B0B5BBB" w14:textId="5979FC8D" w:rsidR="003D3CD6" w:rsidRPr="00927AF5" w:rsidRDefault="003D3CD6" w:rsidP="00927AF5">
            <w:pPr>
              <w:spacing w:after="0" w:line="240" w:lineRule="auto"/>
              <w:jc w:val="right"/>
              <w:rPr>
                <w:rFonts w:ascii="Arial" w:eastAsia="Times New Roman" w:hAnsi="Arial" w:cs="Arial"/>
                <w:sz w:val="18"/>
                <w:szCs w:val="18"/>
                <w:lang w:eastAsia="sl-SI"/>
              </w:rPr>
            </w:pPr>
            <w:r w:rsidRPr="00927AF5">
              <w:rPr>
                <w:rFonts w:ascii="Arial" w:hAnsi="Arial" w:cs="Arial"/>
                <w:sz w:val="18"/>
                <w:szCs w:val="18"/>
              </w:rPr>
              <w:t>49,76</w:t>
            </w:r>
            <w:r w:rsidR="00927AF5" w:rsidRPr="00927AF5">
              <w:rPr>
                <w:rFonts w:ascii="Arial" w:hAnsi="Arial" w:cs="Arial"/>
                <w:sz w:val="18"/>
                <w:szCs w:val="18"/>
              </w:rPr>
              <w:t xml:space="preserve"> </w:t>
            </w:r>
            <w:r w:rsidRPr="00927AF5">
              <w:rPr>
                <w:rFonts w:ascii="Arial" w:hAnsi="Arial" w:cs="Arial"/>
                <w:sz w:val="18"/>
                <w:szCs w:val="18"/>
              </w:rPr>
              <w:t>%</w:t>
            </w:r>
          </w:p>
        </w:tc>
      </w:tr>
      <w:tr w:rsidR="003D3CD6" w:rsidRPr="00927AF5" w14:paraId="0BDF3C73" w14:textId="77777777" w:rsidTr="00B45EE0">
        <w:trPr>
          <w:trHeight w:val="284"/>
          <w:jc w:val="center"/>
        </w:trPr>
        <w:tc>
          <w:tcPr>
            <w:tcW w:w="1413" w:type="dxa"/>
            <w:tcBorders>
              <w:top w:val="nil"/>
              <w:left w:val="single" w:sz="4" w:space="0" w:color="auto"/>
              <w:bottom w:val="single" w:sz="4" w:space="0" w:color="auto"/>
              <w:right w:val="single" w:sz="4" w:space="0" w:color="auto"/>
            </w:tcBorders>
            <w:shd w:val="clear" w:color="auto" w:fill="E7E6E6" w:themeFill="background2"/>
            <w:vAlign w:val="center"/>
            <w:hideMark/>
          </w:tcPr>
          <w:p w14:paraId="4DA9F9E4" w14:textId="6F7B1080" w:rsidR="003D3CD6" w:rsidRPr="00927AF5" w:rsidRDefault="003D3CD6" w:rsidP="003D3CD6">
            <w:pPr>
              <w:spacing w:after="0" w:line="240" w:lineRule="auto"/>
              <w:jc w:val="both"/>
              <w:rPr>
                <w:rFonts w:ascii="Arial" w:eastAsia="Times New Roman" w:hAnsi="Arial" w:cs="Arial"/>
                <w:b/>
                <w:sz w:val="18"/>
                <w:szCs w:val="18"/>
                <w:lang w:eastAsia="sl-SI"/>
              </w:rPr>
            </w:pPr>
            <w:r w:rsidRPr="00927AF5">
              <w:rPr>
                <w:rFonts w:ascii="Arial" w:eastAsia="Times New Roman" w:hAnsi="Arial" w:cs="Arial"/>
                <w:b/>
                <w:sz w:val="18"/>
                <w:szCs w:val="18"/>
                <w:lang w:eastAsia="sl-SI"/>
              </w:rPr>
              <w:t>Skupaj</w:t>
            </w:r>
          </w:p>
        </w:tc>
        <w:tc>
          <w:tcPr>
            <w:tcW w:w="1134" w:type="dxa"/>
            <w:tcBorders>
              <w:top w:val="nil"/>
              <w:left w:val="nil"/>
              <w:bottom w:val="single" w:sz="4" w:space="0" w:color="auto"/>
              <w:right w:val="single" w:sz="4" w:space="0" w:color="auto"/>
            </w:tcBorders>
            <w:shd w:val="clear" w:color="auto" w:fill="E7E6E6" w:themeFill="background2"/>
            <w:vAlign w:val="center"/>
            <w:hideMark/>
          </w:tcPr>
          <w:p w14:paraId="0CE48C2E" w14:textId="090BD9CB" w:rsidR="003D3CD6" w:rsidRPr="00927AF5" w:rsidRDefault="003D3CD6" w:rsidP="00927AF5">
            <w:pPr>
              <w:spacing w:after="0" w:line="240" w:lineRule="auto"/>
              <w:jc w:val="right"/>
              <w:rPr>
                <w:rFonts w:ascii="Arial" w:eastAsia="Times New Roman" w:hAnsi="Arial" w:cs="Arial"/>
                <w:b/>
                <w:bCs/>
                <w:sz w:val="18"/>
                <w:szCs w:val="18"/>
                <w:lang w:eastAsia="sl-SI"/>
              </w:rPr>
            </w:pPr>
            <w:r w:rsidRPr="00927AF5">
              <w:rPr>
                <w:rFonts w:ascii="Arial" w:hAnsi="Arial" w:cs="Arial"/>
                <w:b/>
                <w:sz w:val="18"/>
                <w:szCs w:val="18"/>
              </w:rPr>
              <w:t>5.771</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36E266DA" w14:textId="1F6EF0CE" w:rsidR="003D3CD6" w:rsidRPr="00927AF5" w:rsidRDefault="003D3CD6" w:rsidP="00927AF5">
            <w:pPr>
              <w:spacing w:after="0" w:line="240" w:lineRule="auto"/>
              <w:jc w:val="right"/>
              <w:rPr>
                <w:rFonts w:ascii="Arial" w:eastAsia="Times New Roman" w:hAnsi="Arial" w:cs="Arial"/>
                <w:b/>
                <w:bCs/>
                <w:sz w:val="18"/>
                <w:szCs w:val="18"/>
                <w:lang w:eastAsia="sl-SI"/>
              </w:rPr>
            </w:pPr>
            <w:r w:rsidRPr="00927AF5">
              <w:rPr>
                <w:rFonts w:ascii="Arial" w:hAnsi="Arial" w:cs="Arial"/>
                <w:b/>
                <w:sz w:val="18"/>
                <w:szCs w:val="18"/>
              </w:rPr>
              <w:t>559.393.716</w:t>
            </w:r>
          </w:p>
        </w:tc>
        <w:tc>
          <w:tcPr>
            <w:tcW w:w="1828" w:type="dxa"/>
            <w:tcBorders>
              <w:top w:val="nil"/>
              <w:left w:val="nil"/>
              <w:bottom w:val="single" w:sz="4" w:space="0" w:color="auto"/>
              <w:right w:val="single" w:sz="4" w:space="0" w:color="auto"/>
            </w:tcBorders>
            <w:shd w:val="clear" w:color="auto" w:fill="E7E6E6" w:themeFill="background2"/>
            <w:vAlign w:val="center"/>
            <w:hideMark/>
          </w:tcPr>
          <w:p w14:paraId="26907E22" w14:textId="2D91FC00" w:rsidR="003D3CD6" w:rsidRPr="00927AF5" w:rsidRDefault="003D3CD6" w:rsidP="00927AF5">
            <w:pPr>
              <w:spacing w:after="0" w:line="240" w:lineRule="auto"/>
              <w:jc w:val="right"/>
              <w:rPr>
                <w:rFonts w:ascii="Arial" w:eastAsia="Times New Roman" w:hAnsi="Arial" w:cs="Arial"/>
                <w:b/>
                <w:bCs/>
                <w:sz w:val="18"/>
                <w:szCs w:val="18"/>
                <w:lang w:eastAsia="sl-SI"/>
              </w:rPr>
            </w:pPr>
            <w:r w:rsidRPr="00927AF5">
              <w:rPr>
                <w:rFonts w:ascii="Arial" w:hAnsi="Arial" w:cs="Arial"/>
                <w:b/>
                <w:sz w:val="18"/>
                <w:szCs w:val="18"/>
              </w:rPr>
              <w:t>100,00</w:t>
            </w:r>
            <w:r w:rsidR="00927AF5" w:rsidRPr="00927AF5">
              <w:rPr>
                <w:rFonts w:ascii="Arial" w:hAnsi="Arial" w:cs="Arial"/>
                <w:b/>
                <w:sz w:val="18"/>
                <w:szCs w:val="18"/>
              </w:rPr>
              <w:t xml:space="preserve"> </w:t>
            </w:r>
            <w:r w:rsidRPr="00927AF5">
              <w:rPr>
                <w:rFonts w:ascii="Arial" w:hAnsi="Arial" w:cs="Arial"/>
                <w:b/>
                <w:sz w:val="18"/>
                <w:szCs w:val="18"/>
              </w:rPr>
              <w:t>%</w:t>
            </w:r>
          </w:p>
        </w:tc>
        <w:tc>
          <w:tcPr>
            <w:tcW w:w="1620" w:type="dxa"/>
            <w:tcBorders>
              <w:top w:val="nil"/>
              <w:left w:val="nil"/>
              <w:bottom w:val="single" w:sz="4" w:space="0" w:color="auto"/>
              <w:right w:val="single" w:sz="4" w:space="0" w:color="auto"/>
            </w:tcBorders>
            <w:shd w:val="clear" w:color="auto" w:fill="E7E6E6" w:themeFill="background2"/>
            <w:vAlign w:val="center"/>
            <w:hideMark/>
          </w:tcPr>
          <w:p w14:paraId="10439607" w14:textId="37DA9539" w:rsidR="003D3CD6" w:rsidRPr="00927AF5" w:rsidRDefault="003D3CD6" w:rsidP="00927AF5">
            <w:pPr>
              <w:spacing w:after="0" w:line="240" w:lineRule="auto"/>
              <w:jc w:val="right"/>
              <w:rPr>
                <w:rFonts w:ascii="Arial" w:eastAsia="Times New Roman" w:hAnsi="Arial" w:cs="Arial"/>
                <w:b/>
                <w:bCs/>
                <w:sz w:val="18"/>
                <w:szCs w:val="18"/>
                <w:lang w:eastAsia="sl-SI"/>
              </w:rPr>
            </w:pPr>
            <w:r w:rsidRPr="00927AF5">
              <w:rPr>
                <w:rFonts w:ascii="Arial" w:hAnsi="Arial" w:cs="Arial"/>
                <w:b/>
                <w:sz w:val="18"/>
                <w:szCs w:val="18"/>
              </w:rPr>
              <w:t>100,00</w:t>
            </w:r>
            <w:r w:rsidR="00927AF5" w:rsidRPr="00927AF5">
              <w:rPr>
                <w:rFonts w:ascii="Arial" w:hAnsi="Arial" w:cs="Arial"/>
                <w:b/>
                <w:sz w:val="18"/>
                <w:szCs w:val="18"/>
              </w:rPr>
              <w:t xml:space="preserve"> </w:t>
            </w:r>
            <w:r w:rsidRPr="00927AF5">
              <w:rPr>
                <w:rFonts w:ascii="Arial" w:hAnsi="Arial" w:cs="Arial"/>
                <w:b/>
                <w:sz w:val="18"/>
                <w:szCs w:val="18"/>
              </w:rPr>
              <w:t>%</w:t>
            </w:r>
          </w:p>
        </w:tc>
      </w:tr>
    </w:tbl>
    <w:p w14:paraId="178A829E" w14:textId="77777777" w:rsidR="00BB4C01" w:rsidRPr="00927AF5" w:rsidRDefault="00BB4C01" w:rsidP="004A613D">
      <w:pPr>
        <w:spacing w:after="0" w:line="240" w:lineRule="auto"/>
        <w:jc w:val="center"/>
        <w:rPr>
          <w:rFonts w:ascii="Arial" w:hAnsi="Arial" w:cs="Arial"/>
          <w:sz w:val="18"/>
        </w:rPr>
      </w:pPr>
    </w:p>
    <w:p w14:paraId="02E7D9E2" w14:textId="6CEE335F" w:rsidR="00F83DD4" w:rsidRPr="00927AF5" w:rsidRDefault="00F83DD4" w:rsidP="004A613D">
      <w:pPr>
        <w:spacing w:after="0" w:line="240" w:lineRule="auto"/>
        <w:jc w:val="center"/>
        <w:rPr>
          <w:rFonts w:ascii="Arial" w:hAnsi="Arial" w:cs="Arial"/>
          <w:sz w:val="18"/>
        </w:rPr>
      </w:pPr>
      <w:r w:rsidRPr="00927AF5">
        <w:rPr>
          <w:rFonts w:ascii="Arial" w:hAnsi="Arial" w:cs="Arial"/>
          <w:sz w:val="18"/>
        </w:rPr>
        <w:t>Vir: Statistični podatki o javni</w:t>
      </w:r>
      <w:r w:rsidR="00E01FC9" w:rsidRPr="00927AF5">
        <w:rPr>
          <w:rFonts w:ascii="Arial" w:hAnsi="Arial" w:cs="Arial"/>
          <w:sz w:val="18"/>
        </w:rPr>
        <w:t>h naročilih, oddanih v letu 201</w:t>
      </w:r>
      <w:r w:rsidR="00927AF5" w:rsidRPr="00927AF5">
        <w:rPr>
          <w:rFonts w:ascii="Arial" w:hAnsi="Arial" w:cs="Arial"/>
          <w:sz w:val="18"/>
        </w:rPr>
        <w:t>8</w:t>
      </w:r>
    </w:p>
    <w:p w14:paraId="700349DE" w14:textId="77777777" w:rsidR="00474678" w:rsidRPr="00EF2D0B" w:rsidRDefault="00474678" w:rsidP="000F2B07">
      <w:pPr>
        <w:spacing w:after="0" w:line="360" w:lineRule="auto"/>
        <w:jc w:val="both"/>
        <w:rPr>
          <w:rFonts w:ascii="Arial" w:hAnsi="Arial" w:cs="Arial"/>
          <w:sz w:val="20"/>
          <w:szCs w:val="20"/>
          <w:highlight w:val="yellow"/>
        </w:rPr>
      </w:pPr>
    </w:p>
    <w:p w14:paraId="7ECE5C7A" w14:textId="00FBFDDA" w:rsidR="00FD1E71" w:rsidRPr="000438A3" w:rsidRDefault="002B74A3" w:rsidP="00FD1E71">
      <w:pPr>
        <w:spacing w:line="360" w:lineRule="auto"/>
        <w:jc w:val="both"/>
        <w:rPr>
          <w:rFonts w:ascii="Arial" w:hAnsi="Arial" w:cs="Arial"/>
          <w:sz w:val="20"/>
          <w:szCs w:val="20"/>
        </w:rPr>
      </w:pPr>
      <w:r>
        <w:rPr>
          <w:rFonts w:ascii="Arial" w:hAnsi="Arial" w:cs="Arial"/>
          <w:sz w:val="20"/>
          <w:szCs w:val="20"/>
        </w:rPr>
        <w:t>Leta</w:t>
      </w:r>
      <w:r w:rsidR="00FD1E71" w:rsidRPr="000438A3">
        <w:rPr>
          <w:rFonts w:ascii="Arial" w:hAnsi="Arial" w:cs="Arial"/>
          <w:sz w:val="20"/>
          <w:szCs w:val="20"/>
        </w:rPr>
        <w:t xml:space="preserve"> 2018 so naročniki </w:t>
      </w:r>
      <w:proofErr w:type="spellStart"/>
      <w:r w:rsidR="00FD1E71" w:rsidRPr="000438A3">
        <w:rPr>
          <w:rFonts w:ascii="Arial" w:hAnsi="Arial" w:cs="Arial"/>
          <w:sz w:val="20"/>
          <w:szCs w:val="20"/>
        </w:rPr>
        <w:t>okoljske</w:t>
      </w:r>
      <w:proofErr w:type="spellEnd"/>
      <w:r w:rsidR="00FD1E71" w:rsidRPr="000438A3">
        <w:rPr>
          <w:rFonts w:ascii="Arial" w:hAnsi="Arial" w:cs="Arial"/>
          <w:sz w:val="20"/>
          <w:szCs w:val="20"/>
        </w:rPr>
        <w:t xml:space="preserve"> zahteve najpogosteje vključevali med tehnične specifikacije, in sicer pri 3800 naročilih, kar pomeni, da so bile te zahteve vključene v slabi dve tretjini naročil. </w:t>
      </w:r>
      <w:proofErr w:type="spellStart"/>
      <w:r w:rsidR="00FD1E71" w:rsidRPr="000438A3">
        <w:rPr>
          <w:rFonts w:ascii="Arial" w:hAnsi="Arial" w:cs="Arial"/>
          <w:sz w:val="20"/>
          <w:szCs w:val="20"/>
        </w:rPr>
        <w:t>Okoljske</w:t>
      </w:r>
      <w:proofErr w:type="spellEnd"/>
      <w:r w:rsidR="00FD1E71" w:rsidRPr="000438A3">
        <w:rPr>
          <w:rFonts w:ascii="Arial" w:hAnsi="Arial" w:cs="Arial"/>
          <w:sz w:val="20"/>
          <w:szCs w:val="20"/>
        </w:rPr>
        <w:t xml:space="preserve"> vidike so </w:t>
      </w:r>
      <w:r w:rsidR="00FD1E71" w:rsidRPr="000438A3">
        <w:rPr>
          <w:rFonts w:ascii="Arial" w:hAnsi="Arial" w:cs="Arial"/>
          <w:sz w:val="20"/>
          <w:szCs w:val="20"/>
        </w:rPr>
        <w:lastRenderedPageBreak/>
        <w:t>pri merilih za oddajo javnega naročila naročniki upoštevali v 2089 naročilih, kar pomeni, da so bile te zahteve vključene v dobri tretjini vseh zelenih naročil.</w:t>
      </w:r>
    </w:p>
    <w:p w14:paraId="4DBEA53D" w14:textId="77777777" w:rsidR="00FD1E71" w:rsidRPr="006F77CB" w:rsidRDefault="00FD1E71" w:rsidP="00FD1E71">
      <w:pPr>
        <w:spacing w:line="360" w:lineRule="auto"/>
        <w:jc w:val="both"/>
        <w:rPr>
          <w:rFonts w:ascii="Arial" w:hAnsi="Arial" w:cs="Arial"/>
          <w:sz w:val="20"/>
          <w:szCs w:val="20"/>
        </w:rPr>
      </w:pPr>
      <w:r w:rsidRPr="006F77CB">
        <w:rPr>
          <w:rFonts w:ascii="Arial" w:hAnsi="Arial" w:cs="Arial"/>
          <w:sz w:val="20"/>
          <w:szCs w:val="20"/>
        </w:rPr>
        <w:t xml:space="preserve">Pri 118 naročilih so naročniki </w:t>
      </w:r>
      <w:proofErr w:type="spellStart"/>
      <w:r w:rsidRPr="006F77CB">
        <w:rPr>
          <w:rFonts w:ascii="Arial" w:hAnsi="Arial" w:cs="Arial"/>
          <w:sz w:val="20"/>
          <w:szCs w:val="20"/>
        </w:rPr>
        <w:t>okoljske</w:t>
      </w:r>
      <w:proofErr w:type="spellEnd"/>
      <w:r w:rsidRPr="006F77CB">
        <w:rPr>
          <w:rFonts w:ascii="Arial" w:hAnsi="Arial" w:cs="Arial"/>
          <w:sz w:val="20"/>
          <w:szCs w:val="20"/>
        </w:rPr>
        <w:t xml:space="preserve"> zahteve vključili med tehnične specifikacije, merila za izbiro, pogoje za ugotavljanje sposobnosti in pogodbena določila. </w:t>
      </w:r>
    </w:p>
    <w:p w14:paraId="25D5E4D0" w14:textId="4267C1C9" w:rsidR="00FD1E71" w:rsidRPr="00925808" w:rsidRDefault="00FD1E71" w:rsidP="00FD1E71">
      <w:pPr>
        <w:spacing w:before="120" w:after="120" w:line="240" w:lineRule="auto"/>
        <w:jc w:val="both"/>
        <w:rPr>
          <w:rFonts w:ascii="Arial" w:hAnsi="Arial" w:cs="Arial"/>
          <w:sz w:val="20"/>
        </w:rPr>
      </w:pPr>
      <w:r w:rsidRPr="00925808">
        <w:rPr>
          <w:rFonts w:ascii="Arial" w:hAnsi="Arial" w:cs="Arial"/>
          <w:sz w:val="20"/>
        </w:rPr>
        <w:t>Preglednica </w:t>
      </w:r>
      <w:r w:rsidR="008C1A77">
        <w:rPr>
          <w:rFonts w:ascii="Arial" w:hAnsi="Arial" w:cs="Arial"/>
          <w:sz w:val="20"/>
        </w:rPr>
        <w:t>60</w:t>
      </w:r>
      <w:r w:rsidRPr="00925808">
        <w:rPr>
          <w:rFonts w:ascii="Arial" w:hAnsi="Arial" w:cs="Arial"/>
          <w:sz w:val="20"/>
        </w:rPr>
        <w:t xml:space="preserve">: Način vključitve </w:t>
      </w:r>
      <w:proofErr w:type="spellStart"/>
      <w:r w:rsidRPr="00925808">
        <w:rPr>
          <w:rFonts w:ascii="Arial" w:hAnsi="Arial" w:cs="Arial"/>
          <w:sz w:val="20"/>
        </w:rPr>
        <w:t>okoljskih</w:t>
      </w:r>
      <w:proofErr w:type="spellEnd"/>
      <w:r w:rsidRPr="00925808">
        <w:rPr>
          <w:rFonts w:ascii="Arial" w:hAnsi="Arial" w:cs="Arial"/>
          <w:sz w:val="20"/>
        </w:rPr>
        <w:t xml:space="preserve"> zahtev pri javnih naročilih, oddanih v letu 201</w:t>
      </w:r>
      <w:r w:rsidR="0071214A">
        <w:rPr>
          <w:rFonts w:ascii="Arial" w:hAnsi="Arial" w:cs="Arial"/>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5"/>
        <w:gridCol w:w="1174"/>
        <w:gridCol w:w="1501"/>
        <w:gridCol w:w="1512"/>
        <w:gridCol w:w="1880"/>
      </w:tblGrid>
      <w:tr w:rsidR="00FD1E71" w:rsidRPr="00925808" w14:paraId="77E42A2F" w14:textId="77777777" w:rsidTr="00463819">
        <w:trPr>
          <w:trHeight w:val="626"/>
          <w:jc w:val="center"/>
        </w:trPr>
        <w:tc>
          <w:tcPr>
            <w:tcW w:w="0" w:type="auto"/>
            <w:shd w:val="clear" w:color="000000" w:fill="EDEDED"/>
            <w:vAlign w:val="center"/>
            <w:hideMark/>
          </w:tcPr>
          <w:p w14:paraId="19B7B643" w14:textId="5E464A11" w:rsidR="00FD1E71" w:rsidRPr="00925808" w:rsidRDefault="00FD1E71" w:rsidP="000050E5">
            <w:pPr>
              <w:spacing w:after="0" w:line="240" w:lineRule="auto"/>
              <w:jc w:val="center"/>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Način vključevanj</w:t>
            </w:r>
            <w:r w:rsidR="00075C43">
              <w:rPr>
                <w:rFonts w:ascii="Arial" w:eastAsia="Times New Roman" w:hAnsi="Arial" w:cs="Arial"/>
                <w:color w:val="000000"/>
                <w:sz w:val="18"/>
                <w:szCs w:val="18"/>
                <w:lang w:eastAsia="sl-SI"/>
              </w:rPr>
              <w:t>a</w:t>
            </w:r>
            <w:r w:rsidRPr="00925808">
              <w:rPr>
                <w:rFonts w:ascii="Arial" w:eastAsia="Times New Roman" w:hAnsi="Arial" w:cs="Arial"/>
                <w:color w:val="000000"/>
                <w:sz w:val="18"/>
                <w:szCs w:val="18"/>
                <w:lang w:eastAsia="sl-SI"/>
              </w:rPr>
              <w:t xml:space="preserve"> </w:t>
            </w:r>
            <w:proofErr w:type="spellStart"/>
            <w:r w:rsidRPr="00925808">
              <w:rPr>
                <w:rFonts w:ascii="Arial" w:eastAsia="Times New Roman" w:hAnsi="Arial" w:cs="Arial"/>
                <w:color w:val="000000"/>
                <w:sz w:val="18"/>
                <w:szCs w:val="18"/>
                <w:lang w:eastAsia="sl-SI"/>
              </w:rPr>
              <w:t>okoljskih</w:t>
            </w:r>
            <w:proofErr w:type="spellEnd"/>
            <w:r w:rsidRPr="00925808">
              <w:rPr>
                <w:rFonts w:ascii="Arial" w:eastAsia="Times New Roman" w:hAnsi="Arial" w:cs="Arial"/>
                <w:color w:val="000000"/>
                <w:sz w:val="18"/>
                <w:szCs w:val="18"/>
                <w:lang w:eastAsia="sl-SI"/>
              </w:rPr>
              <w:t xml:space="preserve"> vidikov v javno naročanje</w:t>
            </w:r>
          </w:p>
        </w:tc>
        <w:tc>
          <w:tcPr>
            <w:tcW w:w="0" w:type="auto"/>
            <w:shd w:val="clear" w:color="000000" w:fill="EDEDED"/>
            <w:vAlign w:val="center"/>
            <w:hideMark/>
          </w:tcPr>
          <w:p w14:paraId="37D7F2BF" w14:textId="77777777" w:rsidR="00FD1E71" w:rsidRPr="00925808" w:rsidRDefault="00FD1E71" w:rsidP="000050E5">
            <w:pPr>
              <w:spacing w:after="0" w:line="240" w:lineRule="auto"/>
              <w:jc w:val="center"/>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Št. zelenih naročil</w:t>
            </w:r>
          </w:p>
        </w:tc>
        <w:tc>
          <w:tcPr>
            <w:tcW w:w="0" w:type="auto"/>
            <w:shd w:val="clear" w:color="000000" w:fill="EDEDED"/>
            <w:vAlign w:val="center"/>
            <w:hideMark/>
          </w:tcPr>
          <w:p w14:paraId="72884B05" w14:textId="77777777" w:rsidR="00FD1E71" w:rsidRPr="00925808" w:rsidRDefault="00FD1E71" w:rsidP="000050E5">
            <w:pPr>
              <w:spacing w:after="0" w:line="240" w:lineRule="auto"/>
              <w:jc w:val="center"/>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Pogodbena vrednost</w:t>
            </w:r>
          </w:p>
        </w:tc>
        <w:tc>
          <w:tcPr>
            <w:tcW w:w="0" w:type="auto"/>
            <w:shd w:val="clear" w:color="000000" w:fill="EDEDED"/>
            <w:vAlign w:val="center"/>
            <w:hideMark/>
          </w:tcPr>
          <w:p w14:paraId="71B30383" w14:textId="77777777" w:rsidR="00FD1E71" w:rsidRPr="00925808" w:rsidRDefault="00FD1E71" w:rsidP="000050E5">
            <w:pPr>
              <w:spacing w:after="0" w:line="240" w:lineRule="auto"/>
              <w:jc w:val="center"/>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Delež v št. zelenih naročil</w:t>
            </w:r>
          </w:p>
        </w:tc>
        <w:tc>
          <w:tcPr>
            <w:tcW w:w="0" w:type="auto"/>
            <w:shd w:val="clear" w:color="000000" w:fill="EDEDED"/>
            <w:vAlign w:val="center"/>
            <w:hideMark/>
          </w:tcPr>
          <w:p w14:paraId="7B9AACCD" w14:textId="77777777" w:rsidR="00FD1E71" w:rsidRPr="00925808" w:rsidRDefault="00FD1E71" w:rsidP="000050E5">
            <w:pPr>
              <w:spacing w:after="0" w:line="240" w:lineRule="auto"/>
              <w:jc w:val="center"/>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Delež v vrednosti zelenih naročil</w:t>
            </w:r>
          </w:p>
        </w:tc>
      </w:tr>
      <w:tr w:rsidR="00FD1E71" w:rsidRPr="00925808" w14:paraId="0577C1CC" w14:textId="77777777" w:rsidTr="00463819">
        <w:trPr>
          <w:trHeight w:val="300"/>
          <w:jc w:val="center"/>
        </w:trPr>
        <w:tc>
          <w:tcPr>
            <w:tcW w:w="0" w:type="auto"/>
            <w:shd w:val="clear" w:color="auto" w:fill="auto"/>
            <w:vAlign w:val="center"/>
            <w:hideMark/>
          </w:tcPr>
          <w:p w14:paraId="073334B4" w14:textId="77777777" w:rsidR="00FD1E71" w:rsidRPr="00925808" w:rsidRDefault="00FD1E71" w:rsidP="000050E5">
            <w:pPr>
              <w:spacing w:after="0" w:line="240" w:lineRule="auto"/>
              <w:jc w:val="both"/>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Predmet javnega naročila</w:t>
            </w:r>
          </w:p>
        </w:tc>
        <w:tc>
          <w:tcPr>
            <w:tcW w:w="0" w:type="auto"/>
            <w:shd w:val="clear" w:color="auto" w:fill="auto"/>
            <w:vAlign w:val="center"/>
            <w:hideMark/>
          </w:tcPr>
          <w:p w14:paraId="527998F5"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0</w:t>
            </w:r>
          </w:p>
        </w:tc>
        <w:tc>
          <w:tcPr>
            <w:tcW w:w="0" w:type="auto"/>
            <w:shd w:val="clear" w:color="auto" w:fill="auto"/>
            <w:vAlign w:val="center"/>
            <w:hideMark/>
          </w:tcPr>
          <w:p w14:paraId="1DEDD85B"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0</w:t>
            </w:r>
          </w:p>
        </w:tc>
        <w:tc>
          <w:tcPr>
            <w:tcW w:w="0" w:type="auto"/>
            <w:shd w:val="clear" w:color="auto" w:fill="auto"/>
            <w:vAlign w:val="center"/>
          </w:tcPr>
          <w:p w14:paraId="4891DD5F"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0,00 %</w:t>
            </w:r>
          </w:p>
        </w:tc>
        <w:tc>
          <w:tcPr>
            <w:tcW w:w="0" w:type="auto"/>
            <w:shd w:val="clear" w:color="auto" w:fill="auto"/>
            <w:vAlign w:val="center"/>
          </w:tcPr>
          <w:p w14:paraId="1EE655D6"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0,00 %</w:t>
            </w:r>
          </w:p>
        </w:tc>
      </w:tr>
      <w:tr w:rsidR="00FD1E71" w:rsidRPr="00925808" w14:paraId="547BFC8E" w14:textId="77777777" w:rsidTr="00463819">
        <w:trPr>
          <w:trHeight w:val="300"/>
          <w:jc w:val="center"/>
        </w:trPr>
        <w:tc>
          <w:tcPr>
            <w:tcW w:w="0" w:type="auto"/>
            <w:shd w:val="clear" w:color="auto" w:fill="auto"/>
            <w:vAlign w:val="center"/>
            <w:hideMark/>
          </w:tcPr>
          <w:p w14:paraId="5E52546C" w14:textId="77777777" w:rsidR="00FD1E71" w:rsidRPr="00925808" w:rsidRDefault="00FD1E71" w:rsidP="000050E5">
            <w:pPr>
              <w:spacing w:after="0" w:line="240" w:lineRule="auto"/>
              <w:jc w:val="both"/>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Tehnične specifikacije</w:t>
            </w:r>
          </w:p>
        </w:tc>
        <w:tc>
          <w:tcPr>
            <w:tcW w:w="0" w:type="auto"/>
            <w:shd w:val="clear" w:color="auto" w:fill="auto"/>
            <w:vAlign w:val="center"/>
            <w:hideMark/>
          </w:tcPr>
          <w:p w14:paraId="177D9E9C"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3.800</w:t>
            </w:r>
          </w:p>
        </w:tc>
        <w:tc>
          <w:tcPr>
            <w:tcW w:w="0" w:type="auto"/>
            <w:shd w:val="clear" w:color="auto" w:fill="auto"/>
            <w:vAlign w:val="center"/>
            <w:hideMark/>
          </w:tcPr>
          <w:p w14:paraId="493A8550"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424.016.579</w:t>
            </w:r>
          </w:p>
        </w:tc>
        <w:tc>
          <w:tcPr>
            <w:tcW w:w="0" w:type="auto"/>
            <w:shd w:val="clear" w:color="auto" w:fill="auto"/>
            <w:vAlign w:val="center"/>
          </w:tcPr>
          <w:p w14:paraId="65192234"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65,85 %</w:t>
            </w:r>
          </w:p>
        </w:tc>
        <w:tc>
          <w:tcPr>
            <w:tcW w:w="0" w:type="auto"/>
            <w:shd w:val="clear" w:color="auto" w:fill="auto"/>
            <w:vAlign w:val="center"/>
          </w:tcPr>
          <w:p w14:paraId="1042246C"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75,80 %</w:t>
            </w:r>
          </w:p>
        </w:tc>
      </w:tr>
      <w:tr w:rsidR="00FD1E71" w:rsidRPr="00925808" w14:paraId="59428C11" w14:textId="77777777" w:rsidTr="00463819">
        <w:trPr>
          <w:trHeight w:val="300"/>
          <w:jc w:val="center"/>
        </w:trPr>
        <w:tc>
          <w:tcPr>
            <w:tcW w:w="0" w:type="auto"/>
            <w:shd w:val="clear" w:color="auto" w:fill="auto"/>
            <w:vAlign w:val="center"/>
            <w:hideMark/>
          </w:tcPr>
          <w:p w14:paraId="3394ABB4" w14:textId="77777777" w:rsidR="00FD1E71" w:rsidRPr="00925808" w:rsidRDefault="00FD1E71" w:rsidP="000050E5">
            <w:pPr>
              <w:spacing w:after="0" w:line="240" w:lineRule="auto"/>
              <w:jc w:val="both"/>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 xml:space="preserve">Merila za oddajo javnega naročila </w:t>
            </w:r>
          </w:p>
        </w:tc>
        <w:tc>
          <w:tcPr>
            <w:tcW w:w="0" w:type="auto"/>
            <w:shd w:val="clear" w:color="auto" w:fill="auto"/>
            <w:vAlign w:val="center"/>
            <w:hideMark/>
          </w:tcPr>
          <w:p w14:paraId="698BE33E"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2.089</w:t>
            </w:r>
          </w:p>
        </w:tc>
        <w:tc>
          <w:tcPr>
            <w:tcW w:w="0" w:type="auto"/>
            <w:shd w:val="clear" w:color="auto" w:fill="auto"/>
            <w:vAlign w:val="center"/>
            <w:hideMark/>
          </w:tcPr>
          <w:p w14:paraId="3699ACF9"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80.284.480</w:t>
            </w:r>
          </w:p>
        </w:tc>
        <w:tc>
          <w:tcPr>
            <w:tcW w:w="0" w:type="auto"/>
            <w:shd w:val="clear" w:color="auto" w:fill="auto"/>
            <w:vAlign w:val="center"/>
          </w:tcPr>
          <w:p w14:paraId="408D9211"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36,20 %</w:t>
            </w:r>
          </w:p>
        </w:tc>
        <w:tc>
          <w:tcPr>
            <w:tcW w:w="0" w:type="auto"/>
            <w:shd w:val="clear" w:color="auto" w:fill="auto"/>
            <w:vAlign w:val="center"/>
          </w:tcPr>
          <w:p w14:paraId="12296634"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14,35 %</w:t>
            </w:r>
          </w:p>
        </w:tc>
      </w:tr>
      <w:tr w:rsidR="00FD1E71" w:rsidRPr="00925808" w14:paraId="5DE21CCE" w14:textId="77777777" w:rsidTr="00463819">
        <w:trPr>
          <w:trHeight w:val="300"/>
          <w:jc w:val="center"/>
        </w:trPr>
        <w:tc>
          <w:tcPr>
            <w:tcW w:w="0" w:type="auto"/>
            <w:shd w:val="clear" w:color="auto" w:fill="auto"/>
            <w:vAlign w:val="center"/>
            <w:hideMark/>
          </w:tcPr>
          <w:p w14:paraId="69044456" w14:textId="77777777" w:rsidR="00FD1E71" w:rsidRPr="00925808" w:rsidRDefault="00FD1E71" w:rsidP="000050E5">
            <w:pPr>
              <w:spacing w:after="0" w:line="240" w:lineRule="auto"/>
              <w:jc w:val="both"/>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Pogoji za sodelovanje</w:t>
            </w:r>
          </w:p>
        </w:tc>
        <w:tc>
          <w:tcPr>
            <w:tcW w:w="0" w:type="auto"/>
            <w:shd w:val="clear" w:color="auto" w:fill="auto"/>
            <w:vAlign w:val="center"/>
            <w:hideMark/>
          </w:tcPr>
          <w:p w14:paraId="63BE811D"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1.553</w:t>
            </w:r>
          </w:p>
        </w:tc>
        <w:tc>
          <w:tcPr>
            <w:tcW w:w="0" w:type="auto"/>
            <w:shd w:val="clear" w:color="auto" w:fill="auto"/>
            <w:vAlign w:val="center"/>
            <w:hideMark/>
          </w:tcPr>
          <w:p w14:paraId="1E6C28A1"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171.490.659</w:t>
            </w:r>
          </w:p>
        </w:tc>
        <w:tc>
          <w:tcPr>
            <w:tcW w:w="0" w:type="auto"/>
            <w:shd w:val="clear" w:color="auto" w:fill="auto"/>
            <w:vAlign w:val="center"/>
          </w:tcPr>
          <w:p w14:paraId="365F5BF7"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26,91 %</w:t>
            </w:r>
          </w:p>
        </w:tc>
        <w:tc>
          <w:tcPr>
            <w:tcW w:w="0" w:type="auto"/>
            <w:shd w:val="clear" w:color="auto" w:fill="auto"/>
            <w:vAlign w:val="center"/>
          </w:tcPr>
          <w:p w14:paraId="0357E468"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30,66 %</w:t>
            </w:r>
          </w:p>
        </w:tc>
      </w:tr>
      <w:tr w:rsidR="00FD1E71" w:rsidRPr="00925808" w14:paraId="777DE2A2" w14:textId="77777777" w:rsidTr="00463819">
        <w:trPr>
          <w:trHeight w:val="480"/>
          <w:jc w:val="center"/>
        </w:trPr>
        <w:tc>
          <w:tcPr>
            <w:tcW w:w="0" w:type="auto"/>
            <w:shd w:val="clear" w:color="auto" w:fill="auto"/>
            <w:vAlign w:val="center"/>
            <w:hideMark/>
          </w:tcPr>
          <w:p w14:paraId="4677FF6D" w14:textId="77777777" w:rsidR="00FD1E71" w:rsidRPr="00925808" w:rsidRDefault="00FD1E71" w:rsidP="000050E5">
            <w:pPr>
              <w:spacing w:after="0" w:line="240" w:lineRule="auto"/>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Pogodbena določila iz obligacijskega razmerja</w:t>
            </w:r>
          </w:p>
        </w:tc>
        <w:tc>
          <w:tcPr>
            <w:tcW w:w="0" w:type="auto"/>
            <w:shd w:val="clear" w:color="auto" w:fill="auto"/>
            <w:vAlign w:val="center"/>
            <w:hideMark/>
          </w:tcPr>
          <w:p w14:paraId="048EC45B"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2.147</w:t>
            </w:r>
          </w:p>
        </w:tc>
        <w:tc>
          <w:tcPr>
            <w:tcW w:w="0" w:type="auto"/>
            <w:shd w:val="clear" w:color="auto" w:fill="auto"/>
            <w:vAlign w:val="center"/>
            <w:hideMark/>
          </w:tcPr>
          <w:p w14:paraId="740F7CAB"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134.461.490</w:t>
            </w:r>
          </w:p>
        </w:tc>
        <w:tc>
          <w:tcPr>
            <w:tcW w:w="0" w:type="auto"/>
            <w:shd w:val="clear" w:color="auto" w:fill="auto"/>
            <w:vAlign w:val="center"/>
          </w:tcPr>
          <w:p w14:paraId="112EB35F"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37,20 %</w:t>
            </w:r>
          </w:p>
        </w:tc>
        <w:tc>
          <w:tcPr>
            <w:tcW w:w="0" w:type="auto"/>
            <w:shd w:val="clear" w:color="auto" w:fill="auto"/>
            <w:vAlign w:val="center"/>
          </w:tcPr>
          <w:p w14:paraId="47A3F1BE"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24,04 %</w:t>
            </w:r>
          </w:p>
        </w:tc>
      </w:tr>
      <w:tr w:rsidR="00FD1E71" w:rsidRPr="00925808" w14:paraId="577311E9" w14:textId="77777777" w:rsidTr="00463819">
        <w:trPr>
          <w:trHeight w:val="300"/>
          <w:jc w:val="center"/>
        </w:trPr>
        <w:tc>
          <w:tcPr>
            <w:tcW w:w="0" w:type="auto"/>
            <w:shd w:val="clear" w:color="auto" w:fill="auto"/>
            <w:vAlign w:val="center"/>
          </w:tcPr>
          <w:p w14:paraId="336C4E2C" w14:textId="77777777" w:rsidR="00FD1E71" w:rsidRPr="00925808" w:rsidRDefault="00FD1E71" w:rsidP="000050E5">
            <w:pPr>
              <w:spacing w:after="0" w:line="240" w:lineRule="auto"/>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Razlogi za izključitev</w:t>
            </w:r>
          </w:p>
        </w:tc>
        <w:tc>
          <w:tcPr>
            <w:tcW w:w="0" w:type="auto"/>
            <w:shd w:val="clear" w:color="auto" w:fill="auto"/>
            <w:vAlign w:val="center"/>
          </w:tcPr>
          <w:p w14:paraId="5CFFC86C" w14:textId="77777777" w:rsidR="00FD1E71" w:rsidRPr="00925808" w:rsidRDefault="00FD1E71" w:rsidP="000050E5">
            <w:pPr>
              <w:spacing w:after="0" w:line="240" w:lineRule="auto"/>
              <w:jc w:val="right"/>
              <w:rPr>
                <w:rFonts w:ascii="Arial" w:hAnsi="Arial" w:cs="Arial"/>
                <w:sz w:val="18"/>
                <w:szCs w:val="18"/>
              </w:rPr>
            </w:pPr>
            <w:r w:rsidRPr="00925808">
              <w:rPr>
                <w:rFonts w:ascii="Arial" w:hAnsi="Arial" w:cs="Arial"/>
                <w:sz w:val="18"/>
                <w:szCs w:val="18"/>
              </w:rPr>
              <w:t>570</w:t>
            </w:r>
          </w:p>
        </w:tc>
        <w:tc>
          <w:tcPr>
            <w:tcW w:w="0" w:type="auto"/>
            <w:shd w:val="clear" w:color="auto" w:fill="auto"/>
            <w:vAlign w:val="center"/>
          </w:tcPr>
          <w:p w14:paraId="5BB8BA4A" w14:textId="77777777" w:rsidR="00FD1E71" w:rsidRPr="00925808" w:rsidRDefault="00FD1E71" w:rsidP="000050E5">
            <w:pPr>
              <w:spacing w:after="0" w:line="240" w:lineRule="auto"/>
              <w:jc w:val="right"/>
              <w:rPr>
                <w:rFonts w:ascii="Arial" w:hAnsi="Arial" w:cs="Arial"/>
                <w:sz w:val="18"/>
                <w:szCs w:val="18"/>
              </w:rPr>
            </w:pPr>
            <w:r w:rsidRPr="00925808">
              <w:rPr>
                <w:rFonts w:ascii="Arial" w:hAnsi="Arial" w:cs="Arial"/>
                <w:sz w:val="18"/>
                <w:szCs w:val="18"/>
              </w:rPr>
              <w:t>59.082.056</w:t>
            </w:r>
          </w:p>
        </w:tc>
        <w:tc>
          <w:tcPr>
            <w:tcW w:w="0" w:type="auto"/>
            <w:shd w:val="clear" w:color="auto" w:fill="auto"/>
            <w:vAlign w:val="center"/>
          </w:tcPr>
          <w:p w14:paraId="58CF87AA" w14:textId="77777777" w:rsidR="00FD1E71" w:rsidRPr="00925808" w:rsidRDefault="00FD1E71" w:rsidP="000050E5">
            <w:pPr>
              <w:spacing w:after="0" w:line="240" w:lineRule="auto"/>
              <w:jc w:val="right"/>
              <w:rPr>
                <w:rFonts w:ascii="Arial" w:hAnsi="Arial" w:cs="Arial"/>
                <w:color w:val="000000"/>
                <w:sz w:val="18"/>
                <w:szCs w:val="18"/>
              </w:rPr>
            </w:pPr>
            <w:r w:rsidRPr="00925808">
              <w:rPr>
                <w:rFonts w:ascii="Arial" w:hAnsi="Arial" w:cs="Arial"/>
                <w:sz w:val="18"/>
                <w:szCs w:val="18"/>
              </w:rPr>
              <w:t>9,88 %</w:t>
            </w:r>
          </w:p>
        </w:tc>
        <w:tc>
          <w:tcPr>
            <w:tcW w:w="0" w:type="auto"/>
            <w:shd w:val="clear" w:color="auto" w:fill="auto"/>
            <w:vAlign w:val="center"/>
          </w:tcPr>
          <w:p w14:paraId="2C947C58" w14:textId="77777777" w:rsidR="00FD1E71" w:rsidRPr="00925808" w:rsidRDefault="00FD1E71" w:rsidP="000050E5">
            <w:pPr>
              <w:spacing w:after="0" w:line="240" w:lineRule="auto"/>
              <w:jc w:val="right"/>
              <w:rPr>
                <w:rFonts w:ascii="Arial" w:hAnsi="Arial" w:cs="Arial"/>
                <w:color w:val="000000"/>
                <w:sz w:val="18"/>
                <w:szCs w:val="18"/>
              </w:rPr>
            </w:pPr>
            <w:r w:rsidRPr="00925808">
              <w:rPr>
                <w:rFonts w:ascii="Arial" w:hAnsi="Arial" w:cs="Arial"/>
                <w:sz w:val="18"/>
                <w:szCs w:val="18"/>
              </w:rPr>
              <w:t>10,56 %</w:t>
            </w:r>
          </w:p>
        </w:tc>
      </w:tr>
      <w:tr w:rsidR="00FD1E71" w:rsidRPr="00925808" w14:paraId="0368A1A3" w14:textId="77777777" w:rsidTr="00463819">
        <w:trPr>
          <w:trHeight w:val="300"/>
          <w:jc w:val="center"/>
        </w:trPr>
        <w:tc>
          <w:tcPr>
            <w:tcW w:w="0" w:type="auto"/>
            <w:shd w:val="clear" w:color="auto" w:fill="auto"/>
            <w:vAlign w:val="center"/>
            <w:hideMark/>
          </w:tcPr>
          <w:p w14:paraId="7482FE98" w14:textId="77777777" w:rsidR="00FD1E71" w:rsidRPr="00925808" w:rsidRDefault="00FD1E71" w:rsidP="000050E5">
            <w:pPr>
              <w:spacing w:after="0" w:line="240" w:lineRule="auto"/>
              <w:jc w:val="both"/>
              <w:rPr>
                <w:rFonts w:ascii="Arial" w:eastAsia="Times New Roman" w:hAnsi="Arial" w:cs="Arial"/>
                <w:color w:val="000000"/>
                <w:sz w:val="18"/>
                <w:szCs w:val="18"/>
                <w:lang w:eastAsia="sl-SI"/>
              </w:rPr>
            </w:pPr>
            <w:r w:rsidRPr="00925808">
              <w:rPr>
                <w:rFonts w:ascii="Arial" w:eastAsia="Times New Roman" w:hAnsi="Arial" w:cs="Arial"/>
                <w:color w:val="000000"/>
                <w:sz w:val="18"/>
                <w:szCs w:val="18"/>
                <w:lang w:eastAsia="sl-SI"/>
              </w:rPr>
              <w:t>Drugo</w:t>
            </w:r>
          </w:p>
        </w:tc>
        <w:tc>
          <w:tcPr>
            <w:tcW w:w="0" w:type="auto"/>
            <w:shd w:val="clear" w:color="auto" w:fill="auto"/>
            <w:vAlign w:val="center"/>
            <w:hideMark/>
          </w:tcPr>
          <w:p w14:paraId="606DFD16"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10</w:t>
            </w:r>
          </w:p>
        </w:tc>
        <w:tc>
          <w:tcPr>
            <w:tcW w:w="0" w:type="auto"/>
            <w:shd w:val="clear" w:color="auto" w:fill="auto"/>
            <w:vAlign w:val="center"/>
            <w:hideMark/>
          </w:tcPr>
          <w:p w14:paraId="7693162C"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8.195.822</w:t>
            </w:r>
          </w:p>
        </w:tc>
        <w:tc>
          <w:tcPr>
            <w:tcW w:w="0" w:type="auto"/>
            <w:shd w:val="clear" w:color="auto" w:fill="auto"/>
            <w:vAlign w:val="center"/>
          </w:tcPr>
          <w:p w14:paraId="03C68661"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0,17 %</w:t>
            </w:r>
          </w:p>
        </w:tc>
        <w:tc>
          <w:tcPr>
            <w:tcW w:w="0" w:type="auto"/>
            <w:shd w:val="clear" w:color="auto" w:fill="auto"/>
            <w:vAlign w:val="center"/>
          </w:tcPr>
          <w:p w14:paraId="721DFC65" w14:textId="77777777" w:rsidR="00FD1E71" w:rsidRPr="00925808" w:rsidRDefault="00FD1E71" w:rsidP="000050E5">
            <w:pPr>
              <w:spacing w:after="0" w:line="240" w:lineRule="auto"/>
              <w:jc w:val="right"/>
              <w:rPr>
                <w:rFonts w:ascii="Arial" w:eastAsia="Times New Roman" w:hAnsi="Arial" w:cs="Arial"/>
                <w:color w:val="000000"/>
                <w:sz w:val="18"/>
                <w:szCs w:val="18"/>
                <w:lang w:eastAsia="sl-SI"/>
              </w:rPr>
            </w:pPr>
            <w:r w:rsidRPr="00925808">
              <w:rPr>
                <w:rFonts w:ascii="Arial" w:hAnsi="Arial" w:cs="Arial"/>
                <w:sz w:val="18"/>
                <w:szCs w:val="18"/>
              </w:rPr>
              <w:t>1,47 %</w:t>
            </w:r>
          </w:p>
        </w:tc>
      </w:tr>
    </w:tbl>
    <w:p w14:paraId="600D8FE7" w14:textId="77777777" w:rsidR="00FD1E71" w:rsidRPr="00925808" w:rsidRDefault="00FD1E71" w:rsidP="00FD1E71">
      <w:pPr>
        <w:spacing w:after="0" w:line="240" w:lineRule="auto"/>
        <w:jc w:val="center"/>
        <w:rPr>
          <w:rFonts w:ascii="Arial" w:hAnsi="Arial" w:cs="Arial"/>
          <w:sz w:val="18"/>
        </w:rPr>
      </w:pPr>
    </w:p>
    <w:p w14:paraId="035678C6" w14:textId="4F0A07BD" w:rsidR="00FD1E71" w:rsidRPr="00925808" w:rsidRDefault="00FD1E71" w:rsidP="00FD1E71">
      <w:pPr>
        <w:spacing w:after="240" w:line="240" w:lineRule="auto"/>
        <w:jc w:val="center"/>
        <w:rPr>
          <w:rFonts w:ascii="Arial" w:hAnsi="Arial" w:cs="Arial"/>
          <w:sz w:val="18"/>
        </w:rPr>
      </w:pPr>
      <w:r w:rsidRPr="00925808">
        <w:rPr>
          <w:rFonts w:ascii="Arial" w:hAnsi="Arial" w:cs="Arial"/>
          <w:sz w:val="18"/>
        </w:rPr>
        <w:t xml:space="preserve"> Vir: Statistični podatki o javnih naročilih, oddanih v letu 2018</w:t>
      </w:r>
    </w:p>
    <w:p w14:paraId="5AFE8C23" w14:textId="5C0E16E2" w:rsidR="00AB5280" w:rsidRPr="00294FB0" w:rsidRDefault="00AB5280" w:rsidP="00AB5280">
      <w:pPr>
        <w:spacing w:line="360" w:lineRule="auto"/>
        <w:jc w:val="both"/>
        <w:rPr>
          <w:rFonts w:ascii="Arial" w:hAnsi="Arial" w:cs="Arial"/>
          <w:color w:val="000000" w:themeColor="text1"/>
          <w:sz w:val="20"/>
          <w:szCs w:val="20"/>
        </w:rPr>
      </w:pPr>
      <w:r w:rsidRPr="00294FB0">
        <w:rPr>
          <w:rFonts w:ascii="Arial" w:hAnsi="Arial" w:cs="Arial"/>
          <w:color w:val="000000" w:themeColor="text1"/>
          <w:sz w:val="20"/>
          <w:szCs w:val="20"/>
        </w:rPr>
        <w:t xml:space="preserve">Največ naročil, pri katerih je bil upoštevan </w:t>
      </w:r>
      <w:proofErr w:type="spellStart"/>
      <w:r w:rsidRPr="00294FB0">
        <w:rPr>
          <w:rFonts w:ascii="Arial" w:hAnsi="Arial" w:cs="Arial"/>
          <w:color w:val="000000" w:themeColor="text1"/>
          <w:sz w:val="20"/>
          <w:szCs w:val="20"/>
        </w:rPr>
        <w:t>okoljski</w:t>
      </w:r>
      <w:proofErr w:type="spellEnd"/>
      <w:r w:rsidRPr="00294FB0">
        <w:rPr>
          <w:rFonts w:ascii="Arial" w:hAnsi="Arial" w:cs="Arial"/>
          <w:color w:val="000000" w:themeColor="text1"/>
          <w:sz w:val="20"/>
          <w:szCs w:val="20"/>
        </w:rPr>
        <w:t xml:space="preserve"> vidik, so od</w:t>
      </w:r>
      <w:r w:rsidR="00CE15B6" w:rsidRPr="00294FB0">
        <w:rPr>
          <w:rFonts w:ascii="Arial" w:hAnsi="Arial" w:cs="Arial"/>
          <w:color w:val="000000" w:themeColor="text1"/>
          <w:sz w:val="20"/>
          <w:szCs w:val="20"/>
        </w:rPr>
        <w:t xml:space="preserve">dali javni zavodi, in sicer </w:t>
      </w:r>
      <w:r w:rsidR="00294FB0" w:rsidRPr="00294FB0">
        <w:rPr>
          <w:rFonts w:ascii="Arial" w:hAnsi="Arial" w:cs="Arial"/>
          <w:color w:val="000000" w:themeColor="text1"/>
          <w:sz w:val="20"/>
          <w:szCs w:val="20"/>
        </w:rPr>
        <w:t>4433</w:t>
      </w:r>
      <w:r w:rsidRPr="00294FB0">
        <w:rPr>
          <w:rFonts w:ascii="Arial" w:hAnsi="Arial" w:cs="Arial"/>
          <w:color w:val="000000" w:themeColor="text1"/>
          <w:sz w:val="20"/>
          <w:szCs w:val="20"/>
        </w:rPr>
        <w:t xml:space="preserve"> naročil v vrednosti </w:t>
      </w:r>
      <w:r w:rsidR="00294FB0" w:rsidRPr="00294FB0">
        <w:rPr>
          <w:rFonts w:ascii="Arial" w:hAnsi="Arial" w:cs="Arial"/>
          <w:color w:val="000000" w:themeColor="text1"/>
          <w:sz w:val="20"/>
          <w:szCs w:val="20"/>
        </w:rPr>
        <w:t xml:space="preserve">178.025.170 </w:t>
      </w:r>
      <w:r w:rsidRPr="00294FB0">
        <w:rPr>
          <w:rFonts w:ascii="Arial" w:hAnsi="Arial" w:cs="Arial"/>
          <w:color w:val="000000" w:themeColor="text1"/>
          <w:sz w:val="20"/>
          <w:szCs w:val="20"/>
        </w:rPr>
        <w:t>evrov</w:t>
      </w:r>
      <w:r w:rsidR="00325434" w:rsidRPr="00294FB0">
        <w:rPr>
          <w:rFonts w:ascii="Arial" w:hAnsi="Arial" w:cs="Arial"/>
          <w:color w:val="000000" w:themeColor="text1"/>
          <w:sz w:val="20"/>
          <w:szCs w:val="20"/>
        </w:rPr>
        <w:t>,</w:t>
      </w:r>
      <w:r w:rsidR="00FA0EF9">
        <w:rPr>
          <w:rFonts w:ascii="Arial" w:hAnsi="Arial" w:cs="Arial"/>
          <w:color w:val="000000" w:themeColor="text1"/>
          <w:sz w:val="20"/>
          <w:szCs w:val="20"/>
        </w:rPr>
        <w:t xml:space="preserve"> </w:t>
      </w:r>
      <w:r w:rsidRPr="00294FB0">
        <w:rPr>
          <w:rFonts w:ascii="Arial" w:hAnsi="Arial" w:cs="Arial"/>
          <w:color w:val="000000" w:themeColor="text1"/>
          <w:sz w:val="20"/>
          <w:szCs w:val="20"/>
        </w:rPr>
        <w:t>sam</w:t>
      </w:r>
      <w:r w:rsidR="00CE15B6" w:rsidRPr="00294FB0">
        <w:rPr>
          <w:rFonts w:ascii="Arial" w:hAnsi="Arial" w:cs="Arial"/>
          <w:color w:val="000000" w:themeColor="text1"/>
          <w:sz w:val="20"/>
          <w:szCs w:val="20"/>
        </w:rPr>
        <w:t xml:space="preserve">oupravne lokalne skupnosti s </w:t>
      </w:r>
      <w:r w:rsidR="00294FB0" w:rsidRPr="00294FB0">
        <w:rPr>
          <w:rFonts w:ascii="Arial" w:hAnsi="Arial" w:cs="Arial"/>
          <w:color w:val="000000" w:themeColor="text1"/>
          <w:sz w:val="20"/>
          <w:szCs w:val="20"/>
        </w:rPr>
        <w:t>541</w:t>
      </w:r>
      <w:r w:rsidRPr="00294FB0">
        <w:rPr>
          <w:rFonts w:ascii="Arial" w:hAnsi="Arial" w:cs="Arial"/>
          <w:color w:val="000000" w:themeColor="text1"/>
          <w:sz w:val="20"/>
          <w:szCs w:val="20"/>
        </w:rPr>
        <w:t xml:space="preserve"> naročili v vrednosti </w:t>
      </w:r>
      <w:r w:rsidR="00294FB0" w:rsidRPr="00294FB0">
        <w:rPr>
          <w:rFonts w:ascii="Arial" w:hAnsi="Arial" w:cs="Arial"/>
          <w:color w:val="000000" w:themeColor="text1"/>
          <w:sz w:val="20"/>
          <w:szCs w:val="20"/>
        </w:rPr>
        <w:t xml:space="preserve">194.632.587 </w:t>
      </w:r>
      <w:r w:rsidRPr="00294FB0">
        <w:rPr>
          <w:rFonts w:ascii="Arial" w:hAnsi="Arial" w:cs="Arial"/>
          <w:color w:val="000000" w:themeColor="text1"/>
          <w:sz w:val="20"/>
          <w:szCs w:val="20"/>
        </w:rPr>
        <w:t>evrov in drugi naročniki (osebe javnega prava, javna podjetja, subjekt s posebnimi in</w:t>
      </w:r>
      <w:r w:rsidR="00CE15B6" w:rsidRPr="00294FB0">
        <w:rPr>
          <w:rFonts w:ascii="Arial" w:hAnsi="Arial" w:cs="Arial"/>
          <w:color w:val="000000" w:themeColor="text1"/>
          <w:sz w:val="20"/>
          <w:szCs w:val="20"/>
        </w:rPr>
        <w:t xml:space="preserve">frastrukturnimi pravicami) s </w:t>
      </w:r>
      <w:r w:rsidR="00294FB0" w:rsidRPr="00294FB0">
        <w:rPr>
          <w:rFonts w:ascii="Arial" w:hAnsi="Arial" w:cs="Arial"/>
          <w:color w:val="000000" w:themeColor="text1"/>
          <w:sz w:val="20"/>
          <w:szCs w:val="20"/>
        </w:rPr>
        <w:t>436</w:t>
      </w:r>
      <w:r w:rsidRPr="00294FB0">
        <w:rPr>
          <w:rFonts w:ascii="Arial" w:hAnsi="Arial" w:cs="Arial"/>
          <w:color w:val="000000" w:themeColor="text1"/>
          <w:sz w:val="20"/>
          <w:szCs w:val="20"/>
        </w:rPr>
        <w:t xml:space="preserve"> naročili v vrednosti </w:t>
      </w:r>
      <w:r w:rsidR="00294FB0" w:rsidRPr="00294FB0">
        <w:rPr>
          <w:rFonts w:ascii="Arial" w:hAnsi="Arial" w:cs="Arial"/>
          <w:color w:val="000000" w:themeColor="text1"/>
          <w:sz w:val="20"/>
          <w:szCs w:val="20"/>
        </w:rPr>
        <w:t xml:space="preserve">128.647.958 </w:t>
      </w:r>
      <w:r w:rsidRPr="00294FB0">
        <w:rPr>
          <w:rFonts w:ascii="Arial" w:hAnsi="Arial" w:cs="Arial"/>
          <w:color w:val="000000" w:themeColor="text1"/>
          <w:sz w:val="20"/>
          <w:szCs w:val="20"/>
        </w:rPr>
        <w:t>evrov. Organi R</w:t>
      </w:r>
      <w:r w:rsidR="00CE15B6" w:rsidRPr="00294FB0">
        <w:rPr>
          <w:rFonts w:ascii="Arial" w:hAnsi="Arial" w:cs="Arial"/>
          <w:color w:val="000000" w:themeColor="text1"/>
          <w:sz w:val="20"/>
          <w:szCs w:val="20"/>
        </w:rPr>
        <w:t>epublike Slovenije so oddali 3</w:t>
      </w:r>
      <w:r w:rsidR="00294FB0" w:rsidRPr="00294FB0">
        <w:rPr>
          <w:rFonts w:ascii="Arial" w:hAnsi="Arial" w:cs="Arial"/>
          <w:color w:val="000000" w:themeColor="text1"/>
          <w:sz w:val="20"/>
          <w:szCs w:val="20"/>
        </w:rPr>
        <w:t>06</w:t>
      </w:r>
      <w:r w:rsidRPr="00294FB0">
        <w:rPr>
          <w:rFonts w:ascii="Arial" w:hAnsi="Arial" w:cs="Arial"/>
          <w:color w:val="000000" w:themeColor="text1"/>
          <w:sz w:val="20"/>
          <w:szCs w:val="20"/>
        </w:rPr>
        <w:t xml:space="preserve"> zelenih naročil v vrednosti </w:t>
      </w:r>
      <w:r w:rsidR="00294FB0" w:rsidRPr="00294FB0">
        <w:rPr>
          <w:rFonts w:ascii="Arial" w:hAnsi="Arial" w:cs="Arial"/>
          <w:color w:val="000000" w:themeColor="text1"/>
          <w:sz w:val="20"/>
          <w:szCs w:val="20"/>
        </w:rPr>
        <w:t xml:space="preserve">51.774.693 </w:t>
      </w:r>
      <w:r w:rsidRPr="00294FB0">
        <w:rPr>
          <w:rFonts w:ascii="Arial" w:hAnsi="Arial" w:cs="Arial"/>
          <w:color w:val="000000" w:themeColor="text1"/>
          <w:sz w:val="20"/>
          <w:szCs w:val="20"/>
        </w:rPr>
        <w:t>evrov.</w:t>
      </w:r>
    </w:p>
    <w:p w14:paraId="70552238" w14:textId="2390D4AA" w:rsidR="00F513C9" w:rsidRPr="0043444C" w:rsidRDefault="002B74A3" w:rsidP="00CA253A">
      <w:pPr>
        <w:spacing w:line="360" w:lineRule="auto"/>
        <w:jc w:val="both"/>
        <w:rPr>
          <w:rFonts w:ascii="Arial" w:hAnsi="Arial" w:cs="Arial"/>
          <w:sz w:val="20"/>
          <w:szCs w:val="20"/>
        </w:rPr>
      </w:pPr>
      <w:r>
        <w:rPr>
          <w:rFonts w:ascii="Arial" w:hAnsi="Arial" w:cs="Arial"/>
          <w:sz w:val="20"/>
          <w:szCs w:val="20"/>
        </w:rPr>
        <w:t>Leta</w:t>
      </w:r>
      <w:r w:rsidR="006E455E" w:rsidRPr="0043444C">
        <w:rPr>
          <w:rFonts w:ascii="Arial" w:hAnsi="Arial" w:cs="Arial"/>
          <w:sz w:val="20"/>
          <w:szCs w:val="20"/>
        </w:rPr>
        <w:t xml:space="preserve"> 201</w:t>
      </w:r>
      <w:r w:rsidR="0043444C" w:rsidRPr="0043444C">
        <w:rPr>
          <w:rFonts w:ascii="Arial" w:hAnsi="Arial" w:cs="Arial"/>
          <w:sz w:val="20"/>
          <w:szCs w:val="20"/>
        </w:rPr>
        <w:t>8</w:t>
      </w:r>
      <w:r w:rsidR="006C0EB0" w:rsidRPr="0043444C">
        <w:rPr>
          <w:rFonts w:ascii="Arial" w:hAnsi="Arial" w:cs="Arial"/>
          <w:sz w:val="20"/>
          <w:szCs w:val="20"/>
        </w:rPr>
        <w:t xml:space="preserve"> je največ naročnikov, ki so oddali vsaj eno naročilo </w:t>
      </w:r>
      <w:r w:rsidR="00617E9A" w:rsidRPr="0043444C">
        <w:rPr>
          <w:rFonts w:ascii="Arial" w:hAnsi="Arial" w:cs="Arial"/>
          <w:sz w:val="20"/>
          <w:szCs w:val="20"/>
        </w:rPr>
        <w:t xml:space="preserve">z vključenimi </w:t>
      </w:r>
      <w:proofErr w:type="spellStart"/>
      <w:r w:rsidR="00617E9A" w:rsidRPr="0043444C">
        <w:rPr>
          <w:rFonts w:ascii="Arial" w:hAnsi="Arial" w:cs="Arial"/>
          <w:sz w:val="20"/>
          <w:szCs w:val="20"/>
        </w:rPr>
        <w:t>okoljskimi</w:t>
      </w:r>
      <w:proofErr w:type="spellEnd"/>
      <w:r w:rsidR="00617E9A" w:rsidRPr="0043444C">
        <w:rPr>
          <w:rFonts w:ascii="Arial" w:hAnsi="Arial" w:cs="Arial"/>
          <w:sz w:val="20"/>
          <w:szCs w:val="20"/>
        </w:rPr>
        <w:t xml:space="preserve"> vidiki</w:t>
      </w:r>
      <w:r w:rsidR="00410FB1" w:rsidRPr="0043444C">
        <w:rPr>
          <w:rFonts w:ascii="Arial" w:hAnsi="Arial" w:cs="Arial"/>
          <w:sz w:val="20"/>
          <w:szCs w:val="20"/>
        </w:rPr>
        <w:t>,</w:t>
      </w:r>
      <w:r w:rsidR="00617E9A" w:rsidRPr="0043444C">
        <w:rPr>
          <w:rFonts w:ascii="Arial" w:hAnsi="Arial" w:cs="Arial"/>
          <w:sz w:val="20"/>
          <w:szCs w:val="20"/>
        </w:rPr>
        <w:t xml:space="preserve"> </w:t>
      </w:r>
      <w:r w:rsidR="006C0EB0" w:rsidRPr="0043444C">
        <w:rPr>
          <w:rFonts w:ascii="Arial" w:hAnsi="Arial" w:cs="Arial"/>
          <w:sz w:val="20"/>
          <w:szCs w:val="20"/>
        </w:rPr>
        <w:t xml:space="preserve">iz </w:t>
      </w:r>
      <w:r w:rsidR="00325434" w:rsidRPr="0043444C">
        <w:rPr>
          <w:rFonts w:ascii="Arial" w:hAnsi="Arial" w:cs="Arial"/>
          <w:sz w:val="20"/>
          <w:szCs w:val="20"/>
        </w:rPr>
        <w:t>skupine</w:t>
      </w:r>
      <w:r w:rsidR="006C0EB0" w:rsidRPr="0043444C">
        <w:rPr>
          <w:rFonts w:ascii="Arial" w:hAnsi="Arial" w:cs="Arial"/>
          <w:sz w:val="20"/>
          <w:szCs w:val="20"/>
        </w:rPr>
        <w:t xml:space="preserve"> javni zavodi</w:t>
      </w:r>
      <w:r w:rsidR="006E455E" w:rsidRPr="0043444C">
        <w:rPr>
          <w:rFonts w:ascii="Arial" w:hAnsi="Arial" w:cs="Arial"/>
          <w:sz w:val="20"/>
          <w:szCs w:val="20"/>
        </w:rPr>
        <w:t xml:space="preserve">, in sicer </w:t>
      </w:r>
      <w:r w:rsidR="0043444C" w:rsidRPr="0043444C">
        <w:rPr>
          <w:rFonts w:ascii="Arial" w:hAnsi="Arial" w:cs="Arial"/>
          <w:sz w:val="20"/>
          <w:szCs w:val="20"/>
        </w:rPr>
        <w:t>415</w:t>
      </w:r>
      <w:r w:rsidR="006C0EB0" w:rsidRPr="0043444C">
        <w:rPr>
          <w:rFonts w:ascii="Arial" w:hAnsi="Arial" w:cs="Arial"/>
          <w:sz w:val="20"/>
          <w:szCs w:val="20"/>
        </w:rPr>
        <w:t xml:space="preserve">. V tej </w:t>
      </w:r>
      <w:r w:rsidR="00301627" w:rsidRPr="0043444C">
        <w:rPr>
          <w:rFonts w:ascii="Arial" w:hAnsi="Arial" w:cs="Arial"/>
          <w:sz w:val="20"/>
          <w:szCs w:val="20"/>
        </w:rPr>
        <w:t>skupini</w:t>
      </w:r>
      <w:r w:rsidR="006C0EB0" w:rsidRPr="0043444C">
        <w:rPr>
          <w:rFonts w:ascii="Arial" w:hAnsi="Arial" w:cs="Arial"/>
          <w:sz w:val="20"/>
          <w:szCs w:val="20"/>
        </w:rPr>
        <w:t xml:space="preserve"> je </w:t>
      </w:r>
      <w:r w:rsidR="00617E9A" w:rsidRPr="0043444C">
        <w:rPr>
          <w:rFonts w:ascii="Arial" w:hAnsi="Arial" w:cs="Arial"/>
          <w:sz w:val="20"/>
          <w:szCs w:val="20"/>
        </w:rPr>
        <w:t xml:space="preserve">tudi </w:t>
      </w:r>
      <w:r w:rsidR="006E455E" w:rsidRPr="0043444C">
        <w:rPr>
          <w:rFonts w:ascii="Arial" w:hAnsi="Arial" w:cs="Arial"/>
          <w:sz w:val="20"/>
          <w:szCs w:val="20"/>
        </w:rPr>
        <w:t>1</w:t>
      </w:r>
      <w:r w:rsidR="0043444C" w:rsidRPr="0043444C">
        <w:rPr>
          <w:rFonts w:ascii="Arial" w:hAnsi="Arial" w:cs="Arial"/>
          <w:sz w:val="20"/>
          <w:szCs w:val="20"/>
        </w:rPr>
        <w:t>47</w:t>
      </w:r>
      <w:r w:rsidR="006C0EB0" w:rsidRPr="0043444C">
        <w:rPr>
          <w:rFonts w:ascii="Arial" w:hAnsi="Arial" w:cs="Arial"/>
          <w:sz w:val="20"/>
          <w:szCs w:val="20"/>
        </w:rPr>
        <w:t xml:space="preserve"> naročnikov, ki so oddali vsaj eno naročilo, vendar </w:t>
      </w:r>
      <w:r w:rsidR="00617E9A" w:rsidRPr="0043444C">
        <w:rPr>
          <w:rFonts w:ascii="Arial" w:hAnsi="Arial" w:cs="Arial"/>
          <w:sz w:val="20"/>
          <w:szCs w:val="20"/>
        </w:rPr>
        <w:t xml:space="preserve">v nobenem niso bili upoštevani </w:t>
      </w:r>
      <w:proofErr w:type="spellStart"/>
      <w:r w:rsidR="00617E9A" w:rsidRPr="0043444C">
        <w:rPr>
          <w:rFonts w:ascii="Arial" w:hAnsi="Arial" w:cs="Arial"/>
          <w:sz w:val="20"/>
          <w:szCs w:val="20"/>
        </w:rPr>
        <w:t>okoljski</w:t>
      </w:r>
      <w:proofErr w:type="spellEnd"/>
      <w:r w:rsidR="00617E9A" w:rsidRPr="0043444C">
        <w:rPr>
          <w:rFonts w:ascii="Arial" w:hAnsi="Arial" w:cs="Arial"/>
          <w:sz w:val="20"/>
          <w:szCs w:val="20"/>
        </w:rPr>
        <w:t xml:space="preserve"> vidiki.</w:t>
      </w:r>
      <w:r w:rsidR="006C0EB0" w:rsidRPr="0043444C">
        <w:rPr>
          <w:rFonts w:ascii="Arial" w:hAnsi="Arial" w:cs="Arial"/>
          <w:sz w:val="20"/>
          <w:szCs w:val="20"/>
        </w:rPr>
        <w:t xml:space="preserve"> </w:t>
      </w:r>
    </w:p>
    <w:p w14:paraId="445CE4C6" w14:textId="55CF83D1" w:rsidR="00F83DD4" w:rsidRPr="0043444C" w:rsidRDefault="00F83DD4" w:rsidP="00701C10">
      <w:pPr>
        <w:spacing w:before="120" w:after="120" w:line="240" w:lineRule="auto"/>
        <w:jc w:val="both"/>
        <w:rPr>
          <w:rFonts w:ascii="Arial" w:hAnsi="Arial" w:cs="Arial"/>
          <w:sz w:val="20"/>
        </w:rPr>
      </w:pPr>
      <w:r w:rsidRPr="0043444C">
        <w:rPr>
          <w:rFonts w:ascii="Arial" w:hAnsi="Arial" w:cs="Arial"/>
          <w:sz w:val="20"/>
        </w:rPr>
        <w:t>Preglednica </w:t>
      </w:r>
      <w:r w:rsidR="008C1A77">
        <w:rPr>
          <w:rFonts w:ascii="Arial" w:hAnsi="Arial" w:cs="Arial"/>
          <w:sz w:val="20"/>
        </w:rPr>
        <w:t>61</w:t>
      </w:r>
      <w:r w:rsidRPr="0043444C">
        <w:rPr>
          <w:rFonts w:ascii="Arial" w:hAnsi="Arial" w:cs="Arial"/>
          <w:sz w:val="20"/>
        </w:rPr>
        <w:t xml:space="preserve">: Število naročnikov z oddanimi </w:t>
      </w:r>
      <w:r w:rsidR="00617E9A" w:rsidRPr="0043444C">
        <w:rPr>
          <w:rFonts w:ascii="Arial" w:hAnsi="Arial" w:cs="Arial"/>
          <w:sz w:val="20"/>
        </w:rPr>
        <w:t xml:space="preserve">naročili z upoštevanimi </w:t>
      </w:r>
      <w:proofErr w:type="spellStart"/>
      <w:r w:rsidR="00617E9A" w:rsidRPr="0043444C">
        <w:rPr>
          <w:rFonts w:ascii="Arial" w:hAnsi="Arial" w:cs="Arial"/>
          <w:sz w:val="20"/>
        </w:rPr>
        <w:t>okoljskimi</w:t>
      </w:r>
      <w:proofErr w:type="spellEnd"/>
      <w:r w:rsidR="00617E9A" w:rsidRPr="0043444C">
        <w:rPr>
          <w:rFonts w:ascii="Arial" w:hAnsi="Arial" w:cs="Arial"/>
          <w:sz w:val="20"/>
        </w:rPr>
        <w:t xml:space="preserve"> vidiki</w:t>
      </w:r>
      <w:r w:rsidRPr="0043444C">
        <w:rPr>
          <w:rFonts w:ascii="Arial" w:hAnsi="Arial" w:cs="Arial"/>
          <w:sz w:val="20"/>
        </w:rPr>
        <w:t xml:space="preserve"> glede na</w:t>
      </w:r>
      <w:r w:rsidR="009D69AF" w:rsidRPr="0043444C">
        <w:rPr>
          <w:rFonts w:ascii="Arial" w:hAnsi="Arial" w:cs="Arial"/>
          <w:sz w:val="20"/>
        </w:rPr>
        <w:t xml:space="preserve"> </w:t>
      </w:r>
      <w:r w:rsidR="00272F8F" w:rsidRPr="0043444C">
        <w:rPr>
          <w:rFonts w:ascii="Arial" w:hAnsi="Arial" w:cs="Arial"/>
          <w:sz w:val="20"/>
        </w:rPr>
        <w:t>kategorij</w:t>
      </w:r>
      <w:r w:rsidR="00301627" w:rsidRPr="0043444C">
        <w:rPr>
          <w:rFonts w:ascii="Arial" w:hAnsi="Arial" w:cs="Arial"/>
          <w:sz w:val="20"/>
        </w:rPr>
        <w:t>o</w:t>
      </w:r>
      <w:r w:rsidRPr="0043444C">
        <w:rPr>
          <w:rFonts w:ascii="Arial" w:hAnsi="Arial" w:cs="Arial"/>
          <w:sz w:val="20"/>
        </w:rPr>
        <w:t xml:space="preserve"> naročnika</w:t>
      </w:r>
    </w:p>
    <w:tbl>
      <w:tblPr>
        <w:tblW w:w="6663" w:type="dxa"/>
        <w:jc w:val="center"/>
        <w:tblCellMar>
          <w:left w:w="70" w:type="dxa"/>
          <w:right w:w="70" w:type="dxa"/>
        </w:tblCellMar>
        <w:tblLook w:val="04A0" w:firstRow="1" w:lastRow="0" w:firstColumn="1" w:lastColumn="0" w:noHBand="0" w:noVBand="1"/>
      </w:tblPr>
      <w:tblGrid>
        <w:gridCol w:w="2835"/>
        <w:gridCol w:w="1843"/>
        <w:gridCol w:w="1985"/>
      </w:tblGrid>
      <w:tr w:rsidR="006C0EB0" w:rsidRPr="0043444C" w14:paraId="51F9042F" w14:textId="77777777" w:rsidTr="00056EDD">
        <w:trPr>
          <w:trHeight w:val="720"/>
          <w:tblHeader/>
          <w:jc w:val="center"/>
        </w:trPr>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2CD6B64" w14:textId="317343F0" w:rsidR="006C0EB0" w:rsidRPr="0043444C" w:rsidRDefault="00272F8F" w:rsidP="00F513C9">
            <w:pPr>
              <w:spacing w:after="0" w:line="240" w:lineRule="auto"/>
              <w:jc w:val="center"/>
              <w:rPr>
                <w:rFonts w:ascii="Arial" w:eastAsia="Times New Roman" w:hAnsi="Arial" w:cs="Arial"/>
                <w:sz w:val="18"/>
                <w:szCs w:val="18"/>
                <w:lang w:eastAsia="sl-SI"/>
              </w:rPr>
            </w:pPr>
            <w:r w:rsidRPr="0043444C">
              <w:rPr>
                <w:rFonts w:ascii="Arial" w:eastAsia="Times New Roman" w:hAnsi="Arial" w:cs="Arial"/>
                <w:sz w:val="18"/>
                <w:szCs w:val="18"/>
                <w:lang w:eastAsia="sl-SI"/>
              </w:rPr>
              <w:t>Kategorij</w:t>
            </w:r>
            <w:r w:rsidR="00301627" w:rsidRPr="0043444C">
              <w:rPr>
                <w:rFonts w:ascii="Arial" w:eastAsia="Times New Roman" w:hAnsi="Arial" w:cs="Arial"/>
                <w:sz w:val="18"/>
                <w:szCs w:val="18"/>
                <w:lang w:eastAsia="sl-SI"/>
              </w:rPr>
              <w:t>a</w:t>
            </w:r>
            <w:r w:rsidR="006C0EB0" w:rsidRPr="0043444C">
              <w:rPr>
                <w:rFonts w:ascii="Arial" w:eastAsia="Times New Roman" w:hAnsi="Arial" w:cs="Arial"/>
                <w:sz w:val="18"/>
                <w:szCs w:val="18"/>
                <w:lang w:eastAsia="sl-SI"/>
              </w:rPr>
              <w:t xml:space="preserve"> naročnika</w:t>
            </w:r>
          </w:p>
        </w:tc>
        <w:tc>
          <w:tcPr>
            <w:tcW w:w="18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D9D885C" w14:textId="07E29DDD" w:rsidR="006C0EB0" w:rsidRPr="0043444C" w:rsidRDefault="006C0EB0" w:rsidP="00F513C9">
            <w:pPr>
              <w:spacing w:after="0" w:line="240" w:lineRule="auto"/>
              <w:jc w:val="center"/>
              <w:rPr>
                <w:rFonts w:ascii="Arial" w:eastAsia="Times New Roman" w:hAnsi="Arial" w:cs="Arial"/>
                <w:sz w:val="18"/>
                <w:szCs w:val="18"/>
                <w:lang w:eastAsia="sl-SI"/>
              </w:rPr>
            </w:pPr>
            <w:r w:rsidRPr="0043444C">
              <w:rPr>
                <w:rFonts w:ascii="Arial" w:eastAsia="Times New Roman" w:hAnsi="Arial" w:cs="Arial"/>
                <w:sz w:val="18"/>
                <w:szCs w:val="18"/>
                <w:lang w:eastAsia="sl-SI"/>
              </w:rPr>
              <w:t>Št. naročnikov, ki so oddali vsaj eno zeleno naročilo</w:t>
            </w:r>
          </w:p>
        </w:tc>
        <w:tc>
          <w:tcPr>
            <w:tcW w:w="198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F8511A1" w14:textId="346032F1" w:rsidR="006C0EB0" w:rsidRPr="0043444C" w:rsidRDefault="006C0EB0" w:rsidP="00F513C9">
            <w:pPr>
              <w:spacing w:after="0" w:line="240" w:lineRule="auto"/>
              <w:jc w:val="center"/>
              <w:rPr>
                <w:rFonts w:ascii="Arial" w:eastAsia="Times New Roman" w:hAnsi="Arial" w:cs="Arial"/>
                <w:sz w:val="18"/>
                <w:szCs w:val="18"/>
                <w:lang w:eastAsia="sl-SI"/>
              </w:rPr>
            </w:pPr>
            <w:r w:rsidRPr="0043444C">
              <w:rPr>
                <w:rFonts w:ascii="Arial" w:eastAsia="Times New Roman" w:hAnsi="Arial" w:cs="Arial"/>
                <w:sz w:val="18"/>
                <w:szCs w:val="18"/>
                <w:lang w:eastAsia="sl-SI"/>
              </w:rPr>
              <w:t>Št. naročnikov, ki so oddali vsaj eno naročilo, a nobeno ni bilo zeleno</w:t>
            </w:r>
          </w:p>
        </w:tc>
      </w:tr>
      <w:tr w:rsidR="002D2D76" w:rsidRPr="0043444C" w14:paraId="3708315E"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9226D25" w14:textId="0FABC26D"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Organi RS</w:t>
            </w:r>
          </w:p>
        </w:tc>
        <w:tc>
          <w:tcPr>
            <w:tcW w:w="1843" w:type="dxa"/>
            <w:tcBorders>
              <w:top w:val="nil"/>
              <w:left w:val="nil"/>
              <w:bottom w:val="single" w:sz="4" w:space="0" w:color="auto"/>
              <w:right w:val="single" w:sz="4" w:space="0" w:color="auto"/>
            </w:tcBorders>
            <w:shd w:val="clear" w:color="auto" w:fill="auto"/>
            <w:vAlign w:val="center"/>
            <w:hideMark/>
          </w:tcPr>
          <w:p w14:paraId="18C1F7C4" w14:textId="4C7DD20F"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38</w:t>
            </w:r>
          </w:p>
        </w:tc>
        <w:tc>
          <w:tcPr>
            <w:tcW w:w="1985" w:type="dxa"/>
            <w:tcBorders>
              <w:top w:val="nil"/>
              <w:left w:val="nil"/>
              <w:bottom w:val="single" w:sz="4" w:space="0" w:color="auto"/>
              <w:right w:val="single" w:sz="4" w:space="0" w:color="auto"/>
            </w:tcBorders>
            <w:shd w:val="clear" w:color="auto" w:fill="auto"/>
            <w:vAlign w:val="center"/>
            <w:hideMark/>
          </w:tcPr>
          <w:p w14:paraId="644ACD14" w14:textId="4D6307F6"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31</w:t>
            </w:r>
          </w:p>
        </w:tc>
      </w:tr>
      <w:tr w:rsidR="002D2D76" w:rsidRPr="0043444C" w14:paraId="060E574C"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5AAE60" w14:textId="2BD7AF5D"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Samoupravne lokalne skupnosti</w:t>
            </w:r>
          </w:p>
        </w:tc>
        <w:tc>
          <w:tcPr>
            <w:tcW w:w="1843" w:type="dxa"/>
            <w:tcBorders>
              <w:top w:val="nil"/>
              <w:left w:val="nil"/>
              <w:bottom w:val="single" w:sz="4" w:space="0" w:color="auto"/>
              <w:right w:val="single" w:sz="4" w:space="0" w:color="auto"/>
            </w:tcBorders>
            <w:shd w:val="clear" w:color="auto" w:fill="auto"/>
            <w:vAlign w:val="center"/>
            <w:hideMark/>
          </w:tcPr>
          <w:p w14:paraId="41E080CD" w14:textId="750E9EDD"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126</w:t>
            </w:r>
          </w:p>
        </w:tc>
        <w:tc>
          <w:tcPr>
            <w:tcW w:w="1985" w:type="dxa"/>
            <w:tcBorders>
              <w:top w:val="nil"/>
              <w:left w:val="nil"/>
              <w:bottom w:val="single" w:sz="4" w:space="0" w:color="auto"/>
              <w:right w:val="single" w:sz="4" w:space="0" w:color="auto"/>
            </w:tcBorders>
            <w:shd w:val="clear" w:color="auto" w:fill="auto"/>
            <w:vAlign w:val="center"/>
            <w:hideMark/>
          </w:tcPr>
          <w:p w14:paraId="5CBA0FD6" w14:textId="662A1B8A"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74</w:t>
            </w:r>
          </w:p>
        </w:tc>
      </w:tr>
      <w:tr w:rsidR="002D2D76" w:rsidRPr="0043444C" w14:paraId="0861E74A"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F37C078" w14:textId="5B54CDF9"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Javni skladi</w:t>
            </w:r>
          </w:p>
        </w:tc>
        <w:tc>
          <w:tcPr>
            <w:tcW w:w="1843" w:type="dxa"/>
            <w:tcBorders>
              <w:top w:val="nil"/>
              <w:left w:val="nil"/>
              <w:bottom w:val="single" w:sz="4" w:space="0" w:color="auto"/>
              <w:right w:val="single" w:sz="4" w:space="0" w:color="auto"/>
            </w:tcBorders>
            <w:shd w:val="clear" w:color="auto" w:fill="auto"/>
            <w:vAlign w:val="center"/>
            <w:hideMark/>
          </w:tcPr>
          <w:p w14:paraId="48DFAED5" w14:textId="62E3FA91"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4</w:t>
            </w:r>
          </w:p>
        </w:tc>
        <w:tc>
          <w:tcPr>
            <w:tcW w:w="1985" w:type="dxa"/>
            <w:tcBorders>
              <w:top w:val="nil"/>
              <w:left w:val="nil"/>
              <w:bottom w:val="single" w:sz="4" w:space="0" w:color="auto"/>
              <w:right w:val="single" w:sz="4" w:space="0" w:color="auto"/>
            </w:tcBorders>
            <w:shd w:val="clear" w:color="auto" w:fill="auto"/>
            <w:vAlign w:val="center"/>
            <w:hideMark/>
          </w:tcPr>
          <w:p w14:paraId="4843094E" w14:textId="155BCF0E"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4</w:t>
            </w:r>
          </w:p>
        </w:tc>
      </w:tr>
      <w:tr w:rsidR="002D2D76" w:rsidRPr="0043444C" w14:paraId="26780E8B"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F2C9D1" w14:textId="3AD54144"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Javne agencije</w:t>
            </w:r>
          </w:p>
        </w:tc>
        <w:tc>
          <w:tcPr>
            <w:tcW w:w="1843" w:type="dxa"/>
            <w:tcBorders>
              <w:top w:val="nil"/>
              <w:left w:val="nil"/>
              <w:bottom w:val="single" w:sz="4" w:space="0" w:color="auto"/>
              <w:right w:val="single" w:sz="4" w:space="0" w:color="auto"/>
            </w:tcBorders>
            <w:shd w:val="clear" w:color="auto" w:fill="auto"/>
            <w:vAlign w:val="center"/>
            <w:hideMark/>
          </w:tcPr>
          <w:p w14:paraId="333518CA" w14:textId="2305E2B5"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4</w:t>
            </w:r>
          </w:p>
        </w:tc>
        <w:tc>
          <w:tcPr>
            <w:tcW w:w="1985" w:type="dxa"/>
            <w:tcBorders>
              <w:top w:val="nil"/>
              <w:left w:val="nil"/>
              <w:bottom w:val="single" w:sz="4" w:space="0" w:color="auto"/>
              <w:right w:val="single" w:sz="4" w:space="0" w:color="auto"/>
            </w:tcBorders>
            <w:shd w:val="clear" w:color="auto" w:fill="auto"/>
            <w:vAlign w:val="center"/>
            <w:hideMark/>
          </w:tcPr>
          <w:p w14:paraId="1704CA43" w14:textId="5877352C"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6</w:t>
            </w:r>
          </w:p>
        </w:tc>
      </w:tr>
      <w:tr w:rsidR="002D2D76" w:rsidRPr="0043444C" w14:paraId="3FA89063"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D2C4A2" w14:textId="1B582318"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Javni zavodi</w:t>
            </w:r>
          </w:p>
        </w:tc>
        <w:tc>
          <w:tcPr>
            <w:tcW w:w="1843" w:type="dxa"/>
            <w:tcBorders>
              <w:top w:val="nil"/>
              <w:left w:val="nil"/>
              <w:bottom w:val="single" w:sz="4" w:space="0" w:color="auto"/>
              <w:right w:val="single" w:sz="4" w:space="0" w:color="auto"/>
            </w:tcBorders>
            <w:shd w:val="clear" w:color="auto" w:fill="auto"/>
            <w:vAlign w:val="center"/>
            <w:hideMark/>
          </w:tcPr>
          <w:p w14:paraId="3ECE6866" w14:textId="58264A07"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415</w:t>
            </w:r>
          </w:p>
        </w:tc>
        <w:tc>
          <w:tcPr>
            <w:tcW w:w="1985" w:type="dxa"/>
            <w:tcBorders>
              <w:top w:val="nil"/>
              <w:left w:val="nil"/>
              <w:bottom w:val="single" w:sz="4" w:space="0" w:color="auto"/>
              <w:right w:val="single" w:sz="4" w:space="0" w:color="auto"/>
            </w:tcBorders>
            <w:shd w:val="clear" w:color="auto" w:fill="auto"/>
            <w:vAlign w:val="center"/>
            <w:hideMark/>
          </w:tcPr>
          <w:p w14:paraId="0F87D9F7" w14:textId="32990B45"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147</w:t>
            </w:r>
          </w:p>
        </w:tc>
      </w:tr>
      <w:tr w:rsidR="002D2D76" w:rsidRPr="0043444C" w14:paraId="6D3C74A4"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0B7EC3F" w14:textId="1FDE9476"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Javni gospodarski zavodi</w:t>
            </w:r>
          </w:p>
        </w:tc>
        <w:tc>
          <w:tcPr>
            <w:tcW w:w="1843" w:type="dxa"/>
            <w:tcBorders>
              <w:top w:val="nil"/>
              <w:left w:val="nil"/>
              <w:bottom w:val="single" w:sz="4" w:space="0" w:color="auto"/>
              <w:right w:val="single" w:sz="4" w:space="0" w:color="auto"/>
            </w:tcBorders>
            <w:shd w:val="clear" w:color="auto" w:fill="auto"/>
            <w:vAlign w:val="center"/>
            <w:hideMark/>
          </w:tcPr>
          <w:p w14:paraId="6AEF1542" w14:textId="5066648E"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8</w:t>
            </w:r>
          </w:p>
        </w:tc>
        <w:tc>
          <w:tcPr>
            <w:tcW w:w="1985" w:type="dxa"/>
            <w:tcBorders>
              <w:top w:val="nil"/>
              <w:left w:val="nil"/>
              <w:bottom w:val="single" w:sz="4" w:space="0" w:color="auto"/>
              <w:right w:val="single" w:sz="4" w:space="0" w:color="auto"/>
            </w:tcBorders>
            <w:shd w:val="clear" w:color="auto" w:fill="auto"/>
            <w:vAlign w:val="center"/>
            <w:hideMark/>
          </w:tcPr>
          <w:p w14:paraId="710F8626" w14:textId="5D901206"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3</w:t>
            </w:r>
          </w:p>
        </w:tc>
      </w:tr>
      <w:tr w:rsidR="002D2D76" w:rsidRPr="0043444C" w14:paraId="01743E67"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353B815" w14:textId="400922FF" w:rsidR="002D2D76" w:rsidRPr="0043444C" w:rsidRDefault="002D2D76" w:rsidP="002D2D76">
            <w:pPr>
              <w:spacing w:after="0" w:line="240" w:lineRule="auto"/>
              <w:rPr>
                <w:rFonts w:ascii="Arial" w:eastAsia="Times New Roman" w:hAnsi="Arial" w:cs="Arial"/>
                <w:sz w:val="18"/>
                <w:szCs w:val="18"/>
                <w:lang w:eastAsia="sl-SI"/>
              </w:rPr>
            </w:pPr>
            <w:r w:rsidRPr="0043444C">
              <w:rPr>
                <w:rFonts w:ascii="Arial" w:eastAsia="Times New Roman" w:hAnsi="Arial" w:cs="Arial"/>
                <w:sz w:val="18"/>
                <w:szCs w:val="18"/>
                <w:lang w:eastAsia="sl-SI"/>
              </w:rPr>
              <w:t>Drugi naročniki (osebe javnega prava, javna podjetja, subjekt s posebnimi infrastrukturnimi pravicami)</w:t>
            </w:r>
          </w:p>
        </w:tc>
        <w:tc>
          <w:tcPr>
            <w:tcW w:w="1843" w:type="dxa"/>
            <w:tcBorders>
              <w:top w:val="nil"/>
              <w:left w:val="nil"/>
              <w:bottom w:val="single" w:sz="4" w:space="0" w:color="auto"/>
              <w:right w:val="single" w:sz="4" w:space="0" w:color="auto"/>
            </w:tcBorders>
            <w:shd w:val="clear" w:color="auto" w:fill="auto"/>
            <w:vAlign w:val="center"/>
            <w:hideMark/>
          </w:tcPr>
          <w:p w14:paraId="7DC9C4E2" w14:textId="3DE5A89C"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82</w:t>
            </w:r>
          </w:p>
        </w:tc>
        <w:tc>
          <w:tcPr>
            <w:tcW w:w="1985" w:type="dxa"/>
            <w:tcBorders>
              <w:top w:val="nil"/>
              <w:left w:val="nil"/>
              <w:bottom w:val="single" w:sz="4" w:space="0" w:color="auto"/>
              <w:right w:val="single" w:sz="4" w:space="0" w:color="auto"/>
            </w:tcBorders>
            <w:shd w:val="clear" w:color="auto" w:fill="auto"/>
            <w:vAlign w:val="center"/>
            <w:hideMark/>
          </w:tcPr>
          <w:p w14:paraId="40930857" w14:textId="53FF8720"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52</w:t>
            </w:r>
          </w:p>
        </w:tc>
      </w:tr>
      <w:tr w:rsidR="002D2D76" w:rsidRPr="0043444C" w14:paraId="0CC0B29E" w14:textId="77777777" w:rsidTr="002D2D76">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38AAFEF" w14:textId="699A053A" w:rsidR="002D2D76" w:rsidRPr="0043444C" w:rsidRDefault="002D2D76" w:rsidP="002D2D76">
            <w:pPr>
              <w:spacing w:after="0" w:line="240" w:lineRule="auto"/>
              <w:jc w:val="both"/>
              <w:rPr>
                <w:rFonts w:ascii="Arial" w:eastAsia="Times New Roman" w:hAnsi="Arial" w:cs="Arial"/>
                <w:sz w:val="18"/>
                <w:szCs w:val="18"/>
                <w:lang w:eastAsia="sl-SI"/>
              </w:rPr>
            </w:pPr>
            <w:r w:rsidRPr="0043444C">
              <w:rPr>
                <w:rFonts w:ascii="Arial" w:eastAsia="Times New Roman" w:hAnsi="Arial" w:cs="Arial"/>
                <w:sz w:val="18"/>
                <w:szCs w:val="18"/>
                <w:lang w:eastAsia="sl-SI"/>
              </w:rPr>
              <w:t>Razni subjekti</w:t>
            </w:r>
          </w:p>
        </w:tc>
        <w:tc>
          <w:tcPr>
            <w:tcW w:w="1843" w:type="dxa"/>
            <w:tcBorders>
              <w:top w:val="nil"/>
              <w:left w:val="nil"/>
              <w:bottom w:val="single" w:sz="4" w:space="0" w:color="auto"/>
              <w:right w:val="single" w:sz="4" w:space="0" w:color="auto"/>
            </w:tcBorders>
            <w:shd w:val="clear" w:color="auto" w:fill="auto"/>
            <w:vAlign w:val="center"/>
            <w:hideMark/>
          </w:tcPr>
          <w:p w14:paraId="5A8C5EB5" w14:textId="6509379A"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7</w:t>
            </w:r>
          </w:p>
        </w:tc>
        <w:tc>
          <w:tcPr>
            <w:tcW w:w="1985" w:type="dxa"/>
            <w:tcBorders>
              <w:top w:val="nil"/>
              <w:left w:val="nil"/>
              <w:bottom w:val="single" w:sz="4" w:space="0" w:color="auto"/>
              <w:right w:val="single" w:sz="4" w:space="0" w:color="auto"/>
            </w:tcBorders>
            <w:shd w:val="clear" w:color="auto" w:fill="auto"/>
            <w:vAlign w:val="center"/>
            <w:hideMark/>
          </w:tcPr>
          <w:p w14:paraId="561A26DC" w14:textId="7CF176FE" w:rsidR="002D2D76" w:rsidRPr="0043444C" w:rsidRDefault="002D2D76" w:rsidP="002D2D76">
            <w:pPr>
              <w:spacing w:after="0" w:line="240" w:lineRule="auto"/>
              <w:jc w:val="right"/>
              <w:rPr>
                <w:rFonts w:ascii="Arial" w:eastAsia="Times New Roman" w:hAnsi="Arial" w:cs="Arial"/>
                <w:sz w:val="18"/>
                <w:szCs w:val="18"/>
                <w:lang w:eastAsia="sl-SI"/>
              </w:rPr>
            </w:pPr>
            <w:r w:rsidRPr="0043444C">
              <w:rPr>
                <w:rFonts w:ascii="Arial" w:hAnsi="Arial" w:cs="Arial"/>
                <w:sz w:val="18"/>
                <w:szCs w:val="18"/>
              </w:rPr>
              <w:t>40</w:t>
            </w:r>
          </w:p>
        </w:tc>
      </w:tr>
      <w:tr w:rsidR="002D2D76" w:rsidRPr="0043444C" w14:paraId="0EC8124A" w14:textId="77777777" w:rsidTr="00F32FF4">
        <w:trPr>
          <w:trHeight w:val="284"/>
          <w:jc w:val="center"/>
        </w:trPr>
        <w:tc>
          <w:tcPr>
            <w:tcW w:w="2835" w:type="dxa"/>
            <w:tcBorders>
              <w:top w:val="nil"/>
              <w:left w:val="single" w:sz="4" w:space="0" w:color="auto"/>
              <w:bottom w:val="single" w:sz="4" w:space="0" w:color="auto"/>
              <w:right w:val="single" w:sz="4" w:space="0" w:color="auto"/>
            </w:tcBorders>
            <w:shd w:val="clear" w:color="auto" w:fill="E7E6E6" w:themeFill="background2"/>
            <w:vAlign w:val="center"/>
            <w:hideMark/>
          </w:tcPr>
          <w:p w14:paraId="5790FD3C" w14:textId="1DEA1F46" w:rsidR="002D2D76" w:rsidRPr="0043444C" w:rsidRDefault="002D2D76" w:rsidP="002D2D76">
            <w:pPr>
              <w:spacing w:after="0" w:line="240" w:lineRule="auto"/>
              <w:jc w:val="both"/>
              <w:rPr>
                <w:rFonts w:ascii="Arial" w:eastAsia="Times New Roman" w:hAnsi="Arial" w:cs="Arial"/>
                <w:b/>
                <w:bCs/>
                <w:sz w:val="18"/>
                <w:szCs w:val="18"/>
                <w:lang w:eastAsia="sl-SI"/>
              </w:rPr>
            </w:pPr>
            <w:r w:rsidRPr="0043444C">
              <w:rPr>
                <w:rFonts w:ascii="Arial" w:eastAsia="Times New Roman" w:hAnsi="Arial" w:cs="Arial"/>
                <w:b/>
                <w:bCs/>
                <w:sz w:val="18"/>
                <w:szCs w:val="18"/>
                <w:lang w:eastAsia="sl-SI"/>
              </w:rPr>
              <w:t>Skupaj</w:t>
            </w:r>
          </w:p>
        </w:tc>
        <w:tc>
          <w:tcPr>
            <w:tcW w:w="1843" w:type="dxa"/>
            <w:tcBorders>
              <w:top w:val="nil"/>
              <w:left w:val="nil"/>
              <w:bottom w:val="single" w:sz="4" w:space="0" w:color="auto"/>
              <w:right w:val="single" w:sz="4" w:space="0" w:color="auto"/>
            </w:tcBorders>
            <w:shd w:val="clear" w:color="auto" w:fill="E7E6E6" w:themeFill="background2"/>
            <w:vAlign w:val="center"/>
            <w:hideMark/>
          </w:tcPr>
          <w:p w14:paraId="704FDC95" w14:textId="7566F69A" w:rsidR="002D2D76" w:rsidRPr="00F32FF4" w:rsidRDefault="002D2D76" w:rsidP="002D2D76">
            <w:pPr>
              <w:spacing w:after="0" w:line="240" w:lineRule="auto"/>
              <w:jc w:val="right"/>
              <w:rPr>
                <w:rFonts w:ascii="Arial" w:eastAsia="Times New Roman" w:hAnsi="Arial" w:cs="Arial"/>
                <w:b/>
                <w:bCs/>
                <w:sz w:val="18"/>
                <w:szCs w:val="18"/>
                <w:lang w:eastAsia="sl-SI"/>
              </w:rPr>
            </w:pPr>
            <w:r w:rsidRPr="00F32FF4">
              <w:rPr>
                <w:rFonts w:ascii="Arial" w:hAnsi="Arial" w:cs="Arial"/>
                <w:b/>
                <w:sz w:val="18"/>
                <w:szCs w:val="18"/>
              </w:rPr>
              <w:t>684</w:t>
            </w:r>
          </w:p>
        </w:tc>
        <w:tc>
          <w:tcPr>
            <w:tcW w:w="1985" w:type="dxa"/>
            <w:tcBorders>
              <w:top w:val="nil"/>
              <w:left w:val="nil"/>
              <w:bottom w:val="single" w:sz="4" w:space="0" w:color="auto"/>
              <w:right w:val="single" w:sz="4" w:space="0" w:color="auto"/>
            </w:tcBorders>
            <w:shd w:val="clear" w:color="auto" w:fill="E7E6E6" w:themeFill="background2"/>
            <w:vAlign w:val="center"/>
            <w:hideMark/>
          </w:tcPr>
          <w:p w14:paraId="42CE2EA6" w14:textId="0EA64174" w:rsidR="002D2D76" w:rsidRPr="00F32FF4" w:rsidRDefault="002D2D76" w:rsidP="002D2D76">
            <w:pPr>
              <w:spacing w:after="0" w:line="240" w:lineRule="auto"/>
              <w:jc w:val="right"/>
              <w:rPr>
                <w:rFonts w:ascii="Arial" w:eastAsia="Times New Roman" w:hAnsi="Arial" w:cs="Arial"/>
                <w:b/>
                <w:bCs/>
                <w:sz w:val="18"/>
                <w:szCs w:val="18"/>
                <w:lang w:eastAsia="sl-SI"/>
              </w:rPr>
            </w:pPr>
            <w:r w:rsidRPr="00F32FF4">
              <w:rPr>
                <w:rFonts w:ascii="Arial" w:hAnsi="Arial" w:cs="Arial"/>
                <w:b/>
                <w:sz w:val="18"/>
                <w:szCs w:val="18"/>
              </w:rPr>
              <w:t>357</w:t>
            </w:r>
          </w:p>
        </w:tc>
      </w:tr>
    </w:tbl>
    <w:p w14:paraId="0C5F7B0B" w14:textId="77777777" w:rsidR="00F513C9" w:rsidRPr="0043444C" w:rsidRDefault="00F513C9" w:rsidP="004A613D">
      <w:pPr>
        <w:spacing w:after="0" w:line="240" w:lineRule="auto"/>
        <w:jc w:val="center"/>
        <w:rPr>
          <w:rStyle w:val="Naslov2Znak"/>
          <w:rFonts w:ascii="Arial" w:hAnsi="Arial" w:cs="Arial"/>
          <w:b/>
          <w:color w:val="auto"/>
          <w:sz w:val="20"/>
          <w:szCs w:val="20"/>
        </w:rPr>
      </w:pPr>
    </w:p>
    <w:p w14:paraId="5618DBF3" w14:textId="4A71D51A" w:rsidR="00915080" w:rsidRPr="0043444C" w:rsidRDefault="00881EA7" w:rsidP="004E44C4">
      <w:pPr>
        <w:spacing w:after="240" w:line="240" w:lineRule="auto"/>
        <w:jc w:val="center"/>
        <w:rPr>
          <w:rFonts w:ascii="Arial" w:hAnsi="Arial" w:cs="Arial"/>
          <w:sz w:val="18"/>
        </w:rPr>
      </w:pPr>
      <w:r w:rsidRPr="0043444C">
        <w:rPr>
          <w:rFonts w:ascii="Arial" w:hAnsi="Arial" w:cs="Arial"/>
          <w:sz w:val="18"/>
        </w:rPr>
        <w:t xml:space="preserve">Vir: Statistični podatki o javnih </w:t>
      </w:r>
      <w:r w:rsidR="003B3059" w:rsidRPr="0043444C">
        <w:rPr>
          <w:rFonts w:ascii="Arial" w:hAnsi="Arial" w:cs="Arial"/>
          <w:sz w:val="18"/>
        </w:rPr>
        <w:t>naročilih, oddanih v letu 201</w:t>
      </w:r>
      <w:r w:rsidR="002D2D76" w:rsidRPr="0043444C">
        <w:rPr>
          <w:rFonts w:ascii="Arial" w:hAnsi="Arial" w:cs="Arial"/>
          <w:sz w:val="18"/>
        </w:rPr>
        <w:t>8</w:t>
      </w:r>
    </w:p>
    <w:p w14:paraId="7005FBBF" w14:textId="174A5561" w:rsidR="005C6424" w:rsidRPr="006C2F0A" w:rsidRDefault="005C6424" w:rsidP="005C6424">
      <w:pPr>
        <w:pStyle w:val="Naslov2"/>
        <w:rPr>
          <w:rFonts w:ascii="Arial" w:hAnsi="Arial" w:cs="Arial"/>
          <w:szCs w:val="20"/>
        </w:rPr>
      </w:pPr>
      <w:bookmarkStart w:id="42" w:name="_Toc17114079"/>
      <w:r w:rsidRPr="006C2F0A">
        <w:rPr>
          <w:rFonts w:ascii="Arial" w:hAnsi="Arial" w:cs="Arial"/>
          <w:sz w:val="22"/>
          <w:szCs w:val="22"/>
        </w:rPr>
        <w:lastRenderedPageBreak/>
        <w:t>2.10.</w:t>
      </w:r>
      <w:r w:rsidR="00731C4D" w:rsidRPr="006C2F0A">
        <w:rPr>
          <w:rFonts w:ascii="Arial" w:hAnsi="Arial" w:cs="Arial"/>
          <w:sz w:val="22"/>
          <w:szCs w:val="22"/>
        </w:rPr>
        <w:t>2</w:t>
      </w:r>
      <w:r w:rsidRPr="006C2F0A">
        <w:rPr>
          <w:rFonts w:ascii="Arial" w:hAnsi="Arial" w:cs="Arial"/>
          <w:sz w:val="22"/>
          <w:szCs w:val="22"/>
        </w:rPr>
        <w:t xml:space="preserve"> </w:t>
      </w:r>
      <w:r w:rsidR="004B2D1D" w:rsidRPr="006C2F0A">
        <w:rPr>
          <w:rFonts w:ascii="Arial" w:hAnsi="Arial" w:cs="Arial"/>
          <w:sz w:val="22"/>
          <w:szCs w:val="22"/>
        </w:rPr>
        <w:t>Družbeno odgovorno javno naročanje</w:t>
      </w:r>
      <w:bookmarkEnd w:id="42"/>
      <w:r w:rsidR="00731C4D" w:rsidRPr="006C2F0A">
        <w:rPr>
          <w:rFonts w:ascii="Arial" w:hAnsi="Arial" w:cs="Arial"/>
          <w:sz w:val="22"/>
          <w:szCs w:val="22"/>
        </w:rPr>
        <w:t xml:space="preserve"> </w:t>
      </w:r>
    </w:p>
    <w:p w14:paraId="3097B843" w14:textId="77777777" w:rsidR="00806D8E" w:rsidRPr="006C2F0A" w:rsidRDefault="00806D8E" w:rsidP="00854405">
      <w:pPr>
        <w:pStyle w:val="ZADEVA"/>
        <w:jc w:val="both"/>
        <w:rPr>
          <w:rFonts w:cs="Arial"/>
          <w:b w:val="0"/>
          <w:szCs w:val="20"/>
          <w:lang w:val="sl-SI"/>
        </w:rPr>
      </w:pPr>
    </w:p>
    <w:p w14:paraId="237BB04D" w14:textId="295AEB45" w:rsidR="007F3DED" w:rsidRPr="001842DF" w:rsidRDefault="005522FF" w:rsidP="007F3DED">
      <w:pPr>
        <w:spacing w:line="360" w:lineRule="auto"/>
        <w:jc w:val="both"/>
        <w:rPr>
          <w:rFonts w:ascii="Arial" w:hAnsi="Arial" w:cs="Arial"/>
          <w:color w:val="000000" w:themeColor="text1"/>
          <w:sz w:val="20"/>
          <w:szCs w:val="20"/>
        </w:rPr>
      </w:pPr>
      <w:r>
        <w:rPr>
          <w:rFonts w:ascii="Arial" w:hAnsi="Arial" w:cs="Arial"/>
          <w:sz w:val="20"/>
          <w:szCs w:val="20"/>
        </w:rPr>
        <w:t>Leta</w:t>
      </w:r>
      <w:r w:rsidR="00341176" w:rsidRPr="006C2F0A">
        <w:rPr>
          <w:rFonts w:ascii="Arial" w:hAnsi="Arial" w:cs="Arial"/>
          <w:sz w:val="20"/>
          <w:szCs w:val="20"/>
        </w:rPr>
        <w:t xml:space="preserve"> 201</w:t>
      </w:r>
      <w:r w:rsidR="006C2F0A" w:rsidRPr="006C2F0A">
        <w:rPr>
          <w:rFonts w:ascii="Arial" w:hAnsi="Arial" w:cs="Arial"/>
          <w:sz w:val="20"/>
          <w:szCs w:val="20"/>
        </w:rPr>
        <w:t>8</w:t>
      </w:r>
      <w:r w:rsidR="00341176" w:rsidRPr="006C2F0A">
        <w:rPr>
          <w:rFonts w:ascii="Arial" w:hAnsi="Arial" w:cs="Arial"/>
          <w:sz w:val="20"/>
          <w:szCs w:val="20"/>
        </w:rPr>
        <w:t xml:space="preserve"> je bilo oddanih 2</w:t>
      </w:r>
      <w:r w:rsidR="006C2F0A" w:rsidRPr="006C2F0A">
        <w:rPr>
          <w:rFonts w:ascii="Arial" w:hAnsi="Arial" w:cs="Arial"/>
          <w:sz w:val="20"/>
          <w:szCs w:val="20"/>
        </w:rPr>
        <w:t>518</w:t>
      </w:r>
      <w:r w:rsidR="007F3DED" w:rsidRPr="006C2F0A">
        <w:rPr>
          <w:rFonts w:ascii="Arial" w:hAnsi="Arial" w:cs="Arial"/>
          <w:sz w:val="20"/>
          <w:szCs w:val="20"/>
        </w:rPr>
        <w:t xml:space="preserve"> naročil v vrednosti </w:t>
      </w:r>
      <w:r w:rsidR="006C2F0A" w:rsidRPr="006C2F0A">
        <w:rPr>
          <w:rFonts w:ascii="Arial" w:hAnsi="Arial" w:cs="Arial"/>
          <w:sz w:val="20"/>
          <w:szCs w:val="20"/>
        </w:rPr>
        <w:t xml:space="preserve">524.141.882 </w:t>
      </w:r>
      <w:r w:rsidR="007F3DED" w:rsidRPr="006C2F0A">
        <w:rPr>
          <w:rFonts w:ascii="Arial" w:hAnsi="Arial" w:cs="Arial"/>
          <w:sz w:val="20"/>
          <w:szCs w:val="20"/>
        </w:rPr>
        <w:t>evrov, v katerih so bili upoštevani socialni vidiki oziroma zahteve</w:t>
      </w:r>
      <w:r w:rsidR="007F3DED" w:rsidRPr="006C2F0A">
        <w:rPr>
          <w:rFonts w:ascii="Arial" w:hAnsi="Arial" w:cs="Arial"/>
          <w:color w:val="000000" w:themeColor="text1"/>
          <w:sz w:val="20"/>
          <w:szCs w:val="20"/>
        </w:rPr>
        <w:t xml:space="preserve">. </w:t>
      </w:r>
      <w:r w:rsidR="007F3DED" w:rsidRPr="001842DF">
        <w:rPr>
          <w:rFonts w:ascii="Arial" w:hAnsi="Arial" w:cs="Arial"/>
          <w:color w:val="000000" w:themeColor="text1"/>
          <w:sz w:val="20"/>
          <w:szCs w:val="20"/>
        </w:rPr>
        <w:t xml:space="preserve">Delež teh </w:t>
      </w:r>
      <w:r w:rsidR="00410FB1" w:rsidRPr="001842DF">
        <w:rPr>
          <w:rFonts w:ascii="Arial" w:hAnsi="Arial" w:cs="Arial"/>
          <w:color w:val="000000" w:themeColor="text1"/>
          <w:sz w:val="20"/>
          <w:szCs w:val="20"/>
        </w:rPr>
        <w:t xml:space="preserve">je </w:t>
      </w:r>
      <w:r w:rsidR="006712AE" w:rsidRPr="001842DF">
        <w:rPr>
          <w:rFonts w:ascii="Arial" w:hAnsi="Arial" w:cs="Arial"/>
          <w:color w:val="000000" w:themeColor="text1"/>
          <w:sz w:val="20"/>
          <w:szCs w:val="20"/>
        </w:rPr>
        <w:t>1</w:t>
      </w:r>
      <w:r w:rsidR="001842DF" w:rsidRPr="001842DF">
        <w:rPr>
          <w:rFonts w:ascii="Arial" w:hAnsi="Arial" w:cs="Arial"/>
          <w:color w:val="000000" w:themeColor="text1"/>
          <w:sz w:val="20"/>
          <w:szCs w:val="20"/>
        </w:rPr>
        <w:t>4,93</w:t>
      </w:r>
      <w:r w:rsidR="007F3DED" w:rsidRPr="001842DF">
        <w:rPr>
          <w:rFonts w:ascii="Arial" w:hAnsi="Arial" w:cs="Arial"/>
          <w:color w:val="000000" w:themeColor="text1"/>
          <w:sz w:val="20"/>
          <w:szCs w:val="20"/>
        </w:rPr>
        <w:t xml:space="preserve"> </w:t>
      </w:r>
      <w:r w:rsidR="0029442D" w:rsidRPr="001842DF">
        <w:rPr>
          <w:rFonts w:ascii="Arial" w:hAnsi="Arial" w:cs="Arial"/>
          <w:color w:val="000000" w:themeColor="text1"/>
          <w:sz w:val="20"/>
          <w:szCs w:val="20"/>
        </w:rPr>
        <w:t>%</w:t>
      </w:r>
      <w:r w:rsidR="00A96351" w:rsidRPr="001842DF">
        <w:rPr>
          <w:rFonts w:ascii="Arial" w:hAnsi="Arial" w:cs="Arial"/>
          <w:color w:val="000000" w:themeColor="text1"/>
          <w:sz w:val="20"/>
          <w:szCs w:val="20"/>
        </w:rPr>
        <w:t xml:space="preserve"> v številu vseh naročil in </w:t>
      </w:r>
      <w:r w:rsidR="001842DF" w:rsidRPr="001842DF">
        <w:rPr>
          <w:rFonts w:ascii="Arial" w:hAnsi="Arial" w:cs="Arial"/>
          <w:color w:val="000000" w:themeColor="text1"/>
          <w:sz w:val="20"/>
          <w:szCs w:val="20"/>
        </w:rPr>
        <w:t xml:space="preserve">17,96 </w:t>
      </w:r>
      <w:r w:rsidR="0029442D" w:rsidRPr="001842DF">
        <w:rPr>
          <w:rFonts w:ascii="Arial" w:hAnsi="Arial" w:cs="Arial"/>
          <w:color w:val="000000" w:themeColor="text1"/>
          <w:sz w:val="20"/>
          <w:szCs w:val="20"/>
        </w:rPr>
        <w:t>%</w:t>
      </w:r>
      <w:r w:rsidR="007F3DED" w:rsidRPr="001842DF">
        <w:rPr>
          <w:rFonts w:ascii="Arial" w:hAnsi="Arial" w:cs="Arial"/>
          <w:color w:val="000000" w:themeColor="text1"/>
          <w:sz w:val="20"/>
          <w:szCs w:val="20"/>
        </w:rPr>
        <w:t xml:space="preserve"> v vr</w:t>
      </w:r>
      <w:r w:rsidR="00A96351" w:rsidRPr="001842DF">
        <w:rPr>
          <w:rFonts w:ascii="Arial" w:hAnsi="Arial" w:cs="Arial"/>
          <w:color w:val="000000" w:themeColor="text1"/>
          <w:sz w:val="20"/>
          <w:szCs w:val="20"/>
        </w:rPr>
        <w:t>ednosti vseh naročil v letu 201</w:t>
      </w:r>
      <w:r w:rsidR="001842DF" w:rsidRPr="001842DF">
        <w:rPr>
          <w:rFonts w:ascii="Arial" w:hAnsi="Arial" w:cs="Arial"/>
          <w:color w:val="000000" w:themeColor="text1"/>
          <w:sz w:val="20"/>
          <w:szCs w:val="20"/>
        </w:rPr>
        <w:t>8</w:t>
      </w:r>
      <w:r w:rsidR="007F3DED" w:rsidRPr="001842DF">
        <w:rPr>
          <w:rFonts w:ascii="Arial" w:hAnsi="Arial" w:cs="Arial"/>
          <w:color w:val="000000" w:themeColor="text1"/>
          <w:sz w:val="20"/>
          <w:szCs w:val="20"/>
        </w:rPr>
        <w:t>.</w:t>
      </w:r>
    </w:p>
    <w:p w14:paraId="33E6299B" w14:textId="358F6BA6" w:rsidR="00F513C9" w:rsidRPr="00E55206" w:rsidRDefault="007F3DED" w:rsidP="00F513C9">
      <w:pPr>
        <w:spacing w:line="360" w:lineRule="auto"/>
        <w:jc w:val="both"/>
        <w:rPr>
          <w:rFonts w:ascii="Arial" w:hAnsi="Arial" w:cs="Arial"/>
          <w:sz w:val="20"/>
          <w:szCs w:val="20"/>
          <w:lang w:eastAsia="sl-SI"/>
        </w:rPr>
      </w:pPr>
      <w:r w:rsidRPr="006E4504">
        <w:rPr>
          <w:rFonts w:ascii="Arial" w:hAnsi="Arial" w:cs="Arial"/>
          <w:sz w:val="20"/>
          <w:szCs w:val="20"/>
        </w:rPr>
        <w:t>Javni zavodi so oddali največ</w:t>
      </w:r>
      <w:r w:rsidR="006E3F05" w:rsidRPr="006E4504">
        <w:rPr>
          <w:rFonts w:ascii="Arial" w:hAnsi="Arial" w:cs="Arial"/>
          <w:sz w:val="20"/>
          <w:szCs w:val="20"/>
        </w:rPr>
        <w:t xml:space="preserve"> tovrstnih naročil, in sicer 1</w:t>
      </w:r>
      <w:r w:rsidR="006E4504" w:rsidRPr="006E4504">
        <w:rPr>
          <w:rFonts w:ascii="Arial" w:hAnsi="Arial" w:cs="Arial"/>
          <w:sz w:val="20"/>
          <w:szCs w:val="20"/>
        </w:rPr>
        <w:t>690</w:t>
      </w:r>
      <w:r w:rsidR="00301627" w:rsidRPr="006E4504">
        <w:rPr>
          <w:rFonts w:ascii="Arial" w:hAnsi="Arial" w:cs="Arial"/>
          <w:sz w:val="20"/>
          <w:szCs w:val="20"/>
        </w:rPr>
        <w:t xml:space="preserve"> v</w:t>
      </w:r>
      <w:r w:rsidRPr="006E4504">
        <w:rPr>
          <w:rFonts w:ascii="Arial" w:hAnsi="Arial" w:cs="Arial"/>
          <w:sz w:val="20"/>
          <w:szCs w:val="20"/>
        </w:rPr>
        <w:t xml:space="preserve"> vrednost</w:t>
      </w:r>
      <w:r w:rsidR="00301627" w:rsidRPr="006E4504">
        <w:rPr>
          <w:rFonts w:ascii="Arial" w:hAnsi="Arial" w:cs="Arial"/>
          <w:sz w:val="20"/>
          <w:szCs w:val="20"/>
        </w:rPr>
        <w:t>i</w:t>
      </w:r>
      <w:r w:rsidR="006E4504" w:rsidRPr="006E4504">
        <w:rPr>
          <w:rFonts w:ascii="Arial" w:hAnsi="Arial" w:cs="Arial"/>
          <w:sz w:val="20"/>
          <w:szCs w:val="20"/>
        </w:rPr>
        <w:t xml:space="preserve"> 94.906.867</w:t>
      </w:r>
      <w:r w:rsidRPr="006E4504">
        <w:rPr>
          <w:rFonts w:ascii="Arial" w:hAnsi="Arial" w:cs="Arial"/>
          <w:sz w:val="20"/>
          <w:szCs w:val="20"/>
        </w:rPr>
        <w:t xml:space="preserve"> </w:t>
      </w:r>
      <w:r w:rsidRPr="00E55206">
        <w:rPr>
          <w:rFonts w:ascii="Arial" w:hAnsi="Arial" w:cs="Arial"/>
          <w:sz w:val="20"/>
          <w:szCs w:val="20"/>
        </w:rPr>
        <w:t xml:space="preserve">evrov. Po vrednosti so največ naročil oddali </w:t>
      </w:r>
      <w:r w:rsidRPr="00E55206">
        <w:rPr>
          <w:rFonts w:ascii="Arial" w:hAnsi="Arial" w:cs="Arial"/>
          <w:sz w:val="20"/>
          <w:szCs w:val="20"/>
          <w:lang w:eastAsia="sl-SI"/>
        </w:rPr>
        <w:t>drugi naročniki (osebe javnega prava, javna podjetja, subjekt s posebnimi infrastruk</w:t>
      </w:r>
      <w:r w:rsidR="006E3F05" w:rsidRPr="00E55206">
        <w:rPr>
          <w:rFonts w:ascii="Arial" w:hAnsi="Arial" w:cs="Arial"/>
          <w:sz w:val="20"/>
          <w:szCs w:val="20"/>
          <w:lang w:eastAsia="sl-SI"/>
        </w:rPr>
        <w:t xml:space="preserve">turnimi pravicami), in sicer </w:t>
      </w:r>
      <w:r w:rsidR="00E55206" w:rsidRPr="00E55206">
        <w:rPr>
          <w:rFonts w:ascii="Arial" w:hAnsi="Arial" w:cs="Arial"/>
          <w:sz w:val="20"/>
          <w:szCs w:val="20"/>
          <w:lang w:eastAsia="sl-SI"/>
        </w:rPr>
        <w:t>411</w:t>
      </w:r>
      <w:r w:rsidRPr="00E55206">
        <w:rPr>
          <w:rFonts w:ascii="Arial" w:hAnsi="Arial" w:cs="Arial"/>
          <w:sz w:val="20"/>
          <w:szCs w:val="20"/>
          <w:lang w:eastAsia="sl-SI"/>
        </w:rPr>
        <w:t xml:space="preserve"> naročil v vrednosti </w:t>
      </w:r>
      <w:r w:rsidR="00E55206" w:rsidRPr="00E55206">
        <w:rPr>
          <w:rFonts w:ascii="Arial" w:hAnsi="Arial" w:cs="Arial"/>
          <w:sz w:val="20"/>
          <w:szCs w:val="20"/>
          <w:lang w:eastAsia="sl-SI"/>
        </w:rPr>
        <w:t xml:space="preserve">323.929.677 </w:t>
      </w:r>
      <w:r w:rsidRPr="00E55206">
        <w:rPr>
          <w:rFonts w:ascii="Arial" w:hAnsi="Arial" w:cs="Arial"/>
          <w:color w:val="000000"/>
          <w:sz w:val="20"/>
          <w:szCs w:val="20"/>
        </w:rPr>
        <w:t xml:space="preserve">evrov. </w:t>
      </w:r>
      <w:r w:rsidRPr="00E55206">
        <w:rPr>
          <w:rFonts w:ascii="Arial" w:hAnsi="Arial" w:cs="Arial"/>
          <w:sz w:val="20"/>
          <w:szCs w:val="20"/>
        </w:rPr>
        <w:t>Delež števila naročil in pogodbene vrednosti glede na kategorijo naročnika je prikazan v spodnji preglednici.</w:t>
      </w:r>
      <w:r w:rsidR="00FA0EF9">
        <w:rPr>
          <w:rFonts w:ascii="Arial" w:hAnsi="Arial" w:cs="Arial"/>
          <w:sz w:val="20"/>
          <w:szCs w:val="20"/>
          <w:lang w:eastAsia="sl-SI"/>
        </w:rPr>
        <w:t xml:space="preserve"> </w:t>
      </w:r>
      <w:r w:rsidR="00F83DD4" w:rsidRPr="00E55206">
        <w:rPr>
          <w:rFonts w:ascii="Arial" w:hAnsi="Arial" w:cs="Arial"/>
          <w:sz w:val="20"/>
          <w:szCs w:val="20"/>
          <w:lang w:eastAsia="sl-SI"/>
        </w:rPr>
        <w:t xml:space="preserve">    </w:t>
      </w:r>
    </w:p>
    <w:p w14:paraId="576F8189" w14:textId="2002C81E" w:rsidR="00B90B8D" w:rsidRPr="0089067C" w:rsidRDefault="00F83DD4" w:rsidP="00701C10">
      <w:pPr>
        <w:spacing w:before="120" w:after="120" w:line="240" w:lineRule="auto"/>
        <w:jc w:val="both"/>
        <w:rPr>
          <w:rFonts w:ascii="Arial" w:hAnsi="Arial" w:cs="Arial"/>
          <w:sz w:val="20"/>
        </w:rPr>
      </w:pPr>
      <w:r w:rsidRPr="0089067C">
        <w:rPr>
          <w:rFonts w:ascii="Arial" w:hAnsi="Arial" w:cs="Arial"/>
          <w:sz w:val="20"/>
        </w:rPr>
        <w:t>Preglednica </w:t>
      </w:r>
      <w:r w:rsidR="00474678" w:rsidRPr="0089067C">
        <w:rPr>
          <w:rFonts w:ascii="Arial" w:hAnsi="Arial" w:cs="Arial"/>
          <w:sz w:val="20"/>
        </w:rPr>
        <w:t>6</w:t>
      </w:r>
      <w:r w:rsidR="00F3604D">
        <w:rPr>
          <w:rFonts w:ascii="Arial" w:hAnsi="Arial" w:cs="Arial"/>
          <w:sz w:val="20"/>
        </w:rPr>
        <w:t>2</w:t>
      </w:r>
      <w:r w:rsidRPr="0089067C">
        <w:rPr>
          <w:rFonts w:ascii="Arial" w:hAnsi="Arial" w:cs="Arial"/>
          <w:sz w:val="20"/>
        </w:rPr>
        <w:t xml:space="preserve">: </w:t>
      </w:r>
      <w:r w:rsidR="00F513C9" w:rsidRPr="0089067C">
        <w:rPr>
          <w:rFonts w:ascii="Arial" w:hAnsi="Arial" w:cs="Arial"/>
          <w:sz w:val="20"/>
        </w:rPr>
        <w:t>Število in vrednosti ter deleži naročil z upoštevanimi socialnimi vidiki glede na kategorijo naročnika</w:t>
      </w:r>
    </w:p>
    <w:tbl>
      <w:tblPr>
        <w:tblW w:w="8980" w:type="dxa"/>
        <w:tblInd w:w="70" w:type="dxa"/>
        <w:tblCellMar>
          <w:left w:w="70" w:type="dxa"/>
          <w:right w:w="70" w:type="dxa"/>
        </w:tblCellMar>
        <w:tblLook w:val="04A0" w:firstRow="1" w:lastRow="0" w:firstColumn="1" w:lastColumn="0" w:noHBand="0" w:noVBand="1"/>
      </w:tblPr>
      <w:tblGrid>
        <w:gridCol w:w="3879"/>
        <w:gridCol w:w="980"/>
        <w:gridCol w:w="1141"/>
        <w:gridCol w:w="1440"/>
        <w:gridCol w:w="1540"/>
      </w:tblGrid>
      <w:tr w:rsidR="005A1285" w:rsidRPr="0089067C" w14:paraId="1BF777D0" w14:textId="77777777" w:rsidTr="00915080">
        <w:trPr>
          <w:trHeight w:val="960"/>
          <w:tblHeader/>
        </w:trPr>
        <w:tc>
          <w:tcPr>
            <w:tcW w:w="38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DC40BFD" w14:textId="36DA0385" w:rsidR="005A1285" w:rsidRPr="0089067C" w:rsidRDefault="005A1285" w:rsidP="005A1285">
            <w:pPr>
              <w:spacing w:after="0" w:line="240" w:lineRule="auto"/>
              <w:jc w:val="center"/>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Kategorija naročnika</w:t>
            </w:r>
          </w:p>
        </w:tc>
        <w:tc>
          <w:tcPr>
            <w:tcW w:w="9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50CF5C6" w14:textId="06DB02CF" w:rsidR="005A1285" w:rsidRPr="0089067C" w:rsidRDefault="005A1285" w:rsidP="005A1285">
            <w:pPr>
              <w:spacing w:after="0" w:line="240" w:lineRule="auto"/>
              <w:jc w:val="center"/>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Št. naročil</w:t>
            </w:r>
          </w:p>
        </w:tc>
        <w:tc>
          <w:tcPr>
            <w:tcW w:w="114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D3D995A" w14:textId="0A22CD5D" w:rsidR="005A1285" w:rsidRPr="0089067C" w:rsidRDefault="005A1285" w:rsidP="005A1285">
            <w:pPr>
              <w:spacing w:after="0" w:line="240" w:lineRule="auto"/>
              <w:jc w:val="center"/>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Pogodbena vrednost</w:t>
            </w:r>
          </w:p>
        </w:tc>
        <w:tc>
          <w:tcPr>
            <w:tcW w:w="14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F30E529" w14:textId="4AD0C25B" w:rsidR="005A1285" w:rsidRPr="0089067C" w:rsidRDefault="005A1285" w:rsidP="005A1285">
            <w:pPr>
              <w:spacing w:after="0" w:line="240" w:lineRule="auto"/>
              <w:jc w:val="center"/>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 xml:space="preserve">Delež v št. vseh naročil </w:t>
            </w:r>
          </w:p>
        </w:tc>
        <w:tc>
          <w:tcPr>
            <w:tcW w:w="15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1D46370" w14:textId="1DF6CD43" w:rsidR="005A1285" w:rsidRPr="0089067C" w:rsidRDefault="005A1285" w:rsidP="005A1285">
            <w:pPr>
              <w:spacing w:after="0" w:line="240" w:lineRule="auto"/>
              <w:jc w:val="center"/>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Delež v vrednosti vseh naročil</w:t>
            </w:r>
          </w:p>
        </w:tc>
      </w:tr>
      <w:tr w:rsidR="00966970" w:rsidRPr="0089067C" w14:paraId="01FAAB05"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7FBC1BE8" w14:textId="784907B1"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Organi RS</w:t>
            </w:r>
          </w:p>
        </w:tc>
        <w:tc>
          <w:tcPr>
            <w:tcW w:w="980" w:type="dxa"/>
            <w:tcBorders>
              <w:top w:val="nil"/>
              <w:left w:val="nil"/>
              <w:bottom w:val="single" w:sz="4" w:space="0" w:color="auto"/>
              <w:right w:val="single" w:sz="4" w:space="0" w:color="auto"/>
            </w:tcBorders>
            <w:shd w:val="clear" w:color="auto" w:fill="auto"/>
            <w:vAlign w:val="center"/>
            <w:hideMark/>
          </w:tcPr>
          <w:p w14:paraId="6E87A012" w14:textId="3C23F674"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89</w:t>
            </w:r>
          </w:p>
        </w:tc>
        <w:tc>
          <w:tcPr>
            <w:tcW w:w="1141" w:type="dxa"/>
            <w:tcBorders>
              <w:top w:val="nil"/>
              <w:left w:val="nil"/>
              <w:bottom w:val="single" w:sz="4" w:space="0" w:color="auto"/>
              <w:right w:val="single" w:sz="4" w:space="0" w:color="auto"/>
            </w:tcBorders>
            <w:shd w:val="clear" w:color="auto" w:fill="auto"/>
            <w:vAlign w:val="center"/>
            <w:hideMark/>
          </w:tcPr>
          <w:p w14:paraId="6414B811" w14:textId="3F4EABEE"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19.353.772</w:t>
            </w:r>
          </w:p>
        </w:tc>
        <w:tc>
          <w:tcPr>
            <w:tcW w:w="1440" w:type="dxa"/>
            <w:tcBorders>
              <w:top w:val="nil"/>
              <w:left w:val="nil"/>
              <w:bottom w:val="single" w:sz="4" w:space="0" w:color="auto"/>
              <w:right w:val="single" w:sz="4" w:space="0" w:color="auto"/>
            </w:tcBorders>
            <w:shd w:val="clear" w:color="auto" w:fill="auto"/>
            <w:noWrap/>
            <w:vAlign w:val="center"/>
            <w:hideMark/>
          </w:tcPr>
          <w:p w14:paraId="09E642D0" w14:textId="7DA691E8"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3,53 %</w:t>
            </w:r>
          </w:p>
        </w:tc>
        <w:tc>
          <w:tcPr>
            <w:tcW w:w="1540" w:type="dxa"/>
            <w:tcBorders>
              <w:top w:val="nil"/>
              <w:left w:val="nil"/>
              <w:bottom w:val="single" w:sz="4" w:space="0" w:color="auto"/>
              <w:right w:val="single" w:sz="4" w:space="0" w:color="auto"/>
            </w:tcBorders>
            <w:shd w:val="clear" w:color="auto" w:fill="auto"/>
            <w:noWrap/>
            <w:vAlign w:val="center"/>
            <w:hideMark/>
          </w:tcPr>
          <w:p w14:paraId="619DE8D9" w14:textId="623B55A8"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3,69 %</w:t>
            </w:r>
          </w:p>
        </w:tc>
      </w:tr>
      <w:tr w:rsidR="00966970" w:rsidRPr="0089067C" w14:paraId="40AD7966"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087F9EA9" w14:textId="7F5E2A49"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Samoupravne lokalne skupnosti</w:t>
            </w:r>
          </w:p>
        </w:tc>
        <w:tc>
          <w:tcPr>
            <w:tcW w:w="980" w:type="dxa"/>
            <w:tcBorders>
              <w:top w:val="nil"/>
              <w:left w:val="nil"/>
              <w:bottom w:val="single" w:sz="4" w:space="0" w:color="auto"/>
              <w:right w:val="single" w:sz="4" w:space="0" w:color="auto"/>
            </w:tcBorders>
            <w:shd w:val="clear" w:color="auto" w:fill="auto"/>
            <w:vAlign w:val="center"/>
            <w:hideMark/>
          </w:tcPr>
          <w:p w14:paraId="22F66395" w14:textId="2E688991"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298</w:t>
            </w:r>
          </w:p>
        </w:tc>
        <w:tc>
          <w:tcPr>
            <w:tcW w:w="1141" w:type="dxa"/>
            <w:tcBorders>
              <w:top w:val="nil"/>
              <w:left w:val="nil"/>
              <w:bottom w:val="single" w:sz="4" w:space="0" w:color="auto"/>
              <w:right w:val="single" w:sz="4" w:space="0" w:color="auto"/>
            </w:tcBorders>
            <w:shd w:val="clear" w:color="auto" w:fill="auto"/>
            <w:vAlign w:val="center"/>
            <w:hideMark/>
          </w:tcPr>
          <w:p w14:paraId="61571FB6" w14:textId="69DE9148"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79.612.572</w:t>
            </w:r>
          </w:p>
        </w:tc>
        <w:tc>
          <w:tcPr>
            <w:tcW w:w="1440" w:type="dxa"/>
            <w:tcBorders>
              <w:top w:val="nil"/>
              <w:left w:val="nil"/>
              <w:bottom w:val="single" w:sz="4" w:space="0" w:color="auto"/>
              <w:right w:val="single" w:sz="4" w:space="0" w:color="auto"/>
            </w:tcBorders>
            <w:shd w:val="clear" w:color="auto" w:fill="auto"/>
            <w:noWrap/>
            <w:vAlign w:val="center"/>
            <w:hideMark/>
          </w:tcPr>
          <w:p w14:paraId="66687CD8" w14:textId="79AE7FD9"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11,83 %</w:t>
            </w:r>
          </w:p>
        </w:tc>
        <w:tc>
          <w:tcPr>
            <w:tcW w:w="1540" w:type="dxa"/>
            <w:tcBorders>
              <w:top w:val="nil"/>
              <w:left w:val="nil"/>
              <w:bottom w:val="single" w:sz="4" w:space="0" w:color="auto"/>
              <w:right w:val="single" w:sz="4" w:space="0" w:color="auto"/>
            </w:tcBorders>
            <w:shd w:val="clear" w:color="auto" w:fill="auto"/>
            <w:noWrap/>
            <w:vAlign w:val="center"/>
            <w:hideMark/>
          </w:tcPr>
          <w:p w14:paraId="518A4608" w14:textId="5A8A797B"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15,19 %</w:t>
            </w:r>
          </w:p>
        </w:tc>
      </w:tr>
      <w:tr w:rsidR="00966970" w:rsidRPr="0089067C" w14:paraId="4244B21E"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5A170563" w14:textId="7900C25C"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Javni skladi</w:t>
            </w:r>
          </w:p>
        </w:tc>
        <w:tc>
          <w:tcPr>
            <w:tcW w:w="980" w:type="dxa"/>
            <w:tcBorders>
              <w:top w:val="nil"/>
              <w:left w:val="nil"/>
              <w:bottom w:val="single" w:sz="4" w:space="0" w:color="auto"/>
              <w:right w:val="single" w:sz="4" w:space="0" w:color="auto"/>
            </w:tcBorders>
            <w:shd w:val="clear" w:color="auto" w:fill="auto"/>
            <w:vAlign w:val="center"/>
            <w:hideMark/>
          </w:tcPr>
          <w:p w14:paraId="40367DCF" w14:textId="2654BFA8"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8</w:t>
            </w:r>
          </w:p>
        </w:tc>
        <w:tc>
          <w:tcPr>
            <w:tcW w:w="1141" w:type="dxa"/>
            <w:tcBorders>
              <w:top w:val="nil"/>
              <w:left w:val="nil"/>
              <w:bottom w:val="single" w:sz="4" w:space="0" w:color="auto"/>
              <w:right w:val="single" w:sz="4" w:space="0" w:color="auto"/>
            </w:tcBorders>
            <w:shd w:val="clear" w:color="auto" w:fill="auto"/>
            <w:vAlign w:val="center"/>
            <w:hideMark/>
          </w:tcPr>
          <w:p w14:paraId="058535AF" w14:textId="45CBB491"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2.833.186</w:t>
            </w:r>
          </w:p>
        </w:tc>
        <w:tc>
          <w:tcPr>
            <w:tcW w:w="1440" w:type="dxa"/>
            <w:tcBorders>
              <w:top w:val="nil"/>
              <w:left w:val="nil"/>
              <w:bottom w:val="single" w:sz="4" w:space="0" w:color="auto"/>
              <w:right w:val="single" w:sz="4" w:space="0" w:color="auto"/>
            </w:tcBorders>
            <w:shd w:val="clear" w:color="auto" w:fill="auto"/>
            <w:noWrap/>
            <w:vAlign w:val="center"/>
            <w:hideMark/>
          </w:tcPr>
          <w:p w14:paraId="626938FD" w14:textId="36584B87"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0,32 %</w:t>
            </w:r>
          </w:p>
        </w:tc>
        <w:tc>
          <w:tcPr>
            <w:tcW w:w="1540" w:type="dxa"/>
            <w:tcBorders>
              <w:top w:val="nil"/>
              <w:left w:val="nil"/>
              <w:bottom w:val="single" w:sz="4" w:space="0" w:color="auto"/>
              <w:right w:val="single" w:sz="4" w:space="0" w:color="auto"/>
            </w:tcBorders>
            <w:shd w:val="clear" w:color="auto" w:fill="auto"/>
            <w:noWrap/>
            <w:vAlign w:val="center"/>
            <w:hideMark/>
          </w:tcPr>
          <w:p w14:paraId="79BC2782" w14:textId="3032E763"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0,54 %</w:t>
            </w:r>
          </w:p>
        </w:tc>
      </w:tr>
      <w:tr w:rsidR="00966970" w:rsidRPr="0089067C" w14:paraId="53F203FD"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60720788" w14:textId="2671CF9D"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Javne agencije</w:t>
            </w:r>
          </w:p>
        </w:tc>
        <w:tc>
          <w:tcPr>
            <w:tcW w:w="980" w:type="dxa"/>
            <w:tcBorders>
              <w:top w:val="nil"/>
              <w:left w:val="nil"/>
              <w:bottom w:val="single" w:sz="4" w:space="0" w:color="auto"/>
              <w:right w:val="single" w:sz="4" w:space="0" w:color="auto"/>
            </w:tcBorders>
            <w:shd w:val="clear" w:color="auto" w:fill="auto"/>
            <w:vAlign w:val="center"/>
            <w:hideMark/>
          </w:tcPr>
          <w:p w14:paraId="1197D60F" w14:textId="2B310EED"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w:t>
            </w:r>
          </w:p>
        </w:tc>
        <w:tc>
          <w:tcPr>
            <w:tcW w:w="1141" w:type="dxa"/>
            <w:tcBorders>
              <w:top w:val="nil"/>
              <w:left w:val="nil"/>
              <w:bottom w:val="single" w:sz="4" w:space="0" w:color="auto"/>
              <w:right w:val="single" w:sz="4" w:space="0" w:color="auto"/>
            </w:tcBorders>
            <w:shd w:val="clear" w:color="auto" w:fill="auto"/>
            <w:vAlign w:val="center"/>
            <w:hideMark/>
          </w:tcPr>
          <w:p w14:paraId="08FBB546" w14:textId="3C4DD127"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49.229</w:t>
            </w:r>
          </w:p>
        </w:tc>
        <w:tc>
          <w:tcPr>
            <w:tcW w:w="1440" w:type="dxa"/>
            <w:tcBorders>
              <w:top w:val="nil"/>
              <w:left w:val="nil"/>
              <w:bottom w:val="single" w:sz="4" w:space="0" w:color="auto"/>
              <w:right w:val="single" w:sz="4" w:space="0" w:color="auto"/>
            </w:tcBorders>
            <w:shd w:val="clear" w:color="auto" w:fill="auto"/>
            <w:noWrap/>
            <w:vAlign w:val="center"/>
            <w:hideMark/>
          </w:tcPr>
          <w:p w14:paraId="3B65FE45" w14:textId="51279703"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0,04 %</w:t>
            </w:r>
          </w:p>
        </w:tc>
        <w:tc>
          <w:tcPr>
            <w:tcW w:w="1540" w:type="dxa"/>
            <w:tcBorders>
              <w:top w:val="nil"/>
              <w:left w:val="nil"/>
              <w:bottom w:val="single" w:sz="4" w:space="0" w:color="auto"/>
              <w:right w:val="single" w:sz="4" w:space="0" w:color="auto"/>
            </w:tcBorders>
            <w:shd w:val="clear" w:color="auto" w:fill="auto"/>
            <w:noWrap/>
            <w:vAlign w:val="center"/>
            <w:hideMark/>
          </w:tcPr>
          <w:p w14:paraId="52D86D9D" w14:textId="0752FF4E"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0,01 %</w:t>
            </w:r>
          </w:p>
        </w:tc>
      </w:tr>
      <w:tr w:rsidR="00966970" w:rsidRPr="0089067C" w14:paraId="32CBC3F9"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068FE697" w14:textId="5C269998"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Javni zavodi</w:t>
            </w:r>
          </w:p>
        </w:tc>
        <w:tc>
          <w:tcPr>
            <w:tcW w:w="980" w:type="dxa"/>
            <w:tcBorders>
              <w:top w:val="nil"/>
              <w:left w:val="nil"/>
              <w:bottom w:val="single" w:sz="4" w:space="0" w:color="auto"/>
              <w:right w:val="single" w:sz="4" w:space="0" w:color="auto"/>
            </w:tcBorders>
            <w:shd w:val="clear" w:color="auto" w:fill="auto"/>
            <w:vAlign w:val="center"/>
            <w:hideMark/>
          </w:tcPr>
          <w:p w14:paraId="598DF4FD" w14:textId="553868C1"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1.690</w:t>
            </w:r>
          </w:p>
        </w:tc>
        <w:tc>
          <w:tcPr>
            <w:tcW w:w="1141" w:type="dxa"/>
            <w:tcBorders>
              <w:top w:val="nil"/>
              <w:left w:val="nil"/>
              <w:bottom w:val="single" w:sz="4" w:space="0" w:color="auto"/>
              <w:right w:val="single" w:sz="4" w:space="0" w:color="auto"/>
            </w:tcBorders>
            <w:shd w:val="clear" w:color="auto" w:fill="auto"/>
            <w:vAlign w:val="center"/>
            <w:hideMark/>
          </w:tcPr>
          <w:p w14:paraId="35FC6859" w14:textId="51464B7A" w:rsidR="00966970" w:rsidRPr="0089067C" w:rsidRDefault="00966970" w:rsidP="00966970">
            <w:pPr>
              <w:spacing w:after="0" w:line="240" w:lineRule="auto"/>
              <w:jc w:val="right"/>
              <w:rPr>
                <w:rFonts w:ascii="Arial" w:eastAsia="Times New Roman" w:hAnsi="Arial" w:cs="Arial"/>
                <w:color w:val="000000"/>
                <w:sz w:val="18"/>
                <w:szCs w:val="18"/>
                <w:lang w:eastAsia="sl-SI"/>
              </w:rPr>
            </w:pPr>
            <w:bookmarkStart w:id="43" w:name="_Hlk11850198"/>
            <w:r w:rsidRPr="0089067C">
              <w:rPr>
                <w:rFonts w:ascii="Arial" w:hAnsi="Arial" w:cs="Arial"/>
                <w:sz w:val="18"/>
                <w:szCs w:val="18"/>
              </w:rPr>
              <w:t>94.906.867</w:t>
            </w:r>
            <w:bookmarkEnd w:id="43"/>
          </w:p>
        </w:tc>
        <w:tc>
          <w:tcPr>
            <w:tcW w:w="1440" w:type="dxa"/>
            <w:tcBorders>
              <w:top w:val="nil"/>
              <w:left w:val="nil"/>
              <w:bottom w:val="single" w:sz="4" w:space="0" w:color="auto"/>
              <w:right w:val="single" w:sz="4" w:space="0" w:color="auto"/>
            </w:tcBorders>
            <w:shd w:val="clear" w:color="auto" w:fill="auto"/>
            <w:noWrap/>
            <w:vAlign w:val="center"/>
            <w:hideMark/>
          </w:tcPr>
          <w:p w14:paraId="2F3C0163" w14:textId="589D3171"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67,12 %</w:t>
            </w:r>
          </w:p>
        </w:tc>
        <w:tc>
          <w:tcPr>
            <w:tcW w:w="1540" w:type="dxa"/>
            <w:tcBorders>
              <w:top w:val="nil"/>
              <w:left w:val="nil"/>
              <w:bottom w:val="single" w:sz="4" w:space="0" w:color="auto"/>
              <w:right w:val="single" w:sz="4" w:space="0" w:color="auto"/>
            </w:tcBorders>
            <w:shd w:val="clear" w:color="auto" w:fill="auto"/>
            <w:noWrap/>
            <w:vAlign w:val="center"/>
            <w:hideMark/>
          </w:tcPr>
          <w:p w14:paraId="2C0E11C0" w14:textId="111DD3EF"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18,11 %</w:t>
            </w:r>
          </w:p>
        </w:tc>
      </w:tr>
      <w:tr w:rsidR="00966970" w:rsidRPr="0089067C" w14:paraId="0C15613C"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4E29FD66" w14:textId="38957D81"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Javni gospodarski zavodi</w:t>
            </w:r>
          </w:p>
        </w:tc>
        <w:tc>
          <w:tcPr>
            <w:tcW w:w="980" w:type="dxa"/>
            <w:tcBorders>
              <w:top w:val="nil"/>
              <w:left w:val="nil"/>
              <w:bottom w:val="single" w:sz="4" w:space="0" w:color="auto"/>
              <w:right w:val="single" w:sz="4" w:space="0" w:color="auto"/>
            </w:tcBorders>
            <w:shd w:val="clear" w:color="auto" w:fill="auto"/>
            <w:vAlign w:val="center"/>
            <w:hideMark/>
          </w:tcPr>
          <w:p w14:paraId="3BEB1902" w14:textId="006BF1F2"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17</w:t>
            </w:r>
          </w:p>
        </w:tc>
        <w:tc>
          <w:tcPr>
            <w:tcW w:w="1141" w:type="dxa"/>
            <w:tcBorders>
              <w:top w:val="nil"/>
              <w:left w:val="nil"/>
              <w:bottom w:val="single" w:sz="4" w:space="0" w:color="auto"/>
              <w:right w:val="single" w:sz="4" w:space="0" w:color="auto"/>
            </w:tcBorders>
            <w:shd w:val="clear" w:color="auto" w:fill="auto"/>
            <w:vAlign w:val="center"/>
            <w:hideMark/>
          </w:tcPr>
          <w:p w14:paraId="452B2B3B" w14:textId="13205A51"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2.901.856</w:t>
            </w:r>
          </w:p>
        </w:tc>
        <w:tc>
          <w:tcPr>
            <w:tcW w:w="1440" w:type="dxa"/>
            <w:tcBorders>
              <w:top w:val="nil"/>
              <w:left w:val="nil"/>
              <w:bottom w:val="single" w:sz="4" w:space="0" w:color="auto"/>
              <w:right w:val="single" w:sz="4" w:space="0" w:color="auto"/>
            </w:tcBorders>
            <w:shd w:val="clear" w:color="auto" w:fill="auto"/>
            <w:noWrap/>
            <w:vAlign w:val="center"/>
            <w:hideMark/>
          </w:tcPr>
          <w:p w14:paraId="2426578B" w14:textId="11BB7810"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0,68 %</w:t>
            </w:r>
          </w:p>
        </w:tc>
        <w:tc>
          <w:tcPr>
            <w:tcW w:w="1540" w:type="dxa"/>
            <w:tcBorders>
              <w:top w:val="nil"/>
              <w:left w:val="nil"/>
              <w:bottom w:val="single" w:sz="4" w:space="0" w:color="auto"/>
              <w:right w:val="single" w:sz="4" w:space="0" w:color="auto"/>
            </w:tcBorders>
            <w:shd w:val="clear" w:color="auto" w:fill="auto"/>
            <w:noWrap/>
            <w:vAlign w:val="center"/>
            <w:hideMark/>
          </w:tcPr>
          <w:p w14:paraId="6DF9328E" w14:textId="0827802A"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0,55 %</w:t>
            </w:r>
          </w:p>
        </w:tc>
      </w:tr>
      <w:tr w:rsidR="00966970" w:rsidRPr="0089067C" w14:paraId="2C33E8BA" w14:textId="77777777" w:rsidTr="00966970">
        <w:trPr>
          <w:trHeight w:val="72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2B3FE0CA" w14:textId="25B7DC16"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Drugi naročniki (osebe javnega prava, javna podjetja, subjekt s posebnimi infrastrukturnimi pravicami)</w:t>
            </w:r>
          </w:p>
        </w:tc>
        <w:tc>
          <w:tcPr>
            <w:tcW w:w="980" w:type="dxa"/>
            <w:tcBorders>
              <w:top w:val="nil"/>
              <w:left w:val="nil"/>
              <w:bottom w:val="single" w:sz="4" w:space="0" w:color="auto"/>
              <w:right w:val="single" w:sz="4" w:space="0" w:color="auto"/>
            </w:tcBorders>
            <w:shd w:val="clear" w:color="auto" w:fill="auto"/>
            <w:vAlign w:val="center"/>
            <w:hideMark/>
          </w:tcPr>
          <w:p w14:paraId="4C9F5C61" w14:textId="2D21E4C1"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411</w:t>
            </w:r>
          </w:p>
        </w:tc>
        <w:tc>
          <w:tcPr>
            <w:tcW w:w="1141" w:type="dxa"/>
            <w:tcBorders>
              <w:top w:val="nil"/>
              <w:left w:val="nil"/>
              <w:bottom w:val="single" w:sz="4" w:space="0" w:color="auto"/>
              <w:right w:val="single" w:sz="4" w:space="0" w:color="auto"/>
            </w:tcBorders>
            <w:shd w:val="clear" w:color="auto" w:fill="auto"/>
            <w:vAlign w:val="center"/>
            <w:hideMark/>
          </w:tcPr>
          <w:p w14:paraId="18A7DB85" w14:textId="3933895D"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323.929.677</w:t>
            </w:r>
          </w:p>
        </w:tc>
        <w:tc>
          <w:tcPr>
            <w:tcW w:w="1440" w:type="dxa"/>
            <w:tcBorders>
              <w:top w:val="nil"/>
              <w:left w:val="nil"/>
              <w:bottom w:val="single" w:sz="4" w:space="0" w:color="auto"/>
              <w:right w:val="single" w:sz="4" w:space="0" w:color="auto"/>
            </w:tcBorders>
            <w:shd w:val="clear" w:color="auto" w:fill="auto"/>
            <w:noWrap/>
            <w:vAlign w:val="center"/>
            <w:hideMark/>
          </w:tcPr>
          <w:p w14:paraId="7A9D2E77" w14:textId="521BD16B"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16,32 %</w:t>
            </w:r>
          </w:p>
        </w:tc>
        <w:tc>
          <w:tcPr>
            <w:tcW w:w="1540" w:type="dxa"/>
            <w:tcBorders>
              <w:top w:val="nil"/>
              <w:left w:val="nil"/>
              <w:bottom w:val="single" w:sz="4" w:space="0" w:color="auto"/>
              <w:right w:val="single" w:sz="4" w:space="0" w:color="auto"/>
            </w:tcBorders>
            <w:shd w:val="clear" w:color="auto" w:fill="auto"/>
            <w:noWrap/>
            <w:vAlign w:val="center"/>
            <w:hideMark/>
          </w:tcPr>
          <w:p w14:paraId="7B0C916C" w14:textId="2F47BFED"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61,80 %</w:t>
            </w:r>
          </w:p>
        </w:tc>
      </w:tr>
      <w:tr w:rsidR="00966970" w:rsidRPr="0089067C" w14:paraId="07DFEB6D" w14:textId="77777777" w:rsidTr="00966970">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5E73F139" w14:textId="68913EBC" w:rsidR="00966970" w:rsidRPr="0089067C" w:rsidRDefault="00966970" w:rsidP="00966970">
            <w:pPr>
              <w:spacing w:after="0" w:line="240" w:lineRule="auto"/>
              <w:rPr>
                <w:rFonts w:ascii="Arial" w:eastAsia="Times New Roman" w:hAnsi="Arial" w:cs="Arial"/>
                <w:color w:val="000000"/>
                <w:sz w:val="18"/>
                <w:szCs w:val="18"/>
                <w:lang w:eastAsia="sl-SI"/>
              </w:rPr>
            </w:pPr>
            <w:r w:rsidRPr="0089067C">
              <w:rPr>
                <w:rFonts w:ascii="Arial" w:eastAsia="Times New Roman" w:hAnsi="Arial" w:cs="Arial"/>
                <w:color w:val="000000"/>
                <w:sz w:val="18"/>
                <w:szCs w:val="18"/>
                <w:lang w:eastAsia="sl-SI"/>
              </w:rPr>
              <w:t>Razni subjekti</w:t>
            </w:r>
          </w:p>
        </w:tc>
        <w:tc>
          <w:tcPr>
            <w:tcW w:w="980" w:type="dxa"/>
            <w:tcBorders>
              <w:top w:val="nil"/>
              <w:left w:val="nil"/>
              <w:bottom w:val="single" w:sz="4" w:space="0" w:color="auto"/>
              <w:right w:val="single" w:sz="4" w:space="0" w:color="auto"/>
            </w:tcBorders>
            <w:shd w:val="clear" w:color="auto" w:fill="auto"/>
            <w:vAlign w:val="center"/>
            <w:hideMark/>
          </w:tcPr>
          <w:p w14:paraId="20FA06C1" w14:textId="4C71B12E"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4</w:t>
            </w:r>
          </w:p>
        </w:tc>
        <w:tc>
          <w:tcPr>
            <w:tcW w:w="1141" w:type="dxa"/>
            <w:tcBorders>
              <w:top w:val="nil"/>
              <w:left w:val="nil"/>
              <w:bottom w:val="single" w:sz="4" w:space="0" w:color="auto"/>
              <w:right w:val="single" w:sz="4" w:space="0" w:color="auto"/>
            </w:tcBorders>
            <w:shd w:val="clear" w:color="auto" w:fill="auto"/>
            <w:vAlign w:val="center"/>
            <w:hideMark/>
          </w:tcPr>
          <w:p w14:paraId="32E1D4EF" w14:textId="649544D5"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554.723</w:t>
            </w:r>
          </w:p>
        </w:tc>
        <w:tc>
          <w:tcPr>
            <w:tcW w:w="1440" w:type="dxa"/>
            <w:tcBorders>
              <w:top w:val="nil"/>
              <w:left w:val="nil"/>
              <w:bottom w:val="single" w:sz="4" w:space="0" w:color="auto"/>
              <w:right w:val="single" w:sz="4" w:space="0" w:color="auto"/>
            </w:tcBorders>
            <w:shd w:val="clear" w:color="auto" w:fill="auto"/>
            <w:noWrap/>
            <w:vAlign w:val="center"/>
            <w:hideMark/>
          </w:tcPr>
          <w:p w14:paraId="1CB29EDB" w14:textId="41B4CB30"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0,16 %</w:t>
            </w:r>
          </w:p>
        </w:tc>
        <w:tc>
          <w:tcPr>
            <w:tcW w:w="1540" w:type="dxa"/>
            <w:tcBorders>
              <w:top w:val="nil"/>
              <w:left w:val="nil"/>
              <w:bottom w:val="single" w:sz="4" w:space="0" w:color="auto"/>
              <w:right w:val="single" w:sz="4" w:space="0" w:color="auto"/>
            </w:tcBorders>
            <w:shd w:val="clear" w:color="auto" w:fill="auto"/>
            <w:noWrap/>
            <w:vAlign w:val="center"/>
            <w:hideMark/>
          </w:tcPr>
          <w:p w14:paraId="0B84FCB9" w14:textId="7060DCA3" w:rsidR="00966970" w:rsidRPr="0089067C" w:rsidRDefault="00966970" w:rsidP="00966970">
            <w:pPr>
              <w:spacing w:after="0" w:line="240" w:lineRule="auto"/>
              <w:jc w:val="right"/>
              <w:rPr>
                <w:rFonts w:ascii="Arial" w:eastAsia="Times New Roman" w:hAnsi="Arial" w:cs="Arial"/>
                <w:color w:val="000000"/>
                <w:sz w:val="18"/>
                <w:szCs w:val="18"/>
                <w:lang w:eastAsia="sl-SI"/>
              </w:rPr>
            </w:pPr>
            <w:r w:rsidRPr="0089067C">
              <w:rPr>
                <w:rFonts w:ascii="Arial" w:hAnsi="Arial" w:cs="Arial"/>
                <w:sz w:val="18"/>
                <w:szCs w:val="18"/>
              </w:rPr>
              <w:t>0,11 %</w:t>
            </w:r>
          </w:p>
        </w:tc>
      </w:tr>
      <w:tr w:rsidR="00966970" w:rsidRPr="0089067C" w14:paraId="7852A611" w14:textId="77777777" w:rsidTr="00B45EE0">
        <w:trPr>
          <w:trHeight w:val="300"/>
        </w:trPr>
        <w:tc>
          <w:tcPr>
            <w:tcW w:w="3879" w:type="dxa"/>
            <w:tcBorders>
              <w:top w:val="nil"/>
              <w:left w:val="single" w:sz="4" w:space="0" w:color="auto"/>
              <w:bottom w:val="single" w:sz="4" w:space="0" w:color="auto"/>
              <w:right w:val="single" w:sz="4" w:space="0" w:color="auto"/>
            </w:tcBorders>
            <w:shd w:val="clear" w:color="auto" w:fill="E7E6E6" w:themeFill="background2"/>
            <w:vAlign w:val="center"/>
            <w:hideMark/>
          </w:tcPr>
          <w:p w14:paraId="34575A23" w14:textId="4352F86B" w:rsidR="00966970" w:rsidRPr="0089067C" w:rsidRDefault="00966970" w:rsidP="00966970">
            <w:pPr>
              <w:spacing w:after="0" w:line="240" w:lineRule="auto"/>
              <w:rPr>
                <w:rFonts w:ascii="Arial" w:eastAsia="Times New Roman" w:hAnsi="Arial" w:cs="Arial"/>
                <w:b/>
                <w:bCs/>
                <w:color w:val="000000"/>
                <w:sz w:val="18"/>
                <w:szCs w:val="18"/>
                <w:lang w:eastAsia="sl-SI"/>
              </w:rPr>
            </w:pPr>
            <w:r w:rsidRPr="0089067C">
              <w:rPr>
                <w:rFonts w:ascii="Arial" w:eastAsia="Times New Roman" w:hAnsi="Arial" w:cs="Arial"/>
                <w:b/>
                <w:bCs/>
                <w:color w:val="000000"/>
                <w:sz w:val="18"/>
                <w:szCs w:val="18"/>
                <w:lang w:eastAsia="sl-SI"/>
              </w:rPr>
              <w:t>Skupaj</w:t>
            </w:r>
          </w:p>
        </w:tc>
        <w:tc>
          <w:tcPr>
            <w:tcW w:w="980" w:type="dxa"/>
            <w:tcBorders>
              <w:top w:val="nil"/>
              <w:left w:val="nil"/>
              <w:bottom w:val="single" w:sz="4" w:space="0" w:color="auto"/>
              <w:right w:val="single" w:sz="4" w:space="0" w:color="auto"/>
            </w:tcBorders>
            <w:shd w:val="clear" w:color="auto" w:fill="E7E6E6" w:themeFill="background2"/>
            <w:vAlign w:val="center"/>
            <w:hideMark/>
          </w:tcPr>
          <w:p w14:paraId="1629CAA2" w14:textId="2CE3DC35" w:rsidR="00966970" w:rsidRPr="0089067C" w:rsidRDefault="00966970" w:rsidP="00966970">
            <w:pPr>
              <w:spacing w:after="0" w:line="240" w:lineRule="auto"/>
              <w:jc w:val="right"/>
              <w:rPr>
                <w:rFonts w:ascii="Arial" w:eastAsia="Times New Roman" w:hAnsi="Arial" w:cs="Arial"/>
                <w:b/>
                <w:bCs/>
                <w:color w:val="000000"/>
                <w:sz w:val="18"/>
                <w:szCs w:val="18"/>
                <w:lang w:eastAsia="sl-SI"/>
              </w:rPr>
            </w:pPr>
            <w:r w:rsidRPr="0089067C">
              <w:rPr>
                <w:rFonts w:ascii="Arial" w:hAnsi="Arial" w:cs="Arial"/>
                <w:b/>
                <w:sz w:val="18"/>
                <w:szCs w:val="18"/>
              </w:rPr>
              <w:t>2.518</w:t>
            </w:r>
          </w:p>
        </w:tc>
        <w:tc>
          <w:tcPr>
            <w:tcW w:w="1141" w:type="dxa"/>
            <w:tcBorders>
              <w:top w:val="nil"/>
              <w:left w:val="nil"/>
              <w:bottom w:val="single" w:sz="4" w:space="0" w:color="auto"/>
              <w:right w:val="single" w:sz="4" w:space="0" w:color="auto"/>
            </w:tcBorders>
            <w:shd w:val="clear" w:color="auto" w:fill="E7E6E6" w:themeFill="background2"/>
            <w:vAlign w:val="center"/>
            <w:hideMark/>
          </w:tcPr>
          <w:p w14:paraId="5C4F5B21" w14:textId="22115C8B" w:rsidR="00966970" w:rsidRPr="0089067C" w:rsidRDefault="00966970" w:rsidP="00966970">
            <w:pPr>
              <w:spacing w:after="0" w:line="240" w:lineRule="auto"/>
              <w:jc w:val="right"/>
              <w:rPr>
                <w:rFonts w:ascii="Arial" w:eastAsia="Times New Roman" w:hAnsi="Arial" w:cs="Arial"/>
                <w:b/>
                <w:bCs/>
                <w:color w:val="000000"/>
                <w:sz w:val="18"/>
                <w:szCs w:val="18"/>
                <w:lang w:eastAsia="sl-SI"/>
              </w:rPr>
            </w:pPr>
            <w:r w:rsidRPr="0089067C">
              <w:rPr>
                <w:rFonts w:ascii="Arial" w:hAnsi="Arial" w:cs="Arial"/>
                <w:b/>
                <w:sz w:val="18"/>
                <w:szCs w:val="18"/>
              </w:rPr>
              <w:t>524.141.882</w:t>
            </w:r>
          </w:p>
        </w:tc>
        <w:tc>
          <w:tcPr>
            <w:tcW w:w="1440" w:type="dxa"/>
            <w:tcBorders>
              <w:top w:val="nil"/>
              <w:left w:val="nil"/>
              <w:bottom w:val="single" w:sz="4" w:space="0" w:color="auto"/>
              <w:right w:val="single" w:sz="4" w:space="0" w:color="auto"/>
            </w:tcBorders>
            <w:shd w:val="clear" w:color="auto" w:fill="E7E6E6" w:themeFill="background2"/>
            <w:vAlign w:val="center"/>
            <w:hideMark/>
          </w:tcPr>
          <w:p w14:paraId="6B67D641" w14:textId="64401EF3" w:rsidR="00966970" w:rsidRPr="0089067C" w:rsidRDefault="00966970" w:rsidP="00966970">
            <w:pPr>
              <w:spacing w:after="0" w:line="240" w:lineRule="auto"/>
              <w:jc w:val="right"/>
              <w:rPr>
                <w:rFonts w:ascii="Arial" w:eastAsia="Times New Roman" w:hAnsi="Arial" w:cs="Arial"/>
                <w:b/>
                <w:bCs/>
                <w:color w:val="000000"/>
                <w:sz w:val="18"/>
                <w:szCs w:val="18"/>
                <w:lang w:eastAsia="sl-SI"/>
              </w:rPr>
            </w:pPr>
            <w:r w:rsidRPr="0089067C">
              <w:rPr>
                <w:rFonts w:ascii="Arial" w:hAnsi="Arial" w:cs="Arial"/>
                <w:b/>
                <w:sz w:val="18"/>
                <w:szCs w:val="18"/>
              </w:rPr>
              <w:t>100,00 %</w:t>
            </w:r>
          </w:p>
        </w:tc>
        <w:tc>
          <w:tcPr>
            <w:tcW w:w="1540" w:type="dxa"/>
            <w:tcBorders>
              <w:top w:val="nil"/>
              <w:left w:val="nil"/>
              <w:bottom w:val="single" w:sz="4" w:space="0" w:color="auto"/>
              <w:right w:val="single" w:sz="4" w:space="0" w:color="auto"/>
            </w:tcBorders>
            <w:shd w:val="clear" w:color="auto" w:fill="E7E6E6" w:themeFill="background2"/>
            <w:vAlign w:val="center"/>
            <w:hideMark/>
          </w:tcPr>
          <w:p w14:paraId="09937094" w14:textId="3D58525E" w:rsidR="00966970" w:rsidRPr="0089067C" w:rsidRDefault="00966970" w:rsidP="00966970">
            <w:pPr>
              <w:spacing w:after="0" w:line="240" w:lineRule="auto"/>
              <w:jc w:val="right"/>
              <w:rPr>
                <w:rFonts w:ascii="Arial" w:eastAsia="Times New Roman" w:hAnsi="Arial" w:cs="Arial"/>
                <w:b/>
                <w:bCs/>
                <w:color w:val="000000"/>
                <w:sz w:val="18"/>
                <w:szCs w:val="18"/>
                <w:lang w:eastAsia="sl-SI"/>
              </w:rPr>
            </w:pPr>
            <w:r w:rsidRPr="0089067C">
              <w:rPr>
                <w:rFonts w:ascii="Arial" w:hAnsi="Arial" w:cs="Arial"/>
                <w:b/>
                <w:sz w:val="18"/>
                <w:szCs w:val="18"/>
              </w:rPr>
              <w:t>100,00 %</w:t>
            </w:r>
          </w:p>
        </w:tc>
      </w:tr>
    </w:tbl>
    <w:p w14:paraId="61AC407B" w14:textId="77777777" w:rsidR="007F3DED" w:rsidRPr="0089067C" w:rsidRDefault="007F3DED" w:rsidP="004A613D">
      <w:pPr>
        <w:spacing w:after="0" w:line="240" w:lineRule="auto"/>
        <w:jc w:val="center"/>
        <w:rPr>
          <w:rFonts w:ascii="Arial" w:hAnsi="Arial" w:cs="Arial"/>
        </w:rPr>
      </w:pPr>
    </w:p>
    <w:p w14:paraId="2720FA8A" w14:textId="2EDF489A" w:rsidR="00F83DD4" w:rsidRPr="0089067C" w:rsidRDefault="00F83DD4" w:rsidP="00701C10">
      <w:pPr>
        <w:spacing w:after="240" w:line="240" w:lineRule="auto"/>
        <w:jc w:val="center"/>
        <w:rPr>
          <w:rFonts w:ascii="Arial" w:hAnsi="Arial" w:cs="Arial"/>
          <w:sz w:val="18"/>
        </w:rPr>
      </w:pPr>
      <w:r w:rsidRPr="0089067C">
        <w:rPr>
          <w:rFonts w:ascii="Arial" w:hAnsi="Arial" w:cs="Arial"/>
          <w:sz w:val="18"/>
        </w:rPr>
        <w:t>Vir: Statistični podatki o javni</w:t>
      </w:r>
      <w:r w:rsidR="00F20CC1" w:rsidRPr="0089067C">
        <w:rPr>
          <w:rFonts w:ascii="Arial" w:hAnsi="Arial" w:cs="Arial"/>
          <w:sz w:val="18"/>
        </w:rPr>
        <w:t>h naročilih, oddanih v letu 201</w:t>
      </w:r>
      <w:r w:rsidR="00966970" w:rsidRPr="0089067C">
        <w:rPr>
          <w:rFonts w:ascii="Arial" w:hAnsi="Arial" w:cs="Arial"/>
          <w:sz w:val="18"/>
        </w:rPr>
        <w:t>8</w:t>
      </w:r>
    </w:p>
    <w:p w14:paraId="6E5F5A21" w14:textId="358CA285" w:rsidR="007F3DED" w:rsidRPr="00A463D9" w:rsidRDefault="007F3DED" w:rsidP="007F3DED">
      <w:pPr>
        <w:spacing w:line="360" w:lineRule="auto"/>
        <w:jc w:val="both"/>
        <w:rPr>
          <w:rFonts w:ascii="Arial" w:hAnsi="Arial" w:cs="Arial"/>
          <w:sz w:val="20"/>
          <w:szCs w:val="20"/>
        </w:rPr>
      </w:pPr>
      <w:r w:rsidRPr="00A463D9">
        <w:rPr>
          <w:rFonts w:ascii="Arial" w:hAnsi="Arial" w:cs="Arial"/>
          <w:sz w:val="20"/>
          <w:szCs w:val="20"/>
        </w:rPr>
        <w:t xml:space="preserve">Iz statističnih podatkov </w:t>
      </w:r>
      <w:r w:rsidR="00164E3D" w:rsidRPr="00A463D9">
        <w:rPr>
          <w:rFonts w:ascii="Arial" w:hAnsi="Arial" w:cs="Arial"/>
          <w:sz w:val="20"/>
          <w:szCs w:val="20"/>
        </w:rPr>
        <w:t>izhaja</w:t>
      </w:r>
      <w:r w:rsidRPr="00A463D9">
        <w:rPr>
          <w:rFonts w:ascii="Arial" w:hAnsi="Arial" w:cs="Arial"/>
          <w:sz w:val="20"/>
          <w:szCs w:val="20"/>
        </w:rPr>
        <w:t xml:space="preserve">, da so naročniki socialne vidike upoštevali pri </w:t>
      </w:r>
      <w:r w:rsidR="00A463D9" w:rsidRPr="00A463D9">
        <w:rPr>
          <w:rFonts w:ascii="Arial" w:hAnsi="Arial" w:cs="Arial"/>
          <w:sz w:val="20"/>
          <w:szCs w:val="20"/>
        </w:rPr>
        <w:t>2281</w:t>
      </w:r>
      <w:r w:rsidRPr="00A463D9">
        <w:rPr>
          <w:rFonts w:ascii="Arial" w:hAnsi="Arial" w:cs="Arial"/>
          <w:sz w:val="20"/>
          <w:szCs w:val="20"/>
        </w:rPr>
        <w:t xml:space="preserve"> naročilih na splošnem področju v vrednosti </w:t>
      </w:r>
      <w:r w:rsidR="00A463D9" w:rsidRPr="00A463D9">
        <w:rPr>
          <w:rFonts w:ascii="Arial" w:hAnsi="Arial" w:cs="Arial"/>
          <w:sz w:val="20"/>
          <w:szCs w:val="20"/>
        </w:rPr>
        <w:t xml:space="preserve">412.084.800 </w:t>
      </w:r>
      <w:r w:rsidR="000B67CB" w:rsidRPr="00A463D9">
        <w:rPr>
          <w:rFonts w:ascii="Arial" w:hAnsi="Arial" w:cs="Arial"/>
          <w:sz w:val="20"/>
          <w:szCs w:val="20"/>
        </w:rPr>
        <w:t xml:space="preserve">evrov in </w:t>
      </w:r>
      <w:r w:rsidR="00301627" w:rsidRPr="00A463D9">
        <w:rPr>
          <w:rFonts w:ascii="Arial" w:hAnsi="Arial" w:cs="Arial"/>
          <w:sz w:val="20"/>
          <w:szCs w:val="20"/>
        </w:rPr>
        <w:t>pri</w:t>
      </w:r>
      <w:r w:rsidR="000B67CB" w:rsidRPr="00A463D9">
        <w:rPr>
          <w:rFonts w:ascii="Arial" w:hAnsi="Arial" w:cs="Arial"/>
          <w:sz w:val="20"/>
          <w:szCs w:val="20"/>
        </w:rPr>
        <w:t xml:space="preserve"> </w:t>
      </w:r>
      <w:r w:rsidR="00A463D9" w:rsidRPr="00A463D9">
        <w:rPr>
          <w:rFonts w:ascii="Arial" w:hAnsi="Arial" w:cs="Arial"/>
          <w:sz w:val="20"/>
          <w:szCs w:val="20"/>
        </w:rPr>
        <w:t>237</w:t>
      </w:r>
      <w:r w:rsidRPr="00A463D9">
        <w:rPr>
          <w:rFonts w:ascii="Arial" w:hAnsi="Arial" w:cs="Arial"/>
          <w:sz w:val="20"/>
          <w:szCs w:val="20"/>
        </w:rPr>
        <w:t xml:space="preserve"> naročilih na infrastrukturnem področju v vrednosti </w:t>
      </w:r>
      <w:r w:rsidR="00A463D9" w:rsidRPr="00A463D9">
        <w:rPr>
          <w:rFonts w:ascii="Arial" w:hAnsi="Arial" w:cs="Arial"/>
          <w:sz w:val="20"/>
          <w:szCs w:val="20"/>
        </w:rPr>
        <w:t xml:space="preserve">112.057.082 </w:t>
      </w:r>
      <w:r w:rsidRPr="00A463D9">
        <w:rPr>
          <w:rFonts w:ascii="Arial" w:hAnsi="Arial" w:cs="Arial"/>
          <w:sz w:val="20"/>
          <w:szCs w:val="20"/>
        </w:rPr>
        <w:t>evrov.</w:t>
      </w:r>
    </w:p>
    <w:p w14:paraId="027F9514" w14:textId="697D19ED" w:rsidR="00F83DD4" w:rsidRPr="00AE6C63" w:rsidRDefault="00F83DD4" w:rsidP="00701C10">
      <w:pPr>
        <w:spacing w:before="120" w:after="120" w:line="240" w:lineRule="auto"/>
        <w:jc w:val="both"/>
        <w:rPr>
          <w:rFonts w:ascii="Arial" w:hAnsi="Arial" w:cs="Arial"/>
          <w:sz w:val="20"/>
        </w:rPr>
      </w:pPr>
      <w:r w:rsidRPr="00AE6C63">
        <w:rPr>
          <w:rFonts w:ascii="Arial" w:hAnsi="Arial" w:cs="Arial"/>
          <w:sz w:val="20"/>
        </w:rPr>
        <w:t xml:space="preserve">Preglednica </w:t>
      </w:r>
      <w:r w:rsidR="00474678" w:rsidRPr="00AE6C63">
        <w:rPr>
          <w:rFonts w:ascii="Arial" w:hAnsi="Arial" w:cs="Arial"/>
          <w:sz w:val="20"/>
        </w:rPr>
        <w:t>6</w:t>
      </w:r>
      <w:r w:rsidR="00F3604D">
        <w:rPr>
          <w:rFonts w:ascii="Arial" w:hAnsi="Arial" w:cs="Arial"/>
          <w:sz w:val="20"/>
        </w:rPr>
        <w:t>3</w:t>
      </w:r>
      <w:r w:rsidRPr="00AE6C63">
        <w:rPr>
          <w:rFonts w:ascii="Arial" w:hAnsi="Arial" w:cs="Arial"/>
          <w:sz w:val="20"/>
        </w:rPr>
        <w:t>: Število in vrednosti ter deleži naročil z upoštevanimi socialnimi vidiki glede na področje</w:t>
      </w:r>
      <w:r w:rsidR="00807FCE" w:rsidRPr="00AE6C63">
        <w:rPr>
          <w:rFonts w:ascii="Arial" w:hAnsi="Arial" w:cs="Arial"/>
          <w:sz w:val="20"/>
        </w:rPr>
        <w:t xml:space="preserve"> naročanja</w:t>
      </w:r>
    </w:p>
    <w:tbl>
      <w:tblPr>
        <w:tblW w:w="7068" w:type="dxa"/>
        <w:jc w:val="center"/>
        <w:tblCellMar>
          <w:left w:w="70" w:type="dxa"/>
          <w:right w:w="70" w:type="dxa"/>
        </w:tblCellMar>
        <w:tblLook w:val="04A0" w:firstRow="1" w:lastRow="0" w:firstColumn="1" w:lastColumn="0" w:noHBand="0" w:noVBand="1"/>
      </w:tblPr>
      <w:tblGrid>
        <w:gridCol w:w="1701"/>
        <w:gridCol w:w="807"/>
        <w:gridCol w:w="1480"/>
        <w:gridCol w:w="1520"/>
        <w:gridCol w:w="1560"/>
      </w:tblGrid>
      <w:tr w:rsidR="005A1285" w:rsidRPr="00AE6C63" w14:paraId="3C64FE73" w14:textId="77777777" w:rsidTr="00056EDD">
        <w:trPr>
          <w:trHeight w:val="72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152CFF1" w14:textId="79F81CB0" w:rsidR="005A1285" w:rsidRPr="00AE6C63" w:rsidRDefault="005A1285" w:rsidP="005A1285">
            <w:pPr>
              <w:spacing w:after="0" w:line="240" w:lineRule="auto"/>
              <w:jc w:val="center"/>
              <w:rPr>
                <w:rFonts w:ascii="Arial" w:eastAsia="Times New Roman" w:hAnsi="Arial" w:cs="Arial"/>
                <w:sz w:val="18"/>
                <w:szCs w:val="18"/>
                <w:lang w:eastAsia="sl-SI"/>
              </w:rPr>
            </w:pPr>
            <w:r w:rsidRPr="00AE6C63">
              <w:rPr>
                <w:rFonts w:ascii="Arial" w:eastAsia="Times New Roman" w:hAnsi="Arial" w:cs="Arial"/>
                <w:sz w:val="18"/>
                <w:szCs w:val="18"/>
                <w:lang w:eastAsia="sl-SI"/>
              </w:rPr>
              <w:t>Področje</w:t>
            </w:r>
          </w:p>
        </w:tc>
        <w:tc>
          <w:tcPr>
            <w:tcW w:w="80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10038A0" w14:textId="241D1E35" w:rsidR="005A1285" w:rsidRPr="00AE6C63" w:rsidRDefault="005A1285" w:rsidP="005A1285">
            <w:pPr>
              <w:spacing w:after="0" w:line="240" w:lineRule="auto"/>
              <w:jc w:val="center"/>
              <w:rPr>
                <w:rFonts w:ascii="Arial" w:eastAsia="Times New Roman" w:hAnsi="Arial" w:cs="Arial"/>
                <w:sz w:val="18"/>
                <w:szCs w:val="18"/>
                <w:lang w:eastAsia="sl-SI"/>
              </w:rPr>
            </w:pPr>
            <w:r w:rsidRPr="00AE6C63">
              <w:rPr>
                <w:rFonts w:ascii="Arial" w:eastAsia="Times New Roman" w:hAnsi="Arial" w:cs="Arial"/>
                <w:sz w:val="18"/>
                <w:szCs w:val="18"/>
                <w:lang w:eastAsia="sl-SI"/>
              </w:rPr>
              <w:t xml:space="preserve">Št. naročil </w:t>
            </w:r>
          </w:p>
        </w:tc>
        <w:tc>
          <w:tcPr>
            <w:tcW w:w="1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089376E" w14:textId="4197F05A" w:rsidR="005A1285" w:rsidRPr="00AE6C63" w:rsidRDefault="005A1285" w:rsidP="005A1285">
            <w:pPr>
              <w:spacing w:after="0" w:line="240" w:lineRule="auto"/>
              <w:jc w:val="center"/>
              <w:rPr>
                <w:rFonts w:ascii="Arial" w:eastAsia="Times New Roman" w:hAnsi="Arial" w:cs="Arial"/>
                <w:sz w:val="18"/>
                <w:szCs w:val="18"/>
                <w:lang w:eastAsia="sl-SI"/>
              </w:rPr>
            </w:pPr>
            <w:r w:rsidRPr="00AE6C63">
              <w:rPr>
                <w:rFonts w:ascii="Arial" w:eastAsia="Times New Roman" w:hAnsi="Arial" w:cs="Arial"/>
                <w:sz w:val="18"/>
                <w:szCs w:val="18"/>
                <w:lang w:eastAsia="sl-SI"/>
              </w:rPr>
              <w:t>Pogodbena vrednost</w:t>
            </w:r>
          </w:p>
        </w:tc>
        <w:tc>
          <w:tcPr>
            <w:tcW w:w="15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B20409E" w14:textId="1756F9F0" w:rsidR="005A1285" w:rsidRPr="00AE6C63" w:rsidRDefault="005A1285" w:rsidP="005A1285">
            <w:pPr>
              <w:spacing w:after="0" w:line="240" w:lineRule="auto"/>
              <w:jc w:val="center"/>
              <w:rPr>
                <w:rFonts w:ascii="Arial" w:eastAsia="Times New Roman" w:hAnsi="Arial" w:cs="Arial"/>
                <w:sz w:val="18"/>
                <w:szCs w:val="18"/>
                <w:lang w:eastAsia="sl-SI"/>
              </w:rPr>
            </w:pPr>
            <w:r w:rsidRPr="00AE6C63">
              <w:rPr>
                <w:rFonts w:ascii="Arial" w:eastAsia="Times New Roman" w:hAnsi="Arial" w:cs="Arial"/>
                <w:sz w:val="18"/>
                <w:szCs w:val="18"/>
                <w:lang w:eastAsia="sl-SI"/>
              </w:rPr>
              <w:t>Delež v št. naročil na istem področju</w:t>
            </w:r>
          </w:p>
        </w:tc>
        <w:tc>
          <w:tcPr>
            <w:tcW w:w="15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F5BB614" w14:textId="0733F728" w:rsidR="005A1285" w:rsidRPr="00AE6C63" w:rsidRDefault="005A1285" w:rsidP="005A1285">
            <w:pPr>
              <w:spacing w:after="0" w:line="240" w:lineRule="auto"/>
              <w:jc w:val="center"/>
              <w:rPr>
                <w:rFonts w:ascii="Arial" w:eastAsia="Times New Roman" w:hAnsi="Arial" w:cs="Arial"/>
                <w:sz w:val="18"/>
                <w:szCs w:val="18"/>
                <w:lang w:eastAsia="sl-SI"/>
              </w:rPr>
            </w:pPr>
            <w:r w:rsidRPr="00AE6C63">
              <w:rPr>
                <w:rFonts w:ascii="Arial" w:eastAsia="Times New Roman" w:hAnsi="Arial" w:cs="Arial"/>
                <w:sz w:val="18"/>
                <w:szCs w:val="18"/>
                <w:lang w:eastAsia="sl-SI"/>
              </w:rPr>
              <w:t>Delež v vrednosti na istem področju</w:t>
            </w:r>
          </w:p>
        </w:tc>
      </w:tr>
      <w:tr w:rsidR="00B62BE1" w:rsidRPr="00AE6C63" w14:paraId="1D6DA906" w14:textId="77777777" w:rsidTr="00157259">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9824BCF" w14:textId="4EAE1209" w:rsidR="00B62BE1" w:rsidRPr="00AE6C63" w:rsidRDefault="00B62BE1" w:rsidP="00B62BE1">
            <w:pPr>
              <w:spacing w:after="0" w:line="240" w:lineRule="auto"/>
              <w:jc w:val="both"/>
              <w:rPr>
                <w:rFonts w:ascii="Arial" w:eastAsia="Times New Roman" w:hAnsi="Arial" w:cs="Arial"/>
                <w:sz w:val="18"/>
                <w:szCs w:val="18"/>
                <w:lang w:eastAsia="sl-SI"/>
              </w:rPr>
            </w:pPr>
            <w:r w:rsidRPr="00AE6C63">
              <w:rPr>
                <w:rFonts w:ascii="Arial" w:eastAsia="Times New Roman" w:hAnsi="Arial" w:cs="Arial"/>
                <w:sz w:val="18"/>
                <w:szCs w:val="18"/>
                <w:lang w:eastAsia="sl-SI"/>
              </w:rPr>
              <w:t>Splošno</w:t>
            </w:r>
          </w:p>
        </w:tc>
        <w:tc>
          <w:tcPr>
            <w:tcW w:w="807" w:type="dxa"/>
            <w:tcBorders>
              <w:top w:val="nil"/>
              <w:left w:val="nil"/>
              <w:bottom w:val="single" w:sz="4" w:space="0" w:color="auto"/>
              <w:right w:val="single" w:sz="4" w:space="0" w:color="auto"/>
            </w:tcBorders>
            <w:shd w:val="clear" w:color="auto" w:fill="auto"/>
            <w:vAlign w:val="center"/>
            <w:hideMark/>
          </w:tcPr>
          <w:p w14:paraId="66A3095B" w14:textId="557F9083"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2.281</w:t>
            </w:r>
          </w:p>
        </w:tc>
        <w:tc>
          <w:tcPr>
            <w:tcW w:w="1480" w:type="dxa"/>
            <w:tcBorders>
              <w:top w:val="nil"/>
              <w:left w:val="nil"/>
              <w:bottom w:val="single" w:sz="4" w:space="0" w:color="auto"/>
              <w:right w:val="single" w:sz="4" w:space="0" w:color="auto"/>
            </w:tcBorders>
            <w:shd w:val="clear" w:color="auto" w:fill="auto"/>
            <w:vAlign w:val="center"/>
            <w:hideMark/>
          </w:tcPr>
          <w:p w14:paraId="17AADB00" w14:textId="0ABD3D6F"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412.084.800</w:t>
            </w:r>
          </w:p>
        </w:tc>
        <w:tc>
          <w:tcPr>
            <w:tcW w:w="1520" w:type="dxa"/>
            <w:tcBorders>
              <w:top w:val="nil"/>
              <w:left w:val="nil"/>
              <w:bottom w:val="single" w:sz="4" w:space="0" w:color="auto"/>
              <w:right w:val="single" w:sz="4" w:space="0" w:color="auto"/>
            </w:tcBorders>
            <w:shd w:val="clear" w:color="auto" w:fill="auto"/>
            <w:vAlign w:val="center"/>
            <w:hideMark/>
          </w:tcPr>
          <w:p w14:paraId="10A05AE8" w14:textId="7D6493D4"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15,00</w:t>
            </w:r>
            <w:r w:rsidR="00157259" w:rsidRPr="00AE6C63">
              <w:rPr>
                <w:rFonts w:ascii="Arial" w:hAnsi="Arial" w:cs="Arial"/>
                <w:sz w:val="18"/>
                <w:szCs w:val="18"/>
              </w:rPr>
              <w:t xml:space="preserve"> </w:t>
            </w:r>
            <w:r w:rsidRPr="00AE6C63">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72CC29D4" w14:textId="65591F0C"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18,21</w:t>
            </w:r>
            <w:r w:rsidR="00157259" w:rsidRPr="00AE6C63">
              <w:rPr>
                <w:rFonts w:ascii="Arial" w:hAnsi="Arial" w:cs="Arial"/>
                <w:sz w:val="18"/>
                <w:szCs w:val="18"/>
              </w:rPr>
              <w:t xml:space="preserve"> </w:t>
            </w:r>
            <w:r w:rsidRPr="00AE6C63">
              <w:rPr>
                <w:rFonts w:ascii="Arial" w:hAnsi="Arial" w:cs="Arial"/>
                <w:sz w:val="18"/>
                <w:szCs w:val="18"/>
              </w:rPr>
              <w:t>%</w:t>
            </w:r>
          </w:p>
        </w:tc>
      </w:tr>
      <w:tr w:rsidR="00B62BE1" w:rsidRPr="00AE6C63" w14:paraId="4C086827" w14:textId="77777777" w:rsidTr="00157259">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2F9FA2A" w14:textId="680675E0" w:rsidR="00B62BE1" w:rsidRPr="00AE6C63" w:rsidRDefault="00B62BE1" w:rsidP="00B62BE1">
            <w:pPr>
              <w:spacing w:after="0" w:line="240" w:lineRule="auto"/>
              <w:jc w:val="both"/>
              <w:rPr>
                <w:rFonts w:ascii="Arial" w:eastAsia="Times New Roman" w:hAnsi="Arial" w:cs="Arial"/>
                <w:sz w:val="18"/>
                <w:szCs w:val="18"/>
                <w:lang w:eastAsia="sl-SI"/>
              </w:rPr>
            </w:pPr>
            <w:r w:rsidRPr="00AE6C63">
              <w:rPr>
                <w:rFonts w:ascii="Arial" w:eastAsia="Times New Roman" w:hAnsi="Arial" w:cs="Arial"/>
                <w:sz w:val="18"/>
                <w:szCs w:val="18"/>
                <w:lang w:eastAsia="sl-SI"/>
              </w:rPr>
              <w:t>Infrastrukturno</w:t>
            </w:r>
          </w:p>
        </w:tc>
        <w:tc>
          <w:tcPr>
            <w:tcW w:w="807" w:type="dxa"/>
            <w:tcBorders>
              <w:top w:val="nil"/>
              <w:left w:val="nil"/>
              <w:bottom w:val="single" w:sz="4" w:space="0" w:color="auto"/>
              <w:right w:val="single" w:sz="4" w:space="0" w:color="auto"/>
            </w:tcBorders>
            <w:shd w:val="clear" w:color="auto" w:fill="auto"/>
            <w:vAlign w:val="center"/>
            <w:hideMark/>
          </w:tcPr>
          <w:p w14:paraId="1AFECC77" w14:textId="6AC73C3B"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237</w:t>
            </w:r>
          </w:p>
        </w:tc>
        <w:tc>
          <w:tcPr>
            <w:tcW w:w="1480" w:type="dxa"/>
            <w:tcBorders>
              <w:top w:val="nil"/>
              <w:left w:val="nil"/>
              <w:bottom w:val="single" w:sz="4" w:space="0" w:color="auto"/>
              <w:right w:val="single" w:sz="4" w:space="0" w:color="auto"/>
            </w:tcBorders>
            <w:shd w:val="clear" w:color="auto" w:fill="auto"/>
            <w:vAlign w:val="center"/>
            <w:hideMark/>
          </w:tcPr>
          <w:p w14:paraId="3BF6B557" w14:textId="5F2ED330" w:rsidR="00B62BE1" w:rsidRPr="00AE6C63" w:rsidRDefault="00B62BE1" w:rsidP="00157259">
            <w:pPr>
              <w:spacing w:after="0" w:line="240" w:lineRule="auto"/>
              <w:jc w:val="right"/>
              <w:rPr>
                <w:rFonts w:ascii="Arial" w:eastAsia="Times New Roman" w:hAnsi="Arial" w:cs="Arial"/>
                <w:sz w:val="18"/>
                <w:szCs w:val="18"/>
                <w:lang w:eastAsia="sl-SI"/>
              </w:rPr>
            </w:pPr>
            <w:bookmarkStart w:id="44" w:name="_Hlk11849902"/>
            <w:r w:rsidRPr="00AE6C63">
              <w:rPr>
                <w:rFonts w:ascii="Arial" w:hAnsi="Arial" w:cs="Arial"/>
                <w:sz w:val="18"/>
                <w:szCs w:val="18"/>
              </w:rPr>
              <w:t>112.057.082</w:t>
            </w:r>
            <w:bookmarkEnd w:id="44"/>
          </w:p>
        </w:tc>
        <w:tc>
          <w:tcPr>
            <w:tcW w:w="1520" w:type="dxa"/>
            <w:tcBorders>
              <w:top w:val="nil"/>
              <w:left w:val="nil"/>
              <w:bottom w:val="single" w:sz="4" w:space="0" w:color="auto"/>
              <w:right w:val="single" w:sz="4" w:space="0" w:color="auto"/>
            </w:tcBorders>
            <w:shd w:val="clear" w:color="auto" w:fill="auto"/>
            <w:vAlign w:val="center"/>
            <w:hideMark/>
          </w:tcPr>
          <w:p w14:paraId="0297A8B8" w14:textId="16881F09"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15,01</w:t>
            </w:r>
            <w:r w:rsidR="00157259" w:rsidRPr="00AE6C63">
              <w:rPr>
                <w:rFonts w:ascii="Arial" w:hAnsi="Arial" w:cs="Arial"/>
                <w:sz w:val="18"/>
                <w:szCs w:val="18"/>
              </w:rPr>
              <w:t xml:space="preserve"> </w:t>
            </w:r>
            <w:r w:rsidRPr="00AE6C63">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0F3053B8" w14:textId="2708EF6B"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19,01</w:t>
            </w:r>
            <w:r w:rsidR="00157259" w:rsidRPr="00AE6C63">
              <w:rPr>
                <w:rFonts w:ascii="Arial" w:hAnsi="Arial" w:cs="Arial"/>
                <w:sz w:val="18"/>
                <w:szCs w:val="18"/>
              </w:rPr>
              <w:t xml:space="preserve"> </w:t>
            </w:r>
            <w:r w:rsidRPr="00AE6C63">
              <w:rPr>
                <w:rFonts w:ascii="Arial" w:hAnsi="Arial" w:cs="Arial"/>
                <w:sz w:val="18"/>
                <w:szCs w:val="18"/>
              </w:rPr>
              <w:t>%</w:t>
            </w:r>
          </w:p>
        </w:tc>
      </w:tr>
      <w:tr w:rsidR="00B62BE1" w:rsidRPr="00AE6C63" w14:paraId="3E691714" w14:textId="77777777" w:rsidTr="00157259">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9907462" w14:textId="279EDBF7" w:rsidR="00B62BE1" w:rsidRPr="00AE6C63" w:rsidRDefault="00B62BE1" w:rsidP="00B62BE1">
            <w:pPr>
              <w:spacing w:after="0" w:line="240" w:lineRule="auto"/>
              <w:jc w:val="both"/>
              <w:rPr>
                <w:rFonts w:ascii="Arial" w:eastAsia="Times New Roman" w:hAnsi="Arial" w:cs="Arial"/>
                <w:sz w:val="18"/>
                <w:szCs w:val="18"/>
                <w:lang w:eastAsia="sl-SI"/>
              </w:rPr>
            </w:pPr>
            <w:r w:rsidRPr="00AE6C63">
              <w:rPr>
                <w:rFonts w:ascii="Arial" w:eastAsia="Times New Roman" w:hAnsi="Arial" w:cs="Arial"/>
                <w:sz w:val="18"/>
                <w:szCs w:val="18"/>
                <w:lang w:eastAsia="sl-SI"/>
              </w:rPr>
              <w:t>Obrambno</w:t>
            </w:r>
          </w:p>
        </w:tc>
        <w:tc>
          <w:tcPr>
            <w:tcW w:w="807" w:type="dxa"/>
            <w:tcBorders>
              <w:top w:val="nil"/>
              <w:left w:val="nil"/>
              <w:bottom w:val="single" w:sz="4" w:space="0" w:color="auto"/>
              <w:right w:val="single" w:sz="4" w:space="0" w:color="auto"/>
            </w:tcBorders>
            <w:shd w:val="clear" w:color="auto" w:fill="auto"/>
            <w:vAlign w:val="center"/>
            <w:hideMark/>
          </w:tcPr>
          <w:p w14:paraId="35CDDA19" w14:textId="5A574137"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14:paraId="3534CCB8" w14:textId="6E20128B"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0</w:t>
            </w:r>
          </w:p>
        </w:tc>
        <w:tc>
          <w:tcPr>
            <w:tcW w:w="1520" w:type="dxa"/>
            <w:tcBorders>
              <w:top w:val="nil"/>
              <w:left w:val="nil"/>
              <w:bottom w:val="single" w:sz="4" w:space="0" w:color="auto"/>
              <w:right w:val="single" w:sz="4" w:space="0" w:color="auto"/>
            </w:tcBorders>
            <w:shd w:val="clear" w:color="auto" w:fill="auto"/>
            <w:vAlign w:val="center"/>
            <w:hideMark/>
          </w:tcPr>
          <w:p w14:paraId="459E8E4D" w14:textId="7F1B48D9"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0,00</w:t>
            </w:r>
            <w:r w:rsidR="00157259" w:rsidRPr="00AE6C63">
              <w:rPr>
                <w:rFonts w:ascii="Arial" w:hAnsi="Arial" w:cs="Arial"/>
                <w:sz w:val="18"/>
                <w:szCs w:val="18"/>
              </w:rPr>
              <w:t xml:space="preserve"> </w:t>
            </w:r>
            <w:r w:rsidRPr="00AE6C63">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6EC6098B" w14:textId="1CD5B078" w:rsidR="00B62BE1" w:rsidRPr="00AE6C63" w:rsidRDefault="00B62BE1" w:rsidP="00157259">
            <w:pPr>
              <w:spacing w:after="0" w:line="240" w:lineRule="auto"/>
              <w:jc w:val="right"/>
              <w:rPr>
                <w:rFonts w:ascii="Arial" w:eastAsia="Times New Roman" w:hAnsi="Arial" w:cs="Arial"/>
                <w:sz w:val="18"/>
                <w:szCs w:val="18"/>
                <w:lang w:eastAsia="sl-SI"/>
              </w:rPr>
            </w:pPr>
            <w:r w:rsidRPr="00AE6C63">
              <w:rPr>
                <w:rFonts w:ascii="Arial" w:hAnsi="Arial" w:cs="Arial"/>
                <w:sz w:val="18"/>
                <w:szCs w:val="18"/>
              </w:rPr>
              <w:t>0,00</w:t>
            </w:r>
            <w:r w:rsidR="00157259" w:rsidRPr="00AE6C63">
              <w:rPr>
                <w:rFonts w:ascii="Arial" w:hAnsi="Arial" w:cs="Arial"/>
                <w:sz w:val="18"/>
                <w:szCs w:val="18"/>
              </w:rPr>
              <w:t xml:space="preserve"> </w:t>
            </w:r>
            <w:r w:rsidRPr="00AE6C63">
              <w:rPr>
                <w:rFonts w:ascii="Arial" w:hAnsi="Arial" w:cs="Arial"/>
                <w:sz w:val="18"/>
                <w:szCs w:val="18"/>
              </w:rPr>
              <w:t>%</w:t>
            </w:r>
          </w:p>
        </w:tc>
      </w:tr>
      <w:tr w:rsidR="00B62BE1" w:rsidRPr="00AE6C63" w14:paraId="5320B552" w14:textId="77777777" w:rsidTr="00B45EE0">
        <w:trPr>
          <w:trHeight w:val="300"/>
          <w:jc w:val="center"/>
        </w:trPr>
        <w:tc>
          <w:tcPr>
            <w:tcW w:w="1701" w:type="dxa"/>
            <w:tcBorders>
              <w:top w:val="nil"/>
              <w:left w:val="single" w:sz="4" w:space="0" w:color="auto"/>
              <w:bottom w:val="single" w:sz="4" w:space="0" w:color="auto"/>
              <w:right w:val="single" w:sz="4" w:space="0" w:color="auto"/>
            </w:tcBorders>
            <w:shd w:val="clear" w:color="auto" w:fill="E7E6E6" w:themeFill="background2"/>
            <w:vAlign w:val="center"/>
            <w:hideMark/>
          </w:tcPr>
          <w:p w14:paraId="60A71E39" w14:textId="69C63104" w:rsidR="00B62BE1" w:rsidRPr="00AE6C63" w:rsidRDefault="00B62BE1" w:rsidP="00B62BE1">
            <w:pPr>
              <w:spacing w:after="0" w:line="240" w:lineRule="auto"/>
              <w:jc w:val="both"/>
              <w:rPr>
                <w:rFonts w:ascii="Arial" w:eastAsia="Times New Roman" w:hAnsi="Arial" w:cs="Arial"/>
                <w:b/>
                <w:bCs/>
                <w:sz w:val="18"/>
                <w:szCs w:val="18"/>
                <w:lang w:eastAsia="sl-SI"/>
              </w:rPr>
            </w:pPr>
            <w:r w:rsidRPr="00AE6C63">
              <w:rPr>
                <w:rFonts w:ascii="Arial" w:eastAsia="Times New Roman" w:hAnsi="Arial" w:cs="Arial"/>
                <w:b/>
                <w:bCs/>
                <w:sz w:val="18"/>
                <w:szCs w:val="18"/>
                <w:lang w:eastAsia="sl-SI"/>
              </w:rPr>
              <w:t>Skupaj</w:t>
            </w:r>
          </w:p>
        </w:tc>
        <w:tc>
          <w:tcPr>
            <w:tcW w:w="807" w:type="dxa"/>
            <w:tcBorders>
              <w:top w:val="nil"/>
              <w:left w:val="nil"/>
              <w:bottom w:val="single" w:sz="4" w:space="0" w:color="auto"/>
              <w:right w:val="single" w:sz="4" w:space="0" w:color="auto"/>
            </w:tcBorders>
            <w:shd w:val="clear" w:color="auto" w:fill="E7E6E6" w:themeFill="background2"/>
            <w:vAlign w:val="center"/>
            <w:hideMark/>
          </w:tcPr>
          <w:p w14:paraId="063F673F" w14:textId="5858DBB3" w:rsidR="00B62BE1" w:rsidRPr="00AE6C63" w:rsidRDefault="00B62BE1" w:rsidP="00157259">
            <w:pPr>
              <w:spacing w:after="0" w:line="240" w:lineRule="auto"/>
              <w:jc w:val="right"/>
              <w:rPr>
                <w:rFonts w:ascii="Arial" w:eastAsia="Times New Roman" w:hAnsi="Arial" w:cs="Arial"/>
                <w:b/>
                <w:bCs/>
                <w:sz w:val="18"/>
                <w:szCs w:val="18"/>
                <w:lang w:eastAsia="sl-SI"/>
              </w:rPr>
            </w:pPr>
            <w:r w:rsidRPr="00AE6C63">
              <w:rPr>
                <w:rFonts w:ascii="Arial" w:hAnsi="Arial" w:cs="Arial"/>
                <w:b/>
                <w:sz w:val="18"/>
                <w:szCs w:val="18"/>
              </w:rPr>
              <w:t>2.518</w:t>
            </w:r>
          </w:p>
        </w:tc>
        <w:tc>
          <w:tcPr>
            <w:tcW w:w="1480" w:type="dxa"/>
            <w:tcBorders>
              <w:top w:val="nil"/>
              <w:left w:val="nil"/>
              <w:bottom w:val="single" w:sz="4" w:space="0" w:color="auto"/>
              <w:right w:val="single" w:sz="4" w:space="0" w:color="auto"/>
            </w:tcBorders>
            <w:shd w:val="clear" w:color="auto" w:fill="E7E6E6" w:themeFill="background2"/>
            <w:vAlign w:val="center"/>
            <w:hideMark/>
          </w:tcPr>
          <w:p w14:paraId="49689D00" w14:textId="38AF4407" w:rsidR="00B62BE1" w:rsidRPr="00AE6C63" w:rsidRDefault="00B62BE1" w:rsidP="00157259">
            <w:pPr>
              <w:spacing w:after="0" w:line="240" w:lineRule="auto"/>
              <w:jc w:val="right"/>
              <w:rPr>
                <w:rFonts w:ascii="Arial" w:eastAsia="Times New Roman" w:hAnsi="Arial" w:cs="Arial"/>
                <w:b/>
                <w:bCs/>
                <w:sz w:val="18"/>
                <w:szCs w:val="18"/>
                <w:lang w:eastAsia="sl-SI"/>
              </w:rPr>
            </w:pPr>
            <w:r w:rsidRPr="00AE6C63">
              <w:rPr>
                <w:rFonts w:ascii="Arial" w:hAnsi="Arial" w:cs="Arial"/>
                <w:b/>
                <w:sz w:val="18"/>
                <w:szCs w:val="18"/>
              </w:rPr>
              <w:t>524.141.882</w:t>
            </w:r>
          </w:p>
        </w:tc>
        <w:tc>
          <w:tcPr>
            <w:tcW w:w="1520" w:type="dxa"/>
            <w:tcBorders>
              <w:top w:val="nil"/>
              <w:left w:val="nil"/>
              <w:bottom w:val="single" w:sz="4" w:space="0" w:color="auto"/>
              <w:right w:val="single" w:sz="4" w:space="0" w:color="auto"/>
            </w:tcBorders>
            <w:shd w:val="clear" w:color="auto" w:fill="E7E6E6" w:themeFill="background2"/>
            <w:vAlign w:val="center"/>
            <w:hideMark/>
          </w:tcPr>
          <w:p w14:paraId="4D5BDCEB" w14:textId="54C6AFF5" w:rsidR="00B62BE1" w:rsidRPr="00AE6C63" w:rsidRDefault="00B62BE1" w:rsidP="00157259">
            <w:pPr>
              <w:spacing w:after="0" w:line="240" w:lineRule="auto"/>
              <w:jc w:val="right"/>
              <w:rPr>
                <w:rFonts w:ascii="Arial" w:eastAsia="Times New Roman" w:hAnsi="Arial" w:cs="Arial"/>
                <w:b/>
                <w:bCs/>
                <w:sz w:val="18"/>
                <w:szCs w:val="18"/>
                <w:lang w:eastAsia="sl-SI"/>
              </w:rPr>
            </w:pPr>
            <w:r w:rsidRPr="00AE6C63">
              <w:rPr>
                <w:rFonts w:ascii="Arial" w:hAnsi="Arial" w:cs="Arial"/>
                <w:b/>
                <w:sz w:val="18"/>
                <w:szCs w:val="18"/>
              </w:rPr>
              <w:t>14,93</w:t>
            </w:r>
            <w:r w:rsidR="00157259" w:rsidRPr="00AE6C63">
              <w:rPr>
                <w:rFonts w:ascii="Arial" w:hAnsi="Arial" w:cs="Arial"/>
                <w:b/>
                <w:sz w:val="18"/>
                <w:szCs w:val="18"/>
              </w:rPr>
              <w:t xml:space="preserve"> </w:t>
            </w:r>
            <w:r w:rsidRPr="00AE6C63">
              <w:rPr>
                <w:rFonts w:ascii="Arial" w:hAnsi="Arial" w:cs="Arial"/>
                <w:b/>
                <w:sz w:val="18"/>
                <w:szCs w:val="18"/>
              </w:rPr>
              <w:t>%</w:t>
            </w:r>
          </w:p>
        </w:tc>
        <w:tc>
          <w:tcPr>
            <w:tcW w:w="1560" w:type="dxa"/>
            <w:tcBorders>
              <w:top w:val="nil"/>
              <w:left w:val="nil"/>
              <w:bottom w:val="single" w:sz="4" w:space="0" w:color="auto"/>
              <w:right w:val="single" w:sz="4" w:space="0" w:color="auto"/>
            </w:tcBorders>
            <w:shd w:val="clear" w:color="auto" w:fill="E7E6E6" w:themeFill="background2"/>
            <w:vAlign w:val="center"/>
            <w:hideMark/>
          </w:tcPr>
          <w:p w14:paraId="58370DFE" w14:textId="4CDFA1D7" w:rsidR="00B62BE1" w:rsidRPr="00AE6C63" w:rsidRDefault="00B62BE1" w:rsidP="00157259">
            <w:pPr>
              <w:spacing w:after="0" w:line="240" w:lineRule="auto"/>
              <w:jc w:val="right"/>
              <w:rPr>
                <w:rFonts w:ascii="Arial" w:eastAsia="Times New Roman" w:hAnsi="Arial" w:cs="Arial"/>
                <w:b/>
                <w:bCs/>
                <w:sz w:val="18"/>
                <w:szCs w:val="18"/>
                <w:lang w:eastAsia="sl-SI"/>
              </w:rPr>
            </w:pPr>
            <w:r w:rsidRPr="00AE6C63">
              <w:rPr>
                <w:rFonts w:ascii="Arial" w:hAnsi="Arial" w:cs="Arial"/>
                <w:b/>
                <w:sz w:val="18"/>
                <w:szCs w:val="18"/>
              </w:rPr>
              <w:t>17,96</w:t>
            </w:r>
            <w:r w:rsidR="00157259" w:rsidRPr="00AE6C63">
              <w:rPr>
                <w:rFonts w:ascii="Arial" w:hAnsi="Arial" w:cs="Arial"/>
                <w:b/>
                <w:sz w:val="18"/>
                <w:szCs w:val="18"/>
              </w:rPr>
              <w:t xml:space="preserve"> </w:t>
            </w:r>
            <w:r w:rsidRPr="00AE6C63">
              <w:rPr>
                <w:rFonts w:ascii="Arial" w:hAnsi="Arial" w:cs="Arial"/>
                <w:b/>
                <w:sz w:val="18"/>
                <w:szCs w:val="18"/>
              </w:rPr>
              <w:t>%</w:t>
            </w:r>
          </w:p>
        </w:tc>
      </w:tr>
    </w:tbl>
    <w:p w14:paraId="507B282D" w14:textId="77777777" w:rsidR="004A613D" w:rsidRPr="00AE6C63" w:rsidRDefault="004A613D" w:rsidP="004A613D">
      <w:pPr>
        <w:spacing w:after="0" w:line="240" w:lineRule="auto"/>
        <w:jc w:val="center"/>
        <w:rPr>
          <w:rFonts w:ascii="Arial" w:hAnsi="Arial" w:cs="Arial"/>
          <w:sz w:val="18"/>
        </w:rPr>
      </w:pPr>
      <w:r w:rsidRPr="00AE6C63">
        <w:rPr>
          <w:rFonts w:ascii="Arial" w:hAnsi="Arial" w:cs="Arial"/>
          <w:sz w:val="18"/>
        </w:rPr>
        <w:t>¸</w:t>
      </w:r>
    </w:p>
    <w:p w14:paraId="75952EB9" w14:textId="13BCBD05" w:rsidR="00F83DD4" w:rsidRPr="00AE6C63" w:rsidRDefault="00F83DD4" w:rsidP="004A613D">
      <w:pPr>
        <w:spacing w:after="0" w:line="240" w:lineRule="auto"/>
        <w:jc w:val="center"/>
        <w:rPr>
          <w:rFonts w:ascii="Arial" w:hAnsi="Arial" w:cs="Arial"/>
          <w:sz w:val="18"/>
        </w:rPr>
      </w:pPr>
      <w:r w:rsidRPr="00AE6C63">
        <w:rPr>
          <w:rFonts w:ascii="Arial" w:hAnsi="Arial" w:cs="Arial"/>
          <w:sz w:val="18"/>
        </w:rPr>
        <w:t>Vir: Statistični podatki o javnih naročilih, oddanih v letu 20</w:t>
      </w:r>
      <w:r w:rsidR="000B67CB" w:rsidRPr="00AE6C63">
        <w:rPr>
          <w:rFonts w:ascii="Arial" w:hAnsi="Arial" w:cs="Arial"/>
          <w:sz w:val="18"/>
        </w:rPr>
        <w:t>1</w:t>
      </w:r>
      <w:r w:rsidR="00157259" w:rsidRPr="00AE6C63">
        <w:rPr>
          <w:rFonts w:ascii="Arial" w:hAnsi="Arial" w:cs="Arial"/>
          <w:sz w:val="18"/>
        </w:rPr>
        <w:t>8</w:t>
      </w:r>
    </w:p>
    <w:p w14:paraId="63AD0122" w14:textId="77777777" w:rsidR="004A613D" w:rsidRPr="00EF2D0B" w:rsidRDefault="004A613D" w:rsidP="00F513C9">
      <w:pPr>
        <w:spacing w:line="360" w:lineRule="auto"/>
        <w:jc w:val="both"/>
        <w:rPr>
          <w:rFonts w:ascii="Arial" w:hAnsi="Arial" w:cs="Arial"/>
          <w:sz w:val="20"/>
          <w:szCs w:val="20"/>
          <w:highlight w:val="yellow"/>
        </w:rPr>
      </w:pPr>
    </w:p>
    <w:p w14:paraId="7F39B48D" w14:textId="3FCD6C6C" w:rsidR="00F513C9" w:rsidRPr="00D4238E" w:rsidRDefault="00F83DD4" w:rsidP="00F513C9">
      <w:pPr>
        <w:spacing w:line="360" w:lineRule="auto"/>
        <w:jc w:val="both"/>
        <w:rPr>
          <w:rFonts w:ascii="Arial" w:hAnsi="Arial" w:cs="Arial"/>
          <w:sz w:val="20"/>
          <w:szCs w:val="20"/>
        </w:rPr>
      </w:pPr>
      <w:r w:rsidRPr="00D4238E">
        <w:rPr>
          <w:rFonts w:ascii="Arial" w:hAnsi="Arial" w:cs="Arial"/>
          <w:sz w:val="20"/>
          <w:szCs w:val="20"/>
        </w:rPr>
        <w:t xml:space="preserve">Naročniki so socialne vidike upoštevali </w:t>
      </w:r>
      <w:r w:rsidR="004F0828" w:rsidRPr="00D4238E">
        <w:rPr>
          <w:rFonts w:ascii="Arial" w:hAnsi="Arial" w:cs="Arial"/>
          <w:sz w:val="20"/>
          <w:szCs w:val="20"/>
        </w:rPr>
        <w:t>pri</w:t>
      </w:r>
      <w:r w:rsidR="00415E9F" w:rsidRPr="00D4238E">
        <w:rPr>
          <w:rFonts w:ascii="Arial" w:hAnsi="Arial" w:cs="Arial"/>
          <w:sz w:val="20"/>
          <w:szCs w:val="20"/>
        </w:rPr>
        <w:t xml:space="preserve"> </w:t>
      </w:r>
      <w:r w:rsidR="00D4238E" w:rsidRPr="00D4238E">
        <w:rPr>
          <w:rFonts w:ascii="Arial" w:hAnsi="Arial" w:cs="Arial"/>
          <w:sz w:val="20"/>
          <w:szCs w:val="20"/>
        </w:rPr>
        <w:t xml:space="preserve">razlogih za izključitev, </w:t>
      </w:r>
      <w:r w:rsidRPr="00D4238E">
        <w:rPr>
          <w:rFonts w:ascii="Arial" w:hAnsi="Arial" w:cs="Arial"/>
          <w:sz w:val="20"/>
          <w:szCs w:val="20"/>
        </w:rPr>
        <w:t xml:space="preserve">specifikacijah, merilih, pogodbi in pogojih za priznanje sposobnosti oziroma na drug način. Pri posameznem naročilu so lahko socialne </w:t>
      </w:r>
      <w:r w:rsidRPr="00D4238E">
        <w:rPr>
          <w:rFonts w:ascii="Arial" w:hAnsi="Arial" w:cs="Arial"/>
          <w:sz w:val="20"/>
          <w:szCs w:val="20"/>
        </w:rPr>
        <w:lastRenderedPageBreak/>
        <w:t>vidike upoštevali na en</w:t>
      </w:r>
      <w:r w:rsidR="00B438B8" w:rsidRPr="00D4238E">
        <w:rPr>
          <w:rFonts w:ascii="Arial" w:hAnsi="Arial" w:cs="Arial"/>
          <w:sz w:val="20"/>
          <w:szCs w:val="20"/>
        </w:rPr>
        <w:t xml:space="preserve"> način</w:t>
      </w:r>
      <w:r w:rsidRPr="00D4238E">
        <w:rPr>
          <w:rFonts w:ascii="Arial" w:hAnsi="Arial" w:cs="Arial"/>
          <w:sz w:val="20"/>
          <w:szCs w:val="20"/>
        </w:rPr>
        <w:t xml:space="preserve"> ali več načinov. Največkrat so jih upoštevali v </w:t>
      </w:r>
      <w:r w:rsidR="00254501" w:rsidRPr="00D4238E">
        <w:rPr>
          <w:rFonts w:ascii="Arial" w:eastAsia="Times New Roman" w:hAnsi="Arial" w:cs="Arial"/>
          <w:color w:val="000000"/>
          <w:sz w:val="20"/>
          <w:szCs w:val="20"/>
          <w:lang w:eastAsia="sl-SI"/>
        </w:rPr>
        <w:t>pogodbenih določilih iz obligacijskega razmerja</w:t>
      </w:r>
      <w:r w:rsidRPr="00D4238E">
        <w:rPr>
          <w:rFonts w:ascii="Arial" w:hAnsi="Arial" w:cs="Arial"/>
          <w:sz w:val="20"/>
          <w:szCs w:val="20"/>
        </w:rPr>
        <w:t xml:space="preserve">, in sicer </w:t>
      </w:r>
      <w:r w:rsidR="00B438B8" w:rsidRPr="00D4238E">
        <w:rPr>
          <w:rFonts w:ascii="Arial" w:hAnsi="Arial" w:cs="Arial"/>
          <w:sz w:val="20"/>
          <w:szCs w:val="20"/>
        </w:rPr>
        <w:t>pri</w:t>
      </w:r>
      <w:r w:rsidR="00415E9F" w:rsidRPr="00D4238E">
        <w:rPr>
          <w:rFonts w:ascii="Arial" w:hAnsi="Arial" w:cs="Arial"/>
          <w:sz w:val="20"/>
          <w:szCs w:val="20"/>
        </w:rPr>
        <w:t xml:space="preserve"> </w:t>
      </w:r>
      <w:r w:rsidR="00D4238E" w:rsidRPr="00D4238E">
        <w:rPr>
          <w:rFonts w:ascii="Arial" w:hAnsi="Arial" w:cs="Arial"/>
          <w:sz w:val="20"/>
          <w:szCs w:val="20"/>
        </w:rPr>
        <w:t>1583</w:t>
      </w:r>
      <w:r w:rsidRPr="00D4238E">
        <w:rPr>
          <w:rFonts w:ascii="Arial" w:hAnsi="Arial" w:cs="Arial"/>
          <w:sz w:val="20"/>
          <w:szCs w:val="20"/>
        </w:rPr>
        <w:t xml:space="preserve"> </w:t>
      </w:r>
      <w:r w:rsidR="009B2527" w:rsidRPr="00D4238E">
        <w:rPr>
          <w:rFonts w:ascii="Arial" w:hAnsi="Arial" w:cs="Arial"/>
          <w:sz w:val="20"/>
          <w:szCs w:val="20"/>
        </w:rPr>
        <w:t>naročilih</w:t>
      </w:r>
      <w:r w:rsidRPr="00D4238E">
        <w:rPr>
          <w:rFonts w:ascii="Arial" w:hAnsi="Arial" w:cs="Arial"/>
          <w:sz w:val="20"/>
          <w:szCs w:val="20"/>
        </w:rPr>
        <w:t>.</w:t>
      </w:r>
      <w:r w:rsidR="00F513C9" w:rsidRPr="00D4238E">
        <w:rPr>
          <w:rFonts w:ascii="Arial" w:hAnsi="Arial" w:cs="Arial"/>
          <w:sz w:val="20"/>
          <w:szCs w:val="20"/>
        </w:rPr>
        <w:t xml:space="preserve"> </w:t>
      </w:r>
    </w:p>
    <w:p w14:paraId="4A414EA7" w14:textId="0493956F" w:rsidR="00F83DD4" w:rsidRPr="00003250" w:rsidRDefault="00F83DD4" w:rsidP="00701C10">
      <w:pPr>
        <w:spacing w:before="120" w:after="120" w:line="240" w:lineRule="auto"/>
        <w:jc w:val="both"/>
        <w:rPr>
          <w:rFonts w:ascii="Arial" w:hAnsi="Arial" w:cs="Arial"/>
          <w:sz w:val="20"/>
        </w:rPr>
      </w:pPr>
      <w:r w:rsidRPr="00003250">
        <w:rPr>
          <w:rFonts w:ascii="Arial" w:hAnsi="Arial" w:cs="Arial"/>
          <w:sz w:val="20"/>
        </w:rPr>
        <w:t>Preglednica </w:t>
      </w:r>
      <w:r w:rsidR="00474678" w:rsidRPr="00003250">
        <w:rPr>
          <w:rFonts w:ascii="Arial" w:hAnsi="Arial" w:cs="Arial"/>
          <w:sz w:val="20"/>
        </w:rPr>
        <w:t>6</w:t>
      </w:r>
      <w:r w:rsidR="00F3604D">
        <w:rPr>
          <w:rFonts w:ascii="Arial" w:hAnsi="Arial" w:cs="Arial"/>
          <w:sz w:val="20"/>
        </w:rPr>
        <w:t>4</w:t>
      </w:r>
      <w:r w:rsidRPr="00003250">
        <w:rPr>
          <w:rFonts w:ascii="Arial" w:hAnsi="Arial" w:cs="Arial"/>
          <w:sz w:val="20"/>
        </w:rPr>
        <w:t>: Število in vrednost glede na način upoštevanja socialnih vidikov</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0"/>
        <w:gridCol w:w="705"/>
        <w:gridCol w:w="1255"/>
        <w:gridCol w:w="1739"/>
        <w:gridCol w:w="1796"/>
      </w:tblGrid>
      <w:tr w:rsidR="00415E9F" w:rsidRPr="00E4164F" w14:paraId="638EA10D" w14:textId="77777777" w:rsidTr="00364785">
        <w:trPr>
          <w:trHeight w:val="805"/>
          <w:jc w:val="center"/>
        </w:trPr>
        <w:tc>
          <w:tcPr>
            <w:tcW w:w="2580" w:type="dxa"/>
            <w:shd w:val="clear" w:color="000000" w:fill="EDEDED"/>
            <w:vAlign w:val="center"/>
            <w:hideMark/>
          </w:tcPr>
          <w:p w14:paraId="0FABD7D9" w14:textId="12855877" w:rsidR="00415E9F" w:rsidRPr="00E4164F" w:rsidRDefault="00415E9F" w:rsidP="00544A88">
            <w:pPr>
              <w:spacing w:after="0" w:line="240" w:lineRule="auto"/>
              <w:jc w:val="center"/>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 xml:space="preserve">Način upoštevanja socialnih vidikov </w:t>
            </w:r>
            <w:r w:rsidR="00B438B8" w:rsidRPr="00E4164F">
              <w:rPr>
                <w:rFonts w:ascii="Arial" w:eastAsia="Times New Roman" w:hAnsi="Arial" w:cs="Arial"/>
                <w:color w:val="000000"/>
                <w:sz w:val="18"/>
                <w:szCs w:val="18"/>
                <w:lang w:eastAsia="sl-SI"/>
              </w:rPr>
              <w:t>pri</w:t>
            </w:r>
            <w:r w:rsidRPr="00E4164F">
              <w:rPr>
                <w:rFonts w:ascii="Arial" w:eastAsia="Times New Roman" w:hAnsi="Arial" w:cs="Arial"/>
                <w:color w:val="000000"/>
                <w:sz w:val="18"/>
                <w:szCs w:val="18"/>
                <w:lang w:eastAsia="sl-SI"/>
              </w:rPr>
              <w:t xml:space="preserve"> javn</w:t>
            </w:r>
            <w:r w:rsidR="00B438B8" w:rsidRPr="00E4164F">
              <w:rPr>
                <w:rFonts w:ascii="Arial" w:eastAsia="Times New Roman" w:hAnsi="Arial" w:cs="Arial"/>
                <w:color w:val="000000"/>
                <w:sz w:val="18"/>
                <w:szCs w:val="18"/>
                <w:lang w:eastAsia="sl-SI"/>
              </w:rPr>
              <w:t>em</w:t>
            </w:r>
            <w:r w:rsidRPr="00E4164F">
              <w:rPr>
                <w:rFonts w:ascii="Arial" w:eastAsia="Times New Roman" w:hAnsi="Arial" w:cs="Arial"/>
                <w:color w:val="000000"/>
                <w:sz w:val="18"/>
                <w:szCs w:val="18"/>
                <w:lang w:eastAsia="sl-SI"/>
              </w:rPr>
              <w:t xml:space="preserve"> naročanj</w:t>
            </w:r>
            <w:r w:rsidR="00B438B8" w:rsidRPr="00E4164F">
              <w:rPr>
                <w:rFonts w:ascii="Arial" w:eastAsia="Times New Roman" w:hAnsi="Arial" w:cs="Arial"/>
                <w:color w:val="000000"/>
                <w:sz w:val="18"/>
                <w:szCs w:val="18"/>
                <w:lang w:eastAsia="sl-SI"/>
              </w:rPr>
              <w:t>u</w:t>
            </w:r>
          </w:p>
        </w:tc>
        <w:tc>
          <w:tcPr>
            <w:tcW w:w="705" w:type="dxa"/>
            <w:shd w:val="clear" w:color="000000" w:fill="EDEDED"/>
            <w:vAlign w:val="center"/>
            <w:hideMark/>
          </w:tcPr>
          <w:p w14:paraId="4E844ED0" w14:textId="0101E9F9" w:rsidR="00415E9F" w:rsidRPr="00E4164F" w:rsidRDefault="00415E9F" w:rsidP="00544A88">
            <w:pPr>
              <w:spacing w:after="0" w:line="240" w:lineRule="auto"/>
              <w:jc w:val="center"/>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 xml:space="preserve">Št. naročil </w:t>
            </w:r>
          </w:p>
        </w:tc>
        <w:tc>
          <w:tcPr>
            <w:tcW w:w="1255" w:type="dxa"/>
            <w:shd w:val="clear" w:color="000000" w:fill="EDEDED"/>
            <w:vAlign w:val="center"/>
            <w:hideMark/>
          </w:tcPr>
          <w:p w14:paraId="44D05721" w14:textId="77777777" w:rsidR="00415E9F" w:rsidRPr="00E4164F" w:rsidRDefault="00415E9F" w:rsidP="00544A88">
            <w:pPr>
              <w:spacing w:after="0" w:line="240" w:lineRule="auto"/>
              <w:jc w:val="center"/>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Pogodbena vrednost</w:t>
            </w:r>
          </w:p>
        </w:tc>
        <w:tc>
          <w:tcPr>
            <w:tcW w:w="1739" w:type="dxa"/>
            <w:shd w:val="clear" w:color="000000" w:fill="EDEDED"/>
            <w:vAlign w:val="center"/>
            <w:hideMark/>
          </w:tcPr>
          <w:p w14:paraId="07AB7777" w14:textId="77777777" w:rsidR="00415E9F" w:rsidRPr="00E4164F" w:rsidRDefault="00415E9F" w:rsidP="00544A88">
            <w:pPr>
              <w:spacing w:after="0" w:line="240" w:lineRule="auto"/>
              <w:jc w:val="center"/>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Delež v številu naročil (socialni vidiki)</w:t>
            </w:r>
          </w:p>
        </w:tc>
        <w:tc>
          <w:tcPr>
            <w:tcW w:w="1796" w:type="dxa"/>
            <w:shd w:val="clear" w:color="000000" w:fill="EDEDED"/>
            <w:vAlign w:val="center"/>
            <w:hideMark/>
          </w:tcPr>
          <w:p w14:paraId="5812C7FA" w14:textId="77777777" w:rsidR="00415E9F" w:rsidRPr="00E4164F" w:rsidRDefault="00415E9F" w:rsidP="00544A88">
            <w:pPr>
              <w:spacing w:after="0" w:line="240" w:lineRule="auto"/>
              <w:jc w:val="center"/>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Delež v vrednosti naročil (socialni vidiki)</w:t>
            </w:r>
          </w:p>
        </w:tc>
      </w:tr>
      <w:tr w:rsidR="00E4164F" w:rsidRPr="00E4164F" w14:paraId="6F28E712" w14:textId="77777777" w:rsidTr="00364785">
        <w:trPr>
          <w:trHeight w:val="300"/>
          <w:jc w:val="center"/>
        </w:trPr>
        <w:tc>
          <w:tcPr>
            <w:tcW w:w="2580" w:type="dxa"/>
            <w:shd w:val="clear" w:color="auto" w:fill="auto"/>
            <w:vAlign w:val="center"/>
            <w:hideMark/>
          </w:tcPr>
          <w:p w14:paraId="71C56AC1" w14:textId="09B82496" w:rsidR="00E4164F" w:rsidRPr="00E4164F" w:rsidRDefault="00E4164F" w:rsidP="000B0640">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Predmet javnega naročila</w:t>
            </w:r>
          </w:p>
        </w:tc>
        <w:tc>
          <w:tcPr>
            <w:tcW w:w="705" w:type="dxa"/>
            <w:shd w:val="clear" w:color="auto" w:fill="auto"/>
            <w:vAlign w:val="center"/>
            <w:hideMark/>
          </w:tcPr>
          <w:p w14:paraId="3D9D51B2" w14:textId="10753BFF"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0</w:t>
            </w:r>
          </w:p>
        </w:tc>
        <w:tc>
          <w:tcPr>
            <w:tcW w:w="1255" w:type="dxa"/>
            <w:shd w:val="clear" w:color="auto" w:fill="auto"/>
            <w:vAlign w:val="center"/>
            <w:hideMark/>
          </w:tcPr>
          <w:p w14:paraId="5753DC93" w14:textId="46F2F866"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0</w:t>
            </w:r>
          </w:p>
        </w:tc>
        <w:tc>
          <w:tcPr>
            <w:tcW w:w="1739" w:type="dxa"/>
            <w:shd w:val="clear" w:color="auto" w:fill="auto"/>
            <w:vAlign w:val="center"/>
            <w:hideMark/>
          </w:tcPr>
          <w:p w14:paraId="4741D51C" w14:textId="42A196B7"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0,00</w:t>
            </w:r>
            <w:r w:rsidR="005C4F6A">
              <w:rPr>
                <w:rFonts w:ascii="Arial" w:hAnsi="Arial" w:cs="Arial"/>
                <w:sz w:val="18"/>
                <w:szCs w:val="18"/>
              </w:rPr>
              <w:t xml:space="preserve"> %</w:t>
            </w:r>
          </w:p>
        </w:tc>
        <w:tc>
          <w:tcPr>
            <w:tcW w:w="1796" w:type="dxa"/>
            <w:shd w:val="clear" w:color="auto" w:fill="auto"/>
            <w:vAlign w:val="center"/>
            <w:hideMark/>
          </w:tcPr>
          <w:p w14:paraId="4399679E" w14:textId="7834610C"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0,00</w:t>
            </w:r>
            <w:r w:rsidR="005C4F6A">
              <w:rPr>
                <w:rFonts w:ascii="Arial" w:hAnsi="Arial" w:cs="Arial"/>
                <w:sz w:val="18"/>
                <w:szCs w:val="18"/>
              </w:rPr>
              <w:t xml:space="preserve"> %</w:t>
            </w:r>
          </w:p>
        </w:tc>
      </w:tr>
      <w:tr w:rsidR="00E4164F" w:rsidRPr="00E4164F" w14:paraId="24E2408F" w14:textId="77777777" w:rsidTr="00364785">
        <w:trPr>
          <w:trHeight w:val="300"/>
          <w:jc w:val="center"/>
        </w:trPr>
        <w:tc>
          <w:tcPr>
            <w:tcW w:w="2580" w:type="dxa"/>
            <w:shd w:val="clear" w:color="auto" w:fill="auto"/>
            <w:vAlign w:val="center"/>
            <w:hideMark/>
          </w:tcPr>
          <w:p w14:paraId="0F35931B" w14:textId="1E234C0A" w:rsidR="00E4164F" w:rsidRPr="00E4164F" w:rsidRDefault="00E4164F" w:rsidP="000B0640">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Tehnične specifikacije</w:t>
            </w:r>
          </w:p>
        </w:tc>
        <w:tc>
          <w:tcPr>
            <w:tcW w:w="705" w:type="dxa"/>
            <w:shd w:val="clear" w:color="auto" w:fill="auto"/>
            <w:vAlign w:val="center"/>
            <w:hideMark/>
          </w:tcPr>
          <w:p w14:paraId="15592623" w14:textId="70687CF4"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515</w:t>
            </w:r>
          </w:p>
        </w:tc>
        <w:tc>
          <w:tcPr>
            <w:tcW w:w="1255" w:type="dxa"/>
            <w:shd w:val="clear" w:color="auto" w:fill="auto"/>
            <w:vAlign w:val="center"/>
            <w:hideMark/>
          </w:tcPr>
          <w:p w14:paraId="1818D074" w14:textId="65C81AEA"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213.744.995</w:t>
            </w:r>
          </w:p>
        </w:tc>
        <w:tc>
          <w:tcPr>
            <w:tcW w:w="1739" w:type="dxa"/>
            <w:shd w:val="clear" w:color="auto" w:fill="auto"/>
            <w:vAlign w:val="center"/>
            <w:hideMark/>
          </w:tcPr>
          <w:p w14:paraId="0B01AD6A" w14:textId="0B3785B4"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20,45</w:t>
            </w:r>
            <w:r w:rsidR="005C4F6A">
              <w:rPr>
                <w:rFonts w:ascii="Arial" w:hAnsi="Arial" w:cs="Arial"/>
                <w:sz w:val="18"/>
                <w:szCs w:val="18"/>
              </w:rPr>
              <w:t xml:space="preserve"> %</w:t>
            </w:r>
          </w:p>
        </w:tc>
        <w:tc>
          <w:tcPr>
            <w:tcW w:w="1796" w:type="dxa"/>
            <w:shd w:val="clear" w:color="auto" w:fill="auto"/>
            <w:vAlign w:val="center"/>
            <w:hideMark/>
          </w:tcPr>
          <w:p w14:paraId="5A66629E" w14:textId="649FCB88"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40,78</w:t>
            </w:r>
            <w:r w:rsidR="005C4F6A">
              <w:rPr>
                <w:rFonts w:ascii="Arial" w:hAnsi="Arial" w:cs="Arial"/>
                <w:sz w:val="18"/>
                <w:szCs w:val="18"/>
              </w:rPr>
              <w:t xml:space="preserve"> %</w:t>
            </w:r>
          </w:p>
        </w:tc>
      </w:tr>
      <w:tr w:rsidR="00E4164F" w:rsidRPr="00E4164F" w14:paraId="597C97C4" w14:textId="77777777" w:rsidTr="00364785">
        <w:trPr>
          <w:trHeight w:val="300"/>
          <w:jc w:val="center"/>
        </w:trPr>
        <w:tc>
          <w:tcPr>
            <w:tcW w:w="2580" w:type="dxa"/>
            <w:shd w:val="clear" w:color="auto" w:fill="auto"/>
            <w:vAlign w:val="center"/>
            <w:hideMark/>
          </w:tcPr>
          <w:p w14:paraId="16D37CC7" w14:textId="77987719" w:rsidR="00E4164F" w:rsidRPr="00E4164F" w:rsidRDefault="00E4164F" w:rsidP="000B0640">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 xml:space="preserve">Merila za oddajo javnega naročila </w:t>
            </w:r>
          </w:p>
        </w:tc>
        <w:tc>
          <w:tcPr>
            <w:tcW w:w="705" w:type="dxa"/>
            <w:shd w:val="clear" w:color="auto" w:fill="auto"/>
            <w:vAlign w:val="center"/>
            <w:hideMark/>
          </w:tcPr>
          <w:p w14:paraId="4A669511" w14:textId="28628BAC"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98</w:t>
            </w:r>
          </w:p>
        </w:tc>
        <w:tc>
          <w:tcPr>
            <w:tcW w:w="1255" w:type="dxa"/>
            <w:shd w:val="clear" w:color="auto" w:fill="auto"/>
            <w:vAlign w:val="center"/>
            <w:hideMark/>
          </w:tcPr>
          <w:p w14:paraId="5C717E8C" w14:textId="0B11250E"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10.423.282</w:t>
            </w:r>
          </w:p>
        </w:tc>
        <w:tc>
          <w:tcPr>
            <w:tcW w:w="1739" w:type="dxa"/>
            <w:shd w:val="clear" w:color="auto" w:fill="auto"/>
            <w:vAlign w:val="center"/>
            <w:hideMark/>
          </w:tcPr>
          <w:p w14:paraId="0910A4BE" w14:textId="57706FD4"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3,89</w:t>
            </w:r>
            <w:r w:rsidR="005C4F6A">
              <w:rPr>
                <w:rFonts w:ascii="Arial" w:hAnsi="Arial" w:cs="Arial"/>
                <w:sz w:val="18"/>
                <w:szCs w:val="18"/>
              </w:rPr>
              <w:t xml:space="preserve"> %</w:t>
            </w:r>
          </w:p>
        </w:tc>
        <w:tc>
          <w:tcPr>
            <w:tcW w:w="1796" w:type="dxa"/>
            <w:shd w:val="clear" w:color="auto" w:fill="auto"/>
            <w:vAlign w:val="center"/>
            <w:hideMark/>
          </w:tcPr>
          <w:p w14:paraId="5E8CC55E" w14:textId="16D4506B"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1,99</w:t>
            </w:r>
            <w:r w:rsidR="005C4F6A">
              <w:rPr>
                <w:rFonts w:ascii="Arial" w:hAnsi="Arial" w:cs="Arial"/>
                <w:sz w:val="18"/>
                <w:szCs w:val="18"/>
              </w:rPr>
              <w:t xml:space="preserve"> %</w:t>
            </w:r>
          </w:p>
        </w:tc>
      </w:tr>
      <w:tr w:rsidR="00E4164F" w:rsidRPr="00E4164F" w14:paraId="59E13FDA" w14:textId="77777777" w:rsidTr="00364785">
        <w:trPr>
          <w:trHeight w:val="300"/>
          <w:jc w:val="center"/>
        </w:trPr>
        <w:tc>
          <w:tcPr>
            <w:tcW w:w="2580" w:type="dxa"/>
            <w:shd w:val="clear" w:color="auto" w:fill="auto"/>
            <w:vAlign w:val="center"/>
            <w:hideMark/>
          </w:tcPr>
          <w:p w14:paraId="1BD71445" w14:textId="2D4286D1" w:rsidR="00E4164F" w:rsidRPr="00E4164F" w:rsidRDefault="00E4164F" w:rsidP="000B0640">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Pogoji za sodelovanje</w:t>
            </w:r>
          </w:p>
        </w:tc>
        <w:tc>
          <w:tcPr>
            <w:tcW w:w="705" w:type="dxa"/>
            <w:shd w:val="clear" w:color="auto" w:fill="auto"/>
            <w:vAlign w:val="center"/>
            <w:hideMark/>
          </w:tcPr>
          <w:p w14:paraId="25315B48" w14:textId="5C6B0F51"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896</w:t>
            </w:r>
          </w:p>
        </w:tc>
        <w:tc>
          <w:tcPr>
            <w:tcW w:w="1255" w:type="dxa"/>
            <w:shd w:val="clear" w:color="auto" w:fill="auto"/>
            <w:vAlign w:val="center"/>
            <w:hideMark/>
          </w:tcPr>
          <w:p w14:paraId="7187A62E" w14:textId="4C9BC7AB"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74.187.199</w:t>
            </w:r>
          </w:p>
        </w:tc>
        <w:tc>
          <w:tcPr>
            <w:tcW w:w="1739" w:type="dxa"/>
            <w:shd w:val="clear" w:color="auto" w:fill="auto"/>
            <w:vAlign w:val="center"/>
            <w:hideMark/>
          </w:tcPr>
          <w:p w14:paraId="7BFF286C" w14:textId="17711EC3"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35,58</w:t>
            </w:r>
            <w:r w:rsidR="005C4F6A">
              <w:rPr>
                <w:rFonts w:ascii="Arial" w:hAnsi="Arial" w:cs="Arial"/>
                <w:sz w:val="18"/>
                <w:szCs w:val="18"/>
              </w:rPr>
              <w:t xml:space="preserve"> %</w:t>
            </w:r>
          </w:p>
        </w:tc>
        <w:tc>
          <w:tcPr>
            <w:tcW w:w="1796" w:type="dxa"/>
            <w:shd w:val="clear" w:color="auto" w:fill="auto"/>
            <w:vAlign w:val="center"/>
            <w:hideMark/>
          </w:tcPr>
          <w:p w14:paraId="06BE9EDD" w14:textId="7F9CFBBB"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14,15</w:t>
            </w:r>
            <w:r w:rsidR="005C4F6A">
              <w:rPr>
                <w:rFonts w:ascii="Arial" w:hAnsi="Arial" w:cs="Arial"/>
                <w:sz w:val="18"/>
                <w:szCs w:val="18"/>
              </w:rPr>
              <w:t xml:space="preserve"> %</w:t>
            </w:r>
          </w:p>
        </w:tc>
      </w:tr>
      <w:tr w:rsidR="00E4164F" w:rsidRPr="00E4164F" w14:paraId="392FFAF8" w14:textId="77777777" w:rsidTr="00364785">
        <w:trPr>
          <w:trHeight w:val="480"/>
          <w:jc w:val="center"/>
        </w:trPr>
        <w:tc>
          <w:tcPr>
            <w:tcW w:w="2580" w:type="dxa"/>
            <w:shd w:val="clear" w:color="auto" w:fill="auto"/>
            <w:vAlign w:val="center"/>
            <w:hideMark/>
          </w:tcPr>
          <w:p w14:paraId="315B778C" w14:textId="28BE2602" w:rsidR="00E4164F" w:rsidRPr="00E4164F" w:rsidRDefault="00E4164F" w:rsidP="000B0640">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Pogodbena določila iz obligacijskega razmerja</w:t>
            </w:r>
          </w:p>
        </w:tc>
        <w:tc>
          <w:tcPr>
            <w:tcW w:w="705" w:type="dxa"/>
            <w:shd w:val="clear" w:color="auto" w:fill="auto"/>
            <w:vAlign w:val="center"/>
            <w:hideMark/>
          </w:tcPr>
          <w:p w14:paraId="1D05F82C" w14:textId="131A7D8A"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1.583</w:t>
            </w:r>
          </w:p>
        </w:tc>
        <w:tc>
          <w:tcPr>
            <w:tcW w:w="1255" w:type="dxa"/>
            <w:shd w:val="clear" w:color="auto" w:fill="auto"/>
            <w:vAlign w:val="center"/>
            <w:hideMark/>
          </w:tcPr>
          <w:p w14:paraId="090E8050" w14:textId="4B5A3343"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246.475.930</w:t>
            </w:r>
          </w:p>
        </w:tc>
        <w:tc>
          <w:tcPr>
            <w:tcW w:w="1739" w:type="dxa"/>
            <w:shd w:val="clear" w:color="auto" w:fill="auto"/>
            <w:vAlign w:val="center"/>
            <w:hideMark/>
          </w:tcPr>
          <w:p w14:paraId="0C5D25C1" w14:textId="6D8CC487"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62,87</w:t>
            </w:r>
            <w:r w:rsidR="005C4F6A">
              <w:rPr>
                <w:rFonts w:ascii="Arial" w:hAnsi="Arial" w:cs="Arial"/>
                <w:sz w:val="18"/>
                <w:szCs w:val="18"/>
              </w:rPr>
              <w:t xml:space="preserve"> %</w:t>
            </w:r>
          </w:p>
        </w:tc>
        <w:tc>
          <w:tcPr>
            <w:tcW w:w="1796" w:type="dxa"/>
            <w:shd w:val="clear" w:color="auto" w:fill="auto"/>
            <w:vAlign w:val="center"/>
            <w:hideMark/>
          </w:tcPr>
          <w:p w14:paraId="6C7E026D" w14:textId="0DDA5B9B" w:rsidR="00E4164F" w:rsidRPr="00E4164F" w:rsidRDefault="00E4164F" w:rsidP="005C4F6A">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47,02</w:t>
            </w:r>
            <w:r w:rsidR="005C4F6A">
              <w:rPr>
                <w:rFonts w:ascii="Arial" w:hAnsi="Arial" w:cs="Arial"/>
                <w:sz w:val="18"/>
                <w:szCs w:val="18"/>
              </w:rPr>
              <w:t xml:space="preserve"> %</w:t>
            </w:r>
          </w:p>
        </w:tc>
      </w:tr>
      <w:tr w:rsidR="000C59DC" w:rsidRPr="00E4164F" w14:paraId="67D1E45F" w14:textId="77777777" w:rsidTr="000C59DC">
        <w:trPr>
          <w:trHeight w:val="300"/>
          <w:jc w:val="center"/>
        </w:trPr>
        <w:tc>
          <w:tcPr>
            <w:tcW w:w="2580" w:type="dxa"/>
            <w:shd w:val="clear" w:color="auto" w:fill="auto"/>
            <w:vAlign w:val="center"/>
          </w:tcPr>
          <w:p w14:paraId="00BBE12D" w14:textId="6760A4FE" w:rsidR="000C59DC" w:rsidRPr="00E4164F" w:rsidRDefault="000C59DC" w:rsidP="000C59DC">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Razlogi za izključitev</w:t>
            </w:r>
          </w:p>
        </w:tc>
        <w:tc>
          <w:tcPr>
            <w:tcW w:w="705" w:type="dxa"/>
            <w:shd w:val="clear" w:color="auto" w:fill="auto"/>
            <w:vAlign w:val="center"/>
          </w:tcPr>
          <w:p w14:paraId="42BA3019" w14:textId="01A686CF" w:rsidR="000C59DC" w:rsidRPr="00E4164F" w:rsidRDefault="000C59DC" w:rsidP="000C59DC">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392</w:t>
            </w:r>
          </w:p>
        </w:tc>
        <w:tc>
          <w:tcPr>
            <w:tcW w:w="1255" w:type="dxa"/>
            <w:shd w:val="clear" w:color="auto" w:fill="auto"/>
            <w:vAlign w:val="center"/>
          </w:tcPr>
          <w:p w14:paraId="7BD40420" w14:textId="6C8E6134" w:rsidR="000C59DC" w:rsidRPr="00E4164F" w:rsidRDefault="000C59DC" w:rsidP="000C59DC">
            <w:pPr>
              <w:spacing w:after="0" w:line="240" w:lineRule="auto"/>
              <w:jc w:val="right"/>
              <w:rPr>
                <w:rFonts w:ascii="Arial" w:eastAsia="Times New Roman" w:hAnsi="Arial" w:cs="Arial"/>
                <w:color w:val="000000"/>
                <w:sz w:val="18"/>
                <w:szCs w:val="18"/>
                <w:lang w:eastAsia="sl-SI"/>
              </w:rPr>
            </w:pPr>
            <w:r w:rsidRPr="00E4164F">
              <w:rPr>
                <w:rFonts w:ascii="Arial" w:hAnsi="Arial" w:cs="Arial"/>
                <w:sz w:val="18"/>
                <w:szCs w:val="18"/>
              </w:rPr>
              <w:t>54.767.050</w:t>
            </w:r>
          </w:p>
        </w:tc>
        <w:tc>
          <w:tcPr>
            <w:tcW w:w="1739" w:type="dxa"/>
            <w:shd w:val="clear" w:color="auto" w:fill="auto"/>
            <w:vAlign w:val="center"/>
          </w:tcPr>
          <w:p w14:paraId="0FAF2B26" w14:textId="2D33F5F7" w:rsidR="000C59DC" w:rsidRPr="00E4164F" w:rsidRDefault="000C59DC" w:rsidP="000C59DC">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15,57 %</w:t>
            </w:r>
          </w:p>
        </w:tc>
        <w:tc>
          <w:tcPr>
            <w:tcW w:w="1796" w:type="dxa"/>
            <w:shd w:val="clear" w:color="auto" w:fill="auto"/>
            <w:vAlign w:val="center"/>
          </w:tcPr>
          <w:p w14:paraId="4E171D75" w14:textId="3D6FBD4D" w:rsidR="000C59DC" w:rsidRPr="00E4164F" w:rsidRDefault="000C59DC" w:rsidP="000C59DC">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10,45 %</w:t>
            </w:r>
          </w:p>
        </w:tc>
      </w:tr>
      <w:tr w:rsidR="000C59DC" w:rsidRPr="00E4164F" w14:paraId="72207F8D" w14:textId="77777777" w:rsidTr="00364785">
        <w:trPr>
          <w:trHeight w:val="300"/>
          <w:jc w:val="center"/>
        </w:trPr>
        <w:tc>
          <w:tcPr>
            <w:tcW w:w="2580" w:type="dxa"/>
            <w:shd w:val="clear" w:color="auto" w:fill="auto"/>
            <w:vAlign w:val="center"/>
          </w:tcPr>
          <w:p w14:paraId="78D6D137" w14:textId="476108D7" w:rsidR="000C59DC" w:rsidRPr="00E4164F" w:rsidRDefault="000C59DC" w:rsidP="000C59DC">
            <w:pPr>
              <w:spacing w:after="0" w:line="240" w:lineRule="auto"/>
              <w:rPr>
                <w:rFonts w:ascii="Arial" w:eastAsia="Times New Roman" w:hAnsi="Arial" w:cs="Arial"/>
                <w:color w:val="000000"/>
                <w:sz w:val="18"/>
                <w:szCs w:val="18"/>
                <w:lang w:eastAsia="sl-SI"/>
              </w:rPr>
            </w:pPr>
            <w:r w:rsidRPr="00E4164F">
              <w:rPr>
                <w:rFonts w:ascii="Arial" w:eastAsia="Times New Roman" w:hAnsi="Arial" w:cs="Arial"/>
                <w:color w:val="000000"/>
                <w:sz w:val="18"/>
                <w:szCs w:val="18"/>
                <w:lang w:eastAsia="sl-SI"/>
              </w:rPr>
              <w:t>Drugo</w:t>
            </w:r>
          </w:p>
        </w:tc>
        <w:tc>
          <w:tcPr>
            <w:tcW w:w="705" w:type="dxa"/>
            <w:shd w:val="clear" w:color="auto" w:fill="auto"/>
            <w:vAlign w:val="center"/>
          </w:tcPr>
          <w:p w14:paraId="642511B5" w14:textId="709CF61F" w:rsidR="000C59DC" w:rsidRPr="00E4164F" w:rsidRDefault="000C59DC" w:rsidP="000C59DC">
            <w:pPr>
              <w:spacing w:after="0" w:line="240" w:lineRule="auto"/>
              <w:jc w:val="right"/>
              <w:rPr>
                <w:rFonts w:ascii="Arial" w:hAnsi="Arial" w:cs="Arial"/>
                <w:sz w:val="18"/>
                <w:szCs w:val="18"/>
              </w:rPr>
            </w:pPr>
            <w:r w:rsidRPr="00E4164F">
              <w:rPr>
                <w:rFonts w:ascii="Arial" w:hAnsi="Arial" w:cs="Arial"/>
                <w:sz w:val="18"/>
                <w:szCs w:val="18"/>
              </w:rPr>
              <w:t>21</w:t>
            </w:r>
          </w:p>
        </w:tc>
        <w:tc>
          <w:tcPr>
            <w:tcW w:w="1255" w:type="dxa"/>
            <w:shd w:val="clear" w:color="auto" w:fill="auto"/>
            <w:vAlign w:val="center"/>
          </w:tcPr>
          <w:p w14:paraId="7D2527CA" w14:textId="509AF12E" w:rsidR="000C59DC" w:rsidRPr="00E4164F" w:rsidRDefault="000C59DC" w:rsidP="000C59DC">
            <w:pPr>
              <w:spacing w:after="0" w:line="240" w:lineRule="auto"/>
              <w:jc w:val="right"/>
              <w:rPr>
                <w:rFonts w:ascii="Arial" w:hAnsi="Arial" w:cs="Arial"/>
                <w:sz w:val="18"/>
                <w:szCs w:val="18"/>
              </w:rPr>
            </w:pPr>
            <w:r w:rsidRPr="00E4164F">
              <w:rPr>
                <w:rFonts w:ascii="Arial" w:hAnsi="Arial" w:cs="Arial"/>
                <w:sz w:val="18"/>
                <w:szCs w:val="18"/>
              </w:rPr>
              <w:t>2.330.657</w:t>
            </w:r>
          </w:p>
        </w:tc>
        <w:tc>
          <w:tcPr>
            <w:tcW w:w="1739" w:type="dxa"/>
            <w:shd w:val="clear" w:color="auto" w:fill="auto"/>
            <w:vAlign w:val="center"/>
          </w:tcPr>
          <w:p w14:paraId="157464D3" w14:textId="63235D88" w:rsidR="000C59DC" w:rsidRPr="00E4164F" w:rsidRDefault="000C59DC" w:rsidP="000C59DC">
            <w:pPr>
              <w:spacing w:after="0" w:line="240" w:lineRule="auto"/>
              <w:jc w:val="right"/>
              <w:rPr>
                <w:rFonts w:ascii="Arial" w:hAnsi="Arial" w:cs="Arial"/>
                <w:sz w:val="18"/>
                <w:szCs w:val="18"/>
              </w:rPr>
            </w:pPr>
            <w:r w:rsidRPr="00E4164F">
              <w:rPr>
                <w:rFonts w:ascii="Arial" w:hAnsi="Arial" w:cs="Arial"/>
                <w:sz w:val="18"/>
                <w:szCs w:val="18"/>
              </w:rPr>
              <w:t>0,83</w:t>
            </w:r>
            <w:r>
              <w:rPr>
                <w:rFonts w:ascii="Arial" w:hAnsi="Arial" w:cs="Arial"/>
                <w:sz w:val="18"/>
                <w:szCs w:val="18"/>
              </w:rPr>
              <w:t xml:space="preserve"> %</w:t>
            </w:r>
          </w:p>
        </w:tc>
        <w:tc>
          <w:tcPr>
            <w:tcW w:w="1796" w:type="dxa"/>
            <w:shd w:val="clear" w:color="auto" w:fill="auto"/>
            <w:vAlign w:val="center"/>
          </w:tcPr>
          <w:p w14:paraId="2D4CB09F" w14:textId="5EC812DB" w:rsidR="000C59DC" w:rsidRPr="00E4164F" w:rsidRDefault="000C59DC" w:rsidP="000C59DC">
            <w:pPr>
              <w:spacing w:after="0" w:line="240" w:lineRule="auto"/>
              <w:jc w:val="right"/>
              <w:rPr>
                <w:rFonts w:ascii="Arial" w:hAnsi="Arial" w:cs="Arial"/>
                <w:sz w:val="18"/>
                <w:szCs w:val="18"/>
              </w:rPr>
            </w:pPr>
            <w:r w:rsidRPr="00E4164F">
              <w:rPr>
                <w:rFonts w:ascii="Arial" w:hAnsi="Arial" w:cs="Arial"/>
                <w:sz w:val="18"/>
                <w:szCs w:val="18"/>
              </w:rPr>
              <w:t>0,44</w:t>
            </w:r>
            <w:r>
              <w:rPr>
                <w:rFonts w:ascii="Arial" w:hAnsi="Arial" w:cs="Arial"/>
                <w:sz w:val="18"/>
                <w:szCs w:val="18"/>
              </w:rPr>
              <w:t xml:space="preserve"> %</w:t>
            </w:r>
          </w:p>
        </w:tc>
      </w:tr>
    </w:tbl>
    <w:p w14:paraId="0D58F257" w14:textId="77777777" w:rsidR="00731C4D" w:rsidRPr="00003250" w:rsidRDefault="00731C4D" w:rsidP="004A613D">
      <w:pPr>
        <w:spacing w:after="0" w:line="240" w:lineRule="auto"/>
        <w:jc w:val="center"/>
        <w:rPr>
          <w:rFonts w:ascii="Arial" w:hAnsi="Arial" w:cs="Arial"/>
          <w:sz w:val="20"/>
          <w:szCs w:val="20"/>
        </w:rPr>
      </w:pPr>
    </w:p>
    <w:p w14:paraId="7752BBEF" w14:textId="7EB7F2CD" w:rsidR="00F83DD4" w:rsidRPr="00003250" w:rsidRDefault="00F83DD4" w:rsidP="004A613D">
      <w:pPr>
        <w:spacing w:after="0" w:line="240" w:lineRule="auto"/>
        <w:jc w:val="center"/>
        <w:rPr>
          <w:rFonts w:ascii="Arial" w:hAnsi="Arial" w:cs="Arial"/>
          <w:sz w:val="18"/>
        </w:rPr>
      </w:pPr>
      <w:r w:rsidRPr="00003250">
        <w:rPr>
          <w:rFonts w:ascii="Arial" w:hAnsi="Arial" w:cs="Arial"/>
          <w:sz w:val="18"/>
        </w:rPr>
        <w:t>Vir: Statistični podatki o javni</w:t>
      </w:r>
      <w:r w:rsidR="00BB63A6" w:rsidRPr="00003250">
        <w:rPr>
          <w:rFonts w:ascii="Arial" w:hAnsi="Arial" w:cs="Arial"/>
          <w:sz w:val="18"/>
        </w:rPr>
        <w:t>h naročilih, oddanih v letu 201</w:t>
      </w:r>
      <w:r w:rsidR="00BF4FA8" w:rsidRPr="00003250">
        <w:rPr>
          <w:rFonts w:ascii="Arial" w:hAnsi="Arial" w:cs="Arial"/>
          <w:sz w:val="18"/>
        </w:rPr>
        <w:t>8</w:t>
      </w:r>
    </w:p>
    <w:p w14:paraId="224513A5" w14:textId="77777777" w:rsidR="004A613D" w:rsidRPr="00EF2D0B" w:rsidRDefault="004A613D" w:rsidP="00807FCE">
      <w:pPr>
        <w:spacing w:after="0" w:line="360" w:lineRule="auto"/>
        <w:jc w:val="both"/>
        <w:rPr>
          <w:rFonts w:ascii="Arial" w:hAnsi="Arial" w:cs="Arial"/>
          <w:sz w:val="20"/>
          <w:szCs w:val="20"/>
          <w:highlight w:val="yellow"/>
        </w:rPr>
      </w:pPr>
    </w:p>
    <w:p w14:paraId="3C00A547" w14:textId="5A219219" w:rsidR="00F83DD4" w:rsidRPr="006C503B" w:rsidRDefault="00F83DD4" w:rsidP="00F83DD4">
      <w:pPr>
        <w:spacing w:line="360" w:lineRule="auto"/>
        <w:jc w:val="both"/>
        <w:rPr>
          <w:rFonts w:ascii="Arial" w:hAnsi="Arial" w:cs="Arial"/>
          <w:sz w:val="20"/>
          <w:szCs w:val="20"/>
        </w:rPr>
      </w:pPr>
      <w:r w:rsidRPr="006C503B">
        <w:rPr>
          <w:rFonts w:ascii="Arial" w:hAnsi="Arial" w:cs="Arial"/>
          <w:sz w:val="20"/>
          <w:szCs w:val="20"/>
        </w:rPr>
        <w:t xml:space="preserve">Med naročili, v katerih </w:t>
      </w:r>
      <w:r w:rsidR="00E5190B" w:rsidRPr="006C503B">
        <w:rPr>
          <w:rFonts w:ascii="Arial" w:hAnsi="Arial" w:cs="Arial"/>
          <w:sz w:val="20"/>
          <w:szCs w:val="20"/>
        </w:rPr>
        <w:t xml:space="preserve">so bili </w:t>
      </w:r>
      <w:r w:rsidR="005522FF">
        <w:rPr>
          <w:rFonts w:ascii="Arial" w:hAnsi="Arial" w:cs="Arial"/>
          <w:sz w:val="20"/>
          <w:szCs w:val="20"/>
        </w:rPr>
        <w:t>leta</w:t>
      </w:r>
      <w:r w:rsidR="00E5190B" w:rsidRPr="006C503B">
        <w:rPr>
          <w:rFonts w:ascii="Arial" w:hAnsi="Arial" w:cs="Arial"/>
          <w:sz w:val="20"/>
          <w:szCs w:val="20"/>
        </w:rPr>
        <w:t xml:space="preserve"> 201</w:t>
      </w:r>
      <w:r w:rsidR="006C503B" w:rsidRPr="006C503B">
        <w:rPr>
          <w:rFonts w:ascii="Arial" w:hAnsi="Arial" w:cs="Arial"/>
          <w:sz w:val="20"/>
          <w:szCs w:val="20"/>
        </w:rPr>
        <w:t>8</w:t>
      </w:r>
      <w:r w:rsidRPr="006C503B">
        <w:rPr>
          <w:rFonts w:ascii="Arial" w:hAnsi="Arial" w:cs="Arial"/>
          <w:sz w:val="20"/>
          <w:szCs w:val="20"/>
        </w:rPr>
        <w:t xml:space="preserve"> upoštevani socialni vidiki, so naročniki najpogosteje uporabili </w:t>
      </w:r>
      <w:r w:rsidR="006C503B" w:rsidRPr="006C503B">
        <w:rPr>
          <w:rFonts w:ascii="Arial" w:hAnsi="Arial" w:cs="Arial"/>
          <w:sz w:val="20"/>
          <w:szCs w:val="20"/>
        </w:rPr>
        <w:t>postopek naročila male vrednosti</w:t>
      </w:r>
      <w:r w:rsidRPr="006C503B">
        <w:rPr>
          <w:rFonts w:ascii="Arial" w:hAnsi="Arial" w:cs="Arial"/>
          <w:sz w:val="20"/>
          <w:szCs w:val="20"/>
        </w:rPr>
        <w:t xml:space="preserve">, in sicer </w:t>
      </w:r>
      <w:r w:rsidR="00B438B8" w:rsidRPr="006C503B">
        <w:rPr>
          <w:rFonts w:ascii="Arial" w:hAnsi="Arial" w:cs="Arial"/>
          <w:sz w:val="20"/>
          <w:szCs w:val="20"/>
        </w:rPr>
        <w:t>v</w:t>
      </w:r>
      <w:r w:rsidRPr="006C503B">
        <w:rPr>
          <w:rFonts w:ascii="Arial" w:hAnsi="Arial" w:cs="Arial"/>
          <w:sz w:val="20"/>
          <w:szCs w:val="20"/>
        </w:rPr>
        <w:t xml:space="preserve"> </w:t>
      </w:r>
      <w:r w:rsidR="00E5190B" w:rsidRPr="006C503B">
        <w:rPr>
          <w:rFonts w:ascii="Arial" w:hAnsi="Arial" w:cs="Arial"/>
          <w:sz w:val="20"/>
          <w:szCs w:val="20"/>
        </w:rPr>
        <w:t>1</w:t>
      </w:r>
      <w:r w:rsidR="006C503B" w:rsidRPr="006C503B">
        <w:rPr>
          <w:rFonts w:ascii="Arial" w:hAnsi="Arial" w:cs="Arial"/>
          <w:sz w:val="20"/>
          <w:szCs w:val="20"/>
        </w:rPr>
        <w:t>244</w:t>
      </w:r>
      <w:r w:rsidRPr="006C503B">
        <w:rPr>
          <w:rFonts w:ascii="Arial" w:hAnsi="Arial" w:cs="Arial"/>
          <w:sz w:val="20"/>
          <w:szCs w:val="20"/>
        </w:rPr>
        <w:t xml:space="preserve"> naročil</w:t>
      </w:r>
      <w:r w:rsidR="00B438B8" w:rsidRPr="006C503B">
        <w:rPr>
          <w:rFonts w:ascii="Arial" w:hAnsi="Arial" w:cs="Arial"/>
          <w:sz w:val="20"/>
          <w:szCs w:val="20"/>
        </w:rPr>
        <w:t>ih</w:t>
      </w:r>
      <w:r w:rsidRPr="006C503B">
        <w:rPr>
          <w:rFonts w:ascii="Arial" w:hAnsi="Arial" w:cs="Arial"/>
          <w:sz w:val="20"/>
          <w:szCs w:val="20"/>
        </w:rPr>
        <w:t xml:space="preserve"> v vrednosti</w:t>
      </w:r>
      <w:r w:rsidR="00E5190B" w:rsidRPr="006C503B">
        <w:rPr>
          <w:rFonts w:ascii="Arial" w:hAnsi="Arial" w:cs="Arial"/>
          <w:sz w:val="20"/>
          <w:szCs w:val="20"/>
        </w:rPr>
        <w:t xml:space="preserve"> </w:t>
      </w:r>
      <w:r w:rsidR="006C503B" w:rsidRPr="006C503B">
        <w:rPr>
          <w:rFonts w:ascii="Arial" w:hAnsi="Arial" w:cs="Arial"/>
          <w:sz w:val="20"/>
          <w:szCs w:val="20"/>
        </w:rPr>
        <w:t xml:space="preserve">66.955.630 </w:t>
      </w:r>
      <w:r w:rsidRPr="006C503B">
        <w:rPr>
          <w:rFonts w:ascii="Arial" w:hAnsi="Arial" w:cs="Arial"/>
          <w:sz w:val="20"/>
          <w:szCs w:val="20"/>
        </w:rPr>
        <w:t xml:space="preserve">evrov. </w:t>
      </w:r>
    </w:p>
    <w:p w14:paraId="7FD16C88" w14:textId="071EAA7A" w:rsidR="00F83DD4" w:rsidRPr="004964EF" w:rsidRDefault="00F83DD4" w:rsidP="00701C10">
      <w:pPr>
        <w:spacing w:before="120" w:after="120" w:line="240" w:lineRule="auto"/>
        <w:jc w:val="both"/>
        <w:rPr>
          <w:rFonts w:ascii="Arial" w:hAnsi="Arial" w:cs="Arial"/>
          <w:sz w:val="20"/>
        </w:rPr>
      </w:pPr>
      <w:r w:rsidRPr="004964EF">
        <w:rPr>
          <w:rFonts w:ascii="Arial" w:hAnsi="Arial" w:cs="Arial"/>
          <w:sz w:val="20"/>
        </w:rPr>
        <w:t xml:space="preserve">Preglednica </w:t>
      </w:r>
      <w:r w:rsidR="00474678" w:rsidRPr="004964EF">
        <w:rPr>
          <w:rFonts w:ascii="Arial" w:hAnsi="Arial" w:cs="Arial"/>
          <w:sz w:val="20"/>
        </w:rPr>
        <w:t>6</w:t>
      </w:r>
      <w:r w:rsidR="00F3604D">
        <w:rPr>
          <w:rFonts w:ascii="Arial" w:hAnsi="Arial" w:cs="Arial"/>
          <w:sz w:val="20"/>
        </w:rPr>
        <w:t>5</w:t>
      </w:r>
      <w:r w:rsidRPr="004964EF">
        <w:rPr>
          <w:rFonts w:ascii="Arial" w:hAnsi="Arial" w:cs="Arial"/>
          <w:sz w:val="20"/>
        </w:rPr>
        <w:t>: Vrste postopkov, v katerih so bili upoštev</w:t>
      </w:r>
      <w:r w:rsidR="00AD5FD8" w:rsidRPr="004964EF">
        <w:rPr>
          <w:rFonts w:ascii="Arial" w:hAnsi="Arial" w:cs="Arial"/>
          <w:sz w:val="20"/>
        </w:rPr>
        <w:t>a</w:t>
      </w:r>
      <w:r w:rsidRPr="004964EF">
        <w:rPr>
          <w:rFonts w:ascii="Arial" w:hAnsi="Arial" w:cs="Arial"/>
          <w:sz w:val="20"/>
        </w:rPr>
        <w:t>ni socialni vidiki</w:t>
      </w:r>
    </w:p>
    <w:tbl>
      <w:tblPr>
        <w:tblW w:w="5000" w:type="pct"/>
        <w:tblCellMar>
          <w:left w:w="70" w:type="dxa"/>
          <w:right w:w="70" w:type="dxa"/>
        </w:tblCellMar>
        <w:tblLook w:val="04A0" w:firstRow="1" w:lastRow="0" w:firstColumn="1" w:lastColumn="0" w:noHBand="0" w:noVBand="1"/>
      </w:tblPr>
      <w:tblGrid>
        <w:gridCol w:w="4389"/>
        <w:gridCol w:w="1985"/>
        <w:gridCol w:w="2688"/>
      </w:tblGrid>
      <w:tr w:rsidR="004964EF" w:rsidRPr="004964EF" w14:paraId="59168694" w14:textId="77777777" w:rsidTr="004964EF">
        <w:trPr>
          <w:trHeight w:val="300"/>
        </w:trPr>
        <w:tc>
          <w:tcPr>
            <w:tcW w:w="242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7C8BC63" w14:textId="77777777" w:rsidR="004964EF" w:rsidRPr="004964EF" w:rsidRDefault="004964EF" w:rsidP="004964EF">
            <w:pPr>
              <w:spacing w:after="0" w:line="240" w:lineRule="auto"/>
              <w:jc w:val="center"/>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Vrsta postopka</w:t>
            </w:r>
          </w:p>
        </w:tc>
        <w:tc>
          <w:tcPr>
            <w:tcW w:w="1095" w:type="pct"/>
            <w:tcBorders>
              <w:top w:val="single" w:sz="4" w:space="0" w:color="auto"/>
              <w:left w:val="nil"/>
              <w:bottom w:val="single" w:sz="4" w:space="0" w:color="auto"/>
              <w:right w:val="single" w:sz="4" w:space="0" w:color="auto"/>
            </w:tcBorders>
            <w:shd w:val="clear" w:color="000000" w:fill="EDEDED"/>
            <w:vAlign w:val="center"/>
            <w:hideMark/>
          </w:tcPr>
          <w:p w14:paraId="6AF01D5F" w14:textId="77777777" w:rsidR="004964EF" w:rsidRPr="004964EF" w:rsidRDefault="004964EF" w:rsidP="004964EF">
            <w:pPr>
              <w:spacing w:after="0" w:line="240" w:lineRule="auto"/>
              <w:jc w:val="center"/>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Št. naročil</w:t>
            </w:r>
          </w:p>
        </w:tc>
        <w:tc>
          <w:tcPr>
            <w:tcW w:w="1483" w:type="pct"/>
            <w:tcBorders>
              <w:top w:val="single" w:sz="4" w:space="0" w:color="auto"/>
              <w:left w:val="nil"/>
              <w:bottom w:val="single" w:sz="4" w:space="0" w:color="auto"/>
              <w:right w:val="single" w:sz="4" w:space="0" w:color="auto"/>
            </w:tcBorders>
            <w:shd w:val="clear" w:color="000000" w:fill="EDEDED"/>
            <w:vAlign w:val="center"/>
            <w:hideMark/>
          </w:tcPr>
          <w:p w14:paraId="18A3A5A6" w14:textId="77777777" w:rsidR="004964EF" w:rsidRPr="004964EF" w:rsidRDefault="004964EF" w:rsidP="004964EF">
            <w:pPr>
              <w:spacing w:after="0" w:line="240" w:lineRule="auto"/>
              <w:jc w:val="center"/>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 xml:space="preserve">Pogodbena vrednost </w:t>
            </w:r>
          </w:p>
        </w:tc>
      </w:tr>
      <w:tr w:rsidR="004964EF" w:rsidRPr="004964EF" w14:paraId="47375ED6"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5035BB39"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Konkurenčni dialog</w:t>
            </w:r>
          </w:p>
        </w:tc>
        <w:tc>
          <w:tcPr>
            <w:tcW w:w="1095" w:type="pct"/>
            <w:tcBorders>
              <w:top w:val="nil"/>
              <w:left w:val="nil"/>
              <w:bottom w:val="single" w:sz="4" w:space="0" w:color="auto"/>
              <w:right w:val="single" w:sz="4" w:space="0" w:color="auto"/>
            </w:tcBorders>
            <w:shd w:val="clear" w:color="auto" w:fill="auto"/>
            <w:vAlign w:val="center"/>
            <w:hideMark/>
          </w:tcPr>
          <w:p w14:paraId="385C6348"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w:t>
            </w:r>
          </w:p>
        </w:tc>
        <w:tc>
          <w:tcPr>
            <w:tcW w:w="1483" w:type="pct"/>
            <w:tcBorders>
              <w:top w:val="nil"/>
              <w:left w:val="nil"/>
              <w:bottom w:val="single" w:sz="4" w:space="0" w:color="auto"/>
              <w:right w:val="single" w:sz="4" w:space="0" w:color="auto"/>
            </w:tcBorders>
            <w:shd w:val="clear" w:color="auto" w:fill="auto"/>
            <w:vAlign w:val="center"/>
            <w:hideMark/>
          </w:tcPr>
          <w:p w14:paraId="4B59985F"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6.610.000</w:t>
            </w:r>
          </w:p>
        </w:tc>
      </w:tr>
      <w:tr w:rsidR="004964EF" w:rsidRPr="004964EF" w14:paraId="1F7A915B"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323E07EB"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Konkurenčni postopek s pogajanji</w:t>
            </w:r>
          </w:p>
        </w:tc>
        <w:tc>
          <w:tcPr>
            <w:tcW w:w="1095" w:type="pct"/>
            <w:tcBorders>
              <w:top w:val="nil"/>
              <w:left w:val="nil"/>
              <w:bottom w:val="single" w:sz="4" w:space="0" w:color="auto"/>
              <w:right w:val="single" w:sz="4" w:space="0" w:color="auto"/>
            </w:tcBorders>
            <w:shd w:val="clear" w:color="auto" w:fill="auto"/>
            <w:vAlign w:val="center"/>
            <w:hideMark/>
          </w:tcPr>
          <w:p w14:paraId="10C2837D"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19</w:t>
            </w:r>
          </w:p>
        </w:tc>
        <w:tc>
          <w:tcPr>
            <w:tcW w:w="1483" w:type="pct"/>
            <w:tcBorders>
              <w:top w:val="nil"/>
              <w:left w:val="nil"/>
              <w:bottom w:val="single" w:sz="4" w:space="0" w:color="auto"/>
              <w:right w:val="single" w:sz="4" w:space="0" w:color="auto"/>
            </w:tcBorders>
            <w:shd w:val="clear" w:color="auto" w:fill="auto"/>
            <w:vAlign w:val="center"/>
            <w:hideMark/>
          </w:tcPr>
          <w:p w14:paraId="113AFFF8"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19.939.822</w:t>
            </w:r>
          </w:p>
        </w:tc>
      </w:tr>
      <w:tr w:rsidR="004964EF" w:rsidRPr="004964EF" w14:paraId="750E768C"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3C2715BE"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Odprti postopek</w:t>
            </w:r>
          </w:p>
        </w:tc>
        <w:tc>
          <w:tcPr>
            <w:tcW w:w="1095" w:type="pct"/>
            <w:tcBorders>
              <w:top w:val="nil"/>
              <w:left w:val="nil"/>
              <w:bottom w:val="single" w:sz="4" w:space="0" w:color="auto"/>
              <w:right w:val="single" w:sz="4" w:space="0" w:color="auto"/>
            </w:tcBorders>
            <w:shd w:val="clear" w:color="auto" w:fill="auto"/>
            <w:vAlign w:val="center"/>
            <w:hideMark/>
          </w:tcPr>
          <w:p w14:paraId="4279F104"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1.168</w:t>
            </w:r>
          </w:p>
        </w:tc>
        <w:tc>
          <w:tcPr>
            <w:tcW w:w="1483" w:type="pct"/>
            <w:tcBorders>
              <w:top w:val="nil"/>
              <w:left w:val="nil"/>
              <w:bottom w:val="single" w:sz="4" w:space="0" w:color="auto"/>
              <w:right w:val="single" w:sz="4" w:space="0" w:color="auto"/>
            </w:tcBorders>
            <w:shd w:val="clear" w:color="auto" w:fill="auto"/>
            <w:vAlign w:val="center"/>
            <w:hideMark/>
          </w:tcPr>
          <w:p w14:paraId="5B1FFBDF"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368.157.441</w:t>
            </w:r>
          </w:p>
        </w:tc>
      </w:tr>
      <w:tr w:rsidR="004964EF" w:rsidRPr="004964EF" w14:paraId="2528B6BE"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46E6BF36"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Omejeni postopek</w:t>
            </w:r>
          </w:p>
        </w:tc>
        <w:tc>
          <w:tcPr>
            <w:tcW w:w="1095" w:type="pct"/>
            <w:tcBorders>
              <w:top w:val="nil"/>
              <w:left w:val="nil"/>
              <w:bottom w:val="single" w:sz="4" w:space="0" w:color="auto"/>
              <w:right w:val="single" w:sz="4" w:space="0" w:color="auto"/>
            </w:tcBorders>
            <w:shd w:val="clear" w:color="auto" w:fill="auto"/>
            <w:vAlign w:val="center"/>
            <w:hideMark/>
          </w:tcPr>
          <w:p w14:paraId="1D425941"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w:t>
            </w:r>
          </w:p>
        </w:tc>
        <w:tc>
          <w:tcPr>
            <w:tcW w:w="1483" w:type="pct"/>
            <w:tcBorders>
              <w:top w:val="nil"/>
              <w:left w:val="nil"/>
              <w:bottom w:val="single" w:sz="4" w:space="0" w:color="auto"/>
              <w:right w:val="single" w:sz="4" w:space="0" w:color="auto"/>
            </w:tcBorders>
            <w:shd w:val="clear" w:color="auto" w:fill="auto"/>
            <w:vAlign w:val="center"/>
            <w:hideMark/>
          </w:tcPr>
          <w:p w14:paraId="1566D5E7"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600.000</w:t>
            </w:r>
          </w:p>
        </w:tc>
      </w:tr>
      <w:tr w:rsidR="004964EF" w:rsidRPr="004964EF" w14:paraId="4DE5618E"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25F756DD"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Postopek naročila male vrednosti</w:t>
            </w:r>
          </w:p>
        </w:tc>
        <w:tc>
          <w:tcPr>
            <w:tcW w:w="1095" w:type="pct"/>
            <w:tcBorders>
              <w:top w:val="nil"/>
              <w:left w:val="nil"/>
              <w:bottom w:val="single" w:sz="4" w:space="0" w:color="auto"/>
              <w:right w:val="single" w:sz="4" w:space="0" w:color="auto"/>
            </w:tcBorders>
            <w:shd w:val="clear" w:color="auto" w:fill="auto"/>
            <w:vAlign w:val="center"/>
            <w:hideMark/>
          </w:tcPr>
          <w:p w14:paraId="1CCC2CD6"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1.244</w:t>
            </w:r>
          </w:p>
        </w:tc>
        <w:tc>
          <w:tcPr>
            <w:tcW w:w="1483" w:type="pct"/>
            <w:tcBorders>
              <w:top w:val="nil"/>
              <w:left w:val="nil"/>
              <w:bottom w:val="single" w:sz="4" w:space="0" w:color="auto"/>
              <w:right w:val="single" w:sz="4" w:space="0" w:color="auto"/>
            </w:tcBorders>
            <w:shd w:val="clear" w:color="auto" w:fill="auto"/>
            <w:vAlign w:val="center"/>
            <w:hideMark/>
          </w:tcPr>
          <w:p w14:paraId="5FE0CB55"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bookmarkStart w:id="45" w:name="_Hlk12266240"/>
            <w:r w:rsidRPr="004964EF">
              <w:rPr>
                <w:rFonts w:ascii="Arial" w:eastAsia="Times New Roman" w:hAnsi="Arial" w:cs="Arial"/>
                <w:color w:val="000000"/>
                <w:sz w:val="18"/>
                <w:szCs w:val="18"/>
                <w:lang w:eastAsia="sl-SI"/>
              </w:rPr>
              <w:t>66.955.630</w:t>
            </w:r>
            <w:bookmarkEnd w:id="45"/>
          </w:p>
        </w:tc>
      </w:tr>
      <w:tr w:rsidR="004964EF" w:rsidRPr="004964EF" w14:paraId="68541E29"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73DC7114"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Postopek s pogajanji brez predhodne objave</w:t>
            </w:r>
          </w:p>
        </w:tc>
        <w:tc>
          <w:tcPr>
            <w:tcW w:w="1095" w:type="pct"/>
            <w:tcBorders>
              <w:top w:val="nil"/>
              <w:left w:val="nil"/>
              <w:bottom w:val="single" w:sz="4" w:space="0" w:color="auto"/>
              <w:right w:val="single" w:sz="4" w:space="0" w:color="auto"/>
            </w:tcBorders>
            <w:shd w:val="clear" w:color="auto" w:fill="auto"/>
            <w:vAlign w:val="center"/>
            <w:hideMark/>
          </w:tcPr>
          <w:p w14:paraId="6AEB0D11"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73</w:t>
            </w:r>
          </w:p>
        </w:tc>
        <w:tc>
          <w:tcPr>
            <w:tcW w:w="1483" w:type="pct"/>
            <w:tcBorders>
              <w:top w:val="nil"/>
              <w:left w:val="nil"/>
              <w:bottom w:val="single" w:sz="4" w:space="0" w:color="auto"/>
              <w:right w:val="single" w:sz="4" w:space="0" w:color="auto"/>
            </w:tcBorders>
            <w:shd w:val="clear" w:color="auto" w:fill="auto"/>
            <w:vAlign w:val="center"/>
            <w:hideMark/>
          </w:tcPr>
          <w:p w14:paraId="5661284E"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52.960.972</w:t>
            </w:r>
          </w:p>
        </w:tc>
      </w:tr>
      <w:tr w:rsidR="004964EF" w:rsidRPr="004964EF" w14:paraId="58F0BB58"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auto"/>
            <w:vAlign w:val="center"/>
            <w:hideMark/>
          </w:tcPr>
          <w:p w14:paraId="7E160553" w14:textId="77777777" w:rsidR="004964EF" w:rsidRPr="004964EF" w:rsidRDefault="004964EF" w:rsidP="004964EF">
            <w:pPr>
              <w:spacing w:after="0" w:line="240" w:lineRule="auto"/>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Postopek s pogajanji s predhodnim javnim razpisom</w:t>
            </w:r>
          </w:p>
        </w:tc>
        <w:tc>
          <w:tcPr>
            <w:tcW w:w="1095" w:type="pct"/>
            <w:tcBorders>
              <w:top w:val="nil"/>
              <w:left w:val="nil"/>
              <w:bottom w:val="single" w:sz="4" w:space="0" w:color="auto"/>
              <w:right w:val="single" w:sz="4" w:space="0" w:color="auto"/>
            </w:tcBorders>
            <w:shd w:val="clear" w:color="auto" w:fill="auto"/>
            <w:vAlign w:val="center"/>
            <w:hideMark/>
          </w:tcPr>
          <w:p w14:paraId="2DD739B7"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12</w:t>
            </w:r>
          </w:p>
        </w:tc>
        <w:tc>
          <w:tcPr>
            <w:tcW w:w="1483" w:type="pct"/>
            <w:tcBorders>
              <w:top w:val="nil"/>
              <w:left w:val="nil"/>
              <w:bottom w:val="single" w:sz="4" w:space="0" w:color="auto"/>
              <w:right w:val="single" w:sz="4" w:space="0" w:color="auto"/>
            </w:tcBorders>
            <w:shd w:val="clear" w:color="auto" w:fill="auto"/>
            <w:vAlign w:val="center"/>
            <w:hideMark/>
          </w:tcPr>
          <w:p w14:paraId="34CDDEFF" w14:textId="77777777" w:rsidR="004964EF" w:rsidRPr="004964EF" w:rsidRDefault="004964EF" w:rsidP="004964EF">
            <w:pPr>
              <w:spacing w:after="0" w:line="240" w:lineRule="auto"/>
              <w:jc w:val="right"/>
              <w:rPr>
                <w:rFonts w:ascii="Arial" w:eastAsia="Times New Roman" w:hAnsi="Arial" w:cs="Arial"/>
                <w:color w:val="000000"/>
                <w:sz w:val="18"/>
                <w:szCs w:val="18"/>
                <w:lang w:eastAsia="sl-SI"/>
              </w:rPr>
            </w:pPr>
            <w:r w:rsidRPr="004964EF">
              <w:rPr>
                <w:rFonts w:ascii="Arial" w:eastAsia="Times New Roman" w:hAnsi="Arial" w:cs="Arial"/>
                <w:color w:val="000000"/>
                <w:sz w:val="18"/>
                <w:szCs w:val="18"/>
                <w:lang w:eastAsia="sl-SI"/>
              </w:rPr>
              <w:t>8.918.017</w:t>
            </w:r>
          </w:p>
        </w:tc>
      </w:tr>
      <w:tr w:rsidR="004964EF" w:rsidRPr="004964EF" w14:paraId="415B0D49" w14:textId="77777777" w:rsidTr="004964EF">
        <w:trPr>
          <w:trHeight w:val="300"/>
        </w:trPr>
        <w:tc>
          <w:tcPr>
            <w:tcW w:w="2422" w:type="pct"/>
            <w:tcBorders>
              <w:top w:val="nil"/>
              <w:left w:val="single" w:sz="4" w:space="0" w:color="auto"/>
              <w:bottom w:val="single" w:sz="4" w:space="0" w:color="auto"/>
              <w:right w:val="single" w:sz="4" w:space="0" w:color="auto"/>
            </w:tcBorders>
            <w:shd w:val="clear" w:color="auto" w:fill="E7E6E6" w:themeFill="background2"/>
            <w:vAlign w:val="center"/>
            <w:hideMark/>
          </w:tcPr>
          <w:p w14:paraId="26500F96" w14:textId="77777777" w:rsidR="004964EF" w:rsidRPr="004964EF" w:rsidRDefault="004964EF" w:rsidP="004964EF">
            <w:pPr>
              <w:spacing w:after="0" w:line="240" w:lineRule="auto"/>
              <w:rPr>
                <w:rFonts w:ascii="Arial" w:eastAsia="Times New Roman" w:hAnsi="Arial" w:cs="Arial"/>
                <w:b/>
                <w:color w:val="000000"/>
                <w:sz w:val="18"/>
                <w:szCs w:val="18"/>
                <w:lang w:eastAsia="sl-SI"/>
              </w:rPr>
            </w:pPr>
            <w:r w:rsidRPr="004964EF">
              <w:rPr>
                <w:rFonts w:ascii="Arial" w:eastAsia="Times New Roman" w:hAnsi="Arial" w:cs="Arial"/>
                <w:b/>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E7E6E6" w:themeFill="background2"/>
            <w:noWrap/>
            <w:vAlign w:val="center"/>
            <w:hideMark/>
          </w:tcPr>
          <w:p w14:paraId="6872C78E" w14:textId="77777777" w:rsidR="004964EF" w:rsidRPr="004964EF" w:rsidRDefault="004964EF" w:rsidP="004964EF">
            <w:pPr>
              <w:spacing w:after="0" w:line="240" w:lineRule="auto"/>
              <w:jc w:val="right"/>
              <w:rPr>
                <w:rFonts w:ascii="Arial" w:eastAsia="Times New Roman" w:hAnsi="Arial" w:cs="Arial"/>
                <w:b/>
                <w:color w:val="000000"/>
                <w:sz w:val="18"/>
                <w:szCs w:val="18"/>
                <w:lang w:eastAsia="sl-SI"/>
              </w:rPr>
            </w:pPr>
            <w:r w:rsidRPr="004964EF">
              <w:rPr>
                <w:rFonts w:ascii="Arial" w:eastAsia="Times New Roman" w:hAnsi="Arial" w:cs="Arial"/>
                <w:b/>
                <w:color w:val="000000"/>
                <w:sz w:val="18"/>
                <w:szCs w:val="18"/>
                <w:lang w:eastAsia="sl-SI"/>
              </w:rPr>
              <w:t>2.518</w:t>
            </w:r>
          </w:p>
        </w:tc>
        <w:tc>
          <w:tcPr>
            <w:tcW w:w="1483" w:type="pct"/>
            <w:tcBorders>
              <w:top w:val="nil"/>
              <w:left w:val="nil"/>
              <w:bottom w:val="single" w:sz="4" w:space="0" w:color="auto"/>
              <w:right w:val="single" w:sz="4" w:space="0" w:color="auto"/>
            </w:tcBorders>
            <w:shd w:val="clear" w:color="auto" w:fill="E7E6E6" w:themeFill="background2"/>
            <w:noWrap/>
            <w:vAlign w:val="center"/>
            <w:hideMark/>
          </w:tcPr>
          <w:p w14:paraId="165E792A" w14:textId="77777777" w:rsidR="004964EF" w:rsidRPr="004964EF" w:rsidRDefault="004964EF" w:rsidP="004964EF">
            <w:pPr>
              <w:spacing w:after="0" w:line="240" w:lineRule="auto"/>
              <w:jc w:val="right"/>
              <w:rPr>
                <w:rFonts w:ascii="Arial" w:eastAsia="Times New Roman" w:hAnsi="Arial" w:cs="Arial"/>
                <w:b/>
                <w:color w:val="000000"/>
                <w:sz w:val="18"/>
                <w:szCs w:val="18"/>
                <w:lang w:eastAsia="sl-SI"/>
              </w:rPr>
            </w:pPr>
            <w:r w:rsidRPr="004964EF">
              <w:rPr>
                <w:rFonts w:ascii="Arial" w:eastAsia="Times New Roman" w:hAnsi="Arial" w:cs="Arial"/>
                <w:b/>
                <w:color w:val="000000"/>
                <w:sz w:val="18"/>
                <w:szCs w:val="18"/>
                <w:lang w:eastAsia="sl-SI"/>
              </w:rPr>
              <w:t>524.141.882</w:t>
            </w:r>
          </w:p>
        </w:tc>
      </w:tr>
    </w:tbl>
    <w:p w14:paraId="01AAFA92" w14:textId="77777777" w:rsidR="004A613D" w:rsidRPr="004964EF" w:rsidRDefault="004A613D" w:rsidP="004A613D">
      <w:pPr>
        <w:spacing w:after="0" w:line="240" w:lineRule="auto"/>
        <w:jc w:val="center"/>
        <w:rPr>
          <w:rFonts w:ascii="Arial" w:hAnsi="Arial" w:cs="Arial"/>
          <w:sz w:val="18"/>
        </w:rPr>
      </w:pPr>
    </w:p>
    <w:p w14:paraId="6BF2A174" w14:textId="6291DDBD" w:rsidR="00F83DD4" w:rsidRPr="004964EF" w:rsidRDefault="00F83DD4" w:rsidP="004A613D">
      <w:pPr>
        <w:spacing w:after="0" w:line="240" w:lineRule="auto"/>
        <w:jc w:val="center"/>
        <w:rPr>
          <w:rFonts w:ascii="Arial" w:hAnsi="Arial" w:cs="Arial"/>
          <w:sz w:val="18"/>
        </w:rPr>
      </w:pPr>
      <w:r w:rsidRPr="004964EF">
        <w:rPr>
          <w:rFonts w:ascii="Arial" w:hAnsi="Arial" w:cs="Arial"/>
          <w:sz w:val="18"/>
        </w:rPr>
        <w:t>Vir: Statistični podatki o javni</w:t>
      </w:r>
      <w:r w:rsidR="00D53E93" w:rsidRPr="004964EF">
        <w:rPr>
          <w:rFonts w:ascii="Arial" w:hAnsi="Arial" w:cs="Arial"/>
          <w:sz w:val="18"/>
        </w:rPr>
        <w:t>h naročilih, oddanih v letu 201</w:t>
      </w:r>
      <w:r w:rsidR="004964EF" w:rsidRPr="004964EF">
        <w:rPr>
          <w:rFonts w:ascii="Arial" w:hAnsi="Arial" w:cs="Arial"/>
          <w:sz w:val="18"/>
        </w:rPr>
        <w:t>8</w:t>
      </w:r>
    </w:p>
    <w:p w14:paraId="2C879E5C" w14:textId="6596FB3D" w:rsidR="00806D8E" w:rsidRDefault="00806D8E" w:rsidP="00854405">
      <w:pPr>
        <w:pStyle w:val="ZADEVA"/>
        <w:jc w:val="both"/>
        <w:rPr>
          <w:rFonts w:cs="Arial"/>
          <w:b w:val="0"/>
          <w:szCs w:val="20"/>
          <w:lang w:val="sl-SI"/>
        </w:rPr>
      </w:pPr>
    </w:p>
    <w:p w14:paraId="60A6DA8B" w14:textId="026EBD87" w:rsidR="006341A4" w:rsidRPr="004A2F8B" w:rsidRDefault="006341A4" w:rsidP="006341A4">
      <w:pPr>
        <w:pStyle w:val="Naslov2"/>
        <w:rPr>
          <w:rFonts w:ascii="Arial" w:hAnsi="Arial" w:cs="Arial"/>
          <w:szCs w:val="20"/>
        </w:rPr>
      </w:pPr>
      <w:bookmarkStart w:id="46" w:name="_Toc17114080"/>
      <w:r w:rsidRPr="004A2F8B">
        <w:rPr>
          <w:rFonts w:ascii="Arial" w:hAnsi="Arial" w:cs="Arial"/>
          <w:sz w:val="22"/>
          <w:szCs w:val="22"/>
        </w:rPr>
        <w:t>2.11 Evidenčna naročila</w:t>
      </w:r>
      <w:bookmarkEnd w:id="46"/>
    </w:p>
    <w:p w14:paraId="7C1AF802" w14:textId="77777777" w:rsidR="006341A4" w:rsidRPr="00EF2D0B" w:rsidRDefault="006341A4" w:rsidP="00854405">
      <w:pPr>
        <w:pStyle w:val="ZADEVA"/>
        <w:jc w:val="both"/>
        <w:rPr>
          <w:rFonts w:cs="Arial"/>
          <w:b w:val="0"/>
          <w:szCs w:val="20"/>
          <w:highlight w:val="yellow"/>
          <w:lang w:val="sl-SI"/>
        </w:rPr>
      </w:pPr>
    </w:p>
    <w:p w14:paraId="2A527B6A" w14:textId="54EEBE45" w:rsidR="004A2F8B" w:rsidRPr="00EB6550" w:rsidRDefault="004A2F8B" w:rsidP="004A2F8B">
      <w:pPr>
        <w:spacing w:line="360" w:lineRule="auto"/>
        <w:jc w:val="both"/>
        <w:rPr>
          <w:rFonts w:ascii="Arial" w:eastAsia="Times New Roman" w:hAnsi="Arial" w:cs="Arial"/>
          <w:color w:val="000000"/>
          <w:sz w:val="20"/>
          <w:szCs w:val="20"/>
          <w:highlight w:val="yellow"/>
          <w:lang w:eastAsia="sl-SI"/>
        </w:rPr>
      </w:pPr>
      <w:r w:rsidRPr="000216D2">
        <w:rPr>
          <w:rFonts w:ascii="Arial" w:hAnsi="Arial" w:cs="Arial"/>
          <w:bCs/>
          <w:sz w:val="20"/>
          <w:szCs w:val="20"/>
        </w:rPr>
        <w:t>Podatke o evidenčnih naročilih v letu 201</w:t>
      </w:r>
      <w:r>
        <w:rPr>
          <w:rFonts w:ascii="Arial" w:hAnsi="Arial" w:cs="Arial"/>
          <w:bCs/>
          <w:sz w:val="20"/>
          <w:szCs w:val="20"/>
        </w:rPr>
        <w:t>8</w:t>
      </w:r>
      <w:r w:rsidRPr="000216D2">
        <w:rPr>
          <w:rFonts w:ascii="Arial" w:hAnsi="Arial" w:cs="Arial"/>
          <w:bCs/>
          <w:sz w:val="20"/>
          <w:szCs w:val="20"/>
        </w:rPr>
        <w:t xml:space="preserve"> je sporočilo 19</w:t>
      </w:r>
      <w:r>
        <w:rPr>
          <w:rFonts w:ascii="Arial" w:hAnsi="Arial" w:cs="Arial"/>
          <w:bCs/>
          <w:sz w:val="20"/>
          <w:szCs w:val="20"/>
        </w:rPr>
        <w:t>83</w:t>
      </w:r>
      <w:r w:rsidRPr="000216D2">
        <w:rPr>
          <w:rFonts w:ascii="Arial" w:hAnsi="Arial" w:cs="Arial"/>
          <w:bCs/>
          <w:sz w:val="20"/>
          <w:szCs w:val="20"/>
        </w:rPr>
        <w:t xml:space="preserve"> naročnikov. Skupno število evidenčnih naročil v letu </w:t>
      </w:r>
      <w:r w:rsidRPr="00B0504D">
        <w:rPr>
          <w:rFonts w:ascii="Arial" w:hAnsi="Arial" w:cs="Arial"/>
          <w:bCs/>
          <w:sz w:val="20"/>
          <w:szCs w:val="20"/>
        </w:rPr>
        <w:t xml:space="preserve">2018 je bilo 1.052.365 v vrednosti </w:t>
      </w:r>
      <w:r w:rsidRPr="00B0504D">
        <w:rPr>
          <w:rFonts w:ascii="Arial" w:eastAsia="Times New Roman" w:hAnsi="Arial" w:cs="Arial"/>
          <w:color w:val="000000"/>
          <w:sz w:val="20"/>
          <w:szCs w:val="20"/>
          <w:lang w:eastAsia="sl-SI"/>
        </w:rPr>
        <w:t xml:space="preserve">1.007.513.578 </w:t>
      </w:r>
      <w:r w:rsidRPr="00B0504D">
        <w:rPr>
          <w:rFonts w:ascii="Arial" w:hAnsi="Arial" w:cs="Arial"/>
          <w:bCs/>
          <w:sz w:val="20"/>
          <w:szCs w:val="20"/>
        </w:rPr>
        <w:t xml:space="preserve">evrov. </w:t>
      </w:r>
    </w:p>
    <w:p w14:paraId="6ED832B0" w14:textId="66063A33" w:rsidR="0093150A" w:rsidRPr="006E4AF9" w:rsidRDefault="0093150A" w:rsidP="0093150A">
      <w:pPr>
        <w:tabs>
          <w:tab w:val="left" w:pos="567"/>
          <w:tab w:val="left" w:pos="993"/>
        </w:tabs>
        <w:spacing w:line="360" w:lineRule="auto"/>
        <w:jc w:val="both"/>
        <w:rPr>
          <w:rFonts w:ascii="Arial" w:hAnsi="Arial" w:cs="Arial"/>
          <w:bCs/>
          <w:sz w:val="20"/>
          <w:szCs w:val="20"/>
        </w:rPr>
      </w:pPr>
      <w:r w:rsidRPr="00881899">
        <w:rPr>
          <w:rFonts w:ascii="Arial" w:hAnsi="Arial" w:cs="Arial"/>
          <w:bCs/>
          <w:sz w:val="20"/>
          <w:szCs w:val="20"/>
        </w:rPr>
        <w:t>V primerjavi z letom 201</w:t>
      </w:r>
      <w:r w:rsidR="00881899" w:rsidRPr="00881899">
        <w:rPr>
          <w:rFonts w:ascii="Arial" w:hAnsi="Arial" w:cs="Arial"/>
          <w:bCs/>
          <w:sz w:val="20"/>
          <w:szCs w:val="20"/>
        </w:rPr>
        <w:t>8</w:t>
      </w:r>
      <w:r w:rsidRPr="00881899">
        <w:rPr>
          <w:rFonts w:ascii="Arial" w:hAnsi="Arial" w:cs="Arial"/>
          <w:bCs/>
          <w:sz w:val="20"/>
          <w:szCs w:val="20"/>
        </w:rPr>
        <w:t xml:space="preserve"> </w:t>
      </w:r>
      <w:r w:rsidR="0037106B" w:rsidRPr="00881899">
        <w:rPr>
          <w:rFonts w:ascii="Arial" w:hAnsi="Arial" w:cs="Arial"/>
          <w:bCs/>
          <w:sz w:val="20"/>
          <w:szCs w:val="20"/>
        </w:rPr>
        <w:t xml:space="preserve">se </w:t>
      </w:r>
      <w:r w:rsidRPr="00881899">
        <w:rPr>
          <w:rFonts w:ascii="Arial" w:hAnsi="Arial" w:cs="Arial"/>
          <w:bCs/>
          <w:sz w:val="20"/>
          <w:szCs w:val="20"/>
        </w:rPr>
        <w:t xml:space="preserve">je </w:t>
      </w:r>
      <w:r w:rsidR="00881899" w:rsidRPr="00881899">
        <w:rPr>
          <w:rFonts w:ascii="Arial" w:hAnsi="Arial" w:cs="Arial"/>
          <w:bCs/>
          <w:sz w:val="20"/>
          <w:szCs w:val="20"/>
        </w:rPr>
        <w:t>povečalo</w:t>
      </w:r>
      <w:r w:rsidRPr="00881899">
        <w:rPr>
          <w:rFonts w:ascii="Arial" w:hAnsi="Arial" w:cs="Arial"/>
          <w:bCs/>
          <w:sz w:val="20"/>
          <w:szCs w:val="20"/>
        </w:rPr>
        <w:t xml:space="preserve"> števil</w:t>
      </w:r>
      <w:r w:rsidR="0037106B" w:rsidRPr="00881899">
        <w:rPr>
          <w:rFonts w:ascii="Arial" w:hAnsi="Arial" w:cs="Arial"/>
          <w:bCs/>
          <w:sz w:val="20"/>
          <w:szCs w:val="20"/>
        </w:rPr>
        <w:t>o</w:t>
      </w:r>
      <w:r w:rsidRPr="00881899">
        <w:rPr>
          <w:rFonts w:ascii="Arial" w:hAnsi="Arial" w:cs="Arial"/>
          <w:bCs/>
          <w:sz w:val="20"/>
          <w:szCs w:val="20"/>
        </w:rPr>
        <w:t xml:space="preserve"> evidenčnih naročil za </w:t>
      </w:r>
      <w:r w:rsidR="006D784E">
        <w:rPr>
          <w:rFonts w:ascii="Arial" w:hAnsi="Arial" w:cs="Arial"/>
          <w:bCs/>
          <w:sz w:val="20"/>
          <w:szCs w:val="20"/>
        </w:rPr>
        <w:t>dober odstotek</w:t>
      </w:r>
      <w:r w:rsidRPr="00881899">
        <w:rPr>
          <w:rFonts w:ascii="Arial" w:hAnsi="Arial" w:cs="Arial"/>
          <w:bCs/>
          <w:sz w:val="20"/>
          <w:szCs w:val="20"/>
        </w:rPr>
        <w:t>, skupn</w:t>
      </w:r>
      <w:r w:rsidR="0037106B" w:rsidRPr="00881899">
        <w:rPr>
          <w:rFonts w:ascii="Arial" w:hAnsi="Arial" w:cs="Arial"/>
          <w:bCs/>
          <w:sz w:val="20"/>
          <w:szCs w:val="20"/>
        </w:rPr>
        <w:t>a</w:t>
      </w:r>
      <w:r w:rsidRPr="00881899">
        <w:rPr>
          <w:rFonts w:ascii="Arial" w:hAnsi="Arial" w:cs="Arial"/>
          <w:bCs/>
          <w:sz w:val="20"/>
          <w:szCs w:val="20"/>
        </w:rPr>
        <w:t xml:space="preserve"> vrednost evidenčnih naročil </w:t>
      </w:r>
      <w:r w:rsidR="0037106B" w:rsidRPr="00881899">
        <w:rPr>
          <w:rFonts w:ascii="Arial" w:hAnsi="Arial" w:cs="Arial"/>
          <w:bCs/>
          <w:sz w:val="20"/>
          <w:szCs w:val="20"/>
        </w:rPr>
        <w:t xml:space="preserve">se je povečala </w:t>
      </w:r>
      <w:r w:rsidRPr="00881899">
        <w:rPr>
          <w:rFonts w:ascii="Arial" w:hAnsi="Arial" w:cs="Arial"/>
          <w:bCs/>
          <w:sz w:val="20"/>
          <w:szCs w:val="20"/>
        </w:rPr>
        <w:t xml:space="preserve">za </w:t>
      </w:r>
      <w:r w:rsidR="00881899" w:rsidRPr="00881899">
        <w:rPr>
          <w:rFonts w:ascii="Arial" w:hAnsi="Arial" w:cs="Arial"/>
          <w:bCs/>
          <w:sz w:val="20"/>
          <w:szCs w:val="20"/>
        </w:rPr>
        <w:t>dobre tri odstotne točke</w:t>
      </w:r>
      <w:r w:rsidR="00881899">
        <w:rPr>
          <w:rFonts w:ascii="Arial" w:hAnsi="Arial" w:cs="Arial"/>
          <w:bCs/>
          <w:sz w:val="20"/>
          <w:szCs w:val="20"/>
        </w:rPr>
        <w:t>,</w:t>
      </w:r>
      <w:r w:rsidRPr="00881899">
        <w:rPr>
          <w:rFonts w:ascii="Arial" w:hAnsi="Arial" w:cs="Arial"/>
          <w:bCs/>
          <w:sz w:val="20"/>
          <w:szCs w:val="20"/>
        </w:rPr>
        <w:t xml:space="preserve"> </w:t>
      </w:r>
      <w:r w:rsidRPr="006E4AF9">
        <w:rPr>
          <w:rFonts w:ascii="Arial" w:hAnsi="Arial" w:cs="Arial"/>
          <w:bCs/>
          <w:sz w:val="20"/>
          <w:szCs w:val="20"/>
        </w:rPr>
        <w:t xml:space="preserve">povprečna vrednost evidenčnega naročila pa za </w:t>
      </w:r>
      <w:r w:rsidR="006E4AF9" w:rsidRPr="006E4AF9">
        <w:rPr>
          <w:rFonts w:ascii="Arial" w:hAnsi="Arial" w:cs="Arial"/>
          <w:bCs/>
          <w:sz w:val="20"/>
          <w:szCs w:val="20"/>
        </w:rPr>
        <w:t>slabi dve</w:t>
      </w:r>
      <w:r w:rsidRPr="006E4AF9">
        <w:rPr>
          <w:rFonts w:ascii="Arial" w:hAnsi="Arial" w:cs="Arial"/>
          <w:bCs/>
          <w:sz w:val="20"/>
          <w:szCs w:val="20"/>
        </w:rPr>
        <w:t xml:space="preserve"> odstotn</w:t>
      </w:r>
      <w:r w:rsidR="006E4AF9" w:rsidRPr="006E4AF9">
        <w:rPr>
          <w:rFonts w:ascii="Arial" w:hAnsi="Arial" w:cs="Arial"/>
          <w:bCs/>
          <w:sz w:val="20"/>
          <w:szCs w:val="20"/>
        </w:rPr>
        <w:t>i</w:t>
      </w:r>
      <w:r w:rsidRPr="006E4AF9">
        <w:rPr>
          <w:rFonts w:ascii="Arial" w:hAnsi="Arial" w:cs="Arial"/>
          <w:bCs/>
          <w:sz w:val="20"/>
          <w:szCs w:val="20"/>
        </w:rPr>
        <w:t xml:space="preserve"> točk</w:t>
      </w:r>
      <w:r w:rsidR="006E4AF9" w:rsidRPr="006E4AF9">
        <w:rPr>
          <w:rFonts w:ascii="Arial" w:hAnsi="Arial" w:cs="Arial"/>
          <w:bCs/>
          <w:sz w:val="20"/>
          <w:szCs w:val="20"/>
        </w:rPr>
        <w:t>i</w:t>
      </w:r>
      <w:r w:rsidRPr="006E4AF9">
        <w:rPr>
          <w:rFonts w:ascii="Arial" w:hAnsi="Arial" w:cs="Arial"/>
          <w:bCs/>
          <w:sz w:val="20"/>
          <w:szCs w:val="20"/>
        </w:rPr>
        <w:t>.</w:t>
      </w:r>
    </w:p>
    <w:p w14:paraId="70F5BCB1" w14:textId="77777777" w:rsidR="000B5B5F" w:rsidRDefault="000B5B5F">
      <w:pPr>
        <w:rPr>
          <w:rFonts w:ascii="Arial" w:hAnsi="Arial" w:cs="Arial"/>
          <w:sz w:val="20"/>
        </w:rPr>
      </w:pPr>
      <w:r>
        <w:rPr>
          <w:rFonts w:ascii="Arial" w:hAnsi="Arial" w:cs="Arial"/>
          <w:sz w:val="20"/>
        </w:rPr>
        <w:br w:type="page"/>
      </w:r>
    </w:p>
    <w:p w14:paraId="771D71C9" w14:textId="3B16B39F" w:rsidR="0093150A" w:rsidRPr="004A2F8B" w:rsidRDefault="0093150A" w:rsidP="0093150A">
      <w:pPr>
        <w:rPr>
          <w:rFonts w:ascii="Arial" w:hAnsi="Arial" w:cs="Arial"/>
          <w:sz w:val="20"/>
        </w:rPr>
      </w:pPr>
      <w:r w:rsidRPr="004A2F8B">
        <w:rPr>
          <w:rFonts w:ascii="Arial" w:hAnsi="Arial" w:cs="Arial"/>
          <w:sz w:val="20"/>
        </w:rPr>
        <w:lastRenderedPageBreak/>
        <w:t>Pre</w:t>
      </w:r>
      <w:r w:rsidR="004B0127" w:rsidRPr="004A2F8B">
        <w:rPr>
          <w:rFonts w:ascii="Arial" w:hAnsi="Arial" w:cs="Arial"/>
          <w:sz w:val="20"/>
        </w:rPr>
        <w:t>glednica 6</w:t>
      </w:r>
      <w:r w:rsidR="00F3604D">
        <w:rPr>
          <w:rFonts w:ascii="Arial" w:hAnsi="Arial" w:cs="Arial"/>
          <w:sz w:val="20"/>
        </w:rPr>
        <w:t>6</w:t>
      </w:r>
      <w:r w:rsidRPr="004A2F8B">
        <w:rPr>
          <w:rFonts w:ascii="Arial" w:hAnsi="Arial" w:cs="Arial"/>
          <w:sz w:val="20"/>
        </w:rPr>
        <w:t>: Vrednost, število in povprečna vrednost evidenčnih naročil v letih 2014, 2015, 2016</w:t>
      </w:r>
      <w:r w:rsidR="004A2F8B" w:rsidRPr="004A2F8B">
        <w:rPr>
          <w:rFonts w:ascii="Arial" w:hAnsi="Arial" w:cs="Arial"/>
          <w:sz w:val="20"/>
        </w:rPr>
        <w:t>, 2017 in 2018</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7"/>
        <w:gridCol w:w="1163"/>
        <w:gridCol w:w="1163"/>
        <w:gridCol w:w="1326"/>
        <w:gridCol w:w="1162"/>
        <w:gridCol w:w="1317"/>
      </w:tblGrid>
      <w:tr w:rsidR="00EA3639" w:rsidRPr="004A2F8B" w14:paraId="754BE465" w14:textId="1A2F1EE6" w:rsidTr="00EA3639">
        <w:trPr>
          <w:trHeight w:val="300"/>
          <w:jc w:val="center"/>
        </w:trPr>
        <w:tc>
          <w:tcPr>
            <w:tcW w:w="1559" w:type="pct"/>
            <w:shd w:val="clear" w:color="auto" w:fill="EDEDED" w:themeFill="accent3" w:themeFillTint="33"/>
            <w:noWrap/>
            <w:vAlign w:val="center"/>
            <w:hideMark/>
          </w:tcPr>
          <w:p w14:paraId="3FA322EE" w14:textId="77777777" w:rsidR="00EA3639" w:rsidRPr="004A2F8B" w:rsidRDefault="00EA3639" w:rsidP="004A2F8B">
            <w:pPr>
              <w:spacing w:after="0" w:line="240" w:lineRule="auto"/>
              <w:jc w:val="both"/>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 </w:t>
            </w:r>
          </w:p>
        </w:tc>
        <w:tc>
          <w:tcPr>
            <w:tcW w:w="653" w:type="pct"/>
            <w:shd w:val="clear" w:color="auto" w:fill="EDEDED" w:themeFill="accent3" w:themeFillTint="33"/>
            <w:noWrap/>
            <w:vAlign w:val="center"/>
            <w:hideMark/>
          </w:tcPr>
          <w:p w14:paraId="707FE87D" w14:textId="77777777" w:rsidR="00EA3639" w:rsidRPr="004A2F8B" w:rsidRDefault="00EA3639" w:rsidP="004A2F8B">
            <w:pPr>
              <w:spacing w:after="0" w:line="240" w:lineRule="auto"/>
              <w:jc w:val="center"/>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Leto 2014</w:t>
            </w:r>
          </w:p>
        </w:tc>
        <w:tc>
          <w:tcPr>
            <w:tcW w:w="653" w:type="pct"/>
            <w:shd w:val="clear" w:color="auto" w:fill="EDEDED" w:themeFill="accent3" w:themeFillTint="33"/>
            <w:noWrap/>
            <w:vAlign w:val="center"/>
            <w:hideMark/>
          </w:tcPr>
          <w:p w14:paraId="7606F00E" w14:textId="77777777" w:rsidR="00EA3639" w:rsidRPr="004A2F8B" w:rsidRDefault="00EA3639" w:rsidP="004A2F8B">
            <w:pPr>
              <w:spacing w:after="0" w:line="240" w:lineRule="auto"/>
              <w:jc w:val="center"/>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Leto 2015</w:t>
            </w:r>
          </w:p>
        </w:tc>
        <w:tc>
          <w:tcPr>
            <w:tcW w:w="744" w:type="pct"/>
            <w:shd w:val="clear" w:color="auto" w:fill="EDEDED" w:themeFill="accent3" w:themeFillTint="33"/>
            <w:noWrap/>
            <w:vAlign w:val="center"/>
            <w:hideMark/>
          </w:tcPr>
          <w:p w14:paraId="0334319D" w14:textId="77777777" w:rsidR="00EA3639" w:rsidRPr="004A2F8B" w:rsidRDefault="00EA3639" w:rsidP="004A2F8B">
            <w:pPr>
              <w:spacing w:after="0" w:line="240" w:lineRule="auto"/>
              <w:jc w:val="center"/>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Leto 2016</w:t>
            </w:r>
          </w:p>
        </w:tc>
        <w:tc>
          <w:tcPr>
            <w:tcW w:w="652" w:type="pct"/>
            <w:shd w:val="clear" w:color="auto" w:fill="EDEDED" w:themeFill="accent3" w:themeFillTint="33"/>
            <w:vAlign w:val="center"/>
          </w:tcPr>
          <w:p w14:paraId="04601680" w14:textId="77777777" w:rsidR="00EA3639" w:rsidRPr="004A2F8B" w:rsidRDefault="00EA3639" w:rsidP="004A2F8B">
            <w:pPr>
              <w:spacing w:after="0" w:line="240" w:lineRule="auto"/>
              <w:jc w:val="center"/>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Leto 2017</w:t>
            </w:r>
          </w:p>
        </w:tc>
        <w:tc>
          <w:tcPr>
            <w:tcW w:w="739" w:type="pct"/>
            <w:shd w:val="clear" w:color="auto" w:fill="EDEDED" w:themeFill="accent3" w:themeFillTint="33"/>
            <w:vAlign w:val="center"/>
          </w:tcPr>
          <w:p w14:paraId="32AB810D" w14:textId="6ACD37DF" w:rsidR="00EA3639" w:rsidRPr="004A2F8B" w:rsidRDefault="00EA3639" w:rsidP="004A2F8B">
            <w:pPr>
              <w:spacing w:after="0" w:line="240" w:lineRule="auto"/>
              <w:jc w:val="center"/>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Leto 2018</w:t>
            </w:r>
          </w:p>
        </w:tc>
      </w:tr>
      <w:tr w:rsidR="00EA3639" w:rsidRPr="004A2F8B" w14:paraId="508872DD" w14:textId="158C1322" w:rsidTr="00EA3639">
        <w:trPr>
          <w:trHeight w:val="300"/>
          <w:jc w:val="center"/>
        </w:trPr>
        <w:tc>
          <w:tcPr>
            <w:tcW w:w="1559" w:type="pct"/>
            <w:shd w:val="clear" w:color="auto" w:fill="auto"/>
            <w:noWrap/>
            <w:vAlign w:val="center"/>
            <w:hideMark/>
          </w:tcPr>
          <w:p w14:paraId="7B85FADA" w14:textId="77777777" w:rsidR="00EA3639" w:rsidRPr="004A2F8B" w:rsidRDefault="00EA3639" w:rsidP="004A2F8B">
            <w:pPr>
              <w:spacing w:after="0" w:line="240" w:lineRule="auto"/>
              <w:jc w:val="both"/>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Število naročil</w:t>
            </w:r>
          </w:p>
        </w:tc>
        <w:tc>
          <w:tcPr>
            <w:tcW w:w="653" w:type="pct"/>
            <w:shd w:val="clear" w:color="auto" w:fill="auto"/>
            <w:noWrap/>
            <w:vAlign w:val="center"/>
            <w:hideMark/>
          </w:tcPr>
          <w:p w14:paraId="5DF57E25"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1.057.068</w:t>
            </w:r>
          </w:p>
        </w:tc>
        <w:tc>
          <w:tcPr>
            <w:tcW w:w="653" w:type="pct"/>
            <w:shd w:val="clear" w:color="auto" w:fill="auto"/>
            <w:noWrap/>
            <w:vAlign w:val="center"/>
            <w:hideMark/>
          </w:tcPr>
          <w:p w14:paraId="2DF54282"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957.636</w:t>
            </w:r>
          </w:p>
        </w:tc>
        <w:tc>
          <w:tcPr>
            <w:tcW w:w="744" w:type="pct"/>
            <w:shd w:val="clear" w:color="auto" w:fill="auto"/>
            <w:noWrap/>
            <w:vAlign w:val="center"/>
            <w:hideMark/>
          </w:tcPr>
          <w:p w14:paraId="350552BD"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1.076.939</w:t>
            </w:r>
          </w:p>
        </w:tc>
        <w:tc>
          <w:tcPr>
            <w:tcW w:w="652" w:type="pct"/>
            <w:vAlign w:val="center"/>
          </w:tcPr>
          <w:p w14:paraId="2843EA83"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hAnsi="Arial" w:cs="Arial"/>
                <w:bCs/>
                <w:sz w:val="18"/>
                <w:szCs w:val="18"/>
              </w:rPr>
              <w:t>1.042.452</w:t>
            </w:r>
          </w:p>
        </w:tc>
        <w:tc>
          <w:tcPr>
            <w:tcW w:w="739" w:type="pct"/>
            <w:vAlign w:val="center"/>
          </w:tcPr>
          <w:p w14:paraId="43827B18" w14:textId="5DE54A44" w:rsidR="00EA3639" w:rsidRPr="004A2F8B" w:rsidRDefault="00EA3639" w:rsidP="004A2F8B">
            <w:pPr>
              <w:spacing w:after="0" w:line="240" w:lineRule="auto"/>
              <w:jc w:val="right"/>
              <w:rPr>
                <w:rFonts w:ascii="Arial" w:hAnsi="Arial" w:cs="Arial"/>
                <w:bCs/>
                <w:sz w:val="18"/>
                <w:szCs w:val="18"/>
              </w:rPr>
            </w:pPr>
            <w:r w:rsidRPr="004A2F8B">
              <w:rPr>
                <w:rFonts w:ascii="Arial" w:hAnsi="Arial" w:cs="Arial"/>
                <w:bCs/>
                <w:sz w:val="18"/>
                <w:szCs w:val="18"/>
              </w:rPr>
              <w:t>1.052.365</w:t>
            </w:r>
          </w:p>
        </w:tc>
      </w:tr>
      <w:tr w:rsidR="00EA3639" w:rsidRPr="004A2F8B" w14:paraId="76C8D235" w14:textId="10BE26B8" w:rsidTr="00EA3639">
        <w:trPr>
          <w:trHeight w:val="300"/>
          <w:jc w:val="center"/>
        </w:trPr>
        <w:tc>
          <w:tcPr>
            <w:tcW w:w="1559" w:type="pct"/>
            <w:shd w:val="clear" w:color="auto" w:fill="auto"/>
            <w:noWrap/>
            <w:vAlign w:val="center"/>
            <w:hideMark/>
          </w:tcPr>
          <w:p w14:paraId="1DAB68DF" w14:textId="77777777" w:rsidR="00EA3639" w:rsidRPr="004A2F8B" w:rsidRDefault="00EA3639" w:rsidP="004A2F8B">
            <w:pPr>
              <w:spacing w:after="0" w:line="240" w:lineRule="auto"/>
              <w:jc w:val="both"/>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Pogodbena vrednost</w:t>
            </w:r>
          </w:p>
        </w:tc>
        <w:tc>
          <w:tcPr>
            <w:tcW w:w="653" w:type="pct"/>
            <w:shd w:val="clear" w:color="auto" w:fill="auto"/>
            <w:noWrap/>
            <w:vAlign w:val="center"/>
            <w:hideMark/>
          </w:tcPr>
          <w:p w14:paraId="53E2EBA8"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881.593.676</w:t>
            </w:r>
          </w:p>
        </w:tc>
        <w:tc>
          <w:tcPr>
            <w:tcW w:w="653" w:type="pct"/>
            <w:shd w:val="clear" w:color="auto" w:fill="auto"/>
            <w:noWrap/>
            <w:vAlign w:val="center"/>
            <w:hideMark/>
          </w:tcPr>
          <w:p w14:paraId="43777229"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753.271.067</w:t>
            </w:r>
          </w:p>
        </w:tc>
        <w:tc>
          <w:tcPr>
            <w:tcW w:w="744" w:type="pct"/>
            <w:shd w:val="clear" w:color="auto" w:fill="auto"/>
            <w:noWrap/>
            <w:vAlign w:val="center"/>
            <w:hideMark/>
          </w:tcPr>
          <w:p w14:paraId="58635879"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969.567.949</w:t>
            </w:r>
          </w:p>
        </w:tc>
        <w:tc>
          <w:tcPr>
            <w:tcW w:w="652" w:type="pct"/>
            <w:vAlign w:val="center"/>
          </w:tcPr>
          <w:p w14:paraId="76460208"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972.510.343</w:t>
            </w:r>
          </w:p>
        </w:tc>
        <w:tc>
          <w:tcPr>
            <w:tcW w:w="739" w:type="pct"/>
            <w:vAlign w:val="center"/>
          </w:tcPr>
          <w:p w14:paraId="7C043FB9" w14:textId="405EEE0B"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1.007.513.578</w:t>
            </w:r>
          </w:p>
        </w:tc>
      </w:tr>
      <w:tr w:rsidR="00EA3639" w:rsidRPr="004A2F8B" w14:paraId="722C4FE5" w14:textId="0C86EEAE" w:rsidTr="00EA3639">
        <w:trPr>
          <w:trHeight w:val="300"/>
          <w:jc w:val="center"/>
        </w:trPr>
        <w:tc>
          <w:tcPr>
            <w:tcW w:w="1559" w:type="pct"/>
            <w:shd w:val="clear" w:color="auto" w:fill="auto"/>
            <w:noWrap/>
            <w:vAlign w:val="center"/>
            <w:hideMark/>
          </w:tcPr>
          <w:p w14:paraId="11352B46" w14:textId="77777777" w:rsidR="00EA3639" w:rsidRPr="004A2F8B" w:rsidRDefault="00EA3639" w:rsidP="004A2F8B">
            <w:pPr>
              <w:spacing w:after="0" w:line="240" w:lineRule="auto"/>
              <w:jc w:val="both"/>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Povprečna vrednost naročila</w:t>
            </w:r>
          </w:p>
        </w:tc>
        <w:tc>
          <w:tcPr>
            <w:tcW w:w="653" w:type="pct"/>
            <w:shd w:val="clear" w:color="auto" w:fill="auto"/>
            <w:noWrap/>
            <w:vAlign w:val="center"/>
            <w:hideMark/>
          </w:tcPr>
          <w:p w14:paraId="3FC9E52F"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834</w:t>
            </w:r>
          </w:p>
        </w:tc>
        <w:tc>
          <w:tcPr>
            <w:tcW w:w="653" w:type="pct"/>
            <w:shd w:val="clear" w:color="auto" w:fill="auto"/>
            <w:noWrap/>
            <w:vAlign w:val="center"/>
            <w:hideMark/>
          </w:tcPr>
          <w:p w14:paraId="3F6A243A"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787</w:t>
            </w:r>
          </w:p>
        </w:tc>
        <w:tc>
          <w:tcPr>
            <w:tcW w:w="744" w:type="pct"/>
            <w:shd w:val="clear" w:color="auto" w:fill="auto"/>
            <w:noWrap/>
            <w:vAlign w:val="center"/>
            <w:hideMark/>
          </w:tcPr>
          <w:p w14:paraId="65FC8AFA"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900</w:t>
            </w:r>
          </w:p>
        </w:tc>
        <w:tc>
          <w:tcPr>
            <w:tcW w:w="652" w:type="pct"/>
            <w:vAlign w:val="center"/>
          </w:tcPr>
          <w:p w14:paraId="246C84B8" w14:textId="77777777"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933</w:t>
            </w:r>
          </w:p>
        </w:tc>
        <w:tc>
          <w:tcPr>
            <w:tcW w:w="739" w:type="pct"/>
            <w:vAlign w:val="center"/>
          </w:tcPr>
          <w:p w14:paraId="04BDD659" w14:textId="14DEDF96" w:rsidR="00EA3639" w:rsidRPr="004A2F8B" w:rsidRDefault="00EA3639" w:rsidP="004A2F8B">
            <w:pPr>
              <w:spacing w:after="0" w:line="240" w:lineRule="auto"/>
              <w:jc w:val="right"/>
              <w:rPr>
                <w:rFonts w:ascii="Arial" w:eastAsia="Times New Roman" w:hAnsi="Arial" w:cs="Arial"/>
                <w:color w:val="000000"/>
                <w:sz w:val="18"/>
                <w:szCs w:val="18"/>
                <w:lang w:eastAsia="sl-SI"/>
              </w:rPr>
            </w:pPr>
            <w:r w:rsidRPr="004A2F8B">
              <w:rPr>
                <w:rFonts w:ascii="Arial" w:eastAsia="Times New Roman" w:hAnsi="Arial" w:cs="Arial"/>
                <w:color w:val="000000"/>
                <w:sz w:val="18"/>
                <w:szCs w:val="18"/>
                <w:lang w:eastAsia="sl-SI"/>
              </w:rPr>
              <w:t>957</w:t>
            </w:r>
          </w:p>
        </w:tc>
      </w:tr>
    </w:tbl>
    <w:p w14:paraId="29020837" w14:textId="77777777" w:rsidR="0093150A" w:rsidRPr="004A2F8B" w:rsidRDefault="0093150A" w:rsidP="0093150A">
      <w:pPr>
        <w:spacing w:after="0" w:line="240" w:lineRule="auto"/>
        <w:jc w:val="center"/>
        <w:rPr>
          <w:rFonts w:ascii="Arial" w:hAnsi="Arial" w:cs="Arial"/>
          <w:noProof/>
          <w:sz w:val="20"/>
          <w:szCs w:val="20"/>
          <w:lang w:eastAsia="sl-SI"/>
        </w:rPr>
      </w:pPr>
    </w:p>
    <w:p w14:paraId="3E106957" w14:textId="6431D17D" w:rsidR="0093150A" w:rsidRPr="004A2F8B" w:rsidRDefault="0093150A" w:rsidP="004404F0">
      <w:pPr>
        <w:spacing w:after="240" w:line="240" w:lineRule="auto"/>
        <w:jc w:val="center"/>
        <w:rPr>
          <w:rFonts w:ascii="Arial" w:hAnsi="Arial" w:cs="Arial"/>
          <w:sz w:val="18"/>
        </w:rPr>
      </w:pPr>
      <w:r w:rsidRPr="004A2F8B">
        <w:rPr>
          <w:rFonts w:ascii="Arial" w:hAnsi="Arial" w:cs="Arial"/>
          <w:sz w:val="18"/>
        </w:rPr>
        <w:t>Vir: Statistični podatki o javnih naročilih, oddanih v letih 2014</w:t>
      </w:r>
      <w:r w:rsidR="004404F0" w:rsidRPr="004A2F8B">
        <w:rPr>
          <w:rFonts w:ascii="Arial" w:hAnsi="Arial" w:cs="Arial"/>
          <w:sz w:val="18"/>
        </w:rPr>
        <w:t>, 2015, 2016</w:t>
      </w:r>
      <w:r w:rsidR="004A2F8B" w:rsidRPr="004A2F8B">
        <w:rPr>
          <w:rFonts w:ascii="Arial" w:hAnsi="Arial" w:cs="Arial"/>
          <w:sz w:val="18"/>
        </w:rPr>
        <w:t xml:space="preserve">, </w:t>
      </w:r>
      <w:r w:rsidR="004404F0" w:rsidRPr="004A2F8B">
        <w:rPr>
          <w:rFonts w:ascii="Arial" w:hAnsi="Arial" w:cs="Arial"/>
          <w:sz w:val="18"/>
        </w:rPr>
        <w:t>2017</w:t>
      </w:r>
      <w:r w:rsidR="004A2F8B" w:rsidRPr="004A2F8B">
        <w:rPr>
          <w:rFonts w:ascii="Arial" w:hAnsi="Arial" w:cs="Arial"/>
          <w:sz w:val="18"/>
        </w:rPr>
        <w:t xml:space="preserve"> in 2018</w:t>
      </w:r>
    </w:p>
    <w:p w14:paraId="45F9E69E" w14:textId="451E2E58" w:rsidR="00DA241A" w:rsidRPr="00632263" w:rsidRDefault="0093150A" w:rsidP="00DA241A">
      <w:pPr>
        <w:tabs>
          <w:tab w:val="left" w:pos="567"/>
          <w:tab w:val="left" w:pos="993"/>
        </w:tabs>
        <w:spacing w:line="360" w:lineRule="auto"/>
        <w:jc w:val="both"/>
        <w:rPr>
          <w:rFonts w:ascii="Arial" w:hAnsi="Arial" w:cs="Arial"/>
          <w:bCs/>
          <w:sz w:val="20"/>
          <w:szCs w:val="20"/>
        </w:rPr>
      </w:pPr>
      <w:r w:rsidRPr="00DA241A">
        <w:rPr>
          <w:rFonts w:ascii="Arial" w:hAnsi="Arial" w:cs="Arial"/>
          <w:bCs/>
          <w:sz w:val="20"/>
          <w:szCs w:val="20"/>
        </w:rPr>
        <w:t>Iz preglednice</w:t>
      </w:r>
      <w:r w:rsidR="005028B6" w:rsidRPr="00DA241A">
        <w:rPr>
          <w:rFonts w:ascii="Arial" w:hAnsi="Arial" w:cs="Arial"/>
          <w:bCs/>
          <w:sz w:val="20"/>
          <w:szCs w:val="20"/>
        </w:rPr>
        <w:t xml:space="preserve"> </w:t>
      </w:r>
      <w:r w:rsidR="00F3604D">
        <w:rPr>
          <w:rFonts w:ascii="Arial" w:hAnsi="Arial" w:cs="Arial"/>
          <w:bCs/>
          <w:sz w:val="20"/>
          <w:szCs w:val="20"/>
        </w:rPr>
        <w:t>67</w:t>
      </w:r>
      <w:r w:rsidRPr="00DA241A">
        <w:rPr>
          <w:rFonts w:ascii="Arial" w:hAnsi="Arial" w:cs="Arial"/>
          <w:bCs/>
          <w:sz w:val="20"/>
          <w:szCs w:val="20"/>
        </w:rPr>
        <w:t xml:space="preserve"> </w:t>
      </w:r>
      <w:r w:rsidR="0037106B" w:rsidRPr="00DA241A">
        <w:rPr>
          <w:rFonts w:ascii="Arial" w:hAnsi="Arial" w:cs="Arial"/>
          <w:bCs/>
          <w:sz w:val="20"/>
          <w:szCs w:val="20"/>
        </w:rPr>
        <w:t>izhaja</w:t>
      </w:r>
      <w:r w:rsidRPr="00DA241A">
        <w:rPr>
          <w:rFonts w:ascii="Arial" w:hAnsi="Arial" w:cs="Arial"/>
          <w:bCs/>
          <w:sz w:val="20"/>
          <w:szCs w:val="20"/>
        </w:rPr>
        <w:t xml:space="preserve">, </w:t>
      </w:r>
      <w:r w:rsidR="00DA241A" w:rsidRPr="00DA241A">
        <w:rPr>
          <w:rFonts w:ascii="Arial" w:hAnsi="Arial" w:cs="Arial"/>
          <w:bCs/>
          <w:sz w:val="20"/>
          <w:szCs w:val="20"/>
        </w:rPr>
        <w:t>da so naročniki</w:t>
      </w:r>
      <w:r w:rsidR="00DA241A" w:rsidRPr="00632263">
        <w:rPr>
          <w:rFonts w:ascii="Arial" w:hAnsi="Arial" w:cs="Arial"/>
          <w:bCs/>
          <w:sz w:val="20"/>
          <w:szCs w:val="20"/>
        </w:rPr>
        <w:t xml:space="preserve"> po številu in vrednosti največ evidenčnih naročil oddali na splošnem in najmanj na obrambnem področju.</w:t>
      </w:r>
    </w:p>
    <w:p w14:paraId="7A821060" w14:textId="48C1069B" w:rsidR="0093150A" w:rsidRPr="00DA241A" w:rsidRDefault="004B0127" w:rsidP="00DA241A">
      <w:pPr>
        <w:tabs>
          <w:tab w:val="left" w:pos="567"/>
          <w:tab w:val="left" w:pos="993"/>
        </w:tabs>
        <w:spacing w:line="360" w:lineRule="auto"/>
        <w:jc w:val="both"/>
        <w:rPr>
          <w:rFonts w:ascii="Arial" w:hAnsi="Arial" w:cs="Arial"/>
          <w:sz w:val="20"/>
        </w:rPr>
      </w:pPr>
      <w:r w:rsidRPr="00DA241A">
        <w:rPr>
          <w:rFonts w:ascii="Arial" w:hAnsi="Arial" w:cs="Arial"/>
          <w:sz w:val="20"/>
        </w:rPr>
        <w:t xml:space="preserve">Preglednica </w:t>
      </w:r>
      <w:r w:rsidR="00F3604D">
        <w:rPr>
          <w:rFonts w:ascii="Arial" w:hAnsi="Arial" w:cs="Arial"/>
          <w:sz w:val="20"/>
        </w:rPr>
        <w:t>67</w:t>
      </w:r>
      <w:r w:rsidR="0093150A" w:rsidRPr="00DA241A">
        <w:rPr>
          <w:rFonts w:ascii="Arial" w:hAnsi="Arial" w:cs="Arial"/>
          <w:sz w:val="20"/>
        </w:rPr>
        <w:t>: Vrednost, število in deleži evidenčnih naročil po področj</w:t>
      </w:r>
      <w:r w:rsidR="00DB6DE7" w:rsidRPr="00DA241A">
        <w:rPr>
          <w:rFonts w:ascii="Arial" w:hAnsi="Arial" w:cs="Arial"/>
          <w:sz w:val="20"/>
        </w:rPr>
        <w:t>ih</w:t>
      </w:r>
      <w:r w:rsidR="0093150A" w:rsidRPr="00DA241A">
        <w:rPr>
          <w:rFonts w:ascii="Arial" w:hAnsi="Arial" w:cs="Arial"/>
          <w:sz w:val="20"/>
        </w:rPr>
        <w:t xml:space="preserve"> naročanja</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2260"/>
        <w:gridCol w:w="2440"/>
        <w:gridCol w:w="960"/>
        <w:gridCol w:w="960"/>
      </w:tblGrid>
      <w:tr w:rsidR="0093150A" w:rsidRPr="00DA241A" w14:paraId="052E22E6" w14:textId="77777777" w:rsidTr="00D55321">
        <w:trPr>
          <w:trHeight w:val="480"/>
          <w:jc w:val="center"/>
        </w:trPr>
        <w:tc>
          <w:tcPr>
            <w:tcW w:w="1360" w:type="dxa"/>
            <w:shd w:val="clear" w:color="000000" w:fill="EDEDED"/>
            <w:vAlign w:val="center"/>
            <w:hideMark/>
          </w:tcPr>
          <w:p w14:paraId="6ABB3579" w14:textId="77777777" w:rsidR="0093150A" w:rsidRPr="00DA241A" w:rsidRDefault="0093150A" w:rsidP="00DB319D">
            <w:pPr>
              <w:spacing w:after="0" w:line="240" w:lineRule="auto"/>
              <w:jc w:val="center"/>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Področje</w:t>
            </w:r>
          </w:p>
        </w:tc>
        <w:tc>
          <w:tcPr>
            <w:tcW w:w="2260" w:type="dxa"/>
            <w:shd w:val="clear" w:color="000000" w:fill="EDEDED"/>
            <w:vAlign w:val="center"/>
            <w:hideMark/>
          </w:tcPr>
          <w:p w14:paraId="2AFF53E0" w14:textId="77777777" w:rsidR="0093150A" w:rsidRPr="00DA241A" w:rsidRDefault="0093150A" w:rsidP="00DB319D">
            <w:pPr>
              <w:spacing w:after="0" w:line="240" w:lineRule="auto"/>
              <w:jc w:val="center"/>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Št. naročil</w:t>
            </w:r>
          </w:p>
        </w:tc>
        <w:tc>
          <w:tcPr>
            <w:tcW w:w="2440" w:type="dxa"/>
            <w:shd w:val="clear" w:color="000000" w:fill="EDEDED"/>
            <w:vAlign w:val="center"/>
            <w:hideMark/>
          </w:tcPr>
          <w:p w14:paraId="204187F3" w14:textId="77777777" w:rsidR="0093150A" w:rsidRPr="00DA241A" w:rsidRDefault="0093150A" w:rsidP="00DB319D">
            <w:pPr>
              <w:spacing w:after="0" w:line="240" w:lineRule="auto"/>
              <w:jc w:val="center"/>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Pogodbena vrednost</w:t>
            </w:r>
          </w:p>
        </w:tc>
        <w:tc>
          <w:tcPr>
            <w:tcW w:w="960" w:type="dxa"/>
            <w:shd w:val="clear" w:color="000000" w:fill="EDEDED"/>
            <w:vAlign w:val="center"/>
            <w:hideMark/>
          </w:tcPr>
          <w:p w14:paraId="0D094B60" w14:textId="77777777" w:rsidR="0093150A" w:rsidRPr="00DA241A" w:rsidRDefault="0093150A" w:rsidP="00DB319D">
            <w:pPr>
              <w:spacing w:after="0" w:line="240" w:lineRule="auto"/>
              <w:jc w:val="center"/>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Delež v št. naročil</w:t>
            </w:r>
          </w:p>
        </w:tc>
        <w:tc>
          <w:tcPr>
            <w:tcW w:w="960" w:type="dxa"/>
            <w:shd w:val="clear" w:color="000000" w:fill="EDEDED"/>
            <w:vAlign w:val="center"/>
            <w:hideMark/>
          </w:tcPr>
          <w:p w14:paraId="389D4A0A" w14:textId="77777777" w:rsidR="0093150A" w:rsidRPr="00DA241A" w:rsidRDefault="0093150A" w:rsidP="00DB319D">
            <w:pPr>
              <w:spacing w:after="0" w:line="240" w:lineRule="auto"/>
              <w:jc w:val="center"/>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Delež v vrednosti</w:t>
            </w:r>
          </w:p>
        </w:tc>
      </w:tr>
      <w:tr w:rsidR="00DA241A" w:rsidRPr="00DA241A" w14:paraId="5CEFF48C" w14:textId="77777777" w:rsidTr="00D55321">
        <w:trPr>
          <w:trHeight w:val="300"/>
          <w:jc w:val="center"/>
        </w:trPr>
        <w:tc>
          <w:tcPr>
            <w:tcW w:w="1360" w:type="dxa"/>
            <w:shd w:val="clear" w:color="auto" w:fill="auto"/>
            <w:vAlign w:val="center"/>
            <w:hideMark/>
          </w:tcPr>
          <w:p w14:paraId="55FD8D0C" w14:textId="77777777" w:rsidR="00DA241A" w:rsidRPr="00DA241A" w:rsidRDefault="00DA241A" w:rsidP="00DA241A">
            <w:pPr>
              <w:spacing w:after="0" w:line="240" w:lineRule="auto"/>
              <w:jc w:val="both"/>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Splošno</w:t>
            </w:r>
          </w:p>
        </w:tc>
        <w:tc>
          <w:tcPr>
            <w:tcW w:w="2260" w:type="dxa"/>
            <w:shd w:val="clear" w:color="auto" w:fill="auto"/>
            <w:vAlign w:val="center"/>
            <w:hideMark/>
          </w:tcPr>
          <w:p w14:paraId="7B18E7BD" w14:textId="5FC15ED2"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975.096</w:t>
            </w:r>
          </w:p>
        </w:tc>
        <w:tc>
          <w:tcPr>
            <w:tcW w:w="2440" w:type="dxa"/>
            <w:shd w:val="clear" w:color="auto" w:fill="auto"/>
            <w:vAlign w:val="center"/>
            <w:hideMark/>
          </w:tcPr>
          <w:p w14:paraId="057F2A76" w14:textId="251F92AA"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842.257.566</w:t>
            </w:r>
          </w:p>
        </w:tc>
        <w:tc>
          <w:tcPr>
            <w:tcW w:w="960" w:type="dxa"/>
            <w:shd w:val="clear" w:color="auto" w:fill="auto"/>
            <w:noWrap/>
            <w:vAlign w:val="center"/>
            <w:hideMark/>
          </w:tcPr>
          <w:p w14:paraId="7A8C9A73" w14:textId="6604BEDF"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92,66 %</w:t>
            </w:r>
          </w:p>
        </w:tc>
        <w:tc>
          <w:tcPr>
            <w:tcW w:w="960" w:type="dxa"/>
            <w:shd w:val="clear" w:color="auto" w:fill="auto"/>
            <w:noWrap/>
            <w:vAlign w:val="center"/>
            <w:hideMark/>
          </w:tcPr>
          <w:p w14:paraId="7F0E26B5" w14:textId="1C9B723A"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83,60 %</w:t>
            </w:r>
          </w:p>
        </w:tc>
      </w:tr>
      <w:tr w:rsidR="00DA241A" w:rsidRPr="00DA241A" w14:paraId="2B024614" w14:textId="77777777" w:rsidTr="00D55321">
        <w:trPr>
          <w:trHeight w:val="300"/>
          <w:jc w:val="center"/>
        </w:trPr>
        <w:tc>
          <w:tcPr>
            <w:tcW w:w="1360" w:type="dxa"/>
            <w:shd w:val="clear" w:color="auto" w:fill="auto"/>
            <w:vAlign w:val="center"/>
            <w:hideMark/>
          </w:tcPr>
          <w:p w14:paraId="7C85965E" w14:textId="77777777" w:rsidR="00DA241A" w:rsidRPr="00DA241A" w:rsidRDefault="00DA241A" w:rsidP="00DA241A">
            <w:pPr>
              <w:spacing w:after="0" w:line="240" w:lineRule="auto"/>
              <w:jc w:val="both"/>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Infrastrukturno</w:t>
            </w:r>
          </w:p>
        </w:tc>
        <w:tc>
          <w:tcPr>
            <w:tcW w:w="2260" w:type="dxa"/>
            <w:shd w:val="clear" w:color="auto" w:fill="auto"/>
            <w:vAlign w:val="center"/>
            <w:hideMark/>
          </w:tcPr>
          <w:p w14:paraId="2BE6897D" w14:textId="1BC057BD"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77.223</w:t>
            </w:r>
          </w:p>
        </w:tc>
        <w:tc>
          <w:tcPr>
            <w:tcW w:w="2440" w:type="dxa"/>
            <w:shd w:val="clear" w:color="auto" w:fill="auto"/>
            <w:vAlign w:val="center"/>
            <w:hideMark/>
          </w:tcPr>
          <w:p w14:paraId="46354545" w14:textId="4666C77E"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164.628.381</w:t>
            </w:r>
          </w:p>
        </w:tc>
        <w:tc>
          <w:tcPr>
            <w:tcW w:w="960" w:type="dxa"/>
            <w:shd w:val="clear" w:color="auto" w:fill="auto"/>
            <w:noWrap/>
            <w:vAlign w:val="center"/>
            <w:hideMark/>
          </w:tcPr>
          <w:p w14:paraId="04AF3F23" w14:textId="564F49C8"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7,34 %</w:t>
            </w:r>
          </w:p>
        </w:tc>
        <w:tc>
          <w:tcPr>
            <w:tcW w:w="960" w:type="dxa"/>
            <w:shd w:val="clear" w:color="auto" w:fill="auto"/>
            <w:noWrap/>
            <w:vAlign w:val="center"/>
            <w:hideMark/>
          </w:tcPr>
          <w:p w14:paraId="5215D7BD" w14:textId="1279E51A"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16,34 %</w:t>
            </w:r>
          </w:p>
        </w:tc>
      </w:tr>
      <w:tr w:rsidR="00DA241A" w:rsidRPr="00DA241A" w14:paraId="2A602AB4" w14:textId="77777777" w:rsidTr="00D55321">
        <w:trPr>
          <w:trHeight w:val="300"/>
          <w:jc w:val="center"/>
        </w:trPr>
        <w:tc>
          <w:tcPr>
            <w:tcW w:w="1360" w:type="dxa"/>
            <w:shd w:val="clear" w:color="auto" w:fill="auto"/>
            <w:vAlign w:val="center"/>
            <w:hideMark/>
          </w:tcPr>
          <w:p w14:paraId="11472DA2" w14:textId="77777777" w:rsidR="00DA241A" w:rsidRPr="00DA241A" w:rsidRDefault="00DA241A" w:rsidP="00DA241A">
            <w:pPr>
              <w:spacing w:after="0" w:line="240" w:lineRule="auto"/>
              <w:jc w:val="both"/>
              <w:rPr>
                <w:rFonts w:ascii="Arial" w:eastAsia="Times New Roman" w:hAnsi="Arial" w:cs="Arial"/>
                <w:color w:val="000000"/>
                <w:sz w:val="18"/>
                <w:szCs w:val="18"/>
                <w:lang w:eastAsia="sl-SI"/>
              </w:rPr>
            </w:pPr>
            <w:r w:rsidRPr="00DA241A">
              <w:rPr>
                <w:rFonts w:ascii="Arial" w:eastAsia="Times New Roman" w:hAnsi="Arial" w:cs="Arial"/>
                <w:color w:val="000000"/>
                <w:sz w:val="18"/>
                <w:szCs w:val="18"/>
                <w:lang w:eastAsia="sl-SI"/>
              </w:rPr>
              <w:t>Obrambno</w:t>
            </w:r>
          </w:p>
        </w:tc>
        <w:tc>
          <w:tcPr>
            <w:tcW w:w="2260" w:type="dxa"/>
            <w:shd w:val="clear" w:color="auto" w:fill="auto"/>
            <w:vAlign w:val="center"/>
            <w:hideMark/>
          </w:tcPr>
          <w:p w14:paraId="72AE5473" w14:textId="524E6CF3"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46</w:t>
            </w:r>
          </w:p>
        </w:tc>
        <w:tc>
          <w:tcPr>
            <w:tcW w:w="2440" w:type="dxa"/>
            <w:shd w:val="clear" w:color="auto" w:fill="auto"/>
            <w:vAlign w:val="center"/>
            <w:hideMark/>
          </w:tcPr>
          <w:p w14:paraId="24EAAD40" w14:textId="64FC14F7"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627.631</w:t>
            </w:r>
          </w:p>
        </w:tc>
        <w:tc>
          <w:tcPr>
            <w:tcW w:w="960" w:type="dxa"/>
            <w:shd w:val="clear" w:color="auto" w:fill="auto"/>
            <w:noWrap/>
            <w:vAlign w:val="center"/>
            <w:hideMark/>
          </w:tcPr>
          <w:p w14:paraId="5A053243" w14:textId="3ACE6DAD"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0,00 %</w:t>
            </w:r>
          </w:p>
        </w:tc>
        <w:tc>
          <w:tcPr>
            <w:tcW w:w="960" w:type="dxa"/>
            <w:shd w:val="clear" w:color="auto" w:fill="auto"/>
            <w:noWrap/>
            <w:vAlign w:val="center"/>
            <w:hideMark/>
          </w:tcPr>
          <w:p w14:paraId="14660F28" w14:textId="6956DB9A" w:rsidR="00DA241A" w:rsidRPr="00DA241A" w:rsidRDefault="00DA241A" w:rsidP="00DA241A">
            <w:pPr>
              <w:spacing w:after="0" w:line="240" w:lineRule="auto"/>
              <w:jc w:val="right"/>
              <w:rPr>
                <w:rFonts w:ascii="Arial" w:eastAsia="Times New Roman" w:hAnsi="Arial" w:cs="Arial"/>
                <w:color w:val="000000"/>
                <w:sz w:val="18"/>
                <w:szCs w:val="18"/>
                <w:lang w:eastAsia="sl-SI"/>
              </w:rPr>
            </w:pPr>
            <w:r w:rsidRPr="00DA241A">
              <w:rPr>
                <w:rFonts w:ascii="Arial" w:hAnsi="Arial" w:cs="Arial"/>
                <w:sz w:val="18"/>
                <w:szCs w:val="18"/>
              </w:rPr>
              <w:t>0,06 %</w:t>
            </w:r>
          </w:p>
        </w:tc>
      </w:tr>
      <w:tr w:rsidR="00DA241A" w:rsidRPr="00DA241A" w14:paraId="497B512E" w14:textId="77777777" w:rsidTr="00D55321">
        <w:trPr>
          <w:trHeight w:val="300"/>
          <w:jc w:val="center"/>
        </w:trPr>
        <w:tc>
          <w:tcPr>
            <w:tcW w:w="1360" w:type="dxa"/>
            <w:shd w:val="clear" w:color="auto" w:fill="E7E6E6" w:themeFill="background2"/>
            <w:vAlign w:val="center"/>
            <w:hideMark/>
          </w:tcPr>
          <w:p w14:paraId="46530592" w14:textId="77777777" w:rsidR="00DA241A" w:rsidRPr="00DA241A" w:rsidRDefault="00DA241A" w:rsidP="00DA241A">
            <w:pPr>
              <w:spacing w:after="0" w:line="240" w:lineRule="auto"/>
              <w:jc w:val="both"/>
              <w:rPr>
                <w:rFonts w:ascii="Arial" w:eastAsia="Times New Roman" w:hAnsi="Arial" w:cs="Arial"/>
                <w:b/>
                <w:bCs/>
                <w:color w:val="000000"/>
                <w:sz w:val="18"/>
                <w:szCs w:val="18"/>
                <w:lang w:eastAsia="sl-SI"/>
              </w:rPr>
            </w:pPr>
            <w:r w:rsidRPr="00DA241A">
              <w:rPr>
                <w:rFonts w:ascii="Arial" w:eastAsia="Times New Roman" w:hAnsi="Arial" w:cs="Arial"/>
                <w:b/>
                <w:bCs/>
                <w:color w:val="000000"/>
                <w:sz w:val="18"/>
                <w:szCs w:val="18"/>
                <w:lang w:eastAsia="sl-SI"/>
              </w:rPr>
              <w:t>Skupaj</w:t>
            </w:r>
          </w:p>
        </w:tc>
        <w:tc>
          <w:tcPr>
            <w:tcW w:w="2260" w:type="dxa"/>
            <w:shd w:val="clear" w:color="auto" w:fill="E7E6E6" w:themeFill="background2"/>
            <w:noWrap/>
            <w:vAlign w:val="center"/>
            <w:hideMark/>
          </w:tcPr>
          <w:p w14:paraId="7A098522" w14:textId="285CFA7C" w:rsidR="00DA241A" w:rsidRPr="003207AB" w:rsidRDefault="00DA241A" w:rsidP="00DA241A">
            <w:pPr>
              <w:spacing w:after="0" w:line="240" w:lineRule="auto"/>
              <w:jc w:val="right"/>
              <w:rPr>
                <w:rFonts w:ascii="Arial" w:eastAsia="Times New Roman" w:hAnsi="Arial" w:cs="Arial"/>
                <w:b/>
                <w:color w:val="000000"/>
                <w:sz w:val="18"/>
                <w:szCs w:val="18"/>
                <w:lang w:eastAsia="sl-SI"/>
              </w:rPr>
            </w:pPr>
            <w:r w:rsidRPr="003207AB">
              <w:rPr>
                <w:rFonts w:ascii="Arial" w:hAnsi="Arial" w:cs="Arial"/>
                <w:b/>
                <w:sz w:val="18"/>
                <w:szCs w:val="18"/>
              </w:rPr>
              <w:t>1.052.365</w:t>
            </w:r>
          </w:p>
        </w:tc>
        <w:tc>
          <w:tcPr>
            <w:tcW w:w="2440" w:type="dxa"/>
            <w:shd w:val="clear" w:color="auto" w:fill="E7E6E6" w:themeFill="background2"/>
            <w:noWrap/>
            <w:vAlign w:val="center"/>
            <w:hideMark/>
          </w:tcPr>
          <w:p w14:paraId="5A45540C" w14:textId="76E58B28" w:rsidR="00DA241A" w:rsidRPr="003207AB" w:rsidRDefault="00DA241A" w:rsidP="00DA241A">
            <w:pPr>
              <w:spacing w:after="0" w:line="240" w:lineRule="auto"/>
              <w:jc w:val="right"/>
              <w:rPr>
                <w:rFonts w:ascii="Arial" w:eastAsia="Times New Roman" w:hAnsi="Arial" w:cs="Arial"/>
                <w:b/>
                <w:color w:val="000000"/>
                <w:sz w:val="18"/>
                <w:szCs w:val="18"/>
                <w:lang w:eastAsia="sl-SI"/>
              </w:rPr>
            </w:pPr>
            <w:r w:rsidRPr="003207AB">
              <w:rPr>
                <w:rFonts w:ascii="Arial" w:hAnsi="Arial" w:cs="Arial"/>
                <w:b/>
                <w:sz w:val="18"/>
                <w:szCs w:val="18"/>
              </w:rPr>
              <w:t>1.007.513.578</w:t>
            </w:r>
          </w:p>
        </w:tc>
        <w:tc>
          <w:tcPr>
            <w:tcW w:w="960" w:type="dxa"/>
            <w:shd w:val="clear" w:color="auto" w:fill="E7E6E6" w:themeFill="background2"/>
            <w:noWrap/>
            <w:vAlign w:val="center"/>
            <w:hideMark/>
          </w:tcPr>
          <w:p w14:paraId="30B64360" w14:textId="1C524E88" w:rsidR="00DA241A" w:rsidRPr="003207AB" w:rsidRDefault="00DA241A" w:rsidP="00DA241A">
            <w:pPr>
              <w:spacing w:after="0" w:line="240" w:lineRule="auto"/>
              <w:jc w:val="right"/>
              <w:rPr>
                <w:rFonts w:ascii="Arial" w:eastAsia="Times New Roman" w:hAnsi="Arial" w:cs="Arial"/>
                <w:b/>
                <w:color w:val="000000"/>
                <w:sz w:val="18"/>
                <w:szCs w:val="18"/>
                <w:lang w:eastAsia="sl-SI"/>
              </w:rPr>
            </w:pPr>
            <w:r w:rsidRPr="003207AB">
              <w:rPr>
                <w:rFonts w:ascii="Arial" w:hAnsi="Arial" w:cs="Arial"/>
                <w:b/>
                <w:sz w:val="18"/>
                <w:szCs w:val="18"/>
              </w:rPr>
              <w:t>100,00 %</w:t>
            </w:r>
          </w:p>
        </w:tc>
        <w:tc>
          <w:tcPr>
            <w:tcW w:w="960" w:type="dxa"/>
            <w:shd w:val="clear" w:color="auto" w:fill="E7E6E6" w:themeFill="background2"/>
            <w:noWrap/>
            <w:vAlign w:val="center"/>
            <w:hideMark/>
          </w:tcPr>
          <w:p w14:paraId="5B438CBF" w14:textId="443395E3" w:rsidR="00DA241A" w:rsidRPr="003207AB" w:rsidRDefault="00DA241A" w:rsidP="00DA241A">
            <w:pPr>
              <w:spacing w:after="0" w:line="240" w:lineRule="auto"/>
              <w:jc w:val="right"/>
              <w:rPr>
                <w:rFonts w:ascii="Arial" w:eastAsia="Times New Roman" w:hAnsi="Arial" w:cs="Arial"/>
                <w:b/>
                <w:color w:val="000000"/>
                <w:sz w:val="18"/>
                <w:szCs w:val="18"/>
                <w:lang w:eastAsia="sl-SI"/>
              </w:rPr>
            </w:pPr>
            <w:r w:rsidRPr="003207AB">
              <w:rPr>
                <w:rFonts w:ascii="Arial" w:hAnsi="Arial" w:cs="Arial"/>
                <w:b/>
                <w:sz w:val="18"/>
                <w:szCs w:val="18"/>
              </w:rPr>
              <w:t>100,00 %</w:t>
            </w:r>
          </w:p>
        </w:tc>
      </w:tr>
    </w:tbl>
    <w:p w14:paraId="1AE62ABA" w14:textId="77777777" w:rsidR="0093150A" w:rsidRPr="00DA241A" w:rsidRDefault="0093150A" w:rsidP="0093150A">
      <w:pPr>
        <w:spacing w:after="0" w:line="240" w:lineRule="auto"/>
        <w:jc w:val="center"/>
        <w:rPr>
          <w:rFonts w:ascii="Arial" w:hAnsi="Arial" w:cs="Arial"/>
          <w:sz w:val="18"/>
        </w:rPr>
      </w:pPr>
    </w:p>
    <w:p w14:paraId="0B01F352" w14:textId="7DE22CE0" w:rsidR="0093150A" w:rsidRPr="00DA241A" w:rsidRDefault="0093150A" w:rsidP="0093150A">
      <w:pPr>
        <w:spacing w:after="0" w:line="240" w:lineRule="auto"/>
        <w:jc w:val="center"/>
        <w:rPr>
          <w:rFonts w:ascii="Arial" w:hAnsi="Arial" w:cs="Arial"/>
          <w:sz w:val="18"/>
        </w:rPr>
      </w:pPr>
      <w:r w:rsidRPr="00DA241A">
        <w:rPr>
          <w:rFonts w:ascii="Arial" w:hAnsi="Arial" w:cs="Arial"/>
          <w:sz w:val="18"/>
        </w:rPr>
        <w:t>Vir: Statistični podatki o javnih naročilih, oddanih v letu 201</w:t>
      </w:r>
      <w:r w:rsidR="00DA241A" w:rsidRPr="00DA241A">
        <w:rPr>
          <w:rFonts w:ascii="Arial" w:hAnsi="Arial" w:cs="Arial"/>
          <w:sz w:val="18"/>
        </w:rPr>
        <w:t>8</w:t>
      </w:r>
    </w:p>
    <w:p w14:paraId="64E04AC8" w14:textId="77777777" w:rsidR="0093150A" w:rsidRPr="00DA241A" w:rsidRDefault="0093150A" w:rsidP="0093150A">
      <w:pPr>
        <w:tabs>
          <w:tab w:val="left" w:pos="567"/>
          <w:tab w:val="left" w:pos="993"/>
        </w:tabs>
        <w:spacing w:after="0" w:line="360" w:lineRule="auto"/>
        <w:jc w:val="both"/>
        <w:rPr>
          <w:rFonts w:ascii="Arial" w:hAnsi="Arial" w:cs="Arial"/>
          <w:sz w:val="20"/>
          <w:szCs w:val="20"/>
          <w:lang w:eastAsia="sl-SI"/>
        </w:rPr>
      </w:pPr>
    </w:p>
    <w:p w14:paraId="3AD7BB5C" w14:textId="77777777" w:rsidR="003207AB" w:rsidRPr="00CC3442" w:rsidRDefault="003207AB" w:rsidP="003207AB">
      <w:pPr>
        <w:tabs>
          <w:tab w:val="left" w:pos="567"/>
          <w:tab w:val="left" w:pos="993"/>
        </w:tabs>
        <w:spacing w:line="360" w:lineRule="auto"/>
        <w:jc w:val="both"/>
        <w:rPr>
          <w:rFonts w:ascii="Arial" w:hAnsi="Arial" w:cs="Arial"/>
          <w:sz w:val="20"/>
          <w:szCs w:val="20"/>
          <w:lang w:eastAsia="sl-SI"/>
        </w:rPr>
      </w:pPr>
      <w:r w:rsidRPr="00CC3442">
        <w:rPr>
          <w:rFonts w:ascii="Arial" w:hAnsi="Arial" w:cs="Arial"/>
          <w:sz w:val="20"/>
          <w:szCs w:val="20"/>
          <w:lang w:eastAsia="sl-SI"/>
        </w:rPr>
        <w:t xml:space="preserve">Glede na predmet naročanja slaba polovica naročil blaga znaša dobro tretjino vrednosti vseh evidenčnih naročil. </w:t>
      </w:r>
    </w:p>
    <w:p w14:paraId="58FA56C0" w14:textId="336CE0D2" w:rsidR="0093150A" w:rsidRPr="00F62E5F" w:rsidRDefault="004B0127" w:rsidP="0093150A">
      <w:pPr>
        <w:spacing w:before="120" w:after="120" w:line="240" w:lineRule="auto"/>
        <w:jc w:val="both"/>
        <w:rPr>
          <w:rFonts w:ascii="Arial" w:hAnsi="Arial" w:cs="Arial"/>
          <w:sz w:val="20"/>
        </w:rPr>
      </w:pPr>
      <w:r w:rsidRPr="00F62E5F">
        <w:rPr>
          <w:rFonts w:ascii="Arial" w:hAnsi="Arial" w:cs="Arial"/>
          <w:sz w:val="20"/>
        </w:rPr>
        <w:t xml:space="preserve">Preglednica </w:t>
      </w:r>
      <w:r w:rsidR="00F3604D">
        <w:rPr>
          <w:rFonts w:ascii="Arial" w:hAnsi="Arial" w:cs="Arial"/>
          <w:sz w:val="20"/>
        </w:rPr>
        <w:t>68</w:t>
      </w:r>
      <w:r w:rsidR="0093150A" w:rsidRPr="00F62E5F">
        <w:rPr>
          <w:rFonts w:ascii="Arial" w:hAnsi="Arial" w:cs="Arial"/>
          <w:sz w:val="20"/>
        </w:rPr>
        <w:t>: Vrednost, število in deleži evidenčnih naročil po predmetu naročanja</w:t>
      </w:r>
    </w:p>
    <w:tbl>
      <w:tblPr>
        <w:tblW w:w="7980" w:type="dxa"/>
        <w:jc w:val="center"/>
        <w:tblCellMar>
          <w:left w:w="70" w:type="dxa"/>
          <w:right w:w="70" w:type="dxa"/>
        </w:tblCellMar>
        <w:tblLook w:val="04A0" w:firstRow="1" w:lastRow="0" w:firstColumn="1" w:lastColumn="0" w:noHBand="0" w:noVBand="1"/>
      </w:tblPr>
      <w:tblGrid>
        <w:gridCol w:w="1360"/>
        <w:gridCol w:w="2260"/>
        <w:gridCol w:w="2440"/>
        <w:gridCol w:w="960"/>
        <w:gridCol w:w="960"/>
      </w:tblGrid>
      <w:tr w:rsidR="0093150A" w:rsidRPr="00F62E5F" w14:paraId="5B57A3E6" w14:textId="77777777" w:rsidTr="00D95737">
        <w:trPr>
          <w:trHeight w:val="480"/>
          <w:tblHeader/>
          <w:jc w:val="center"/>
        </w:trPr>
        <w:tc>
          <w:tcPr>
            <w:tcW w:w="136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6DEF292" w14:textId="77777777" w:rsidR="0093150A" w:rsidRPr="00F62E5F" w:rsidRDefault="0093150A" w:rsidP="00DB319D">
            <w:pPr>
              <w:spacing w:after="0" w:line="240" w:lineRule="auto"/>
              <w:jc w:val="center"/>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 xml:space="preserve">Predmet </w:t>
            </w:r>
          </w:p>
        </w:tc>
        <w:tc>
          <w:tcPr>
            <w:tcW w:w="2260" w:type="dxa"/>
            <w:tcBorders>
              <w:top w:val="single" w:sz="4" w:space="0" w:color="auto"/>
              <w:left w:val="nil"/>
              <w:bottom w:val="single" w:sz="4" w:space="0" w:color="auto"/>
              <w:right w:val="single" w:sz="4" w:space="0" w:color="auto"/>
            </w:tcBorders>
            <w:shd w:val="clear" w:color="000000" w:fill="EDEDED"/>
            <w:vAlign w:val="center"/>
            <w:hideMark/>
          </w:tcPr>
          <w:p w14:paraId="020C9752" w14:textId="77777777" w:rsidR="0093150A" w:rsidRPr="00F62E5F" w:rsidRDefault="0093150A" w:rsidP="00DB319D">
            <w:pPr>
              <w:spacing w:after="0" w:line="240" w:lineRule="auto"/>
              <w:jc w:val="center"/>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Št. naročil</w:t>
            </w:r>
          </w:p>
        </w:tc>
        <w:tc>
          <w:tcPr>
            <w:tcW w:w="2440" w:type="dxa"/>
            <w:tcBorders>
              <w:top w:val="single" w:sz="4" w:space="0" w:color="auto"/>
              <w:left w:val="nil"/>
              <w:bottom w:val="single" w:sz="4" w:space="0" w:color="auto"/>
              <w:right w:val="single" w:sz="4" w:space="0" w:color="auto"/>
            </w:tcBorders>
            <w:shd w:val="clear" w:color="000000" w:fill="EDEDED"/>
            <w:vAlign w:val="center"/>
            <w:hideMark/>
          </w:tcPr>
          <w:p w14:paraId="3815D4D2" w14:textId="77777777" w:rsidR="0093150A" w:rsidRPr="00F62E5F" w:rsidRDefault="0093150A" w:rsidP="00DB319D">
            <w:pPr>
              <w:spacing w:after="0" w:line="240" w:lineRule="auto"/>
              <w:jc w:val="center"/>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Pogodbena vrednost</w:t>
            </w:r>
          </w:p>
        </w:tc>
        <w:tc>
          <w:tcPr>
            <w:tcW w:w="960" w:type="dxa"/>
            <w:tcBorders>
              <w:top w:val="single" w:sz="4" w:space="0" w:color="auto"/>
              <w:left w:val="nil"/>
              <w:bottom w:val="single" w:sz="4" w:space="0" w:color="auto"/>
              <w:right w:val="single" w:sz="4" w:space="0" w:color="auto"/>
            </w:tcBorders>
            <w:shd w:val="clear" w:color="000000" w:fill="EDEDED"/>
            <w:vAlign w:val="center"/>
            <w:hideMark/>
          </w:tcPr>
          <w:p w14:paraId="38924054" w14:textId="77777777" w:rsidR="0093150A" w:rsidRPr="00F62E5F" w:rsidRDefault="0093150A" w:rsidP="00DB319D">
            <w:pPr>
              <w:spacing w:after="0" w:line="240" w:lineRule="auto"/>
              <w:jc w:val="center"/>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000000" w:fill="EDEDED"/>
            <w:vAlign w:val="center"/>
            <w:hideMark/>
          </w:tcPr>
          <w:p w14:paraId="5DBA9E4C" w14:textId="77777777" w:rsidR="0093150A" w:rsidRPr="00F62E5F" w:rsidRDefault="0093150A" w:rsidP="00DB319D">
            <w:pPr>
              <w:spacing w:after="0" w:line="240" w:lineRule="auto"/>
              <w:jc w:val="center"/>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Delež v vrednosti</w:t>
            </w:r>
          </w:p>
        </w:tc>
      </w:tr>
      <w:tr w:rsidR="00F62E5F" w:rsidRPr="00F62E5F" w14:paraId="3D6AEF67" w14:textId="77777777" w:rsidTr="00F62E5F">
        <w:trPr>
          <w:trHeight w:val="30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C3783AC" w14:textId="77777777" w:rsidR="00F62E5F" w:rsidRPr="00F62E5F" w:rsidRDefault="00F62E5F" w:rsidP="00F62E5F">
            <w:pPr>
              <w:spacing w:after="0" w:line="240" w:lineRule="auto"/>
              <w:jc w:val="both"/>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Blago</w:t>
            </w:r>
          </w:p>
        </w:tc>
        <w:tc>
          <w:tcPr>
            <w:tcW w:w="2260" w:type="dxa"/>
            <w:tcBorders>
              <w:top w:val="nil"/>
              <w:left w:val="nil"/>
              <w:bottom w:val="single" w:sz="4" w:space="0" w:color="auto"/>
              <w:right w:val="single" w:sz="4" w:space="0" w:color="auto"/>
            </w:tcBorders>
            <w:shd w:val="clear" w:color="auto" w:fill="auto"/>
            <w:vAlign w:val="center"/>
            <w:hideMark/>
          </w:tcPr>
          <w:p w14:paraId="08C34484" w14:textId="153B8378"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513.880</w:t>
            </w:r>
          </w:p>
        </w:tc>
        <w:tc>
          <w:tcPr>
            <w:tcW w:w="2440" w:type="dxa"/>
            <w:tcBorders>
              <w:top w:val="nil"/>
              <w:left w:val="nil"/>
              <w:bottom w:val="single" w:sz="4" w:space="0" w:color="auto"/>
              <w:right w:val="single" w:sz="4" w:space="0" w:color="auto"/>
            </w:tcBorders>
            <w:shd w:val="clear" w:color="auto" w:fill="auto"/>
            <w:vAlign w:val="center"/>
            <w:hideMark/>
          </w:tcPr>
          <w:p w14:paraId="46282610" w14:textId="5FBEE2BF"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372.046.035</w:t>
            </w:r>
          </w:p>
        </w:tc>
        <w:tc>
          <w:tcPr>
            <w:tcW w:w="960" w:type="dxa"/>
            <w:tcBorders>
              <w:top w:val="nil"/>
              <w:left w:val="nil"/>
              <w:bottom w:val="single" w:sz="4" w:space="0" w:color="auto"/>
              <w:right w:val="single" w:sz="4" w:space="0" w:color="auto"/>
            </w:tcBorders>
            <w:shd w:val="clear" w:color="auto" w:fill="auto"/>
            <w:noWrap/>
            <w:vAlign w:val="center"/>
            <w:hideMark/>
          </w:tcPr>
          <w:p w14:paraId="0D4910CD" w14:textId="5C14A45E"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48,83 %</w:t>
            </w:r>
          </w:p>
        </w:tc>
        <w:tc>
          <w:tcPr>
            <w:tcW w:w="960" w:type="dxa"/>
            <w:tcBorders>
              <w:top w:val="nil"/>
              <w:left w:val="nil"/>
              <w:bottom w:val="single" w:sz="4" w:space="0" w:color="auto"/>
              <w:right w:val="single" w:sz="4" w:space="0" w:color="auto"/>
            </w:tcBorders>
            <w:shd w:val="clear" w:color="auto" w:fill="auto"/>
            <w:noWrap/>
            <w:vAlign w:val="center"/>
            <w:hideMark/>
          </w:tcPr>
          <w:p w14:paraId="47164BE8" w14:textId="586AF655"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36,93 %</w:t>
            </w:r>
          </w:p>
        </w:tc>
      </w:tr>
      <w:tr w:rsidR="00F62E5F" w:rsidRPr="00F62E5F" w14:paraId="63CDF5F5" w14:textId="77777777" w:rsidTr="00F62E5F">
        <w:trPr>
          <w:trHeight w:val="30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A6F2061" w14:textId="77777777" w:rsidR="00F62E5F" w:rsidRPr="00F62E5F" w:rsidRDefault="00F62E5F" w:rsidP="00F62E5F">
            <w:pPr>
              <w:spacing w:after="0" w:line="240" w:lineRule="auto"/>
              <w:jc w:val="both"/>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Storitve</w:t>
            </w:r>
          </w:p>
        </w:tc>
        <w:tc>
          <w:tcPr>
            <w:tcW w:w="2260" w:type="dxa"/>
            <w:tcBorders>
              <w:top w:val="nil"/>
              <w:left w:val="nil"/>
              <w:bottom w:val="single" w:sz="4" w:space="0" w:color="auto"/>
              <w:right w:val="single" w:sz="4" w:space="0" w:color="auto"/>
            </w:tcBorders>
            <w:shd w:val="clear" w:color="auto" w:fill="auto"/>
            <w:vAlign w:val="center"/>
            <w:hideMark/>
          </w:tcPr>
          <w:p w14:paraId="2439FA8A" w14:textId="2DE961AA"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523.632</w:t>
            </w:r>
          </w:p>
        </w:tc>
        <w:tc>
          <w:tcPr>
            <w:tcW w:w="2440" w:type="dxa"/>
            <w:tcBorders>
              <w:top w:val="nil"/>
              <w:left w:val="nil"/>
              <w:bottom w:val="single" w:sz="4" w:space="0" w:color="auto"/>
              <w:right w:val="single" w:sz="4" w:space="0" w:color="auto"/>
            </w:tcBorders>
            <w:shd w:val="clear" w:color="auto" w:fill="auto"/>
            <w:vAlign w:val="center"/>
            <w:hideMark/>
          </w:tcPr>
          <w:p w14:paraId="5F4D36AE" w14:textId="5C2E5DF0"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517.763.510</w:t>
            </w:r>
          </w:p>
        </w:tc>
        <w:tc>
          <w:tcPr>
            <w:tcW w:w="960" w:type="dxa"/>
            <w:tcBorders>
              <w:top w:val="nil"/>
              <w:left w:val="nil"/>
              <w:bottom w:val="single" w:sz="4" w:space="0" w:color="auto"/>
              <w:right w:val="single" w:sz="4" w:space="0" w:color="auto"/>
            </w:tcBorders>
            <w:shd w:val="clear" w:color="auto" w:fill="auto"/>
            <w:noWrap/>
            <w:vAlign w:val="center"/>
            <w:hideMark/>
          </w:tcPr>
          <w:p w14:paraId="3037940B" w14:textId="3D4C5D43"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49,76 %</w:t>
            </w:r>
          </w:p>
        </w:tc>
        <w:tc>
          <w:tcPr>
            <w:tcW w:w="960" w:type="dxa"/>
            <w:tcBorders>
              <w:top w:val="nil"/>
              <w:left w:val="nil"/>
              <w:bottom w:val="single" w:sz="4" w:space="0" w:color="auto"/>
              <w:right w:val="single" w:sz="4" w:space="0" w:color="auto"/>
            </w:tcBorders>
            <w:shd w:val="clear" w:color="auto" w:fill="auto"/>
            <w:noWrap/>
            <w:vAlign w:val="center"/>
            <w:hideMark/>
          </w:tcPr>
          <w:p w14:paraId="5F3733E0" w14:textId="3AEC25A1"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51,39 %</w:t>
            </w:r>
          </w:p>
        </w:tc>
      </w:tr>
      <w:tr w:rsidR="00F62E5F" w:rsidRPr="00F62E5F" w14:paraId="77A9378A" w14:textId="77777777" w:rsidTr="00F62E5F">
        <w:trPr>
          <w:trHeight w:val="30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F61B32F" w14:textId="77777777" w:rsidR="00F62E5F" w:rsidRPr="00F62E5F" w:rsidRDefault="00F62E5F" w:rsidP="00F62E5F">
            <w:pPr>
              <w:spacing w:after="0" w:line="240" w:lineRule="auto"/>
              <w:jc w:val="both"/>
              <w:rPr>
                <w:rFonts w:ascii="Arial" w:eastAsia="Times New Roman" w:hAnsi="Arial" w:cs="Arial"/>
                <w:color w:val="000000"/>
                <w:sz w:val="18"/>
                <w:szCs w:val="18"/>
                <w:lang w:eastAsia="sl-SI"/>
              </w:rPr>
            </w:pPr>
            <w:r w:rsidRPr="00F62E5F">
              <w:rPr>
                <w:rFonts w:ascii="Arial" w:eastAsia="Times New Roman" w:hAnsi="Arial" w:cs="Arial"/>
                <w:color w:val="000000"/>
                <w:sz w:val="18"/>
                <w:szCs w:val="18"/>
                <w:lang w:eastAsia="sl-SI"/>
              </w:rPr>
              <w:t>Gradnje</w:t>
            </w:r>
          </w:p>
        </w:tc>
        <w:tc>
          <w:tcPr>
            <w:tcW w:w="2260" w:type="dxa"/>
            <w:tcBorders>
              <w:top w:val="nil"/>
              <w:left w:val="nil"/>
              <w:bottom w:val="single" w:sz="4" w:space="0" w:color="auto"/>
              <w:right w:val="single" w:sz="4" w:space="0" w:color="auto"/>
            </w:tcBorders>
            <w:shd w:val="clear" w:color="auto" w:fill="auto"/>
            <w:vAlign w:val="center"/>
            <w:hideMark/>
          </w:tcPr>
          <w:p w14:paraId="12240398" w14:textId="274AAAA0"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14.853</w:t>
            </w:r>
          </w:p>
        </w:tc>
        <w:tc>
          <w:tcPr>
            <w:tcW w:w="2440" w:type="dxa"/>
            <w:tcBorders>
              <w:top w:val="nil"/>
              <w:left w:val="nil"/>
              <w:bottom w:val="single" w:sz="4" w:space="0" w:color="auto"/>
              <w:right w:val="single" w:sz="4" w:space="0" w:color="auto"/>
            </w:tcBorders>
            <w:shd w:val="clear" w:color="auto" w:fill="auto"/>
            <w:vAlign w:val="center"/>
            <w:hideMark/>
          </w:tcPr>
          <w:p w14:paraId="0AAA98E4" w14:textId="3AB31CAF"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117.704.033</w:t>
            </w:r>
          </w:p>
        </w:tc>
        <w:tc>
          <w:tcPr>
            <w:tcW w:w="960" w:type="dxa"/>
            <w:tcBorders>
              <w:top w:val="nil"/>
              <w:left w:val="nil"/>
              <w:bottom w:val="single" w:sz="4" w:space="0" w:color="auto"/>
              <w:right w:val="single" w:sz="4" w:space="0" w:color="auto"/>
            </w:tcBorders>
            <w:shd w:val="clear" w:color="auto" w:fill="auto"/>
            <w:noWrap/>
            <w:vAlign w:val="center"/>
            <w:hideMark/>
          </w:tcPr>
          <w:p w14:paraId="4DB81EEC" w14:textId="7A372525"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1,41 %</w:t>
            </w:r>
          </w:p>
        </w:tc>
        <w:tc>
          <w:tcPr>
            <w:tcW w:w="960" w:type="dxa"/>
            <w:tcBorders>
              <w:top w:val="nil"/>
              <w:left w:val="nil"/>
              <w:bottom w:val="single" w:sz="4" w:space="0" w:color="auto"/>
              <w:right w:val="single" w:sz="4" w:space="0" w:color="auto"/>
            </w:tcBorders>
            <w:shd w:val="clear" w:color="auto" w:fill="auto"/>
            <w:noWrap/>
            <w:vAlign w:val="center"/>
            <w:hideMark/>
          </w:tcPr>
          <w:p w14:paraId="2B871123" w14:textId="75C572D8" w:rsidR="00F62E5F" w:rsidRPr="00F62E5F" w:rsidRDefault="00F62E5F" w:rsidP="00F62E5F">
            <w:pPr>
              <w:spacing w:after="0" w:line="240" w:lineRule="auto"/>
              <w:jc w:val="right"/>
              <w:rPr>
                <w:rFonts w:ascii="Arial" w:eastAsia="Times New Roman" w:hAnsi="Arial" w:cs="Arial"/>
                <w:color w:val="000000"/>
                <w:sz w:val="18"/>
                <w:szCs w:val="18"/>
                <w:lang w:eastAsia="sl-SI"/>
              </w:rPr>
            </w:pPr>
            <w:r w:rsidRPr="00F62E5F">
              <w:rPr>
                <w:rFonts w:ascii="Arial" w:hAnsi="Arial" w:cs="Arial"/>
                <w:sz w:val="18"/>
                <w:szCs w:val="18"/>
              </w:rPr>
              <w:t>11,68 %</w:t>
            </w:r>
          </w:p>
        </w:tc>
      </w:tr>
      <w:tr w:rsidR="00F62E5F" w:rsidRPr="00F62E5F" w14:paraId="4D1F8D78" w14:textId="77777777" w:rsidTr="00B45EE0">
        <w:trPr>
          <w:trHeight w:val="300"/>
          <w:jc w:val="center"/>
        </w:trPr>
        <w:tc>
          <w:tcPr>
            <w:tcW w:w="1360" w:type="dxa"/>
            <w:tcBorders>
              <w:top w:val="nil"/>
              <w:left w:val="single" w:sz="4" w:space="0" w:color="auto"/>
              <w:bottom w:val="single" w:sz="4" w:space="0" w:color="auto"/>
              <w:right w:val="single" w:sz="4" w:space="0" w:color="auto"/>
            </w:tcBorders>
            <w:shd w:val="clear" w:color="auto" w:fill="E7E6E6" w:themeFill="background2"/>
            <w:vAlign w:val="center"/>
            <w:hideMark/>
          </w:tcPr>
          <w:p w14:paraId="31C4A271" w14:textId="77777777" w:rsidR="00F62E5F" w:rsidRPr="00F62E5F" w:rsidRDefault="00F62E5F" w:rsidP="00F62E5F">
            <w:pPr>
              <w:spacing w:after="0" w:line="240" w:lineRule="auto"/>
              <w:jc w:val="both"/>
              <w:rPr>
                <w:rFonts w:ascii="Arial" w:eastAsia="Times New Roman" w:hAnsi="Arial" w:cs="Arial"/>
                <w:b/>
                <w:bCs/>
                <w:color w:val="000000"/>
                <w:sz w:val="18"/>
                <w:szCs w:val="18"/>
                <w:lang w:eastAsia="sl-SI"/>
              </w:rPr>
            </w:pPr>
            <w:r w:rsidRPr="00F62E5F">
              <w:rPr>
                <w:rFonts w:ascii="Arial" w:eastAsia="Times New Roman" w:hAnsi="Arial" w:cs="Arial"/>
                <w:b/>
                <w:bCs/>
                <w:color w:val="000000"/>
                <w:sz w:val="18"/>
                <w:szCs w:val="18"/>
                <w:lang w:eastAsia="sl-SI"/>
              </w:rPr>
              <w:t>Skupaj</w:t>
            </w:r>
          </w:p>
        </w:tc>
        <w:tc>
          <w:tcPr>
            <w:tcW w:w="2260" w:type="dxa"/>
            <w:tcBorders>
              <w:top w:val="nil"/>
              <w:left w:val="nil"/>
              <w:bottom w:val="single" w:sz="4" w:space="0" w:color="auto"/>
              <w:right w:val="single" w:sz="4" w:space="0" w:color="auto"/>
            </w:tcBorders>
            <w:shd w:val="clear" w:color="auto" w:fill="E7E6E6" w:themeFill="background2"/>
            <w:noWrap/>
            <w:vAlign w:val="center"/>
            <w:hideMark/>
          </w:tcPr>
          <w:p w14:paraId="5F98A5E3" w14:textId="0036B223" w:rsidR="00F62E5F" w:rsidRPr="00F62E5F" w:rsidRDefault="00F62E5F" w:rsidP="00F62E5F">
            <w:pPr>
              <w:spacing w:after="0" w:line="240" w:lineRule="auto"/>
              <w:jc w:val="right"/>
              <w:rPr>
                <w:rFonts w:ascii="Arial" w:eastAsia="Times New Roman" w:hAnsi="Arial" w:cs="Arial"/>
                <w:b/>
                <w:bCs/>
                <w:color w:val="000000"/>
                <w:sz w:val="18"/>
                <w:szCs w:val="18"/>
                <w:lang w:eastAsia="sl-SI"/>
              </w:rPr>
            </w:pPr>
            <w:r w:rsidRPr="00F62E5F">
              <w:rPr>
                <w:rFonts w:ascii="Arial" w:hAnsi="Arial" w:cs="Arial"/>
                <w:b/>
                <w:sz w:val="18"/>
                <w:szCs w:val="18"/>
              </w:rPr>
              <w:t>1.052.365</w:t>
            </w:r>
          </w:p>
        </w:tc>
        <w:tc>
          <w:tcPr>
            <w:tcW w:w="2440" w:type="dxa"/>
            <w:tcBorders>
              <w:top w:val="nil"/>
              <w:left w:val="nil"/>
              <w:bottom w:val="single" w:sz="4" w:space="0" w:color="auto"/>
              <w:right w:val="single" w:sz="4" w:space="0" w:color="auto"/>
            </w:tcBorders>
            <w:shd w:val="clear" w:color="auto" w:fill="E7E6E6" w:themeFill="background2"/>
            <w:noWrap/>
            <w:vAlign w:val="center"/>
            <w:hideMark/>
          </w:tcPr>
          <w:p w14:paraId="7E20D153" w14:textId="746AFAC6" w:rsidR="00F62E5F" w:rsidRPr="00F62E5F" w:rsidRDefault="00F62E5F" w:rsidP="00F62E5F">
            <w:pPr>
              <w:spacing w:after="0" w:line="240" w:lineRule="auto"/>
              <w:jc w:val="right"/>
              <w:rPr>
                <w:rFonts w:ascii="Arial" w:eastAsia="Times New Roman" w:hAnsi="Arial" w:cs="Arial"/>
                <w:b/>
                <w:bCs/>
                <w:color w:val="000000"/>
                <w:sz w:val="18"/>
                <w:szCs w:val="18"/>
                <w:lang w:eastAsia="sl-SI"/>
              </w:rPr>
            </w:pPr>
            <w:r w:rsidRPr="00F62E5F">
              <w:rPr>
                <w:rFonts w:ascii="Arial" w:hAnsi="Arial" w:cs="Arial"/>
                <w:b/>
                <w:sz w:val="18"/>
                <w:szCs w:val="18"/>
              </w:rPr>
              <w:t>1.007.513.578</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14:paraId="4C0B5184" w14:textId="36549F6A" w:rsidR="00F62E5F" w:rsidRPr="00F62E5F" w:rsidRDefault="00F62E5F" w:rsidP="00F62E5F">
            <w:pPr>
              <w:spacing w:after="0" w:line="240" w:lineRule="auto"/>
              <w:jc w:val="right"/>
              <w:rPr>
                <w:rFonts w:ascii="Arial" w:eastAsia="Times New Roman" w:hAnsi="Arial" w:cs="Arial"/>
                <w:b/>
                <w:color w:val="000000"/>
                <w:sz w:val="18"/>
                <w:szCs w:val="18"/>
                <w:lang w:eastAsia="sl-SI"/>
              </w:rPr>
            </w:pPr>
            <w:r w:rsidRPr="00F62E5F">
              <w:rPr>
                <w:rFonts w:ascii="Arial" w:hAnsi="Arial" w:cs="Arial"/>
                <w:b/>
                <w:sz w:val="18"/>
                <w:szCs w:val="18"/>
              </w:rPr>
              <w:t>100,00 %</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14:paraId="6943123D" w14:textId="79F5FA22" w:rsidR="00F62E5F" w:rsidRPr="00F62E5F" w:rsidRDefault="00F62E5F" w:rsidP="00F62E5F">
            <w:pPr>
              <w:spacing w:after="0" w:line="240" w:lineRule="auto"/>
              <w:jc w:val="right"/>
              <w:rPr>
                <w:rFonts w:ascii="Arial" w:eastAsia="Times New Roman" w:hAnsi="Arial" w:cs="Arial"/>
                <w:b/>
                <w:color w:val="000000"/>
                <w:sz w:val="18"/>
                <w:szCs w:val="18"/>
                <w:lang w:eastAsia="sl-SI"/>
              </w:rPr>
            </w:pPr>
            <w:r w:rsidRPr="00F62E5F">
              <w:rPr>
                <w:rFonts w:ascii="Arial" w:hAnsi="Arial" w:cs="Arial"/>
                <w:b/>
                <w:sz w:val="18"/>
                <w:szCs w:val="18"/>
              </w:rPr>
              <w:t>100,00 %</w:t>
            </w:r>
          </w:p>
        </w:tc>
      </w:tr>
    </w:tbl>
    <w:p w14:paraId="4E83103B" w14:textId="77777777" w:rsidR="0093150A" w:rsidRPr="00F62E5F" w:rsidRDefault="0093150A" w:rsidP="0093150A">
      <w:pPr>
        <w:spacing w:after="0" w:line="240" w:lineRule="auto"/>
        <w:jc w:val="center"/>
        <w:rPr>
          <w:rFonts w:ascii="Arial" w:hAnsi="Arial" w:cs="Arial"/>
          <w:noProof/>
          <w:sz w:val="20"/>
          <w:szCs w:val="20"/>
          <w:lang w:eastAsia="sl-SI"/>
        </w:rPr>
      </w:pPr>
    </w:p>
    <w:p w14:paraId="151286E5" w14:textId="2AA2A1C7" w:rsidR="0093150A" w:rsidRPr="00F62E5F" w:rsidRDefault="0093150A" w:rsidP="00BE4B81">
      <w:pPr>
        <w:spacing w:after="0" w:line="360" w:lineRule="auto"/>
        <w:jc w:val="center"/>
        <w:rPr>
          <w:rFonts w:ascii="Arial" w:hAnsi="Arial" w:cs="Arial"/>
          <w:sz w:val="18"/>
        </w:rPr>
      </w:pPr>
      <w:r w:rsidRPr="00F62E5F">
        <w:rPr>
          <w:rFonts w:ascii="Arial" w:hAnsi="Arial" w:cs="Arial"/>
          <w:sz w:val="18"/>
        </w:rPr>
        <w:t>Vir: Statistični podatki o javnih naročilih, oddanih v letu 201</w:t>
      </w:r>
      <w:r w:rsidR="00F62E5F" w:rsidRPr="00F62E5F">
        <w:rPr>
          <w:rFonts w:ascii="Arial" w:hAnsi="Arial" w:cs="Arial"/>
          <w:sz w:val="18"/>
        </w:rPr>
        <w:t>8</w:t>
      </w:r>
    </w:p>
    <w:p w14:paraId="28708301" w14:textId="77777777" w:rsidR="0069486A" w:rsidRPr="00F62E5F" w:rsidRDefault="0069486A" w:rsidP="00BE4B81">
      <w:pPr>
        <w:spacing w:after="0" w:line="360" w:lineRule="auto"/>
        <w:jc w:val="center"/>
        <w:rPr>
          <w:rFonts w:ascii="Arial" w:hAnsi="Arial" w:cs="Arial"/>
          <w:sz w:val="18"/>
        </w:rPr>
      </w:pPr>
    </w:p>
    <w:p w14:paraId="71685FB3" w14:textId="7A712437" w:rsidR="00FB4DBB" w:rsidRPr="00FB4DBB" w:rsidRDefault="005522FF" w:rsidP="00FB4DBB">
      <w:pPr>
        <w:spacing w:after="0" w:line="360" w:lineRule="auto"/>
        <w:jc w:val="both"/>
        <w:rPr>
          <w:rFonts w:ascii="Arial" w:eastAsia="Times New Roman" w:hAnsi="Arial" w:cs="Arial"/>
          <w:color w:val="000000"/>
          <w:sz w:val="20"/>
          <w:szCs w:val="20"/>
          <w:lang w:eastAsia="sl-SI"/>
        </w:rPr>
      </w:pPr>
      <w:r>
        <w:rPr>
          <w:rFonts w:ascii="Arial" w:hAnsi="Arial" w:cs="Arial"/>
          <w:sz w:val="20"/>
          <w:szCs w:val="20"/>
          <w:lang w:eastAsia="sl-SI"/>
        </w:rPr>
        <w:t>Leta</w:t>
      </w:r>
      <w:r w:rsidR="0093150A" w:rsidRPr="00FB4DBB">
        <w:rPr>
          <w:rFonts w:ascii="Arial" w:hAnsi="Arial" w:cs="Arial"/>
          <w:sz w:val="20"/>
          <w:szCs w:val="20"/>
          <w:lang w:eastAsia="sl-SI"/>
        </w:rPr>
        <w:t xml:space="preserve"> 201</w:t>
      </w:r>
      <w:r w:rsidR="00FB4DBB">
        <w:rPr>
          <w:rFonts w:ascii="Arial" w:hAnsi="Arial" w:cs="Arial"/>
          <w:sz w:val="20"/>
          <w:szCs w:val="20"/>
          <w:lang w:eastAsia="sl-SI"/>
        </w:rPr>
        <w:t>8</w:t>
      </w:r>
      <w:r w:rsidR="0093150A" w:rsidRPr="00FB4DBB">
        <w:rPr>
          <w:rFonts w:ascii="Arial" w:hAnsi="Arial" w:cs="Arial"/>
          <w:sz w:val="20"/>
          <w:szCs w:val="20"/>
          <w:lang w:eastAsia="sl-SI"/>
        </w:rPr>
        <w:t xml:space="preserve"> so po vrednosti največ evidenčnih naročil oddali: </w:t>
      </w:r>
      <w:r w:rsidR="00BE4B81" w:rsidRPr="00FB4DBB">
        <w:rPr>
          <w:rFonts w:ascii="Arial" w:eastAsia="Times New Roman" w:hAnsi="Arial" w:cs="Arial"/>
          <w:color w:val="000000"/>
          <w:sz w:val="20"/>
          <w:szCs w:val="20"/>
          <w:lang w:eastAsia="sl-SI"/>
        </w:rPr>
        <w:t>Univerzitetni klinični center L</w:t>
      </w:r>
      <w:r w:rsidR="004A61BD" w:rsidRPr="00FB4DBB">
        <w:rPr>
          <w:rFonts w:ascii="Arial" w:eastAsia="Times New Roman" w:hAnsi="Arial" w:cs="Arial"/>
          <w:color w:val="000000"/>
          <w:sz w:val="20"/>
          <w:szCs w:val="20"/>
          <w:lang w:eastAsia="sl-SI"/>
        </w:rPr>
        <w:t>jubljana (</w:t>
      </w:r>
      <w:r w:rsidR="00FB4DBB" w:rsidRPr="00FB4DBB">
        <w:rPr>
          <w:rFonts w:ascii="Arial" w:eastAsia="Times New Roman" w:hAnsi="Arial" w:cs="Arial"/>
          <w:color w:val="000000"/>
          <w:sz w:val="20"/>
          <w:szCs w:val="20"/>
          <w:lang w:eastAsia="sl-SI"/>
        </w:rPr>
        <w:t xml:space="preserve">54.095 </w:t>
      </w:r>
      <w:r w:rsidR="004A61BD" w:rsidRPr="00FB4DBB">
        <w:rPr>
          <w:rFonts w:ascii="Arial" w:eastAsia="Times New Roman" w:hAnsi="Arial" w:cs="Arial"/>
          <w:color w:val="000000"/>
          <w:sz w:val="20"/>
          <w:szCs w:val="20"/>
          <w:lang w:eastAsia="sl-SI"/>
        </w:rPr>
        <w:t xml:space="preserve">naročil v vrednosti </w:t>
      </w:r>
      <w:r w:rsidR="00FB4DBB" w:rsidRPr="00FB4DBB">
        <w:rPr>
          <w:rFonts w:ascii="Arial" w:eastAsia="Times New Roman" w:hAnsi="Arial" w:cs="Arial"/>
          <w:color w:val="000000"/>
          <w:sz w:val="20"/>
          <w:szCs w:val="20"/>
          <w:lang w:eastAsia="sl-SI"/>
        </w:rPr>
        <w:t xml:space="preserve">73.154.778 </w:t>
      </w:r>
      <w:r w:rsidR="004A61BD" w:rsidRPr="00FB4DBB">
        <w:rPr>
          <w:rFonts w:ascii="Arial" w:eastAsia="Times New Roman" w:hAnsi="Arial" w:cs="Arial"/>
          <w:color w:val="000000"/>
          <w:sz w:val="20"/>
          <w:szCs w:val="20"/>
          <w:lang w:eastAsia="sl-SI"/>
        </w:rPr>
        <w:t>evrov), Nuklearna elektrarna Krško, d. o. o. (</w:t>
      </w:r>
      <w:r w:rsidR="00FB4DBB" w:rsidRPr="00FB4DBB">
        <w:rPr>
          <w:rFonts w:ascii="Arial" w:eastAsia="Times New Roman" w:hAnsi="Arial" w:cs="Arial"/>
          <w:color w:val="000000"/>
          <w:sz w:val="20"/>
          <w:szCs w:val="20"/>
          <w:lang w:eastAsia="sl-SI"/>
        </w:rPr>
        <w:t xml:space="preserve">2.045 </w:t>
      </w:r>
      <w:r w:rsidR="004A61BD" w:rsidRPr="00FB4DBB">
        <w:rPr>
          <w:rFonts w:ascii="Arial" w:eastAsia="Times New Roman" w:hAnsi="Arial" w:cs="Arial"/>
          <w:color w:val="000000"/>
          <w:sz w:val="20"/>
          <w:szCs w:val="20"/>
          <w:lang w:eastAsia="sl-SI"/>
        </w:rPr>
        <w:t xml:space="preserve">naročil v vrednosti </w:t>
      </w:r>
      <w:r w:rsidR="00FB4DBB" w:rsidRPr="00FB4DBB">
        <w:rPr>
          <w:rFonts w:ascii="Arial" w:eastAsia="Times New Roman" w:hAnsi="Arial" w:cs="Arial"/>
          <w:color w:val="000000"/>
          <w:sz w:val="20"/>
          <w:szCs w:val="20"/>
          <w:lang w:eastAsia="sl-SI"/>
        </w:rPr>
        <w:t xml:space="preserve">14.339.930 </w:t>
      </w:r>
      <w:r w:rsidR="00CC40DF" w:rsidRPr="00FB4DBB">
        <w:rPr>
          <w:rFonts w:ascii="Arial" w:eastAsia="Times New Roman" w:hAnsi="Arial" w:cs="Arial"/>
          <w:color w:val="000000"/>
          <w:sz w:val="20"/>
          <w:szCs w:val="20"/>
          <w:lang w:eastAsia="sl-SI"/>
        </w:rPr>
        <w:t xml:space="preserve">evrov), </w:t>
      </w:r>
      <w:r w:rsidR="00FB4DBB" w:rsidRPr="00FB4DBB">
        <w:rPr>
          <w:rFonts w:ascii="Arial" w:eastAsia="Times New Roman" w:hAnsi="Arial" w:cs="Arial"/>
          <w:color w:val="000000"/>
          <w:sz w:val="20"/>
          <w:szCs w:val="20"/>
          <w:lang w:eastAsia="sl-SI"/>
        </w:rPr>
        <w:t xml:space="preserve">Direkcija RS za infrastrukturo (958 naročil v vrednosti 10.975.107 evrov), </w:t>
      </w:r>
      <w:r w:rsidR="00CC40DF" w:rsidRPr="00FB4DBB">
        <w:rPr>
          <w:rFonts w:ascii="Arial" w:eastAsia="Times New Roman" w:hAnsi="Arial" w:cs="Arial"/>
          <w:color w:val="000000"/>
          <w:sz w:val="20"/>
          <w:szCs w:val="20"/>
          <w:lang w:eastAsia="sl-SI"/>
        </w:rPr>
        <w:t>Mestna občina Ljubljana (3.</w:t>
      </w:r>
      <w:r w:rsidR="00FB4DBB" w:rsidRPr="00FB4DBB">
        <w:rPr>
          <w:rFonts w:ascii="Arial" w:eastAsia="Times New Roman" w:hAnsi="Arial" w:cs="Arial"/>
          <w:color w:val="000000"/>
          <w:sz w:val="20"/>
          <w:szCs w:val="20"/>
          <w:lang w:eastAsia="sl-SI"/>
        </w:rPr>
        <w:t>657</w:t>
      </w:r>
      <w:r w:rsidR="00CC40DF" w:rsidRPr="00FB4DBB">
        <w:rPr>
          <w:rFonts w:ascii="Arial" w:eastAsia="Times New Roman" w:hAnsi="Arial" w:cs="Arial"/>
          <w:color w:val="000000"/>
          <w:sz w:val="20"/>
          <w:szCs w:val="20"/>
          <w:lang w:eastAsia="sl-SI"/>
        </w:rPr>
        <w:t xml:space="preserve"> naročil v vrednosti </w:t>
      </w:r>
      <w:r w:rsidR="00FB4DBB" w:rsidRPr="00FB4DBB">
        <w:rPr>
          <w:rFonts w:ascii="Arial" w:eastAsia="Times New Roman" w:hAnsi="Arial" w:cs="Arial"/>
          <w:color w:val="000000"/>
          <w:sz w:val="20"/>
          <w:szCs w:val="20"/>
          <w:lang w:eastAsia="sl-SI"/>
        </w:rPr>
        <w:t xml:space="preserve">10.403.525 </w:t>
      </w:r>
      <w:r w:rsidR="00CC40DF" w:rsidRPr="00FB4DBB">
        <w:rPr>
          <w:rFonts w:ascii="Arial" w:eastAsia="Times New Roman" w:hAnsi="Arial" w:cs="Arial"/>
          <w:color w:val="000000"/>
          <w:sz w:val="20"/>
          <w:szCs w:val="20"/>
          <w:lang w:eastAsia="sl-SI"/>
        </w:rPr>
        <w:t>evrov)</w:t>
      </w:r>
      <w:r w:rsidR="00FB4DBB" w:rsidRPr="00FB4DBB">
        <w:rPr>
          <w:rFonts w:ascii="Arial" w:eastAsia="Times New Roman" w:hAnsi="Arial" w:cs="Arial"/>
          <w:color w:val="000000"/>
          <w:sz w:val="20"/>
          <w:szCs w:val="20"/>
          <w:lang w:eastAsia="sl-SI"/>
        </w:rPr>
        <w:t xml:space="preserve"> in Univerza v Ljubljani, Medicinska fakulteta (12.243 naročil v vrednosti 10.002.010 evrov). </w:t>
      </w:r>
    </w:p>
    <w:p w14:paraId="430A9F42" w14:textId="21A7F579" w:rsidR="00FB4DBB" w:rsidRDefault="00FB4DBB" w:rsidP="00A8024C">
      <w:pPr>
        <w:pStyle w:val="ZADEVA"/>
        <w:ind w:left="0" w:firstLine="0"/>
        <w:jc w:val="both"/>
        <w:rPr>
          <w:rFonts w:eastAsiaTheme="minorHAnsi" w:cs="Arial"/>
          <w:b w:val="0"/>
          <w:szCs w:val="20"/>
          <w:highlight w:val="yellow"/>
          <w:lang w:val="sl-SI" w:eastAsia="sl-SI"/>
        </w:rPr>
      </w:pPr>
    </w:p>
    <w:p w14:paraId="6015A716" w14:textId="2E38D830" w:rsidR="006341A4" w:rsidRPr="00A8024C" w:rsidRDefault="006341A4" w:rsidP="006341A4">
      <w:pPr>
        <w:pStyle w:val="Naslov2"/>
        <w:rPr>
          <w:rFonts w:ascii="Arial" w:hAnsi="Arial" w:cs="Arial"/>
          <w:szCs w:val="20"/>
        </w:rPr>
      </w:pPr>
      <w:bookmarkStart w:id="47" w:name="_Toc17114081"/>
      <w:r w:rsidRPr="00A8024C">
        <w:rPr>
          <w:rFonts w:ascii="Arial" w:hAnsi="Arial" w:cs="Arial"/>
          <w:sz w:val="22"/>
          <w:szCs w:val="22"/>
        </w:rPr>
        <w:t>2.12 Javni natečaji</w:t>
      </w:r>
      <w:bookmarkEnd w:id="47"/>
    </w:p>
    <w:p w14:paraId="39B7DA1F" w14:textId="77777777" w:rsidR="006341A4" w:rsidRPr="00A8024C" w:rsidRDefault="006341A4" w:rsidP="00854405">
      <w:pPr>
        <w:pStyle w:val="ZADEVA"/>
        <w:jc w:val="both"/>
        <w:rPr>
          <w:rFonts w:cs="Arial"/>
          <w:b w:val="0"/>
          <w:szCs w:val="20"/>
          <w:lang w:val="sl-SI"/>
        </w:rPr>
      </w:pPr>
    </w:p>
    <w:p w14:paraId="5D37BD03" w14:textId="6187570D" w:rsidR="006341A4" w:rsidRPr="00AB46C8" w:rsidRDefault="005522FF" w:rsidP="00A7513D">
      <w:pPr>
        <w:spacing w:line="360" w:lineRule="auto"/>
        <w:jc w:val="both"/>
        <w:rPr>
          <w:rFonts w:ascii="Arial" w:hAnsi="Arial" w:cs="Arial"/>
          <w:sz w:val="20"/>
          <w:szCs w:val="20"/>
          <w:lang w:eastAsia="sl-SI"/>
        </w:rPr>
      </w:pPr>
      <w:r>
        <w:rPr>
          <w:rFonts w:ascii="Arial" w:hAnsi="Arial" w:cs="Arial"/>
          <w:sz w:val="20"/>
          <w:szCs w:val="20"/>
          <w:lang w:eastAsia="sl-SI"/>
        </w:rPr>
        <w:t>Leta</w:t>
      </w:r>
      <w:r w:rsidR="00F30D5E" w:rsidRPr="00AB46C8">
        <w:rPr>
          <w:rFonts w:ascii="Arial" w:hAnsi="Arial" w:cs="Arial"/>
          <w:sz w:val="20"/>
          <w:szCs w:val="20"/>
          <w:lang w:eastAsia="sl-SI"/>
        </w:rPr>
        <w:t xml:space="preserve"> 201</w:t>
      </w:r>
      <w:r w:rsidR="00A8024C" w:rsidRPr="00AB46C8">
        <w:rPr>
          <w:rFonts w:ascii="Arial" w:hAnsi="Arial" w:cs="Arial"/>
          <w:sz w:val="20"/>
          <w:szCs w:val="20"/>
          <w:lang w:eastAsia="sl-SI"/>
        </w:rPr>
        <w:t>8</w:t>
      </w:r>
      <w:r w:rsidR="0045098C" w:rsidRPr="00AB46C8">
        <w:rPr>
          <w:rFonts w:ascii="Arial" w:hAnsi="Arial" w:cs="Arial"/>
          <w:sz w:val="20"/>
          <w:szCs w:val="20"/>
          <w:lang w:eastAsia="sl-SI"/>
        </w:rPr>
        <w:t xml:space="preserve"> so naročniki izvedli </w:t>
      </w:r>
      <w:r w:rsidR="00A8024C" w:rsidRPr="00AB46C8">
        <w:rPr>
          <w:rFonts w:ascii="Arial" w:hAnsi="Arial" w:cs="Arial"/>
          <w:sz w:val="20"/>
          <w:szCs w:val="20"/>
          <w:lang w:eastAsia="sl-SI"/>
        </w:rPr>
        <w:t>enajst</w:t>
      </w:r>
      <w:r w:rsidR="00A7513D" w:rsidRPr="00AB46C8">
        <w:rPr>
          <w:rFonts w:ascii="Arial" w:hAnsi="Arial" w:cs="Arial"/>
          <w:sz w:val="20"/>
          <w:szCs w:val="20"/>
          <w:lang w:eastAsia="sl-SI"/>
        </w:rPr>
        <w:t xml:space="preserve"> javnih</w:t>
      </w:r>
      <w:r w:rsidR="0045098C" w:rsidRPr="00AB46C8">
        <w:rPr>
          <w:rFonts w:ascii="Arial" w:hAnsi="Arial" w:cs="Arial"/>
          <w:sz w:val="20"/>
          <w:szCs w:val="20"/>
          <w:lang w:eastAsia="sl-SI"/>
        </w:rPr>
        <w:t xml:space="preserve"> natečajev. </w:t>
      </w:r>
      <w:r w:rsidR="00AB46C8" w:rsidRPr="00AB46C8">
        <w:rPr>
          <w:rFonts w:ascii="Arial" w:hAnsi="Arial" w:cs="Arial"/>
          <w:sz w:val="20"/>
          <w:szCs w:val="20"/>
          <w:lang w:eastAsia="sl-SI"/>
        </w:rPr>
        <w:t>Pet</w:t>
      </w:r>
      <w:r w:rsidR="00A7513D" w:rsidRPr="00AB46C8">
        <w:rPr>
          <w:rFonts w:ascii="Arial" w:hAnsi="Arial" w:cs="Arial"/>
          <w:sz w:val="20"/>
          <w:szCs w:val="20"/>
          <w:lang w:eastAsia="sl-SI"/>
        </w:rPr>
        <w:t xml:space="preserve"> so </w:t>
      </w:r>
      <w:r w:rsidR="00662D80" w:rsidRPr="00AB46C8">
        <w:rPr>
          <w:rFonts w:ascii="Arial" w:hAnsi="Arial" w:cs="Arial"/>
          <w:sz w:val="20"/>
          <w:szCs w:val="20"/>
          <w:lang w:eastAsia="sl-SI"/>
        </w:rPr>
        <w:t xml:space="preserve">jih </w:t>
      </w:r>
      <w:r w:rsidR="00A7513D" w:rsidRPr="00AB46C8">
        <w:rPr>
          <w:rFonts w:ascii="Arial" w:hAnsi="Arial" w:cs="Arial"/>
          <w:sz w:val="20"/>
          <w:szCs w:val="20"/>
          <w:lang w:eastAsia="sl-SI"/>
        </w:rPr>
        <w:t>izvedl</w:t>
      </w:r>
      <w:r w:rsidR="00AB46C8" w:rsidRPr="00AB46C8">
        <w:rPr>
          <w:rFonts w:ascii="Arial" w:hAnsi="Arial" w:cs="Arial"/>
          <w:sz w:val="20"/>
          <w:szCs w:val="20"/>
          <w:lang w:eastAsia="sl-SI"/>
        </w:rPr>
        <w:t>i</w:t>
      </w:r>
      <w:r w:rsidR="00A7513D" w:rsidRPr="00AB46C8">
        <w:rPr>
          <w:rFonts w:ascii="Arial" w:hAnsi="Arial" w:cs="Arial"/>
          <w:sz w:val="20"/>
          <w:szCs w:val="20"/>
          <w:lang w:eastAsia="sl-SI"/>
        </w:rPr>
        <w:t xml:space="preserve"> </w:t>
      </w:r>
      <w:r w:rsidR="00AB46C8" w:rsidRPr="00AB46C8">
        <w:rPr>
          <w:rFonts w:ascii="Arial" w:hAnsi="Arial" w:cs="Arial"/>
          <w:sz w:val="20"/>
          <w:szCs w:val="20"/>
          <w:lang w:eastAsia="sl-SI"/>
        </w:rPr>
        <w:t xml:space="preserve">organi samoupravnih lokalnih skupnosti, javni zavodi in javni skladi so izvedli vsak po dva javna natečaja, organi RS in druge osebe javnega prava po JN zakonodaji pa vsak po enega. </w:t>
      </w:r>
    </w:p>
    <w:p w14:paraId="2FB9A456" w14:textId="7EE8F76F" w:rsidR="00EE60C3" w:rsidRPr="002B3E22" w:rsidRDefault="006C0EB0" w:rsidP="00EE60C3">
      <w:pPr>
        <w:spacing w:line="360" w:lineRule="auto"/>
        <w:jc w:val="both"/>
        <w:rPr>
          <w:rFonts w:ascii="Arial" w:eastAsia="Times New Roman" w:hAnsi="Arial" w:cs="Arial"/>
          <w:color w:val="000000"/>
          <w:sz w:val="20"/>
          <w:szCs w:val="20"/>
          <w:lang w:eastAsia="sl-SI"/>
        </w:rPr>
      </w:pPr>
      <w:r w:rsidRPr="002B3E22">
        <w:rPr>
          <w:rFonts w:ascii="Arial" w:hAnsi="Arial" w:cs="Arial"/>
          <w:sz w:val="20"/>
          <w:szCs w:val="20"/>
          <w:lang w:eastAsia="sl-SI"/>
        </w:rPr>
        <w:lastRenderedPageBreak/>
        <w:t xml:space="preserve">Predmet javnega natečaja so bile </w:t>
      </w:r>
      <w:r w:rsidR="00EE60C3" w:rsidRPr="002B3E22">
        <w:rPr>
          <w:rFonts w:ascii="Arial" w:hAnsi="Arial" w:cs="Arial"/>
          <w:sz w:val="20"/>
          <w:szCs w:val="20"/>
          <w:lang w:eastAsia="sl-SI"/>
        </w:rPr>
        <w:t xml:space="preserve">v </w:t>
      </w:r>
      <w:r w:rsidR="002B3E22" w:rsidRPr="002B3E22">
        <w:rPr>
          <w:rFonts w:ascii="Arial" w:hAnsi="Arial" w:cs="Arial"/>
          <w:sz w:val="20"/>
          <w:szCs w:val="20"/>
          <w:lang w:eastAsia="sl-SI"/>
        </w:rPr>
        <w:t>vseh enajstih</w:t>
      </w:r>
      <w:r w:rsidRPr="002B3E22">
        <w:rPr>
          <w:rFonts w:ascii="Arial" w:hAnsi="Arial" w:cs="Arial"/>
          <w:sz w:val="20"/>
          <w:szCs w:val="20"/>
          <w:lang w:eastAsia="sl-SI"/>
        </w:rPr>
        <w:t xml:space="preserve"> primerih arhitekturne, gradbene, inženirske in inšpekcijske storitve</w:t>
      </w:r>
      <w:r w:rsidR="002B3E22" w:rsidRPr="002B3E22">
        <w:rPr>
          <w:rFonts w:ascii="Arial" w:hAnsi="Arial" w:cs="Arial"/>
          <w:sz w:val="20"/>
          <w:szCs w:val="20"/>
          <w:lang w:eastAsia="sl-SI"/>
        </w:rPr>
        <w:t>.</w:t>
      </w:r>
    </w:p>
    <w:p w14:paraId="768E8BE3" w14:textId="67B57353" w:rsidR="00137086" w:rsidRPr="00EF2D0B" w:rsidRDefault="00137086">
      <w:pPr>
        <w:rPr>
          <w:rFonts w:ascii="Arial" w:hAnsi="Arial" w:cs="Arial"/>
          <w:sz w:val="20"/>
          <w:szCs w:val="20"/>
          <w:highlight w:val="yellow"/>
          <w:lang w:eastAsia="sl-SI"/>
        </w:rPr>
      </w:pPr>
      <w:r w:rsidRPr="00EF2D0B">
        <w:rPr>
          <w:rFonts w:ascii="Arial" w:hAnsi="Arial" w:cs="Arial"/>
          <w:sz w:val="20"/>
          <w:szCs w:val="20"/>
          <w:highlight w:val="yellow"/>
          <w:lang w:eastAsia="sl-SI"/>
        </w:rPr>
        <w:br w:type="page"/>
      </w:r>
    </w:p>
    <w:p w14:paraId="61331E98" w14:textId="77777777" w:rsidR="00662735" w:rsidRPr="005574A7" w:rsidRDefault="00662735" w:rsidP="00662735">
      <w:pPr>
        <w:pStyle w:val="Naslov1"/>
        <w:rPr>
          <w:rFonts w:ascii="Arial" w:hAnsi="Arial" w:cs="Arial"/>
          <w:b/>
          <w:sz w:val="22"/>
          <w:szCs w:val="22"/>
        </w:rPr>
      </w:pPr>
      <w:bookmarkStart w:id="48" w:name="_Toc17114082"/>
      <w:r w:rsidRPr="005574A7">
        <w:rPr>
          <w:rFonts w:ascii="Arial" w:hAnsi="Arial" w:cs="Arial"/>
          <w:b/>
          <w:sz w:val="22"/>
          <w:szCs w:val="22"/>
        </w:rPr>
        <w:lastRenderedPageBreak/>
        <w:t>Izhodišča in pravne podlage</w:t>
      </w:r>
      <w:bookmarkEnd w:id="48"/>
    </w:p>
    <w:p w14:paraId="078F829E" w14:textId="77777777" w:rsidR="002C1179" w:rsidRPr="005574A7" w:rsidRDefault="002C1179" w:rsidP="002C1179">
      <w:pPr>
        <w:spacing w:line="276" w:lineRule="auto"/>
        <w:jc w:val="both"/>
        <w:rPr>
          <w:rStyle w:val="Naslov2Znak"/>
          <w:rFonts w:ascii="Arial" w:hAnsi="Arial" w:cs="Arial"/>
          <w:b/>
          <w:color w:val="auto"/>
          <w:sz w:val="20"/>
          <w:szCs w:val="20"/>
        </w:rPr>
      </w:pPr>
    </w:p>
    <w:p w14:paraId="3E6A4D59" w14:textId="5EF5F14B" w:rsidR="00C13751" w:rsidRPr="005574A7" w:rsidRDefault="00C13751" w:rsidP="00C13751">
      <w:pPr>
        <w:spacing w:line="360" w:lineRule="auto"/>
        <w:jc w:val="both"/>
        <w:rPr>
          <w:rFonts w:ascii="Arial" w:hAnsi="Arial" w:cs="Arial"/>
          <w:sz w:val="20"/>
          <w:szCs w:val="20"/>
        </w:rPr>
      </w:pPr>
      <w:r w:rsidRPr="005574A7">
        <w:rPr>
          <w:rFonts w:ascii="Arial" w:hAnsi="Arial" w:cs="Arial"/>
          <w:sz w:val="20"/>
          <w:szCs w:val="20"/>
        </w:rPr>
        <w:t xml:space="preserve">Ministrstvo za javno upravo v skladu z ZJN-3 in ZJNPOV pripravi statistično poročilo, in sicer na podlagi podatkov o oddanih javnih naročilih v preteklem letu, ki se zajemajo neposredno iz obvestil o oddaji naročil, objavljenih na portalu javnih naročil oziroma sporočenih Ministrstvu za javno upravo s posebno aplikacijo na portalu javnih naročil. Tako </w:t>
      </w:r>
      <w:r w:rsidR="00475740" w:rsidRPr="005574A7">
        <w:rPr>
          <w:rFonts w:ascii="Arial" w:hAnsi="Arial" w:cs="Arial"/>
          <w:sz w:val="20"/>
          <w:szCs w:val="20"/>
        </w:rPr>
        <w:t>Ministrstvo za javno upravo</w:t>
      </w:r>
      <w:r w:rsidRPr="005574A7">
        <w:rPr>
          <w:rFonts w:ascii="Arial" w:hAnsi="Arial" w:cs="Arial"/>
          <w:sz w:val="20"/>
          <w:szCs w:val="20"/>
        </w:rPr>
        <w:t xml:space="preserve"> spremlja stanje na področju javnega naročanja ter na podlagi analize pripravlja sistemske in zakonodajne spremembe tega področja. Statistična analiza o javnih naročilih je pomemben vir informacij o poslovanju posameznih naročnikov, </w:t>
      </w:r>
      <w:proofErr w:type="spellStart"/>
      <w:r w:rsidRPr="005574A7">
        <w:rPr>
          <w:rFonts w:ascii="Arial" w:hAnsi="Arial" w:cs="Arial"/>
          <w:sz w:val="20"/>
          <w:szCs w:val="20"/>
        </w:rPr>
        <w:t>javnonaročniških</w:t>
      </w:r>
      <w:proofErr w:type="spellEnd"/>
      <w:r w:rsidRPr="005574A7">
        <w:rPr>
          <w:rFonts w:ascii="Arial" w:hAnsi="Arial" w:cs="Arial"/>
          <w:sz w:val="20"/>
          <w:szCs w:val="20"/>
        </w:rPr>
        <w:t xml:space="preserve"> trendih in pomanjkljivostih, ki nastanejo zaradi morebitne </w:t>
      </w:r>
      <w:proofErr w:type="spellStart"/>
      <w:r w:rsidRPr="005574A7">
        <w:rPr>
          <w:rFonts w:ascii="Arial" w:hAnsi="Arial" w:cs="Arial"/>
          <w:sz w:val="20"/>
          <w:szCs w:val="20"/>
        </w:rPr>
        <w:t>podnormiranosti</w:t>
      </w:r>
      <w:proofErr w:type="spellEnd"/>
      <w:r w:rsidRPr="005574A7">
        <w:rPr>
          <w:rFonts w:ascii="Arial" w:hAnsi="Arial" w:cs="Arial"/>
          <w:sz w:val="20"/>
          <w:szCs w:val="20"/>
        </w:rPr>
        <w:t xml:space="preserve">, </w:t>
      </w:r>
      <w:proofErr w:type="spellStart"/>
      <w:r w:rsidRPr="005574A7">
        <w:rPr>
          <w:rFonts w:ascii="Arial" w:hAnsi="Arial" w:cs="Arial"/>
          <w:sz w:val="20"/>
          <w:szCs w:val="20"/>
        </w:rPr>
        <w:t>prenormiranosti</w:t>
      </w:r>
      <w:proofErr w:type="spellEnd"/>
      <w:r w:rsidRPr="005574A7">
        <w:rPr>
          <w:rFonts w:ascii="Arial" w:hAnsi="Arial" w:cs="Arial"/>
          <w:sz w:val="20"/>
          <w:szCs w:val="20"/>
        </w:rPr>
        <w:t xml:space="preserve"> ali neprimerno urejene zakonodaje oziroma neprimerne prakse. </w:t>
      </w:r>
    </w:p>
    <w:p w14:paraId="0F261206" w14:textId="77777777" w:rsidR="00C13751" w:rsidRPr="00E94653" w:rsidRDefault="00C13751" w:rsidP="00C13751">
      <w:pPr>
        <w:pStyle w:val="Standard"/>
        <w:spacing w:line="360" w:lineRule="auto"/>
        <w:rPr>
          <w:rFonts w:cs="Arial"/>
          <w:sz w:val="20"/>
          <w:szCs w:val="20"/>
        </w:rPr>
      </w:pPr>
      <w:r w:rsidRPr="00E94653">
        <w:rPr>
          <w:rFonts w:cs="Arial"/>
          <w:sz w:val="20"/>
          <w:szCs w:val="20"/>
        </w:rPr>
        <w:t xml:space="preserve">Statistično poročilo temelji na analizi podatkov, ki so bili zajeti neposredno iz obvestil o oddaji naročil, objavljenih na portalu javnih naročil oziroma sporočenih Ministrstvu za javno upravo z uporabo posebne aplikacije na portalu javnih naročil. Skupino obveznih statističnih podatkov določata </w:t>
      </w:r>
      <w:bookmarkStart w:id="49" w:name="f10n"/>
      <w:bookmarkEnd w:id="49"/>
      <w:r w:rsidRPr="00E94653">
        <w:rPr>
          <w:rFonts w:cs="Arial"/>
          <w:sz w:val="20"/>
          <w:szCs w:val="20"/>
        </w:rPr>
        <w:t>Pravilnik o vrstah in načinu zbiranja podatkov za letno statistično poročilo o oddanih javnih naročilih (Uradni list RS, št. 39/16) in Pravilnik o vrstah podatkov o oddanih javnih naročilih v preteklem letu na podlagi Zakona o javnem naročanju na področju obrambe in varnosti ter načinu njihovega zbiranja (Uradni list RS, št. 57/13, 3/15 in 71/16).</w:t>
      </w:r>
    </w:p>
    <w:p w14:paraId="428E169E" w14:textId="77777777" w:rsidR="00C13751" w:rsidRPr="00EF2D0B" w:rsidRDefault="00C13751" w:rsidP="00C13751">
      <w:pPr>
        <w:pStyle w:val="Standard"/>
        <w:spacing w:line="360" w:lineRule="auto"/>
        <w:rPr>
          <w:rFonts w:cs="Arial"/>
          <w:sz w:val="20"/>
          <w:szCs w:val="20"/>
          <w:highlight w:val="yellow"/>
        </w:rPr>
      </w:pPr>
    </w:p>
    <w:p w14:paraId="60068C34" w14:textId="77777777" w:rsidR="00C13751" w:rsidRPr="005574A7" w:rsidRDefault="00C13751" w:rsidP="00C13751">
      <w:pPr>
        <w:spacing w:line="360" w:lineRule="auto"/>
        <w:jc w:val="both"/>
        <w:rPr>
          <w:rFonts w:ascii="Arial" w:hAnsi="Arial" w:cs="Arial"/>
          <w:sz w:val="20"/>
          <w:szCs w:val="20"/>
        </w:rPr>
      </w:pPr>
      <w:r w:rsidRPr="005574A7">
        <w:rPr>
          <w:rFonts w:ascii="Arial" w:hAnsi="Arial" w:cs="Arial"/>
          <w:sz w:val="20"/>
          <w:szCs w:val="20"/>
        </w:rPr>
        <w:t xml:space="preserve">Glede na navedeno to poročilo zajema naročila, oddana v skladu z ZJN-3 in ZJNPOV.  </w:t>
      </w:r>
    </w:p>
    <w:p w14:paraId="3468AA9A" w14:textId="627FD925" w:rsidR="00C13751" w:rsidRPr="005574A7" w:rsidRDefault="00C13751" w:rsidP="00C13751">
      <w:pPr>
        <w:spacing w:line="360" w:lineRule="auto"/>
        <w:jc w:val="both"/>
        <w:rPr>
          <w:rFonts w:ascii="Arial" w:hAnsi="Arial" w:cs="Arial"/>
          <w:sz w:val="20"/>
          <w:szCs w:val="20"/>
        </w:rPr>
      </w:pPr>
      <w:r w:rsidRPr="005574A7">
        <w:rPr>
          <w:rFonts w:ascii="Arial" w:hAnsi="Arial" w:cs="Arial"/>
          <w:sz w:val="20"/>
          <w:szCs w:val="20"/>
        </w:rPr>
        <w:t>V primerjavi s preteklimi letnimi poročili o oddanih javnih naročilih je od leta 2016 pri pripravi poročil uporabljenih nekaj drugačnih izhodišč, ki so izpostavljena v nadaljevanju. Zato določeni podatki in izračuni niso primerljivi s podatki iz prejšnjih let, vključno s poročilom iz leta 2015.</w:t>
      </w:r>
    </w:p>
    <w:p w14:paraId="2E65A0CD" w14:textId="0CB2A9AC" w:rsidR="00C13751" w:rsidRPr="005574A7" w:rsidRDefault="00C13751" w:rsidP="00C13751">
      <w:pPr>
        <w:spacing w:line="360" w:lineRule="auto"/>
        <w:jc w:val="both"/>
        <w:rPr>
          <w:rFonts w:ascii="Arial" w:hAnsi="Arial" w:cs="Arial"/>
          <w:sz w:val="20"/>
          <w:szCs w:val="20"/>
        </w:rPr>
      </w:pPr>
      <w:r w:rsidRPr="005574A7">
        <w:rPr>
          <w:rFonts w:ascii="Arial" w:hAnsi="Arial" w:cs="Arial"/>
          <w:sz w:val="20"/>
          <w:szCs w:val="20"/>
        </w:rPr>
        <w:t xml:space="preserve">V tem poročilu so zajeta vsa javna naročila, ki so bila glede na navedbe naročnikov oddana </w:t>
      </w:r>
      <w:r w:rsidR="005522FF">
        <w:rPr>
          <w:rFonts w:ascii="Arial" w:hAnsi="Arial" w:cs="Arial"/>
          <w:sz w:val="20"/>
          <w:szCs w:val="20"/>
        </w:rPr>
        <w:t>leta</w:t>
      </w:r>
      <w:r w:rsidRPr="005574A7">
        <w:rPr>
          <w:rFonts w:ascii="Arial" w:hAnsi="Arial" w:cs="Arial"/>
          <w:sz w:val="20"/>
          <w:szCs w:val="20"/>
        </w:rPr>
        <w:t xml:space="preserve"> 201</w:t>
      </w:r>
      <w:r w:rsidR="005574A7" w:rsidRPr="005574A7">
        <w:rPr>
          <w:rFonts w:ascii="Arial" w:hAnsi="Arial" w:cs="Arial"/>
          <w:sz w:val="20"/>
          <w:szCs w:val="20"/>
        </w:rPr>
        <w:t>8</w:t>
      </w:r>
      <w:r w:rsidRPr="005574A7">
        <w:rPr>
          <w:rFonts w:ascii="Arial" w:hAnsi="Arial" w:cs="Arial"/>
          <w:sz w:val="20"/>
          <w:szCs w:val="20"/>
        </w:rPr>
        <w:t>. Pri tem so bila v poročilo o javnih naročilih, oddanih v letu 201</w:t>
      </w:r>
      <w:r w:rsidR="005574A7" w:rsidRPr="005574A7">
        <w:rPr>
          <w:rFonts w:ascii="Arial" w:hAnsi="Arial" w:cs="Arial"/>
          <w:sz w:val="20"/>
          <w:szCs w:val="20"/>
        </w:rPr>
        <w:t>8</w:t>
      </w:r>
      <w:r w:rsidRPr="005574A7">
        <w:rPr>
          <w:rFonts w:ascii="Arial" w:hAnsi="Arial" w:cs="Arial"/>
          <w:sz w:val="20"/>
          <w:szCs w:val="20"/>
        </w:rPr>
        <w:t xml:space="preserve">, vključena vsa naročila, oddana v postopku javnega naročanja, če je bilo naročilo (sklop postopka) najpozneje oddano </w:t>
      </w:r>
      <w:r w:rsidR="005522FF">
        <w:rPr>
          <w:rFonts w:ascii="Arial" w:hAnsi="Arial" w:cs="Arial"/>
          <w:sz w:val="20"/>
          <w:szCs w:val="20"/>
        </w:rPr>
        <w:t>leta</w:t>
      </w:r>
      <w:r w:rsidRPr="005574A7">
        <w:rPr>
          <w:rFonts w:ascii="Arial" w:hAnsi="Arial" w:cs="Arial"/>
          <w:sz w:val="20"/>
          <w:szCs w:val="20"/>
        </w:rPr>
        <w:t xml:space="preserve"> 201</w:t>
      </w:r>
      <w:r w:rsidR="005574A7" w:rsidRPr="005574A7">
        <w:rPr>
          <w:rFonts w:ascii="Arial" w:hAnsi="Arial" w:cs="Arial"/>
          <w:sz w:val="20"/>
          <w:szCs w:val="20"/>
        </w:rPr>
        <w:t>8</w:t>
      </w:r>
      <w:r w:rsidRPr="005574A7">
        <w:rPr>
          <w:rFonts w:ascii="Arial" w:hAnsi="Arial" w:cs="Arial"/>
          <w:sz w:val="20"/>
          <w:szCs w:val="20"/>
        </w:rPr>
        <w:t xml:space="preserve">, in sicer ne glede na datum objave obvestila o oddaji naročila.  </w:t>
      </w:r>
    </w:p>
    <w:p w14:paraId="0BD69D8F" w14:textId="4311E004" w:rsidR="00C13751" w:rsidRPr="005574A7" w:rsidRDefault="00C13751" w:rsidP="00C13751">
      <w:pPr>
        <w:spacing w:line="360" w:lineRule="auto"/>
        <w:jc w:val="both"/>
        <w:rPr>
          <w:rFonts w:ascii="Arial" w:hAnsi="Arial" w:cs="Arial"/>
          <w:sz w:val="20"/>
          <w:szCs w:val="20"/>
        </w:rPr>
      </w:pPr>
      <w:r w:rsidRPr="005574A7">
        <w:rPr>
          <w:rFonts w:ascii="Arial" w:hAnsi="Arial" w:cs="Arial"/>
          <w:sz w:val="20"/>
          <w:szCs w:val="20"/>
        </w:rPr>
        <w:t xml:space="preserve">V poročilu se </w:t>
      </w:r>
      <w:r w:rsidR="0037106B" w:rsidRPr="005574A7">
        <w:rPr>
          <w:rFonts w:ascii="Arial" w:hAnsi="Arial" w:cs="Arial"/>
          <w:sz w:val="20"/>
          <w:szCs w:val="20"/>
        </w:rPr>
        <w:t>izraz</w:t>
      </w:r>
      <w:r w:rsidRPr="005574A7">
        <w:rPr>
          <w:rFonts w:ascii="Arial" w:hAnsi="Arial" w:cs="Arial"/>
          <w:sz w:val="20"/>
          <w:szCs w:val="20"/>
        </w:rPr>
        <w:t xml:space="preserve"> postopek javnega naročanja uporablja za postopek, ki ga je naročnik izvedel v skladu z zakonom, </w:t>
      </w:r>
      <w:r w:rsidR="0037106B" w:rsidRPr="005574A7">
        <w:rPr>
          <w:rFonts w:ascii="Arial" w:hAnsi="Arial" w:cs="Arial"/>
          <w:sz w:val="20"/>
          <w:szCs w:val="20"/>
        </w:rPr>
        <w:t>izraz</w:t>
      </w:r>
      <w:r w:rsidRPr="005574A7">
        <w:rPr>
          <w:rFonts w:ascii="Arial" w:hAnsi="Arial" w:cs="Arial"/>
          <w:sz w:val="20"/>
          <w:szCs w:val="20"/>
        </w:rPr>
        <w:t xml:space="preserve"> naročilo pa se uporablja za sklop postopka. Če je bil v postopku oblikovan le en sklop, se šteje, da je bilo z njim oddano eno naročilo; če je bilo v postopku oblikovanih več sklopov, se šteje, da je bilo v njem oddanih toliko naročil, kolikor je bilo sklopov, in sicer ne glede na to, ali je bilo več sklopov oddanih istemu ponudniku. </w:t>
      </w:r>
    </w:p>
    <w:p w14:paraId="43673C8F" w14:textId="3D23EBB3" w:rsidR="00C13751" w:rsidRPr="005574A7" w:rsidRDefault="00C13751" w:rsidP="00C13751">
      <w:pPr>
        <w:spacing w:line="360" w:lineRule="auto"/>
        <w:jc w:val="both"/>
        <w:rPr>
          <w:rFonts w:ascii="Arial" w:hAnsi="Arial" w:cs="Arial"/>
          <w:sz w:val="20"/>
          <w:szCs w:val="20"/>
        </w:rPr>
      </w:pPr>
      <w:r w:rsidRPr="005574A7">
        <w:rPr>
          <w:rFonts w:ascii="Arial" w:hAnsi="Arial" w:cs="Arial"/>
          <w:sz w:val="20"/>
          <w:szCs w:val="20"/>
        </w:rPr>
        <w:t>Javni natečaji in posamezna naročila, oddana na podlagi sklenjenih okvirnih sporazumov, so v poročilu prikazan</w:t>
      </w:r>
      <w:r w:rsidR="009D69AF" w:rsidRPr="005574A7">
        <w:rPr>
          <w:rFonts w:ascii="Arial" w:hAnsi="Arial" w:cs="Arial"/>
          <w:sz w:val="20"/>
          <w:szCs w:val="20"/>
        </w:rPr>
        <w:t>i</w:t>
      </w:r>
      <w:r w:rsidRPr="005574A7">
        <w:rPr>
          <w:rFonts w:ascii="Arial" w:hAnsi="Arial" w:cs="Arial"/>
          <w:sz w:val="20"/>
          <w:szCs w:val="20"/>
        </w:rPr>
        <w:t xml:space="preserve"> v samostojnih poglavjih, v </w:t>
      </w:r>
      <w:r w:rsidR="0037106B" w:rsidRPr="005574A7">
        <w:rPr>
          <w:rFonts w:ascii="Arial" w:hAnsi="Arial" w:cs="Arial"/>
          <w:sz w:val="20"/>
          <w:szCs w:val="20"/>
        </w:rPr>
        <w:t>drugih</w:t>
      </w:r>
      <w:r w:rsidRPr="005574A7">
        <w:rPr>
          <w:rFonts w:ascii="Arial" w:hAnsi="Arial" w:cs="Arial"/>
          <w:sz w:val="20"/>
          <w:szCs w:val="20"/>
        </w:rPr>
        <w:t xml:space="preserve"> poglavjih pa niso </w:t>
      </w:r>
      <w:r w:rsidR="005522FF" w:rsidRPr="005574A7">
        <w:rPr>
          <w:rFonts w:ascii="Arial" w:hAnsi="Arial" w:cs="Arial"/>
          <w:sz w:val="20"/>
          <w:szCs w:val="20"/>
        </w:rPr>
        <w:t>vključen</w:t>
      </w:r>
      <w:r w:rsidR="005522FF">
        <w:rPr>
          <w:rFonts w:ascii="Arial" w:hAnsi="Arial" w:cs="Arial"/>
          <w:sz w:val="20"/>
          <w:szCs w:val="20"/>
        </w:rPr>
        <w:t>i</w:t>
      </w:r>
      <w:r w:rsidR="005522FF" w:rsidRPr="005574A7">
        <w:rPr>
          <w:rFonts w:ascii="Arial" w:hAnsi="Arial" w:cs="Arial"/>
          <w:sz w:val="20"/>
          <w:szCs w:val="20"/>
        </w:rPr>
        <w:t xml:space="preserve"> </w:t>
      </w:r>
      <w:r w:rsidRPr="005574A7">
        <w:rPr>
          <w:rFonts w:ascii="Arial" w:hAnsi="Arial" w:cs="Arial"/>
          <w:sz w:val="20"/>
          <w:szCs w:val="20"/>
        </w:rPr>
        <w:t xml:space="preserve">v analizo. </w:t>
      </w:r>
    </w:p>
    <w:p w14:paraId="6A8B09F8" w14:textId="79697694" w:rsidR="00C13751" w:rsidRPr="005574A7" w:rsidRDefault="00C13751" w:rsidP="00C13751">
      <w:pPr>
        <w:pStyle w:val="Standard"/>
        <w:spacing w:line="360" w:lineRule="auto"/>
        <w:rPr>
          <w:rFonts w:cs="Arial"/>
          <w:sz w:val="20"/>
          <w:szCs w:val="20"/>
        </w:rPr>
      </w:pPr>
      <w:r w:rsidRPr="005574A7">
        <w:rPr>
          <w:rFonts w:cs="Arial"/>
          <w:sz w:val="20"/>
          <w:szCs w:val="20"/>
        </w:rPr>
        <w:t>V poročilu so</w:t>
      </w:r>
      <w:r w:rsidR="0037106B" w:rsidRPr="005574A7">
        <w:rPr>
          <w:rFonts w:cs="Arial"/>
          <w:sz w:val="20"/>
          <w:szCs w:val="20"/>
        </w:rPr>
        <w:t xml:space="preserve"> navedeni</w:t>
      </w:r>
      <w:r w:rsidRPr="005574A7">
        <w:rPr>
          <w:rFonts w:cs="Arial"/>
          <w:sz w:val="20"/>
          <w:szCs w:val="20"/>
        </w:rPr>
        <w:t xml:space="preserve"> tudi postopki, ki niso obravnavani glede na zakon, v skladu s katerim so bili oddani oziroma izvedeni, temveč glede na področje javnega naročanja, in sicer se kot:</w:t>
      </w:r>
    </w:p>
    <w:p w14:paraId="730A6EFE" w14:textId="77777777" w:rsidR="00C13751" w:rsidRPr="005574A7" w:rsidRDefault="00C13751" w:rsidP="00C13751">
      <w:pPr>
        <w:pStyle w:val="Standard"/>
        <w:numPr>
          <w:ilvl w:val="0"/>
          <w:numId w:val="24"/>
        </w:numPr>
        <w:spacing w:line="360" w:lineRule="auto"/>
        <w:textAlignment w:val="auto"/>
        <w:rPr>
          <w:rFonts w:cs="Arial"/>
          <w:sz w:val="20"/>
          <w:szCs w:val="20"/>
        </w:rPr>
      </w:pPr>
      <w:r w:rsidRPr="005574A7">
        <w:rPr>
          <w:rFonts w:cs="Arial"/>
          <w:sz w:val="20"/>
          <w:szCs w:val="20"/>
        </w:rPr>
        <w:t>naročila na splošnem področju štejejo naročila, oddana v skladu z določili ZJN-3 za naročila na splošnem področju;</w:t>
      </w:r>
    </w:p>
    <w:p w14:paraId="725108CC" w14:textId="77777777" w:rsidR="00C13751" w:rsidRPr="005574A7" w:rsidRDefault="00C13751" w:rsidP="00C13751">
      <w:pPr>
        <w:pStyle w:val="Standard"/>
        <w:numPr>
          <w:ilvl w:val="0"/>
          <w:numId w:val="24"/>
        </w:numPr>
        <w:spacing w:line="360" w:lineRule="auto"/>
        <w:textAlignment w:val="auto"/>
        <w:rPr>
          <w:rFonts w:cs="Arial"/>
          <w:sz w:val="20"/>
          <w:szCs w:val="20"/>
        </w:rPr>
      </w:pPr>
      <w:r w:rsidRPr="005574A7">
        <w:rPr>
          <w:rFonts w:cs="Arial"/>
          <w:sz w:val="20"/>
          <w:szCs w:val="20"/>
        </w:rPr>
        <w:lastRenderedPageBreak/>
        <w:t>naročila na infrastrukturnem področju štejejo naročila, oddana v skladu z določili ZJN-3 za naročila na infrastrukturnem področju;</w:t>
      </w:r>
    </w:p>
    <w:p w14:paraId="29CB6422" w14:textId="77777777" w:rsidR="00C13751" w:rsidRPr="005574A7" w:rsidRDefault="00C13751" w:rsidP="00C13751">
      <w:pPr>
        <w:pStyle w:val="Standard"/>
        <w:numPr>
          <w:ilvl w:val="0"/>
          <w:numId w:val="24"/>
        </w:numPr>
        <w:spacing w:line="360" w:lineRule="auto"/>
        <w:textAlignment w:val="auto"/>
        <w:rPr>
          <w:rFonts w:cs="Arial"/>
          <w:sz w:val="20"/>
          <w:szCs w:val="20"/>
        </w:rPr>
      </w:pPr>
      <w:r w:rsidRPr="005574A7">
        <w:rPr>
          <w:rFonts w:cs="Arial"/>
          <w:sz w:val="20"/>
          <w:szCs w:val="20"/>
        </w:rPr>
        <w:t>naročila na obrambnem področju štejejo naročila, oddana v skladu z določili ZJNPOV.</w:t>
      </w:r>
    </w:p>
    <w:p w14:paraId="28270E2A" w14:textId="77777777" w:rsidR="00DC0F5C" w:rsidRPr="005574A7" w:rsidRDefault="00DC0F5C" w:rsidP="00C13751">
      <w:pPr>
        <w:spacing w:line="360" w:lineRule="auto"/>
        <w:jc w:val="both"/>
        <w:rPr>
          <w:rFonts w:ascii="Arial" w:hAnsi="Arial" w:cs="Arial"/>
          <w:sz w:val="20"/>
          <w:szCs w:val="20"/>
        </w:rPr>
      </w:pPr>
    </w:p>
    <w:p w14:paraId="302D15EC" w14:textId="7F0CC4C9"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 xml:space="preserve">Pri izračunu deleža javnih naročil v BDP in odhodkih proračuna so upoštevana evidenčna naročila in tista, za katera je bilo obvestilo o oddaji naročila objavljeno na portalu javnih naročil (tudi naročila, ki se nanašajo na sklenitev okvirnega sporazuma), z izjemo javnih natečajev in posameznih naročil, oddanih na podlagi sklenjenih okvirnih sporazumov. V poročilih </w:t>
      </w:r>
      <w:r w:rsidR="005574A7" w:rsidRPr="00E94653">
        <w:rPr>
          <w:rFonts w:ascii="Arial" w:hAnsi="Arial" w:cs="Arial"/>
          <w:sz w:val="20"/>
          <w:szCs w:val="20"/>
        </w:rPr>
        <w:t xml:space="preserve">o oddanih javnih naročilih do leta 2015 </w:t>
      </w:r>
      <w:r w:rsidRPr="00E94653">
        <w:rPr>
          <w:rFonts w:ascii="Arial" w:hAnsi="Arial" w:cs="Arial"/>
          <w:sz w:val="20"/>
          <w:szCs w:val="20"/>
        </w:rPr>
        <w:t xml:space="preserve">so bila pri izračunu upoštevana evidenčna naročila, tista, za katera je bilo na portalu javnih naročil objavljeno obvestilo o oddaji naročila ali obvestilo o oddaji posameznih naročil na podlagi okvirnega sporazuma, pri čemer naročila, ki se nanašajo na sklenitev okvirnega sporazuma, niso bila vključena. </w:t>
      </w:r>
      <w:r w:rsidR="00932C68" w:rsidRPr="00E94653">
        <w:rPr>
          <w:rFonts w:ascii="Arial" w:hAnsi="Arial" w:cs="Arial"/>
          <w:sz w:val="20"/>
          <w:szCs w:val="20"/>
        </w:rPr>
        <w:t>N</w:t>
      </w:r>
      <w:r w:rsidRPr="00E94653">
        <w:rPr>
          <w:rFonts w:ascii="Arial" w:hAnsi="Arial" w:cs="Arial"/>
          <w:sz w:val="20"/>
          <w:szCs w:val="20"/>
        </w:rPr>
        <w:t>aročil</w:t>
      </w:r>
      <w:r w:rsidR="00932C68" w:rsidRPr="00E94653">
        <w:rPr>
          <w:rFonts w:ascii="Arial" w:hAnsi="Arial" w:cs="Arial"/>
          <w:sz w:val="20"/>
          <w:szCs w:val="20"/>
        </w:rPr>
        <w:t>a</w:t>
      </w:r>
      <w:r w:rsidRPr="00E94653">
        <w:rPr>
          <w:rFonts w:ascii="Arial" w:hAnsi="Arial" w:cs="Arial"/>
          <w:sz w:val="20"/>
          <w:szCs w:val="20"/>
        </w:rPr>
        <w:t xml:space="preserve">, upoštevana v izračunu, </w:t>
      </w:r>
      <w:r w:rsidR="00932C68" w:rsidRPr="00E94653">
        <w:rPr>
          <w:rFonts w:ascii="Arial" w:hAnsi="Arial" w:cs="Arial"/>
          <w:sz w:val="20"/>
          <w:szCs w:val="20"/>
        </w:rPr>
        <w:t>so</w:t>
      </w:r>
      <w:r w:rsidRPr="00E94653">
        <w:rPr>
          <w:rFonts w:ascii="Arial" w:hAnsi="Arial" w:cs="Arial"/>
          <w:sz w:val="20"/>
          <w:szCs w:val="20"/>
        </w:rPr>
        <w:t xml:space="preserve"> </w:t>
      </w:r>
      <w:r w:rsidR="0037106B" w:rsidRPr="00E94653">
        <w:rPr>
          <w:rFonts w:ascii="Arial" w:hAnsi="Arial" w:cs="Arial"/>
          <w:sz w:val="20"/>
          <w:szCs w:val="20"/>
        </w:rPr>
        <w:t>spremenjen</w:t>
      </w:r>
      <w:r w:rsidR="00932C68" w:rsidRPr="00E94653">
        <w:rPr>
          <w:rFonts w:ascii="Arial" w:hAnsi="Arial" w:cs="Arial"/>
          <w:sz w:val="20"/>
          <w:szCs w:val="20"/>
        </w:rPr>
        <w:t>a</w:t>
      </w:r>
      <w:r w:rsidR="0037106B" w:rsidRPr="00E94653">
        <w:rPr>
          <w:rFonts w:ascii="Arial" w:hAnsi="Arial" w:cs="Arial"/>
          <w:sz w:val="20"/>
          <w:szCs w:val="20"/>
        </w:rPr>
        <w:t xml:space="preserve"> zaradi</w:t>
      </w:r>
      <w:r w:rsidRPr="00E94653">
        <w:rPr>
          <w:rFonts w:ascii="Arial" w:hAnsi="Arial" w:cs="Arial"/>
          <w:sz w:val="20"/>
          <w:szCs w:val="20"/>
        </w:rPr>
        <w:t xml:space="preserve"> spremenjenega zajema podatkov v obvestilih o oddaji javnih naročil, ki jih naročniki objavljajo na portalu javnih naročil, nova izhodišča pa zagotavljajo primernejši prikaz obsega javnega naročanja</w:t>
      </w:r>
    </w:p>
    <w:p w14:paraId="4CAECD2F" w14:textId="01D8899E"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V poročilu uporablj</w:t>
      </w:r>
      <w:r w:rsidR="0037106B" w:rsidRPr="00E94653">
        <w:rPr>
          <w:rFonts w:ascii="Arial" w:hAnsi="Arial" w:cs="Arial"/>
          <w:sz w:val="20"/>
          <w:szCs w:val="20"/>
        </w:rPr>
        <w:t>eni</w:t>
      </w:r>
      <w:r w:rsidRPr="00E94653">
        <w:rPr>
          <w:rFonts w:ascii="Arial" w:hAnsi="Arial" w:cs="Arial"/>
          <w:sz w:val="20"/>
          <w:szCs w:val="20"/>
        </w:rPr>
        <w:t xml:space="preserve"> </w:t>
      </w:r>
      <w:r w:rsidR="0037106B" w:rsidRPr="00E94653">
        <w:rPr>
          <w:rFonts w:ascii="Arial" w:hAnsi="Arial" w:cs="Arial"/>
          <w:sz w:val="20"/>
          <w:szCs w:val="20"/>
        </w:rPr>
        <w:t>izraz</w:t>
      </w:r>
      <w:r w:rsidRPr="00E94653">
        <w:rPr>
          <w:rFonts w:ascii="Arial" w:hAnsi="Arial" w:cs="Arial"/>
          <w:sz w:val="20"/>
          <w:szCs w:val="20"/>
        </w:rPr>
        <w:t xml:space="preserve"> nep</w:t>
      </w:r>
      <w:r w:rsidR="0037106B" w:rsidRPr="00E94653">
        <w:rPr>
          <w:rFonts w:ascii="Arial" w:hAnsi="Arial" w:cs="Arial"/>
          <w:sz w:val="20"/>
          <w:szCs w:val="20"/>
        </w:rPr>
        <w:t>rednostne</w:t>
      </w:r>
      <w:r w:rsidRPr="00E94653">
        <w:rPr>
          <w:rFonts w:ascii="Arial" w:hAnsi="Arial" w:cs="Arial"/>
          <w:sz w:val="20"/>
          <w:szCs w:val="20"/>
        </w:rPr>
        <w:t xml:space="preserve"> storitve</w:t>
      </w:r>
      <w:r w:rsidR="0034008E" w:rsidRPr="00E94653">
        <w:rPr>
          <w:rFonts w:ascii="Arial" w:hAnsi="Arial" w:cs="Arial"/>
          <w:sz w:val="20"/>
          <w:szCs w:val="20"/>
        </w:rPr>
        <w:t xml:space="preserve"> </w:t>
      </w:r>
      <w:r w:rsidRPr="00E94653">
        <w:rPr>
          <w:rFonts w:ascii="Arial" w:hAnsi="Arial" w:cs="Arial"/>
          <w:sz w:val="20"/>
          <w:szCs w:val="20"/>
        </w:rPr>
        <w:t>zajema socialne in druge posebne s</w:t>
      </w:r>
      <w:r w:rsidR="00ED0DC0" w:rsidRPr="00E94653">
        <w:rPr>
          <w:rFonts w:ascii="Arial" w:hAnsi="Arial" w:cs="Arial"/>
          <w:sz w:val="20"/>
          <w:szCs w:val="20"/>
        </w:rPr>
        <w:t>toritve, ki jih ureja ZJN-3.</w:t>
      </w:r>
    </w:p>
    <w:p w14:paraId="690264BB" w14:textId="6CBC6C62" w:rsidR="00C13751" w:rsidRPr="00E94653" w:rsidRDefault="0037106B" w:rsidP="00C13751">
      <w:pPr>
        <w:spacing w:line="360" w:lineRule="auto"/>
        <w:jc w:val="both"/>
        <w:rPr>
          <w:rFonts w:ascii="Arial" w:hAnsi="Arial" w:cs="Arial"/>
          <w:sz w:val="20"/>
          <w:szCs w:val="20"/>
        </w:rPr>
      </w:pPr>
      <w:r w:rsidRPr="00E94653">
        <w:rPr>
          <w:rFonts w:ascii="Arial" w:hAnsi="Arial" w:cs="Arial"/>
          <w:sz w:val="20"/>
          <w:szCs w:val="20"/>
        </w:rPr>
        <w:t>V</w:t>
      </w:r>
      <w:r w:rsidR="00C13751" w:rsidRPr="00E94653">
        <w:rPr>
          <w:rFonts w:ascii="Arial" w:hAnsi="Arial" w:cs="Arial"/>
          <w:sz w:val="20"/>
          <w:szCs w:val="20"/>
        </w:rPr>
        <w:t xml:space="preserve"> t</w:t>
      </w:r>
      <w:r w:rsidRPr="00E94653">
        <w:rPr>
          <w:rFonts w:ascii="Arial" w:hAnsi="Arial" w:cs="Arial"/>
          <w:sz w:val="20"/>
          <w:szCs w:val="20"/>
        </w:rPr>
        <w:t>em</w:t>
      </w:r>
      <w:r w:rsidR="00C13751" w:rsidRPr="00E94653">
        <w:rPr>
          <w:rFonts w:ascii="Arial" w:hAnsi="Arial" w:cs="Arial"/>
          <w:sz w:val="20"/>
          <w:szCs w:val="20"/>
        </w:rPr>
        <w:t xml:space="preserve"> poročil</w:t>
      </w:r>
      <w:r w:rsidRPr="00E94653">
        <w:rPr>
          <w:rFonts w:ascii="Arial" w:hAnsi="Arial" w:cs="Arial"/>
          <w:sz w:val="20"/>
          <w:szCs w:val="20"/>
        </w:rPr>
        <w:t>u</w:t>
      </w:r>
      <w:r w:rsidR="00C13751" w:rsidRPr="00E94653">
        <w:rPr>
          <w:rFonts w:ascii="Arial" w:hAnsi="Arial" w:cs="Arial"/>
          <w:sz w:val="20"/>
          <w:szCs w:val="20"/>
        </w:rPr>
        <w:t xml:space="preserve"> se za javna naročila pod </w:t>
      </w:r>
      <w:r w:rsidRPr="00E94653">
        <w:rPr>
          <w:rFonts w:ascii="Arial" w:hAnsi="Arial" w:cs="Arial"/>
          <w:sz w:val="20"/>
          <w:szCs w:val="20"/>
        </w:rPr>
        <w:t>državno</w:t>
      </w:r>
      <w:r w:rsidR="00C13751" w:rsidRPr="00E94653">
        <w:rPr>
          <w:rFonts w:ascii="Arial" w:hAnsi="Arial" w:cs="Arial"/>
          <w:sz w:val="20"/>
          <w:szCs w:val="20"/>
        </w:rPr>
        <w:t xml:space="preserve"> mejno vrednostjo, tj. za naročila, za oddajo katerih naročniku zaradi njihove nizke vrednosti ni treba izvesti postopka javnega naročanja po zakonu, uporablja izraz evidenčna naročila. </w:t>
      </w:r>
    </w:p>
    <w:p w14:paraId="1BDF3FEA" w14:textId="77777777"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To so naročila, ki so bila oddana na podlagi ZJN-3 in katerih vrednost je nižja od:</w:t>
      </w:r>
    </w:p>
    <w:p w14:paraId="5EA3AFA6" w14:textId="77777777"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a)     na splošnem področju:</w:t>
      </w:r>
    </w:p>
    <w:p w14:paraId="4896639F" w14:textId="7A5EFA42" w:rsidR="00C13751" w:rsidRPr="00E94653" w:rsidRDefault="00C13751" w:rsidP="004D1B3A">
      <w:pPr>
        <w:pStyle w:val="Odstavekseznama"/>
        <w:numPr>
          <w:ilvl w:val="0"/>
          <w:numId w:val="25"/>
        </w:numPr>
        <w:spacing w:line="360" w:lineRule="auto"/>
        <w:rPr>
          <w:rFonts w:cs="Arial"/>
          <w:sz w:val="20"/>
          <w:szCs w:val="20"/>
        </w:rPr>
      </w:pPr>
      <w:r w:rsidRPr="00E94653">
        <w:rPr>
          <w:rFonts w:cs="Arial"/>
          <w:sz w:val="20"/>
          <w:szCs w:val="20"/>
        </w:rPr>
        <w:t>20.000 e</w:t>
      </w:r>
      <w:r w:rsidR="0037106B" w:rsidRPr="00E94653">
        <w:rPr>
          <w:rFonts w:cs="Arial"/>
          <w:sz w:val="20"/>
          <w:szCs w:val="20"/>
        </w:rPr>
        <w:t>v</w:t>
      </w:r>
      <w:r w:rsidRPr="00E94653">
        <w:rPr>
          <w:rFonts w:cs="Arial"/>
          <w:sz w:val="20"/>
          <w:szCs w:val="20"/>
        </w:rPr>
        <w:t>rov za javno naročilo blaga ali storitev ali projektni natečaj;</w:t>
      </w:r>
    </w:p>
    <w:p w14:paraId="4C78AF51" w14:textId="12A2C5FA" w:rsidR="00C13751" w:rsidRPr="00E94653" w:rsidRDefault="00C13751" w:rsidP="004D1B3A">
      <w:pPr>
        <w:pStyle w:val="Odstavekseznama"/>
        <w:numPr>
          <w:ilvl w:val="0"/>
          <w:numId w:val="25"/>
        </w:numPr>
        <w:spacing w:line="360" w:lineRule="auto"/>
        <w:rPr>
          <w:rFonts w:cs="Arial"/>
          <w:sz w:val="20"/>
          <w:szCs w:val="20"/>
        </w:rPr>
      </w:pPr>
      <w:r w:rsidRPr="00E94653">
        <w:rPr>
          <w:rFonts w:cs="Arial"/>
          <w:sz w:val="20"/>
          <w:szCs w:val="20"/>
        </w:rPr>
        <w:t>40.000 e</w:t>
      </w:r>
      <w:r w:rsidR="0037106B" w:rsidRPr="00E94653">
        <w:rPr>
          <w:rFonts w:cs="Arial"/>
          <w:sz w:val="20"/>
          <w:szCs w:val="20"/>
        </w:rPr>
        <w:t>v</w:t>
      </w:r>
      <w:r w:rsidRPr="00E94653">
        <w:rPr>
          <w:rFonts w:cs="Arial"/>
          <w:sz w:val="20"/>
          <w:szCs w:val="20"/>
        </w:rPr>
        <w:t>rov za javno naročilo gradenj;</w:t>
      </w:r>
    </w:p>
    <w:p w14:paraId="4CEA8720" w14:textId="18C586F2" w:rsidR="00C13751" w:rsidRPr="00E94653" w:rsidRDefault="00C13751" w:rsidP="004D1B3A">
      <w:pPr>
        <w:pStyle w:val="Odstavekseznama"/>
        <w:numPr>
          <w:ilvl w:val="0"/>
          <w:numId w:val="25"/>
        </w:numPr>
        <w:spacing w:line="360" w:lineRule="auto"/>
        <w:rPr>
          <w:rFonts w:cs="Arial"/>
          <w:sz w:val="20"/>
          <w:szCs w:val="20"/>
        </w:rPr>
      </w:pPr>
      <w:r w:rsidRPr="00E94653">
        <w:rPr>
          <w:rFonts w:cs="Arial"/>
          <w:sz w:val="20"/>
          <w:szCs w:val="20"/>
        </w:rPr>
        <w:t>750.000 e</w:t>
      </w:r>
      <w:r w:rsidR="0037106B" w:rsidRPr="00E94653">
        <w:rPr>
          <w:rFonts w:cs="Arial"/>
          <w:sz w:val="20"/>
          <w:szCs w:val="20"/>
        </w:rPr>
        <w:t>v</w:t>
      </w:r>
      <w:r w:rsidRPr="00E94653">
        <w:rPr>
          <w:rFonts w:cs="Arial"/>
          <w:sz w:val="20"/>
          <w:szCs w:val="20"/>
        </w:rPr>
        <w:t xml:space="preserve">rov za javno naročilo storitev, ki jih določata </w:t>
      </w:r>
      <w:r w:rsidR="0037106B" w:rsidRPr="00E94653">
        <w:rPr>
          <w:rFonts w:cs="Arial"/>
          <w:sz w:val="20"/>
          <w:szCs w:val="20"/>
        </w:rPr>
        <w:t>p</w:t>
      </w:r>
      <w:r w:rsidRPr="00E94653">
        <w:rPr>
          <w:rFonts w:cs="Arial"/>
          <w:sz w:val="20"/>
          <w:szCs w:val="20"/>
        </w:rPr>
        <w:t xml:space="preserve">riloga XIV Direktive 2014/24/EU in </w:t>
      </w:r>
      <w:r w:rsidR="0037106B" w:rsidRPr="00E94653">
        <w:rPr>
          <w:rFonts w:cs="Arial"/>
          <w:sz w:val="20"/>
          <w:szCs w:val="20"/>
        </w:rPr>
        <w:t>p</w:t>
      </w:r>
      <w:r w:rsidRPr="00E94653">
        <w:rPr>
          <w:rFonts w:cs="Arial"/>
          <w:sz w:val="20"/>
          <w:szCs w:val="20"/>
        </w:rPr>
        <w:t>riloga XVII Direktive 2014/25/EU (v nadaljnjem besedilu: socialne in druge posebne storitve), razen storitev, ki so zajete s kodo CPV 79713000-5</w:t>
      </w:r>
      <w:r w:rsidR="0037106B" w:rsidRPr="00E94653">
        <w:rPr>
          <w:rFonts w:cs="Arial"/>
          <w:sz w:val="20"/>
          <w:szCs w:val="20"/>
        </w:rPr>
        <w:t>;</w:t>
      </w:r>
    </w:p>
    <w:p w14:paraId="5C4EA227" w14:textId="77777777"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b)     na infrastrukturnem področju:</w:t>
      </w:r>
    </w:p>
    <w:p w14:paraId="4FAF8F9A" w14:textId="04795DA3" w:rsidR="00C13751" w:rsidRPr="00E94653" w:rsidRDefault="00DD3892" w:rsidP="00C13751">
      <w:pPr>
        <w:spacing w:line="360" w:lineRule="auto"/>
        <w:jc w:val="both"/>
        <w:rPr>
          <w:rFonts w:ascii="Arial" w:hAnsi="Arial" w:cs="Arial"/>
          <w:sz w:val="20"/>
          <w:szCs w:val="20"/>
        </w:rPr>
      </w:pPr>
      <w:r w:rsidRPr="00E94653">
        <w:rPr>
          <w:rFonts w:ascii="Arial" w:hAnsi="Arial" w:cs="Arial"/>
          <w:sz w:val="20"/>
          <w:szCs w:val="20"/>
        </w:rPr>
        <w:t>–</w:t>
      </w:r>
      <w:r w:rsidR="00C13751" w:rsidRPr="00E94653">
        <w:rPr>
          <w:rFonts w:ascii="Arial" w:hAnsi="Arial" w:cs="Arial"/>
          <w:sz w:val="20"/>
          <w:szCs w:val="20"/>
        </w:rPr>
        <w:t>  50.000 e</w:t>
      </w:r>
      <w:r w:rsidRPr="00E94653">
        <w:rPr>
          <w:rFonts w:ascii="Arial" w:hAnsi="Arial" w:cs="Arial"/>
          <w:sz w:val="20"/>
          <w:szCs w:val="20"/>
        </w:rPr>
        <w:t>v</w:t>
      </w:r>
      <w:r w:rsidR="00C13751" w:rsidRPr="00E94653">
        <w:rPr>
          <w:rFonts w:ascii="Arial" w:hAnsi="Arial" w:cs="Arial"/>
          <w:sz w:val="20"/>
          <w:szCs w:val="20"/>
        </w:rPr>
        <w:t>rov za javno naročilo blaga ali storitev ali projektni natečaj;</w:t>
      </w:r>
    </w:p>
    <w:p w14:paraId="1D24F431" w14:textId="2615FF0E" w:rsidR="00C13751" w:rsidRPr="00E94653" w:rsidRDefault="00DD3892" w:rsidP="00C13751">
      <w:pPr>
        <w:spacing w:line="360" w:lineRule="auto"/>
        <w:jc w:val="both"/>
        <w:rPr>
          <w:rFonts w:ascii="Arial" w:hAnsi="Arial" w:cs="Arial"/>
          <w:sz w:val="20"/>
          <w:szCs w:val="20"/>
        </w:rPr>
      </w:pPr>
      <w:r w:rsidRPr="00E94653">
        <w:rPr>
          <w:rFonts w:ascii="Arial" w:hAnsi="Arial" w:cs="Arial"/>
          <w:sz w:val="20"/>
          <w:szCs w:val="20"/>
        </w:rPr>
        <w:t>–</w:t>
      </w:r>
      <w:r w:rsidR="00FA0EF9">
        <w:rPr>
          <w:rFonts w:ascii="Arial" w:hAnsi="Arial" w:cs="Arial"/>
          <w:sz w:val="20"/>
          <w:szCs w:val="20"/>
        </w:rPr>
        <w:t xml:space="preserve"> </w:t>
      </w:r>
      <w:r w:rsidR="00C13751" w:rsidRPr="00E94653">
        <w:rPr>
          <w:rFonts w:ascii="Arial" w:hAnsi="Arial" w:cs="Arial"/>
          <w:sz w:val="20"/>
          <w:szCs w:val="20"/>
        </w:rPr>
        <w:t>100.000 e</w:t>
      </w:r>
      <w:r w:rsidRPr="00E94653">
        <w:rPr>
          <w:rFonts w:ascii="Arial" w:hAnsi="Arial" w:cs="Arial"/>
          <w:sz w:val="20"/>
          <w:szCs w:val="20"/>
        </w:rPr>
        <w:t>v</w:t>
      </w:r>
      <w:r w:rsidR="00C13751" w:rsidRPr="00E94653">
        <w:rPr>
          <w:rFonts w:ascii="Arial" w:hAnsi="Arial" w:cs="Arial"/>
          <w:sz w:val="20"/>
          <w:szCs w:val="20"/>
        </w:rPr>
        <w:t>rov za javno naročilo gradenj;</w:t>
      </w:r>
    </w:p>
    <w:p w14:paraId="2DB8CF33" w14:textId="34E68B70" w:rsidR="00C13751" w:rsidRPr="00E94653" w:rsidRDefault="00DD3892" w:rsidP="00C13751">
      <w:pPr>
        <w:spacing w:line="360" w:lineRule="auto"/>
        <w:jc w:val="both"/>
        <w:rPr>
          <w:rFonts w:ascii="Arial" w:hAnsi="Arial" w:cs="Arial"/>
          <w:sz w:val="20"/>
          <w:szCs w:val="20"/>
        </w:rPr>
      </w:pPr>
      <w:r w:rsidRPr="00E94653">
        <w:rPr>
          <w:rFonts w:ascii="Arial" w:hAnsi="Arial" w:cs="Arial"/>
          <w:sz w:val="20"/>
          <w:szCs w:val="20"/>
        </w:rPr>
        <w:t>–</w:t>
      </w:r>
      <w:r w:rsidR="00FA0EF9">
        <w:rPr>
          <w:rFonts w:ascii="Arial" w:hAnsi="Arial" w:cs="Arial"/>
          <w:sz w:val="20"/>
          <w:szCs w:val="20"/>
        </w:rPr>
        <w:t xml:space="preserve"> </w:t>
      </w:r>
      <w:r w:rsidR="00C13751" w:rsidRPr="00E94653">
        <w:rPr>
          <w:rFonts w:ascii="Arial" w:hAnsi="Arial" w:cs="Arial"/>
          <w:sz w:val="20"/>
          <w:szCs w:val="20"/>
        </w:rPr>
        <w:t>1.000.000 e</w:t>
      </w:r>
      <w:r w:rsidRPr="00E94653">
        <w:rPr>
          <w:rFonts w:ascii="Arial" w:hAnsi="Arial" w:cs="Arial"/>
          <w:sz w:val="20"/>
          <w:szCs w:val="20"/>
        </w:rPr>
        <w:t>v</w:t>
      </w:r>
      <w:r w:rsidR="00C13751" w:rsidRPr="00E94653">
        <w:rPr>
          <w:rFonts w:ascii="Arial" w:hAnsi="Arial" w:cs="Arial"/>
          <w:sz w:val="20"/>
          <w:szCs w:val="20"/>
        </w:rPr>
        <w:t>rov za javno naročilo socialnih in drugih posebnih storitev, razen storitev, ki so zajete s kodo CPV 79713000-5</w:t>
      </w:r>
      <w:r w:rsidRPr="00E94653">
        <w:rPr>
          <w:rFonts w:ascii="Arial" w:hAnsi="Arial" w:cs="Arial"/>
          <w:sz w:val="20"/>
          <w:szCs w:val="20"/>
        </w:rPr>
        <w:t>;</w:t>
      </w:r>
    </w:p>
    <w:p w14:paraId="25F19160" w14:textId="2945105C" w:rsidR="00C13751" w:rsidRPr="00E94653" w:rsidRDefault="00DD3892" w:rsidP="00C13751">
      <w:pPr>
        <w:spacing w:line="360" w:lineRule="auto"/>
        <w:jc w:val="both"/>
        <w:rPr>
          <w:rFonts w:ascii="Arial" w:hAnsi="Arial" w:cs="Arial"/>
          <w:sz w:val="20"/>
          <w:szCs w:val="20"/>
        </w:rPr>
      </w:pPr>
      <w:r w:rsidRPr="00E94653">
        <w:rPr>
          <w:rFonts w:ascii="Arial" w:hAnsi="Arial" w:cs="Arial"/>
          <w:sz w:val="20"/>
          <w:szCs w:val="20"/>
        </w:rPr>
        <w:t>t</w:t>
      </w:r>
      <w:r w:rsidR="00C13751" w:rsidRPr="00E94653">
        <w:rPr>
          <w:rFonts w:ascii="Arial" w:hAnsi="Arial" w:cs="Arial"/>
          <w:sz w:val="20"/>
          <w:szCs w:val="20"/>
        </w:rPr>
        <w:t>er naročila, ki so bila oddana na podlagi ZJNPOV in katerih vrednost je nižja od:</w:t>
      </w:r>
    </w:p>
    <w:p w14:paraId="3F62CC0B" w14:textId="39310358" w:rsidR="00C13751" w:rsidRPr="00E94653" w:rsidRDefault="00DD3892" w:rsidP="00C13751">
      <w:pPr>
        <w:spacing w:line="360" w:lineRule="auto"/>
        <w:jc w:val="both"/>
        <w:rPr>
          <w:rFonts w:ascii="Arial" w:hAnsi="Arial" w:cs="Arial"/>
          <w:sz w:val="20"/>
          <w:szCs w:val="20"/>
        </w:rPr>
      </w:pPr>
      <w:r w:rsidRPr="00E94653">
        <w:rPr>
          <w:rFonts w:ascii="Arial" w:hAnsi="Arial" w:cs="Arial"/>
          <w:sz w:val="20"/>
          <w:szCs w:val="20"/>
        </w:rPr>
        <w:t>–</w:t>
      </w:r>
      <w:r w:rsidR="00C13751" w:rsidRPr="00E94653">
        <w:rPr>
          <w:rFonts w:ascii="Arial" w:hAnsi="Arial" w:cs="Arial"/>
          <w:sz w:val="20"/>
          <w:szCs w:val="20"/>
        </w:rPr>
        <w:t xml:space="preserve"> 40.000 e</w:t>
      </w:r>
      <w:r w:rsidRPr="00E94653">
        <w:rPr>
          <w:rFonts w:ascii="Arial" w:hAnsi="Arial" w:cs="Arial"/>
          <w:sz w:val="20"/>
          <w:szCs w:val="20"/>
        </w:rPr>
        <w:t>v</w:t>
      </w:r>
      <w:r w:rsidR="00C13751" w:rsidRPr="00E94653">
        <w:rPr>
          <w:rFonts w:ascii="Arial" w:hAnsi="Arial" w:cs="Arial"/>
          <w:sz w:val="20"/>
          <w:szCs w:val="20"/>
        </w:rPr>
        <w:t>rov pri naročanju blaga ali storitev,</w:t>
      </w:r>
    </w:p>
    <w:p w14:paraId="4C3A965D" w14:textId="3C8CEFC0" w:rsidR="00C13751" w:rsidRPr="00E94653" w:rsidRDefault="00DD3892" w:rsidP="00C13751">
      <w:pPr>
        <w:spacing w:line="360" w:lineRule="auto"/>
        <w:jc w:val="both"/>
        <w:rPr>
          <w:rFonts w:ascii="Arial" w:hAnsi="Arial" w:cs="Arial"/>
          <w:sz w:val="20"/>
          <w:szCs w:val="20"/>
        </w:rPr>
      </w:pPr>
      <w:r w:rsidRPr="00E94653">
        <w:rPr>
          <w:rFonts w:ascii="Arial" w:hAnsi="Arial" w:cs="Arial"/>
          <w:sz w:val="20"/>
          <w:szCs w:val="20"/>
        </w:rPr>
        <w:t>–</w:t>
      </w:r>
      <w:r w:rsidR="00C13751" w:rsidRPr="00E94653">
        <w:rPr>
          <w:rFonts w:ascii="Arial" w:hAnsi="Arial" w:cs="Arial"/>
          <w:sz w:val="20"/>
          <w:szCs w:val="20"/>
        </w:rPr>
        <w:t xml:space="preserve"> 80.000 e</w:t>
      </w:r>
      <w:r w:rsidRPr="00E94653">
        <w:rPr>
          <w:rFonts w:ascii="Arial" w:hAnsi="Arial" w:cs="Arial"/>
          <w:sz w:val="20"/>
          <w:szCs w:val="20"/>
        </w:rPr>
        <w:t>v</w:t>
      </w:r>
      <w:r w:rsidR="00C13751" w:rsidRPr="00E94653">
        <w:rPr>
          <w:rFonts w:ascii="Arial" w:hAnsi="Arial" w:cs="Arial"/>
          <w:sz w:val="20"/>
          <w:szCs w:val="20"/>
        </w:rPr>
        <w:t>rov pri naročanju gradenj.</w:t>
      </w:r>
    </w:p>
    <w:p w14:paraId="7EA75BDA" w14:textId="0B8008E1"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lastRenderedPageBreak/>
        <w:t xml:space="preserve">Pri tem ne glede na navedene vrednosti kot evidenčna naročila štejejo tudi naročila, oddana po </w:t>
      </w:r>
      <w:r w:rsidR="001F27C4">
        <w:rPr>
          <w:rFonts w:ascii="Arial" w:hAnsi="Arial" w:cs="Arial"/>
          <w:sz w:val="20"/>
          <w:szCs w:val="20"/>
        </w:rPr>
        <w:t>tako imenovanem</w:t>
      </w:r>
      <w:r w:rsidRPr="00E94653">
        <w:rPr>
          <w:rFonts w:ascii="Arial" w:hAnsi="Arial" w:cs="Arial"/>
          <w:sz w:val="20"/>
          <w:szCs w:val="20"/>
        </w:rPr>
        <w:t xml:space="preserve"> načelu kratkih verig.</w:t>
      </w:r>
      <w:r w:rsidRPr="00E94653">
        <w:rPr>
          <w:rStyle w:val="Sprotnaopomba-sklic"/>
          <w:rFonts w:ascii="Arial" w:hAnsi="Arial" w:cs="Arial"/>
          <w:sz w:val="20"/>
          <w:szCs w:val="20"/>
        </w:rPr>
        <w:footnoteReference w:id="4"/>
      </w:r>
    </w:p>
    <w:p w14:paraId="757BB3E0" w14:textId="49E15443"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Vse denarne vrednosti, navedene v poročilu, so vrednosti brez davka na dodano vrednost (DDV) v evrih, razen denarnih vrednosti v točk</w:t>
      </w:r>
      <w:r w:rsidR="00164E3D" w:rsidRPr="00E94653">
        <w:rPr>
          <w:rFonts w:ascii="Arial" w:hAnsi="Arial" w:cs="Arial"/>
          <w:sz w:val="20"/>
          <w:szCs w:val="20"/>
        </w:rPr>
        <w:t>ah</w:t>
      </w:r>
      <w:r w:rsidRPr="00E94653">
        <w:rPr>
          <w:rFonts w:ascii="Arial" w:hAnsi="Arial" w:cs="Arial"/>
          <w:sz w:val="20"/>
          <w:szCs w:val="20"/>
        </w:rPr>
        <w:t xml:space="preserve"> 2.1.1 in 2.1.2, kjer je bila pri izračunu deleža javnih naročil v BDP in proračunu </w:t>
      </w:r>
      <w:r w:rsidR="001F27C4">
        <w:rPr>
          <w:rFonts w:ascii="Arial" w:hAnsi="Arial" w:cs="Arial"/>
          <w:sz w:val="20"/>
          <w:szCs w:val="20"/>
        </w:rPr>
        <w:t>ter</w:t>
      </w:r>
      <w:r w:rsidR="001F27C4" w:rsidRPr="00E94653">
        <w:rPr>
          <w:rFonts w:ascii="Arial" w:hAnsi="Arial" w:cs="Arial"/>
          <w:sz w:val="20"/>
          <w:szCs w:val="20"/>
        </w:rPr>
        <w:t xml:space="preserve"> </w:t>
      </w:r>
      <w:r w:rsidRPr="00E94653">
        <w:rPr>
          <w:rFonts w:ascii="Arial" w:hAnsi="Arial" w:cs="Arial"/>
          <w:sz w:val="20"/>
          <w:szCs w:val="20"/>
        </w:rPr>
        <w:t>v odhodkih proračuna upoštevana tudi povprečna vrednost DDV, ki jo izračunava Statistični urad Republike Slovenije.</w:t>
      </w:r>
    </w:p>
    <w:p w14:paraId="25B097FB" w14:textId="5F292F06" w:rsidR="00C13751" w:rsidRPr="00E94653" w:rsidRDefault="00C13751" w:rsidP="00C13751">
      <w:pPr>
        <w:pStyle w:val="Standard"/>
        <w:spacing w:line="360" w:lineRule="auto"/>
        <w:rPr>
          <w:rFonts w:cs="Arial"/>
          <w:sz w:val="20"/>
          <w:szCs w:val="20"/>
        </w:rPr>
      </w:pPr>
      <w:r w:rsidRPr="00E94653">
        <w:rPr>
          <w:rFonts w:cs="Arial"/>
          <w:sz w:val="20"/>
          <w:szCs w:val="20"/>
        </w:rPr>
        <w:t>V tem poročilu so naročniki</w:t>
      </w:r>
      <w:r w:rsidR="00164E3D" w:rsidRPr="00E94653">
        <w:rPr>
          <w:rFonts w:cs="Arial"/>
          <w:sz w:val="20"/>
          <w:szCs w:val="20"/>
        </w:rPr>
        <w:t xml:space="preserve"> </w:t>
      </w:r>
      <w:r w:rsidRPr="00E94653">
        <w:rPr>
          <w:rFonts w:cs="Arial"/>
          <w:sz w:val="20"/>
          <w:szCs w:val="20"/>
        </w:rPr>
        <w:t xml:space="preserve">razvrščeni v osem </w:t>
      </w:r>
      <w:r w:rsidR="00164E3D" w:rsidRPr="00E94653">
        <w:rPr>
          <w:rFonts w:cs="Arial"/>
          <w:sz w:val="20"/>
          <w:szCs w:val="20"/>
        </w:rPr>
        <w:t>skupin</w:t>
      </w:r>
      <w:r w:rsidRPr="00E94653">
        <w:rPr>
          <w:rFonts w:cs="Arial"/>
          <w:sz w:val="20"/>
          <w:szCs w:val="20"/>
        </w:rPr>
        <w:t>:</w:t>
      </w:r>
    </w:p>
    <w:p w14:paraId="02C3388D" w14:textId="77777777" w:rsidR="00C13751" w:rsidRPr="00E94653" w:rsidRDefault="00C13751" w:rsidP="00C13751">
      <w:pPr>
        <w:pStyle w:val="Standard"/>
        <w:numPr>
          <w:ilvl w:val="0"/>
          <w:numId w:val="18"/>
        </w:numPr>
        <w:spacing w:line="360" w:lineRule="auto"/>
        <w:textAlignment w:val="auto"/>
        <w:rPr>
          <w:rFonts w:cs="Arial"/>
          <w:sz w:val="20"/>
          <w:szCs w:val="20"/>
        </w:rPr>
      </w:pPr>
      <w:r w:rsidRPr="00E94653">
        <w:rPr>
          <w:rFonts w:cs="Arial"/>
          <w:sz w:val="20"/>
          <w:szCs w:val="20"/>
        </w:rPr>
        <w:t xml:space="preserve">organi RS, kar vključuje centralizirano in decentralizirano raven (tj. tudi upravne enote), </w:t>
      </w:r>
    </w:p>
    <w:p w14:paraId="165D2DD3" w14:textId="77777777" w:rsidR="00C13751" w:rsidRPr="00E94653" w:rsidRDefault="00C13751" w:rsidP="00C13751">
      <w:pPr>
        <w:pStyle w:val="Standard"/>
        <w:numPr>
          <w:ilvl w:val="0"/>
          <w:numId w:val="18"/>
        </w:numPr>
        <w:spacing w:line="360" w:lineRule="auto"/>
        <w:textAlignment w:val="auto"/>
        <w:rPr>
          <w:rFonts w:cs="Arial"/>
          <w:sz w:val="20"/>
          <w:szCs w:val="20"/>
        </w:rPr>
      </w:pPr>
      <w:r w:rsidRPr="00E94653">
        <w:rPr>
          <w:rFonts w:cs="Arial"/>
          <w:sz w:val="20"/>
          <w:szCs w:val="20"/>
        </w:rPr>
        <w:t>samoupravne lokalne skupnosti,</w:t>
      </w:r>
    </w:p>
    <w:p w14:paraId="0FB3BEC4" w14:textId="77777777" w:rsidR="00C13751" w:rsidRPr="00E94653" w:rsidRDefault="00C13751" w:rsidP="00C13751">
      <w:pPr>
        <w:pStyle w:val="Standard"/>
        <w:numPr>
          <w:ilvl w:val="0"/>
          <w:numId w:val="18"/>
        </w:numPr>
        <w:spacing w:line="360" w:lineRule="auto"/>
        <w:textAlignment w:val="auto"/>
        <w:rPr>
          <w:rFonts w:cs="Arial"/>
          <w:sz w:val="20"/>
          <w:szCs w:val="20"/>
          <w:lang w:eastAsia="sl-SI"/>
        </w:rPr>
      </w:pPr>
      <w:r w:rsidRPr="00E94653">
        <w:rPr>
          <w:rFonts w:cs="Arial"/>
          <w:sz w:val="20"/>
          <w:szCs w:val="20"/>
          <w:lang w:eastAsia="sl-SI"/>
        </w:rPr>
        <w:t>javni skladi,</w:t>
      </w:r>
    </w:p>
    <w:p w14:paraId="7DAA17C7" w14:textId="77777777" w:rsidR="00C13751" w:rsidRPr="00E94653" w:rsidRDefault="00C13751" w:rsidP="00C13751">
      <w:pPr>
        <w:pStyle w:val="Standard"/>
        <w:numPr>
          <w:ilvl w:val="0"/>
          <w:numId w:val="18"/>
        </w:numPr>
        <w:spacing w:line="360" w:lineRule="auto"/>
        <w:textAlignment w:val="auto"/>
        <w:rPr>
          <w:rFonts w:cs="Arial"/>
          <w:sz w:val="20"/>
          <w:szCs w:val="20"/>
          <w:lang w:eastAsia="sl-SI"/>
        </w:rPr>
      </w:pPr>
      <w:r w:rsidRPr="00E94653">
        <w:rPr>
          <w:rFonts w:cs="Arial"/>
          <w:sz w:val="20"/>
          <w:szCs w:val="20"/>
          <w:lang w:eastAsia="sl-SI"/>
        </w:rPr>
        <w:t>javne agencije,</w:t>
      </w:r>
    </w:p>
    <w:p w14:paraId="015F1E70" w14:textId="77777777" w:rsidR="00C13751" w:rsidRPr="00E94653" w:rsidRDefault="00C13751" w:rsidP="00C13751">
      <w:pPr>
        <w:pStyle w:val="Standard"/>
        <w:numPr>
          <w:ilvl w:val="0"/>
          <w:numId w:val="18"/>
        </w:numPr>
        <w:spacing w:line="360" w:lineRule="auto"/>
        <w:textAlignment w:val="auto"/>
        <w:rPr>
          <w:rFonts w:cs="Arial"/>
          <w:sz w:val="20"/>
          <w:szCs w:val="20"/>
          <w:lang w:eastAsia="sl-SI"/>
        </w:rPr>
      </w:pPr>
      <w:r w:rsidRPr="00E94653">
        <w:rPr>
          <w:rFonts w:cs="Arial"/>
          <w:sz w:val="20"/>
          <w:szCs w:val="20"/>
          <w:lang w:eastAsia="sl-SI"/>
        </w:rPr>
        <w:t>javni zavodi,</w:t>
      </w:r>
    </w:p>
    <w:p w14:paraId="391F6CF4" w14:textId="77777777" w:rsidR="00C13751" w:rsidRPr="00E94653" w:rsidRDefault="00C13751" w:rsidP="00C13751">
      <w:pPr>
        <w:pStyle w:val="Standard"/>
        <w:numPr>
          <w:ilvl w:val="0"/>
          <w:numId w:val="18"/>
        </w:numPr>
        <w:spacing w:line="360" w:lineRule="auto"/>
        <w:textAlignment w:val="auto"/>
        <w:rPr>
          <w:rFonts w:cs="Arial"/>
          <w:sz w:val="20"/>
          <w:szCs w:val="20"/>
          <w:lang w:eastAsia="sl-SI"/>
        </w:rPr>
      </w:pPr>
      <w:r w:rsidRPr="00E94653">
        <w:rPr>
          <w:rFonts w:cs="Arial"/>
          <w:sz w:val="20"/>
          <w:szCs w:val="20"/>
          <w:lang w:eastAsia="sl-SI"/>
        </w:rPr>
        <w:t>javni gospodarski zavodi,</w:t>
      </w:r>
    </w:p>
    <w:p w14:paraId="05A3A450" w14:textId="781519A3" w:rsidR="00C13751" w:rsidRPr="00E94653" w:rsidRDefault="00C13751" w:rsidP="00C13751">
      <w:pPr>
        <w:pStyle w:val="Standard"/>
        <w:numPr>
          <w:ilvl w:val="0"/>
          <w:numId w:val="18"/>
        </w:numPr>
        <w:spacing w:line="360" w:lineRule="auto"/>
        <w:textAlignment w:val="auto"/>
        <w:rPr>
          <w:rFonts w:cs="Arial"/>
          <w:sz w:val="20"/>
          <w:szCs w:val="20"/>
          <w:lang w:eastAsia="sl-SI"/>
        </w:rPr>
      </w:pPr>
      <w:r w:rsidRPr="00E94653">
        <w:rPr>
          <w:rFonts w:cs="Arial"/>
          <w:sz w:val="20"/>
          <w:szCs w:val="20"/>
          <w:lang w:eastAsia="sl-SI"/>
        </w:rPr>
        <w:t xml:space="preserve">drugi naročniki, kar zajema osebe javnega prava, ki niso vključene v točke od 3 do 6, javna podjetja na infrastrukturnem področju, subjekte, ki so jim bile na infrastrukturnem področju </w:t>
      </w:r>
      <w:proofErr w:type="spellStart"/>
      <w:r w:rsidRPr="00E94653">
        <w:rPr>
          <w:rFonts w:cs="Arial"/>
          <w:sz w:val="20"/>
          <w:szCs w:val="20"/>
          <w:lang w:eastAsia="sl-SI"/>
        </w:rPr>
        <w:t>ne</w:t>
      </w:r>
      <w:r w:rsidR="00AE2C4B" w:rsidRPr="00E94653">
        <w:rPr>
          <w:rFonts w:cs="Arial"/>
          <w:sz w:val="20"/>
          <w:szCs w:val="20"/>
          <w:lang w:eastAsia="sl-SI"/>
        </w:rPr>
        <w:t>transparentno</w:t>
      </w:r>
      <w:proofErr w:type="spellEnd"/>
      <w:r w:rsidRPr="00E94653">
        <w:rPr>
          <w:rFonts w:cs="Arial"/>
          <w:sz w:val="20"/>
          <w:szCs w:val="20"/>
          <w:lang w:eastAsia="sl-SI"/>
        </w:rPr>
        <w:t xml:space="preserve"> in nekonkurenč</w:t>
      </w:r>
      <w:r w:rsidR="00DD3892" w:rsidRPr="00E94653">
        <w:rPr>
          <w:rFonts w:cs="Arial"/>
          <w:sz w:val="20"/>
          <w:szCs w:val="20"/>
          <w:lang w:eastAsia="sl-SI"/>
        </w:rPr>
        <w:t>no</w:t>
      </w:r>
      <w:r w:rsidRPr="00E94653">
        <w:rPr>
          <w:rFonts w:cs="Arial"/>
          <w:sz w:val="20"/>
          <w:szCs w:val="20"/>
          <w:lang w:eastAsia="sl-SI"/>
        </w:rPr>
        <w:t xml:space="preserve"> podeljene posebne ali izključne pravice,</w:t>
      </w:r>
    </w:p>
    <w:p w14:paraId="71E33D91" w14:textId="63114886" w:rsidR="00C13751" w:rsidRPr="00E94653" w:rsidRDefault="00C13751" w:rsidP="00C13751">
      <w:pPr>
        <w:pStyle w:val="Standard"/>
        <w:numPr>
          <w:ilvl w:val="0"/>
          <w:numId w:val="18"/>
        </w:numPr>
        <w:spacing w:line="360" w:lineRule="auto"/>
        <w:textAlignment w:val="auto"/>
        <w:rPr>
          <w:rFonts w:cs="Arial"/>
          <w:sz w:val="20"/>
          <w:szCs w:val="20"/>
        </w:rPr>
      </w:pPr>
      <w:r w:rsidRPr="00E94653">
        <w:rPr>
          <w:rFonts w:cs="Arial"/>
          <w:sz w:val="20"/>
          <w:szCs w:val="20"/>
          <w:lang w:eastAsia="sl-SI"/>
        </w:rPr>
        <w:t xml:space="preserve">razni subjekti, kar zajema </w:t>
      </w:r>
      <w:r w:rsidRPr="00E94653">
        <w:rPr>
          <w:rFonts w:cs="Arial"/>
          <w:sz w:val="20"/>
          <w:szCs w:val="20"/>
        </w:rPr>
        <w:t>gospodarske subjekte, ki so pravila javnega naročanja upoštevali v okviru določenega projekta, ker je bil ta (so)financiran z javnimi sredstvi, bodisi Republike Slovenije</w:t>
      </w:r>
      <w:r w:rsidR="00DD3892" w:rsidRPr="00E94653">
        <w:rPr>
          <w:rFonts w:cs="Arial"/>
          <w:sz w:val="20"/>
          <w:szCs w:val="20"/>
        </w:rPr>
        <w:t xml:space="preserve"> bodisi</w:t>
      </w:r>
      <w:r w:rsidR="00FA0EF9">
        <w:rPr>
          <w:rFonts w:cs="Arial"/>
          <w:sz w:val="20"/>
          <w:szCs w:val="20"/>
        </w:rPr>
        <w:t xml:space="preserve"> </w:t>
      </w:r>
      <w:r w:rsidRPr="00E94653">
        <w:rPr>
          <w:rFonts w:cs="Arial"/>
          <w:sz w:val="20"/>
          <w:szCs w:val="20"/>
          <w:lang w:eastAsia="sl-SI"/>
        </w:rPr>
        <w:t>Evropske unije</w:t>
      </w:r>
      <w:r w:rsidRPr="00E94653">
        <w:rPr>
          <w:rFonts w:cs="Arial"/>
          <w:sz w:val="20"/>
          <w:szCs w:val="20"/>
        </w:rPr>
        <w:t>.</w:t>
      </w:r>
    </w:p>
    <w:p w14:paraId="35BDDFD5" w14:textId="77777777" w:rsidR="00C13751" w:rsidRPr="00E94653" w:rsidRDefault="00C13751" w:rsidP="00C13751">
      <w:pPr>
        <w:pStyle w:val="Standard"/>
        <w:spacing w:line="360" w:lineRule="auto"/>
        <w:rPr>
          <w:rFonts w:cs="Arial"/>
          <w:sz w:val="20"/>
          <w:szCs w:val="20"/>
        </w:rPr>
      </w:pPr>
    </w:p>
    <w:p w14:paraId="5040C778" w14:textId="77777777" w:rsidR="00C13751" w:rsidRPr="00E94653" w:rsidRDefault="00C13751" w:rsidP="00C13751">
      <w:pPr>
        <w:spacing w:line="360" w:lineRule="auto"/>
        <w:jc w:val="both"/>
        <w:rPr>
          <w:rFonts w:ascii="Arial" w:hAnsi="Arial" w:cs="Arial"/>
          <w:sz w:val="20"/>
          <w:szCs w:val="20"/>
        </w:rPr>
      </w:pPr>
      <w:r w:rsidRPr="00E94653">
        <w:rPr>
          <w:rFonts w:ascii="Arial" w:hAnsi="Arial" w:cs="Arial"/>
          <w:sz w:val="20"/>
          <w:szCs w:val="20"/>
        </w:rPr>
        <w:t>Analiza podatkov o naročnikih in ponudnikih temelji na davčni in matični številki posameznega subjekta.</w:t>
      </w:r>
    </w:p>
    <w:p w14:paraId="31F19A94" w14:textId="77777777" w:rsidR="00662735" w:rsidRPr="00E94653" w:rsidRDefault="00662735" w:rsidP="00CD56F6">
      <w:pPr>
        <w:pStyle w:val="ZADEVA"/>
        <w:spacing w:line="312" w:lineRule="auto"/>
        <w:jc w:val="both"/>
        <w:rPr>
          <w:rFonts w:cs="Arial"/>
          <w:b w:val="0"/>
          <w:szCs w:val="20"/>
          <w:lang w:val="sl-SI"/>
        </w:rPr>
      </w:pPr>
    </w:p>
    <w:p w14:paraId="1CC3FF74" w14:textId="77777777" w:rsidR="00662735" w:rsidRPr="00EF2D0B" w:rsidRDefault="00662735" w:rsidP="00CD56F6">
      <w:pPr>
        <w:pStyle w:val="ZADEVA"/>
        <w:spacing w:line="312" w:lineRule="auto"/>
        <w:jc w:val="both"/>
        <w:rPr>
          <w:rFonts w:cs="Arial"/>
          <w:b w:val="0"/>
          <w:szCs w:val="20"/>
          <w:highlight w:val="yellow"/>
          <w:lang w:val="sl-SI"/>
        </w:rPr>
      </w:pPr>
    </w:p>
    <w:p w14:paraId="123B5C9E" w14:textId="470EBFF8" w:rsidR="00AD0855" w:rsidRPr="00EF2D0B" w:rsidRDefault="00983C0E" w:rsidP="00983C0E">
      <w:pPr>
        <w:rPr>
          <w:rFonts w:ascii="Arial" w:hAnsi="Arial" w:cs="Arial"/>
          <w:sz w:val="20"/>
          <w:highlight w:val="yellow"/>
        </w:rPr>
      </w:pPr>
      <w:bookmarkStart w:id="50" w:name="_Toc369000996"/>
      <w:r w:rsidRPr="00EF2D0B">
        <w:rPr>
          <w:rFonts w:ascii="Arial" w:hAnsi="Arial" w:cs="Arial"/>
          <w:sz w:val="20"/>
          <w:highlight w:val="yellow"/>
        </w:rPr>
        <w:t xml:space="preserve"> </w:t>
      </w:r>
    </w:p>
    <w:bookmarkEnd w:id="50"/>
    <w:p w14:paraId="2CBA18EA" w14:textId="23974AD1" w:rsidR="00EC6FA0" w:rsidRPr="00EF2D0B" w:rsidRDefault="00EC6FA0">
      <w:pPr>
        <w:rPr>
          <w:rFonts w:ascii="Arial" w:hAnsi="Arial" w:cs="Arial"/>
          <w:sz w:val="20"/>
          <w:highlight w:val="yellow"/>
        </w:rPr>
      </w:pPr>
      <w:r w:rsidRPr="00EF2D0B">
        <w:rPr>
          <w:rFonts w:ascii="Arial" w:hAnsi="Arial" w:cs="Arial"/>
          <w:sz w:val="20"/>
          <w:highlight w:val="yellow"/>
        </w:rPr>
        <w:br w:type="page"/>
      </w:r>
    </w:p>
    <w:p w14:paraId="6A995B21" w14:textId="77777777" w:rsidR="008C226D" w:rsidRPr="00D008CB" w:rsidRDefault="008C226D" w:rsidP="008C226D">
      <w:pPr>
        <w:rPr>
          <w:rFonts w:ascii="Arial" w:hAnsi="Arial" w:cs="Arial"/>
          <w:b/>
        </w:rPr>
      </w:pPr>
      <w:bookmarkStart w:id="51" w:name="_Toc493770281"/>
      <w:r w:rsidRPr="00D008CB">
        <w:rPr>
          <w:rFonts w:ascii="Arial" w:hAnsi="Arial" w:cs="Arial"/>
          <w:b/>
        </w:rPr>
        <w:lastRenderedPageBreak/>
        <w:t>Priloge</w:t>
      </w:r>
      <w:bookmarkEnd w:id="51"/>
    </w:p>
    <w:p w14:paraId="441145A8" w14:textId="73DA9605" w:rsidR="00072A69" w:rsidRPr="00D008CB" w:rsidRDefault="00072A69" w:rsidP="00072A69">
      <w:pPr>
        <w:pStyle w:val="ZADEVA"/>
        <w:spacing w:line="240" w:lineRule="auto"/>
        <w:jc w:val="both"/>
        <w:rPr>
          <w:rFonts w:cs="Arial"/>
          <w:b w:val="0"/>
          <w:szCs w:val="20"/>
          <w:lang w:val="sl-SI"/>
        </w:rPr>
      </w:pPr>
      <w:bookmarkStart w:id="52" w:name="_Toc367054474"/>
      <w:bookmarkStart w:id="53" w:name="_Toc367193247"/>
      <w:bookmarkStart w:id="54" w:name="_Toc367784261"/>
      <w:bookmarkStart w:id="55" w:name="_Toc368925705"/>
      <w:bookmarkStart w:id="56" w:name="_Toc369000988"/>
      <w:bookmarkStart w:id="57" w:name="_Toc398038705"/>
      <w:bookmarkStart w:id="58" w:name="_Toc398040184"/>
      <w:bookmarkStart w:id="59" w:name="_Toc398584422"/>
      <w:bookmarkStart w:id="60" w:name="_Toc461086442"/>
      <w:bookmarkStart w:id="61" w:name="_Toc461608814"/>
      <w:bookmarkStart w:id="62" w:name="_Toc462401233"/>
      <w:proofErr w:type="spellStart"/>
      <w:r w:rsidRPr="00D008CB">
        <w:rPr>
          <w:rFonts w:cs="Arial"/>
          <w:b w:val="0"/>
          <w:iCs/>
          <w:szCs w:val="20"/>
        </w:rPr>
        <w:t>Preglednica</w:t>
      </w:r>
      <w:proofErr w:type="spellEnd"/>
      <w:r w:rsidRPr="00D008CB">
        <w:rPr>
          <w:rFonts w:cs="Arial"/>
          <w:b w:val="0"/>
          <w:iCs/>
          <w:szCs w:val="20"/>
        </w:rPr>
        <w:t xml:space="preserve"> </w:t>
      </w:r>
      <w:r w:rsidR="00F3604D">
        <w:rPr>
          <w:rFonts w:cs="Arial"/>
          <w:b w:val="0"/>
          <w:iCs/>
          <w:szCs w:val="20"/>
        </w:rPr>
        <w:t>69</w:t>
      </w:r>
      <w:r w:rsidRPr="00D008CB">
        <w:rPr>
          <w:rFonts w:cs="Arial"/>
          <w:b w:val="0"/>
          <w:iCs/>
          <w:szCs w:val="20"/>
        </w:rPr>
        <w:t xml:space="preserve">: </w:t>
      </w:r>
      <w:bookmarkEnd w:id="52"/>
      <w:bookmarkEnd w:id="53"/>
      <w:proofErr w:type="spellStart"/>
      <w:r w:rsidRPr="00D008CB">
        <w:rPr>
          <w:rFonts w:cs="Arial"/>
          <w:b w:val="0"/>
          <w:iCs/>
          <w:szCs w:val="20"/>
        </w:rPr>
        <w:t>Javna</w:t>
      </w:r>
      <w:proofErr w:type="spellEnd"/>
      <w:r w:rsidRPr="00D008CB">
        <w:rPr>
          <w:rFonts w:cs="Arial"/>
          <w:b w:val="0"/>
          <w:iCs/>
          <w:szCs w:val="20"/>
        </w:rPr>
        <w:t xml:space="preserve"> </w:t>
      </w:r>
      <w:proofErr w:type="spellStart"/>
      <w:r w:rsidRPr="00D008CB">
        <w:rPr>
          <w:rFonts w:cs="Arial"/>
          <w:b w:val="0"/>
          <w:iCs/>
          <w:szCs w:val="20"/>
        </w:rPr>
        <w:t>naročila</w:t>
      </w:r>
      <w:proofErr w:type="spellEnd"/>
      <w:r w:rsidRPr="00D008CB">
        <w:rPr>
          <w:rFonts w:cs="Arial"/>
          <w:b w:val="0"/>
          <w:iCs/>
          <w:szCs w:val="20"/>
        </w:rPr>
        <w:t xml:space="preserve"> </w:t>
      </w:r>
      <w:proofErr w:type="spellStart"/>
      <w:r w:rsidRPr="00D008CB">
        <w:rPr>
          <w:rFonts w:cs="Arial"/>
          <w:b w:val="0"/>
          <w:iCs/>
          <w:szCs w:val="20"/>
        </w:rPr>
        <w:t>glede</w:t>
      </w:r>
      <w:proofErr w:type="spellEnd"/>
      <w:r w:rsidRPr="00D008CB">
        <w:rPr>
          <w:rFonts w:cs="Arial"/>
          <w:b w:val="0"/>
          <w:iCs/>
          <w:szCs w:val="20"/>
        </w:rPr>
        <w:t xml:space="preserve"> </w:t>
      </w:r>
      <w:proofErr w:type="spellStart"/>
      <w:r w:rsidRPr="00D008CB">
        <w:rPr>
          <w:rFonts w:cs="Arial"/>
          <w:b w:val="0"/>
          <w:iCs/>
          <w:szCs w:val="20"/>
        </w:rPr>
        <w:t>na</w:t>
      </w:r>
      <w:proofErr w:type="spellEnd"/>
      <w:r w:rsidRPr="00D008CB">
        <w:rPr>
          <w:rFonts w:cs="Arial"/>
          <w:b w:val="0"/>
          <w:iCs/>
          <w:szCs w:val="20"/>
        </w:rPr>
        <w:t xml:space="preserve"> </w:t>
      </w:r>
      <w:proofErr w:type="spellStart"/>
      <w:r w:rsidRPr="00D008CB">
        <w:rPr>
          <w:rFonts w:cs="Arial"/>
          <w:b w:val="0"/>
          <w:iCs/>
          <w:szCs w:val="20"/>
        </w:rPr>
        <w:t>področje</w:t>
      </w:r>
      <w:proofErr w:type="spellEnd"/>
      <w:r w:rsidRPr="00D008CB">
        <w:rPr>
          <w:rFonts w:cs="Arial"/>
          <w:b w:val="0"/>
          <w:iCs/>
          <w:szCs w:val="20"/>
        </w:rPr>
        <w:t xml:space="preserve"> </w:t>
      </w:r>
      <w:proofErr w:type="spellStart"/>
      <w:r w:rsidRPr="00D008CB">
        <w:rPr>
          <w:rFonts w:cs="Arial"/>
          <w:b w:val="0"/>
          <w:iCs/>
          <w:szCs w:val="20"/>
        </w:rPr>
        <w:t>naročanja</w:t>
      </w:r>
      <w:proofErr w:type="spellEnd"/>
      <w:r w:rsidRPr="00D008CB">
        <w:rPr>
          <w:rFonts w:cs="Arial"/>
          <w:b w:val="0"/>
          <w:iCs/>
          <w:szCs w:val="20"/>
        </w:rPr>
        <w:t xml:space="preserve"> in </w:t>
      </w:r>
      <w:proofErr w:type="spellStart"/>
      <w:r w:rsidRPr="00D008CB">
        <w:rPr>
          <w:rFonts w:cs="Arial"/>
          <w:b w:val="0"/>
          <w:iCs/>
          <w:szCs w:val="20"/>
        </w:rPr>
        <w:t>vrsto</w:t>
      </w:r>
      <w:proofErr w:type="spellEnd"/>
      <w:r w:rsidRPr="00D008CB">
        <w:rPr>
          <w:rFonts w:cs="Arial"/>
          <w:b w:val="0"/>
          <w:iCs/>
          <w:szCs w:val="20"/>
        </w:rPr>
        <w:t xml:space="preserve"> </w:t>
      </w:r>
      <w:proofErr w:type="spellStart"/>
      <w:r w:rsidRPr="00D008CB">
        <w:rPr>
          <w:rFonts w:cs="Arial"/>
          <w:b w:val="0"/>
          <w:iCs/>
          <w:szCs w:val="20"/>
        </w:rPr>
        <w:t>postopka</w:t>
      </w:r>
      <w:bookmarkEnd w:id="54"/>
      <w:bookmarkEnd w:id="55"/>
      <w:bookmarkEnd w:id="56"/>
      <w:bookmarkEnd w:id="57"/>
      <w:bookmarkEnd w:id="58"/>
      <w:bookmarkEnd w:id="59"/>
      <w:bookmarkEnd w:id="60"/>
      <w:bookmarkEnd w:id="61"/>
      <w:bookmarkEnd w:id="62"/>
      <w:proofErr w:type="spellEnd"/>
    </w:p>
    <w:p w14:paraId="65AA1D90" w14:textId="77777777" w:rsidR="00072A69" w:rsidRPr="00EF2D0B" w:rsidRDefault="00072A69" w:rsidP="00072A69">
      <w:pPr>
        <w:pStyle w:val="ZADEVA"/>
        <w:spacing w:line="240" w:lineRule="auto"/>
        <w:ind w:left="0" w:firstLine="0"/>
        <w:jc w:val="both"/>
        <w:rPr>
          <w:rFonts w:cs="Arial"/>
          <w:b w:val="0"/>
          <w:szCs w:val="20"/>
          <w:highlight w:val="yellow"/>
          <w:lang w:val="sl-SI"/>
        </w:rPr>
      </w:pPr>
    </w:p>
    <w:tbl>
      <w:tblPr>
        <w:tblW w:w="5000" w:type="pct"/>
        <w:tblCellMar>
          <w:left w:w="70" w:type="dxa"/>
          <w:right w:w="70" w:type="dxa"/>
        </w:tblCellMar>
        <w:tblLook w:val="04A0" w:firstRow="1" w:lastRow="0" w:firstColumn="1" w:lastColumn="0" w:noHBand="0" w:noVBand="1"/>
      </w:tblPr>
      <w:tblGrid>
        <w:gridCol w:w="1301"/>
        <w:gridCol w:w="3646"/>
        <w:gridCol w:w="961"/>
        <w:gridCol w:w="1292"/>
        <w:gridCol w:w="961"/>
        <w:gridCol w:w="901"/>
      </w:tblGrid>
      <w:tr w:rsidR="00072A69" w:rsidRPr="000050E5" w14:paraId="2CD0217D" w14:textId="77777777" w:rsidTr="00AC1F17">
        <w:trPr>
          <w:trHeight w:val="480"/>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A3D1952" w14:textId="77777777" w:rsidR="00072A69" w:rsidRPr="000050E5" w:rsidRDefault="00072A69" w:rsidP="00AC1F17">
            <w:pPr>
              <w:spacing w:after="0" w:line="240" w:lineRule="auto"/>
              <w:jc w:val="center"/>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Področje</w:t>
            </w:r>
          </w:p>
        </w:tc>
        <w:tc>
          <w:tcPr>
            <w:tcW w:w="2012" w:type="pct"/>
            <w:tcBorders>
              <w:top w:val="single" w:sz="4" w:space="0" w:color="auto"/>
              <w:left w:val="nil"/>
              <w:bottom w:val="single" w:sz="4" w:space="0" w:color="auto"/>
              <w:right w:val="single" w:sz="4" w:space="0" w:color="auto"/>
            </w:tcBorders>
            <w:shd w:val="clear" w:color="000000" w:fill="EDEDED"/>
            <w:vAlign w:val="center"/>
            <w:hideMark/>
          </w:tcPr>
          <w:p w14:paraId="250129DF" w14:textId="77777777" w:rsidR="00072A69" w:rsidRPr="000050E5" w:rsidRDefault="00072A69" w:rsidP="00AC1F17">
            <w:pPr>
              <w:spacing w:after="0" w:line="240" w:lineRule="auto"/>
              <w:jc w:val="center"/>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Vrsta postopka</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38B003A3" w14:textId="77777777" w:rsidR="00072A69" w:rsidRPr="000050E5" w:rsidRDefault="00072A69" w:rsidP="00AC1F17">
            <w:pPr>
              <w:spacing w:after="0" w:line="240" w:lineRule="auto"/>
              <w:jc w:val="center"/>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Št. postopkov</w:t>
            </w:r>
          </w:p>
        </w:tc>
        <w:tc>
          <w:tcPr>
            <w:tcW w:w="713" w:type="pct"/>
            <w:tcBorders>
              <w:top w:val="single" w:sz="4" w:space="0" w:color="auto"/>
              <w:left w:val="nil"/>
              <w:bottom w:val="single" w:sz="4" w:space="0" w:color="auto"/>
              <w:right w:val="single" w:sz="4" w:space="0" w:color="auto"/>
            </w:tcBorders>
            <w:shd w:val="clear" w:color="000000" w:fill="EDEDED"/>
            <w:vAlign w:val="center"/>
            <w:hideMark/>
          </w:tcPr>
          <w:p w14:paraId="538863D3" w14:textId="77777777" w:rsidR="00072A69" w:rsidRPr="000050E5" w:rsidRDefault="00072A69" w:rsidP="00AC1F17">
            <w:pPr>
              <w:spacing w:after="0" w:line="240" w:lineRule="auto"/>
              <w:jc w:val="center"/>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Pogodbena vrednost</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326A66CD" w14:textId="77777777" w:rsidR="00072A69" w:rsidRPr="000050E5" w:rsidRDefault="00072A69" w:rsidP="00AC1F17">
            <w:pPr>
              <w:spacing w:after="0" w:line="240" w:lineRule="auto"/>
              <w:jc w:val="center"/>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Delež v št. postopkov</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36F69573" w14:textId="77777777" w:rsidR="00072A69" w:rsidRPr="000050E5" w:rsidRDefault="00072A69" w:rsidP="00AC1F17">
            <w:pPr>
              <w:spacing w:after="0" w:line="240" w:lineRule="auto"/>
              <w:jc w:val="center"/>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Delež v vrednosti</w:t>
            </w:r>
          </w:p>
        </w:tc>
      </w:tr>
      <w:tr w:rsidR="00072A69" w:rsidRPr="000050E5" w14:paraId="359AEE0D" w14:textId="77777777" w:rsidTr="00AC1F17">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47A1818A"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Splošno</w:t>
            </w:r>
          </w:p>
        </w:tc>
        <w:tc>
          <w:tcPr>
            <w:tcW w:w="2012" w:type="pct"/>
            <w:tcBorders>
              <w:top w:val="nil"/>
              <w:left w:val="nil"/>
              <w:bottom w:val="single" w:sz="4" w:space="0" w:color="auto"/>
              <w:right w:val="single" w:sz="4" w:space="0" w:color="auto"/>
            </w:tcBorders>
            <w:shd w:val="clear" w:color="auto" w:fill="auto"/>
            <w:vAlign w:val="center"/>
            <w:hideMark/>
          </w:tcPr>
          <w:p w14:paraId="19F36FC4"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2B136382"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5</w:t>
            </w:r>
          </w:p>
        </w:tc>
        <w:tc>
          <w:tcPr>
            <w:tcW w:w="713" w:type="pct"/>
            <w:tcBorders>
              <w:top w:val="nil"/>
              <w:left w:val="nil"/>
              <w:bottom w:val="single" w:sz="4" w:space="0" w:color="auto"/>
              <w:right w:val="single" w:sz="4" w:space="0" w:color="auto"/>
            </w:tcBorders>
            <w:shd w:val="clear" w:color="auto" w:fill="auto"/>
            <w:vAlign w:val="center"/>
            <w:hideMark/>
          </w:tcPr>
          <w:p w14:paraId="21DD39A3"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12.673.609</w:t>
            </w:r>
          </w:p>
        </w:tc>
        <w:tc>
          <w:tcPr>
            <w:tcW w:w="530" w:type="pct"/>
            <w:tcBorders>
              <w:top w:val="nil"/>
              <w:left w:val="nil"/>
              <w:bottom w:val="single" w:sz="4" w:space="0" w:color="auto"/>
              <w:right w:val="single" w:sz="4" w:space="0" w:color="auto"/>
            </w:tcBorders>
            <w:shd w:val="clear" w:color="auto" w:fill="auto"/>
            <w:noWrap/>
            <w:vAlign w:val="center"/>
            <w:hideMark/>
          </w:tcPr>
          <w:p w14:paraId="3EF8D9AA"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BC3121E"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0,56</w:t>
            </w:r>
            <w:r>
              <w:rPr>
                <w:rFonts w:ascii="Arial" w:eastAsia="Times New Roman" w:hAnsi="Arial" w:cs="Arial"/>
                <w:color w:val="000000"/>
                <w:sz w:val="18"/>
                <w:szCs w:val="18"/>
                <w:lang w:eastAsia="sl-SI"/>
              </w:rPr>
              <w:t xml:space="preserve"> %</w:t>
            </w:r>
          </w:p>
        </w:tc>
      </w:tr>
      <w:tr w:rsidR="00072A69" w:rsidRPr="000050E5" w14:paraId="6B85999B"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13AB4AF5"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2D675180"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6FAE73B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111</w:t>
            </w:r>
          </w:p>
        </w:tc>
        <w:tc>
          <w:tcPr>
            <w:tcW w:w="713" w:type="pct"/>
            <w:tcBorders>
              <w:top w:val="nil"/>
              <w:left w:val="nil"/>
              <w:bottom w:val="single" w:sz="4" w:space="0" w:color="auto"/>
              <w:right w:val="single" w:sz="4" w:space="0" w:color="auto"/>
            </w:tcBorders>
            <w:shd w:val="clear" w:color="auto" w:fill="auto"/>
            <w:vAlign w:val="center"/>
            <w:hideMark/>
          </w:tcPr>
          <w:p w14:paraId="12991F2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134.315.068</w:t>
            </w:r>
          </w:p>
        </w:tc>
        <w:tc>
          <w:tcPr>
            <w:tcW w:w="530" w:type="pct"/>
            <w:tcBorders>
              <w:top w:val="nil"/>
              <w:left w:val="nil"/>
              <w:bottom w:val="single" w:sz="4" w:space="0" w:color="auto"/>
              <w:right w:val="single" w:sz="4" w:space="0" w:color="auto"/>
            </w:tcBorders>
            <w:shd w:val="clear" w:color="auto" w:fill="auto"/>
            <w:noWrap/>
            <w:vAlign w:val="center"/>
            <w:hideMark/>
          </w:tcPr>
          <w:p w14:paraId="174BCF9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1,94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26799D6"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5,93</w:t>
            </w:r>
            <w:r>
              <w:rPr>
                <w:rFonts w:ascii="Arial" w:eastAsia="Times New Roman" w:hAnsi="Arial" w:cs="Arial"/>
                <w:color w:val="000000"/>
                <w:sz w:val="18"/>
                <w:szCs w:val="18"/>
                <w:lang w:eastAsia="sl-SI"/>
              </w:rPr>
              <w:t xml:space="preserve"> %</w:t>
            </w:r>
          </w:p>
        </w:tc>
      </w:tr>
      <w:tr w:rsidR="00072A69" w:rsidRPr="000050E5" w14:paraId="7CDF6476"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7F62BA9A"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099DAA59"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009CCA5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1.462</w:t>
            </w:r>
          </w:p>
        </w:tc>
        <w:tc>
          <w:tcPr>
            <w:tcW w:w="713" w:type="pct"/>
            <w:tcBorders>
              <w:top w:val="nil"/>
              <w:left w:val="nil"/>
              <w:bottom w:val="single" w:sz="4" w:space="0" w:color="auto"/>
              <w:right w:val="single" w:sz="4" w:space="0" w:color="auto"/>
            </w:tcBorders>
            <w:shd w:val="clear" w:color="auto" w:fill="auto"/>
            <w:vAlign w:val="center"/>
            <w:hideMark/>
          </w:tcPr>
          <w:p w14:paraId="1A0A1876"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1.555.164.910</w:t>
            </w:r>
          </w:p>
        </w:tc>
        <w:tc>
          <w:tcPr>
            <w:tcW w:w="530" w:type="pct"/>
            <w:tcBorders>
              <w:top w:val="nil"/>
              <w:left w:val="nil"/>
              <w:bottom w:val="single" w:sz="4" w:space="0" w:color="auto"/>
              <w:right w:val="single" w:sz="4" w:space="0" w:color="auto"/>
            </w:tcBorders>
            <w:shd w:val="clear" w:color="auto" w:fill="auto"/>
            <w:noWrap/>
            <w:vAlign w:val="center"/>
            <w:hideMark/>
          </w:tcPr>
          <w:p w14:paraId="10591F98"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25,55</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61DB61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68,72</w:t>
            </w:r>
            <w:r>
              <w:rPr>
                <w:rFonts w:ascii="Arial" w:eastAsia="Times New Roman" w:hAnsi="Arial" w:cs="Arial"/>
                <w:color w:val="000000"/>
                <w:sz w:val="18"/>
                <w:szCs w:val="18"/>
                <w:lang w:eastAsia="sl-SI"/>
              </w:rPr>
              <w:t xml:space="preserve"> %</w:t>
            </w:r>
          </w:p>
        </w:tc>
      </w:tr>
      <w:tr w:rsidR="00072A69" w:rsidRPr="000050E5" w14:paraId="346484F8"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211DEBC5"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13EAA36F"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Omejeni postopek</w:t>
            </w:r>
          </w:p>
        </w:tc>
        <w:tc>
          <w:tcPr>
            <w:tcW w:w="530" w:type="pct"/>
            <w:tcBorders>
              <w:top w:val="nil"/>
              <w:left w:val="nil"/>
              <w:bottom w:val="single" w:sz="4" w:space="0" w:color="auto"/>
              <w:right w:val="single" w:sz="4" w:space="0" w:color="auto"/>
            </w:tcBorders>
            <w:shd w:val="clear" w:color="auto" w:fill="auto"/>
            <w:vAlign w:val="center"/>
            <w:hideMark/>
          </w:tcPr>
          <w:p w14:paraId="2B8C9C03"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15</w:t>
            </w:r>
          </w:p>
        </w:tc>
        <w:tc>
          <w:tcPr>
            <w:tcW w:w="713" w:type="pct"/>
            <w:tcBorders>
              <w:top w:val="nil"/>
              <w:left w:val="nil"/>
              <w:bottom w:val="single" w:sz="4" w:space="0" w:color="auto"/>
              <w:right w:val="single" w:sz="4" w:space="0" w:color="auto"/>
            </w:tcBorders>
            <w:shd w:val="clear" w:color="auto" w:fill="auto"/>
            <w:vAlign w:val="center"/>
            <w:hideMark/>
          </w:tcPr>
          <w:p w14:paraId="4C49EBE4"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20.084.882</w:t>
            </w:r>
          </w:p>
        </w:tc>
        <w:tc>
          <w:tcPr>
            <w:tcW w:w="530" w:type="pct"/>
            <w:tcBorders>
              <w:top w:val="nil"/>
              <w:left w:val="nil"/>
              <w:bottom w:val="single" w:sz="4" w:space="0" w:color="auto"/>
              <w:right w:val="single" w:sz="4" w:space="0" w:color="auto"/>
            </w:tcBorders>
            <w:shd w:val="clear" w:color="auto" w:fill="auto"/>
            <w:noWrap/>
            <w:vAlign w:val="center"/>
            <w:hideMark/>
          </w:tcPr>
          <w:p w14:paraId="4AEB6AA3"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466BCC4"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0,89</w:t>
            </w:r>
            <w:r>
              <w:rPr>
                <w:rFonts w:ascii="Arial" w:eastAsia="Times New Roman" w:hAnsi="Arial" w:cs="Arial"/>
                <w:color w:val="000000"/>
                <w:sz w:val="18"/>
                <w:szCs w:val="18"/>
                <w:lang w:eastAsia="sl-SI"/>
              </w:rPr>
              <w:t xml:space="preserve"> %</w:t>
            </w:r>
          </w:p>
        </w:tc>
      </w:tr>
      <w:tr w:rsidR="00072A69" w:rsidRPr="000050E5" w14:paraId="28ADDDC6"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0F4DE8CD"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3AE8B79F"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0CD91C9E"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3.627</w:t>
            </w:r>
          </w:p>
        </w:tc>
        <w:tc>
          <w:tcPr>
            <w:tcW w:w="713" w:type="pct"/>
            <w:tcBorders>
              <w:top w:val="nil"/>
              <w:left w:val="nil"/>
              <w:bottom w:val="single" w:sz="4" w:space="0" w:color="auto"/>
              <w:right w:val="single" w:sz="4" w:space="0" w:color="auto"/>
            </w:tcBorders>
            <w:shd w:val="clear" w:color="auto" w:fill="auto"/>
            <w:vAlign w:val="center"/>
            <w:hideMark/>
          </w:tcPr>
          <w:p w14:paraId="002B825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354.745.042</w:t>
            </w:r>
          </w:p>
        </w:tc>
        <w:tc>
          <w:tcPr>
            <w:tcW w:w="530" w:type="pct"/>
            <w:tcBorders>
              <w:top w:val="nil"/>
              <w:left w:val="nil"/>
              <w:bottom w:val="single" w:sz="4" w:space="0" w:color="auto"/>
              <w:right w:val="single" w:sz="4" w:space="0" w:color="auto"/>
            </w:tcBorders>
            <w:shd w:val="clear" w:color="auto" w:fill="auto"/>
            <w:noWrap/>
            <w:vAlign w:val="center"/>
            <w:hideMark/>
          </w:tcPr>
          <w:p w14:paraId="2032F149"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63,38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D5F362A"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15,67</w:t>
            </w:r>
            <w:r>
              <w:rPr>
                <w:rFonts w:ascii="Arial" w:eastAsia="Times New Roman" w:hAnsi="Arial" w:cs="Arial"/>
                <w:color w:val="000000"/>
                <w:sz w:val="18"/>
                <w:szCs w:val="18"/>
                <w:lang w:eastAsia="sl-SI"/>
              </w:rPr>
              <w:t xml:space="preserve"> %</w:t>
            </w:r>
          </w:p>
        </w:tc>
      </w:tr>
      <w:tr w:rsidR="00072A69" w:rsidRPr="000050E5" w14:paraId="2CF8C7F9"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3121B9B7"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75DE7193"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71B81B45"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503</w:t>
            </w:r>
          </w:p>
        </w:tc>
        <w:tc>
          <w:tcPr>
            <w:tcW w:w="713" w:type="pct"/>
            <w:tcBorders>
              <w:top w:val="nil"/>
              <w:left w:val="nil"/>
              <w:bottom w:val="single" w:sz="4" w:space="0" w:color="auto"/>
              <w:right w:val="single" w:sz="4" w:space="0" w:color="auto"/>
            </w:tcBorders>
            <w:shd w:val="clear" w:color="auto" w:fill="auto"/>
            <w:vAlign w:val="center"/>
            <w:hideMark/>
          </w:tcPr>
          <w:p w14:paraId="3EFB2479"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186.224.134</w:t>
            </w:r>
          </w:p>
        </w:tc>
        <w:tc>
          <w:tcPr>
            <w:tcW w:w="530" w:type="pct"/>
            <w:tcBorders>
              <w:top w:val="nil"/>
              <w:left w:val="nil"/>
              <w:bottom w:val="single" w:sz="4" w:space="0" w:color="auto"/>
              <w:right w:val="single" w:sz="4" w:space="0" w:color="auto"/>
            </w:tcBorders>
            <w:shd w:val="clear" w:color="auto" w:fill="auto"/>
            <w:noWrap/>
            <w:vAlign w:val="center"/>
            <w:hideMark/>
          </w:tcPr>
          <w:p w14:paraId="43B2F9EB"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8,79</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42A7C8B"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8,23</w:t>
            </w:r>
            <w:r>
              <w:rPr>
                <w:rFonts w:ascii="Arial" w:eastAsia="Times New Roman" w:hAnsi="Arial" w:cs="Arial"/>
                <w:color w:val="000000"/>
                <w:sz w:val="18"/>
                <w:szCs w:val="18"/>
                <w:lang w:eastAsia="sl-SI"/>
              </w:rPr>
              <w:t xml:space="preserve"> %</w:t>
            </w:r>
          </w:p>
        </w:tc>
      </w:tr>
      <w:tr w:rsidR="00072A69" w:rsidRPr="000050E5" w14:paraId="08435A5C"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5F1C6F60"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60E9A07F" w14:textId="77777777" w:rsidR="00072A69" w:rsidRPr="000050E5" w:rsidRDefault="00072A69" w:rsidP="00AC1F17">
            <w:pPr>
              <w:spacing w:after="0" w:line="240" w:lineRule="auto"/>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vAlign w:val="center"/>
            <w:hideMark/>
          </w:tcPr>
          <w:p w14:paraId="7DBF142E"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5.723</w:t>
            </w:r>
          </w:p>
        </w:tc>
        <w:tc>
          <w:tcPr>
            <w:tcW w:w="713" w:type="pct"/>
            <w:tcBorders>
              <w:top w:val="nil"/>
              <w:left w:val="nil"/>
              <w:bottom w:val="single" w:sz="4" w:space="0" w:color="auto"/>
              <w:right w:val="single" w:sz="4" w:space="0" w:color="auto"/>
            </w:tcBorders>
            <w:shd w:val="clear" w:color="auto" w:fill="auto"/>
            <w:vAlign w:val="center"/>
            <w:hideMark/>
          </w:tcPr>
          <w:p w14:paraId="26762611"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2.263.207.645</w:t>
            </w:r>
          </w:p>
        </w:tc>
        <w:tc>
          <w:tcPr>
            <w:tcW w:w="530" w:type="pct"/>
            <w:tcBorders>
              <w:top w:val="nil"/>
              <w:left w:val="nil"/>
              <w:bottom w:val="single" w:sz="4" w:space="0" w:color="auto"/>
              <w:right w:val="single" w:sz="4" w:space="0" w:color="auto"/>
            </w:tcBorders>
            <w:shd w:val="clear" w:color="auto" w:fill="auto"/>
            <w:noWrap/>
            <w:vAlign w:val="center"/>
            <w:hideMark/>
          </w:tcPr>
          <w:p w14:paraId="1D9F2FAC"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EF4969F"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0050E5" w14:paraId="2A318736" w14:textId="77777777" w:rsidTr="00AC1F17">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1AEE33FF"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Infrastrukturno</w:t>
            </w:r>
          </w:p>
        </w:tc>
        <w:tc>
          <w:tcPr>
            <w:tcW w:w="2012" w:type="pct"/>
            <w:tcBorders>
              <w:top w:val="nil"/>
              <w:left w:val="nil"/>
              <w:bottom w:val="single" w:sz="4" w:space="0" w:color="auto"/>
              <w:right w:val="single" w:sz="4" w:space="0" w:color="auto"/>
            </w:tcBorders>
            <w:shd w:val="clear" w:color="auto" w:fill="auto"/>
            <w:vAlign w:val="center"/>
            <w:hideMark/>
          </w:tcPr>
          <w:p w14:paraId="3F4D766F"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19C54E0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146</w:t>
            </w:r>
          </w:p>
        </w:tc>
        <w:tc>
          <w:tcPr>
            <w:tcW w:w="713" w:type="pct"/>
            <w:tcBorders>
              <w:top w:val="nil"/>
              <w:left w:val="nil"/>
              <w:bottom w:val="single" w:sz="4" w:space="0" w:color="auto"/>
              <w:right w:val="single" w:sz="4" w:space="0" w:color="auto"/>
            </w:tcBorders>
            <w:shd w:val="clear" w:color="auto" w:fill="auto"/>
            <w:vAlign w:val="center"/>
            <w:hideMark/>
          </w:tcPr>
          <w:p w14:paraId="414F23E1"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221.956.238</w:t>
            </w:r>
          </w:p>
        </w:tc>
        <w:tc>
          <w:tcPr>
            <w:tcW w:w="530" w:type="pct"/>
            <w:tcBorders>
              <w:top w:val="nil"/>
              <w:left w:val="nil"/>
              <w:bottom w:val="single" w:sz="4" w:space="0" w:color="auto"/>
              <w:right w:val="single" w:sz="4" w:space="0" w:color="auto"/>
            </w:tcBorders>
            <w:shd w:val="clear" w:color="auto" w:fill="auto"/>
            <w:noWrap/>
            <w:vAlign w:val="center"/>
            <w:hideMark/>
          </w:tcPr>
          <w:p w14:paraId="14205791"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15,34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37CC0D93"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37,66</w:t>
            </w:r>
            <w:r>
              <w:rPr>
                <w:rFonts w:ascii="Arial" w:eastAsia="Times New Roman" w:hAnsi="Arial" w:cs="Arial"/>
                <w:color w:val="000000"/>
                <w:sz w:val="18"/>
                <w:szCs w:val="18"/>
                <w:lang w:eastAsia="sl-SI"/>
              </w:rPr>
              <w:t xml:space="preserve"> %</w:t>
            </w:r>
          </w:p>
        </w:tc>
      </w:tr>
      <w:tr w:rsidR="00072A69" w:rsidRPr="000050E5" w14:paraId="38A6046E"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491CEF0B"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760B5D52"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2D081B4F"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512</w:t>
            </w:r>
          </w:p>
        </w:tc>
        <w:tc>
          <w:tcPr>
            <w:tcW w:w="713" w:type="pct"/>
            <w:tcBorders>
              <w:top w:val="nil"/>
              <w:left w:val="nil"/>
              <w:bottom w:val="single" w:sz="4" w:space="0" w:color="auto"/>
              <w:right w:val="single" w:sz="4" w:space="0" w:color="auto"/>
            </w:tcBorders>
            <w:shd w:val="clear" w:color="auto" w:fill="auto"/>
            <w:vAlign w:val="center"/>
            <w:hideMark/>
          </w:tcPr>
          <w:p w14:paraId="2B0C7DBE"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101.041.089</w:t>
            </w:r>
          </w:p>
        </w:tc>
        <w:tc>
          <w:tcPr>
            <w:tcW w:w="530" w:type="pct"/>
            <w:tcBorders>
              <w:top w:val="nil"/>
              <w:left w:val="nil"/>
              <w:bottom w:val="single" w:sz="4" w:space="0" w:color="auto"/>
              <w:right w:val="single" w:sz="4" w:space="0" w:color="auto"/>
            </w:tcBorders>
            <w:shd w:val="clear" w:color="auto" w:fill="auto"/>
            <w:noWrap/>
            <w:vAlign w:val="center"/>
            <w:hideMark/>
          </w:tcPr>
          <w:p w14:paraId="1940A5E9"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53,78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029A4D9"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17,14</w:t>
            </w:r>
            <w:r>
              <w:rPr>
                <w:rFonts w:ascii="Arial" w:eastAsia="Times New Roman" w:hAnsi="Arial" w:cs="Arial"/>
                <w:color w:val="000000"/>
                <w:sz w:val="18"/>
                <w:szCs w:val="18"/>
                <w:lang w:eastAsia="sl-SI"/>
              </w:rPr>
              <w:t xml:space="preserve"> %</w:t>
            </w:r>
          </w:p>
        </w:tc>
      </w:tr>
      <w:tr w:rsidR="00072A69" w:rsidRPr="000050E5" w14:paraId="14F3404B"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5404C381"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55CD1A02"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386B9904"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201</w:t>
            </w:r>
          </w:p>
        </w:tc>
        <w:tc>
          <w:tcPr>
            <w:tcW w:w="713" w:type="pct"/>
            <w:tcBorders>
              <w:top w:val="nil"/>
              <w:left w:val="nil"/>
              <w:bottom w:val="single" w:sz="4" w:space="0" w:color="auto"/>
              <w:right w:val="single" w:sz="4" w:space="0" w:color="auto"/>
            </w:tcBorders>
            <w:shd w:val="clear" w:color="auto" w:fill="auto"/>
            <w:vAlign w:val="center"/>
            <w:hideMark/>
          </w:tcPr>
          <w:p w14:paraId="12DA0393"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104.736.614</w:t>
            </w:r>
          </w:p>
        </w:tc>
        <w:tc>
          <w:tcPr>
            <w:tcW w:w="530" w:type="pct"/>
            <w:tcBorders>
              <w:top w:val="nil"/>
              <w:left w:val="nil"/>
              <w:bottom w:val="single" w:sz="4" w:space="0" w:color="auto"/>
              <w:right w:val="single" w:sz="4" w:space="0" w:color="auto"/>
            </w:tcBorders>
            <w:shd w:val="clear" w:color="auto" w:fill="auto"/>
            <w:noWrap/>
            <w:vAlign w:val="center"/>
            <w:hideMark/>
          </w:tcPr>
          <w:p w14:paraId="50C7DF11"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21,11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EC55FA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17,77</w:t>
            </w:r>
            <w:r>
              <w:rPr>
                <w:rFonts w:ascii="Arial" w:eastAsia="Times New Roman" w:hAnsi="Arial" w:cs="Arial"/>
                <w:color w:val="000000"/>
                <w:sz w:val="18"/>
                <w:szCs w:val="18"/>
                <w:lang w:eastAsia="sl-SI"/>
              </w:rPr>
              <w:t xml:space="preserve"> %</w:t>
            </w:r>
          </w:p>
        </w:tc>
      </w:tr>
      <w:tr w:rsidR="00072A69" w:rsidRPr="000050E5" w14:paraId="601B651A"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52F640AE"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4C1C3F55"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s pogajanji s predhodnim javnim razpisom</w:t>
            </w:r>
          </w:p>
        </w:tc>
        <w:tc>
          <w:tcPr>
            <w:tcW w:w="530" w:type="pct"/>
            <w:tcBorders>
              <w:top w:val="nil"/>
              <w:left w:val="nil"/>
              <w:bottom w:val="single" w:sz="4" w:space="0" w:color="auto"/>
              <w:right w:val="single" w:sz="4" w:space="0" w:color="auto"/>
            </w:tcBorders>
            <w:shd w:val="clear" w:color="auto" w:fill="auto"/>
            <w:vAlign w:val="center"/>
            <w:hideMark/>
          </w:tcPr>
          <w:p w14:paraId="72B67DD6"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93</w:t>
            </w:r>
          </w:p>
        </w:tc>
        <w:tc>
          <w:tcPr>
            <w:tcW w:w="713" w:type="pct"/>
            <w:tcBorders>
              <w:top w:val="nil"/>
              <w:left w:val="nil"/>
              <w:bottom w:val="single" w:sz="4" w:space="0" w:color="auto"/>
              <w:right w:val="single" w:sz="4" w:space="0" w:color="auto"/>
            </w:tcBorders>
            <w:shd w:val="clear" w:color="auto" w:fill="auto"/>
            <w:vAlign w:val="center"/>
            <w:hideMark/>
          </w:tcPr>
          <w:p w14:paraId="5E06726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161.616.351</w:t>
            </w:r>
          </w:p>
        </w:tc>
        <w:tc>
          <w:tcPr>
            <w:tcW w:w="530" w:type="pct"/>
            <w:tcBorders>
              <w:top w:val="nil"/>
              <w:left w:val="nil"/>
              <w:bottom w:val="single" w:sz="4" w:space="0" w:color="auto"/>
              <w:right w:val="single" w:sz="4" w:space="0" w:color="auto"/>
            </w:tcBorders>
            <w:shd w:val="clear" w:color="auto" w:fill="auto"/>
            <w:noWrap/>
            <w:vAlign w:val="center"/>
            <w:hideMark/>
          </w:tcPr>
          <w:p w14:paraId="385FB668"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9,77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AE5773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27,42</w:t>
            </w:r>
            <w:r>
              <w:rPr>
                <w:rFonts w:ascii="Arial" w:eastAsia="Times New Roman" w:hAnsi="Arial" w:cs="Arial"/>
                <w:color w:val="000000"/>
                <w:sz w:val="18"/>
                <w:szCs w:val="18"/>
                <w:lang w:eastAsia="sl-SI"/>
              </w:rPr>
              <w:t xml:space="preserve"> %</w:t>
            </w:r>
          </w:p>
        </w:tc>
      </w:tr>
      <w:tr w:rsidR="00072A69" w:rsidRPr="000050E5" w14:paraId="40AD97DF"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16027469"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77388B13" w14:textId="77777777" w:rsidR="00072A69" w:rsidRPr="000050E5" w:rsidRDefault="00072A69" w:rsidP="00AC1F17">
            <w:pPr>
              <w:spacing w:after="0" w:line="240" w:lineRule="auto"/>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vAlign w:val="center"/>
            <w:hideMark/>
          </w:tcPr>
          <w:p w14:paraId="4F3C5B2D"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952</w:t>
            </w:r>
          </w:p>
        </w:tc>
        <w:tc>
          <w:tcPr>
            <w:tcW w:w="713" w:type="pct"/>
            <w:tcBorders>
              <w:top w:val="nil"/>
              <w:left w:val="nil"/>
              <w:bottom w:val="single" w:sz="4" w:space="0" w:color="auto"/>
              <w:right w:val="single" w:sz="4" w:space="0" w:color="auto"/>
            </w:tcBorders>
            <w:shd w:val="clear" w:color="auto" w:fill="auto"/>
            <w:vAlign w:val="center"/>
            <w:hideMark/>
          </w:tcPr>
          <w:p w14:paraId="5982B02D"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589.350.292</w:t>
            </w:r>
          </w:p>
        </w:tc>
        <w:tc>
          <w:tcPr>
            <w:tcW w:w="530" w:type="pct"/>
            <w:tcBorders>
              <w:top w:val="nil"/>
              <w:left w:val="nil"/>
              <w:bottom w:val="single" w:sz="4" w:space="0" w:color="auto"/>
              <w:right w:val="single" w:sz="4" w:space="0" w:color="auto"/>
            </w:tcBorders>
            <w:shd w:val="clear" w:color="auto" w:fill="auto"/>
            <w:noWrap/>
            <w:vAlign w:val="center"/>
            <w:hideMark/>
          </w:tcPr>
          <w:p w14:paraId="05AD9E98"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0A9E470"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0050E5" w14:paraId="0FCA7678" w14:textId="77777777" w:rsidTr="00AC1F17">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5EA8112A"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Obrambno</w:t>
            </w:r>
          </w:p>
        </w:tc>
        <w:tc>
          <w:tcPr>
            <w:tcW w:w="2012" w:type="pct"/>
            <w:tcBorders>
              <w:top w:val="nil"/>
              <w:left w:val="nil"/>
              <w:bottom w:val="single" w:sz="4" w:space="0" w:color="auto"/>
              <w:right w:val="single" w:sz="4" w:space="0" w:color="auto"/>
            </w:tcBorders>
            <w:shd w:val="clear" w:color="auto" w:fill="auto"/>
            <w:vAlign w:val="center"/>
            <w:hideMark/>
          </w:tcPr>
          <w:p w14:paraId="70A75936"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5F166E77"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38</w:t>
            </w:r>
          </w:p>
        </w:tc>
        <w:tc>
          <w:tcPr>
            <w:tcW w:w="713" w:type="pct"/>
            <w:tcBorders>
              <w:top w:val="nil"/>
              <w:left w:val="nil"/>
              <w:bottom w:val="single" w:sz="4" w:space="0" w:color="auto"/>
              <w:right w:val="single" w:sz="4" w:space="0" w:color="auto"/>
            </w:tcBorders>
            <w:shd w:val="clear" w:color="auto" w:fill="auto"/>
            <w:vAlign w:val="center"/>
            <w:hideMark/>
          </w:tcPr>
          <w:p w14:paraId="7A98C33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18.270.138</w:t>
            </w:r>
          </w:p>
        </w:tc>
        <w:tc>
          <w:tcPr>
            <w:tcW w:w="530" w:type="pct"/>
            <w:tcBorders>
              <w:top w:val="nil"/>
              <w:left w:val="nil"/>
              <w:bottom w:val="single" w:sz="4" w:space="0" w:color="auto"/>
              <w:right w:val="single" w:sz="4" w:space="0" w:color="auto"/>
            </w:tcBorders>
            <w:shd w:val="clear" w:color="auto" w:fill="auto"/>
            <w:noWrap/>
            <w:vAlign w:val="center"/>
            <w:hideMark/>
          </w:tcPr>
          <w:p w14:paraId="51850139"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59,38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68CBA0D"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27,67</w:t>
            </w:r>
            <w:r>
              <w:rPr>
                <w:rFonts w:ascii="Arial" w:eastAsia="Times New Roman" w:hAnsi="Arial" w:cs="Arial"/>
                <w:color w:val="000000"/>
                <w:sz w:val="18"/>
                <w:szCs w:val="18"/>
                <w:lang w:eastAsia="sl-SI"/>
              </w:rPr>
              <w:t xml:space="preserve"> %</w:t>
            </w:r>
          </w:p>
        </w:tc>
      </w:tr>
      <w:tr w:rsidR="00072A69" w:rsidRPr="000050E5" w14:paraId="6F6A59FF"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652F82E1"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6ABCCECC"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s pogajanji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685658E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13</w:t>
            </w:r>
          </w:p>
        </w:tc>
        <w:tc>
          <w:tcPr>
            <w:tcW w:w="713" w:type="pct"/>
            <w:tcBorders>
              <w:top w:val="nil"/>
              <w:left w:val="nil"/>
              <w:bottom w:val="single" w:sz="4" w:space="0" w:color="auto"/>
              <w:right w:val="single" w:sz="4" w:space="0" w:color="auto"/>
            </w:tcBorders>
            <w:shd w:val="clear" w:color="auto" w:fill="auto"/>
            <w:vAlign w:val="center"/>
            <w:hideMark/>
          </w:tcPr>
          <w:p w14:paraId="539C7160"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46.140.712</w:t>
            </w:r>
          </w:p>
        </w:tc>
        <w:tc>
          <w:tcPr>
            <w:tcW w:w="530" w:type="pct"/>
            <w:tcBorders>
              <w:top w:val="nil"/>
              <w:left w:val="nil"/>
              <w:bottom w:val="single" w:sz="4" w:space="0" w:color="auto"/>
              <w:right w:val="single" w:sz="4" w:space="0" w:color="auto"/>
            </w:tcBorders>
            <w:shd w:val="clear" w:color="auto" w:fill="auto"/>
            <w:noWrap/>
            <w:vAlign w:val="center"/>
            <w:hideMark/>
          </w:tcPr>
          <w:p w14:paraId="33B64E36"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20,31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3E33B64"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69,87</w:t>
            </w:r>
            <w:r>
              <w:rPr>
                <w:rFonts w:ascii="Arial" w:eastAsia="Times New Roman" w:hAnsi="Arial" w:cs="Arial"/>
                <w:color w:val="000000"/>
                <w:sz w:val="18"/>
                <w:szCs w:val="18"/>
                <w:lang w:eastAsia="sl-SI"/>
              </w:rPr>
              <w:t xml:space="preserve"> %</w:t>
            </w:r>
          </w:p>
        </w:tc>
      </w:tr>
      <w:tr w:rsidR="00072A69" w:rsidRPr="000050E5" w14:paraId="0800EA9F"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5E0B706A"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77E4782F" w14:textId="77777777" w:rsidR="00072A69" w:rsidRPr="000050E5" w:rsidRDefault="00072A69" w:rsidP="00AC1F17">
            <w:pPr>
              <w:spacing w:after="0" w:line="240" w:lineRule="auto"/>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Postopek zbiranja ponudb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12E38F93"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13</w:t>
            </w:r>
          </w:p>
        </w:tc>
        <w:tc>
          <w:tcPr>
            <w:tcW w:w="713" w:type="pct"/>
            <w:tcBorders>
              <w:top w:val="nil"/>
              <w:left w:val="nil"/>
              <w:bottom w:val="single" w:sz="4" w:space="0" w:color="auto"/>
              <w:right w:val="single" w:sz="4" w:space="0" w:color="auto"/>
            </w:tcBorders>
            <w:shd w:val="clear" w:color="auto" w:fill="auto"/>
            <w:vAlign w:val="center"/>
            <w:hideMark/>
          </w:tcPr>
          <w:p w14:paraId="3F07AE7A"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1.625.822</w:t>
            </w:r>
          </w:p>
        </w:tc>
        <w:tc>
          <w:tcPr>
            <w:tcW w:w="530" w:type="pct"/>
            <w:tcBorders>
              <w:top w:val="nil"/>
              <w:left w:val="nil"/>
              <w:bottom w:val="single" w:sz="4" w:space="0" w:color="auto"/>
              <w:right w:val="single" w:sz="4" w:space="0" w:color="auto"/>
            </w:tcBorders>
            <w:shd w:val="clear" w:color="auto" w:fill="auto"/>
            <w:noWrap/>
            <w:vAlign w:val="center"/>
            <w:hideMark/>
          </w:tcPr>
          <w:p w14:paraId="24BD6161"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20,31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04D7EAA" w14:textId="77777777" w:rsidR="00072A69" w:rsidRPr="000050E5" w:rsidRDefault="00072A69" w:rsidP="00AC1F17">
            <w:pPr>
              <w:spacing w:after="0" w:line="240" w:lineRule="auto"/>
              <w:jc w:val="right"/>
              <w:rPr>
                <w:rFonts w:ascii="Arial" w:eastAsia="Times New Roman" w:hAnsi="Arial" w:cs="Arial"/>
                <w:color w:val="000000"/>
                <w:sz w:val="18"/>
                <w:szCs w:val="18"/>
                <w:lang w:eastAsia="sl-SI"/>
              </w:rPr>
            </w:pPr>
            <w:r w:rsidRPr="000050E5">
              <w:rPr>
                <w:rFonts w:ascii="Arial" w:eastAsia="Times New Roman" w:hAnsi="Arial" w:cs="Arial"/>
                <w:color w:val="000000"/>
                <w:sz w:val="18"/>
                <w:szCs w:val="18"/>
                <w:lang w:eastAsia="sl-SI"/>
              </w:rPr>
              <w:t>2,46</w:t>
            </w:r>
            <w:r>
              <w:rPr>
                <w:rFonts w:ascii="Arial" w:eastAsia="Times New Roman" w:hAnsi="Arial" w:cs="Arial"/>
                <w:color w:val="000000"/>
                <w:sz w:val="18"/>
                <w:szCs w:val="18"/>
                <w:lang w:eastAsia="sl-SI"/>
              </w:rPr>
              <w:t xml:space="preserve"> %</w:t>
            </w:r>
          </w:p>
        </w:tc>
      </w:tr>
      <w:tr w:rsidR="00072A69" w:rsidRPr="000050E5" w14:paraId="52554760"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26358558" w14:textId="77777777" w:rsidR="00072A69" w:rsidRPr="000050E5" w:rsidRDefault="00072A69" w:rsidP="00AC1F17">
            <w:pPr>
              <w:spacing w:after="0" w:line="240" w:lineRule="auto"/>
              <w:rPr>
                <w:rFonts w:ascii="Arial" w:eastAsia="Times New Roman" w:hAnsi="Arial" w:cs="Arial"/>
                <w:color w:val="000000"/>
                <w:sz w:val="18"/>
                <w:szCs w:val="18"/>
                <w:lang w:eastAsia="sl-SI"/>
              </w:rPr>
            </w:pPr>
          </w:p>
        </w:tc>
        <w:tc>
          <w:tcPr>
            <w:tcW w:w="2012" w:type="pct"/>
            <w:tcBorders>
              <w:top w:val="nil"/>
              <w:left w:val="nil"/>
              <w:bottom w:val="single" w:sz="4" w:space="0" w:color="auto"/>
              <w:right w:val="single" w:sz="4" w:space="0" w:color="auto"/>
            </w:tcBorders>
            <w:shd w:val="clear" w:color="auto" w:fill="auto"/>
            <w:vAlign w:val="center"/>
            <w:hideMark/>
          </w:tcPr>
          <w:p w14:paraId="6E49418E" w14:textId="77777777" w:rsidR="00072A69" w:rsidRPr="000050E5" w:rsidRDefault="00072A69" w:rsidP="00AC1F17">
            <w:pPr>
              <w:spacing w:after="0" w:line="240" w:lineRule="auto"/>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noWrap/>
            <w:vAlign w:val="center"/>
            <w:hideMark/>
          </w:tcPr>
          <w:p w14:paraId="0B64D475"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64</w:t>
            </w:r>
          </w:p>
        </w:tc>
        <w:tc>
          <w:tcPr>
            <w:tcW w:w="713" w:type="pct"/>
            <w:tcBorders>
              <w:top w:val="nil"/>
              <w:left w:val="nil"/>
              <w:bottom w:val="single" w:sz="4" w:space="0" w:color="auto"/>
              <w:right w:val="single" w:sz="4" w:space="0" w:color="auto"/>
            </w:tcBorders>
            <w:shd w:val="clear" w:color="auto" w:fill="auto"/>
            <w:noWrap/>
            <w:vAlign w:val="center"/>
            <w:hideMark/>
          </w:tcPr>
          <w:p w14:paraId="36374753"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66.036.672</w:t>
            </w:r>
          </w:p>
        </w:tc>
        <w:tc>
          <w:tcPr>
            <w:tcW w:w="530" w:type="pct"/>
            <w:tcBorders>
              <w:top w:val="nil"/>
              <w:left w:val="nil"/>
              <w:bottom w:val="single" w:sz="4" w:space="0" w:color="auto"/>
              <w:right w:val="single" w:sz="4" w:space="0" w:color="auto"/>
            </w:tcBorders>
            <w:shd w:val="clear" w:color="auto" w:fill="auto"/>
            <w:noWrap/>
            <w:vAlign w:val="center"/>
            <w:hideMark/>
          </w:tcPr>
          <w:p w14:paraId="01B80530"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BABA13D"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0050E5" w14:paraId="3C6A4ED4" w14:textId="77777777" w:rsidTr="00AC1F17">
        <w:trPr>
          <w:gridAfter w:val="2"/>
          <w:wAfter w:w="1027" w:type="pct"/>
          <w:trHeight w:val="300"/>
        </w:trPr>
        <w:tc>
          <w:tcPr>
            <w:tcW w:w="718" w:type="pct"/>
            <w:tcBorders>
              <w:top w:val="nil"/>
              <w:left w:val="single" w:sz="4" w:space="0" w:color="auto"/>
              <w:bottom w:val="single" w:sz="4" w:space="0" w:color="auto"/>
              <w:right w:val="single" w:sz="4" w:space="0" w:color="auto"/>
            </w:tcBorders>
            <w:shd w:val="clear" w:color="auto" w:fill="E7E6E6" w:themeFill="background2"/>
            <w:vAlign w:val="center"/>
            <w:hideMark/>
          </w:tcPr>
          <w:p w14:paraId="2CA010C6" w14:textId="77777777" w:rsidR="00072A69" w:rsidRPr="000050E5" w:rsidRDefault="00072A69" w:rsidP="00AC1F17">
            <w:pPr>
              <w:spacing w:after="0" w:line="240" w:lineRule="auto"/>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Skupaj</w:t>
            </w:r>
          </w:p>
        </w:tc>
        <w:tc>
          <w:tcPr>
            <w:tcW w:w="2012" w:type="pct"/>
            <w:tcBorders>
              <w:top w:val="nil"/>
              <w:left w:val="nil"/>
              <w:bottom w:val="single" w:sz="4" w:space="0" w:color="auto"/>
              <w:right w:val="single" w:sz="4" w:space="0" w:color="auto"/>
            </w:tcBorders>
            <w:shd w:val="clear" w:color="auto" w:fill="E7E6E6" w:themeFill="background2"/>
            <w:noWrap/>
            <w:vAlign w:val="center"/>
            <w:hideMark/>
          </w:tcPr>
          <w:p w14:paraId="13B03D7F" w14:textId="77777777" w:rsidR="00072A69" w:rsidRPr="000050E5" w:rsidRDefault="00072A69" w:rsidP="00AC1F17">
            <w:pPr>
              <w:spacing w:after="0" w:line="240" w:lineRule="auto"/>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 </w:t>
            </w:r>
          </w:p>
        </w:tc>
        <w:tc>
          <w:tcPr>
            <w:tcW w:w="530" w:type="pct"/>
            <w:tcBorders>
              <w:top w:val="nil"/>
              <w:left w:val="nil"/>
              <w:bottom w:val="single" w:sz="4" w:space="0" w:color="auto"/>
              <w:right w:val="single" w:sz="4" w:space="0" w:color="auto"/>
            </w:tcBorders>
            <w:shd w:val="clear" w:color="auto" w:fill="E7E6E6" w:themeFill="background2"/>
            <w:noWrap/>
            <w:vAlign w:val="center"/>
            <w:hideMark/>
          </w:tcPr>
          <w:p w14:paraId="6B33E223"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6.739</w:t>
            </w:r>
          </w:p>
        </w:tc>
        <w:tc>
          <w:tcPr>
            <w:tcW w:w="713" w:type="pct"/>
            <w:tcBorders>
              <w:top w:val="nil"/>
              <w:left w:val="nil"/>
              <w:bottom w:val="single" w:sz="4" w:space="0" w:color="auto"/>
              <w:right w:val="single" w:sz="4" w:space="0" w:color="auto"/>
            </w:tcBorders>
            <w:shd w:val="clear" w:color="auto" w:fill="E7E6E6" w:themeFill="background2"/>
            <w:noWrap/>
            <w:vAlign w:val="center"/>
            <w:hideMark/>
          </w:tcPr>
          <w:p w14:paraId="407750FA" w14:textId="77777777" w:rsidR="00072A69" w:rsidRPr="000050E5" w:rsidRDefault="00072A69" w:rsidP="00AC1F17">
            <w:pPr>
              <w:spacing w:after="0" w:line="240" w:lineRule="auto"/>
              <w:jc w:val="right"/>
              <w:rPr>
                <w:rFonts w:ascii="Arial" w:eastAsia="Times New Roman" w:hAnsi="Arial" w:cs="Arial"/>
                <w:b/>
                <w:bCs/>
                <w:color w:val="000000"/>
                <w:sz w:val="18"/>
                <w:szCs w:val="18"/>
                <w:lang w:eastAsia="sl-SI"/>
              </w:rPr>
            </w:pPr>
            <w:r w:rsidRPr="000050E5">
              <w:rPr>
                <w:rFonts w:ascii="Arial" w:eastAsia="Times New Roman" w:hAnsi="Arial" w:cs="Arial"/>
                <w:b/>
                <w:bCs/>
                <w:color w:val="000000"/>
                <w:sz w:val="18"/>
                <w:szCs w:val="18"/>
                <w:lang w:eastAsia="sl-SI"/>
              </w:rPr>
              <w:t>2.918.594.609</w:t>
            </w:r>
          </w:p>
        </w:tc>
      </w:tr>
    </w:tbl>
    <w:p w14:paraId="555EE3D8" w14:textId="77777777" w:rsidR="00072A69" w:rsidRPr="00EF2D0B" w:rsidRDefault="00072A69" w:rsidP="00072A69">
      <w:pPr>
        <w:pStyle w:val="ZADEVA"/>
        <w:jc w:val="both"/>
        <w:rPr>
          <w:rFonts w:cs="Arial"/>
          <w:b w:val="0"/>
          <w:szCs w:val="20"/>
          <w:highlight w:val="yellow"/>
          <w:lang w:val="sl-SI"/>
        </w:rPr>
      </w:pPr>
    </w:p>
    <w:p w14:paraId="3457C497" w14:textId="77777777" w:rsidR="00072A69" w:rsidRPr="00EF2D0B" w:rsidRDefault="00072A69" w:rsidP="00072A69">
      <w:pPr>
        <w:pStyle w:val="ZADEVA"/>
        <w:jc w:val="both"/>
        <w:rPr>
          <w:rFonts w:cs="Arial"/>
          <w:b w:val="0"/>
          <w:szCs w:val="20"/>
          <w:highlight w:val="yellow"/>
          <w:lang w:val="sl-SI"/>
        </w:rPr>
      </w:pPr>
    </w:p>
    <w:p w14:paraId="261D96A5" w14:textId="264BF40D" w:rsidR="00072A69" w:rsidRPr="002D635E" w:rsidRDefault="00072A69" w:rsidP="00072A69">
      <w:pPr>
        <w:pStyle w:val="ZADEVA"/>
        <w:spacing w:line="240" w:lineRule="auto"/>
        <w:jc w:val="both"/>
        <w:rPr>
          <w:rFonts w:cs="Arial"/>
          <w:b w:val="0"/>
          <w:iCs/>
          <w:szCs w:val="20"/>
        </w:rPr>
      </w:pPr>
      <w:proofErr w:type="spellStart"/>
      <w:r w:rsidRPr="002D635E">
        <w:rPr>
          <w:rFonts w:cs="Arial"/>
          <w:b w:val="0"/>
          <w:iCs/>
          <w:szCs w:val="20"/>
        </w:rPr>
        <w:t>Preglednica</w:t>
      </w:r>
      <w:proofErr w:type="spellEnd"/>
      <w:r w:rsidRPr="002D635E">
        <w:rPr>
          <w:rFonts w:cs="Arial"/>
          <w:b w:val="0"/>
          <w:iCs/>
          <w:szCs w:val="20"/>
        </w:rPr>
        <w:t xml:space="preserve"> 7</w:t>
      </w:r>
      <w:r w:rsidR="008D46F4">
        <w:rPr>
          <w:rFonts w:cs="Arial"/>
          <w:b w:val="0"/>
          <w:iCs/>
          <w:szCs w:val="20"/>
        </w:rPr>
        <w:t>0</w:t>
      </w:r>
      <w:r w:rsidRPr="002D635E">
        <w:rPr>
          <w:rFonts w:cs="Arial"/>
          <w:b w:val="0"/>
          <w:iCs/>
          <w:szCs w:val="20"/>
        </w:rPr>
        <w:t xml:space="preserve">: </w:t>
      </w:r>
      <w:proofErr w:type="spellStart"/>
      <w:r w:rsidRPr="002D635E">
        <w:rPr>
          <w:rFonts w:cs="Arial"/>
          <w:b w:val="0"/>
          <w:iCs/>
          <w:szCs w:val="20"/>
        </w:rPr>
        <w:t>Javna</w:t>
      </w:r>
      <w:proofErr w:type="spellEnd"/>
      <w:r w:rsidRPr="002D635E">
        <w:rPr>
          <w:rFonts w:cs="Arial"/>
          <w:b w:val="0"/>
          <w:iCs/>
          <w:szCs w:val="20"/>
        </w:rPr>
        <w:t xml:space="preserve"> </w:t>
      </w:r>
      <w:proofErr w:type="spellStart"/>
      <w:r w:rsidRPr="002D635E">
        <w:rPr>
          <w:rFonts w:cs="Arial"/>
          <w:b w:val="0"/>
          <w:iCs/>
          <w:szCs w:val="20"/>
        </w:rPr>
        <w:t>naročila</w:t>
      </w:r>
      <w:proofErr w:type="spellEnd"/>
      <w:r w:rsidRPr="002D635E">
        <w:rPr>
          <w:rFonts w:cs="Arial"/>
          <w:b w:val="0"/>
          <w:iCs/>
          <w:szCs w:val="20"/>
        </w:rPr>
        <w:t xml:space="preserve"> </w:t>
      </w:r>
      <w:proofErr w:type="spellStart"/>
      <w:r w:rsidRPr="002D635E">
        <w:rPr>
          <w:rFonts w:cs="Arial"/>
          <w:b w:val="0"/>
          <w:iCs/>
          <w:szCs w:val="20"/>
        </w:rPr>
        <w:t>glede</w:t>
      </w:r>
      <w:proofErr w:type="spellEnd"/>
      <w:r w:rsidRPr="002D635E">
        <w:rPr>
          <w:rFonts w:cs="Arial"/>
          <w:b w:val="0"/>
          <w:iCs/>
          <w:szCs w:val="20"/>
        </w:rPr>
        <w:t xml:space="preserve"> </w:t>
      </w:r>
      <w:proofErr w:type="spellStart"/>
      <w:r w:rsidRPr="002D635E">
        <w:rPr>
          <w:rFonts w:cs="Arial"/>
          <w:b w:val="0"/>
          <w:iCs/>
          <w:szCs w:val="20"/>
        </w:rPr>
        <w:t>na</w:t>
      </w:r>
      <w:proofErr w:type="spellEnd"/>
      <w:r w:rsidRPr="002D635E">
        <w:rPr>
          <w:rFonts w:cs="Arial"/>
          <w:b w:val="0"/>
          <w:iCs/>
          <w:szCs w:val="20"/>
        </w:rPr>
        <w:t xml:space="preserve"> </w:t>
      </w:r>
      <w:proofErr w:type="spellStart"/>
      <w:r w:rsidRPr="002D635E">
        <w:rPr>
          <w:rFonts w:cs="Arial"/>
          <w:b w:val="0"/>
          <w:iCs/>
          <w:szCs w:val="20"/>
        </w:rPr>
        <w:t>področje</w:t>
      </w:r>
      <w:proofErr w:type="spellEnd"/>
      <w:r w:rsidRPr="002D635E">
        <w:rPr>
          <w:rFonts w:cs="Arial"/>
          <w:b w:val="0"/>
          <w:iCs/>
          <w:szCs w:val="20"/>
        </w:rPr>
        <w:t xml:space="preserve">, </w:t>
      </w:r>
      <w:proofErr w:type="spellStart"/>
      <w:r w:rsidRPr="002D635E">
        <w:rPr>
          <w:rFonts w:cs="Arial"/>
          <w:b w:val="0"/>
          <w:iCs/>
          <w:szCs w:val="20"/>
        </w:rPr>
        <w:t>vrsto</w:t>
      </w:r>
      <w:proofErr w:type="spellEnd"/>
      <w:r w:rsidRPr="002D635E">
        <w:rPr>
          <w:rFonts w:cs="Arial"/>
          <w:b w:val="0"/>
          <w:iCs/>
          <w:szCs w:val="20"/>
        </w:rPr>
        <w:t xml:space="preserve"> </w:t>
      </w:r>
      <w:proofErr w:type="spellStart"/>
      <w:r w:rsidRPr="002D635E">
        <w:rPr>
          <w:rFonts w:cs="Arial"/>
          <w:b w:val="0"/>
          <w:iCs/>
          <w:szCs w:val="20"/>
        </w:rPr>
        <w:t>postopka</w:t>
      </w:r>
      <w:proofErr w:type="spellEnd"/>
      <w:r w:rsidRPr="002D635E">
        <w:rPr>
          <w:rFonts w:cs="Arial"/>
          <w:b w:val="0"/>
          <w:iCs/>
          <w:szCs w:val="20"/>
        </w:rPr>
        <w:t xml:space="preserve"> in </w:t>
      </w:r>
      <w:proofErr w:type="spellStart"/>
      <w:r w:rsidRPr="002D635E">
        <w:rPr>
          <w:rFonts w:cs="Arial"/>
          <w:b w:val="0"/>
          <w:iCs/>
          <w:szCs w:val="20"/>
        </w:rPr>
        <w:t>predmet</w:t>
      </w:r>
      <w:proofErr w:type="spellEnd"/>
      <w:r w:rsidRPr="002D635E">
        <w:rPr>
          <w:rFonts w:cs="Arial"/>
          <w:b w:val="0"/>
          <w:iCs/>
          <w:szCs w:val="20"/>
        </w:rPr>
        <w:t xml:space="preserve"> </w:t>
      </w:r>
      <w:proofErr w:type="spellStart"/>
      <w:r w:rsidRPr="002D635E">
        <w:rPr>
          <w:rFonts w:cs="Arial"/>
          <w:b w:val="0"/>
          <w:iCs/>
          <w:szCs w:val="20"/>
        </w:rPr>
        <w:t>naročanja</w:t>
      </w:r>
      <w:proofErr w:type="spellEnd"/>
    </w:p>
    <w:p w14:paraId="5828FDD9" w14:textId="77777777" w:rsidR="00072A69" w:rsidRPr="00EF2D0B" w:rsidRDefault="00072A69" w:rsidP="00072A69">
      <w:pPr>
        <w:pStyle w:val="ZADEVA"/>
        <w:spacing w:line="240" w:lineRule="auto"/>
        <w:jc w:val="both"/>
        <w:rPr>
          <w:rFonts w:cs="Arial"/>
          <w:b w:val="0"/>
          <w:szCs w:val="20"/>
          <w:highlight w:val="yellow"/>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3632"/>
        <w:gridCol w:w="821"/>
        <w:gridCol w:w="961"/>
        <w:gridCol w:w="1141"/>
        <w:gridCol w:w="1206"/>
      </w:tblGrid>
      <w:tr w:rsidR="00072A69" w:rsidRPr="004C0F36" w14:paraId="361A4DAC" w14:textId="77777777" w:rsidTr="00C320EE">
        <w:trPr>
          <w:trHeight w:val="300"/>
          <w:tblHeader/>
        </w:trPr>
        <w:tc>
          <w:tcPr>
            <w:tcW w:w="635" w:type="pct"/>
            <w:shd w:val="clear" w:color="000000" w:fill="EDEDED"/>
            <w:vAlign w:val="center"/>
            <w:hideMark/>
          </w:tcPr>
          <w:p w14:paraId="379F59BB"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Področje</w:t>
            </w:r>
          </w:p>
        </w:tc>
        <w:tc>
          <w:tcPr>
            <w:tcW w:w="2079" w:type="pct"/>
            <w:shd w:val="clear" w:color="000000" w:fill="EDEDED"/>
            <w:vAlign w:val="center"/>
            <w:hideMark/>
          </w:tcPr>
          <w:p w14:paraId="774223FC"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Vrsta postopka</w:t>
            </w:r>
          </w:p>
        </w:tc>
        <w:tc>
          <w:tcPr>
            <w:tcW w:w="347" w:type="pct"/>
            <w:shd w:val="clear" w:color="000000" w:fill="EDEDED"/>
            <w:vAlign w:val="center"/>
            <w:hideMark/>
          </w:tcPr>
          <w:p w14:paraId="3F6B7E92"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 xml:space="preserve">Predmet </w:t>
            </w:r>
          </w:p>
        </w:tc>
        <w:tc>
          <w:tcPr>
            <w:tcW w:w="495" w:type="pct"/>
            <w:shd w:val="clear" w:color="000000" w:fill="EDEDED"/>
            <w:vAlign w:val="center"/>
            <w:hideMark/>
          </w:tcPr>
          <w:p w14:paraId="19E382FB"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Št. postopkov</w:t>
            </w:r>
          </w:p>
        </w:tc>
        <w:tc>
          <w:tcPr>
            <w:tcW w:w="685" w:type="pct"/>
            <w:shd w:val="clear" w:color="000000" w:fill="EDEDED"/>
            <w:vAlign w:val="center"/>
            <w:hideMark/>
          </w:tcPr>
          <w:p w14:paraId="482485CA"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Ocenjena vrednost</w:t>
            </w:r>
          </w:p>
        </w:tc>
        <w:tc>
          <w:tcPr>
            <w:tcW w:w="759" w:type="pct"/>
            <w:shd w:val="clear" w:color="000000" w:fill="EDEDED"/>
            <w:vAlign w:val="center"/>
            <w:hideMark/>
          </w:tcPr>
          <w:p w14:paraId="3C2D6F79"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Pogodbena vrednost</w:t>
            </w:r>
          </w:p>
        </w:tc>
      </w:tr>
      <w:tr w:rsidR="00072A69" w:rsidRPr="004C0F36" w14:paraId="147E764C" w14:textId="77777777" w:rsidTr="00AC1F17">
        <w:trPr>
          <w:trHeight w:val="300"/>
        </w:trPr>
        <w:tc>
          <w:tcPr>
            <w:tcW w:w="635" w:type="pct"/>
            <w:vMerge w:val="restart"/>
            <w:shd w:val="clear" w:color="auto" w:fill="auto"/>
            <w:vAlign w:val="center"/>
            <w:hideMark/>
          </w:tcPr>
          <w:p w14:paraId="2A229BB9"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Splošno</w:t>
            </w:r>
          </w:p>
        </w:tc>
        <w:tc>
          <w:tcPr>
            <w:tcW w:w="2079" w:type="pct"/>
            <w:vMerge w:val="restart"/>
            <w:shd w:val="clear" w:color="auto" w:fill="auto"/>
            <w:vAlign w:val="center"/>
            <w:hideMark/>
          </w:tcPr>
          <w:p w14:paraId="0CBCD2B0"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Konkurenčni dialog</w:t>
            </w:r>
          </w:p>
        </w:tc>
        <w:tc>
          <w:tcPr>
            <w:tcW w:w="347" w:type="pct"/>
            <w:shd w:val="clear" w:color="auto" w:fill="auto"/>
            <w:vAlign w:val="center"/>
            <w:hideMark/>
          </w:tcPr>
          <w:p w14:paraId="42EB728B"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5D9618B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w:t>
            </w:r>
          </w:p>
        </w:tc>
        <w:tc>
          <w:tcPr>
            <w:tcW w:w="685" w:type="pct"/>
            <w:shd w:val="clear" w:color="auto" w:fill="auto"/>
            <w:vAlign w:val="center"/>
            <w:hideMark/>
          </w:tcPr>
          <w:p w14:paraId="623ECC44"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1.278.049</w:t>
            </w:r>
          </w:p>
        </w:tc>
        <w:tc>
          <w:tcPr>
            <w:tcW w:w="759" w:type="pct"/>
            <w:shd w:val="clear" w:color="auto" w:fill="auto"/>
            <w:vAlign w:val="center"/>
            <w:hideMark/>
          </w:tcPr>
          <w:p w14:paraId="1E2F37DA"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1.278.680</w:t>
            </w:r>
          </w:p>
        </w:tc>
      </w:tr>
      <w:tr w:rsidR="00072A69" w:rsidRPr="004C0F36" w14:paraId="695DA523" w14:textId="77777777" w:rsidTr="00AC1F17">
        <w:trPr>
          <w:trHeight w:val="300"/>
        </w:trPr>
        <w:tc>
          <w:tcPr>
            <w:tcW w:w="635" w:type="pct"/>
            <w:vMerge/>
            <w:vAlign w:val="center"/>
            <w:hideMark/>
          </w:tcPr>
          <w:p w14:paraId="528CFBC1"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05A2F328"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5757096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41111714"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w:t>
            </w:r>
          </w:p>
        </w:tc>
        <w:tc>
          <w:tcPr>
            <w:tcW w:w="685" w:type="pct"/>
            <w:shd w:val="clear" w:color="auto" w:fill="auto"/>
            <w:vAlign w:val="center"/>
            <w:hideMark/>
          </w:tcPr>
          <w:p w14:paraId="47AF1F80"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10.705.812</w:t>
            </w:r>
          </w:p>
        </w:tc>
        <w:tc>
          <w:tcPr>
            <w:tcW w:w="759" w:type="pct"/>
            <w:shd w:val="clear" w:color="auto" w:fill="auto"/>
            <w:vAlign w:val="center"/>
            <w:hideMark/>
          </w:tcPr>
          <w:p w14:paraId="2458450C"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11.394.929</w:t>
            </w:r>
          </w:p>
        </w:tc>
      </w:tr>
      <w:tr w:rsidR="00072A69" w:rsidRPr="004C0F36" w14:paraId="04E72720" w14:textId="77777777" w:rsidTr="00AC1F17">
        <w:trPr>
          <w:trHeight w:val="300"/>
        </w:trPr>
        <w:tc>
          <w:tcPr>
            <w:tcW w:w="635" w:type="pct"/>
            <w:vMerge/>
            <w:vAlign w:val="center"/>
            <w:hideMark/>
          </w:tcPr>
          <w:p w14:paraId="4895305E"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1E6D5B45"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Konkurenčni postopek s pogajanji</w:t>
            </w:r>
          </w:p>
        </w:tc>
        <w:tc>
          <w:tcPr>
            <w:tcW w:w="347" w:type="pct"/>
            <w:shd w:val="clear" w:color="auto" w:fill="auto"/>
            <w:vAlign w:val="center"/>
            <w:hideMark/>
          </w:tcPr>
          <w:p w14:paraId="645326B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6501A46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14</w:t>
            </w:r>
          </w:p>
        </w:tc>
        <w:tc>
          <w:tcPr>
            <w:tcW w:w="685" w:type="pct"/>
            <w:shd w:val="clear" w:color="auto" w:fill="auto"/>
            <w:vAlign w:val="center"/>
            <w:hideMark/>
          </w:tcPr>
          <w:p w14:paraId="0B0D06C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32.672.954</w:t>
            </w:r>
          </w:p>
        </w:tc>
        <w:tc>
          <w:tcPr>
            <w:tcW w:w="759" w:type="pct"/>
            <w:shd w:val="clear" w:color="auto" w:fill="auto"/>
            <w:vAlign w:val="center"/>
            <w:hideMark/>
          </w:tcPr>
          <w:p w14:paraId="0DC97701"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31.650.772</w:t>
            </w:r>
          </w:p>
        </w:tc>
      </w:tr>
      <w:tr w:rsidR="00072A69" w:rsidRPr="004C0F36" w14:paraId="75C40D47" w14:textId="77777777" w:rsidTr="00AC1F17">
        <w:trPr>
          <w:trHeight w:val="300"/>
        </w:trPr>
        <w:tc>
          <w:tcPr>
            <w:tcW w:w="635" w:type="pct"/>
            <w:vMerge/>
            <w:vAlign w:val="center"/>
            <w:hideMark/>
          </w:tcPr>
          <w:p w14:paraId="32D4AE39"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242C9202"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5CEA0D46"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1A0C194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23</w:t>
            </w:r>
          </w:p>
        </w:tc>
        <w:tc>
          <w:tcPr>
            <w:tcW w:w="685" w:type="pct"/>
            <w:shd w:val="clear" w:color="auto" w:fill="auto"/>
            <w:vAlign w:val="center"/>
            <w:hideMark/>
          </w:tcPr>
          <w:p w14:paraId="5D31E93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11.763.510</w:t>
            </w:r>
          </w:p>
        </w:tc>
        <w:tc>
          <w:tcPr>
            <w:tcW w:w="759" w:type="pct"/>
            <w:shd w:val="clear" w:color="auto" w:fill="auto"/>
            <w:vAlign w:val="center"/>
            <w:hideMark/>
          </w:tcPr>
          <w:p w14:paraId="5ECCE6ED"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10.062.902</w:t>
            </w:r>
          </w:p>
        </w:tc>
      </w:tr>
      <w:tr w:rsidR="00072A69" w:rsidRPr="004C0F36" w14:paraId="2A186028" w14:textId="77777777" w:rsidTr="00AC1F17">
        <w:trPr>
          <w:trHeight w:val="300"/>
        </w:trPr>
        <w:tc>
          <w:tcPr>
            <w:tcW w:w="635" w:type="pct"/>
            <w:vMerge/>
            <w:vAlign w:val="center"/>
            <w:hideMark/>
          </w:tcPr>
          <w:p w14:paraId="7D3E4E4E"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5A4F0DBB"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25CEA177"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0315269B"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74</w:t>
            </w:r>
          </w:p>
        </w:tc>
        <w:tc>
          <w:tcPr>
            <w:tcW w:w="685" w:type="pct"/>
            <w:shd w:val="clear" w:color="auto" w:fill="auto"/>
            <w:vAlign w:val="center"/>
            <w:hideMark/>
          </w:tcPr>
          <w:p w14:paraId="5D76A9A6"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82.205.511</w:t>
            </w:r>
          </w:p>
        </w:tc>
        <w:tc>
          <w:tcPr>
            <w:tcW w:w="759" w:type="pct"/>
            <w:shd w:val="clear" w:color="auto" w:fill="auto"/>
            <w:vAlign w:val="center"/>
            <w:hideMark/>
          </w:tcPr>
          <w:p w14:paraId="2C573EF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92.601.394</w:t>
            </w:r>
          </w:p>
        </w:tc>
      </w:tr>
      <w:tr w:rsidR="00072A69" w:rsidRPr="004C0F36" w14:paraId="17FF722B" w14:textId="77777777" w:rsidTr="00AC1F17">
        <w:trPr>
          <w:trHeight w:val="300"/>
        </w:trPr>
        <w:tc>
          <w:tcPr>
            <w:tcW w:w="635" w:type="pct"/>
            <w:vMerge/>
            <w:vAlign w:val="center"/>
            <w:hideMark/>
          </w:tcPr>
          <w:p w14:paraId="042D95C2"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63D6E1EE"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Odprti postopek</w:t>
            </w:r>
          </w:p>
        </w:tc>
        <w:tc>
          <w:tcPr>
            <w:tcW w:w="347" w:type="pct"/>
            <w:shd w:val="clear" w:color="auto" w:fill="auto"/>
            <w:vAlign w:val="center"/>
            <w:hideMark/>
          </w:tcPr>
          <w:p w14:paraId="45A658F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19B04FC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660</w:t>
            </w:r>
          </w:p>
        </w:tc>
        <w:tc>
          <w:tcPr>
            <w:tcW w:w="685" w:type="pct"/>
            <w:shd w:val="clear" w:color="auto" w:fill="auto"/>
            <w:vAlign w:val="center"/>
            <w:hideMark/>
          </w:tcPr>
          <w:p w14:paraId="1BF160C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748.308.260</w:t>
            </w:r>
          </w:p>
        </w:tc>
        <w:tc>
          <w:tcPr>
            <w:tcW w:w="759" w:type="pct"/>
            <w:shd w:val="clear" w:color="auto" w:fill="auto"/>
            <w:vAlign w:val="center"/>
            <w:hideMark/>
          </w:tcPr>
          <w:p w14:paraId="161AAA2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711.225.285</w:t>
            </w:r>
          </w:p>
        </w:tc>
      </w:tr>
      <w:tr w:rsidR="00072A69" w:rsidRPr="004C0F36" w14:paraId="3C08C6E3" w14:textId="77777777" w:rsidTr="00AC1F17">
        <w:trPr>
          <w:trHeight w:val="300"/>
        </w:trPr>
        <w:tc>
          <w:tcPr>
            <w:tcW w:w="635" w:type="pct"/>
            <w:vMerge/>
            <w:vAlign w:val="center"/>
            <w:hideMark/>
          </w:tcPr>
          <w:p w14:paraId="3DCB8BBA"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44BC2993"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0193BF6D"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1C2375F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471</w:t>
            </w:r>
          </w:p>
        </w:tc>
        <w:tc>
          <w:tcPr>
            <w:tcW w:w="685" w:type="pct"/>
            <w:shd w:val="clear" w:color="auto" w:fill="auto"/>
            <w:vAlign w:val="center"/>
            <w:hideMark/>
          </w:tcPr>
          <w:p w14:paraId="1771558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348.719.817</w:t>
            </w:r>
          </w:p>
        </w:tc>
        <w:tc>
          <w:tcPr>
            <w:tcW w:w="759" w:type="pct"/>
            <w:shd w:val="clear" w:color="auto" w:fill="auto"/>
            <w:vAlign w:val="center"/>
            <w:hideMark/>
          </w:tcPr>
          <w:p w14:paraId="71EA13DC"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333.178.817</w:t>
            </w:r>
          </w:p>
        </w:tc>
      </w:tr>
      <w:tr w:rsidR="00072A69" w:rsidRPr="004C0F36" w14:paraId="56C0B67C" w14:textId="77777777" w:rsidTr="00AC1F17">
        <w:trPr>
          <w:trHeight w:val="300"/>
        </w:trPr>
        <w:tc>
          <w:tcPr>
            <w:tcW w:w="635" w:type="pct"/>
            <w:vMerge/>
            <w:vAlign w:val="center"/>
            <w:hideMark/>
          </w:tcPr>
          <w:p w14:paraId="37C2BA2C"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446CFD4E"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243E7294"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0ABE580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331</w:t>
            </w:r>
          </w:p>
        </w:tc>
        <w:tc>
          <w:tcPr>
            <w:tcW w:w="685" w:type="pct"/>
            <w:shd w:val="clear" w:color="auto" w:fill="auto"/>
            <w:vAlign w:val="center"/>
            <w:hideMark/>
          </w:tcPr>
          <w:p w14:paraId="4344E51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523.742.553</w:t>
            </w:r>
          </w:p>
        </w:tc>
        <w:tc>
          <w:tcPr>
            <w:tcW w:w="759" w:type="pct"/>
            <w:shd w:val="clear" w:color="auto" w:fill="auto"/>
            <w:vAlign w:val="center"/>
            <w:hideMark/>
          </w:tcPr>
          <w:p w14:paraId="451521DB"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510.760.808</w:t>
            </w:r>
          </w:p>
        </w:tc>
      </w:tr>
      <w:tr w:rsidR="00072A69" w:rsidRPr="004C0F36" w14:paraId="14387552" w14:textId="77777777" w:rsidTr="00AC1F17">
        <w:trPr>
          <w:trHeight w:val="300"/>
        </w:trPr>
        <w:tc>
          <w:tcPr>
            <w:tcW w:w="635" w:type="pct"/>
            <w:vMerge/>
            <w:vAlign w:val="center"/>
            <w:hideMark/>
          </w:tcPr>
          <w:p w14:paraId="3A258A6A"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4D3BD667"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Omejeni postopek</w:t>
            </w:r>
          </w:p>
        </w:tc>
        <w:tc>
          <w:tcPr>
            <w:tcW w:w="347" w:type="pct"/>
            <w:shd w:val="clear" w:color="auto" w:fill="auto"/>
            <w:vAlign w:val="center"/>
            <w:hideMark/>
          </w:tcPr>
          <w:p w14:paraId="0B9D1BB7"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253CFD5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w:t>
            </w:r>
          </w:p>
        </w:tc>
        <w:tc>
          <w:tcPr>
            <w:tcW w:w="685" w:type="pct"/>
            <w:shd w:val="clear" w:color="auto" w:fill="auto"/>
            <w:vAlign w:val="center"/>
            <w:hideMark/>
          </w:tcPr>
          <w:p w14:paraId="2FCFE5D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10.437.240</w:t>
            </w:r>
          </w:p>
        </w:tc>
        <w:tc>
          <w:tcPr>
            <w:tcW w:w="759" w:type="pct"/>
            <w:shd w:val="clear" w:color="auto" w:fill="auto"/>
            <w:vAlign w:val="center"/>
            <w:hideMark/>
          </w:tcPr>
          <w:p w14:paraId="55B1773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10.437.240</w:t>
            </w:r>
          </w:p>
        </w:tc>
      </w:tr>
      <w:tr w:rsidR="00072A69" w:rsidRPr="004C0F36" w14:paraId="1BFAA959" w14:textId="77777777" w:rsidTr="00AC1F17">
        <w:trPr>
          <w:trHeight w:val="300"/>
        </w:trPr>
        <w:tc>
          <w:tcPr>
            <w:tcW w:w="635" w:type="pct"/>
            <w:vMerge/>
            <w:vAlign w:val="center"/>
            <w:hideMark/>
          </w:tcPr>
          <w:p w14:paraId="54F97E90"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027947DD"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01C68BD5"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38EF13B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w:t>
            </w:r>
          </w:p>
        </w:tc>
        <w:tc>
          <w:tcPr>
            <w:tcW w:w="685" w:type="pct"/>
            <w:shd w:val="clear" w:color="auto" w:fill="auto"/>
            <w:vAlign w:val="center"/>
            <w:hideMark/>
          </w:tcPr>
          <w:p w14:paraId="46D534B0"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530.000</w:t>
            </w:r>
          </w:p>
        </w:tc>
        <w:tc>
          <w:tcPr>
            <w:tcW w:w="759" w:type="pct"/>
            <w:shd w:val="clear" w:color="auto" w:fill="auto"/>
            <w:vAlign w:val="center"/>
            <w:hideMark/>
          </w:tcPr>
          <w:p w14:paraId="7C531FD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779.600</w:t>
            </w:r>
          </w:p>
        </w:tc>
      </w:tr>
      <w:tr w:rsidR="00072A69" w:rsidRPr="004C0F36" w14:paraId="51C6720E" w14:textId="77777777" w:rsidTr="00AC1F17">
        <w:trPr>
          <w:trHeight w:val="300"/>
        </w:trPr>
        <w:tc>
          <w:tcPr>
            <w:tcW w:w="635" w:type="pct"/>
            <w:vMerge/>
            <w:vAlign w:val="center"/>
            <w:hideMark/>
          </w:tcPr>
          <w:p w14:paraId="7A3F6E35"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6E73CDE7"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6BAF116C"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363C5BD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w:t>
            </w:r>
          </w:p>
        </w:tc>
        <w:tc>
          <w:tcPr>
            <w:tcW w:w="685" w:type="pct"/>
            <w:shd w:val="clear" w:color="auto" w:fill="auto"/>
            <w:vAlign w:val="center"/>
            <w:hideMark/>
          </w:tcPr>
          <w:p w14:paraId="449C077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8.868.042</w:t>
            </w:r>
          </w:p>
        </w:tc>
        <w:tc>
          <w:tcPr>
            <w:tcW w:w="759" w:type="pct"/>
            <w:shd w:val="clear" w:color="auto" w:fill="auto"/>
            <w:vAlign w:val="center"/>
            <w:hideMark/>
          </w:tcPr>
          <w:p w14:paraId="30D7618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8.868.042</w:t>
            </w:r>
          </w:p>
        </w:tc>
      </w:tr>
      <w:tr w:rsidR="00072A69" w:rsidRPr="004C0F36" w14:paraId="4A7D299B" w14:textId="77777777" w:rsidTr="00AC1F17">
        <w:trPr>
          <w:trHeight w:val="300"/>
        </w:trPr>
        <w:tc>
          <w:tcPr>
            <w:tcW w:w="635" w:type="pct"/>
            <w:vMerge/>
            <w:vAlign w:val="center"/>
            <w:hideMark/>
          </w:tcPr>
          <w:p w14:paraId="45126B63"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6EAE88CF"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naročila male vrednosti</w:t>
            </w:r>
          </w:p>
        </w:tc>
        <w:tc>
          <w:tcPr>
            <w:tcW w:w="347" w:type="pct"/>
            <w:shd w:val="clear" w:color="auto" w:fill="auto"/>
            <w:vAlign w:val="center"/>
            <w:hideMark/>
          </w:tcPr>
          <w:p w14:paraId="38C350DB"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3801AB8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1.344</w:t>
            </w:r>
          </w:p>
        </w:tc>
        <w:tc>
          <w:tcPr>
            <w:tcW w:w="685" w:type="pct"/>
            <w:shd w:val="clear" w:color="auto" w:fill="auto"/>
            <w:vAlign w:val="center"/>
            <w:hideMark/>
          </w:tcPr>
          <w:p w14:paraId="331DA52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101.635.845</w:t>
            </w:r>
          </w:p>
        </w:tc>
        <w:tc>
          <w:tcPr>
            <w:tcW w:w="759" w:type="pct"/>
            <w:shd w:val="clear" w:color="auto" w:fill="auto"/>
            <w:vAlign w:val="center"/>
            <w:hideMark/>
          </w:tcPr>
          <w:p w14:paraId="13554D24"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94.914.565</w:t>
            </w:r>
          </w:p>
        </w:tc>
      </w:tr>
      <w:tr w:rsidR="00072A69" w:rsidRPr="004C0F36" w14:paraId="32454485" w14:textId="77777777" w:rsidTr="00AC1F17">
        <w:trPr>
          <w:trHeight w:val="300"/>
        </w:trPr>
        <w:tc>
          <w:tcPr>
            <w:tcW w:w="635" w:type="pct"/>
            <w:vMerge/>
            <w:vAlign w:val="center"/>
            <w:hideMark/>
          </w:tcPr>
          <w:p w14:paraId="3EB1FCBF"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4D39F245"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43101476"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5AEDD31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1.221</w:t>
            </w:r>
          </w:p>
        </w:tc>
        <w:tc>
          <w:tcPr>
            <w:tcW w:w="685" w:type="pct"/>
            <w:shd w:val="clear" w:color="auto" w:fill="auto"/>
            <w:vAlign w:val="center"/>
            <w:hideMark/>
          </w:tcPr>
          <w:p w14:paraId="70C7626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99.203.491</w:t>
            </w:r>
          </w:p>
        </w:tc>
        <w:tc>
          <w:tcPr>
            <w:tcW w:w="759" w:type="pct"/>
            <w:shd w:val="clear" w:color="auto" w:fill="auto"/>
            <w:vAlign w:val="center"/>
            <w:hideMark/>
          </w:tcPr>
          <w:p w14:paraId="2C1810B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90.064.647</w:t>
            </w:r>
          </w:p>
        </w:tc>
      </w:tr>
      <w:tr w:rsidR="00072A69" w:rsidRPr="004C0F36" w14:paraId="6A200E72" w14:textId="77777777" w:rsidTr="00AC1F17">
        <w:trPr>
          <w:trHeight w:val="300"/>
        </w:trPr>
        <w:tc>
          <w:tcPr>
            <w:tcW w:w="635" w:type="pct"/>
            <w:vMerge/>
            <w:vAlign w:val="center"/>
            <w:hideMark/>
          </w:tcPr>
          <w:p w14:paraId="26628393"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2C5E6F67"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3DE48375"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0293EC76"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1.062</w:t>
            </w:r>
          </w:p>
        </w:tc>
        <w:tc>
          <w:tcPr>
            <w:tcW w:w="685" w:type="pct"/>
            <w:shd w:val="clear" w:color="auto" w:fill="auto"/>
            <w:vAlign w:val="center"/>
            <w:hideMark/>
          </w:tcPr>
          <w:p w14:paraId="7FE30CE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178.184.328</w:t>
            </w:r>
          </w:p>
        </w:tc>
        <w:tc>
          <w:tcPr>
            <w:tcW w:w="759" w:type="pct"/>
            <w:shd w:val="clear" w:color="auto" w:fill="auto"/>
            <w:vAlign w:val="center"/>
            <w:hideMark/>
          </w:tcPr>
          <w:p w14:paraId="447225C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169.765.830</w:t>
            </w:r>
          </w:p>
        </w:tc>
      </w:tr>
      <w:tr w:rsidR="00072A69" w:rsidRPr="004C0F36" w14:paraId="093098A4" w14:textId="77777777" w:rsidTr="00AC1F17">
        <w:trPr>
          <w:trHeight w:val="300"/>
        </w:trPr>
        <w:tc>
          <w:tcPr>
            <w:tcW w:w="635" w:type="pct"/>
            <w:vMerge/>
            <w:vAlign w:val="center"/>
            <w:hideMark/>
          </w:tcPr>
          <w:p w14:paraId="6AD70C5E"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57027400"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s pogajanji brez predhodne objave</w:t>
            </w:r>
          </w:p>
        </w:tc>
        <w:tc>
          <w:tcPr>
            <w:tcW w:w="347" w:type="pct"/>
            <w:shd w:val="clear" w:color="auto" w:fill="auto"/>
            <w:vAlign w:val="center"/>
            <w:hideMark/>
          </w:tcPr>
          <w:p w14:paraId="1428F59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0262C10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137</w:t>
            </w:r>
          </w:p>
        </w:tc>
        <w:tc>
          <w:tcPr>
            <w:tcW w:w="685" w:type="pct"/>
            <w:shd w:val="clear" w:color="auto" w:fill="auto"/>
            <w:vAlign w:val="center"/>
            <w:hideMark/>
          </w:tcPr>
          <w:p w14:paraId="219315B6"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44.596.976</w:t>
            </w:r>
          </w:p>
        </w:tc>
        <w:tc>
          <w:tcPr>
            <w:tcW w:w="759" w:type="pct"/>
            <w:shd w:val="clear" w:color="auto" w:fill="auto"/>
            <w:vAlign w:val="center"/>
            <w:hideMark/>
          </w:tcPr>
          <w:p w14:paraId="22B4B280"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42.255.660</w:t>
            </w:r>
          </w:p>
        </w:tc>
      </w:tr>
      <w:tr w:rsidR="00072A69" w:rsidRPr="004C0F36" w14:paraId="68EDB32A" w14:textId="77777777" w:rsidTr="00AC1F17">
        <w:trPr>
          <w:trHeight w:val="300"/>
        </w:trPr>
        <w:tc>
          <w:tcPr>
            <w:tcW w:w="635" w:type="pct"/>
            <w:vMerge/>
            <w:vAlign w:val="center"/>
            <w:hideMark/>
          </w:tcPr>
          <w:p w14:paraId="285C91A3"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024BEDB0"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35EA39C0"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75B6592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322</w:t>
            </w:r>
          </w:p>
        </w:tc>
        <w:tc>
          <w:tcPr>
            <w:tcW w:w="685" w:type="pct"/>
            <w:shd w:val="clear" w:color="auto" w:fill="auto"/>
            <w:vAlign w:val="center"/>
            <w:hideMark/>
          </w:tcPr>
          <w:p w14:paraId="6F8765A4"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89.281.497</w:t>
            </w:r>
          </w:p>
        </w:tc>
        <w:tc>
          <w:tcPr>
            <w:tcW w:w="759" w:type="pct"/>
            <w:shd w:val="clear" w:color="auto" w:fill="auto"/>
            <w:vAlign w:val="center"/>
            <w:hideMark/>
          </w:tcPr>
          <w:p w14:paraId="38532636"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84.634.748</w:t>
            </w:r>
          </w:p>
        </w:tc>
      </w:tr>
      <w:tr w:rsidR="00072A69" w:rsidRPr="004C0F36" w14:paraId="297F63DE" w14:textId="77777777" w:rsidTr="00AC1F17">
        <w:trPr>
          <w:trHeight w:val="300"/>
        </w:trPr>
        <w:tc>
          <w:tcPr>
            <w:tcW w:w="635" w:type="pct"/>
            <w:vMerge/>
            <w:vAlign w:val="center"/>
            <w:hideMark/>
          </w:tcPr>
          <w:p w14:paraId="01FF5264"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3B086AAB"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4CF0FFA2"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548BCEB4"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44</w:t>
            </w:r>
          </w:p>
        </w:tc>
        <w:tc>
          <w:tcPr>
            <w:tcW w:w="685" w:type="pct"/>
            <w:shd w:val="clear" w:color="auto" w:fill="auto"/>
            <w:vAlign w:val="center"/>
            <w:hideMark/>
          </w:tcPr>
          <w:p w14:paraId="1285BBF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57.794.938</w:t>
            </w:r>
          </w:p>
        </w:tc>
        <w:tc>
          <w:tcPr>
            <w:tcW w:w="759" w:type="pct"/>
            <w:shd w:val="clear" w:color="auto" w:fill="auto"/>
            <w:vAlign w:val="center"/>
            <w:hideMark/>
          </w:tcPr>
          <w:p w14:paraId="2F88ADC6"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59.333.726</w:t>
            </w:r>
          </w:p>
        </w:tc>
      </w:tr>
      <w:tr w:rsidR="00072A69" w:rsidRPr="004C0F36" w14:paraId="6F4BAD69" w14:textId="77777777" w:rsidTr="00AC1F17">
        <w:trPr>
          <w:trHeight w:val="300"/>
        </w:trPr>
        <w:tc>
          <w:tcPr>
            <w:tcW w:w="635" w:type="pct"/>
            <w:vMerge w:val="restart"/>
            <w:shd w:val="clear" w:color="auto" w:fill="auto"/>
            <w:vAlign w:val="center"/>
            <w:hideMark/>
          </w:tcPr>
          <w:p w14:paraId="1726F472"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Infrastrukturno</w:t>
            </w:r>
          </w:p>
        </w:tc>
        <w:tc>
          <w:tcPr>
            <w:tcW w:w="2079" w:type="pct"/>
            <w:vMerge w:val="restart"/>
            <w:shd w:val="clear" w:color="auto" w:fill="auto"/>
            <w:vAlign w:val="center"/>
            <w:hideMark/>
          </w:tcPr>
          <w:p w14:paraId="4C7C871D"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Odprti postopek</w:t>
            </w:r>
          </w:p>
        </w:tc>
        <w:tc>
          <w:tcPr>
            <w:tcW w:w="347" w:type="pct"/>
            <w:shd w:val="clear" w:color="auto" w:fill="auto"/>
            <w:vAlign w:val="center"/>
            <w:hideMark/>
          </w:tcPr>
          <w:p w14:paraId="60584B3C"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364B259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72</w:t>
            </w:r>
          </w:p>
        </w:tc>
        <w:tc>
          <w:tcPr>
            <w:tcW w:w="685" w:type="pct"/>
            <w:shd w:val="clear" w:color="auto" w:fill="auto"/>
            <w:vAlign w:val="center"/>
            <w:hideMark/>
          </w:tcPr>
          <w:p w14:paraId="7BEF230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103.102.133</w:t>
            </w:r>
          </w:p>
        </w:tc>
        <w:tc>
          <w:tcPr>
            <w:tcW w:w="759" w:type="pct"/>
            <w:shd w:val="clear" w:color="auto" w:fill="auto"/>
            <w:vAlign w:val="center"/>
            <w:hideMark/>
          </w:tcPr>
          <w:p w14:paraId="201F63FD"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98.672.639</w:t>
            </w:r>
          </w:p>
        </w:tc>
      </w:tr>
      <w:tr w:rsidR="00072A69" w:rsidRPr="004C0F36" w14:paraId="48E182D8" w14:textId="77777777" w:rsidTr="00AC1F17">
        <w:trPr>
          <w:trHeight w:val="300"/>
        </w:trPr>
        <w:tc>
          <w:tcPr>
            <w:tcW w:w="635" w:type="pct"/>
            <w:vMerge/>
            <w:vAlign w:val="center"/>
            <w:hideMark/>
          </w:tcPr>
          <w:p w14:paraId="45488071"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09744D17"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4DBE1D42"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117545C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51</w:t>
            </w:r>
          </w:p>
        </w:tc>
        <w:tc>
          <w:tcPr>
            <w:tcW w:w="685" w:type="pct"/>
            <w:shd w:val="clear" w:color="auto" w:fill="auto"/>
            <w:vAlign w:val="center"/>
            <w:hideMark/>
          </w:tcPr>
          <w:p w14:paraId="5B02536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66.718.161</w:t>
            </w:r>
          </w:p>
        </w:tc>
        <w:tc>
          <w:tcPr>
            <w:tcW w:w="759" w:type="pct"/>
            <w:shd w:val="clear" w:color="auto" w:fill="auto"/>
            <w:vAlign w:val="center"/>
            <w:hideMark/>
          </w:tcPr>
          <w:p w14:paraId="0346A98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65.957.622</w:t>
            </w:r>
          </w:p>
        </w:tc>
      </w:tr>
      <w:tr w:rsidR="00072A69" w:rsidRPr="004C0F36" w14:paraId="78E117BF" w14:textId="77777777" w:rsidTr="00AC1F17">
        <w:trPr>
          <w:trHeight w:val="300"/>
        </w:trPr>
        <w:tc>
          <w:tcPr>
            <w:tcW w:w="635" w:type="pct"/>
            <w:vMerge/>
            <w:vAlign w:val="center"/>
            <w:hideMark/>
          </w:tcPr>
          <w:p w14:paraId="0E656F2B"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64666ECE"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48B5B8C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7E7F030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23</w:t>
            </w:r>
          </w:p>
        </w:tc>
        <w:tc>
          <w:tcPr>
            <w:tcW w:w="685" w:type="pct"/>
            <w:shd w:val="clear" w:color="auto" w:fill="auto"/>
            <w:vAlign w:val="center"/>
            <w:hideMark/>
          </w:tcPr>
          <w:p w14:paraId="69A542F1"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52.933.169</w:t>
            </w:r>
          </w:p>
        </w:tc>
        <w:tc>
          <w:tcPr>
            <w:tcW w:w="759" w:type="pct"/>
            <w:shd w:val="clear" w:color="auto" w:fill="auto"/>
            <w:vAlign w:val="center"/>
            <w:hideMark/>
          </w:tcPr>
          <w:p w14:paraId="0406185B"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57.325.977</w:t>
            </w:r>
          </w:p>
        </w:tc>
      </w:tr>
      <w:tr w:rsidR="00072A69" w:rsidRPr="004C0F36" w14:paraId="50644DD5" w14:textId="77777777" w:rsidTr="00AC1F17">
        <w:trPr>
          <w:trHeight w:val="300"/>
        </w:trPr>
        <w:tc>
          <w:tcPr>
            <w:tcW w:w="635" w:type="pct"/>
            <w:vMerge/>
            <w:vAlign w:val="center"/>
            <w:hideMark/>
          </w:tcPr>
          <w:p w14:paraId="6E58FF88"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674FFC11"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naročila male vrednosti</w:t>
            </w:r>
          </w:p>
        </w:tc>
        <w:tc>
          <w:tcPr>
            <w:tcW w:w="347" w:type="pct"/>
            <w:shd w:val="clear" w:color="auto" w:fill="auto"/>
            <w:vAlign w:val="center"/>
            <w:hideMark/>
          </w:tcPr>
          <w:p w14:paraId="0285F52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681B0FB1"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250</w:t>
            </w:r>
          </w:p>
        </w:tc>
        <w:tc>
          <w:tcPr>
            <w:tcW w:w="685" w:type="pct"/>
            <w:shd w:val="clear" w:color="auto" w:fill="auto"/>
            <w:vAlign w:val="center"/>
            <w:hideMark/>
          </w:tcPr>
          <w:p w14:paraId="7135E56C"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43.723.593</w:t>
            </w:r>
          </w:p>
        </w:tc>
        <w:tc>
          <w:tcPr>
            <w:tcW w:w="759" w:type="pct"/>
            <w:shd w:val="clear" w:color="auto" w:fill="auto"/>
            <w:vAlign w:val="center"/>
            <w:hideMark/>
          </w:tcPr>
          <w:p w14:paraId="3BAF553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41.131.163</w:t>
            </w:r>
          </w:p>
        </w:tc>
      </w:tr>
      <w:tr w:rsidR="00072A69" w:rsidRPr="004C0F36" w14:paraId="0C46007D" w14:textId="77777777" w:rsidTr="00AC1F17">
        <w:trPr>
          <w:trHeight w:val="300"/>
        </w:trPr>
        <w:tc>
          <w:tcPr>
            <w:tcW w:w="635" w:type="pct"/>
            <w:vMerge/>
            <w:vAlign w:val="center"/>
            <w:hideMark/>
          </w:tcPr>
          <w:p w14:paraId="330AC915"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3FD10944"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515D38FD"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0060201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156</w:t>
            </w:r>
          </w:p>
        </w:tc>
        <w:tc>
          <w:tcPr>
            <w:tcW w:w="685" w:type="pct"/>
            <w:shd w:val="clear" w:color="auto" w:fill="auto"/>
            <w:vAlign w:val="center"/>
            <w:hideMark/>
          </w:tcPr>
          <w:p w14:paraId="02BC1EED"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26.937.642</w:t>
            </w:r>
          </w:p>
        </w:tc>
        <w:tc>
          <w:tcPr>
            <w:tcW w:w="759" w:type="pct"/>
            <w:shd w:val="clear" w:color="auto" w:fill="auto"/>
            <w:vAlign w:val="center"/>
            <w:hideMark/>
          </w:tcPr>
          <w:p w14:paraId="05FB144A"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25.949.895</w:t>
            </w:r>
          </w:p>
        </w:tc>
      </w:tr>
      <w:tr w:rsidR="00072A69" w:rsidRPr="004C0F36" w14:paraId="6884B720" w14:textId="77777777" w:rsidTr="00AC1F17">
        <w:trPr>
          <w:trHeight w:val="300"/>
        </w:trPr>
        <w:tc>
          <w:tcPr>
            <w:tcW w:w="635" w:type="pct"/>
            <w:vMerge/>
            <w:vAlign w:val="center"/>
            <w:hideMark/>
          </w:tcPr>
          <w:p w14:paraId="748D760A"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71F64FC9"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115FB4B4"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1FA4196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106</w:t>
            </w:r>
          </w:p>
        </w:tc>
        <w:tc>
          <w:tcPr>
            <w:tcW w:w="685" w:type="pct"/>
            <w:shd w:val="clear" w:color="auto" w:fill="auto"/>
            <w:vAlign w:val="center"/>
            <w:hideMark/>
          </w:tcPr>
          <w:p w14:paraId="756F979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35.167.620</w:t>
            </w:r>
          </w:p>
        </w:tc>
        <w:tc>
          <w:tcPr>
            <w:tcW w:w="759" w:type="pct"/>
            <w:shd w:val="clear" w:color="auto" w:fill="auto"/>
            <w:vAlign w:val="center"/>
            <w:hideMark/>
          </w:tcPr>
          <w:p w14:paraId="5516D8B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33.960.031</w:t>
            </w:r>
          </w:p>
        </w:tc>
      </w:tr>
      <w:tr w:rsidR="00072A69" w:rsidRPr="004C0F36" w14:paraId="08AE3F85" w14:textId="77777777" w:rsidTr="00AC1F17">
        <w:trPr>
          <w:trHeight w:val="300"/>
        </w:trPr>
        <w:tc>
          <w:tcPr>
            <w:tcW w:w="635" w:type="pct"/>
            <w:vMerge/>
            <w:vAlign w:val="center"/>
            <w:hideMark/>
          </w:tcPr>
          <w:p w14:paraId="46722DE0"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2556CFC1"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s pogajanji brez predhodne objave</w:t>
            </w:r>
          </w:p>
        </w:tc>
        <w:tc>
          <w:tcPr>
            <w:tcW w:w="347" w:type="pct"/>
            <w:shd w:val="clear" w:color="auto" w:fill="auto"/>
            <w:vAlign w:val="center"/>
            <w:hideMark/>
          </w:tcPr>
          <w:p w14:paraId="0E6CEFBD"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0435EA3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116</w:t>
            </w:r>
          </w:p>
        </w:tc>
        <w:tc>
          <w:tcPr>
            <w:tcW w:w="685" w:type="pct"/>
            <w:shd w:val="clear" w:color="auto" w:fill="auto"/>
            <w:vAlign w:val="center"/>
            <w:hideMark/>
          </w:tcPr>
          <w:p w14:paraId="236747E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63.043.328</w:t>
            </w:r>
          </w:p>
        </w:tc>
        <w:tc>
          <w:tcPr>
            <w:tcW w:w="759" w:type="pct"/>
            <w:shd w:val="clear" w:color="auto" w:fill="auto"/>
            <w:vAlign w:val="center"/>
            <w:hideMark/>
          </w:tcPr>
          <w:p w14:paraId="4C3E2F6D"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62.404.155</w:t>
            </w:r>
          </w:p>
        </w:tc>
      </w:tr>
      <w:tr w:rsidR="00072A69" w:rsidRPr="004C0F36" w14:paraId="0F58D8BF" w14:textId="77777777" w:rsidTr="00AC1F17">
        <w:trPr>
          <w:trHeight w:val="300"/>
        </w:trPr>
        <w:tc>
          <w:tcPr>
            <w:tcW w:w="635" w:type="pct"/>
            <w:vMerge/>
            <w:vAlign w:val="center"/>
            <w:hideMark/>
          </w:tcPr>
          <w:p w14:paraId="1FC77968"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42894513"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272BCFE2"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56D2CCB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81</w:t>
            </w:r>
          </w:p>
        </w:tc>
        <w:tc>
          <w:tcPr>
            <w:tcW w:w="685" w:type="pct"/>
            <w:shd w:val="clear" w:color="auto" w:fill="auto"/>
            <w:vAlign w:val="center"/>
            <w:hideMark/>
          </w:tcPr>
          <w:p w14:paraId="7005855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39.354.327</w:t>
            </w:r>
          </w:p>
        </w:tc>
        <w:tc>
          <w:tcPr>
            <w:tcW w:w="759" w:type="pct"/>
            <w:shd w:val="clear" w:color="auto" w:fill="auto"/>
            <w:vAlign w:val="center"/>
            <w:hideMark/>
          </w:tcPr>
          <w:p w14:paraId="1ED93F2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37.445.998</w:t>
            </w:r>
          </w:p>
        </w:tc>
      </w:tr>
      <w:tr w:rsidR="00072A69" w:rsidRPr="004C0F36" w14:paraId="548AA70E" w14:textId="77777777" w:rsidTr="00AC1F17">
        <w:trPr>
          <w:trHeight w:val="300"/>
        </w:trPr>
        <w:tc>
          <w:tcPr>
            <w:tcW w:w="635" w:type="pct"/>
            <w:vMerge/>
            <w:vAlign w:val="center"/>
            <w:hideMark/>
          </w:tcPr>
          <w:p w14:paraId="5E7FCA7C"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6787F29A"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6572EBF0"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04D248E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w:t>
            </w:r>
          </w:p>
        </w:tc>
        <w:tc>
          <w:tcPr>
            <w:tcW w:w="685" w:type="pct"/>
            <w:shd w:val="clear" w:color="auto" w:fill="auto"/>
            <w:vAlign w:val="center"/>
            <w:hideMark/>
          </w:tcPr>
          <w:p w14:paraId="1243A34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4.445.318</w:t>
            </w:r>
          </w:p>
        </w:tc>
        <w:tc>
          <w:tcPr>
            <w:tcW w:w="759" w:type="pct"/>
            <w:shd w:val="clear" w:color="auto" w:fill="auto"/>
            <w:vAlign w:val="center"/>
            <w:hideMark/>
          </w:tcPr>
          <w:p w14:paraId="47DBC11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4.886.461</w:t>
            </w:r>
          </w:p>
        </w:tc>
      </w:tr>
      <w:tr w:rsidR="00072A69" w:rsidRPr="004C0F36" w14:paraId="397B6106" w14:textId="77777777" w:rsidTr="00AC1F17">
        <w:trPr>
          <w:trHeight w:val="300"/>
        </w:trPr>
        <w:tc>
          <w:tcPr>
            <w:tcW w:w="635" w:type="pct"/>
            <w:vMerge/>
            <w:vAlign w:val="center"/>
            <w:hideMark/>
          </w:tcPr>
          <w:p w14:paraId="6637A3EB"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7F98546B"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s pogajanji po predhodni objavi</w:t>
            </w:r>
          </w:p>
        </w:tc>
        <w:tc>
          <w:tcPr>
            <w:tcW w:w="347" w:type="pct"/>
            <w:shd w:val="clear" w:color="auto" w:fill="auto"/>
            <w:vAlign w:val="center"/>
            <w:hideMark/>
          </w:tcPr>
          <w:p w14:paraId="11EB9C36"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16D48987"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41</w:t>
            </w:r>
          </w:p>
        </w:tc>
        <w:tc>
          <w:tcPr>
            <w:tcW w:w="685" w:type="pct"/>
            <w:shd w:val="clear" w:color="auto" w:fill="auto"/>
            <w:vAlign w:val="center"/>
            <w:hideMark/>
          </w:tcPr>
          <w:p w14:paraId="72ACC59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69.856.045</w:t>
            </w:r>
          </w:p>
        </w:tc>
        <w:tc>
          <w:tcPr>
            <w:tcW w:w="759" w:type="pct"/>
            <w:shd w:val="clear" w:color="auto" w:fill="auto"/>
            <w:vAlign w:val="center"/>
            <w:hideMark/>
          </w:tcPr>
          <w:p w14:paraId="692487D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59.618.503</w:t>
            </w:r>
          </w:p>
        </w:tc>
      </w:tr>
      <w:tr w:rsidR="00072A69" w:rsidRPr="004C0F36" w14:paraId="3B7B201D" w14:textId="77777777" w:rsidTr="00AC1F17">
        <w:trPr>
          <w:trHeight w:val="300"/>
        </w:trPr>
        <w:tc>
          <w:tcPr>
            <w:tcW w:w="635" w:type="pct"/>
            <w:vMerge/>
            <w:vAlign w:val="center"/>
            <w:hideMark/>
          </w:tcPr>
          <w:p w14:paraId="4D4605EF"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125E8B1A"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500B1FC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55CF5CD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49</w:t>
            </w:r>
          </w:p>
        </w:tc>
        <w:tc>
          <w:tcPr>
            <w:tcW w:w="685" w:type="pct"/>
            <w:shd w:val="clear" w:color="auto" w:fill="auto"/>
            <w:vAlign w:val="center"/>
            <w:hideMark/>
          </w:tcPr>
          <w:p w14:paraId="0F28FFB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102.011.420</w:t>
            </w:r>
          </w:p>
        </w:tc>
        <w:tc>
          <w:tcPr>
            <w:tcW w:w="759" w:type="pct"/>
            <w:shd w:val="clear" w:color="auto" w:fill="auto"/>
            <w:vAlign w:val="center"/>
            <w:hideMark/>
          </w:tcPr>
          <w:p w14:paraId="32E5F880"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98.791.404</w:t>
            </w:r>
          </w:p>
        </w:tc>
      </w:tr>
      <w:tr w:rsidR="00072A69" w:rsidRPr="004C0F36" w14:paraId="03E3A5CB" w14:textId="77777777" w:rsidTr="00AC1F17">
        <w:trPr>
          <w:trHeight w:val="300"/>
        </w:trPr>
        <w:tc>
          <w:tcPr>
            <w:tcW w:w="635" w:type="pct"/>
            <w:vMerge/>
            <w:vAlign w:val="center"/>
            <w:hideMark/>
          </w:tcPr>
          <w:p w14:paraId="7D8BDBA9"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7976EE82"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62A8E4D7"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045FF070"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w:t>
            </w:r>
          </w:p>
        </w:tc>
        <w:tc>
          <w:tcPr>
            <w:tcW w:w="685" w:type="pct"/>
            <w:shd w:val="clear" w:color="auto" w:fill="auto"/>
            <w:vAlign w:val="center"/>
            <w:hideMark/>
          </w:tcPr>
          <w:p w14:paraId="6F97B47A"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4.251.840</w:t>
            </w:r>
          </w:p>
        </w:tc>
        <w:tc>
          <w:tcPr>
            <w:tcW w:w="759" w:type="pct"/>
            <w:shd w:val="clear" w:color="auto" w:fill="auto"/>
            <w:vAlign w:val="center"/>
            <w:hideMark/>
          </w:tcPr>
          <w:p w14:paraId="29F3AA9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3.206.444</w:t>
            </w:r>
          </w:p>
        </w:tc>
      </w:tr>
      <w:tr w:rsidR="00072A69" w:rsidRPr="004C0F36" w14:paraId="7011AAF3" w14:textId="77777777" w:rsidTr="00AC1F17">
        <w:trPr>
          <w:trHeight w:val="300"/>
        </w:trPr>
        <w:tc>
          <w:tcPr>
            <w:tcW w:w="635" w:type="pct"/>
            <w:vMerge w:val="restart"/>
            <w:shd w:val="clear" w:color="auto" w:fill="auto"/>
            <w:vAlign w:val="center"/>
            <w:hideMark/>
          </w:tcPr>
          <w:p w14:paraId="4F5C0ECC"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Obrambno</w:t>
            </w:r>
          </w:p>
        </w:tc>
        <w:tc>
          <w:tcPr>
            <w:tcW w:w="2079" w:type="pct"/>
            <w:vMerge w:val="restart"/>
            <w:shd w:val="clear" w:color="auto" w:fill="auto"/>
            <w:vAlign w:val="center"/>
            <w:hideMark/>
          </w:tcPr>
          <w:p w14:paraId="19B08ED7"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s pogajanji brez predhodne objave</w:t>
            </w:r>
          </w:p>
        </w:tc>
        <w:tc>
          <w:tcPr>
            <w:tcW w:w="347" w:type="pct"/>
            <w:shd w:val="clear" w:color="auto" w:fill="auto"/>
            <w:vAlign w:val="center"/>
            <w:hideMark/>
          </w:tcPr>
          <w:p w14:paraId="256482B5"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1BF720DD"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16</w:t>
            </w:r>
          </w:p>
        </w:tc>
        <w:tc>
          <w:tcPr>
            <w:tcW w:w="685" w:type="pct"/>
            <w:shd w:val="clear" w:color="auto" w:fill="auto"/>
            <w:vAlign w:val="center"/>
            <w:hideMark/>
          </w:tcPr>
          <w:p w14:paraId="72B48038"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10.129.798</w:t>
            </w:r>
          </w:p>
        </w:tc>
        <w:tc>
          <w:tcPr>
            <w:tcW w:w="759" w:type="pct"/>
            <w:shd w:val="clear" w:color="auto" w:fill="auto"/>
            <w:vAlign w:val="center"/>
            <w:hideMark/>
          </w:tcPr>
          <w:p w14:paraId="11A7DE8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10.047.770</w:t>
            </w:r>
          </w:p>
        </w:tc>
      </w:tr>
      <w:tr w:rsidR="00072A69" w:rsidRPr="004C0F36" w14:paraId="3C25AE88" w14:textId="77777777" w:rsidTr="00AC1F17">
        <w:trPr>
          <w:trHeight w:val="300"/>
        </w:trPr>
        <w:tc>
          <w:tcPr>
            <w:tcW w:w="635" w:type="pct"/>
            <w:vMerge/>
            <w:vAlign w:val="center"/>
            <w:hideMark/>
          </w:tcPr>
          <w:p w14:paraId="70D82369"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2ED36C28"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7FE8FB7E"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2804FD1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20</w:t>
            </w:r>
          </w:p>
        </w:tc>
        <w:tc>
          <w:tcPr>
            <w:tcW w:w="685" w:type="pct"/>
            <w:shd w:val="clear" w:color="auto" w:fill="auto"/>
            <w:vAlign w:val="center"/>
            <w:hideMark/>
          </w:tcPr>
          <w:p w14:paraId="626F5AE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7.371.585</w:t>
            </w:r>
          </w:p>
        </w:tc>
        <w:tc>
          <w:tcPr>
            <w:tcW w:w="759" w:type="pct"/>
            <w:shd w:val="clear" w:color="auto" w:fill="auto"/>
            <w:vAlign w:val="center"/>
            <w:hideMark/>
          </w:tcPr>
          <w:p w14:paraId="64FF95E0"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7.356.859</w:t>
            </w:r>
          </w:p>
        </w:tc>
      </w:tr>
      <w:tr w:rsidR="00072A69" w:rsidRPr="004C0F36" w14:paraId="13D505B4" w14:textId="77777777" w:rsidTr="00AC1F17">
        <w:trPr>
          <w:trHeight w:val="300"/>
        </w:trPr>
        <w:tc>
          <w:tcPr>
            <w:tcW w:w="635" w:type="pct"/>
            <w:vMerge/>
            <w:vAlign w:val="center"/>
            <w:hideMark/>
          </w:tcPr>
          <w:p w14:paraId="0CA5706D"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41D6B0FB"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64506D8A"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7C87379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w:t>
            </w:r>
          </w:p>
        </w:tc>
        <w:tc>
          <w:tcPr>
            <w:tcW w:w="685" w:type="pct"/>
            <w:shd w:val="clear" w:color="auto" w:fill="auto"/>
            <w:vAlign w:val="center"/>
            <w:hideMark/>
          </w:tcPr>
          <w:p w14:paraId="6A6CDB1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887.705</w:t>
            </w:r>
          </w:p>
        </w:tc>
        <w:tc>
          <w:tcPr>
            <w:tcW w:w="759" w:type="pct"/>
            <w:shd w:val="clear" w:color="auto" w:fill="auto"/>
            <w:vAlign w:val="center"/>
            <w:hideMark/>
          </w:tcPr>
          <w:p w14:paraId="6D1D305B"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865.509</w:t>
            </w:r>
          </w:p>
        </w:tc>
      </w:tr>
      <w:tr w:rsidR="00072A69" w:rsidRPr="004C0F36" w14:paraId="0C7EAB13" w14:textId="77777777" w:rsidTr="00AC1F17">
        <w:trPr>
          <w:trHeight w:val="300"/>
        </w:trPr>
        <w:tc>
          <w:tcPr>
            <w:tcW w:w="635" w:type="pct"/>
            <w:vMerge/>
            <w:vAlign w:val="center"/>
            <w:hideMark/>
          </w:tcPr>
          <w:p w14:paraId="6E487A91"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6D930502"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s pogajanji po predhodni objavi</w:t>
            </w:r>
          </w:p>
        </w:tc>
        <w:tc>
          <w:tcPr>
            <w:tcW w:w="347" w:type="pct"/>
            <w:shd w:val="clear" w:color="auto" w:fill="auto"/>
            <w:vAlign w:val="center"/>
            <w:hideMark/>
          </w:tcPr>
          <w:p w14:paraId="3C341324"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34CF17D5"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7</w:t>
            </w:r>
          </w:p>
        </w:tc>
        <w:tc>
          <w:tcPr>
            <w:tcW w:w="685" w:type="pct"/>
            <w:shd w:val="clear" w:color="auto" w:fill="auto"/>
            <w:vAlign w:val="center"/>
            <w:hideMark/>
          </w:tcPr>
          <w:p w14:paraId="07D2125C"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35.904.358</w:t>
            </w:r>
          </w:p>
        </w:tc>
        <w:tc>
          <w:tcPr>
            <w:tcW w:w="759" w:type="pct"/>
            <w:shd w:val="clear" w:color="auto" w:fill="auto"/>
            <w:vAlign w:val="center"/>
            <w:hideMark/>
          </w:tcPr>
          <w:p w14:paraId="21170DF1"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34.040.016</w:t>
            </w:r>
          </w:p>
        </w:tc>
      </w:tr>
      <w:tr w:rsidR="00072A69" w:rsidRPr="004C0F36" w14:paraId="6AAC3ACE" w14:textId="77777777" w:rsidTr="00AC1F17">
        <w:trPr>
          <w:trHeight w:val="300"/>
        </w:trPr>
        <w:tc>
          <w:tcPr>
            <w:tcW w:w="635" w:type="pct"/>
            <w:vMerge/>
            <w:vAlign w:val="center"/>
            <w:hideMark/>
          </w:tcPr>
          <w:p w14:paraId="7275A72E"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269B8127"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36B68F4F"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14A490E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w:t>
            </w:r>
          </w:p>
        </w:tc>
        <w:tc>
          <w:tcPr>
            <w:tcW w:w="685" w:type="pct"/>
            <w:shd w:val="clear" w:color="auto" w:fill="auto"/>
            <w:vAlign w:val="center"/>
            <w:hideMark/>
          </w:tcPr>
          <w:p w14:paraId="0856F70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8.178.321</w:t>
            </w:r>
          </w:p>
        </w:tc>
        <w:tc>
          <w:tcPr>
            <w:tcW w:w="759" w:type="pct"/>
            <w:shd w:val="clear" w:color="auto" w:fill="auto"/>
            <w:vAlign w:val="center"/>
            <w:hideMark/>
          </w:tcPr>
          <w:p w14:paraId="0B4ED774"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8.043.316</w:t>
            </w:r>
          </w:p>
        </w:tc>
      </w:tr>
      <w:tr w:rsidR="00072A69" w:rsidRPr="004C0F36" w14:paraId="4105A147" w14:textId="77777777" w:rsidTr="00AC1F17">
        <w:trPr>
          <w:trHeight w:val="300"/>
        </w:trPr>
        <w:tc>
          <w:tcPr>
            <w:tcW w:w="635" w:type="pct"/>
            <w:vMerge/>
            <w:vAlign w:val="center"/>
            <w:hideMark/>
          </w:tcPr>
          <w:p w14:paraId="6C58DD7B"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2835A00F"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2C4A3A57"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Gradnje</w:t>
            </w:r>
          </w:p>
        </w:tc>
        <w:tc>
          <w:tcPr>
            <w:tcW w:w="495" w:type="pct"/>
            <w:shd w:val="clear" w:color="auto" w:fill="auto"/>
            <w:vAlign w:val="center"/>
            <w:hideMark/>
          </w:tcPr>
          <w:p w14:paraId="36ACDBB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2</w:t>
            </w:r>
          </w:p>
        </w:tc>
        <w:tc>
          <w:tcPr>
            <w:tcW w:w="685" w:type="pct"/>
            <w:shd w:val="clear" w:color="auto" w:fill="auto"/>
            <w:vAlign w:val="center"/>
            <w:hideMark/>
          </w:tcPr>
          <w:p w14:paraId="2076F472"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4.112.500</w:t>
            </w:r>
          </w:p>
        </w:tc>
        <w:tc>
          <w:tcPr>
            <w:tcW w:w="759" w:type="pct"/>
            <w:shd w:val="clear" w:color="auto" w:fill="auto"/>
            <w:vAlign w:val="center"/>
            <w:hideMark/>
          </w:tcPr>
          <w:p w14:paraId="0E8C8CE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4.057.380</w:t>
            </w:r>
          </w:p>
        </w:tc>
      </w:tr>
      <w:tr w:rsidR="00072A69" w:rsidRPr="004C0F36" w14:paraId="18B95562" w14:textId="77777777" w:rsidTr="00AC1F17">
        <w:trPr>
          <w:trHeight w:val="300"/>
        </w:trPr>
        <w:tc>
          <w:tcPr>
            <w:tcW w:w="635" w:type="pct"/>
            <w:vMerge/>
            <w:vAlign w:val="center"/>
            <w:hideMark/>
          </w:tcPr>
          <w:p w14:paraId="1008FF35"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restart"/>
            <w:shd w:val="clear" w:color="auto" w:fill="auto"/>
            <w:vAlign w:val="center"/>
            <w:hideMark/>
          </w:tcPr>
          <w:p w14:paraId="443342A2" w14:textId="77777777" w:rsidR="00072A69" w:rsidRPr="004C0F36" w:rsidRDefault="00072A69" w:rsidP="00AC1F17">
            <w:pPr>
              <w:spacing w:after="0" w:line="240" w:lineRule="auto"/>
              <w:jc w:val="center"/>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Postopek zbiranja ponudb po predhodni objavi</w:t>
            </w:r>
          </w:p>
        </w:tc>
        <w:tc>
          <w:tcPr>
            <w:tcW w:w="347" w:type="pct"/>
            <w:shd w:val="clear" w:color="auto" w:fill="auto"/>
            <w:vAlign w:val="center"/>
            <w:hideMark/>
          </w:tcPr>
          <w:p w14:paraId="7D902B65"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Blago</w:t>
            </w:r>
          </w:p>
        </w:tc>
        <w:tc>
          <w:tcPr>
            <w:tcW w:w="495" w:type="pct"/>
            <w:shd w:val="clear" w:color="auto" w:fill="auto"/>
            <w:vAlign w:val="center"/>
            <w:hideMark/>
          </w:tcPr>
          <w:p w14:paraId="1EDDCD23"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8</w:t>
            </w:r>
          </w:p>
        </w:tc>
        <w:tc>
          <w:tcPr>
            <w:tcW w:w="685" w:type="pct"/>
            <w:shd w:val="clear" w:color="auto" w:fill="auto"/>
            <w:vAlign w:val="center"/>
            <w:hideMark/>
          </w:tcPr>
          <w:p w14:paraId="3E136C8A"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1.232.357</w:t>
            </w:r>
          </w:p>
        </w:tc>
        <w:tc>
          <w:tcPr>
            <w:tcW w:w="759" w:type="pct"/>
            <w:shd w:val="clear" w:color="auto" w:fill="auto"/>
            <w:vAlign w:val="center"/>
            <w:hideMark/>
          </w:tcPr>
          <w:p w14:paraId="0A37C626"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1.228.228</w:t>
            </w:r>
          </w:p>
        </w:tc>
      </w:tr>
      <w:tr w:rsidR="00072A69" w:rsidRPr="004C0F36" w14:paraId="61D48E0C" w14:textId="77777777" w:rsidTr="00AC1F17">
        <w:trPr>
          <w:trHeight w:val="300"/>
        </w:trPr>
        <w:tc>
          <w:tcPr>
            <w:tcW w:w="635" w:type="pct"/>
            <w:vMerge/>
            <w:vAlign w:val="center"/>
            <w:hideMark/>
          </w:tcPr>
          <w:p w14:paraId="190D3F36"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2079" w:type="pct"/>
            <w:vMerge/>
            <w:vAlign w:val="center"/>
            <w:hideMark/>
          </w:tcPr>
          <w:p w14:paraId="2C3EAD58" w14:textId="77777777" w:rsidR="00072A69" w:rsidRPr="004C0F36" w:rsidRDefault="00072A69" w:rsidP="00AC1F17">
            <w:pPr>
              <w:spacing w:after="0" w:line="240" w:lineRule="auto"/>
              <w:rPr>
                <w:rFonts w:ascii="Arial" w:eastAsia="Times New Roman" w:hAnsi="Arial" w:cs="Arial"/>
                <w:color w:val="000000"/>
                <w:sz w:val="18"/>
                <w:szCs w:val="18"/>
                <w:lang w:eastAsia="sl-SI"/>
              </w:rPr>
            </w:pPr>
          </w:p>
        </w:tc>
        <w:tc>
          <w:tcPr>
            <w:tcW w:w="347" w:type="pct"/>
            <w:shd w:val="clear" w:color="auto" w:fill="auto"/>
            <w:vAlign w:val="center"/>
            <w:hideMark/>
          </w:tcPr>
          <w:p w14:paraId="7B8CE1AE" w14:textId="77777777" w:rsidR="00072A69" w:rsidRPr="004C0F36" w:rsidRDefault="00072A69" w:rsidP="00AC1F17">
            <w:pPr>
              <w:spacing w:after="0" w:line="240" w:lineRule="auto"/>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Storitve</w:t>
            </w:r>
          </w:p>
        </w:tc>
        <w:tc>
          <w:tcPr>
            <w:tcW w:w="495" w:type="pct"/>
            <w:shd w:val="clear" w:color="auto" w:fill="auto"/>
            <w:vAlign w:val="center"/>
            <w:hideMark/>
          </w:tcPr>
          <w:p w14:paraId="66BAD2CF"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5</w:t>
            </w:r>
          </w:p>
        </w:tc>
        <w:tc>
          <w:tcPr>
            <w:tcW w:w="685" w:type="pct"/>
            <w:shd w:val="clear" w:color="auto" w:fill="auto"/>
            <w:vAlign w:val="center"/>
            <w:hideMark/>
          </w:tcPr>
          <w:p w14:paraId="2836401E"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413.082</w:t>
            </w:r>
          </w:p>
        </w:tc>
        <w:tc>
          <w:tcPr>
            <w:tcW w:w="759" w:type="pct"/>
            <w:shd w:val="clear" w:color="auto" w:fill="auto"/>
            <w:vAlign w:val="center"/>
            <w:hideMark/>
          </w:tcPr>
          <w:p w14:paraId="44468E79" w14:textId="77777777" w:rsidR="00072A69" w:rsidRPr="004C0F36" w:rsidRDefault="00072A69" w:rsidP="00AC1F17">
            <w:pPr>
              <w:spacing w:after="0" w:line="240" w:lineRule="auto"/>
              <w:jc w:val="right"/>
              <w:rPr>
                <w:rFonts w:ascii="Arial" w:eastAsia="Times New Roman" w:hAnsi="Arial" w:cs="Arial"/>
                <w:color w:val="000000"/>
                <w:sz w:val="18"/>
                <w:szCs w:val="18"/>
                <w:lang w:eastAsia="sl-SI"/>
              </w:rPr>
            </w:pPr>
            <w:r w:rsidRPr="004C0F36">
              <w:rPr>
                <w:rFonts w:ascii="Arial" w:eastAsia="Times New Roman" w:hAnsi="Arial" w:cs="Arial"/>
                <w:color w:val="000000"/>
                <w:sz w:val="18"/>
                <w:szCs w:val="18"/>
                <w:lang w:eastAsia="sl-SI"/>
              </w:rPr>
              <w:t>397.594</w:t>
            </w:r>
          </w:p>
        </w:tc>
      </w:tr>
    </w:tbl>
    <w:p w14:paraId="325A5740" w14:textId="77777777" w:rsidR="00072A69" w:rsidRPr="00EF2D0B" w:rsidRDefault="00072A69" w:rsidP="00072A69">
      <w:pPr>
        <w:pStyle w:val="ZADEVA"/>
        <w:jc w:val="both"/>
        <w:rPr>
          <w:rFonts w:cs="Arial"/>
          <w:b w:val="0"/>
          <w:szCs w:val="20"/>
          <w:highlight w:val="yellow"/>
          <w:lang w:val="sl-SI"/>
        </w:rPr>
      </w:pPr>
    </w:p>
    <w:p w14:paraId="4ED1F383" w14:textId="77777777" w:rsidR="00072A69" w:rsidRPr="00EF2D0B" w:rsidRDefault="00072A69" w:rsidP="00072A69">
      <w:pPr>
        <w:pStyle w:val="ZADEVA"/>
        <w:jc w:val="both"/>
        <w:rPr>
          <w:rFonts w:cs="Arial"/>
          <w:b w:val="0"/>
          <w:szCs w:val="20"/>
          <w:highlight w:val="yellow"/>
          <w:lang w:val="sl-SI"/>
        </w:rPr>
      </w:pPr>
    </w:p>
    <w:p w14:paraId="6777CA72" w14:textId="4F60BAB6" w:rsidR="00072A69" w:rsidRPr="00A04FCB" w:rsidRDefault="00072A69" w:rsidP="00072A69">
      <w:pPr>
        <w:pStyle w:val="ZADEVA"/>
        <w:spacing w:line="240" w:lineRule="auto"/>
        <w:jc w:val="both"/>
        <w:rPr>
          <w:rFonts w:cs="Arial"/>
          <w:b w:val="0"/>
          <w:szCs w:val="20"/>
          <w:lang w:val="sl-SI"/>
        </w:rPr>
      </w:pPr>
      <w:r w:rsidRPr="00A04FCB">
        <w:rPr>
          <w:rFonts w:cs="Arial"/>
          <w:b w:val="0"/>
          <w:szCs w:val="20"/>
          <w:lang w:val="sl-SI"/>
        </w:rPr>
        <w:t>Priloga 7</w:t>
      </w:r>
      <w:r w:rsidR="008D46F4">
        <w:rPr>
          <w:rFonts w:cs="Arial"/>
          <w:b w:val="0"/>
          <w:szCs w:val="20"/>
          <w:lang w:val="sl-SI"/>
        </w:rPr>
        <w:t>1</w:t>
      </w:r>
      <w:r w:rsidRPr="00A04FCB">
        <w:rPr>
          <w:rFonts w:cs="Arial"/>
          <w:b w:val="0"/>
          <w:szCs w:val="20"/>
          <w:lang w:val="sl-SI"/>
        </w:rPr>
        <w:t>: Javna naročila glede na kategorijo naročnika in predmet naročanja</w:t>
      </w:r>
    </w:p>
    <w:p w14:paraId="799E59CB" w14:textId="77777777" w:rsidR="00072A69" w:rsidRPr="00EF2D0B" w:rsidRDefault="00072A69" w:rsidP="00072A69">
      <w:pPr>
        <w:pStyle w:val="ZADEVA"/>
        <w:spacing w:line="240" w:lineRule="auto"/>
        <w:jc w:val="both"/>
        <w:rPr>
          <w:rFonts w:cs="Arial"/>
          <w:b w:val="0"/>
          <w:szCs w:val="20"/>
          <w:highlight w:val="yellow"/>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3"/>
        <w:gridCol w:w="2601"/>
        <w:gridCol w:w="1559"/>
        <w:gridCol w:w="1415"/>
        <w:gridCol w:w="2264"/>
      </w:tblGrid>
      <w:tr w:rsidR="00072A69" w:rsidRPr="008F1E3F" w14:paraId="00505935" w14:textId="77777777" w:rsidTr="00C320EE">
        <w:trPr>
          <w:trHeight w:val="300"/>
          <w:tblHeader/>
        </w:trPr>
        <w:tc>
          <w:tcPr>
            <w:tcW w:w="675" w:type="pct"/>
            <w:shd w:val="clear" w:color="000000" w:fill="EDEDED"/>
            <w:vAlign w:val="center"/>
            <w:hideMark/>
          </w:tcPr>
          <w:p w14:paraId="4AE7AD8B"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Kategorija naročnika</w:t>
            </w:r>
          </w:p>
        </w:tc>
        <w:tc>
          <w:tcPr>
            <w:tcW w:w="1435" w:type="pct"/>
            <w:shd w:val="clear" w:color="000000" w:fill="EDEDED"/>
            <w:vAlign w:val="center"/>
            <w:hideMark/>
          </w:tcPr>
          <w:p w14:paraId="34F97D72"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Opis kategorije</w:t>
            </w:r>
          </w:p>
        </w:tc>
        <w:tc>
          <w:tcPr>
            <w:tcW w:w="860" w:type="pct"/>
            <w:shd w:val="clear" w:color="000000" w:fill="EDEDED"/>
            <w:vAlign w:val="center"/>
            <w:hideMark/>
          </w:tcPr>
          <w:p w14:paraId="624E50FC"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 xml:space="preserve">Predmet </w:t>
            </w:r>
          </w:p>
        </w:tc>
        <w:tc>
          <w:tcPr>
            <w:tcW w:w="781" w:type="pct"/>
            <w:shd w:val="clear" w:color="000000" w:fill="EDEDED"/>
            <w:vAlign w:val="center"/>
            <w:hideMark/>
          </w:tcPr>
          <w:p w14:paraId="7185B3D4"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Št. naročil</w:t>
            </w:r>
          </w:p>
        </w:tc>
        <w:tc>
          <w:tcPr>
            <w:tcW w:w="1249" w:type="pct"/>
            <w:shd w:val="clear" w:color="000000" w:fill="EDEDED"/>
            <w:vAlign w:val="center"/>
            <w:hideMark/>
          </w:tcPr>
          <w:p w14:paraId="3150B584"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Pogodbena vrednost</w:t>
            </w:r>
          </w:p>
        </w:tc>
      </w:tr>
      <w:tr w:rsidR="00072A69" w:rsidRPr="008F1E3F" w14:paraId="0A47911B" w14:textId="77777777" w:rsidTr="00AC1F17">
        <w:trPr>
          <w:trHeight w:val="300"/>
        </w:trPr>
        <w:tc>
          <w:tcPr>
            <w:tcW w:w="675" w:type="pct"/>
            <w:vMerge w:val="restart"/>
            <w:shd w:val="clear" w:color="auto" w:fill="auto"/>
            <w:vAlign w:val="center"/>
            <w:hideMark/>
          </w:tcPr>
          <w:p w14:paraId="257AE7F9"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w:t>
            </w:r>
          </w:p>
        </w:tc>
        <w:tc>
          <w:tcPr>
            <w:tcW w:w="1435" w:type="pct"/>
            <w:vMerge w:val="restart"/>
            <w:shd w:val="clear" w:color="auto" w:fill="auto"/>
            <w:vAlign w:val="center"/>
            <w:hideMark/>
          </w:tcPr>
          <w:p w14:paraId="77220B41"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Organi RS</w:t>
            </w:r>
          </w:p>
        </w:tc>
        <w:tc>
          <w:tcPr>
            <w:tcW w:w="860" w:type="pct"/>
            <w:shd w:val="clear" w:color="auto" w:fill="auto"/>
            <w:vAlign w:val="center"/>
            <w:hideMark/>
          </w:tcPr>
          <w:p w14:paraId="7016B5FF"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3250DB5E"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703</w:t>
            </w:r>
          </w:p>
        </w:tc>
        <w:tc>
          <w:tcPr>
            <w:tcW w:w="1249" w:type="pct"/>
            <w:shd w:val="clear" w:color="auto" w:fill="auto"/>
            <w:vAlign w:val="center"/>
            <w:hideMark/>
          </w:tcPr>
          <w:p w14:paraId="62FC75FF"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174.778.751</w:t>
            </w:r>
          </w:p>
        </w:tc>
      </w:tr>
      <w:tr w:rsidR="00072A69" w:rsidRPr="008F1E3F" w14:paraId="3B6FE6B3" w14:textId="77777777" w:rsidTr="00AC1F17">
        <w:trPr>
          <w:trHeight w:val="300"/>
        </w:trPr>
        <w:tc>
          <w:tcPr>
            <w:tcW w:w="675" w:type="pct"/>
            <w:vMerge/>
            <w:vAlign w:val="center"/>
            <w:hideMark/>
          </w:tcPr>
          <w:p w14:paraId="769667A3"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0312C637"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024AD1F9"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0B65F476"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913</w:t>
            </w:r>
          </w:p>
        </w:tc>
        <w:tc>
          <w:tcPr>
            <w:tcW w:w="1249" w:type="pct"/>
            <w:shd w:val="clear" w:color="auto" w:fill="auto"/>
            <w:vAlign w:val="center"/>
            <w:hideMark/>
          </w:tcPr>
          <w:p w14:paraId="6160036A"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178.790.818</w:t>
            </w:r>
          </w:p>
        </w:tc>
      </w:tr>
      <w:tr w:rsidR="00072A69" w:rsidRPr="008F1E3F" w14:paraId="66494319" w14:textId="77777777" w:rsidTr="00AC1F17">
        <w:trPr>
          <w:trHeight w:val="300"/>
        </w:trPr>
        <w:tc>
          <w:tcPr>
            <w:tcW w:w="675" w:type="pct"/>
            <w:vMerge/>
            <w:vAlign w:val="center"/>
            <w:hideMark/>
          </w:tcPr>
          <w:p w14:paraId="4EF22596"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3A98CD0D"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12FF323C"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6336D859"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300</w:t>
            </w:r>
          </w:p>
        </w:tc>
        <w:tc>
          <w:tcPr>
            <w:tcW w:w="1249" w:type="pct"/>
            <w:shd w:val="clear" w:color="auto" w:fill="auto"/>
            <w:vAlign w:val="center"/>
            <w:hideMark/>
          </w:tcPr>
          <w:p w14:paraId="4A16C325"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291.872.797</w:t>
            </w:r>
          </w:p>
        </w:tc>
      </w:tr>
      <w:tr w:rsidR="00072A69" w:rsidRPr="008F1E3F" w14:paraId="1BBCB956" w14:textId="77777777" w:rsidTr="00AC1F17">
        <w:trPr>
          <w:trHeight w:val="300"/>
        </w:trPr>
        <w:tc>
          <w:tcPr>
            <w:tcW w:w="675" w:type="pct"/>
            <w:vMerge/>
            <w:vAlign w:val="center"/>
            <w:hideMark/>
          </w:tcPr>
          <w:p w14:paraId="239FFC10"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4B95AD74"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482C2B75"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618C0C0E"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1.916</w:t>
            </w:r>
          </w:p>
        </w:tc>
        <w:tc>
          <w:tcPr>
            <w:tcW w:w="1249" w:type="pct"/>
            <w:shd w:val="clear" w:color="auto" w:fill="auto"/>
            <w:vAlign w:val="center"/>
            <w:hideMark/>
          </w:tcPr>
          <w:p w14:paraId="54B76C25"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645.442.366</w:t>
            </w:r>
          </w:p>
        </w:tc>
      </w:tr>
      <w:tr w:rsidR="00072A69" w:rsidRPr="008F1E3F" w14:paraId="23B639DC" w14:textId="77777777" w:rsidTr="00AC1F17">
        <w:trPr>
          <w:trHeight w:val="300"/>
        </w:trPr>
        <w:tc>
          <w:tcPr>
            <w:tcW w:w="675" w:type="pct"/>
            <w:vMerge w:val="restart"/>
            <w:shd w:val="clear" w:color="auto" w:fill="auto"/>
            <w:vAlign w:val="center"/>
            <w:hideMark/>
          </w:tcPr>
          <w:p w14:paraId="321ECF51"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w:t>
            </w:r>
          </w:p>
        </w:tc>
        <w:tc>
          <w:tcPr>
            <w:tcW w:w="1435" w:type="pct"/>
            <w:vMerge w:val="restart"/>
            <w:shd w:val="clear" w:color="auto" w:fill="auto"/>
            <w:vAlign w:val="center"/>
            <w:hideMark/>
          </w:tcPr>
          <w:p w14:paraId="63041D4E"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Samoupravne lokalne skupnosti</w:t>
            </w:r>
          </w:p>
        </w:tc>
        <w:tc>
          <w:tcPr>
            <w:tcW w:w="860" w:type="pct"/>
            <w:shd w:val="clear" w:color="auto" w:fill="auto"/>
            <w:vAlign w:val="center"/>
            <w:hideMark/>
          </w:tcPr>
          <w:p w14:paraId="2FE53319"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06E5FFEE"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223</w:t>
            </w:r>
          </w:p>
        </w:tc>
        <w:tc>
          <w:tcPr>
            <w:tcW w:w="1249" w:type="pct"/>
            <w:shd w:val="clear" w:color="auto" w:fill="auto"/>
            <w:vAlign w:val="center"/>
            <w:hideMark/>
          </w:tcPr>
          <w:p w14:paraId="409809A1"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29.925.135</w:t>
            </w:r>
          </w:p>
        </w:tc>
      </w:tr>
      <w:tr w:rsidR="00072A69" w:rsidRPr="008F1E3F" w14:paraId="79CCAC2C" w14:textId="77777777" w:rsidTr="00AC1F17">
        <w:trPr>
          <w:trHeight w:val="300"/>
        </w:trPr>
        <w:tc>
          <w:tcPr>
            <w:tcW w:w="675" w:type="pct"/>
            <w:vMerge/>
            <w:vAlign w:val="center"/>
            <w:hideMark/>
          </w:tcPr>
          <w:p w14:paraId="20D674A1"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5E4517CF"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1BAF3971"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2C3B6457"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604</w:t>
            </w:r>
          </w:p>
        </w:tc>
        <w:tc>
          <w:tcPr>
            <w:tcW w:w="1249" w:type="pct"/>
            <w:shd w:val="clear" w:color="auto" w:fill="auto"/>
            <w:vAlign w:val="center"/>
            <w:hideMark/>
          </w:tcPr>
          <w:p w14:paraId="7D853199"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73.791.005</w:t>
            </w:r>
          </w:p>
        </w:tc>
      </w:tr>
      <w:tr w:rsidR="00072A69" w:rsidRPr="008F1E3F" w14:paraId="64D40F1F" w14:textId="77777777" w:rsidTr="00AC1F17">
        <w:trPr>
          <w:trHeight w:val="300"/>
        </w:trPr>
        <w:tc>
          <w:tcPr>
            <w:tcW w:w="675" w:type="pct"/>
            <w:vMerge/>
            <w:vAlign w:val="center"/>
            <w:hideMark/>
          </w:tcPr>
          <w:p w14:paraId="3BF5FBE9"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66CDF115"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05A6B1DC"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670208BB"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1.064</w:t>
            </w:r>
          </w:p>
        </w:tc>
        <w:tc>
          <w:tcPr>
            <w:tcW w:w="1249" w:type="pct"/>
            <w:shd w:val="clear" w:color="auto" w:fill="auto"/>
            <w:vAlign w:val="center"/>
            <w:hideMark/>
          </w:tcPr>
          <w:p w14:paraId="5415D688"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367.933.818</w:t>
            </w:r>
          </w:p>
        </w:tc>
      </w:tr>
      <w:tr w:rsidR="00072A69" w:rsidRPr="008F1E3F" w14:paraId="546FBCA6" w14:textId="77777777" w:rsidTr="00AC1F17">
        <w:trPr>
          <w:trHeight w:val="300"/>
        </w:trPr>
        <w:tc>
          <w:tcPr>
            <w:tcW w:w="675" w:type="pct"/>
            <w:vMerge/>
            <w:vAlign w:val="center"/>
            <w:hideMark/>
          </w:tcPr>
          <w:p w14:paraId="365511CC"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78988A69"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0F02CD0B"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7980CBE0"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1.891</w:t>
            </w:r>
          </w:p>
        </w:tc>
        <w:tc>
          <w:tcPr>
            <w:tcW w:w="1249" w:type="pct"/>
            <w:shd w:val="clear" w:color="auto" w:fill="auto"/>
            <w:vAlign w:val="center"/>
            <w:hideMark/>
          </w:tcPr>
          <w:p w14:paraId="5D1A4902"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471.649.958</w:t>
            </w:r>
          </w:p>
        </w:tc>
      </w:tr>
      <w:tr w:rsidR="00072A69" w:rsidRPr="008F1E3F" w14:paraId="72F0BC9F" w14:textId="77777777" w:rsidTr="00AC1F17">
        <w:trPr>
          <w:trHeight w:val="300"/>
        </w:trPr>
        <w:tc>
          <w:tcPr>
            <w:tcW w:w="675" w:type="pct"/>
            <w:vMerge w:val="restart"/>
            <w:shd w:val="clear" w:color="auto" w:fill="auto"/>
            <w:vAlign w:val="center"/>
            <w:hideMark/>
          </w:tcPr>
          <w:p w14:paraId="5DA50DDC"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w:t>
            </w:r>
          </w:p>
        </w:tc>
        <w:tc>
          <w:tcPr>
            <w:tcW w:w="1435" w:type="pct"/>
            <w:vMerge w:val="restart"/>
            <w:shd w:val="clear" w:color="auto" w:fill="auto"/>
            <w:vAlign w:val="center"/>
            <w:hideMark/>
          </w:tcPr>
          <w:p w14:paraId="20119DCC"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Javni skladi</w:t>
            </w:r>
          </w:p>
        </w:tc>
        <w:tc>
          <w:tcPr>
            <w:tcW w:w="860" w:type="pct"/>
            <w:shd w:val="clear" w:color="auto" w:fill="auto"/>
            <w:vAlign w:val="center"/>
            <w:hideMark/>
          </w:tcPr>
          <w:p w14:paraId="5EDF4BA9"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37668735"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8</w:t>
            </w:r>
          </w:p>
        </w:tc>
        <w:tc>
          <w:tcPr>
            <w:tcW w:w="1249" w:type="pct"/>
            <w:shd w:val="clear" w:color="auto" w:fill="auto"/>
            <w:vAlign w:val="center"/>
            <w:hideMark/>
          </w:tcPr>
          <w:p w14:paraId="735DDCE9"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82.817</w:t>
            </w:r>
          </w:p>
        </w:tc>
      </w:tr>
      <w:tr w:rsidR="00072A69" w:rsidRPr="008F1E3F" w14:paraId="274DB7A7" w14:textId="77777777" w:rsidTr="00AC1F17">
        <w:trPr>
          <w:trHeight w:val="300"/>
        </w:trPr>
        <w:tc>
          <w:tcPr>
            <w:tcW w:w="675" w:type="pct"/>
            <w:vMerge/>
            <w:vAlign w:val="center"/>
            <w:hideMark/>
          </w:tcPr>
          <w:p w14:paraId="188101D8"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28308C78"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698998A1"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5EB14BCD"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23</w:t>
            </w:r>
          </w:p>
        </w:tc>
        <w:tc>
          <w:tcPr>
            <w:tcW w:w="1249" w:type="pct"/>
            <w:shd w:val="clear" w:color="auto" w:fill="auto"/>
            <w:vAlign w:val="center"/>
            <w:hideMark/>
          </w:tcPr>
          <w:p w14:paraId="52B5E637"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3.733.127</w:t>
            </w:r>
          </w:p>
        </w:tc>
      </w:tr>
      <w:tr w:rsidR="00072A69" w:rsidRPr="008F1E3F" w14:paraId="07D3CECC" w14:textId="77777777" w:rsidTr="00AC1F17">
        <w:trPr>
          <w:trHeight w:val="300"/>
        </w:trPr>
        <w:tc>
          <w:tcPr>
            <w:tcW w:w="675" w:type="pct"/>
            <w:vMerge/>
            <w:vAlign w:val="center"/>
            <w:hideMark/>
          </w:tcPr>
          <w:p w14:paraId="6B8B5C2E"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5C5C3ABC"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59461909"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713B46D5"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28</w:t>
            </w:r>
          </w:p>
        </w:tc>
        <w:tc>
          <w:tcPr>
            <w:tcW w:w="1249" w:type="pct"/>
            <w:shd w:val="clear" w:color="auto" w:fill="auto"/>
            <w:vAlign w:val="center"/>
            <w:hideMark/>
          </w:tcPr>
          <w:p w14:paraId="0A194E0C"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9.060.366</w:t>
            </w:r>
          </w:p>
        </w:tc>
      </w:tr>
      <w:tr w:rsidR="00072A69" w:rsidRPr="008F1E3F" w14:paraId="7BD03B9F" w14:textId="77777777" w:rsidTr="00AC1F17">
        <w:trPr>
          <w:trHeight w:val="300"/>
        </w:trPr>
        <w:tc>
          <w:tcPr>
            <w:tcW w:w="675" w:type="pct"/>
            <w:vMerge/>
            <w:vAlign w:val="center"/>
            <w:hideMark/>
          </w:tcPr>
          <w:p w14:paraId="63B11092"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1AD58E2D"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0DBC25B9"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05FFE7BA"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59</w:t>
            </w:r>
          </w:p>
        </w:tc>
        <w:tc>
          <w:tcPr>
            <w:tcW w:w="1249" w:type="pct"/>
            <w:shd w:val="clear" w:color="auto" w:fill="auto"/>
            <w:vAlign w:val="center"/>
            <w:hideMark/>
          </w:tcPr>
          <w:p w14:paraId="456982EB"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12.876.310</w:t>
            </w:r>
          </w:p>
        </w:tc>
      </w:tr>
      <w:tr w:rsidR="00072A69" w:rsidRPr="008F1E3F" w14:paraId="2B061F56" w14:textId="77777777" w:rsidTr="00AC1F17">
        <w:trPr>
          <w:trHeight w:val="300"/>
        </w:trPr>
        <w:tc>
          <w:tcPr>
            <w:tcW w:w="675" w:type="pct"/>
            <w:vMerge w:val="restart"/>
            <w:shd w:val="clear" w:color="auto" w:fill="auto"/>
            <w:vAlign w:val="center"/>
            <w:hideMark/>
          </w:tcPr>
          <w:p w14:paraId="7E8C432F"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4</w:t>
            </w:r>
          </w:p>
        </w:tc>
        <w:tc>
          <w:tcPr>
            <w:tcW w:w="1435" w:type="pct"/>
            <w:vMerge w:val="restart"/>
            <w:shd w:val="clear" w:color="auto" w:fill="auto"/>
            <w:vAlign w:val="center"/>
            <w:hideMark/>
          </w:tcPr>
          <w:p w14:paraId="65FA6F2A"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Javne agencije</w:t>
            </w:r>
          </w:p>
        </w:tc>
        <w:tc>
          <w:tcPr>
            <w:tcW w:w="860" w:type="pct"/>
            <w:shd w:val="clear" w:color="auto" w:fill="auto"/>
            <w:vAlign w:val="center"/>
            <w:hideMark/>
          </w:tcPr>
          <w:p w14:paraId="5387794B"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0F4526B0"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26</w:t>
            </w:r>
          </w:p>
        </w:tc>
        <w:tc>
          <w:tcPr>
            <w:tcW w:w="1249" w:type="pct"/>
            <w:shd w:val="clear" w:color="auto" w:fill="auto"/>
            <w:vAlign w:val="center"/>
            <w:hideMark/>
          </w:tcPr>
          <w:p w14:paraId="6AE9EBC0"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1.526.632</w:t>
            </w:r>
          </w:p>
        </w:tc>
      </w:tr>
      <w:tr w:rsidR="00072A69" w:rsidRPr="008F1E3F" w14:paraId="7122987D" w14:textId="77777777" w:rsidTr="00AC1F17">
        <w:trPr>
          <w:trHeight w:val="300"/>
        </w:trPr>
        <w:tc>
          <w:tcPr>
            <w:tcW w:w="675" w:type="pct"/>
            <w:vMerge/>
            <w:vAlign w:val="center"/>
            <w:hideMark/>
          </w:tcPr>
          <w:p w14:paraId="24ECE004"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2E5AAEA7"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67EB1528"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40978D3A"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93</w:t>
            </w:r>
          </w:p>
        </w:tc>
        <w:tc>
          <w:tcPr>
            <w:tcW w:w="1249" w:type="pct"/>
            <w:shd w:val="clear" w:color="auto" w:fill="auto"/>
            <w:vAlign w:val="center"/>
            <w:hideMark/>
          </w:tcPr>
          <w:p w14:paraId="1111C0EA"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6.222.826</w:t>
            </w:r>
          </w:p>
        </w:tc>
      </w:tr>
      <w:tr w:rsidR="00072A69" w:rsidRPr="008F1E3F" w14:paraId="4D8AD8D6" w14:textId="77777777" w:rsidTr="00AC1F17">
        <w:trPr>
          <w:trHeight w:val="300"/>
        </w:trPr>
        <w:tc>
          <w:tcPr>
            <w:tcW w:w="675" w:type="pct"/>
            <w:vMerge/>
            <w:vAlign w:val="center"/>
            <w:hideMark/>
          </w:tcPr>
          <w:p w14:paraId="5740D830"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6DB28F1D"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76293807"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26576559"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119</w:t>
            </w:r>
          </w:p>
        </w:tc>
        <w:tc>
          <w:tcPr>
            <w:tcW w:w="1249" w:type="pct"/>
            <w:shd w:val="clear" w:color="auto" w:fill="auto"/>
            <w:vAlign w:val="center"/>
            <w:hideMark/>
          </w:tcPr>
          <w:p w14:paraId="01D7C41A"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7.749.458</w:t>
            </w:r>
          </w:p>
        </w:tc>
      </w:tr>
      <w:tr w:rsidR="00072A69" w:rsidRPr="008F1E3F" w14:paraId="70426A21" w14:textId="77777777" w:rsidTr="00AC1F17">
        <w:trPr>
          <w:trHeight w:val="300"/>
        </w:trPr>
        <w:tc>
          <w:tcPr>
            <w:tcW w:w="675" w:type="pct"/>
            <w:vMerge w:val="restart"/>
            <w:shd w:val="clear" w:color="auto" w:fill="auto"/>
            <w:vAlign w:val="center"/>
            <w:hideMark/>
          </w:tcPr>
          <w:p w14:paraId="62AD56D8"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5</w:t>
            </w:r>
          </w:p>
        </w:tc>
        <w:tc>
          <w:tcPr>
            <w:tcW w:w="1435" w:type="pct"/>
            <w:vMerge w:val="restart"/>
            <w:shd w:val="clear" w:color="auto" w:fill="auto"/>
            <w:vAlign w:val="center"/>
            <w:hideMark/>
          </w:tcPr>
          <w:p w14:paraId="2EE989CA"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Javni zavodi</w:t>
            </w:r>
          </w:p>
        </w:tc>
        <w:tc>
          <w:tcPr>
            <w:tcW w:w="860" w:type="pct"/>
            <w:shd w:val="clear" w:color="auto" w:fill="auto"/>
            <w:vAlign w:val="center"/>
            <w:hideMark/>
          </w:tcPr>
          <w:p w14:paraId="5057E4BF"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56EF4F79"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8.475</w:t>
            </w:r>
          </w:p>
        </w:tc>
        <w:tc>
          <w:tcPr>
            <w:tcW w:w="1249" w:type="pct"/>
            <w:shd w:val="clear" w:color="auto" w:fill="auto"/>
            <w:vAlign w:val="center"/>
            <w:hideMark/>
          </w:tcPr>
          <w:p w14:paraId="35C8B7DD"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447.849.050</w:t>
            </w:r>
          </w:p>
        </w:tc>
      </w:tr>
      <w:tr w:rsidR="00072A69" w:rsidRPr="008F1E3F" w14:paraId="4B01E293" w14:textId="77777777" w:rsidTr="00AC1F17">
        <w:trPr>
          <w:trHeight w:val="300"/>
        </w:trPr>
        <w:tc>
          <w:tcPr>
            <w:tcW w:w="675" w:type="pct"/>
            <w:vMerge/>
            <w:vAlign w:val="center"/>
            <w:hideMark/>
          </w:tcPr>
          <w:p w14:paraId="3EEE73D1"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5CDDEE45"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490AA2A2"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380E0B53"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1.025</w:t>
            </w:r>
          </w:p>
        </w:tc>
        <w:tc>
          <w:tcPr>
            <w:tcW w:w="1249" w:type="pct"/>
            <w:shd w:val="clear" w:color="auto" w:fill="auto"/>
            <w:vAlign w:val="center"/>
            <w:hideMark/>
          </w:tcPr>
          <w:p w14:paraId="0DD54D44"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128.265.331</w:t>
            </w:r>
          </w:p>
        </w:tc>
      </w:tr>
      <w:tr w:rsidR="00072A69" w:rsidRPr="008F1E3F" w14:paraId="31730CDC" w14:textId="77777777" w:rsidTr="00AC1F17">
        <w:trPr>
          <w:trHeight w:val="300"/>
        </w:trPr>
        <w:tc>
          <w:tcPr>
            <w:tcW w:w="675" w:type="pct"/>
            <w:vMerge/>
            <w:vAlign w:val="center"/>
            <w:hideMark/>
          </w:tcPr>
          <w:p w14:paraId="225DF613"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09B5F41F"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24630C1A"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06D3F5D3"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238</w:t>
            </w:r>
          </w:p>
        </w:tc>
        <w:tc>
          <w:tcPr>
            <w:tcW w:w="1249" w:type="pct"/>
            <w:shd w:val="clear" w:color="auto" w:fill="auto"/>
            <w:vAlign w:val="center"/>
            <w:hideMark/>
          </w:tcPr>
          <w:p w14:paraId="0C8A51DC"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73.800.030</w:t>
            </w:r>
          </w:p>
        </w:tc>
      </w:tr>
      <w:tr w:rsidR="00072A69" w:rsidRPr="008F1E3F" w14:paraId="4AF28633" w14:textId="77777777" w:rsidTr="00AC1F17">
        <w:trPr>
          <w:trHeight w:val="300"/>
        </w:trPr>
        <w:tc>
          <w:tcPr>
            <w:tcW w:w="675" w:type="pct"/>
            <w:vMerge/>
            <w:vAlign w:val="center"/>
            <w:hideMark/>
          </w:tcPr>
          <w:p w14:paraId="25C126A5"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7DF44FCB"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20A6265E"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211AB54C"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9.738</w:t>
            </w:r>
          </w:p>
        </w:tc>
        <w:tc>
          <w:tcPr>
            <w:tcW w:w="1249" w:type="pct"/>
            <w:shd w:val="clear" w:color="auto" w:fill="auto"/>
            <w:vAlign w:val="center"/>
            <w:hideMark/>
          </w:tcPr>
          <w:p w14:paraId="18A9F396"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649.914.411</w:t>
            </w:r>
          </w:p>
        </w:tc>
      </w:tr>
      <w:tr w:rsidR="00072A69" w:rsidRPr="008F1E3F" w14:paraId="760697FD" w14:textId="77777777" w:rsidTr="00AC1F17">
        <w:trPr>
          <w:trHeight w:val="300"/>
        </w:trPr>
        <w:tc>
          <w:tcPr>
            <w:tcW w:w="675" w:type="pct"/>
            <w:vMerge w:val="restart"/>
            <w:shd w:val="clear" w:color="auto" w:fill="auto"/>
            <w:vAlign w:val="center"/>
            <w:hideMark/>
          </w:tcPr>
          <w:p w14:paraId="55134205"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6</w:t>
            </w:r>
          </w:p>
        </w:tc>
        <w:tc>
          <w:tcPr>
            <w:tcW w:w="1435" w:type="pct"/>
            <w:vMerge w:val="restart"/>
            <w:shd w:val="clear" w:color="auto" w:fill="auto"/>
            <w:vAlign w:val="center"/>
            <w:hideMark/>
          </w:tcPr>
          <w:p w14:paraId="5ED89E72"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Javni gospodarski zavodi</w:t>
            </w:r>
          </w:p>
        </w:tc>
        <w:tc>
          <w:tcPr>
            <w:tcW w:w="860" w:type="pct"/>
            <w:shd w:val="clear" w:color="auto" w:fill="auto"/>
            <w:vAlign w:val="center"/>
            <w:hideMark/>
          </w:tcPr>
          <w:p w14:paraId="37435315"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2CD71409"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66</w:t>
            </w:r>
          </w:p>
        </w:tc>
        <w:tc>
          <w:tcPr>
            <w:tcW w:w="1249" w:type="pct"/>
            <w:shd w:val="clear" w:color="auto" w:fill="auto"/>
            <w:vAlign w:val="center"/>
            <w:hideMark/>
          </w:tcPr>
          <w:p w14:paraId="52287B14"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3.989.250</w:t>
            </w:r>
          </w:p>
        </w:tc>
      </w:tr>
      <w:tr w:rsidR="00072A69" w:rsidRPr="008F1E3F" w14:paraId="38D6224F" w14:textId="77777777" w:rsidTr="00AC1F17">
        <w:trPr>
          <w:trHeight w:val="300"/>
        </w:trPr>
        <w:tc>
          <w:tcPr>
            <w:tcW w:w="675" w:type="pct"/>
            <w:vMerge/>
            <w:vAlign w:val="center"/>
            <w:hideMark/>
          </w:tcPr>
          <w:p w14:paraId="7601AA0F"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38E60A0B"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6C1C26EE"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0F0E57A0"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13</w:t>
            </w:r>
          </w:p>
        </w:tc>
        <w:tc>
          <w:tcPr>
            <w:tcW w:w="1249" w:type="pct"/>
            <w:shd w:val="clear" w:color="auto" w:fill="auto"/>
            <w:vAlign w:val="center"/>
            <w:hideMark/>
          </w:tcPr>
          <w:p w14:paraId="34443C9D"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1.369.889</w:t>
            </w:r>
          </w:p>
        </w:tc>
      </w:tr>
      <w:tr w:rsidR="00072A69" w:rsidRPr="008F1E3F" w14:paraId="432B5415" w14:textId="77777777" w:rsidTr="00AC1F17">
        <w:trPr>
          <w:trHeight w:val="300"/>
        </w:trPr>
        <w:tc>
          <w:tcPr>
            <w:tcW w:w="675" w:type="pct"/>
            <w:vMerge/>
            <w:vAlign w:val="center"/>
            <w:hideMark/>
          </w:tcPr>
          <w:p w14:paraId="09EF1149"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3376D62B"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7102EF62"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18A6728C"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w:t>
            </w:r>
          </w:p>
        </w:tc>
        <w:tc>
          <w:tcPr>
            <w:tcW w:w="1249" w:type="pct"/>
            <w:shd w:val="clear" w:color="auto" w:fill="auto"/>
            <w:vAlign w:val="center"/>
            <w:hideMark/>
          </w:tcPr>
          <w:p w14:paraId="448526B9"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2.033.793</w:t>
            </w:r>
          </w:p>
        </w:tc>
      </w:tr>
      <w:tr w:rsidR="00072A69" w:rsidRPr="008F1E3F" w14:paraId="481F67B2" w14:textId="77777777" w:rsidTr="00AC1F17">
        <w:trPr>
          <w:trHeight w:val="300"/>
        </w:trPr>
        <w:tc>
          <w:tcPr>
            <w:tcW w:w="675" w:type="pct"/>
            <w:vMerge/>
            <w:vAlign w:val="center"/>
            <w:hideMark/>
          </w:tcPr>
          <w:p w14:paraId="70459167"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37E80C36"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5C294DC1"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3798D2A9"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86</w:t>
            </w:r>
          </w:p>
        </w:tc>
        <w:tc>
          <w:tcPr>
            <w:tcW w:w="1249" w:type="pct"/>
            <w:shd w:val="clear" w:color="auto" w:fill="auto"/>
            <w:vAlign w:val="center"/>
            <w:hideMark/>
          </w:tcPr>
          <w:p w14:paraId="7CD6664C"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7.392.932</w:t>
            </w:r>
          </w:p>
        </w:tc>
      </w:tr>
      <w:tr w:rsidR="00072A69" w:rsidRPr="008F1E3F" w14:paraId="44CEAD4C" w14:textId="77777777" w:rsidTr="00AC1F17">
        <w:trPr>
          <w:trHeight w:val="300"/>
        </w:trPr>
        <w:tc>
          <w:tcPr>
            <w:tcW w:w="675" w:type="pct"/>
            <w:vMerge w:val="restart"/>
            <w:shd w:val="clear" w:color="auto" w:fill="auto"/>
            <w:vAlign w:val="center"/>
            <w:hideMark/>
          </w:tcPr>
          <w:p w14:paraId="77D9FBB1"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w:t>
            </w:r>
          </w:p>
        </w:tc>
        <w:tc>
          <w:tcPr>
            <w:tcW w:w="1435" w:type="pct"/>
            <w:vMerge w:val="restart"/>
            <w:shd w:val="clear" w:color="auto" w:fill="auto"/>
            <w:vAlign w:val="center"/>
            <w:hideMark/>
          </w:tcPr>
          <w:p w14:paraId="0099A1F3"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860" w:type="pct"/>
            <w:shd w:val="clear" w:color="auto" w:fill="auto"/>
            <w:vAlign w:val="center"/>
            <w:hideMark/>
          </w:tcPr>
          <w:p w14:paraId="20E6A971"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4BFF1670"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1.401</w:t>
            </w:r>
          </w:p>
        </w:tc>
        <w:tc>
          <w:tcPr>
            <w:tcW w:w="1249" w:type="pct"/>
            <w:shd w:val="clear" w:color="auto" w:fill="auto"/>
            <w:vAlign w:val="center"/>
            <w:hideMark/>
          </w:tcPr>
          <w:p w14:paraId="140CA97C"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532.336.968</w:t>
            </w:r>
          </w:p>
        </w:tc>
      </w:tr>
      <w:tr w:rsidR="00072A69" w:rsidRPr="008F1E3F" w14:paraId="4E5E99DE" w14:textId="77777777" w:rsidTr="00AC1F17">
        <w:trPr>
          <w:trHeight w:val="300"/>
        </w:trPr>
        <w:tc>
          <w:tcPr>
            <w:tcW w:w="675" w:type="pct"/>
            <w:vMerge/>
            <w:vAlign w:val="center"/>
            <w:hideMark/>
          </w:tcPr>
          <w:p w14:paraId="47DB1FBD"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3C5D7B6A"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69545E9B"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64BE5CFD"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1.203</w:t>
            </w:r>
          </w:p>
        </w:tc>
        <w:tc>
          <w:tcPr>
            <w:tcW w:w="1249" w:type="pct"/>
            <w:shd w:val="clear" w:color="auto" w:fill="auto"/>
            <w:vAlign w:val="center"/>
            <w:hideMark/>
          </w:tcPr>
          <w:p w14:paraId="76023956"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362.874.178</w:t>
            </w:r>
          </w:p>
        </w:tc>
      </w:tr>
      <w:tr w:rsidR="00072A69" w:rsidRPr="008F1E3F" w14:paraId="6D7D5420" w14:textId="77777777" w:rsidTr="00AC1F17">
        <w:trPr>
          <w:trHeight w:val="300"/>
        </w:trPr>
        <w:tc>
          <w:tcPr>
            <w:tcW w:w="675" w:type="pct"/>
            <w:vMerge/>
            <w:vAlign w:val="center"/>
            <w:hideMark/>
          </w:tcPr>
          <w:p w14:paraId="1E41BCC8"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5AF4040B"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5E4C0D76"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26AD3E30"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369</w:t>
            </w:r>
          </w:p>
        </w:tc>
        <w:tc>
          <w:tcPr>
            <w:tcW w:w="1249" w:type="pct"/>
            <w:shd w:val="clear" w:color="auto" w:fill="auto"/>
            <w:vAlign w:val="center"/>
            <w:hideMark/>
          </w:tcPr>
          <w:p w14:paraId="5F377481"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212.156.173</w:t>
            </w:r>
          </w:p>
        </w:tc>
      </w:tr>
      <w:tr w:rsidR="00072A69" w:rsidRPr="008F1E3F" w14:paraId="443DC668" w14:textId="77777777" w:rsidTr="00AC1F17">
        <w:trPr>
          <w:trHeight w:val="300"/>
        </w:trPr>
        <w:tc>
          <w:tcPr>
            <w:tcW w:w="675" w:type="pct"/>
            <w:vMerge/>
            <w:vAlign w:val="center"/>
            <w:hideMark/>
          </w:tcPr>
          <w:p w14:paraId="7C11329A"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3ACF3C33"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3B454CEA"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6CA4856C"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2.973</w:t>
            </w:r>
          </w:p>
        </w:tc>
        <w:tc>
          <w:tcPr>
            <w:tcW w:w="1249" w:type="pct"/>
            <w:shd w:val="clear" w:color="auto" w:fill="auto"/>
            <w:vAlign w:val="center"/>
            <w:hideMark/>
          </w:tcPr>
          <w:p w14:paraId="7E9F66F5"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1.107.367.319</w:t>
            </w:r>
          </w:p>
        </w:tc>
      </w:tr>
      <w:tr w:rsidR="00072A69" w:rsidRPr="008F1E3F" w14:paraId="30519FCD" w14:textId="77777777" w:rsidTr="00AC1F17">
        <w:trPr>
          <w:trHeight w:val="300"/>
        </w:trPr>
        <w:tc>
          <w:tcPr>
            <w:tcW w:w="675" w:type="pct"/>
            <w:vMerge w:val="restart"/>
            <w:shd w:val="clear" w:color="auto" w:fill="auto"/>
            <w:vAlign w:val="center"/>
            <w:hideMark/>
          </w:tcPr>
          <w:p w14:paraId="10F151EF"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8</w:t>
            </w:r>
          </w:p>
        </w:tc>
        <w:tc>
          <w:tcPr>
            <w:tcW w:w="1435" w:type="pct"/>
            <w:vMerge w:val="restart"/>
            <w:shd w:val="clear" w:color="auto" w:fill="auto"/>
            <w:vAlign w:val="center"/>
            <w:hideMark/>
          </w:tcPr>
          <w:p w14:paraId="14E1029D" w14:textId="77777777" w:rsidR="00072A69" w:rsidRPr="008F1E3F" w:rsidRDefault="00072A69" w:rsidP="00AC1F17">
            <w:pPr>
              <w:spacing w:after="0" w:line="240" w:lineRule="auto"/>
              <w:jc w:val="center"/>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Razni subjekti</w:t>
            </w:r>
          </w:p>
        </w:tc>
        <w:tc>
          <w:tcPr>
            <w:tcW w:w="860" w:type="pct"/>
            <w:shd w:val="clear" w:color="auto" w:fill="auto"/>
            <w:vAlign w:val="center"/>
            <w:hideMark/>
          </w:tcPr>
          <w:p w14:paraId="172DEAC6"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vAlign w:val="center"/>
            <w:hideMark/>
          </w:tcPr>
          <w:p w14:paraId="57946813"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65</w:t>
            </w:r>
          </w:p>
        </w:tc>
        <w:tc>
          <w:tcPr>
            <w:tcW w:w="1249" w:type="pct"/>
            <w:shd w:val="clear" w:color="auto" w:fill="auto"/>
            <w:vAlign w:val="center"/>
            <w:hideMark/>
          </w:tcPr>
          <w:p w14:paraId="736978F1"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7.137.393</w:t>
            </w:r>
          </w:p>
        </w:tc>
      </w:tr>
      <w:tr w:rsidR="00072A69" w:rsidRPr="008F1E3F" w14:paraId="32CC30A7" w14:textId="77777777" w:rsidTr="00AC1F17">
        <w:trPr>
          <w:trHeight w:val="300"/>
        </w:trPr>
        <w:tc>
          <w:tcPr>
            <w:tcW w:w="675" w:type="pct"/>
            <w:vMerge/>
            <w:vAlign w:val="center"/>
            <w:hideMark/>
          </w:tcPr>
          <w:p w14:paraId="466C44D4"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42994C30"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0E0C98BE"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vAlign w:val="center"/>
            <w:hideMark/>
          </w:tcPr>
          <w:p w14:paraId="144C798F"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16</w:t>
            </w:r>
          </w:p>
        </w:tc>
        <w:tc>
          <w:tcPr>
            <w:tcW w:w="1249" w:type="pct"/>
            <w:shd w:val="clear" w:color="auto" w:fill="auto"/>
            <w:vAlign w:val="center"/>
            <w:hideMark/>
          </w:tcPr>
          <w:p w14:paraId="54E00FD5"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8.894.908</w:t>
            </w:r>
          </w:p>
        </w:tc>
      </w:tr>
      <w:tr w:rsidR="00072A69" w:rsidRPr="008F1E3F" w14:paraId="555A361D" w14:textId="77777777" w:rsidTr="00AC1F17">
        <w:trPr>
          <w:trHeight w:val="300"/>
        </w:trPr>
        <w:tc>
          <w:tcPr>
            <w:tcW w:w="675" w:type="pct"/>
            <w:vMerge/>
            <w:vAlign w:val="center"/>
            <w:hideMark/>
          </w:tcPr>
          <w:p w14:paraId="5E733B13"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05AE41E4"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09227038"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vAlign w:val="center"/>
            <w:hideMark/>
          </w:tcPr>
          <w:p w14:paraId="0937C427"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w:t>
            </w:r>
          </w:p>
        </w:tc>
        <w:tc>
          <w:tcPr>
            <w:tcW w:w="1249" w:type="pct"/>
            <w:shd w:val="clear" w:color="auto" w:fill="auto"/>
            <w:vAlign w:val="center"/>
            <w:hideMark/>
          </w:tcPr>
          <w:p w14:paraId="3B6CBB4C"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169.554</w:t>
            </w:r>
          </w:p>
        </w:tc>
      </w:tr>
      <w:tr w:rsidR="00072A69" w:rsidRPr="008F1E3F" w14:paraId="6F07ECAB" w14:textId="77777777" w:rsidTr="00AC1F17">
        <w:trPr>
          <w:trHeight w:val="300"/>
        </w:trPr>
        <w:tc>
          <w:tcPr>
            <w:tcW w:w="675" w:type="pct"/>
            <w:vMerge/>
            <w:vAlign w:val="center"/>
            <w:hideMark/>
          </w:tcPr>
          <w:p w14:paraId="00DAD8C5"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1435" w:type="pct"/>
            <w:vMerge/>
            <w:vAlign w:val="center"/>
            <w:hideMark/>
          </w:tcPr>
          <w:p w14:paraId="66BAB60F" w14:textId="77777777" w:rsidR="00072A69" w:rsidRPr="008F1E3F" w:rsidRDefault="00072A69" w:rsidP="00AC1F17">
            <w:pPr>
              <w:spacing w:after="0" w:line="240" w:lineRule="auto"/>
              <w:rPr>
                <w:rFonts w:ascii="Arial" w:eastAsia="Times New Roman" w:hAnsi="Arial" w:cs="Arial"/>
                <w:color w:val="000000"/>
                <w:sz w:val="18"/>
                <w:szCs w:val="18"/>
                <w:lang w:eastAsia="sl-SI"/>
              </w:rPr>
            </w:pPr>
          </w:p>
        </w:tc>
        <w:tc>
          <w:tcPr>
            <w:tcW w:w="860" w:type="pct"/>
            <w:shd w:val="clear" w:color="auto" w:fill="auto"/>
            <w:vAlign w:val="center"/>
            <w:hideMark/>
          </w:tcPr>
          <w:p w14:paraId="23E75C02"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auto"/>
            <w:vAlign w:val="center"/>
            <w:hideMark/>
          </w:tcPr>
          <w:p w14:paraId="7DC16FA5"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83</w:t>
            </w:r>
          </w:p>
        </w:tc>
        <w:tc>
          <w:tcPr>
            <w:tcW w:w="1249" w:type="pct"/>
            <w:shd w:val="clear" w:color="auto" w:fill="auto"/>
            <w:vAlign w:val="center"/>
            <w:hideMark/>
          </w:tcPr>
          <w:p w14:paraId="00E5129E"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16.201.855</w:t>
            </w:r>
          </w:p>
        </w:tc>
      </w:tr>
      <w:tr w:rsidR="00072A69" w:rsidRPr="008F1E3F" w14:paraId="41EB6B5C" w14:textId="77777777" w:rsidTr="00AC1F17">
        <w:trPr>
          <w:trHeight w:val="300"/>
        </w:trPr>
        <w:tc>
          <w:tcPr>
            <w:tcW w:w="2110" w:type="pct"/>
            <w:gridSpan w:val="2"/>
            <w:vMerge w:val="restart"/>
            <w:shd w:val="clear" w:color="auto" w:fill="E7E6E6" w:themeFill="background2"/>
            <w:noWrap/>
            <w:vAlign w:val="center"/>
            <w:hideMark/>
          </w:tcPr>
          <w:p w14:paraId="1E0F61F2"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860" w:type="pct"/>
            <w:shd w:val="clear" w:color="auto" w:fill="auto"/>
            <w:vAlign w:val="center"/>
            <w:hideMark/>
          </w:tcPr>
          <w:p w14:paraId="4F2D4FAA"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Blago</w:t>
            </w:r>
          </w:p>
        </w:tc>
        <w:tc>
          <w:tcPr>
            <w:tcW w:w="781" w:type="pct"/>
            <w:shd w:val="clear" w:color="auto" w:fill="auto"/>
            <w:noWrap/>
            <w:vAlign w:val="center"/>
            <w:hideMark/>
          </w:tcPr>
          <w:p w14:paraId="185602EE"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10</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967</w:t>
            </w:r>
          </w:p>
        </w:tc>
        <w:tc>
          <w:tcPr>
            <w:tcW w:w="1249" w:type="pct"/>
            <w:shd w:val="clear" w:color="auto" w:fill="auto"/>
            <w:noWrap/>
            <w:vAlign w:val="center"/>
            <w:hideMark/>
          </w:tcPr>
          <w:p w14:paraId="36BB1397"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197</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625</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996</w:t>
            </w:r>
          </w:p>
        </w:tc>
      </w:tr>
      <w:tr w:rsidR="00072A69" w:rsidRPr="008F1E3F" w14:paraId="3114A982" w14:textId="77777777" w:rsidTr="00AC1F17">
        <w:trPr>
          <w:trHeight w:val="300"/>
        </w:trPr>
        <w:tc>
          <w:tcPr>
            <w:tcW w:w="2110" w:type="pct"/>
            <w:gridSpan w:val="2"/>
            <w:vMerge/>
            <w:shd w:val="clear" w:color="auto" w:fill="E7E6E6" w:themeFill="background2"/>
            <w:vAlign w:val="center"/>
            <w:hideMark/>
          </w:tcPr>
          <w:p w14:paraId="7F828AA6"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p>
        </w:tc>
        <w:tc>
          <w:tcPr>
            <w:tcW w:w="860" w:type="pct"/>
            <w:shd w:val="clear" w:color="auto" w:fill="auto"/>
            <w:vAlign w:val="center"/>
            <w:hideMark/>
          </w:tcPr>
          <w:p w14:paraId="4E0E0787"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Storitve</w:t>
            </w:r>
          </w:p>
        </w:tc>
        <w:tc>
          <w:tcPr>
            <w:tcW w:w="781" w:type="pct"/>
            <w:shd w:val="clear" w:color="auto" w:fill="auto"/>
            <w:noWrap/>
            <w:vAlign w:val="center"/>
            <w:hideMark/>
          </w:tcPr>
          <w:p w14:paraId="0B439E63"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3</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890</w:t>
            </w:r>
          </w:p>
        </w:tc>
        <w:tc>
          <w:tcPr>
            <w:tcW w:w="1249" w:type="pct"/>
            <w:shd w:val="clear" w:color="auto" w:fill="auto"/>
            <w:noWrap/>
            <w:vAlign w:val="center"/>
            <w:hideMark/>
          </w:tcPr>
          <w:p w14:paraId="3C1FF55C"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763</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942</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082</w:t>
            </w:r>
          </w:p>
        </w:tc>
      </w:tr>
      <w:tr w:rsidR="00072A69" w:rsidRPr="008F1E3F" w14:paraId="6C52C2AB" w14:textId="77777777" w:rsidTr="00AC1F17">
        <w:trPr>
          <w:trHeight w:val="300"/>
        </w:trPr>
        <w:tc>
          <w:tcPr>
            <w:tcW w:w="2110" w:type="pct"/>
            <w:gridSpan w:val="2"/>
            <w:vMerge/>
            <w:shd w:val="clear" w:color="auto" w:fill="E7E6E6" w:themeFill="background2"/>
            <w:vAlign w:val="center"/>
            <w:hideMark/>
          </w:tcPr>
          <w:p w14:paraId="00B7A6F7"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p>
        </w:tc>
        <w:tc>
          <w:tcPr>
            <w:tcW w:w="860" w:type="pct"/>
            <w:shd w:val="clear" w:color="auto" w:fill="auto"/>
            <w:vAlign w:val="center"/>
            <w:hideMark/>
          </w:tcPr>
          <w:p w14:paraId="208CF0D4" w14:textId="77777777" w:rsidR="00072A69" w:rsidRPr="008F1E3F" w:rsidRDefault="00072A69" w:rsidP="00AC1F17">
            <w:pPr>
              <w:spacing w:after="0" w:line="240" w:lineRule="auto"/>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Gradnje</w:t>
            </w:r>
          </w:p>
        </w:tc>
        <w:tc>
          <w:tcPr>
            <w:tcW w:w="781" w:type="pct"/>
            <w:shd w:val="clear" w:color="auto" w:fill="auto"/>
            <w:noWrap/>
            <w:vAlign w:val="center"/>
            <w:hideMark/>
          </w:tcPr>
          <w:p w14:paraId="59FFB71A"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2</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008</w:t>
            </w:r>
          </w:p>
        </w:tc>
        <w:tc>
          <w:tcPr>
            <w:tcW w:w="1249" w:type="pct"/>
            <w:shd w:val="clear" w:color="auto" w:fill="auto"/>
            <w:noWrap/>
            <w:vAlign w:val="center"/>
            <w:hideMark/>
          </w:tcPr>
          <w:p w14:paraId="42204DBA" w14:textId="77777777" w:rsidR="00072A69" w:rsidRPr="008F1E3F" w:rsidRDefault="00072A69" w:rsidP="00AC1F17">
            <w:pPr>
              <w:spacing w:after="0" w:line="240" w:lineRule="auto"/>
              <w:jc w:val="right"/>
              <w:rPr>
                <w:rFonts w:ascii="Arial" w:eastAsia="Times New Roman" w:hAnsi="Arial" w:cs="Arial"/>
                <w:color w:val="000000"/>
                <w:sz w:val="18"/>
                <w:szCs w:val="18"/>
                <w:lang w:eastAsia="sl-SI"/>
              </w:rPr>
            </w:pPr>
            <w:r w:rsidRPr="008F1E3F">
              <w:rPr>
                <w:rFonts w:ascii="Arial" w:eastAsia="Times New Roman" w:hAnsi="Arial" w:cs="Arial"/>
                <w:color w:val="000000"/>
                <w:sz w:val="18"/>
                <w:szCs w:val="18"/>
                <w:lang w:eastAsia="sl-SI"/>
              </w:rPr>
              <w:t>957</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w:t>
            </w:r>
            <w:r w:rsidRPr="008F1E3F">
              <w:rPr>
                <w:rFonts w:ascii="Arial" w:eastAsia="Times New Roman" w:hAnsi="Arial" w:cs="Arial"/>
                <w:color w:val="000000"/>
                <w:sz w:val="18"/>
                <w:szCs w:val="18"/>
                <w:lang w:eastAsia="sl-SI"/>
              </w:rPr>
              <w:t>531</w:t>
            </w:r>
          </w:p>
        </w:tc>
      </w:tr>
      <w:tr w:rsidR="00072A69" w:rsidRPr="008F1E3F" w14:paraId="2F49431D" w14:textId="77777777" w:rsidTr="00AC1F17">
        <w:trPr>
          <w:trHeight w:val="300"/>
        </w:trPr>
        <w:tc>
          <w:tcPr>
            <w:tcW w:w="2110" w:type="pct"/>
            <w:gridSpan w:val="2"/>
            <w:vMerge/>
            <w:shd w:val="clear" w:color="auto" w:fill="E7E6E6" w:themeFill="background2"/>
            <w:vAlign w:val="center"/>
            <w:hideMark/>
          </w:tcPr>
          <w:p w14:paraId="3E02FBC1"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p>
        </w:tc>
        <w:tc>
          <w:tcPr>
            <w:tcW w:w="860" w:type="pct"/>
            <w:shd w:val="clear" w:color="auto" w:fill="E7E6E6" w:themeFill="background2"/>
            <w:vAlign w:val="center"/>
            <w:hideMark/>
          </w:tcPr>
          <w:p w14:paraId="1380E8AB" w14:textId="77777777" w:rsidR="00072A69" w:rsidRPr="008F1E3F" w:rsidRDefault="00072A69" w:rsidP="00AC1F17">
            <w:pPr>
              <w:spacing w:after="0" w:line="240" w:lineRule="auto"/>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Skupaj</w:t>
            </w:r>
          </w:p>
        </w:tc>
        <w:tc>
          <w:tcPr>
            <w:tcW w:w="781" w:type="pct"/>
            <w:shd w:val="clear" w:color="auto" w:fill="E7E6E6" w:themeFill="background2"/>
            <w:noWrap/>
            <w:vAlign w:val="center"/>
            <w:hideMark/>
          </w:tcPr>
          <w:p w14:paraId="536A9B85"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16.865</w:t>
            </w:r>
          </w:p>
        </w:tc>
        <w:tc>
          <w:tcPr>
            <w:tcW w:w="1249" w:type="pct"/>
            <w:shd w:val="clear" w:color="auto" w:fill="E7E6E6" w:themeFill="background2"/>
            <w:noWrap/>
            <w:vAlign w:val="center"/>
            <w:hideMark/>
          </w:tcPr>
          <w:p w14:paraId="3BDD2E62" w14:textId="77777777" w:rsidR="00072A69" w:rsidRPr="008F1E3F" w:rsidRDefault="00072A69" w:rsidP="00AC1F17">
            <w:pPr>
              <w:spacing w:after="0" w:line="240" w:lineRule="auto"/>
              <w:jc w:val="right"/>
              <w:rPr>
                <w:rFonts w:ascii="Arial" w:eastAsia="Times New Roman" w:hAnsi="Arial" w:cs="Arial"/>
                <w:b/>
                <w:bCs/>
                <w:color w:val="000000"/>
                <w:sz w:val="18"/>
                <w:szCs w:val="18"/>
                <w:lang w:eastAsia="sl-SI"/>
              </w:rPr>
            </w:pPr>
            <w:r w:rsidRPr="008F1E3F">
              <w:rPr>
                <w:rFonts w:ascii="Arial" w:eastAsia="Times New Roman" w:hAnsi="Arial" w:cs="Arial"/>
                <w:b/>
                <w:bCs/>
                <w:color w:val="000000"/>
                <w:sz w:val="18"/>
                <w:szCs w:val="18"/>
                <w:lang w:eastAsia="sl-SI"/>
              </w:rPr>
              <w:t>2.918.594.609</w:t>
            </w:r>
          </w:p>
        </w:tc>
      </w:tr>
    </w:tbl>
    <w:p w14:paraId="28A07D63" w14:textId="77777777" w:rsidR="00072A69" w:rsidRPr="00EF2D0B" w:rsidRDefault="00072A69" w:rsidP="00072A69">
      <w:pPr>
        <w:pStyle w:val="ZADEVA"/>
        <w:jc w:val="both"/>
        <w:rPr>
          <w:rFonts w:cs="Arial"/>
          <w:b w:val="0"/>
          <w:szCs w:val="20"/>
          <w:highlight w:val="yellow"/>
          <w:lang w:val="sl-SI"/>
        </w:rPr>
      </w:pPr>
    </w:p>
    <w:p w14:paraId="2FF70E3E" w14:textId="77777777" w:rsidR="00072A69" w:rsidRPr="00EF2D0B" w:rsidRDefault="00072A69" w:rsidP="00072A69">
      <w:pPr>
        <w:pStyle w:val="ZADEVA"/>
        <w:rPr>
          <w:rFonts w:cs="Arial"/>
          <w:b w:val="0"/>
          <w:szCs w:val="20"/>
          <w:highlight w:val="yellow"/>
          <w:lang w:val="sl-SI"/>
        </w:rPr>
      </w:pPr>
    </w:p>
    <w:p w14:paraId="33EA1ABE" w14:textId="727CF4D3" w:rsidR="00072A69" w:rsidRPr="008679DA" w:rsidRDefault="00072A69" w:rsidP="00072A69">
      <w:pPr>
        <w:spacing w:before="120" w:after="120" w:line="240" w:lineRule="auto"/>
        <w:jc w:val="both"/>
        <w:rPr>
          <w:rFonts w:ascii="Arial" w:hAnsi="Arial" w:cs="Arial"/>
          <w:sz w:val="20"/>
        </w:rPr>
      </w:pPr>
      <w:r w:rsidRPr="008679DA">
        <w:rPr>
          <w:rFonts w:ascii="Arial" w:hAnsi="Arial" w:cs="Arial"/>
          <w:sz w:val="20"/>
        </w:rPr>
        <w:t>Priloga 7</w:t>
      </w:r>
      <w:r w:rsidR="008D46F4">
        <w:rPr>
          <w:rFonts w:ascii="Arial" w:hAnsi="Arial" w:cs="Arial"/>
          <w:sz w:val="20"/>
        </w:rPr>
        <w:t>2</w:t>
      </w:r>
      <w:r w:rsidRPr="008679DA">
        <w:rPr>
          <w:rFonts w:ascii="Arial" w:hAnsi="Arial" w:cs="Arial"/>
          <w:sz w:val="20"/>
        </w:rPr>
        <w:t>: Javna naročila glede na predmet naročanja in vrsto postopka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3969"/>
        <w:gridCol w:w="1135"/>
        <w:gridCol w:w="1396"/>
        <w:gridCol w:w="1292"/>
      </w:tblGrid>
      <w:tr w:rsidR="00072A69" w:rsidRPr="00EC526F" w14:paraId="173A8A26" w14:textId="77777777" w:rsidTr="00C320EE">
        <w:trPr>
          <w:trHeight w:val="300"/>
          <w:tblHeader/>
        </w:trPr>
        <w:tc>
          <w:tcPr>
            <w:tcW w:w="701" w:type="pct"/>
            <w:shd w:val="clear" w:color="000000" w:fill="EDEDED"/>
            <w:vAlign w:val="center"/>
            <w:hideMark/>
          </w:tcPr>
          <w:p w14:paraId="3710CA09"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 xml:space="preserve">Predmet </w:t>
            </w:r>
          </w:p>
        </w:tc>
        <w:tc>
          <w:tcPr>
            <w:tcW w:w="2190" w:type="pct"/>
            <w:shd w:val="clear" w:color="000000" w:fill="EDEDED"/>
            <w:vAlign w:val="center"/>
            <w:hideMark/>
          </w:tcPr>
          <w:p w14:paraId="1A237B09"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Vrsta postopka</w:t>
            </w:r>
          </w:p>
        </w:tc>
        <w:tc>
          <w:tcPr>
            <w:tcW w:w="626" w:type="pct"/>
            <w:shd w:val="clear" w:color="000000" w:fill="EDEDED"/>
            <w:vAlign w:val="center"/>
            <w:hideMark/>
          </w:tcPr>
          <w:p w14:paraId="5E33D1D9"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Št. postopkov</w:t>
            </w:r>
          </w:p>
        </w:tc>
        <w:tc>
          <w:tcPr>
            <w:tcW w:w="770" w:type="pct"/>
            <w:shd w:val="clear" w:color="000000" w:fill="EDEDED"/>
            <w:vAlign w:val="center"/>
            <w:hideMark/>
          </w:tcPr>
          <w:p w14:paraId="050659E9"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Ocenjena vrednost</w:t>
            </w:r>
          </w:p>
        </w:tc>
        <w:tc>
          <w:tcPr>
            <w:tcW w:w="713" w:type="pct"/>
            <w:shd w:val="clear" w:color="000000" w:fill="EDEDED"/>
            <w:vAlign w:val="center"/>
            <w:hideMark/>
          </w:tcPr>
          <w:p w14:paraId="5FB3FE95"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Pogodbena vrednost</w:t>
            </w:r>
          </w:p>
        </w:tc>
      </w:tr>
      <w:tr w:rsidR="00072A69" w:rsidRPr="00EC526F" w14:paraId="1E9AE90F" w14:textId="77777777" w:rsidTr="00AC1F17">
        <w:trPr>
          <w:trHeight w:val="300"/>
        </w:trPr>
        <w:tc>
          <w:tcPr>
            <w:tcW w:w="701" w:type="pct"/>
            <w:vMerge w:val="restart"/>
            <w:shd w:val="clear" w:color="auto" w:fill="auto"/>
            <w:vAlign w:val="center"/>
            <w:hideMark/>
          </w:tcPr>
          <w:p w14:paraId="3BD29C7C"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Blago</w:t>
            </w:r>
          </w:p>
        </w:tc>
        <w:tc>
          <w:tcPr>
            <w:tcW w:w="2190" w:type="pct"/>
            <w:shd w:val="clear" w:color="auto" w:fill="auto"/>
            <w:vAlign w:val="center"/>
            <w:hideMark/>
          </w:tcPr>
          <w:p w14:paraId="19CA223B"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Konkurenčni postopek s pogajanji</w:t>
            </w:r>
          </w:p>
        </w:tc>
        <w:tc>
          <w:tcPr>
            <w:tcW w:w="626" w:type="pct"/>
            <w:shd w:val="clear" w:color="auto" w:fill="auto"/>
            <w:vAlign w:val="center"/>
            <w:hideMark/>
          </w:tcPr>
          <w:p w14:paraId="7A8FFB76"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14</w:t>
            </w:r>
          </w:p>
        </w:tc>
        <w:tc>
          <w:tcPr>
            <w:tcW w:w="770" w:type="pct"/>
            <w:shd w:val="clear" w:color="auto" w:fill="auto"/>
            <w:vAlign w:val="center"/>
            <w:hideMark/>
          </w:tcPr>
          <w:p w14:paraId="00AEC965"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32.672.954</w:t>
            </w:r>
          </w:p>
        </w:tc>
        <w:tc>
          <w:tcPr>
            <w:tcW w:w="713" w:type="pct"/>
            <w:shd w:val="clear" w:color="auto" w:fill="auto"/>
            <w:vAlign w:val="center"/>
            <w:hideMark/>
          </w:tcPr>
          <w:p w14:paraId="4C70CDF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31.650.772</w:t>
            </w:r>
          </w:p>
        </w:tc>
      </w:tr>
      <w:tr w:rsidR="00072A69" w:rsidRPr="00EC526F" w14:paraId="15AB8728" w14:textId="77777777" w:rsidTr="00AC1F17">
        <w:trPr>
          <w:trHeight w:val="300"/>
        </w:trPr>
        <w:tc>
          <w:tcPr>
            <w:tcW w:w="701" w:type="pct"/>
            <w:vMerge/>
            <w:vAlign w:val="center"/>
            <w:hideMark/>
          </w:tcPr>
          <w:p w14:paraId="37EB9F58"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654CC3F7"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Odprti postopek</w:t>
            </w:r>
          </w:p>
        </w:tc>
        <w:tc>
          <w:tcPr>
            <w:tcW w:w="626" w:type="pct"/>
            <w:shd w:val="clear" w:color="auto" w:fill="auto"/>
            <w:vAlign w:val="center"/>
            <w:hideMark/>
          </w:tcPr>
          <w:p w14:paraId="4D06C222"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732</w:t>
            </w:r>
          </w:p>
        </w:tc>
        <w:tc>
          <w:tcPr>
            <w:tcW w:w="770" w:type="pct"/>
            <w:shd w:val="clear" w:color="auto" w:fill="auto"/>
            <w:vAlign w:val="center"/>
            <w:hideMark/>
          </w:tcPr>
          <w:p w14:paraId="17525F4E"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851.410.393</w:t>
            </w:r>
          </w:p>
        </w:tc>
        <w:tc>
          <w:tcPr>
            <w:tcW w:w="713" w:type="pct"/>
            <w:shd w:val="clear" w:color="auto" w:fill="auto"/>
            <w:vAlign w:val="center"/>
            <w:hideMark/>
          </w:tcPr>
          <w:p w14:paraId="4E1EFBB7"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809.897.924</w:t>
            </w:r>
          </w:p>
        </w:tc>
      </w:tr>
      <w:tr w:rsidR="00072A69" w:rsidRPr="00EC526F" w14:paraId="5515124A" w14:textId="77777777" w:rsidTr="00AC1F17">
        <w:trPr>
          <w:trHeight w:val="300"/>
        </w:trPr>
        <w:tc>
          <w:tcPr>
            <w:tcW w:w="701" w:type="pct"/>
            <w:vMerge/>
            <w:vAlign w:val="center"/>
            <w:hideMark/>
          </w:tcPr>
          <w:p w14:paraId="706CBDAE"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16B5A63D"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Omejeni postopek</w:t>
            </w:r>
          </w:p>
        </w:tc>
        <w:tc>
          <w:tcPr>
            <w:tcW w:w="626" w:type="pct"/>
            <w:shd w:val="clear" w:color="auto" w:fill="auto"/>
            <w:vAlign w:val="center"/>
            <w:hideMark/>
          </w:tcPr>
          <w:p w14:paraId="51B72689"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w:t>
            </w:r>
          </w:p>
        </w:tc>
        <w:tc>
          <w:tcPr>
            <w:tcW w:w="770" w:type="pct"/>
            <w:shd w:val="clear" w:color="auto" w:fill="auto"/>
            <w:vAlign w:val="center"/>
            <w:hideMark/>
          </w:tcPr>
          <w:p w14:paraId="7A4E2E55"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10.437.240</w:t>
            </w:r>
          </w:p>
        </w:tc>
        <w:tc>
          <w:tcPr>
            <w:tcW w:w="713" w:type="pct"/>
            <w:shd w:val="clear" w:color="auto" w:fill="auto"/>
            <w:vAlign w:val="center"/>
            <w:hideMark/>
          </w:tcPr>
          <w:p w14:paraId="2454678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10.437.240</w:t>
            </w:r>
          </w:p>
        </w:tc>
      </w:tr>
      <w:tr w:rsidR="00072A69" w:rsidRPr="00EC526F" w14:paraId="1F87D321" w14:textId="77777777" w:rsidTr="00AC1F17">
        <w:trPr>
          <w:trHeight w:val="300"/>
        </w:trPr>
        <w:tc>
          <w:tcPr>
            <w:tcW w:w="701" w:type="pct"/>
            <w:vMerge/>
            <w:vAlign w:val="center"/>
            <w:hideMark/>
          </w:tcPr>
          <w:p w14:paraId="246B9613"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4E690DAD"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naročila male vrednosti</w:t>
            </w:r>
          </w:p>
        </w:tc>
        <w:tc>
          <w:tcPr>
            <w:tcW w:w="626" w:type="pct"/>
            <w:shd w:val="clear" w:color="auto" w:fill="auto"/>
            <w:vAlign w:val="center"/>
            <w:hideMark/>
          </w:tcPr>
          <w:p w14:paraId="2F3E7739"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1.594</w:t>
            </w:r>
          </w:p>
        </w:tc>
        <w:tc>
          <w:tcPr>
            <w:tcW w:w="770" w:type="pct"/>
            <w:shd w:val="clear" w:color="auto" w:fill="auto"/>
            <w:vAlign w:val="center"/>
            <w:hideMark/>
          </w:tcPr>
          <w:p w14:paraId="0A70833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145.359.438</w:t>
            </w:r>
          </w:p>
        </w:tc>
        <w:tc>
          <w:tcPr>
            <w:tcW w:w="713" w:type="pct"/>
            <w:shd w:val="clear" w:color="auto" w:fill="auto"/>
            <w:vAlign w:val="center"/>
            <w:hideMark/>
          </w:tcPr>
          <w:p w14:paraId="1967006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136.045.728</w:t>
            </w:r>
          </w:p>
        </w:tc>
      </w:tr>
      <w:tr w:rsidR="00072A69" w:rsidRPr="00EC526F" w14:paraId="77FDEBE4" w14:textId="77777777" w:rsidTr="00AC1F17">
        <w:trPr>
          <w:trHeight w:val="300"/>
        </w:trPr>
        <w:tc>
          <w:tcPr>
            <w:tcW w:w="701" w:type="pct"/>
            <w:vMerge/>
            <w:vAlign w:val="center"/>
            <w:hideMark/>
          </w:tcPr>
          <w:p w14:paraId="38BB4CB1"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0479E285"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s pogajanji brez predhodne objave</w:t>
            </w:r>
          </w:p>
        </w:tc>
        <w:tc>
          <w:tcPr>
            <w:tcW w:w="626" w:type="pct"/>
            <w:shd w:val="clear" w:color="auto" w:fill="auto"/>
            <w:vAlign w:val="center"/>
            <w:hideMark/>
          </w:tcPr>
          <w:p w14:paraId="52F3AEF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269</w:t>
            </w:r>
          </w:p>
        </w:tc>
        <w:tc>
          <w:tcPr>
            <w:tcW w:w="770" w:type="pct"/>
            <w:shd w:val="clear" w:color="auto" w:fill="auto"/>
            <w:vAlign w:val="center"/>
            <w:hideMark/>
          </w:tcPr>
          <w:p w14:paraId="698CA288"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117.770.102</w:t>
            </w:r>
          </w:p>
        </w:tc>
        <w:tc>
          <w:tcPr>
            <w:tcW w:w="713" w:type="pct"/>
            <w:shd w:val="clear" w:color="auto" w:fill="auto"/>
            <w:vAlign w:val="center"/>
            <w:hideMark/>
          </w:tcPr>
          <w:p w14:paraId="534422F5"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114.707.585</w:t>
            </w:r>
          </w:p>
        </w:tc>
      </w:tr>
      <w:tr w:rsidR="00072A69" w:rsidRPr="00EC526F" w14:paraId="6C58AD27" w14:textId="77777777" w:rsidTr="00AC1F17">
        <w:trPr>
          <w:trHeight w:val="300"/>
        </w:trPr>
        <w:tc>
          <w:tcPr>
            <w:tcW w:w="701" w:type="pct"/>
            <w:vMerge/>
            <w:vAlign w:val="center"/>
            <w:hideMark/>
          </w:tcPr>
          <w:p w14:paraId="634F7054"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799532EF"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s pogajanji po predhodni objavi</w:t>
            </w:r>
          </w:p>
        </w:tc>
        <w:tc>
          <w:tcPr>
            <w:tcW w:w="626" w:type="pct"/>
            <w:shd w:val="clear" w:color="auto" w:fill="auto"/>
            <w:vAlign w:val="center"/>
            <w:hideMark/>
          </w:tcPr>
          <w:p w14:paraId="6BCFF4A8"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48</w:t>
            </w:r>
          </w:p>
        </w:tc>
        <w:tc>
          <w:tcPr>
            <w:tcW w:w="770" w:type="pct"/>
            <w:shd w:val="clear" w:color="auto" w:fill="auto"/>
            <w:vAlign w:val="center"/>
            <w:hideMark/>
          </w:tcPr>
          <w:p w14:paraId="23E9B85C"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105.760.403</w:t>
            </w:r>
          </w:p>
        </w:tc>
        <w:tc>
          <w:tcPr>
            <w:tcW w:w="713" w:type="pct"/>
            <w:shd w:val="clear" w:color="auto" w:fill="auto"/>
            <w:vAlign w:val="center"/>
            <w:hideMark/>
          </w:tcPr>
          <w:p w14:paraId="5852677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93.658.519</w:t>
            </w:r>
          </w:p>
        </w:tc>
      </w:tr>
      <w:tr w:rsidR="00072A69" w:rsidRPr="00EC526F" w14:paraId="07B47A93" w14:textId="77777777" w:rsidTr="00AC1F17">
        <w:trPr>
          <w:trHeight w:val="300"/>
        </w:trPr>
        <w:tc>
          <w:tcPr>
            <w:tcW w:w="701" w:type="pct"/>
            <w:vMerge/>
            <w:vAlign w:val="center"/>
            <w:hideMark/>
          </w:tcPr>
          <w:p w14:paraId="20F79859"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559C4674"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zbiranja ponudb po predhodni objavi</w:t>
            </w:r>
          </w:p>
        </w:tc>
        <w:tc>
          <w:tcPr>
            <w:tcW w:w="626" w:type="pct"/>
            <w:shd w:val="clear" w:color="auto" w:fill="auto"/>
            <w:vAlign w:val="center"/>
            <w:hideMark/>
          </w:tcPr>
          <w:p w14:paraId="6747ABD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w:t>
            </w:r>
          </w:p>
        </w:tc>
        <w:tc>
          <w:tcPr>
            <w:tcW w:w="770" w:type="pct"/>
            <w:shd w:val="clear" w:color="auto" w:fill="auto"/>
            <w:vAlign w:val="center"/>
            <w:hideMark/>
          </w:tcPr>
          <w:p w14:paraId="4398B09F"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1.232.357</w:t>
            </w:r>
          </w:p>
        </w:tc>
        <w:tc>
          <w:tcPr>
            <w:tcW w:w="713" w:type="pct"/>
            <w:shd w:val="clear" w:color="auto" w:fill="auto"/>
            <w:vAlign w:val="center"/>
            <w:hideMark/>
          </w:tcPr>
          <w:p w14:paraId="53BCA937"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1.228.228</w:t>
            </w:r>
          </w:p>
        </w:tc>
      </w:tr>
      <w:tr w:rsidR="00072A69" w:rsidRPr="00EC526F" w14:paraId="3316280D" w14:textId="77777777" w:rsidTr="00AC1F17">
        <w:trPr>
          <w:trHeight w:val="300"/>
        </w:trPr>
        <w:tc>
          <w:tcPr>
            <w:tcW w:w="701" w:type="pct"/>
            <w:vMerge/>
            <w:vAlign w:val="center"/>
            <w:hideMark/>
          </w:tcPr>
          <w:p w14:paraId="31CF19D8"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711F2F09" w14:textId="77777777" w:rsidR="00072A69" w:rsidRPr="00EC526F" w:rsidRDefault="00072A69" w:rsidP="00AC1F17">
            <w:pPr>
              <w:spacing w:after="0" w:line="240" w:lineRule="auto"/>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Skupaj</w:t>
            </w:r>
          </w:p>
        </w:tc>
        <w:tc>
          <w:tcPr>
            <w:tcW w:w="626" w:type="pct"/>
            <w:shd w:val="clear" w:color="auto" w:fill="auto"/>
            <w:vAlign w:val="center"/>
            <w:hideMark/>
          </w:tcPr>
          <w:p w14:paraId="545C559E"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2.670</w:t>
            </w:r>
          </w:p>
        </w:tc>
        <w:tc>
          <w:tcPr>
            <w:tcW w:w="770" w:type="pct"/>
            <w:shd w:val="clear" w:color="auto" w:fill="auto"/>
            <w:vAlign w:val="center"/>
            <w:hideMark/>
          </w:tcPr>
          <w:p w14:paraId="754D7738"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1.264.642.887</w:t>
            </w:r>
          </w:p>
        </w:tc>
        <w:tc>
          <w:tcPr>
            <w:tcW w:w="713" w:type="pct"/>
            <w:shd w:val="clear" w:color="auto" w:fill="auto"/>
            <w:vAlign w:val="center"/>
            <w:hideMark/>
          </w:tcPr>
          <w:p w14:paraId="37E3A3F8"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1.197.625.996</w:t>
            </w:r>
          </w:p>
        </w:tc>
      </w:tr>
      <w:tr w:rsidR="00072A69" w:rsidRPr="00EC526F" w14:paraId="14318CC2" w14:textId="77777777" w:rsidTr="00AC1F17">
        <w:trPr>
          <w:trHeight w:val="300"/>
        </w:trPr>
        <w:tc>
          <w:tcPr>
            <w:tcW w:w="701" w:type="pct"/>
            <w:vMerge w:val="restart"/>
            <w:shd w:val="clear" w:color="auto" w:fill="auto"/>
            <w:vAlign w:val="center"/>
            <w:hideMark/>
          </w:tcPr>
          <w:p w14:paraId="740B5515"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Storitve</w:t>
            </w:r>
          </w:p>
        </w:tc>
        <w:tc>
          <w:tcPr>
            <w:tcW w:w="2190" w:type="pct"/>
            <w:shd w:val="clear" w:color="auto" w:fill="auto"/>
            <w:vAlign w:val="center"/>
            <w:hideMark/>
          </w:tcPr>
          <w:p w14:paraId="71CC0914"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Konkurenčni dialog</w:t>
            </w:r>
          </w:p>
        </w:tc>
        <w:tc>
          <w:tcPr>
            <w:tcW w:w="626" w:type="pct"/>
            <w:shd w:val="clear" w:color="auto" w:fill="auto"/>
            <w:vAlign w:val="center"/>
            <w:hideMark/>
          </w:tcPr>
          <w:p w14:paraId="3B85273F"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3</w:t>
            </w:r>
          </w:p>
        </w:tc>
        <w:tc>
          <w:tcPr>
            <w:tcW w:w="770" w:type="pct"/>
            <w:shd w:val="clear" w:color="auto" w:fill="auto"/>
            <w:vAlign w:val="center"/>
            <w:hideMark/>
          </w:tcPr>
          <w:p w14:paraId="7E3F73C6"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1.278.049</w:t>
            </w:r>
          </w:p>
        </w:tc>
        <w:tc>
          <w:tcPr>
            <w:tcW w:w="713" w:type="pct"/>
            <w:shd w:val="clear" w:color="auto" w:fill="auto"/>
            <w:vAlign w:val="center"/>
            <w:hideMark/>
          </w:tcPr>
          <w:p w14:paraId="6349759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1.278.680</w:t>
            </w:r>
          </w:p>
        </w:tc>
      </w:tr>
      <w:tr w:rsidR="00072A69" w:rsidRPr="00EC526F" w14:paraId="598367CE" w14:textId="77777777" w:rsidTr="00AC1F17">
        <w:trPr>
          <w:trHeight w:val="300"/>
        </w:trPr>
        <w:tc>
          <w:tcPr>
            <w:tcW w:w="701" w:type="pct"/>
            <w:vMerge/>
            <w:vAlign w:val="center"/>
            <w:hideMark/>
          </w:tcPr>
          <w:p w14:paraId="4BF1B2F6"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126B61F5"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Konkurenčni postopek s pogajanji</w:t>
            </w:r>
          </w:p>
        </w:tc>
        <w:tc>
          <w:tcPr>
            <w:tcW w:w="626" w:type="pct"/>
            <w:shd w:val="clear" w:color="auto" w:fill="auto"/>
            <w:vAlign w:val="center"/>
            <w:hideMark/>
          </w:tcPr>
          <w:p w14:paraId="3C99BEA2"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23</w:t>
            </w:r>
          </w:p>
        </w:tc>
        <w:tc>
          <w:tcPr>
            <w:tcW w:w="770" w:type="pct"/>
            <w:shd w:val="clear" w:color="auto" w:fill="auto"/>
            <w:vAlign w:val="center"/>
            <w:hideMark/>
          </w:tcPr>
          <w:p w14:paraId="71332364"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11.763.510</w:t>
            </w:r>
          </w:p>
        </w:tc>
        <w:tc>
          <w:tcPr>
            <w:tcW w:w="713" w:type="pct"/>
            <w:shd w:val="clear" w:color="auto" w:fill="auto"/>
            <w:vAlign w:val="center"/>
            <w:hideMark/>
          </w:tcPr>
          <w:p w14:paraId="51E1ABA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10.062.902</w:t>
            </w:r>
          </w:p>
        </w:tc>
      </w:tr>
      <w:tr w:rsidR="00072A69" w:rsidRPr="00EC526F" w14:paraId="709672F1" w14:textId="77777777" w:rsidTr="00AC1F17">
        <w:trPr>
          <w:trHeight w:val="300"/>
        </w:trPr>
        <w:tc>
          <w:tcPr>
            <w:tcW w:w="701" w:type="pct"/>
            <w:vMerge/>
            <w:vAlign w:val="center"/>
            <w:hideMark/>
          </w:tcPr>
          <w:p w14:paraId="21323BE1"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1F2FEBC0"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Odprti postopek</w:t>
            </w:r>
          </w:p>
        </w:tc>
        <w:tc>
          <w:tcPr>
            <w:tcW w:w="626" w:type="pct"/>
            <w:shd w:val="clear" w:color="auto" w:fill="auto"/>
            <w:vAlign w:val="center"/>
            <w:hideMark/>
          </w:tcPr>
          <w:p w14:paraId="0C73E365"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522</w:t>
            </w:r>
          </w:p>
        </w:tc>
        <w:tc>
          <w:tcPr>
            <w:tcW w:w="770" w:type="pct"/>
            <w:shd w:val="clear" w:color="auto" w:fill="auto"/>
            <w:vAlign w:val="center"/>
            <w:hideMark/>
          </w:tcPr>
          <w:p w14:paraId="54E74779"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415.437.978</w:t>
            </w:r>
          </w:p>
        </w:tc>
        <w:tc>
          <w:tcPr>
            <w:tcW w:w="713" w:type="pct"/>
            <w:shd w:val="clear" w:color="auto" w:fill="auto"/>
            <w:vAlign w:val="center"/>
            <w:hideMark/>
          </w:tcPr>
          <w:p w14:paraId="47ADC61F"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399.136.439</w:t>
            </w:r>
          </w:p>
        </w:tc>
      </w:tr>
      <w:tr w:rsidR="00072A69" w:rsidRPr="00EC526F" w14:paraId="49FD5BD5" w14:textId="77777777" w:rsidTr="00AC1F17">
        <w:trPr>
          <w:trHeight w:val="300"/>
        </w:trPr>
        <w:tc>
          <w:tcPr>
            <w:tcW w:w="701" w:type="pct"/>
            <w:vMerge/>
            <w:vAlign w:val="center"/>
            <w:hideMark/>
          </w:tcPr>
          <w:p w14:paraId="56C48607"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4C56ABC2"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Omejeni postopek</w:t>
            </w:r>
          </w:p>
        </w:tc>
        <w:tc>
          <w:tcPr>
            <w:tcW w:w="626" w:type="pct"/>
            <w:shd w:val="clear" w:color="auto" w:fill="auto"/>
            <w:vAlign w:val="center"/>
            <w:hideMark/>
          </w:tcPr>
          <w:p w14:paraId="34081CED"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2</w:t>
            </w:r>
          </w:p>
        </w:tc>
        <w:tc>
          <w:tcPr>
            <w:tcW w:w="770" w:type="pct"/>
            <w:shd w:val="clear" w:color="auto" w:fill="auto"/>
            <w:vAlign w:val="center"/>
            <w:hideMark/>
          </w:tcPr>
          <w:p w14:paraId="364A75B5"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530.000</w:t>
            </w:r>
          </w:p>
        </w:tc>
        <w:tc>
          <w:tcPr>
            <w:tcW w:w="713" w:type="pct"/>
            <w:shd w:val="clear" w:color="auto" w:fill="auto"/>
            <w:vAlign w:val="center"/>
            <w:hideMark/>
          </w:tcPr>
          <w:p w14:paraId="619270C7"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779.600</w:t>
            </w:r>
          </w:p>
        </w:tc>
      </w:tr>
      <w:tr w:rsidR="00072A69" w:rsidRPr="00EC526F" w14:paraId="49C3A6F3" w14:textId="77777777" w:rsidTr="00AC1F17">
        <w:trPr>
          <w:trHeight w:val="300"/>
        </w:trPr>
        <w:tc>
          <w:tcPr>
            <w:tcW w:w="701" w:type="pct"/>
            <w:vMerge/>
            <w:vAlign w:val="center"/>
            <w:hideMark/>
          </w:tcPr>
          <w:p w14:paraId="17B8D68B"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290B5602"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naročila male vrednosti</w:t>
            </w:r>
          </w:p>
        </w:tc>
        <w:tc>
          <w:tcPr>
            <w:tcW w:w="626" w:type="pct"/>
            <w:shd w:val="clear" w:color="auto" w:fill="auto"/>
            <w:vAlign w:val="center"/>
            <w:hideMark/>
          </w:tcPr>
          <w:p w14:paraId="32EF5774"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1.377</w:t>
            </w:r>
          </w:p>
        </w:tc>
        <w:tc>
          <w:tcPr>
            <w:tcW w:w="770" w:type="pct"/>
            <w:shd w:val="clear" w:color="auto" w:fill="auto"/>
            <w:vAlign w:val="center"/>
            <w:hideMark/>
          </w:tcPr>
          <w:p w14:paraId="22FAD6F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126.141.133</w:t>
            </w:r>
          </w:p>
        </w:tc>
        <w:tc>
          <w:tcPr>
            <w:tcW w:w="713" w:type="pct"/>
            <w:shd w:val="clear" w:color="auto" w:fill="auto"/>
            <w:vAlign w:val="center"/>
            <w:hideMark/>
          </w:tcPr>
          <w:p w14:paraId="0C162CDC"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116.014.542</w:t>
            </w:r>
          </w:p>
        </w:tc>
      </w:tr>
      <w:tr w:rsidR="00072A69" w:rsidRPr="00EC526F" w14:paraId="3A76DCB2" w14:textId="77777777" w:rsidTr="00AC1F17">
        <w:trPr>
          <w:trHeight w:val="300"/>
        </w:trPr>
        <w:tc>
          <w:tcPr>
            <w:tcW w:w="701" w:type="pct"/>
            <w:vMerge/>
            <w:vAlign w:val="center"/>
            <w:hideMark/>
          </w:tcPr>
          <w:p w14:paraId="71E88680"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007CCE9F"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s pogajanji brez predhodne objave</w:t>
            </w:r>
          </w:p>
        </w:tc>
        <w:tc>
          <w:tcPr>
            <w:tcW w:w="626" w:type="pct"/>
            <w:shd w:val="clear" w:color="auto" w:fill="auto"/>
            <w:vAlign w:val="center"/>
            <w:hideMark/>
          </w:tcPr>
          <w:p w14:paraId="4F0F4F73"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423</w:t>
            </w:r>
          </w:p>
        </w:tc>
        <w:tc>
          <w:tcPr>
            <w:tcW w:w="770" w:type="pct"/>
            <w:shd w:val="clear" w:color="auto" w:fill="auto"/>
            <w:vAlign w:val="center"/>
            <w:hideMark/>
          </w:tcPr>
          <w:p w14:paraId="1967D6A2"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136.007.409</w:t>
            </w:r>
          </w:p>
        </w:tc>
        <w:tc>
          <w:tcPr>
            <w:tcW w:w="713" w:type="pct"/>
            <w:shd w:val="clear" w:color="auto" w:fill="auto"/>
            <w:vAlign w:val="center"/>
            <w:hideMark/>
          </w:tcPr>
          <w:p w14:paraId="3FA1BA5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129.437.605</w:t>
            </w:r>
          </w:p>
        </w:tc>
      </w:tr>
      <w:tr w:rsidR="00072A69" w:rsidRPr="00EC526F" w14:paraId="060F852B" w14:textId="77777777" w:rsidTr="00AC1F17">
        <w:trPr>
          <w:trHeight w:val="300"/>
        </w:trPr>
        <w:tc>
          <w:tcPr>
            <w:tcW w:w="701" w:type="pct"/>
            <w:vMerge/>
            <w:vAlign w:val="center"/>
            <w:hideMark/>
          </w:tcPr>
          <w:p w14:paraId="7CFD75DF"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229FEAB8"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s pogajanji po predhodni objavi</w:t>
            </w:r>
          </w:p>
        </w:tc>
        <w:tc>
          <w:tcPr>
            <w:tcW w:w="626" w:type="pct"/>
            <w:shd w:val="clear" w:color="auto" w:fill="auto"/>
            <w:vAlign w:val="center"/>
            <w:hideMark/>
          </w:tcPr>
          <w:p w14:paraId="6BFC4E50"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53</w:t>
            </w:r>
          </w:p>
        </w:tc>
        <w:tc>
          <w:tcPr>
            <w:tcW w:w="770" w:type="pct"/>
            <w:shd w:val="clear" w:color="auto" w:fill="auto"/>
            <w:vAlign w:val="center"/>
            <w:hideMark/>
          </w:tcPr>
          <w:p w14:paraId="4955391D"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110.189.741</w:t>
            </w:r>
          </w:p>
        </w:tc>
        <w:tc>
          <w:tcPr>
            <w:tcW w:w="713" w:type="pct"/>
            <w:shd w:val="clear" w:color="auto" w:fill="auto"/>
            <w:vAlign w:val="center"/>
            <w:hideMark/>
          </w:tcPr>
          <w:p w14:paraId="657CF6A8"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106.834.720</w:t>
            </w:r>
          </w:p>
        </w:tc>
      </w:tr>
      <w:tr w:rsidR="00072A69" w:rsidRPr="00EC526F" w14:paraId="19139499" w14:textId="77777777" w:rsidTr="00AC1F17">
        <w:trPr>
          <w:trHeight w:val="300"/>
        </w:trPr>
        <w:tc>
          <w:tcPr>
            <w:tcW w:w="701" w:type="pct"/>
            <w:vMerge/>
            <w:vAlign w:val="center"/>
            <w:hideMark/>
          </w:tcPr>
          <w:p w14:paraId="1C7478F2"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3B50A9D7"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zbiranja ponudb po predhodni objavi</w:t>
            </w:r>
          </w:p>
        </w:tc>
        <w:tc>
          <w:tcPr>
            <w:tcW w:w="626" w:type="pct"/>
            <w:shd w:val="clear" w:color="auto" w:fill="auto"/>
            <w:vAlign w:val="center"/>
            <w:hideMark/>
          </w:tcPr>
          <w:p w14:paraId="2090735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w:t>
            </w:r>
          </w:p>
        </w:tc>
        <w:tc>
          <w:tcPr>
            <w:tcW w:w="770" w:type="pct"/>
            <w:shd w:val="clear" w:color="auto" w:fill="auto"/>
            <w:vAlign w:val="center"/>
            <w:hideMark/>
          </w:tcPr>
          <w:p w14:paraId="60A5F9C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413.082</w:t>
            </w:r>
          </w:p>
        </w:tc>
        <w:tc>
          <w:tcPr>
            <w:tcW w:w="713" w:type="pct"/>
            <w:shd w:val="clear" w:color="auto" w:fill="auto"/>
            <w:vAlign w:val="center"/>
            <w:hideMark/>
          </w:tcPr>
          <w:p w14:paraId="5A6CC021"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397.594</w:t>
            </w:r>
          </w:p>
        </w:tc>
      </w:tr>
      <w:tr w:rsidR="00072A69" w:rsidRPr="00EC526F" w14:paraId="55F7C205" w14:textId="77777777" w:rsidTr="00AC1F17">
        <w:trPr>
          <w:trHeight w:val="300"/>
        </w:trPr>
        <w:tc>
          <w:tcPr>
            <w:tcW w:w="701" w:type="pct"/>
            <w:vMerge/>
            <w:vAlign w:val="center"/>
            <w:hideMark/>
          </w:tcPr>
          <w:p w14:paraId="1F38668F"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51C33F89" w14:textId="77777777" w:rsidR="00072A69" w:rsidRPr="00EC526F" w:rsidRDefault="00072A69" w:rsidP="00AC1F17">
            <w:pPr>
              <w:spacing w:after="0" w:line="240" w:lineRule="auto"/>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Skupaj</w:t>
            </w:r>
          </w:p>
        </w:tc>
        <w:tc>
          <w:tcPr>
            <w:tcW w:w="626" w:type="pct"/>
            <w:shd w:val="clear" w:color="auto" w:fill="auto"/>
            <w:vAlign w:val="center"/>
            <w:hideMark/>
          </w:tcPr>
          <w:p w14:paraId="4A693E77"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2.408</w:t>
            </w:r>
          </w:p>
        </w:tc>
        <w:tc>
          <w:tcPr>
            <w:tcW w:w="770" w:type="pct"/>
            <w:shd w:val="clear" w:color="auto" w:fill="auto"/>
            <w:vAlign w:val="center"/>
            <w:hideMark/>
          </w:tcPr>
          <w:p w14:paraId="428E30F3"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801.760.902</w:t>
            </w:r>
          </w:p>
        </w:tc>
        <w:tc>
          <w:tcPr>
            <w:tcW w:w="713" w:type="pct"/>
            <w:shd w:val="clear" w:color="auto" w:fill="auto"/>
            <w:vAlign w:val="center"/>
            <w:hideMark/>
          </w:tcPr>
          <w:p w14:paraId="63F8AC52"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763.942.082</w:t>
            </w:r>
          </w:p>
        </w:tc>
      </w:tr>
      <w:tr w:rsidR="00072A69" w:rsidRPr="00EC526F" w14:paraId="2B8E0440" w14:textId="77777777" w:rsidTr="00AC1F17">
        <w:trPr>
          <w:trHeight w:val="300"/>
        </w:trPr>
        <w:tc>
          <w:tcPr>
            <w:tcW w:w="701" w:type="pct"/>
            <w:vMerge w:val="restart"/>
            <w:shd w:val="clear" w:color="auto" w:fill="auto"/>
            <w:vAlign w:val="center"/>
            <w:hideMark/>
          </w:tcPr>
          <w:p w14:paraId="1CDB19CD" w14:textId="77777777" w:rsidR="00072A69" w:rsidRPr="00EC526F" w:rsidRDefault="00072A69" w:rsidP="00AC1F17">
            <w:pPr>
              <w:spacing w:after="0" w:line="240" w:lineRule="auto"/>
              <w:jc w:val="center"/>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Gradnje</w:t>
            </w:r>
          </w:p>
        </w:tc>
        <w:tc>
          <w:tcPr>
            <w:tcW w:w="2190" w:type="pct"/>
            <w:shd w:val="clear" w:color="auto" w:fill="auto"/>
            <w:vAlign w:val="center"/>
            <w:hideMark/>
          </w:tcPr>
          <w:p w14:paraId="1C799B1A"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Konkurenčni dialog</w:t>
            </w:r>
          </w:p>
        </w:tc>
        <w:tc>
          <w:tcPr>
            <w:tcW w:w="626" w:type="pct"/>
            <w:shd w:val="clear" w:color="auto" w:fill="auto"/>
            <w:vAlign w:val="center"/>
            <w:hideMark/>
          </w:tcPr>
          <w:p w14:paraId="003FEED2"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2</w:t>
            </w:r>
          </w:p>
        </w:tc>
        <w:tc>
          <w:tcPr>
            <w:tcW w:w="770" w:type="pct"/>
            <w:shd w:val="clear" w:color="auto" w:fill="auto"/>
            <w:vAlign w:val="center"/>
            <w:hideMark/>
          </w:tcPr>
          <w:p w14:paraId="2FB98E82"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10.705.812</w:t>
            </w:r>
          </w:p>
        </w:tc>
        <w:tc>
          <w:tcPr>
            <w:tcW w:w="713" w:type="pct"/>
            <w:shd w:val="clear" w:color="auto" w:fill="auto"/>
            <w:vAlign w:val="center"/>
            <w:hideMark/>
          </w:tcPr>
          <w:p w14:paraId="7C9CEF1C"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11.394.929</w:t>
            </w:r>
          </w:p>
        </w:tc>
      </w:tr>
      <w:tr w:rsidR="00072A69" w:rsidRPr="00EC526F" w14:paraId="242948BD" w14:textId="77777777" w:rsidTr="00AC1F17">
        <w:trPr>
          <w:trHeight w:val="300"/>
        </w:trPr>
        <w:tc>
          <w:tcPr>
            <w:tcW w:w="701" w:type="pct"/>
            <w:vMerge/>
            <w:vAlign w:val="center"/>
            <w:hideMark/>
          </w:tcPr>
          <w:p w14:paraId="0245E77E"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4ECE70E3"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Konkurenčni postopek s pogajanji</w:t>
            </w:r>
          </w:p>
        </w:tc>
        <w:tc>
          <w:tcPr>
            <w:tcW w:w="626" w:type="pct"/>
            <w:shd w:val="clear" w:color="auto" w:fill="auto"/>
            <w:vAlign w:val="center"/>
            <w:hideMark/>
          </w:tcPr>
          <w:p w14:paraId="60CDA36F"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74</w:t>
            </w:r>
          </w:p>
        </w:tc>
        <w:tc>
          <w:tcPr>
            <w:tcW w:w="770" w:type="pct"/>
            <w:shd w:val="clear" w:color="auto" w:fill="auto"/>
            <w:vAlign w:val="center"/>
            <w:hideMark/>
          </w:tcPr>
          <w:p w14:paraId="4C03CA8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82.205.511</w:t>
            </w:r>
          </w:p>
        </w:tc>
        <w:tc>
          <w:tcPr>
            <w:tcW w:w="713" w:type="pct"/>
            <w:shd w:val="clear" w:color="auto" w:fill="auto"/>
            <w:vAlign w:val="center"/>
            <w:hideMark/>
          </w:tcPr>
          <w:p w14:paraId="487DFB94"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92.601.394</w:t>
            </w:r>
          </w:p>
        </w:tc>
      </w:tr>
      <w:tr w:rsidR="00072A69" w:rsidRPr="00EC526F" w14:paraId="6C5BF2C2" w14:textId="77777777" w:rsidTr="00AC1F17">
        <w:trPr>
          <w:trHeight w:val="300"/>
        </w:trPr>
        <w:tc>
          <w:tcPr>
            <w:tcW w:w="701" w:type="pct"/>
            <w:vMerge/>
            <w:vAlign w:val="center"/>
            <w:hideMark/>
          </w:tcPr>
          <w:p w14:paraId="5ED84AAF"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2AB5F51D"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Odprti postopek</w:t>
            </w:r>
          </w:p>
        </w:tc>
        <w:tc>
          <w:tcPr>
            <w:tcW w:w="626" w:type="pct"/>
            <w:shd w:val="clear" w:color="auto" w:fill="auto"/>
            <w:vAlign w:val="center"/>
            <w:hideMark/>
          </w:tcPr>
          <w:p w14:paraId="218935B3"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354</w:t>
            </w:r>
          </w:p>
        </w:tc>
        <w:tc>
          <w:tcPr>
            <w:tcW w:w="770" w:type="pct"/>
            <w:shd w:val="clear" w:color="auto" w:fill="auto"/>
            <w:vAlign w:val="center"/>
            <w:hideMark/>
          </w:tcPr>
          <w:p w14:paraId="27DDD78A"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576.675.722</w:t>
            </w:r>
          </w:p>
        </w:tc>
        <w:tc>
          <w:tcPr>
            <w:tcW w:w="713" w:type="pct"/>
            <w:shd w:val="clear" w:color="auto" w:fill="auto"/>
            <w:vAlign w:val="center"/>
            <w:hideMark/>
          </w:tcPr>
          <w:p w14:paraId="04A295DD"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568.086.785</w:t>
            </w:r>
          </w:p>
        </w:tc>
      </w:tr>
      <w:tr w:rsidR="00072A69" w:rsidRPr="00EC526F" w14:paraId="069CDC08" w14:textId="77777777" w:rsidTr="00AC1F17">
        <w:trPr>
          <w:trHeight w:val="300"/>
        </w:trPr>
        <w:tc>
          <w:tcPr>
            <w:tcW w:w="701" w:type="pct"/>
            <w:vMerge/>
            <w:vAlign w:val="center"/>
            <w:hideMark/>
          </w:tcPr>
          <w:p w14:paraId="1E7CF484"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3ABD1F21"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Omejeni postopek</w:t>
            </w:r>
          </w:p>
        </w:tc>
        <w:tc>
          <w:tcPr>
            <w:tcW w:w="626" w:type="pct"/>
            <w:shd w:val="clear" w:color="auto" w:fill="auto"/>
            <w:vAlign w:val="center"/>
            <w:hideMark/>
          </w:tcPr>
          <w:p w14:paraId="04601127"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w:t>
            </w:r>
          </w:p>
        </w:tc>
        <w:tc>
          <w:tcPr>
            <w:tcW w:w="770" w:type="pct"/>
            <w:shd w:val="clear" w:color="auto" w:fill="auto"/>
            <w:vAlign w:val="center"/>
            <w:hideMark/>
          </w:tcPr>
          <w:p w14:paraId="747EC8AD"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8.868.042</w:t>
            </w:r>
          </w:p>
        </w:tc>
        <w:tc>
          <w:tcPr>
            <w:tcW w:w="713" w:type="pct"/>
            <w:shd w:val="clear" w:color="auto" w:fill="auto"/>
            <w:vAlign w:val="center"/>
            <w:hideMark/>
          </w:tcPr>
          <w:p w14:paraId="3EE587F0"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8.868.042</w:t>
            </w:r>
          </w:p>
        </w:tc>
      </w:tr>
      <w:tr w:rsidR="00072A69" w:rsidRPr="00EC526F" w14:paraId="278D34EE" w14:textId="77777777" w:rsidTr="00AC1F17">
        <w:trPr>
          <w:trHeight w:val="300"/>
        </w:trPr>
        <w:tc>
          <w:tcPr>
            <w:tcW w:w="701" w:type="pct"/>
            <w:vMerge/>
            <w:vAlign w:val="center"/>
            <w:hideMark/>
          </w:tcPr>
          <w:p w14:paraId="4AB1CA37"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21A7795F"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naročila male vrednosti</w:t>
            </w:r>
          </w:p>
        </w:tc>
        <w:tc>
          <w:tcPr>
            <w:tcW w:w="626" w:type="pct"/>
            <w:shd w:val="clear" w:color="auto" w:fill="auto"/>
            <w:vAlign w:val="center"/>
            <w:hideMark/>
          </w:tcPr>
          <w:p w14:paraId="30E7FFBD"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1.168</w:t>
            </w:r>
          </w:p>
        </w:tc>
        <w:tc>
          <w:tcPr>
            <w:tcW w:w="770" w:type="pct"/>
            <w:shd w:val="clear" w:color="auto" w:fill="auto"/>
            <w:vAlign w:val="center"/>
            <w:hideMark/>
          </w:tcPr>
          <w:p w14:paraId="4F4AC169"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213.351.948</w:t>
            </w:r>
          </w:p>
        </w:tc>
        <w:tc>
          <w:tcPr>
            <w:tcW w:w="713" w:type="pct"/>
            <w:shd w:val="clear" w:color="auto" w:fill="auto"/>
            <w:vAlign w:val="center"/>
            <w:hideMark/>
          </w:tcPr>
          <w:p w14:paraId="01EACB7D"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203.725.861</w:t>
            </w:r>
          </w:p>
        </w:tc>
      </w:tr>
      <w:tr w:rsidR="00072A69" w:rsidRPr="00EC526F" w14:paraId="23ED689F" w14:textId="77777777" w:rsidTr="00AC1F17">
        <w:trPr>
          <w:trHeight w:val="300"/>
        </w:trPr>
        <w:tc>
          <w:tcPr>
            <w:tcW w:w="701" w:type="pct"/>
            <w:vMerge/>
            <w:vAlign w:val="center"/>
            <w:hideMark/>
          </w:tcPr>
          <w:p w14:paraId="6F3462FB"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47C623D4"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s pogajanji brez predhodne objave</w:t>
            </w:r>
          </w:p>
        </w:tc>
        <w:tc>
          <w:tcPr>
            <w:tcW w:w="626" w:type="pct"/>
            <w:shd w:val="clear" w:color="auto" w:fill="auto"/>
            <w:vAlign w:val="center"/>
            <w:hideMark/>
          </w:tcPr>
          <w:p w14:paraId="1759648B"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50</w:t>
            </w:r>
          </w:p>
        </w:tc>
        <w:tc>
          <w:tcPr>
            <w:tcW w:w="770" w:type="pct"/>
            <w:shd w:val="clear" w:color="auto" w:fill="auto"/>
            <w:vAlign w:val="center"/>
            <w:hideMark/>
          </w:tcPr>
          <w:p w14:paraId="5B72EAE2"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63.127.961</w:t>
            </w:r>
          </w:p>
        </w:tc>
        <w:tc>
          <w:tcPr>
            <w:tcW w:w="713" w:type="pct"/>
            <w:shd w:val="clear" w:color="auto" w:fill="auto"/>
            <w:vAlign w:val="center"/>
            <w:hideMark/>
          </w:tcPr>
          <w:p w14:paraId="62A9B764"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65.085.696</w:t>
            </w:r>
          </w:p>
        </w:tc>
      </w:tr>
      <w:tr w:rsidR="00072A69" w:rsidRPr="00EC526F" w14:paraId="59EF3FAE" w14:textId="77777777" w:rsidTr="00AC1F17">
        <w:trPr>
          <w:trHeight w:val="300"/>
        </w:trPr>
        <w:tc>
          <w:tcPr>
            <w:tcW w:w="701" w:type="pct"/>
            <w:vMerge/>
            <w:vAlign w:val="center"/>
            <w:hideMark/>
          </w:tcPr>
          <w:p w14:paraId="65D367D0"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7A427E69" w14:textId="77777777" w:rsidR="00072A69" w:rsidRPr="00EC526F" w:rsidRDefault="00072A69" w:rsidP="00AC1F17">
            <w:pPr>
              <w:spacing w:after="0" w:line="240" w:lineRule="auto"/>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Postopek s pogajanji po predhodni objavi</w:t>
            </w:r>
          </w:p>
        </w:tc>
        <w:tc>
          <w:tcPr>
            <w:tcW w:w="626" w:type="pct"/>
            <w:shd w:val="clear" w:color="auto" w:fill="auto"/>
            <w:vAlign w:val="center"/>
            <w:hideMark/>
          </w:tcPr>
          <w:p w14:paraId="63F878E7"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5</w:t>
            </w:r>
          </w:p>
        </w:tc>
        <w:tc>
          <w:tcPr>
            <w:tcW w:w="770" w:type="pct"/>
            <w:shd w:val="clear" w:color="auto" w:fill="auto"/>
            <w:vAlign w:val="center"/>
            <w:hideMark/>
          </w:tcPr>
          <w:p w14:paraId="4E433260"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8.364.340</w:t>
            </w:r>
          </w:p>
        </w:tc>
        <w:tc>
          <w:tcPr>
            <w:tcW w:w="713" w:type="pct"/>
            <w:shd w:val="clear" w:color="auto" w:fill="auto"/>
            <w:vAlign w:val="center"/>
            <w:hideMark/>
          </w:tcPr>
          <w:p w14:paraId="02F05B67" w14:textId="77777777" w:rsidR="00072A69" w:rsidRPr="00EC526F" w:rsidRDefault="00072A69" w:rsidP="00AC1F17">
            <w:pPr>
              <w:spacing w:after="0" w:line="240" w:lineRule="auto"/>
              <w:jc w:val="right"/>
              <w:rPr>
                <w:rFonts w:ascii="Arial" w:eastAsia="Times New Roman" w:hAnsi="Arial" w:cs="Arial"/>
                <w:color w:val="000000"/>
                <w:sz w:val="18"/>
                <w:szCs w:val="18"/>
                <w:lang w:eastAsia="sl-SI"/>
              </w:rPr>
            </w:pPr>
            <w:r w:rsidRPr="00EC526F">
              <w:rPr>
                <w:rFonts w:ascii="Arial" w:eastAsia="Times New Roman" w:hAnsi="Arial" w:cs="Arial"/>
                <w:color w:val="000000"/>
                <w:sz w:val="18"/>
                <w:szCs w:val="18"/>
                <w:lang w:eastAsia="sl-SI"/>
              </w:rPr>
              <w:t>7.263.824</w:t>
            </w:r>
          </w:p>
        </w:tc>
      </w:tr>
      <w:tr w:rsidR="00072A69" w:rsidRPr="00EC526F" w14:paraId="0CC4C45B" w14:textId="77777777" w:rsidTr="00AC1F17">
        <w:trPr>
          <w:trHeight w:val="300"/>
        </w:trPr>
        <w:tc>
          <w:tcPr>
            <w:tcW w:w="701" w:type="pct"/>
            <w:vMerge/>
            <w:vAlign w:val="center"/>
            <w:hideMark/>
          </w:tcPr>
          <w:p w14:paraId="4A6AD812" w14:textId="77777777" w:rsidR="00072A69" w:rsidRPr="00EC526F" w:rsidRDefault="00072A69" w:rsidP="00AC1F17">
            <w:pPr>
              <w:spacing w:after="0" w:line="240" w:lineRule="auto"/>
              <w:rPr>
                <w:rFonts w:ascii="Arial" w:eastAsia="Times New Roman" w:hAnsi="Arial" w:cs="Arial"/>
                <w:color w:val="000000"/>
                <w:sz w:val="18"/>
                <w:szCs w:val="18"/>
                <w:lang w:eastAsia="sl-SI"/>
              </w:rPr>
            </w:pPr>
          </w:p>
        </w:tc>
        <w:tc>
          <w:tcPr>
            <w:tcW w:w="2190" w:type="pct"/>
            <w:shd w:val="clear" w:color="auto" w:fill="auto"/>
            <w:vAlign w:val="center"/>
            <w:hideMark/>
          </w:tcPr>
          <w:p w14:paraId="7FEFFD8E" w14:textId="77777777" w:rsidR="00072A69" w:rsidRPr="00EC526F" w:rsidRDefault="00072A69" w:rsidP="00AC1F17">
            <w:pPr>
              <w:spacing w:after="0" w:line="240" w:lineRule="auto"/>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Skupaj</w:t>
            </w:r>
          </w:p>
        </w:tc>
        <w:tc>
          <w:tcPr>
            <w:tcW w:w="626" w:type="pct"/>
            <w:shd w:val="clear" w:color="auto" w:fill="auto"/>
            <w:noWrap/>
            <w:vAlign w:val="center"/>
            <w:hideMark/>
          </w:tcPr>
          <w:p w14:paraId="34DF3AAE"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1.661</w:t>
            </w:r>
          </w:p>
        </w:tc>
        <w:tc>
          <w:tcPr>
            <w:tcW w:w="770" w:type="pct"/>
            <w:shd w:val="clear" w:color="auto" w:fill="auto"/>
            <w:noWrap/>
            <w:vAlign w:val="center"/>
            <w:hideMark/>
          </w:tcPr>
          <w:p w14:paraId="72DAF60E"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963.299.336</w:t>
            </w:r>
          </w:p>
        </w:tc>
        <w:tc>
          <w:tcPr>
            <w:tcW w:w="713" w:type="pct"/>
            <w:shd w:val="clear" w:color="auto" w:fill="auto"/>
            <w:noWrap/>
            <w:vAlign w:val="center"/>
            <w:hideMark/>
          </w:tcPr>
          <w:p w14:paraId="551E76EA"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957.026.531</w:t>
            </w:r>
          </w:p>
        </w:tc>
      </w:tr>
      <w:tr w:rsidR="00072A69" w:rsidRPr="00EC526F" w14:paraId="45D5FD67" w14:textId="77777777" w:rsidTr="00AC1F17">
        <w:trPr>
          <w:trHeight w:val="300"/>
        </w:trPr>
        <w:tc>
          <w:tcPr>
            <w:tcW w:w="2891" w:type="pct"/>
            <w:gridSpan w:val="2"/>
            <w:shd w:val="clear" w:color="auto" w:fill="E7E6E6" w:themeFill="background2"/>
            <w:vAlign w:val="center"/>
            <w:hideMark/>
          </w:tcPr>
          <w:p w14:paraId="73AD8643" w14:textId="77777777" w:rsidR="00072A69" w:rsidRPr="00EC526F" w:rsidRDefault="00072A69" w:rsidP="00AC1F17">
            <w:pPr>
              <w:spacing w:after="0" w:line="240" w:lineRule="auto"/>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Skupaj</w:t>
            </w:r>
          </w:p>
        </w:tc>
        <w:tc>
          <w:tcPr>
            <w:tcW w:w="626" w:type="pct"/>
            <w:shd w:val="clear" w:color="auto" w:fill="E7E6E6" w:themeFill="background2"/>
            <w:noWrap/>
            <w:vAlign w:val="center"/>
            <w:hideMark/>
          </w:tcPr>
          <w:p w14:paraId="6304A2D0"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6.739</w:t>
            </w:r>
          </w:p>
        </w:tc>
        <w:tc>
          <w:tcPr>
            <w:tcW w:w="770" w:type="pct"/>
            <w:shd w:val="clear" w:color="auto" w:fill="E7E6E6" w:themeFill="background2"/>
            <w:noWrap/>
            <w:vAlign w:val="center"/>
            <w:hideMark/>
          </w:tcPr>
          <w:p w14:paraId="43E6E3BF"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3.029.703.125</w:t>
            </w:r>
          </w:p>
        </w:tc>
        <w:tc>
          <w:tcPr>
            <w:tcW w:w="713" w:type="pct"/>
            <w:shd w:val="clear" w:color="auto" w:fill="E7E6E6" w:themeFill="background2"/>
            <w:noWrap/>
            <w:vAlign w:val="center"/>
            <w:hideMark/>
          </w:tcPr>
          <w:p w14:paraId="0BBBFC98" w14:textId="77777777" w:rsidR="00072A69" w:rsidRPr="00EC526F" w:rsidRDefault="00072A69" w:rsidP="00AC1F17">
            <w:pPr>
              <w:spacing w:after="0" w:line="240" w:lineRule="auto"/>
              <w:jc w:val="right"/>
              <w:rPr>
                <w:rFonts w:ascii="Arial" w:eastAsia="Times New Roman" w:hAnsi="Arial" w:cs="Arial"/>
                <w:b/>
                <w:bCs/>
                <w:color w:val="000000"/>
                <w:sz w:val="18"/>
                <w:szCs w:val="18"/>
                <w:lang w:eastAsia="sl-SI"/>
              </w:rPr>
            </w:pPr>
            <w:r w:rsidRPr="00EC526F">
              <w:rPr>
                <w:rFonts w:ascii="Arial" w:eastAsia="Times New Roman" w:hAnsi="Arial" w:cs="Arial"/>
                <w:b/>
                <w:bCs/>
                <w:color w:val="000000"/>
                <w:sz w:val="18"/>
                <w:szCs w:val="18"/>
                <w:lang w:eastAsia="sl-SI"/>
              </w:rPr>
              <w:t>2.918.594.609</w:t>
            </w:r>
          </w:p>
        </w:tc>
      </w:tr>
    </w:tbl>
    <w:p w14:paraId="3D673C5F" w14:textId="77777777" w:rsidR="00072A69" w:rsidRPr="00EF2D0B" w:rsidRDefault="00072A69" w:rsidP="00072A69">
      <w:pPr>
        <w:spacing w:before="120" w:after="120" w:line="240" w:lineRule="auto"/>
        <w:jc w:val="both"/>
        <w:rPr>
          <w:rFonts w:ascii="Arial" w:hAnsi="Arial" w:cs="Arial"/>
          <w:sz w:val="20"/>
          <w:highlight w:val="yellow"/>
        </w:rPr>
      </w:pPr>
    </w:p>
    <w:p w14:paraId="3C83EE31" w14:textId="4861B0F6" w:rsidR="00072A69" w:rsidRPr="0009449A" w:rsidRDefault="00072A69" w:rsidP="00072A69">
      <w:pPr>
        <w:spacing w:before="120" w:after="120" w:line="240" w:lineRule="auto"/>
        <w:jc w:val="both"/>
        <w:rPr>
          <w:rFonts w:ascii="Arial" w:hAnsi="Arial" w:cs="Arial"/>
          <w:sz w:val="20"/>
        </w:rPr>
      </w:pPr>
      <w:r w:rsidRPr="0009449A">
        <w:rPr>
          <w:rFonts w:ascii="Arial" w:hAnsi="Arial" w:cs="Arial"/>
          <w:sz w:val="20"/>
        </w:rPr>
        <w:t>Preglednica 7</w:t>
      </w:r>
      <w:r w:rsidR="008D46F4">
        <w:rPr>
          <w:rFonts w:ascii="Arial" w:hAnsi="Arial" w:cs="Arial"/>
          <w:sz w:val="20"/>
        </w:rPr>
        <w:t>3</w:t>
      </w:r>
      <w:r w:rsidRPr="0009449A">
        <w:rPr>
          <w:rFonts w:ascii="Arial" w:hAnsi="Arial" w:cs="Arial"/>
          <w:sz w:val="20"/>
        </w:rPr>
        <w:t>: Evidenčna naročila v letu 2018</w:t>
      </w:r>
    </w:p>
    <w:tbl>
      <w:tblPr>
        <w:tblW w:w="5000" w:type="pct"/>
        <w:tblCellMar>
          <w:left w:w="70" w:type="dxa"/>
          <w:right w:w="70" w:type="dxa"/>
        </w:tblCellMar>
        <w:tblLook w:val="04A0" w:firstRow="1" w:lastRow="0" w:firstColumn="1" w:lastColumn="0" w:noHBand="0" w:noVBand="1"/>
      </w:tblPr>
      <w:tblGrid>
        <w:gridCol w:w="2122"/>
        <w:gridCol w:w="1985"/>
        <w:gridCol w:w="2410"/>
        <w:gridCol w:w="2545"/>
      </w:tblGrid>
      <w:tr w:rsidR="00072A69" w:rsidRPr="0009449A" w14:paraId="1FF7E58B" w14:textId="77777777" w:rsidTr="00AC1F17">
        <w:trPr>
          <w:trHeight w:val="300"/>
        </w:trPr>
        <w:tc>
          <w:tcPr>
            <w:tcW w:w="1171"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C5593EF"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Področje</w:t>
            </w:r>
          </w:p>
        </w:tc>
        <w:tc>
          <w:tcPr>
            <w:tcW w:w="1095" w:type="pct"/>
            <w:tcBorders>
              <w:top w:val="single" w:sz="4" w:space="0" w:color="auto"/>
              <w:left w:val="nil"/>
              <w:bottom w:val="single" w:sz="4" w:space="0" w:color="auto"/>
              <w:right w:val="single" w:sz="4" w:space="0" w:color="auto"/>
            </w:tcBorders>
            <w:shd w:val="clear" w:color="000000" w:fill="EDEDED"/>
            <w:noWrap/>
            <w:vAlign w:val="center"/>
            <w:hideMark/>
          </w:tcPr>
          <w:p w14:paraId="6A191243"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Predmet</w:t>
            </w:r>
          </w:p>
        </w:tc>
        <w:tc>
          <w:tcPr>
            <w:tcW w:w="1330" w:type="pct"/>
            <w:tcBorders>
              <w:top w:val="single" w:sz="4" w:space="0" w:color="auto"/>
              <w:left w:val="nil"/>
              <w:bottom w:val="single" w:sz="4" w:space="0" w:color="auto"/>
              <w:right w:val="single" w:sz="4" w:space="0" w:color="auto"/>
            </w:tcBorders>
            <w:shd w:val="clear" w:color="000000" w:fill="EDEDED"/>
            <w:noWrap/>
            <w:vAlign w:val="center"/>
            <w:hideMark/>
          </w:tcPr>
          <w:p w14:paraId="5EDE7765"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Št. naročil</w:t>
            </w:r>
          </w:p>
        </w:tc>
        <w:tc>
          <w:tcPr>
            <w:tcW w:w="1405" w:type="pct"/>
            <w:tcBorders>
              <w:top w:val="single" w:sz="4" w:space="0" w:color="auto"/>
              <w:left w:val="nil"/>
              <w:bottom w:val="single" w:sz="4" w:space="0" w:color="auto"/>
              <w:right w:val="single" w:sz="4" w:space="0" w:color="auto"/>
            </w:tcBorders>
            <w:shd w:val="clear" w:color="000000" w:fill="EDEDED"/>
            <w:noWrap/>
            <w:vAlign w:val="center"/>
            <w:hideMark/>
          </w:tcPr>
          <w:p w14:paraId="17973C7A"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Pogodbena vrednost</w:t>
            </w:r>
          </w:p>
        </w:tc>
      </w:tr>
      <w:tr w:rsidR="00072A69" w:rsidRPr="0009449A" w14:paraId="4BBA5E97" w14:textId="77777777" w:rsidTr="00AC1F17">
        <w:trPr>
          <w:trHeight w:val="30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042DDB71"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Splošno</w:t>
            </w:r>
          </w:p>
        </w:tc>
        <w:tc>
          <w:tcPr>
            <w:tcW w:w="1095" w:type="pct"/>
            <w:tcBorders>
              <w:top w:val="nil"/>
              <w:left w:val="nil"/>
              <w:bottom w:val="single" w:sz="4" w:space="0" w:color="auto"/>
              <w:right w:val="single" w:sz="4" w:space="0" w:color="auto"/>
            </w:tcBorders>
            <w:shd w:val="clear" w:color="auto" w:fill="auto"/>
            <w:vAlign w:val="center"/>
            <w:hideMark/>
          </w:tcPr>
          <w:p w14:paraId="6E483EA3"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Blago</w:t>
            </w:r>
          </w:p>
        </w:tc>
        <w:tc>
          <w:tcPr>
            <w:tcW w:w="1330" w:type="pct"/>
            <w:tcBorders>
              <w:top w:val="nil"/>
              <w:left w:val="nil"/>
              <w:bottom w:val="single" w:sz="4" w:space="0" w:color="auto"/>
              <w:right w:val="single" w:sz="4" w:space="0" w:color="auto"/>
            </w:tcBorders>
            <w:shd w:val="clear" w:color="auto" w:fill="auto"/>
            <w:vAlign w:val="center"/>
            <w:hideMark/>
          </w:tcPr>
          <w:p w14:paraId="6497E315"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469.423</w:t>
            </w:r>
          </w:p>
        </w:tc>
        <w:tc>
          <w:tcPr>
            <w:tcW w:w="1405" w:type="pct"/>
            <w:tcBorders>
              <w:top w:val="nil"/>
              <w:left w:val="nil"/>
              <w:bottom w:val="single" w:sz="4" w:space="0" w:color="auto"/>
              <w:right w:val="single" w:sz="4" w:space="0" w:color="auto"/>
            </w:tcBorders>
            <w:shd w:val="clear" w:color="auto" w:fill="auto"/>
            <w:vAlign w:val="center"/>
            <w:hideMark/>
          </w:tcPr>
          <w:p w14:paraId="31EF7DD0"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310.451.720</w:t>
            </w:r>
          </w:p>
        </w:tc>
      </w:tr>
      <w:tr w:rsidR="00072A69" w:rsidRPr="0009449A" w14:paraId="66C388F8"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47CBB261"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6C86FFD0"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Storitve</w:t>
            </w:r>
          </w:p>
        </w:tc>
        <w:tc>
          <w:tcPr>
            <w:tcW w:w="1330" w:type="pct"/>
            <w:tcBorders>
              <w:top w:val="nil"/>
              <w:left w:val="nil"/>
              <w:bottom w:val="single" w:sz="4" w:space="0" w:color="auto"/>
              <w:right w:val="single" w:sz="4" w:space="0" w:color="auto"/>
            </w:tcBorders>
            <w:shd w:val="clear" w:color="auto" w:fill="auto"/>
            <w:vAlign w:val="center"/>
            <w:hideMark/>
          </w:tcPr>
          <w:p w14:paraId="1210C0D5"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493.192</w:t>
            </w:r>
          </w:p>
        </w:tc>
        <w:tc>
          <w:tcPr>
            <w:tcW w:w="1405" w:type="pct"/>
            <w:tcBorders>
              <w:top w:val="nil"/>
              <w:left w:val="nil"/>
              <w:bottom w:val="single" w:sz="4" w:space="0" w:color="auto"/>
              <w:right w:val="single" w:sz="4" w:space="0" w:color="auto"/>
            </w:tcBorders>
            <w:shd w:val="clear" w:color="auto" w:fill="auto"/>
            <w:vAlign w:val="center"/>
            <w:hideMark/>
          </w:tcPr>
          <w:p w14:paraId="27C25F02"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442.815.302</w:t>
            </w:r>
          </w:p>
        </w:tc>
      </w:tr>
      <w:tr w:rsidR="00072A69" w:rsidRPr="0009449A" w14:paraId="19606F99"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766A899A"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702DCE48"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Gradnje</w:t>
            </w:r>
          </w:p>
        </w:tc>
        <w:tc>
          <w:tcPr>
            <w:tcW w:w="1330" w:type="pct"/>
            <w:tcBorders>
              <w:top w:val="nil"/>
              <w:left w:val="nil"/>
              <w:bottom w:val="single" w:sz="4" w:space="0" w:color="auto"/>
              <w:right w:val="single" w:sz="4" w:space="0" w:color="auto"/>
            </w:tcBorders>
            <w:shd w:val="clear" w:color="auto" w:fill="auto"/>
            <w:vAlign w:val="center"/>
            <w:hideMark/>
          </w:tcPr>
          <w:p w14:paraId="284F8B61"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12.481</w:t>
            </w:r>
          </w:p>
        </w:tc>
        <w:tc>
          <w:tcPr>
            <w:tcW w:w="1405" w:type="pct"/>
            <w:tcBorders>
              <w:top w:val="nil"/>
              <w:left w:val="nil"/>
              <w:bottom w:val="single" w:sz="4" w:space="0" w:color="auto"/>
              <w:right w:val="single" w:sz="4" w:space="0" w:color="auto"/>
            </w:tcBorders>
            <w:shd w:val="clear" w:color="auto" w:fill="auto"/>
            <w:vAlign w:val="center"/>
            <w:hideMark/>
          </w:tcPr>
          <w:p w14:paraId="0EA2DF62"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88.990.544</w:t>
            </w:r>
          </w:p>
        </w:tc>
      </w:tr>
      <w:tr w:rsidR="00072A69" w:rsidRPr="0009449A" w14:paraId="06E456A4"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23A5EE84"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2FBBFEB1" w14:textId="77777777" w:rsidR="00072A69" w:rsidRPr="0009449A" w:rsidRDefault="00072A69" w:rsidP="00AC1F17">
            <w:pPr>
              <w:spacing w:after="0" w:line="240" w:lineRule="auto"/>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auto"/>
            <w:vAlign w:val="center"/>
            <w:hideMark/>
          </w:tcPr>
          <w:p w14:paraId="5A26A3BE"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975.096</w:t>
            </w:r>
          </w:p>
        </w:tc>
        <w:tc>
          <w:tcPr>
            <w:tcW w:w="1405" w:type="pct"/>
            <w:tcBorders>
              <w:top w:val="nil"/>
              <w:left w:val="nil"/>
              <w:bottom w:val="single" w:sz="4" w:space="0" w:color="auto"/>
              <w:right w:val="single" w:sz="4" w:space="0" w:color="auto"/>
            </w:tcBorders>
            <w:shd w:val="clear" w:color="auto" w:fill="auto"/>
            <w:vAlign w:val="center"/>
            <w:hideMark/>
          </w:tcPr>
          <w:p w14:paraId="176488E4"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842.257.566</w:t>
            </w:r>
          </w:p>
        </w:tc>
      </w:tr>
      <w:tr w:rsidR="00072A69" w:rsidRPr="0009449A" w14:paraId="22248902" w14:textId="77777777" w:rsidTr="00AC1F17">
        <w:trPr>
          <w:trHeight w:val="30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00DC93D2"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Infrastrukturno</w:t>
            </w:r>
          </w:p>
        </w:tc>
        <w:tc>
          <w:tcPr>
            <w:tcW w:w="1095" w:type="pct"/>
            <w:tcBorders>
              <w:top w:val="nil"/>
              <w:left w:val="nil"/>
              <w:bottom w:val="single" w:sz="4" w:space="0" w:color="auto"/>
              <w:right w:val="single" w:sz="4" w:space="0" w:color="auto"/>
            </w:tcBorders>
            <w:shd w:val="clear" w:color="auto" w:fill="auto"/>
            <w:vAlign w:val="center"/>
            <w:hideMark/>
          </w:tcPr>
          <w:p w14:paraId="291F8248"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Blago</w:t>
            </w:r>
          </w:p>
        </w:tc>
        <w:tc>
          <w:tcPr>
            <w:tcW w:w="1330" w:type="pct"/>
            <w:tcBorders>
              <w:top w:val="nil"/>
              <w:left w:val="nil"/>
              <w:bottom w:val="single" w:sz="4" w:space="0" w:color="auto"/>
              <w:right w:val="single" w:sz="4" w:space="0" w:color="auto"/>
            </w:tcBorders>
            <w:shd w:val="clear" w:color="auto" w:fill="auto"/>
            <w:vAlign w:val="center"/>
            <w:hideMark/>
          </w:tcPr>
          <w:p w14:paraId="38D5D754"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44.442</w:t>
            </w:r>
          </w:p>
        </w:tc>
        <w:tc>
          <w:tcPr>
            <w:tcW w:w="1405" w:type="pct"/>
            <w:tcBorders>
              <w:top w:val="nil"/>
              <w:left w:val="nil"/>
              <w:bottom w:val="single" w:sz="4" w:space="0" w:color="auto"/>
              <w:right w:val="single" w:sz="4" w:space="0" w:color="auto"/>
            </w:tcBorders>
            <w:shd w:val="clear" w:color="auto" w:fill="auto"/>
            <w:vAlign w:val="center"/>
            <w:hideMark/>
          </w:tcPr>
          <w:p w14:paraId="7EB28851"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61.298.795</w:t>
            </w:r>
          </w:p>
        </w:tc>
      </w:tr>
      <w:tr w:rsidR="00072A69" w:rsidRPr="0009449A" w14:paraId="0EBB231D"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6EA8D5AF"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5E1A911C"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Storitve</w:t>
            </w:r>
          </w:p>
        </w:tc>
        <w:tc>
          <w:tcPr>
            <w:tcW w:w="1330" w:type="pct"/>
            <w:tcBorders>
              <w:top w:val="nil"/>
              <w:left w:val="nil"/>
              <w:bottom w:val="single" w:sz="4" w:space="0" w:color="auto"/>
              <w:right w:val="single" w:sz="4" w:space="0" w:color="auto"/>
            </w:tcBorders>
            <w:shd w:val="clear" w:color="auto" w:fill="auto"/>
            <w:vAlign w:val="center"/>
            <w:hideMark/>
          </w:tcPr>
          <w:p w14:paraId="3C3DC6CC"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30.409</w:t>
            </w:r>
          </w:p>
        </w:tc>
        <w:tc>
          <w:tcPr>
            <w:tcW w:w="1405" w:type="pct"/>
            <w:tcBorders>
              <w:top w:val="nil"/>
              <w:left w:val="nil"/>
              <w:bottom w:val="single" w:sz="4" w:space="0" w:color="auto"/>
              <w:right w:val="single" w:sz="4" w:space="0" w:color="auto"/>
            </w:tcBorders>
            <w:shd w:val="clear" w:color="auto" w:fill="auto"/>
            <w:vAlign w:val="center"/>
            <w:hideMark/>
          </w:tcPr>
          <w:p w14:paraId="290061F8"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74.616.097</w:t>
            </w:r>
          </w:p>
        </w:tc>
      </w:tr>
      <w:tr w:rsidR="00072A69" w:rsidRPr="0009449A" w14:paraId="46DC9181"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3C3ED5F8"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51A35B0B"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Gradnje</w:t>
            </w:r>
          </w:p>
        </w:tc>
        <w:tc>
          <w:tcPr>
            <w:tcW w:w="1330" w:type="pct"/>
            <w:tcBorders>
              <w:top w:val="nil"/>
              <w:left w:val="nil"/>
              <w:bottom w:val="single" w:sz="4" w:space="0" w:color="auto"/>
              <w:right w:val="single" w:sz="4" w:space="0" w:color="auto"/>
            </w:tcBorders>
            <w:shd w:val="clear" w:color="auto" w:fill="auto"/>
            <w:vAlign w:val="center"/>
            <w:hideMark/>
          </w:tcPr>
          <w:p w14:paraId="02E88792"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2.372</w:t>
            </w:r>
          </w:p>
        </w:tc>
        <w:tc>
          <w:tcPr>
            <w:tcW w:w="1405" w:type="pct"/>
            <w:tcBorders>
              <w:top w:val="nil"/>
              <w:left w:val="nil"/>
              <w:bottom w:val="single" w:sz="4" w:space="0" w:color="auto"/>
              <w:right w:val="single" w:sz="4" w:space="0" w:color="auto"/>
            </w:tcBorders>
            <w:shd w:val="clear" w:color="auto" w:fill="auto"/>
            <w:vAlign w:val="center"/>
            <w:hideMark/>
          </w:tcPr>
          <w:p w14:paraId="2DA5A5F6"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28.713.489</w:t>
            </w:r>
          </w:p>
        </w:tc>
      </w:tr>
      <w:tr w:rsidR="00072A69" w:rsidRPr="0009449A" w14:paraId="0E09AFB4"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16C6E91E"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67E9E2E9" w14:textId="77777777" w:rsidR="00072A69" w:rsidRPr="0009449A" w:rsidRDefault="00072A69" w:rsidP="00AC1F17">
            <w:pPr>
              <w:spacing w:after="0" w:line="240" w:lineRule="auto"/>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auto"/>
            <w:vAlign w:val="center"/>
            <w:hideMark/>
          </w:tcPr>
          <w:p w14:paraId="12B2FBA2"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77.223</w:t>
            </w:r>
          </w:p>
        </w:tc>
        <w:tc>
          <w:tcPr>
            <w:tcW w:w="1405" w:type="pct"/>
            <w:tcBorders>
              <w:top w:val="nil"/>
              <w:left w:val="nil"/>
              <w:bottom w:val="single" w:sz="4" w:space="0" w:color="auto"/>
              <w:right w:val="single" w:sz="4" w:space="0" w:color="auto"/>
            </w:tcBorders>
            <w:shd w:val="clear" w:color="auto" w:fill="auto"/>
            <w:vAlign w:val="center"/>
            <w:hideMark/>
          </w:tcPr>
          <w:p w14:paraId="776C3A68"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164.628.381</w:t>
            </w:r>
          </w:p>
        </w:tc>
      </w:tr>
      <w:tr w:rsidR="00072A69" w:rsidRPr="0009449A" w14:paraId="4B582367" w14:textId="77777777" w:rsidTr="00AC1F17">
        <w:trPr>
          <w:trHeight w:val="30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24A6530D" w14:textId="77777777" w:rsidR="00072A69" w:rsidRPr="0009449A" w:rsidRDefault="00072A69" w:rsidP="00AC1F17">
            <w:pPr>
              <w:spacing w:after="0" w:line="240" w:lineRule="auto"/>
              <w:jc w:val="center"/>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Obrambno</w:t>
            </w:r>
          </w:p>
        </w:tc>
        <w:tc>
          <w:tcPr>
            <w:tcW w:w="1095" w:type="pct"/>
            <w:tcBorders>
              <w:top w:val="nil"/>
              <w:left w:val="nil"/>
              <w:bottom w:val="single" w:sz="4" w:space="0" w:color="auto"/>
              <w:right w:val="single" w:sz="4" w:space="0" w:color="auto"/>
            </w:tcBorders>
            <w:shd w:val="clear" w:color="auto" w:fill="auto"/>
            <w:vAlign w:val="center"/>
            <w:hideMark/>
          </w:tcPr>
          <w:p w14:paraId="1BCCD837"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Blago</w:t>
            </w:r>
          </w:p>
        </w:tc>
        <w:tc>
          <w:tcPr>
            <w:tcW w:w="1330" w:type="pct"/>
            <w:tcBorders>
              <w:top w:val="nil"/>
              <w:left w:val="nil"/>
              <w:bottom w:val="single" w:sz="4" w:space="0" w:color="auto"/>
              <w:right w:val="single" w:sz="4" w:space="0" w:color="auto"/>
            </w:tcBorders>
            <w:shd w:val="clear" w:color="auto" w:fill="auto"/>
            <w:vAlign w:val="center"/>
            <w:hideMark/>
          </w:tcPr>
          <w:p w14:paraId="1C8F7C31"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15</w:t>
            </w:r>
          </w:p>
        </w:tc>
        <w:tc>
          <w:tcPr>
            <w:tcW w:w="1405" w:type="pct"/>
            <w:tcBorders>
              <w:top w:val="nil"/>
              <w:left w:val="nil"/>
              <w:bottom w:val="single" w:sz="4" w:space="0" w:color="auto"/>
              <w:right w:val="single" w:sz="4" w:space="0" w:color="auto"/>
            </w:tcBorders>
            <w:shd w:val="clear" w:color="auto" w:fill="auto"/>
            <w:vAlign w:val="center"/>
            <w:hideMark/>
          </w:tcPr>
          <w:p w14:paraId="479C1ED8"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295.520</w:t>
            </w:r>
          </w:p>
        </w:tc>
      </w:tr>
      <w:tr w:rsidR="00072A69" w:rsidRPr="0009449A" w14:paraId="380DCDC8"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0F530595"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7F09CC76"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Storitve</w:t>
            </w:r>
          </w:p>
        </w:tc>
        <w:tc>
          <w:tcPr>
            <w:tcW w:w="1330" w:type="pct"/>
            <w:tcBorders>
              <w:top w:val="nil"/>
              <w:left w:val="nil"/>
              <w:bottom w:val="single" w:sz="4" w:space="0" w:color="auto"/>
              <w:right w:val="single" w:sz="4" w:space="0" w:color="auto"/>
            </w:tcBorders>
            <w:shd w:val="clear" w:color="auto" w:fill="auto"/>
            <w:vAlign w:val="center"/>
            <w:hideMark/>
          </w:tcPr>
          <w:p w14:paraId="35F5D8EF"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31</w:t>
            </w:r>
          </w:p>
        </w:tc>
        <w:tc>
          <w:tcPr>
            <w:tcW w:w="1405" w:type="pct"/>
            <w:tcBorders>
              <w:top w:val="nil"/>
              <w:left w:val="nil"/>
              <w:bottom w:val="single" w:sz="4" w:space="0" w:color="auto"/>
              <w:right w:val="single" w:sz="4" w:space="0" w:color="auto"/>
            </w:tcBorders>
            <w:shd w:val="clear" w:color="auto" w:fill="auto"/>
            <w:vAlign w:val="center"/>
            <w:hideMark/>
          </w:tcPr>
          <w:p w14:paraId="33900B49"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332.111</w:t>
            </w:r>
          </w:p>
        </w:tc>
      </w:tr>
      <w:tr w:rsidR="00072A69" w:rsidRPr="0009449A" w14:paraId="4A1B3A87"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049C3878"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782EF9A7" w14:textId="77777777" w:rsidR="00072A69" w:rsidRPr="0009449A" w:rsidRDefault="00072A69" w:rsidP="00AC1F17">
            <w:pPr>
              <w:spacing w:after="0" w:line="240" w:lineRule="auto"/>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Gradnje</w:t>
            </w:r>
          </w:p>
        </w:tc>
        <w:tc>
          <w:tcPr>
            <w:tcW w:w="1330" w:type="pct"/>
            <w:tcBorders>
              <w:top w:val="nil"/>
              <w:left w:val="nil"/>
              <w:bottom w:val="single" w:sz="4" w:space="0" w:color="auto"/>
              <w:right w:val="single" w:sz="4" w:space="0" w:color="auto"/>
            </w:tcBorders>
            <w:shd w:val="clear" w:color="auto" w:fill="auto"/>
            <w:vAlign w:val="center"/>
            <w:hideMark/>
          </w:tcPr>
          <w:p w14:paraId="3D2C865C"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0</w:t>
            </w:r>
          </w:p>
        </w:tc>
        <w:tc>
          <w:tcPr>
            <w:tcW w:w="1405" w:type="pct"/>
            <w:tcBorders>
              <w:top w:val="nil"/>
              <w:left w:val="nil"/>
              <w:bottom w:val="single" w:sz="4" w:space="0" w:color="auto"/>
              <w:right w:val="single" w:sz="4" w:space="0" w:color="auto"/>
            </w:tcBorders>
            <w:shd w:val="clear" w:color="auto" w:fill="auto"/>
            <w:vAlign w:val="center"/>
            <w:hideMark/>
          </w:tcPr>
          <w:p w14:paraId="702B59A6" w14:textId="77777777" w:rsidR="00072A69" w:rsidRPr="0009449A" w:rsidRDefault="00072A69" w:rsidP="00AC1F17">
            <w:pPr>
              <w:spacing w:after="0" w:line="240" w:lineRule="auto"/>
              <w:jc w:val="right"/>
              <w:rPr>
                <w:rFonts w:ascii="Arial" w:eastAsia="Times New Roman" w:hAnsi="Arial" w:cs="Arial"/>
                <w:color w:val="000000"/>
                <w:sz w:val="18"/>
                <w:szCs w:val="18"/>
                <w:lang w:eastAsia="sl-SI"/>
              </w:rPr>
            </w:pPr>
            <w:r w:rsidRPr="0009449A">
              <w:rPr>
                <w:rFonts w:ascii="Arial" w:eastAsia="Times New Roman" w:hAnsi="Arial" w:cs="Arial"/>
                <w:color w:val="000000"/>
                <w:sz w:val="18"/>
                <w:szCs w:val="18"/>
                <w:lang w:eastAsia="sl-SI"/>
              </w:rPr>
              <w:t>0</w:t>
            </w:r>
          </w:p>
        </w:tc>
      </w:tr>
      <w:tr w:rsidR="00072A69" w:rsidRPr="0009449A" w14:paraId="543C07C5" w14:textId="77777777" w:rsidTr="00AC1F17">
        <w:trPr>
          <w:trHeight w:val="300"/>
        </w:trPr>
        <w:tc>
          <w:tcPr>
            <w:tcW w:w="1171" w:type="pct"/>
            <w:vMerge/>
            <w:tcBorders>
              <w:top w:val="nil"/>
              <w:left w:val="single" w:sz="4" w:space="0" w:color="auto"/>
              <w:bottom w:val="single" w:sz="4" w:space="0" w:color="auto"/>
              <w:right w:val="single" w:sz="4" w:space="0" w:color="auto"/>
            </w:tcBorders>
            <w:vAlign w:val="center"/>
            <w:hideMark/>
          </w:tcPr>
          <w:p w14:paraId="11A12563" w14:textId="77777777" w:rsidR="00072A69" w:rsidRPr="0009449A" w:rsidRDefault="00072A69" w:rsidP="00AC1F17">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6E24005C" w14:textId="77777777" w:rsidR="00072A69" w:rsidRPr="0009449A" w:rsidRDefault="00072A69" w:rsidP="00AC1F17">
            <w:pPr>
              <w:spacing w:after="0" w:line="240" w:lineRule="auto"/>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auto"/>
            <w:noWrap/>
            <w:vAlign w:val="center"/>
            <w:hideMark/>
          </w:tcPr>
          <w:p w14:paraId="762EA881"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46</w:t>
            </w:r>
          </w:p>
        </w:tc>
        <w:tc>
          <w:tcPr>
            <w:tcW w:w="1405" w:type="pct"/>
            <w:tcBorders>
              <w:top w:val="nil"/>
              <w:left w:val="nil"/>
              <w:bottom w:val="single" w:sz="4" w:space="0" w:color="auto"/>
              <w:right w:val="single" w:sz="4" w:space="0" w:color="auto"/>
            </w:tcBorders>
            <w:shd w:val="clear" w:color="auto" w:fill="auto"/>
            <w:noWrap/>
            <w:vAlign w:val="center"/>
            <w:hideMark/>
          </w:tcPr>
          <w:p w14:paraId="77034A08"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627.631</w:t>
            </w:r>
          </w:p>
        </w:tc>
      </w:tr>
      <w:tr w:rsidR="00072A69" w:rsidRPr="0009449A" w14:paraId="4AD65F27" w14:textId="77777777" w:rsidTr="00AC1F17">
        <w:trPr>
          <w:trHeight w:val="300"/>
        </w:trPr>
        <w:tc>
          <w:tcPr>
            <w:tcW w:w="226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02FBF1" w14:textId="77777777" w:rsidR="00072A69" w:rsidRPr="0009449A" w:rsidRDefault="00072A69" w:rsidP="00AC1F17">
            <w:pPr>
              <w:spacing w:after="0" w:line="240" w:lineRule="auto"/>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E7E6E6" w:themeFill="background2"/>
            <w:noWrap/>
            <w:vAlign w:val="center"/>
            <w:hideMark/>
          </w:tcPr>
          <w:p w14:paraId="73880B30"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1.052.365</w:t>
            </w:r>
          </w:p>
        </w:tc>
        <w:tc>
          <w:tcPr>
            <w:tcW w:w="1405" w:type="pct"/>
            <w:tcBorders>
              <w:top w:val="nil"/>
              <w:left w:val="nil"/>
              <w:bottom w:val="single" w:sz="4" w:space="0" w:color="auto"/>
              <w:right w:val="single" w:sz="4" w:space="0" w:color="auto"/>
            </w:tcBorders>
            <w:shd w:val="clear" w:color="auto" w:fill="E7E6E6" w:themeFill="background2"/>
            <w:noWrap/>
            <w:vAlign w:val="center"/>
            <w:hideMark/>
          </w:tcPr>
          <w:p w14:paraId="45222AF2" w14:textId="77777777" w:rsidR="00072A69" w:rsidRPr="0009449A" w:rsidRDefault="00072A69" w:rsidP="00AC1F17">
            <w:pPr>
              <w:spacing w:after="0" w:line="240" w:lineRule="auto"/>
              <w:jc w:val="right"/>
              <w:rPr>
                <w:rFonts w:ascii="Arial" w:eastAsia="Times New Roman" w:hAnsi="Arial" w:cs="Arial"/>
                <w:b/>
                <w:bCs/>
                <w:color w:val="000000"/>
                <w:sz w:val="18"/>
                <w:szCs w:val="18"/>
                <w:lang w:eastAsia="sl-SI"/>
              </w:rPr>
            </w:pPr>
            <w:r w:rsidRPr="0009449A">
              <w:rPr>
                <w:rFonts w:ascii="Arial" w:eastAsia="Times New Roman" w:hAnsi="Arial" w:cs="Arial"/>
                <w:b/>
                <w:bCs/>
                <w:color w:val="000000"/>
                <w:sz w:val="18"/>
                <w:szCs w:val="18"/>
                <w:lang w:eastAsia="sl-SI"/>
              </w:rPr>
              <w:t>1.007.513.578</w:t>
            </w:r>
          </w:p>
        </w:tc>
      </w:tr>
    </w:tbl>
    <w:p w14:paraId="1D0D41D2" w14:textId="77777777" w:rsidR="00072A69" w:rsidRDefault="00072A69" w:rsidP="00072A69">
      <w:pPr>
        <w:spacing w:before="120" w:after="120" w:line="240" w:lineRule="auto"/>
        <w:jc w:val="both"/>
        <w:rPr>
          <w:rFonts w:ascii="Arial" w:hAnsi="Arial" w:cs="Arial"/>
          <w:sz w:val="20"/>
          <w:highlight w:val="yellow"/>
        </w:rPr>
      </w:pPr>
    </w:p>
    <w:p w14:paraId="20A2E949" w14:textId="23CE6CF3" w:rsidR="00072A69" w:rsidRPr="006D61C0" w:rsidRDefault="00072A69" w:rsidP="00072A69">
      <w:pPr>
        <w:spacing w:before="120" w:after="120" w:line="240" w:lineRule="auto"/>
        <w:jc w:val="both"/>
        <w:rPr>
          <w:rFonts w:ascii="Arial" w:hAnsi="Arial" w:cs="Arial"/>
          <w:sz w:val="20"/>
        </w:rPr>
      </w:pPr>
      <w:r w:rsidRPr="006D61C0">
        <w:rPr>
          <w:rFonts w:ascii="Arial" w:hAnsi="Arial" w:cs="Arial"/>
          <w:sz w:val="20"/>
        </w:rPr>
        <w:t>Preglednica 7</w:t>
      </w:r>
      <w:r w:rsidR="008D46F4">
        <w:rPr>
          <w:rFonts w:ascii="Arial" w:hAnsi="Arial" w:cs="Arial"/>
          <w:sz w:val="20"/>
        </w:rPr>
        <w:t>4</w:t>
      </w:r>
      <w:r w:rsidRPr="006D61C0">
        <w:rPr>
          <w:rFonts w:ascii="Arial" w:hAnsi="Arial" w:cs="Arial"/>
          <w:sz w:val="20"/>
        </w:rPr>
        <w:t>: Naročila, objavljena samo na portalu javnih naročil glede na področje in predmet naročanja</w:t>
      </w:r>
    </w:p>
    <w:tbl>
      <w:tblPr>
        <w:tblW w:w="5000" w:type="pct"/>
        <w:tblCellMar>
          <w:left w:w="70" w:type="dxa"/>
          <w:right w:w="70" w:type="dxa"/>
        </w:tblCellMar>
        <w:tblLook w:val="04A0" w:firstRow="1" w:lastRow="0" w:firstColumn="1" w:lastColumn="0" w:noHBand="0" w:noVBand="1"/>
      </w:tblPr>
      <w:tblGrid>
        <w:gridCol w:w="1301"/>
        <w:gridCol w:w="1243"/>
        <w:gridCol w:w="1136"/>
        <w:gridCol w:w="1778"/>
        <w:gridCol w:w="952"/>
        <w:gridCol w:w="952"/>
        <w:gridCol w:w="828"/>
        <w:gridCol w:w="872"/>
      </w:tblGrid>
      <w:tr w:rsidR="00072A69" w:rsidRPr="006D61C0" w14:paraId="66DB62B4" w14:textId="77777777" w:rsidTr="00AC1F17">
        <w:trPr>
          <w:trHeight w:val="960"/>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4DC60C0"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Področje</w:t>
            </w:r>
          </w:p>
        </w:tc>
        <w:tc>
          <w:tcPr>
            <w:tcW w:w="686" w:type="pct"/>
            <w:tcBorders>
              <w:top w:val="single" w:sz="4" w:space="0" w:color="auto"/>
              <w:left w:val="nil"/>
              <w:bottom w:val="single" w:sz="4" w:space="0" w:color="auto"/>
              <w:right w:val="single" w:sz="4" w:space="0" w:color="auto"/>
            </w:tcBorders>
            <w:shd w:val="clear" w:color="000000" w:fill="EDEDED"/>
            <w:vAlign w:val="center"/>
            <w:hideMark/>
          </w:tcPr>
          <w:p w14:paraId="35786750"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Predmet</w:t>
            </w:r>
          </w:p>
        </w:tc>
        <w:tc>
          <w:tcPr>
            <w:tcW w:w="627" w:type="pct"/>
            <w:tcBorders>
              <w:top w:val="single" w:sz="4" w:space="0" w:color="auto"/>
              <w:left w:val="nil"/>
              <w:bottom w:val="single" w:sz="4" w:space="0" w:color="auto"/>
              <w:right w:val="single" w:sz="4" w:space="0" w:color="auto"/>
            </w:tcBorders>
            <w:shd w:val="clear" w:color="000000" w:fill="EDEDED"/>
            <w:vAlign w:val="center"/>
            <w:hideMark/>
          </w:tcPr>
          <w:p w14:paraId="67203F6D"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Št. naročil</w:t>
            </w:r>
          </w:p>
        </w:tc>
        <w:tc>
          <w:tcPr>
            <w:tcW w:w="981" w:type="pct"/>
            <w:tcBorders>
              <w:top w:val="single" w:sz="4" w:space="0" w:color="auto"/>
              <w:left w:val="nil"/>
              <w:bottom w:val="single" w:sz="4" w:space="0" w:color="auto"/>
              <w:right w:val="single" w:sz="4" w:space="0" w:color="auto"/>
            </w:tcBorders>
            <w:shd w:val="clear" w:color="000000" w:fill="EDEDED"/>
            <w:vAlign w:val="center"/>
            <w:hideMark/>
          </w:tcPr>
          <w:p w14:paraId="5B2E30DB"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16152FDB"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45D9A66C"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Delež  vrednosti istovrstnih naročil</w:t>
            </w:r>
          </w:p>
        </w:tc>
        <w:tc>
          <w:tcPr>
            <w:tcW w:w="457" w:type="pct"/>
            <w:tcBorders>
              <w:top w:val="single" w:sz="4" w:space="0" w:color="auto"/>
              <w:left w:val="nil"/>
              <w:bottom w:val="single" w:sz="4" w:space="0" w:color="auto"/>
              <w:right w:val="single" w:sz="4" w:space="0" w:color="auto"/>
            </w:tcBorders>
            <w:shd w:val="clear" w:color="000000" w:fill="EDEDED"/>
            <w:vAlign w:val="center"/>
            <w:hideMark/>
          </w:tcPr>
          <w:p w14:paraId="49D24A1C"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Delež v št. vseh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2371FBF3"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Delež v vrednosti vseh naročil</w:t>
            </w:r>
          </w:p>
        </w:tc>
      </w:tr>
      <w:tr w:rsidR="00072A69" w:rsidRPr="006D61C0" w14:paraId="00B37E28" w14:textId="77777777" w:rsidTr="00AC1F17">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096693E5"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Splošno</w:t>
            </w:r>
          </w:p>
        </w:tc>
        <w:tc>
          <w:tcPr>
            <w:tcW w:w="686" w:type="pct"/>
            <w:tcBorders>
              <w:top w:val="nil"/>
              <w:left w:val="nil"/>
              <w:bottom w:val="single" w:sz="4" w:space="0" w:color="auto"/>
              <w:right w:val="single" w:sz="4" w:space="0" w:color="auto"/>
            </w:tcBorders>
            <w:shd w:val="clear" w:color="auto" w:fill="auto"/>
            <w:vAlign w:val="center"/>
            <w:hideMark/>
          </w:tcPr>
          <w:p w14:paraId="3F447F60"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Blago</w:t>
            </w:r>
          </w:p>
        </w:tc>
        <w:tc>
          <w:tcPr>
            <w:tcW w:w="627" w:type="pct"/>
            <w:tcBorders>
              <w:top w:val="nil"/>
              <w:left w:val="nil"/>
              <w:bottom w:val="single" w:sz="4" w:space="0" w:color="auto"/>
              <w:right w:val="single" w:sz="4" w:space="0" w:color="auto"/>
            </w:tcBorders>
            <w:shd w:val="clear" w:color="auto" w:fill="auto"/>
            <w:vAlign w:val="center"/>
            <w:hideMark/>
          </w:tcPr>
          <w:p w14:paraId="41D74EC8"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3.836</w:t>
            </w:r>
          </w:p>
        </w:tc>
        <w:tc>
          <w:tcPr>
            <w:tcW w:w="981" w:type="pct"/>
            <w:tcBorders>
              <w:top w:val="nil"/>
              <w:left w:val="nil"/>
              <w:bottom w:val="single" w:sz="4" w:space="0" w:color="auto"/>
              <w:right w:val="single" w:sz="4" w:space="0" w:color="auto"/>
            </w:tcBorders>
            <w:shd w:val="clear" w:color="auto" w:fill="auto"/>
            <w:vAlign w:val="center"/>
            <w:hideMark/>
          </w:tcPr>
          <w:p w14:paraId="7BF61E60"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108.935.832</w:t>
            </w:r>
          </w:p>
        </w:tc>
        <w:tc>
          <w:tcPr>
            <w:tcW w:w="525" w:type="pct"/>
            <w:tcBorders>
              <w:top w:val="nil"/>
              <w:left w:val="nil"/>
              <w:bottom w:val="single" w:sz="4" w:space="0" w:color="auto"/>
              <w:right w:val="single" w:sz="4" w:space="0" w:color="auto"/>
            </w:tcBorders>
            <w:shd w:val="clear" w:color="auto" w:fill="auto"/>
            <w:noWrap/>
            <w:vAlign w:val="center"/>
            <w:hideMark/>
          </w:tcPr>
          <w:p w14:paraId="2BF85345"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49,79</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09F446C"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13,48</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2910D294"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43,43</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56B4E9D"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11,19</w:t>
            </w:r>
            <w:r>
              <w:rPr>
                <w:rFonts w:ascii="Arial" w:eastAsia="Times New Roman" w:hAnsi="Arial" w:cs="Arial"/>
                <w:color w:val="000000"/>
                <w:sz w:val="18"/>
                <w:szCs w:val="18"/>
                <w:lang w:eastAsia="sl-SI"/>
              </w:rPr>
              <w:t xml:space="preserve"> %</w:t>
            </w:r>
          </w:p>
        </w:tc>
      </w:tr>
      <w:tr w:rsidR="00072A69" w:rsidRPr="006D61C0" w14:paraId="33A2300E"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00FB82F3"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4BDB6385"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Storitve</w:t>
            </w:r>
          </w:p>
        </w:tc>
        <w:tc>
          <w:tcPr>
            <w:tcW w:w="627" w:type="pct"/>
            <w:tcBorders>
              <w:top w:val="nil"/>
              <w:left w:val="nil"/>
              <w:bottom w:val="single" w:sz="4" w:space="0" w:color="auto"/>
              <w:right w:val="single" w:sz="4" w:space="0" w:color="auto"/>
            </w:tcBorders>
            <w:shd w:val="clear" w:color="auto" w:fill="auto"/>
            <w:vAlign w:val="center"/>
            <w:hideMark/>
          </w:tcPr>
          <w:p w14:paraId="3A85AFFB"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2.133</w:t>
            </w:r>
          </w:p>
        </w:tc>
        <w:tc>
          <w:tcPr>
            <w:tcW w:w="981" w:type="pct"/>
            <w:tcBorders>
              <w:top w:val="nil"/>
              <w:left w:val="nil"/>
              <w:bottom w:val="single" w:sz="4" w:space="0" w:color="auto"/>
              <w:right w:val="single" w:sz="4" w:space="0" w:color="auto"/>
            </w:tcBorders>
            <w:shd w:val="clear" w:color="auto" w:fill="auto"/>
            <w:vAlign w:val="center"/>
            <w:hideMark/>
          </w:tcPr>
          <w:p w14:paraId="35BD066D"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119.538.130</w:t>
            </w:r>
          </w:p>
        </w:tc>
        <w:tc>
          <w:tcPr>
            <w:tcW w:w="525" w:type="pct"/>
            <w:tcBorders>
              <w:top w:val="nil"/>
              <w:left w:val="nil"/>
              <w:bottom w:val="single" w:sz="4" w:space="0" w:color="auto"/>
              <w:right w:val="single" w:sz="4" w:space="0" w:color="auto"/>
            </w:tcBorders>
            <w:shd w:val="clear" w:color="auto" w:fill="auto"/>
            <w:noWrap/>
            <w:vAlign w:val="center"/>
            <w:hideMark/>
          </w:tcPr>
          <w:p w14:paraId="2FAC600F"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27,69</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02EDFED6"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14,79</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7F5613FB"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24,15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44985E4"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12,28</w:t>
            </w:r>
            <w:r>
              <w:rPr>
                <w:rFonts w:ascii="Arial" w:eastAsia="Times New Roman" w:hAnsi="Arial" w:cs="Arial"/>
                <w:color w:val="000000"/>
                <w:sz w:val="18"/>
                <w:szCs w:val="18"/>
                <w:lang w:eastAsia="sl-SI"/>
              </w:rPr>
              <w:t xml:space="preserve"> %</w:t>
            </w:r>
          </w:p>
        </w:tc>
      </w:tr>
      <w:tr w:rsidR="00072A69" w:rsidRPr="006D61C0" w14:paraId="72EA7AAB"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701A53B6"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3D0A6A06"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Gradnje</w:t>
            </w:r>
          </w:p>
        </w:tc>
        <w:tc>
          <w:tcPr>
            <w:tcW w:w="627" w:type="pct"/>
            <w:tcBorders>
              <w:top w:val="nil"/>
              <w:left w:val="nil"/>
              <w:bottom w:val="single" w:sz="4" w:space="0" w:color="auto"/>
              <w:right w:val="single" w:sz="4" w:space="0" w:color="auto"/>
            </w:tcBorders>
            <w:shd w:val="clear" w:color="auto" w:fill="auto"/>
            <w:vAlign w:val="center"/>
            <w:hideMark/>
          </w:tcPr>
          <w:p w14:paraId="53923A3A"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1.735</w:t>
            </w:r>
          </w:p>
        </w:tc>
        <w:tc>
          <w:tcPr>
            <w:tcW w:w="981" w:type="pct"/>
            <w:tcBorders>
              <w:top w:val="nil"/>
              <w:left w:val="nil"/>
              <w:bottom w:val="single" w:sz="4" w:space="0" w:color="auto"/>
              <w:right w:val="single" w:sz="4" w:space="0" w:color="auto"/>
            </w:tcBorders>
            <w:shd w:val="clear" w:color="auto" w:fill="auto"/>
            <w:vAlign w:val="center"/>
            <w:hideMark/>
          </w:tcPr>
          <w:p w14:paraId="2BD098F1"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579.923.448</w:t>
            </w:r>
          </w:p>
        </w:tc>
        <w:tc>
          <w:tcPr>
            <w:tcW w:w="525" w:type="pct"/>
            <w:tcBorders>
              <w:top w:val="nil"/>
              <w:left w:val="nil"/>
              <w:bottom w:val="single" w:sz="4" w:space="0" w:color="auto"/>
              <w:right w:val="single" w:sz="4" w:space="0" w:color="auto"/>
            </w:tcBorders>
            <w:shd w:val="clear" w:color="auto" w:fill="auto"/>
            <w:noWrap/>
            <w:vAlign w:val="center"/>
            <w:hideMark/>
          </w:tcPr>
          <w:p w14:paraId="7C880F2B"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22,52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0ABAD89D"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71,74</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3D14B968"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19,64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F19915D"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59,57</w:t>
            </w:r>
            <w:r>
              <w:rPr>
                <w:rFonts w:ascii="Arial" w:eastAsia="Times New Roman" w:hAnsi="Arial" w:cs="Arial"/>
                <w:color w:val="000000"/>
                <w:sz w:val="18"/>
                <w:szCs w:val="18"/>
                <w:lang w:eastAsia="sl-SI"/>
              </w:rPr>
              <w:t xml:space="preserve"> %</w:t>
            </w:r>
          </w:p>
        </w:tc>
      </w:tr>
      <w:tr w:rsidR="00072A69" w:rsidRPr="006D61C0" w14:paraId="308FAC3C"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2870E2D1"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0DBA2699" w14:textId="77777777" w:rsidR="00072A69" w:rsidRPr="006D61C0" w:rsidRDefault="00072A69" w:rsidP="00AC1F17">
            <w:pPr>
              <w:spacing w:after="0" w:line="240" w:lineRule="auto"/>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auto"/>
            <w:vAlign w:val="center"/>
            <w:hideMark/>
          </w:tcPr>
          <w:p w14:paraId="396777AD"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7.704</w:t>
            </w:r>
          </w:p>
        </w:tc>
        <w:tc>
          <w:tcPr>
            <w:tcW w:w="981" w:type="pct"/>
            <w:tcBorders>
              <w:top w:val="nil"/>
              <w:left w:val="nil"/>
              <w:bottom w:val="single" w:sz="4" w:space="0" w:color="auto"/>
              <w:right w:val="single" w:sz="4" w:space="0" w:color="auto"/>
            </w:tcBorders>
            <w:shd w:val="clear" w:color="auto" w:fill="auto"/>
            <w:vAlign w:val="center"/>
            <w:hideMark/>
          </w:tcPr>
          <w:p w14:paraId="5166F53F"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808.397.410</w:t>
            </w:r>
          </w:p>
        </w:tc>
        <w:tc>
          <w:tcPr>
            <w:tcW w:w="525" w:type="pct"/>
            <w:tcBorders>
              <w:top w:val="nil"/>
              <w:left w:val="nil"/>
              <w:bottom w:val="single" w:sz="4" w:space="0" w:color="auto"/>
              <w:right w:val="single" w:sz="4" w:space="0" w:color="auto"/>
            </w:tcBorders>
            <w:shd w:val="clear" w:color="auto" w:fill="auto"/>
            <w:noWrap/>
            <w:vAlign w:val="center"/>
            <w:hideMark/>
          </w:tcPr>
          <w:p w14:paraId="75DB6413"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C9B2635"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6715C274"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87,23</w:t>
            </w:r>
            <w:r>
              <w:rPr>
                <w:rFonts w:ascii="Arial" w:eastAsia="Times New Roman" w:hAnsi="Arial" w:cs="Arial"/>
                <w:b/>
                <w:bCs/>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8D1B814"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83,04</w:t>
            </w:r>
            <w:r>
              <w:rPr>
                <w:rFonts w:ascii="Arial" w:eastAsia="Times New Roman" w:hAnsi="Arial" w:cs="Arial"/>
                <w:b/>
                <w:bCs/>
                <w:color w:val="000000"/>
                <w:sz w:val="18"/>
                <w:szCs w:val="18"/>
                <w:lang w:eastAsia="sl-SI"/>
              </w:rPr>
              <w:t xml:space="preserve"> %</w:t>
            </w:r>
          </w:p>
        </w:tc>
      </w:tr>
      <w:tr w:rsidR="00072A69" w:rsidRPr="006D61C0" w14:paraId="1B4E7A92" w14:textId="77777777" w:rsidTr="00AC1F17">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12CF52E4"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Infrastrukturno</w:t>
            </w:r>
          </w:p>
        </w:tc>
        <w:tc>
          <w:tcPr>
            <w:tcW w:w="686" w:type="pct"/>
            <w:tcBorders>
              <w:top w:val="nil"/>
              <w:left w:val="nil"/>
              <w:bottom w:val="single" w:sz="4" w:space="0" w:color="auto"/>
              <w:right w:val="single" w:sz="4" w:space="0" w:color="auto"/>
            </w:tcBorders>
            <w:shd w:val="clear" w:color="auto" w:fill="auto"/>
            <w:vAlign w:val="center"/>
            <w:hideMark/>
          </w:tcPr>
          <w:p w14:paraId="36ABA72E"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Blago</w:t>
            </w:r>
          </w:p>
        </w:tc>
        <w:tc>
          <w:tcPr>
            <w:tcW w:w="627" w:type="pct"/>
            <w:tcBorders>
              <w:top w:val="nil"/>
              <w:left w:val="nil"/>
              <w:bottom w:val="single" w:sz="4" w:space="0" w:color="auto"/>
              <w:right w:val="single" w:sz="4" w:space="0" w:color="auto"/>
            </w:tcBorders>
            <w:shd w:val="clear" w:color="auto" w:fill="auto"/>
            <w:vAlign w:val="center"/>
            <w:hideMark/>
          </w:tcPr>
          <w:p w14:paraId="72396BF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594</w:t>
            </w:r>
          </w:p>
        </w:tc>
        <w:tc>
          <w:tcPr>
            <w:tcW w:w="981" w:type="pct"/>
            <w:tcBorders>
              <w:top w:val="nil"/>
              <w:left w:val="nil"/>
              <w:bottom w:val="single" w:sz="4" w:space="0" w:color="auto"/>
              <w:right w:val="single" w:sz="4" w:space="0" w:color="auto"/>
            </w:tcBorders>
            <w:shd w:val="clear" w:color="auto" w:fill="auto"/>
            <w:vAlign w:val="center"/>
            <w:hideMark/>
          </w:tcPr>
          <w:p w14:paraId="1FEF13C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54.486.200</w:t>
            </w:r>
          </w:p>
        </w:tc>
        <w:tc>
          <w:tcPr>
            <w:tcW w:w="525" w:type="pct"/>
            <w:tcBorders>
              <w:top w:val="nil"/>
              <w:left w:val="nil"/>
              <w:bottom w:val="single" w:sz="4" w:space="0" w:color="auto"/>
              <w:right w:val="single" w:sz="4" w:space="0" w:color="auto"/>
            </w:tcBorders>
            <w:shd w:val="clear" w:color="auto" w:fill="auto"/>
            <w:noWrap/>
            <w:vAlign w:val="center"/>
            <w:hideMark/>
          </w:tcPr>
          <w:p w14:paraId="31D5C23C"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54,30</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0893995"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34,36</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5B72F566"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6,73</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43D3606"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5,60</w:t>
            </w:r>
            <w:r>
              <w:rPr>
                <w:rFonts w:ascii="Arial" w:eastAsia="Times New Roman" w:hAnsi="Arial" w:cs="Arial"/>
                <w:color w:val="000000"/>
                <w:sz w:val="18"/>
                <w:szCs w:val="18"/>
                <w:lang w:eastAsia="sl-SI"/>
              </w:rPr>
              <w:t xml:space="preserve"> %</w:t>
            </w:r>
          </w:p>
        </w:tc>
      </w:tr>
      <w:tr w:rsidR="00072A69" w:rsidRPr="006D61C0" w14:paraId="5CB788E5"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2CC0E637"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7F4CA824"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Storitve</w:t>
            </w:r>
          </w:p>
        </w:tc>
        <w:tc>
          <w:tcPr>
            <w:tcW w:w="627" w:type="pct"/>
            <w:tcBorders>
              <w:top w:val="nil"/>
              <w:left w:val="nil"/>
              <w:bottom w:val="single" w:sz="4" w:space="0" w:color="auto"/>
              <w:right w:val="single" w:sz="4" w:space="0" w:color="auto"/>
            </w:tcBorders>
            <w:shd w:val="clear" w:color="auto" w:fill="auto"/>
            <w:vAlign w:val="center"/>
            <w:hideMark/>
          </w:tcPr>
          <w:p w14:paraId="3ADB56F4"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317</w:t>
            </w:r>
          </w:p>
        </w:tc>
        <w:tc>
          <w:tcPr>
            <w:tcW w:w="981" w:type="pct"/>
            <w:tcBorders>
              <w:top w:val="nil"/>
              <w:left w:val="nil"/>
              <w:bottom w:val="single" w:sz="4" w:space="0" w:color="auto"/>
              <w:right w:val="single" w:sz="4" w:space="0" w:color="auto"/>
            </w:tcBorders>
            <w:shd w:val="clear" w:color="auto" w:fill="auto"/>
            <w:vAlign w:val="center"/>
            <w:hideMark/>
          </w:tcPr>
          <w:p w14:paraId="0BA39B7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38.879.841</w:t>
            </w:r>
          </w:p>
        </w:tc>
        <w:tc>
          <w:tcPr>
            <w:tcW w:w="525" w:type="pct"/>
            <w:tcBorders>
              <w:top w:val="nil"/>
              <w:left w:val="nil"/>
              <w:bottom w:val="single" w:sz="4" w:space="0" w:color="auto"/>
              <w:right w:val="single" w:sz="4" w:space="0" w:color="auto"/>
            </w:tcBorders>
            <w:shd w:val="clear" w:color="auto" w:fill="auto"/>
            <w:noWrap/>
            <w:vAlign w:val="center"/>
            <w:hideMark/>
          </w:tcPr>
          <w:p w14:paraId="1E8F1EDC"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28,98</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39FAB78"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24,52</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4F821AB8"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3,59</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D47F60F"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3,99</w:t>
            </w:r>
            <w:r>
              <w:rPr>
                <w:rFonts w:ascii="Arial" w:eastAsia="Times New Roman" w:hAnsi="Arial" w:cs="Arial"/>
                <w:color w:val="000000"/>
                <w:sz w:val="18"/>
                <w:szCs w:val="18"/>
                <w:lang w:eastAsia="sl-SI"/>
              </w:rPr>
              <w:t xml:space="preserve"> %</w:t>
            </w:r>
          </w:p>
        </w:tc>
      </w:tr>
      <w:tr w:rsidR="00072A69" w:rsidRPr="006D61C0" w14:paraId="5EFA37AE"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080BA52B"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41CC0C48"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Gradnje</w:t>
            </w:r>
          </w:p>
        </w:tc>
        <w:tc>
          <w:tcPr>
            <w:tcW w:w="627" w:type="pct"/>
            <w:tcBorders>
              <w:top w:val="nil"/>
              <w:left w:val="nil"/>
              <w:bottom w:val="single" w:sz="4" w:space="0" w:color="auto"/>
              <w:right w:val="single" w:sz="4" w:space="0" w:color="auto"/>
            </w:tcBorders>
            <w:shd w:val="clear" w:color="auto" w:fill="auto"/>
            <w:vAlign w:val="center"/>
            <w:hideMark/>
          </w:tcPr>
          <w:p w14:paraId="4BFFFFB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183</w:t>
            </w:r>
          </w:p>
        </w:tc>
        <w:tc>
          <w:tcPr>
            <w:tcW w:w="981" w:type="pct"/>
            <w:tcBorders>
              <w:top w:val="nil"/>
              <w:left w:val="nil"/>
              <w:bottom w:val="single" w:sz="4" w:space="0" w:color="auto"/>
              <w:right w:val="single" w:sz="4" w:space="0" w:color="auto"/>
            </w:tcBorders>
            <w:shd w:val="clear" w:color="auto" w:fill="auto"/>
            <w:vAlign w:val="center"/>
            <w:hideMark/>
          </w:tcPr>
          <w:p w14:paraId="37012BD4"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65.214.851</w:t>
            </w:r>
          </w:p>
        </w:tc>
        <w:tc>
          <w:tcPr>
            <w:tcW w:w="525" w:type="pct"/>
            <w:tcBorders>
              <w:top w:val="nil"/>
              <w:left w:val="nil"/>
              <w:bottom w:val="single" w:sz="4" w:space="0" w:color="auto"/>
              <w:right w:val="single" w:sz="4" w:space="0" w:color="auto"/>
            </w:tcBorders>
            <w:shd w:val="clear" w:color="auto" w:fill="auto"/>
            <w:noWrap/>
            <w:vAlign w:val="center"/>
            <w:hideMark/>
          </w:tcPr>
          <w:p w14:paraId="42FB2787"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16,73</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82832C5"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41,12</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79308967"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2,07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6142C74"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6,70</w:t>
            </w:r>
            <w:r>
              <w:rPr>
                <w:rFonts w:ascii="Arial" w:eastAsia="Times New Roman" w:hAnsi="Arial" w:cs="Arial"/>
                <w:color w:val="000000"/>
                <w:sz w:val="18"/>
                <w:szCs w:val="18"/>
                <w:lang w:eastAsia="sl-SI"/>
              </w:rPr>
              <w:t xml:space="preserve"> %</w:t>
            </w:r>
          </w:p>
        </w:tc>
      </w:tr>
      <w:tr w:rsidR="00072A69" w:rsidRPr="006D61C0" w14:paraId="57228055"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4036EA60"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15CA2863" w14:textId="77777777" w:rsidR="00072A69" w:rsidRPr="006D61C0" w:rsidRDefault="00072A69" w:rsidP="00AC1F17">
            <w:pPr>
              <w:spacing w:after="0" w:line="240" w:lineRule="auto"/>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auto"/>
            <w:vAlign w:val="center"/>
            <w:hideMark/>
          </w:tcPr>
          <w:p w14:paraId="077C2AB2"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1.094</w:t>
            </w:r>
          </w:p>
        </w:tc>
        <w:tc>
          <w:tcPr>
            <w:tcW w:w="981" w:type="pct"/>
            <w:tcBorders>
              <w:top w:val="nil"/>
              <w:left w:val="nil"/>
              <w:bottom w:val="single" w:sz="4" w:space="0" w:color="auto"/>
              <w:right w:val="single" w:sz="4" w:space="0" w:color="auto"/>
            </w:tcBorders>
            <w:shd w:val="clear" w:color="auto" w:fill="auto"/>
            <w:vAlign w:val="center"/>
            <w:hideMark/>
          </w:tcPr>
          <w:p w14:paraId="417EA224"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158.580.892</w:t>
            </w:r>
          </w:p>
        </w:tc>
        <w:tc>
          <w:tcPr>
            <w:tcW w:w="525" w:type="pct"/>
            <w:tcBorders>
              <w:top w:val="nil"/>
              <w:left w:val="nil"/>
              <w:bottom w:val="single" w:sz="4" w:space="0" w:color="auto"/>
              <w:right w:val="single" w:sz="4" w:space="0" w:color="auto"/>
            </w:tcBorders>
            <w:shd w:val="clear" w:color="auto" w:fill="auto"/>
            <w:noWrap/>
            <w:vAlign w:val="center"/>
            <w:hideMark/>
          </w:tcPr>
          <w:p w14:paraId="321F10C0"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6CD26F23"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5FFE864D"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12,39</w:t>
            </w:r>
            <w:r>
              <w:rPr>
                <w:rFonts w:ascii="Arial" w:eastAsia="Times New Roman" w:hAnsi="Arial" w:cs="Arial"/>
                <w:b/>
                <w:bCs/>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2732A17"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16,29</w:t>
            </w:r>
            <w:r>
              <w:rPr>
                <w:rFonts w:ascii="Arial" w:eastAsia="Times New Roman" w:hAnsi="Arial" w:cs="Arial"/>
                <w:b/>
                <w:bCs/>
                <w:color w:val="000000"/>
                <w:sz w:val="18"/>
                <w:szCs w:val="18"/>
                <w:lang w:eastAsia="sl-SI"/>
              </w:rPr>
              <w:t xml:space="preserve"> %</w:t>
            </w:r>
          </w:p>
        </w:tc>
      </w:tr>
      <w:tr w:rsidR="00072A69" w:rsidRPr="006D61C0" w14:paraId="29CD693C" w14:textId="77777777" w:rsidTr="00AC1F17">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61A21DC2" w14:textId="77777777" w:rsidR="00072A69" w:rsidRPr="006D61C0" w:rsidRDefault="00072A69" w:rsidP="00AC1F17">
            <w:pPr>
              <w:spacing w:after="0" w:line="240" w:lineRule="auto"/>
              <w:jc w:val="center"/>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Obrambno</w:t>
            </w:r>
          </w:p>
        </w:tc>
        <w:tc>
          <w:tcPr>
            <w:tcW w:w="686" w:type="pct"/>
            <w:tcBorders>
              <w:top w:val="nil"/>
              <w:left w:val="nil"/>
              <w:bottom w:val="single" w:sz="4" w:space="0" w:color="auto"/>
              <w:right w:val="single" w:sz="4" w:space="0" w:color="auto"/>
            </w:tcBorders>
            <w:shd w:val="clear" w:color="auto" w:fill="auto"/>
            <w:vAlign w:val="center"/>
            <w:hideMark/>
          </w:tcPr>
          <w:p w14:paraId="235C965C"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Blago</w:t>
            </w:r>
          </w:p>
        </w:tc>
        <w:tc>
          <w:tcPr>
            <w:tcW w:w="627" w:type="pct"/>
            <w:tcBorders>
              <w:top w:val="nil"/>
              <w:left w:val="nil"/>
              <w:bottom w:val="single" w:sz="4" w:space="0" w:color="auto"/>
              <w:right w:val="single" w:sz="4" w:space="0" w:color="auto"/>
            </w:tcBorders>
            <w:shd w:val="clear" w:color="auto" w:fill="auto"/>
            <w:vAlign w:val="center"/>
            <w:hideMark/>
          </w:tcPr>
          <w:p w14:paraId="32011D11"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17</w:t>
            </w:r>
          </w:p>
        </w:tc>
        <w:tc>
          <w:tcPr>
            <w:tcW w:w="981" w:type="pct"/>
            <w:tcBorders>
              <w:top w:val="nil"/>
              <w:left w:val="nil"/>
              <w:bottom w:val="single" w:sz="4" w:space="0" w:color="auto"/>
              <w:right w:val="single" w:sz="4" w:space="0" w:color="auto"/>
            </w:tcBorders>
            <w:shd w:val="clear" w:color="auto" w:fill="auto"/>
            <w:vAlign w:val="center"/>
            <w:hideMark/>
          </w:tcPr>
          <w:p w14:paraId="6FC4E040"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2.046.539</w:t>
            </w:r>
          </w:p>
        </w:tc>
        <w:tc>
          <w:tcPr>
            <w:tcW w:w="525" w:type="pct"/>
            <w:tcBorders>
              <w:top w:val="nil"/>
              <w:left w:val="nil"/>
              <w:bottom w:val="single" w:sz="4" w:space="0" w:color="auto"/>
              <w:right w:val="single" w:sz="4" w:space="0" w:color="auto"/>
            </w:tcBorders>
            <w:shd w:val="clear" w:color="auto" w:fill="auto"/>
            <w:noWrap/>
            <w:vAlign w:val="center"/>
            <w:hideMark/>
          </w:tcPr>
          <w:p w14:paraId="6EDBF79A"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50,00</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07B6AEA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31,50</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06562EAF"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3499B09"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072A69" w:rsidRPr="006D61C0" w14:paraId="0A7F25E2"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484AE8C8"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7CD10D28"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Storitve</w:t>
            </w:r>
          </w:p>
        </w:tc>
        <w:tc>
          <w:tcPr>
            <w:tcW w:w="627" w:type="pct"/>
            <w:tcBorders>
              <w:top w:val="nil"/>
              <w:left w:val="nil"/>
              <w:bottom w:val="single" w:sz="4" w:space="0" w:color="auto"/>
              <w:right w:val="single" w:sz="4" w:space="0" w:color="auto"/>
            </w:tcBorders>
            <w:shd w:val="clear" w:color="auto" w:fill="auto"/>
            <w:vAlign w:val="center"/>
            <w:hideMark/>
          </w:tcPr>
          <w:p w14:paraId="7AF2A2D3"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14</w:t>
            </w:r>
          </w:p>
        </w:tc>
        <w:tc>
          <w:tcPr>
            <w:tcW w:w="981" w:type="pct"/>
            <w:tcBorders>
              <w:top w:val="nil"/>
              <w:left w:val="nil"/>
              <w:bottom w:val="single" w:sz="4" w:space="0" w:color="auto"/>
              <w:right w:val="single" w:sz="4" w:space="0" w:color="auto"/>
            </w:tcBorders>
            <w:shd w:val="clear" w:color="auto" w:fill="auto"/>
            <w:vAlign w:val="center"/>
            <w:hideMark/>
          </w:tcPr>
          <w:p w14:paraId="495D7D0D"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1.198.955</w:t>
            </w:r>
          </w:p>
        </w:tc>
        <w:tc>
          <w:tcPr>
            <w:tcW w:w="525" w:type="pct"/>
            <w:tcBorders>
              <w:top w:val="nil"/>
              <w:left w:val="nil"/>
              <w:bottom w:val="single" w:sz="4" w:space="0" w:color="auto"/>
              <w:right w:val="single" w:sz="4" w:space="0" w:color="auto"/>
            </w:tcBorders>
            <w:shd w:val="clear" w:color="auto" w:fill="auto"/>
            <w:noWrap/>
            <w:vAlign w:val="center"/>
            <w:hideMark/>
          </w:tcPr>
          <w:p w14:paraId="22933411"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41,18</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04412993"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18,46</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52E4A51F"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89F835C"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072A69" w:rsidRPr="006D61C0" w14:paraId="5D6D4E14"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4ADD1130"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1DE94039" w14:textId="77777777" w:rsidR="00072A69" w:rsidRPr="006D61C0" w:rsidRDefault="00072A69" w:rsidP="00AC1F17">
            <w:pPr>
              <w:spacing w:after="0" w:line="240" w:lineRule="auto"/>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Gradnje</w:t>
            </w:r>
          </w:p>
        </w:tc>
        <w:tc>
          <w:tcPr>
            <w:tcW w:w="627" w:type="pct"/>
            <w:tcBorders>
              <w:top w:val="nil"/>
              <w:left w:val="nil"/>
              <w:bottom w:val="single" w:sz="4" w:space="0" w:color="auto"/>
              <w:right w:val="single" w:sz="4" w:space="0" w:color="auto"/>
            </w:tcBorders>
            <w:shd w:val="clear" w:color="auto" w:fill="auto"/>
            <w:vAlign w:val="center"/>
            <w:hideMark/>
          </w:tcPr>
          <w:p w14:paraId="18517FC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w:t>
            </w:r>
          </w:p>
        </w:tc>
        <w:tc>
          <w:tcPr>
            <w:tcW w:w="981" w:type="pct"/>
            <w:tcBorders>
              <w:top w:val="nil"/>
              <w:left w:val="nil"/>
              <w:bottom w:val="single" w:sz="4" w:space="0" w:color="auto"/>
              <w:right w:val="single" w:sz="4" w:space="0" w:color="auto"/>
            </w:tcBorders>
            <w:shd w:val="clear" w:color="auto" w:fill="auto"/>
            <w:vAlign w:val="center"/>
            <w:hideMark/>
          </w:tcPr>
          <w:p w14:paraId="099F0009"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3.250.437</w:t>
            </w:r>
          </w:p>
        </w:tc>
        <w:tc>
          <w:tcPr>
            <w:tcW w:w="525" w:type="pct"/>
            <w:tcBorders>
              <w:top w:val="nil"/>
              <w:left w:val="nil"/>
              <w:bottom w:val="single" w:sz="4" w:space="0" w:color="auto"/>
              <w:right w:val="single" w:sz="4" w:space="0" w:color="auto"/>
            </w:tcBorders>
            <w:shd w:val="clear" w:color="auto" w:fill="auto"/>
            <w:noWrap/>
            <w:vAlign w:val="center"/>
            <w:hideMark/>
          </w:tcPr>
          <w:p w14:paraId="33D1027B"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8,82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458FEC6"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50,04</w:t>
            </w:r>
            <w:r>
              <w:rPr>
                <w:rFonts w:ascii="Arial" w:eastAsia="Times New Roman" w:hAnsi="Arial" w:cs="Arial"/>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1532E6D2"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CCDC78D" w14:textId="77777777" w:rsidR="00072A69" w:rsidRPr="006D61C0" w:rsidRDefault="00072A69" w:rsidP="00AC1F17">
            <w:pPr>
              <w:spacing w:after="0" w:line="240" w:lineRule="auto"/>
              <w:jc w:val="right"/>
              <w:rPr>
                <w:rFonts w:ascii="Arial" w:eastAsia="Times New Roman" w:hAnsi="Arial" w:cs="Arial"/>
                <w:color w:val="000000"/>
                <w:sz w:val="18"/>
                <w:szCs w:val="18"/>
                <w:lang w:eastAsia="sl-SI"/>
              </w:rPr>
            </w:pPr>
            <w:r w:rsidRPr="006D61C0">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r>
      <w:tr w:rsidR="00072A69" w:rsidRPr="006D61C0" w14:paraId="4CEDD18F" w14:textId="77777777" w:rsidTr="00AC1F17">
        <w:trPr>
          <w:trHeight w:val="300"/>
        </w:trPr>
        <w:tc>
          <w:tcPr>
            <w:tcW w:w="718" w:type="pct"/>
            <w:vMerge/>
            <w:tcBorders>
              <w:top w:val="nil"/>
              <w:left w:val="single" w:sz="4" w:space="0" w:color="auto"/>
              <w:bottom w:val="single" w:sz="4" w:space="0" w:color="auto"/>
              <w:right w:val="single" w:sz="4" w:space="0" w:color="auto"/>
            </w:tcBorders>
            <w:vAlign w:val="center"/>
            <w:hideMark/>
          </w:tcPr>
          <w:p w14:paraId="455937A5" w14:textId="77777777" w:rsidR="00072A69" w:rsidRPr="006D61C0" w:rsidRDefault="00072A69" w:rsidP="00AC1F17">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0AB8A1BE" w14:textId="77777777" w:rsidR="00072A69" w:rsidRPr="006D61C0" w:rsidRDefault="00072A69" w:rsidP="00AC1F17">
            <w:pPr>
              <w:spacing w:after="0" w:line="240" w:lineRule="auto"/>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auto"/>
            <w:noWrap/>
            <w:vAlign w:val="center"/>
            <w:hideMark/>
          </w:tcPr>
          <w:p w14:paraId="68219F9B"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34</w:t>
            </w:r>
          </w:p>
        </w:tc>
        <w:tc>
          <w:tcPr>
            <w:tcW w:w="981" w:type="pct"/>
            <w:tcBorders>
              <w:top w:val="nil"/>
              <w:left w:val="nil"/>
              <w:bottom w:val="single" w:sz="4" w:space="0" w:color="auto"/>
              <w:right w:val="single" w:sz="4" w:space="0" w:color="auto"/>
            </w:tcBorders>
            <w:shd w:val="clear" w:color="auto" w:fill="auto"/>
            <w:noWrap/>
            <w:vAlign w:val="center"/>
            <w:hideMark/>
          </w:tcPr>
          <w:p w14:paraId="6CF4F63E"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6.495.931</w:t>
            </w:r>
          </w:p>
        </w:tc>
        <w:tc>
          <w:tcPr>
            <w:tcW w:w="525" w:type="pct"/>
            <w:tcBorders>
              <w:top w:val="nil"/>
              <w:left w:val="nil"/>
              <w:bottom w:val="single" w:sz="4" w:space="0" w:color="auto"/>
              <w:right w:val="single" w:sz="4" w:space="0" w:color="auto"/>
            </w:tcBorders>
            <w:shd w:val="clear" w:color="auto" w:fill="auto"/>
            <w:noWrap/>
            <w:vAlign w:val="center"/>
            <w:hideMark/>
          </w:tcPr>
          <w:p w14:paraId="0C9788CF"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C683069"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14:paraId="3416035D"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0,38</w:t>
            </w:r>
            <w:r>
              <w:rPr>
                <w:rFonts w:ascii="Arial" w:eastAsia="Times New Roman" w:hAnsi="Arial" w:cs="Arial"/>
                <w:b/>
                <w:bCs/>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B8BCABF"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0,67</w:t>
            </w:r>
            <w:r>
              <w:rPr>
                <w:rFonts w:ascii="Arial" w:eastAsia="Times New Roman" w:hAnsi="Arial" w:cs="Arial"/>
                <w:b/>
                <w:bCs/>
                <w:color w:val="000000"/>
                <w:sz w:val="18"/>
                <w:szCs w:val="18"/>
                <w:lang w:eastAsia="sl-SI"/>
              </w:rPr>
              <w:t xml:space="preserve"> %</w:t>
            </w:r>
          </w:p>
        </w:tc>
      </w:tr>
      <w:tr w:rsidR="00072A69" w:rsidRPr="006D61C0" w14:paraId="3EEC1886" w14:textId="77777777" w:rsidTr="00AC1F17">
        <w:trPr>
          <w:gridAfter w:val="4"/>
          <w:wAfter w:w="1989" w:type="pct"/>
          <w:trHeight w:val="300"/>
        </w:trPr>
        <w:tc>
          <w:tcPr>
            <w:tcW w:w="140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8D426D" w14:textId="77777777" w:rsidR="00072A69" w:rsidRPr="006D61C0" w:rsidRDefault="00072A69" w:rsidP="00AC1F17">
            <w:pPr>
              <w:spacing w:after="0" w:line="240" w:lineRule="auto"/>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E7E6E6" w:themeFill="background2"/>
            <w:noWrap/>
            <w:vAlign w:val="center"/>
            <w:hideMark/>
          </w:tcPr>
          <w:p w14:paraId="783A2384"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8.832</w:t>
            </w:r>
          </w:p>
        </w:tc>
        <w:tc>
          <w:tcPr>
            <w:tcW w:w="981" w:type="pct"/>
            <w:tcBorders>
              <w:top w:val="nil"/>
              <w:left w:val="nil"/>
              <w:bottom w:val="single" w:sz="4" w:space="0" w:color="auto"/>
              <w:right w:val="single" w:sz="4" w:space="0" w:color="auto"/>
            </w:tcBorders>
            <w:shd w:val="clear" w:color="auto" w:fill="E7E6E6" w:themeFill="background2"/>
            <w:noWrap/>
            <w:vAlign w:val="center"/>
            <w:hideMark/>
          </w:tcPr>
          <w:p w14:paraId="69716993" w14:textId="77777777" w:rsidR="00072A69" w:rsidRPr="006D61C0" w:rsidRDefault="00072A69" w:rsidP="00AC1F17">
            <w:pPr>
              <w:spacing w:after="0" w:line="240" w:lineRule="auto"/>
              <w:jc w:val="right"/>
              <w:rPr>
                <w:rFonts w:ascii="Arial" w:eastAsia="Times New Roman" w:hAnsi="Arial" w:cs="Arial"/>
                <w:b/>
                <w:bCs/>
                <w:color w:val="000000"/>
                <w:sz w:val="18"/>
                <w:szCs w:val="18"/>
                <w:lang w:eastAsia="sl-SI"/>
              </w:rPr>
            </w:pPr>
            <w:r w:rsidRPr="006D61C0">
              <w:rPr>
                <w:rFonts w:ascii="Arial" w:eastAsia="Times New Roman" w:hAnsi="Arial" w:cs="Arial"/>
                <w:b/>
                <w:bCs/>
                <w:color w:val="000000"/>
                <w:sz w:val="18"/>
                <w:szCs w:val="18"/>
                <w:lang w:eastAsia="sl-SI"/>
              </w:rPr>
              <w:t>973.474.233</w:t>
            </w:r>
          </w:p>
        </w:tc>
      </w:tr>
    </w:tbl>
    <w:p w14:paraId="0275AAA5" w14:textId="77777777" w:rsidR="00072A69" w:rsidRPr="00EF2D0B" w:rsidRDefault="00072A69" w:rsidP="00072A69">
      <w:pPr>
        <w:spacing w:before="120" w:after="120" w:line="240" w:lineRule="auto"/>
        <w:jc w:val="both"/>
        <w:rPr>
          <w:rFonts w:ascii="Arial" w:hAnsi="Arial" w:cs="Arial"/>
          <w:sz w:val="20"/>
          <w:highlight w:val="yellow"/>
        </w:rPr>
      </w:pPr>
    </w:p>
    <w:p w14:paraId="28D16948" w14:textId="77777777" w:rsidR="00C320EE" w:rsidRDefault="00C320EE" w:rsidP="00072A69">
      <w:pPr>
        <w:spacing w:before="120" w:after="120" w:line="240" w:lineRule="auto"/>
        <w:jc w:val="both"/>
        <w:rPr>
          <w:rFonts w:ascii="Arial" w:hAnsi="Arial" w:cs="Arial"/>
          <w:sz w:val="20"/>
        </w:rPr>
      </w:pPr>
    </w:p>
    <w:p w14:paraId="704DEE70" w14:textId="77777777" w:rsidR="00C320EE" w:rsidRDefault="00C320EE" w:rsidP="00072A69">
      <w:pPr>
        <w:spacing w:before="120" w:after="120" w:line="240" w:lineRule="auto"/>
        <w:jc w:val="both"/>
        <w:rPr>
          <w:rFonts w:ascii="Arial" w:hAnsi="Arial" w:cs="Arial"/>
          <w:sz w:val="20"/>
        </w:rPr>
      </w:pPr>
    </w:p>
    <w:p w14:paraId="772026DF" w14:textId="04C0B78A" w:rsidR="00072A69" w:rsidRPr="00D11BC8" w:rsidRDefault="00072A69" w:rsidP="00072A69">
      <w:pPr>
        <w:spacing w:before="120" w:after="120" w:line="240" w:lineRule="auto"/>
        <w:jc w:val="both"/>
        <w:rPr>
          <w:rFonts w:ascii="Arial" w:hAnsi="Arial" w:cs="Arial"/>
          <w:sz w:val="20"/>
        </w:rPr>
      </w:pPr>
      <w:r w:rsidRPr="00D11BC8">
        <w:rPr>
          <w:rFonts w:ascii="Arial" w:hAnsi="Arial" w:cs="Arial"/>
          <w:sz w:val="20"/>
        </w:rPr>
        <w:lastRenderedPageBreak/>
        <w:t>Preglednica 7</w:t>
      </w:r>
      <w:r w:rsidR="008D46F4">
        <w:rPr>
          <w:rFonts w:ascii="Arial" w:hAnsi="Arial" w:cs="Arial"/>
          <w:sz w:val="20"/>
        </w:rPr>
        <w:t>5</w:t>
      </w:r>
      <w:r w:rsidRPr="00D11BC8">
        <w:rPr>
          <w:rFonts w:ascii="Arial" w:hAnsi="Arial" w:cs="Arial"/>
          <w:sz w:val="20"/>
        </w:rPr>
        <w:t xml:space="preserve">: Naročila, objavljena samo na portalu javnih naročil glede na področje in vrsto postopka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3934"/>
        <w:gridCol w:w="671"/>
        <w:gridCol w:w="1141"/>
        <w:gridCol w:w="952"/>
        <w:gridCol w:w="951"/>
      </w:tblGrid>
      <w:tr w:rsidR="00072A69" w:rsidRPr="00D11BC8" w14:paraId="09A29E6F" w14:textId="77777777" w:rsidTr="00AC1F17">
        <w:trPr>
          <w:trHeight w:val="960"/>
        </w:trPr>
        <w:tc>
          <w:tcPr>
            <w:tcW w:w="780" w:type="pct"/>
            <w:shd w:val="clear" w:color="000000" w:fill="EDEDED"/>
            <w:vAlign w:val="center"/>
            <w:hideMark/>
          </w:tcPr>
          <w:p w14:paraId="27803C4A"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Področje</w:t>
            </w:r>
          </w:p>
        </w:tc>
        <w:tc>
          <w:tcPr>
            <w:tcW w:w="2171" w:type="pct"/>
            <w:shd w:val="clear" w:color="000000" w:fill="EDEDED"/>
            <w:vAlign w:val="center"/>
            <w:hideMark/>
          </w:tcPr>
          <w:p w14:paraId="7D95B66D"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Vrsta postopka</w:t>
            </w:r>
          </w:p>
        </w:tc>
        <w:tc>
          <w:tcPr>
            <w:tcW w:w="370" w:type="pct"/>
            <w:shd w:val="clear" w:color="000000" w:fill="EDEDED"/>
            <w:vAlign w:val="center"/>
            <w:hideMark/>
          </w:tcPr>
          <w:p w14:paraId="738461BD"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Št. naročil</w:t>
            </w:r>
          </w:p>
        </w:tc>
        <w:tc>
          <w:tcPr>
            <w:tcW w:w="630" w:type="pct"/>
            <w:shd w:val="clear" w:color="000000" w:fill="EDEDED"/>
            <w:vAlign w:val="center"/>
            <w:hideMark/>
          </w:tcPr>
          <w:p w14:paraId="38A69076"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Pogodbena vrednost</w:t>
            </w:r>
          </w:p>
        </w:tc>
        <w:tc>
          <w:tcPr>
            <w:tcW w:w="525" w:type="pct"/>
            <w:shd w:val="clear" w:color="000000" w:fill="EDEDED"/>
            <w:vAlign w:val="center"/>
            <w:hideMark/>
          </w:tcPr>
          <w:p w14:paraId="6900E1FF"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Delež v št. istovrstnih naročil</w:t>
            </w:r>
          </w:p>
        </w:tc>
        <w:tc>
          <w:tcPr>
            <w:tcW w:w="525" w:type="pct"/>
            <w:shd w:val="clear" w:color="000000" w:fill="EDEDED"/>
            <w:vAlign w:val="center"/>
            <w:hideMark/>
          </w:tcPr>
          <w:p w14:paraId="61EAD963"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Delež  vrednosti istovrstnih naročil</w:t>
            </w:r>
          </w:p>
        </w:tc>
      </w:tr>
      <w:tr w:rsidR="00072A69" w:rsidRPr="00D11BC8" w14:paraId="7731A814" w14:textId="77777777" w:rsidTr="00AC1F17">
        <w:trPr>
          <w:trHeight w:val="300"/>
        </w:trPr>
        <w:tc>
          <w:tcPr>
            <w:tcW w:w="780" w:type="pct"/>
            <w:vMerge w:val="restart"/>
            <w:shd w:val="clear" w:color="auto" w:fill="auto"/>
            <w:vAlign w:val="center"/>
            <w:hideMark/>
          </w:tcPr>
          <w:p w14:paraId="3EA4B847"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Splošno</w:t>
            </w:r>
          </w:p>
        </w:tc>
        <w:tc>
          <w:tcPr>
            <w:tcW w:w="2171" w:type="pct"/>
            <w:shd w:val="clear" w:color="auto" w:fill="auto"/>
            <w:vAlign w:val="center"/>
            <w:hideMark/>
          </w:tcPr>
          <w:p w14:paraId="503E5F39"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Konkurenčni dialog</w:t>
            </w:r>
          </w:p>
        </w:tc>
        <w:tc>
          <w:tcPr>
            <w:tcW w:w="370" w:type="pct"/>
            <w:shd w:val="clear" w:color="auto" w:fill="auto"/>
            <w:vAlign w:val="center"/>
            <w:hideMark/>
          </w:tcPr>
          <w:p w14:paraId="03D7E8F9"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w:t>
            </w:r>
          </w:p>
        </w:tc>
        <w:tc>
          <w:tcPr>
            <w:tcW w:w="630" w:type="pct"/>
            <w:shd w:val="clear" w:color="auto" w:fill="auto"/>
            <w:vAlign w:val="center"/>
            <w:hideMark/>
          </w:tcPr>
          <w:p w14:paraId="0D115514"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23.950</w:t>
            </w:r>
          </w:p>
        </w:tc>
        <w:tc>
          <w:tcPr>
            <w:tcW w:w="525" w:type="pct"/>
            <w:shd w:val="clear" w:color="auto" w:fill="auto"/>
            <w:noWrap/>
            <w:vAlign w:val="center"/>
            <w:hideMark/>
          </w:tcPr>
          <w:p w14:paraId="6CF991B7"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D581530"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D11BC8" w14:paraId="1D0BEA5A" w14:textId="77777777" w:rsidTr="00AC1F17">
        <w:trPr>
          <w:trHeight w:val="300"/>
        </w:trPr>
        <w:tc>
          <w:tcPr>
            <w:tcW w:w="780" w:type="pct"/>
            <w:vMerge/>
            <w:vAlign w:val="center"/>
            <w:hideMark/>
          </w:tcPr>
          <w:p w14:paraId="4709F8B5"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649711E4"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Konkurenčni postopek s pogajanji</w:t>
            </w:r>
          </w:p>
        </w:tc>
        <w:tc>
          <w:tcPr>
            <w:tcW w:w="370" w:type="pct"/>
            <w:shd w:val="clear" w:color="auto" w:fill="auto"/>
            <w:vAlign w:val="center"/>
            <w:hideMark/>
          </w:tcPr>
          <w:p w14:paraId="12964560"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105</w:t>
            </w:r>
          </w:p>
        </w:tc>
        <w:tc>
          <w:tcPr>
            <w:tcW w:w="630" w:type="pct"/>
            <w:shd w:val="clear" w:color="auto" w:fill="auto"/>
            <w:vAlign w:val="center"/>
            <w:hideMark/>
          </w:tcPr>
          <w:p w14:paraId="29F03CC8"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94.740.055</w:t>
            </w:r>
          </w:p>
        </w:tc>
        <w:tc>
          <w:tcPr>
            <w:tcW w:w="525" w:type="pct"/>
            <w:shd w:val="clear" w:color="auto" w:fill="auto"/>
            <w:noWrap/>
            <w:vAlign w:val="center"/>
            <w:hideMark/>
          </w:tcPr>
          <w:p w14:paraId="00589462"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1,36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1413144"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11,72</w:t>
            </w:r>
            <w:r>
              <w:rPr>
                <w:rFonts w:ascii="Arial" w:eastAsia="Times New Roman" w:hAnsi="Arial" w:cs="Arial"/>
                <w:color w:val="000000"/>
                <w:sz w:val="18"/>
                <w:szCs w:val="18"/>
                <w:lang w:eastAsia="sl-SI"/>
              </w:rPr>
              <w:t xml:space="preserve"> %</w:t>
            </w:r>
          </w:p>
        </w:tc>
      </w:tr>
      <w:tr w:rsidR="00072A69" w:rsidRPr="00D11BC8" w14:paraId="53DB6A29" w14:textId="77777777" w:rsidTr="00AC1F17">
        <w:trPr>
          <w:trHeight w:val="300"/>
        </w:trPr>
        <w:tc>
          <w:tcPr>
            <w:tcW w:w="780" w:type="pct"/>
            <w:vMerge/>
            <w:vAlign w:val="center"/>
            <w:hideMark/>
          </w:tcPr>
          <w:p w14:paraId="6D2A4F17"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0B2921BD"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Odprti postopek</w:t>
            </w:r>
          </w:p>
        </w:tc>
        <w:tc>
          <w:tcPr>
            <w:tcW w:w="370" w:type="pct"/>
            <w:shd w:val="clear" w:color="auto" w:fill="auto"/>
            <w:vAlign w:val="center"/>
            <w:hideMark/>
          </w:tcPr>
          <w:p w14:paraId="44001737"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730</w:t>
            </w:r>
          </w:p>
        </w:tc>
        <w:tc>
          <w:tcPr>
            <w:tcW w:w="630" w:type="pct"/>
            <w:shd w:val="clear" w:color="auto" w:fill="auto"/>
            <w:vAlign w:val="center"/>
            <w:hideMark/>
          </w:tcPr>
          <w:p w14:paraId="528784BA"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306.335.349</w:t>
            </w:r>
          </w:p>
        </w:tc>
        <w:tc>
          <w:tcPr>
            <w:tcW w:w="525" w:type="pct"/>
            <w:shd w:val="clear" w:color="auto" w:fill="auto"/>
            <w:noWrap/>
            <w:vAlign w:val="center"/>
            <w:hideMark/>
          </w:tcPr>
          <w:p w14:paraId="33FBB50E"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9,48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A5D99A0"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37,89</w:t>
            </w:r>
            <w:r>
              <w:rPr>
                <w:rFonts w:ascii="Arial" w:eastAsia="Times New Roman" w:hAnsi="Arial" w:cs="Arial"/>
                <w:color w:val="000000"/>
                <w:sz w:val="18"/>
                <w:szCs w:val="18"/>
                <w:lang w:eastAsia="sl-SI"/>
              </w:rPr>
              <w:t xml:space="preserve"> %</w:t>
            </w:r>
          </w:p>
        </w:tc>
      </w:tr>
      <w:tr w:rsidR="00072A69" w:rsidRPr="00D11BC8" w14:paraId="2BCED170" w14:textId="77777777" w:rsidTr="00AC1F17">
        <w:trPr>
          <w:trHeight w:val="300"/>
        </w:trPr>
        <w:tc>
          <w:tcPr>
            <w:tcW w:w="780" w:type="pct"/>
            <w:vMerge/>
            <w:vAlign w:val="center"/>
            <w:hideMark/>
          </w:tcPr>
          <w:p w14:paraId="23849B56"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3147F00F"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Omejeni postopek</w:t>
            </w:r>
          </w:p>
        </w:tc>
        <w:tc>
          <w:tcPr>
            <w:tcW w:w="370" w:type="pct"/>
            <w:shd w:val="clear" w:color="auto" w:fill="auto"/>
            <w:vAlign w:val="center"/>
            <w:hideMark/>
          </w:tcPr>
          <w:p w14:paraId="2FD143AC"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12</w:t>
            </w:r>
          </w:p>
        </w:tc>
        <w:tc>
          <w:tcPr>
            <w:tcW w:w="630" w:type="pct"/>
            <w:shd w:val="clear" w:color="auto" w:fill="auto"/>
            <w:vAlign w:val="center"/>
            <w:hideMark/>
          </w:tcPr>
          <w:p w14:paraId="0A1DD742"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8.948.042</w:t>
            </w:r>
          </w:p>
        </w:tc>
        <w:tc>
          <w:tcPr>
            <w:tcW w:w="525" w:type="pct"/>
            <w:shd w:val="clear" w:color="auto" w:fill="auto"/>
            <w:noWrap/>
            <w:vAlign w:val="center"/>
            <w:hideMark/>
          </w:tcPr>
          <w:p w14:paraId="35D7B42D"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F27FAD7"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1,11</w:t>
            </w:r>
            <w:r>
              <w:rPr>
                <w:rFonts w:ascii="Arial" w:eastAsia="Times New Roman" w:hAnsi="Arial" w:cs="Arial"/>
                <w:color w:val="000000"/>
                <w:sz w:val="18"/>
                <w:szCs w:val="18"/>
                <w:lang w:eastAsia="sl-SI"/>
              </w:rPr>
              <w:t xml:space="preserve"> %</w:t>
            </w:r>
          </w:p>
        </w:tc>
      </w:tr>
      <w:tr w:rsidR="00072A69" w:rsidRPr="00D11BC8" w14:paraId="1920B641" w14:textId="77777777" w:rsidTr="00AC1F17">
        <w:trPr>
          <w:trHeight w:val="300"/>
        </w:trPr>
        <w:tc>
          <w:tcPr>
            <w:tcW w:w="780" w:type="pct"/>
            <w:vMerge/>
            <w:vAlign w:val="center"/>
            <w:hideMark/>
          </w:tcPr>
          <w:p w14:paraId="38458C88"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5F2D04E3"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naročila male vrednosti</w:t>
            </w:r>
          </w:p>
        </w:tc>
        <w:tc>
          <w:tcPr>
            <w:tcW w:w="370" w:type="pct"/>
            <w:shd w:val="clear" w:color="auto" w:fill="auto"/>
            <w:vAlign w:val="center"/>
            <w:hideMark/>
          </w:tcPr>
          <w:p w14:paraId="5D215D3E"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6.462</w:t>
            </w:r>
          </w:p>
        </w:tc>
        <w:tc>
          <w:tcPr>
            <w:tcW w:w="630" w:type="pct"/>
            <w:shd w:val="clear" w:color="auto" w:fill="auto"/>
            <w:vAlign w:val="center"/>
            <w:hideMark/>
          </w:tcPr>
          <w:p w14:paraId="6402F920"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354.745.042</w:t>
            </w:r>
          </w:p>
        </w:tc>
        <w:tc>
          <w:tcPr>
            <w:tcW w:w="525" w:type="pct"/>
            <w:shd w:val="clear" w:color="auto" w:fill="auto"/>
            <w:noWrap/>
            <w:vAlign w:val="center"/>
            <w:hideMark/>
          </w:tcPr>
          <w:p w14:paraId="611C2627"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83,88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FF084BB"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43,88</w:t>
            </w:r>
            <w:r>
              <w:rPr>
                <w:rFonts w:ascii="Arial" w:eastAsia="Times New Roman" w:hAnsi="Arial" w:cs="Arial"/>
                <w:color w:val="000000"/>
                <w:sz w:val="18"/>
                <w:szCs w:val="18"/>
                <w:lang w:eastAsia="sl-SI"/>
              </w:rPr>
              <w:t xml:space="preserve"> %</w:t>
            </w:r>
          </w:p>
        </w:tc>
      </w:tr>
      <w:tr w:rsidR="00072A69" w:rsidRPr="00D11BC8" w14:paraId="2474235A" w14:textId="77777777" w:rsidTr="00AC1F17">
        <w:trPr>
          <w:trHeight w:val="300"/>
        </w:trPr>
        <w:tc>
          <w:tcPr>
            <w:tcW w:w="780" w:type="pct"/>
            <w:vMerge/>
            <w:vAlign w:val="center"/>
            <w:hideMark/>
          </w:tcPr>
          <w:p w14:paraId="16FC978F"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734F0869"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s pogajanji brez predhodne objave</w:t>
            </w:r>
          </w:p>
        </w:tc>
        <w:tc>
          <w:tcPr>
            <w:tcW w:w="370" w:type="pct"/>
            <w:shd w:val="clear" w:color="auto" w:fill="auto"/>
            <w:vAlign w:val="center"/>
            <w:hideMark/>
          </w:tcPr>
          <w:p w14:paraId="3A029E94"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394</w:t>
            </w:r>
          </w:p>
        </w:tc>
        <w:tc>
          <w:tcPr>
            <w:tcW w:w="630" w:type="pct"/>
            <w:shd w:val="clear" w:color="auto" w:fill="auto"/>
            <w:vAlign w:val="center"/>
            <w:hideMark/>
          </w:tcPr>
          <w:p w14:paraId="118A661D"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43.604.972</w:t>
            </w:r>
          </w:p>
        </w:tc>
        <w:tc>
          <w:tcPr>
            <w:tcW w:w="525" w:type="pct"/>
            <w:shd w:val="clear" w:color="auto" w:fill="auto"/>
            <w:noWrap/>
            <w:vAlign w:val="center"/>
            <w:hideMark/>
          </w:tcPr>
          <w:p w14:paraId="057C31EB"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5,11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893AD83"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5,39</w:t>
            </w:r>
            <w:r>
              <w:rPr>
                <w:rFonts w:ascii="Arial" w:eastAsia="Times New Roman" w:hAnsi="Arial" w:cs="Arial"/>
                <w:color w:val="000000"/>
                <w:sz w:val="18"/>
                <w:szCs w:val="18"/>
                <w:lang w:eastAsia="sl-SI"/>
              </w:rPr>
              <w:t xml:space="preserve"> %</w:t>
            </w:r>
          </w:p>
        </w:tc>
      </w:tr>
      <w:tr w:rsidR="00072A69" w:rsidRPr="00D11BC8" w14:paraId="056D9BCD" w14:textId="77777777" w:rsidTr="00AC1F17">
        <w:trPr>
          <w:trHeight w:val="300"/>
        </w:trPr>
        <w:tc>
          <w:tcPr>
            <w:tcW w:w="780" w:type="pct"/>
            <w:vMerge/>
            <w:vAlign w:val="center"/>
            <w:hideMark/>
          </w:tcPr>
          <w:p w14:paraId="167D0658"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55691EDB" w14:textId="77777777" w:rsidR="00072A69" w:rsidRPr="00D11BC8" w:rsidRDefault="00072A69" w:rsidP="00AC1F17">
            <w:pPr>
              <w:spacing w:after="0" w:line="240" w:lineRule="auto"/>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Skupaj</w:t>
            </w:r>
          </w:p>
        </w:tc>
        <w:tc>
          <w:tcPr>
            <w:tcW w:w="370" w:type="pct"/>
            <w:shd w:val="clear" w:color="auto" w:fill="auto"/>
            <w:vAlign w:val="center"/>
            <w:hideMark/>
          </w:tcPr>
          <w:p w14:paraId="3CD19CF0"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7.704</w:t>
            </w:r>
          </w:p>
        </w:tc>
        <w:tc>
          <w:tcPr>
            <w:tcW w:w="630" w:type="pct"/>
            <w:shd w:val="clear" w:color="auto" w:fill="auto"/>
            <w:vAlign w:val="center"/>
            <w:hideMark/>
          </w:tcPr>
          <w:p w14:paraId="507E73CF"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808.397.410</w:t>
            </w:r>
          </w:p>
        </w:tc>
        <w:tc>
          <w:tcPr>
            <w:tcW w:w="525" w:type="pct"/>
            <w:shd w:val="clear" w:color="auto" w:fill="auto"/>
            <w:noWrap/>
            <w:vAlign w:val="center"/>
            <w:hideMark/>
          </w:tcPr>
          <w:p w14:paraId="1E2DB720"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5AD701D1"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11BC8" w14:paraId="58AE73F3" w14:textId="77777777" w:rsidTr="00AC1F17">
        <w:trPr>
          <w:trHeight w:val="300"/>
        </w:trPr>
        <w:tc>
          <w:tcPr>
            <w:tcW w:w="780" w:type="pct"/>
            <w:vMerge w:val="restart"/>
            <w:shd w:val="clear" w:color="auto" w:fill="auto"/>
            <w:vAlign w:val="center"/>
            <w:hideMark/>
          </w:tcPr>
          <w:p w14:paraId="58FEB806"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Infrastrukturno</w:t>
            </w:r>
          </w:p>
        </w:tc>
        <w:tc>
          <w:tcPr>
            <w:tcW w:w="2171" w:type="pct"/>
            <w:shd w:val="clear" w:color="auto" w:fill="auto"/>
            <w:vAlign w:val="center"/>
            <w:hideMark/>
          </w:tcPr>
          <w:p w14:paraId="3EE6B2FE"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Odprti postopek</w:t>
            </w:r>
          </w:p>
        </w:tc>
        <w:tc>
          <w:tcPr>
            <w:tcW w:w="370" w:type="pct"/>
            <w:shd w:val="clear" w:color="auto" w:fill="auto"/>
            <w:vAlign w:val="center"/>
            <w:hideMark/>
          </w:tcPr>
          <w:p w14:paraId="336D9AEF"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32</w:t>
            </w:r>
          </w:p>
        </w:tc>
        <w:tc>
          <w:tcPr>
            <w:tcW w:w="630" w:type="pct"/>
            <w:shd w:val="clear" w:color="auto" w:fill="auto"/>
            <w:vAlign w:val="center"/>
            <w:hideMark/>
          </w:tcPr>
          <w:p w14:paraId="0EDD8271"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24.802.495</w:t>
            </w:r>
          </w:p>
        </w:tc>
        <w:tc>
          <w:tcPr>
            <w:tcW w:w="525" w:type="pct"/>
            <w:shd w:val="clear" w:color="auto" w:fill="auto"/>
            <w:noWrap/>
            <w:vAlign w:val="center"/>
            <w:hideMark/>
          </w:tcPr>
          <w:p w14:paraId="62E1E4B1"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2,93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F0F4A9F"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15,64</w:t>
            </w:r>
            <w:r>
              <w:rPr>
                <w:rFonts w:ascii="Arial" w:eastAsia="Times New Roman" w:hAnsi="Arial" w:cs="Arial"/>
                <w:color w:val="000000"/>
                <w:sz w:val="18"/>
                <w:szCs w:val="18"/>
                <w:lang w:eastAsia="sl-SI"/>
              </w:rPr>
              <w:t xml:space="preserve"> %</w:t>
            </w:r>
          </w:p>
        </w:tc>
      </w:tr>
      <w:tr w:rsidR="00072A69" w:rsidRPr="00D11BC8" w14:paraId="43FA3A6A" w14:textId="77777777" w:rsidTr="00AC1F17">
        <w:trPr>
          <w:trHeight w:val="300"/>
        </w:trPr>
        <w:tc>
          <w:tcPr>
            <w:tcW w:w="780" w:type="pct"/>
            <w:vMerge/>
            <w:vAlign w:val="center"/>
            <w:hideMark/>
          </w:tcPr>
          <w:p w14:paraId="37A32857"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094F5D23"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naročila male vrednosti</w:t>
            </w:r>
          </w:p>
        </w:tc>
        <w:tc>
          <w:tcPr>
            <w:tcW w:w="370" w:type="pct"/>
            <w:shd w:val="clear" w:color="auto" w:fill="auto"/>
            <w:vAlign w:val="center"/>
            <w:hideMark/>
          </w:tcPr>
          <w:p w14:paraId="44B4BECA"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881</w:t>
            </w:r>
          </w:p>
        </w:tc>
        <w:tc>
          <w:tcPr>
            <w:tcW w:w="630" w:type="pct"/>
            <w:shd w:val="clear" w:color="auto" w:fill="auto"/>
            <w:vAlign w:val="center"/>
            <w:hideMark/>
          </w:tcPr>
          <w:p w14:paraId="65081243"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101.041.089</w:t>
            </w:r>
          </w:p>
        </w:tc>
        <w:tc>
          <w:tcPr>
            <w:tcW w:w="525" w:type="pct"/>
            <w:shd w:val="clear" w:color="auto" w:fill="auto"/>
            <w:noWrap/>
            <w:vAlign w:val="center"/>
            <w:hideMark/>
          </w:tcPr>
          <w:p w14:paraId="01B18E1A"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80,53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3A5354B"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63,72</w:t>
            </w:r>
            <w:r>
              <w:rPr>
                <w:rFonts w:ascii="Arial" w:eastAsia="Times New Roman" w:hAnsi="Arial" w:cs="Arial"/>
                <w:color w:val="000000"/>
                <w:sz w:val="18"/>
                <w:szCs w:val="18"/>
                <w:lang w:eastAsia="sl-SI"/>
              </w:rPr>
              <w:t xml:space="preserve"> %</w:t>
            </w:r>
          </w:p>
        </w:tc>
      </w:tr>
      <w:tr w:rsidR="00072A69" w:rsidRPr="00D11BC8" w14:paraId="3D4B2315" w14:textId="77777777" w:rsidTr="00AC1F17">
        <w:trPr>
          <w:trHeight w:val="300"/>
        </w:trPr>
        <w:tc>
          <w:tcPr>
            <w:tcW w:w="780" w:type="pct"/>
            <w:vMerge/>
            <w:vAlign w:val="center"/>
            <w:hideMark/>
          </w:tcPr>
          <w:p w14:paraId="719FDFE1"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1D5C9FBE"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s pogajanji brez predhodne objave</w:t>
            </w:r>
          </w:p>
        </w:tc>
        <w:tc>
          <w:tcPr>
            <w:tcW w:w="370" w:type="pct"/>
            <w:shd w:val="clear" w:color="auto" w:fill="auto"/>
            <w:vAlign w:val="center"/>
            <w:hideMark/>
          </w:tcPr>
          <w:p w14:paraId="0569102C"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172</w:t>
            </w:r>
          </w:p>
        </w:tc>
        <w:tc>
          <w:tcPr>
            <w:tcW w:w="630" w:type="pct"/>
            <w:shd w:val="clear" w:color="auto" w:fill="auto"/>
            <w:vAlign w:val="center"/>
            <w:hideMark/>
          </w:tcPr>
          <w:p w14:paraId="2A9E1ACA"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27.940.044</w:t>
            </w:r>
          </w:p>
        </w:tc>
        <w:tc>
          <w:tcPr>
            <w:tcW w:w="525" w:type="pct"/>
            <w:shd w:val="clear" w:color="auto" w:fill="auto"/>
            <w:noWrap/>
            <w:vAlign w:val="center"/>
            <w:hideMark/>
          </w:tcPr>
          <w:p w14:paraId="0E7670B5"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15,72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0CE8181"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17,62</w:t>
            </w:r>
            <w:r>
              <w:rPr>
                <w:rFonts w:ascii="Arial" w:eastAsia="Times New Roman" w:hAnsi="Arial" w:cs="Arial"/>
                <w:color w:val="000000"/>
                <w:sz w:val="18"/>
                <w:szCs w:val="18"/>
                <w:lang w:eastAsia="sl-SI"/>
              </w:rPr>
              <w:t xml:space="preserve"> %</w:t>
            </w:r>
          </w:p>
        </w:tc>
      </w:tr>
      <w:tr w:rsidR="00072A69" w:rsidRPr="00D11BC8" w14:paraId="6C552BC4" w14:textId="77777777" w:rsidTr="00AC1F17">
        <w:trPr>
          <w:trHeight w:val="300"/>
        </w:trPr>
        <w:tc>
          <w:tcPr>
            <w:tcW w:w="780" w:type="pct"/>
            <w:vMerge/>
            <w:vAlign w:val="center"/>
            <w:hideMark/>
          </w:tcPr>
          <w:p w14:paraId="068DA1CB"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02848EF7"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s pogajanji po predhodni objavi</w:t>
            </w:r>
          </w:p>
        </w:tc>
        <w:tc>
          <w:tcPr>
            <w:tcW w:w="370" w:type="pct"/>
            <w:shd w:val="clear" w:color="auto" w:fill="auto"/>
            <w:vAlign w:val="center"/>
            <w:hideMark/>
          </w:tcPr>
          <w:p w14:paraId="326D3F45"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9</w:t>
            </w:r>
          </w:p>
        </w:tc>
        <w:tc>
          <w:tcPr>
            <w:tcW w:w="630" w:type="pct"/>
            <w:shd w:val="clear" w:color="auto" w:fill="auto"/>
            <w:vAlign w:val="center"/>
            <w:hideMark/>
          </w:tcPr>
          <w:p w14:paraId="242113FC"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4.797.264</w:t>
            </w:r>
          </w:p>
        </w:tc>
        <w:tc>
          <w:tcPr>
            <w:tcW w:w="525" w:type="pct"/>
            <w:shd w:val="clear" w:color="auto" w:fill="auto"/>
            <w:noWrap/>
            <w:vAlign w:val="center"/>
            <w:hideMark/>
          </w:tcPr>
          <w:p w14:paraId="240873D4"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3505837"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3,03</w:t>
            </w:r>
            <w:r>
              <w:rPr>
                <w:rFonts w:ascii="Arial" w:eastAsia="Times New Roman" w:hAnsi="Arial" w:cs="Arial"/>
                <w:color w:val="000000"/>
                <w:sz w:val="18"/>
                <w:szCs w:val="18"/>
                <w:lang w:eastAsia="sl-SI"/>
              </w:rPr>
              <w:t xml:space="preserve"> %</w:t>
            </w:r>
          </w:p>
        </w:tc>
      </w:tr>
      <w:tr w:rsidR="00072A69" w:rsidRPr="00D11BC8" w14:paraId="2E097EDC" w14:textId="77777777" w:rsidTr="00AC1F17">
        <w:trPr>
          <w:trHeight w:val="300"/>
        </w:trPr>
        <w:tc>
          <w:tcPr>
            <w:tcW w:w="780" w:type="pct"/>
            <w:vMerge/>
            <w:vAlign w:val="center"/>
            <w:hideMark/>
          </w:tcPr>
          <w:p w14:paraId="1A7CECBA"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45924C0D" w14:textId="77777777" w:rsidR="00072A69" w:rsidRPr="00D11BC8" w:rsidRDefault="00072A69" w:rsidP="00AC1F17">
            <w:pPr>
              <w:spacing w:after="0" w:line="240" w:lineRule="auto"/>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Skupaj</w:t>
            </w:r>
          </w:p>
        </w:tc>
        <w:tc>
          <w:tcPr>
            <w:tcW w:w="370" w:type="pct"/>
            <w:shd w:val="clear" w:color="auto" w:fill="auto"/>
            <w:vAlign w:val="center"/>
            <w:hideMark/>
          </w:tcPr>
          <w:p w14:paraId="187C5635"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1.094</w:t>
            </w:r>
          </w:p>
        </w:tc>
        <w:tc>
          <w:tcPr>
            <w:tcW w:w="630" w:type="pct"/>
            <w:shd w:val="clear" w:color="auto" w:fill="auto"/>
            <w:vAlign w:val="center"/>
            <w:hideMark/>
          </w:tcPr>
          <w:p w14:paraId="7503EDAB"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158.580.892</w:t>
            </w:r>
          </w:p>
        </w:tc>
        <w:tc>
          <w:tcPr>
            <w:tcW w:w="525" w:type="pct"/>
            <w:shd w:val="clear" w:color="auto" w:fill="auto"/>
            <w:noWrap/>
            <w:vAlign w:val="center"/>
            <w:hideMark/>
          </w:tcPr>
          <w:p w14:paraId="32C19EBA"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48F304BC"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11BC8" w14:paraId="360FDDA3" w14:textId="77777777" w:rsidTr="00AC1F17">
        <w:trPr>
          <w:trHeight w:val="300"/>
        </w:trPr>
        <w:tc>
          <w:tcPr>
            <w:tcW w:w="780" w:type="pct"/>
            <w:vMerge w:val="restart"/>
            <w:shd w:val="clear" w:color="auto" w:fill="auto"/>
            <w:vAlign w:val="center"/>
            <w:hideMark/>
          </w:tcPr>
          <w:p w14:paraId="3D547A3D" w14:textId="77777777" w:rsidR="00072A69" w:rsidRPr="00D11BC8" w:rsidRDefault="00072A69" w:rsidP="00AC1F17">
            <w:pPr>
              <w:spacing w:after="0" w:line="240" w:lineRule="auto"/>
              <w:jc w:val="center"/>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Obrambno</w:t>
            </w:r>
          </w:p>
        </w:tc>
        <w:tc>
          <w:tcPr>
            <w:tcW w:w="2171" w:type="pct"/>
            <w:shd w:val="clear" w:color="auto" w:fill="auto"/>
            <w:vAlign w:val="center"/>
            <w:hideMark/>
          </w:tcPr>
          <w:p w14:paraId="6CE25877"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s pogajanji brez predhodne objave</w:t>
            </w:r>
          </w:p>
        </w:tc>
        <w:tc>
          <w:tcPr>
            <w:tcW w:w="370" w:type="pct"/>
            <w:shd w:val="clear" w:color="auto" w:fill="auto"/>
            <w:vAlign w:val="center"/>
            <w:hideMark/>
          </w:tcPr>
          <w:p w14:paraId="4268B30F"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19</w:t>
            </w:r>
          </w:p>
        </w:tc>
        <w:tc>
          <w:tcPr>
            <w:tcW w:w="630" w:type="pct"/>
            <w:shd w:val="clear" w:color="auto" w:fill="auto"/>
            <w:vAlign w:val="center"/>
            <w:hideMark/>
          </w:tcPr>
          <w:p w14:paraId="45AA1A98"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2.382.481</w:t>
            </w:r>
          </w:p>
        </w:tc>
        <w:tc>
          <w:tcPr>
            <w:tcW w:w="525" w:type="pct"/>
            <w:shd w:val="clear" w:color="auto" w:fill="auto"/>
            <w:noWrap/>
            <w:vAlign w:val="center"/>
            <w:hideMark/>
          </w:tcPr>
          <w:p w14:paraId="29CB1263"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55,88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E8D1948"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36,68</w:t>
            </w:r>
            <w:r>
              <w:rPr>
                <w:rFonts w:ascii="Arial" w:eastAsia="Times New Roman" w:hAnsi="Arial" w:cs="Arial"/>
                <w:color w:val="000000"/>
                <w:sz w:val="18"/>
                <w:szCs w:val="18"/>
                <w:lang w:eastAsia="sl-SI"/>
              </w:rPr>
              <w:t xml:space="preserve"> %</w:t>
            </w:r>
          </w:p>
        </w:tc>
      </w:tr>
      <w:tr w:rsidR="00072A69" w:rsidRPr="00D11BC8" w14:paraId="5AC25AB8" w14:textId="77777777" w:rsidTr="00AC1F17">
        <w:trPr>
          <w:trHeight w:val="300"/>
        </w:trPr>
        <w:tc>
          <w:tcPr>
            <w:tcW w:w="780" w:type="pct"/>
            <w:vMerge/>
            <w:vAlign w:val="center"/>
            <w:hideMark/>
          </w:tcPr>
          <w:p w14:paraId="19B68112"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098254A0"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s pogajanji po predhodni objavi</w:t>
            </w:r>
          </w:p>
        </w:tc>
        <w:tc>
          <w:tcPr>
            <w:tcW w:w="370" w:type="pct"/>
            <w:shd w:val="clear" w:color="auto" w:fill="auto"/>
            <w:vAlign w:val="center"/>
            <w:hideMark/>
          </w:tcPr>
          <w:p w14:paraId="67F543BB"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w:t>
            </w:r>
          </w:p>
        </w:tc>
        <w:tc>
          <w:tcPr>
            <w:tcW w:w="630" w:type="pct"/>
            <w:shd w:val="clear" w:color="auto" w:fill="auto"/>
            <w:vAlign w:val="center"/>
            <w:hideMark/>
          </w:tcPr>
          <w:p w14:paraId="47345352"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2.487.628</w:t>
            </w:r>
          </w:p>
        </w:tc>
        <w:tc>
          <w:tcPr>
            <w:tcW w:w="525" w:type="pct"/>
            <w:shd w:val="clear" w:color="auto" w:fill="auto"/>
            <w:noWrap/>
            <w:vAlign w:val="center"/>
            <w:hideMark/>
          </w:tcPr>
          <w:p w14:paraId="3D6D4A54"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5,88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4C954AE"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38,30</w:t>
            </w:r>
            <w:r>
              <w:rPr>
                <w:rFonts w:ascii="Arial" w:eastAsia="Times New Roman" w:hAnsi="Arial" w:cs="Arial"/>
                <w:color w:val="000000"/>
                <w:sz w:val="18"/>
                <w:szCs w:val="18"/>
                <w:lang w:eastAsia="sl-SI"/>
              </w:rPr>
              <w:t xml:space="preserve"> %</w:t>
            </w:r>
          </w:p>
        </w:tc>
      </w:tr>
      <w:tr w:rsidR="00072A69" w:rsidRPr="00D11BC8" w14:paraId="6B34D6AF" w14:textId="77777777" w:rsidTr="00AC1F17">
        <w:trPr>
          <w:trHeight w:val="300"/>
        </w:trPr>
        <w:tc>
          <w:tcPr>
            <w:tcW w:w="780" w:type="pct"/>
            <w:vMerge/>
            <w:vAlign w:val="center"/>
            <w:hideMark/>
          </w:tcPr>
          <w:p w14:paraId="6D1F37EE"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61B1A5A9" w14:textId="77777777" w:rsidR="00072A69" w:rsidRPr="00D11BC8" w:rsidRDefault="00072A69" w:rsidP="00AC1F17">
            <w:pPr>
              <w:spacing w:after="0" w:line="240" w:lineRule="auto"/>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Postopek zbiranja ponudb po predhodni objavi</w:t>
            </w:r>
          </w:p>
        </w:tc>
        <w:tc>
          <w:tcPr>
            <w:tcW w:w="370" w:type="pct"/>
            <w:shd w:val="clear" w:color="auto" w:fill="auto"/>
            <w:vAlign w:val="center"/>
            <w:hideMark/>
          </w:tcPr>
          <w:p w14:paraId="772D3C80"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13</w:t>
            </w:r>
          </w:p>
        </w:tc>
        <w:tc>
          <w:tcPr>
            <w:tcW w:w="630" w:type="pct"/>
            <w:shd w:val="clear" w:color="auto" w:fill="auto"/>
            <w:vAlign w:val="center"/>
            <w:hideMark/>
          </w:tcPr>
          <w:p w14:paraId="1D770139"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1.625.822</w:t>
            </w:r>
          </w:p>
        </w:tc>
        <w:tc>
          <w:tcPr>
            <w:tcW w:w="525" w:type="pct"/>
            <w:shd w:val="clear" w:color="auto" w:fill="auto"/>
            <w:noWrap/>
            <w:vAlign w:val="center"/>
            <w:hideMark/>
          </w:tcPr>
          <w:p w14:paraId="7976B1F5"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38,24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996046E" w14:textId="77777777" w:rsidR="00072A69" w:rsidRPr="00D11BC8" w:rsidRDefault="00072A69" w:rsidP="00AC1F17">
            <w:pPr>
              <w:spacing w:after="0" w:line="240" w:lineRule="auto"/>
              <w:jc w:val="right"/>
              <w:rPr>
                <w:rFonts w:ascii="Arial" w:eastAsia="Times New Roman" w:hAnsi="Arial" w:cs="Arial"/>
                <w:color w:val="000000"/>
                <w:sz w:val="18"/>
                <w:szCs w:val="18"/>
                <w:lang w:eastAsia="sl-SI"/>
              </w:rPr>
            </w:pPr>
            <w:r w:rsidRPr="00D11BC8">
              <w:rPr>
                <w:rFonts w:ascii="Arial" w:eastAsia="Times New Roman" w:hAnsi="Arial" w:cs="Arial"/>
                <w:color w:val="000000"/>
                <w:sz w:val="18"/>
                <w:szCs w:val="18"/>
                <w:lang w:eastAsia="sl-SI"/>
              </w:rPr>
              <w:t>25,03</w:t>
            </w:r>
            <w:r>
              <w:rPr>
                <w:rFonts w:ascii="Arial" w:eastAsia="Times New Roman" w:hAnsi="Arial" w:cs="Arial"/>
                <w:color w:val="000000"/>
                <w:sz w:val="18"/>
                <w:szCs w:val="18"/>
                <w:lang w:eastAsia="sl-SI"/>
              </w:rPr>
              <w:t xml:space="preserve"> %</w:t>
            </w:r>
          </w:p>
        </w:tc>
      </w:tr>
      <w:tr w:rsidR="00072A69" w:rsidRPr="00D11BC8" w14:paraId="2A5FB2D0" w14:textId="77777777" w:rsidTr="00AC1F17">
        <w:trPr>
          <w:trHeight w:val="300"/>
        </w:trPr>
        <w:tc>
          <w:tcPr>
            <w:tcW w:w="780" w:type="pct"/>
            <w:vMerge/>
            <w:vAlign w:val="center"/>
            <w:hideMark/>
          </w:tcPr>
          <w:p w14:paraId="651CF8E6" w14:textId="77777777" w:rsidR="00072A69" w:rsidRPr="00D11BC8" w:rsidRDefault="00072A69" w:rsidP="00AC1F17">
            <w:pPr>
              <w:spacing w:after="0" w:line="240" w:lineRule="auto"/>
              <w:rPr>
                <w:rFonts w:ascii="Arial" w:eastAsia="Times New Roman" w:hAnsi="Arial" w:cs="Arial"/>
                <w:color w:val="000000"/>
                <w:sz w:val="18"/>
                <w:szCs w:val="18"/>
                <w:lang w:eastAsia="sl-SI"/>
              </w:rPr>
            </w:pPr>
          </w:p>
        </w:tc>
        <w:tc>
          <w:tcPr>
            <w:tcW w:w="2171" w:type="pct"/>
            <w:shd w:val="clear" w:color="auto" w:fill="auto"/>
            <w:vAlign w:val="center"/>
            <w:hideMark/>
          </w:tcPr>
          <w:p w14:paraId="23857D2D" w14:textId="77777777" w:rsidR="00072A69" w:rsidRPr="00D11BC8" w:rsidRDefault="00072A69" w:rsidP="00AC1F17">
            <w:pPr>
              <w:spacing w:after="0" w:line="240" w:lineRule="auto"/>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Skupaj</w:t>
            </w:r>
          </w:p>
        </w:tc>
        <w:tc>
          <w:tcPr>
            <w:tcW w:w="370" w:type="pct"/>
            <w:shd w:val="clear" w:color="auto" w:fill="auto"/>
            <w:noWrap/>
            <w:vAlign w:val="center"/>
            <w:hideMark/>
          </w:tcPr>
          <w:p w14:paraId="531FF738"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34</w:t>
            </w:r>
          </w:p>
        </w:tc>
        <w:tc>
          <w:tcPr>
            <w:tcW w:w="630" w:type="pct"/>
            <w:shd w:val="clear" w:color="auto" w:fill="auto"/>
            <w:noWrap/>
            <w:vAlign w:val="center"/>
            <w:hideMark/>
          </w:tcPr>
          <w:p w14:paraId="0C5C1150"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6.495.931</w:t>
            </w:r>
          </w:p>
        </w:tc>
        <w:tc>
          <w:tcPr>
            <w:tcW w:w="525" w:type="pct"/>
            <w:shd w:val="clear" w:color="auto" w:fill="auto"/>
            <w:noWrap/>
            <w:vAlign w:val="center"/>
            <w:hideMark/>
          </w:tcPr>
          <w:p w14:paraId="4310E81A"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7AA51691"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11BC8" w14:paraId="4E3140E8" w14:textId="77777777" w:rsidTr="00AC1F17">
        <w:trPr>
          <w:gridAfter w:val="2"/>
          <w:wAfter w:w="1050" w:type="pct"/>
          <w:trHeight w:val="300"/>
        </w:trPr>
        <w:tc>
          <w:tcPr>
            <w:tcW w:w="2950" w:type="pct"/>
            <w:gridSpan w:val="2"/>
            <w:shd w:val="clear" w:color="auto" w:fill="E7E6E6" w:themeFill="background2"/>
            <w:vAlign w:val="center"/>
            <w:hideMark/>
          </w:tcPr>
          <w:p w14:paraId="345B8C09" w14:textId="77777777" w:rsidR="00072A69" w:rsidRPr="00D11BC8" w:rsidRDefault="00072A69" w:rsidP="00AC1F17">
            <w:pPr>
              <w:spacing w:after="0" w:line="240" w:lineRule="auto"/>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Skupaj</w:t>
            </w:r>
          </w:p>
        </w:tc>
        <w:tc>
          <w:tcPr>
            <w:tcW w:w="370" w:type="pct"/>
            <w:shd w:val="clear" w:color="auto" w:fill="E7E6E6" w:themeFill="background2"/>
            <w:noWrap/>
            <w:vAlign w:val="center"/>
            <w:hideMark/>
          </w:tcPr>
          <w:p w14:paraId="37181122"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8.832</w:t>
            </w:r>
          </w:p>
        </w:tc>
        <w:tc>
          <w:tcPr>
            <w:tcW w:w="630" w:type="pct"/>
            <w:shd w:val="clear" w:color="auto" w:fill="E7E6E6" w:themeFill="background2"/>
            <w:noWrap/>
            <w:vAlign w:val="center"/>
            <w:hideMark/>
          </w:tcPr>
          <w:p w14:paraId="3156135A" w14:textId="77777777" w:rsidR="00072A69" w:rsidRPr="00D11BC8" w:rsidRDefault="00072A69" w:rsidP="00AC1F17">
            <w:pPr>
              <w:spacing w:after="0" w:line="240" w:lineRule="auto"/>
              <w:jc w:val="right"/>
              <w:rPr>
                <w:rFonts w:ascii="Arial" w:eastAsia="Times New Roman" w:hAnsi="Arial" w:cs="Arial"/>
                <w:b/>
                <w:bCs/>
                <w:color w:val="000000"/>
                <w:sz w:val="18"/>
                <w:szCs w:val="18"/>
                <w:lang w:eastAsia="sl-SI"/>
              </w:rPr>
            </w:pPr>
            <w:r w:rsidRPr="00D11BC8">
              <w:rPr>
                <w:rFonts w:ascii="Arial" w:eastAsia="Times New Roman" w:hAnsi="Arial" w:cs="Arial"/>
                <w:b/>
                <w:bCs/>
                <w:color w:val="000000"/>
                <w:sz w:val="18"/>
                <w:szCs w:val="18"/>
                <w:lang w:eastAsia="sl-SI"/>
              </w:rPr>
              <w:t>973.474.233</w:t>
            </w:r>
          </w:p>
        </w:tc>
      </w:tr>
    </w:tbl>
    <w:p w14:paraId="5293DC9F" w14:textId="77777777" w:rsidR="00072A69" w:rsidRPr="00EF2D0B" w:rsidRDefault="00072A69" w:rsidP="00072A69">
      <w:pPr>
        <w:spacing w:before="120" w:after="120" w:line="240" w:lineRule="auto"/>
        <w:jc w:val="both"/>
        <w:rPr>
          <w:rFonts w:ascii="Arial" w:hAnsi="Arial" w:cs="Arial"/>
          <w:sz w:val="20"/>
          <w:highlight w:val="yellow"/>
        </w:rPr>
      </w:pPr>
    </w:p>
    <w:p w14:paraId="0D839F86" w14:textId="065A5238" w:rsidR="00072A69" w:rsidRPr="00833D4A" w:rsidRDefault="00072A69" w:rsidP="00072A69">
      <w:pPr>
        <w:spacing w:before="120" w:after="120" w:line="240" w:lineRule="auto"/>
        <w:jc w:val="both"/>
        <w:rPr>
          <w:rFonts w:ascii="Arial" w:hAnsi="Arial" w:cs="Arial"/>
          <w:sz w:val="20"/>
        </w:rPr>
      </w:pPr>
      <w:r w:rsidRPr="00833D4A">
        <w:rPr>
          <w:rFonts w:ascii="Arial" w:hAnsi="Arial" w:cs="Arial"/>
          <w:sz w:val="20"/>
        </w:rPr>
        <w:t>Preglednica 7</w:t>
      </w:r>
      <w:r w:rsidR="008D46F4">
        <w:rPr>
          <w:rFonts w:ascii="Arial" w:hAnsi="Arial" w:cs="Arial"/>
          <w:sz w:val="20"/>
        </w:rPr>
        <w:t>6</w:t>
      </w:r>
      <w:r w:rsidRPr="00833D4A">
        <w:rPr>
          <w:rFonts w:ascii="Arial" w:hAnsi="Arial" w:cs="Arial"/>
          <w:sz w:val="20"/>
        </w:rPr>
        <w:t>: Naročila, objavljena na portalu javnih naročil in v Uradnem listu Evropske unije glede na področje in predmet naročanja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1417"/>
        <w:gridCol w:w="1695"/>
        <w:gridCol w:w="1850"/>
        <w:gridCol w:w="1133"/>
        <w:gridCol w:w="1270"/>
      </w:tblGrid>
      <w:tr w:rsidR="00072A69" w:rsidRPr="00833D4A" w14:paraId="32F8A9F7" w14:textId="77777777" w:rsidTr="00AC1F17">
        <w:trPr>
          <w:trHeight w:val="720"/>
        </w:trPr>
        <w:tc>
          <w:tcPr>
            <w:tcW w:w="936" w:type="pct"/>
            <w:shd w:val="clear" w:color="000000" w:fill="EDEDED"/>
            <w:vAlign w:val="center"/>
            <w:hideMark/>
          </w:tcPr>
          <w:p w14:paraId="0D8B9067"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Področje</w:t>
            </w:r>
          </w:p>
        </w:tc>
        <w:tc>
          <w:tcPr>
            <w:tcW w:w="782" w:type="pct"/>
            <w:shd w:val="clear" w:color="000000" w:fill="EDEDED"/>
            <w:vAlign w:val="center"/>
            <w:hideMark/>
          </w:tcPr>
          <w:p w14:paraId="3E2F8627"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 xml:space="preserve">Predmet </w:t>
            </w:r>
          </w:p>
        </w:tc>
        <w:tc>
          <w:tcPr>
            <w:tcW w:w="935" w:type="pct"/>
            <w:shd w:val="clear" w:color="000000" w:fill="EDEDED"/>
            <w:vAlign w:val="center"/>
            <w:hideMark/>
          </w:tcPr>
          <w:p w14:paraId="403A4BA0"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Št. naročil</w:t>
            </w:r>
          </w:p>
        </w:tc>
        <w:tc>
          <w:tcPr>
            <w:tcW w:w="1021" w:type="pct"/>
            <w:shd w:val="clear" w:color="000000" w:fill="EDEDED"/>
            <w:vAlign w:val="center"/>
            <w:hideMark/>
          </w:tcPr>
          <w:p w14:paraId="17742194"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Pogodbena vrednost</w:t>
            </w:r>
          </w:p>
        </w:tc>
        <w:tc>
          <w:tcPr>
            <w:tcW w:w="625" w:type="pct"/>
            <w:shd w:val="clear" w:color="000000" w:fill="EDEDED"/>
            <w:vAlign w:val="center"/>
            <w:hideMark/>
          </w:tcPr>
          <w:p w14:paraId="5D38E62F"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Delež v št. naročil</w:t>
            </w:r>
          </w:p>
        </w:tc>
        <w:tc>
          <w:tcPr>
            <w:tcW w:w="701" w:type="pct"/>
            <w:shd w:val="clear" w:color="000000" w:fill="EDEDED"/>
            <w:vAlign w:val="center"/>
            <w:hideMark/>
          </w:tcPr>
          <w:p w14:paraId="6AE3747C"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Delež  vrednosti naročil</w:t>
            </w:r>
          </w:p>
        </w:tc>
      </w:tr>
      <w:tr w:rsidR="00072A69" w:rsidRPr="00833D4A" w14:paraId="5419137F" w14:textId="77777777" w:rsidTr="00AC1F17">
        <w:trPr>
          <w:trHeight w:val="300"/>
        </w:trPr>
        <w:tc>
          <w:tcPr>
            <w:tcW w:w="936" w:type="pct"/>
            <w:vMerge w:val="restart"/>
            <w:shd w:val="clear" w:color="auto" w:fill="auto"/>
            <w:vAlign w:val="center"/>
            <w:hideMark/>
          </w:tcPr>
          <w:p w14:paraId="089D3862"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Splošno</w:t>
            </w:r>
          </w:p>
        </w:tc>
        <w:tc>
          <w:tcPr>
            <w:tcW w:w="782" w:type="pct"/>
            <w:shd w:val="clear" w:color="auto" w:fill="auto"/>
            <w:vAlign w:val="center"/>
            <w:hideMark/>
          </w:tcPr>
          <w:p w14:paraId="1288BE4D"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Blago</w:t>
            </w:r>
          </w:p>
        </w:tc>
        <w:tc>
          <w:tcPr>
            <w:tcW w:w="935" w:type="pct"/>
            <w:shd w:val="clear" w:color="auto" w:fill="auto"/>
            <w:vAlign w:val="center"/>
            <w:hideMark/>
          </w:tcPr>
          <w:p w14:paraId="22F95A61"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6.212</w:t>
            </w:r>
          </w:p>
        </w:tc>
        <w:tc>
          <w:tcPr>
            <w:tcW w:w="1021" w:type="pct"/>
            <w:shd w:val="clear" w:color="auto" w:fill="auto"/>
            <w:vAlign w:val="center"/>
            <w:hideMark/>
          </w:tcPr>
          <w:p w14:paraId="530CFCE0"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781.547.690</w:t>
            </w:r>
          </w:p>
        </w:tc>
        <w:tc>
          <w:tcPr>
            <w:tcW w:w="625" w:type="pct"/>
            <w:shd w:val="clear" w:color="auto" w:fill="auto"/>
            <w:noWrap/>
            <w:vAlign w:val="center"/>
            <w:hideMark/>
          </w:tcPr>
          <w:p w14:paraId="344DFBB6"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82,84</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2EBE42E5"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53,72</w:t>
            </w:r>
            <w:r>
              <w:rPr>
                <w:rFonts w:ascii="Arial" w:eastAsia="Times New Roman" w:hAnsi="Arial" w:cs="Arial"/>
                <w:color w:val="000000"/>
                <w:sz w:val="18"/>
                <w:szCs w:val="18"/>
                <w:lang w:eastAsia="sl-SI"/>
              </w:rPr>
              <w:t xml:space="preserve"> %</w:t>
            </w:r>
          </w:p>
        </w:tc>
      </w:tr>
      <w:tr w:rsidR="00072A69" w:rsidRPr="00833D4A" w14:paraId="33D16B45" w14:textId="77777777" w:rsidTr="00AC1F17">
        <w:trPr>
          <w:trHeight w:val="300"/>
        </w:trPr>
        <w:tc>
          <w:tcPr>
            <w:tcW w:w="936" w:type="pct"/>
            <w:vMerge/>
            <w:vAlign w:val="center"/>
            <w:hideMark/>
          </w:tcPr>
          <w:p w14:paraId="610DD3D7"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6A84BDBD"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Storitve</w:t>
            </w:r>
          </w:p>
        </w:tc>
        <w:tc>
          <w:tcPr>
            <w:tcW w:w="935" w:type="pct"/>
            <w:shd w:val="clear" w:color="auto" w:fill="auto"/>
            <w:vAlign w:val="center"/>
            <w:hideMark/>
          </w:tcPr>
          <w:p w14:paraId="016FE550"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1.221</w:t>
            </w:r>
          </w:p>
        </w:tc>
        <w:tc>
          <w:tcPr>
            <w:tcW w:w="1021" w:type="pct"/>
            <w:shd w:val="clear" w:color="auto" w:fill="auto"/>
            <w:vAlign w:val="center"/>
            <w:hideMark/>
          </w:tcPr>
          <w:p w14:paraId="3CBCE5E2"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400.461.264</w:t>
            </w:r>
          </w:p>
        </w:tc>
        <w:tc>
          <w:tcPr>
            <w:tcW w:w="625" w:type="pct"/>
            <w:shd w:val="clear" w:color="auto" w:fill="auto"/>
            <w:noWrap/>
            <w:vAlign w:val="center"/>
            <w:hideMark/>
          </w:tcPr>
          <w:p w14:paraId="35CBF54E"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16,28</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6C8E8D58"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27,53</w:t>
            </w:r>
            <w:r>
              <w:rPr>
                <w:rFonts w:ascii="Arial" w:eastAsia="Times New Roman" w:hAnsi="Arial" w:cs="Arial"/>
                <w:color w:val="000000"/>
                <w:sz w:val="18"/>
                <w:szCs w:val="18"/>
                <w:lang w:eastAsia="sl-SI"/>
              </w:rPr>
              <w:t xml:space="preserve"> %</w:t>
            </w:r>
          </w:p>
        </w:tc>
      </w:tr>
      <w:tr w:rsidR="00072A69" w:rsidRPr="00833D4A" w14:paraId="0C5E0C05" w14:textId="77777777" w:rsidTr="00AC1F17">
        <w:trPr>
          <w:trHeight w:val="300"/>
        </w:trPr>
        <w:tc>
          <w:tcPr>
            <w:tcW w:w="936" w:type="pct"/>
            <w:vMerge/>
            <w:vAlign w:val="center"/>
            <w:hideMark/>
          </w:tcPr>
          <w:p w14:paraId="040D0B1D"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0370113C"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Gradnje</w:t>
            </w:r>
          </w:p>
        </w:tc>
        <w:tc>
          <w:tcPr>
            <w:tcW w:w="935" w:type="pct"/>
            <w:shd w:val="clear" w:color="auto" w:fill="auto"/>
            <w:vAlign w:val="center"/>
            <w:hideMark/>
          </w:tcPr>
          <w:p w14:paraId="7D51D906"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66</w:t>
            </w:r>
          </w:p>
        </w:tc>
        <w:tc>
          <w:tcPr>
            <w:tcW w:w="1021" w:type="pct"/>
            <w:shd w:val="clear" w:color="auto" w:fill="auto"/>
            <w:vAlign w:val="center"/>
            <w:hideMark/>
          </w:tcPr>
          <w:p w14:paraId="47FFBE27"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272.801.281</w:t>
            </w:r>
          </w:p>
        </w:tc>
        <w:tc>
          <w:tcPr>
            <w:tcW w:w="625" w:type="pct"/>
            <w:shd w:val="clear" w:color="auto" w:fill="auto"/>
            <w:noWrap/>
            <w:vAlign w:val="center"/>
            <w:hideMark/>
          </w:tcPr>
          <w:p w14:paraId="392ECB7D"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0,88</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534154C6"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18,75</w:t>
            </w:r>
            <w:r>
              <w:rPr>
                <w:rFonts w:ascii="Arial" w:eastAsia="Times New Roman" w:hAnsi="Arial" w:cs="Arial"/>
                <w:color w:val="000000"/>
                <w:sz w:val="18"/>
                <w:szCs w:val="18"/>
                <w:lang w:eastAsia="sl-SI"/>
              </w:rPr>
              <w:t xml:space="preserve"> %</w:t>
            </w:r>
          </w:p>
        </w:tc>
      </w:tr>
      <w:tr w:rsidR="00072A69" w:rsidRPr="00833D4A" w14:paraId="1E010943" w14:textId="77777777" w:rsidTr="00AC1F17">
        <w:trPr>
          <w:trHeight w:val="300"/>
        </w:trPr>
        <w:tc>
          <w:tcPr>
            <w:tcW w:w="936" w:type="pct"/>
            <w:vMerge/>
            <w:vAlign w:val="center"/>
            <w:hideMark/>
          </w:tcPr>
          <w:p w14:paraId="0EFFD85D"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081C1246" w14:textId="77777777" w:rsidR="00072A69" w:rsidRPr="00833D4A" w:rsidRDefault="00072A69" w:rsidP="00AC1F17">
            <w:pPr>
              <w:spacing w:after="0" w:line="240" w:lineRule="auto"/>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Skupaj</w:t>
            </w:r>
          </w:p>
        </w:tc>
        <w:tc>
          <w:tcPr>
            <w:tcW w:w="935" w:type="pct"/>
            <w:shd w:val="clear" w:color="auto" w:fill="auto"/>
            <w:vAlign w:val="center"/>
            <w:hideMark/>
          </w:tcPr>
          <w:p w14:paraId="37F5BA88"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7.499</w:t>
            </w:r>
          </w:p>
        </w:tc>
        <w:tc>
          <w:tcPr>
            <w:tcW w:w="1021" w:type="pct"/>
            <w:shd w:val="clear" w:color="auto" w:fill="auto"/>
            <w:vAlign w:val="center"/>
            <w:hideMark/>
          </w:tcPr>
          <w:p w14:paraId="6901C899"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1.454.810.235</w:t>
            </w:r>
          </w:p>
        </w:tc>
        <w:tc>
          <w:tcPr>
            <w:tcW w:w="625" w:type="pct"/>
            <w:shd w:val="clear" w:color="auto" w:fill="auto"/>
            <w:noWrap/>
            <w:vAlign w:val="center"/>
            <w:hideMark/>
          </w:tcPr>
          <w:p w14:paraId="04798395"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701" w:type="pct"/>
            <w:shd w:val="clear" w:color="auto" w:fill="auto"/>
            <w:noWrap/>
            <w:vAlign w:val="center"/>
            <w:hideMark/>
          </w:tcPr>
          <w:p w14:paraId="44B9911E"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833D4A" w14:paraId="0C2BB84D" w14:textId="77777777" w:rsidTr="00AC1F17">
        <w:trPr>
          <w:trHeight w:val="300"/>
        </w:trPr>
        <w:tc>
          <w:tcPr>
            <w:tcW w:w="936" w:type="pct"/>
            <w:vMerge w:val="restart"/>
            <w:shd w:val="clear" w:color="auto" w:fill="auto"/>
            <w:vAlign w:val="center"/>
            <w:hideMark/>
          </w:tcPr>
          <w:p w14:paraId="28CD0F41"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Infrastrukturno</w:t>
            </w:r>
          </w:p>
        </w:tc>
        <w:tc>
          <w:tcPr>
            <w:tcW w:w="782" w:type="pct"/>
            <w:shd w:val="clear" w:color="auto" w:fill="auto"/>
            <w:vAlign w:val="center"/>
            <w:hideMark/>
          </w:tcPr>
          <w:p w14:paraId="5DCF0821"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Blago</w:t>
            </w:r>
          </w:p>
        </w:tc>
        <w:tc>
          <w:tcPr>
            <w:tcW w:w="935" w:type="pct"/>
            <w:shd w:val="clear" w:color="auto" w:fill="auto"/>
            <w:vAlign w:val="center"/>
            <w:hideMark/>
          </w:tcPr>
          <w:p w14:paraId="6A77B9D2"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287</w:t>
            </w:r>
          </w:p>
        </w:tc>
        <w:tc>
          <w:tcPr>
            <w:tcW w:w="1021" w:type="pct"/>
            <w:shd w:val="clear" w:color="auto" w:fill="auto"/>
            <w:vAlign w:val="center"/>
            <w:hideMark/>
          </w:tcPr>
          <w:p w14:paraId="0E209358"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207.340.260</w:t>
            </w:r>
          </w:p>
        </w:tc>
        <w:tc>
          <w:tcPr>
            <w:tcW w:w="625" w:type="pct"/>
            <w:shd w:val="clear" w:color="auto" w:fill="auto"/>
            <w:noWrap/>
            <w:vAlign w:val="center"/>
            <w:hideMark/>
          </w:tcPr>
          <w:p w14:paraId="12C15995"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59,18</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1E966EF7"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48,13</w:t>
            </w:r>
            <w:r>
              <w:rPr>
                <w:rFonts w:ascii="Arial" w:eastAsia="Times New Roman" w:hAnsi="Arial" w:cs="Arial"/>
                <w:color w:val="000000"/>
                <w:sz w:val="18"/>
                <w:szCs w:val="18"/>
                <w:lang w:eastAsia="sl-SI"/>
              </w:rPr>
              <w:t xml:space="preserve"> %</w:t>
            </w:r>
          </w:p>
        </w:tc>
      </w:tr>
      <w:tr w:rsidR="00072A69" w:rsidRPr="00833D4A" w14:paraId="5088B65F" w14:textId="77777777" w:rsidTr="00AC1F17">
        <w:trPr>
          <w:trHeight w:val="300"/>
        </w:trPr>
        <w:tc>
          <w:tcPr>
            <w:tcW w:w="936" w:type="pct"/>
            <w:vMerge/>
            <w:vAlign w:val="center"/>
            <w:hideMark/>
          </w:tcPr>
          <w:p w14:paraId="044A08CA"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273FE44F"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Storitve</w:t>
            </w:r>
          </w:p>
        </w:tc>
        <w:tc>
          <w:tcPr>
            <w:tcW w:w="935" w:type="pct"/>
            <w:shd w:val="clear" w:color="auto" w:fill="auto"/>
            <w:vAlign w:val="center"/>
            <w:hideMark/>
          </w:tcPr>
          <w:p w14:paraId="592663A5"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178</w:t>
            </w:r>
          </w:p>
        </w:tc>
        <w:tc>
          <w:tcPr>
            <w:tcW w:w="1021" w:type="pct"/>
            <w:shd w:val="clear" w:color="auto" w:fill="auto"/>
            <w:vAlign w:val="center"/>
            <w:hideMark/>
          </w:tcPr>
          <w:p w14:paraId="30C98C94"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189.265.078</w:t>
            </w:r>
          </w:p>
        </w:tc>
        <w:tc>
          <w:tcPr>
            <w:tcW w:w="625" w:type="pct"/>
            <w:shd w:val="clear" w:color="auto" w:fill="auto"/>
            <w:noWrap/>
            <w:vAlign w:val="center"/>
            <w:hideMark/>
          </w:tcPr>
          <w:p w14:paraId="3F22E93A"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36,70</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395A1948"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43,94</w:t>
            </w:r>
            <w:r>
              <w:rPr>
                <w:rFonts w:ascii="Arial" w:eastAsia="Times New Roman" w:hAnsi="Arial" w:cs="Arial"/>
                <w:color w:val="000000"/>
                <w:sz w:val="18"/>
                <w:szCs w:val="18"/>
                <w:lang w:eastAsia="sl-SI"/>
              </w:rPr>
              <w:t xml:space="preserve"> %</w:t>
            </w:r>
          </w:p>
        </w:tc>
      </w:tr>
      <w:tr w:rsidR="00072A69" w:rsidRPr="00833D4A" w14:paraId="3CE5CE39" w14:textId="77777777" w:rsidTr="00AC1F17">
        <w:trPr>
          <w:trHeight w:val="300"/>
        </w:trPr>
        <w:tc>
          <w:tcPr>
            <w:tcW w:w="936" w:type="pct"/>
            <w:vMerge/>
            <w:vAlign w:val="center"/>
            <w:hideMark/>
          </w:tcPr>
          <w:p w14:paraId="27C944D6"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6F6295EA"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Gradnje</w:t>
            </w:r>
          </w:p>
        </w:tc>
        <w:tc>
          <w:tcPr>
            <w:tcW w:w="935" w:type="pct"/>
            <w:shd w:val="clear" w:color="auto" w:fill="auto"/>
            <w:vAlign w:val="center"/>
            <w:hideMark/>
          </w:tcPr>
          <w:p w14:paraId="341E197C"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20</w:t>
            </w:r>
          </w:p>
        </w:tc>
        <w:tc>
          <w:tcPr>
            <w:tcW w:w="1021" w:type="pct"/>
            <w:shd w:val="clear" w:color="auto" w:fill="auto"/>
            <w:vAlign w:val="center"/>
            <w:hideMark/>
          </w:tcPr>
          <w:p w14:paraId="01C47E0C"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34.164.062</w:t>
            </w:r>
          </w:p>
        </w:tc>
        <w:tc>
          <w:tcPr>
            <w:tcW w:w="625" w:type="pct"/>
            <w:shd w:val="clear" w:color="auto" w:fill="auto"/>
            <w:noWrap/>
            <w:vAlign w:val="center"/>
            <w:hideMark/>
          </w:tcPr>
          <w:p w14:paraId="6A243739"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4,12</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0A676DA3"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7,93</w:t>
            </w:r>
            <w:r>
              <w:rPr>
                <w:rFonts w:ascii="Arial" w:eastAsia="Times New Roman" w:hAnsi="Arial" w:cs="Arial"/>
                <w:color w:val="000000"/>
                <w:sz w:val="18"/>
                <w:szCs w:val="18"/>
                <w:lang w:eastAsia="sl-SI"/>
              </w:rPr>
              <w:t xml:space="preserve"> %</w:t>
            </w:r>
          </w:p>
        </w:tc>
      </w:tr>
      <w:tr w:rsidR="00072A69" w:rsidRPr="00833D4A" w14:paraId="455D1CDB" w14:textId="77777777" w:rsidTr="00AC1F17">
        <w:trPr>
          <w:trHeight w:val="300"/>
        </w:trPr>
        <w:tc>
          <w:tcPr>
            <w:tcW w:w="936" w:type="pct"/>
            <w:vMerge/>
            <w:vAlign w:val="center"/>
            <w:hideMark/>
          </w:tcPr>
          <w:p w14:paraId="57252989"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47B75BE3" w14:textId="77777777" w:rsidR="00072A69" w:rsidRPr="00833D4A" w:rsidRDefault="00072A69" w:rsidP="00AC1F17">
            <w:pPr>
              <w:spacing w:after="0" w:line="240" w:lineRule="auto"/>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Skupaj</w:t>
            </w:r>
          </w:p>
        </w:tc>
        <w:tc>
          <w:tcPr>
            <w:tcW w:w="935" w:type="pct"/>
            <w:shd w:val="clear" w:color="auto" w:fill="auto"/>
            <w:vAlign w:val="center"/>
            <w:hideMark/>
          </w:tcPr>
          <w:p w14:paraId="604CFB9D"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485</w:t>
            </w:r>
          </w:p>
        </w:tc>
        <w:tc>
          <w:tcPr>
            <w:tcW w:w="1021" w:type="pct"/>
            <w:shd w:val="clear" w:color="auto" w:fill="auto"/>
            <w:vAlign w:val="center"/>
            <w:hideMark/>
          </w:tcPr>
          <w:p w14:paraId="045DA24F"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430.769.400</w:t>
            </w:r>
          </w:p>
        </w:tc>
        <w:tc>
          <w:tcPr>
            <w:tcW w:w="625" w:type="pct"/>
            <w:shd w:val="clear" w:color="auto" w:fill="auto"/>
            <w:noWrap/>
            <w:vAlign w:val="center"/>
            <w:hideMark/>
          </w:tcPr>
          <w:p w14:paraId="1728763C"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701" w:type="pct"/>
            <w:shd w:val="clear" w:color="auto" w:fill="auto"/>
            <w:noWrap/>
            <w:vAlign w:val="center"/>
            <w:hideMark/>
          </w:tcPr>
          <w:p w14:paraId="064CA4DB"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833D4A" w14:paraId="2EEC7539" w14:textId="77777777" w:rsidTr="00AC1F17">
        <w:trPr>
          <w:trHeight w:val="300"/>
        </w:trPr>
        <w:tc>
          <w:tcPr>
            <w:tcW w:w="936" w:type="pct"/>
            <w:vMerge w:val="restart"/>
            <w:shd w:val="clear" w:color="auto" w:fill="auto"/>
            <w:vAlign w:val="center"/>
            <w:hideMark/>
          </w:tcPr>
          <w:p w14:paraId="2028D959" w14:textId="77777777" w:rsidR="00072A69" w:rsidRPr="00833D4A" w:rsidRDefault="00072A69" w:rsidP="00AC1F17">
            <w:pPr>
              <w:spacing w:after="0" w:line="240" w:lineRule="auto"/>
              <w:jc w:val="center"/>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Obrambno</w:t>
            </w:r>
          </w:p>
        </w:tc>
        <w:tc>
          <w:tcPr>
            <w:tcW w:w="782" w:type="pct"/>
            <w:shd w:val="clear" w:color="auto" w:fill="auto"/>
            <w:vAlign w:val="center"/>
            <w:hideMark/>
          </w:tcPr>
          <w:p w14:paraId="5A26F25D"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Blago</w:t>
            </w:r>
          </w:p>
        </w:tc>
        <w:tc>
          <w:tcPr>
            <w:tcW w:w="935" w:type="pct"/>
            <w:shd w:val="clear" w:color="auto" w:fill="auto"/>
            <w:vAlign w:val="center"/>
            <w:hideMark/>
          </w:tcPr>
          <w:p w14:paraId="232CBB1E"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21</w:t>
            </w:r>
          </w:p>
        </w:tc>
        <w:tc>
          <w:tcPr>
            <w:tcW w:w="1021" w:type="pct"/>
            <w:shd w:val="clear" w:color="auto" w:fill="auto"/>
            <w:vAlign w:val="center"/>
            <w:hideMark/>
          </w:tcPr>
          <w:p w14:paraId="061345DE"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43.269.475</w:t>
            </w:r>
          </w:p>
        </w:tc>
        <w:tc>
          <w:tcPr>
            <w:tcW w:w="625" w:type="pct"/>
            <w:shd w:val="clear" w:color="auto" w:fill="auto"/>
            <w:noWrap/>
            <w:vAlign w:val="center"/>
            <w:hideMark/>
          </w:tcPr>
          <w:p w14:paraId="2C6C1291"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42,86</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49111200"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72,67</w:t>
            </w:r>
            <w:r>
              <w:rPr>
                <w:rFonts w:ascii="Arial" w:eastAsia="Times New Roman" w:hAnsi="Arial" w:cs="Arial"/>
                <w:color w:val="000000"/>
                <w:sz w:val="18"/>
                <w:szCs w:val="18"/>
                <w:lang w:eastAsia="sl-SI"/>
              </w:rPr>
              <w:t xml:space="preserve"> %</w:t>
            </w:r>
          </w:p>
        </w:tc>
      </w:tr>
      <w:tr w:rsidR="00072A69" w:rsidRPr="00833D4A" w14:paraId="06D86D48" w14:textId="77777777" w:rsidTr="00AC1F17">
        <w:trPr>
          <w:trHeight w:val="300"/>
        </w:trPr>
        <w:tc>
          <w:tcPr>
            <w:tcW w:w="936" w:type="pct"/>
            <w:vMerge/>
            <w:vAlign w:val="center"/>
            <w:hideMark/>
          </w:tcPr>
          <w:p w14:paraId="4059E2C6"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535DA251"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Storitve</w:t>
            </w:r>
          </w:p>
        </w:tc>
        <w:tc>
          <w:tcPr>
            <w:tcW w:w="935" w:type="pct"/>
            <w:shd w:val="clear" w:color="auto" w:fill="auto"/>
            <w:vAlign w:val="center"/>
            <w:hideMark/>
          </w:tcPr>
          <w:p w14:paraId="4A28D5D7"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27</w:t>
            </w:r>
          </w:p>
        </w:tc>
        <w:tc>
          <w:tcPr>
            <w:tcW w:w="1021" w:type="pct"/>
            <w:shd w:val="clear" w:color="auto" w:fill="auto"/>
            <w:vAlign w:val="center"/>
            <w:hideMark/>
          </w:tcPr>
          <w:p w14:paraId="1BA07FD6"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14.598.814</w:t>
            </w:r>
          </w:p>
        </w:tc>
        <w:tc>
          <w:tcPr>
            <w:tcW w:w="625" w:type="pct"/>
            <w:shd w:val="clear" w:color="auto" w:fill="auto"/>
            <w:noWrap/>
            <w:vAlign w:val="center"/>
            <w:hideMark/>
          </w:tcPr>
          <w:p w14:paraId="7754E957"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55,10</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0F889C14"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24,52</w:t>
            </w:r>
            <w:r>
              <w:rPr>
                <w:rFonts w:ascii="Arial" w:eastAsia="Times New Roman" w:hAnsi="Arial" w:cs="Arial"/>
                <w:color w:val="000000"/>
                <w:sz w:val="18"/>
                <w:szCs w:val="18"/>
                <w:lang w:eastAsia="sl-SI"/>
              </w:rPr>
              <w:t xml:space="preserve"> %</w:t>
            </w:r>
          </w:p>
        </w:tc>
      </w:tr>
      <w:tr w:rsidR="00072A69" w:rsidRPr="00833D4A" w14:paraId="661E0CB1" w14:textId="77777777" w:rsidTr="00AC1F17">
        <w:trPr>
          <w:trHeight w:val="300"/>
        </w:trPr>
        <w:tc>
          <w:tcPr>
            <w:tcW w:w="936" w:type="pct"/>
            <w:vMerge/>
            <w:vAlign w:val="center"/>
            <w:hideMark/>
          </w:tcPr>
          <w:p w14:paraId="37E5179B"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6AC774D7" w14:textId="77777777" w:rsidR="00072A69" w:rsidRPr="00833D4A" w:rsidRDefault="00072A69" w:rsidP="00AC1F17">
            <w:pPr>
              <w:spacing w:after="0" w:line="240" w:lineRule="auto"/>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Gradnje</w:t>
            </w:r>
          </w:p>
        </w:tc>
        <w:tc>
          <w:tcPr>
            <w:tcW w:w="935" w:type="pct"/>
            <w:shd w:val="clear" w:color="auto" w:fill="auto"/>
            <w:vAlign w:val="center"/>
            <w:hideMark/>
          </w:tcPr>
          <w:p w14:paraId="00DA4CA7"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w:t>
            </w:r>
          </w:p>
        </w:tc>
        <w:tc>
          <w:tcPr>
            <w:tcW w:w="1021" w:type="pct"/>
            <w:shd w:val="clear" w:color="auto" w:fill="auto"/>
            <w:vAlign w:val="center"/>
            <w:hideMark/>
          </w:tcPr>
          <w:p w14:paraId="51BB4F8D"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1.672.452</w:t>
            </w:r>
          </w:p>
        </w:tc>
        <w:tc>
          <w:tcPr>
            <w:tcW w:w="625" w:type="pct"/>
            <w:shd w:val="clear" w:color="auto" w:fill="auto"/>
            <w:noWrap/>
            <w:vAlign w:val="center"/>
            <w:hideMark/>
          </w:tcPr>
          <w:p w14:paraId="19E7A67F"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2,04</w:t>
            </w:r>
            <w:r>
              <w:rPr>
                <w:rFonts w:ascii="Arial" w:eastAsia="Times New Roman" w:hAnsi="Arial" w:cs="Arial"/>
                <w:color w:val="000000"/>
                <w:sz w:val="18"/>
                <w:szCs w:val="18"/>
                <w:lang w:eastAsia="sl-SI"/>
              </w:rPr>
              <w:t xml:space="preserve"> %</w:t>
            </w:r>
          </w:p>
        </w:tc>
        <w:tc>
          <w:tcPr>
            <w:tcW w:w="701" w:type="pct"/>
            <w:shd w:val="clear" w:color="auto" w:fill="auto"/>
            <w:noWrap/>
            <w:vAlign w:val="center"/>
            <w:hideMark/>
          </w:tcPr>
          <w:p w14:paraId="66EB2602" w14:textId="77777777" w:rsidR="00072A69" w:rsidRPr="00833D4A" w:rsidRDefault="00072A69" w:rsidP="00AC1F17">
            <w:pPr>
              <w:spacing w:after="0" w:line="240" w:lineRule="auto"/>
              <w:jc w:val="right"/>
              <w:rPr>
                <w:rFonts w:ascii="Arial" w:eastAsia="Times New Roman" w:hAnsi="Arial" w:cs="Arial"/>
                <w:color w:val="000000"/>
                <w:sz w:val="18"/>
                <w:szCs w:val="18"/>
                <w:lang w:eastAsia="sl-SI"/>
              </w:rPr>
            </w:pPr>
            <w:r w:rsidRPr="00833D4A">
              <w:rPr>
                <w:rFonts w:ascii="Arial" w:eastAsia="Times New Roman" w:hAnsi="Arial" w:cs="Arial"/>
                <w:color w:val="000000"/>
                <w:sz w:val="18"/>
                <w:szCs w:val="18"/>
                <w:lang w:eastAsia="sl-SI"/>
              </w:rPr>
              <w:t>2,81</w:t>
            </w:r>
            <w:r>
              <w:rPr>
                <w:rFonts w:ascii="Arial" w:eastAsia="Times New Roman" w:hAnsi="Arial" w:cs="Arial"/>
                <w:color w:val="000000"/>
                <w:sz w:val="18"/>
                <w:szCs w:val="18"/>
                <w:lang w:eastAsia="sl-SI"/>
              </w:rPr>
              <w:t xml:space="preserve"> %</w:t>
            </w:r>
          </w:p>
        </w:tc>
      </w:tr>
      <w:tr w:rsidR="00072A69" w:rsidRPr="00833D4A" w14:paraId="64157D8A" w14:textId="77777777" w:rsidTr="00AC1F17">
        <w:trPr>
          <w:trHeight w:val="300"/>
        </w:trPr>
        <w:tc>
          <w:tcPr>
            <w:tcW w:w="936" w:type="pct"/>
            <w:vMerge/>
            <w:vAlign w:val="center"/>
            <w:hideMark/>
          </w:tcPr>
          <w:p w14:paraId="29D9C6B5" w14:textId="77777777" w:rsidR="00072A69" w:rsidRPr="00833D4A" w:rsidRDefault="00072A69" w:rsidP="00AC1F17">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22A8D084" w14:textId="77777777" w:rsidR="00072A69" w:rsidRPr="00833D4A" w:rsidRDefault="00072A69" w:rsidP="00AC1F17">
            <w:pPr>
              <w:spacing w:after="0" w:line="240" w:lineRule="auto"/>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Skupaj</w:t>
            </w:r>
          </w:p>
        </w:tc>
        <w:tc>
          <w:tcPr>
            <w:tcW w:w="935" w:type="pct"/>
            <w:shd w:val="clear" w:color="auto" w:fill="auto"/>
            <w:noWrap/>
            <w:vAlign w:val="center"/>
            <w:hideMark/>
          </w:tcPr>
          <w:p w14:paraId="41542BB9"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49</w:t>
            </w:r>
          </w:p>
        </w:tc>
        <w:tc>
          <w:tcPr>
            <w:tcW w:w="1021" w:type="pct"/>
            <w:shd w:val="clear" w:color="auto" w:fill="auto"/>
            <w:noWrap/>
            <w:vAlign w:val="center"/>
            <w:hideMark/>
          </w:tcPr>
          <w:p w14:paraId="551E34E4"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59.540.741</w:t>
            </w:r>
          </w:p>
        </w:tc>
        <w:tc>
          <w:tcPr>
            <w:tcW w:w="625" w:type="pct"/>
            <w:shd w:val="clear" w:color="auto" w:fill="auto"/>
            <w:noWrap/>
            <w:vAlign w:val="center"/>
            <w:hideMark/>
          </w:tcPr>
          <w:p w14:paraId="02E0031F"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701" w:type="pct"/>
            <w:shd w:val="clear" w:color="auto" w:fill="auto"/>
            <w:noWrap/>
            <w:vAlign w:val="center"/>
            <w:hideMark/>
          </w:tcPr>
          <w:p w14:paraId="66E46C24"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833D4A" w14:paraId="31B3D5B8" w14:textId="77777777" w:rsidTr="00AC1F17">
        <w:trPr>
          <w:gridAfter w:val="2"/>
          <w:wAfter w:w="1326" w:type="pct"/>
          <w:trHeight w:val="300"/>
        </w:trPr>
        <w:tc>
          <w:tcPr>
            <w:tcW w:w="1718" w:type="pct"/>
            <w:gridSpan w:val="2"/>
            <w:shd w:val="clear" w:color="auto" w:fill="E7E6E6" w:themeFill="background2"/>
            <w:vAlign w:val="center"/>
            <w:hideMark/>
          </w:tcPr>
          <w:p w14:paraId="277E0D85" w14:textId="77777777" w:rsidR="00072A69" w:rsidRPr="00833D4A" w:rsidRDefault="00072A69" w:rsidP="00AC1F17">
            <w:pPr>
              <w:spacing w:after="0" w:line="240" w:lineRule="auto"/>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Skupaj</w:t>
            </w:r>
          </w:p>
        </w:tc>
        <w:tc>
          <w:tcPr>
            <w:tcW w:w="935" w:type="pct"/>
            <w:shd w:val="clear" w:color="auto" w:fill="E7E6E6" w:themeFill="background2"/>
            <w:noWrap/>
            <w:vAlign w:val="center"/>
            <w:hideMark/>
          </w:tcPr>
          <w:p w14:paraId="29D980DB"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8.033</w:t>
            </w:r>
          </w:p>
        </w:tc>
        <w:tc>
          <w:tcPr>
            <w:tcW w:w="1021" w:type="pct"/>
            <w:shd w:val="clear" w:color="auto" w:fill="E7E6E6" w:themeFill="background2"/>
            <w:noWrap/>
            <w:vAlign w:val="center"/>
            <w:hideMark/>
          </w:tcPr>
          <w:p w14:paraId="18312DB9" w14:textId="77777777" w:rsidR="00072A69" w:rsidRPr="00833D4A" w:rsidRDefault="00072A69" w:rsidP="00AC1F17">
            <w:pPr>
              <w:spacing w:after="0" w:line="240" w:lineRule="auto"/>
              <w:jc w:val="right"/>
              <w:rPr>
                <w:rFonts w:ascii="Arial" w:eastAsia="Times New Roman" w:hAnsi="Arial" w:cs="Arial"/>
                <w:b/>
                <w:bCs/>
                <w:color w:val="000000"/>
                <w:sz w:val="18"/>
                <w:szCs w:val="18"/>
                <w:lang w:eastAsia="sl-SI"/>
              </w:rPr>
            </w:pPr>
            <w:r w:rsidRPr="00833D4A">
              <w:rPr>
                <w:rFonts w:ascii="Arial" w:eastAsia="Times New Roman" w:hAnsi="Arial" w:cs="Arial"/>
                <w:b/>
                <w:bCs/>
                <w:color w:val="000000"/>
                <w:sz w:val="18"/>
                <w:szCs w:val="18"/>
                <w:lang w:eastAsia="sl-SI"/>
              </w:rPr>
              <w:t>1.945.120.376</w:t>
            </w:r>
          </w:p>
        </w:tc>
      </w:tr>
    </w:tbl>
    <w:p w14:paraId="5B1AC092" w14:textId="77777777" w:rsidR="00072A69" w:rsidRPr="00EF2D0B" w:rsidRDefault="00072A69" w:rsidP="00072A69">
      <w:pPr>
        <w:spacing w:before="120" w:after="120" w:line="240" w:lineRule="auto"/>
        <w:jc w:val="both"/>
        <w:rPr>
          <w:rFonts w:ascii="Arial" w:hAnsi="Arial" w:cs="Arial"/>
          <w:sz w:val="20"/>
          <w:highlight w:val="yellow"/>
        </w:rPr>
      </w:pPr>
    </w:p>
    <w:p w14:paraId="28B06156" w14:textId="77777777" w:rsidR="00C320EE" w:rsidRDefault="00C320EE" w:rsidP="00072A69">
      <w:pPr>
        <w:spacing w:before="120" w:after="120" w:line="240" w:lineRule="auto"/>
        <w:jc w:val="both"/>
        <w:rPr>
          <w:rFonts w:ascii="Arial" w:hAnsi="Arial" w:cs="Arial"/>
          <w:sz w:val="20"/>
        </w:rPr>
      </w:pPr>
    </w:p>
    <w:p w14:paraId="4EB347C0" w14:textId="77777777" w:rsidR="00C320EE" w:rsidRDefault="00C320EE" w:rsidP="00072A69">
      <w:pPr>
        <w:spacing w:before="120" w:after="120" w:line="240" w:lineRule="auto"/>
        <w:jc w:val="both"/>
        <w:rPr>
          <w:rFonts w:ascii="Arial" w:hAnsi="Arial" w:cs="Arial"/>
          <w:sz w:val="20"/>
        </w:rPr>
      </w:pPr>
    </w:p>
    <w:p w14:paraId="2C5A7AE1" w14:textId="1192FAFC" w:rsidR="00072A69" w:rsidRPr="009720DF" w:rsidRDefault="00072A69" w:rsidP="00072A69">
      <w:pPr>
        <w:spacing w:before="120" w:after="120" w:line="240" w:lineRule="auto"/>
        <w:jc w:val="both"/>
        <w:rPr>
          <w:rFonts w:ascii="Arial" w:hAnsi="Arial" w:cs="Arial"/>
          <w:sz w:val="20"/>
        </w:rPr>
      </w:pPr>
      <w:r w:rsidRPr="009720DF">
        <w:rPr>
          <w:rFonts w:ascii="Arial" w:hAnsi="Arial" w:cs="Arial"/>
          <w:sz w:val="20"/>
        </w:rPr>
        <w:lastRenderedPageBreak/>
        <w:t xml:space="preserve">Preglednica </w:t>
      </w:r>
      <w:r w:rsidR="008D46F4">
        <w:rPr>
          <w:rFonts w:ascii="Arial" w:hAnsi="Arial" w:cs="Arial"/>
          <w:sz w:val="20"/>
        </w:rPr>
        <w:t>77</w:t>
      </w:r>
      <w:r w:rsidRPr="009720DF">
        <w:rPr>
          <w:rFonts w:ascii="Arial" w:hAnsi="Arial" w:cs="Arial"/>
          <w:sz w:val="20"/>
        </w:rPr>
        <w:t xml:space="preserve">: Naročila, objavljena na portalu javnih naročil in v Uradnem listu Evropske unije glede na področje in vrsto postopka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7"/>
        <w:gridCol w:w="3660"/>
        <w:gridCol w:w="781"/>
        <w:gridCol w:w="1292"/>
        <w:gridCol w:w="901"/>
        <w:gridCol w:w="901"/>
      </w:tblGrid>
      <w:tr w:rsidR="00072A69" w:rsidRPr="00617A11" w14:paraId="62C7B0DC" w14:textId="77777777" w:rsidTr="00AC1F17">
        <w:trPr>
          <w:trHeight w:val="720"/>
        </w:trPr>
        <w:tc>
          <w:tcPr>
            <w:tcW w:w="857" w:type="pct"/>
            <w:shd w:val="clear" w:color="000000" w:fill="EDEDED"/>
            <w:vAlign w:val="center"/>
            <w:hideMark/>
          </w:tcPr>
          <w:p w14:paraId="2628DB69"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Področje</w:t>
            </w:r>
          </w:p>
        </w:tc>
        <w:tc>
          <w:tcPr>
            <w:tcW w:w="2034" w:type="pct"/>
            <w:shd w:val="clear" w:color="000000" w:fill="EDEDED"/>
            <w:vAlign w:val="center"/>
            <w:hideMark/>
          </w:tcPr>
          <w:p w14:paraId="0876248A"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Vrsta postopka</w:t>
            </w:r>
          </w:p>
        </w:tc>
        <w:tc>
          <w:tcPr>
            <w:tcW w:w="445" w:type="pct"/>
            <w:shd w:val="clear" w:color="000000" w:fill="EDEDED"/>
            <w:vAlign w:val="center"/>
            <w:hideMark/>
          </w:tcPr>
          <w:p w14:paraId="376469FF"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Št. naročil</w:t>
            </w:r>
          </w:p>
        </w:tc>
        <w:tc>
          <w:tcPr>
            <w:tcW w:w="713" w:type="pct"/>
            <w:shd w:val="clear" w:color="000000" w:fill="EDEDED"/>
            <w:vAlign w:val="center"/>
            <w:hideMark/>
          </w:tcPr>
          <w:p w14:paraId="22432764"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Pogodbena vrednost</w:t>
            </w:r>
          </w:p>
        </w:tc>
        <w:tc>
          <w:tcPr>
            <w:tcW w:w="470" w:type="pct"/>
            <w:shd w:val="clear" w:color="000000" w:fill="EDEDED"/>
            <w:vAlign w:val="center"/>
            <w:hideMark/>
          </w:tcPr>
          <w:p w14:paraId="054AF34F"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Delež v št. naročil</w:t>
            </w:r>
          </w:p>
        </w:tc>
        <w:tc>
          <w:tcPr>
            <w:tcW w:w="481" w:type="pct"/>
            <w:shd w:val="clear" w:color="000000" w:fill="EDEDED"/>
            <w:vAlign w:val="center"/>
            <w:hideMark/>
          </w:tcPr>
          <w:p w14:paraId="2764D838"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Delež  vrednosti naročil</w:t>
            </w:r>
          </w:p>
        </w:tc>
      </w:tr>
      <w:tr w:rsidR="00072A69" w:rsidRPr="00617A11" w14:paraId="62B1AAB8" w14:textId="77777777" w:rsidTr="00AC1F17">
        <w:trPr>
          <w:trHeight w:val="300"/>
        </w:trPr>
        <w:tc>
          <w:tcPr>
            <w:tcW w:w="857" w:type="pct"/>
            <w:vMerge w:val="restart"/>
            <w:shd w:val="clear" w:color="auto" w:fill="auto"/>
            <w:vAlign w:val="center"/>
            <w:hideMark/>
          </w:tcPr>
          <w:p w14:paraId="21D8E3EE"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Splošno</w:t>
            </w:r>
          </w:p>
        </w:tc>
        <w:tc>
          <w:tcPr>
            <w:tcW w:w="2034" w:type="pct"/>
            <w:shd w:val="clear" w:color="auto" w:fill="auto"/>
            <w:vAlign w:val="center"/>
            <w:hideMark/>
          </w:tcPr>
          <w:p w14:paraId="18ACEC8B"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Konkurenčni dialog</w:t>
            </w:r>
          </w:p>
        </w:tc>
        <w:tc>
          <w:tcPr>
            <w:tcW w:w="445" w:type="pct"/>
            <w:shd w:val="clear" w:color="auto" w:fill="auto"/>
            <w:vAlign w:val="center"/>
            <w:hideMark/>
          </w:tcPr>
          <w:p w14:paraId="3CFB441F"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5</w:t>
            </w:r>
          </w:p>
        </w:tc>
        <w:tc>
          <w:tcPr>
            <w:tcW w:w="713" w:type="pct"/>
            <w:shd w:val="clear" w:color="auto" w:fill="auto"/>
            <w:vAlign w:val="center"/>
            <w:hideMark/>
          </w:tcPr>
          <w:p w14:paraId="0E7138E0"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12.649.659</w:t>
            </w:r>
          </w:p>
        </w:tc>
        <w:tc>
          <w:tcPr>
            <w:tcW w:w="470" w:type="pct"/>
            <w:shd w:val="clear" w:color="auto" w:fill="auto"/>
            <w:noWrap/>
            <w:vAlign w:val="center"/>
            <w:hideMark/>
          </w:tcPr>
          <w:p w14:paraId="289F9429"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0D03B7DF"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0,87</w:t>
            </w:r>
            <w:r>
              <w:rPr>
                <w:rFonts w:ascii="Arial" w:eastAsia="Times New Roman" w:hAnsi="Arial" w:cs="Arial"/>
                <w:color w:val="000000"/>
                <w:sz w:val="18"/>
                <w:szCs w:val="18"/>
                <w:lang w:eastAsia="sl-SI"/>
              </w:rPr>
              <w:t xml:space="preserve"> %</w:t>
            </w:r>
          </w:p>
        </w:tc>
      </w:tr>
      <w:tr w:rsidR="00072A69" w:rsidRPr="00617A11" w14:paraId="7B0D5460" w14:textId="77777777" w:rsidTr="00AC1F17">
        <w:trPr>
          <w:trHeight w:val="300"/>
        </w:trPr>
        <w:tc>
          <w:tcPr>
            <w:tcW w:w="857" w:type="pct"/>
            <w:vMerge/>
            <w:vAlign w:val="center"/>
            <w:hideMark/>
          </w:tcPr>
          <w:p w14:paraId="54EF4456"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7A1D7BDE"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Konkurenčni postopek s pogajanji</w:t>
            </w:r>
          </w:p>
        </w:tc>
        <w:tc>
          <w:tcPr>
            <w:tcW w:w="445" w:type="pct"/>
            <w:shd w:val="clear" w:color="auto" w:fill="auto"/>
            <w:vAlign w:val="center"/>
            <w:hideMark/>
          </w:tcPr>
          <w:p w14:paraId="5825F1AD"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36</w:t>
            </w:r>
          </w:p>
        </w:tc>
        <w:tc>
          <w:tcPr>
            <w:tcW w:w="713" w:type="pct"/>
            <w:shd w:val="clear" w:color="auto" w:fill="auto"/>
            <w:vAlign w:val="center"/>
            <w:hideMark/>
          </w:tcPr>
          <w:p w14:paraId="42B567C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39.575.013</w:t>
            </w:r>
          </w:p>
        </w:tc>
        <w:tc>
          <w:tcPr>
            <w:tcW w:w="470" w:type="pct"/>
            <w:shd w:val="clear" w:color="auto" w:fill="auto"/>
            <w:noWrap/>
            <w:vAlign w:val="center"/>
            <w:hideMark/>
          </w:tcPr>
          <w:p w14:paraId="445AB5F3"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67030CC2"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2,72</w:t>
            </w:r>
            <w:r>
              <w:rPr>
                <w:rFonts w:ascii="Arial" w:eastAsia="Times New Roman" w:hAnsi="Arial" w:cs="Arial"/>
                <w:color w:val="000000"/>
                <w:sz w:val="18"/>
                <w:szCs w:val="18"/>
                <w:lang w:eastAsia="sl-SI"/>
              </w:rPr>
              <w:t xml:space="preserve"> %</w:t>
            </w:r>
          </w:p>
        </w:tc>
      </w:tr>
      <w:tr w:rsidR="00072A69" w:rsidRPr="00617A11" w14:paraId="2A1A1E94" w14:textId="77777777" w:rsidTr="00AC1F17">
        <w:trPr>
          <w:trHeight w:val="300"/>
        </w:trPr>
        <w:tc>
          <w:tcPr>
            <w:tcW w:w="857" w:type="pct"/>
            <w:vMerge/>
            <w:vAlign w:val="center"/>
            <w:hideMark/>
          </w:tcPr>
          <w:p w14:paraId="496AE847"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255DB9F2"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Odprti postopek</w:t>
            </w:r>
          </w:p>
        </w:tc>
        <w:tc>
          <w:tcPr>
            <w:tcW w:w="445" w:type="pct"/>
            <w:shd w:val="clear" w:color="auto" w:fill="auto"/>
            <w:vAlign w:val="center"/>
            <w:hideMark/>
          </w:tcPr>
          <w:p w14:paraId="17B33DB3"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7.242</w:t>
            </w:r>
          </w:p>
        </w:tc>
        <w:tc>
          <w:tcPr>
            <w:tcW w:w="713" w:type="pct"/>
            <w:shd w:val="clear" w:color="auto" w:fill="auto"/>
            <w:vAlign w:val="center"/>
            <w:hideMark/>
          </w:tcPr>
          <w:p w14:paraId="5252CC20"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1.248.829.561</w:t>
            </w:r>
          </w:p>
        </w:tc>
        <w:tc>
          <w:tcPr>
            <w:tcW w:w="470" w:type="pct"/>
            <w:shd w:val="clear" w:color="auto" w:fill="auto"/>
            <w:noWrap/>
            <w:vAlign w:val="center"/>
            <w:hideMark/>
          </w:tcPr>
          <w:p w14:paraId="4D6DC822"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96,57</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07A3986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85,84</w:t>
            </w:r>
            <w:r>
              <w:rPr>
                <w:rFonts w:ascii="Arial" w:eastAsia="Times New Roman" w:hAnsi="Arial" w:cs="Arial"/>
                <w:color w:val="000000"/>
                <w:sz w:val="18"/>
                <w:szCs w:val="18"/>
                <w:lang w:eastAsia="sl-SI"/>
              </w:rPr>
              <w:t xml:space="preserve"> %</w:t>
            </w:r>
          </w:p>
        </w:tc>
      </w:tr>
      <w:tr w:rsidR="00072A69" w:rsidRPr="00617A11" w14:paraId="075B8A19" w14:textId="77777777" w:rsidTr="00AC1F17">
        <w:trPr>
          <w:trHeight w:val="300"/>
        </w:trPr>
        <w:tc>
          <w:tcPr>
            <w:tcW w:w="857" w:type="pct"/>
            <w:vMerge/>
            <w:vAlign w:val="center"/>
            <w:hideMark/>
          </w:tcPr>
          <w:p w14:paraId="4713DCF8"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601101B0"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Omejeni postopek</w:t>
            </w:r>
          </w:p>
        </w:tc>
        <w:tc>
          <w:tcPr>
            <w:tcW w:w="445" w:type="pct"/>
            <w:shd w:val="clear" w:color="auto" w:fill="auto"/>
            <w:vAlign w:val="center"/>
            <w:hideMark/>
          </w:tcPr>
          <w:p w14:paraId="077AB6D9"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34</w:t>
            </w:r>
          </w:p>
        </w:tc>
        <w:tc>
          <w:tcPr>
            <w:tcW w:w="713" w:type="pct"/>
            <w:shd w:val="clear" w:color="auto" w:fill="auto"/>
            <w:vAlign w:val="center"/>
            <w:hideMark/>
          </w:tcPr>
          <w:p w14:paraId="09C56A9E"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11.136.840</w:t>
            </w:r>
          </w:p>
        </w:tc>
        <w:tc>
          <w:tcPr>
            <w:tcW w:w="470" w:type="pct"/>
            <w:shd w:val="clear" w:color="auto" w:fill="auto"/>
            <w:noWrap/>
            <w:vAlign w:val="center"/>
            <w:hideMark/>
          </w:tcPr>
          <w:p w14:paraId="7597E352"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5EF8BC4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0,77</w:t>
            </w:r>
            <w:r>
              <w:rPr>
                <w:rFonts w:ascii="Arial" w:eastAsia="Times New Roman" w:hAnsi="Arial" w:cs="Arial"/>
                <w:color w:val="000000"/>
                <w:sz w:val="18"/>
                <w:szCs w:val="18"/>
                <w:lang w:eastAsia="sl-SI"/>
              </w:rPr>
              <w:t xml:space="preserve"> %</w:t>
            </w:r>
          </w:p>
        </w:tc>
      </w:tr>
      <w:tr w:rsidR="00072A69" w:rsidRPr="00617A11" w14:paraId="66C3E6FA" w14:textId="77777777" w:rsidTr="00AC1F17">
        <w:trPr>
          <w:trHeight w:val="300"/>
        </w:trPr>
        <w:tc>
          <w:tcPr>
            <w:tcW w:w="857" w:type="pct"/>
            <w:vMerge/>
            <w:vAlign w:val="center"/>
            <w:hideMark/>
          </w:tcPr>
          <w:p w14:paraId="5DCD8B31"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3161B3CA"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Postopek s pogajanji brez predhodne objave</w:t>
            </w:r>
          </w:p>
        </w:tc>
        <w:tc>
          <w:tcPr>
            <w:tcW w:w="445" w:type="pct"/>
            <w:shd w:val="clear" w:color="auto" w:fill="auto"/>
            <w:vAlign w:val="center"/>
            <w:hideMark/>
          </w:tcPr>
          <w:p w14:paraId="0C3B0FD2"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182</w:t>
            </w:r>
          </w:p>
        </w:tc>
        <w:tc>
          <w:tcPr>
            <w:tcW w:w="713" w:type="pct"/>
            <w:shd w:val="clear" w:color="auto" w:fill="auto"/>
            <w:vAlign w:val="center"/>
            <w:hideMark/>
          </w:tcPr>
          <w:p w14:paraId="50DAB10C"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142.619.162</w:t>
            </w:r>
          </w:p>
        </w:tc>
        <w:tc>
          <w:tcPr>
            <w:tcW w:w="470" w:type="pct"/>
            <w:shd w:val="clear" w:color="auto" w:fill="auto"/>
            <w:noWrap/>
            <w:vAlign w:val="center"/>
            <w:hideMark/>
          </w:tcPr>
          <w:p w14:paraId="70C6F751"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2,43</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1C0AD617"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9,80</w:t>
            </w:r>
            <w:r>
              <w:rPr>
                <w:rFonts w:ascii="Arial" w:eastAsia="Times New Roman" w:hAnsi="Arial" w:cs="Arial"/>
                <w:color w:val="000000"/>
                <w:sz w:val="18"/>
                <w:szCs w:val="18"/>
                <w:lang w:eastAsia="sl-SI"/>
              </w:rPr>
              <w:t xml:space="preserve"> %</w:t>
            </w:r>
          </w:p>
        </w:tc>
      </w:tr>
      <w:tr w:rsidR="00072A69" w:rsidRPr="00617A11" w14:paraId="1362F7A7" w14:textId="77777777" w:rsidTr="00AC1F17">
        <w:trPr>
          <w:trHeight w:val="300"/>
        </w:trPr>
        <w:tc>
          <w:tcPr>
            <w:tcW w:w="857" w:type="pct"/>
            <w:vMerge/>
            <w:vAlign w:val="center"/>
            <w:hideMark/>
          </w:tcPr>
          <w:p w14:paraId="0480EE9F"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614F0F85" w14:textId="77777777" w:rsidR="00072A69" w:rsidRPr="00617A11" w:rsidRDefault="00072A69" w:rsidP="00AC1F17">
            <w:pPr>
              <w:spacing w:after="0" w:line="240" w:lineRule="auto"/>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Skupaj</w:t>
            </w:r>
          </w:p>
        </w:tc>
        <w:tc>
          <w:tcPr>
            <w:tcW w:w="445" w:type="pct"/>
            <w:shd w:val="clear" w:color="auto" w:fill="auto"/>
            <w:vAlign w:val="center"/>
            <w:hideMark/>
          </w:tcPr>
          <w:p w14:paraId="31133F47"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7.499</w:t>
            </w:r>
          </w:p>
        </w:tc>
        <w:tc>
          <w:tcPr>
            <w:tcW w:w="713" w:type="pct"/>
            <w:shd w:val="clear" w:color="auto" w:fill="auto"/>
            <w:vAlign w:val="center"/>
            <w:hideMark/>
          </w:tcPr>
          <w:p w14:paraId="4A6F5817"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1.454.810.235</w:t>
            </w:r>
          </w:p>
        </w:tc>
        <w:tc>
          <w:tcPr>
            <w:tcW w:w="470" w:type="pct"/>
            <w:shd w:val="clear" w:color="auto" w:fill="auto"/>
            <w:noWrap/>
            <w:vAlign w:val="center"/>
            <w:hideMark/>
          </w:tcPr>
          <w:p w14:paraId="2C934745"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81" w:type="pct"/>
            <w:shd w:val="clear" w:color="auto" w:fill="auto"/>
            <w:noWrap/>
            <w:vAlign w:val="center"/>
            <w:hideMark/>
          </w:tcPr>
          <w:p w14:paraId="2921DE89"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617A11" w14:paraId="32EAE45D" w14:textId="77777777" w:rsidTr="00AC1F17">
        <w:trPr>
          <w:trHeight w:val="300"/>
        </w:trPr>
        <w:tc>
          <w:tcPr>
            <w:tcW w:w="857" w:type="pct"/>
            <w:vMerge w:val="restart"/>
            <w:shd w:val="clear" w:color="auto" w:fill="auto"/>
            <w:vAlign w:val="center"/>
            <w:hideMark/>
          </w:tcPr>
          <w:p w14:paraId="56C378E4"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Infrastrukturno</w:t>
            </w:r>
          </w:p>
        </w:tc>
        <w:tc>
          <w:tcPr>
            <w:tcW w:w="2034" w:type="pct"/>
            <w:shd w:val="clear" w:color="auto" w:fill="auto"/>
            <w:vAlign w:val="center"/>
            <w:hideMark/>
          </w:tcPr>
          <w:p w14:paraId="240197A6"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Odprti postopek</w:t>
            </w:r>
          </w:p>
        </w:tc>
        <w:tc>
          <w:tcPr>
            <w:tcW w:w="445" w:type="pct"/>
            <w:shd w:val="clear" w:color="auto" w:fill="auto"/>
            <w:vAlign w:val="center"/>
            <w:hideMark/>
          </w:tcPr>
          <w:p w14:paraId="6C23867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262</w:t>
            </w:r>
          </w:p>
        </w:tc>
        <w:tc>
          <w:tcPr>
            <w:tcW w:w="713" w:type="pct"/>
            <w:shd w:val="clear" w:color="auto" w:fill="auto"/>
            <w:vAlign w:val="center"/>
            <w:hideMark/>
          </w:tcPr>
          <w:p w14:paraId="29EA1776"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197.153.743</w:t>
            </w:r>
          </w:p>
        </w:tc>
        <w:tc>
          <w:tcPr>
            <w:tcW w:w="470" w:type="pct"/>
            <w:shd w:val="clear" w:color="auto" w:fill="auto"/>
            <w:noWrap/>
            <w:vAlign w:val="center"/>
            <w:hideMark/>
          </w:tcPr>
          <w:p w14:paraId="1492E582"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54,02</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627B6552"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45,77</w:t>
            </w:r>
            <w:r>
              <w:rPr>
                <w:rFonts w:ascii="Arial" w:eastAsia="Times New Roman" w:hAnsi="Arial" w:cs="Arial"/>
                <w:color w:val="000000"/>
                <w:sz w:val="18"/>
                <w:szCs w:val="18"/>
                <w:lang w:eastAsia="sl-SI"/>
              </w:rPr>
              <w:t xml:space="preserve"> %</w:t>
            </w:r>
          </w:p>
        </w:tc>
      </w:tr>
      <w:tr w:rsidR="00072A69" w:rsidRPr="00617A11" w14:paraId="351A4F0A" w14:textId="77777777" w:rsidTr="00AC1F17">
        <w:trPr>
          <w:trHeight w:val="300"/>
        </w:trPr>
        <w:tc>
          <w:tcPr>
            <w:tcW w:w="857" w:type="pct"/>
            <w:vMerge/>
            <w:vAlign w:val="center"/>
            <w:hideMark/>
          </w:tcPr>
          <w:p w14:paraId="78479B00"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6E123952"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Postopek s pogajanji brez predhodne objave</w:t>
            </w:r>
          </w:p>
        </w:tc>
        <w:tc>
          <w:tcPr>
            <w:tcW w:w="445" w:type="pct"/>
            <w:shd w:val="clear" w:color="auto" w:fill="auto"/>
            <w:vAlign w:val="center"/>
            <w:hideMark/>
          </w:tcPr>
          <w:p w14:paraId="4C2DF566"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42</w:t>
            </w:r>
          </w:p>
        </w:tc>
        <w:tc>
          <w:tcPr>
            <w:tcW w:w="713" w:type="pct"/>
            <w:shd w:val="clear" w:color="auto" w:fill="auto"/>
            <w:vAlign w:val="center"/>
            <w:hideMark/>
          </w:tcPr>
          <w:p w14:paraId="1A2C3894"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76.796.570</w:t>
            </w:r>
          </w:p>
        </w:tc>
        <w:tc>
          <w:tcPr>
            <w:tcW w:w="470" w:type="pct"/>
            <w:shd w:val="clear" w:color="auto" w:fill="auto"/>
            <w:noWrap/>
            <w:vAlign w:val="center"/>
            <w:hideMark/>
          </w:tcPr>
          <w:p w14:paraId="2D83362C"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8,66</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1DC1F680"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17,83</w:t>
            </w:r>
            <w:r>
              <w:rPr>
                <w:rFonts w:ascii="Arial" w:eastAsia="Times New Roman" w:hAnsi="Arial" w:cs="Arial"/>
                <w:color w:val="000000"/>
                <w:sz w:val="18"/>
                <w:szCs w:val="18"/>
                <w:lang w:eastAsia="sl-SI"/>
              </w:rPr>
              <w:t xml:space="preserve"> %</w:t>
            </w:r>
          </w:p>
        </w:tc>
      </w:tr>
      <w:tr w:rsidR="00072A69" w:rsidRPr="00617A11" w14:paraId="45245875" w14:textId="77777777" w:rsidTr="00AC1F17">
        <w:trPr>
          <w:trHeight w:val="300"/>
        </w:trPr>
        <w:tc>
          <w:tcPr>
            <w:tcW w:w="857" w:type="pct"/>
            <w:vMerge/>
            <w:vAlign w:val="center"/>
            <w:hideMark/>
          </w:tcPr>
          <w:p w14:paraId="4D56F17F"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1B7B7E30"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Postopek s pogajanji po predhodni objavi</w:t>
            </w:r>
          </w:p>
        </w:tc>
        <w:tc>
          <w:tcPr>
            <w:tcW w:w="445" w:type="pct"/>
            <w:shd w:val="clear" w:color="auto" w:fill="auto"/>
            <w:vAlign w:val="center"/>
            <w:hideMark/>
          </w:tcPr>
          <w:p w14:paraId="6BA4C43D"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181</w:t>
            </w:r>
          </w:p>
        </w:tc>
        <w:tc>
          <w:tcPr>
            <w:tcW w:w="713" w:type="pct"/>
            <w:shd w:val="clear" w:color="auto" w:fill="auto"/>
            <w:vAlign w:val="center"/>
            <w:hideMark/>
          </w:tcPr>
          <w:p w14:paraId="2B0938F8"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156.819.087</w:t>
            </w:r>
          </w:p>
        </w:tc>
        <w:tc>
          <w:tcPr>
            <w:tcW w:w="470" w:type="pct"/>
            <w:shd w:val="clear" w:color="auto" w:fill="auto"/>
            <w:noWrap/>
            <w:vAlign w:val="center"/>
            <w:hideMark/>
          </w:tcPr>
          <w:p w14:paraId="1BDB4FA6"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37,32</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478B46B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36,40</w:t>
            </w:r>
            <w:r>
              <w:rPr>
                <w:rFonts w:ascii="Arial" w:eastAsia="Times New Roman" w:hAnsi="Arial" w:cs="Arial"/>
                <w:color w:val="000000"/>
                <w:sz w:val="18"/>
                <w:szCs w:val="18"/>
                <w:lang w:eastAsia="sl-SI"/>
              </w:rPr>
              <w:t xml:space="preserve"> %</w:t>
            </w:r>
          </w:p>
        </w:tc>
      </w:tr>
      <w:tr w:rsidR="00072A69" w:rsidRPr="00617A11" w14:paraId="2B86227C" w14:textId="77777777" w:rsidTr="00AC1F17">
        <w:trPr>
          <w:trHeight w:val="300"/>
        </w:trPr>
        <w:tc>
          <w:tcPr>
            <w:tcW w:w="857" w:type="pct"/>
            <w:vMerge/>
            <w:vAlign w:val="center"/>
            <w:hideMark/>
          </w:tcPr>
          <w:p w14:paraId="1E625E04"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3EBD8D4E" w14:textId="77777777" w:rsidR="00072A69" w:rsidRPr="00617A11" w:rsidRDefault="00072A69" w:rsidP="00AC1F17">
            <w:pPr>
              <w:spacing w:after="0" w:line="240" w:lineRule="auto"/>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Skupaj</w:t>
            </w:r>
          </w:p>
        </w:tc>
        <w:tc>
          <w:tcPr>
            <w:tcW w:w="445" w:type="pct"/>
            <w:shd w:val="clear" w:color="auto" w:fill="auto"/>
            <w:vAlign w:val="center"/>
            <w:hideMark/>
          </w:tcPr>
          <w:p w14:paraId="08E2B89D"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485</w:t>
            </w:r>
          </w:p>
        </w:tc>
        <w:tc>
          <w:tcPr>
            <w:tcW w:w="713" w:type="pct"/>
            <w:shd w:val="clear" w:color="auto" w:fill="auto"/>
            <w:vAlign w:val="center"/>
            <w:hideMark/>
          </w:tcPr>
          <w:p w14:paraId="7CD11940"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430.769.400</w:t>
            </w:r>
          </w:p>
        </w:tc>
        <w:tc>
          <w:tcPr>
            <w:tcW w:w="470" w:type="pct"/>
            <w:shd w:val="clear" w:color="auto" w:fill="auto"/>
            <w:noWrap/>
            <w:vAlign w:val="center"/>
            <w:hideMark/>
          </w:tcPr>
          <w:p w14:paraId="7CC2B19E"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81" w:type="pct"/>
            <w:shd w:val="clear" w:color="auto" w:fill="auto"/>
            <w:noWrap/>
            <w:vAlign w:val="center"/>
            <w:hideMark/>
          </w:tcPr>
          <w:p w14:paraId="542506E3"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617A11" w14:paraId="38DB331E" w14:textId="77777777" w:rsidTr="00AC1F17">
        <w:trPr>
          <w:trHeight w:val="300"/>
        </w:trPr>
        <w:tc>
          <w:tcPr>
            <w:tcW w:w="857" w:type="pct"/>
            <w:vMerge w:val="restart"/>
            <w:shd w:val="clear" w:color="auto" w:fill="auto"/>
            <w:vAlign w:val="center"/>
            <w:hideMark/>
          </w:tcPr>
          <w:p w14:paraId="53E5B7BA" w14:textId="77777777" w:rsidR="00072A69" w:rsidRPr="00617A11" w:rsidRDefault="00072A69" w:rsidP="00AC1F17">
            <w:pPr>
              <w:spacing w:after="0" w:line="240" w:lineRule="auto"/>
              <w:jc w:val="center"/>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Obrambno</w:t>
            </w:r>
          </w:p>
        </w:tc>
        <w:tc>
          <w:tcPr>
            <w:tcW w:w="2034" w:type="pct"/>
            <w:shd w:val="clear" w:color="auto" w:fill="auto"/>
            <w:vAlign w:val="center"/>
            <w:hideMark/>
          </w:tcPr>
          <w:p w14:paraId="2EC63BC1"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Postopek s pogajanji brez predhodne objave</w:t>
            </w:r>
          </w:p>
        </w:tc>
        <w:tc>
          <w:tcPr>
            <w:tcW w:w="445" w:type="pct"/>
            <w:shd w:val="clear" w:color="auto" w:fill="auto"/>
            <w:vAlign w:val="center"/>
            <w:hideMark/>
          </w:tcPr>
          <w:p w14:paraId="05EF252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19</w:t>
            </w:r>
          </w:p>
        </w:tc>
        <w:tc>
          <w:tcPr>
            <w:tcW w:w="713" w:type="pct"/>
            <w:shd w:val="clear" w:color="auto" w:fill="auto"/>
            <w:vAlign w:val="center"/>
            <w:hideMark/>
          </w:tcPr>
          <w:p w14:paraId="4270C19A"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15.887.657</w:t>
            </w:r>
          </w:p>
        </w:tc>
        <w:tc>
          <w:tcPr>
            <w:tcW w:w="470" w:type="pct"/>
            <w:shd w:val="clear" w:color="auto" w:fill="auto"/>
            <w:noWrap/>
            <w:vAlign w:val="center"/>
            <w:hideMark/>
          </w:tcPr>
          <w:p w14:paraId="7ABFFD8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38,78</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326DC99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26,68</w:t>
            </w:r>
            <w:r>
              <w:rPr>
                <w:rFonts w:ascii="Arial" w:eastAsia="Times New Roman" w:hAnsi="Arial" w:cs="Arial"/>
                <w:color w:val="000000"/>
                <w:sz w:val="18"/>
                <w:szCs w:val="18"/>
                <w:lang w:eastAsia="sl-SI"/>
              </w:rPr>
              <w:t xml:space="preserve"> %</w:t>
            </w:r>
          </w:p>
        </w:tc>
      </w:tr>
      <w:tr w:rsidR="00072A69" w:rsidRPr="00617A11" w14:paraId="72C53D98" w14:textId="77777777" w:rsidTr="00AC1F17">
        <w:trPr>
          <w:trHeight w:val="300"/>
        </w:trPr>
        <w:tc>
          <w:tcPr>
            <w:tcW w:w="857" w:type="pct"/>
            <w:vMerge/>
            <w:vAlign w:val="center"/>
            <w:hideMark/>
          </w:tcPr>
          <w:p w14:paraId="4C44E582"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0A257D61" w14:textId="77777777" w:rsidR="00072A69" w:rsidRPr="00617A11" w:rsidRDefault="00072A69" w:rsidP="00AC1F17">
            <w:pPr>
              <w:spacing w:after="0" w:line="240" w:lineRule="auto"/>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Postopek s pogajanji po predhodni objavi</w:t>
            </w:r>
          </w:p>
        </w:tc>
        <w:tc>
          <w:tcPr>
            <w:tcW w:w="445" w:type="pct"/>
            <w:shd w:val="clear" w:color="auto" w:fill="auto"/>
            <w:vAlign w:val="center"/>
            <w:hideMark/>
          </w:tcPr>
          <w:p w14:paraId="5B479AD9"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30</w:t>
            </w:r>
          </w:p>
        </w:tc>
        <w:tc>
          <w:tcPr>
            <w:tcW w:w="713" w:type="pct"/>
            <w:shd w:val="clear" w:color="auto" w:fill="auto"/>
            <w:vAlign w:val="center"/>
            <w:hideMark/>
          </w:tcPr>
          <w:p w14:paraId="650C61E7"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43.653.084</w:t>
            </w:r>
          </w:p>
        </w:tc>
        <w:tc>
          <w:tcPr>
            <w:tcW w:w="470" w:type="pct"/>
            <w:shd w:val="clear" w:color="auto" w:fill="auto"/>
            <w:noWrap/>
            <w:vAlign w:val="center"/>
            <w:hideMark/>
          </w:tcPr>
          <w:p w14:paraId="2714CA6A"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61,22</w:t>
            </w:r>
            <w:r>
              <w:rPr>
                <w:rFonts w:ascii="Arial" w:eastAsia="Times New Roman" w:hAnsi="Arial" w:cs="Arial"/>
                <w:color w:val="000000"/>
                <w:sz w:val="18"/>
                <w:szCs w:val="18"/>
                <w:lang w:eastAsia="sl-SI"/>
              </w:rPr>
              <w:t xml:space="preserve"> %</w:t>
            </w:r>
          </w:p>
        </w:tc>
        <w:tc>
          <w:tcPr>
            <w:tcW w:w="481" w:type="pct"/>
            <w:shd w:val="clear" w:color="auto" w:fill="auto"/>
            <w:noWrap/>
            <w:vAlign w:val="center"/>
            <w:hideMark/>
          </w:tcPr>
          <w:p w14:paraId="63A602C5" w14:textId="77777777" w:rsidR="00072A69" w:rsidRPr="00617A11" w:rsidRDefault="00072A69" w:rsidP="00AC1F17">
            <w:pPr>
              <w:spacing w:after="0" w:line="240" w:lineRule="auto"/>
              <w:jc w:val="right"/>
              <w:rPr>
                <w:rFonts w:ascii="Arial" w:eastAsia="Times New Roman" w:hAnsi="Arial" w:cs="Arial"/>
                <w:color w:val="000000"/>
                <w:sz w:val="18"/>
                <w:szCs w:val="18"/>
                <w:lang w:eastAsia="sl-SI"/>
              </w:rPr>
            </w:pPr>
            <w:r w:rsidRPr="00617A11">
              <w:rPr>
                <w:rFonts w:ascii="Arial" w:eastAsia="Times New Roman" w:hAnsi="Arial" w:cs="Arial"/>
                <w:color w:val="000000"/>
                <w:sz w:val="18"/>
                <w:szCs w:val="18"/>
                <w:lang w:eastAsia="sl-SI"/>
              </w:rPr>
              <w:t>73,32</w:t>
            </w:r>
            <w:r>
              <w:rPr>
                <w:rFonts w:ascii="Arial" w:eastAsia="Times New Roman" w:hAnsi="Arial" w:cs="Arial"/>
                <w:color w:val="000000"/>
                <w:sz w:val="18"/>
                <w:szCs w:val="18"/>
                <w:lang w:eastAsia="sl-SI"/>
              </w:rPr>
              <w:t xml:space="preserve"> %</w:t>
            </w:r>
          </w:p>
        </w:tc>
      </w:tr>
      <w:tr w:rsidR="00072A69" w:rsidRPr="00617A11" w14:paraId="185CDC24" w14:textId="77777777" w:rsidTr="00AC1F17">
        <w:trPr>
          <w:trHeight w:val="300"/>
        </w:trPr>
        <w:tc>
          <w:tcPr>
            <w:tcW w:w="857" w:type="pct"/>
            <w:vMerge/>
            <w:vAlign w:val="center"/>
            <w:hideMark/>
          </w:tcPr>
          <w:p w14:paraId="13D8DDFE" w14:textId="77777777" w:rsidR="00072A69" w:rsidRPr="00617A11" w:rsidRDefault="00072A69" w:rsidP="00AC1F17">
            <w:pPr>
              <w:spacing w:after="0" w:line="240" w:lineRule="auto"/>
              <w:rPr>
                <w:rFonts w:ascii="Arial" w:eastAsia="Times New Roman" w:hAnsi="Arial" w:cs="Arial"/>
                <w:color w:val="000000"/>
                <w:sz w:val="18"/>
                <w:szCs w:val="18"/>
                <w:lang w:eastAsia="sl-SI"/>
              </w:rPr>
            </w:pPr>
          </w:p>
        </w:tc>
        <w:tc>
          <w:tcPr>
            <w:tcW w:w="2034" w:type="pct"/>
            <w:shd w:val="clear" w:color="auto" w:fill="auto"/>
            <w:vAlign w:val="center"/>
            <w:hideMark/>
          </w:tcPr>
          <w:p w14:paraId="01C910CD" w14:textId="77777777" w:rsidR="00072A69" w:rsidRPr="00617A11" w:rsidRDefault="00072A69" w:rsidP="00AC1F17">
            <w:pPr>
              <w:spacing w:after="0" w:line="240" w:lineRule="auto"/>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Skupaj</w:t>
            </w:r>
          </w:p>
        </w:tc>
        <w:tc>
          <w:tcPr>
            <w:tcW w:w="445" w:type="pct"/>
            <w:shd w:val="clear" w:color="auto" w:fill="auto"/>
            <w:noWrap/>
            <w:vAlign w:val="center"/>
            <w:hideMark/>
          </w:tcPr>
          <w:p w14:paraId="19962C71"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49</w:t>
            </w:r>
          </w:p>
        </w:tc>
        <w:tc>
          <w:tcPr>
            <w:tcW w:w="713" w:type="pct"/>
            <w:shd w:val="clear" w:color="auto" w:fill="auto"/>
            <w:noWrap/>
            <w:vAlign w:val="center"/>
            <w:hideMark/>
          </w:tcPr>
          <w:p w14:paraId="3133A5B9"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59.540.741</w:t>
            </w:r>
          </w:p>
        </w:tc>
        <w:tc>
          <w:tcPr>
            <w:tcW w:w="470" w:type="pct"/>
            <w:shd w:val="clear" w:color="auto" w:fill="auto"/>
            <w:noWrap/>
            <w:vAlign w:val="center"/>
            <w:hideMark/>
          </w:tcPr>
          <w:p w14:paraId="25697D4E"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81" w:type="pct"/>
            <w:shd w:val="clear" w:color="auto" w:fill="auto"/>
            <w:noWrap/>
            <w:vAlign w:val="center"/>
            <w:hideMark/>
          </w:tcPr>
          <w:p w14:paraId="5AF8DDAB"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617A11" w14:paraId="735B1F83" w14:textId="77777777" w:rsidTr="00AC1F17">
        <w:trPr>
          <w:gridAfter w:val="2"/>
          <w:wAfter w:w="951" w:type="pct"/>
          <w:trHeight w:val="300"/>
        </w:trPr>
        <w:tc>
          <w:tcPr>
            <w:tcW w:w="2891" w:type="pct"/>
            <w:gridSpan w:val="2"/>
            <w:shd w:val="clear" w:color="auto" w:fill="E7E6E6" w:themeFill="background2"/>
            <w:vAlign w:val="center"/>
            <w:hideMark/>
          </w:tcPr>
          <w:p w14:paraId="3D75FD96" w14:textId="77777777" w:rsidR="00072A69" w:rsidRPr="00617A11" w:rsidRDefault="00072A69" w:rsidP="00AC1F17">
            <w:pPr>
              <w:spacing w:after="0" w:line="240" w:lineRule="auto"/>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Skupaj</w:t>
            </w:r>
          </w:p>
        </w:tc>
        <w:tc>
          <w:tcPr>
            <w:tcW w:w="445" w:type="pct"/>
            <w:shd w:val="clear" w:color="auto" w:fill="E7E6E6" w:themeFill="background2"/>
            <w:noWrap/>
            <w:vAlign w:val="center"/>
            <w:hideMark/>
          </w:tcPr>
          <w:p w14:paraId="728E3948"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8.033</w:t>
            </w:r>
          </w:p>
        </w:tc>
        <w:tc>
          <w:tcPr>
            <w:tcW w:w="713" w:type="pct"/>
            <w:shd w:val="clear" w:color="auto" w:fill="E7E6E6" w:themeFill="background2"/>
            <w:noWrap/>
            <w:vAlign w:val="center"/>
            <w:hideMark/>
          </w:tcPr>
          <w:p w14:paraId="55387E89" w14:textId="77777777" w:rsidR="00072A69" w:rsidRPr="00617A11" w:rsidRDefault="00072A69" w:rsidP="00AC1F17">
            <w:pPr>
              <w:spacing w:after="0" w:line="240" w:lineRule="auto"/>
              <w:jc w:val="right"/>
              <w:rPr>
                <w:rFonts w:ascii="Arial" w:eastAsia="Times New Roman" w:hAnsi="Arial" w:cs="Arial"/>
                <w:b/>
                <w:bCs/>
                <w:color w:val="000000"/>
                <w:sz w:val="18"/>
                <w:szCs w:val="18"/>
                <w:lang w:eastAsia="sl-SI"/>
              </w:rPr>
            </w:pPr>
            <w:r w:rsidRPr="00617A11">
              <w:rPr>
                <w:rFonts w:ascii="Arial" w:eastAsia="Times New Roman" w:hAnsi="Arial" w:cs="Arial"/>
                <w:b/>
                <w:bCs/>
                <w:color w:val="000000"/>
                <w:sz w:val="18"/>
                <w:szCs w:val="18"/>
                <w:lang w:eastAsia="sl-SI"/>
              </w:rPr>
              <w:t>1.945.120.376</w:t>
            </w:r>
          </w:p>
        </w:tc>
      </w:tr>
    </w:tbl>
    <w:p w14:paraId="09D4EB51" w14:textId="77777777" w:rsidR="00072A69" w:rsidRPr="00EF2D0B" w:rsidRDefault="00072A69" w:rsidP="00072A69">
      <w:pPr>
        <w:spacing w:before="120" w:after="120" w:line="240" w:lineRule="auto"/>
        <w:jc w:val="both"/>
        <w:rPr>
          <w:rFonts w:ascii="Arial" w:hAnsi="Arial" w:cs="Arial"/>
          <w:sz w:val="20"/>
          <w:highlight w:val="yellow"/>
        </w:rPr>
      </w:pPr>
    </w:p>
    <w:p w14:paraId="48542651" w14:textId="6868EB50" w:rsidR="00072A69" w:rsidRPr="00975670" w:rsidRDefault="00072A69" w:rsidP="00072A69">
      <w:pPr>
        <w:spacing w:before="120" w:after="120" w:line="240" w:lineRule="auto"/>
        <w:jc w:val="both"/>
        <w:rPr>
          <w:rFonts w:ascii="Arial" w:hAnsi="Arial" w:cs="Arial"/>
          <w:sz w:val="20"/>
        </w:rPr>
      </w:pPr>
      <w:r w:rsidRPr="00975670">
        <w:rPr>
          <w:rFonts w:ascii="Arial" w:hAnsi="Arial" w:cs="Arial"/>
          <w:sz w:val="20"/>
        </w:rPr>
        <w:t xml:space="preserve">Preglednica </w:t>
      </w:r>
      <w:r w:rsidR="008D46F4">
        <w:rPr>
          <w:rFonts w:ascii="Arial" w:hAnsi="Arial" w:cs="Arial"/>
          <w:sz w:val="20"/>
        </w:rPr>
        <w:t>78</w:t>
      </w:r>
      <w:r w:rsidRPr="00975670">
        <w:rPr>
          <w:rFonts w:ascii="Arial" w:hAnsi="Arial" w:cs="Arial"/>
          <w:sz w:val="20"/>
        </w:rPr>
        <w:t xml:space="preserve">: Socialne in druge posebne storitve </w:t>
      </w:r>
      <w:bookmarkStart w:id="63" w:name="_Toc367784266"/>
      <w:bookmarkStart w:id="64" w:name="_Toc368925708"/>
      <w:bookmarkStart w:id="65" w:name="_Toc369000991"/>
      <w:r w:rsidRPr="00975670">
        <w:rPr>
          <w:rFonts w:ascii="Arial" w:hAnsi="Arial" w:cs="Arial"/>
          <w:sz w:val="20"/>
        </w:rPr>
        <w:t>glede na kategorije storitve</w:t>
      </w:r>
    </w:p>
    <w:tbl>
      <w:tblPr>
        <w:tblW w:w="5000" w:type="pct"/>
        <w:tblCellMar>
          <w:left w:w="70" w:type="dxa"/>
          <w:right w:w="70" w:type="dxa"/>
        </w:tblCellMar>
        <w:tblLook w:val="04A0" w:firstRow="1" w:lastRow="0" w:firstColumn="1" w:lastColumn="0" w:noHBand="0" w:noVBand="1"/>
      </w:tblPr>
      <w:tblGrid>
        <w:gridCol w:w="3823"/>
        <w:gridCol w:w="993"/>
        <w:gridCol w:w="1417"/>
        <w:gridCol w:w="1560"/>
        <w:gridCol w:w="1269"/>
      </w:tblGrid>
      <w:tr w:rsidR="00072A69" w:rsidRPr="009342B4" w14:paraId="3BFEDBAD" w14:textId="77777777" w:rsidTr="00AC1F17">
        <w:trPr>
          <w:trHeight w:val="720"/>
        </w:trPr>
        <w:tc>
          <w:tcPr>
            <w:tcW w:w="210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F4ECB7D" w14:textId="77777777" w:rsidR="00072A69" w:rsidRPr="009342B4" w:rsidRDefault="00072A69" w:rsidP="00AC1F17">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Vrsta storitve</w:t>
            </w:r>
          </w:p>
        </w:tc>
        <w:tc>
          <w:tcPr>
            <w:tcW w:w="548" w:type="pct"/>
            <w:tcBorders>
              <w:top w:val="single" w:sz="4" w:space="0" w:color="auto"/>
              <w:left w:val="nil"/>
              <w:bottom w:val="single" w:sz="4" w:space="0" w:color="auto"/>
              <w:right w:val="single" w:sz="4" w:space="0" w:color="auto"/>
            </w:tcBorders>
            <w:shd w:val="clear" w:color="000000" w:fill="EDEDED"/>
            <w:vAlign w:val="center"/>
            <w:hideMark/>
          </w:tcPr>
          <w:p w14:paraId="6CE160FC" w14:textId="77777777" w:rsidR="00072A69" w:rsidRPr="009342B4" w:rsidRDefault="00072A69" w:rsidP="00AC1F17">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Št. naročil</w:t>
            </w:r>
          </w:p>
        </w:tc>
        <w:tc>
          <w:tcPr>
            <w:tcW w:w="782" w:type="pct"/>
            <w:tcBorders>
              <w:top w:val="single" w:sz="4" w:space="0" w:color="auto"/>
              <w:left w:val="nil"/>
              <w:bottom w:val="single" w:sz="4" w:space="0" w:color="auto"/>
              <w:right w:val="single" w:sz="4" w:space="0" w:color="auto"/>
            </w:tcBorders>
            <w:shd w:val="clear" w:color="000000" w:fill="EDEDED"/>
            <w:vAlign w:val="center"/>
            <w:hideMark/>
          </w:tcPr>
          <w:p w14:paraId="1D5296F0" w14:textId="77777777" w:rsidR="00072A69" w:rsidRPr="009342B4" w:rsidRDefault="00072A69" w:rsidP="00AC1F17">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Pogodbena vrednost</w:t>
            </w:r>
          </w:p>
        </w:tc>
        <w:tc>
          <w:tcPr>
            <w:tcW w:w="861" w:type="pct"/>
            <w:tcBorders>
              <w:top w:val="single" w:sz="4" w:space="0" w:color="auto"/>
              <w:left w:val="nil"/>
              <w:bottom w:val="single" w:sz="4" w:space="0" w:color="auto"/>
              <w:right w:val="single" w:sz="4" w:space="0" w:color="auto"/>
            </w:tcBorders>
            <w:shd w:val="clear" w:color="000000" w:fill="EDEDED"/>
            <w:vAlign w:val="center"/>
            <w:hideMark/>
          </w:tcPr>
          <w:p w14:paraId="0475448A" w14:textId="77777777" w:rsidR="00072A69" w:rsidRPr="009342B4" w:rsidRDefault="00072A69" w:rsidP="00AC1F17">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Delež v št. naročil</w:t>
            </w:r>
          </w:p>
        </w:tc>
        <w:tc>
          <w:tcPr>
            <w:tcW w:w="700" w:type="pct"/>
            <w:tcBorders>
              <w:top w:val="single" w:sz="4" w:space="0" w:color="auto"/>
              <w:left w:val="nil"/>
              <w:bottom w:val="single" w:sz="4" w:space="0" w:color="auto"/>
              <w:right w:val="single" w:sz="4" w:space="0" w:color="auto"/>
            </w:tcBorders>
            <w:shd w:val="clear" w:color="000000" w:fill="EDEDED"/>
            <w:vAlign w:val="center"/>
            <w:hideMark/>
          </w:tcPr>
          <w:p w14:paraId="21D32353" w14:textId="77777777" w:rsidR="00072A69" w:rsidRPr="009342B4" w:rsidRDefault="00072A69" w:rsidP="00AC1F17">
            <w:pPr>
              <w:spacing w:after="0" w:line="240" w:lineRule="auto"/>
              <w:jc w:val="center"/>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Delež v vrednosti</w:t>
            </w:r>
          </w:p>
        </w:tc>
      </w:tr>
      <w:tr w:rsidR="00072A69" w:rsidRPr="009342B4" w14:paraId="3620B422"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3B3E625A" w14:textId="77777777" w:rsidR="00072A69" w:rsidRPr="009342B4" w:rsidRDefault="00072A69" w:rsidP="00AC1F17">
            <w:pPr>
              <w:spacing w:after="0" w:line="240" w:lineRule="auto"/>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Zdravstvene, socialne in sorodne storitve</w:t>
            </w:r>
          </w:p>
        </w:tc>
        <w:tc>
          <w:tcPr>
            <w:tcW w:w="548" w:type="pct"/>
            <w:tcBorders>
              <w:top w:val="nil"/>
              <w:left w:val="nil"/>
              <w:bottom w:val="single" w:sz="4" w:space="0" w:color="auto"/>
              <w:right w:val="single" w:sz="4" w:space="0" w:color="auto"/>
            </w:tcBorders>
            <w:shd w:val="clear" w:color="auto" w:fill="auto"/>
            <w:noWrap/>
            <w:vAlign w:val="center"/>
            <w:hideMark/>
          </w:tcPr>
          <w:p w14:paraId="634FDCC0"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w:t>
            </w:r>
          </w:p>
        </w:tc>
        <w:tc>
          <w:tcPr>
            <w:tcW w:w="782" w:type="pct"/>
            <w:tcBorders>
              <w:top w:val="nil"/>
              <w:left w:val="nil"/>
              <w:bottom w:val="single" w:sz="4" w:space="0" w:color="auto"/>
              <w:right w:val="single" w:sz="4" w:space="0" w:color="auto"/>
            </w:tcBorders>
            <w:shd w:val="clear" w:color="auto" w:fill="auto"/>
            <w:noWrap/>
            <w:vAlign w:val="center"/>
            <w:hideMark/>
          </w:tcPr>
          <w:p w14:paraId="09D4AB96"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133.200</w:t>
            </w:r>
          </w:p>
        </w:tc>
        <w:tc>
          <w:tcPr>
            <w:tcW w:w="861" w:type="pct"/>
            <w:tcBorders>
              <w:top w:val="nil"/>
              <w:left w:val="nil"/>
              <w:bottom w:val="single" w:sz="4" w:space="0" w:color="auto"/>
              <w:right w:val="single" w:sz="4" w:space="0" w:color="auto"/>
            </w:tcBorders>
            <w:shd w:val="clear" w:color="auto" w:fill="auto"/>
            <w:noWrap/>
            <w:vAlign w:val="center"/>
            <w:hideMark/>
          </w:tcPr>
          <w:p w14:paraId="3EC75A4E"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50,00 %</w:t>
            </w:r>
          </w:p>
        </w:tc>
        <w:tc>
          <w:tcPr>
            <w:tcW w:w="700" w:type="pct"/>
            <w:tcBorders>
              <w:top w:val="nil"/>
              <w:left w:val="nil"/>
              <w:bottom w:val="single" w:sz="4" w:space="0" w:color="auto"/>
              <w:right w:val="single" w:sz="4" w:space="0" w:color="auto"/>
            </w:tcBorders>
            <w:shd w:val="clear" w:color="auto" w:fill="auto"/>
            <w:noWrap/>
            <w:vAlign w:val="center"/>
            <w:hideMark/>
          </w:tcPr>
          <w:p w14:paraId="00E040C0"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hAnsi="Arial" w:cs="Arial"/>
                <w:sz w:val="18"/>
                <w:szCs w:val="18"/>
              </w:rPr>
              <w:t>9,96 %</w:t>
            </w:r>
          </w:p>
        </w:tc>
      </w:tr>
      <w:tr w:rsidR="00072A69" w:rsidRPr="009342B4" w14:paraId="4343EBDD"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1FAB408A" w14:textId="77777777" w:rsidR="00072A69" w:rsidRPr="009342B4" w:rsidRDefault="00072A69" w:rsidP="00AC1F17">
            <w:pPr>
              <w:spacing w:after="0" w:line="240" w:lineRule="auto"/>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Storitve hotelov in restavracij</w:t>
            </w:r>
          </w:p>
        </w:tc>
        <w:tc>
          <w:tcPr>
            <w:tcW w:w="548" w:type="pct"/>
            <w:tcBorders>
              <w:top w:val="nil"/>
              <w:left w:val="nil"/>
              <w:bottom w:val="single" w:sz="4" w:space="0" w:color="auto"/>
              <w:right w:val="single" w:sz="4" w:space="0" w:color="auto"/>
            </w:tcBorders>
            <w:shd w:val="clear" w:color="auto" w:fill="auto"/>
            <w:noWrap/>
            <w:vAlign w:val="center"/>
            <w:hideMark/>
          </w:tcPr>
          <w:p w14:paraId="07D7B851"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w:t>
            </w:r>
          </w:p>
        </w:tc>
        <w:tc>
          <w:tcPr>
            <w:tcW w:w="782" w:type="pct"/>
            <w:tcBorders>
              <w:top w:val="nil"/>
              <w:left w:val="nil"/>
              <w:bottom w:val="single" w:sz="4" w:space="0" w:color="auto"/>
              <w:right w:val="single" w:sz="4" w:space="0" w:color="auto"/>
            </w:tcBorders>
            <w:shd w:val="clear" w:color="auto" w:fill="auto"/>
            <w:noWrap/>
            <w:vAlign w:val="center"/>
            <w:hideMark/>
          </w:tcPr>
          <w:p w14:paraId="79C6A828"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1.204.685</w:t>
            </w:r>
          </w:p>
        </w:tc>
        <w:tc>
          <w:tcPr>
            <w:tcW w:w="861" w:type="pct"/>
            <w:tcBorders>
              <w:top w:val="nil"/>
              <w:left w:val="nil"/>
              <w:bottom w:val="single" w:sz="4" w:space="0" w:color="auto"/>
              <w:right w:val="single" w:sz="4" w:space="0" w:color="auto"/>
            </w:tcBorders>
            <w:shd w:val="clear" w:color="auto" w:fill="auto"/>
            <w:noWrap/>
            <w:vAlign w:val="center"/>
            <w:hideMark/>
          </w:tcPr>
          <w:p w14:paraId="552DF13A"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eastAsia="Times New Roman" w:hAnsi="Arial" w:cs="Arial"/>
                <w:color w:val="000000"/>
                <w:sz w:val="18"/>
                <w:szCs w:val="18"/>
                <w:lang w:eastAsia="sl-SI"/>
              </w:rPr>
              <w:t>50,00 %</w:t>
            </w:r>
          </w:p>
        </w:tc>
        <w:tc>
          <w:tcPr>
            <w:tcW w:w="700" w:type="pct"/>
            <w:tcBorders>
              <w:top w:val="nil"/>
              <w:left w:val="nil"/>
              <w:bottom w:val="single" w:sz="4" w:space="0" w:color="auto"/>
              <w:right w:val="single" w:sz="4" w:space="0" w:color="auto"/>
            </w:tcBorders>
            <w:shd w:val="clear" w:color="auto" w:fill="auto"/>
            <w:noWrap/>
            <w:vAlign w:val="center"/>
            <w:hideMark/>
          </w:tcPr>
          <w:p w14:paraId="5E8C3115" w14:textId="77777777" w:rsidR="00072A69" w:rsidRPr="009342B4" w:rsidRDefault="00072A69" w:rsidP="00AC1F17">
            <w:pPr>
              <w:spacing w:after="0" w:line="240" w:lineRule="auto"/>
              <w:jc w:val="right"/>
              <w:rPr>
                <w:rFonts w:ascii="Arial" w:eastAsia="Times New Roman" w:hAnsi="Arial" w:cs="Arial"/>
                <w:color w:val="000000"/>
                <w:sz w:val="18"/>
                <w:szCs w:val="18"/>
                <w:lang w:eastAsia="sl-SI"/>
              </w:rPr>
            </w:pPr>
            <w:r w:rsidRPr="009342B4">
              <w:rPr>
                <w:rFonts w:ascii="Arial" w:hAnsi="Arial" w:cs="Arial"/>
                <w:sz w:val="18"/>
                <w:szCs w:val="18"/>
              </w:rPr>
              <w:t>90,04 %</w:t>
            </w:r>
          </w:p>
        </w:tc>
      </w:tr>
      <w:tr w:rsidR="00072A69" w:rsidRPr="009342B4" w14:paraId="20E200AF"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1FBC5315" w14:textId="77777777" w:rsidR="00072A69" w:rsidRPr="009342B4" w:rsidRDefault="00072A69" w:rsidP="00AC1F17">
            <w:pPr>
              <w:spacing w:after="0" w:line="240" w:lineRule="auto"/>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Skupaj</w:t>
            </w:r>
          </w:p>
        </w:tc>
        <w:tc>
          <w:tcPr>
            <w:tcW w:w="548" w:type="pct"/>
            <w:tcBorders>
              <w:top w:val="nil"/>
              <w:left w:val="nil"/>
              <w:bottom w:val="single" w:sz="4" w:space="0" w:color="auto"/>
              <w:right w:val="single" w:sz="4" w:space="0" w:color="auto"/>
            </w:tcBorders>
            <w:shd w:val="clear" w:color="auto" w:fill="E7E6E6" w:themeFill="background2"/>
            <w:noWrap/>
            <w:vAlign w:val="center"/>
            <w:hideMark/>
          </w:tcPr>
          <w:p w14:paraId="16CBFF49" w14:textId="77777777" w:rsidR="00072A69" w:rsidRPr="009342B4" w:rsidRDefault="00072A69" w:rsidP="00AC1F17">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2</w:t>
            </w:r>
          </w:p>
        </w:tc>
        <w:tc>
          <w:tcPr>
            <w:tcW w:w="782" w:type="pct"/>
            <w:tcBorders>
              <w:top w:val="nil"/>
              <w:left w:val="nil"/>
              <w:bottom w:val="single" w:sz="4" w:space="0" w:color="auto"/>
              <w:right w:val="single" w:sz="4" w:space="0" w:color="auto"/>
            </w:tcBorders>
            <w:shd w:val="clear" w:color="auto" w:fill="E7E6E6" w:themeFill="background2"/>
            <w:noWrap/>
            <w:vAlign w:val="center"/>
            <w:hideMark/>
          </w:tcPr>
          <w:p w14:paraId="2B0D3EE8" w14:textId="77777777" w:rsidR="00072A69" w:rsidRPr="009342B4" w:rsidRDefault="00072A69" w:rsidP="00AC1F17">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1.337.885</w:t>
            </w:r>
          </w:p>
        </w:tc>
        <w:tc>
          <w:tcPr>
            <w:tcW w:w="861" w:type="pct"/>
            <w:tcBorders>
              <w:top w:val="nil"/>
              <w:left w:val="nil"/>
              <w:bottom w:val="single" w:sz="4" w:space="0" w:color="auto"/>
              <w:right w:val="single" w:sz="4" w:space="0" w:color="auto"/>
            </w:tcBorders>
            <w:shd w:val="clear" w:color="auto" w:fill="E7E6E6" w:themeFill="background2"/>
            <w:noWrap/>
            <w:vAlign w:val="center"/>
            <w:hideMark/>
          </w:tcPr>
          <w:p w14:paraId="36330447" w14:textId="77777777" w:rsidR="00072A69" w:rsidRPr="009342B4" w:rsidRDefault="00072A69" w:rsidP="00AC1F17">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100,00 %</w:t>
            </w:r>
          </w:p>
        </w:tc>
        <w:tc>
          <w:tcPr>
            <w:tcW w:w="700" w:type="pct"/>
            <w:tcBorders>
              <w:top w:val="nil"/>
              <w:left w:val="nil"/>
              <w:bottom w:val="single" w:sz="4" w:space="0" w:color="auto"/>
              <w:right w:val="single" w:sz="4" w:space="0" w:color="auto"/>
            </w:tcBorders>
            <w:shd w:val="clear" w:color="auto" w:fill="E7E6E6" w:themeFill="background2"/>
            <w:noWrap/>
            <w:vAlign w:val="center"/>
            <w:hideMark/>
          </w:tcPr>
          <w:p w14:paraId="5E37E1E5" w14:textId="77777777" w:rsidR="00072A69" w:rsidRPr="009342B4" w:rsidRDefault="00072A69" w:rsidP="00AC1F17">
            <w:pPr>
              <w:spacing w:after="0" w:line="240" w:lineRule="auto"/>
              <w:jc w:val="right"/>
              <w:rPr>
                <w:rFonts w:ascii="Arial" w:eastAsia="Times New Roman" w:hAnsi="Arial" w:cs="Arial"/>
                <w:b/>
                <w:bCs/>
                <w:color w:val="000000"/>
                <w:sz w:val="18"/>
                <w:szCs w:val="18"/>
                <w:lang w:eastAsia="sl-SI"/>
              </w:rPr>
            </w:pPr>
            <w:r w:rsidRPr="009342B4">
              <w:rPr>
                <w:rFonts w:ascii="Arial" w:eastAsia="Times New Roman" w:hAnsi="Arial" w:cs="Arial"/>
                <w:b/>
                <w:bCs/>
                <w:color w:val="000000"/>
                <w:sz w:val="18"/>
                <w:szCs w:val="18"/>
                <w:lang w:eastAsia="sl-SI"/>
              </w:rPr>
              <w:t>100,00 %</w:t>
            </w:r>
          </w:p>
        </w:tc>
      </w:tr>
    </w:tbl>
    <w:p w14:paraId="19410208" w14:textId="77777777" w:rsidR="00072A69" w:rsidRPr="00EF2D0B" w:rsidRDefault="00072A69" w:rsidP="00072A69">
      <w:pPr>
        <w:spacing w:before="120" w:after="120" w:line="240" w:lineRule="auto"/>
        <w:jc w:val="both"/>
        <w:rPr>
          <w:rFonts w:ascii="Arial" w:hAnsi="Arial" w:cs="Arial"/>
          <w:sz w:val="20"/>
          <w:highlight w:val="yellow"/>
        </w:rPr>
      </w:pPr>
    </w:p>
    <w:p w14:paraId="6DF7B92E" w14:textId="2F62F25D" w:rsidR="00072A69" w:rsidRPr="002123D7" w:rsidRDefault="00072A69" w:rsidP="00072A69">
      <w:pPr>
        <w:spacing w:before="120" w:after="120" w:line="240" w:lineRule="auto"/>
        <w:jc w:val="both"/>
        <w:rPr>
          <w:rFonts w:ascii="Arial" w:hAnsi="Arial" w:cs="Arial"/>
          <w:sz w:val="20"/>
        </w:rPr>
      </w:pPr>
      <w:r w:rsidRPr="002123D7">
        <w:rPr>
          <w:rFonts w:ascii="Arial" w:hAnsi="Arial" w:cs="Arial"/>
          <w:sz w:val="20"/>
        </w:rPr>
        <w:t xml:space="preserve">Preglednica </w:t>
      </w:r>
      <w:r w:rsidR="005711E8">
        <w:rPr>
          <w:rFonts w:ascii="Arial" w:hAnsi="Arial" w:cs="Arial"/>
          <w:sz w:val="20"/>
        </w:rPr>
        <w:t>79</w:t>
      </w:r>
      <w:r w:rsidRPr="002123D7">
        <w:rPr>
          <w:rFonts w:ascii="Arial" w:hAnsi="Arial" w:cs="Arial"/>
          <w:sz w:val="20"/>
        </w:rPr>
        <w:t xml:space="preserve">: Socialne in druge posebne storitve glede na poreklo ponudnika in kategorije storitve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4"/>
        <w:gridCol w:w="3851"/>
        <w:gridCol w:w="1006"/>
        <w:gridCol w:w="1160"/>
        <w:gridCol w:w="1028"/>
        <w:gridCol w:w="953"/>
      </w:tblGrid>
      <w:tr w:rsidR="00072A69" w:rsidRPr="002123D7" w14:paraId="70B2B5A8" w14:textId="77777777" w:rsidTr="00AC1F17">
        <w:trPr>
          <w:trHeight w:val="720"/>
          <w:jc w:val="center"/>
        </w:trPr>
        <w:tc>
          <w:tcPr>
            <w:tcW w:w="587" w:type="pct"/>
            <w:shd w:val="clear" w:color="000000" w:fill="EDEDED"/>
            <w:vAlign w:val="center"/>
            <w:hideMark/>
          </w:tcPr>
          <w:p w14:paraId="53881677"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Poreklo ponudnika</w:t>
            </w:r>
          </w:p>
        </w:tc>
        <w:tc>
          <w:tcPr>
            <w:tcW w:w="2125" w:type="pct"/>
            <w:shd w:val="clear" w:color="000000" w:fill="EDEDED"/>
            <w:vAlign w:val="center"/>
            <w:hideMark/>
          </w:tcPr>
          <w:p w14:paraId="26D2BDB5"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Kategorija storitve</w:t>
            </w:r>
          </w:p>
        </w:tc>
        <w:tc>
          <w:tcPr>
            <w:tcW w:w="555" w:type="pct"/>
            <w:shd w:val="clear" w:color="000000" w:fill="EDEDED"/>
            <w:vAlign w:val="center"/>
            <w:hideMark/>
          </w:tcPr>
          <w:p w14:paraId="7DC4807F"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Št. naročil</w:t>
            </w:r>
          </w:p>
        </w:tc>
        <w:tc>
          <w:tcPr>
            <w:tcW w:w="640" w:type="pct"/>
            <w:shd w:val="clear" w:color="000000" w:fill="EDEDED"/>
            <w:vAlign w:val="center"/>
            <w:hideMark/>
          </w:tcPr>
          <w:p w14:paraId="76828DBB"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Pogodbena vrednost</w:t>
            </w:r>
          </w:p>
        </w:tc>
        <w:tc>
          <w:tcPr>
            <w:tcW w:w="567" w:type="pct"/>
            <w:shd w:val="clear" w:color="000000" w:fill="EDEDED"/>
            <w:vAlign w:val="center"/>
            <w:hideMark/>
          </w:tcPr>
          <w:p w14:paraId="09843A0B"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Delež v št. naročil</w:t>
            </w:r>
          </w:p>
        </w:tc>
        <w:tc>
          <w:tcPr>
            <w:tcW w:w="526" w:type="pct"/>
            <w:shd w:val="clear" w:color="000000" w:fill="EDEDED"/>
            <w:vAlign w:val="center"/>
            <w:hideMark/>
          </w:tcPr>
          <w:p w14:paraId="30B37C42"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Delež v vrednosti</w:t>
            </w:r>
          </w:p>
        </w:tc>
      </w:tr>
      <w:tr w:rsidR="00072A69" w:rsidRPr="002123D7" w14:paraId="0F4FC925" w14:textId="77777777" w:rsidTr="00AC1F17">
        <w:trPr>
          <w:trHeight w:val="300"/>
          <w:jc w:val="center"/>
        </w:trPr>
        <w:tc>
          <w:tcPr>
            <w:tcW w:w="587" w:type="pct"/>
            <w:vMerge w:val="restart"/>
            <w:shd w:val="clear" w:color="auto" w:fill="auto"/>
            <w:noWrap/>
            <w:vAlign w:val="center"/>
            <w:hideMark/>
          </w:tcPr>
          <w:p w14:paraId="12EFEB64" w14:textId="77777777" w:rsidR="00072A69" w:rsidRPr="002123D7" w:rsidRDefault="00072A69" w:rsidP="00AC1F17">
            <w:pPr>
              <w:spacing w:after="0" w:line="240" w:lineRule="auto"/>
              <w:jc w:val="center"/>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Slovenija</w:t>
            </w:r>
          </w:p>
        </w:tc>
        <w:tc>
          <w:tcPr>
            <w:tcW w:w="2125" w:type="pct"/>
            <w:shd w:val="clear" w:color="auto" w:fill="auto"/>
            <w:noWrap/>
            <w:vAlign w:val="center"/>
            <w:hideMark/>
          </w:tcPr>
          <w:p w14:paraId="19260A76" w14:textId="77777777" w:rsidR="00072A69" w:rsidRPr="002123D7" w:rsidRDefault="00072A69" w:rsidP="00AC1F17">
            <w:pPr>
              <w:spacing w:after="0" w:line="240" w:lineRule="auto"/>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Zdravstvene, socialne in sorodne storitve</w:t>
            </w:r>
          </w:p>
        </w:tc>
        <w:tc>
          <w:tcPr>
            <w:tcW w:w="555" w:type="pct"/>
            <w:shd w:val="clear" w:color="auto" w:fill="auto"/>
            <w:noWrap/>
            <w:vAlign w:val="center"/>
          </w:tcPr>
          <w:p w14:paraId="636C0E02"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1</w:t>
            </w:r>
          </w:p>
        </w:tc>
        <w:tc>
          <w:tcPr>
            <w:tcW w:w="640" w:type="pct"/>
            <w:shd w:val="clear" w:color="auto" w:fill="auto"/>
            <w:noWrap/>
            <w:vAlign w:val="center"/>
          </w:tcPr>
          <w:p w14:paraId="436244F5"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133.200</w:t>
            </w:r>
          </w:p>
        </w:tc>
        <w:tc>
          <w:tcPr>
            <w:tcW w:w="567" w:type="pct"/>
            <w:shd w:val="clear" w:color="auto" w:fill="auto"/>
            <w:noWrap/>
            <w:vAlign w:val="center"/>
          </w:tcPr>
          <w:p w14:paraId="2BFC49DD"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50,00 %</w:t>
            </w:r>
          </w:p>
        </w:tc>
        <w:tc>
          <w:tcPr>
            <w:tcW w:w="526" w:type="pct"/>
            <w:shd w:val="clear" w:color="auto" w:fill="auto"/>
            <w:noWrap/>
            <w:vAlign w:val="center"/>
          </w:tcPr>
          <w:p w14:paraId="08AA7B7B"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hAnsi="Arial" w:cs="Arial"/>
                <w:sz w:val="18"/>
                <w:szCs w:val="18"/>
              </w:rPr>
              <w:t>9,96 %</w:t>
            </w:r>
          </w:p>
        </w:tc>
      </w:tr>
      <w:tr w:rsidR="00072A69" w:rsidRPr="002123D7" w14:paraId="6C015C8D" w14:textId="77777777" w:rsidTr="00AC1F17">
        <w:trPr>
          <w:trHeight w:val="300"/>
          <w:jc w:val="center"/>
        </w:trPr>
        <w:tc>
          <w:tcPr>
            <w:tcW w:w="587" w:type="pct"/>
            <w:vMerge/>
            <w:vAlign w:val="center"/>
            <w:hideMark/>
          </w:tcPr>
          <w:p w14:paraId="02E45169" w14:textId="77777777" w:rsidR="00072A69" w:rsidRPr="002123D7" w:rsidRDefault="00072A69" w:rsidP="00AC1F17">
            <w:pPr>
              <w:spacing w:after="0" w:line="240" w:lineRule="auto"/>
              <w:rPr>
                <w:rFonts w:ascii="Arial" w:eastAsia="Times New Roman" w:hAnsi="Arial" w:cs="Arial"/>
                <w:color w:val="000000"/>
                <w:sz w:val="18"/>
                <w:szCs w:val="18"/>
                <w:lang w:eastAsia="sl-SI"/>
              </w:rPr>
            </w:pPr>
          </w:p>
        </w:tc>
        <w:tc>
          <w:tcPr>
            <w:tcW w:w="2125" w:type="pct"/>
            <w:shd w:val="clear" w:color="auto" w:fill="auto"/>
            <w:noWrap/>
            <w:vAlign w:val="center"/>
            <w:hideMark/>
          </w:tcPr>
          <w:p w14:paraId="0C13C8C5" w14:textId="77777777" w:rsidR="00072A69" w:rsidRPr="002123D7" w:rsidRDefault="00072A69" w:rsidP="00AC1F17">
            <w:pPr>
              <w:spacing w:after="0" w:line="240" w:lineRule="auto"/>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Storitve hotelov in restavracij</w:t>
            </w:r>
          </w:p>
        </w:tc>
        <w:tc>
          <w:tcPr>
            <w:tcW w:w="555" w:type="pct"/>
            <w:shd w:val="clear" w:color="auto" w:fill="auto"/>
            <w:noWrap/>
            <w:vAlign w:val="center"/>
          </w:tcPr>
          <w:p w14:paraId="6E09D3B4"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1</w:t>
            </w:r>
          </w:p>
        </w:tc>
        <w:tc>
          <w:tcPr>
            <w:tcW w:w="640" w:type="pct"/>
            <w:shd w:val="clear" w:color="auto" w:fill="auto"/>
            <w:noWrap/>
            <w:vAlign w:val="center"/>
          </w:tcPr>
          <w:p w14:paraId="0A0BA2AF"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1.204.685</w:t>
            </w:r>
          </w:p>
        </w:tc>
        <w:tc>
          <w:tcPr>
            <w:tcW w:w="567" w:type="pct"/>
            <w:shd w:val="clear" w:color="auto" w:fill="auto"/>
            <w:noWrap/>
            <w:vAlign w:val="center"/>
          </w:tcPr>
          <w:p w14:paraId="7B6CD954"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eastAsia="Times New Roman" w:hAnsi="Arial" w:cs="Arial"/>
                <w:color w:val="000000"/>
                <w:sz w:val="18"/>
                <w:szCs w:val="18"/>
                <w:lang w:eastAsia="sl-SI"/>
              </w:rPr>
              <w:t>50,00 %</w:t>
            </w:r>
          </w:p>
        </w:tc>
        <w:tc>
          <w:tcPr>
            <w:tcW w:w="526" w:type="pct"/>
            <w:shd w:val="clear" w:color="auto" w:fill="auto"/>
            <w:noWrap/>
            <w:vAlign w:val="center"/>
          </w:tcPr>
          <w:p w14:paraId="19DA6FD7" w14:textId="77777777" w:rsidR="00072A69" w:rsidRPr="002123D7" w:rsidRDefault="00072A69" w:rsidP="00AC1F17">
            <w:pPr>
              <w:spacing w:after="0" w:line="240" w:lineRule="auto"/>
              <w:jc w:val="right"/>
              <w:rPr>
                <w:rFonts w:ascii="Arial" w:eastAsia="Times New Roman" w:hAnsi="Arial" w:cs="Arial"/>
                <w:color w:val="000000"/>
                <w:sz w:val="18"/>
                <w:szCs w:val="18"/>
                <w:lang w:eastAsia="sl-SI"/>
              </w:rPr>
            </w:pPr>
            <w:r w:rsidRPr="002123D7">
              <w:rPr>
                <w:rFonts w:ascii="Arial" w:hAnsi="Arial" w:cs="Arial"/>
                <w:sz w:val="18"/>
                <w:szCs w:val="18"/>
              </w:rPr>
              <w:t>90,04 %</w:t>
            </w:r>
          </w:p>
        </w:tc>
      </w:tr>
      <w:tr w:rsidR="00072A69" w:rsidRPr="002123D7" w14:paraId="346EF519" w14:textId="77777777" w:rsidTr="00AC1F17">
        <w:trPr>
          <w:trHeight w:val="300"/>
          <w:jc w:val="center"/>
        </w:trPr>
        <w:tc>
          <w:tcPr>
            <w:tcW w:w="2712" w:type="pct"/>
            <w:gridSpan w:val="2"/>
            <w:shd w:val="clear" w:color="auto" w:fill="E7E6E6" w:themeFill="background2"/>
            <w:noWrap/>
            <w:vAlign w:val="center"/>
            <w:hideMark/>
          </w:tcPr>
          <w:p w14:paraId="0B487813" w14:textId="77777777" w:rsidR="00072A69" w:rsidRPr="002123D7" w:rsidRDefault="00072A69" w:rsidP="00AC1F17">
            <w:pPr>
              <w:spacing w:after="0" w:line="240" w:lineRule="auto"/>
              <w:rPr>
                <w:rFonts w:ascii="Arial" w:eastAsia="Times New Roman" w:hAnsi="Arial" w:cs="Arial"/>
                <w:b/>
                <w:bCs/>
                <w:color w:val="000000"/>
                <w:sz w:val="18"/>
                <w:szCs w:val="18"/>
                <w:lang w:eastAsia="sl-SI"/>
              </w:rPr>
            </w:pPr>
            <w:r w:rsidRPr="002123D7">
              <w:rPr>
                <w:rFonts w:ascii="Arial" w:eastAsia="Times New Roman" w:hAnsi="Arial" w:cs="Arial"/>
                <w:b/>
                <w:bCs/>
                <w:color w:val="000000"/>
                <w:sz w:val="18"/>
                <w:szCs w:val="18"/>
                <w:lang w:eastAsia="sl-SI"/>
              </w:rPr>
              <w:t>Skupaj</w:t>
            </w:r>
          </w:p>
        </w:tc>
        <w:tc>
          <w:tcPr>
            <w:tcW w:w="555" w:type="pct"/>
            <w:shd w:val="clear" w:color="auto" w:fill="E7E6E6" w:themeFill="background2"/>
            <w:noWrap/>
            <w:vAlign w:val="center"/>
          </w:tcPr>
          <w:p w14:paraId="76332546" w14:textId="77777777" w:rsidR="00072A69" w:rsidRPr="002123D7" w:rsidRDefault="00072A69" w:rsidP="00AC1F17">
            <w:pPr>
              <w:spacing w:after="0" w:line="240" w:lineRule="auto"/>
              <w:jc w:val="right"/>
              <w:rPr>
                <w:rFonts w:ascii="Arial" w:eastAsia="Times New Roman" w:hAnsi="Arial" w:cs="Arial"/>
                <w:b/>
                <w:bCs/>
                <w:color w:val="000000"/>
                <w:sz w:val="18"/>
                <w:szCs w:val="18"/>
                <w:lang w:eastAsia="sl-SI"/>
              </w:rPr>
            </w:pPr>
            <w:r w:rsidRPr="002123D7">
              <w:rPr>
                <w:rFonts w:ascii="Arial" w:eastAsia="Times New Roman" w:hAnsi="Arial" w:cs="Arial"/>
                <w:b/>
                <w:bCs/>
                <w:color w:val="000000"/>
                <w:sz w:val="18"/>
                <w:szCs w:val="18"/>
                <w:lang w:eastAsia="sl-SI"/>
              </w:rPr>
              <w:t>2</w:t>
            </w:r>
          </w:p>
        </w:tc>
        <w:tc>
          <w:tcPr>
            <w:tcW w:w="640" w:type="pct"/>
            <w:shd w:val="clear" w:color="auto" w:fill="E7E6E6" w:themeFill="background2"/>
            <w:noWrap/>
            <w:vAlign w:val="center"/>
          </w:tcPr>
          <w:p w14:paraId="2329ED5C" w14:textId="77777777" w:rsidR="00072A69" w:rsidRPr="002123D7" w:rsidRDefault="00072A69" w:rsidP="00AC1F17">
            <w:pPr>
              <w:spacing w:after="0" w:line="240" w:lineRule="auto"/>
              <w:jc w:val="right"/>
              <w:rPr>
                <w:rFonts w:ascii="Arial" w:eastAsia="Times New Roman" w:hAnsi="Arial" w:cs="Arial"/>
                <w:b/>
                <w:bCs/>
                <w:color w:val="000000"/>
                <w:sz w:val="18"/>
                <w:szCs w:val="18"/>
                <w:lang w:eastAsia="sl-SI"/>
              </w:rPr>
            </w:pPr>
            <w:r w:rsidRPr="002123D7">
              <w:rPr>
                <w:rFonts w:ascii="Arial" w:eastAsia="Times New Roman" w:hAnsi="Arial" w:cs="Arial"/>
                <w:b/>
                <w:bCs/>
                <w:color w:val="000000"/>
                <w:sz w:val="18"/>
                <w:szCs w:val="18"/>
                <w:lang w:eastAsia="sl-SI"/>
              </w:rPr>
              <w:t>1.337.885</w:t>
            </w:r>
          </w:p>
        </w:tc>
        <w:tc>
          <w:tcPr>
            <w:tcW w:w="567" w:type="pct"/>
            <w:shd w:val="clear" w:color="auto" w:fill="E7E6E6" w:themeFill="background2"/>
            <w:noWrap/>
            <w:vAlign w:val="center"/>
          </w:tcPr>
          <w:p w14:paraId="1A83B0E0" w14:textId="77777777" w:rsidR="00072A69" w:rsidRPr="002123D7" w:rsidRDefault="00072A69" w:rsidP="00AC1F17">
            <w:pPr>
              <w:spacing w:after="0" w:line="240" w:lineRule="auto"/>
              <w:jc w:val="right"/>
              <w:rPr>
                <w:rFonts w:ascii="Arial" w:eastAsia="Times New Roman" w:hAnsi="Arial" w:cs="Arial"/>
                <w:b/>
                <w:bCs/>
                <w:color w:val="000000"/>
                <w:sz w:val="18"/>
                <w:szCs w:val="18"/>
                <w:lang w:eastAsia="sl-SI"/>
              </w:rPr>
            </w:pPr>
            <w:r w:rsidRPr="002123D7">
              <w:rPr>
                <w:rFonts w:ascii="Arial" w:eastAsia="Times New Roman" w:hAnsi="Arial" w:cs="Arial"/>
                <w:b/>
                <w:bCs/>
                <w:color w:val="000000"/>
                <w:sz w:val="18"/>
                <w:szCs w:val="18"/>
                <w:lang w:eastAsia="sl-SI"/>
              </w:rPr>
              <w:t>100,00 %</w:t>
            </w:r>
          </w:p>
        </w:tc>
        <w:tc>
          <w:tcPr>
            <w:tcW w:w="526" w:type="pct"/>
            <w:shd w:val="clear" w:color="auto" w:fill="E7E6E6" w:themeFill="background2"/>
            <w:noWrap/>
            <w:vAlign w:val="center"/>
          </w:tcPr>
          <w:p w14:paraId="49253BAB" w14:textId="77777777" w:rsidR="00072A69" w:rsidRPr="002123D7" w:rsidRDefault="00072A69" w:rsidP="00AC1F17">
            <w:pPr>
              <w:spacing w:after="0" w:line="240" w:lineRule="auto"/>
              <w:jc w:val="right"/>
              <w:rPr>
                <w:rFonts w:ascii="Arial" w:eastAsia="Times New Roman" w:hAnsi="Arial" w:cs="Arial"/>
                <w:b/>
                <w:bCs/>
                <w:color w:val="000000"/>
                <w:sz w:val="18"/>
                <w:szCs w:val="18"/>
                <w:lang w:eastAsia="sl-SI"/>
              </w:rPr>
            </w:pPr>
            <w:r w:rsidRPr="002123D7">
              <w:rPr>
                <w:rFonts w:ascii="Arial" w:eastAsia="Times New Roman" w:hAnsi="Arial" w:cs="Arial"/>
                <w:b/>
                <w:bCs/>
                <w:color w:val="000000"/>
                <w:sz w:val="18"/>
                <w:szCs w:val="18"/>
                <w:lang w:eastAsia="sl-SI"/>
              </w:rPr>
              <w:t>100,00 %</w:t>
            </w:r>
          </w:p>
        </w:tc>
      </w:tr>
    </w:tbl>
    <w:p w14:paraId="1FBDA217" w14:textId="77777777" w:rsidR="00072A69" w:rsidRPr="00EF2D0B" w:rsidRDefault="00072A69" w:rsidP="00072A69">
      <w:pPr>
        <w:spacing w:before="120" w:after="120" w:line="240" w:lineRule="auto"/>
        <w:jc w:val="both"/>
        <w:rPr>
          <w:rFonts w:ascii="Arial" w:hAnsi="Arial" w:cs="Arial"/>
          <w:sz w:val="20"/>
          <w:highlight w:val="yellow"/>
        </w:rPr>
      </w:pPr>
    </w:p>
    <w:p w14:paraId="4900164F" w14:textId="6DDA2BD2" w:rsidR="00072A69" w:rsidRPr="008023FE" w:rsidRDefault="00072A69" w:rsidP="00072A69">
      <w:pPr>
        <w:spacing w:before="120" w:after="120" w:line="240" w:lineRule="auto"/>
        <w:jc w:val="both"/>
        <w:rPr>
          <w:rFonts w:ascii="Arial" w:hAnsi="Arial" w:cs="Arial"/>
          <w:sz w:val="20"/>
        </w:rPr>
      </w:pPr>
      <w:bookmarkStart w:id="66" w:name="_Toc398038709"/>
      <w:bookmarkStart w:id="67" w:name="_Toc398040188"/>
      <w:bookmarkStart w:id="68" w:name="_Toc398584426"/>
      <w:bookmarkStart w:id="69" w:name="_Toc461086443"/>
      <w:bookmarkStart w:id="70" w:name="_Toc461608815"/>
      <w:bookmarkStart w:id="71" w:name="_Toc462401234"/>
      <w:r w:rsidRPr="008023FE">
        <w:rPr>
          <w:rFonts w:ascii="Arial" w:hAnsi="Arial" w:cs="Arial"/>
          <w:sz w:val="20"/>
        </w:rPr>
        <w:t>Preglednica 8</w:t>
      </w:r>
      <w:r w:rsidR="00D23EC0">
        <w:rPr>
          <w:rFonts w:ascii="Arial" w:hAnsi="Arial" w:cs="Arial"/>
          <w:sz w:val="20"/>
        </w:rPr>
        <w:t>0</w:t>
      </w:r>
      <w:r w:rsidRPr="008023FE">
        <w:rPr>
          <w:rFonts w:ascii="Arial" w:hAnsi="Arial" w:cs="Arial"/>
          <w:sz w:val="20"/>
        </w:rPr>
        <w:t>: Izvedeni postopki za sklenitev okvirnega sporazuma</w:t>
      </w:r>
      <w:bookmarkEnd w:id="63"/>
      <w:bookmarkEnd w:id="64"/>
      <w:bookmarkEnd w:id="65"/>
      <w:r w:rsidRPr="008023FE">
        <w:rPr>
          <w:rFonts w:ascii="Arial" w:hAnsi="Arial" w:cs="Arial"/>
          <w:sz w:val="20"/>
        </w:rPr>
        <w:t xml:space="preserve"> glede na področje in predmet naroč</w:t>
      </w:r>
      <w:bookmarkEnd w:id="66"/>
      <w:bookmarkEnd w:id="67"/>
      <w:bookmarkEnd w:id="68"/>
      <w:bookmarkEnd w:id="69"/>
      <w:bookmarkEnd w:id="70"/>
      <w:bookmarkEnd w:id="71"/>
      <w:r w:rsidRPr="008023FE">
        <w:rPr>
          <w:rFonts w:ascii="Arial" w:hAnsi="Arial" w:cs="Arial"/>
          <w:sz w:val="20"/>
        </w:rPr>
        <w:t>anja</w:t>
      </w:r>
    </w:p>
    <w:tbl>
      <w:tblPr>
        <w:tblW w:w="5000" w:type="pct"/>
        <w:tblCellMar>
          <w:left w:w="70" w:type="dxa"/>
          <w:right w:w="70" w:type="dxa"/>
        </w:tblCellMar>
        <w:tblLook w:val="04A0" w:firstRow="1" w:lastRow="0" w:firstColumn="1" w:lastColumn="0" w:noHBand="0" w:noVBand="1"/>
      </w:tblPr>
      <w:tblGrid>
        <w:gridCol w:w="1979"/>
        <w:gridCol w:w="1419"/>
        <w:gridCol w:w="1700"/>
        <w:gridCol w:w="1642"/>
        <w:gridCol w:w="2322"/>
      </w:tblGrid>
      <w:tr w:rsidR="00072A69" w:rsidRPr="008023FE" w14:paraId="2EAD2241" w14:textId="77777777" w:rsidTr="00C320EE">
        <w:trPr>
          <w:trHeight w:val="300"/>
          <w:tblHeader/>
        </w:trPr>
        <w:tc>
          <w:tcPr>
            <w:tcW w:w="1092"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364B941"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bookmarkStart w:id="72" w:name="_Toc398038710"/>
            <w:bookmarkStart w:id="73" w:name="_Toc398040189"/>
            <w:bookmarkStart w:id="74" w:name="_Toc398584427"/>
            <w:r w:rsidRPr="008023FE">
              <w:rPr>
                <w:rFonts w:ascii="Arial" w:eastAsia="Times New Roman" w:hAnsi="Arial" w:cs="Arial"/>
                <w:color w:val="000000"/>
                <w:sz w:val="18"/>
                <w:szCs w:val="18"/>
                <w:lang w:eastAsia="sl-SI"/>
              </w:rPr>
              <w:t>Področje</w:t>
            </w:r>
          </w:p>
        </w:tc>
        <w:tc>
          <w:tcPr>
            <w:tcW w:w="782" w:type="pct"/>
            <w:tcBorders>
              <w:top w:val="single" w:sz="4" w:space="0" w:color="auto"/>
              <w:left w:val="nil"/>
              <w:bottom w:val="single" w:sz="4" w:space="0" w:color="auto"/>
              <w:right w:val="single" w:sz="4" w:space="0" w:color="auto"/>
            </w:tcBorders>
            <w:shd w:val="clear" w:color="000000" w:fill="EDEDED"/>
            <w:noWrap/>
            <w:vAlign w:val="center"/>
            <w:hideMark/>
          </w:tcPr>
          <w:p w14:paraId="6A23C34F"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Predmet</w:t>
            </w:r>
          </w:p>
        </w:tc>
        <w:tc>
          <w:tcPr>
            <w:tcW w:w="938" w:type="pct"/>
            <w:tcBorders>
              <w:top w:val="single" w:sz="4" w:space="0" w:color="auto"/>
              <w:left w:val="nil"/>
              <w:bottom w:val="single" w:sz="4" w:space="0" w:color="auto"/>
              <w:right w:val="single" w:sz="4" w:space="0" w:color="auto"/>
            </w:tcBorders>
            <w:shd w:val="clear" w:color="000000" w:fill="EDEDED"/>
            <w:noWrap/>
            <w:vAlign w:val="center"/>
            <w:hideMark/>
          </w:tcPr>
          <w:p w14:paraId="79089F96"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Št. postopkov</w:t>
            </w:r>
          </w:p>
        </w:tc>
        <w:tc>
          <w:tcPr>
            <w:tcW w:w="906" w:type="pct"/>
            <w:tcBorders>
              <w:top w:val="single" w:sz="4" w:space="0" w:color="auto"/>
              <w:left w:val="nil"/>
              <w:bottom w:val="single" w:sz="4" w:space="0" w:color="auto"/>
              <w:right w:val="single" w:sz="4" w:space="0" w:color="auto"/>
            </w:tcBorders>
            <w:shd w:val="clear" w:color="000000" w:fill="EDEDED"/>
            <w:noWrap/>
            <w:vAlign w:val="center"/>
            <w:hideMark/>
          </w:tcPr>
          <w:p w14:paraId="5ADF414A"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Št. naročil</w:t>
            </w:r>
          </w:p>
        </w:tc>
        <w:tc>
          <w:tcPr>
            <w:tcW w:w="1281" w:type="pct"/>
            <w:tcBorders>
              <w:top w:val="single" w:sz="4" w:space="0" w:color="auto"/>
              <w:left w:val="nil"/>
              <w:bottom w:val="single" w:sz="4" w:space="0" w:color="auto"/>
              <w:right w:val="single" w:sz="4" w:space="0" w:color="auto"/>
            </w:tcBorders>
            <w:shd w:val="clear" w:color="000000" w:fill="EDEDED"/>
            <w:noWrap/>
            <w:vAlign w:val="center"/>
            <w:hideMark/>
          </w:tcPr>
          <w:p w14:paraId="41D8A134"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Pogodbena vrednost</w:t>
            </w:r>
          </w:p>
        </w:tc>
      </w:tr>
      <w:tr w:rsidR="00072A69" w:rsidRPr="008023FE" w14:paraId="4DDB8497" w14:textId="77777777" w:rsidTr="00AC1F17">
        <w:trPr>
          <w:trHeight w:val="300"/>
        </w:trPr>
        <w:tc>
          <w:tcPr>
            <w:tcW w:w="1092" w:type="pct"/>
            <w:vMerge w:val="restart"/>
            <w:tcBorders>
              <w:top w:val="nil"/>
              <w:left w:val="single" w:sz="4" w:space="0" w:color="auto"/>
              <w:bottom w:val="single" w:sz="4" w:space="0" w:color="auto"/>
              <w:right w:val="single" w:sz="4" w:space="0" w:color="auto"/>
            </w:tcBorders>
            <w:shd w:val="clear" w:color="auto" w:fill="auto"/>
            <w:vAlign w:val="center"/>
            <w:hideMark/>
          </w:tcPr>
          <w:p w14:paraId="4307F3B3"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Splošno</w:t>
            </w:r>
          </w:p>
        </w:tc>
        <w:tc>
          <w:tcPr>
            <w:tcW w:w="782" w:type="pct"/>
            <w:tcBorders>
              <w:top w:val="nil"/>
              <w:left w:val="nil"/>
              <w:bottom w:val="single" w:sz="4" w:space="0" w:color="auto"/>
              <w:right w:val="single" w:sz="4" w:space="0" w:color="auto"/>
            </w:tcBorders>
            <w:shd w:val="clear" w:color="auto" w:fill="auto"/>
            <w:vAlign w:val="center"/>
            <w:hideMark/>
          </w:tcPr>
          <w:p w14:paraId="231CFCEF"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Blago</w:t>
            </w:r>
          </w:p>
        </w:tc>
        <w:tc>
          <w:tcPr>
            <w:tcW w:w="938" w:type="pct"/>
            <w:tcBorders>
              <w:top w:val="nil"/>
              <w:left w:val="nil"/>
              <w:bottom w:val="single" w:sz="4" w:space="0" w:color="auto"/>
              <w:right w:val="single" w:sz="4" w:space="0" w:color="auto"/>
            </w:tcBorders>
            <w:shd w:val="clear" w:color="auto" w:fill="auto"/>
            <w:vAlign w:val="center"/>
            <w:hideMark/>
          </w:tcPr>
          <w:p w14:paraId="2A202DAC"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547</w:t>
            </w:r>
          </w:p>
        </w:tc>
        <w:tc>
          <w:tcPr>
            <w:tcW w:w="906" w:type="pct"/>
            <w:tcBorders>
              <w:top w:val="nil"/>
              <w:left w:val="nil"/>
              <w:bottom w:val="single" w:sz="4" w:space="0" w:color="auto"/>
              <w:right w:val="single" w:sz="4" w:space="0" w:color="auto"/>
            </w:tcBorders>
            <w:shd w:val="clear" w:color="auto" w:fill="auto"/>
            <w:vAlign w:val="center"/>
            <w:hideMark/>
          </w:tcPr>
          <w:p w14:paraId="2F84F8F3"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5.402</w:t>
            </w:r>
          </w:p>
        </w:tc>
        <w:tc>
          <w:tcPr>
            <w:tcW w:w="1281" w:type="pct"/>
            <w:tcBorders>
              <w:top w:val="nil"/>
              <w:left w:val="nil"/>
              <w:bottom w:val="single" w:sz="4" w:space="0" w:color="auto"/>
              <w:right w:val="single" w:sz="4" w:space="0" w:color="auto"/>
            </w:tcBorders>
            <w:shd w:val="clear" w:color="auto" w:fill="auto"/>
            <w:vAlign w:val="center"/>
            <w:hideMark/>
          </w:tcPr>
          <w:p w14:paraId="1B4F5779"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332.558.171</w:t>
            </w:r>
          </w:p>
        </w:tc>
      </w:tr>
      <w:tr w:rsidR="00072A69" w:rsidRPr="008023FE" w14:paraId="4AACBD0A" w14:textId="77777777" w:rsidTr="00AC1F17">
        <w:trPr>
          <w:trHeight w:val="300"/>
        </w:trPr>
        <w:tc>
          <w:tcPr>
            <w:tcW w:w="1092" w:type="pct"/>
            <w:vMerge/>
            <w:tcBorders>
              <w:top w:val="nil"/>
              <w:left w:val="single" w:sz="4" w:space="0" w:color="auto"/>
              <w:bottom w:val="single" w:sz="4" w:space="0" w:color="auto"/>
              <w:right w:val="single" w:sz="4" w:space="0" w:color="auto"/>
            </w:tcBorders>
            <w:vAlign w:val="center"/>
            <w:hideMark/>
          </w:tcPr>
          <w:p w14:paraId="797A6134"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66F00B9D"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Storitve</w:t>
            </w:r>
          </w:p>
        </w:tc>
        <w:tc>
          <w:tcPr>
            <w:tcW w:w="938" w:type="pct"/>
            <w:tcBorders>
              <w:top w:val="nil"/>
              <w:left w:val="nil"/>
              <w:bottom w:val="single" w:sz="4" w:space="0" w:color="auto"/>
              <w:right w:val="single" w:sz="4" w:space="0" w:color="auto"/>
            </w:tcBorders>
            <w:shd w:val="clear" w:color="auto" w:fill="auto"/>
            <w:vAlign w:val="center"/>
            <w:hideMark/>
          </w:tcPr>
          <w:p w14:paraId="21FA6C77"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269</w:t>
            </w:r>
          </w:p>
        </w:tc>
        <w:tc>
          <w:tcPr>
            <w:tcW w:w="906" w:type="pct"/>
            <w:tcBorders>
              <w:top w:val="nil"/>
              <w:left w:val="nil"/>
              <w:bottom w:val="single" w:sz="4" w:space="0" w:color="auto"/>
              <w:right w:val="single" w:sz="4" w:space="0" w:color="auto"/>
            </w:tcBorders>
            <w:shd w:val="clear" w:color="auto" w:fill="auto"/>
            <w:vAlign w:val="center"/>
            <w:hideMark/>
          </w:tcPr>
          <w:p w14:paraId="1F1FD053"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554</w:t>
            </w:r>
          </w:p>
        </w:tc>
        <w:tc>
          <w:tcPr>
            <w:tcW w:w="1281" w:type="pct"/>
            <w:tcBorders>
              <w:top w:val="nil"/>
              <w:left w:val="nil"/>
              <w:bottom w:val="single" w:sz="4" w:space="0" w:color="auto"/>
              <w:right w:val="single" w:sz="4" w:space="0" w:color="auto"/>
            </w:tcBorders>
            <w:shd w:val="clear" w:color="auto" w:fill="auto"/>
            <w:vAlign w:val="center"/>
            <w:hideMark/>
          </w:tcPr>
          <w:p w14:paraId="2287B162"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115.629.957</w:t>
            </w:r>
          </w:p>
        </w:tc>
      </w:tr>
      <w:tr w:rsidR="00072A69" w:rsidRPr="008023FE" w14:paraId="5D2A6361" w14:textId="77777777" w:rsidTr="00AC1F17">
        <w:trPr>
          <w:trHeight w:val="300"/>
        </w:trPr>
        <w:tc>
          <w:tcPr>
            <w:tcW w:w="1092" w:type="pct"/>
            <w:vMerge/>
            <w:tcBorders>
              <w:top w:val="nil"/>
              <w:left w:val="single" w:sz="4" w:space="0" w:color="auto"/>
              <w:bottom w:val="single" w:sz="4" w:space="0" w:color="auto"/>
              <w:right w:val="single" w:sz="4" w:space="0" w:color="auto"/>
            </w:tcBorders>
            <w:vAlign w:val="center"/>
            <w:hideMark/>
          </w:tcPr>
          <w:p w14:paraId="5FDD0A90"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3DEB1FAA"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Gradnje</w:t>
            </w:r>
          </w:p>
        </w:tc>
        <w:tc>
          <w:tcPr>
            <w:tcW w:w="938" w:type="pct"/>
            <w:tcBorders>
              <w:top w:val="nil"/>
              <w:left w:val="nil"/>
              <w:bottom w:val="single" w:sz="4" w:space="0" w:color="auto"/>
              <w:right w:val="single" w:sz="4" w:space="0" w:color="auto"/>
            </w:tcBorders>
            <w:shd w:val="clear" w:color="auto" w:fill="auto"/>
            <w:vAlign w:val="center"/>
            <w:hideMark/>
          </w:tcPr>
          <w:p w14:paraId="002A7F13"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30</w:t>
            </w:r>
          </w:p>
        </w:tc>
        <w:tc>
          <w:tcPr>
            <w:tcW w:w="906" w:type="pct"/>
            <w:tcBorders>
              <w:top w:val="nil"/>
              <w:left w:val="nil"/>
              <w:bottom w:val="single" w:sz="4" w:space="0" w:color="auto"/>
              <w:right w:val="single" w:sz="4" w:space="0" w:color="auto"/>
            </w:tcBorders>
            <w:shd w:val="clear" w:color="auto" w:fill="auto"/>
            <w:vAlign w:val="center"/>
            <w:hideMark/>
          </w:tcPr>
          <w:p w14:paraId="7959A5DC"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49</w:t>
            </w:r>
          </w:p>
        </w:tc>
        <w:tc>
          <w:tcPr>
            <w:tcW w:w="1281" w:type="pct"/>
            <w:tcBorders>
              <w:top w:val="nil"/>
              <w:left w:val="nil"/>
              <w:bottom w:val="single" w:sz="4" w:space="0" w:color="auto"/>
              <w:right w:val="single" w:sz="4" w:space="0" w:color="auto"/>
            </w:tcBorders>
            <w:shd w:val="clear" w:color="auto" w:fill="auto"/>
            <w:vAlign w:val="center"/>
            <w:hideMark/>
          </w:tcPr>
          <w:p w14:paraId="7F3CDE55"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32.993.227</w:t>
            </w:r>
          </w:p>
        </w:tc>
      </w:tr>
      <w:tr w:rsidR="00072A69" w:rsidRPr="008023FE" w14:paraId="201A08D3" w14:textId="77777777" w:rsidTr="00AC1F17">
        <w:trPr>
          <w:trHeight w:val="300"/>
        </w:trPr>
        <w:tc>
          <w:tcPr>
            <w:tcW w:w="1092" w:type="pct"/>
            <w:vMerge/>
            <w:tcBorders>
              <w:top w:val="nil"/>
              <w:left w:val="single" w:sz="4" w:space="0" w:color="auto"/>
              <w:bottom w:val="single" w:sz="4" w:space="0" w:color="auto"/>
              <w:right w:val="single" w:sz="4" w:space="0" w:color="auto"/>
            </w:tcBorders>
            <w:vAlign w:val="center"/>
            <w:hideMark/>
          </w:tcPr>
          <w:p w14:paraId="3E336DDC"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560A60CB" w14:textId="77777777" w:rsidR="00072A69" w:rsidRPr="008023FE" w:rsidRDefault="00072A69" w:rsidP="00AC1F17">
            <w:pPr>
              <w:spacing w:after="0" w:line="240" w:lineRule="auto"/>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Skupaj</w:t>
            </w:r>
          </w:p>
        </w:tc>
        <w:tc>
          <w:tcPr>
            <w:tcW w:w="938" w:type="pct"/>
            <w:tcBorders>
              <w:top w:val="nil"/>
              <w:left w:val="nil"/>
              <w:bottom w:val="single" w:sz="4" w:space="0" w:color="auto"/>
              <w:right w:val="single" w:sz="4" w:space="0" w:color="auto"/>
            </w:tcBorders>
            <w:shd w:val="clear" w:color="auto" w:fill="auto"/>
            <w:vAlign w:val="center"/>
            <w:hideMark/>
          </w:tcPr>
          <w:p w14:paraId="67303DB6"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846</w:t>
            </w:r>
          </w:p>
        </w:tc>
        <w:tc>
          <w:tcPr>
            <w:tcW w:w="906" w:type="pct"/>
            <w:tcBorders>
              <w:top w:val="nil"/>
              <w:left w:val="nil"/>
              <w:bottom w:val="single" w:sz="4" w:space="0" w:color="auto"/>
              <w:right w:val="single" w:sz="4" w:space="0" w:color="auto"/>
            </w:tcBorders>
            <w:shd w:val="clear" w:color="auto" w:fill="auto"/>
            <w:vAlign w:val="center"/>
            <w:hideMark/>
          </w:tcPr>
          <w:p w14:paraId="40BC5385"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6.005</w:t>
            </w:r>
          </w:p>
        </w:tc>
        <w:tc>
          <w:tcPr>
            <w:tcW w:w="1281" w:type="pct"/>
            <w:tcBorders>
              <w:top w:val="nil"/>
              <w:left w:val="nil"/>
              <w:bottom w:val="single" w:sz="4" w:space="0" w:color="auto"/>
              <w:right w:val="single" w:sz="4" w:space="0" w:color="auto"/>
            </w:tcBorders>
            <w:shd w:val="clear" w:color="auto" w:fill="auto"/>
            <w:vAlign w:val="center"/>
            <w:hideMark/>
          </w:tcPr>
          <w:p w14:paraId="13DCFE72"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481.181.355</w:t>
            </w:r>
          </w:p>
        </w:tc>
      </w:tr>
      <w:tr w:rsidR="00072A69" w:rsidRPr="008023FE" w14:paraId="63A159E4" w14:textId="77777777" w:rsidTr="00AC1F17">
        <w:trPr>
          <w:trHeight w:val="300"/>
        </w:trPr>
        <w:tc>
          <w:tcPr>
            <w:tcW w:w="1092" w:type="pct"/>
            <w:vMerge w:val="restart"/>
            <w:tcBorders>
              <w:top w:val="nil"/>
              <w:left w:val="single" w:sz="4" w:space="0" w:color="auto"/>
              <w:bottom w:val="single" w:sz="4" w:space="0" w:color="auto"/>
              <w:right w:val="single" w:sz="4" w:space="0" w:color="auto"/>
            </w:tcBorders>
            <w:shd w:val="clear" w:color="auto" w:fill="auto"/>
            <w:vAlign w:val="center"/>
            <w:hideMark/>
          </w:tcPr>
          <w:p w14:paraId="21D13CFA"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Infrastrukturno</w:t>
            </w:r>
          </w:p>
        </w:tc>
        <w:tc>
          <w:tcPr>
            <w:tcW w:w="782" w:type="pct"/>
            <w:tcBorders>
              <w:top w:val="nil"/>
              <w:left w:val="nil"/>
              <w:bottom w:val="single" w:sz="4" w:space="0" w:color="auto"/>
              <w:right w:val="single" w:sz="4" w:space="0" w:color="auto"/>
            </w:tcBorders>
            <w:shd w:val="clear" w:color="auto" w:fill="auto"/>
            <w:vAlign w:val="center"/>
            <w:hideMark/>
          </w:tcPr>
          <w:p w14:paraId="731D10BE"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Blago</w:t>
            </w:r>
          </w:p>
        </w:tc>
        <w:tc>
          <w:tcPr>
            <w:tcW w:w="938" w:type="pct"/>
            <w:tcBorders>
              <w:top w:val="nil"/>
              <w:left w:val="nil"/>
              <w:bottom w:val="single" w:sz="4" w:space="0" w:color="auto"/>
              <w:right w:val="single" w:sz="4" w:space="0" w:color="auto"/>
            </w:tcBorders>
            <w:shd w:val="clear" w:color="auto" w:fill="auto"/>
            <w:vAlign w:val="center"/>
            <w:hideMark/>
          </w:tcPr>
          <w:p w14:paraId="3D1845A1"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70</w:t>
            </w:r>
          </w:p>
        </w:tc>
        <w:tc>
          <w:tcPr>
            <w:tcW w:w="906" w:type="pct"/>
            <w:tcBorders>
              <w:top w:val="nil"/>
              <w:left w:val="nil"/>
              <w:bottom w:val="single" w:sz="4" w:space="0" w:color="auto"/>
              <w:right w:val="single" w:sz="4" w:space="0" w:color="auto"/>
            </w:tcBorders>
            <w:shd w:val="clear" w:color="auto" w:fill="auto"/>
            <w:vAlign w:val="center"/>
            <w:hideMark/>
          </w:tcPr>
          <w:p w14:paraId="67340E06"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233</w:t>
            </w:r>
          </w:p>
        </w:tc>
        <w:tc>
          <w:tcPr>
            <w:tcW w:w="1281" w:type="pct"/>
            <w:tcBorders>
              <w:top w:val="nil"/>
              <w:left w:val="nil"/>
              <w:bottom w:val="single" w:sz="4" w:space="0" w:color="auto"/>
              <w:right w:val="single" w:sz="4" w:space="0" w:color="auto"/>
            </w:tcBorders>
            <w:shd w:val="clear" w:color="auto" w:fill="auto"/>
            <w:vAlign w:val="center"/>
            <w:hideMark/>
          </w:tcPr>
          <w:p w14:paraId="530AE288"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35.333.190</w:t>
            </w:r>
          </w:p>
        </w:tc>
      </w:tr>
      <w:tr w:rsidR="00072A69" w:rsidRPr="008023FE" w14:paraId="489914F9" w14:textId="77777777" w:rsidTr="00AC1F17">
        <w:trPr>
          <w:trHeight w:val="300"/>
        </w:trPr>
        <w:tc>
          <w:tcPr>
            <w:tcW w:w="1092" w:type="pct"/>
            <w:vMerge/>
            <w:tcBorders>
              <w:top w:val="nil"/>
              <w:left w:val="single" w:sz="4" w:space="0" w:color="auto"/>
              <w:bottom w:val="single" w:sz="4" w:space="0" w:color="auto"/>
              <w:right w:val="single" w:sz="4" w:space="0" w:color="auto"/>
            </w:tcBorders>
            <w:vAlign w:val="center"/>
            <w:hideMark/>
          </w:tcPr>
          <w:p w14:paraId="40025B8A"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357EA390"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Storitve</w:t>
            </w:r>
          </w:p>
        </w:tc>
        <w:tc>
          <w:tcPr>
            <w:tcW w:w="938" w:type="pct"/>
            <w:tcBorders>
              <w:top w:val="nil"/>
              <w:left w:val="nil"/>
              <w:bottom w:val="single" w:sz="4" w:space="0" w:color="auto"/>
              <w:right w:val="single" w:sz="4" w:space="0" w:color="auto"/>
            </w:tcBorders>
            <w:shd w:val="clear" w:color="auto" w:fill="auto"/>
            <w:vAlign w:val="center"/>
            <w:hideMark/>
          </w:tcPr>
          <w:p w14:paraId="56558A67"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69</w:t>
            </w:r>
          </w:p>
        </w:tc>
        <w:tc>
          <w:tcPr>
            <w:tcW w:w="906" w:type="pct"/>
            <w:tcBorders>
              <w:top w:val="nil"/>
              <w:left w:val="nil"/>
              <w:bottom w:val="single" w:sz="4" w:space="0" w:color="auto"/>
              <w:right w:val="single" w:sz="4" w:space="0" w:color="auto"/>
            </w:tcBorders>
            <w:shd w:val="clear" w:color="auto" w:fill="auto"/>
            <w:vAlign w:val="center"/>
            <w:hideMark/>
          </w:tcPr>
          <w:p w14:paraId="2AAB6903"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131</w:t>
            </w:r>
          </w:p>
        </w:tc>
        <w:tc>
          <w:tcPr>
            <w:tcW w:w="1281" w:type="pct"/>
            <w:tcBorders>
              <w:top w:val="nil"/>
              <w:left w:val="nil"/>
              <w:bottom w:val="single" w:sz="4" w:space="0" w:color="auto"/>
              <w:right w:val="single" w:sz="4" w:space="0" w:color="auto"/>
            </w:tcBorders>
            <w:shd w:val="clear" w:color="auto" w:fill="auto"/>
            <w:vAlign w:val="center"/>
            <w:hideMark/>
          </w:tcPr>
          <w:p w14:paraId="0CE85888"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88.969.743</w:t>
            </w:r>
          </w:p>
        </w:tc>
      </w:tr>
      <w:tr w:rsidR="00072A69" w:rsidRPr="008023FE" w14:paraId="536ADADF" w14:textId="77777777" w:rsidTr="00AC1F17">
        <w:trPr>
          <w:trHeight w:val="300"/>
        </w:trPr>
        <w:tc>
          <w:tcPr>
            <w:tcW w:w="1092" w:type="pct"/>
            <w:vMerge/>
            <w:tcBorders>
              <w:top w:val="nil"/>
              <w:left w:val="single" w:sz="4" w:space="0" w:color="auto"/>
              <w:bottom w:val="single" w:sz="4" w:space="0" w:color="auto"/>
              <w:right w:val="single" w:sz="4" w:space="0" w:color="auto"/>
            </w:tcBorders>
            <w:vAlign w:val="center"/>
            <w:hideMark/>
          </w:tcPr>
          <w:p w14:paraId="33C67DCF"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60D53082"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Gradnje</w:t>
            </w:r>
          </w:p>
        </w:tc>
        <w:tc>
          <w:tcPr>
            <w:tcW w:w="938" w:type="pct"/>
            <w:tcBorders>
              <w:top w:val="nil"/>
              <w:left w:val="nil"/>
              <w:bottom w:val="single" w:sz="4" w:space="0" w:color="auto"/>
              <w:right w:val="single" w:sz="4" w:space="0" w:color="auto"/>
            </w:tcBorders>
            <w:shd w:val="clear" w:color="auto" w:fill="auto"/>
            <w:vAlign w:val="center"/>
            <w:hideMark/>
          </w:tcPr>
          <w:p w14:paraId="6DB2E1E9"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14</w:t>
            </w:r>
          </w:p>
        </w:tc>
        <w:tc>
          <w:tcPr>
            <w:tcW w:w="906" w:type="pct"/>
            <w:tcBorders>
              <w:top w:val="nil"/>
              <w:left w:val="nil"/>
              <w:bottom w:val="single" w:sz="4" w:space="0" w:color="auto"/>
              <w:right w:val="single" w:sz="4" w:space="0" w:color="auto"/>
            </w:tcBorders>
            <w:shd w:val="clear" w:color="auto" w:fill="auto"/>
            <w:vAlign w:val="center"/>
            <w:hideMark/>
          </w:tcPr>
          <w:p w14:paraId="02919D10"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25</w:t>
            </w:r>
          </w:p>
        </w:tc>
        <w:tc>
          <w:tcPr>
            <w:tcW w:w="1281" w:type="pct"/>
            <w:tcBorders>
              <w:top w:val="nil"/>
              <w:left w:val="nil"/>
              <w:bottom w:val="single" w:sz="4" w:space="0" w:color="auto"/>
              <w:right w:val="single" w:sz="4" w:space="0" w:color="auto"/>
            </w:tcBorders>
            <w:shd w:val="clear" w:color="auto" w:fill="auto"/>
            <w:vAlign w:val="center"/>
            <w:hideMark/>
          </w:tcPr>
          <w:p w14:paraId="27431434"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26.065.121</w:t>
            </w:r>
          </w:p>
        </w:tc>
      </w:tr>
      <w:tr w:rsidR="00072A69" w:rsidRPr="008023FE" w14:paraId="7C28F214" w14:textId="77777777" w:rsidTr="00AC1F17">
        <w:trPr>
          <w:trHeight w:val="300"/>
        </w:trPr>
        <w:tc>
          <w:tcPr>
            <w:tcW w:w="1092" w:type="pct"/>
            <w:vMerge/>
            <w:tcBorders>
              <w:top w:val="nil"/>
              <w:left w:val="single" w:sz="4" w:space="0" w:color="auto"/>
              <w:bottom w:val="single" w:sz="4" w:space="0" w:color="auto"/>
              <w:right w:val="single" w:sz="4" w:space="0" w:color="auto"/>
            </w:tcBorders>
            <w:vAlign w:val="center"/>
            <w:hideMark/>
          </w:tcPr>
          <w:p w14:paraId="455B6E89"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5FAC4939" w14:textId="77777777" w:rsidR="00072A69" w:rsidRPr="008023FE" w:rsidRDefault="00072A69" w:rsidP="00AC1F17">
            <w:pPr>
              <w:spacing w:after="0" w:line="240" w:lineRule="auto"/>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Skupaj</w:t>
            </w:r>
          </w:p>
        </w:tc>
        <w:tc>
          <w:tcPr>
            <w:tcW w:w="938" w:type="pct"/>
            <w:tcBorders>
              <w:top w:val="nil"/>
              <w:left w:val="nil"/>
              <w:bottom w:val="single" w:sz="4" w:space="0" w:color="auto"/>
              <w:right w:val="single" w:sz="4" w:space="0" w:color="auto"/>
            </w:tcBorders>
            <w:shd w:val="clear" w:color="auto" w:fill="auto"/>
            <w:vAlign w:val="center"/>
            <w:hideMark/>
          </w:tcPr>
          <w:p w14:paraId="6F81E62C"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153</w:t>
            </w:r>
          </w:p>
        </w:tc>
        <w:tc>
          <w:tcPr>
            <w:tcW w:w="906" w:type="pct"/>
            <w:tcBorders>
              <w:top w:val="nil"/>
              <w:left w:val="nil"/>
              <w:bottom w:val="single" w:sz="4" w:space="0" w:color="auto"/>
              <w:right w:val="single" w:sz="4" w:space="0" w:color="auto"/>
            </w:tcBorders>
            <w:shd w:val="clear" w:color="auto" w:fill="auto"/>
            <w:vAlign w:val="center"/>
            <w:hideMark/>
          </w:tcPr>
          <w:p w14:paraId="65681759"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389</w:t>
            </w:r>
          </w:p>
        </w:tc>
        <w:tc>
          <w:tcPr>
            <w:tcW w:w="1281" w:type="pct"/>
            <w:tcBorders>
              <w:top w:val="nil"/>
              <w:left w:val="nil"/>
              <w:bottom w:val="single" w:sz="4" w:space="0" w:color="auto"/>
              <w:right w:val="single" w:sz="4" w:space="0" w:color="auto"/>
            </w:tcBorders>
            <w:shd w:val="clear" w:color="auto" w:fill="auto"/>
            <w:vAlign w:val="center"/>
            <w:hideMark/>
          </w:tcPr>
          <w:p w14:paraId="6554AACA"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150.368.054</w:t>
            </w:r>
          </w:p>
        </w:tc>
      </w:tr>
      <w:tr w:rsidR="00072A69" w:rsidRPr="008023FE" w14:paraId="254A10F0" w14:textId="77777777" w:rsidTr="00AC1F17">
        <w:trPr>
          <w:trHeight w:val="300"/>
        </w:trPr>
        <w:tc>
          <w:tcPr>
            <w:tcW w:w="10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DBDC48" w14:textId="77777777" w:rsidR="00072A69" w:rsidRPr="008023FE" w:rsidRDefault="00072A69" w:rsidP="00AC1F17">
            <w:pPr>
              <w:spacing w:after="0" w:line="240" w:lineRule="auto"/>
              <w:jc w:val="center"/>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Obrambno</w:t>
            </w:r>
          </w:p>
        </w:tc>
        <w:tc>
          <w:tcPr>
            <w:tcW w:w="782" w:type="pct"/>
            <w:tcBorders>
              <w:top w:val="nil"/>
              <w:left w:val="nil"/>
              <w:bottom w:val="single" w:sz="4" w:space="0" w:color="auto"/>
              <w:right w:val="single" w:sz="4" w:space="0" w:color="auto"/>
            </w:tcBorders>
            <w:shd w:val="clear" w:color="auto" w:fill="auto"/>
            <w:vAlign w:val="center"/>
            <w:hideMark/>
          </w:tcPr>
          <w:p w14:paraId="129E891B" w14:textId="77777777" w:rsidR="00072A69" w:rsidRPr="008023FE" w:rsidRDefault="00072A69" w:rsidP="00AC1F17">
            <w:pPr>
              <w:spacing w:after="0" w:line="240" w:lineRule="auto"/>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Blago</w:t>
            </w:r>
          </w:p>
        </w:tc>
        <w:tc>
          <w:tcPr>
            <w:tcW w:w="938" w:type="pct"/>
            <w:tcBorders>
              <w:top w:val="nil"/>
              <w:left w:val="nil"/>
              <w:bottom w:val="single" w:sz="4" w:space="0" w:color="auto"/>
              <w:right w:val="single" w:sz="4" w:space="0" w:color="auto"/>
            </w:tcBorders>
            <w:shd w:val="clear" w:color="auto" w:fill="auto"/>
            <w:vAlign w:val="center"/>
            <w:hideMark/>
          </w:tcPr>
          <w:p w14:paraId="66FE8734"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3</w:t>
            </w:r>
          </w:p>
        </w:tc>
        <w:tc>
          <w:tcPr>
            <w:tcW w:w="906" w:type="pct"/>
            <w:tcBorders>
              <w:top w:val="nil"/>
              <w:left w:val="nil"/>
              <w:bottom w:val="single" w:sz="4" w:space="0" w:color="auto"/>
              <w:right w:val="single" w:sz="4" w:space="0" w:color="auto"/>
            </w:tcBorders>
            <w:shd w:val="clear" w:color="auto" w:fill="auto"/>
            <w:vAlign w:val="center"/>
            <w:hideMark/>
          </w:tcPr>
          <w:p w14:paraId="4D95D126"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5</w:t>
            </w:r>
          </w:p>
        </w:tc>
        <w:tc>
          <w:tcPr>
            <w:tcW w:w="1281" w:type="pct"/>
            <w:tcBorders>
              <w:top w:val="nil"/>
              <w:left w:val="nil"/>
              <w:bottom w:val="single" w:sz="4" w:space="0" w:color="auto"/>
              <w:right w:val="single" w:sz="4" w:space="0" w:color="auto"/>
            </w:tcBorders>
            <w:shd w:val="clear" w:color="auto" w:fill="auto"/>
            <w:vAlign w:val="center"/>
            <w:hideMark/>
          </w:tcPr>
          <w:p w14:paraId="078570EE" w14:textId="77777777" w:rsidR="00072A69" w:rsidRPr="008023FE" w:rsidRDefault="00072A69" w:rsidP="00AC1F17">
            <w:pPr>
              <w:spacing w:after="0" w:line="240" w:lineRule="auto"/>
              <w:jc w:val="right"/>
              <w:rPr>
                <w:rFonts w:ascii="Arial" w:eastAsia="Times New Roman" w:hAnsi="Arial" w:cs="Arial"/>
                <w:color w:val="000000"/>
                <w:sz w:val="18"/>
                <w:szCs w:val="18"/>
                <w:lang w:eastAsia="sl-SI"/>
              </w:rPr>
            </w:pPr>
            <w:r w:rsidRPr="008023FE">
              <w:rPr>
                <w:rFonts w:ascii="Arial" w:eastAsia="Times New Roman" w:hAnsi="Arial" w:cs="Arial"/>
                <w:color w:val="000000"/>
                <w:sz w:val="18"/>
                <w:szCs w:val="18"/>
                <w:lang w:eastAsia="sl-SI"/>
              </w:rPr>
              <w:t>30.054.745</w:t>
            </w:r>
          </w:p>
        </w:tc>
      </w:tr>
      <w:tr w:rsidR="00072A69" w:rsidRPr="008023FE" w14:paraId="344F6ADD" w14:textId="77777777" w:rsidTr="00AC1F17">
        <w:trPr>
          <w:trHeight w:val="300"/>
        </w:trPr>
        <w:tc>
          <w:tcPr>
            <w:tcW w:w="1092" w:type="pct"/>
            <w:vMerge/>
            <w:tcBorders>
              <w:top w:val="nil"/>
              <w:left w:val="single" w:sz="4" w:space="0" w:color="auto"/>
              <w:bottom w:val="single" w:sz="4" w:space="0" w:color="000000"/>
              <w:right w:val="single" w:sz="4" w:space="0" w:color="auto"/>
            </w:tcBorders>
            <w:vAlign w:val="center"/>
            <w:hideMark/>
          </w:tcPr>
          <w:p w14:paraId="25787CB0" w14:textId="77777777" w:rsidR="00072A69" w:rsidRPr="008023FE" w:rsidRDefault="00072A69" w:rsidP="00AC1F17">
            <w:pPr>
              <w:spacing w:after="0" w:line="240" w:lineRule="auto"/>
              <w:rPr>
                <w:rFonts w:ascii="Arial" w:eastAsia="Times New Roman" w:hAnsi="Arial" w:cs="Arial"/>
                <w:color w:val="000000"/>
                <w:sz w:val="18"/>
                <w:szCs w:val="18"/>
                <w:lang w:eastAsia="sl-SI"/>
              </w:rPr>
            </w:pPr>
          </w:p>
        </w:tc>
        <w:tc>
          <w:tcPr>
            <w:tcW w:w="782" w:type="pct"/>
            <w:tcBorders>
              <w:top w:val="nil"/>
              <w:left w:val="nil"/>
              <w:bottom w:val="single" w:sz="4" w:space="0" w:color="auto"/>
              <w:right w:val="single" w:sz="4" w:space="0" w:color="auto"/>
            </w:tcBorders>
            <w:shd w:val="clear" w:color="auto" w:fill="auto"/>
            <w:vAlign w:val="center"/>
            <w:hideMark/>
          </w:tcPr>
          <w:p w14:paraId="1A5439F1" w14:textId="77777777" w:rsidR="00072A69" w:rsidRPr="008023FE" w:rsidRDefault="00072A69" w:rsidP="00AC1F17">
            <w:pPr>
              <w:spacing w:after="0" w:line="240" w:lineRule="auto"/>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Skupaj</w:t>
            </w:r>
          </w:p>
        </w:tc>
        <w:tc>
          <w:tcPr>
            <w:tcW w:w="938" w:type="pct"/>
            <w:tcBorders>
              <w:top w:val="nil"/>
              <w:left w:val="nil"/>
              <w:bottom w:val="single" w:sz="4" w:space="0" w:color="auto"/>
              <w:right w:val="single" w:sz="4" w:space="0" w:color="auto"/>
            </w:tcBorders>
            <w:shd w:val="clear" w:color="auto" w:fill="auto"/>
            <w:vAlign w:val="center"/>
            <w:hideMark/>
          </w:tcPr>
          <w:p w14:paraId="2C3F8966"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3</w:t>
            </w:r>
          </w:p>
        </w:tc>
        <w:tc>
          <w:tcPr>
            <w:tcW w:w="906" w:type="pct"/>
            <w:tcBorders>
              <w:top w:val="nil"/>
              <w:left w:val="nil"/>
              <w:bottom w:val="single" w:sz="4" w:space="0" w:color="auto"/>
              <w:right w:val="single" w:sz="4" w:space="0" w:color="auto"/>
            </w:tcBorders>
            <w:shd w:val="clear" w:color="auto" w:fill="auto"/>
            <w:vAlign w:val="center"/>
            <w:hideMark/>
          </w:tcPr>
          <w:p w14:paraId="1C86E666"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5</w:t>
            </w:r>
          </w:p>
        </w:tc>
        <w:tc>
          <w:tcPr>
            <w:tcW w:w="1281" w:type="pct"/>
            <w:tcBorders>
              <w:top w:val="nil"/>
              <w:left w:val="nil"/>
              <w:bottom w:val="single" w:sz="4" w:space="0" w:color="auto"/>
              <w:right w:val="single" w:sz="4" w:space="0" w:color="auto"/>
            </w:tcBorders>
            <w:shd w:val="clear" w:color="auto" w:fill="auto"/>
            <w:vAlign w:val="center"/>
            <w:hideMark/>
          </w:tcPr>
          <w:p w14:paraId="7E419072"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30.054.745</w:t>
            </w:r>
          </w:p>
        </w:tc>
      </w:tr>
      <w:tr w:rsidR="00072A69" w:rsidRPr="008023FE" w14:paraId="1B78331A" w14:textId="77777777" w:rsidTr="00AC1F17">
        <w:trPr>
          <w:trHeight w:val="300"/>
        </w:trPr>
        <w:tc>
          <w:tcPr>
            <w:tcW w:w="1875"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C36717" w14:textId="77777777" w:rsidR="00072A69" w:rsidRPr="008023FE" w:rsidRDefault="00072A69" w:rsidP="00AC1F17">
            <w:pPr>
              <w:spacing w:after="0" w:line="240" w:lineRule="auto"/>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Skupaj</w:t>
            </w:r>
          </w:p>
        </w:tc>
        <w:tc>
          <w:tcPr>
            <w:tcW w:w="938" w:type="pct"/>
            <w:tcBorders>
              <w:top w:val="nil"/>
              <w:left w:val="nil"/>
              <w:bottom w:val="single" w:sz="4" w:space="0" w:color="auto"/>
              <w:right w:val="single" w:sz="4" w:space="0" w:color="auto"/>
            </w:tcBorders>
            <w:shd w:val="clear" w:color="auto" w:fill="E7E6E6" w:themeFill="background2"/>
            <w:noWrap/>
            <w:vAlign w:val="center"/>
            <w:hideMark/>
          </w:tcPr>
          <w:p w14:paraId="1456D026"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1.002</w:t>
            </w:r>
          </w:p>
        </w:tc>
        <w:tc>
          <w:tcPr>
            <w:tcW w:w="906" w:type="pct"/>
            <w:tcBorders>
              <w:top w:val="nil"/>
              <w:left w:val="nil"/>
              <w:bottom w:val="single" w:sz="4" w:space="0" w:color="auto"/>
              <w:right w:val="single" w:sz="4" w:space="0" w:color="auto"/>
            </w:tcBorders>
            <w:shd w:val="clear" w:color="auto" w:fill="E7E6E6" w:themeFill="background2"/>
            <w:noWrap/>
            <w:vAlign w:val="center"/>
            <w:hideMark/>
          </w:tcPr>
          <w:p w14:paraId="617BFFC5"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6.399</w:t>
            </w:r>
          </w:p>
        </w:tc>
        <w:tc>
          <w:tcPr>
            <w:tcW w:w="1281" w:type="pct"/>
            <w:tcBorders>
              <w:top w:val="nil"/>
              <w:left w:val="nil"/>
              <w:bottom w:val="single" w:sz="4" w:space="0" w:color="auto"/>
              <w:right w:val="single" w:sz="4" w:space="0" w:color="auto"/>
            </w:tcBorders>
            <w:shd w:val="clear" w:color="auto" w:fill="E7E6E6" w:themeFill="background2"/>
            <w:noWrap/>
            <w:vAlign w:val="center"/>
            <w:hideMark/>
          </w:tcPr>
          <w:p w14:paraId="6D100AB8" w14:textId="77777777" w:rsidR="00072A69" w:rsidRPr="008023FE" w:rsidRDefault="00072A69" w:rsidP="00AC1F17">
            <w:pPr>
              <w:spacing w:after="0" w:line="240" w:lineRule="auto"/>
              <w:jc w:val="right"/>
              <w:rPr>
                <w:rFonts w:ascii="Arial" w:eastAsia="Times New Roman" w:hAnsi="Arial" w:cs="Arial"/>
                <w:b/>
                <w:bCs/>
                <w:color w:val="000000"/>
                <w:sz w:val="18"/>
                <w:szCs w:val="18"/>
                <w:lang w:eastAsia="sl-SI"/>
              </w:rPr>
            </w:pPr>
            <w:r w:rsidRPr="008023FE">
              <w:rPr>
                <w:rFonts w:ascii="Arial" w:eastAsia="Times New Roman" w:hAnsi="Arial" w:cs="Arial"/>
                <w:b/>
                <w:bCs/>
                <w:color w:val="000000"/>
                <w:sz w:val="18"/>
                <w:szCs w:val="18"/>
                <w:lang w:eastAsia="sl-SI"/>
              </w:rPr>
              <w:t>661.604.154</w:t>
            </w:r>
          </w:p>
        </w:tc>
      </w:tr>
    </w:tbl>
    <w:p w14:paraId="7B1F2EB9" w14:textId="77777777" w:rsidR="00D23EC0" w:rsidRDefault="00D23EC0" w:rsidP="00072A69">
      <w:pPr>
        <w:spacing w:before="120" w:after="120" w:line="240" w:lineRule="auto"/>
        <w:jc w:val="both"/>
        <w:rPr>
          <w:rFonts w:ascii="Arial" w:hAnsi="Arial" w:cs="Arial"/>
          <w:sz w:val="20"/>
        </w:rPr>
      </w:pPr>
    </w:p>
    <w:p w14:paraId="6D4D2277" w14:textId="03B2A4CB" w:rsidR="00072A69" w:rsidRPr="00BB2255" w:rsidRDefault="00072A69" w:rsidP="00072A69">
      <w:pPr>
        <w:spacing w:before="120" w:after="120" w:line="240" w:lineRule="auto"/>
        <w:jc w:val="both"/>
        <w:rPr>
          <w:rFonts w:ascii="Arial" w:hAnsi="Arial" w:cs="Arial"/>
          <w:sz w:val="20"/>
        </w:rPr>
      </w:pPr>
      <w:r w:rsidRPr="00BB2255">
        <w:rPr>
          <w:rFonts w:ascii="Arial" w:hAnsi="Arial" w:cs="Arial"/>
          <w:sz w:val="20"/>
        </w:rPr>
        <w:t>Preglednica 8</w:t>
      </w:r>
      <w:r w:rsidR="00D23EC0">
        <w:rPr>
          <w:rFonts w:ascii="Arial" w:hAnsi="Arial" w:cs="Arial"/>
          <w:sz w:val="20"/>
        </w:rPr>
        <w:t>1</w:t>
      </w:r>
      <w:r w:rsidRPr="00BB2255">
        <w:rPr>
          <w:rFonts w:ascii="Arial" w:hAnsi="Arial" w:cs="Arial"/>
          <w:sz w:val="20"/>
        </w:rPr>
        <w:t>: Izvedeni postopki za sklenitev okvirnega sporazuma glede na področje in vrsto postopka</w:t>
      </w:r>
      <w:bookmarkEnd w:id="72"/>
      <w:bookmarkEnd w:id="73"/>
      <w:bookmarkEnd w:id="74"/>
    </w:p>
    <w:tbl>
      <w:tblPr>
        <w:tblW w:w="5000" w:type="pct"/>
        <w:tblCellMar>
          <w:left w:w="70" w:type="dxa"/>
          <w:right w:w="70" w:type="dxa"/>
        </w:tblCellMar>
        <w:tblLook w:val="04A0" w:firstRow="1" w:lastRow="0" w:firstColumn="1" w:lastColumn="0" w:noHBand="0" w:noVBand="1"/>
      </w:tblPr>
      <w:tblGrid>
        <w:gridCol w:w="1415"/>
        <w:gridCol w:w="3543"/>
        <w:gridCol w:w="1560"/>
        <w:gridCol w:w="991"/>
        <w:gridCol w:w="1553"/>
      </w:tblGrid>
      <w:tr w:rsidR="00072A69" w:rsidRPr="00AB5B37" w14:paraId="00A86B8C" w14:textId="77777777" w:rsidTr="00AC1F17">
        <w:trPr>
          <w:trHeight w:val="300"/>
        </w:trPr>
        <w:tc>
          <w:tcPr>
            <w:tcW w:w="78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3302E02"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Področje</w:t>
            </w:r>
          </w:p>
        </w:tc>
        <w:tc>
          <w:tcPr>
            <w:tcW w:w="1955" w:type="pct"/>
            <w:tcBorders>
              <w:top w:val="single" w:sz="4" w:space="0" w:color="auto"/>
              <w:left w:val="nil"/>
              <w:bottom w:val="single" w:sz="4" w:space="0" w:color="auto"/>
              <w:right w:val="single" w:sz="4" w:space="0" w:color="auto"/>
            </w:tcBorders>
            <w:shd w:val="clear" w:color="000000" w:fill="EDEDED"/>
            <w:vAlign w:val="center"/>
            <w:hideMark/>
          </w:tcPr>
          <w:p w14:paraId="2A61E974"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Vrsta postopka</w:t>
            </w:r>
          </w:p>
        </w:tc>
        <w:tc>
          <w:tcPr>
            <w:tcW w:w="861" w:type="pct"/>
            <w:tcBorders>
              <w:top w:val="single" w:sz="4" w:space="0" w:color="auto"/>
              <w:left w:val="nil"/>
              <w:bottom w:val="single" w:sz="4" w:space="0" w:color="auto"/>
              <w:right w:val="single" w:sz="4" w:space="0" w:color="auto"/>
            </w:tcBorders>
            <w:shd w:val="clear" w:color="000000" w:fill="EDEDED"/>
            <w:vAlign w:val="center"/>
            <w:hideMark/>
          </w:tcPr>
          <w:p w14:paraId="0945E21B"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Št. postopkov</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58FFECEA"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Št. naročil</w:t>
            </w:r>
          </w:p>
        </w:tc>
        <w:tc>
          <w:tcPr>
            <w:tcW w:w="857" w:type="pct"/>
            <w:tcBorders>
              <w:top w:val="single" w:sz="4" w:space="0" w:color="auto"/>
              <w:left w:val="nil"/>
              <w:bottom w:val="single" w:sz="4" w:space="0" w:color="auto"/>
              <w:right w:val="single" w:sz="4" w:space="0" w:color="auto"/>
            </w:tcBorders>
            <w:shd w:val="clear" w:color="000000" w:fill="EDEDED"/>
            <w:vAlign w:val="center"/>
            <w:hideMark/>
          </w:tcPr>
          <w:p w14:paraId="6D30B54E"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Pogodbena vrednost</w:t>
            </w:r>
          </w:p>
        </w:tc>
      </w:tr>
      <w:tr w:rsidR="00072A69" w:rsidRPr="00AB5B37" w14:paraId="57BE644B" w14:textId="77777777" w:rsidTr="00AC1F17">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58329739"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Splošno</w:t>
            </w:r>
          </w:p>
        </w:tc>
        <w:tc>
          <w:tcPr>
            <w:tcW w:w="1955" w:type="pct"/>
            <w:tcBorders>
              <w:top w:val="nil"/>
              <w:left w:val="nil"/>
              <w:bottom w:val="single" w:sz="4" w:space="0" w:color="auto"/>
              <w:right w:val="single" w:sz="4" w:space="0" w:color="auto"/>
            </w:tcBorders>
            <w:shd w:val="clear" w:color="auto" w:fill="auto"/>
            <w:vAlign w:val="center"/>
            <w:hideMark/>
          </w:tcPr>
          <w:p w14:paraId="27E05CD9"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Konkurenčni postopek s pogajanji</w:t>
            </w:r>
          </w:p>
        </w:tc>
        <w:tc>
          <w:tcPr>
            <w:tcW w:w="861" w:type="pct"/>
            <w:tcBorders>
              <w:top w:val="nil"/>
              <w:left w:val="nil"/>
              <w:bottom w:val="single" w:sz="4" w:space="0" w:color="auto"/>
              <w:right w:val="single" w:sz="4" w:space="0" w:color="auto"/>
            </w:tcBorders>
            <w:shd w:val="clear" w:color="auto" w:fill="auto"/>
            <w:vAlign w:val="center"/>
            <w:hideMark/>
          </w:tcPr>
          <w:p w14:paraId="6556A86D"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9</w:t>
            </w:r>
          </w:p>
        </w:tc>
        <w:tc>
          <w:tcPr>
            <w:tcW w:w="547" w:type="pct"/>
            <w:tcBorders>
              <w:top w:val="nil"/>
              <w:left w:val="nil"/>
              <w:bottom w:val="single" w:sz="4" w:space="0" w:color="auto"/>
              <w:right w:val="single" w:sz="4" w:space="0" w:color="auto"/>
            </w:tcBorders>
            <w:shd w:val="clear" w:color="auto" w:fill="auto"/>
            <w:vAlign w:val="center"/>
            <w:hideMark/>
          </w:tcPr>
          <w:p w14:paraId="48885542"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14</w:t>
            </w:r>
          </w:p>
        </w:tc>
        <w:tc>
          <w:tcPr>
            <w:tcW w:w="857" w:type="pct"/>
            <w:tcBorders>
              <w:top w:val="nil"/>
              <w:left w:val="nil"/>
              <w:bottom w:val="single" w:sz="4" w:space="0" w:color="auto"/>
              <w:right w:val="single" w:sz="4" w:space="0" w:color="auto"/>
            </w:tcBorders>
            <w:shd w:val="clear" w:color="auto" w:fill="auto"/>
            <w:vAlign w:val="center"/>
            <w:hideMark/>
          </w:tcPr>
          <w:p w14:paraId="313BA1E4"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6.267.629</w:t>
            </w:r>
          </w:p>
        </w:tc>
      </w:tr>
      <w:tr w:rsidR="00072A69" w:rsidRPr="00AB5B37" w14:paraId="30D96566"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3E1A817D"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19E67600"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Odprti postopek</w:t>
            </w:r>
          </w:p>
        </w:tc>
        <w:tc>
          <w:tcPr>
            <w:tcW w:w="861" w:type="pct"/>
            <w:tcBorders>
              <w:top w:val="nil"/>
              <w:left w:val="nil"/>
              <w:bottom w:val="single" w:sz="4" w:space="0" w:color="auto"/>
              <w:right w:val="single" w:sz="4" w:space="0" w:color="auto"/>
            </w:tcBorders>
            <w:shd w:val="clear" w:color="auto" w:fill="auto"/>
            <w:vAlign w:val="center"/>
            <w:hideMark/>
          </w:tcPr>
          <w:p w14:paraId="39498C75"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385</w:t>
            </w:r>
          </w:p>
        </w:tc>
        <w:tc>
          <w:tcPr>
            <w:tcW w:w="547" w:type="pct"/>
            <w:tcBorders>
              <w:top w:val="nil"/>
              <w:left w:val="nil"/>
              <w:bottom w:val="single" w:sz="4" w:space="0" w:color="auto"/>
              <w:right w:val="single" w:sz="4" w:space="0" w:color="auto"/>
            </w:tcBorders>
            <w:shd w:val="clear" w:color="auto" w:fill="auto"/>
            <w:vAlign w:val="center"/>
            <w:hideMark/>
          </w:tcPr>
          <w:p w14:paraId="559E2FA8"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4430</w:t>
            </w:r>
          </w:p>
        </w:tc>
        <w:tc>
          <w:tcPr>
            <w:tcW w:w="857" w:type="pct"/>
            <w:tcBorders>
              <w:top w:val="nil"/>
              <w:left w:val="nil"/>
              <w:bottom w:val="single" w:sz="4" w:space="0" w:color="auto"/>
              <w:right w:val="single" w:sz="4" w:space="0" w:color="auto"/>
            </w:tcBorders>
            <w:shd w:val="clear" w:color="auto" w:fill="auto"/>
            <w:vAlign w:val="center"/>
            <w:hideMark/>
          </w:tcPr>
          <w:p w14:paraId="309720FD"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391.451.338</w:t>
            </w:r>
          </w:p>
        </w:tc>
      </w:tr>
      <w:tr w:rsidR="00072A69" w:rsidRPr="00AB5B37" w14:paraId="78A24964"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1F13CB94"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5575B838"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Omejeni postopek</w:t>
            </w:r>
          </w:p>
        </w:tc>
        <w:tc>
          <w:tcPr>
            <w:tcW w:w="861" w:type="pct"/>
            <w:tcBorders>
              <w:top w:val="nil"/>
              <w:left w:val="nil"/>
              <w:bottom w:val="single" w:sz="4" w:space="0" w:color="auto"/>
              <w:right w:val="single" w:sz="4" w:space="0" w:color="auto"/>
            </w:tcBorders>
            <w:shd w:val="clear" w:color="auto" w:fill="auto"/>
            <w:vAlign w:val="center"/>
            <w:hideMark/>
          </w:tcPr>
          <w:p w14:paraId="202912D0"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9</w:t>
            </w:r>
          </w:p>
        </w:tc>
        <w:tc>
          <w:tcPr>
            <w:tcW w:w="547" w:type="pct"/>
            <w:tcBorders>
              <w:top w:val="nil"/>
              <w:left w:val="nil"/>
              <w:bottom w:val="single" w:sz="4" w:space="0" w:color="auto"/>
              <w:right w:val="single" w:sz="4" w:space="0" w:color="auto"/>
            </w:tcBorders>
            <w:shd w:val="clear" w:color="auto" w:fill="auto"/>
            <w:vAlign w:val="center"/>
            <w:hideMark/>
          </w:tcPr>
          <w:p w14:paraId="62C38090"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40</w:t>
            </w:r>
          </w:p>
        </w:tc>
        <w:tc>
          <w:tcPr>
            <w:tcW w:w="857" w:type="pct"/>
            <w:tcBorders>
              <w:top w:val="nil"/>
              <w:left w:val="nil"/>
              <w:bottom w:val="single" w:sz="4" w:space="0" w:color="auto"/>
              <w:right w:val="single" w:sz="4" w:space="0" w:color="auto"/>
            </w:tcBorders>
            <w:shd w:val="clear" w:color="auto" w:fill="auto"/>
            <w:vAlign w:val="center"/>
            <w:hideMark/>
          </w:tcPr>
          <w:p w14:paraId="01280DB3"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18.934.173</w:t>
            </w:r>
          </w:p>
        </w:tc>
      </w:tr>
      <w:tr w:rsidR="00072A69" w:rsidRPr="00AB5B37" w14:paraId="04BDAF10"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04E67878"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18A84B45"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Postopek naročila male vrednosti</w:t>
            </w:r>
          </w:p>
        </w:tc>
        <w:tc>
          <w:tcPr>
            <w:tcW w:w="861" w:type="pct"/>
            <w:tcBorders>
              <w:top w:val="nil"/>
              <w:left w:val="nil"/>
              <w:bottom w:val="single" w:sz="4" w:space="0" w:color="auto"/>
              <w:right w:val="single" w:sz="4" w:space="0" w:color="auto"/>
            </w:tcBorders>
            <w:shd w:val="clear" w:color="auto" w:fill="auto"/>
            <w:vAlign w:val="center"/>
            <w:hideMark/>
          </w:tcPr>
          <w:p w14:paraId="0B5C47F9"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398</w:t>
            </w:r>
          </w:p>
        </w:tc>
        <w:tc>
          <w:tcPr>
            <w:tcW w:w="547" w:type="pct"/>
            <w:tcBorders>
              <w:top w:val="nil"/>
              <w:left w:val="nil"/>
              <w:bottom w:val="single" w:sz="4" w:space="0" w:color="auto"/>
              <w:right w:val="single" w:sz="4" w:space="0" w:color="auto"/>
            </w:tcBorders>
            <w:shd w:val="clear" w:color="auto" w:fill="auto"/>
            <w:vAlign w:val="center"/>
            <w:hideMark/>
          </w:tcPr>
          <w:p w14:paraId="6E41CDE2"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1459</w:t>
            </w:r>
          </w:p>
        </w:tc>
        <w:tc>
          <w:tcPr>
            <w:tcW w:w="857" w:type="pct"/>
            <w:tcBorders>
              <w:top w:val="nil"/>
              <w:left w:val="nil"/>
              <w:bottom w:val="single" w:sz="4" w:space="0" w:color="auto"/>
              <w:right w:val="single" w:sz="4" w:space="0" w:color="auto"/>
            </w:tcBorders>
            <w:shd w:val="clear" w:color="auto" w:fill="auto"/>
            <w:vAlign w:val="center"/>
            <w:hideMark/>
          </w:tcPr>
          <w:p w14:paraId="6D843A4E"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40.206.394</w:t>
            </w:r>
          </w:p>
        </w:tc>
      </w:tr>
      <w:tr w:rsidR="00072A69" w:rsidRPr="00AB5B37" w14:paraId="164F4CC5"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7BF19B80"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7EE78185"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Postopek s pogajanji brez predhodne objave</w:t>
            </w:r>
          </w:p>
        </w:tc>
        <w:tc>
          <w:tcPr>
            <w:tcW w:w="861" w:type="pct"/>
            <w:tcBorders>
              <w:top w:val="nil"/>
              <w:left w:val="nil"/>
              <w:bottom w:val="single" w:sz="4" w:space="0" w:color="auto"/>
              <w:right w:val="single" w:sz="4" w:space="0" w:color="auto"/>
            </w:tcBorders>
            <w:shd w:val="clear" w:color="auto" w:fill="auto"/>
            <w:vAlign w:val="center"/>
            <w:hideMark/>
          </w:tcPr>
          <w:p w14:paraId="1260CD9F"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45</w:t>
            </w:r>
          </w:p>
        </w:tc>
        <w:tc>
          <w:tcPr>
            <w:tcW w:w="547" w:type="pct"/>
            <w:tcBorders>
              <w:top w:val="nil"/>
              <w:left w:val="nil"/>
              <w:bottom w:val="single" w:sz="4" w:space="0" w:color="auto"/>
              <w:right w:val="single" w:sz="4" w:space="0" w:color="auto"/>
            </w:tcBorders>
            <w:shd w:val="clear" w:color="auto" w:fill="auto"/>
            <w:vAlign w:val="center"/>
            <w:hideMark/>
          </w:tcPr>
          <w:p w14:paraId="26BCFB72"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62</w:t>
            </w:r>
          </w:p>
        </w:tc>
        <w:tc>
          <w:tcPr>
            <w:tcW w:w="857" w:type="pct"/>
            <w:tcBorders>
              <w:top w:val="nil"/>
              <w:left w:val="nil"/>
              <w:bottom w:val="single" w:sz="4" w:space="0" w:color="auto"/>
              <w:right w:val="single" w:sz="4" w:space="0" w:color="auto"/>
            </w:tcBorders>
            <w:shd w:val="clear" w:color="auto" w:fill="auto"/>
            <w:vAlign w:val="center"/>
            <w:hideMark/>
          </w:tcPr>
          <w:p w14:paraId="3B06FE1C"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24.321.821</w:t>
            </w:r>
          </w:p>
        </w:tc>
      </w:tr>
      <w:tr w:rsidR="00072A69" w:rsidRPr="00AB5B37" w14:paraId="291C7C31"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7B40D7D0"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01A433E3" w14:textId="77777777" w:rsidR="00072A69" w:rsidRPr="00AB5B37" w:rsidRDefault="00072A69" w:rsidP="00AC1F17">
            <w:pPr>
              <w:spacing w:after="0" w:line="240" w:lineRule="auto"/>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Skupaj</w:t>
            </w:r>
          </w:p>
        </w:tc>
        <w:tc>
          <w:tcPr>
            <w:tcW w:w="861" w:type="pct"/>
            <w:tcBorders>
              <w:top w:val="nil"/>
              <w:left w:val="nil"/>
              <w:bottom w:val="single" w:sz="4" w:space="0" w:color="auto"/>
              <w:right w:val="single" w:sz="4" w:space="0" w:color="auto"/>
            </w:tcBorders>
            <w:shd w:val="clear" w:color="auto" w:fill="auto"/>
            <w:vAlign w:val="center"/>
            <w:hideMark/>
          </w:tcPr>
          <w:p w14:paraId="13673F8B"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846</w:t>
            </w:r>
          </w:p>
        </w:tc>
        <w:tc>
          <w:tcPr>
            <w:tcW w:w="547" w:type="pct"/>
            <w:tcBorders>
              <w:top w:val="nil"/>
              <w:left w:val="nil"/>
              <w:bottom w:val="single" w:sz="4" w:space="0" w:color="auto"/>
              <w:right w:val="single" w:sz="4" w:space="0" w:color="auto"/>
            </w:tcBorders>
            <w:shd w:val="clear" w:color="auto" w:fill="auto"/>
            <w:vAlign w:val="center"/>
            <w:hideMark/>
          </w:tcPr>
          <w:p w14:paraId="7AFD7430"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6.005</w:t>
            </w:r>
          </w:p>
        </w:tc>
        <w:tc>
          <w:tcPr>
            <w:tcW w:w="857" w:type="pct"/>
            <w:tcBorders>
              <w:top w:val="nil"/>
              <w:left w:val="nil"/>
              <w:bottom w:val="single" w:sz="4" w:space="0" w:color="auto"/>
              <w:right w:val="single" w:sz="4" w:space="0" w:color="auto"/>
            </w:tcBorders>
            <w:shd w:val="clear" w:color="auto" w:fill="auto"/>
            <w:vAlign w:val="center"/>
            <w:hideMark/>
          </w:tcPr>
          <w:p w14:paraId="685F3FB9"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481.181.355</w:t>
            </w:r>
          </w:p>
        </w:tc>
      </w:tr>
      <w:tr w:rsidR="00072A69" w:rsidRPr="00AB5B37" w14:paraId="2065DC16" w14:textId="77777777" w:rsidTr="00AC1F17">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44D5316D"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Infrastrukturno</w:t>
            </w:r>
          </w:p>
        </w:tc>
        <w:tc>
          <w:tcPr>
            <w:tcW w:w="1955" w:type="pct"/>
            <w:tcBorders>
              <w:top w:val="nil"/>
              <w:left w:val="nil"/>
              <w:bottom w:val="single" w:sz="4" w:space="0" w:color="auto"/>
              <w:right w:val="single" w:sz="4" w:space="0" w:color="auto"/>
            </w:tcBorders>
            <w:shd w:val="clear" w:color="auto" w:fill="auto"/>
            <w:vAlign w:val="center"/>
            <w:hideMark/>
          </w:tcPr>
          <w:p w14:paraId="41D60355"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Odprti postopek</w:t>
            </w:r>
          </w:p>
        </w:tc>
        <w:tc>
          <w:tcPr>
            <w:tcW w:w="861" w:type="pct"/>
            <w:tcBorders>
              <w:top w:val="nil"/>
              <w:left w:val="nil"/>
              <w:bottom w:val="single" w:sz="4" w:space="0" w:color="auto"/>
              <w:right w:val="single" w:sz="4" w:space="0" w:color="auto"/>
            </w:tcBorders>
            <w:shd w:val="clear" w:color="auto" w:fill="auto"/>
            <w:vAlign w:val="center"/>
            <w:hideMark/>
          </w:tcPr>
          <w:p w14:paraId="4A4A9A76"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32</w:t>
            </w:r>
          </w:p>
        </w:tc>
        <w:tc>
          <w:tcPr>
            <w:tcW w:w="547" w:type="pct"/>
            <w:tcBorders>
              <w:top w:val="nil"/>
              <w:left w:val="nil"/>
              <w:bottom w:val="single" w:sz="4" w:space="0" w:color="auto"/>
              <w:right w:val="single" w:sz="4" w:space="0" w:color="auto"/>
            </w:tcBorders>
            <w:shd w:val="clear" w:color="auto" w:fill="auto"/>
            <w:vAlign w:val="center"/>
            <w:hideMark/>
          </w:tcPr>
          <w:p w14:paraId="2B147EC1"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75</w:t>
            </w:r>
          </w:p>
        </w:tc>
        <w:tc>
          <w:tcPr>
            <w:tcW w:w="857" w:type="pct"/>
            <w:tcBorders>
              <w:top w:val="nil"/>
              <w:left w:val="nil"/>
              <w:bottom w:val="single" w:sz="4" w:space="0" w:color="auto"/>
              <w:right w:val="single" w:sz="4" w:space="0" w:color="auto"/>
            </w:tcBorders>
            <w:shd w:val="clear" w:color="auto" w:fill="auto"/>
            <w:vAlign w:val="center"/>
            <w:hideMark/>
          </w:tcPr>
          <w:p w14:paraId="4C4F7C71"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74.054.129</w:t>
            </w:r>
          </w:p>
        </w:tc>
      </w:tr>
      <w:tr w:rsidR="00072A69" w:rsidRPr="00AB5B37" w14:paraId="0846719F"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7EB8F415"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1878BD65"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Postopek naročila male vrednosti</w:t>
            </w:r>
          </w:p>
        </w:tc>
        <w:tc>
          <w:tcPr>
            <w:tcW w:w="861" w:type="pct"/>
            <w:tcBorders>
              <w:top w:val="nil"/>
              <w:left w:val="nil"/>
              <w:bottom w:val="single" w:sz="4" w:space="0" w:color="auto"/>
              <w:right w:val="single" w:sz="4" w:space="0" w:color="auto"/>
            </w:tcBorders>
            <w:shd w:val="clear" w:color="auto" w:fill="auto"/>
            <w:vAlign w:val="center"/>
            <w:hideMark/>
          </w:tcPr>
          <w:p w14:paraId="6B069797"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92</w:t>
            </w:r>
          </w:p>
        </w:tc>
        <w:tc>
          <w:tcPr>
            <w:tcW w:w="547" w:type="pct"/>
            <w:tcBorders>
              <w:top w:val="nil"/>
              <w:left w:val="nil"/>
              <w:bottom w:val="single" w:sz="4" w:space="0" w:color="auto"/>
              <w:right w:val="single" w:sz="4" w:space="0" w:color="auto"/>
            </w:tcBorders>
            <w:shd w:val="clear" w:color="auto" w:fill="auto"/>
            <w:vAlign w:val="center"/>
            <w:hideMark/>
          </w:tcPr>
          <w:p w14:paraId="76F27C21"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240</w:t>
            </w:r>
          </w:p>
        </w:tc>
        <w:tc>
          <w:tcPr>
            <w:tcW w:w="857" w:type="pct"/>
            <w:tcBorders>
              <w:top w:val="nil"/>
              <w:left w:val="nil"/>
              <w:bottom w:val="single" w:sz="4" w:space="0" w:color="auto"/>
              <w:right w:val="single" w:sz="4" w:space="0" w:color="auto"/>
            </w:tcBorders>
            <w:shd w:val="clear" w:color="auto" w:fill="auto"/>
            <w:vAlign w:val="center"/>
            <w:hideMark/>
          </w:tcPr>
          <w:p w14:paraId="4F90FCFE"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17.401.115</w:t>
            </w:r>
          </w:p>
        </w:tc>
      </w:tr>
      <w:tr w:rsidR="00072A69" w:rsidRPr="00AB5B37" w14:paraId="5AE2F7AE"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11818FF8"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327CE134"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Postopek s pogajanji brez predhodne objave</w:t>
            </w:r>
          </w:p>
        </w:tc>
        <w:tc>
          <w:tcPr>
            <w:tcW w:w="861" w:type="pct"/>
            <w:tcBorders>
              <w:top w:val="nil"/>
              <w:left w:val="nil"/>
              <w:bottom w:val="single" w:sz="4" w:space="0" w:color="auto"/>
              <w:right w:val="single" w:sz="4" w:space="0" w:color="auto"/>
            </w:tcBorders>
            <w:shd w:val="clear" w:color="auto" w:fill="auto"/>
            <w:vAlign w:val="center"/>
            <w:hideMark/>
          </w:tcPr>
          <w:p w14:paraId="7BD865FF"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8</w:t>
            </w:r>
          </w:p>
        </w:tc>
        <w:tc>
          <w:tcPr>
            <w:tcW w:w="547" w:type="pct"/>
            <w:tcBorders>
              <w:top w:val="nil"/>
              <w:left w:val="nil"/>
              <w:bottom w:val="single" w:sz="4" w:space="0" w:color="auto"/>
              <w:right w:val="single" w:sz="4" w:space="0" w:color="auto"/>
            </w:tcBorders>
            <w:shd w:val="clear" w:color="auto" w:fill="auto"/>
            <w:vAlign w:val="center"/>
            <w:hideMark/>
          </w:tcPr>
          <w:p w14:paraId="37CDED3C"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8</w:t>
            </w:r>
          </w:p>
        </w:tc>
        <w:tc>
          <w:tcPr>
            <w:tcW w:w="857" w:type="pct"/>
            <w:tcBorders>
              <w:top w:val="nil"/>
              <w:left w:val="nil"/>
              <w:bottom w:val="single" w:sz="4" w:space="0" w:color="auto"/>
              <w:right w:val="single" w:sz="4" w:space="0" w:color="auto"/>
            </w:tcBorders>
            <w:shd w:val="clear" w:color="auto" w:fill="auto"/>
            <w:vAlign w:val="center"/>
            <w:hideMark/>
          </w:tcPr>
          <w:p w14:paraId="7212EB8A"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14.812.253</w:t>
            </w:r>
          </w:p>
        </w:tc>
      </w:tr>
      <w:tr w:rsidR="00072A69" w:rsidRPr="00AB5B37" w14:paraId="092938B7"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5044B370"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76A4B8BC"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Postopek s pogajanji po predhodni objavi</w:t>
            </w:r>
          </w:p>
        </w:tc>
        <w:tc>
          <w:tcPr>
            <w:tcW w:w="861" w:type="pct"/>
            <w:tcBorders>
              <w:top w:val="nil"/>
              <w:left w:val="nil"/>
              <w:bottom w:val="single" w:sz="4" w:space="0" w:color="auto"/>
              <w:right w:val="single" w:sz="4" w:space="0" w:color="auto"/>
            </w:tcBorders>
            <w:shd w:val="clear" w:color="auto" w:fill="auto"/>
            <w:vAlign w:val="center"/>
            <w:hideMark/>
          </w:tcPr>
          <w:p w14:paraId="284FF777"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21</w:t>
            </w:r>
          </w:p>
        </w:tc>
        <w:tc>
          <w:tcPr>
            <w:tcW w:w="547" w:type="pct"/>
            <w:tcBorders>
              <w:top w:val="nil"/>
              <w:left w:val="nil"/>
              <w:bottom w:val="single" w:sz="4" w:space="0" w:color="auto"/>
              <w:right w:val="single" w:sz="4" w:space="0" w:color="auto"/>
            </w:tcBorders>
            <w:shd w:val="clear" w:color="auto" w:fill="auto"/>
            <w:vAlign w:val="center"/>
            <w:hideMark/>
          </w:tcPr>
          <w:p w14:paraId="1ED54AC0"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66</w:t>
            </w:r>
          </w:p>
        </w:tc>
        <w:tc>
          <w:tcPr>
            <w:tcW w:w="857" w:type="pct"/>
            <w:tcBorders>
              <w:top w:val="nil"/>
              <w:left w:val="nil"/>
              <w:bottom w:val="single" w:sz="4" w:space="0" w:color="auto"/>
              <w:right w:val="single" w:sz="4" w:space="0" w:color="auto"/>
            </w:tcBorders>
            <w:shd w:val="clear" w:color="auto" w:fill="auto"/>
            <w:vAlign w:val="center"/>
            <w:hideMark/>
          </w:tcPr>
          <w:p w14:paraId="77A17C44"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44.100.557</w:t>
            </w:r>
          </w:p>
        </w:tc>
      </w:tr>
      <w:tr w:rsidR="00072A69" w:rsidRPr="00AB5B37" w14:paraId="72BAB528"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0D716946"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52E05D06" w14:textId="77777777" w:rsidR="00072A69" w:rsidRPr="00AB5B37" w:rsidRDefault="00072A69" w:rsidP="00AC1F17">
            <w:pPr>
              <w:spacing w:after="0" w:line="240" w:lineRule="auto"/>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Skupaj</w:t>
            </w:r>
          </w:p>
        </w:tc>
        <w:tc>
          <w:tcPr>
            <w:tcW w:w="861" w:type="pct"/>
            <w:tcBorders>
              <w:top w:val="nil"/>
              <w:left w:val="nil"/>
              <w:bottom w:val="single" w:sz="4" w:space="0" w:color="auto"/>
              <w:right w:val="single" w:sz="4" w:space="0" w:color="auto"/>
            </w:tcBorders>
            <w:shd w:val="clear" w:color="auto" w:fill="auto"/>
            <w:vAlign w:val="center"/>
            <w:hideMark/>
          </w:tcPr>
          <w:p w14:paraId="045D8AAC"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153</w:t>
            </w:r>
          </w:p>
        </w:tc>
        <w:tc>
          <w:tcPr>
            <w:tcW w:w="547" w:type="pct"/>
            <w:tcBorders>
              <w:top w:val="nil"/>
              <w:left w:val="nil"/>
              <w:bottom w:val="single" w:sz="4" w:space="0" w:color="auto"/>
              <w:right w:val="single" w:sz="4" w:space="0" w:color="auto"/>
            </w:tcBorders>
            <w:shd w:val="clear" w:color="auto" w:fill="auto"/>
            <w:vAlign w:val="center"/>
            <w:hideMark/>
          </w:tcPr>
          <w:p w14:paraId="139D93A5"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389</w:t>
            </w:r>
          </w:p>
        </w:tc>
        <w:tc>
          <w:tcPr>
            <w:tcW w:w="857" w:type="pct"/>
            <w:tcBorders>
              <w:top w:val="nil"/>
              <w:left w:val="nil"/>
              <w:bottom w:val="single" w:sz="4" w:space="0" w:color="auto"/>
              <w:right w:val="single" w:sz="4" w:space="0" w:color="auto"/>
            </w:tcBorders>
            <w:shd w:val="clear" w:color="auto" w:fill="auto"/>
            <w:vAlign w:val="center"/>
            <w:hideMark/>
          </w:tcPr>
          <w:p w14:paraId="1F35EC66"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150.368.054</w:t>
            </w:r>
          </w:p>
        </w:tc>
      </w:tr>
      <w:tr w:rsidR="00072A69" w:rsidRPr="00AB5B37" w14:paraId="3BECEE26" w14:textId="77777777" w:rsidTr="00AC1F17">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7FC4B0E5" w14:textId="77777777" w:rsidR="00072A69" w:rsidRPr="00AB5B37" w:rsidRDefault="00072A69" w:rsidP="00AC1F17">
            <w:pPr>
              <w:spacing w:after="0" w:line="240" w:lineRule="auto"/>
              <w:jc w:val="center"/>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Obrambno</w:t>
            </w:r>
          </w:p>
        </w:tc>
        <w:tc>
          <w:tcPr>
            <w:tcW w:w="1955" w:type="pct"/>
            <w:tcBorders>
              <w:top w:val="nil"/>
              <w:left w:val="nil"/>
              <w:bottom w:val="single" w:sz="4" w:space="0" w:color="auto"/>
              <w:right w:val="single" w:sz="4" w:space="0" w:color="auto"/>
            </w:tcBorders>
            <w:shd w:val="clear" w:color="auto" w:fill="auto"/>
            <w:vAlign w:val="center"/>
            <w:hideMark/>
          </w:tcPr>
          <w:p w14:paraId="37C33AA7" w14:textId="77777777" w:rsidR="00072A69" w:rsidRPr="00AB5B37" w:rsidRDefault="00072A69" w:rsidP="00AC1F17">
            <w:pPr>
              <w:spacing w:after="0" w:line="240" w:lineRule="auto"/>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Postopek s pogajanji po predhodni objavi</w:t>
            </w:r>
          </w:p>
        </w:tc>
        <w:tc>
          <w:tcPr>
            <w:tcW w:w="861" w:type="pct"/>
            <w:tcBorders>
              <w:top w:val="nil"/>
              <w:left w:val="nil"/>
              <w:bottom w:val="single" w:sz="4" w:space="0" w:color="auto"/>
              <w:right w:val="single" w:sz="4" w:space="0" w:color="auto"/>
            </w:tcBorders>
            <w:shd w:val="clear" w:color="auto" w:fill="auto"/>
            <w:vAlign w:val="center"/>
            <w:hideMark/>
          </w:tcPr>
          <w:p w14:paraId="57ADDD14"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3</w:t>
            </w:r>
          </w:p>
        </w:tc>
        <w:tc>
          <w:tcPr>
            <w:tcW w:w="547" w:type="pct"/>
            <w:tcBorders>
              <w:top w:val="nil"/>
              <w:left w:val="nil"/>
              <w:bottom w:val="single" w:sz="4" w:space="0" w:color="auto"/>
              <w:right w:val="single" w:sz="4" w:space="0" w:color="auto"/>
            </w:tcBorders>
            <w:shd w:val="clear" w:color="auto" w:fill="auto"/>
            <w:vAlign w:val="center"/>
            <w:hideMark/>
          </w:tcPr>
          <w:p w14:paraId="44071BE3"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5</w:t>
            </w:r>
          </w:p>
        </w:tc>
        <w:tc>
          <w:tcPr>
            <w:tcW w:w="857" w:type="pct"/>
            <w:tcBorders>
              <w:top w:val="nil"/>
              <w:left w:val="nil"/>
              <w:bottom w:val="single" w:sz="4" w:space="0" w:color="auto"/>
              <w:right w:val="single" w:sz="4" w:space="0" w:color="auto"/>
            </w:tcBorders>
            <w:shd w:val="clear" w:color="auto" w:fill="auto"/>
            <w:vAlign w:val="center"/>
            <w:hideMark/>
          </w:tcPr>
          <w:p w14:paraId="5FC5A236" w14:textId="77777777" w:rsidR="00072A69" w:rsidRPr="00AB5B37" w:rsidRDefault="00072A69" w:rsidP="00AC1F17">
            <w:pPr>
              <w:spacing w:after="0" w:line="240" w:lineRule="auto"/>
              <w:jc w:val="right"/>
              <w:rPr>
                <w:rFonts w:ascii="Arial" w:eastAsia="Times New Roman" w:hAnsi="Arial" w:cs="Arial"/>
                <w:color w:val="000000"/>
                <w:sz w:val="18"/>
                <w:szCs w:val="18"/>
                <w:lang w:eastAsia="sl-SI"/>
              </w:rPr>
            </w:pPr>
            <w:r w:rsidRPr="00AB5B37">
              <w:rPr>
                <w:rFonts w:ascii="Arial" w:eastAsia="Times New Roman" w:hAnsi="Arial" w:cs="Arial"/>
                <w:color w:val="000000"/>
                <w:sz w:val="18"/>
                <w:szCs w:val="18"/>
                <w:lang w:eastAsia="sl-SI"/>
              </w:rPr>
              <w:t>30.054.745</w:t>
            </w:r>
          </w:p>
        </w:tc>
      </w:tr>
      <w:tr w:rsidR="00072A69" w:rsidRPr="00AB5B37" w14:paraId="75927E42" w14:textId="77777777" w:rsidTr="00AC1F17">
        <w:trPr>
          <w:trHeight w:val="300"/>
        </w:trPr>
        <w:tc>
          <w:tcPr>
            <w:tcW w:w="780" w:type="pct"/>
            <w:vMerge/>
            <w:tcBorders>
              <w:top w:val="nil"/>
              <w:left w:val="single" w:sz="4" w:space="0" w:color="auto"/>
              <w:bottom w:val="single" w:sz="4" w:space="0" w:color="auto"/>
              <w:right w:val="single" w:sz="4" w:space="0" w:color="auto"/>
            </w:tcBorders>
            <w:vAlign w:val="center"/>
            <w:hideMark/>
          </w:tcPr>
          <w:p w14:paraId="0B78FD4D" w14:textId="77777777" w:rsidR="00072A69" w:rsidRPr="00AB5B37" w:rsidRDefault="00072A69" w:rsidP="00AC1F17">
            <w:pPr>
              <w:spacing w:after="0" w:line="240" w:lineRule="auto"/>
              <w:rPr>
                <w:rFonts w:ascii="Arial" w:eastAsia="Times New Roman" w:hAnsi="Arial" w:cs="Arial"/>
                <w:color w:val="000000"/>
                <w:sz w:val="18"/>
                <w:szCs w:val="18"/>
                <w:lang w:eastAsia="sl-SI"/>
              </w:rPr>
            </w:pPr>
          </w:p>
        </w:tc>
        <w:tc>
          <w:tcPr>
            <w:tcW w:w="1955" w:type="pct"/>
            <w:tcBorders>
              <w:top w:val="nil"/>
              <w:left w:val="nil"/>
              <w:bottom w:val="single" w:sz="4" w:space="0" w:color="auto"/>
              <w:right w:val="single" w:sz="4" w:space="0" w:color="auto"/>
            </w:tcBorders>
            <w:shd w:val="clear" w:color="auto" w:fill="auto"/>
            <w:vAlign w:val="center"/>
            <w:hideMark/>
          </w:tcPr>
          <w:p w14:paraId="3B9A301D" w14:textId="77777777" w:rsidR="00072A69" w:rsidRPr="00AB5B37" w:rsidRDefault="00072A69" w:rsidP="00AC1F17">
            <w:pPr>
              <w:spacing w:after="0" w:line="240" w:lineRule="auto"/>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Skupaj</w:t>
            </w:r>
          </w:p>
        </w:tc>
        <w:tc>
          <w:tcPr>
            <w:tcW w:w="861" w:type="pct"/>
            <w:tcBorders>
              <w:top w:val="nil"/>
              <w:left w:val="nil"/>
              <w:bottom w:val="single" w:sz="4" w:space="0" w:color="auto"/>
              <w:right w:val="single" w:sz="4" w:space="0" w:color="auto"/>
            </w:tcBorders>
            <w:shd w:val="clear" w:color="auto" w:fill="auto"/>
            <w:noWrap/>
            <w:vAlign w:val="center"/>
            <w:hideMark/>
          </w:tcPr>
          <w:p w14:paraId="2534AAC5"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3</w:t>
            </w:r>
          </w:p>
        </w:tc>
        <w:tc>
          <w:tcPr>
            <w:tcW w:w="547" w:type="pct"/>
            <w:tcBorders>
              <w:top w:val="nil"/>
              <w:left w:val="nil"/>
              <w:bottom w:val="single" w:sz="4" w:space="0" w:color="auto"/>
              <w:right w:val="single" w:sz="4" w:space="0" w:color="auto"/>
            </w:tcBorders>
            <w:shd w:val="clear" w:color="auto" w:fill="auto"/>
            <w:noWrap/>
            <w:vAlign w:val="center"/>
            <w:hideMark/>
          </w:tcPr>
          <w:p w14:paraId="7088000F"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5</w:t>
            </w:r>
          </w:p>
        </w:tc>
        <w:tc>
          <w:tcPr>
            <w:tcW w:w="857" w:type="pct"/>
            <w:tcBorders>
              <w:top w:val="nil"/>
              <w:left w:val="nil"/>
              <w:bottom w:val="single" w:sz="4" w:space="0" w:color="auto"/>
              <w:right w:val="single" w:sz="4" w:space="0" w:color="auto"/>
            </w:tcBorders>
            <w:shd w:val="clear" w:color="auto" w:fill="auto"/>
            <w:noWrap/>
            <w:vAlign w:val="center"/>
            <w:hideMark/>
          </w:tcPr>
          <w:p w14:paraId="2C773E01"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30.054.745</w:t>
            </w:r>
          </w:p>
        </w:tc>
      </w:tr>
      <w:tr w:rsidR="00072A69" w:rsidRPr="00AB5B37" w14:paraId="4190AF10" w14:textId="77777777" w:rsidTr="00AC1F17">
        <w:trPr>
          <w:trHeight w:val="300"/>
        </w:trPr>
        <w:tc>
          <w:tcPr>
            <w:tcW w:w="273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029846" w14:textId="77777777" w:rsidR="00072A69" w:rsidRPr="00AB5B37" w:rsidRDefault="00072A69" w:rsidP="00AC1F17">
            <w:pPr>
              <w:spacing w:after="0" w:line="240" w:lineRule="auto"/>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Skupaj</w:t>
            </w:r>
          </w:p>
        </w:tc>
        <w:tc>
          <w:tcPr>
            <w:tcW w:w="861" w:type="pct"/>
            <w:tcBorders>
              <w:top w:val="nil"/>
              <w:left w:val="nil"/>
              <w:bottom w:val="single" w:sz="4" w:space="0" w:color="auto"/>
              <w:right w:val="single" w:sz="4" w:space="0" w:color="auto"/>
            </w:tcBorders>
            <w:shd w:val="clear" w:color="auto" w:fill="E7E6E6" w:themeFill="background2"/>
            <w:noWrap/>
            <w:vAlign w:val="center"/>
            <w:hideMark/>
          </w:tcPr>
          <w:p w14:paraId="4E98774B"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1.002</w:t>
            </w:r>
          </w:p>
        </w:tc>
        <w:tc>
          <w:tcPr>
            <w:tcW w:w="547" w:type="pct"/>
            <w:tcBorders>
              <w:top w:val="nil"/>
              <w:left w:val="nil"/>
              <w:bottom w:val="single" w:sz="4" w:space="0" w:color="auto"/>
              <w:right w:val="single" w:sz="4" w:space="0" w:color="auto"/>
            </w:tcBorders>
            <w:shd w:val="clear" w:color="auto" w:fill="E7E6E6" w:themeFill="background2"/>
            <w:noWrap/>
            <w:vAlign w:val="center"/>
            <w:hideMark/>
          </w:tcPr>
          <w:p w14:paraId="4A25451F"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6.399</w:t>
            </w:r>
          </w:p>
        </w:tc>
        <w:tc>
          <w:tcPr>
            <w:tcW w:w="857" w:type="pct"/>
            <w:tcBorders>
              <w:top w:val="nil"/>
              <w:left w:val="nil"/>
              <w:bottom w:val="single" w:sz="4" w:space="0" w:color="auto"/>
              <w:right w:val="single" w:sz="4" w:space="0" w:color="auto"/>
            </w:tcBorders>
            <w:shd w:val="clear" w:color="auto" w:fill="E7E6E6" w:themeFill="background2"/>
            <w:noWrap/>
            <w:vAlign w:val="center"/>
            <w:hideMark/>
          </w:tcPr>
          <w:p w14:paraId="12D99E0A" w14:textId="77777777" w:rsidR="00072A69" w:rsidRPr="00AB5B37" w:rsidRDefault="00072A69" w:rsidP="00AC1F17">
            <w:pPr>
              <w:spacing w:after="0" w:line="240" w:lineRule="auto"/>
              <w:jc w:val="right"/>
              <w:rPr>
                <w:rFonts w:ascii="Arial" w:eastAsia="Times New Roman" w:hAnsi="Arial" w:cs="Arial"/>
                <w:b/>
                <w:bCs/>
                <w:color w:val="000000"/>
                <w:sz w:val="18"/>
                <w:szCs w:val="18"/>
                <w:lang w:eastAsia="sl-SI"/>
              </w:rPr>
            </w:pPr>
            <w:r w:rsidRPr="00AB5B37">
              <w:rPr>
                <w:rFonts w:ascii="Arial" w:eastAsia="Times New Roman" w:hAnsi="Arial" w:cs="Arial"/>
                <w:b/>
                <w:bCs/>
                <w:color w:val="000000"/>
                <w:sz w:val="18"/>
                <w:szCs w:val="18"/>
                <w:lang w:eastAsia="sl-SI"/>
              </w:rPr>
              <w:t>661.604.154</w:t>
            </w:r>
          </w:p>
        </w:tc>
      </w:tr>
    </w:tbl>
    <w:p w14:paraId="6698D2F3" w14:textId="77777777" w:rsidR="00072A69" w:rsidRPr="00EF2D0B" w:rsidRDefault="00072A69" w:rsidP="00072A69">
      <w:pPr>
        <w:spacing w:before="120" w:after="120" w:line="240" w:lineRule="auto"/>
        <w:jc w:val="both"/>
        <w:rPr>
          <w:rFonts w:ascii="Arial" w:hAnsi="Arial" w:cs="Arial"/>
          <w:sz w:val="20"/>
          <w:highlight w:val="yellow"/>
        </w:rPr>
      </w:pPr>
    </w:p>
    <w:p w14:paraId="0FE1A1D3" w14:textId="07515C24" w:rsidR="00072A69" w:rsidRPr="00AC107B" w:rsidRDefault="00072A69" w:rsidP="00072A69">
      <w:pPr>
        <w:spacing w:before="120" w:after="120" w:line="240" w:lineRule="auto"/>
        <w:jc w:val="both"/>
        <w:rPr>
          <w:rFonts w:ascii="Arial" w:hAnsi="Arial" w:cs="Arial"/>
          <w:sz w:val="20"/>
        </w:rPr>
      </w:pPr>
      <w:bookmarkStart w:id="75" w:name="_Toc398038711"/>
      <w:bookmarkStart w:id="76" w:name="_Toc398040190"/>
      <w:bookmarkStart w:id="77" w:name="_Toc398584428"/>
      <w:bookmarkStart w:id="78" w:name="_Toc461086444"/>
      <w:bookmarkStart w:id="79" w:name="_Toc461608816"/>
      <w:bookmarkStart w:id="80" w:name="_Toc462401235"/>
      <w:r w:rsidRPr="00AC107B">
        <w:rPr>
          <w:rFonts w:ascii="Arial" w:hAnsi="Arial" w:cs="Arial"/>
          <w:sz w:val="20"/>
        </w:rPr>
        <w:t>Preglednica 8</w:t>
      </w:r>
      <w:r w:rsidR="00D23EC0">
        <w:rPr>
          <w:rFonts w:ascii="Arial" w:hAnsi="Arial" w:cs="Arial"/>
          <w:sz w:val="20"/>
        </w:rPr>
        <w:t>2</w:t>
      </w:r>
      <w:r w:rsidRPr="00AC107B">
        <w:rPr>
          <w:rFonts w:ascii="Arial" w:hAnsi="Arial" w:cs="Arial"/>
          <w:sz w:val="20"/>
        </w:rPr>
        <w:t>: Izvedeni postopki za sklenitev okvirnega sporazuma glede na kategorijo naročnika in vrsto pogodbe</w:t>
      </w:r>
      <w:bookmarkEnd w:id="75"/>
      <w:bookmarkEnd w:id="76"/>
      <w:bookmarkEnd w:id="77"/>
      <w:bookmarkEnd w:id="78"/>
      <w:bookmarkEnd w:id="79"/>
      <w:bookmarkEnd w:id="80"/>
    </w:p>
    <w:tbl>
      <w:tblPr>
        <w:tblW w:w="5000" w:type="pct"/>
        <w:jc w:val="center"/>
        <w:tblCellMar>
          <w:left w:w="70" w:type="dxa"/>
          <w:right w:w="70" w:type="dxa"/>
        </w:tblCellMar>
        <w:tblLook w:val="04A0" w:firstRow="1" w:lastRow="0" w:firstColumn="1" w:lastColumn="0" w:noHBand="0" w:noVBand="1"/>
      </w:tblPr>
      <w:tblGrid>
        <w:gridCol w:w="3017"/>
        <w:gridCol w:w="1512"/>
        <w:gridCol w:w="1965"/>
        <w:gridCol w:w="2568"/>
      </w:tblGrid>
      <w:tr w:rsidR="00072A69" w:rsidRPr="00AC107B" w14:paraId="49A4A93C" w14:textId="77777777" w:rsidTr="00AC1F17">
        <w:trPr>
          <w:trHeight w:val="284"/>
          <w:jc w:val="center"/>
        </w:trPr>
        <w:tc>
          <w:tcPr>
            <w:tcW w:w="1665"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09E48E" w14:textId="77777777" w:rsidR="00072A69" w:rsidRPr="00AC107B" w:rsidRDefault="00072A69" w:rsidP="00AC1F17">
            <w:pPr>
              <w:spacing w:after="0" w:line="240" w:lineRule="auto"/>
              <w:jc w:val="center"/>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Kategorija naročnika</w:t>
            </w:r>
          </w:p>
        </w:tc>
        <w:tc>
          <w:tcPr>
            <w:tcW w:w="1918" w:type="pct"/>
            <w:gridSpan w:val="2"/>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C9211AC" w14:textId="77777777" w:rsidR="00072A69" w:rsidRPr="00AC107B" w:rsidRDefault="00072A69" w:rsidP="00AC1F17">
            <w:pPr>
              <w:spacing w:after="0" w:line="240" w:lineRule="auto"/>
              <w:jc w:val="center"/>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Št. postopkov</w:t>
            </w:r>
          </w:p>
        </w:tc>
        <w:tc>
          <w:tcPr>
            <w:tcW w:w="1417"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BCD783" w14:textId="77777777" w:rsidR="00072A69" w:rsidRPr="00AC107B" w:rsidRDefault="00072A69" w:rsidP="00AC1F17">
            <w:pPr>
              <w:spacing w:after="0" w:line="240" w:lineRule="auto"/>
              <w:jc w:val="center"/>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Delež okvirnih sporazumov v vseh postopkih, ki so jih izvedli naročniki te kategorije</w:t>
            </w:r>
          </w:p>
        </w:tc>
      </w:tr>
      <w:tr w:rsidR="00072A69" w:rsidRPr="00AC107B" w14:paraId="123B9A5C" w14:textId="77777777" w:rsidTr="00AC1F17">
        <w:trPr>
          <w:trHeight w:val="284"/>
          <w:jc w:val="center"/>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4CFD4B2C" w14:textId="77777777" w:rsidR="00072A69" w:rsidRPr="00AC107B" w:rsidRDefault="00072A69" w:rsidP="00AC1F17">
            <w:pPr>
              <w:spacing w:after="0" w:line="240" w:lineRule="auto"/>
              <w:rPr>
                <w:rFonts w:ascii="Arial" w:eastAsia="Times New Roman" w:hAnsi="Arial" w:cs="Arial"/>
                <w:color w:val="000000"/>
                <w:sz w:val="18"/>
                <w:szCs w:val="18"/>
                <w:lang w:eastAsia="sl-SI"/>
              </w:rPr>
            </w:pPr>
          </w:p>
        </w:tc>
        <w:tc>
          <w:tcPr>
            <w:tcW w:w="834" w:type="pct"/>
            <w:tcBorders>
              <w:top w:val="nil"/>
              <w:left w:val="nil"/>
              <w:bottom w:val="single" w:sz="4" w:space="0" w:color="auto"/>
              <w:right w:val="single" w:sz="4" w:space="0" w:color="auto"/>
            </w:tcBorders>
            <w:shd w:val="clear" w:color="auto" w:fill="EDEDED" w:themeFill="accent3" w:themeFillTint="33"/>
            <w:vAlign w:val="center"/>
            <w:hideMark/>
          </w:tcPr>
          <w:p w14:paraId="2C39B1CD" w14:textId="77777777" w:rsidR="00072A69" w:rsidRPr="00AC107B" w:rsidRDefault="00072A69" w:rsidP="00AC1F17">
            <w:pPr>
              <w:spacing w:after="0" w:line="240" w:lineRule="auto"/>
              <w:jc w:val="center"/>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Sklenitev okvirnega sporazuma</w:t>
            </w:r>
          </w:p>
        </w:tc>
        <w:tc>
          <w:tcPr>
            <w:tcW w:w="1084" w:type="pct"/>
            <w:tcBorders>
              <w:top w:val="nil"/>
              <w:left w:val="nil"/>
              <w:bottom w:val="single" w:sz="4" w:space="0" w:color="auto"/>
              <w:right w:val="single" w:sz="4" w:space="0" w:color="auto"/>
            </w:tcBorders>
            <w:shd w:val="clear" w:color="auto" w:fill="EDEDED" w:themeFill="accent3" w:themeFillTint="33"/>
            <w:vAlign w:val="center"/>
            <w:hideMark/>
          </w:tcPr>
          <w:p w14:paraId="3C66BEA5" w14:textId="77777777" w:rsidR="00072A69" w:rsidRPr="00AC107B" w:rsidRDefault="00072A69" w:rsidP="00AC1F17">
            <w:pPr>
              <w:spacing w:after="0" w:line="240" w:lineRule="auto"/>
              <w:jc w:val="center"/>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Sklenitev običajne odplačne pogodbe</w:t>
            </w: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4CAC8A1F" w14:textId="77777777" w:rsidR="00072A69" w:rsidRPr="00AC107B" w:rsidRDefault="00072A69" w:rsidP="00AC1F17">
            <w:pPr>
              <w:spacing w:after="0" w:line="240" w:lineRule="auto"/>
              <w:rPr>
                <w:rFonts w:ascii="Arial" w:eastAsia="Times New Roman" w:hAnsi="Arial" w:cs="Arial"/>
                <w:color w:val="000000"/>
                <w:sz w:val="18"/>
                <w:szCs w:val="18"/>
                <w:lang w:eastAsia="sl-SI"/>
              </w:rPr>
            </w:pPr>
          </w:p>
        </w:tc>
      </w:tr>
      <w:tr w:rsidR="00072A69" w:rsidRPr="00AC107B" w14:paraId="2E97AC7F"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139D7FC2"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Organi RS</w:t>
            </w:r>
          </w:p>
        </w:tc>
        <w:tc>
          <w:tcPr>
            <w:tcW w:w="834" w:type="pct"/>
            <w:tcBorders>
              <w:top w:val="nil"/>
              <w:left w:val="nil"/>
              <w:bottom w:val="single" w:sz="4" w:space="0" w:color="auto"/>
              <w:right w:val="single" w:sz="4" w:space="0" w:color="auto"/>
            </w:tcBorders>
            <w:shd w:val="clear" w:color="auto" w:fill="auto"/>
            <w:vAlign w:val="center"/>
            <w:hideMark/>
          </w:tcPr>
          <w:p w14:paraId="1C3B0221"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38</w:t>
            </w:r>
          </w:p>
        </w:tc>
        <w:tc>
          <w:tcPr>
            <w:tcW w:w="1084" w:type="pct"/>
            <w:tcBorders>
              <w:top w:val="nil"/>
              <w:left w:val="nil"/>
              <w:bottom w:val="single" w:sz="4" w:space="0" w:color="auto"/>
              <w:right w:val="single" w:sz="4" w:space="0" w:color="auto"/>
            </w:tcBorders>
            <w:shd w:val="clear" w:color="auto" w:fill="auto"/>
            <w:vAlign w:val="center"/>
            <w:hideMark/>
          </w:tcPr>
          <w:p w14:paraId="1ECD7EDC"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1.097</w:t>
            </w:r>
          </w:p>
        </w:tc>
        <w:tc>
          <w:tcPr>
            <w:tcW w:w="1417" w:type="pct"/>
            <w:tcBorders>
              <w:top w:val="nil"/>
              <w:left w:val="nil"/>
              <w:bottom w:val="single" w:sz="4" w:space="0" w:color="auto"/>
              <w:right w:val="single" w:sz="4" w:space="0" w:color="auto"/>
            </w:tcBorders>
            <w:shd w:val="clear" w:color="auto" w:fill="auto"/>
            <w:vAlign w:val="center"/>
            <w:hideMark/>
          </w:tcPr>
          <w:p w14:paraId="4C8893B7"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3,35 %</w:t>
            </w:r>
          </w:p>
        </w:tc>
      </w:tr>
      <w:tr w:rsidR="00072A69" w:rsidRPr="00AC107B" w14:paraId="6666C1F2"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0BC155E3"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Samoupravne lokalne skupnosti</w:t>
            </w:r>
          </w:p>
        </w:tc>
        <w:tc>
          <w:tcPr>
            <w:tcW w:w="834" w:type="pct"/>
            <w:tcBorders>
              <w:top w:val="nil"/>
              <w:left w:val="nil"/>
              <w:bottom w:val="single" w:sz="4" w:space="0" w:color="auto"/>
              <w:right w:val="single" w:sz="4" w:space="0" w:color="auto"/>
            </w:tcBorders>
            <w:shd w:val="clear" w:color="auto" w:fill="auto"/>
            <w:vAlign w:val="center"/>
            <w:hideMark/>
          </w:tcPr>
          <w:p w14:paraId="13089F76"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70</w:t>
            </w:r>
          </w:p>
        </w:tc>
        <w:tc>
          <w:tcPr>
            <w:tcW w:w="1084" w:type="pct"/>
            <w:tcBorders>
              <w:top w:val="nil"/>
              <w:left w:val="nil"/>
              <w:bottom w:val="single" w:sz="4" w:space="0" w:color="auto"/>
              <w:right w:val="single" w:sz="4" w:space="0" w:color="auto"/>
            </w:tcBorders>
            <w:shd w:val="clear" w:color="auto" w:fill="auto"/>
            <w:vAlign w:val="center"/>
            <w:hideMark/>
          </w:tcPr>
          <w:p w14:paraId="4CDA3BF9"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1.343</w:t>
            </w:r>
          </w:p>
        </w:tc>
        <w:tc>
          <w:tcPr>
            <w:tcW w:w="1417" w:type="pct"/>
            <w:tcBorders>
              <w:top w:val="nil"/>
              <w:left w:val="nil"/>
              <w:bottom w:val="single" w:sz="4" w:space="0" w:color="auto"/>
              <w:right w:val="single" w:sz="4" w:space="0" w:color="auto"/>
            </w:tcBorders>
            <w:shd w:val="clear" w:color="auto" w:fill="auto"/>
            <w:vAlign w:val="center"/>
            <w:hideMark/>
          </w:tcPr>
          <w:p w14:paraId="6B3B8B95"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4,95 %</w:t>
            </w:r>
          </w:p>
        </w:tc>
      </w:tr>
      <w:tr w:rsidR="00072A69" w:rsidRPr="00AC107B" w14:paraId="507A3BC5"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0F2B53A2"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Javni skladi</w:t>
            </w:r>
          </w:p>
        </w:tc>
        <w:tc>
          <w:tcPr>
            <w:tcW w:w="834" w:type="pct"/>
            <w:tcBorders>
              <w:top w:val="nil"/>
              <w:left w:val="nil"/>
              <w:bottom w:val="single" w:sz="4" w:space="0" w:color="auto"/>
              <w:right w:val="single" w:sz="4" w:space="0" w:color="auto"/>
            </w:tcBorders>
            <w:shd w:val="clear" w:color="auto" w:fill="auto"/>
            <w:vAlign w:val="center"/>
            <w:hideMark/>
          </w:tcPr>
          <w:p w14:paraId="0C3424DA"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w:t>
            </w:r>
          </w:p>
        </w:tc>
        <w:tc>
          <w:tcPr>
            <w:tcW w:w="1084" w:type="pct"/>
            <w:tcBorders>
              <w:top w:val="nil"/>
              <w:left w:val="nil"/>
              <w:bottom w:val="single" w:sz="4" w:space="0" w:color="auto"/>
              <w:right w:val="single" w:sz="4" w:space="0" w:color="auto"/>
            </w:tcBorders>
            <w:shd w:val="clear" w:color="auto" w:fill="auto"/>
            <w:vAlign w:val="center"/>
            <w:hideMark/>
          </w:tcPr>
          <w:p w14:paraId="47767F1C"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45</w:t>
            </w:r>
          </w:p>
        </w:tc>
        <w:tc>
          <w:tcPr>
            <w:tcW w:w="1417" w:type="pct"/>
            <w:tcBorders>
              <w:top w:val="nil"/>
              <w:left w:val="nil"/>
              <w:bottom w:val="single" w:sz="4" w:space="0" w:color="auto"/>
              <w:right w:val="single" w:sz="4" w:space="0" w:color="auto"/>
            </w:tcBorders>
            <w:shd w:val="clear" w:color="auto" w:fill="auto"/>
            <w:vAlign w:val="center"/>
            <w:hideMark/>
          </w:tcPr>
          <w:p w14:paraId="27F72CB1"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2,17 %</w:t>
            </w:r>
          </w:p>
        </w:tc>
      </w:tr>
      <w:tr w:rsidR="00072A69" w:rsidRPr="00AC107B" w14:paraId="407B34A4"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7C53DA9E"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Javne agencije</w:t>
            </w:r>
          </w:p>
        </w:tc>
        <w:tc>
          <w:tcPr>
            <w:tcW w:w="834" w:type="pct"/>
            <w:tcBorders>
              <w:top w:val="nil"/>
              <w:left w:val="nil"/>
              <w:bottom w:val="single" w:sz="4" w:space="0" w:color="auto"/>
              <w:right w:val="single" w:sz="4" w:space="0" w:color="auto"/>
            </w:tcBorders>
            <w:shd w:val="clear" w:color="auto" w:fill="auto"/>
            <w:vAlign w:val="center"/>
            <w:hideMark/>
          </w:tcPr>
          <w:p w14:paraId="37F6C860"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6</w:t>
            </w:r>
          </w:p>
        </w:tc>
        <w:tc>
          <w:tcPr>
            <w:tcW w:w="1084" w:type="pct"/>
            <w:tcBorders>
              <w:top w:val="nil"/>
              <w:left w:val="nil"/>
              <w:bottom w:val="single" w:sz="4" w:space="0" w:color="auto"/>
              <w:right w:val="single" w:sz="4" w:space="0" w:color="auto"/>
            </w:tcBorders>
            <w:shd w:val="clear" w:color="auto" w:fill="auto"/>
            <w:vAlign w:val="center"/>
            <w:hideMark/>
          </w:tcPr>
          <w:p w14:paraId="1171D0C9"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69</w:t>
            </w:r>
          </w:p>
        </w:tc>
        <w:tc>
          <w:tcPr>
            <w:tcW w:w="1417" w:type="pct"/>
            <w:tcBorders>
              <w:top w:val="nil"/>
              <w:left w:val="nil"/>
              <w:bottom w:val="single" w:sz="4" w:space="0" w:color="auto"/>
              <w:right w:val="single" w:sz="4" w:space="0" w:color="auto"/>
            </w:tcBorders>
            <w:shd w:val="clear" w:color="auto" w:fill="auto"/>
            <w:vAlign w:val="center"/>
            <w:hideMark/>
          </w:tcPr>
          <w:p w14:paraId="5663748D"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8,00 %</w:t>
            </w:r>
          </w:p>
        </w:tc>
      </w:tr>
      <w:tr w:rsidR="00072A69" w:rsidRPr="00AC107B" w14:paraId="1A12BBE0"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519F553D"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Javni zavodi</w:t>
            </w:r>
          </w:p>
        </w:tc>
        <w:tc>
          <w:tcPr>
            <w:tcW w:w="834" w:type="pct"/>
            <w:tcBorders>
              <w:top w:val="nil"/>
              <w:left w:val="nil"/>
              <w:bottom w:val="single" w:sz="4" w:space="0" w:color="auto"/>
              <w:right w:val="single" w:sz="4" w:space="0" w:color="auto"/>
            </w:tcBorders>
            <w:shd w:val="clear" w:color="auto" w:fill="auto"/>
            <w:vAlign w:val="center"/>
            <w:hideMark/>
          </w:tcPr>
          <w:p w14:paraId="6895E0F2"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526</w:t>
            </w:r>
          </w:p>
        </w:tc>
        <w:tc>
          <w:tcPr>
            <w:tcW w:w="1084" w:type="pct"/>
            <w:tcBorders>
              <w:top w:val="nil"/>
              <w:left w:val="nil"/>
              <w:bottom w:val="single" w:sz="4" w:space="0" w:color="auto"/>
              <w:right w:val="single" w:sz="4" w:space="0" w:color="auto"/>
            </w:tcBorders>
            <w:shd w:val="clear" w:color="auto" w:fill="auto"/>
            <w:vAlign w:val="center"/>
            <w:hideMark/>
          </w:tcPr>
          <w:p w14:paraId="58E3914F"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1.640</w:t>
            </w:r>
          </w:p>
        </w:tc>
        <w:tc>
          <w:tcPr>
            <w:tcW w:w="1417" w:type="pct"/>
            <w:tcBorders>
              <w:top w:val="nil"/>
              <w:left w:val="nil"/>
              <w:bottom w:val="single" w:sz="4" w:space="0" w:color="auto"/>
              <w:right w:val="single" w:sz="4" w:space="0" w:color="auto"/>
            </w:tcBorders>
            <w:shd w:val="clear" w:color="auto" w:fill="auto"/>
            <w:vAlign w:val="center"/>
            <w:hideMark/>
          </w:tcPr>
          <w:p w14:paraId="2D4A6508"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24,28 %</w:t>
            </w:r>
          </w:p>
        </w:tc>
      </w:tr>
      <w:tr w:rsidR="00072A69" w:rsidRPr="00AC107B" w14:paraId="28E35A2C"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5BBE3D4A"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Javni gospodarski zavodi</w:t>
            </w:r>
          </w:p>
        </w:tc>
        <w:tc>
          <w:tcPr>
            <w:tcW w:w="834" w:type="pct"/>
            <w:tcBorders>
              <w:top w:val="nil"/>
              <w:left w:val="nil"/>
              <w:bottom w:val="single" w:sz="4" w:space="0" w:color="auto"/>
              <w:right w:val="single" w:sz="4" w:space="0" w:color="auto"/>
            </w:tcBorders>
            <w:shd w:val="clear" w:color="auto" w:fill="auto"/>
            <w:vAlign w:val="center"/>
            <w:hideMark/>
          </w:tcPr>
          <w:p w14:paraId="2C423393"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16</w:t>
            </w:r>
          </w:p>
        </w:tc>
        <w:tc>
          <w:tcPr>
            <w:tcW w:w="1084" w:type="pct"/>
            <w:tcBorders>
              <w:top w:val="nil"/>
              <w:left w:val="nil"/>
              <w:bottom w:val="single" w:sz="4" w:space="0" w:color="auto"/>
              <w:right w:val="single" w:sz="4" w:space="0" w:color="auto"/>
            </w:tcBorders>
            <w:shd w:val="clear" w:color="auto" w:fill="auto"/>
            <w:vAlign w:val="center"/>
            <w:hideMark/>
          </w:tcPr>
          <w:p w14:paraId="02C15344"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28</w:t>
            </w:r>
          </w:p>
        </w:tc>
        <w:tc>
          <w:tcPr>
            <w:tcW w:w="1417" w:type="pct"/>
            <w:tcBorders>
              <w:top w:val="nil"/>
              <w:left w:val="nil"/>
              <w:bottom w:val="single" w:sz="4" w:space="0" w:color="auto"/>
              <w:right w:val="single" w:sz="4" w:space="0" w:color="auto"/>
            </w:tcBorders>
            <w:shd w:val="clear" w:color="auto" w:fill="auto"/>
            <w:vAlign w:val="center"/>
            <w:hideMark/>
          </w:tcPr>
          <w:p w14:paraId="4DA40868"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36,36 %</w:t>
            </w:r>
          </w:p>
        </w:tc>
      </w:tr>
      <w:tr w:rsidR="00072A69" w:rsidRPr="00AC107B" w14:paraId="29B8E02D"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3507130A"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834" w:type="pct"/>
            <w:tcBorders>
              <w:top w:val="nil"/>
              <w:left w:val="nil"/>
              <w:bottom w:val="single" w:sz="4" w:space="0" w:color="auto"/>
              <w:right w:val="single" w:sz="4" w:space="0" w:color="auto"/>
            </w:tcBorders>
            <w:shd w:val="clear" w:color="auto" w:fill="auto"/>
            <w:vAlign w:val="center"/>
            <w:hideMark/>
          </w:tcPr>
          <w:p w14:paraId="6B72444A"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344</w:t>
            </w:r>
          </w:p>
        </w:tc>
        <w:tc>
          <w:tcPr>
            <w:tcW w:w="1084" w:type="pct"/>
            <w:tcBorders>
              <w:top w:val="nil"/>
              <w:left w:val="nil"/>
              <w:bottom w:val="single" w:sz="4" w:space="0" w:color="auto"/>
              <w:right w:val="single" w:sz="4" w:space="0" w:color="auto"/>
            </w:tcBorders>
            <w:shd w:val="clear" w:color="auto" w:fill="auto"/>
            <w:vAlign w:val="center"/>
            <w:hideMark/>
          </w:tcPr>
          <w:p w14:paraId="19B2CD09"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1.456</w:t>
            </w:r>
          </w:p>
        </w:tc>
        <w:tc>
          <w:tcPr>
            <w:tcW w:w="1417" w:type="pct"/>
            <w:tcBorders>
              <w:top w:val="nil"/>
              <w:left w:val="nil"/>
              <w:bottom w:val="single" w:sz="4" w:space="0" w:color="auto"/>
              <w:right w:val="single" w:sz="4" w:space="0" w:color="auto"/>
            </w:tcBorders>
            <w:shd w:val="clear" w:color="auto" w:fill="auto"/>
            <w:vAlign w:val="center"/>
            <w:hideMark/>
          </w:tcPr>
          <w:p w14:paraId="7B709960"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19,11 %</w:t>
            </w:r>
          </w:p>
        </w:tc>
      </w:tr>
      <w:tr w:rsidR="00072A69" w:rsidRPr="00AC107B" w14:paraId="4DF2F05D" w14:textId="77777777" w:rsidTr="00AC1F17">
        <w:trPr>
          <w:trHeight w:val="284"/>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14:paraId="347CF232" w14:textId="77777777" w:rsidR="00072A69" w:rsidRPr="00AC107B" w:rsidRDefault="00072A69" w:rsidP="00AC1F17">
            <w:pPr>
              <w:spacing w:after="0" w:line="240" w:lineRule="auto"/>
              <w:rPr>
                <w:rFonts w:ascii="Arial" w:eastAsia="Times New Roman" w:hAnsi="Arial" w:cs="Arial"/>
                <w:color w:val="000000"/>
                <w:sz w:val="18"/>
                <w:szCs w:val="18"/>
                <w:lang w:eastAsia="sl-SI"/>
              </w:rPr>
            </w:pPr>
            <w:r w:rsidRPr="00AC107B">
              <w:rPr>
                <w:rFonts w:ascii="Arial" w:eastAsia="Times New Roman" w:hAnsi="Arial" w:cs="Arial"/>
                <w:color w:val="000000"/>
                <w:sz w:val="18"/>
                <w:szCs w:val="18"/>
                <w:lang w:eastAsia="sl-SI"/>
              </w:rPr>
              <w:t>Razni subjekti</w:t>
            </w:r>
          </w:p>
        </w:tc>
        <w:tc>
          <w:tcPr>
            <w:tcW w:w="834" w:type="pct"/>
            <w:tcBorders>
              <w:top w:val="nil"/>
              <w:left w:val="nil"/>
              <w:bottom w:val="single" w:sz="4" w:space="0" w:color="auto"/>
              <w:right w:val="single" w:sz="4" w:space="0" w:color="auto"/>
            </w:tcBorders>
            <w:shd w:val="clear" w:color="auto" w:fill="auto"/>
            <w:vAlign w:val="center"/>
            <w:hideMark/>
          </w:tcPr>
          <w:p w14:paraId="38642575"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w:t>
            </w:r>
          </w:p>
        </w:tc>
        <w:tc>
          <w:tcPr>
            <w:tcW w:w="1084" w:type="pct"/>
            <w:tcBorders>
              <w:top w:val="nil"/>
              <w:left w:val="nil"/>
              <w:bottom w:val="single" w:sz="4" w:space="0" w:color="auto"/>
              <w:right w:val="single" w:sz="4" w:space="0" w:color="auto"/>
            </w:tcBorders>
            <w:shd w:val="clear" w:color="auto" w:fill="auto"/>
            <w:vAlign w:val="center"/>
            <w:hideMark/>
          </w:tcPr>
          <w:p w14:paraId="74FDC34E"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59</w:t>
            </w:r>
          </w:p>
        </w:tc>
        <w:tc>
          <w:tcPr>
            <w:tcW w:w="1417" w:type="pct"/>
            <w:tcBorders>
              <w:top w:val="nil"/>
              <w:left w:val="nil"/>
              <w:bottom w:val="single" w:sz="4" w:space="0" w:color="auto"/>
              <w:right w:val="single" w:sz="4" w:space="0" w:color="auto"/>
            </w:tcBorders>
            <w:shd w:val="clear" w:color="auto" w:fill="auto"/>
            <w:vAlign w:val="center"/>
            <w:hideMark/>
          </w:tcPr>
          <w:p w14:paraId="463A8451" w14:textId="77777777" w:rsidR="00072A69" w:rsidRPr="00AC107B" w:rsidRDefault="00072A69" w:rsidP="00AC1F17">
            <w:pPr>
              <w:spacing w:after="0" w:line="240" w:lineRule="auto"/>
              <w:jc w:val="right"/>
              <w:rPr>
                <w:rFonts w:ascii="Arial" w:eastAsia="Times New Roman" w:hAnsi="Arial" w:cs="Arial"/>
                <w:color w:val="000000"/>
                <w:sz w:val="18"/>
                <w:szCs w:val="18"/>
                <w:lang w:eastAsia="sl-SI"/>
              </w:rPr>
            </w:pPr>
            <w:r w:rsidRPr="00AC107B">
              <w:rPr>
                <w:rFonts w:ascii="Arial" w:hAnsi="Arial" w:cs="Arial"/>
                <w:sz w:val="18"/>
                <w:szCs w:val="18"/>
              </w:rPr>
              <w:t>1,67 %</w:t>
            </w:r>
          </w:p>
        </w:tc>
      </w:tr>
      <w:tr w:rsidR="00072A69" w:rsidRPr="005C014E" w14:paraId="3A2687F9" w14:textId="77777777" w:rsidTr="00AC1F17">
        <w:trPr>
          <w:trHeight w:val="284"/>
          <w:jc w:val="center"/>
        </w:trPr>
        <w:tc>
          <w:tcPr>
            <w:tcW w:w="16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FC10EC" w14:textId="77777777" w:rsidR="00072A69" w:rsidRPr="00AC107B" w:rsidRDefault="00072A69" w:rsidP="00AC1F17">
            <w:pPr>
              <w:spacing w:after="0" w:line="240" w:lineRule="auto"/>
              <w:rPr>
                <w:rFonts w:ascii="Arial" w:eastAsia="Times New Roman" w:hAnsi="Arial" w:cs="Arial"/>
                <w:b/>
                <w:bCs/>
                <w:color w:val="000000"/>
                <w:sz w:val="18"/>
                <w:szCs w:val="18"/>
                <w:lang w:eastAsia="sl-SI"/>
              </w:rPr>
            </w:pPr>
            <w:r w:rsidRPr="00AC107B">
              <w:rPr>
                <w:rFonts w:ascii="Arial" w:eastAsia="Times New Roman" w:hAnsi="Arial" w:cs="Arial"/>
                <w:b/>
                <w:bCs/>
                <w:color w:val="000000"/>
                <w:sz w:val="18"/>
                <w:szCs w:val="18"/>
                <w:lang w:eastAsia="sl-SI"/>
              </w:rPr>
              <w:t> Skupaj</w:t>
            </w:r>
          </w:p>
        </w:tc>
        <w:tc>
          <w:tcPr>
            <w:tcW w:w="83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223894" w14:textId="77777777" w:rsidR="00072A69" w:rsidRPr="00AC107B" w:rsidRDefault="00072A69" w:rsidP="00AC1F17">
            <w:pPr>
              <w:spacing w:after="0" w:line="240" w:lineRule="auto"/>
              <w:jc w:val="right"/>
              <w:rPr>
                <w:rFonts w:ascii="Arial" w:eastAsia="Times New Roman" w:hAnsi="Arial" w:cs="Arial"/>
                <w:b/>
                <w:bCs/>
                <w:color w:val="000000"/>
                <w:sz w:val="18"/>
                <w:szCs w:val="18"/>
                <w:lang w:eastAsia="sl-SI"/>
              </w:rPr>
            </w:pPr>
            <w:r w:rsidRPr="00AC107B">
              <w:rPr>
                <w:rFonts w:ascii="Arial" w:hAnsi="Arial" w:cs="Arial"/>
                <w:b/>
                <w:sz w:val="18"/>
                <w:szCs w:val="18"/>
              </w:rPr>
              <w:t>1.002</w:t>
            </w:r>
          </w:p>
        </w:tc>
        <w:tc>
          <w:tcPr>
            <w:tcW w:w="10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E14F93" w14:textId="77777777" w:rsidR="00072A69" w:rsidRPr="00AC107B" w:rsidRDefault="00072A69" w:rsidP="00AC1F17">
            <w:pPr>
              <w:spacing w:after="0" w:line="240" w:lineRule="auto"/>
              <w:jc w:val="right"/>
              <w:rPr>
                <w:rFonts w:ascii="Arial" w:eastAsia="Times New Roman" w:hAnsi="Arial" w:cs="Arial"/>
                <w:b/>
                <w:bCs/>
                <w:color w:val="000000"/>
                <w:sz w:val="18"/>
                <w:szCs w:val="18"/>
                <w:lang w:eastAsia="sl-SI"/>
              </w:rPr>
            </w:pPr>
            <w:r w:rsidRPr="00AC107B">
              <w:rPr>
                <w:rFonts w:ascii="Arial" w:hAnsi="Arial" w:cs="Arial"/>
                <w:b/>
                <w:sz w:val="18"/>
                <w:szCs w:val="18"/>
              </w:rPr>
              <w:t>5.737</w:t>
            </w:r>
          </w:p>
        </w:tc>
        <w:tc>
          <w:tcPr>
            <w:tcW w:w="1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B66AA8" w14:textId="77777777" w:rsidR="00072A69" w:rsidRPr="00AC107B" w:rsidRDefault="00072A69" w:rsidP="00AC1F17">
            <w:pPr>
              <w:spacing w:after="0" w:line="240" w:lineRule="auto"/>
              <w:jc w:val="right"/>
              <w:rPr>
                <w:rFonts w:ascii="Arial" w:eastAsia="Times New Roman" w:hAnsi="Arial" w:cs="Arial"/>
                <w:b/>
                <w:bCs/>
                <w:color w:val="000000"/>
                <w:sz w:val="18"/>
                <w:szCs w:val="18"/>
                <w:lang w:eastAsia="sl-SI"/>
              </w:rPr>
            </w:pPr>
            <w:r w:rsidRPr="00AC107B">
              <w:rPr>
                <w:rFonts w:ascii="Arial" w:hAnsi="Arial" w:cs="Arial"/>
                <w:b/>
                <w:sz w:val="18"/>
                <w:szCs w:val="18"/>
              </w:rPr>
              <w:t>17,47 %</w:t>
            </w:r>
          </w:p>
        </w:tc>
      </w:tr>
    </w:tbl>
    <w:p w14:paraId="733B263C" w14:textId="77777777" w:rsidR="00072A69" w:rsidRPr="00345AB4" w:rsidRDefault="00072A69" w:rsidP="00072A69">
      <w:pPr>
        <w:spacing w:before="120" w:after="120" w:line="240" w:lineRule="auto"/>
        <w:jc w:val="both"/>
        <w:rPr>
          <w:rFonts w:ascii="Arial" w:hAnsi="Arial" w:cs="Arial"/>
          <w:sz w:val="20"/>
        </w:rPr>
      </w:pPr>
    </w:p>
    <w:p w14:paraId="3F36B047" w14:textId="13EF8ED0" w:rsidR="00072A69" w:rsidRPr="00345AB4" w:rsidRDefault="00072A69" w:rsidP="00072A69">
      <w:pPr>
        <w:spacing w:before="120" w:after="120" w:line="240" w:lineRule="auto"/>
        <w:jc w:val="both"/>
        <w:rPr>
          <w:rFonts w:ascii="Arial" w:hAnsi="Arial" w:cs="Arial"/>
          <w:sz w:val="20"/>
        </w:rPr>
      </w:pPr>
      <w:r w:rsidRPr="00345AB4">
        <w:rPr>
          <w:rFonts w:ascii="Arial" w:hAnsi="Arial" w:cs="Arial"/>
          <w:sz w:val="20"/>
        </w:rPr>
        <w:lastRenderedPageBreak/>
        <w:t>Preglednica 8</w:t>
      </w:r>
      <w:r w:rsidR="00D23EC0">
        <w:rPr>
          <w:rFonts w:ascii="Arial" w:hAnsi="Arial" w:cs="Arial"/>
          <w:sz w:val="20"/>
        </w:rPr>
        <w:t>3</w:t>
      </w:r>
      <w:r w:rsidRPr="00345AB4">
        <w:rPr>
          <w:rFonts w:ascii="Arial" w:hAnsi="Arial" w:cs="Arial"/>
          <w:sz w:val="20"/>
        </w:rPr>
        <w:t>: Postopki za sklenitev okvirnega sporazuma glede na predmet naročanja po Enotnem besednjaku javnih naročil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
        <w:gridCol w:w="6509"/>
        <w:gridCol w:w="771"/>
        <w:gridCol w:w="961"/>
      </w:tblGrid>
      <w:tr w:rsidR="00072A69" w:rsidRPr="00754D48" w14:paraId="2BBAF4FE" w14:textId="77777777" w:rsidTr="00C320EE">
        <w:trPr>
          <w:trHeight w:val="300"/>
          <w:tblHeader/>
        </w:trPr>
        <w:tc>
          <w:tcPr>
            <w:tcW w:w="289" w:type="pct"/>
            <w:shd w:val="clear" w:color="000000" w:fill="EDEDED"/>
            <w:vAlign w:val="center"/>
            <w:hideMark/>
          </w:tcPr>
          <w:p w14:paraId="30155D99" w14:textId="77777777" w:rsidR="00072A69" w:rsidRPr="00754D48" w:rsidRDefault="00072A69" w:rsidP="00AC1F17">
            <w:pPr>
              <w:spacing w:after="0" w:line="240" w:lineRule="auto"/>
              <w:jc w:val="center"/>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 xml:space="preserve">Predmet </w:t>
            </w:r>
          </w:p>
        </w:tc>
        <w:tc>
          <w:tcPr>
            <w:tcW w:w="3893" w:type="pct"/>
            <w:shd w:val="clear" w:color="000000" w:fill="EDEDED"/>
            <w:vAlign w:val="center"/>
            <w:hideMark/>
          </w:tcPr>
          <w:p w14:paraId="3EB48D33" w14:textId="77777777" w:rsidR="00072A69" w:rsidRPr="00754D48" w:rsidRDefault="00072A69" w:rsidP="00AC1F17">
            <w:pPr>
              <w:spacing w:after="0" w:line="240" w:lineRule="auto"/>
              <w:jc w:val="center"/>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Opis CPV oddelka</w:t>
            </w:r>
          </w:p>
        </w:tc>
        <w:tc>
          <w:tcPr>
            <w:tcW w:w="406" w:type="pct"/>
            <w:shd w:val="clear" w:color="000000" w:fill="EDEDED"/>
            <w:vAlign w:val="center"/>
            <w:hideMark/>
          </w:tcPr>
          <w:p w14:paraId="2F99B678" w14:textId="77777777" w:rsidR="00072A69" w:rsidRPr="00754D48" w:rsidRDefault="00072A69" w:rsidP="00AC1F17">
            <w:pPr>
              <w:spacing w:after="0" w:line="240" w:lineRule="auto"/>
              <w:jc w:val="center"/>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CPV oddelek</w:t>
            </w:r>
          </w:p>
        </w:tc>
        <w:tc>
          <w:tcPr>
            <w:tcW w:w="413" w:type="pct"/>
            <w:shd w:val="clear" w:color="000000" w:fill="EDEDED"/>
            <w:vAlign w:val="center"/>
            <w:hideMark/>
          </w:tcPr>
          <w:p w14:paraId="36F9E460" w14:textId="77777777" w:rsidR="00072A69" w:rsidRPr="00754D48" w:rsidRDefault="00072A69" w:rsidP="00AC1F17">
            <w:pPr>
              <w:spacing w:after="0" w:line="240" w:lineRule="auto"/>
              <w:jc w:val="center"/>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Št. postopkov</w:t>
            </w:r>
          </w:p>
        </w:tc>
      </w:tr>
      <w:tr w:rsidR="00072A69" w:rsidRPr="00754D48" w14:paraId="696BDEDB" w14:textId="77777777" w:rsidTr="00AC1F17">
        <w:trPr>
          <w:trHeight w:val="300"/>
        </w:trPr>
        <w:tc>
          <w:tcPr>
            <w:tcW w:w="289" w:type="pct"/>
            <w:shd w:val="clear" w:color="auto" w:fill="auto"/>
            <w:vAlign w:val="center"/>
            <w:hideMark/>
          </w:tcPr>
          <w:p w14:paraId="3E557E0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0CFBC0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Živila, pijače, tobačni izdelki in z njimi povezani izdelki</w:t>
            </w:r>
          </w:p>
        </w:tc>
        <w:tc>
          <w:tcPr>
            <w:tcW w:w="406" w:type="pct"/>
            <w:shd w:val="clear" w:color="auto" w:fill="auto"/>
            <w:noWrap/>
            <w:vAlign w:val="center"/>
            <w:hideMark/>
          </w:tcPr>
          <w:p w14:paraId="6C6C9C2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15</w:t>
            </w:r>
          </w:p>
        </w:tc>
        <w:tc>
          <w:tcPr>
            <w:tcW w:w="413" w:type="pct"/>
            <w:shd w:val="clear" w:color="auto" w:fill="auto"/>
            <w:vAlign w:val="center"/>
            <w:hideMark/>
          </w:tcPr>
          <w:p w14:paraId="1DAF4EB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227</w:t>
            </w:r>
          </w:p>
        </w:tc>
      </w:tr>
      <w:tr w:rsidR="00072A69" w:rsidRPr="00754D48" w14:paraId="313BF9D7" w14:textId="77777777" w:rsidTr="00AC1F17">
        <w:trPr>
          <w:trHeight w:val="300"/>
        </w:trPr>
        <w:tc>
          <w:tcPr>
            <w:tcW w:w="289" w:type="pct"/>
            <w:shd w:val="clear" w:color="auto" w:fill="auto"/>
            <w:vAlign w:val="center"/>
            <w:hideMark/>
          </w:tcPr>
          <w:p w14:paraId="6A51549E"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4D28222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Medicinska oprema, farmacevtski izdelki in izdelki za osebno nego</w:t>
            </w:r>
          </w:p>
        </w:tc>
        <w:tc>
          <w:tcPr>
            <w:tcW w:w="406" w:type="pct"/>
            <w:shd w:val="clear" w:color="auto" w:fill="auto"/>
            <w:noWrap/>
            <w:vAlign w:val="center"/>
            <w:hideMark/>
          </w:tcPr>
          <w:p w14:paraId="17B38D4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33</w:t>
            </w:r>
          </w:p>
        </w:tc>
        <w:tc>
          <w:tcPr>
            <w:tcW w:w="413" w:type="pct"/>
            <w:shd w:val="clear" w:color="auto" w:fill="auto"/>
            <w:vAlign w:val="center"/>
            <w:hideMark/>
          </w:tcPr>
          <w:p w14:paraId="5E3EFB4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113</w:t>
            </w:r>
          </w:p>
        </w:tc>
      </w:tr>
      <w:tr w:rsidR="00072A69" w:rsidRPr="00754D48" w14:paraId="27F4FBED" w14:textId="77777777" w:rsidTr="00AC1F17">
        <w:trPr>
          <w:trHeight w:val="300"/>
        </w:trPr>
        <w:tc>
          <w:tcPr>
            <w:tcW w:w="289" w:type="pct"/>
            <w:shd w:val="clear" w:color="auto" w:fill="auto"/>
            <w:vAlign w:val="center"/>
            <w:hideMark/>
          </w:tcPr>
          <w:p w14:paraId="64EC7569"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5E6121D9"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popravila in vzdrževanja</w:t>
            </w:r>
          </w:p>
        </w:tc>
        <w:tc>
          <w:tcPr>
            <w:tcW w:w="406" w:type="pct"/>
            <w:shd w:val="clear" w:color="auto" w:fill="auto"/>
            <w:noWrap/>
            <w:vAlign w:val="center"/>
            <w:hideMark/>
          </w:tcPr>
          <w:p w14:paraId="4F5C6077"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50</w:t>
            </w:r>
          </w:p>
        </w:tc>
        <w:tc>
          <w:tcPr>
            <w:tcW w:w="413" w:type="pct"/>
            <w:shd w:val="clear" w:color="auto" w:fill="auto"/>
            <w:vAlign w:val="center"/>
            <w:hideMark/>
          </w:tcPr>
          <w:p w14:paraId="25ED9EE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68</w:t>
            </w:r>
          </w:p>
        </w:tc>
      </w:tr>
      <w:tr w:rsidR="00072A69" w:rsidRPr="00754D48" w14:paraId="70FF6B7B" w14:textId="77777777" w:rsidTr="00AC1F17">
        <w:trPr>
          <w:trHeight w:val="300"/>
        </w:trPr>
        <w:tc>
          <w:tcPr>
            <w:tcW w:w="289" w:type="pct"/>
            <w:shd w:val="clear" w:color="auto" w:fill="auto"/>
            <w:vAlign w:val="center"/>
            <w:hideMark/>
          </w:tcPr>
          <w:p w14:paraId="7C7172EF"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275331B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v zvezi z odplakami, odpadki, čiščenjem in okoljem</w:t>
            </w:r>
          </w:p>
        </w:tc>
        <w:tc>
          <w:tcPr>
            <w:tcW w:w="406" w:type="pct"/>
            <w:shd w:val="clear" w:color="auto" w:fill="auto"/>
            <w:noWrap/>
            <w:vAlign w:val="center"/>
            <w:hideMark/>
          </w:tcPr>
          <w:p w14:paraId="3DA7DD5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90</w:t>
            </w:r>
          </w:p>
        </w:tc>
        <w:tc>
          <w:tcPr>
            <w:tcW w:w="413" w:type="pct"/>
            <w:shd w:val="clear" w:color="auto" w:fill="auto"/>
            <w:vAlign w:val="center"/>
            <w:hideMark/>
          </w:tcPr>
          <w:p w14:paraId="6BE2A5CC"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59</w:t>
            </w:r>
          </w:p>
        </w:tc>
      </w:tr>
      <w:tr w:rsidR="00072A69" w:rsidRPr="00754D48" w14:paraId="499D5177" w14:textId="77777777" w:rsidTr="00AC1F17">
        <w:trPr>
          <w:trHeight w:val="300"/>
        </w:trPr>
        <w:tc>
          <w:tcPr>
            <w:tcW w:w="289" w:type="pct"/>
            <w:shd w:val="clear" w:color="auto" w:fill="auto"/>
            <w:vAlign w:val="center"/>
            <w:hideMark/>
          </w:tcPr>
          <w:p w14:paraId="11CB4EF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3FA00D6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Naftni derivati, goriva, električna energija in drugi viri energije</w:t>
            </w:r>
          </w:p>
        </w:tc>
        <w:tc>
          <w:tcPr>
            <w:tcW w:w="406" w:type="pct"/>
            <w:shd w:val="clear" w:color="auto" w:fill="auto"/>
            <w:noWrap/>
            <w:vAlign w:val="center"/>
            <w:hideMark/>
          </w:tcPr>
          <w:p w14:paraId="7A2EF57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w:t>
            </w:r>
          </w:p>
        </w:tc>
        <w:tc>
          <w:tcPr>
            <w:tcW w:w="413" w:type="pct"/>
            <w:shd w:val="clear" w:color="auto" w:fill="auto"/>
            <w:vAlign w:val="center"/>
            <w:hideMark/>
          </w:tcPr>
          <w:p w14:paraId="768AE5C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43</w:t>
            </w:r>
          </w:p>
        </w:tc>
      </w:tr>
      <w:tr w:rsidR="00072A69" w:rsidRPr="00754D48" w14:paraId="400C533F" w14:textId="77777777" w:rsidTr="00AC1F17">
        <w:trPr>
          <w:trHeight w:val="300"/>
        </w:trPr>
        <w:tc>
          <w:tcPr>
            <w:tcW w:w="289" w:type="pct"/>
            <w:shd w:val="clear" w:color="auto" w:fill="auto"/>
            <w:vAlign w:val="center"/>
            <w:hideMark/>
          </w:tcPr>
          <w:p w14:paraId="334B242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64B7223E"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Pisarniški in računski stroji, oprema in potrebščine, razen pohištva in programskih paketov</w:t>
            </w:r>
          </w:p>
        </w:tc>
        <w:tc>
          <w:tcPr>
            <w:tcW w:w="406" w:type="pct"/>
            <w:shd w:val="clear" w:color="auto" w:fill="auto"/>
            <w:noWrap/>
            <w:vAlign w:val="center"/>
            <w:hideMark/>
          </w:tcPr>
          <w:p w14:paraId="60A98D3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30</w:t>
            </w:r>
          </w:p>
        </w:tc>
        <w:tc>
          <w:tcPr>
            <w:tcW w:w="413" w:type="pct"/>
            <w:shd w:val="clear" w:color="auto" w:fill="auto"/>
            <w:vAlign w:val="center"/>
            <w:hideMark/>
          </w:tcPr>
          <w:p w14:paraId="639AADD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41</w:t>
            </w:r>
          </w:p>
        </w:tc>
      </w:tr>
      <w:tr w:rsidR="00072A69" w:rsidRPr="00754D48" w14:paraId="3775FCCF" w14:textId="77777777" w:rsidTr="00AC1F17">
        <w:trPr>
          <w:trHeight w:val="300"/>
        </w:trPr>
        <w:tc>
          <w:tcPr>
            <w:tcW w:w="289" w:type="pct"/>
            <w:shd w:val="clear" w:color="auto" w:fill="auto"/>
            <w:vAlign w:val="center"/>
            <w:hideMark/>
          </w:tcPr>
          <w:p w14:paraId="33E2639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Gradnje</w:t>
            </w:r>
          </w:p>
        </w:tc>
        <w:tc>
          <w:tcPr>
            <w:tcW w:w="3893" w:type="pct"/>
            <w:shd w:val="clear" w:color="auto" w:fill="auto"/>
            <w:vAlign w:val="center"/>
            <w:hideMark/>
          </w:tcPr>
          <w:p w14:paraId="0F1276B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Gradbena dela</w:t>
            </w:r>
          </w:p>
        </w:tc>
        <w:tc>
          <w:tcPr>
            <w:tcW w:w="406" w:type="pct"/>
            <w:shd w:val="clear" w:color="auto" w:fill="auto"/>
            <w:noWrap/>
            <w:vAlign w:val="center"/>
            <w:hideMark/>
          </w:tcPr>
          <w:p w14:paraId="525FFC9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45</w:t>
            </w:r>
          </w:p>
        </w:tc>
        <w:tc>
          <w:tcPr>
            <w:tcW w:w="413" w:type="pct"/>
            <w:shd w:val="clear" w:color="auto" w:fill="auto"/>
            <w:vAlign w:val="center"/>
            <w:hideMark/>
          </w:tcPr>
          <w:p w14:paraId="47698DE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41</w:t>
            </w:r>
          </w:p>
        </w:tc>
      </w:tr>
      <w:tr w:rsidR="00072A69" w:rsidRPr="00754D48" w14:paraId="166E56A5" w14:textId="77777777" w:rsidTr="00AC1F17">
        <w:trPr>
          <w:trHeight w:val="300"/>
        </w:trPr>
        <w:tc>
          <w:tcPr>
            <w:tcW w:w="289" w:type="pct"/>
            <w:shd w:val="clear" w:color="auto" w:fill="auto"/>
            <w:vAlign w:val="center"/>
            <w:hideMark/>
          </w:tcPr>
          <w:p w14:paraId="447070E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28A7663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Prevozna sredstva in dodatni proizvodi za promet</w:t>
            </w:r>
          </w:p>
        </w:tc>
        <w:tc>
          <w:tcPr>
            <w:tcW w:w="406" w:type="pct"/>
            <w:shd w:val="clear" w:color="auto" w:fill="auto"/>
            <w:noWrap/>
            <w:vAlign w:val="center"/>
            <w:hideMark/>
          </w:tcPr>
          <w:p w14:paraId="39093D3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34</w:t>
            </w:r>
          </w:p>
        </w:tc>
        <w:tc>
          <w:tcPr>
            <w:tcW w:w="413" w:type="pct"/>
            <w:shd w:val="clear" w:color="auto" w:fill="auto"/>
            <w:vAlign w:val="center"/>
            <w:hideMark/>
          </w:tcPr>
          <w:p w14:paraId="327D929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33</w:t>
            </w:r>
          </w:p>
        </w:tc>
      </w:tr>
      <w:tr w:rsidR="00072A69" w:rsidRPr="00754D48" w14:paraId="6076D5A4" w14:textId="77777777" w:rsidTr="00AC1F17">
        <w:trPr>
          <w:trHeight w:val="300"/>
        </w:trPr>
        <w:tc>
          <w:tcPr>
            <w:tcW w:w="289" w:type="pct"/>
            <w:shd w:val="clear" w:color="auto" w:fill="auto"/>
            <w:vAlign w:val="center"/>
            <w:hideMark/>
          </w:tcPr>
          <w:p w14:paraId="21FEC7F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464A2845"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Prevozne storitve (razen prevoza odpadkov)</w:t>
            </w:r>
          </w:p>
        </w:tc>
        <w:tc>
          <w:tcPr>
            <w:tcW w:w="406" w:type="pct"/>
            <w:shd w:val="clear" w:color="auto" w:fill="auto"/>
            <w:noWrap/>
            <w:vAlign w:val="center"/>
            <w:hideMark/>
          </w:tcPr>
          <w:p w14:paraId="25F7BB3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60</w:t>
            </w:r>
          </w:p>
        </w:tc>
        <w:tc>
          <w:tcPr>
            <w:tcW w:w="413" w:type="pct"/>
            <w:shd w:val="clear" w:color="auto" w:fill="auto"/>
            <w:vAlign w:val="center"/>
            <w:hideMark/>
          </w:tcPr>
          <w:p w14:paraId="2BD689F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31</w:t>
            </w:r>
          </w:p>
        </w:tc>
      </w:tr>
      <w:tr w:rsidR="00072A69" w:rsidRPr="00754D48" w14:paraId="1C37E10E" w14:textId="77777777" w:rsidTr="00AC1F17">
        <w:trPr>
          <w:trHeight w:val="300"/>
        </w:trPr>
        <w:tc>
          <w:tcPr>
            <w:tcW w:w="289" w:type="pct"/>
            <w:shd w:val="clear" w:color="auto" w:fill="auto"/>
            <w:vAlign w:val="center"/>
            <w:hideMark/>
          </w:tcPr>
          <w:p w14:paraId="49EECE6B"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6971B08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Poslovne storitve: pravo, trženje, svetovanje, zaposlovanje, tiskanje in varnost</w:t>
            </w:r>
          </w:p>
        </w:tc>
        <w:tc>
          <w:tcPr>
            <w:tcW w:w="406" w:type="pct"/>
            <w:shd w:val="clear" w:color="auto" w:fill="auto"/>
            <w:noWrap/>
            <w:vAlign w:val="center"/>
            <w:hideMark/>
          </w:tcPr>
          <w:p w14:paraId="498E9DE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79</w:t>
            </w:r>
          </w:p>
        </w:tc>
        <w:tc>
          <w:tcPr>
            <w:tcW w:w="413" w:type="pct"/>
            <w:shd w:val="clear" w:color="auto" w:fill="auto"/>
            <w:vAlign w:val="center"/>
            <w:hideMark/>
          </w:tcPr>
          <w:p w14:paraId="7F4BDBB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31</w:t>
            </w:r>
          </w:p>
        </w:tc>
      </w:tr>
      <w:tr w:rsidR="00072A69" w:rsidRPr="00754D48" w14:paraId="1AC55E2A" w14:textId="77777777" w:rsidTr="00AC1F17">
        <w:trPr>
          <w:trHeight w:val="300"/>
        </w:trPr>
        <w:tc>
          <w:tcPr>
            <w:tcW w:w="289" w:type="pct"/>
            <w:shd w:val="clear" w:color="auto" w:fill="auto"/>
            <w:vAlign w:val="center"/>
            <w:hideMark/>
          </w:tcPr>
          <w:p w14:paraId="26C1A224"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6D76009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Arhitekturne, gradbeniške, inženirske in inšpekcijske storitve</w:t>
            </w:r>
          </w:p>
        </w:tc>
        <w:tc>
          <w:tcPr>
            <w:tcW w:w="406" w:type="pct"/>
            <w:shd w:val="clear" w:color="auto" w:fill="auto"/>
            <w:noWrap/>
            <w:vAlign w:val="center"/>
            <w:hideMark/>
          </w:tcPr>
          <w:p w14:paraId="63008B1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71</w:t>
            </w:r>
          </w:p>
        </w:tc>
        <w:tc>
          <w:tcPr>
            <w:tcW w:w="413" w:type="pct"/>
            <w:shd w:val="clear" w:color="auto" w:fill="auto"/>
            <w:vAlign w:val="center"/>
            <w:hideMark/>
          </w:tcPr>
          <w:p w14:paraId="26E42DF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27</w:t>
            </w:r>
          </w:p>
        </w:tc>
      </w:tr>
      <w:tr w:rsidR="00072A69" w:rsidRPr="00754D48" w14:paraId="162EBC15" w14:textId="77777777" w:rsidTr="00AC1F17">
        <w:trPr>
          <w:trHeight w:val="300"/>
        </w:trPr>
        <w:tc>
          <w:tcPr>
            <w:tcW w:w="289" w:type="pct"/>
            <w:shd w:val="clear" w:color="auto" w:fill="auto"/>
            <w:vAlign w:val="center"/>
            <w:hideMark/>
          </w:tcPr>
          <w:p w14:paraId="20BA328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2230FA2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06" w:type="pct"/>
            <w:shd w:val="clear" w:color="auto" w:fill="auto"/>
            <w:noWrap/>
            <w:vAlign w:val="center"/>
            <w:hideMark/>
          </w:tcPr>
          <w:p w14:paraId="4BFA4C5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39</w:t>
            </w:r>
          </w:p>
        </w:tc>
        <w:tc>
          <w:tcPr>
            <w:tcW w:w="413" w:type="pct"/>
            <w:shd w:val="clear" w:color="auto" w:fill="auto"/>
            <w:vAlign w:val="center"/>
            <w:hideMark/>
          </w:tcPr>
          <w:p w14:paraId="5C50789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26</w:t>
            </w:r>
          </w:p>
        </w:tc>
      </w:tr>
      <w:tr w:rsidR="00072A69" w:rsidRPr="00754D48" w14:paraId="71E0DBF2" w14:textId="77777777" w:rsidTr="00AC1F17">
        <w:trPr>
          <w:trHeight w:val="300"/>
        </w:trPr>
        <w:tc>
          <w:tcPr>
            <w:tcW w:w="289" w:type="pct"/>
            <w:shd w:val="clear" w:color="auto" w:fill="auto"/>
            <w:vAlign w:val="center"/>
            <w:hideMark/>
          </w:tcPr>
          <w:p w14:paraId="19F21DD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86F7B0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Gradbene strukture in materiali; pomožni gradbeni izdelki (razen električnih aparatov)</w:t>
            </w:r>
          </w:p>
        </w:tc>
        <w:tc>
          <w:tcPr>
            <w:tcW w:w="406" w:type="pct"/>
            <w:shd w:val="clear" w:color="auto" w:fill="auto"/>
            <w:noWrap/>
            <w:vAlign w:val="center"/>
            <w:hideMark/>
          </w:tcPr>
          <w:p w14:paraId="67CF7EA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44</w:t>
            </w:r>
          </w:p>
        </w:tc>
        <w:tc>
          <w:tcPr>
            <w:tcW w:w="413" w:type="pct"/>
            <w:shd w:val="clear" w:color="auto" w:fill="auto"/>
            <w:vAlign w:val="center"/>
            <w:hideMark/>
          </w:tcPr>
          <w:p w14:paraId="1E3BA97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25</w:t>
            </w:r>
          </w:p>
        </w:tc>
      </w:tr>
      <w:tr w:rsidR="00072A69" w:rsidRPr="00754D48" w14:paraId="7BCF50F2" w14:textId="77777777" w:rsidTr="00AC1F17">
        <w:trPr>
          <w:trHeight w:val="300"/>
        </w:trPr>
        <w:tc>
          <w:tcPr>
            <w:tcW w:w="289" w:type="pct"/>
            <w:shd w:val="clear" w:color="auto" w:fill="auto"/>
            <w:vAlign w:val="center"/>
            <w:hideMark/>
          </w:tcPr>
          <w:p w14:paraId="5A62C913"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AC8C8F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Gradbena dela</w:t>
            </w:r>
          </w:p>
        </w:tc>
        <w:tc>
          <w:tcPr>
            <w:tcW w:w="406" w:type="pct"/>
            <w:shd w:val="clear" w:color="auto" w:fill="auto"/>
            <w:noWrap/>
            <w:vAlign w:val="center"/>
            <w:hideMark/>
          </w:tcPr>
          <w:p w14:paraId="23D2E7F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45</w:t>
            </w:r>
          </w:p>
        </w:tc>
        <w:tc>
          <w:tcPr>
            <w:tcW w:w="413" w:type="pct"/>
            <w:shd w:val="clear" w:color="auto" w:fill="auto"/>
            <w:vAlign w:val="center"/>
            <w:hideMark/>
          </w:tcPr>
          <w:p w14:paraId="6D1939E7"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20</w:t>
            </w:r>
          </w:p>
        </w:tc>
      </w:tr>
      <w:tr w:rsidR="00072A69" w:rsidRPr="00754D48" w14:paraId="7861175B" w14:textId="77777777" w:rsidTr="00AC1F17">
        <w:trPr>
          <w:trHeight w:val="300"/>
        </w:trPr>
        <w:tc>
          <w:tcPr>
            <w:tcW w:w="289" w:type="pct"/>
            <w:shd w:val="clear" w:color="auto" w:fill="auto"/>
            <w:vAlign w:val="center"/>
            <w:hideMark/>
          </w:tcPr>
          <w:p w14:paraId="5B6141D5"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3D277434"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Kemični proizvodi</w:t>
            </w:r>
          </w:p>
        </w:tc>
        <w:tc>
          <w:tcPr>
            <w:tcW w:w="406" w:type="pct"/>
            <w:shd w:val="clear" w:color="auto" w:fill="auto"/>
            <w:noWrap/>
            <w:vAlign w:val="center"/>
            <w:hideMark/>
          </w:tcPr>
          <w:p w14:paraId="2DA1B0F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24</w:t>
            </w:r>
          </w:p>
        </w:tc>
        <w:tc>
          <w:tcPr>
            <w:tcW w:w="413" w:type="pct"/>
            <w:shd w:val="clear" w:color="auto" w:fill="auto"/>
            <w:vAlign w:val="center"/>
            <w:hideMark/>
          </w:tcPr>
          <w:p w14:paraId="2F0F489A"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19</w:t>
            </w:r>
          </w:p>
        </w:tc>
      </w:tr>
      <w:tr w:rsidR="00072A69" w:rsidRPr="00754D48" w14:paraId="668A8953" w14:textId="77777777" w:rsidTr="00AC1F17">
        <w:trPr>
          <w:trHeight w:val="300"/>
        </w:trPr>
        <w:tc>
          <w:tcPr>
            <w:tcW w:w="289" w:type="pct"/>
            <w:shd w:val="clear" w:color="auto" w:fill="auto"/>
            <w:vAlign w:val="center"/>
            <w:hideMark/>
          </w:tcPr>
          <w:p w14:paraId="3FC9EEF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40E1BC7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Oblačila, obutev, prtljaga in pribor</w:t>
            </w:r>
          </w:p>
        </w:tc>
        <w:tc>
          <w:tcPr>
            <w:tcW w:w="406" w:type="pct"/>
            <w:shd w:val="clear" w:color="auto" w:fill="auto"/>
            <w:noWrap/>
            <w:vAlign w:val="center"/>
            <w:hideMark/>
          </w:tcPr>
          <w:p w14:paraId="2F0824A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18</w:t>
            </w:r>
          </w:p>
        </w:tc>
        <w:tc>
          <w:tcPr>
            <w:tcW w:w="413" w:type="pct"/>
            <w:shd w:val="clear" w:color="auto" w:fill="auto"/>
            <w:vAlign w:val="center"/>
            <w:hideMark/>
          </w:tcPr>
          <w:p w14:paraId="66730B6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18</w:t>
            </w:r>
          </w:p>
        </w:tc>
      </w:tr>
      <w:tr w:rsidR="00072A69" w:rsidRPr="00754D48" w14:paraId="2E9B0C23" w14:textId="77777777" w:rsidTr="00AC1F17">
        <w:trPr>
          <w:trHeight w:val="300"/>
        </w:trPr>
        <w:tc>
          <w:tcPr>
            <w:tcW w:w="289" w:type="pct"/>
            <w:shd w:val="clear" w:color="auto" w:fill="auto"/>
            <w:vAlign w:val="center"/>
            <w:hideMark/>
          </w:tcPr>
          <w:p w14:paraId="6BC3137C"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35CF703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Finančne in zavarovalniške storitve</w:t>
            </w:r>
          </w:p>
        </w:tc>
        <w:tc>
          <w:tcPr>
            <w:tcW w:w="406" w:type="pct"/>
            <w:shd w:val="clear" w:color="auto" w:fill="auto"/>
            <w:noWrap/>
            <w:vAlign w:val="center"/>
            <w:hideMark/>
          </w:tcPr>
          <w:p w14:paraId="720FA9E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66</w:t>
            </w:r>
          </w:p>
        </w:tc>
        <w:tc>
          <w:tcPr>
            <w:tcW w:w="413" w:type="pct"/>
            <w:shd w:val="clear" w:color="auto" w:fill="auto"/>
            <w:vAlign w:val="center"/>
            <w:hideMark/>
          </w:tcPr>
          <w:p w14:paraId="5DF5827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12</w:t>
            </w:r>
          </w:p>
        </w:tc>
      </w:tr>
      <w:tr w:rsidR="00072A69" w:rsidRPr="00754D48" w14:paraId="1D1D42E3" w14:textId="77777777" w:rsidTr="00AC1F17">
        <w:trPr>
          <w:trHeight w:val="300"/>
        </w:trPr>
        <w:tc>
          <w:tcPr>
            <w:tcW w:w="289" w:type="pct"/>
            <w:shd w:val="clear" w:color="auto" w:fill="auto"/>
            <w:vAlign w:val="center"/>
            <w:hideMark/>
          </w:tcPr>
          <w:p w14:paraId="0D2D6CB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22AF6AD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Električni stroji, aparati, oprema in potrošno blago; razsvetljava</w:t>
            </w:r>
          </w:p>
        </w:tc>
        <w:tc>
          <w:tcPr>
            <w:tcW w:w="406" w:type="pct"/>
            <w:shd w:val="clear" w:color="auto" w:fill="auto"/>
            <w:noWrap/>
            <w:vAlign w:val="center"/>
            <w:hideMark/>
          </w:tcPr>
          <w:p w14:paraId="3EA277D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31</w:t>
            </w:r>
          </w:p>
        </w:tc>
        <w:tc>
          <w:tcPr>
            <w:tcW w:w="413" w:type="pct"/>
            <w:shd w:val="clear" w:color="auto" w:fill="auto"/>
            <w:vAlign w:val="center"/>
            <w:hideMark/>
          </w:tcPr>
          <w:p w14:paraId="79DC8D1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11</w:t>
            </w:r>
          </w:p>
        </w:tc>
      </w:tr>
      <w:tr w:rsidR="00072A69" w:rsidRPr="00754D48" w14:paraId="7D395ED4" w14:textId="77777777" w:rsidTr="00AC1F17">
        <w:trPr>
          <w:trHeight w:val="300"/>
        </w:trPr>
        <w:tc>
          <w:tcPr>
            <w:tcW w:w="289" w:type="pct"/>
            <w:shd w:val="clear" w:color="auto" w:fill="auto"/>
            <w:vAlign w:val="center"/>
            <w:hideMark/>
          </w:tcPr>
          <w:p w14:paraId="069BB37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E3FB9A3"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informacijske tehnologije: svetovanje, razvoj programske opreme, internet in podpora</w:t>
            </w:r>
          </w:p>
        </w:tc>
        <w:tc>
          <w:tcPr>
            <w:tcW w:w="406" w:type="pct"/>
            <w:shd w:val="clear" w:color="auto" w:fill="auto"/>
            <w:noWrap/>
            <w:vAlign w:val="center"/>
            <w:hideMark/>
          </w:tcPr>
          <w:p w14:paraId="0DC175EA"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72</w:t>
            </w:r>
          </w:p>
        </w:tc>
        <w:tc>
          <w:tcPr>
            <w:tcW w:w="413" w:type="pct"/>
            <w:shd w:val="clear" w:color="auto" w:fill="auto"/>
            <w:vAlign w:val="center"/>
            <w:hideMark/>
          </w:tcPr>
          <w:p w14:paraId="51D5415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11</w:t>
            </w:r>
          </w:p>
        </w:tc>
      </w:tr>
      <w:tr w:rsidR="00072A69" w:rsidRPr="00754D48" w14:paraId="70B0A901" w14:textId="77777777" w:rsidTr="00AC1F17">
        <w:trPr>
          <w:trHeight w:val="300"/>
        </w:trPr>
        <w:tc>
          <w:tcPr>
            <w:tcW w:w="289" w:type="pct"/>
            <w:shd w:val="clear" w:color="auto" w:fill="auto"/>
            <w:vAlign w:val="center"/>
            <w:hideMark/>
          </w:tcPr>
          <w:p w14:paraId="1CF7E74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6D6F3C04"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Druge javne, skupne in osebne storitve</w:t>
            </w:r>
          </w:p>
        </w:tc>
        <w:tc>
          <w:tcPr>
            <w:tcW w:w="406" w:type="pct"/>
            <w:shd w:val="clear" w:color="auto" w:fill="auto"/>
            <w:noWrap/>
            <w:vAlign w:val="center"/>
            <w:hideMark/>
          </w:tcPr>
          <w:p w14:paraId="5F5E676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98</w:t>
            </w:r>
          </w:p>
        </w:tc>
        <w:tc>
          <w:tcPr>
            <w:tcW w:w="413" w:type="pct"/>
            <w:shd w:val="clear" w:color="auto" w:fill="auto"/>
            <w:vAlign w:val="center"/>
            <w:hideMark/>
          </w:tcPr>
          <w:p w14:paraId="43B0CCE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10</w:t>
            </w:r>
          </w:p>
        </w:tc>
      </w:tr>
      <w:tr w:rsidR="00072A69" w:rsidRPr="00754D48" w14:paraId="41EBB5EE" w14:textId="77777777" w:rsidTr="00AC1F17">
        <w:trPr>
          <w:trHeight w:val="300"/>
        </w:trPr>
        <w:tc>
          <w:tcPr>
            <w:tcW w:w="289" w:type="pct"/>
            <w:shd w:val="clear" w:color="auto" w:fill="auto"/>
            <w:vAlign w:val="center"/>
            <w:hideMark/>
          </w:tcPr>
          <w:p w14:paraId="44508054"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5F57DED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Tiskano gradivo in z njim povezani izdelki</w:t>
            </w:r>
          </w:p>
        </w:tc>
        <w:tc>
          <w:tcPr>
            <w:tcW w:w="406" w:type="pct"/>
            <w:shd w:val="clear" w:color="auto" w:fill="auto"/>
            <w:noWrap/>
            <w:vAlign w:val="center"/>
            <w:hideMark/>
          </w:tcPr>
          <w:p w14:paraId="490C02FE"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22</w:t>
            </w:r>
          </w:p>
        </w:tc>
        <w:tc>
          <w:tcPr>
            <w:tcW w:w="413" w:type="pct"/>
            <w:shd w:val="clear" w:color="auto" w:fill="auto"/>
            <w:vAlign w:val="center"/>
            <w:hideMark/>
          </w:tcPr>
          <w:p w14:paraId="6CDBA8E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w:t>
            </w:r>
          </w:p>
        </w:tc>
      </w:tr>
      <w:tr w:rsidR="00072A69" w:rsidRPr="00754D48" w14:paraId="74206EB3" w14:textId="77777777" w:rsidTr="00AC1F17">
        <w:trPr>
          <w:trHeight w:val="300"/>
        </w:trPr>
        <w:tc>
          <w:tcPr>
            <w:tcW w:w="289" w:type="pct"/>
            <w:shd w:val="clear" w:color="auto" w:fill="auto"/>
            <w:vAlign w:val="center"/>
            <w:hideMark/>
          </w:tcPr>
          <w:p w14:paraId="0AAF49C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01AEE4E4"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na področju kmetijstva, gozdarstva, hortikulture, akvakulture in čebelarstva</w:t>
            </w:r>
          </w:p>
        </w:tc>
        <w:tc>
          <w:tcPr>
            <w:tcW w:w="406" w:type="pct"/>
            <w:shd w:val="clear" w:color="auto" w:fill="auto"/>
            <w:noWrap/>
            <w:vAlign w:val="center"/>
            <w:hideMark/>
          </w:tcPr>
          <w:p w14:paraId="2D8FA0C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77</w:t>
            </w:r>
          </w:p>
        </w:tc>
        <w:tc>
          <w:tcPr>
            <w:tcW w:w="413" w:type="pct"/>
            <w:shd w:val="clear" w:color="auto" w:fill="auto"/>
            <w:vAlign w:val="center"/>
            <w:hideMark/>
          </w:tcPr>
          <w:p w14:paraId="7A178A4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w:t>
            </w:r>
          </w:p>
        </w:tc>
      </w:tr>
      <w:tr w:rsidR="00072A69" w:rsidRPr="00754D48" w14:paraId="5A9C0B04" w14:textId="77777777" w:rsidTr="00AC1F17">
        <w:trPr>
          <w:trHeight w:val="300"/>
        </w:trPr>
        <w:tc>
          <w:tcPr>
            <w:tcW w:w="289" w:type="pct"/>
            <w:shd w:val="clear" w:color="auto" w:fill="auto"/>
            <w:vAlign w:val="center"/>
            <w:hideMark/>
          </w:tcPr>
          <w:p w14:paraId="1B43D02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13942249"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Kmetijski, ribiški, gozdarski in z njimi povezani proizvodi</w:t>
            </w:r>
          </w:p>
        </w:tc>
        <w:tc>
          <w:tcPr>
            <w:tcW w:w="406" w:type="pct"/>
            <w:shd w:val="clear" w:color="auto" w:fill="auto"/>
            <w:noWrap/>
            <w:vAlign w:val="center"/>
            <w:hideMark/>
          </w:tcPr>
          <w:p w14:paraId="34F4090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w:t>
            </w:r>
          </w:p>
        </w:tc>
        <w:tc>
          <w:tcPr>
            <w:tcW w:w="413" w:type="pct"/>
            <w:shd w:val="clear" w:color="auto" w:fill="auto"/>
            <w:vAlign w:val="center"/>
            <w:hideMark/>
          </w:tcPr>
          <w:p w14:paraId="110A7E4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8</w:t>
            </w:r>
          </w:p>
        </w:tc>
      </w:tr>
      <w:tr w:rsidR="00072A69" w:rsidRPr="00754D48" w14:paraId="6DD8DFE3" w14:textId="77777777" w:rsidTr="00AC1F17">
        <w:trPr>
          <w:trHeight w:val="300"/>
        </w:trPr>
        <w:tc>
          <w:tcPr>
            <w:tcW w:w="289" w:type="pct"/>
            <w:shd w:val="clear" w:color="auto" w:fill="auto"/>
            <w:vAlign w:val="center"/>
            <w:hideMark/>
          </w:tcPr>
          <w:p w14:paraId="2F5F7763"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C73F01F"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Rudarstvo, navadne kovine in z njimi povezani proizvodi</w:t>
            </w:r>
          </w:p>
        </w:tc>
        <w:tc>
          <w:tcPr>
            <w:tcW w:w="406" w:type="pct"/>
            <w:shd w:val="clear" w:color="auto" w:fill="auto"/>
            <w:noWrap/>
            <w:vAlign w:val="center"/>
            <w:hideMark/>
          </w:tcPr>
          <w:p w14:paraId="06CFC95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14</w:t>
            </w:r>
          </w:p>
        </w:tc>
        <w:tc>
          <w:tcPr>
            <w:tcW w:w="413" w:type="pct"/>
            <w:shd w:val="clear" w:color="auto" w:fill="auto"/>
            <w:vAlign w:val="center"/>
            <w:hideMark/>
          </w:tcPr>
          <w:p w14:paraId="6C6B5CE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8</w:t>
            </w:r>
          </w:p>
        </w:tc>
      </w:tr>
      <w:tr w:rsidR="00072A69" w:rsidRPr="00754D48" w14:paraId="54D20BFB" w14:textId="77777777" w:rsidTr="00AC1F17">
        <w:trPr>
          <w:trHeight w:val="300"/>
        </w:trPr>
        <w:tc>
          <w:tcPr>
            <w:tcW w:w="289" w:type="pct"/>
            <w:shd w:val="clear" w:color="auto" w:fill="auto"/>
            <w:vAlign w:val="center"/>
            <w:hideMark/>
          </w:tcPr>
          <w:p w14:paraId="341207F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32C87C5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Podporne in pomožne prevozne storitve; storitve potovalnih agencij</w:t>
            </w:r>
          </w:p>
        </w:tc>
        <w:tc>
          <w:tcPr>
            <w:tcW w:w="406" w:type="pct"/>
            <w:shd w:val="clear" w:color="auto" w:fill="auto"/>
            <w:noWrap/>
            <w:vAlign w:val="center"/>
            <w:hideMark/>
          </w:tcPr>
          <w:p w14:paraId="5057589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63</w:t>
            </w:r>
          </w:p>
        </w:tc>
        <w:tc>
          <w:tcPr>
            <w:tcW w:w="413" w:type="pct"/>
            <w:shd w:val="clear" w:color="auto" w:fill="auto"/>
            <w:vAlign w:val="center"/>
            <w:hideMark/>
          </w:tcPr>
          <w:p w14:paraId="41EDA4A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8</w:t>
            </w:r>
          </w:p>
        </w:tc>
      </w:tr>
      <w:tr w:rsidR="00072A69" w:rsidRPr="00754D48" w14:paraId="1EDEB2E0" w14:textId="77777777" w:rsidTr="00AC1F17">
        <w:trPr>
          <w:trHeight w:val="300"/>
        </w:trPr>
        <w:tc>
          <w:tcPr>
            <w:tcW w:w="289" w:type="pct"/>
            <w:shd w:val="clear" w:color="auto" w:fill="auto"/>
            <w:vAlign w:val="center"/>
            <w:hideMark/>
          </w:tcPr>
          <w:p w14:paraId="1922855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5C60FB7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na področju zdravstva in socialnega varstva</w:t>
            </w:r>
          </w:p>
        </w:tc>
        <w:tc>
          <w:tcPr>
            <w:tcW w:w="406" w:type="pct"/>
            <w:shd w:val="clear" w:color="auto" w:fill="auto"/>
            <w:noWrap/>
            <w:vAlign w:val="center"/>
            <w:hideMark/>
          </w:tcPr>
          <w:p w14:paraId="0F9C074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85</w:t>
            </w:r>
          </w:p>
        </w:tc>
        <w:tc>
          <w:tcPr>
            <w:tcW w:w="413" w:type="pct"/>
            <w:shd w:val="clear" w:color="auto" w:fill="auto"/>
            <w:vAlign w:val="center"/>
            <w:hideMark/>
          </w:tcPr>
          <w:p w14:paraId="6FD0231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w:t>
            </w:r>
          </w:p>
        </w:tc>
      </w:tr>
      <w:tr w:rsidR="00072A69" w:rsidRPr="00754D48" w14:paraId="708F4DF5" w14:textId="77777777" w:rsidTr="00AC1F17">
        <w:trPr>
          <w:trHeight w:val="300"/>
        </w:trPr>
        <w:tc>
          <w:tcPr>
            <w:tcW w:w="289" w:type="pct"/>
            <w:shd w:val="clear" w:color="auto" w:fill="auto"/>
            <w:vAlign w:val="center"/>
            <w:hideMark/>
          </w:tcPr>
          <w:p w14:paraId="6080F18C"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4DBF6E3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Varnostna, gasilska, policijska in obrambna oprema</w:t>
            </w:r>
          </w:p>
        </w:tc>
        <w:tc>
          <w:tcPr>
            <w:tcW w:w="406" w:type="pct"/>
            <w:shd w:val="clear" w:color="auto" w:fill="auto"/>
            <w:noWrap/>
            <w:vAlign w:val="center"/>
            <w:hideMark/>
          </w:tcPr>
          <w:p w14:paraId="43F3EC1A"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35</w:t>
            </w:r>
          </w:p>
        </w:tc>
        <w:tc>
          <w:tcPr>
            <w:tcW w:w="413" w:type="pct"/>
            <w:shd w:val="clear" w:color="auto" w:fill="auto"/>
            <w:vAlign w:val="center"/>
            <w:hideMark/>
          </w:tcPr>
          <w:p w14:paraId="7FB57D27"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w:t>
            </w:r>
          </w:p>
        </w:tc>
      </w:tr>
      <w:tr w:rsidR="00072A69" w:rsidRPr="00754D48" w14:paraId="609E0D8C" w14:textId="77777777" w:rsidTr="00AC1F17">
        <w:trPr>
          <w:trHeight w:val="300"/>
        </w:trPr>
        <w:tc>
          <w:tcPr>
            <w:tcW w:w="289" w:type="pct"/>
            <w:shd w:val="clear" w:color="auto" w:fill="auto"/>
            <w:vAlign w:val="center"/>
            <w:hideMark/>
          </w:tcPr>
          <w:p w14:paraId="44AE958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8AB610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Laboratorijska, optična in precizna oprema (razen očal)</w:t>
            </w:r>
          </w:p>
        </w:tc>
        <w:tc>
          <w:tcPr>
            <w:tcW w:w="406" w:type="pct"/>
            <w:shd w:val="clear" w:color="auto" w:fill="auto"/>
            <w:noWrap/>
            <w:vAlign w:val="center"/>
            <w:hideMark/>
          </w:tcPr>
          <w:p w14:paraId="61B6A64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38</w:t>
            </w:r>
          </w:p>
        </w:tc>
        <w:tc>
          <w:tcPr>
            <w:tcW w:w="413" w:type="pct"/>
            <w:shd w:val="clear" w:color="auto" w:fill="auto"/>
            <w:vAlign w:val="center"/>
            <w:hideMark/>
          </w:tcPr>
          <w:p w14:paraId="3715F67E"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w:t>
            </w:r>
          </w:p>
        </w:tc>
      </w:tr>
      <w:tr w:rsidR="00072A69" w:rsidRPr="00754D48" w14:paraId="27EEE36B" w14:textId="77777777" w:rsidTr="00AC1F17">
        <w:trPr>
          <w:trHeight w:val="300"/>
        </w:trPr>
        <w:tc>
          <w:tcPr>
            <w:tcW w:w="289" w:type="pct"/>
            <w:shd w:val="clear" w:color="auto" w:fill="auto"/>
            <w:vAlign w:val="center"/>
            <w:hideMark/>
          </w:tcPr>
          <w:p w14:paraId="2A7AA28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3DB9F9BF"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Programski paketi in informacijski sistemi</w:t>
            </w:r>
          </w:p>
        </w:tc>
        <w:tc>
          <w:tcPr>
            <w:tcW w:w="406" w:type="pct"/>
            <w:shd w:val="clear" w:color="auto" w:fill="auto"/>
            <w:noWrap/>
            <w:vAlign w:val="center"/>
            <w:hideMark/>
          </w:tcPr>
          <w:p w14:paraId="22AEF30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48</w:t>
            </w:r>
          </w:p>
        </w:tc>
        <w:tc>
          <w:tcPr>
            <w:tcW w:w="413" w:type="pct"/>
            <w:shd w:val="clear" w:color="auto" w:fill="auto"/>
            <w:vAlign w:val="center"/>
            <w:hideMark/>
          </w:tcPr>
          <w:p w14:paraId="2CADF07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w:t>
            </w:r>
          </w:p>
        </w:tc>
      </w:tr>
      <w:tr w:rsidR="00072A69" w:rsidRPr="00754D48" w14:paraId="58B8D93E" w14:textId="77777777" w:rsidTr="00AC1F17">
        <w:trPr>
          <w:trHeight w:val="300"/>
        </w:trPr>
        <w:tc>
          <w:tcPr>
            <w:tcW w:w="289" w:type="pct"/>
            <w:shd w:val="clear" w:color="auto" w:fill="auto"/>
            <w:vAlign w:val="center"/>
            <w:hideMark/>
          </w:tcPr>
          <w:p w14:paraId="12973FB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4F73F9A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Poštne in telekomunikacijske storitve</w:t>
            </w:r>
          </w:p>
        </w:tc>
        <w:tc>
          <w:tcPr>
            <w:tcW w:w="406" w:type="pct"/>
            <w:shd w:val="clear" w:color="auto" w:fill="auto"/>
            <w:noWrap/>
            <w:vAlign w:val="center"/>
            <w:hideMark/>
          </w:tcPr>
          <w:p w14:paraId="2F3DD2B7"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64</w:t>
            </w:r>
          </w:p>
        </w:tc>
        <w:tc>
          <w:tcPr>
            <w:tcW w:w="413" w:type="pct"/>
            <w:shd w:val="clear" w:color="auto" w:fill="auto"/>
            <w:vAlign w:val="center"/>
            <w:hideMark/>
          </w:tcPr>
          <w:p w14:paraId="71C975C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w:t>
            </w:r>
          </w:p>
        </w:tc>
      </w:tr>
      <w:tr w:rsidR="00072A69" w:rsidRPr="00754D48" w14:paraId="2DAD0994" w14:textId="77777777" w:rsidTr="00AC1F17">
        <w:trPr>
          <w:trHeight w:val="300"/>
        </w:trPr>
        <w:tc>
          <w:tcPr>
            <w:tcW w:w="289" w:type="pct"/>
            <w:shd w:val="clear" w:color="auto" w:fill="auto"/>
            <w:vAlign w:val="center"/>
            <w:hideMark/>
          </w:tcPr>
          <w:p w14:paraId="4672F9F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43EC356C"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Radijski in televizijski aparati, komunikacijska, telekomunikacijska in z njimi povezana oprema</w:t>
            </w:r>
          </w:p>
        </w:tc>
        <w:tc>
          <w:tcPr>
            <w:tcW w:w="406" w:type="pct"/>
            <w:shd w:val="clear" w:color="auto" w:fill="auto"/>
            <w:noWrap/>
            <w:vAlign w:val="center"/>
            <w:hideMark/>
          </w:tcPr>
          <w:p w14:paraId="57CA4F0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32</w:t>
            </w:r>
          </w:p>
        </w:tc>
        <w:tc>
          <w:tcPr>
            <w:tcW w:w="413" w:type="pct"/>
            <w:shd w:val="clear" w:color="auto" w:fill="auto"/>
            <w:vAlign w:val="center"/>
            <w:hideMark/>
          </w:tcPr>
          <w:p w14:paraId="0746440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5</w:t>
            </w:r>
          </w:p>
        </w:tc>
      </w:tr>
      <w:tr w:rsidR="00072A69" w:rsidRPr="00754D48" w14:paraId="68EEB2E3" w14:textId="77777777" w:rsidTr="00AC1F17">
        <w:trPr>
          <w:trHeight w:val="300"/>
        </w:trPr>
        <w:tc>
          <w:tcPr>
            <w:tcW w:w="289" w:type="pct"/>
            <w:shd w:val="clear" w:color="auto" w:fill="auto"/>
            <w:vAlign w:val="center"/>
            <w:hideMark/>
          </w:tcPr>
          <w:p w14:paraId="6255335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99FF38F"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Gospodarske javne službe</w:t>
            </w:r>
          </w:p>
        </w:tc>
        <w:tc>
          <w:tcPr>
            <w:tcW w:w="406" w:type="pct"/>
            <w:shd w:val="clear" w:color="auto" w:fill="auto"/>
            <w:noWrap/>
            <w:vAlign w:val="center"/>
            <w:hideMark/>
          </w:tcPr>
          <w:p w14:paraId="084FBC6C"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65</w:t>
            </w:r>
          </w:p>
        </w:tc>
        <w:tc>
          <w:tcPr>
            <w:tcW w:w="413" w:type="pct"/>
            <w:shd w:val="clear" w:color="auto" w:fill="auto"/>
            <w:vAlign w:val="center"/>
            <w:hideMark/>
          </w:tcPr>
          <w:p w14:paraId="75FC3E4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5</w:t>
            </w:r>
          </w:p>
        </w:tc>
      </w:tr>
      <w:tr w:rsidR="00072A69" w:rsidRPr="00754D48" w14:paraId="721346E2" w14:textId="77777777" w:rsidTr="00AC1F17">
        <w:trPr>
          <w:trHeight w:val="300"/>
        </w:trPr>
        <w:tc>
          <w:tcPr>
            <w:tcW w:w="289" w:type="pct"/>
            <w:shd w:val="clear" w:color="auto" w:fill="auto"/>
            <w:vAlign w:val="center"/>
            <w:hideMark/>
          </w:tcPr>
          <w:p w14:paraId="2851A12F"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5EA13F1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Tiskano gradivo in z njim povezani izdelki</w:t>
            </w:r>
          </w:p>
        </w:tc>
        <w:tc>
          <w:tcPr>
            <w:tcW w:w="406" w:type="pct"/>
            <w:shd w:val="clear" w:color="auto" w:fill="auto"/>
            <w:noWrap/>
            <w:vAlign w:val="center"/>
            <w:hideMark/>
          </w:tcPr>
          <w:p w14:paraId="6AFD7BD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22</w:t>
            </w:r>
          </w:p>
        </w:tc>
        <w:tc>
          <w:tcPr>
            <w:tcW w:w="413" w:type="pct"/>
            <w:shd w:val="clear" w:color="auto" w:fill="auto"/>
            <w:vAlign w:val="center"/>
            <w:hideMark/>
          </w:tcPr>
          <w:p w14:paraId="1983D87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w:t>
            </w:r>
          </w:p>
        </w:tc>
      </w:tr>
      <w:tr w:rsidR="00072A69" w:rsidRPr="00754D48" w14:paraId="4261C0BF" w14:textId="77777777" w:rsidTr="00AC1F17">
        <w:trPr>
          <w:trHeight w:val="300"/>
        </w:trPr>
        <w:tc>
          <w:tcPr>
            <w:tcW w:w="289" w:type="pct"/>
            <w:shd w:val="clear" w:color="auto" w:fill="auto"/>
            <w:vAlign w:val="center"/>
            <w:hideMark/>
          </w:tcPr>
          <w:p w14:paraId="6893322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1F7EB4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Industrijski stroji</w:t>
            </w:r>
          </w:p>
        </w:tc>
        <w:tc>
          <w:tcPr>
            <w:tcW w:w="406" w:type="pct"/>
            <w:shd w:val="clear" w:color="auto" w:fill="auto"/>
            <w:noWrap/>
            <w:vAlign w:val="center"/>
            <w:hideMark/>
          </w:tcPr>
          <w:p w14:paraId="4F0A7004"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42</w:t>
            </w:r>
          </w:p>
        </w:tc>
        <w:tc>
          <w:tcPr>
            <w:tcW w:w="413" w:type="pct"/>
            <w:shd w:val="clear" w:color="auto" w:fill="auto"/>
            <w:vAlign w:val="center"/>
            <w:hideMark/>
          </w:tcPr>
          <w:p w14:paraId="5E78264A"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w:t>
            </w:r>
          </w:p>
        </w:tc>
      </w:tr>
      <w:tr w:rsidR="00072A69" w:rsidRPr="00754D48" w14:paraId="577070BF" w14:textId="77777777" w:rsidTr="00AC1F17">
        <w:trPr>
          <w:trHeight w:val="300"/>
        </w:trPr>
        <w:tc>
          <w:tcPr>
            <w:tcW w:w="289" w:type="pct"/>
            <w:shd w:val="clear" w:color="auto" w:fill="auto"/>
            <w:vAlign w:val="center"/>
            <w:hideMark/>
          </w:tcPr>
          <w:p w14:paraId="3B2C2D63"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28D60C2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Kmetijski stroji</w:t>
            </w:r>
          </w:p>
        </w:tc>
        <w:tc>
          <w:tcPr>
            <w:tcW w:w="406" w:type="pct"/>
            <w:shd w:val="clear" w:color="auto" w:fill="auto"/>
            <w:noWrap/>
            <w:vAlign w:val="center"/>
            <w:hideMark/>
          </w:tcPr>
          <w:p w14:paraId="369DF2B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16</w:t>
            </w:r>
          </w:p>
        </w:tc>
        <w:tc>
          <w:tcPr>
            <w:tcW w:w="413" w:type="pct"/>
            <w:shd w:val="clear" w:color="auto" w:fill="auto"/>
            <w:vAlign w:val="center"/>
            <w:hideMark/>
          </w:tcPr>
          <w:p w14:paraId="647429B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w:t>
            </w:r>
          </w:p>
        </w:tc>
      </w:tr>
      <w:tr w:rsidR="00072A69" w:rsidRPr="00754D48" w14:paraId="7E0682F4" w14:textId="77777777" w:rsidTr="00AC1F17">
        <w:trPr>
          <w:trHeight w:val="300"/>
        </w:trPr>
        <w:tc>
          <w:tcPr>
            <w:tcW w:w="289" w:type="pct"/>
            <w:shd w:val="clear" w:color="auto" w:fill="auto"/>
            <w:vAlign w:val="center"/>
            <w:hideMark/>
          </w:tcPr>
          <w:p w14:paraId="0FA23C7C"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5DF7268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na področju raziskav in razvoja ter s tem povezane svetovalne storitve</w:t>
            </w:r>
          </w:p>
        </w:tc>
        <w:tc>
          <w:tcPr>
            <w:tcW w:w="406" w:type="pct"/>
            <w:shd w:val="clear" w:color="auto" w:fill="auto"/>
            <w:noWrap/>
            <w:vAlign w:val="center"/>
            <w:hideMark/>
          </w:tcPr>
          <w:p w14:paraId="6D8D0B5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73</w:t>
            </w:r>
          </w:p>
        </w:tc>
        <w:tc>
          <w:tcPr>
            <w:tcW w:w="413" w:type="pct"/>
            <w:shd w:val="clear" w:color="auto" w:fill="auto"/>
            <w:vAlign w:val="center"/>
            <w:hideMark/>
          </w:tcPr>
          <w:p w14:paraId="56F7DDD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w:t>
            </w:r>
          </w:p>
        </w:tc>
      </w:tr>
      <w:tr w:rsidR="00072A69" w:rsidRPr="00754D48" w14:paraId="7BD36F28" w14:textId="77777777" w:rsidTr="00AC1F17">
        <w:trPr>
          <w:trHeight w:val="300"/>
        </w:trPr>
        <w:tc>
          <w:tcPr>
            <w:tcW w:w="289" w:type="pct"/>
            <w:shd w:val="clear" w:color="auto" w:fill="auto"/>
            <w:vAlign w:val="center"/>
            <w:hideMark/>
          </w:tcPr>
          <w:p w14:paraId="5ADAC28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565808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Oblačila, obutev, prtljaga in pribor</w:t>
            </w:r>
          </w:p>
        </w:tc>
        <w:tc>
          <w:tcPr>
            <w:tcW w:w="406" w:type="pct"/>
            <w:shd w:val="clear" w:color="auto" w:fill="auto"/>
            <w:noWrap/>
            <w:vAlign w:val="center"/>
            <w:hideMark/>
          </w:tcPr>
          <w:p w14:paraId="71FF5E9A"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18</w:t>
            </w:r>
          </w:p>
        </w:tc>
        <w:tc>
          <w:tcPr>
            <w:tcW w:w="413" w:type="pct"/>
            <w:shd w:val="clear" w:color="auto" w:fill="auto"/>
            <w:vAlign w:val="center"/>
            <w:hideMark/>
          </w:tcPr>
          <w:p w14:paraId="6CDD2B4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18F7CBBF" w14:textId="77777777" w:rsidTr="00AC1F17">
        <w:trPr>
          <w:trHeight w:val="300"/>
        </w:trPr>
        <w:tc>
          <w:tcPr>
            <w:tcW w:w="289" w:type="pct"/>
            <w:shd w:val="clear" w:color="auto" w:fill="auto"/>
            <w:vAlign w:val="center"/>
            <w:hideMark/>
          </w:tcPr>
          <w:p w14:paraId="795C3C4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6282500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Usnjeni in tekstilni materiali, plastični in gumijasti materiali</w:t>
            </w:r>
          </w:p>
        </w:tc>
        <w:tc>
          <w:tcPr>
            <w:tcW w:w="406" w:type="pct"/>
            <w:shd w:val="clear" w:color="auto" w:fill="auto"/>
            <w:noWrap/>
            <w:vAlign w:val="center"/>
            <w:hideMark/>
          </w:tcPr>
          <w:p w14:paraId="3C4518B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19</w:t>
            </w:r>
          </w:p>
        </w:tc>
        <w:tc>
          <w:tcPr>
            <w:tcW w:w="413" w:type="pct"/>
            <w:shd w:val="clear" w:color="auto" w:fill="auto"/>
            <w:vAlign w:val="center"/>
            <w:hideMark/>
          </w:tcPr>
          <w:p w14:paraId="41D1640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2EF26A1E" w14:textId="77777777" w:rsidTr="00AC1F17">
        <w:trPr>
          <w:trHeight w:val="300"/>
        </w:trPr>
        <w:tc>
          <w:tcPr>
            <w:tcW w:w="289" w:type="pct"/>
            <w:shd w:val="clear" w:color="auto" w:fill="auto"/>
            <w:vAlign w:val="center"/>
            <w:hideMark/>
          </w:tcPr>
          <w:p w14:paraId="7550186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CC431B5"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Električni stroji, aparati, oprema in potrošno blago; razsvetljava</w:t>
            </w:r>
          </w:p>
        </w:tc>
        <w:tc>
          <w:tcPr>
            <w:tcW w:w="406" w:type="pct"/>
            <w:shd w:val="clear" w:color="auto" w:fill="auto"/>
            <w:noWrap/>
            <w:vAlign w:val="center"/>
            <w:hideMark/>
          </w:tcPr>
          <w:p w14:paraId="2DB3B8F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31</w:t>
            </w:r>
          </w:p>
        </w:tc>
        <w:tc>
          <w:tcPr>
            <w:tcW w:w="413" w:type="pct"/>
            <w:shd w:val="clear" w:color="auto" w:fill="auto"/>
            <w:vAlign w:val="center"/>
            <w:hideMark/>
          </w:tcPr>
          <w:p w14:paraId="62CB5E6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5AD36FDE" w14:textId="77777777" w:rsidTr="00AC1F17">
        <w:trPr>
          <w:trHeight w:val="300"/>
        </w:trPr>
        <w:tc>
          <w:tcPr>
            <w:tcW w:w="289" w:type="pct"/>
            <w:shd w:val="clear" w:color="auto" w:fill="auto"/>
            <w:vAlign w:val="center"/>
            <w:hideMark/>
          </w:tcPr>
          <w:p w14:paraId="24DDD7AB"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lastRenderedPageBreak/>
              <w:t>Storitve</w:t>
            </w:r>
          </w:p>
        </w:tc>
        <w:tc>
          <w:tcPr>
            <w:tcW w:w="3893" w:type="pct"/>
            <w:shd w:val="clear" w:color="auto" w:fill="auto"/>
            <w:vAlign w:val="center"/>
            <w:hideMark/>
          </w:tcPr>
          <w:p w14:paraId="6DA77BA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Radijski in televizijski aparati, komunikacijska, telekomunikacijska in z njimi povezana oprema</w:t>
            </w:r>
          </w:p>
        </w:tc>
        <w:tc>
          <w:tcPr>
            <w:tcW w:w="406" w:type="pct"/>
            <w:shd w:val="clear" w:color="auto" w:fill="auto"/>
            <w:noWrap/>
            <w:vAlign w:val="center"/>
            <w:hideMark/>
          </w:tcPr>
          <w:p w14:paraId="4D3EDEC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32</w:t>
            </w:r>
          </w:p>
        </w:tc>
        <w:tc>
          <w:tcPr>
            <w:tcW w:w="413" w:type="pct"/>
            <w:shd w:val="clear" w:color="auto" w:fill="auto"/>
            <w:vAlign w:val="center"/>
            <w:hideMark/>
          </w:tcPr>
          <w:p w14:paraId="7FF450F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1CCC1DFE" w14:textId="77777777" w:rsidTr="00AC1F17">
        <w:trPr>
          <w:trHeight w:val="300"/>
        </w:trPr>
        <w:tc>
          <w:tcPr>
            <w:tcW w:w="289" w:type="pct"/>
            <w:shd w:val="clear" w:color="auto" w:fill="auto"/>
            <w:vAlign w:val="center"/>
            <w:hideMark/>
          </w:tcPr>
          <w:p w14:paraId="7C778AF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11AEE1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Prevozna sredstva in dodatni proizvodi za promet</w:t>
            </w:r>
          </w:p>
        </w:tc>
        <w:tc>
          <w:tcPr>
            <w:tcW w:w="406" w:type="pct"/>
            <w:shd w:val="clear" w:color="auto" w:fill="auto"/>
            <w:noWrap/>
            <w:vAlign w:val="center"/>
            <w:hideMark/>
          </w:tcPr>
          <w:p w14:paraId="512D93FE"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34</w:t>
            </w:r>
          </w:p>
        </w:tc>
        <w:tc>
          <w:tcPr>
            <w:tcW w:w="413" w:type="pct"/>
            <w:shd w:val="clear" w:color="auto" w:fill="auto"/>
            <w:vAlign w:val="center"/>
            <w:hideMark/>
          </w:tcPr>
          <w:p w14:paraId="5C935FB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6902A203" w14:textId="77777777" w:rsidTr="00AC1F17">
        <w:trPr>
          <w:trHeight w:val="300"/>
        </w:trPr>
        <w:tc>
          <w:tcPr>
            <w:tcW w:w="289" w:type="pct"/>
            <w:shd w:val="clear" w:color="auto" w:fill="auto"/>
            <w:vAlign w:val="center"/>
            <w:hideMark/>
          </w:tcPr>
          <w:p w14:paraId="5DA74E5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767490B4"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Rudarska, kamnoseška in gradbena oprema</w:t>
            </w:r>
          </w:p>
        </w:tc>
        <w:tc>
          <w:tcPr>
            <w:tcW w:w="406" w:type="pct"/>
            <w:shd w:val="clear" w:color="auto" w:fill="auto"/>
            <w:noWrap/>
            <w:vAlign w:val="center"/>
            <w:hideMark/>
          </w:tcPr>
          <w:p w14:paraId="70E03F5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43</w:t>
            </w:r>
          </w:p>
        </w:tc>
        <w:tc>
          <w:tcPr>
            <w:tcW w:w="413" w:type="pct"/>
            <w:shd w:val="clear" w:color="auto" w:fill="auto"/>
            <w:vAlign w:val="center"/>
            <w:hideMark/>
          </w:tcPr>
          <w:p w14:paraId="65EA4FC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0A3857A1" w14:textId="77777777" w:rsidTr="00AC1F17">
        <w:trPr>
          <w:trHeight w:val="300"/>
        </w:trPr>
        <w:tc>
          <w:tcPr>
            <w:tcW w:w="289" w:type="pct"/>
            <w:shd w:val="clear" w:color="auto" w:fill="auto"/>
            <w:vAlign w:val="center"/>
            <w:hideMark/>
          </w:tcPr>
          <w:p w14:paraId="250E337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2CD85489"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Rudarska, kamnoseška in gradbena oprema</w:t>
            </w:r>
          </w:p>
        </w:tc>
        <w:tc>
          <w:tcPr>
            <w:tcW w:w="406" w:type="pct"/>
            <w:shd w:val="clear" w:color="auto" w:fill="auto"/>
            <w:noWrap/>
            <w:vAlign w:val="center"/>
            <w:hideMark/>
          </w:tcPr>
          <w:p w14:paraId="022FE77C"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43</w:t>
            </w:r>
          </w:p>
        </w:tc>
        <w:tc>
          <w:tcPr>
            <w:tcW w:w="413" w:type="pct"/>
            <w:shd w:val="clear" w:color="auto" w:fill="auto"/>
            <w:vAlign w:val="center"/>
            <w:hideMark/>
          </w:tcPr>
          <w:p w14:paraId="02D0401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7D5F4D82" w14:textId="77777777" w:rsidTr="00AC1F17">
        <w:trPr>
          <w:trHeight w:val="300"/>
        </w:trPr>
        <w:tc>
          <w:tcPr>
            <w:tcW w:w="289" w:type="pct"/>
            <w:shd w:val="clear" w:color="auto" w:fill="auto"/>
            <w:vAlign w:val="center"/>
            <w:hideMark/>
          </w:tcPr>
          <w:p w14:paraId="2E8683B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7977D997"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Gradbene strukture in materiali; pomožni gradbeni izdelki (razen električnih aparatov)</w:t>
            </w:r>
          </w:p>
        </w:tc>
        <w:tc>
          <w:tcPr>
            <w:tcW w:w="406" w:type="pct"/>
            <w:shd w:val="clear" w:color="auto" w:fill="auto"/>
            <w:noWrap/>
            <w:vAlign w:val="center"/>
            <w:hideMark/>
          </w:tcPr>
          <w:p w14:paraId="05E362E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44</w:t>
            </w:r>
          </w:p>
        </w:tc>
        <w:tc>
          <w:tcPr>
            <w:tcW w:w="413" w:type="pct"/>
            <w:shd w:val="clear" w:color="auto" w:fill="auto"/>
            <w:vAlign w:val="center"/>
            <w:hideMark/>
          </w:tcPr>
          <w:p w14:paraId="7F55104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717D506A" w14:textId="77777777" w:rsidTr="00AC1F17">
        <w:trPr>
          <w:trHeight w:val="300"/>
        </w:trPr>
        <w:tc>
          <w:tcPr>
            <w:tcW w:w="289" w:type="pct"/>
            <w:shd w:val="clear" w:color="auto" w:fill="auto"/>
            <w:vAlign w:val="center"/>
            <w:hideMark/>
          </w:tcPr>
          <w:p w14:paraId="4C2D780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07626B8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Programski paketi in informacijski sistemi</w:t>
            </w:r>
          </w:p>
        </w:tc>
        <w:tc>
          <w:tcPr>
            <w:tcW w:w="406" w:type="pct"/>
            <w:shd w:val="clear" w:color="auto" w:fill="auto"/>
            <w:noWrap/>
            <w:vAlign w:val="center"/>
            <w:hideMark/>
          </w:tcPr>
          <w:p w14:paraId="65C2E7D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48</w:t>
            </w:r>
          </w:p>
        </w:tc>
        <w:tc>
          <w:tcPr>
            <w:tcW w:w="413" w:type="pct"/>
            <w:shd w:val="clear" w:color="auto" w:fill="auto"/>
            <w:vAlign w:val="center"/>
            <w:hideMark/>
          </w:tcPr>
          <w:p w14:paraId="0145E56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6DB9B452" w14:textId="77777777" w:rsidTr="00AC1F17">
        <w:trPr>
          <w:trHeight w:val="300"/>
        </w:trPr>
        <w:tc>
          <w:tcPr>
            <w:tcW w:w="289" w:type="pct"/>
            <w:shd w:val="clear" w:color="auto" w:fill="auto"/>
            <w:vAlign w:val="center"/>
            <w:hideMark/>
          </w:tcPr>
          <w:p w14:paraId="6F82E9B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0C4D1CE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hotelov, restavracij in trgovine na drobno</w:t>
            </w:r>
          </w:p>
        </w:tc>
        <w:tc>
          <w:tcPr>
            <w:tcW w:w="406" w:type="pct"/>
            <w:shd w:val="clear" w:color="auto" w:fill="auto"/>
            <w:noWrap/>
            <w:vAlign w:val="center"/>
            <w:hideMark/>
          </w:tcPr>
          <w:p w14:paraId="055B64E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55</w:t>
            </w:r>
          </w:p>
        </w:tc>
        <w:tc>
          <w:tcPr>
            <w:tcW w:w="413" w:type="pct"/>
            <w:shd w:val="clear" w:color="auto" w:fill="auto"/>
            <w:vAlign w:val="center"/>
            <w:hideMark/>
          </w:tcPr>
          <w:p w14:paraId="1E3B8DC0"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205C7E7D" w14:textId="77777777" w:rsidTr="00AC1F17">
        <w:trPr>
          <w:trHeight w:val="300"/>
        </w:trPr>
        <w:tc>
          <w:tcPr>
            <w:tcW w:w="289" w:type="pct"/>
            <w:shd w:val="clear" w:color="auto" w:fill="auto"/>
            <w:vAlign w:val="center"/>
            <w:hideMark/>
          </w:tcPr>
          <w:p w14:paraId="0847A92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402FE380"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poslovanja z nepremičninami</w:t>
            </w:r>
          </w:p>
        </w:tc>
        <w:tc>
          <w:tcPr>
            <w:tcW w:w="406" w:type="pct"/>
            <w:shd w:val="clear" w:color="auto" w:fill="auto"/>
            <w:noWrap/>
            <w:vAlign w:val="center"/>
            <w:hideMark/>
          </w:tcPr>
          <w:p w14:paraId="08378C2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70</w:t>
            </w:r>
          </w:p>
        </w:tc>
        <w:tc>
          <w:tcPr>
            <w:tcW w:w="413" w:type="pct"/>
            <w:shd w:val="clear" w:color="auto" w:fill="auto"/>
            <w:vAlign w:val="center"/>
            <w:hideMark/>
          </w:tcPr>
          <w:p w14:paraId="56088829"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64C1FA64" w14:textId="77777777" w:rsidTr="00AC1F17">
        <w:trPr>
          <w:trHeight w:val="300"/>
        </w:trPr>
        <w:tc>
          <w:tcPr>
            <w:tcW w:w="289" w:type="pct"/>
            <w:shd w:val="clear" w:color="auto" w:fill="auto"/>
            <w:vAlign w:val="center"/>
            <w:hideMark/>
          </w:tcPr>
          <w:p w14:paraId="176D42F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Gradnje</w:t>
            </w:r>
          </w:p>
        </w:tc>
        <w:tc>
          <w:tcPr>
            <w:tcW w:w="3893" w:type="pct"/>
            <w:shd w:val="clear" w:color="auto" w:fill="auto"/>
            <w:vAlign w:val="center"/>
            <w:hideMark/>
          </w:tcPr>
          <w:p w14:paraId="55AF21D3"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v zvezi z odplakami, odpadki, čiščenjem in okoljem</w:t>
            </w:r>
          </w:p>
        </w:tc>
        <w:tc>
          <w:tcPr>
            <w:tcW w:w="406" w:type="pct"/>
            <w:shd w:val="clear" w:color="auto" w:fill="auto"/>
            <w:noWrap/>
            <w:vAlign w:val="center"/>
            <w:hideMark/>
          </w:tcPr>
          <w:p w14:paraId="3AB16D8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90</w:t>
            </w:r>
          </w:p>
        </w:tc>
        <w:tc>
          <w:tcPr>
            <w:tcW w:w="413" w:type="pct"/>
            <w:shd w:val="clear" w:color="auto" w:fill="auto"/>
            <w:vAlign w:val="center"/>
            <w:hideMark/>
          </w:tcPr>
          <w:p w14:paraId="43C48227"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2</w:t>
            </w:r>
          </w:p>
        </w:tc>
      </w:tr>
      <w:tr w:rsidR="00072A69" w:rsidRPr="00754D48" w14:paraId="47FDC4FA" w14:textId="77777777" w:rsidTr="00AC1F17">
        <w:trPr>
          <w:trHeight w:val="300"/>
        </w:trPr>
        <w:tc>
          <w:tcPr>
            <w:tcW w:w="289" w:type="pct"/>
            <w:shd w:val="clear" w:color="auto" w:fill="auto"/>
            <w:vAlign w:val="center"/>
            <w:hideMark/>
          </w:tcPr>
          <w:p w14:paraId="00AFC19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71A1BF73"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Naftni derivati, goriva, električna energija in drugi viri energije</w:t>
            </w:r>
          </w:p>
        </w:tc>
        <w:tc>
          <w:tcPr>
            <w:tcW w:w="406" w:type="pct"/>
            <w:shd w:val="clear" w:color="auto" w:fill="auto"/>
            <w:noWrap/>
            <w:vAlign w:val="center"/>
            <w:hideMark/>
          </w:tcPr>
          <w:p w14:paraId="653A8E9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w:t>
            </w:r>
          </w:p>
        </w:tc>
        <w:tc>
          <w:tcPr>
            <w:tcW w:w="413" w:type="pct"/>
            <w:shd w:val="clear" w:color="auto" w:fill="auto"/>
            <w:vAlign w:val="center"/>
            <w:hideMark/>
          </w:tcPr>
          <w:p w14:paraId="127C5CB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1FEE2A8E" w14:textId="77777777" w:rsidTr="00AC1F17">
        <w:trPr>
          <w:trHeight w:val="300"/>
        </w:trPr>
        <w:tc>
          <w:tcPr>
            <w:tcW w:w="289" w:type="pct"/>
            <w:shd w:val="clear" w:color="auto" w:fill="auto"/>
            <w:vAlign w:val="center"/>
            <w:hideMark/>
          </w:tcPr>
          <w:p w14:paraId="6D7A854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0571809"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Pisarniški in računski stroji, oprema in potrebščine, razen pohištva in programskih paketov</w:t>
            </w:r>
          </w:p>
        </w:tc>
        <w:tc>
          <w:tcPr>
            <w:tcW w:w="406" w:type="pct"/>
            <w:shd w:val="clear" w:color="auto" w:fill="auto"/>
            <w:noWrap/>
            <w:vAlign w:val="center"/>
            <w:hideMark/>
          </w:tcPr>
          <w:p w14:paraId="7841C9D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30</w:t>
            </w:r>
          </w:p>
        </w:tc>
        <w:tc>
          <w:tcPr>
            <w:tcW w:w="413" w:type="pct"/>
            <w:shd w:val="clear" w:color="auto" w:fill="auto"/>
            <w:vAlign w:val="center"/>
            <w:hideMark/>
          </w:tcPr>
          <w:p w14:paraId="0EE91C4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7A82B6BB" w14:textId="77777777" w:rsidTr="00AC1F17">
        <w:trPr>
          <w:trHeight w:val="300"/>
        </w:trPr>
        <w:tc>
          <w:tcPr>
            <w:tcW w:w="289" w:type="pct"/>
            <w:shd w:val="clear" w:color="auto" w:fill="auto"/>
            <w:vAlign w:val="center"/>
            <w:hideMark/>
          </w:tcPr>
          <w:p w14:paraId="0EE358D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Gradnje</w:t>
            </w:r>
          </w:p>
        </w:tc>
        <w:tc>
          <w:tcPr>
            <w:tcW w:w="3893" w:type="pct"/>
            <w:shd w:val="clear" w:color="auto" w:fill="auto"/>
            <w:vAlign w:val="center"/>
            <w:hideMark/>
          </w:tcPr>
          <w:p w14:paraId="42D4D08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Prevozna sredstva in dodatni proizvodi za promet</w:t>
            </w:r>
          </w:p>
        </w:tc>
        <w:tc>
          <w:tcPr>
            <w:tcW w:w="406" w:type="pct"/>
            <w:shd w:val="clear" w:color="auto" w:fill="auto"/>
            <w:noWrap/>
            <w:vAlign w:val="center"/>
            <w:hideMark/>
          </w:tcPr>
          <w:p w14:paraId="794FC3D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34</w:t>
            </w:r>
          </w:p>
        </w:tc>
        <w:tc>
          <w:tcPr>
            <w:tcW w:w="413" w:type="pct"/>
            <w:shd w:val="clear" w:color="auto" w:fill="auto"/>
            <w:vAlign w:val="center"/>
            <w:hideMark/>
          </w:tcPr>
          <w:p w14:paraId="041A282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218CDD2E" w14:textId="77777777" w:rsidTr="00AC1F17">
        <w:trPr>
          <w:trHeight w:val="300"/>
        </w:trPr>
        <w:tc>
          <w:tcPr>
            <w:tcW w:w="289" w:type="pct"/>
            <w:shd w:val="clear" w:color="auto" w:fill="auto"/>
            <w:vAlign w:val="center"/>
            <w:hideMark/>
          </w:tcPr>
          <w:p w14:paraId="03A912FB"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0849E22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Varnostna, gasilska, policijska in obrambna oprema</w:t>
            </w:r>
          </w:p>
        </w:tc>
        <w:tc>
          <w:tcPr>
            <w:tcW w:w="406" w:type="pct"/>
            <w:shd w:val="clear" w:color="auto" w:fill="auto"/>
            <w:noWrap/>
            <w:vAlign w:val="center"/>
            <w:hideMark/>
          </w:tcPr>
          <w:p w14:paraId="1575CA2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35</w:t>
            </w:r>
          </w:p>
        </w:tc>
        <w:tc>
          <w:tcPr>
            <w:tcW w:w="413" w:type="pct"/>
            <w:shd w:val="clear" w:color="auto" w:fill="auto"/>
            <w:vAlign w:val="center"/>
            <w:hideMark/>
          </w:tcPr>
          <w:p w14:paraId="62D85DA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7506A47D" w14:textId="77777777" w:rsidTr="00AC1F17">
        <w:trPr>
          <w:trHeight w:val="300"/>
        </w:trPr>
        <w:tc>
          <w:tcPr>
            <w:tcW w:w="289" w:type="pct"/>
            <w:shd w:val="clear" w:color="auto" w:fill="auto"/>
            <w:vAlign w:val="center"/>
            <w:hideMark/>
          </w:tcPr>
          <w:p w14:paraId="340DF292"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161FA21C"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06" w:type="pct"/>
            <w:shd w:val="clear" w:color="auto" w:fill="auto"/>
            <w:noWrap/>
            <w:vAlign w:val="center"/>
            <w:hideMark/>
          </w:tcPr>
          <w:p w14:paraId="569AC23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39</w:t>
            </w:r>
          </w:p>
        </w:tc>
        <w:tc>
          <w:tcPr>
            <w:tcW w:w="413" w:type="pct"/>
            <w:shd w:val="clear" w:color="auto" w:fill="auto"/>
            <w:vAlign w:val="center"/>
            <w:hideMark/>
          </w:tcPr>
          <w:p w14:paraId="0A18D09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1D73B7D1" w14:textId="77777777" w:rsidTr="00AC1F17">
        <w:trPr>
          <w:trHeight w:val="300"/>
        </w:trPr>
        <w:tc>
          <w:tcPr>
            <w:tcW w:w="289" w:type="pct"/>
            <w:shd w:val="clear" w:color="auto" w:fill="auto"/>
            <w:vAlign w:val="center"/>
            <w:hideMark/>
          </w:tcPr>
          <w:p w14:paraId="1AE150B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50E329EB"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Industrijski stroji</w:t>
            </w:r>
          </w:p>
        </w:tc>
        <w:tc>
          <w:tcPr>
            <w:tcW w:w="406" w:type="pct"/>
            <w:shd w:val="clear" w:color="auto" w:fill="auto"/>
            <w:noWrap/>
            <w:vAlign w:val="center"/>
            <w:hideMark/>
          </w:tcPr>
          <w:p w14:paraId="35CBEC3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42</w:t>
            </w:r>
          </w:p>
        </w:tc>
        <w:tc>
          <w:tcPr>
            <w:tcW w:w="413" w:type="pct"/>
            <w:shd w:val="clear" w:color="auto" w:fill="auto"/>
            <w:vAlign w:val="center"/>
            <w:hideMark/>
          </w:tcPr>
          <w:p w14:paraId="6B32F87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530E06D8" w14:textId="77777777" w:rsidTr="00AC1F17">
        <w:trPr>
          <w:trHeight w:val="300"/>
        </w:trPr>
        <w:tc>
          <w:tcPr>
            <w:tcW w:w="289" w:type="pct"/>
            <w:shd w:val="clear" w:color="auto" w:fill="auto"/>
            <w:vAlign w:val="center"/>
            <w:hideMark/>
          </w:tcPr>
          <w:p w14:paraId="7B5F8FAF"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1C1826B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Gradbena dela</w:t>
            </w:r>
          </w:p>
        </w:tc>
        <w:tc>
          <w:tcPr>
            <w:tcW w:w="406" w:type="pct"/>
            <w:shd w:val="clear" w:color="auto" w:fill="auto"/>
            <w:noWrap/>
            <w:vAlign w:val="center"/>
            <w:hideMark/>
          </w:tcPr>
          <w:p w14:paraId="6591CA97"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45</w:t>
            </w:r>
          </w:p>
        </w:tc>
        <w:tc>
          <w:tcPr>
            <w:tcW w:w="413" w:type="pct"/>
            <w:shd w:val="clear" w:color="auto" w:fill="auto"/>
            <w:vAlign w:val="center"/>
            <w:hideMark/>
          </w:tcPr>
          <w:p w14:paraId="2515DEB8"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09F079CD" w14:textId="77777777" w:rsidTr="00AC1F17">
        <w:trPr>
          <w:trHeight w:val="300"/>
        </w:trPr>
        <w:tc>
          <w:tcPr>
            <w:tcW w:w="289" w:type="pct"/>
            <w:shd w:val="clear" w:color="auto" w:fill="auto"/>
            <w:vAlign w:val="center"/>
            <w:hideMark/>
          </w:tcPr>
          <w:p w14:paraId="5C2969AE"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3BC8108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inštalacije (razen programske opreme)</w:t>
            </w:r>
          </w:p>
        </w:tc>
        <w:tc>
          <w:tcPr>
            <w:tcW w:w="406" w:type="pct"/>
            <w:shd w:val="clear" w:color="auto" w:fill="auto"/>
            <w:noWrap/>
            <w:vAlign w:val="center"/>
            <w:hideMark/>
          </w:tcPr>
          <w:p w14:paraId="052FD0FC"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51</w:t>
            </w:r>
          </w:p>
        </w:tc>
        <w:tc>
          <w:tcPr>
            <w:tcW w:w="413" w:type="pct"/>
            <w:shd w:val="clear" w:color="auto" w:fill="auto"/>
            <w:vAlign w:val="center"/>
            <w:hideMark/>
          </w:tcPr>
          <w:p w14:paraId="16710C4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485C22A5" w14:textId="77777777" w:rsidTr="00AC1F17">
        <w:trPr>
          <w:trHeight w:val="300"/>
        </w:trPr>
        <w:tc>
          <w:tcPr>
            <w:tcW w:w="289" w:type="pct"/>
            <w:shd w:val="clear" w:color="auto" w:fill="auto"/>
            <w:vAlign w:val="center"/>
            <w:hideMark/>
          </w:tcPr>
          <w:p w14:paraId="697D72EE"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0CAEFCE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Prevozne storitve (razen prevoza odpadkov)</w:t>
            </w:r>
          </w:p>
        </w:tc>
        <w:tc>
          <w:tcPr>
            <w:tcW w:w="406" w:type="pct"/>
            <w:shd w:val="clear" w:color="auto" w:fill="auto"/>
            <w:noWrap/>
            <w:vAlign w:val="center"/>
            <w:hideMark/>
          </w:tcPr>
          <w:p w14:paraId="3029586D"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60</w:t>
            </w:r>
          </w:p>
        </w:tc>
        <w:tc>
          <w:tcPr>
            <w:tcW w:w="413" w:type="pct"/>
            <w:shd w:val="clear" w:color="auto" w:fill="auto"/>
            <w:vAlign w:val="center"/>
            <w:hideMark/>
          </w:tcPr>
          <w:p w14:paraId="3D322903"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3BA7A581" w14:textId="77777777" w:rsidTr="00AC1F17">
        <w:trPr>
          <w:trHeight w:val="300"/>
        </w:trPr>
        <w:tc>
          <w:tcPr>
            <w:tcW w:w="289" w:type="pct"/>
            <w:shd w:val="clear" w:color="auto" w:fill="auto"/>
            <w:vAlign w:val="center"/>
            <w:hideMark/>
          </w:tcPr>
          <w:p w14:paraId="11A9E385"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3D8A150C"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Gospodarske javne službe</w:t>
            </w:r>
          </w:p>
        </w:tc>
        <w:tc>
          <w:tcPr>
            <w:tcW w:w="406" w:type="pct"/>
            <w:shd w:val="clear" w:color="auto" w:fill="auto"/>
            <w:noWrap/>
            <w:vAlign w:val="center"/>
            <w:hideMark/>
          </w:tcPr>
          <w:p w14:paraId="75563BE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65</w:t>
            </w:r>
          </w:p>
        </w:tc>
        <w:tc>
          <w:tcPr>
            <w:tcW w:w="413" w:type="pct"/>
            <w:shd w:val="clear" w:color="auto" w:fill="auto"/>
            <w:vAlign w:val="center"/>
            <w:hideMark/>
          </w:tcPr>
          <w:p w14:paraId="084434B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60A4051B" w14:textId="77777777" w:rsidTr="00AC1F17">
        <w:trPr>
          <w:trHeight w:val="300"/>
        </w:trPr>
        <w:tc>
          <w:tcPr>
            <w:tcW w:w="289" w:type="pct"/>
            <w:shd w:val="clear" w:color="auto" w:fill="auto"/>
            <w:vAlign w:val="center"/>
            <w:hideMark/>
          </w:tcPr>
          <w:p w14:paraId="298508DA"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6FB1558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povezane z industrijo nafte in zemeljskega plina</w:t>
            </w:r>
          </w:p>
        </w:tc>
        <w:tc>
          <w:tcPr>
            <w:tcW w:w="406" w:type="pct"/>
            <w:shd w:val="clear" w:color="auto" w:fill="auto"/>
            <w:noWrap/>
            <w:vAlign w:val="center"/>
            <w:hideMark/>
          </w:tcPr>
          <w:p w14:paraId="012A2C8E"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76</w:t>
            </w:r>
          </w:p>
        </w:tc>
        <w:tc>
          <w:tcPr>
            <w:tcW w:w="413" w:type="pct"/>
            <w:shd w:val="clear" w:color="auto" w:fill="auto"/>
            <w:vAlign w:val="center"/>
            <w:hideMark/>
          </w:tcPr>
          <w:p w14:paraId="49FBEC4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73EFCA18" w14:textId="77777777" w:rsidTr="00AC1F17">
        <w:trPr>
          <w:trHeight w:val="300"/>
        </w:trPr>
        <w:tc>
          <w:tcPr>
            <w:tcW w:w="289" w:type="pct"/>
            <w:shd w:val="clear" w:color="auto" w:fill="auto"/>
            <w:vAlign w:val="center"/>
            <w:hideMark/>
          </w:tcPr>
          <w:p w14:paraId="0F64D3A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2A183DEE"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na področju kmetijstva, gozdarstva, hortikulture, akvakulture in čebelarstva</w:t>
            </w:r>
          </w:p>
        </w:tc>
        <w:tc>
          <w:tcPr>
            <w:tcW w:w="406" w:type="pct"/>
            <w:shd w:val="clear" w:color="auto" w:fill="auto"/>
            <w:noWrap/>
            <w:vAlign w:val="center"/>
            <w:hideMark/>
          </w:tcPr>
          <w:p w14:paraId="7F0C96E5"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77</w:t>
            </w:r>
          </w:p>
        </w:tc>
        <w:tc>
          <w:tcPr>
            <w:tcW w:w="413" w:type="pct"/>
            <w:shd w:val="clear" w:color="auto" w:fill="auto"/>
            <w:vAlign w:val="center"/>
            <w:hideMark/>
          </w:tcPr>
          <w:p w14:paraId="2105BB5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4EA51307" w14:textId="77777777" w:rsidTr="00AC1F17">
        <w:trPr>
          <w:trHeight w:val="300"/>
        </w:trPr>
        <w:tc>
          <w:tcPr>
            <w:tcW w:w="289" w:type="pct"/>
            <w:shd w:val="clear" w:color="auto" w:fill="auto"/>
            <w:vAlign w:val="center"/>
            <w:hideMark/>
          </w:tcPr>
          <w:p w14:paraId="5128F959"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2BF2A446"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izobraževanja in usposabljanja</w:t>
            </w:r>
          </w:p>
        </w:tc>
        <w:tc>
          <w:tcPr>
            <w:tcW w:w="406" w:type="pct"/>
            <w:shd w:val="clear" w:color="auto" w:fill="auto"/>
            <w:noWrap/>
            <w:vAlign w:val="center"/>
            <w:hideMark/>
          </w:tcPr>
          <w:p w14:paraId="1694DC36"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80</w:t>
            </w:r>
          </w:p>
        </w:tc>
        <w:tc>
          <w:tcPr>
            <w:tcW w:w="413" w:type="pct"/>
            <w:shd w:val="clear" w:color="auto" w:fill="auto"/>
            <w:vAlign w:val="center"/>
            <w:hideMark/>
          </w:tcPr>
          <w:p w14:paraId="67D0C1BB"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68F2FF85" w14:textId="77777777" w:rsidTr="00AC1F17">
        <w:trPr>
          <w:trHeight w:val="300"/>
        </w:trPr>
        <w:tc>
          <w:tcPr>
            <w:tcW w:w="289" w:type="pct"/>
            <w:shd w:val="clear" w:color="auto" w:fill="auto"/>
            <w:vAlign w:val="center"/>
            <w:hideMark/>
          </w:tcPr>
          <w:p w14:paraId="2DD7C331"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w:t>
            </w:r>
          </w:p>
        </w:tc>
        <w:tc>
          <w:tcPr>
            <w:tcW w:w="3893" w:type="pct"/>
            <w:shd w:val="clear" w:color="auto" w:fill="auto"/>
            <w:vAlign w:val="center"/>
            <w:hideMark/>
          </w:tcPr>
          <w:p w14:paraId="49680BDD"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Storitve na področju rekreacije, kulture in športa</w:t>
            </w:r>
          </w:p>
        </w:tc>
        <w:tc>
          <w:tcPr>
            <w:tcW w:w="406" w:type="pct"/>
            <w:shd w:val="clear" w:color="auto" w:fill="auto"/>
            <w:noWrap/>
            <w:vAlign w:val="center"/>
            <w:hideMark/>
          </w:tcPr>
          <w:p w14:paraId="379BE7B1"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92</w:t>
            </w:r>
          </w:p>
        </w:tc>
        <w:tc>
          <w:tcPr>
            <w:tcW w:w="413" w:type="pct"/>
            <w:shd w:val="clear" w:color="auto" w:fill="auto"/>
            <w:vAlign w:val="center"/>
            <w:hideMark/>
          </w:tcPr>
          <w:p w14:paraId="731432EF"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r w:rsidR="00072A69" w:rsidRPr="00754D48" w14:paraId="5B02043D" w14:textId="77777777" w:rsidTr="00AC1F17">
        <w:trPr>
          <w:trHeight w:val="300"/>
        </w:trPr>
        <w:tc>
          <w:tcPr>
            <w:tcW w:w="289" w:type="pct"/>
            <w:shd w:val="clear" w:color="auto" w:fill="auto"/>
            <w:vAlign w:val="center"/>
            <w:hideMark/>
          </w:tcPr>
          <w:p w14:paraId="4D418588"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Blago</w:t>
            </w:r>
          </w:p>
        </w:tc>
        <w:tc>
          <w:tcPr>
            <w:tcW w:w="3893" w:type="pct"/>
            <w:shd w:val="clear" w:color="auto" w:fill="auto"/>
            <w:vAlign w:val="center"/>
            <w:hideMark/>
          </w:tcPr>
          <w:p w14:paraId="65AC81AE" w14:textId="77777777" w:rsidR="00072A69" w:rsidRPr="00754D48" w:rsidRDefault="00072A69" w:rsidP="00AC1F17">
            <w:pPr>
              <w:spacing w:after="0" w:line="240" w:lineRule="auto"/>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Druge javne, skupne in osebne storitve</w:t>
            </w:r>
          </w:p>
        </w:tc>
        <w:tc>
          <w:tcPr>
            <w:tcW w:w="406" w:type="pct"/>
            <w:shd w:val="clear" w:color="auto" w:fill="auto"/>
            <w:noWrap/>
            <w:vAlign w:val="center"/>
            <w:hideMark/>
          </w:tcPr>
          <w:p w14:paraId="25F7D0CC"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98</w:t>
            </w:r>
          </w:p>
        </w:tc>
        <w:tc>
          <w:tcPr>
            <w:tcW w:w="413" w:type="pct"/>
            <w:shd w:val="clear" w:color="auto" w:fill="auto"/>
            <w:vAlign w:val="center"/>
            <w:hideMark/>
          </w:tcPr>
          <w:p w14:paraId="2F11DAC2" w14:textId="77777777" w:rsidR="00072A69" w:rsidRPr="00754D48" w:rsidRDefault="00072A69" w:rsidP="00AC1F17">
            <w:pPr>
              <w:spacing w:after="0" w:line="240" w:lineRule="auto"/>
              <w:jc w:val="right"/>
              <w:rPr>
                <w:rFonts w:ascii="Arial" w:eastAsia="Times New Roman" w:hAnsi="Arial" w:cs="Arial"/>
                <w:color w:val="000000"/>
                <w:sz w:val="18"/>
                <w:szCs w:val="18"/>
                <w:lang w:eastAsia="sl-SI"/>
              </w:rPr>
            </w:pPr>
            <w:r w:rsidRPr="00754D48">
              <w:rPr>
                <w:rFonts w:ascii="Arial" w:eastAsia="Times New Roman" w:hAnsi="Arial" w:cs="Arial"/>
                <w:color w:val="000000"/>
                <w:sz w:val="18"/>
                <w:szCs w:val="18"/>
                <w:lang w:eastAsia="sl-SI"/>
              </w:rPr>
              <w:t>1</w:t>
            </w:r>
          </w:p>
        </w:tc>
      </w:tr>
    </w:tbl>
    <w:p w14:paraId="7769881A" w14:textId="77777777" w:rsidR="00072A69" w:rsidRPr="00EF2D0B" w:rsidRDefault="00072A69" w:rsidP="00072A69">
      <w:pPr>
        <w:spacing w:before="120" w:after="120" w:line="240" w:lineRule="auto"/>
        <w:jc w:val="both"/>
        <w:rPr>
          <w:rFonts w:ascii="Arial" w:hAnsi="Arial" w:cs="Arial"/>
          <w:sz w:val="20"/>
          <w:highlight w:val="yellow"/>
        </w:rPr>
      </w:pPr>
    </w:p>
    <w:p w14:paraId="26973586" w14:textId="739CFFF0" w:rsidR="00072A69" w:rsidRPr="008D271F" w:rsidRDefault="00072A69" w:rsidP="00072A69">
      <w:pPr>
        <w:spacing w:before="120" w:after="120" w:line="240" w:lineRule="auto"/>
        <w:jc w:val="both"/>
        <w:rPr>
          <w:rFonts w:ascii="Arial" w:hAnsi="Arial" w:cs="Arial"/>
          <w:sz w:val="20"/>
        </w:rPr>
      </w:pPr>
      <w:r w:rsidRPr="008D271F">
        <w:rPr>
          <w:rFonts w:ascii="Arial" w:hAnsi="Arial" w:cs="Arial"/>
          <w:sz w:val="20"/>
        </w:rPr>
        <w:t>Preglednica 8</w:t>
      </w:r>
      <w:r w:rsidR="00D23EC0">
        <w:rPr>
          <w:rFonts w:ascii="Arial" w:hAnsi="Arial" w:cs="Arial"/>
          <w:sz w:val="20"/>
        </w:rPr>
        <w:t>4</w:t>
      </w:r>
      <w:r w:rsidRPr="008D271F">
        <w:rPr>
          <w:rFonts w:ascii="Arial" w:hAnsi="Arial" w:cs="Arial"/>
          <w:sz w:val="20"/>
        </w:rPr>
        <w:t xml:space="preserve">: Javna naročila na splošnem področju, glede na predmet naročanja po Enotnem besednjaku javnih naročil (CPV)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993"/>
        <w:gridCol w:w="852"/>
        <w:gridCol w:w="1417"/>
        <w:gridCol w:w="993"/>
        <w:gridCol w:w="984"/>
      </w:tblGrid>
      <w:tr w:rsidR="00072A69" w:rsidRPr="00D0174D" w14:paraId="2FAD04F1" w14:textId="77777777" w:rsidTr="00C320EE">
        <w:trPr>
          <w:trHeight w:val="480"/>
          <w:tblHeader/>
        </w:trPr>
        <w:tc>
          <w:tcPr>
            <w:tcW w:w="2109" w:type="pct"/>
            <w:shd w:val="clear" w:color="000000" w:fill="EDEDED"/>
            <w:vAlign w:val="center"/>
            <w:hideMark/>
          </w:tcPr>
          <w:p w14:paraId="11ED14B3" w14:textId="77777777" w:rsidR="00072A69" w:rsidRPr="00D0174D" w:rsidRDefault="00072A69" w:rsidP="00AC1F17">
            <w:pPr>
              <w:spacing w:after="0" w:line="240" w:lineRule="auto"/>
              <w:jc w:val="center"/>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CPV oddelek</w:t>
            </w:r>
          </w:p>
        </w:tc>
        <w:tc>
          <w:tcPr>
            <w:tcW w:w="548" w:type="pct"/>
            <w:shd w:val="clear" w:color="000000" w:fill="EDEDED"/>
            <w:vAlign w:val="center"/>
            <w:hideMark/>
          </w:tcPr>
          <w:p w14:paraId="4F3FC149" w14:textId="77777777" w:rsidR="00072A69" w:rsidRPr="00D0174D" w:rsidRDefault="00072A69" w:rsidP="00AC1F17">
            <w:pPr>
              <w:spacing w:after="0" w:line="240" w:lineRule="auto"/>
              <w:jc w:val="center"/>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Opis CPV oddelka</w:t>
            </w:r>
          </w:p>
        </w:tc>
        <w:tc>
          <w:tcPr>
            <w:tcW w:w="470" w:type="pct"/>
            <w:shd w:val="clear" w:color="000000" w:fill="EDEDED"/>
            <w:vAlign w:val="center"/>
            <w:hideMark/>
          </w:tcPr>
          <w:p w14:paraId="5BE6F871" w14:textId="77777777" w:rsidR="00072A69" w:rsidRPr="00D0174D" w:rsidRDefault="00072A69" w:rsidP="00AC1F17">
            <w:pPr>
              <w:spacing w:after="0" w:line="240" w:lineRule="auto"/>
              <w:jc w:val="center"/>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Št. naročil</w:t>
            </w:r>
          </w:p>
        </w:tc>
        <w:tc>
          <w:tcPr>
            <w:tcW w:w="782" w:type="pct"/>
            <w:shd w:val="clear" w:color="000000" w:fill="EDEDED"/>
            <w:vAlign w:val="center"/>
            <w:hideMark/>
          </w:tcPr>
          <w:p w14:paraId="46D5E89B" w14:textId="77777777" w:rsidR="00072A69" w:rsidRPr="00D0174D" w:rsidRDefault="00072A69" w:rsidP="00AC1F17">
            <w:pPr>
              <w:spacing w:after="0" w:line="240" w:lineRule="auto"/>
              <w:jc w:val="center"/>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Pogodbena vrednost</w:t>
            </w:r>
          </w:p>
        </w:tc>
        <w:tc>
          <w:tcPr>
            <w:tcW w:w="548" w:type="pct"/>
            <w:shd w:val="clear" w:color="000000" w:fill="EDEDED"/>
            <w:vAlign w:val="center"/>
            <w:hideMark/>
          </w:tcPr>
          <w:p w14:paraId="17496F2F" w14:textId="77777777" w:rsidR="00072A69" w:rsidRPr="00D0174D" w:rsidRDefault="00072A69" w:rsidP="00AC1F17">
            <w:pPr>
              <w:spacing w:after="0" w:line="240" w:lineRule="auto"/>
              <w:jc w:val="center"/>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Delež v št. naročil</w:t>
            </w:r>
          </w:p>
        </w:tc>
        <w:tc>
          <w:tcPr>
            <w:tcW w:w="544" w:type="pct"/>
            <w:shd w:val="clear" w:color="000000" w:fill="EDEDED"/>
            <w:vAlign w:val="center"/>
            <w:hideMark/>
          </w:tcPr>
          <w:p w14:paraId="773B0EA0" w14:textId="77777777" w:rsidR="00072A69" w:rsidRPr="00D0174D" w:rsidRDefault="00072A69" w:rsidP="00AC1F17">
            <w:pPr>
              <w:spacing w:after="0" w:line="240" w:lineRule="auto"/>
              <w:jc w:val="center"/>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Delež v vrednosti</w:t>
            </w:r>
          </w:p>
        </w:tc>
      </w:tr>
      <w:tr w:rsidR="00072A69" w:rsidRPr="00D0174D" w14:paraId="32F28424" w14:textId="77777777" w:rsidTr="00AC1F17">
        <w:trPr>
          <w:trHeight w:val="300"/>
        </w:trPr>
        <w:tc>
          <w:tcPr>
            <w:tcW w:w="2109" w:type="pct"/>
            <w:shd w:val="clear" w:color="auto" w:fill="auto"/>
            <w:noWrap/>
            <w:vAlign w:val="center"/>
            <w:hideMark/>
          </w:tcPr>
          <w:p w14:paraId="1BA34BEC"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Kmetijski, ribiški, gozdarski in z njimi povezani proizvodi</w:t>
            </w:r>
          </w:p>
        </w:tc>
        <w:tc>
          <w:tcPr>
            <w:tcW w:w="548" w:type="pct"/>
            <w:shd w:val="clear" w:color="auto" w:fill="auto"/>
            <w:noWrap/>
            <w:vAlign w:val="center"/>
            <w:hideMark/>
          </w:tcPr>
          <w:p w14:paraId="62A46351"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w:t>
            </w:r>
          </w:p>
        </w:tc>
        <w:tc>
          <w:tcPr>
            <w:tcW w:w="470" w:type="pct"/>
            <w:shd w:val="clear" w:color="auto" w:fill="auto"/>
            <w:vAlign w:val="center"/>
            <w:hideMark/>
          </w:tcPr>
          <w:p w14:paraId="5782F84F"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98</w:t>
            </w:r>
          </w:p>
        </w:tc>
        <w:tc>
          <w:tcPr>
            <w:tcW w:w="782" w:type="pct"/>
            <w:shd w:val="clear" w:color="auto" w:fill="auto"/>
            <w:vAlign w:val="center"/>
            <w:hideMark/>
          </w:tcPr>
          <w:p w14:paraId="567CDF6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5.867.065</w:t>
            </w:r>
          </w:p>
        </w:tc>
        <w:tc>
          <w:tcPr>
            <w:tcW w:w="548" w:type="pct"/>
            <w:shd w:val="clear" w:color="auto" w:fill="auto"/>
            <w:noWrap/>
            <w:vAlign w:val="center"/>
            <w:hideMark/>
          </w:tcPr>
          <w:p w14:paraId="0F92E05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0,64</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10B60BE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072A69" w:rsidRPr="00D0174D" w14:paraId="34499450" w14:textId="77777777" w:rsidTr="00AC1F17">
        <w:trPr>
          <w:trHeight w:val="300"/>
        </w:trPr>
        <w:tc>
          <w:tcPr>
            <w:tcW w:w="2109" w:type="pct"/>
            <w:shd w:val="clear" w:color="auto" w:fill="auto"/>
            <w:noWrap/>
            <w:vAlign w:val="center"/>
            <w:hideMark/>
          </w:tcPr>
          <w:p w14:paraId="1CC424E8"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Naftni derivati, goriva, električna energija in drugi viri energije</w:t>
            </w:r>
          </w:p>
        </w:tc>
        <w:tc>
          <w:tcPr>
            <w:tcW w:w="548" w:type="pct"/>
            <w:shd w:val="clear" w:color="auto" w:fill="auto"/>
            <w:noWrap/>
            <w:vAlign w:val="center"/>
            <w:hideMark/>
          </w:tcPr>
          <w:p w14:paraId="2BC8AB3A"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w:t>
            </w:r>
          </w:p>
        </w:tc>
        <w:tc>
          <w:tcPr>
            <w:tcW w:w="470" w:type="pct"/>
            <w:shd w:val="clear" w:color="auto" w:fill="auto"/>
            <w:vAlign w:val="center"/>
            <w:hideMark/>
          </w:tcPr>
          <w:p w14:paraId="4C5DACD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176</w:t>
            </w:r>
          </w:p>
        </w:tc>
        <w:tc>
          <w:tcPr>
            <w:tcW w:w="782" w:type="pct"/>
            <w:shd w:val="clear" w:color="auto" w:fill="auto"/>
            <w:vAlign w:val="center"/>
            <w:hideMark/>
          </w:tcPr>
          <w:p w14:paraId="40BC3C4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74.991.372</w:t>
            </w:r>
          </w:p>
        </w:tc>
        <w:tc>
          <w:tcPr>
            <w:tcW w:w="548" w:type="pct"/>
            <w:shd w:val="clear" w:color="auto" w:fill="auto"/>
            <w:noWrap/>
            <w:vAlign w:val="center"/>
            <w:hideMark/>
          </w:tcPr>
          <w:p w14:paraId="10611B8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1,16</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86ACD0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3,31</w:t>
            </w:r>
            <w:r>
              <w:rPr>
                <w:rFonts w:ascii="Arial" w:eastAsia="Times New Roman" w:hAnsi="Arial" w:cs="Arial"/>
                <w:color w:val="000000"/>
                <w:sz w:val="18"/>
                <w:szCs w:val="18"/>
                <w:lang w:eastAsia="sl-SI"/>
              </w:rPr>
              <w:t xml:space="preserve"> %</w:t>
            </w:r>
          </w:p>
        </w:tc>
      </w:tr>
      <w:tr w:rsidR="00072A69" w:rsidRPr="00D0174D" w14:paraId="3B3B27EA" w14:textId="77777777" w:rsidTr="00AC1F17">
        <w:trPr>
          <w:trHeight w:val="300"/>
        </w:trPr>
        <w:tc>
          <w:tcPr>
            <w:tcW w:w="2109" w:type="pct"/>
            <w:shd w:val="clear" w:color="auto" w:fill="auto"/>
            <w:noWrap/>
            <w:vAlign w:val="center"/>
            <w:hideMark/>
          </w:tcPr>
          <w:p w14:paraId="05CB8F3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Rudarstvo, navadne kovine in z njimi povezani proizvodi</w:t>
            </w:r>
          </w:p>
        </w:tc>
        <w:tc>
          <w:tcPr>
            <w:tcW w:w="548" w:type="pct"/>
            <w:shd w:val="clear" w:color="auto" w:fill="auto"/>
            <w:noWrap/>
            <w:vAlign w:val="center"/>
            <w:hideMark/>
          </w:tcPr>
          <w:p w14:paraId="6D41F5C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14</w:t>
            </w:r>
          </w:p>
        </w:tc>
        <w:tc>
          <w:tcPr>
            <w:tcW w:w="470" w:type="pct"/>
            <w:shd w:val="clear" w:color="auto" w:fill="auto"/>
            <w:vAlign w:val="center"/>
            <w:hideMark/>
          </w:tcPr>
          <w:p w14:paraId="167E304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24</w:t>
            </w:r>
          </w:p>
        </w:tc>
        <w:tc>
          <w:tcPr>
            <w:tcW w:w="782" w:type="pct"/>
            <w:shd w:val="clear" w:color="auto" w:fill="auto"/>
            <w:vAlign w:val="center"/>
            <w:hideMark/>
          </w:tcPr>
          <w:p w14:paraId="020FDA8F"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1.658.489</w:t>
            </w:r>
          </w:p>
        </w:tc>
        <w:tc>
          <w:tcPr>
            <w:tcW w:w="548" w:type="pct"/>
            <w:shd w:val="clear" w:color="auto" w:fill="auto"/>
            <w:noWrap/>
            <w:vAlign w:val="center"/>
            <w:hideMark/>
          </w:tcPr>
          <w:p w14:paraId="3540589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0093A55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072A69" w:rsidRPr="00D0174D" w14:paraId="3FA741C8" w14:textId="77777777" w:rsidTr="00AC1F17">
        <w:trPr>
          <w:trHeight w:val="300"/>
        </w:trPr>
        <w:tc>
          <w:tcPr>
            <w:tcW w:w="2109" w:type="pct"/>
            <w:shd w:val="clear" w:color="auto" w:fill="auto"/>
            <w:noWrap/>
            <w:vAlign w:val="center"/>
            <w:hideMark/>
          </w:tcPr>
          <w:p w14:paraId="67771B04"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Živila, pijače, tobačni izdelki in z njimi povezani izdelki</w:t>
            </w:r>
          </w:p>
        </w:tc>
        <w:tc>
          <w:tcPr>
            <w:tcW w:w="548" w:type="pct"/>
            <w:shd w:val="clear" w:color="auto" w:fill="auto"/>
            <w:noWrap/>
            <w:vAlign w:val="center"/>
            <w:hideMark/>
          </w:tcPr>
          <w:p w14:paraId="5F545A0B"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15</w:t>
            </w:r>
          </w:p>
        </w:tc>
        <w:tc>
          <w:tcPr>
            <w:tcW w:w="470" w:type="pct"/>
            <w:shd w:val="clear" w:color="auto" w:fill="auto"/>
            <w:vAlign w:val="center"/>
            <w:hideMark/>
          </w:tcPr>
          <w:p w14:paraId="420F3FE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4.724</w:t>
            </w:r>
          </w:p>
        </w:tc>
        <w:tc>
          <w:tcPr>
            <w:tcW w:w="782" w:type="pct"/>
            <w:shd w:val="clear" w:color="auto" w:fill="auto"/>
            <w:vAlign w:val="center"/>
            <w:hideMark/>
          </w:tcPr>
          <w:p w14:paraId="5E14181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92.879.295</w:t>
            </w:r>
          </w:p>
        </w:tc>
        <w:tc>
          <w:tcPr>
            <w:tcW w:w="548" w:type="pct"/>
            <w:shd w:val="clear" w:color="auto" w:fill="auto"/>
            <w:noWrap/>
            <w:vAlign w:val="center"/>
            <w:hideMark/>
          </w:tcPr>
          <w:p w14:paraId="43ED6F5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31,07</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06D54AE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4,10</w:t>
            </w:r>
            <w:r>
              <w:rPr>
                <w:rFonts w:ascii="Arial" w:eastAsia="Times New Roman" w:hAnsi="Arial" w:cs="Arial"/>
                <w:color w:val="000000"/>
                <w:sz w:val="18"/>
                <w:szCs w:val="18"/>
                <w:lang w:eastAsia="sl-SI"/>
              </w:rPr>
              <w:t xml:space="preserve"> %</w:t>
            </w:r>
          </w:p>
        </w:tc>
      </w:tr>
      <w:tr w:rsidR="00072A69" w:rsidRPr="00D0174D" w14:paraId="56CB00BE" w14:textId="77777777" w:rsidTr="00AC1F17">
        <w:trPr>
          <w:trHeight w:val="300"/>
        </w:trPr>
        <w:tc>
          <w:tcPr>
            <w:tcW w:w="2109" w:type="pct"/>
            <w:shd w:val="clear" w:color="auto" w:fill="auto"/>
            <w:noWrap/>
            <w:vAlign w:val="center"/>
            <w:hideMark/>
          </w:tcPr>
          <w:p w14:paraId="0E93628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Kmetijski stroji</w:t>
            </w:r>
          </w:p>
        </w:tc>
        <w:tc>
          <w:tcPr>
            <w:tcW w:w="548" w:type="pct"/>
            <w:shd w:val="clear" w:color="auto" w:fill="auto"/>
            <w:noWrap/>
            <w:vAlign w:val="center"/>
            <w:hideMark/>
          </w:tcPr>
          <w:p w14:paraId="4737E32F"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16</w:t>
            </w:r>
          </w:p>
        </w:tc>
        <w:tc>
          <w:tcPr>
            <w:tcW w:w="470" w:type="pct"/>
            <w:shd w:val="clear" w:color="auto" w:fill="auto"/>
            <w:vAlign w:val="center"/>
            <w:hideMark/>
          </w:tcPr>
          <w:p w14:paraId="46134B8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40</w:t>
            </w:r>
          </w:p>
        </w:tc>
        <w:tc>
          <w:tcPr>
            <w:tcW w:w="782" w:type="pct"/>
            <w:shd w:val="clear" w:color="auto" w:fill="auto"/>
            <w:vAlign w:val="center"/>
            <w:hideMark/>
          </w:tcPr>
          <w:p w14:paraId="6D446E0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6.787.057</w:t>
            </w:r>
          </w:p>
        </w:tc>
        <w:tc>
          <w:tcPr>
            <w:tcW w:w="548" w:type="pct"/>
            <w:shd w:val="clear" w:color="auto" w:fill="auto"/>
            <w:noWrap/>
            <w:vAlign w:val="center"/>
            <w:hideMark/>
          </w:tcPr>
          <w:p w14:paraId="753CE38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BF23AE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r>
      <w:tr w:rsidR="00072A69" w:rsidRPr="00D0174D" w14:paraId="094D0249" w14:textId="77777777" w:rsidTr="00AC1F17">
        <w:trPr>
          <w:trHeight w:val="300"/>
        </w:trPr>
        <w:tc>
          <w:tcPr>
            <w:tcW w:w="2109" w:type="pct"/>
            <w:shd w:val="clear" w:color="auto" w:fill="auto"/>
            <w:noWrap/>
            <w:vAlign w:val="center"/>
            <w:hideMark/>
          </w:tcPr>
          <w:p w14:paraId="44E85BC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Oblačila, obutev, prtljaga in pribor</w:t>
            </w:r>
          </w:p>
        </w:tc>
        <w:tc>
          <w:tcPr>
            <w:tcW w:w="548" w:type="pct"/>
            <w:shd w:val="clear" w:color="auto" w:fill="auto"/>
            <w:noWrap/>
            <w:vAlign w:val="center"/>
            <w:hideMark/>
          </w:tcPr>
          <w:p w14:paraId="2115CA9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18</w:t>
            </w:r>
          </w:p>
        </w:tc>
        <w:tc>
          <w:tcPr>
            <w:tcW w:w="470" w:type="pct"/>
            <w:shd w:val="clear" w:color="auto" w:fill="auto"/>
            <w:vAlign w:val="center"/>
            <w:hideMark/>
          </w:tcPr>
          <w:p w14:paraId="5C08FE6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91</w:t>
            </w:r>
          </w:p>
        </w:tc>
        <w:tc>
          <w:tcPr>
            <w:tcW w:w="782" w:type="pct"/>
            <w:shd w:val="clear" w:color="auto" w:fill="auto"/>
            <w:vAlign w:val="center"/>
            <w:hideMark/>
          </w:tcPr>
          <w:p w14:paraId="6013CA0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10.466.574</w:t>
            </w:r>
          </w:p>
        </w:tc>
        <w:tc>
          <w:tcPr>
            <w:tcW w:w="548" w:type="pct"/>
            <w:shd w:val="clear" w:color="auto" w:fill="auto"/>
            <w:noWrap/>
            <w:vAlign w:val="center"/>
            <w:hideMark/>
          </w:tcPr>
          <w:p w14:paraId="723AFD0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0,60</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5C0A117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0,46</w:t>
            </w:r>
            <w:r>
              <w:rPr>
                <w:rFonts w:ascii="Arial" w:eastAsia="Times New Roman" w:hAnsi="Arial" w:cs="Arial"/>
                <w:color w:val="000000"/>
                <w:sz w:val="18"/>
                <w:szCs w:val="18"/>
                <w:lang w:eastAsia="sl-SI"/>
              </w:rPr>
              <w:t xml:space="preserve"> %</w:t>
            </w:r>
          </w:p>
        </w:tc>
      </w:tr>
      <w:tr w:rsidR="00072A69" w:rsidRPr="00D0174D" w14:paraId="496247AA" w14:textId="77777777" w:rsidTr="00AC1F17">
        <w:trPr>
          <w:trHeight w:val="300"/>
        </w:trPr>
        <w:tc>
          <w:tcPr>
            <w:tcW w:w="2109" w:type="pct"/>
            <w:shd w:val="clear" w:color="auto" w:fill="auto"/>
            <w:noWrap/>
            <w:vAlign w:val="center"/>
            <w:hideMark/>
          </w:tcPr>
          <w:p w14:paraId="6A5D6E41"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Usnjeni in tekstilni materiali, plastični in gumijasti materiali</w:t>
            </w:r>
          </w:p>
        </w:tc>
        <w:tc>
          <w:tcPr>
            <w:tcW w:w="548" w:type="pct"/>
            <w:shd w:val="clear" w:color="auto" w:fill="auto"/>
            <w:noWrap/>
            <w:vAlign w:val="center"/>
            <w:hideMark/>
          </w:tcPr>
          <w:p w14:paraId="1D5B953F"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19</w:t>
            </w:r>
          </w:p>
        </w:tc>
        <w:tc>
          <w:tcPr>
            <w:tcW w:w="470" w:type="pct"/>
            <w:shd w:val="clear" w:color="auto" w:fill="auto"/>
            <w:vAlign w:val="center"/>
            <w:hideMark/>
          </w:tcPr>
          <w:p w14:paraId="5D795F5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22</w:t>
            </w:r>
          </w:p>
        </w:tc>
        <w:tc>
          <w:tcPr>
            <w:tcW w:w="782" w:type="pct"/>
            <w:shd w:val="clear" w:color="auto" w:fill="auto"/>
            <w:vAlign w:val="center"/>
            <w:hideMark/>
          </w:tcPr>
          <w:p w14:paraId="144C459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894.365</w:t>
            </w:r>
          </w:p>
        </w:tc>
        <w:tc>
          <w:tcPr>
            <w:tcW w:w="548" w:type="pct"/>
            <w:shd w:val="clear" w:color="auto" w:fill="auto"/>
            <w:noWrap/>
            <w:vAlign w:val="center"/>
            <w:hideMark/>
          </w:tcPr>
          <w:p w14:paraId="4D1633F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7D3F4C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072A69" w:rsidRPr="00D0174D" w14:paraId="16D2C9C2" w14:textId="77777777" w:rsidTr="00AC1F17">
        <w:trPr>
          <w:trHeight w:val="300"/>
        </w:trPr>
        <w:tc>
          <w:tcPr>
            <w:tcW w:w="2109" w:type="pct"/>
            <w:shd w:val="clear" w:color="auto" w:fill="auto"/>
            <w:noWrap/>
            <w:vAlign w:val="center"/>
            <w:hideMark/>
          </w:tcPr>
          <w:p w14:paraId="5A6428A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Tiskano gradivo in z njim povezani izdelki</w:t>
            </w:r>
          </w:p>
        </w:tc>
        <w:tc>
          <w:tcPr>
            <w:tcW w:w="548" w:type="pct"/>
            <w:shd w:val="clear" w:color="auto" w:fill="auto"/>
            <w:noWrap/>
            <w:vAlign w:val="center"/>
            <w:hideMark/>
          </w:tcPr>
          <w:p w14:paraId="4F77D3EC"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22</w:t>
            </w:r>
          </w:p>
        </w:tc>
        <w:tc>
          <w:tcPr>
            <w:tcW w:w="470" w:type="pct"/>
            <w:shd w:val="clear" w:color="auto" w:fill="auto"/>
            <w:vAlign w:val="center"/>
            <w:hideMark/>
          </w:tcPr>
          <w:p w14:paraId="4309F55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77</w:t>
            </w:r>
          </w:p>
        </w:tc>
        <w:tc>
          <w:tcPr>
            <w:tcW w:w="782" w:type="pct"/>
            <w:shd w:val="clear" w:color="auto" w:fill="auto"/>
            <w:vAlign w:val="center"/>
            <w:hideMark/>
          </w:tcPr>
          <w:p w14:paraId="701657C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5.266.995</w:t>
            </w:r>
          </w:p>
        </w:tc>
        <w:tc>
          <w:tcPr>
            <w:tcW w:w="548" w:type="pct"/>
            <w:shd w:val="clear" w:color="auto" w:fill="auto"/>
            <w:noWrap/>
            <w:vAlign w:val="center"/>
            <w:hideMark/>
          </w:tcPr>
          <w:p w14:paraId="2431940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0,51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1D09AA3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r>
      <w:tr w:rsidR="00072A69" w:rsidRPr="00D0174D" w14:paraId="01332DD9" w14:textId="77777777" w:rsidTr="00AC1F17">
        <w:trPr>
          <w:trHeight w:val="300"/>
        </w:trPr>
        <w:tc>
          <w:tcPr>
            <w:tcW w:w="2109" w:type="pct"/>
            <w:shd w:val="clear" w:color="auto" w:fill="auto"/>
            <w:noWrap/>
            <w:vAlign w:val="center"/>
            <w:hideMark/>
          </w:tcPr>
          <w:p w14:paraId="2F92D48B"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Kemični proizvodi</w:t>
            </w:r>
          </w:p>
        </w:tc>
        <w:tc>
          <w:tcPr>
            <w:tcW w:w="548" w:type="pct"/>
            <w:shd w:val="clear" w:color="auto" w:fill="auto"/>
            <w:noWrap/>
            <w:vAlign w:val="center"/>
            <w:hideMark/>
          </w:tcPr>
          <w:p w14:paraId="2EF0B3C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24</w:t>
            </w:r>
          </w:p>
        </w:tc>
        <w:tc>
          <w:tcPr>
            <w:tcW w:w="470" w:type="pct"/>
            <w:shd w:val="clear" w:color="auto" w:fill="auto"/>
            <w:vAlign w:val="center"/>
            <w:hideMark/>
          </w:tcPr>
          <w:p w14:paraId="632CFC7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101</w:t>
            </w:r>
          </w:p>
        </w:tc>
        <w:tc>
          <w:tcPr>
            <w:tcW w:w="782" w:type="pct"/>
            <w:shd w:val="clear" w:color="auto" w:fill="auto"/>
            <w:vAlign w:val="center"/>
            <w:hideMark/>
          </w:tcPr>
          <w:p w14:paraId="4FDDEC5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5.092.066</w:t>
            </w:r>
          </w:p>
        </w:tc>
        <w:tc>
          <w:tcPr>
            <w:tcW w:w="548" w:type="pct"/>
            <w:shd w:val="clear" w:color="auto" w:fill="auto"/>
            <w:noWrap/>
            <w:vAlign w:val="center"/>
            <w:hideMark/>
          </w:tcPr>
          <w:p w14:paraId="0FBFDB2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E467CE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072A69" w:rsidRPr="00D0174D" w14:paraId="4CD47D15" w14:textId="77777777" w:rsidTr="00AC1F17">
        <w:trPr>
          <w:trHeight w:val="300"/>
        </w:trPr>
        <w:tc>
          <w:tcPr>
            <w:tcW w:w="2109" w:type="pct"/>
            <w:shd w:val="clear" w:color="auto" w:fill="auto"/>
            <w:noWrap/>
            <w:vAlign w:val="center"/>
            <w:hideMark/>
          </w:tcPr>
          <w:p w14:paraId="23729595"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Pisarniški in računski stroji, oprema in potrebščine, razen pohištva in programskih paketov</w:t>
            </w:r>
          </w:p>
        </w:tc>
        <w:tc>
          <w:tcPr>
            <w:tcW w:w="548" w:type="pct"/>
            <w:shd w:val="clear" w:color="auto" w:fill="auto"/>
            <w:noWrap/>
            <w:vAlign w:val="center"/>
            <w:hideMark/>
          </w:tcPr>
          <w:p w14:paraId="7DE12DFF"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30</w:t>
            </w:r>
          </w:p>
        </w:tc>
        <w:tc>
          <w:tcPr>
            <w:tcW w:w="470" w:type="pct"/>
            <w:shd w:val="clear" w:color="auto" w:fill="auto"/>
            <w:vAlign w:val="center"/>
            <w:hideMark/>
          </w:tcPr>
          <w:p w14:paraId="42AE962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475</w:t>
            </w:r>
          </w:p>
        </w:tc>
        <w:tc>
          <w:tcPr>
            <w:tcW w:w="782" w:type="pct"/>
            <w:shd w:val="clear" w:color="auto" w:fill="auto"/>
            <w:vAlign w:val="center"/>
            <w:hideMark/>
          </w:tcPr>
          <w:p w14:paraId="3EC3E1E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45.146.772</w:t>
            </w:r>
          </w:p>
        </w:tc>
        <w:tc>
          <w:tcPr>
            <w:tcW w:w="548" w:type="pct"/>
            <w:shd w:val="clear" w:color="auto" w:fill="auto"/>
            <w:noWrap/>
            <w:vAlign w:val="center"/>
            <w:hideMark/>
          </w:tcPr>
          <w:p w14:paraId="7BBD9B6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3FEB0E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1,99</w:t>
            </w:r>
            <w:r>
              <w:rPr>
                <w:rFonts w:ascii="Arial" w:eastAsia="Times New Roman" w:hAnsi="Arial" w:cs="Arial"/>
                <w:color w:val="000000"/>
                <w:sz w:val="18"/>
                <w:szCs w:val="18"/>
                <w:lang w:eastAsia="sl-SI"/>
              </w:rPr>
              <w:t xml:space="preserve"> %</w:t>
            </w:r>
          </w:p>
        </w:tc>
      </w:tr>
      <w:tr w:rsidR="00072A69" w:rsidRPr="00D0174D" w14:paraId="21AEF32A" w14:textId="77777777" w:rsidTr="00AC1F17">
        <w:trPr>
          <w:trHeight w:val="300"/>
        </w:trPr>
        <w:tc>
          <w:tcPr>
            <w:tcW w:w="2109" w:type="pct"/>
            <w:shd w:val="clear" w:color="auto" w:fill="auto"/>
            <w:noWrap/>
            <w:vAlign w:val="center"/>
            <w:hideMark/>
          </w:tcPr>
          <w:p w14:paraId="0ECF643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lastRenderedPageBreak/>
              <w:t>Električni stroji, aparati, oprema in potrošno blago; razsvetljava</w:t>
            </w:r>
          </w:p>
        </w:tc>
        <w:tc>
          <w:tcPr>
            <w:tcW w:w="548" w:type="pct"/>
            <w:shd w:val="clear" w:color="auto" w:fill="auto"/>
            <w:noWrap/>
            <w:vAlign w:val="center"/>
            <w:hideMark/>
          </w:tcPr>
          <w:p w14:paraId="4543BCA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31</w:t>
            </w:r>
          </w:p>
        </w:tc>
        <w:tc>
          <w:tcPr>
            <w:tcW w:w="470" w:type="pct"/>
            <w:shd w:val="clear" w:color="auto" w:fill="auto"/>
            <w:vAlign w:val="center"/>
            <w:hideMark/>
          </w:tcPr>
          <w:p w14:paraId="52A8975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62</w:t>
            </w:r>
          </w:p>
        </w:tc>
        <w:tc>
          <w:tcPr>
            <w:tcW w:w="782" w:type="pct"/>
            <w:shd w:val="clear" w:color="auto" w:fill="auto"/>
            <w:vAlign w:val="center"/>
            <w:hideMark/>
          </w:tcPr>
          <w:p w14:paraId="28C22A6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14.777.646</w:t>
            </w:r>
          </w:p>
        </w:tc>
        <w:tc>
          <w:tcPr>
            <w:tcW w:w="548" w:type="pct"/>
            <w:shd w:val="clear" w:color="auto" w:fill="auto"/>
            <w:noWrap/>
            <w:vAlign w:val="center"/>
            <w:hideMark/>
          </w:tcPr>
          <w:p w14:paraId="3BE0ECA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0,41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EE2E66F"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r>
      <w:tr w:rsidR="00072A69" w:rsidRPr="00D0174D" w14:paraId="6CA29975" w14:textId="77777777" w:rsidTr="00AC1F17">
        <w:trPr>
          <w:trHeight w:val="300"/>
        </w:trPr>
        <w:tc>
          <w:tcPr>
            <w:tcW w:w="2109" w:type="pct"/>
            <w:shd w:val="clear" w:color="auto" w:fill="auto"/>
            <w:noWrap/>
            <w:vAlign w:val="center"/>
            <w:hideMark/>
          </w:tcPr>
          <w:p w14:paraId="4FB346A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Radijski in televizijski aparati, komunikacijska, telekomunikacijska in z njimi povezana oprema</w:t>
            </w:r>
          </w:p>
        </w:tc>
        <w:tc>
          <w:tcPr>
            <w:tcW w:w="548" w:type="pct"/>
            <w:shd w:val="clear" w:color="auto" w:fill="auto"/>
            <w:noWrap/>
            <w:vAlign w:val="center"/>
            <w:hideMark/>
          </w:tcPr>
          <w:p w14:paraId="2BA98D6B"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32</w:t>
            </w:r>
          </w:p>
        </w:tc>
        <w:tc>
          <w:tcPr>
            <w:tcW w:w="470" w:type="pct"/>
            <w:shd w:val="clear" w:color="auto" w:fill="auto"/>
            <w:vAlign w:val="center"/>
            <w:hideMark/>
          </w:tcPr>
          <w:p w14:paraId="22A3102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99</w:t>
            </w:r>
          </w:p>
        </w:tc>
        <w:tc>
          <w:tcPr>
            <w:tcW w:w="782" w:type="pct"/>
            <w:shd w:val="clear" w:color="auto" w:fill="auto"/>
            <w:vAlign w:val="center"/>
            <w:hideMark/>
          </w:tcPr>
          <w:p w14:paraId="64B03AB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18.222.027</w:t>
            </w:r>
          </w:p>
        </w:tc>
        <w:tc>
          <w:tcPr>
            <w:tcW w:w="548" w:type="pct"/>
            <w:shd w:val="clear" w:color="auto" w:fill="auto"/>
            <w:noWrap/>
            <w:vAlign w:val="center"/>
            <w:hideMark/>
          </w:tcPr>
          <w:p w14:paraId="57C8F99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541CB6E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0,81</w:t>
            </w:r>
            <w:r>
              <w:rPr>
                <w:rFonts w:ascii="Arial" w:eastAsia="Times New Roman" w:hAnsi="Arial" w:cs="Arial"/>
                <w:color w:val="000000"/>
                <w:sz w:val="18"/>
                <w:szCs w:val="18"/>
                <w:lang w:eastAsia="sl-SI"/>
              </w:rPr>
              <w:t xml:space="preserve"> %</w:t>
            </w:r>
          </w:p>
        </w:tc>
      </w:tr>
      <w:tr w:rsidR="00072A69" w:rsidRPr="00D0174D" w14:paraId="5C3C2C33" w14:textId="77777777" w:rsidTr="00AC1F17">
        <w:trPr>
          <w:trHeight w:val="300"/>
        </w:trPr>
        <w:tc>
          <w:tcPr>
            <w:tcW w:w="2109" w:type="pct"/>
            <w:shd w:val="clear" w:color="auto" w:fill="auto"/>
            <w:noWrap/>
            <w:vAlign w:val="center"/>
            <w:hideMark/>
          </w:tcPr>
          <w:p w14:paraId="34E604E8"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Medicinska oprema, farmacevtski izdelki in izdelki za osebno nego</w:t>
            </w:r>
          </w:p>
        </w:tc>
        <w:tc>
          <w:tcPr>
            <w:tcW w:w="548" w:type="pct"/>
            <w:shd w:val="clear" w:color="auto" w:fill="auto"/>
            <w:noWrap/>
            <w:vAlign w:val="center"/>
            <w:hideMark/>
          </w:tcPr>
          <w:p w14:paraId="7757053B"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33</w:t>
            </w:r>
          </w:p>
        </w:tc>
        <w:tc>
          <w:tcPr>
            <w:tcW w:w="470" w:type="pct"/>
            <w:shd w:val="clear" w:color="auto" w:fill="auto"/>
            <w:vAlign w:val="center"/>
            <w:hideMark/>
          </w:tcPr>
          <w:p w14:paraId="6070972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2.632</w:t>
            </w:r>
          </w:p>
        </w:tc>
        <w:tc>
          <w:tcPr>
            <w:tcW w:w="782" w:type="pct"/>
            <w:shd w:val="clear" w:color="auto" w:fill="auto"/>
            <w:vAlign w:val="center"/>
            <w:hideMark/>
          </w:tcPr>
          <w:p w14:paraId="5A64852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242.886.586</w:t>
            </w:r>
          </w:p>
        </w:tc>
        <w:tc>
          <w:tcPr>
            <w:tcW w:w="548" w:type="pct"/>
            <w:shd w:val="clear" w:color="auto" w:fill="auto"/>
            <w:noWrap/>
            <w:vAlign w:val="center"/>
            <w:hideMark/>
          </w:tcPr>
          <w:p w14:paraId="5D55AB1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17,31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A90B35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10,73</w:t>
            </w:r>
            <w:r>
              <w:rPr>
                <w:rFonts w:ascii="Arial" w:eastAsia="Times New Roman" w:hAnsi="Arial" w:cs="Arial"/>
                <w:color w:val="000000"/>
                <w:sz w:val="18"/>
                <w:szCs w:val="18"/>
                <w:lang w:eastAsia="sl-SI"/>
              </w:rPr>
              <w:t xml:space="preserve"> %</w:t>
            </w:r>
          </w:p>
        </w:tc>
      </w:tr>
      <w:tr w:rsidR="00072A69" w:rsidRPr="00D0174D" w14:paraId="3DD08B00" w14:textId="77777777" w:rsidTr="00AC1F17">
        <w:trPr>
          <w:trHeight w:val="300"/>
        </w:trPr>
        <w:tc>
          <w:tcPr>
            <w:tcW w:w="2109" w:type="pct"/>
            <w:shd w:val="clear" w:color="auto" w:fill="auto"/>
            <w:noWrap/>
            <w:vAlign w:val="center"/>
            <w:hideMark/>
          </w:tcPr>
          <w:p w14:paraId="0B78917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Prevozna sredstva in dodatni proizvodi za promet</w:t>
            </w:r>
          </w:p>
        </w:tc>
        <w:tc>
          <w:tcPr>
            <w:tcW w:w="548" w:type="pct"/>
            <w:shd w:val="clear" w:color="auto" w:fill="auto"/>
            <w:noWrap/>
            <w:vAlign w:val="center"/>
            <w:hideMark/>
          </w:tcPr>
          <w:p w14:paraId="2B7091FD"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34</w:t>
            </w:r>
          </w:p>
        </w:tc>
        <w:tc>
          <w:tcPr>
            <w:tcW w:w="470" w:type="pct"/>
            <w:shd w:val="clear" w:color="auto" w:fill="auto"/>
            <w:vAlign w:val="center"/>
            <w:hideMark/>
          </w:tcPr>
          <w:p w14:paraId="189D6D0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499</w:t>
            </w:r>
          </w:p>
        </w:tc>
        <w:tc>
          <w:tcPr>
            <w:tcW w:w="782" w:type="pct"/>
            <w:shd w:val="clear" w:color="auto" w:fill="auto"/>
            <w:vAlign w:val="center"/>
            <w:hideMark/>
          </w:tcPr>
          <w:p w14:paraId="6A6B8DE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256.431.064</w:t>
            </w:r>
          </w:p>
        </w:tc>
        <w:tc>
          <w:tcPr>
            <w:tcW w:w="548" w:type="pct"/>
            <w:shd w:val="clear" w:color="auto" w:fill="auto"/>
            <w:noWrap/>
            <w:vAlign w:val="center"/>
            <w:hideMark/>
          </w:tcPr>
          <w:p w14:paraId="3B2F251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3,28</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1AAEC53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11,33</w:t>
            </w:r>
            <w:r>
              <w:rPr>
                <w:rFonts w:ascii="Arial" w:eastAsia="Times New Roman" w:hAnsi="Arial" w:cs="Arial"/>
                <w:color w:val="000000"/>
                <w:sz w:val="18"/>
                <w:szCs w:val="18"/>
                <w:lang w:eastAsia="sl-SI"/>
              </w:rPr>
              <w:t xml:space="preserve"> %</w:t>
            </w:r>
          </w:p>
        </w:tc>
      </w:tr>
      <w:tr w:rsidR="00072A69" w:rsidRPr="00D0174D" w14:paraId="17114700" w14:textId="77777777" w:rsidTr="00AC1F17">
        <w:trPr>
          <w:trHeight w:val="300"/>
        </w:trPr>
        <w:tc>
          <w:tcPr>
            <w:tcW w:w="2109" w:type="pct"/>
            <w:shd w:val="clear" w:color="auto" w:fill="auto"/>
            <w:noWrap/>
            <w:vAlign w:val="center"/>
            <w:hideMark/>
          </w:tcPr>
          <w:p w14:paraId="04714570"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Varnostna, gasilska, policijska in obrambna oprema</w:t>
            </w:r>
          </w:p>
        </w:tc>
        <w:tc>
          <w:tcPr>
            <w:tcW w:w="548" w:type="pct"/>
            <w:shd w:val="clear" w:color="auto" w:fill="auto"/>
            <w:noWrap/>
            <w:vAlign w:val="center"/>
            <w:hideMark/>
          </w:tcPr>
          <w:p w14:paraId="0881834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35</w:t>
            </w:r>
          </w:p>
        </w:tc>
        <w:tc>
          <w:tcPr>
            <w:tcW w:w="470" w:type="pct"/>
            <w:shd w:val="clear" w:color="auto" w:fill="auto"/>
            <w:vAlign w:val="center"/>
            <w:hideMark/>
          </w:tcPr>
          <w:p w14:paraId="6B95E70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126</w:t>
            </w:r>
          </w:p>
        </w:tc>
        <w:tc>
          <w:tcPr>
            <w:tcW w:w="782" w:type="pct"/>
            <w:shd w:val="clear" w:color="auto" w:fill="auto"/>
            <w:vAlign w:val="center"/>
            <w:hideMark/>
          </w:tcPr>
          <w:p w14:paraId="70CBCB4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18.959.307</w:t>
            </w:r>
          </w:p>
        </w:tc>
        <w:tc>
          <w:tcPr>
            <w:tcW w:w="548" w:type="pct"/>
            <w:shd w:val="clear" w:color="auto" w:fill="auto"/>
            <w:noWrap/>
            <w:vAlign w:val="center"/>
            <w:hideMark/>
          </w:tcPr>
          <w:p w14:paraId="554272B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0,83</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138473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r>
      <w:tr w:rsidR="00072A69" w:rsidRPr="00D0174D" w14:paraId="042FB4D3" w14:textId="77777777" w:rsidTr="00AC1F17">
        <w:trPr>
          <w:trHeight w:val="300"/>
        </w:trPr>
        <w:tc>
          <w:tcPr>
            <w:tcW w:w="2109" w:type="pct"/>
            <w:shd w:val="clear" w:color="auto" w:fill="auto"/>
            <w:noWrap/>
            <w:vAlign w:val="center"/>
            <w:hideMark/>
          </w:tcPr>
          <w:p w14:paraId="0CDD970E"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Glasbila, športni izdelki, igre, igrače, ročna dela, umetniški materiali in dodatki</w:t>
            </w:r>
          </w:p>
        </w:tc>
        <w:tc>
          <w:tcPr>
            <w:tcW w:w="548" w:type="pct"/>
            <w:shd w:val="clear" w:color="auto" w:fill="auto"/>
            <w:noWrap/>
            <w:vAlign w:val="center"/>
            <w:hideMark/>
          </w:tcPr>
          <w:p w14:paraId="2BF8B59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37</w:t>
            </w:r>
          </w:p>
        </w:tc>
        <w:tc>
          <w:tcPr>
            <w:tcW w:w="470" w:type="pct"/>
            <w:shd w:val="clear" w:color="auto" w:fill="auto"/>
            <w:vAlign w:val="center"/>
            <w:hideMark/>
          </w:tcPr>
          <w:p w14:paraId="7F5A98C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75</w:t>
            </w:r>
          </w:p>
        </w:tc>
        <w:tc>
          <w:tcPr>
            <w:tcW w:w="782" w:type="pct"/>
            <w:shd w:val="clear" w:color="auto" w:fill="auto"/>
            <w:vAlign w:val="center"/>
            <w:hideMark/>
          </w:tcPr>
          <w:p w14:paraId="51A4C67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2.677.457</w:t>
            </w:r>
          </w:p>
        </w:tc>
        <w:tc>
          <w:tcPr>
            <w:tcW w:w="548" w:type="pct"/>
            <w:shd w:val="clear" w:color="auto" w:fill="auto"/>
            <w:noWrap/>
            <w:vAlign w:val="center"/>
            <w:hideMark/>
          </w:tcPr>
          <w:p w14:paraId="395F975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0,49</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233D5D4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072A69" w:rsidRPr="00D0174D" w14:paraId="45897A69" w14:textId="77777777" w:rsidTr="00AC1F17">
        <w:trPr>
          <w:trHeight w:val="300"/>
        </w:trPr>
        <w:tc>
          <w:tcPr>
            <w:tcW w:w="2109" w:type="pct"/>
            <w:shd w:val="clear" w:color="auto" w:fill="auto"/>
            <w:noWrap/>
            <w:vAlign w:val="center"/>
            <w:hideMark/>
          </w:tcPr>
          <w:p w14:paraId="3538C231"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Laboratorijska, optična in precizna oprema (razen očal)</w:t>
            </w:r>
          </w:p>
        </w:tc>
        <w:tc>
          <w:tcPr>
            <w:tcW w:w="548" w:type="pct"/>
            <w:shd w:val="clear" w:color="auto" w:fill="auto"/>
            <w:noWrap/>
            <w:vAlign w:val="center"/>
            <w:hideMark/>
          </w:tcPr>
          <w:p w14:paraId="5D7EACD6"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38</w:t>
            </w:r>
          </w:p>
        </w:tc>
        <w:tc>
          <w:tcPr>
            <w:tcW w:w="470" w:type="pct"/>
            <w:shd w:val="clear" w:color="auto" w:fill="auto"/>
            <w:vAlign w:val="center"/>
            <w:hideMark/>
          </w:tcPr>
          <w:p w14:paraId="5FB9822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219</w:t>
            </w:r>
          </w:p>
        </w:tc>
        <w:tc>
          <w:tcPr>
            <w:tcW w:w="782" w:type="pct"/>
            <w:shd w:val="clear" w:color="auto" w:fill="auto"/>
            <w:vAlign w:val="center"/>
            <w:hideMark/>
          </w:tcPr>
          <w:p w14:paraId="6AC402E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24.376.320</w:t>
            </w:r>
          </w:p>
        </w:tc>
        <w:tc>
          <w:tcPr>
            <w:tcW w:w="548" w:type="pct"/>
            <w:shd w:val="clear" w:color="auto" w:fill="auto"/>
            <w:noWrap/>
            <w:vAlign w:val="center"/>
            <w:hideMark/>
          </w:tcPr>
          <w:p w14:paraId="7CAFB90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1,44</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C5AE17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1,08%</w:t>
            </w:r>
          </w:p>
        </w:tc>
      </w:tr>
      <w:tr w:rsidR="00072A69" w:rsidRPr="00D0174D" w14:paraId="727F5B76" w14:textId="77777777" w:rsidTr="00AC1F17">
        <w:trPr>
          <w:trHeight w:val="300"/>
        </w:trPr>
        <w:tc>
          <w:tcPr>
            <w:tcW w:w="2109" w:type="pct"/>
            <w:shd w:val="clear" w:color="auto" w:fill="auto"/>
            <w:noWrap/>
            <w:vAlign w:val="center"/>
            <w:hideMark/>
          </w:tcPr>
          <w:p w14:paraId="4629EDAE"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48" w:type="pct"/>
            <w:shd w:val="clear" w:color="auto" w:fill="auto"/>
            <w:noWrap/>
            <w:vAlign w:val="center"/>
            <w:hideMark/>
          </w:tcPr>
          <w:p w14:paraId="518FF664"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39</w:t>
            </w:r>
          </w:p>
        </w:tc>
        <w:tc>
          <w:tcPr>
            <w:tcW w:w="470" w:type="pct"/>
            <w:shd w:val="clear" w:color="auto" w:fill="auto"/>
            <w:vAlign w:val="center"/>
            <w:hideMark/>
          </w:tcPr>
          <w:p w14:paraId="1AEC2D6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348</w:t>
            </w:r>
          </w:p>
        </w:tc>
        <w:tc>
          <w:tcPr>
            <w:tcW w:w="782" w:type="pct"/>
            <w:shd w:val="clear" w:color="auto" w:fill="auto"/>
            <w:vAlign w:val="center"/>
            <w:hideMark/>
          </w:tcPr>
          <w:p w14:paraId="719772E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19.073.934</w:t>
            </w:r>
          </w:p>
        </w:tc>
        <w:tc>
          <w:tcPr>
            <w:tcW w:w="548" w:type="pct"/>
            <w:shd w:val="clear" w:color="auto" w:fill="auto"/>
            <w:noWrap/>
            <w:vAlign w:val="center"/>
            <w:hideMark/>
          </w:tcPr>
          <w:p w14:paraId="5A21077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2,29</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028A64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0,84%</w:t>
            </w:r>
          </w:p>
        </w:tc>
      </w:tr>
      <w:tr w:rsidR="00072A69" w:rsidRPr="00D0174D" w14:paraId="4AFEF0B7" w14:textId="77777777" w:rsidTr="00AC1F17">
        <w:trPr>
          <w:trHeight w:val="300"/>
        </w:trPr>
        <w:tc>
          <w:tcPr>
            <w:tcW w:w="2109" w:type="pct"/>
            <w:shd w:val="clear" w:color="auto" w:fill="auto"/>
            <w:noWrap/>
            <w:vAlign w:val="center"/>
            <w:hideMark/>
          </w:tcPr>
          <w:p w14:paraId="1AE4B920"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Zbrana in očiščena voda</w:t>
            </w:r>
          </w:p>
        </w:tc>
        <w:tc>
          <w:tcPr>
            <w:tcW w:w="548" w:type="pct"/>
            <w:shd w:val="clear" w:color="auto" w:fill="auto"/>
            <w:noWrap/>
            <w:vAlign w:val="center"/>
            <w:hideMark/>
          </w:tcPr>
          <w:p w14:paraId="539ED2D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41</w:t>
            </w:r>
          </w:p>
        </w:tc>
        <w:tc>
          <w:tcPr>
            <w:tcW w:w="470" w:type="pct"/>
            <w:shd w:val="clear" w:color="auto" w:fill="auto"/>
            <w:vAlign w:val="center"/>
            <w:hideMark/>
          </w:tcPr>
          <w:p w14:paraId="0F0AA61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w:t>
            </w:r>
          </w:p>
        </w:tc>
        <w:tc>
          <w:tcPr>
            <w:tcW w:w="782" w:type="pct"/>
            <w:shd w:val="clear" w:color="auto" w:fill="auto"/>
            <w:vAlign w:val="center"/>
            <w:hideMark/>
          </w:tcPr>
          <w:p w14:paraId="2692BE7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79.047</w:t>
            </w:r>
          </w:p>
        </w:tc>
        <w:tc>
          <w:tcPr>
            <w:tcW w:w="548" w:type="pct"/>
            <w:shd w:val="clear" w:color="auto" w:fill="auto"/>
            <w:noWrap/>
            <w:vAlign w:val="center"/>
            <w:hideMark/>
          </w:tcPr>
          <w:p w14:paraId="66A1833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5D34BB3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0,00%</w:t>
            </w:r>
          </w:p>
        </w:tc>
      </w:tr>
      <w:tr w:rsidR="00072A69" w:rsidRPr="00D0174D" w14:paraId="3FE64651" w14:textId="77777777" w:rsidTr="00AC1F17">
        <w:trPr>
          <w:trHeight w:val="300"/>
        </w:trPr>
        <w:tc>
          <w:tcPr>
            <w:tcW w:w="2109" w:type="pct"/>
            <w:shd w:val="clear" w:color="auto" w:fill="auto"/>
            <w:noWrap/>
            <w:vAlign w:val="center"/>
            <w:hideMark/>
          </w:tcPr>
          <w:p w14:paraId="31657E1D"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Industrijski stroji</w:t>
            </w:r>
          </w:p>
        </w:tc>
        <w:tc>
          <w:tcPr>
            <w:tcW w:w="548" w:type="pct"/>
            <w:shd w:val="clear" w:color="auto" w:fill="auto"/>
            <w:noWrap/>
            <w:vAlign w:val="center"/>
            <w:hideMark/>
          </w:tcPr>
          <w:p w14:paraId="1DA3EC0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42</w:t>
            </w:r>
          </w:p>
        </w:tc>
        <w:tc>
          <w:tcPr>
            <w:tcW w:w="470" w:type="pct"/>
            <w:shd w:val="clear" w:color="auto" w:fill="auto"/>
            <w:vAlign w:val="center"/>
            <w:hideMark/>
          </w:tcPr>
          <w:p w14:paraId="34A201E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48</w:t>
            </w:r>
          </w:p>
        </w:tc>
        <w:tc>
          <w:tcPr>
            <w:tcW w:w="782" w:type="pct"/>
            <w:shd w:val="clear" w:color="auto" w:fill="auto"/>
            <w:vAlign w:val="center"/>
            <w:hideMark/>
          </w:tcPr>
          <w:p w14:paraId="462F304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5.640.747</w:t>
            </w:r>
          </w:p>
        </w:tc>
        <w:tc>
          <w:tcPr>
            <w:tcW w:w="548" w:type="pct"/>
            <w:shd w:val="clear" w:color="auto" w:fill="auto"/>
            <w:noWrap/>
            <w:vAlign w:val="center"/>
            <w:hideMark/>
          </w:tcPr>
          <w:p w14:paraId="1B5C640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275E53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0,25%</w:t>
            </w:r>
          </w:p>
        </w:tc>
      </w:tr>
      <w:tr w:rsidR="00072A69" w:rsidRPr="00D0174D" w14:paraId="651C3947" w14:textId="77777777" w:rsidTr="00AC1F17">
        <w:trPr>
          <w:trHeight w:val="300"/>
        </w:trPr>
        <w:tc>
          <w:tcPr>
            <w:tcW w:w="2109" w:type="pct"/>
            <w:shd w:val="clear" w:color="auto" w:fill="auto"/>
            <w:noWrap/>
            <w:vAlign w:val="center"/>
            <w:hideMark/>
          </w:tcPr>
          <w:p w14:paraId="00247024"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Rudarska, kamnoseška in gradbena oprema</w:t>
            </w:r>
          </w:p>
        </w:tc>
        <w:tc>
          <w:tcPr>
            <w:tcW w:w="548" w:type="pct"/>
            <w:shd w:val="clear" w:color="auto" w:fill="auto"/>
            <w:noWrap/>
            <w:vAlign w:val="center"/>
            <w:hideMark/>
          </w:tcPr>
          <w:p w14:paraId="10EEB8F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43</w:t>
            </w:r>
          </w:p>
        </w:tc>
        <w:tc>
          <w:tcPr>
            <w:tcW w:w="470" w:type="pct"/>
            <w:shd w:val="clear" w:color="auto" w:fill="auto"/>
            <w:vAlign w:val="center"/>
            <w:hideMark/>
          </w:tcPr>
          <w:p w14:paraId="313ADC2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18</w:t>
            </w:r>
          </w:p>
        </w:tc>
        <w:tc>
          <w:tcPr>
            <w:tcW w:w="782" w:type="pct"/>
            <w:shd w:val="clear" w:color="auto" w:fill="auto"/>
            <w:vAlign w:val="center"/>
            <w:hideMark/>
          </w:tcPr>
          <w:p w14:paraId="3A1CDF7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2.129.235</w:t>
            </w:r>
          </w:p>
        </w:tc>
        <w:tc>
          <w:tcPr>
            <w:tcW w:w="548" w:type="pct"/>
            <w:shd w:val="clear" w:color="auto" w:fill="auto"/>
            <w:noWrap/>
            <w:vAlign w:val="center"/>
            <w:hideMark/>
          </w:tcPr>
          <w:p w14:paraId="00B61B6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546B86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0,09%</w:t>
            </w:r>
          </w:p>
        </w:tc>
      </w:tr>
      <w:tr w:rsidR="00072A69" w:rsidRPr="00D0174D" w14:paraId="1F6AD387" w14:textId="77777777" w:rsidTr="00AC1F17">
        <w:trPr>
          <w:trHeight w:val="300"/>
        </w:trPr>
        <w:tc>
          <w:tcPr>
            <w:tcW w:w="2109" w:type="pct"/>
            <w:shd w:val="clear" w:color="auto" w:fill="auto"/>
            <w:noWrap/>
            <w:vAlign w:val="center"/>
            <w:hideMark/>
          </w:tcPr>
          <w:p w14:paraId="06CE4E8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Gradbene strukture in materiali; pomožni gradbeni izdelki (razen električnih aparatov)</w:t>
            </w:r>
          </w:p>
        </w:tc>
        <w:tc>
          <w:tcPr>
            <w:tcW w:w="548" w:type="pct"/>
            <w:shd w:val="clear" w:color="auto" w:fill="auto"/>
            <w:noWrap/>
            <w:vAlign w:val="center"/>
            <w:hideMark/>
          </w:tcPr>
          <w:p w14:paraId="33A6926A"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44</w:t>
            </w:r>
          </w:p>
        </w:tc>
        <w:tc>
          <w:tcPr>
            <w:tcW w:w="470" w:type="pct"/>
            <w:shd w:val="clear" w:color="auto" w:fill="auto"/>
            <w:vAlign w:val="center"/>
            <w:hideMark/>
          </w:tcPr>
          <w:p w14:paraId="184BC76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96</w:t>
            </w:r>
          </w:p>
        </w:tc>
        <w:tc>
          <w:tcPr>
            <w:tcW w:w="782" w:type="pct"/>
            <w:shd w:val="clear" w:color="auto" w:fill="auto"/>
            <w:vAlign w:val="center"/>
            <w:hideMark/>
          </w:tcPr>
          <w:p w14:paraId="2E2D543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10.625.716</w:t>
            </w:r>
          </w:p>
        </w:tc>
        <w:tc>
          <w:tcPr>
            <w:tcW w:w="548" w:type="pct"/>
            <w:shd w:val="clear" w:color="auto" w:fill="auto"/>
            <w:noWrap/>
            <w:vAlign w:val="center"/>
            <w:hideMark/>
          </w:tcPr>
          <w:p w14:paraId="1C03C83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5825062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0,47%</w:t>
            </w:r>
          </w:p>
        </w:tc>
      </w:tr>
      <w:tr w:rsidR="00072A69" w:rsidRPr="00D0174D" w14:paraId="59C17BA8" w14:textId="77777777" w:rsidTr="00AC1F17">
        <w:trPr>
          <w:trHeight w:val="300"/>
        </w:trPr>
        <w:tc>
          <w:tcPr>
            <w:tcW w:w="2109" w:type="pct"/>
            <w:shd w:val="clear" w:color="auto" w:fill="auto"/>
            <w:noWrap/>
            <w:vAlign w:val="center"/>
            <w:hideMark/>
          </w:tcPr>
          <w:p w14:paraId="60419A16"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Gradbena dela</w:t>
            </w:r>
          </w:p>
        </w:tc>
        <w:tc>
          <w:tcPr>
            <w:tcW w:w="548" w:type="pct"/>
            <w:shd w:val="clear" w:color="auto" w:fill="auto"/>
            <w:noWrap/>
            <w:vAlign w:val="center"/>
            <w:hideMark/>
          </w:tcPr>
          <w:p w14:paraId="4FC1391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45</w:t>
            </w:r>
          </w:p>
        </w:tc>
        <w:tc>
          <w:tcPr>
            <w:tcW w:w="470" w:type="pct"/>
            <w:shd w:val="clear" w:color="auto" w:fill="auto"/>
            <w:vAlign w:val="center"/>
            <w:hideMark/>
          </w:tcPr>
          <w:p w14:paraId="42B85EA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1.836</w:t>
            </w:r>
          </w:p>
        </w:tc>
        <w:tc>
          <w:tcPr>
            <w:tcW w:w="782" w:type="pct"/>
            <w:shd w:val="clear" w:color="auto" w:fill="auto"/>
            <w:vAlign w:val="center"/>
            <w:hideMark/>
          </w:tcPr>
          <w:p w14:paraId="36132B9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856.618.091</w:t>
            </w:r>
          </w:p>
        </w:tc>
        <w:tc>
          <w:tcPr>
            <w:tcW w:w="548" w:type="pct"/>
            <w:shd w:val="clear" w:color="auto" w:fill="auto"/>
            <w:noWrap/>
            <w:vAlign w:val="center"/>
            <w:hideMark/>
          </w:tcPr>
          <w:p w14:paraId="187B34C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12,08</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9A4FE6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37,85%</w:t>
            </w:r>
          </w:p>
        </w:tc>
      </w:tr>
      <w:tr w:rsidR="00072A69" w:rsidRPr="00D0174D" w14:paraId="68217035" w14:textId="77777777" w:rsidTr="00AC1F17">
        <w:trPr>
          <w:trHeight w:val="300"/>
        </w:trPr>
        <w:tc>
          <w:tcPr>
            <w:tcW w:w="2109" w:type="pct"/>
            <w:shd w:val="clear" w:color="auto" w:fill="auto"/>
            <w:noWrap/>
            <w:vAlign w:val="center"/>
            <w:hideMark/>
          </w:tcPr>
          <w:p w14:paraId="6EB1B09F"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Programski paketi in informacijski sistemi</w:t>
            </w:r>
          </w:p>
        </w:tc>
        <w:tc>
          <w:tcPr>
            <w:tcW w:w="548" w:type="pct"/>
            <w:shd w:val="clear" w:color="auto" w:fill="auto"/>
            <w:noWrap/>
            <w:vAlign w:val="center"/>
            <w:hideMark/>
          </w:tcPr>
          <w:p w14:paraId="31D1C6BD"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48</w:t>
            </w:r>
          </w:p>
        </w:tc>
        <w:tc>
          <w:tcPr>
            <w:tcW w:w="470" w:type="pct"/>
            <w:shd w:val="clear" w:color="auto" w:fill="auto"/>
            <w:vAlign w:val="center"/>
            <w:hideMark/>
          </w:tcPr>
          <w:p w14:paraId="57C2079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166</w:t>
            </w:r>
          </w:p>
        </w:tc>
        <w:tc>
          <w:tcPr>
            <w:tcW w:w="782" w:type="pct"/>
            <w:shd w:val="clear" w:color="auto" w:fill="auto"/>
            <w:vAlign w:val="center"/>
            <w:hideMark/>
          </w:tcPr>
          <w:p w14:paraId="49AB12C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56.762.072</w:t>
            </w:r>
          </w:p>
        </w:tc>
        <w:tc>
          <w:tcPr>
            <w:tcW w:w="548" w:type="pct"/>
            <w:shd w:val="clear" w:color="auto" w:fill="auto"/>
            <w:noWrap/>
            <w:vAlign w:val="center"/>
            <w:hideMark/>
          </w:tcPr>
          <w:p w14:paraId="42FB9EE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1,09</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A0CCD0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2,51%</w:t>
            </w:r>
          </w:p>
        </w:tc>
      </w:tr>
      <w:tr w:rsidR="00072A69" w:rsidRPr="00D0174D" w14:paraId="77BD1BF9" w14:textId="77777777" w:rsidTr="00AC1F17">
        <w:trPr>
          <w:trHeight w:val="300"/>
        </w:trPr>
        <w:tc>
          <w:tcPr>
            <w:tcW w:w="2109" w:type="pct"/>
            <w:shd w:val="clear" w:color="auto" w:fill="auto"/>
            <w:noWrap/>
            <w:vAlign w:val="center"/>
            <w:hideMark/>
          </w:tcPr>
          <w:p w14:paraId="65DAA114"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popravila in vzdrževanja</w:t>
            </w:r>
          </w:p>
        </w:tc>
        <w:tc>
          <w:tcPr>
            <w:tcW w:w="548" w:type="pct"/>
            <w:shd w:val="clear" w:color="auto" w:fill="auto"/>
            <w:noWrap/>
            <w:vAlign w:val="center"/>
            <w:hideMark/>
          </w:tcPr>
          <w:p w14:paraId="0F6277D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50</w:t>
            </w:r>
          </w:p>
        </w:tc>
        <w:tc>
          <w:tcPr>
            <w:tcW w:w="470" w:type="pct"/>
            <w:shd w:val="clear" w:color="auto" w:fill="auto"/>
            <w:vAlign w:val="center"/>
            <w:hideMark/>
          </w:tcPr>
          <w:p w14:paraId="4F9BA14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388</w:t>
            </w:r>
          </w:p>
        </w:tc>
        <w:tc>
          <w:tcPr>
            <w:tcW w:w="782" w:type="pct"/>
            <w:shd w:val="clear" w:color="auto" w:fill="auto"/>
            <w:vAlign w:val="center"/>
            <w:hideMark/>
          </w:tcPr>
          <w:p w14:paraId="208739E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54.548.643</w:t>
            </w:r>
          </w:p>
        </w:tc>
        <w:tc>
          <w:tcPr>
            <w:tcW w:w="548" w:type="pct"/>
            <w:shd w:val="clear" w:color="auto" w:fill="auto"/>
            <w:noWrap/>
            <w:vAlign w:val="center"/>
            <w:hideMark/>
          </w:tcPr>
          <w:p w14:paraId="7EC3FD5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2,55</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FDC0BC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2,41%</w:t>
            </w:r>
          </w:p>
        </w:tc>
      </w:tr>
      <w:tr w:rsidR="00072A69" w:rsidRPr="00D0174D" w14:paraId="7A70FB63" w14:textId="77777777" w:rsidTr="00AC1F17">
        <w:trPr>
          <w:trHeight w:val="300"/>
        </w:trPr>
        <w:tc>
          <w:tcPr>
            <w:tcW w:w="2109" w:type="pct"/>
            <w:shd w:val="clear" w:color="auto" w:fill="auto"/>
            <w:noWrap/>
            <w:vAlign w:val="center"/>
            <w:hideMark/>
          </w:tcPr>
          <w:p w14:paraId="2CE7064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inštalacije (razen programske opreme)</w:t>
            </w:r>
          </w:p>
        </w:tc>
        <w:tc>
          <w:tcPr>
            <w:tcW w:w="548" w:type="pct"/>
            <w:shd w:val="clear" w:color="auto" w:fill="auto"/>
            <w:noWrap/>
            <w:vAlign w:val="center"/>
            <w:hideMark/>
          </w:tcPr>
          <w:p w14:paraId="35E7F3E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51</w:t>
            </w:r>
          </w:p>
        </w:tc>
        <w:tc>
          <w:tcPr>
            <w:tcW w:w="470" w:type="pct"/>
            <w:shd w:val="clear" w:color="auto" w:fill="auto"/>
            <w:vAlign w:val="center"/>
            <w:hideMark/>
          </w:tcPr>
          <w:p w14:paraId="1E84F4A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27</w:t>
            </w:r>
          </w:p>
        </w:tc>
        <w:tc>
          <w:tcPr>
            <w:tcW w:w="782" w:type="pct"/>
            <w:shd w:val="clear" w:color="auto" w:fill="auto"/>
            <w:vAlign w:val="center"/>
            <w:hideMark/>
          </w:tcPr>
          <w:p w14:paraId="6DA9AD2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3.624.841</w:t>
            </w:r>
          </w:p>
        </w:tc>
        <w:tc>
          <w:tcPr>
            <w:tcW w:w="548" w:type="pct"/>
            <w:shd w:val="clear" w:color="auto" w:fill="auto"/>
            <w:noWrap/>
            <w:vAlign w:val="center"/>
            <w:hideMark/>
          </w:tcPr>
          <w:p w14:paraId="2164F49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907C72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0,16%</w:t>
            </w:r>
          </w:p>
        </w:tc>
      </w:tr>
      <w:tr w:rsidR="00072A69" w:rsidRPr="00D0174D" w14:paraId="007C116B" w14:textId="77777777" w:rsidTr="00AC1F17">
        <w:trPr>
          <w:trHeight w:val="300"/>
        </w:trPr>
        <w:tc>
          <w:tcPr>
            <w:tcW w:w="2109" w:type="pct"/>
            <w:shd w:val="clear" w:color="auto" w:fill="auto"/>
            <w:noWrap/>
            <w:vAlign w:val="center"/>
            <w:hideMark/>
          </w:tcPr>
          <w:p w14:paraId="5B68F056"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hotelov, restavracij in trgovine na drobno</w:t>
            </w:r>
          </w:p>
        </w:tc>
        <w:tc>
          <w:tcPr>
            <w:tcW w:w="548" w:type="pct"/>
            <w:shd w:val="clear" w:color="auto" w:fill="auto"/>
            <w:noWrap/>
            <w:vAlign w:val="center"/>
            <w:hideMark/>
          </w:tcPr>
          <w:p w14:paraId="63D8F85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55</w:t>
            </w:r>
          </w:p>
        </w:tc>
        <w:tc>
          <w:tcPr>
            <w:tcW w:w="470" w:type="pct"/>
            <w:shd w:val="clear" w:color="auto" w:fill="auto"/>
            <w:vAlign w:val="center"/>
            <w:hideMark/>
          </w:tcPr>
          <w:p w14:paraId="15BB3CE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14</w:t>
            </w:r>
          </w:p>
        </w:tc>
        <w:tc>
          <w:tcPr>
            <w:tcW w:w="782" w:type="pct"/>
            <w:shd w:val="clear" w:color="auto" w:fill="auto"/>
            <w:vAlign w:val="center"/>
            <w:hideMark/>
          </w:tcPr>
          <w:p w14:paraId="4B1C3EF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7.845.095</w:t>
            </w:r>
          </w:p>
        </w:tc>
        <w:tc>
          <w:tcPr>
            <w:tcW w:w="548" w:type="pct"/>
            <w:shd w:val="clear" w:color="auto" w:fill="auto"/>
            <w:noWrap/>
            <w:vAlign w:val="center"/>
            <w:hideMark/>
          </w:tcPr>
          <w:p w14:paraId="15A8436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32F813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0,35%</w:t>
            </w:r>
          </w:p>
        </w:tc>
      </w:tr>
      <w:tr w:rsidR="00072A69" w:rsidRPr="00D0174D" w14:paraId="57002620" w14:textId="77777777" w:rsidTr="00AC1F17">
        <w:trPr>
          <w:trHeight w:val="300"/>
        </w:trPr>
        <w:tc>
          <w:tcPr>
            <w:tcW w:w="2109" w:type="pct"/>
            <w:shd w:val="clear" w:color="auto" w:fill="auto"/>
            <w:noWrap/>
            <w:vAlign w:val="center"/>
            <w:hideMark/>
          </w:tcPr>
          <w:p w14:paraId="32B4D67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Prevozne storitve (razen prevoza odpadkov)</w:t>
            </w:r>
          </w:p>
        </w:tc>
        <w:tc>
          <w:tcPr>
            <w:tcW w:w="548" w:type="pct"/>
            <w:shd w:val="clear" w:color="auto" w:fill="auto"/>
            <w:noWrap/>
            <w:vAlign w:val="center"/>
            <w:hideMark/>
          </w:tcPr>
          <w:p w14:paraId="5E946D98"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60</w:t>
            </w:r>
          </w:p>
        </w:tc>
        <w:tc>
          <w:tcPr>
            <w:tcW w:w="470" w:type="pct"/>
            <w:shd w:val="clear" w:color="auto" w:fill="auto"/>
            <w:vAlign w:val="center"/>
            <w:hideMark/>
          </w:tcPr>
          <w:p w14:paraId="7F3D47C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355</w:t>
            </w:r>
          </w:p>
        </w:tc>
        <w:tc>
          <w:tcPr>
            <w:tcW w:w="782" w:type="pct"/>
            <w:shd w:val="clear" w:color="auto" w:fill="auto"/>
            <w:vAlign w:val="center"/>
            <w:hideMark/>
          </w:tcPr>
          <w:p w14:paraId="6CF89B6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35.117.818</w:t>
            </w:r>
          </w:p>
        </w:tc>
        <w:tc>
          <w:tcPr>
            <w:tcW w:w="548" w:type="pct"/>
            <w:shd w:val="clear" w:color="auto" w:fill="auto"/>
            <w:noWrap/>
            <w:vAlign w:val="center"/>
            <w:hideMark/>
          </w:tcPr>
          <w:p w14:paraId="186F8C8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2,34</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0A6EC82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1,55%</w:t>
            </w:r>
          </w:p>
        </w:tc>
      </w:tr>
      <w:tr w:rsidR="00072A69" w:rsidRPr="00D0174D" w14:paraId="4CC57452" w14:textId="77777777" w:rsidTr="00AC1F17">
        <w:trPr>
          <w:trHeight w:val="300"/>
        </w:trPr>
        <w:tc>
          <w:tcPr>
            <w:tcW w:w="2109" w:type="pct"/>
            <w:shd w:val="clear" w:color="auto" w:fill="auto"/>
            <w:noWrap/>
            <w:vAlign w:val="center"/>
            <w:hideMark/>
          </w:tcPr>
          <w:p w14:paraId="3BC383CD"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Podporne in pomožne prevozne storitve; storitve potovalnih agencij</w:t>
            </w:r>
          </w:p>
        </w:tc>
        <w:tc>
          <w:tcPr>
            <w:tcW w:w="548" w:type="pct"/>
            <w:shd w:val="clear" w:color="auto" w:fill="auto"/>
            <w:noWrap/>
            <w:vAlign w:val="center"/>
            <w:hideMark/>
          </w:tcPr>
          <w:p w14:paraId="56A411B5"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63</w:t>
            </w:r>
          </w:p>
        </w:tc>
        <w:tc>
          <w:tcPr>
            <w:tcW w:w="470" w:type="pct"/>
            <w:shd w:val="clear" w:color="auto" w:fill="auto"/>
            <w:vAlign w:val="center"/>
            <w:hideMark/>
          </w:tcPr>
          <w:p w14:paraId="6F483C78"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24</w:t>
            </w:r>
          </w:p>
        </w:tc>
        <w:tc>
          <w:tcPr>
            <w:tcW w:w="782" w:type="pct"/>
            <w:shd w:val="clear" w:color="auto" w:fill="auto"/>
            <w:vAlign w:val="center"/>
            <w:hideMark/>
          </w:tcPr>
          <w:p w14:paraId="4144C12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15.643.646</w:t>
            </w:r>
          </w:p>
        </w:tc>
        <w:tc>
          <w:tcPr>
            <w:tcW w:w="548" w:type="pct"/>
            <w:shd w:val="clear" w:color="auto" w:fill="auto"/>
            <w:noWrap/>
            <w:vAlign w:val="center"/>
            <w:hideMark/>
          </w:tcPr>
          <w:p w14:paraId="05B1DA7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1315F78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0,69%</w:t>
            </w:r>
          </w:p>
        </w:tc>
      </w:tr>
      <w:tr w:rsidR="00072A69" w:rsidRPr="00D0174D" w14:paraId="077D88EB" w14:textId="77777777" w:rsidTr="00AC1F17">
        <w:trPr>
          <w:trHeight w:val="300"/>
        </w:trPr>
        <w:tc>
          <w:tcPr>
            <w:tcW w:w="2109" w:type="pct"/>
            <w:shd w:val="clear" w:color="auto" w:fill="auto"/>
            <w:noWrap/>
            <w:vAlign w:val="center"/>
            <w:hideMark/>
          </w:tcPr>
          <w:p w14:paraId="4E0C40CF"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Poštne in telekomunikacijske storitve</w:t>
            </w:r>
          </w:p>
        </w:tc>
        <w:tc>
          <w:tcPr>
            <w:tcW w:w="548" w:type="pct"/>
            <w:shd w:val="clear" w:color="auto" w:fill="auto"/>
            <w:noWrap/>
            <w:vAlign w:val="center"/>
            <w:hideMark/>
          </w:tcPr>
          <w:p w14:paraId="471F28EE"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64</w:t>
            </w:r>
          </w:p>
        </w:tc>
        <w:tc>
          <w:tcPr>
            <w:tcW w:w="470" w:type="pct"/>
            <w:shd w:val="clear" w:color="auto" w:fill="auto"/>
            <w:vAlign w:val="center"/>
            <w:hideMark/>
          </w:tcPr>
          <w:p w14:paraId="1172033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81</w:t>
            </w:r>
          </w:p>
        </w:tc>
        <w:tc>
          <w:tcPr>
            <w:tcW w:w="782" w:type="pct"/>
            <w:shd w:val="clear" w:color="auto" w:fill="auto"/>
            <w:vAlign w:val="center"/>
            <w:hideMark/>
          </w:tcPr>
          <w:p w14:paraId="5DF2E74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10.922.142</w:t>
            </w:r>
          </w:p>
        </w:tc>
        <w:tc>
          <w:tcPr>
            <w:tcW w:w="548" w:type="pct"/>
            <w:shd w:val="clear" w:color="auto" w:fill="auto"/>
            <w:noWrap/>
            <w:vAlign w:val="center"/>
            <w:hideMark/>
          </w:tcPr>
          <w:p w14:paraId="4AA0018F"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768B89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0,48%</w:t>
            </w:r>
          </w:p>
        </w:tc>
      </w:tr>
      <w:tr w:rsidR="00072A69" w:rsidRPr="00D0174D" w14:paraId="35570123" w14:textId="77777777" w:rsidTr="00AC1F17">
        <w:trPr>
          <w:trHeight w:val="300"/>
        </w:trPr>
        <w:tc>
          <w:tcPr>
            <w:tcW w:w="2109" w:type="pct"/>
            <w:shd w:val="clear" w:color="auto" w:fill="auto"/>
            <w:noWrap/>
            <w:vAlign w:val="center"/>
            <w:hideMark/>
          </w:tcPr>
          <w:p w14:paraId="75FA44C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Gospodarske javne službe</w:t>
            </w:r>
          </w:p>
        </w:tc>
        <w:tc>
          <w:tcPr>
            <w:tcW w:w="548" w:type="pct"/>
            <w:shd w:val="clear" w:color="auto" w:fill="auto"/>
            <w:noWrap/>
            <w:vAlign w:val="center"/>
            <w:hideMark/>
          </w:tcPr>
          <w:p w14:paraId="1D2CB8D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65</w:t>
            </w:r>
          </w:p>
        </w:tc>
        <w:tc>
          <w:tcPr>
            <w:tcW w:w="470" w:type="pct"/>
            <w:shd w:val="clear" w:color="auto" w:fill="auto"/>
            <w:vAlign w:val="center"/>
            <w:hideMark/>
          </w:tcPr>
          <w:p w14:paraId="57BB0AF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17</w:t>
            </w:r>
          </w:p>
        </w:tc>
        <w:tc>
          <w:tcPr>
            <w:tcW w:w="782" w:type="pct"/>
            <w:shd w:val="clear" w:color="auto" w:fill="auto"/>
            <w:vAlign w:val="center"/>
            <w:hideMark/>
          </w:tcPr>
          <w:p w14:paraId="3DA03B7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1.446.885</w:t>
            </w:r>
          </w:p>
        </w:tc>
        <w:tc>
          <w:tcPr>
            <w:tcW w:w="548" w:type="pct"/>
            <w:shd w:val="clear" w:color="auto" w:fill="auto"/>
            <w:noWrap/>
            <w:vAlign w:val="center"/>
            <w:hideMark/>
          </w:tcPr>
          <w:p w14:paraId="4715EB4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2EEF81E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0,06%</w:t>
            </w:r>
          </w:p>
        </w:tc>
      </w:tr>
      <w:tr w:rsidR="00072A69" w:rsidRPr="00D0174D" w14:paraId="67EC2922" w14:textId="77777777" w:rsidTr="00AC1F17">
        <w:trPr>
          <w:trHeight w:val="300"/>
        </w:trPr>
        <w:tc>
          <w:tcPr>
            <w:tcW w:w="2109" w:type="pct"/>
            <w:shd w:val="clear" w:color="auto" w:fill="auto"/>
            <w:noWrap/>
            <w:vAlign w:val="center"/>
            <w:hideMark/>
          </w:tcPr>
          <w:p w14:paraId="65D3787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Finančne in zavarovalniške storitve</w:t>
            </w:r>
          </w:p>
        </w:tc>
        <w:tc>
          <w:tcPr>
            <w:tcW w:w="548" w:type="pct"/>
            <w:shd w:val="clear" w:color="auto" w:fill="auto"/>
            <w:noWrap/>
            <w:vAlign w:val="center"/>
            <w:hideMark/>
          </w:tcPr>
          <w:p w14:paraId="7CC1B536"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66</w:t>
            </w:r>
          </w:p>
        </w:tc>
        <w:tc>
          <w:tcPr>
            <w:tcW w:w="470" w:type="pct"/>
            <w:shd w:val="clear" w:color="auto" w:fill="auto"/>
            <w:vAlign w:val="center"/>
            <w:hideMark/>
          </w:tcPr>
          <w:p w14:paraId="2E51D11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111</w:t>
            </w:r>
          </w:p>
        </w:tc>
        <w:tc>
          <w:tcPr>
            <w:tcW w:w="782" w:type="pct"/>
            <w:shd w:val="clear" w:color="auto" w:fill="auto"/>
            <w:vAlign w:val="center"/>
            <w:hideMark/>
          </w:tcPr>
          <w:p w14:paraId="13CFAF4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39.393.094</w:t>
            </w:r>
          </w:p>
        </w:tc>
        <w:tc>
          <w:tcPr>
            <w:tcW w:w="548" w:type="pct"/>
            <w:shd w:val="clear" w:color="auto" w:fill="auto"/>
            <w:noWrap/>
            <w:vAlign w:val="center"/>
            <w:hideMark/>
          </w:tcPr>
          <w:p w14:paraId="2184390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88C42D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1,74%</w:t>
            </w:r>
          </w:p>
        </w:tc>
      </w:tr>
      <w:tr w:rsidR="00072A69" w:rsidRPr="00D0174D" w14:paraId="37B82806" w14:textId="77777777" w:rsidTr="00AC1F17">
        <w:trPr>
          <w:trHeight w:val="300"/>
        </w:trPr>
        <w:tc>
          <w:tcPr>
            <w:tcW w:w="2109" w:type="pct"/>
            <w:shd w:val="clear" w:color="auto" w:fill="auto"/>
            <w:noWrap/>
            <w:vAlign w:val="center"/>
            <w:hideMark/>
          </w:tcPr>
          <w:p w14:paraId="69F2FC0E"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poslovanja z nepremičninami</w:t>
            </w:r>
          </w:p>
        </w:tc>
        <w:tc>
          <w:tcPr>
            <w:tcW w:w="548" w:type="pct"/>
            <w:shd w:val="clear" w:color="auto" w:fill="auto"/>
            <w:noWrap/>
            <w:vAlign w:val="center"/>
            <w:hideMark/>
          </w:tcPr>
          <w:p w14:paraId="29BC84D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70</w:t>
            </w:r>
          </w:p>
        </w:tc>
        <w:tc>
          <w:tcPr>
            <w:tcW w:w="470" w:type="pct"/>
            <w:shd w:val="clear" w:color="auto" w:fill="auto"/>
            <w:vAlign w:val="center"/>
            <w:hideMark/>
          </w:tcPr>
          <w:p w14:paraId="4041318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17</w:t>
            </w:r>
          </w:p>
        </w:tc>
        <w:tc>
          <w:tcPr>
            <w:tcW w:w="782" w:type="pct"/>
            <w:shd w:val="clear" w:color="auto" w:fill="auto"/>
            <w:vAlign w:val="center"/>
            <w:hideMark/>
          </w:tcPr>
          <w:p w14:paraId="2016DB5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3.447.047</w:t>
            </w:r>
          </w:p>
        </w:tc>
        <w:tc>
          <w:tcPr>
            <w:tcW w:w="548" w:type="pct"/>
            <w:shd w:val="clear" w:color="auto" w:fill="auto"/>
            <w:noWrap/>
            <w:vAlign w:val="center"/>
            <w:hideMark/>
          </w:tcPr>
          <w:p w14:paraId="27E89E4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220BBF5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0,15%</w:t>
            </w:r>
          </w:p>
        </w:tc>
      </w:tr>
      <w:tr w:rsidR="00072A69" w:rsidRPr="00D0174D" w14:paraId="39EEE3FA" w14:textId="77777777" w:rsidTr="00AC1F17">
        <w:trPr>
          <w:trHeight w:val="300"/>
        </w:trPr>
        <w:tc>
          <w:tcPr>
            <w:tcW w:w="2109" w:type="pct"/>
            <w:shd w:val="clear" w:color="auto" w:fill="auto"/>
            <w:noWrap/>
            <w:vAlign w:val="center"/>
            <w:hideMark/>
          </w:tcPr>
          <w:p w14:paraId="2EE44998"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Arhitekturne, gradbeniške, inženirske in inšpekcijske storitve</w:t>
            </w:r>
          </w:p>
        </w:tc>
        <w:tc>
          <w:tcPr>
            <w:tcW w:w="548" w:type="pct"/>
            <w:shd w:val="clear" w:color="auto" w:fill="auto"/>
            <w:noWrap/>
            <w:vAlign w:val="center"/>
            <w:hideMark/>
          </w:tcPr>
          <w:p w14:paraId="06E816C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71</w:t>
            </w:r>
          </w:p>
        </w:tc>
        <w:tc>
          <w:tcPr>
            <w:tcW w:w="470" w:type="pct"/>
            <w:shd w:val="clear" w:color="auto" w:fill="auto"/>
            <w:vAlign w:val="center"/>
            <w:hideMark/>
          </w:tcPr>
          <w:p w14:paraId="10BE798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489</w:t>
            </w:r>
          </w:p>
        </w:tc>
        <w:tc>
          <w:tcPr>
            <w:tcW w:w="782" w:type="pct"/>
            <w:shd w:val="clear" w:color="auto" w:fill="auto"/>
            <w:vAlign w:val="center"/>
            <w:hideMark/>
          </w:tcPr>
          <w:p w14:paraId="76481FF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77.227.457</w:t>
            </w:r>
          </w:p>
        </w:tc>
        <w:tc>
          <w:tcPr>
            <w:tcW w:w="548" w:type="pct"/>
            <w:shd w:val="clear" w:color="auto" w:fill="auto"/>
            <w:noWrap/>
            <w:vAlign w:val="center"/>
            <w:hideMark/>
          </w:tcPr>
          <w:p w14:paraId="47FEC88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3,22</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145FCAA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3,41%</w:t>
            </w:r>
          </w:p>
        </w:tc>
      </w:tr>
      <w:tr w:rsidR="00072A69" w:rsidRPr="00D0174D" w14:paraId="10F6695C" w14:textId="77777777" w:rsidTr="00AC1F17">
        <w:trPr>
          <w:trHeight w:val="300"/>
        </w:trPr>
        <w:tc>
          <w:tcPr>
            <w:tcW w:w="2109" w:type="pct"/>
            <w:shd w:val="clear" w:color="auto" w:fill="auto"/>
            <w:noWrap/>
            <w:vAlign w:val="center"/>
            <w:hideMark/>
          </w:tcPr>
          <w:p w14:paraId="1CACD034"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informacijske tehnologije: svetovanje, razvoj programske opreme, internet in podpora</w:t>
            </w:r>
          </w:p>
        </w:tc>
        <w:tc>
          <w:tcPr>
            <w:tcW w:w="548" w:type="pct"/>
            <w:shd w:val="clear" w:color="auto" w:fill="auto"/>
            <w:noWrap/>
            <w:vAlign w:val="center"/>
            <w:hideMark/>
          </w:tcPr>
          <w:p w14:paraId="2CBC215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72</w:t>
            </w:r>
          </w:p>
        </w:tc>
        <w:tc>
          <w:tcPr>
            <w:tcW w:w="470" w:type="pct"/>
            <w:shd w:val="clear" w:color="auto" w:fill="auto"/>
            <w:vAlign w:val="center"/>
            <w:hideMark/>
          </w:tcPr>
          <w:p w14:paraId="48573D1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346</w:t>
            </w:r>
          </w:p>
        </w:tc>
        <w:tc>
          <w:tcPr>
            <w:tcW w:w="782" w:type="pct"/>
            <w:shd w:val="clear" w:color="auto" w:fill="auto"/>
            <w:vAlign w:val="center"/>
            <w:hideMark/>
          </w:tcPr>
          <w:p w14:paraId="55CFE10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73.608.792</w:t>
            </w:r>
          </w:p>
        </w:tc>
        <w:tc>
          <w:tcPr>
            <w:tcW w:w="548" w:type="pct"/>
            <w:shd w:val="clear" w:color="auto" w:fill="auto"/>
            <w:noWrap/>
            <w:vAlign w:val="center"/>
            <w:hideMark/>
          </w:tcPr>
          <w:p w14:paraId="22F836B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2,28</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2758B3C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3,25%</w:t>
            </w:r>
          </w:p>
        </w:tc>
      </w:tr>
      <w:tr w:rsidR="00072A69" w:rsidRPr="00D0174D" w14:paraId="284FE1ED" w14:textId="77777777" w:rsidTr="00AC1F17">
        <w:trPr>
          <w:trHeight w:val="300"/>
        </w:trPr>
        <w:tc>
          <w:tcPr>
            <w:tcW w:w="2109" w:type="pct"/>
            <w:shd w:val="clear" w:color="auto" w:fill="auto"/>
            <w:noWrap/>
            <w:vAlign w:val="center"/>
            <w:hideMark/>
          </w:tcPr>
          <w:p w14:paraId="5834B680"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na področju raziskav in razvoja ter s tem povezane svetovalne storitve</w:t>
            </w:r>
          </w:p>
        </w:tc>
        <w:tc>
          <w:tcPr>
            <w:tcW w:w="548" w:type="pct"/>
            <w:shd w:val="clear" w:color="auto" w:fill="auto"/>
            <w:noWrap/>
            <w:vAlign w:val="center"/>
            <w:hideMark/>
          </w:tcPr>
          <w:p w14:paraId="794A42A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73</w:t>
            </w:r>
          </w:p>
        </w:tc>
        <w:tc>
          <w:tcPr>
            <w:tcW w:w="470" w:type="pct"/>
            <w:shd w:val="clear" w:color="auto" w:fill="auto"/>
            <w:vAlign w:val="center"/>
            <w:hideMark/>
          </w:tcPr>
          <w:p w14:paraId="30EC386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41</w:t>
            </w:r>
          </w:p>
        </w:tc>
        <w:tc>
          <w:tcPr>
            <w:tcW w:w="782" w:type="pct"/>
            <w:shd w:val="clear" w:color="auto" w:fill="auto"/>
            <w:vAlign w:val="center"/>
            <w:hideMark/>
          </w:tcPr>
          <w:p w14:paraId="713C3CD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2.652.830</w:t>
            </w:r>
          </w:p>
        </w:tc>
        <w:tc>
          <w:tcPr>
            <w:tcW w:w="548" w:type="pct"/>
            <w:shd w:val="clear" w:color="auto" w:fill="auto"/>
            <w:noWrap/>
            <w:vAlign w:val="center"/>
            <w:hideMark/>
          </w:tcPr>
          <w:p w14:paraId="2EF75FF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3289E5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0,12%</w:t>
            </w:r>
          </w:p>
        </w:tc>
      </w:tr>
      <w:tr w:rsidR="00072A69" w:rsidRPr="00D0174D" w14:paraId="48B6FC46" w14:textId="77777777" w:rsidTr="00AC1F17">
        <w:trPr>
          <w:trHeight w:val="300"/>
        </w:trPr>
        <w:tc>
          <w:tcPr>
            <w:tcW w:w="2109" w:type="pct"/>
            <w:shd w:val="clear" w:color="auto" w:fill="auto"/>
            <w:noWrap/>
            <w:vAlign w:val="center"/>
            <w:hideMark/>
          </w:tcPr>
          <w:p w14:paraId="1B9B04E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uprave, obrambe in socialnega zavarovanja</w:t>
            </w:r>
          </w:p>
        </w:tc>
        <w:tc>
          <w:tcPr>
            <w:tcW w:w="548" w:type="pct"/>
            <w:shd w:val="clear" w:color="auto" w:fill="auto"/>
            <w:noWrap/>
            <w:vAlign w:val="center"/>
            <w:hideMark/>
          </w:tcPr>
          <w:p w14:paraId="251820E2"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75</w:t>
            </w:r>
          </w:p>
        </w:tc>
        <w:tc>
          <w:tcPr>
            <w:tcW w:w="470" w:type="pct"/>
            <w:shd w:val="clear" w:color="auto" w:fill="auto"/>
            <w:vAlign w:val="center"/>
            <w:hideMark/>
          </w:tcPr>
          <w:p w14:paraId="29B2477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w:t>
            </w:r>
          </w:p>
        </w:tc>
        <w:tc>
          <w:tcPr>
            <w:tcW w:w="782" w:type="pct"/>
            <w:shd w:val="clear" w:color="auto" w:fill="auto"/>
            <w:vAlign w:val="center"/>
            <w:hideMark/>
          </w:tcPr>
          <w:p w14:paraId="376C26A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292.070</w:t>
            </w:r>
          </w:p>
        </w:tc>
        <w:tc>
          <w:tcPr>
            <w:tcW w:w="548" w:type="pct"/>
            <w:shd w:val="clear" w:color="auto" w:fill="auto"/>
            <w:noWrap/>
            <w:vAlign w:val="center"/>
            <w:hideMark/>
          </w:tcPr>
          <w:p w14:paraId="4B14862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D6B4EB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0,01%</w:t>
            </w:r>
          </w:p>
        </w:tc>
      </w:tr>
      <w:tr w:rsidR="00072A69" w:rsidRPr="00D0174D" w14:paraId="758A1A68" w14:textId="77777777" w:rsidTr="00AC1F17">
        <w:trPr>
          <w:trHeight w:val="300"/>
        </w:trPr>
        <w:tc>
          <w:tcPr>
            <w:tcW w:w="2109" w:type="pct"/>
            <w:shd w:val="clear" w:color="auto" w:fill="auto"/>
            <w:noWrap/>
            <w:vAlign w:val="center"/>
            <w:hideMark/>
          </w:tcPr>
          <w:p w14:paraId="2EF8DBC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povezane z industrijo nafte in zemeljskega plina</w:t>
            </w:r>
          </w:p>
        </w:tc>
        <w:tc>
          <w:tcPr>
            <w:tcW w:w="548" w:type="pct"/>
            <w:shd w:val="clear" w:color="auto" w:fill="auto"/>
            <w:noWrap/>
            <w:vAlign w:val="center"/>
            <w:hideMark/>
          </w:tcPr>
          <w:p w14:paraId="1C142CAC"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76</w:t>
            </w:r>
          </w:p>
        </w:tc>
        <w:tc>
          <w:tcPr>
            <w:tcW w:w="470" w:type="pct"/>
            <w:shd w:val="clear" w:color="auto" w:fill="auto"/>
            <w:vAlign w:val="center"/>
            <w:hideMark/>
          </w:tcPr>
          <w:p w14:paraId="4D0291F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w:t>
            </w:r>
          </w:p>
        </w:tc>
        <w:tc>
          <w:tcPr>
            <w:tcW w:w="782" w:type="pct"/>
            <w:shd w:val="clear" w:color="auto" w:fill="auto"/>
            <w:vAlign w:val="center"/>
            <w:hideMark/>
          </w:tcPr>
          <w:p w14:paraId="76A73FA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225.060</w:t>
            </w:r>
          </w:p>
        </w:tc>
        <w:tc>
          <w:tcPr>
            <w:tcW w:w="548" w:type="pct"/>
            <w:shd w:val="clear" w:color="auto" w:fill="auto"/>
            <w:noWrap/>
            <w:vAlign w:val="center"/>
            <w:hideMark/>
          </w:tcPr>
          <w:p w14:paraId="09427C2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56A0E55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0,01%</w:t>
            </w:r>
          </w:p>
        </w:tc>
      </w:tr>
      <w:tr w:rsidR="00072A69" w:rsidRPr="00D0174D" w14:paraId="2BFFA14F" w14:textId="77777777" w:rsidTr="00AC1F17">
        <w:trPr>
          <w:trHeight w:val="300"/>
        </w:trPr>
        <w:tc>
          <w:tcPr>
            <w:tcW w:w="2109" w:type="pct"/>
            <w:shd w:val="clear" w:color="auto" w:fill="auto"/>
            <w:noWrap/>
            <w:vAlign w:val="center"/>
            <w:hideMark/>
          </w:tcPr>
          <w:p w14:paraId="4E23FAA5"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na področju kmetijstva, gozdarstva, hortikulture, akvakulture in čebelarstva</w:t>
            </w:r>
          </w:p>
        </w:tc>
        <w:tc>
          <w:tcPr>
            <w:tcW w:w="548" w:type="pct"/>
            <w:shd w:val="clear" w:color="auto" w:fill="auto"/>
            <w:noWrap/>
            <w:vAlign w:val="center"/>
            <w:hideMark/>
          </w:tcPr>
          <w:p w14:paraId="55537750"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77</w:t>
            </w:r>
          </w:p>
        </w:tc>
        <w:tc>
          <w:tcPr>
            <w:tcW w:w="470" w:type="pct"/>
            <w:shd w:val="clear" w:color="auto" w:fill="auto"/>
            <w:vAlign w:val="center"/>
            <w:hideMark/>
          </w:tcPr>
          <w:p w14:paraId="7E151D10"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212</w:t>
            </w:r>
          </w:p>
        </w:tc>
        <w:tc>
          <w:tcPr>
            <w:tcW w:w="782" w:type="pct"/>
            <w:shd w:val="clear" w:color="auto" w:fill="auto"/>
            <w:vAlign w:val="center"/>
            <w:hideMark/>
          </w:tcPr>
          <w:p w14:paraId="0B08E953"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14.993.528</w:t>
            </w:r>
          </w:p>
        </w:tc>
        <w:tc>
          <w:tcPr>
            <w:tcW w:w="548" w:type="pct"/>
            <w:shd w:val="clear" w:color="auto" w:fill="auto"/>
            <w:noWrap/>
            <w:vAlign w:val="center"/>
            <w:hideMark/>
          </w:tcPr>
          <w:p w14:paraId="6FEBC80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1,39</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3659B32"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0,66%</w:t>
            </w:r>
          </w:p>
        </w:tc>
      </w:tr>
      <w:tr w:rsidR="00072A69" w:rsidRPr="00D0174D" w14:paraId="79BBD5C3" w14:textId="77777777" w:rsidTr="00AC1F17">
        <w:trPr>
          <w:trHeight w:val="300"/>
        </w:trPr>
        <w:tc>
          <w:tcPr>
            <w:tcW w:w="2109" w:type="pct"/>
            <w:shd w:val="clear" w:color="auto" w:fill="auto"/>
            <w:noWrap/>
            <w:vAlign w:val="center"/>
            <w:hideMark/>
          </w:tcPr>
          <w:p w14:paraId="08DC2CDE"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Poslovne storitve: pravo, trženje, svetovanje, zaposlovanje, tiskanje in varnost</w:t>
            </w:r>
          </w:p>
        </w:tc>
        <w:tc>
          <w:tcPr>
            <w:tcW w:w="548" w:type="pct"/>
            <w:shd w:val="clear" w:color="auto" w:fill="auto"/>
            <w:noWrap/>
            <w:vAlign w:val="center"/>
            <w:hideMark/>
          </w:tcPr>
          <w:p w14:paraId="01B1F9F9"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79</w:t>
            </w:r>
          </w:p>
        </w:tc>
        <w:tc>
          <w:tcPr>
            <w:tcW w:w="470" w:type="pct"/>
            <w:shd w:val="clear" w:color="auto" w:fill="auto"/>
            <w:vAlign w:val="center"/>
            <w:hideMark/>
          </w:tcPr>
          <w:p w14:paraId="23CF7736"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286</w:t>
            </w:r>
          </w:p>
        </w:tc>
        <w:tc>
          <w:tcPr>
            <w:tcW w:w="782" w:type="pct"/>
            <w:shd w:val="clear" w:color="auto" w:fill="auto"/>
            <w:vAlign w:val="center"/>
            <w:hideMark/>
          </w:tcPr>
          <w:p w14:paraId="691D1D7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47.264.275</w:t>
            </w:r>
          </w:p>
        </w:tc>
        <w:tc>
          <w:tcPr>
            <w:tcW w:w="548" w:type="pct"/>
            <w:shd w:val="clear" w:color="auto" w:fill="auto"/>
            <w:noWrap/>
            <w:vAlign w:val="center"/>
            <w:hideMark/>
          </w:tcPr>
          <w:p w14:paraId="1D00870C"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1,88</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384993E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2,09%</w:t>
            </w:r>
          </w:p>
        </w:tc>
      </w:tr>
      <w:tr w:rsidR="00072A69" w:rsidRPr="00D0174D" w14:paraId="248AC85D" w14:textId="77777777" w:rsidTr="00AC1F17">
        <w:trPr>
          <w:trHeight w:val="300"/>
        </w:trPr>
        <w:tc>
          <w:tcPr>
            <w:tcW w:w="2109" w:type="pct"/>
            <w:shd w:val="clear" w:color="auto" w:fill="auto"/>
            <w:noWrap/>
            <w:vAlign w:val="center"/>
            <w:hideMark/>
          </w:tcPr>
          <w:p w14:paraId="360499AB"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izobraževanja in usposabljanja</w:t>
            </w:r>
          </w:p>
        </w:tc>
        <w:tc>
          <w:tcPr>
            <w:tcW w:w="548" w:type="pct"/>
            <w:shd w:val="clear" w:color="auto" w:fill="auto"/>
            <w:noWrap/>
            <w:vAlign w:val="center"/>
            <w:hideMark/>
          </w:tcPr>
          <w:p w14:paraId="69880A76"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80</w:t>
            </w:r>
          </w:p>
        </w:tc>
        <w:tc>
          <w:tcPr>
            <w:tcW w:w="470" w:type="pct"/>
            <w:shd w:val="clear" w:color="auto" w:fill="auto"/>
            <w:vAlign w:val="center"/>
            <w:hideMark/>
          </w:tcPr>
          <w:p w14:paraId="23064CC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37</w:t>
            </w:r>
          </w:p>
        </w:tc>
        <w:tc>
          <w:tcPr>
            <w:tcW w:w="782" w:type="pct"/>
            <w:shd w:val="clear" w:color="auto" w:fill="auto"/>
            <w:vAlign w:val="center"/>
            <w:hideMark/>
          </w:tcPr>
          <w:p w14:paraId="43BD189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5.392.840</w:t>
            </w:r>
          </w:p>
        </w:tc>
        <w:tc>
          <w:tcPr>
            <w:tcW w:w="548" w:type="pct"/>
            <w:shd w:val="clear" w:color="auto" w:fill="auto"/>
            <w:noWrap/>
            <w:vAlign w:val="center"/>
            <w:hideMark/>
          </w:tcPr>
          <w:p w14:paraId="4864EA3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27B056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0,24%</w:t>
            </w:r>
          </w:p>
        </w:tc>
      </w:tr>
      <w:tr w:rsidR="00072A69" w:rsidRPr="00D0174D" w14:paraId="7F8665DD" w14:textId="77777777" w:rsidTr="00AC1F17">
        <w:trPr>
          <w:trHeight w:val="300"/>
        </w:trPr>
        <w:tc>
          <w:tcPr>
            <w:tcW w:w="2109" w:type="pct"/>
            <w:shd w:val="clear" w:color="auto" w:fill="auto"/>
            <w:noWrap/>
            <w:vAlign w:val="center"/>
            <w:hideMark/>
          </w:tcPr>
          <w:p w14:paraId="7B355500"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na področju zdravstva in socialnega varstva</w:t>
            </w:r>
          </w:p>
        </w:tc>
        <w:tc>
          <w:tcPr>
            <w:tcW w:w="548" w:type="pct"/>
            <w:shd w:val="clear" w:color="auto" w:fill="auto"/>
            <w:noWrap/>
            <w:vAlign w:val="center"/>
            <w:hideMark/>
          </w:tcPr>
          <w:p w14:paraId="480ACA33"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85</w:t>
            </w:r>
          </w:p>
        </w:tc>
        <w:tc>
          <w:tcPr>
            <w:tcW w:w="470" w:type="pct"/>
            <w:shd w:val="clear" w:color="auto" w:fill="auto"/>
            <w:vAlign w:val="center"/>
            <w:hideMark/>
          </w:tcPr>
          <w:p w14:paraId="60FBE144"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32</w:t>
            </w:r>
          </w:p>
        </w:tc>
        <w:tc>
          <w:tcPr>
            <w:tcW w:w="782" w:type="pct"/>
            <w:shd w:val="clear" w:color="auto" w:fill="auto"/>
            <w:vAlign w:val="center"/>
            <w:hideMark/>
          </w:tcPr>
          <w:p w14:paraId="39FDC64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4.755.189</w:t>
            </w:r>
          </w:p>
        </w:tc>
        <w:tc>
          <w:tcPr>
            <w:tcW w:w="548" w:type="pct"/>
            <w:shd w:val="clear" w:color="auto" w:fill="auto"/>
            <w:noWrap/>
            <w:vAlign w:val="center"/>
            <w:hideMark/>
          </w:tcPr>
          <w:p w14:paraId="57AC135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F6FCFD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0,21%</w:t>
            </w:r>
          </w:p>
        </w:tc>
      </w:tr>
      <w:tr w:rsidR="00072A69" w:rsidRPr="00D0174D" w14:paraId="0ABD2DCF" w14:textId="77777777" w:rsidTr="00AC1F17">
        <w:trPr>
          <w:trHeight w:val="300"/>
        </w:trPr>
        <w:tc>
          <w:tcPr>
            <w:tcW w:w="2109" w:type="pct"/>
            <w:shd w:val="clear" w:color="auto" w:fill="auto"/>
            <w:noWrap/>
            <w:vAlign w:val="center"/>
            <w:hideMark/>
          </w:tcPr>
          <w:p w14:paraId="61FED6FB"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Storitve v zvezi z odplakami, odpadki, čiščenjem in okoljem</w:t>
            </w:r>
          </w:p>
        </w:tc>
        <w:tc>
          <w:tcPr>
            <w:tcW w:w="548" w:type="pct"/>
            <w:shd w:val="clear" w:color="auto" w:fill="auto"/>
            <w:noWrap/>
            <w:vAlign w:val="center"/>
            <w:hideMark/>
          </w:tcPr>
          <w:p w14:paraId="088A333A"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90</w:t>
            </w:r>
          </w:p>
        </w:tc>
        <w:tc>
          <w:tcPr>
            <w:tcW w:w="470" w:type="pct"/>
            <w:shd w:val="clear" w:color="auto" w:fill="auto"/>
            <w:vAlign w:val="center"/>
            <w:hideMark/>
          </w:tcPr>
          <w:p w14:paraId="38DBFBF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524</w:t>
            </w:r>
          </w:p>
        </w:tc>
        <w:tc>
          <w:tcPr>
            <w:tcW w:w="782" w:type="pct"/>
            <w:shd w:val="clear" w:color="auto" w:fill="auto"/>
            <w:vAlign w:val="center"/>
            <w:hideMark/>
          </w:tcPr>
          <w:p w14:paraId="6A5DAF35"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73.875.969</w:t>
            </w:r>
          </w:p>
        </w:tc>
        <w:tc>
          <w:tcPr>
            <w:tcW w:w="548" w:type="pct"/>
            <w:shd w:val="clear" w:color="auto" w:fill="auto"/>
            <w:noWrap/>
            <w:vAlign w:val="center"/>
            <w:hideMark/>
          </w:tcPr>
          <w:p w14:paraId="27176FDA"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3,45</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492AD1B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3,26%</w:t>
            </w:r>
          </w:p>
        </w:tc>
      </w:tr>
      <w:tr w:rsidR="00072A69" w:rsidRPr="00D0174D" w14:paraId="4BECB2F0" w14:textId="77777777" w:rsidTr="00AC1F17">
        <w:trPr>
          <w:trHeight w:val="300"/>
        </w:trPr>
        <w:tc>
          <w:tcPr>
            <w:tcW w:w="2109" w:type="pct"/>
            <w:shd w:val="clear" w:color="auto" w:fill="auto"/>
            <w:noWrap/>
            <w:vAlign w:val="center"/>
            <w:hideMark/>
          </w:tcPr>
          <w:p w14:paraId="16931221"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lastRenderedPageBreak/>
              <w:t>Storitve na področju rekreacije, kulture in športa</w:t>
            </w:r>
          </w:p>
        </w:tc>
        <w:tc>
          <w:tcPr>
            <w:tcW w:w="548" w:type="pct"/>
            <w:shd w:val="clear" w:color="auto" w:fill="auto"/>
            <w:noWrap/>
            <w:vAlign w:val="center"/>
            <w:hideMark/>
          </w:tcPr>
          <w:p w14:paraId="232B2ABF"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92</w:t>
            </w:r>
          </w:p>
        </w:tc>
        <w:tc>
          <w:tcPr>
            <w:tcW w:w="470" w:type="pct"/>
            <w:shd w:val="clear" w:color="auto" w:fill="auto"/>
            <w:vAlign w:val="center"/>
            <w:hideMark/>
          </w:tcPr>
          <w:p w14:paraId="4A13A20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31</w:t>
            </w:r>
          </w:p>
        </w:tc>
        <w:tc>
          <w:tcPr>
            <w:tcW w:w="782" w:type="pct"/>
            <w:shd w:val="clear" w:color="auto" w:fill="auto"/>
            <w:vAlign w:val="center"/>
            <w:hideMark/>
          </w:tcPr>
          <w:p w14:paraId="6E3C9D31"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2.920.814</w:t>
            </w:r>
          </w:p>
        </w:tc>
        <w:tc>
          <w:tcPr>
            <w:tcW w:w="548" w:type="pct"/>
            <w:shd w:val="clear" w:color="auto" w:fill="auto"/>
            <w:noWrap/>
            <w:vAlign w:val="center"/>
            <w:hideMark/>
          </w:tcPr>
          <w:p w14:paraId="26676427"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6779EFA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0,13%</w:t>
            </w:r>
          </w:p>
        </w:tc>
      </w:tr>
      <w:tr w:rsidR="00072A69" w:rsidRPr="00D0174D" w14:paraId="6F68BBED" w14:textId="77777777" w:rsidTr="00AC1F17">
        <w:trPr>
          <w:trHeight w:val="300"/>
        </w:trPr>
        <w:tc>
          <w:tcPr>
            <w:tcW w:w="2109" w:type="pct"/>
            <w:shd w:val="clear" w:color="auto" w:fill="auto"/>
            <w:noWrap/>
            <w:vAlign w:val="center"/>
            <w:hideMark/>
          </w:tcPr>
          <w:p w14:paraId="52997B07"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Druge javne, skupne in osebne storitve</w:t>
            </w:r>
          </w:p>
        </w:tc>
        <w:tc>
          <w:tcPr>
            <w:tcW w:w="548" w:type="pct"/>
            <w:shd w:val="clear" w:color="auto" w:fill="auto"/>
            <w:noWrap/>
            <w:vAlign w:val="center"/>
            <w:hideMark/>
          </w:tcPr>
          <w:p w14:paraId="65118D36" w14:textId="77777777" w:rsidR="00072A69" w:rsidRPr="00D0174D" w:rsidRDefault="00072A69" w:rsidP="00AC1F17">
            <w:pPr>
              <w:spacing w:after="0" w:line="240" w:lineRule="auto"/>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98</w:t>
            </w:r>
          </w:p>
        </w:tc>
        <w:tc>
          <w:tcPr>
            <w:tcW w:w="470" w:type="pct"/>
            <w:shd w:val="clear" w:color="auto" w:fill="auto"/>
            <w:vAlign w:val="center"/>
            <w:hideMark/>
          </w:tcPr>
          <w:p w14:paraId="6D63505E"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113</w:t>
            </w:r>
          </w:p>
        </w:tc>
        <w:tc>
          <w:tcPr>
            <w:tcW w:w="782" w:type="pct"/>
            <w:shd w:val="clear" w:color="auto" w:fill="auto"/>
            <w:vAlign w:val="center"/>
            <w:hideMark/>
          </w:tcPr>
          <w:p w14:paraId="160F1ABD"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9.700.311</w:t>
            </w:r>
          </w:p>
        </w:tc>
        <w:tc>
          <w:tcPr>
            <w:tcW w:w="548" w:type="pct"/>
            <w:shd w:val="clear" w:color="auto" w:fill="auto"/>
            <w:noWrap/>
            <w:vAlign w:val="center"/>
            <w:hideMark/>
          </w:tcPr>
          <w:p w14:paraId="5C819069"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0,74</w:t>
            </w:r>
            <w:r>
              <w:rPr>
                <w:rFonts w:ascii="Arial" w:eastAsia="Times New Roman" w:hAnsi="Arial" w:cs="Arial"/>
                <w:color w:val="000000"/>
                <w:sz w:val="18"/>
                <w:szCs w:val="18"/>
                <w:lang w:eastAsia="sl-SI"/>
              </w:rPr>
              <w:t xml:space="preserve"> %</w:t>
            </w:r>
          </w:p>
        </w:tc>
        <w:tc>
          <w:tcPr>
            <w:tcW w:w="544" w:type="pct"/>
            <w:shd w:val="clear" w:color="auto" w:fill="auto"/>
            <w:noWrap/>
            <w:vAlign w:val="center"/>
            <w:hideMark/>
          </w:tcPr>
          <w:p w14:paraId="718DFE7B" w14:textId="77777777" w:rsidR="00072A69" w:rsidRPr="00D0174D" w:rsidRDefault="00072A69" w:rsidP="00AC1F17">
            <w:pPr>
              <w:spacing w:after="0" w:line="240" w:lineRule="auto"/>
              <w:jc w:val="right"/>
              <w:rPr>
                <w:rFonts w:ascii="Arial" w:eastAsia="Times New Roman" w:hAnsi="Arial" w:cs="Arial"/>
                <w:color w:val="000000"/>
                <w:sz w:val="18"/>
                <w:szCs w:val="18"/>
                <w:lang w:eastAsia="sl-SI"/>
              </w:rPr>
            </w:pPr>
            <w:r w:rsidRPr="00D0174D">
              <w:rPr>
                <w:rFonts w:ascii="Arial" w:eastAsia="Times New Roman" w:hAnsi="Arial" w:cs="Arial"/>
                <w:color w:val="000000"/>
                <w:sz w:val="18"/>
                <w:szCs w:val="18"/>
                <w:lang w:eastAsia="sl-SI"/>
              </w:rPr>
              <w:t>0,43%</w:t>
            </w:r>
          </w:p>
        </w:tc>
      </w:tr>
      <w:tr w:rsidR="00072A69" w:rsidRPr="00D0174D" w14:paraId="7E99CB5B" w14:textId="77777777" w:rsidTr="00AC1F17">
        <w:trPr>
          <w:trHeight w:val="300"/>
        </w:trPr>
        <w:tc>
          <w:tcPr>
            <w:tcW w:w="2657" w:type="pct"/>
            <w:gridSpan w:val="2"/>
            <w:shd w:val="clear" w:color="auto" w:fill="E7E6E6" w:themeFill="background2"/>
            <w:noWrap/>
            <w:vAlign w:val="center"/>
            <w:hideMark/>
          </w:tcPr>
          <w:p w14:paraId="1FFE6E0F" w14:textId="77777777" w:rsidR="00072A69" w:rsidRPr="00D0174D" w:rsidRDefault="00072A69" w:rsidP="00AC1F17">
            <w:pPr>
              <w:spacing w:after="0" w:line="240" w:lineRule="auto"/>
              <w:rPr>
                <w:rFonts w:ascii="Arial" w:eastAsia="Times New Roman" w:hAnsi="Arial" w:cs="Arial"/>
                <w:b/>
                <w:color w:val="000000"/>
                <w:sz w:val="18"/>
                <w:szCs w:val="18"/>
                <w:lang w:eastAsia="sl-SI"/>
              </w:rPr>
            </w:pPr>
            <w:r w:rsidRPr="00D0174D">
              <w:rPr>
                <w:rFonts w:ascii="Arial" w:eastAsia="Times New Roman" w:hAnsi="Arial" w:cs="Arial"/>
                <w:b/>
                <w:color w:val="000000"/>
                <w:sz w:val="18"/>
                <w:szCs w:val="18"/>
                <w:lang w:eastAsia="sl-SI"/>
              </w:rPr>
              <w:t>Skupaj</w:t>
            </w:r>
          </w:p>
        </w:tc>
        <w:tc>
          <w:tcPr>
            <w:tcW w:w="470" w:type="pct"/>
            <w:shd w:val="clear" w:color="auto" w:fill="E7E6E6" w:themeFill="background2"/>
            <w:noWrap/>
            <w:vAlign w:val="center"/>
            <w:hideMark/>
          </w:tcPr>
          <w:p w14:paraId="7ED0EBC5" w14:textId="77777777" w:rsidR="00072A69" w:rsidRPr="00D0174D" w:rsidRDefault="00072A69" w:rsidP="00AC1F17">
            <w:pPr>
              <w:spacing w:after="0" w:line="240" w:lineRule="auto"/>
              <w:jc w:val="right"/>
              <w:rPr>
                <w:rFonts w:ascii="Arial" w:eastAsia="Times New Roman" w:hAnsi="Arial" w:cs="Arial"/>
                <w:b/>
                <w:color w:val="000000"/>
                <w:sz w:val="18"/>
                <w:szCs w:val="18"/>
                <w:lang w:eastAsia="sl-SI"/>
              </w:rPr>
            </w:pPr>
            <w:r w:rsidRPr="00D0174D">
              <w:rPr>
                <w:rFonts w:ascii="Arial" w:eastAsia="Times New Roman" w:hAnsi="Arial" w:cs="Arial"/>
                <w:b/>
                <w:color w:val="000000"/>
                <w:sz w:val="18"/>
                <w:szCs w:val="18"/>
                <w:lang w:eastAsia="sl-SI"/>
              </w:rPr>
              <w:t>15.203</w:t>
            </w:r>
          </w:p>
        </w:tc>
        <w:tc>
          <w:tcPr>
            <w:tcW w:w="782" w:type="pct"/>
            <w:shd w:val="clear" w:color="auto" w:fill="E7E6E6" w:themeFill="background2"/>
            <w:noWrap/>
            <w:vAlign w:val="center"/>
            <w:hideMark/>
          </w:tcPr>
          <w:p w14:paraId="2FF1D8DB" w14:textId="77777777" w:rsidR="00072A69" w:rsidRPr="00D0174D" w:rsidRDefault="00072A69" w:rsidP="00AC1F17">
            <w:pPr>
              <w:spacing w:after="0" w:line="240" w:lineRule="auto"/>
              <w:jc w:val="right"/>
              <w:rPr>
                <w:rFonts w:ascii="Arial" w:eastAsia="Times New Roman" w:hAnsi="Arial" w:cs="Arial"/>
                <w:b/>
                <w:color w:val="000000"/>
                <w:sz w:val="18"/>
                <w:szCs w:val="18"/>
                <w:lang w:eastAsia="sl-SI"/>
              </w:rPr>
            </w:pPr>
            <w:r w:rsidRPr="00D0174D">
              <w:rPr>
                <w:rFonts w:ascii="Arial" w:eastAsia="Times New Roman" w:hAnsi="Arial" w:cs="Arial"/>
                <w:b/>
                <w:color w:val="000000"/>
                <w:sz w:val="18"/>
                <w:szCs w:val="18"/>
                <w:lang w:eastAsia="sl-SI"/>
              </w:rPr>
              <w:t>2.263.207.645</w:t>
            </w:r>
          </w:p>
        </w:tc>
        <w:tc>
          <w:tcPr>
            <w:tcW w:w="548" w:type="pct"/>
            <w:shd w:val="clear" w:color="auto" w:fill="E7E6E6" w:themeFill="background2"/>
            <w:noWrap/>
            <w:vAlign w:val="center"/>
            <w:hideMark/>
          </w:tcPr>
          <w:p w14:paraId="6C191FCC" w14:textId="77777777" w:rsidR="00072A69" w:rsidRPr="00D0174D" w:rsidRDefault="00072A69" w:rsidP="00AC1F17">
            <w:pPr>
              <w:spacing w:after="0" w:line="240" w:lineRule="auto"/>
              <w:jc w:val="right"/>
              <w:rPr>
                <w:rFonts w:ascii="Arial" w:eastAsia="Times New Roman" w:hAnsi="Arial" w:cs="Arial"/>
                <w:b/>
                <w:color w:val="000000"/>
                <w:sz w:val="18"/>
                <w:szCs w:val="18"/>
                <w:lang w:eastAsia="sl-SI"/>
              </w:rPr>
            </w:pPr>
            <w:r w:rsidRPr="00D0174D">
              <w:rPr>
                <w:rFonts w:ascii="Arial" w:eastAsia="Times New Roman" w:hAnsi="Arial" w:cs="Arial"/>
                <w:b/>
                <w:color w:val="000000"/>
                <w:sz w:val="18"/>
                <w:szCs w:val="18"/>
                <w:lang w:eastAsia="sl-SI"/>
              </w:rPr>
              <w:t>100,00</w:t>
            </w:r>
            <w:r>
              <w:rPr>
                <w:rFonts w:ascii="Arial" w:eastAsia="Times New Roman" w:hAnsi="Arial" w:cs="Arial"/>
                <w:b/>
                <w:color w:val="000000"/>
                <w:sz w:val="18"/>
                <w:szCs w:val="18"/>
                <w:lang w:eastAsia="sl-SI"/>
              </w:rPr>
              <w:t xml:space="preserve"> </w:t>
            </w:r>
            <w:r w:rsidRPr="00D0174D">
              <w:rPr>
                <w:rFonts w:ascii="Arial" w:eastAsia="Times New Roman" w:hAnsi="Arial" w:cs="Arial"/>
                <w:b/>
                <w:color w:val="000000"/>
                <w:sz w:val="18"/>
                <w:szCs w:val="18"/>
                <w:lang w:eastAsia="sl-SI"/>
              </w:rPr>
              <w:t>%</w:t>
            </w:r>
          </w:p>
        </w:tc>
        <w:tc>
          <w:tcPr>
            <w:tcW w:w="544" w:type="pct"/>
            <w:shd w:val="clear" w:color="auto" w:fill="E7E6E6" w:themeFill="background2"/>
            <w:noWrap/>
            <w:vAlign w:val="center"/>
            <w:hideMark/>
          </w:tcPr>
          <w:p w14:paraId="1AE5D7F0" w14:textId="77777777" w:rsidR="00072A69" w:rsidRPr="00D0174D" w:rsidRDefault="00072A69" w:rsidP="00AC1F17">
            <w:pPr>
              <w:spacing w:after="0" w:line="240" w:lineRule="auto"/>
              <w:jc w:val="right"/>
              <w:rPr>
                <w:rFonts w:ascii="Arial" w:eastAsia="Times New Roman" w:hAnsi="Arial" w:cs="Arial"/>
                <w:b/>
                <w:color w:val="000000"/>
                <w:sz w:val="18"/>
                <w:szCs w:val="18"/>
                <w:lang w:eastAsia="sl-SI"/>
              </w:rPr>
            </w:pPr>
            <w:r w:rsidRPr="00D0174D">
              <w:rPr>
                <w:rFonts w:ascii="Arial" w:eastAsia="Times New Roman" w:hAnsi="Arial" w:cs="Arial"/>
                <w:b/>
                <w:color w:val="000000"/>
                <w:sz w:val="18"/>
                <w:szCs w:val="18"/>
                <w:lang w:eastAsia="sl-SI"/>
              </w:rPr>
              <w:t>100,00</w:t>
            </w:r>
            <w:r>
              <w:rPr>
                <w:rFonts w:ascii="Arial" w:eastAsia="Times New Roman" w:hAnsi="Arial" w:cs="Arial"/>
                <w:b/>
                <w:color w:val="000000"/>
                <w:sz w:val="18"/>
                <w:szCs w:val="18"/>
                <w:lang w:eastAsia="sl-SI"/>
              </w:rPr>
              <w:t xml:space="preserve"> %</w:t>
            </w:r>
          </w:p>
        </w:tc>
      </w:tr>
    </w:tbl>
    <w:p w14:paraId="6D1B5299" w14:textId="77777777" w:rsidR="00072A69" w:rsidRPr="00EF2D0B" w:rsidRDefault="00072A69" w:rsidP="00072A69">
      <w:pPr>
        <w:spacing w:before="120" w:after="120" w:line="240" w:lineRule="auto"/>
        <w:jc w:val="both"/>
        <w:rPr>
          <w:rFonts w:ascii="Arial" w:hAnsi="Arial" w:cs="Arial"/>
          <w:sz w:val="20"/>
          <w:highlight w:val="yellow"/>
        </w:rPr>
      </w:pPr>
    </w:p>
    <w:p w14:paraId="4C3CB131" w14:textId="2E8FD1AA" w:rsidR="00072A69" w:rsidRPr="003C2605" w:rsidRDefault="00072A69" w:rsidP="00072A69">
      <w:pPr>
        <w:spacing w:before="120" w:after="120" w:line="240" w:lineRule="auto"/>
        <w:jc w:val="both"/>
        <w:rPr>
          <w:rFonts w:ascii="Arial" w:hAnsi="Arial" w:cs="Arial"/>
          <w:sz w:val="20"/>
        </w:rPr>
      </w:pPr>
      <w:r w:rsidRPr="003C2605">
        <w:rPr>
          <w:rFonts w:ascii="Arial" w:hAnsi="Arial" w:cs="Arial"/>
          <w:sz w:val="20"/>
        </w:rPr>
        <w:t>Preglednica 8</w:t>
      </w:r>
      <w:r w:rsidR="00D23EC0">
        <w:rPr>
          <w:rFonts w:ascii="Arial" w:hAnsi="Arial" w:cs="Arial"/>
          <w:sz w:val="20"/>
        </w:rPr>
        <w:t>5</w:t>
      </w:r>
      <w:r w:rsidRPr="003C2605">
        <w:rPr>
          <w:rFonts w:ascii="Arial" w:hAnsi="Arial" w:cs="Arial"/>
          <w:sz w:val="20"/>
        </w:rPr>
        <w:t>: Javna naročila na infrastrukturnem področju, glede na predmet naročanja po Enotnem besednjaku javnih naročil (CPV)</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92"/>
        <w:gridCol w:w="850"/>
        <w:gridCol w:w="1418"/>
        <w:gridCol w:w="992"/>
        <w:gridCol w:w="992"/>
      </w:tblGrid>
      <w:tr w:rsidR="00072A69" w:rsidRPr="003C2605" w14:paraId="1AD396D1" w14:textId="77777777" w:rsidTr="00C320EE">
        <w:trPr>
          <w:trHeight w:val="480"/>
          <w:tblHeader/>
        </w:trPr>
        <w:tc>
          <w:tcPr>
            <w:tcW w:w="3828" w:type="dxa"/>
            <w:shd w:val="clear" w:color="000000" w:fill="EDEDED"/>
            <w:vAlign w:val="center"/>
            <w:hideMark/>
          </w:tcPr>
          <w:p w14:paraId="4F667725" w14:textId="77777777" w:rsidR="00072A69" w:rsidRPr="003C2605" w:rsidRDefault="00072A69" w:rsidP="00AC1F17">
            <w:pPr>
              <w:spacing w:after="0" w:line="240" w:lineRule="auto"/>
              <w:jc w:val="center"/>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CPV oddelek</w:t>
            </w:r>
          </w:p>
        </w:tc>
        <w:tc>
          <w:tcPr>
            <w:tcW w:w="992" w:type="dxa"/>
            <w:shd w:val="clear" w:color="000000" w:fill="EDEDED"/>
            <w:vAlign w:val="center"/>
            <w:hideMark/>
          </w:tcPr>
          <w:p w14:paraId="28F5B82F" w14:textId="77777777" w:rsidR="00072A69" w:rsidRPr="003C2605" w:rsidRDefault="00072A69" w:rsidP="00AC1F17">
            <w:pPr>
              <w:spacing w:after="0" w:line="240" w:lineRule="auto"/>
              <w:jc w:val="center"/>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Opis CPV oddelka</w:t>
            </w:r>
          </w:p>
        </w:tc>
        <w:tc>
          <w:tcPr>
            <w:tcW w:w="850" w:type="dxa"/>
            <w:shd w:val="clear" w:color="000000" w:fill="EDEDED"/>
            <w:vAlign w:val="center"/>
            <w:hideMark/>
          </w:tcPr>
          <w:p w14:paraId="75A7B292" w14:textId="77777777" w:rsidR="00072A69" w:rsidRPr="003C2605" w:rsidRDefault="00072A69" w:rsidP="00AC1F17">
            <w:pPr>
              <w:spacing w:after="0" w:line="240" w:lineRule="auto"/>
              <w:jc w:val="center"/>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Št. naročil</w:t>
            </w:r>
          </w:p>
        </w:tc>
        <w:tc>
          <w:tcPr>
            <w:tcW w:w="1418" w:type="dxa"/>
            <w:shd w:val="clear" w:color="000000" w:fill="EDEDED"/>
            <w:vAlign w:val="center"/>
            <w:hideMark/>
          </w:tcPr>
          <w:p w14:paraId="3D7A8087" w14:textId="77777777" w:rsidR="00072A69" w:rsidRPr="003C2605" w:rsidRDefault="00072A69" w:rsidP="00AC1F17">
            <w:pPr>
              <w:spacing w:after="0" w:line="240" w:lineRule="auto"/>
              <w:jc w:val="center"/>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Pogodbena vrednost</w:t>
            </w:r>
          </w:p>
        </w:tc>
        <w:tc>
          <w:tcPr>
            <w:tcW w:w="992" w:type="dxa"/>
            <w:shd w:val="clear" w:color="000000" w:fill="EDEDED"/>
            <w:vAlign w:val="center"/>
            <w:hideMark/>
          </w:tcPr>
          <w:p w14:paraId="1FA18DB1" w14:textId="77777777" w:rsidR="00072A69" w:rsidRPr="003C2605" w:rsidRDefault="00072A69" w:rsidP="00AC1F17">
            <w:pPr>
              <w:spacing w:after="0" w:line="240" w:lineRule="auto"/>
              <w:jc w:val="center"/>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Delež v št. naročil</w:t>
            </w:r>
          </w:p>
        </w:tc>
        <w:tc>
          <w:tcPr>
            <w:tcW w:w="992" w:type="dxa"/>
            <w:shd w:val="clear" w:color="000000" w:fill="EDEDED"/>
            <w:vAlign w:val="center"/>
            <w:hideMark/>
          </w:tcPr>
          <w:p w14:paraId="13C58031" w14:textId="77777777" w:rsidR="00072A69" w:rsidRPr="003C2605" w:rsidRDefault="00072A69" w:rsidP="00AC1F17">
            <w:pPr>
              <w:spacing w:after="0" w:line="240" w:lineRule="auto"/>
              <w:jc w:val="center"/>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Delež v vrednosti</w:t>
            </w:r>
          </w:p>
        </w:tc>
      </w:tr>
      <w:tr w:rsidR="00072A69" w:rsidRPr="003C2605" w14:paraId="7F338962" w14:textId="77777777" w:rsidTr="00AC1F17">
        <w:trPr>
          <w:trHeight w:val="300"/>
        </w:trPr>
        <w:tc>
          <w:tcPr>
            <w:tcW w:w="3828" w:type="dxa"/>
            <w:shd w:val="clear" w:color="auto" w:fill="auto"/>
            <w:noWrap/>
            <w:vAlign w:val="bottom"/>
            <w:hideMark/>
          </w:tcPr>
          <w:p w14:paraId="424DA08C"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Kmetijski, ribiški, gozdarski in z njimi povezani proizvodi</w:t>
            </w:r>
          </w:p>
        </w:tc>
        <w:tc>
          <w:tcPr>
            <w:tcW w:w="992" w:type="dxa"/>
            <w:shd w:val="clear" w:color="auto" w:fill="auto"/>
            <w:noWrap/>
            <w:vAlign w:val="center"/>
            <w:hideMark/>
          </w:tcPr>
          <w:p w14:paraId="371505C8"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w:t>
            </w:r>
          </w:p>
        </w:tc>
        <w:tc>
          <w:tcPr>
            <w:tcW w:w="850" w:type="dxa"/>
            <w:shd w:val="clear" w:color="auto" w:fill="auto"/>
            <w:vAlign w:val="center"/>
            <w:hideMark/>
          </w:tcPr>
          <w:p w14:paraId="3C8BAB3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w:t>
            </w:r>
          </w:p>
        </w:tc>
        <w:tc>
          <w:tcPr>
            <w:tcW w:w="1418" w:type="dxa"/>
            <w:shd w:val="clear" w:color="auto" w:fill="auto"/>
            <w:vAlign w:val="center"/>
            <w:hideMark/>
          </w:tcPr>
          <w:p w14:paraId="5534237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371.745</w:t>
            </w:r>
          </w:p>
        </w:tc>
        <w:tc>
          <w:tcPr>
            <w:tcW w:w="992" w:type="dxa"/>
            <w:shd w:val="clear" w:color="auto" w:fill="auto"/>
            <w:noWrap/>
            <w:vAlign w:val="center"/>
            <w:hideMark/>
          </w:tcPr>
          <w:p w14:paraId="4C42495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2603E9F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072A69" w:rsidRPr="003C2605" w14:paraId="570E83CF" w14:textId="77777777" w:rsidTr="00AC1F17">
        <w:trPr>
          <w:trHeight w:val="300"/>
        </w:trPr>
        <w:tc>
          <w:tcPr>
            <w:tcW w:w="3828" w:type="dxa"/>
            <w:shd w:val="clear" w:color="auto" w:fill="auto"/>
            <w:noWrap/>
            <w:vAlign w:val="bottom"/>
            <w:hideMark/>
          </w:tcPr>
          <w:p w14:paraId="772A80F0"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Naftni derivati, goriva, električna energija in drugi viri energije</w:t>
            </w:r>
          </w:p>
        </w:tc>
        <w:tc>
          <w:tcPr>
            <w:tcW w:w="992" w:type="dxa"/>
            <w:shd w:val="clear" w:color="auto" w:fill="auto"/>
            <w:noWrap/>
            <w:vAlign w:val="center"/>
            <w:hideMark/>
          </w:tcPr>
          <w:p w14:paraId="34A17FA2"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w:t>
            </w:r>
          </w:p>
        </w:tc>
        <w:tc>
          <w:tcPr>
            <w:tcW w:w="850" w:type="dxa"/>
            <w:shd w:val="clear" w:color="auto" w:fill="auto"/>
            <w:vAlign w:val="center"/>
            <w:hideMark/>
          </w:tcPr>
          <w:p w14:paraId="32AA3AD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27</w:t>
            </w:r>
          </w:p>
        </w:tc>
        <w:tc>
          <w:tcPr>
            <w:tcW w:w="1418" w:type="dxa"/>
            <w:shd w:val="clear" w:color="auto" w:fill="auto"/>
            <w:vAlign w:val="center"/>
            <w:hideMark/>
          </w:tcPr>
          <w:p w14:paraId="47A07E3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32.648.240</w:t>
            </w:r>
          </w:p>
        </w:tc>
        <w:tc>
          <w:tcPr>
            <w:tcW w:w="992" w:type="dxa"/>
            <w:shd w:val="clear" w:color="auto" w:fill="auto"/>
            <w:noWrap/>
            <w:vAlign w:val="center"/>
            <w:hideMark/>
          </w:tcPr>
          <w:p w14:paraId="731790B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1,71</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A18DE2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5,54</w:t>
            </w:r>
            <w:r>
              <w:rPr>
                <w:rFonts w:ascii="Arial" w:eastAsia="Times New Roman" w:hAnsi="Arial" w:cs="Arial"/>
                <w:color w:val="000000"/>
                <w:sz w:val="18"/>
                <w:szCs w:val="18"/>
                <w:lang w:eastAsia="sl-SI"/>
              </w:rPr>
              <w:t xml:space="preserve"> %</w:t>
            </w:r>
          </w:p>
        </w:tc>
      </w:tr>
      <w:tr w:rsidR="00072A69" w:rsidRPr="003C2605" w14:paraId="2FF20D58" w14:textId="77777777" w:rsidTr="00AC1F17">
        <w:trPr>
          <w:trHeight w:val="300"/>
        </w:trPr>
        <w:tc>
          <w:tcPr>
            <w:tcW w:w="3828" w:type="dxa"/>
            <w:shd w:val="clear" w:color="auto" w:fill="auto"/>
            <w:noWrap/>
            <w:vAlign w:val="center"/>
            <w:hideMark/>
          </w:tcPr>
          <w:p w14:paraId="62E384A6"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Rudarstvo, navadne kovine in z njimi povezani proizvodi</w:t>
            </w:r>
          </w:p>
        </w:tc>
        <w:tc>
          <w:tcPr>
            <w:tcW w:w="992" w:type="dxa"/>
            <w:shd w:val="clear" w:color="auto" w:fill="auto"/>
            <w:noWrap/>
            <w:vAlign w:val="center"/>
            <w:hideMark/>
          </w:tcPr>
          <w:p w14:paraId="4D64B616"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14</w:t>
            </w:r>
          </w:p>
        </w:tc>
        <w:tc>
          <w:tcPr>
            <w:tcW w:w="850" w:type="dxa"/>
            <w:shd w:val="clear" w:color="auto" w:fill="auto"/>
            <w:vAlign w:val="center"/>
            <w:hideMark/>
          </w:tcPr>
          <w:p w14:paraId="2BAA456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24</w:t>
            </w:r>
          </w:p>
        </w:tc>
        <w:tc>
          <w:tcPr>
            <w:tcW w:w="1418" w:type="dxa"/>
            <w:shd w:val="clear" w:color="auto" w:fill="auto"/>
            <w:vAlign w:val="center"/>
            <w:hideMark/>
          </w:tcPr>
          <w:p w14:paraId="3E35715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9.135.734</w:t>
            </w:r>
          </w:p>
        </w:tc>
        <w:tc>
          <w:tcPr>
            <w:tcW w:w="992" w:type="dxa"/>
            <w:shd w:val="clear" w:color="auto" w:fill="auto"/>
            <w:noWrap/>
            <w:vAlign w:val="center"/>
            <w:hideMark/>
          </w:tcPr>
          <w:p w14:paraId="2349BFD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1,52</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5F508B0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1,55</w:t>
            </w:r>
            <w:r>
              <w:rPr>
                <w:rFonts w:ascii="Arial" w:eastAsia="Times New Roman" w:hAnsi="Arial" w:cs="Arial"/>
                <w:color w:val="000000"/>
                <w:sz w:val="18"/>
                <w:szCs w:val="18"/>
                <w:lang w:eastAsia="sl-SI"/>
              </w:rPr>
              <w:t xml:space="preserve"> %</w:t>
            </w:r>
          </w:p>
        </w:tc>
      </w:tr>
      <w:tr w:rsidR="00072A69" w:rsidRPr="003C2605" w14:paraId="016D9A69" w14:textId="77777777" w:rsidTr="00AC1F17">
        <w:trPr>
          <w:trHeight w:val="300"/>
        </w:trPr>
        <w:tc>
          <w:tcPr>
            <w:tcW w:w="3828" w:type="dxa"/>
            <w:shd w:val="clear" w:color="auto" w:fill="auto"/>
            <w:noWrap/>
            <w:vAlign w:val="center"/>
            <w:hideMark/>
          </w:tcPr>
          <w:p w14:paraId="73F6AA3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Živila, pijače, tobačni izdelki in z njimi povezani izdelki</w:t>
            </w:r>
          </w:p>
        </w:tc>
        <w:tc>
          <w:tcPr>
            <w:tcW w:w="992" w:type="dxa"/>
            <w:shd w:val="clear" w:color="auto" w:fill="auto"/>
            <w:noWrap/>
            <w:vAlign w:val="center"/>
            <w:hideMark/>
          </w:tcPr>
          <w:p w14:paraId="58ED7B4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w:t>
            </w:r>
          </w:p>
        </w:tc>
        <w:tc>
          <w:tcPr>
            <w:tcW w:w="850" w:type="dxa"/>
            <w:shd w:val="clear" w:color="auto" w:fill="auto"/>
            <w:vAlign w:val="center"/>
            <w:hideMark/>
          </w:tcPr>
          <w:p w14:paraId="299FA86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w:t>
            </w:r>
          </w:p>
        </w:tc>
        <w:tc>
          <w:tcPr>
            <w:tcW w:w="1418" w:type="dxa"/>
            <w:shd w:val="clear" w:color="auto" w:fill="auto"/>
            <w:vAlign w:val="center"/>
            <w:hideMark/>
          </w:tcPr>
          <w:p w14:paraId="6D0CBEE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441.129</w:t>
            </w:r>
          </w:p>
        </w:tc>
        <w:tc>
          <w:tcPr>
            <w:tcW w:w="992" w:type="dxa"/>
            <w:shd w:val="clear" w:color="auto" w:fill="auto"/>
            <w:noWrap/>
            <w:vAlign w:val="center"/>
            <w:hideMark/>
          </w:tcPr>
          <w:p w14:paraId="1D03857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2B2339D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072A69" w:rsidRPr="003C2605" w14:paraId="49F18A25" w14:textId="77777777" w:rsidTr="00AC1F17">
        <w:trPr>
          <w:trHeight w:val="300"/>
        </w:trPr>
        <w:tc>
          <w:tcPr>
            <w:tcW w:w="3828" w:type="dxa"/>
            <w:shd w:val="clear" w:color="auto" w:fill="auto"/>
            <w:noWrap/>
            <w:vAlign w:val="center"/>
            <w:hideMark/>
          </w:tcPr>
          <w:p w14:paraId="64C96A4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Oblačila, obutev, prtljaga in pribor</w:t>
            </w:r>
          </w:p>
        </w:tc>
        <w:tc>
          <w:tcPr>
            <w:tcW w:w="992" w:type="dxa"/>
            <w:shd w:val="clear" w:color="auto" w:fill="auto"/>
            <w:noWrap/>
            <w:vAlign w:val="center"/>
            <w:hideMark/>
          </w:tcPr>
          <w:p w14:paraId="1E00536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18</w:t>
            </w:r>
          </w:p>
        </w:tc>
        <w:tc>
          <w:tcPr>
            <w:tcW w:w="850" w:type="dxa"/>
            <w:shd w:val="clear" w:color="auto" w:fill="auto"/>
            <w:vAlign w:val="center"/>
            <w:hideMark/>
          </w:tcPr>
          <w:p w14:paraId="0D8D9C7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48</w:t>
            </w:r>
          </w:p>
        </w:tc>
        <w:tc>
          <w:tcPr>
            <w:tcW w:w="1418" w:type="dxa"/>
            <w:shd w:val="clear" w:color="auto" w:fill="auto"/>
            <w:vAlign w:val="center"/>
            <w:hideMark/>
          </w:tcPr>
          <w:p w14:paraId="0CB97F7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5.658.253</w:t>
            </w:r>
          </w:p>
        </w:tc>
        <w:tc>
          <w:tcPr>
            <w:tcW w:w="992" w:type="dxa"/>
            <w:shd w:val="clear" w:color="auto" w:fill="auto"/>
            <w:noWrap/>
            <w:vAlign w:val="center"/>
            <w:hideMark/>
          </w:tcPr>
          <w:p w14:paraId="435ADA9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3,04</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0F80596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0,96</w:t>
            </w:r>
            <w:r>
              <w:rPr>
                <w:rFonts w:ascii="Arial" w:eastAsia="Times New Roman" w:hAnsi="Arial" w:cs="Arial"/>
                <w:color w:val="000000"/>
                <w:sz w:val="18"/>
                <w:szCs w:val="18"/>
                <w:lang w:eastAsia="sl-SI"/>
              </w:rPr>
              <w:t xml:space="preserve"> %</w:t>
            </w:r>
          </w:p>
        </w:tc>
      </w:tr>
      <w:tr w:rsidR="00072A69" w:rsidRPr="003C2605" w14:paraId="04096130" w14:textId="77777777" w:rsidTr="00AC1F17">
        <w:trPr>
          <w:trHeight w:val="300"/>
        </w:trPr>
        <w:tc>
          <w:tcPr>
            <w:tcW w:w="3828" w:type="dxa"/>
            <w:shd w:val="clear" w:color="auto" w:fill="auto"/>
            <w:noWrap/>
            <w:vAlign w:val="center"/>
            <w:hideMark/>
          </w:tcPr>
          <w:p w14:paraId="524D9837"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Usnjeni in tekstilni materiali, plastični in gumijasti materiali</w:t>
            </w:r>
          </w:p>
        </w:tc>
        <w:tc>
          <w:tcPr>
            <w:tcW w:w="992" w:type="dxa"/>
            <w:shd w:val="clear" w:color="auto" w:fill="auto"/>
            <w:noWrap/>
            <w:vAlign w:val="center"/>
            <w:hideMark/>
          </w:tcPr>
          <w:p w14:paraId="05D5499B"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19</w:t>
            </w:r>
          </w:p>
        </w:tc>
        <w:tc>
          <w:tcPr>
            <w:tcW w:w="850" w:type="dxa"/>
            <w:shd w:val="clear" w:color="auto" w:fill="auto"/>
            <w:vAlign w:val="center"/>
            <w:hideMark/>
          </w:tcPr>
          <w:p w14:paraId="627567B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w:t>
            </w:r>
          </w:p>
        </w:tc>
        <w:tc>
          <w:tcPr>
            <w:tcW w:w="1418" w:type="dxa"/>
            <w:shd w:val="clear" w:color="auto" w:fill="auto"/>
            <w:vAlign w:val="center"/>
            <w:hideMark/>
          </w:tcPr>
          <w:p w14:paraId="4D17EDD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1.078.858</w:t>
            </w:r>
          </w:p>
        </w:tc>
        <w:tc>
          <w:tcPr>
            <w:tcW w:w="992" w:type="dxa"/>
            <w:shd w:val="clear" w:color="auto" w:fill="auto"/>
            <w:noWrap/>
            <w:vAlign w:val="center"/>
            <w:hideMark/>
          </w:tcPr>
          <w:p w14:paraId="2A0BD9E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23B2238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072A69" w:rsidRPr="003C2605" w14:paraId="571799F7" w14:textId="77777777" w:rsidTr="00AC1F17">
        <w:trPr>
          <w:trHeight w:val="300"/>
        </w:trPr>
        <w:tc>
          <w:tcPr>
            <w:tcW w:w="3828" w:type="dxa"/>
            <w:shd w:val="clear" w:color="auto" w:fill="auto"/>
            <w:noWrap/>
            <w:vAlign w:val="center"/>
            <w:hideMark/>
          </w:tcPr>
          <w:p w14:paraId="76E226EE"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Tiskano gradivo in z njim povezani izdelki</w:t>
            </w:r>
          </w:p>
        </w:tc>
        <w:tc>
          <w:tcPr>
            <w:tcW w:w="992" w:type="dxa"/>
            <w:shd w:val="clear" w:color="auto" w:fill="auto"/>
            <w:noWrap/>
            <w:vAlign w:val="center"/>
            <w:hideMark/>
          </w:tcPr>
          <w:p w14:paraId="5CFC7703"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22</w:t>
            </w:r>
          </w:p>
        </w:tc>
        <w:tc>
          <w:tcPr>
            <w:tcW w:w="850" w:type="dxa"/>
            <w:shd w:val="clear" w:color="auto" w:fill="auto"/>
            <w:vAlign w:val="center"/>
            <w:hideMark/>
          </w:tcPr>
          <w:p w14:paraId="5C6EA65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w:t>
            </w:r>
          </w:p>
        </w:tc>
        <w:tc>
          <w:tcPr>
            <w:tcW w:w="1418" w:type="dxa"/>
            <w:shd w:val="clear" w:color="auto" w:fill="auto"/>
            <w:vAlign w:val="center"/>
            <w:hideMark/>
          </w:tcPr>
          <w:p w14:paraId="1BF092A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1.440.000</w:t>
            </w:r>
          </w:p>
        </w:tc>
        <w:tc>
          <w:tcPr>
            <w:tcW w:w="992" w:type="dxa"/>
            <w:shd w:val="clear" w:color="auto" w:fill="auto"/>
            <w:noWrap/>
            <w:vAlign w:val="center"/>
            <w:hideMark/>
          </w:tcPr>
          <w:p w14:paraId="7735EC5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AB9059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r>
      <w:tr w:rsidR="00072A69" w:rsidRPr="003C2605" w14:paraId="5C0C1368" w14:textId="77777777" w:rsidTr="00AC1F17">
        <w:trPr>
          <w:trHeight w:val="300"/>
        </w:trPr>
        <w:tc>
          <w:tcPr>
            <w:tcW w:w="3828" w:type="dxa"/>
            <w:shd w:val="clear" w:color="auto" w:fill="auto"/>
            <w:noWrap/>
            <w:vAlign w:val="center"/>
            <w:hideMark/>
          </w:tcPr>
          <w:p w14:paraId="3F7A7019"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Kemični proizvodi</w:t>
            </w:r>
          </w:p>
        </w:tc>
        <w:tc>
          <w:tcPr>
            <w:tcW w:w="992" w:type="dxa"/>
            <w:shd w:val="clear" w:color="auto" w:fill="auto"/>
            <w:noWrap/>
            <w:vAlign w:val="center"/>
            <w:hideMark/>
          </w:tcPr>
          <w:p w14:paraId="572B40F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24</w:t>
            </w:r>
          </w:p>
        </w:tc>
        <w:tc>
          <w:tcPr>
            <w:tcW w:w="850" w:type="dxa"/>
            <w:shd w:val="clear" w:color="auto" w:fill="auto"/>
            <w:vAlign w:val="center"/>
            <w:hideMark/>
          </w:tcPr>
          <w:p w14:paraId="3168A51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22</w:t>
            </w:r>
          </w:p>
        </w:tc>
        <w:tc>
          <w:tcPr>
            <w:tcW w:w="1418" w:type="dxa"/>
            <w:shd w:val="clear" w:color="auto" w:fill="auto"/>
            <w:vAlign w:val="center"/>
            <w:hideMark/>
          </w:tcPr>
          <w:p w14:paraId="169331C3"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4.504.635</w:t>
            </w:r>
          </w:p>
        </w:tc>
        <w:tc>
          <w:tcPr>
            <w:tcW w:w="992" w:type="dxa"/>
            <w:shd w:val="clear" w:color="auto" w:fill="auto"/>
            <w:noWrap/>
            <w:vAlign w:val="center"/>
            <w:hideMark/>
          </w:tcPr>
          <w:p w14:paraId="27E8D2B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1,39</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29E89E4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0,76</w:t>
            </w:r>
            <w:r>
              <w:rPr>
                <w:rFonts w:ascii="Arial" w:eastAsia="Times New Roman" w:hAnsi="Arial" w:cs="Arial"/>
                <w:color w:val="000000"/>
                <w:sz w:val="18"/>
                <w:szCs w:val="18"/>
                <w:lang w:eastAsia="sl-SI"/>
              </w:rPr>
              <w:t xml:space="preserve"> %</w:t>
            </w:r>
          </w:p>
        </w:tc>
      </w:tr>
      <w:tr w:rsidR="00072A69" w:rsidRPr="003C2605" w14:paraId="51168E56" w14:textId="77777777" w:rsidTr="00AC1F17">
        <w:trPr>
          <w:trHeight w:val="300"/>
        </w:trPr>
        <w:tc>
          <w:tcPr>
            <w:tcW w:w="3828" w:type="dxa"/>
            <w:shd w:val="clear" w:color="auto" w:fill="auto"/>
            <w:noWrap/>
            <w:vAlign w:val="center"/>
            <w:hideMark/>
          </w:tcPr>
          <w:p w14:paraId="565156EB"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Pisarniški in računski stroji, oprema in potrebščine, razen pohištva in programskih paketov</w:t>
            </w:r>
          </w:p>
        </w:tc>
        <w:tc>
          <w:tcPr>
            <w:tcW w:w="992" w:type="dxa"/>
            <w:shd w:val="clear" w:color="auto" w:fill="auto"/>
            <w:noWrap/>
            <w:vAlign w:val="center"/>
            <w:hideMark/>
          </w:tcPr>
          <w:p w14:paraId="098062EB"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30</w:t>
            </w:r>
          </w:p>
        </w:tc>
        <w:tc>
          <w:tcPr>
            <w:tcW w:w="850" w:type="dxa"/>
            <w:shd w:val="clear" w:color="auto" w:fill="auto"/>
            <w:vAlign w:val="center"/>
            <w:hideMark/>
          </w:tcPr>
          <w:p w14:paraId="1D5F9A4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40</w:t>
            </w:r>
          </w:p>
        </w:tc>
        <w:tc>
          <w:tcPr>
            <w:tcW w:w="1418" w:type="dxa"/>
            <w:shd w:val="clear" w:color="auto" w:fill="auto"/>
            <w:vAlign w:val="center"/>
            <w:hideMark/>
          </w:tcPr>
          <w:p w14:paraId="77AE6583"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7.762.681</w:t>
            </w:r>
          </w:p>
        </w:tc>
        <w:tc>
          <w:tcPr>
            <w:tcW w:w="992" w:type="dxa"/>
            <w:shd w:val="clear" w:color="auto" w:fill="auto"/>
            <w:noWrap/>
            <w:vAlign w:val="center"/>
            <w:hideMark/>
          </w:tcPr>
          <w:p w14:paraId="78795CF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2,53</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2F0F5E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1,32</w:t>
            </w:r>
            <w:r>
              <w:rPr>
                <w:rFonts w:ascii="Arial" w:eastAsia="Times New Roman" w:hAnsi="Arial" w:cs="Arial"/>
                <w:color w:val="000000"/>
                <w:sz w:val="18"/>
                <w:szCs w:val="18"/>
                <w:lang w:eastAsia="sl-SI"/>
              </w:rPr>
              <w:t xml:space="preserve"> %</w:t>
            </w:r>
          </w:p>
        </w:tc>
      </w:tr>
      <w:tr w:rsidR="00072A69" w:rsidRPr="003C2605" w14:paraId="54B43CEA" w14:textId="77777777" w:rsidTr="00AC1F17">
        <w:trPr>
          <w:trHeight w:val="300"/>
        </w:trPr>
        <w:tc>
          <w:tcPr>
            <w:tcW w:w="3828" w:type="dxa"/>
            <w:shd w:val="clear" w:color="auto" w:fill="auto"/>
            <w:noWrap/>
            <w:vAlign w:val="center"/>
            <w:hideMark/>
          </w:tcPr>
          <w:p w14:paraId="695F56E6"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Električni stroji, aparati, oprema in potrošno blago; razsvetljava</w:t>
            </w:r>
          </w:p>
        </w:tc>
        <w:tc>
          <w:tcPr>
            <w:tcW w:w="992" w:type="dxa"/>
            <w:shd w:val="clear" w:color="auto" w:fill="auto"/>
            <w:noWrap/>
            <w:vAlign w:val="center"/>
            <w:hideMark/>
          </w:tcPr>
          <w:p w14:paraId="0995B7B5"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31</w:t>
            </w:r>
          </w:p>
        </w:tc>
        <w:tc>
          <w:tcPr>
            <w:tcW w:w="850" w:type="dxa"/>
            <w:shd w:val="clear" w:color="auto" w:fill="auto"/>
            <w:vAlign w:val="center"/>
            <w:hideMark/>
          </w:tcPr>
          <w:p w14:paraId="4FB561C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115</w:t>
            </w:r>
          </w:p>
        </w:tc>
        <w:tc>
          <w:tcPr>
            <w:tcW w:w="1418" w:type="dxa"/>
            <w:shd w:val="clear" w:color="auto" w:fill="auto"/>
            <w:vAlign w:val="center"/>
            <w:hideMark/>
          </w:tcPr>
          <w:p w14:paraId="7C753D5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51.491.836</w:t>
            </w:r>
          </w:p>
        </w:tc>
        <w:tc>
          <w:tcPr>
            <w:tcW w:w="992" w:type="dxa"/>
            <w:shd w:val="clear" w:color="auto" w:fill="auto"/>
            <w:noWrap/>
            <w:vAlign w:val="center"/>
            <w:hideMark/>
          </w:tcPr>
          <w:p w14:paraId="38BF7DA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7,28</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25449FD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8,74</w:t>
            </w:r>
            <w:r>
              <w:rPr>
                <w:rFonts w:ascii="Arial" w:eastAsia="Times New Roman" w:hAnsi="Arial" w:cs="Arial"/>
                <w:color w:val="000000"/>
                <w:sz w:val="18"/>
                <w:szCs w:val="18"/>
                <w:lang w:eastAsia="sl-SI"/>
              </w:rPr>
              <w:t xml:space="preserve"> %</w:t>
            </w:r>
          </w:p>
        </w:tc>
      </w:tr>
      <w:tr w:rsidR="00072A69" w:rsidRPr="003C2605" w14:paraId="5BD18086" w14:textId="77777777" w:rsidTr="00AC1F17">
        <w:trPr>
          <w:trHeight w:val="300"/>
        </w:trPr>
        <w:tc>
          <w:tcPr>
            <w:tcW w:w="3828" w:type="dxa"/>
            <w:shd w:val="clear" w:color="auto" w:fill="auto"/>
            <w:noWrap/>
            <w:vAlign w:val="center"/>
            <w:hideMark/>
          </w:tcPr>
          <w:p w14:paraId="2191BFFE"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Radijski in televizijski aparati, komunikacijska, telekomunikacijska in z njimi povezana oprema</w:t>
            </w:r>
          </w:p>
        </w:tc>
        <w:tc>
          <w:tcPr>
            <w:tcW w:w="992" w:type="dxa"/>
            <w:shd w:val="clear" w:color="auto" w:fill="auto"/>
            <w:noWrap/>
            <w:vAlign w:val="center"/>
            <w:hideMark/>
          </w:tcPr>
          <w:p w14:paraId="6F7F24B9"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32</w:t>
            </w:r>
          </w:p>
        </w:tc>
        <w:tc>
          <w:tcPr>
            <w:tcW w:w="850" w:type="dxa"/>
            <w:shd w:val="clear" w:color="auto" w:fill="auto"/>
            <w:vAlign w:val="center"/>
            <w:hideMark/>
          </w:tcPr>
          <w:p w14:paraId="7BB0C8E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14</w:t>
            </w:r>
          </w:p>
        </w:tc>
        <w:tc>
          <w:tcPr>
            <w:tcW w:w="1418" w:type="dxa"/>
            <w:shd w:val="clear" w:color="auto" w:fill="auto"/>
            <w:vAlign w:val="center"/>
            <w:hideMark/>
          </w:tcPr>
          <w:p w14:paraId="48188EA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16.283.479</w:t>
            </w:r>
          </w:p>
        </w:tc>
        <w:tc>
          <w:tcPr>
            <w:tcW w:w="992" w:type="dxa"/>
            <w:shd w:val="clear" w:color="auto" w:fill="auto"/>
            <w:noWrap/>
            <w:vAlign w:val="center"/>
            <w:hideMark/>
          </w:tcPr>
          <w:p w14:paraId="712567D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0,89</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30CC43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2,76</w:t>
            </w:r>
            <w:r>
              <w:rPr>
                <w:rFonts w:ascii="Arial" w:eastAsia="Times New Roman" w:hAnsi="Arial" w:cs="Arial"/>
                <w:color w:val="000000"/>
                <w:sz w:val="18"/>
                <w:szCs w:val="18"/>
                <w:lang w:eastAsia="sl-SI"/>
              </w:rPr>
              <w:t xml:space="preserve"> %</w:t>
            </w:r>
          </w:p>
        </w:tc>
      </w:tr>
      <w:tr w:rsidR="00072A69" w:rsidRPr="003C2605" w14:paraId="38B32ED2" w14:textId="77777777" w:rsidTr="00AC1F17">
        <w:trPr>
          <w:trHeight w:val="300"/>
        </w:trPr>
        <w:tc>
          <w:tcPr>
            <w:tcW w:w="3828" w:type="dxa"/>
            <w:shd w:val="clear" w:color="auto" w:fill="auto"/>
            <w:noWrap/>
            <w:vAlign w:val="center"/>
            <w:hideMark/>
          </w:tcPr>
          <w:p w14:paraId="0F3C742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Medicinska oprema, farmacevtski izdelki in izdelki za osebno nego</w:t>
            </w:r>
          </w:p>
        </w:tc>
        <w:tc>
          <w:tcPr>
            <w:tcW w:w="992" w:type="dxa"/>
            <w:shd w:val="clear" w:color="auto" w:fill="auto"/>
            <w:noWrap/>
            <w:vAlign w:val="center"/>
            <w:hideMark/>
          </w:tcPr>
          <w:p w14:paraId="1D404C4B"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33</w:t>
            </w:r>
          </w:p>
        </w:tc>
        <w:tc>
          <w:tcPr>
            <w:tcW w:w="850" w:type="dxa"/>
            <w:shd w:val="clear" w:color="auto" w:fill="auto"/>
            <w:vAlign w:val="center"/>
            <w:hideMark/>
          </w:tcPr>
          <w:p w14:paraId="46BB8A1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w:t>
            </w:r>
          </w:p>
        </w:tc>
        <w:tc>
          <w:tcPr>
            <w:tcW w:w="1418" w:type="dxa"/>
            <w:shd w:val="clear" w:color="auto" w:fill="auto"/>
            <w:vAlign w:val="center"/>
            <w:hideMark/>
          </w:tcPr>
          <w:p w14:paraId="23ADCB6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20.550</w:t>
            </w:r>
          </w:p>
        </w:tc>
        <w:tc>
          <w:tcPr>
            <w:tcW w:w="992" w:type="dxa"/>
            <w:shd w:val="clear" w:color="auto" w:fill="auto"/>
            <w:noWrap/>
            <w:vAlign w:val="center"/>
            <w:hideMark/>
          </w:tcPr>
          <w:p w14:paraId="5D6124F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72D38C1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3C2605" w14:paraId="47937722" w14:textId="77777777" w:rsidTr="00AC1F17">
        <w:trPr>
          <w:trHeight w:val="300"/>
        </w:trPr>
        <w:tc>
          <w:tcPr>
            <w:tcW w:w="3828" w:type="dxa"/>
            <w:shd w:val="clear" w:color="auto" w:fill="auto"/>
            <w:noWrap/>
            <w:vAlign w:val="center"/>
            <w:hideMark/>
          </w:tcPr>
          <w:p w14:paraId="4D17F28C"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Prevozna sredstva in dodatni proizvodi za promet</w:t>
            </w:r>
          </w:p>
        </w:tc>
        <w:tc>
          <w:tcPr>
            <w:tcW w:w="992" w:type="dxa"/>
            <w:shd w:val="clear" w:color="auto" w:fill="auto"/>
            <w:noWrap/>
            <w:vAlign w:val="center"/>
            <w:hideMark/>
          </w:tcPr>
          <w:p w14:paraId="2AC0D0E8"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34</w:t>
            </w:r>
          </w:p>
        </w:tc>
        <w:tc>
          <w:tcPr>
            <w:tcW w:w="850" w:type="dxa"/>
            <w:shd w:val="clear" w:color="auto" w:fill="auto"/>
            <w:vAlign w:val="center"/>
            <w:hideMark/>
          </w:tcPr>
          <w:p w14:paraId="421B2B4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225</w:t>
            </w:r>
          </w:p>
        </w:tc>
        <w:tc>
          <w:tcPr>
            <w:tcW w:w="1418" w:type="dxa"/>
            <w:shd w:val="clear" w:color="auto" w:fill="auto"/>
            <w:vAlign w:val="center"/>
            <w:hideMark/>
          </w:tcPr>
          <w:p w14:paraId="2757F1D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54.792.934</w:t>
            </w:r>
          </w:p>
        </w:tc>
        <w:tc>
          <w:tcPr>
            <w:tcW w:w="992" w:type="dxa"/>
            <w:shd w:val="clear" w:color="auto" w:fill="auto"/>
            <w:noWrap/>
            <w:vAlign w:val="center"/>
            <w:hideMark/>
          </w:tcPr>
          <w:p w14:paraId="73E5EE5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14,25</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56F6728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9,30</w:t>
            </w:r>
            <w:r>
              <w:rPr>
                <w:rFonts w:ascii="Arial" w:eastAsia="Times New Roman" w:hAnsi="Arial" w:cs="Arial"/>
                <w:color w:val="000000"/>
                <w:sz w:val="18"/>
                <w:szCs w:val="18"/>
                <w:lang w:eastAsia="sl-SI"/>
              </w:rPr>
              <w:t xml:space="preserve"> %</w:t>
            </w:r>
          </w:p>
        </w:tc>
      </w:tr>
      <w:tr w:rsidR="00072A69" w:rsidRPr="003C2605" w14:paraId="21A9CA32" w14:textId="77777777" w:rsidTr="00AC1F17">
        <w:trPr>
          <w:trHeight w:val="300"/>
        </w:trPr>
        <w:tc>
          <w:tcPr>
            <w:tcW w:w="3828" w:type="dxa"/>
            <w:shd w:val="clear" w:color="auto" w:fill="auto"/>
            <w:noWrap/>
            <w:vAlign w:val="center"/>
            <w:hideMark/>
          </w:tcPr>
          <w:p w14:paraId="7F4E3CF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Varnostna, gasilska, policijska in obrambna oprema</w:t>
            </w:r>
          </w:p>
        </w:tc>
        <w:tc>
          <w:tcPr>
            <w:tcW w:w="992" w:type="dxa"/>
            <w:shd w:val="clear" w:color="auto" w:fill="auto"/>
            <w:noWrap/>
            <w:vAlign w:val="center"/>
            <w:hideMark/>
          </w:tcPr>
          <w:p w14:paraId="7787072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35</w:t>
            </w:r>
          </w:p>
        </w:tc>
        <w:tc>
          <w:tcPr>
            <w:tcW w:w="850" w:type="dxa"/>
            <w:shd w:val="clear" w:color="auto" w:fill="auto"/>
            <w:vAlign w:val="center"/>
            <w:hideMark/>
          </w:tcPr>
          <w:p w14:paraId="122B7C5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w:t>
            </w:r>
          </w:p>
        </w:tc>
        <w:tc>
          <w:tcPr>
            <w:tcW w:w="1418" w:type="dxa"/>
            <w:shd w:val="clear" w:color="auto" w:fill="auto"/>
            <w:vAlign w:val="center"/>
            <w:hideMark/>
          </w:tcPr>
          <w:p w14:paraId="294E604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1.829.811</w:t>
            </w:r>
          </w:p>
        </w:tc>
        <w:tc>
          <w:tcPr>
            <w:tcW w:w="992" w:type="dxa"/>
            <w:shd w:val="clear" w:color="auto" w:fill="auto"/>
            <w:noWrap/>
            <w:vAlign w:val="center"/>
            <w:hideMark/>
          </w:tcPr>
          <w:p w14:paraId="3ED0B75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815A6B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072A69" w:rsidRPr="003C2605" w14:paraId="10F1A20D" w14:textId="77777777" w:rsidTr="00AC1F17">
        <w:trPr>
          <w:trHeight w:val="300"/>
        </w:trPr>
        <w:tc>
          <w:tcPr>
            <w:tcW w:w="3828" w:type="dxa"/>
            <w:shd w:val="clear" w:color="auto" w:fill="auto"/>
            <w:noWrap/>
            <w:vAlign w:val="center"/>
            <w:hideMark/>
          </w:tcPr>
          <w:p w14:paraId="09BEA27B"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Laboratorijska, optična in precizna oprema (razen očal)</w:t>
            </w:r>
          </w:p>
        </w:tc>
        <w:tc>
          <w:tcPr>
            <w:tcW w:w="992" w:type="dxa"/>
            <w:shd w:val="clear" w:color="auto" w:fill="auto"/>
            <w:noWrap/>
            <w:vAlign w:val="center"/>
            <w:hideMark/>
          </w:tcPr>
          <w:p w14:paraId="716BF2A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38</w:t>
            </w:r>
          </w:p>
        </w:tc>
        <w:tc>
          <w:tcPr>
            <w:tcW w:w="850" w:type="dxa"/>
            <w:shd w:val="clear" w:color="auto" w:fill="auto"/>
            <w:vAlign w:val="center"/>
            <w:hideMark/>
          </w:tcPr>
          <w:p w14:paraId="554872F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38</w:t>
            </w:r>
          </w:p>
        </w:tc>
        <w:tc>
          <w:tcPr>
            <w:tcW w:w="1418" w:type="dxa"/>
            <w:shd w:val="clear" w:color="auto" w:fill="auto"/>
            <w:vAlign w:val="center"/>
            <w:hideMark/>
          </w:tcPr>
          <w:p w14:paraId="5770460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4.186.639</w:t>
            </w:r>
          </w:p>
        </w:tc>
        <w:tc>
          <w:tcPr>
            <w:tcW w:w="992" w:type="dxa"/>
            <w:shd w:val="clear" w:color="auto" w:fill="auto"/>
            <w:noWrap/>
            <w:vAlign w:val="center"/>
            <w:hideMark/>
          </w:tcPr>
          <w:p w14:paraId="093B468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2,41</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20D3D33"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r>
      <w:tr w:rsidR="00072A69" w:rsidRPr="003C2605" w14:paraId="3C0FF494" w14:textId="77777777" w:rsidTr="00AC1F17">
        <w:trPr>
          <w:trHeight w:val="300"/>
        </w:trPr>
        <w:tc>
          <w:tcPr>
            <w:tcW w:w="3828" w:type="dxa"/>
            <w:shd w:val="clear" w:color="auto" w:fill="auto"/>
            <w:noWrap/>
            <w:vAlign w:val="center"/>
            <w:hideMark/>
          </w:tcPr>
          <w:p w14:paraId="20E27C01"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992" w:type="dxa"/>
            <w:shd w:val="clear" w:color="auto" w:fill="auto"/>
            <w:noWrap/>
            <w:vAlign w:val="center"/>
            <w:hideMark/>
          </w:tcPr>
          <w:p w14:paraId="2BBBFD71"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39</w:t>
            </w:r>
          </w:p>
        </w:tc>
        <w:tc>
          <w:tcPr>
            <w:tcW w:w="850" w:type="dxa"/>
            <w:shd w:val="clear" w:color="auto" w:fill="auto"/>
            <w:vAlign w:val="center"/>
            <w:hideMark/>
          </w:tcPr>
          <w:p w14:paraId="65F6B20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w:t>
            </w:r>
          </w:p>
        </w:tc>
        <w:tc>
          <w:tcPr>
            <w:tcW w:w="1418" w:type="dxa"/>
            <w:shd w:val="clear" w:color="auto" w:fill="auto"/>
            <w:vAlign w:val="center"/>
            <w:hideMark/>
          </w:tcPr>
          <w:p w14:paraId="4419093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1.564.640</w:t>
            </w:r>
          </w:p>
        </w:tc>
        <w:tc>
          <w:tcPr>
            <w:tcW w:w="992" w:type="dxa"/>
            <w:shd w:val="clear" w:color="auto" w:fill="auto"/>
            <w:noWrap/>
            <w:vAlign w:val="center"/>
            <w:hideMark/>
          </w:tcPr>
          <w:p w14:paraId="0F8460A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47D757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072A69" w:rsidRPr="003C2605" w14:paraId="627B57F0" w14:textId="77777777" w:rsidTr="00AC1F17">
        <w:trPr>
          <w:trHeight w:val="300"/>
        </w:trPr>
        <w:tc>
          <w:tcPr>
            <w:tcW w:w="3828" w:type="dxa"/>
            <w:shd w:val="clear" w:color="auto" w:fill="auto"/>
            <w:noWrap/>
            <w:vAlign w:val="center"/>
            <w:hideMark/>
          </w:tcPr>
          <w:p w14:paraId="4B269AE5"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Zbrana in očiščena voda</w:t>
            </w:r>
          </w:p>
        </w:tc>
        <w:tc>
          <w:tcPr>
            <w:tcW w:w="992" w:type="dxa"/>
            <w:shd w:val="clear" w:color="auto" w:fill="auto"/>
            <w:noWrap/>
            <w:vAlign w:val="center"/>
            <w:hideMark/>
          </w:tcPr>
          <w:p w14:paraId="231127D2"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41</w:t>
            </w:r>
          </w:p>
        </w:tc>
        <w:tc>
          <w:tcPr>
            <w:tcW w:w="850" w:type="dxa"/>
            <w:shd w:val="clear" w:color="auto" w:fill="auto"/>
            <w:vAlign w:val="center"/>
            <w:hideMark/>
          </w:tcPr>
          <w:p w14:paraId="64317AF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w:t>
            </w:r>
          </w:p>
        </w:tc>
        <w:tc>
          <w:tcPr>
            <w:tcW w:w="1418" w:type="dxa"/>
            <w:shd w:val="clear" w:color="auto" w:fill="auto"/>
            <w:vAlign w:val="center"/>
            <w:hideMark/>
          </w:tcPr>
          <w:p w14:paraId="5946D06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74.717</w:t>
            </w:r>
          </w:p>
        </w:tc>
        <w:tc>
          <w:tcPr>
            <w:tcW w:w="992" w:type="dxa"/>
            <w:shd w:val="clear" w:color="auto" w:fill="auto"/>
            <w:noWrap/>
            <w:vAlign w:val="center"/>
            <w:hideMark/>
          </w:tcPr>
          <w:p w14:paraId="0CB629F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3745F5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3C2605" w14:paraId="30F4B5DE" w14:textId="77777777" w:rsidTr="00AC1F17">
        <w:trPr>
          <w:trHeight w:val="300"/>
        </w:trPr>
        <w:tc>
          <w:tcPr>
            <w:tcW w:w="3828" w:type="dxa"/>
            <w:shd w:val="clear" w:color="auto" w:fill="auto"/>
            <w:noWrap/>
            <w:vAlign w:val="center"/>
            <w:hideMark/>
          </w:tcPr>
          <w:p w14:paraId="30E97445"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Industrijski stroji</w:t>
            </w:r>
          </w:p>
        </w:tc>
        <w:tc>
          <w:tcPr>
            <w:tcW w:w="992" w:type="dxa"/>
            <w:shd w:val="clear" w:color="auto" w:fill="auto"/>
            <w:noWrap/>
            <w:vAlign w:val="center"/>
            <w:hideMark/>
          </w:tcPr>
          <w:p w14:paraId="071E4BFE"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42</w:t>
            </w:r>
          </w:p>
        </w:tc>
        <w:tc>
          <w:tcPr>
            <w:tcW w:w="850" w:type="dxa"/>
            <w:shd w:val="clear" w:color="auto" w:fill="auto"/>
            <w:vAlign w:val="center"/>
            <w:hideMark/>
          </w:tcPr>
          <w:p w14:paraId="3056095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71</w:t>
            </w:r>
          </w:p>
        </w:tc>
        <w:tc>
          <w:tcPr>
            <w:tcW w:w="1418" w:type="dxa"/>
            <w:shd w:val="clear" w:color="auto" w:fill="auto"/>
            <w:vAlign w:val="center"/>
            <w:hideMark/>
          </w:tcPr>
          <w:p w14:paraId="6FB1460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39.039.755</w:t>
            </w:r>
          </w:p>
        </w:tc>
        <w:tc>
          <w:tcPr>
            <w:tcW w:w="992" w:type="dxa"/>
            <w:shd w:val="clear" w:color="auto" w:fill="auto"/>
            <w:noWrap/>
            <w:vAlign w:val="center"/>
            <w:hideMark/>
          </w:tcPr>
          <w:p w14:paraId="7ED8DC0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4,50</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07CDB4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6,62</w:t>
            </w:r>
            <w:r>
              <w:rPr>
                <w:rFonts w:ascii="Arial" w:eastAsia="Times New Roman" w:hAnsi="Arial" w:cs="Arial"/>
                <w:color w:val="000000"/>
                <w:sz w:val="18"/>
                <w:szCs w:val="18"/>
                <w:lang w:eastAsia="sl-SI"/>
              </w:rPr>
              <w:t xml:space="preserve"> %</w:t>
            </w:r>
          </w:p>
        </w:tc>
      </w:tr>
      <w:tr w:rsidR="00072A69" w:rsidRPr="003C2605" w14:paraId="3DA0A026" w14:textId="77777777" w:rsidTr="00AC1F17">
        <w:trPr>
          <w:trHeight w:val="300"/>
        </w:trPr>
        <w:tc>
          <w:tcPr>
            <w:tcW w:w="3828" w:type="dxa"/>
            <w:shd w:val="clear" w:color="auto" w:fill="auto"/>
            <w:noWrap/>
            <w:vAlign w:val="center"/>
            <w:hideMark/>
          </w:tcPr>
          <w:p w14:paraId="36F1CA49"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Rudarska, kamnoseška in gradbena oprema</w:t>
            </w:r>
          </w:p>
        </w:tc>
        <w:tc>
          <w:tcPr>
            <w:tcW w:w="992" w:type="dxa"/>
            <w:shd w:val="clear" w:color="auto" w:fill="auto"/>
            <w:noWrap/>
            <w:vAlign w:val="center"/>
            <w:hideMark/>
          </w:tcPr>
          <w:p w14:paraId="74EA14AE"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43</w:t>
            </w:r>
          </w:p>
        </w:tc>
        <w:tc>
          <w:tcPr>
            <w:tcW w:w="850" w:type="dxa"/>
            <w:shd w:val="clear" w:color="auto" w:fill="auto"/>
            <w:vAlign w:val="center"/>
            <w:hideMark/>
          </w:tcPr>
          <w:p w14:paraId="53283FF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48</w:t>
            </w:r>
          </w:p>
        </w:tc>
        <w:tc>
          <w:tcPr>
            <w:tcW w:w="1418" w:type="dxa"/>
            <w:shd w:val="clear" w:color="auto" w:fill="auto"/>
            <w:vAlign w:val="center"/>
            <w:hideMark/>
          </w:tcPr>
          <w:p w14:paraId="4A2A97C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8.904.229</w:t>
            </w:r>
          </w:p>
        </w:tc>
        <w:tc>
          <w:tcPr>
            <w:tcW w:w="992" w:type="dxa"/>
            <w:shd w:val="clear" w:color="auto" w:fill="auto"/>
            <w:noWrap/>
            <w:vAlign w:val="center"/>
            <w:hideMark/>
          </w:tcPr>
          <w:p w14:paraId="5F0EB91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3,04</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52DE84F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1,51</w:t>
            </w:r>
            <w:r>
              <w:rPr>
                <w:rFonts w:ascii="Arial" w:eastAsia="Times New Roman" w:hAnsi="Arial" w:cs="Arial"/>
                <w:color w:val="000000"/>
                <w:sz w:val="18"/>
                <w:szCs w:val="18"/>
                <w:lang w:eastAsia="sl-SI"/>
              </w:rPr>
              <w:t xml:space="preserve"> %</w:t>
            </w:r>
          </w:p>
        </w:tc>
      </w:tr>
      <w:tr w:rsidR="00072A69" w:rsidRPr="003C2605" w14:paraId="4489B961" w14:textId="77777777" w:rsidTr="00AC1F17">
        <w:trPr>
          <w:trHeight w:val="300"/>
        </w:trPr>
        <w:tc>
          <w:tcPr>
            <w:tcW w:w="3828" w:type="dxa"/>
            <w:shd w:val="clear" w:color="auto" w:fill="auto"/>
            <w:noWrap/>
            <w:vAlign w:val="center"/>
            <w:hideMark/>
          </w:tcPr>
          <w:p w14:paraId="562C9B29"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Gradbene strukture in materiali; pomožni gradbeni izdelki (razen električnih aparatov)</w:t>
            </w:r>
          </w:p>
        </w:tc>
        <w:tc>
          <w:tcPr>
            <w:tcW w:w="992" w:type="dxa"/>
            <w:shd w:val="clear" w:color="auto" w:fill="auto"/>
            <w:noWrap/>
            <w:vAlign w:val="center"/>
            <w:hideMark/>
          </w:tcPr>
          <w:p w14:paraId="08494712"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44</w:t>
            </w:r>
          </w:p>
        </w:tc>
        <w:tc>
          <w:tcPr>
            <w:tcW w:w="850" w:type="dxa"/>
            <w:shd w:val="clear" w:color="auto" w:fill="auto"/>
            <w:vAlign w:val="center"/>
            <w:hideMark/>
          </w:tcPr>
          <w:p w14:paraId="7E38227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146</w:t>
            </w:r>
          </w:p>
        </w:tc>
        <w:tc>
          <w:tcPr>
            <w:tcW w:w="1418" w:type="dxa"/>
            <w:shd w:val="clear" w:color="auto" w:fill="auto"/>
            <w:vAlign w:val="center"/>
            <w:hideMark/>
          </w:tcPr>
          <w:p w14:paraId="4A8F913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24.807.462</w:t>
            </w:r>
          </w:p>
        </w:tc>
        <w:tc>
          <w:tcPr>
            <w:tcW w:w="992" w:type="dxa"/>
            <w:shd w:val="clear" w:color="auto" w:fill="auto"/>
            <w:noWrap/>
            <w:vAlign w:val="center"/>
            <w:hideMark/>
          </w:tcPr>
          <w:p w14:paraId="00C2BE3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9,25</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A08895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4,21</w:t>
            </w:r>
            <w:r>
              <w:rPr>
                <w:rFonts w:ascii="Arial" w:eastAsia="Times New Roman" w:hAnsi="Arial" w:cs="Arial"/>
                <w:color w:val="000000"/>
                <w:sz w:val="18"/>
                <w:szCs w:val="18"/>
                <w:lang w:eastAsia="sl-SI"/>
              </w:rPr>
              <w:t xml:space="preserve"> %</w:t>
            </w:r>
          </w:p>
        </w:tc>
      </w:tr>
      <w:tr w:rsidR="00072A69" w:rsidRPr="003C2605" w14:paraId="4273AD03" w14:textId="77777777" w:rsidTr="00AC1F17">
        <w:trPr>
          <w:trHeight w:val="300"/>
        </w:trPr>
        <w:tc>
          <w:tcPr>
            <w:tcW w:w="3828" w:type="dxa"/>
            <w:shd w:val="clear" w:color="auto" w:fill="auto"/>
            <w:noWrap/>
            <w:vAlign w:val="center"/>
            <w:hideMark/>
          </w:tcPr>
          <w:p w14:paraId="72999D52"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Gradbena dela</w:t>
            </w:r>
          </w:p>
        </w:tc>
        <w:tc>
          <w:tcPr>
            <w:tcW w:w="992" w:type="dxa"/>
            <w:shd w:val="clear" w:color="auto" w:fill="auto"/>
            <w:noWrap/>
            <w:vAlign w:val="center"/>
            <w:hideMark/>
          </w:tcPr>
          <w:p w14:paraId="0A353FE3"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45</w:t>
            </w:r>
          </w:p>
        </w:tc>
        <w:tc>
          <w:tcPr>
            <w:tcW w:w="850" w:type="dxa"/>
            <w:shd w:val="clear" w:color="auto" w:fill="auto"/>
            <w:vAlign w:val="center"/>
            <w:hideMark/>
          </w:tcPr>
          <w:p w14:paraId="37E0ACE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263</w:t>
            </w:r>
          </w:p>
        </w:tc>
        <w:tc>
          <w:tcPr>
            <w:tcW w:w="1418" w:type="dxa"/>
            <w:shd w:val="clear" w:color="auto" w:fill="auto"/>
            <w:vAlign w:val="center"/>
            <w:hideMark/>
          </w:tcPr>
          <w:p w14:paraId="4156C22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139.226.185</w:t>
            </w:r>
          </w:p>
        </w:tc>
        <w:tc>
          <w:tcPr>
            <w:tcW w:w="992" w:type="dxa"/>
            <w:shd w:val="clear" w:color="auto" w:fill="auto"/>
            <w:noWrap/>
            <w:vAlign w:val="center"/>
            <w:hideMark/>
          </w:tcPr>
          <w:p w14:paraId="386466D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16,66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7ECABAF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23,62</w:t>
            </w:r>
            <w:r>
              <w:rPr>
                <w:rFonts w:ascii="Arial" w:eastAsia="Times New Roman" w:hAnsi="Arial" w:cs="Arial"/>
                <w:color w:val="000000"/>
                <w:sz w:val="18"/>
                <w:szCs w:val="18"/>
                <w:lang w:eastAsia="sl-SI"/>
              </w:rPr>
              <w:t xml:space="preserve"> %</w:t>
            </w:r>
          </w:p>
        </w:tc>
      </w:tr>
      <w:tr w:rsidR="00072A69" w:rsidRPr="003C2605" w14:paraId="0123E76E" w14:textId="77777777" w:rsidTr="00AC1F17">
        <w:trPr>
          <w:trHeight w:val="300"/>
        </w:trPr>
        <w:tc>
          <w:tcPr>
            <w:tcW w:w="3828" w:type="dxa"/>
            <w:shd w:val="clear" w:color="auto" w:fill="auto"/>
            <w:noWrap/>
            <w:vAlign w:val="center"/>
            <w:hideMark/>
          </w:tcPr>
          <w:p w14:paraId="6AC11BBD"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Programski paketi in informacijski sistemi</w:t>
            </w:r>
          </w:p>
        </w:tc>
        <w:tc>
          <w:tcPr>
            <w:tcW w:w="992" w:type="dxa"/>
            <w:shd w:val="clear" w:color="auto" w:fill="auto"/>
            <w:noWrap/>
            <w:vAlign w:val="center"/>
            <w:hideMark/>
          </w:tcPr>
          <w:p w14:paraId="0D51FEB9"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48</w:t>
            </w:r>
          </w:p>
        </w:tc>
        <w:tc>
          <w:tcPr>
            <w:tcW w:w="850" w:type="dxa"/>
            <w:shd w:val="clear" w:color="auto" w:fill="auto"/>
            <w:vAlign w:val="center"/>
            <w:hideMark/>
          </w:tcPr>
          <w:p w14:paraId="1DA5C99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25</w:t>
            </w:r>
          </w:p>
        </w:tc>
        <w:tc>
          <w:tcPr>
            <w:tcW w:w="1418" w:type="dxa"/>
            <w:shd w:val="clear" w:color="auto" w:fill="auto"/>
            <w:vAlign w:val="center"/>
            <w:hideMark/>
          </w:tcPr>
          <w:p w14:paraId="7C344DA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15.649.648</w:t>
            </w:r>
          </w:p>
        </w:tc>
        <w:tc>
          <w:tcPr>
            <w:tcW w:w="992" w:type="dxa"/>
            <w:shd w:val="clear" w:color="auto" w:fill="auto"/>
            <w:noWrap/>
            <w:vAlign w:val="center"/>
            <w:hideMark/>
          </w:tcPr>
          <w:p w14:paraId="7D949DD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1,58</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9774F2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2,66</w:t>
            </w:r>
            <w:r>
              <w:rPr>
                <w:rFonts w:ascii="Arial" w:eastAsia="Times New Roman" w:hAnsi="Arial" w:cs="Arial"/>
                <w:color w:val="000000"/>
                <w:sz w:val="18"/>
                <w:szCs w:val="18"/>
                <w:lang w:eastAsia="sl-SI"/>
              </w:rPr>
              <w:t xml:space="preserve"> %</w:t>
            </w:r>
          </w:p>
        </w:tc>
      </w:tr>
      <w:tr w:rsidR="00072A69" w:rsidRPr="003C2605" w14:paraId="0B98B0E9" w14:textId="77777777" w:rsidTr="00AC1F17">
        <w:trPr>
          <w:trHeight w:val="300"/>
        </w:trPr>
        <w:tc>
          <w:tcPr>
            <w:tcW w:w="3828" w:type="dxa"/>
            <w:shd w:val="clear" w:color="auto" w:fill="auto"/>
            <w:noWrap/>
            <w:vAlign w:val="center"/>
            <w:hideMark/>
          </w:tcPr>
          <w:p w14:paraId="59722826"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popravila in vzdrževanja</w:t>
            </w:r>
          </w:p>
        </w:tc>
        <w:tc>
          <w:tcPr>
            <w:tcW w:w="992" w:type="dxa"/>
            <w:shd w:val="clear" w:color="auto" w:fill="auto"/>
            <w:noWrap/>
            <w:vAlign w:val="center"/>
            <w:hideMark/>
          </w:tcPr>
          <w:p w14:paraId="0B7B14B3"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50</w:t>
            </w:r>
          </w:p>
        </w:tc>
        <w:tc>
          <w:tcPr>
            <w:tcW w:w="850" w:type="dxa"/>
            <w:shd w:val="clear" w:color="auto" w:fill="auto"/>
            <w:vAlign w:val="center"/>
            <w:hideMark/>
          </w:tcPr>
          <w:p w14:paraId="0BD5BC4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128</w:t>
            </w:r>
          </w:p>
        </w:tc>
        <w:tc>
          <w:tcPr>
            <w:tcW w:w="1418" w:type="dxa"/>
            <w:shd w:val="clear" w:color="auto" w:fill="auto"/>
            <w:vAlign w:val="center"/>
            <w:hideMark/>
          </w:tcPr>
          <w:p w14:paraId="21A4611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43.165.097</w:t>
            </w:r>
          </w:p>
        </w:tc>
        <w:tc>
          <w:tcPr>
            <w:tcW w:w="992" w:type="dxa"/>
            <w:shd w:val="clear" w:color="auto" w:fill="auto"/>
            <w:noWrap/>
            <w:vAlign w:val="center"/>
            <w:hideMark/>
          </w:tcPr>
          <w:p w14:paraId="3A2E31E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8,11</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193E719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7,32</w:t>
            </w:r>
            <w:r>
              <w:rPr>
                <w:rFonts w:ascii="Arial" w:eastAsia="Times New Roman" w:hAnsi="Arial" w:cs="Arial"/>
                <w:color w:val="000000"/>
                <w:sz w:val="18"/>
                <w:szCs w:val="18"/>
                <w:lang w:eastAsia="sl-SI"/>
              </w:rPr>
              <w:t xml:space="preserve"> %</w:t>
            </w:r>
          </w:p>
        </w:tc>
      </w:tr>
      <w:tr w:rsidR="00072A69" w:rsidRPr="003C2605" w14:paraId="612E6BDD" w14:textId="77777777" w:rsidTr="00AC1F17">
        <w:trPr>
          <w:trHeight w:val="300"/>
        </w:trPr>
        <w:tc>
          <w:tcPr>
            <w:tcW w:w="3828" w:type="dxa"/>
            <w:shd w:val="clear" w:color="auto" w:fill="auto"/>
            <w:noWrap/>
            <w:vAlign w:val="center"/>
            <w:hideMark/>
          </w:tcPr>
          <w:p w14:paraId="7BC7823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inštalacije (razen programske opreme)</w:t>
            </w:r>
          </w:p>
        </w:tc>
        <w:tc>
          <w:tcPr>
            <w:tcW w:w="992" w:type="dxa"/>
            <w:shd w:val="clear" w:color="auto" w:fill="auto"/>
            <w:noWrap/>
            <w:vAlign w:val="center"/>
            <w:hideMark/>
          </w:tcPr>
          <w:p w14:paraId="2FDB017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51</w:t>
            </w:r>
          </w:p>
        </w:tc>
        <w:tc>
          <w:tcPr>
            <w:tcW w:w="850" w:type="dxa"/>
            <w:shd w:val="clear" w:color="auto" w:fill="auto"/>
            <w:vAlign w:val="center"/>
            <w:hideMark/>
          </w:tcPr>
          <w:p w14:paraId="7FD541A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w:t>
            </w:r>
          </w:p>
        </w:tc>
        <w:tc>
          <w:tcPr>
            <w:tcW w:w="1418" w:type="dxa"/>
            <w:shd w:val="clear" w:color="auto" w:fill="auto"/>
            <w:vAlign w:val="center"/>
            <w:hideMark/>
          </w:tcPr>
          <w:p w14:paraId="334549D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4.083.986</w:t>
            </w:r>
          </w:p>
        </w:tc>
        <w:tc>
          <w:tcPr>
            <w:tcW w:w="992" w:type="dxa"/>
            <w:shd w:val="clear" w:color="auto" w:fill="auto"/>
            <w:noWrap/>
            <w:vAlign w:val="center"/>
            <w:hideMark/>
          </w:tcPr>
          <w:p w14:paraId="042E756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0559CD8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r>
      <w:tr w:rsidR="00072A69" w:rsidRPr="003C2605" w14:paraId="35BDE3EF" w14:textId="77777777" w:rsidTr="00AC1F17">
        <w:trPr>
          <w:trHeight w:val="300"/>
        </w:trPr>
        <w:tc>
          <w:tcPr>
            <w:tcW w:w="3828" w:type="dxa"/>
            <w:shd w:val="clear" w:color="auto" w:fill="auto"/>
            <w:noWrap/>
            <w:vAlign w:val="center"/>
            <w:hideMark/>
          </w:tcPr>
          <w:p w14:paraId="4CECE37D"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hotelov, restavracij in trgovine na drobno</w:t>
            </w:r>
          </w:p>
        </w:tc>
        <w:tc>
          <w:tcPr>
            <w:tcW w:w="992" w:type="dxa"/>
            <w:shd w:val="clear" w:color="auto" w:fill="auto"/>
            <w:noWrap/>
            <w:vAlign w:val="center"/>
            <w:hideMark/>
          </w:tcPr>
          <w:p w14:paraId="36E002F5"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55</w:t>
            </w:r>
          </w:p>
        </w:tc>
        <w:tc>
          <w:tcPr>
            <w:tcW w:w="850" w:type="dxa"/>
            <w:shd w:val="clear" w:color="auto" w:fill="auto"/>
            <w:vAlign w:val="center"/>
            <w:hideMark/>
          </w:tcPr>
          <w:p w14:paraId="4ADE54F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w:t>
            </w:r>
          </w:p>
        </w:tc>
        <w:tc>
          <w:tcPr>
            <w:tcW w:w="1418" w:type="dxa"/>
            <w:shd w:val="clear" w:color="auto" w:fill="auto"/>
            <w:vAlign w:val="center"/>
            <w:hideMark/>
          </w:tcPr>
          <w:p w14:paraId="4E6E20A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826.822</w:t>
            </w:r>
          </w:p>
        </w:tc>
        <w:tc>
          <w:tcPr>
            <w:tcW w:w="992" w:type="dxa"/>
            <w:shd w:val="clear" w:color="auto" w:fill="auto"/>
            <w:noWrap/>
            <w:vAlign w:val="center"/>
            <w:hideMark/>
          </w:tcPr>
          <w:p w14:paraId="71E89FB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0443BD3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072A69" w:rsidRPr="003C2605" w14:paraId="4A937B53" w14:textId="77777777" w:rsidTr="00AC1F17">
        <w:trPr>
          <w:trHeight w:val="300"/>
        </w:trPr>
        <w:tc>
          <w:tcPr>
            <w:tcW w:w="3828" w:type="dxa"/>
            <w:shd w:val="clear" w:color="auto" w:fill="auto"/>
            <w:noWrap/>
            <w:vAlign w:val="center"/>
            <w:hideMark/>
          </w:tcPr>
          <w:p w14:paraId="50DE0736"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Prevozne storitve (razen prevoza odpadkov)</w:t>
            </w:r>
          </w:p>
        </w:tc>
        <w:tc>
          <w:tcPr>
            <w:tcW w:w="992" w:type="dxa"/>
            <w:shd w:val="clear" w:color="auto" w:fill="auto"/>
            <w:noWrap/>
            <w:vAlign w:val="center"/>
            <w:hideMark/>
          </w:tcPr>
          <w:p w14:paraId="70C7961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60</w:t>
            </w:r>
          </w:p>
        </w:tc>
        <w:tc>
          <w:tcPr>
            <w:tcW w:w="850" w:type="dxa"/>
            <w:shd w:val="clear" w:color="auto" w:fill="auto"/>
            <w:vAlign w:val="center"/>
            <w:hideMark/>
          </w:tcPr>
          <w:p w14:paraId="33D579F3"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w:t>
            </w:r>
          </w:p>
        </w:tc>
        <w:tc>
          <w:tcPr>
            <w:tcW w:w="1418" w:type="dxa"/>
            <w:shd w:val="clear" w:color="auto" w:fill="auto"/>
            <w:vAlign w:val="center"/>
            <w:hideMark/>
          </w:tcPr>
          <w:p w14:paraId="1FB41C59"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1.620.996</w:t>
            </w:r>
          </w:p>
        </w:tc>
        <w:tc>
          <w:tcPr>
            <w:tcW w:w="992" w:type="dxa"/>
            <w:shd w:val="clear" w:color="auto" w:fill="auto"/>
            <w:noWrap/>
            <w:vAlign w:val="center"/>
            <w:hideMark/>
          </w:tcPr>
          <w:p w14:paraId="5BB0373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1243B56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r w:rsidR="00072A69" w:rsidRPr="003C2605" w14:paraId="7E90AFC8" w14:textId="77777777" w:rsidTr="00AC1F17">
        <w:trPr>
          <w:trHeight w:val="300"/>
        </w:trPr>
        <w:tc>
          <w:tcPr>
            <w:tcW w:w="3828" w:type="dxa"/>
            <w:shd w:val="clear" w:color="auto" w:fill="auto"/>
            <w:noWrap/>
            <w:vAlign w:val="center"/>
            <w:hideMark/>
          </w:tcPr>
          <w:p w14:paraId="16EEF480"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lastRenderedPageBreak/>
              <w:t>Podporne in pomožne prevozne storitve; storitve potovalnih agencij</w:t>
            </w:r>
          </w:p>
        </w:tc>
        <w:tc>
          <w:tcPr>
            <w:tcW w:w="992" w:type="dxa"/>
            <w:shd w:val="clear" w:color="auto" w:fill="auto"/>
            <w:noWrap/>
            <w:vAlign w:val="center"/>
            <w:hideMark/>
          </w:tcPr>
          <w:p w14:paraId="682681B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63</w:t>
            </w:r>
          </w:p>
        </w:tc>
        <w:tc>
          <w:tcPr>
            <w:tcW w:w="850" w:type="dxa"/>
            <w:shd w:val="clear" w:color="auto" w:fill="auto"/>
            <w:vAlign w:val="center"/>
            <w:hideMark/>
          </w:tcPr>
          <w:p w14:paraId="284AC0D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w:t>
            </w:r>
          </w:p>
        </w:tc>
        <w:tc>
          <w:tcPr>
            <w:tcW w:w="1418" w:type="dxa"/>
            <w:shd w:val="clear" w:color="auto" w:fill="auto"/>
            <w:vAlign w:val="center"/>
            <w:hideMark/>
          </w:tcPr>
          <w:p w14:paraId="56D5BC6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666.030</w:t>
            </w:r>
          </w:p>
        </w:tc>
        <w:tc>
          <w:tcPr>
            <w:tcW w:w="992" w:type="dxa"/>
            <w:shd w:val="clear" w:color="auto" w:fill="auto"/>
            <w:noWrap/>
            <w:vAlign w:val="center"/>
            <w:hideMark/>
          </w:tcPr>
          <w:p w14:paraId="60A94DE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5A1F51C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072A69" w:rsidRPr="003C2605" w14:paraId="45810150" w14:textId="77777777" w:rsidTr="00AC1F17">
        <w:trPr>
          <w:trHeight w:val="300"/>
        </w:trPr>
        <w:tc>
          <w:tcPr>
            <w:tcW w:w="3828" w:type="dxa"/>
            <w:shd w:val="clear" w:color="auto" w:fill="auto"/>
            <w:noWrap/>
            <w:vAlign w:val="center"/>
            <w:hideMark/>
          </w:tcPr>
          <w:p w14:paraId="0FB474DC"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Poštne in telekomunikacijske storitve</w:t>
            </w:r>
          </w:p>
        </w:tc>
        <w:tc>
          <w:tcPr>
            <w:tcW w:w="992" w:type="dxa"/>
            <w:shd w:val="clear" w:color="auto" w:fill="auto"/>
            <w:noWrap/>
            <w:vAlign w:val="center"/>
            <w:hideMark/>
          </w:tcPr>
          <w:p w14:paraId="18F3D04D"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64</w:t>
            </w:r>
          </w:p>
        </w:tc>
        <w:tc>
          <w:tcPr>
            <w:tcW w:w="850" w:type="dxa"/>
            <w:shd w:val="clear" w:color="auto" w:fill="auto"/>
            <w:vAlign w:val="center"/>
            <w:hideMark/>
          </w:tcPr>
          <w:p w14:paraId="5C8ACC2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w:t>
            </w:r>
          </w:p>
        </w:tc>
        <w:tc>
          <w:tcPr>
            <w:tcW w:w="1418" w:type="dxa"/>
            <w:shd w:val="clear" w:color="auto" w:fill="auto"/>
            <w:vAlign w:val="center"/>
            <w:hideMark/>
          </w:tcPr>
          <w:p w14:paraId="53C7A8A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7.940.648</w:t>
            </w:r>
          </w:p>
        </w:tc>
        <w:tc>
          <w:tcPr>
            <w:tcW w:w="992" w:type="dxa"/>
            <w:shd w:val="clear" w:color="auto" w:fill="auto"/>
            <w:noWrap/>
            <w:vAlign w:val="center"/>
            <w:hideMark/>
          </w:tcPr>
          <w:p w14:paraId="2D9DBB0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171CC36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1,35</w:t>
            </w:r>
            <w:r>
              <w:rPr>
                <w:rFonts w:ascii="Arial" w:eastAsia="Times New Roman" w:hAnsi="Arial" w:cs="Arial"/>
                <w:color w:val="000000"/>
                <w:sz w:val="18"/>
                <w:szCs w:val="18"/>
                <w:lang w:eastAsia="sl-SI"/>
              </w:rPr>
              <w:t xml:space="preserve"> %</w:t>
            </w:r>
          </w:p>
        </w:tc>
      </w:tr>
      <w:tr w:rsidR="00072A69" w:rsidRPr="003C2605" w14:paraId="729A6397" w14:textId="77777777" w:rsidTr="00AC1F17">
        <w:trPr>
          <w:trHeight w:val="300"/>
        </w:trPr>
        <w:tc>
          <w:tcPr>
            <w:tcW w:w="3828" w:type="dxa"/>
            <w:shd w:val="clear" w:color="auto" w:fill="auto"/>
            <w:noWrap/>
            <w:vAlign w:val="center"/>
            <w:hideMark/>
          </w:tcPr>
          <w:p w14:paraId="011C2B10"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Gospodarske javne službe</w:t>
            </w:r>
          </w:p>
        </w:tc>
        <w:tc>
          <w:tcPr>
            <w:tcW w:w="992" w:type="dxa"/>
            <w:shd w:val="clear" w:color="auto" w:fill="auto"/>
            <w:noWrap/>
            <w:vAlign w:val="center"/>
            <w:hideMark/>
          </w:tcPr>
          <w:p w14:paraId="30ACC5D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65</w:t>
            </w:r>
          </w:p>
        </w:tc>
        <w:tc>
          <w:tcPr>
            <w:tcW w:w="850" w:type="dxa"/>
            <w:shd w:val="clear" w:color="auto" w:fill="auto"/>
            <w:vAlign w:val="center"/>
            <w:hideMark/>
          </w:tcPr>
          <w:p w14:paraId="6F2F092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38</w:t>
            </w:r>
          </w:p>
        </w:tc>
        <w:tc>
          <w:tcPr>
            <w:tcW w:w="1418" w:type="dxa"/>
            <w:shd w:val="clear" w:color="auto" w:fill="auto"/>
            <w:vAlign w:val="center"/>
            <w:hideMark/>
          </w:tcPr>
          <w:p w14:paraId="7A7ECAA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4.679.190</w:t>
            </w:r>
          </w:p>
        </w:tc>
        <w:tc>
          <w:tcPr>
            <w:tcW w:w="992" w:type="dxa"/>
            <w:shd w:val="clear" w:color="auto" w:fill="auto"/>
            <w:noWrap/>
            <w:vAlign w:val="center"/>
            <w:hideMark/>
          </w:tcPr>
          <w:p w14:paraId="6D3295E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2,41</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8AEBD2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0,79</w:t>
            </w:r>
            <w:r>
              <w:rPr>
                <w:rFonts w:ascii="Arial" w:eastAsia="Times New Roman" w:hAnsi="Arial" w:cs="Arial"/>
                <w:color w:val="000000"/>
                <w:sz w:val="18"/>
                <w:szCs w:val="18"/>
                <w:lang w:eastAsia="sl-SI"/>
              </w:rPr>
              <w:t xml:space="preserve"> %</w:t>
            </w:r>
          </w:p>
        </w:tc>
      </w:tr>
      <w:tr w:rsidR="00072A69" w:rsidRPr="003C2605" w14:paraId="5C064AC7" w14:textId="77777777" w:rsidTr="00AC1F17">
        <w:trPr>
          <w:trHeight w:val="300"/>
        </w:trPr>
        <w:tc>
          <w:tcPr>
            <w:tcW w:w="3828" w:type="dxa"/>
            <w:shd w:val="clear" w:color="auto" w:fill="auto"/>
            <w:noWrap/>
            <w:vAlign w:val="center"/>
            <w:hideMark/>
          </w:tcPr>
          <w:p w14:paraId="27EB986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Finančne in zavarovalniške storitve</w:t>
            </w:r>
          </w:p>
        </w:tc>
        <w:tc>
          <w:tcPr>
            <w:tcW w:w="992" w:type="dxa"/>
            <w:shd w:val="clear" w:color="auto" w:fill="auto"/>
            <w:noWrap/>
            <w:vAlign w:val="center"/>
            <w:hideMark/>
          </w:tcPr>
          <w:p w14:paraId="1443A87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66</w:t>
            </w:r>
          </w:p>
        </w:tc>
        <w:tc>
          <w:tcPr>
            <w:tcW w:w="850" w:type="dxa"/>
            <w:shd w:val="clear" w:color="auto" w:fill="auto"/>
            <w:vAlign w:val="center"/>
            <w:hideMark/>
          </w:tcPr>
          <w:p w14:paraId="02A3151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20</w:t>
            </w:r>
          </w:p>
        </w:tc>
        <w:tc>
          <w:tcPr>
            <w:tcW w:w="1418" w:type="dxa"/>
            <w:shd w:val="clear" w:color="auto" w:fill="auto"/>
            <w:vAlign w:val="center"/>
            <w:hideMark/>
          </w:tcPr>
          <w:p w14:paraId="456D7CE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27.537.563</w:t>
            </w:r>
          </w:p>
        </w:tc>
        <w:tc>
          <w:tcPr>
            <w:tcW w:w="992" w:type="dxa"/>
            <w:shd w:val="clear" w:color="auto" w:fill="auto"/>
            <w:noWrap/>
            <w:vAlign w:val="center"/>
            <w:hideMark/>
          </w:tcPr>
          <w:p w14:paraId="145DB0C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1,27</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6954246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4,67</w:t>
            </w:r>
            <w:r>
              <w:rPr>
                <w:rFonts w:ascii="Arial" w:eastAsia="Times New Roman" w:hAnsi="Arial" w:cs="Arial"/>
                <w:color w:val="000000"/>
                <w:sz w:val="18"/>
                <w:szCs w:val="18"/>
                <w:lang w:eastAsia="sl-SI"/>
              </w:rPr>
              <w:t xml:space="preserve"> %</w:t>
            </w:r>
          </w:p>
        </w:tc>
      </w:tr>
      <w:tr w:rsidR="00072A69" w:rsidRPr="003C2605" w14:paraId="43365F5F" w14:textId="77777777" w:rsidTr="00AC1F17">
        <w:trPr>
          <w:trHeight w:val="300"/>
        </w:trPr>
        <w:tc>
          <w:tcPr>
            <w:tcW w:w="3828" w:type="dxa"/>
            <w:shd w:val="clear" w:color="auto" w:fill="auto"/>
            <w:noWrap/>
            <w:vAlign w:val="center"/>
            <w:hideMark/>
          </w:tcPr>
          <w:p w14:paraId="786FA4A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poslovanja z nepremičninami</w:t>
            </w:r>
          </w:p>
        </w:tc>
        <w:tc>
          <w:tcPr>
            <w:tcW w:w="992" w:type="dxa"/>
            <w:shd w:val="clear" w:color="auto" w:fill="auto"/>
            <w:noWrap/>
            <w:vAlign w:val="center"/>
            <w:hideMark/>
          </w:tcPr>
          <w:p w14:paraId="6E0DB918"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70</w:t>
            </w:r>
          </w:p>
        </w:tc>
        <w:tc>
          <w:tcPr>
            <w:tcW w:w="850" w:type="dxa"/>
            <w:shd w:val="clear" w:color="auto" w:fill="auto"/>
            <w:vAlign w:val="center"/>
            <w:hideMark/>
          </w:tcPr>
          <w:p w14:paraId="1F82C0B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w:t>
            </w:r>
          </w:p>
        </w:tc>
        <w:tc>
          <w:tcPr>
            <w:tcW w:w="1418" w:type="dxa"/>
            <w:shd w:val="clear" w:color="auto" w:fill="auto"/>
            <w:vAlign w:val="center"/>
            <w:hideMark/>
          </w:tcPr>
          <w:p w14:paraId="7628BF3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53.820</w:t>
            </w:r>
          </w:p>
        </w:tc>
        <w:tc>
          <w:tcPr>
            <w:tcW w:w="992" w:type="dxa"/>
            <w:shd w:val="clear" w:color="auto" w:fill="auto"/>
            <w:noWrap/>
            <w:vAlign w:val="center"/>
            <w:hideMark/>
          </w:tcPr>
          <w:p w14:paraId="143D8A4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17EEE79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3C2605" w14:paraId="280A6B28" w14:textId="77777777" w:rsidTr="00AC1F17">
        <w:trPr>
          <w:trHeight w:val="300"/>
        </w:trPr>
        <w:tc>
          <w:tcPr>
            <w:tcW w:w="3828" w:type="dxa"/>
            <w:shd w:val="clear" w:color="auto" w:fill="auto"/>
            <w:noWrap/>
            <w:vAlign w:val="center"/>
            <w:hideMark/>
          </w:tcPr>
          <w:p w14:paraId="17F5941C"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Arhitekturne, gradbeniške, inženirske in inšpekcijske storitve</w:t>
            </w:r>
          </w:p>
        </w:tc>
        <w:tc>
          <w:tcPr>
            <w:tcW w:w="992" w:type="dxa"/>
            <w:shd w:val="clear" w:color="auto" w:fill="auto"/>
            <w:noWrap/>
            <w:vAlign w:val="center"/>
            <w:hideMark/>
          </w:tcPr>
          <w:p w14:paraId="433FAC6C"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71</w:t>
            </w:r>
          </w:p>
        </w:tc>
        <w:tc>
          <w:tcPr>
            <w:tcW w:w="850" w:type="dxa"/>
            <w:shd w:val="clear" w:color="auto" w:fill="auto"/>
            <w:vAlign w:val="center"/>
            <w:hideMark/>
          </w:tcPr>
          <w:p w14:paraId="7CC6723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58</w:t>
            </w:r>
          </w:p>
        </w:tc>
        <w:tc>
          <w:tcPr>
            <w:tcW w:w="1418" w:type="dxa"/>
            <w:shd w:val="clear" w:color="auto" w:fill="auto"/>
            <w:vAlign w:val="center"/>
            <w:hideMark/>
          </w:tcPr>
          <w:p w14:paraId="64179C2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13.719.700</w:t>
            </w:r>
          </w:p>
        </w:tc>
        <w:tc>
          <w:tcPr>
            <w:tcW w:w="992" w:type="dxa"/>
            <w:shd w:val="clear" w:color="auto" w:fill="auto"/>
            <w:noWrap/>
            <w:vAlign w:val="center"/>
            <w:hideMark/>
          </w:tcPr>
          <w:p w14:paraId="78CED37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3,67</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3194799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2,33</w:t>
            </w:r>
            <w:r>
              <w:rPr>
                <w:rFonts w:ascii="Arial" w:eastAsia="Times New Roman" w:hAnsi="Arial" w:cs="Arial"/>
                <w:color w:val="000000"/>
                <w:sz w:val="18"/>
                <w:szCs w:val="18"/>
                <w:lang w:eastAsia="sl-SI"/>
              </w:rPr>
              <w:t xml:space="preserve"> %</w:t>
            </w:r>
          </w:p>
        </w:tc>
      </w:tr>
      <w:tr w:rsidR="00072A69" w:rsidRPr="003C2605" w14:paraId="68B2EEAE" w14:textId="77777777" w:rsidTr="00AC1F17">
        <w:trPr>
          <w:trHeight w:val="300"/>
        </w:trPr>
        <w:tc>
          <w:tcPr>
            <w:tcW w:w="3828" w:type="dxa"/>
            <w:shd w:val="clear" w:color="auto" w:fill="auto"/>
            <w:noWrap/>
            <w:vAlign w:val="center"/>
            <w:hideMark/>
          </w:tcPr>
          <w:p w14:paraId="32BD9F52"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informacijske tehnologije: svetovanje, razvoj programske opreme, internet in podpora</w:t>
            </w:r>
          </w:p>
        </w:tc>
        <w:tc>
          <w:tcPr>
            <w:tcW w:w="992" w:type="dxa"/>
            <w:shd w:val="clear" w:color="auto" w:fill="auto"/>
            <w:noWrap/>
            <w:vAlign w:val="center"/>
            <w:hideMark/>
          </w:tcPr>
          <w:p w14:paraId="2F95D2B3"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72</w:t>
            </w:r>
          </w:p>
        </w:tc>
        <w:tc>
          <w:tcPr>
            <w:tcW w:w="850" w:type="dxa"/>
            <w:shd w:val="clear" w:color="auto" w:fill="auto"/>
            <w:vAlign w:val="center"/>
            <w:hideMark/>
          </w:tcPr>
          <w:p w14:paraId="21C0E29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42</w:t>
            </w:r>
          </w:p>
        </w:tc>
        <w:tc>
          <w:tcPr>
            <w:tcW w:w="1418" w:type="dxa"/>
            <w:shd w:val="clear" w:color="auto" w:fill="auto"/>
            <w:vAlign w:val="center"/>
            <w:hideMark/>
          </w:tcPr>
          <w:p w14:paraId="7FC0775D"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13.797.846</w:t>
            </w:r>
          </w:p>
        </w:tc>
        <w:tc>
          <w:tcPr>
            <w:tcW w:w="992" w:type="dxa"/>
            <w:shd w:val="clear" w:color="auto" w:fill="auto"/>
            <w:noWrap/>
            <w:vAlign w:val="center"/>
            <w:hideMark/>
          </w:tcPr>
          <w:p w14:paraId="15B02ED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2,66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23009723"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2,34</w:t>
            </w:r>
            <w:r>
              <w:rPr>
                <w:rFonts w:ascii="Arial" w:eastAsia="Times New Roman" w:hAnsi="Arial" w:cs="Arial"/>
                <w:color w:val="000000"/>
                <w:sz w:val="18"/>
                <w:szCs w:val="18"/>
                <w:lang w:eastAsia="sl-SI"/>
              </w:rPr>
              <w:t xml:space="preserve"> %</w:t>
            </w:r>
          </w:p>
        </w:tc>
      </w:tr>
      <w:tr w:rsidR="00072A69" w:rsidRPr="003C2605" w14:paraId="1FCEF200" w14:textId="77777777" w:rsidTr="00AC1F17">
        <w:trPr>
          <w:trHeight w:val="300"/>
        </w:trPr>
        <w:tc>
          <w:tcPr>
            <w:tcW w:w="3828" w:type="dxa"/>
            <w:shd w:val="clear" w:color="auto" w:fill="auto"/>
            <w:noWrap/>
            <w:vAlign w:val="center"/>
            <w:hideMark/>
          </w:tcPr>
          <w:p w14:paraId="337B88A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na področju raziskav in razvoja ter s tem povezane svetovalne storitve</w:t>
            </w:r>
          </w:p>
        </w:tc>
        <w:tc>
          <w:tcPr>
            <w:tcW w:w="992" w:type="dxa"/>
            <w:shd w:val="clear" w:color="auto" w:fill="auto"/>
            <w:noWrap/>
            <w:vAlign w:val="center"/>
            <w:hideMark/>
          </w:tcPr>
          <w:p w14:paraId="2536BA7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73</w:t>
            </w:r>
          </w:p>
        </w:tc>
        <w:tc>
          <w:tcPr>
            <w:tcW w:w="850" w:type="dxa"/>
            <w:shd w:val="clear" w:color="auto" w:fill="auto"/>
            <w:vAlign w:val="center"/>
            <w:hideMark/>
          </w:tcPr>
          <w:p w14:paraId="3F9C903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w:t>
            </w:r>
          </w:p>
        </w:tc>
        <w:tc>
          <w:tcPr>
            <w:tcW w:w="1418" w:type="dxa"/>
            <w:shd w:val="clear" w:color="auto" w:fill="auto"/>
            <w:vAlign w:val="center"/>
            <w:hideMark/>
          </w:tcPr>
          <w:p w14:paraId="745498A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563.801</w:t>
            </w:r>
          </w:p>
        </w:tc>
        <w:tc>
          <w:tcPr>
            <w:tcW w:w="992" w:type="dxa"/>
            <w:shd w:val="clear" w:color="auto" w:fill="auto"/>
            <w:noWrap/>
            <w:vAlign w:val="center"/>
            <w:hideMark/>
          </w:tcPr>
          <w:p w14:paraId="6C70BA8B"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3BB1672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r>
      <w:tr w:rsidR="00072A69" w:rsidRPr="003C2605" w14:paraId="65BB72B5" w14:textId="77777777" w:rsidTr="00AC1F17">
        <w:trPr>
          <w:trHeight w:val="300"/>
        </w:trPr>
        <w:tc>
          <w:tcPr>
            <w:tcW w:w="3828" w:type="dxa"/>
            <w:shd w:val="clear" w:color="auto" w:fill="auto"/>
            <w:noWrap/>
            <w:vAlign w:val="center"/>
            <w:hideMark/>
          </w:tcPr>
          <w:p w14:paraId="6126B1A1"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povezane z industrijo nafte in zemeljskega plina</w:t>
            </w:r>
          </w:p>
        </w:tc>
        <w:tc>
          <w:tcPr>
            <w:tcW w:w="992" w:type="dxa"/>
            <w:shd w:val="clear" w:color="auto" w:fill="auto"/>
            <w:noWrap/>
            <w:vAlign w:val="center"/>
            <w:hideMark/>
          </w:tcPr>
          <w:p w14:paraId="24796035"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76</w:t>
            </w:r>
          </w:p>
        </w:tc>
        <w:tc>
          <w:tcPr>
            <w:tcW w:w="850" w:type="dxa"/>
            <w:shd w:val="clear" w:color="auto" w:fill="auto"/>
            <w:vAlign w:val="center"/>
            <w:hideMark/>
          </w:tcPr>
          <w:p w14:paraId="5F6C8840"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w:t>
            </w:r>
          </w:p>
        </w:tc>
        <w:tc>
          <w:tcPr>
            <w:tcW w:w="1418" w:type="dxa"/>
            <w:shd w:val="clear" w:color="auto" w:fill="auto"/>
            <w:vAlign w:val="center"/>
            <w:hideMark/>
          </w:tcPr>
          <w:p w14:paraId="61B3E58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11.397.250</w:t>
            </w:r>
          </w:p>
        </w:tc>
        <w:tc>
          <w:tcPr>
            <w:tcW w:w="992" w:type="dxa"/>
            <w:shd w:val="clear" w:color="auto" w:fill="auto"/>
            <w:noWrap/>
            <w:vAlign w:val="center"/>
            <w:hideMark/>
          </w:tcPr>
          <w:p w14:paraId="4D79438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021A4C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1,93</w:t>
            </w:r>
            <w:r>
              <w:rPr>
                <w:rFonts w:ascii="Arial" w:eastAsia="Times New Roman" w:hAnsi="Arial" w:cs="Arial"/>
                <w:color w:val="000000"/>
                <w:sz w:val="18"/>
                <w:szCs w:val="18"/>
                <w:lang w:eastAsia="sl-SI"/>
              </w:rPr>
              <w:t xml:space="preserve"> %</w:t>
            </w:r>
          </w:p>
        </w:tc>
      </w:tr>
      <w:tr w:rsidR="00072A69" w:rsidRPr="003C2605" w14:paraId="686BE14A" w14:textId="77777777" w:rsidTr="00AC1F17">
        <w:trPr>
          <w:trHeight w:val="300"/>
        </w:trPr>
        <w:tc>
          <w:tcPr>
            <w:tcW w:w="3828" w:type="dxa"/>
            <w:shd w:val="clear" w:color="auto" w:fill="auto"/>
            <w:noWrap/>
            <w:vAlign w:val="center"/>
            <w:hideMark/>
          </w:tcPr>
          <w:p w14:paraId="632C72BA"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na področju kmetijstva, gozdarstva, hortikulture, akvakulture in čebelarstva</w:t>
            </w:r>
          </w:p>
        </w:tc>
        <w:tc>
          <w:tcPr>
            <w:tcW w:w="992" w:type="dxa"/>
            <w:shd w:val="clear" w:color="auto" w:fill="auto"/>
            <w:noWrap/>
            <w:vAlign w:val="center"/>
            <w:hideMark/>
          </w:tcPr>
          <w:p w14:paraId="3B3A35C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77</w:t>
            </w:r>
          </w:p>
        </w:tc>
        <w:tc>
          <w:tcPr>
            <w:tcW w:w="850" w:type="dxa"/>
            <w:shd w:val="clear" w:color="auto" w:fill="auto"/>
            <w:vAlign w:val="center"/>
            <w:hideMark/>
          </w:tcPr>
          <w:p w14:paraId="432D8522"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11</w:t>
            </w:r>
          </w:p>
        </w:tc>
        <w:tc>
          <w:tcPr>
            <w:tcW w:w="1418" w:type="dxa"/>
            <w:shd w:val="clear" w:color="auto" w:fill="auto"/>
            <w:vAlign w:val="center"/>
            <w:hideMark/>
          </w:tcPr>
          <w:p w14:paraId="4459368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11.613.904</w:t>
            </w:r>
          </w:p>
        </w:tc>
        <w:tc>
          <w:tcPr>
            <w:tcW w:w="992" w:type="dxa"/>
            <w:shd w:val="clear" w:color="auto" w:fill="auto"/>
            <w:noWrap/>
            <w:vAlign w:val="center"/>
            <w:hideMark/>
          </w:tcPr>
          <w:p w14:paraId="2D8DB65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309893D3"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1,97</w:t>
            </w:r>
            <w:r>
              <w:rPr>
                <w:rFonts w:ascii="Arial" w:eastAsia="Times New Roman" w:hAnsi="Arial" w:cs="Arial"/>
                <w:color w:val="000000"/>
                <w:sz w:val="18"/>
                <w:szCs w:val="18"/>
                <w:lang w:eastAsia="sl-SI"/>
              </w:rPr>
              <w:t xml:space="preserve"> %</w:t>
            </w:r>
          </w:p>
        </w:tc>
      </w:tr>
      <w:tr w:rsidR="00072A69" w:rsidRPr="003C2605" w14:paraId="69AA9754" w14:textId="77777777" w:rsidTr="00AC1F17">
        <w:trPr>
          <w:trHeight w:val="300"/>
        </w:trPr>
        <w:tc>
          <w:tcPr>
            <w:tcW w:w="3828" w:type="dxa"/>
            <w:shd w:val="clear" w:color="auto" w:fill="auto"/>
            <w:noWrap/>
            <w:vAlign w:val="center"/>
            <w:hideMark/>
          </w:tcPr>
          <w:p w14:paraId="0DAEB358"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Poslovne storitve: pravo, trženje, svetovanje, zaposlovanje, tiskanje in varnost</w:t>
            </w:r>
          </w:p>
        </w:tc>
        <w:tc>
          <w:tcPr>
            <w:tcW w:w="992" w:type="dxa"/>
            <w:shd w:val="clear" w:color="auto" w:fill="auto"/>
            <w:noWrap/>
            <w:vAlign w:val="center"/>
            <w:hideMark/>
          </w:tcPr>
          <w:p w14:paraId="0222FA2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79</w:t>
            </w:r>
          </w:p>
        </w:tc>
        <w:tc>
          <w:tcPr>
            <w:tcW w:w="850" w:type="dxa"/>
            <w:shd w:val="clear" w:color="auto" w:fill="auto"/>
            <w:vAlign w:val="center"/>
            <w:hideMark/>
          </w:tcPr>
          <w:p w14:paraId="12E48DEE"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18</w:t>
            </w:r>
          </w:p>
        </w:tc>
        <w:tc>
          <w:tcPr>
            <w:tcW w:w="1418" w:type="dxa"/>
            <w:shd w:val="clear" w:color="auto" w:fill="auto"/>
            <w:vAlign w:val="center"/>
            <w:hideMark/>
          </w:tcPr>
          <w:p w14:paraId="6525A76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6.462.931</w:t>
            </w:r>
          </w:p>
        </w:tc>
        <w:tc>
          <w:tcPr>
            <w:tcW w:w="992" w:type="dxa"/>
            <w:shd w:val="clear" w:color="auto" w:fill="auto"/>
            <w:noWrap/>
            <w:vAlign w:val="center"/>
            <w:hideMark/>
          </w:tcPr>
          <w:p w14:paraId="7094C16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1,14</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15CCB78F"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1,10%</w:t>
            </w:r>
          </w:p>
        </w:tc>
      </w:tr>
      <w:tr w:rsidR="00072A69" w:rsidRPr="003C2605" w14:paraId="668AB693" w14:textId="77777777" w:rsidTr="00AC1F17">
        <w:trPr>
          <w:trHeight w:val="300"/>
        </w:trPr>
        <w:tc>
          <w:tcPr>
            <w:tcW w:w="3828" w:type="dxa"/>
            <w:shd w:val="clear" w:color="auto" w:fill="auto"/>
            <w:noWrap/>
            <w:vAlign w:val="center"/>
            <w:hideMark/>
          </w:tcPr>
          <w:p w14:paraId="507C5C10"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na področju zdravstva in socialnega varstva</w:t>
            </w:r>
          </w:p>
        </w:tc>
        <w:tc>
          <w:tcPr>
            <w:tcW w:w="992" w:type="dxa"/>
            <w:shd w:val="clear" w:color="auto" w:fill="auto"/>
            <w:noWrap/>
            <w:vAlign w:val="center"/>
            <w:hideMark/>
          </w:tcPr>
          <w:p w14:paraId="4DE4B6E4"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85</w:t>
            </w:r>
          </w:p>
        </w:tc>
        <w:tc>
          <w:tcPr>
            <w:tcW w:w="850" w:type="dxa"/>
            <w:shd w:val="clear" w:color="auto" w:fill="auto"/>
            <w:vAlign w:val="center"/>
            <w:hideMark/>
          </w:tcPr>
          <w:p w14:paraId="5A4923F1"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w:t>
            </w:r>
          </w:p>
        </w:tc>
        <w:tc>
          <w:tcPr>
            <w:tcW w:w="1418" w:type="dxa"/>
            <w:shd w:val="clear" w:color="auto" w:fill="auto"/>
            <w:vAlign w:val="center"/>
            <w:hideMark/>
          </w:tcPr>
          <w:p w14:paraId="42F4A99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223.621</w:t>
            </w:r>
          </w:p>
        </w:tc>
        <w:tc>
          <w:tcPr>
            <w:tcW w:w="992" w:type="dxa"/>
            <w:shd w:val="clear" w:color="auto" w:fill="auto"/>
            <w:noWrap/>
            <w:vAlign w:val="center"/>
            <w:hideMark/>
          </w:tcPr>
          <w:p w14:paraId="3F1B0C47"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0BB2D46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0,04%</w:t>
            </w:r>
          </w:p>
        </w:tc>
      </w:tr>
      <w:tr w:rsidR="00072A69" w:rsidRPr="003C2605" w14:paraId="5C532C32" w14:textId="77777777" w:rsidTr="00AC1F17">
        <w:trPr>
          <w:trHeight w:val="300"/>
        </w:trPr>
        <w:tc>
          <w:tcPr>
            <w:tcW w:w="3828" w:type="dxa"/>
            <w:shd w:val="clear" w:color="auto" w:fill="auto"/>
            <w:noWrap/>
            <w:vAlign w:val="center"/>
            <w:hideMark/>
          </w:tcPr>
          <w:p w14:paraId="728B12B8"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Storitve v zvezi z odplakami, odpadki, čiščenjem in okoljem</w:t>
            </w:r>
          </w:p>
        </w:tc>
        <w:tc>
          <w:tcPr>
            <w:tcW w:w="992" w:type="dxa"/>
            <w:shd w:val="clear" w:color="auto" w:fill="auto"/>
            <w:noWrap/>
            <w:vAlign w:val="center"/>
            <w:hideMark/>
          </w:tcPr>
          <w:p w14:paraId="5C5A1D92"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90</w:t>
            </w:r>
          </w:p>
        </w:tc>
        <w:tc>
          <w:tcPr>
            <w:tcW w:w="850" w:type="dxa"/>
            <w:shd w:val="clear" w:color="auto" w:fill="auto"/>
            <w:vAlign w:val="center"/>
            <w:hideMark/>
          </w:tcPr>
          <w:p w14:paraId="082D464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65</w:t>
            </w:r>
          </w:p>
        </w:tc>
        <w:tc>
          <w:tcPr>
            <w:tcW w:w="1418" w:type="dxa"/>
            <w:shd w:val="clear" w:color="auto" w:fill="auto"/>
            <w:vAlign w:val="center"/>
            <w:hideMark/>
          </w:tcPr>
          <w:p w14:paraId="4BEDDC4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13.826.191</w:t>
            </w:r>
          </w:p>
        </w:tc>
        <w:tc>
          <w:tcPr>
            <w:tcW w:w="992" w:type="dxa"/>
            <w:shd w:val="clear" w:color="auto" w:fill="auto"/>
            <w:noWrap/>
            <w:vAlign w:val="center"/>
            <w:hideMark/>
          </w:tcPr>
          <w:p w14:paraId="7F283208"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4,12</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44145D7C"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2,35%</w:t>
            </w:r>
          </w:p>
        </w:tc>
      </w:tr>
      <w:tr w:rsidR="00072A69" w:rsidRPr="003C2605" w14:paraId="30964765" w14:textId="77777777" w:rsidTr="00AC1F17">
        <w:trPr>
          <w:trHeight w:val="300"/>
        </w:trPr>
        <w:tc>
          <w:tcPr>
            <w:tcW w:w="3828" w:type="dxa"/>
            <w:shd w:val="clear" w:color="auto" w:fill="auto"/>
            <w:noWrap/>
            <w:vAlign w:val="center"/>
            <w:hideMark/>
          </w:tcPr>
          <w:p w14:paraId="7DD3654F"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Druge javne, skupne in osebne storitve</w:t>
            </w:r>
          </w:p>
        </w:tc>
        <w:tc>
          <w:tcPr>
            <w:tcW w:w="992" w:type="dxa"/>
            <w:shd w:val="clear" w:color="auto" w:fill="auto"/>
            <w:noWrap/>
            <w:vAlign w:val="center"/>
            <w:hideMark/>
          </w:tcPr>
          <w:p w14:paraId="31E27E29" w14:textId="77777777" w:rsidR="00072A69" w:rsidRPr="003C2605" w:rsidRDefault="00072A69" w:rsidP="00AC1F17">
            <w:pPr>
              <w:spacing w:after="0" w:line="240" w:lineRule="auto"/>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98</w:t>
            </w:r>
          </w:p>
        </w:tc>
        <w:tc>
          <w:tcPr>
            <w:tcW w:w="850" w:type="dxa"/>
            <w:shd w:val="clear" w:color="auto" w:fill="auto"/>
            <w:vAlign w:val="center"/>
            <w:hideMark/>
          </w:tcPr>
          <w:p w14:paraId="590ECB7A"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12</w:t>
            </w:r>
          </w:p>
        </w:tc>
        <w:tc>
          <w:tcPr>
            <w:tcW w:w="1418" w:type="dxa"/>
            <w:shd w:val="clear" w:color="auto" w:fill="auto"/>
            <w:vAlign w:val="center"/>
            <w:hideMark/>
          </w:tcPr>
          <w:p w14:paraId="27A0E655"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6.257.736</w:t>
            </w:r>
          </w:p>
        </w:tc>
        <w:tc>
          <w:tcPr>
            <w:tcW w:w="992" w:type="dxa"/>
            <w:shd w:val="clear" w:color="auto" w:fill="auto"/>
            <w:noWrap/>
            <w:vAlign w:val="center"/>
            <w:hideMark/>
          </w:tcPr>
          <w:p w14:paraId="62B10AA4"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0,76</w:t>
            </w:r>
            <w:r>
              <w:rPr>
                <w:rFonts w:ascii="Arial" w:eastAsia="Times New Roman" w:hAnsi="Arial" w:cs="Arial"/>
                <w:color w:val="000000"/>
                <w:sz w:val="18"/>
                <w:szCs w:val="18"/>
                <w:lang w:eastAsia="sl-SI"/>
              </w:rPr>
              <w:t xml:space="preserve"> %</w:t>
            </w:r>
          </w:p>
        </w:tc>
        <w:tc>
          <w:tcPr>
            <w:tcW w:w="992" w:type="dxa"/>
            <w:shd w:val="clear" w:color="auto" w:fill="auto"/>
            <w:noWrap/>
            <w:vAlign w:val="center"/>
            <w:hideMark/>
          </w:tcPr>
          <w:p w14:paraId="3CF22586" w14:textId="77777777" w:rsidR="00072A69" w:rsidRPr="003C2605" w:rsidRDefault="00072A69" w:rsidP="00AC1F17">
            <w:pPr>
              <w:spacing w:after="0" w:line="240" w:lineRule="auto"/>
              <w:jc w:val="right"/>
              <w:rPr>
                <w:rFonts w:ascii="Arial" w:eastAsia="Times New Roman" w:hAnsi="Arial" w:cs="Arial"/>
                <w:color w:val="000000"/>
                <w:sz w:val="18"/>
                <w:szCs w:val="18"/>
                <w:lang w:eastAsia="sl-SI"/>
              </w:rPr>
            </w:pPr>
            <w:r w:rsidRPr="003C2605">
              <w:rPr>
                <w:rFonts w:ascii="Arial" w:eastAsia="Times New Roman" w:hAnsi="Arial" w:cs="Arial"/>
                <w:color w:val="000000"/>
                <w:sz w:val="18"/>
                <w:szCs w:val="18"/>
                <w:lang w:eastAsia="sl-SI"/>
              </w:rPr>
              <w:t>1,06%</w:t>
            </w:r>
          </w:p>
        </w:tc>
      </w:tr>
      <w:tr w:rsidR="00072A69" w:rsidRPr="003C2605" w14:paraId="641DBA7F" w14:textId="77777777" w:rsidTr="00AC1F17">
        <w:trPr>
          <w:trHeight w:val="300"/>
        </w:trPr>
        <w:tc>
          <w:tcPr>
            <w:tcW w:w="4820" w:type="dxa"/>
            <w:gridSpan w:val="2"/>
            <w:shd w:val="clear" w:color="auto" w:fill="E7E6E6" w:themeFill="background2"/>
            <w:noWrap/>
            <w:vAlign w:val="center"/>
            <w:hideMark/>
          </w:tcPr>
          <w:p w14:paraId="103DACA2" w14:textId="77777777" w:rsidR="00072A69" w:rsidRPr="003C2605" w:rsidRDefault="00072A69" w:rsidP="00AC1F17">
            <w:pPr>
              <w:spacing w:after="0" w:line="240" w:lineRule="auto"/>
              <w:rPr>
                <w:rFonts w:ascii="Arial" w:eastAsia="Times New Roman" w:hAnsi="Arial" w:cs="Arial"/>
                <w:b/>
                <w:bCs/>
                <w:color w:val="000000"/>
                <w:sz w:val="18"/>
                <w:szCs w:val="18"/>
                <w:lang w:eastAsia="sl-SI"/>
              </w:rPr>
            </w:pPr>
            <w:r w:rsidRPr="003C2605">
              <w:rPr>
                <w:rFonts w:ascii="Arial" w:eastAsia="Times New Roman" w:hAnsi="Arial" w:cs="Arial"/>
                <w:b/>
                <w:bCs/>
                <w:color w:val="000000"/>
                <w:sz w:val="18"/>
                <w:szCs w:val="18"/>
                <w:lang w:eastAsia="sl-SI"/>
              </w:rPr>
              <w:t>Skupaj</w:t>
            </w:r>
          </w:p>
        </w:tc>
        <w:tc>
          <w:tcPr>
            <w:tcW w:w="850" w:type="dxa"/>
            <w:shd w:val="clear" w:color="auto" w:fill="E7E6E6" w:themeFill="background2"/>
            <w:noWrap/>
            <w:vAlign w:val="center"/>
            <w:hideMark/>
          </w:tcPr>
          <w:p w14:paraId="29148C82" w14:textId="77777777" w:rsidR="00072A69" w:rsidRPr="003C2605" w:rsidRDefault="00072A69" w:rsidP="00AC1F17">
            <w:pPr>
              <w:spacing w:after="0" w:line="240" w:lineRule="auto"/>
              <w:jc w:val="right"/>
              <w:rPr>
                <w:rFonts w:ascii="Arial" w:eastAsia="Times New Roman" w:hAnsi="Arial" w:cs="Arial"/>
                <w:b/>
                <w:bCs/>
                <w:color w:val="000000"/>
                <w:sz w:val="18"/>
                <w:szCs w:val="18"/>
                <w:lang w:eastAsia="sl-SI"/>
              </w:rPr>
            </w:pPr>
            <w:r w:rsidRPr="003C2605">
              <w:rPr>
                <w:rFonts w:ascii="Arial" w:eastAsia="Times New Roman" w:hAnsi="Arial" w:cs="Arial"/>
                <w:b/>
                <w:bCs/>
                <w:color w:val="000000"/>
                <w:sz w:val="18"/>
                <w:szCs w:val="18"/>
                <w:lang w:eastAsia="sl-SI"/>
              </w:rPr>
              <w:t>1.579</w:t>
            </w:r>
          </w:p>
        </w:tc>
        <w:tc>
          <w:tcPr>
            <w:tcW w:w="1418" w:type="dxa"/>
            <w:shd w:val="clear" w:color="auto" w:fill="E7E6E6" w:themeFill="background2"/>
            <w:noWrap/>
            <w:vAlign w:val="center"/>
            <w:hideMark/>
          </w:tcPr>
          <w:p w14:paraId="145F1FE9" w14:textId="77777777" w:rsidR="00072A69" w:rsidRPr="003C2605" w:rsidRDefault="00072A69" w:rsidP="00AC1F17">
            <w:pPr>
              <w:spacing w:after="0" w:line="240" w:lineRule="auto"/>
              <w:jc w:val="right"/>
              <w:rPr>
                <w:rFonts w:ascii="Arial" w:eastAsia="Times New Roman" w:hAnsi="Arial" w:cs="Arial"/>
                <w:b/>
                <w:bCs/>
                <w:color w:val="000000"/>
                <w:sz w:val="18"/>
                <w:szCs w:val="18"/>
                <w:lang w:eastAsia="sl-SI"/>
              </w:rPr>
            </w:pPr>
            <w:r w:rsidRPr="003C2605">
              <w:rPr>
                <w:rFonts w:ascii="Arial" w:eastAsia="Times New Roman" w:hAnsi="Arial" w:cs="Arial"/>
                <w:b/>
                <w:bCs/>
                <w:color w:val="000000"/>
                <w:sz w:val="18"/>
                <w:szCs w:val="18"/>
                <w:lang w:eastAsia="sl-SI"/>
              </w:rPr>
              <w:t>589.350.292</w:t>
            </w:r>
          </w:p>
        </w:tc>
        <w:tc>
          <w:tcPr>
            <w:tcW w:w="992" w:type="dxa"/>
            <w:shd w:val="clear" w:color="auto" w:fill="E7E6E6" w:themeFill="background2"/>
            <w:noWrap/>
            <w:vAlign w:val="center"/>
            <w:hideMark/>
          </w:tcPr>
          <w:p w14:paraId="2057E877" w14:textId="77777777" w:rsidR="00072A69" w:rsidRPr="003C2605" w:rsidRDefault="00072A69" w:rsidP="00AC1F17">
            <w:pPr>
              <w:spacing w:after="0" w:line="240" w:lineRule="auto"/>
              <w:jc w:val="right"/>
              <w:rPr>
                <w:rFonts w:ascii="Arial" w:eastAsia="Times New Roman" w:hAnsi="Arial" w:cs="Arial"/>
                <w:b/>
                <w:bCs/>
                <w:color w:val="000000"/>
                <w:sz w:val="18"/>
                <w:szCs w:val="18"/>
                <w:lang w:eastAsia="sl-SI"/>
              </w:rPr>
            </w:pPr>
            <w:r w:rsidRPr="003C260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3C2605">
              <w:rPr>
                <w:rFonts w:ascii="Arial" w:eastAsia="Times New Roman" w:hAnsi="Arial" w:cs="Arial"/>
                <w:b/>
                <w:bCs/>
                <w:color w:val="000000"/>
                <w:sz w:val="18"/>
                <w:szCs w:val="18"/>
                <w:lang w:eastAsia="sl-SI"/>
              </w:rPr>
              <w:t>%</w:t>
            </w:r>
          </w:p>
        </w:tc>
        <w:tc>
          <w:tcPr>
            <w:tcW w:w="992" w:type="dxa"/>
            <w:shd w:val="clear" w:color="auto" w:fill="E7E6E6" w:themeFill="background2"/>
            <w:noWrap/>
            <w:vAlign w:val="center"/>
            <w:hideMark/>
          </w:tcPr>
          <w:p w14:paraId="677DE742" w14:textId="77777777" w:rsidR="00072A69" w:rsidRPr="003C2605" w:rsidRDefault="00072A69" w:rsidP="00AC1F17">
            <w:pPr>
              <w:spacing w:after="0" w:line="240" w:lineRule="auto"/>
              <w:jc w:val="right"/>
              <w:rPr>
                <w:rFonts w:ascii="Arial" w:eastAsia="Times New Roman" w:hAnsi="Arial" w:cs="Arial"/>
                <w:b/>
                <w:bCs/>
                <w:color w:val="000000"/>
                <w:sz w:val="18"/>
                <w:szCs w:val="18"/>
                <w:lang w:eastAsia="sl-SI"/>
              </w:rPr>
            </w:pPr>
            <w:r w:rsidRPr="003C260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63888D13" w14:textId="77777777" w:rsidR="00072A69" w:rsidRPr="00EF2D0B" w:rsidRDefault="00072A69" w:rsidP="00072A69">
      <w:pPr>
        <w:spacing w:before="120" w:after="120" w:line="240" w:lineRule="auto"/>
        <w:jc w:val="both"/>
        <w:rPr>
          <w:rFonts w:ascii="Arial" w:hAnsi="Arial" w:cs="Arial"/>
          <w:sz w:val="20"/>
          <w:highlight w:val="yellow"/>
        </w:rPr>
      </w:pPr>
    </w:p>
    <w:p w14:paraId="0899042C" w14:textId="52552DDE" w:rsidR="00072A69" w:rsidRPr="001D33D5" w:rsidRDefault="00072A69" w:rsidP="00072A69">
      <w:pPr>
        <w:rPr>
          <w:rFonts w:ascii="Arial" w:hAnsi="Arial" w:cs="Arial"/>
          <w:sz w:val="20"/>
        </w:rPr>
      </w:pPr>
      <w:r w:rsidRPr="001D33D5">
        <w:rPr>
          <w:rFonts w:ascii="Arial" w:hAnsi="Arial" w:cs="Arial"/>
          <w:sz w:val="20"/>
        </w:rPr>
        <w:t>Preglednica 8</w:t>
      </w:r>
      <w:r w:rsidR="00D23EC0">
        <w:rPr>
          <w:rFonts w:ascii="Arial" w:hAnsi="Arial" w:cs="Arial"/>
          <w:sz w:val="20"/>
        </w:rPr>
        <w:t>6</w:t>
      </w:r>
      <w:r w:rsidRPr="001D33D5">
        <w:rPr>
          <w:rFonts w:ascii="Arial" w:hAnsi="Arial" w:cs="Arial"/>
          <w:sz w:val="20"/>
        </w:rPr>
        <w:t>: Javna naročila na obrambnem področju, glede na predmet naročanja po Enotnem besednjaku javnih naročil (CPV)</w:t>
      </w:r>
    </w:p>
    <w:tbl>
      <w:tblPr>
        <w:tblW w:w="5000" w:type="pct"/>
        <w:tblLayout w:type="fixed"/>
        <w:tblCellMar>
          <w:left w:w="70" w:type="dxa"/>
          <w:right w:w="70" w:type="dxa"/>
        </w:tblCellMar>
        <w:tblLook w:val="04A0" w:firstRow="1" w:lastRow="0" w:firstColumn="1" w:lastColumn="0" w:noHBand="0" w:noVBand="1"/>
      </w:tblPr>
      <w:tblGrid>
        <w:gridCol w:w="3823"/>
        <w:gridCol w:w="993"/>
        <w:gridCol w:w="848"/>
        <w:gridCol w:w="1419"/>
        <w:gridCol w:w="991"/>
        <w:gridCol w:w="988"/>
      </w:tblGrid>
      <w:tr w:rsidR="00072A69" w:rsidRPr="001D33D5" w14:paraId="67432EB9" w14:textId="77777777" w:rsidTr="00C320EE">
        <w:trPr>
          <w:trHeight w:val="480"/>
          <w:tblHeader/>
        </w:trPr>
        <w:tc>
          <w:tcPr>
            <w:tcW w:w="210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141BF88" w14:textId="77777777" w:rsidR="00072A69" w:rsidRPr="00651EDC" w:rsidRDefault="00072A69" w:rsidP="00AC1F17">
            <w:pPr>
              <w:spacing w:after="0" w:line="240" w:lineRule="auto"/>
              <w:jc w:val="center"/>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CPV oddelek</w:t>
            </w:r>
          </w:p>
        </w:tc>
        <w:tc>
          <w:tcPr>
            <w:tcW w:w="548" w:type="pct"/>
            <w:tcBorders>
              <w:top w:val="single" w:sz="4" w:space="0" w:color="auto"/>
              <w:left w:val="nil"/>
              <w:bottom w:val="single" w:sz="4" w:space="0" w:color="auto"/>
              <w:right w:val="single" w:sz="4" w:space="0" w:color="auto"/>
            </w:tcBorders>
            <w:shd w:val="clear" w:color="000000" w:fill="EDEDED"/>
            <w:vAlign w:val="center"/>
            <w:hideMark/>
          </w:tcPr>
          <w:p w14:paraId="025DC36A" w14:textId="77777777" w:rsidR="00072A69" w:rsidRPr="00651EDC" w:rsidRDefault="00072A69" w:rsidP="00AC1F17">
            <w:pPr>
              <w:spacing w:after="0" w:line="240" w:lineRule="auto"/>
              <w:jc w:val="center"/>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Opis CPV oddelka</w:t>
            </w:r>
          </w:p>
        </w:tc>
        <w:tc>
          <w:tcPr>
            <w:tcW w:w="468" w:type="pct"/>
            <w:tcBorders>
              <w:top w:val="single" w:sz="4" w:space="0" w:color="auto"/>
              <w:left w:val="nil"/>
              <w:bottom w:val="single" w:sz="4" w:space="0" w:color="auto"/>
              <w:right w:val="single" w:sz="4" w:space="0" w:color="auto"/>
            </w:tcBorders>
            <w:shd w:val="clear" w:color="000000" w:fill="EDEDED"/>
            <w:vAlign w:val="center"/>
            <w:hideMark/>
          </w:tcPr>
          <w:p w14:paraId="621E687C" w14:textId="77777777" w:rsidR="00072A69" w:rsidRPr="00651EDC" w:rsidRDefault="00072A69" w:rsidP="00AC1F17">
            <w:pPr>
              <w:spacing w:after="0" w:line="240" w:lineRule="auto"/>
              <w:jc w:val="center"/>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Št. naročil</w:t>
            </w:r>
          </w:p>
        </w:tc>
        <w:tc>
          <w:tcPr>
            <w:tcW w:w="783" w:type="pct"/>
            <w:tcBorders>
              <w:top w:val="single" w:sz="4" w:space="0" w:color="auto"/>
              <w:left w:val="nil"/>
              <w:bottom w:val="single" w:sz="4" w:space="0" w:color="auto"/>
              <w:right w:val="single" w:sz="4" w:space="0" w:color="auto"/>
            </w:tcBorders>
            <w:shd w:val="clear" w:color="000000" w:fill="EDEDED"/>
            <w:vAlign w:val="center"/>
            <w:hideMark/>
          </w:tcPr>
          <w:p w14:paraId="439B58FB" w14:textId="77777777" w:rsidR="00072A69" w:rsidRPr="00651EDC" w:rsidRDefault="00072A69" w:rsidP="00AC1F17">
            <w:pPr>
              <w:spacing w:after="0" w:line="240" w:lineRule="auto"/>
              <w:jc w:val="center"/>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Pogodbena vrednost</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39B1704C" w14:textId="77777777" w:rsidR="00072A69" w:rsidRPr="00651EDC" w:rsidRDefault="00072A69" w:rsidP="00AC1F17">
            <w:pPr>
              <w:spacing w:after="0" w:line="240" w:lineRule="auto"/>
              <w:jc w:val="center"/>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Delež v št. naročil</w:t>
            </w:r>
          </w:p>
        </w:tc>
        <w:tc>
          <w:tcPr>
            <w:tcW w:w="545" w:type="pct"/>
            <w:tcBorders>
              <w:top w:val="single" w:sz="4" w:space="0" w:color="auto"/>
              <w:left w:val="nil"/>
              <w:bottom w:val="single" w:sz="4" w:space="0" w:color="auto"/>
              <w:right w:val="single" w:sz="4" w:space="0" w:color="auto"/>
            </w:tcBorders>
            <w:shd w:val="clear" w:color="000000" w:fill="EDEDED"/>
            <w:vAlign w:val="center"/>
            <w:hideMark/>
          </w:tcPr>
          <w:p w14:paraId="672DE8A7" w14:textId="77777777" w:rsidR="00072A69" w:rsidRPr="00651EDC" w:rsidRDefault="00072A69" w:rsidP="00AC1F17">
            <w:pPr>
              <w:spacing w:after="0" w:line="240" w:lineRule="auto"/>
              <w:jc w:val="center"/>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Delež v vrednosti</w:t>
            </w:r>
          </w:p>
        </w:tc>
      </w:tr>
      <w:tr w:rsidR="00072A69" w:rsidRPr="001D33D5" w14:paraId="3378AB1F"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17646A2B"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Pisarniški in računski stroji, oprema in potrebščine, razen pohištva in programskih paketov</w:t>
            </w:r>
          </w:p>
        </w:tc>
        <w:tc>
          <w:tcPr>
            <w:tcW w:w="548" w:type="pct"/>
            <w:tcBorders>
              <w:top w:val="nil"/>
              <w:left w:val="nil"/>
              <w:bottom w:val="single" w:sz="4" w:space="0" w:color="auto"/>
              <w:right w:val="single" w:sz="4" w:space="0" w:color="auto"/>
            </w:tcBorders>
            <w:shd w:val="clear" w:color="auto" w:fill="auto"/>
            <w:noWrap/>
            <w:vAlign w:val="center"/>
            <w:hideMark/>
          </w:tcPr>
          <w:p w14:paraId="0249A9E0"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30</w:t>
            </w:r>
          </w:p>
        </w:tc>
        <w:tc>
          <w:tcPr>
            <w:tcW w:w="468" w:type="pct"/>
            <w:tcBorders>
              <w:top w:val="nil"/>
              <w:left w:val="nil"/>
              <w:bottom w:val="single" w:sz="4" w:space="0" w:color="auto"/>
              <w:right w:val="single" w:sz="4" w:space="0" w:color="auto"/>
            </w:tcBorders>
            <w:shd w:val="clear" w:color="auto" w:fill="auto"/>
            <w:vAlign w:val="center"/>
            <w:hideMark/>
          </w:tcPr>
          <w:p w14:paraId="5F0696F8"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w:t>
            </w:r>
          </w:p>
        </w:tc>
        <w:tc>
          <w:tcPr>
            <w:tcW w:w="783" w:type="pct"/>
            <w:tcBorders>
              <w:top w:val="nil"/>
              <w:left w:val="nil"/>
              <w:bottom w:val="single" w:sz="4" w:space="0" w:color="auto"/>
              <w:right w:val="single" w:sz="4" w:space="0" w:color="auto"/>
            </w:tcBorders>
            <w:shd w:val="clear" w:color="auto" w:fill="auto"/>
            <w:vAlign w:val="center"/>
            <w:hideMark/>
          </w:tcPr>
          <w:p w14:paraId="1ADA8276"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238.811</w:t>
            </w:r>
          </w:p>
        </w:tc>
        <w:tc>
          <w:tcPr>
            <w:tcW w:w="547" w:type="pct"/>
            <w:tcBorders>
              <w:top w:val="nil"/>
              <w:left w:val="nil"/>
              <w:bottom w:val="single" w:sz="4" w:space="0" w:color="auto"/>
              <w:right w:val="single" w:sz="4" w:space="0" w:color="auto"/>
            </w:tcBorders>
            <w:shd w:val="clear" w:color="auto" w:fill="auto"/>
            <w:noWrap/>
            <w:vAlign w:val="center"/>
            <w:hideMark/>
          </w:tcPr>
          <w:p w14:paraId="4BCBB598"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3,61</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6102620E" w14:textId="1E54BBA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0,36</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380AEBCA"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37499DA7"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Radijski in televizijski aparati, komunikacijska, telekomunikacijska in z njimi povezana oprema</w:t>
            </w:r>
          </w:p>
        </w:tc>
        <w:tc>
          <w:tcPr>
            <w:tcW w:w="548" w:type="pct"/>
            <w:tcBorders>
              <w:top w:val="nil"/>
              <w:left w:val="nil"/>
              <w:bottom w:val="single" w:sz="4" w:space="0" w:color="auto"/>
              <w:right w:val="single" w:sz="4" w:space="0" w:color="auto"/>
            </w:tcBorders>
            <w:shd w:val="clear" w:color="auto" w:fill="auto"/>
            <w:noWrap/>
            <w:vAlign w:val="center"/>
            <w:hideMark/>
          </w:tcPr>
          <w:p w14:paraId="1E31DDE5"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32</w:t>
            </w:r>
          </w:p>
        </w:tc>
        <w:tc>
          <w:tcPr>
            <w:tcW w:w="468" w:type="pct"/>
            <w:tcBorders>
              <w:top w:val="nil"/>
              <w:left w:val="nil"/>
              <w:bottom w:val="single" w:sz="4" w:space="0" w:color="auto"/>
              <w:right w:val="single" w:sz="4" w:space="0" w:color="auto"/>
            </w:tcBorders>
            <w:shd w:val="clear" w:color="auto" w:fill="auto"/>
            <w:vAlign w:val="center"/>
            <w:hideMark/>
          </w:tcPr>
          <w:p w14:paraId="7A1A65F1"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w:t>
            </w:r>
          </w:p>
        </w:tc>
        <w:tc>
          <w:tcPr>
            <w:tcW w:w="783" w:type="pct"/>
            <w:tcBorders>
              <w:top w:val="nil"/>
              <w:left w:val="nil"/>
              <w:bottom w:val="single" w:sz="4" w:space="0" w:color="auto"/>
              <w:right w:val="single" w:sz="4" w:space="0" w:color="auto"/>
            </w:tcBorders>
            <w:shd w:val="clear" w:color="auto" w:fill="auto"/>
            <w:vAlign w:val="center"/>
            <w:hideMark/>
          </w:tcPr>
          <w:p w14:paraId="61C5C0E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1.998.221</w:t>
            </w:r>
          </w:p>
        </w:tc>
        <w:tc>
          <w:tcPr>
            <w:tcW w:w="547" w:type="pct"/>
            <w:tcBorders>
              <w:top w:val="nil"/>
              <w:left w:val="nil"/>
              <w:bottom w:val="single" w:sz="4" w:space="0" w:color="auto"/>
              <w:right w:val="single" w:sz="4" w:space="0" w:color="auto"/>
            </w:tcBorders>
            <w:shd w:val="clear" w:color="auto" w:fill="auto"/>
            <w:noWrap/>
            <w:vAlign w:val="center"/>
            <w:hideMark/>
          </w:tcPr>
          <w:p w14:paraId="7A85CBDB"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3,61</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79EA9960" w14:textId="33AFB821"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3,03</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78718BAE"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16047E3A"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Medicinska oprema, farmacevtski izdelki in izdelki za osebno nego</w:t>
            </w:r>
          </w:p>
        </w:tc>
        <w:tc>
          <w:tcPr>
            <w:tcW w:w="548" w:type="pct"/>
            <w:tcBorders>
              <w:top w:val="nil"/>
              <w:left w:val="nil"/>
              <w:bottom w:val="single" w:sz="4" w:space="0" w:color="auto"/>
              <w:right w:val="single" w:sz="4" w:space="0" w:color="auto"/>
            </w:tcBorders>
            <w:shd w:val="clear" w:color="auto" w:fill="auto"/>
            <w:noWrap/>
            <w:vAlign w:val="center"/>
            <w:hideMark/>
          </w:tcPr>
          <w:p w14:paraId="456B2261"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33</w:t>
            </w:r>
          </w:p>
        </w:tc>
        <w:tc>
          <w:tcPr>
            <w:tcW w:w="468" w:type="pct"/>
            <w:tcBorders>
              <w:top w:val="nil"/>
              <w:left w:val="nil"/>
              <w:bottom w:val="single" w:sz="4" w:space="0" w:color="auto"/>
              <w:right w:val="single" w:sz="4" w:space="0" w:color="auto"/>
            </w:tcBorders>
            <w:shd w:val="clear" w:color="auto" w:fill="auto"/>
            <w:vAlign w:val="center"/>
            <w:hideMark/>
          </w:tcPr>
          <w:p w14:paraId="3A12BCA1"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w:t>
            </w:r>
          </w:p>
        </w:tc>
        <w:tc>
          <w:tcPr>
            <w:tcW w:w="783" w:type="pct"/>
            <w:tcBorders>
              <w:top w:val="nil"/>
              <w:left w:val="nil"/>
              <w:bottom w:val="single" w:sz="4" w:space="0" w:color="auto"/>
              <w:right w:val="single" w:sz="4" w:space="0" w:color="auto"/>
            </w:tcBorders>
            <w:shd w:val="clear" w:color="auto" w:fill="auto"/>
            <w:vAlign w:val="center"/>
            <w:hideMark/>
          </w:tcPr>
          <w:p w14:paraId="7BDB3AB6"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249.500</w:t>
            </w:r>
          </w:p>
        </w:tc>
        <w:tc>
          <w:tcPr>
            <w:tcW w:w="547" w:type="pct"/>
            <w:tcBorders>
              <w:top w:val="nil"/>
              <w:left w:val="nil"/>
              <w:bottom w:val="single" w:sz="4" w:space="0" w:color="auto"/>
              <w:right w:val="single" w:sz="4" w:space="0" w:color="auto"/>
            </w:tcBorders>
            <w:shd w:val="clear" w:color="auto" w:fill="auto"/>
            <w:noWrap/>
            <w:vAlign w:val="center"/>
            <w:hideMark/>
          </w:tcPr>
          <w:p w14:paraId="24684A3C"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4FF4ABD9" w14:textId="7737A83F"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0,38</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3FE1240B"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370888F9"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Prevozna sredstva in dodatni proizvodi za promet</w:t>
            </w:r>
          </w:p>
        </w:tc>
        <w:tc>
          <w:tcPr>
            <w:tcW w:w="548" w:type="pct"/>
            <w:tcBorders>
              <w:top w:val="nil"/>
              <w:left w:val="nil"/>
              <w:bottom w:val="single" w:sz="4" w:space="0" w:color="auto"/>
              <w:right w:val="single" w:sz="4" w:space="0" w:color="auto"/>
            </w:tcBorders>
            <w:shd w:val="clear" w:color="auto" w:fill="auto"/>
            <w:noWrap/>
            <w:vAlign w:val="center"/>
            <w:hideMark/>
          </w:tcPr>
          <w:p w14:paraId="5D7B8E8C"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34</w:t>
            </w:r>
          </w:p>
        </w:tc>
        <w:tc>
          <w:tcPr>
            <w:tcW w:w="468" w:type="pct"/>
            <w:tcBorders>
              <w:top w:val="nil"/>
              <w:left w:val="nil"/>
              <w:bottom w:val="single" w:sz="4" w:space="0" w:color="auto"/>
              <w:right w:val="single" w:sz="4" w:space="0" w:color="auto"/>
            </w:tcBorders>
            <w:shd w:val="clear" w:color="auto" w:fill="auto"/>
            <w:vAlign w:val="center"/>
            <w:hideMark/>
          </w:tcPr>
          <w:p w14:paraId="681885BF"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13</w:t>
            </w:r>
          </w:p>
        </w:tc>
        <w:tc>
          <w:tcPr>
            <w:tcW w:w="783" w:type="pct"/>
            <w:tcBorders>
              <w:top w:val="nil"/>
              <w:left w:val="nil"/>
              <w:bottom w:val="single" w:sz="4" w:space="0" w:color="auto"/>
              <w:right w:val="single" w:sz="4" w:space="0" w:color="auto"/>
            </w:tcBorders>
            <w:shd w:val="clear" w:color="auto" w:fill="auto"/>
            <w:vAlign w:val="center"/>
            <w:hideMark/>
          </w:tcPr>
          <w:p w14:paraId="0FCFD80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26.424.285</w:t>
            </w:r>
          </w:p>
        </w:tc>
        <w:tc>
          <w:tcPr>
            <w:tcW w:w="547" w:type="pct"/>
            <w:tcBorders>
              <w:top w:val="nil"/>
              <w:left w:val="nil"/>
              <w:bottom w:val="single" w:sz="4" w:space="0" w:color="auto"/>
              <w:right w:val="single" w:sz="4" w:space="0" w:color="auto"/>
            </w:tcBorders>
            <w:shd w:val="clear" w:color="auto" w:fill="auto"/>
            <w:noWrap/>
            <w:vAlign w:val="center"/>
            <w:hideMark/>
          </w:tcPr>
          <w:p w14:paraId="339ECCF3"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15,66</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6E29424B" w14:textId="2D3E660F"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40,01</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4B2A43C1"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3B3089F2"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Varnostna, gasilska, policijska in obrambna oprema</w:t>
            </w:r>
          </w:p>
        </w:tc>
        <w:tc>
          <w:tcPr>
            <w:tcW w:w="548" w:type="pct"/>
            <w:tcBorders>
              <w:top w:val="nil"/>
              <w:left w:val="nil"/>
              <w:bottom w:val="single" w:sz="4" w:space="0" w:color="auto"/>
              <w:right w:val="single" w:sz="4" w:space="0" w:color="auto"/>
            </w:tcBorders>
            <w:shd w:val="clear" w:color="auto" w:fill="auto"/>
            <w:noWrap/>
            <w:vAlign w:val="center"/>
            <w:hideMark/>
          </w:tcPr>
          <w:p w14:paraId="5028DB7C"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35</w:t>
            </w:r>
          </w:p>
        </w:tc>
        <w:tc>
          <w:tcPr>
            <w:tcW w:w="468" w:type="pct"/>
            <w:tcBorders>
              <w:top w:val="nil"/>
              <w:left w:val="nil"/>
              <w:bottom w:val="single" w:sz="4" w:space="0" w:color="auto"/>
              <w:right w:val="single" w:sz="4" w:space="0" w:color="auto"/>
            </w:tcBorders>
            <w:shd w:val="clear" w:color="auto" w:fill="auto"/>
            <w:vAlign w:val="center"/>
            <w:hideMark/>
          </w:tcPr>
          <w:p w14:paraId="4A79045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19</w:t>
            </w:r>
          </w:p>
        </w:tc>
        <w:tc>
          <w:tcPr>
            <w:tcW w:w="783" w:type="pct"/>
            <w:tcBorders>
              <w:top w:val="nil"/>
              <w:left w:val="nil"/>
              <w:bottom w:val="single" w:sz="4" w:space="0" w:color="auto"/>
              <w:right w:val="single" w:sz="4" w:space="0" w:color="auto"/>
            </w:tcBorders>
            <w:shd w:val="clear" w:color="auto" w:fill="auto"/>
            <w:vAlign w:val="center"/>
            <w:hideMark/>
          </w:tcPr>
          <w:p w14:paraId="1FA7F40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18.772.304</w:t>
            </w:r>
          </w:p>
        </w:tc>
        <w:tc>
          <w:tcPr>
            <w:tcW w:w="547" w:type="pct"/>
            <w:tcBorders>
              <w:top w:val="nil"/>
              <w:left w:val="nil"/>
              <w:bottom w:val="single" w:sz="4" w:space="0" w:color="auto"/>
              <w:right w:val="single" w:sz="4" w:space="0" w:color="auto"/>
            </w:tcBorders>
            <w:shd w:val="clear" w:color="auto" w:fill="auto"/>
            <w:noWrap/>
            <w:vAlign w:val="center"/>
            <w:hideMark/>
          </w:tcPr>
          <w:p w14:paraId="09490DB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22,89</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529F7A79" w14:textId="4DDE19F3"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28,43</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5A35FF71"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2F762E1D"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Laboratorijska, optična in precizna oprema (razen očal)</w:t>
            </w:r>
          </w:p>
        </w:tc>
        <w:tc>
          <w:tcPr>
            <w:tcW w:w="548" w:type="pct"/>
            <w:tcBorders>
              <w:top w:val="nil"/>
              <w:left w:val="nil"/>
              <w:bottom w:val="single" w:sz="4" w:space="0" w:color="auto"/>
              <w:right w:val="single" w:sz="4" w:space="0" w:color="auto"/>
            </w:tcBorders>
            <w:shd w:val="clear" w:color="auto" w:fill="auto"/>
            <w:noWrap/>
            <w:vAlign w:val="center"/>
            <w:hideMark/>
          </w:tcPr>
          <w:p w14:paraId="63D3D0B2"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38</w:t>
            </w:r>
          </w:p>
        </w:tc>
        <w:tc>
          <w:tcPr>
            <w:tcW w:w="468" w:type="pct"/>
            <w:tcBorders>
              <w:top w:val="nil"/>
              <w:left w:val="nil"/>
              <w:bottom w:val="single" w:sz="4" w:space="0" w:color="auto"/>
              <w:right w:val="single" w:sz="4" w:space="0" w:color="auto"/>
            </w:tcBorders>
            <w:shd w:val="clear" w:color="auto" w:fill="auto"/>
            <w:vAlign w:val="center"/>
            <w:hideMark/>
          </w:tcPr>
          <w:p w14:paraId="4FFA256A"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w:t>
            </w:r>
          </w:p>
        </w:tc>
        <w:tc>
          <w:tcPr>
            <w:tcW w:w="783" w:type="pct"/>
            <w:tcBorders>
              <w:top w:val="nil"/>
              <w:left w:val="nil"/>
              <w:bottom w:val="single" w:sz="4" w:space="0" w:color="auto"/>
              <w:right w:val="single" w:sz="4" w:space="0" w:color="auto"/>
            </w:tcBorders>
            <w:shd w:val="clear" w:color="auto" w:fill="auto"/>
            <w:vAlign w:val="center"/>
            <w:hideMark/>
          </w:tcPr>
          <w:p w14:paraId="4A7A2ACD"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45.510</w:t>
            </w:r>
          </w:p>
        </w:tc>
        <w:tc>
          <w:tcPr>
            <w:tcW w:w="547" w:type="pct"/>
            <w:tcBorders>
              <w:top w:val="nil"/>
              <w:left w:val="nil"/>
              <w:bottom w:val="single" w:sz="4" w:space="0" w:color="auto"/>
              <w:right w:val="single" w:sz="4" w:space="0" w:color="auto"/>
            </w:tcBorders>
            <w:shd w:val="clear" w:color="auto" w:fill="auto"/>
            <w:noWrap/>
            <w:vAlign w:val="center"/>
            <w:hideMark/>
          </w:tcPr>
          <w:p w14:paraId="4BC8C567"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7049CC78" w14:textId="5C966A93"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0,07</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2EFB0D71"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649588F6"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Rudarska, kamnoseška in gradbena oprema</w:t>
            </w:r>
          </w:p>
        </w:tc>
        <w:tc>
          <w:tcPr>
            <w:tcW w:w="548" w:type="pct"/>
            <w:tcBorders>
              <w:top w:val="nil"/>
              <w:left w:val="nil"/>
              <w:bottom w:val="single" w:sz="4" w:space="0" w:color="auto"/>
              <w:right w:val="single" w:sz="4" w:space="0" w:color="auto"/>
            </w:tcBorders>
            <w:shd w:val="clear" w:color="auto" w:fill="auto"/>
            <w:noWrap/>
            <w:vAlign w:val="center"/>
            <w:hideMark/>
          </w:tcPr>
          <w:p w14:paraId="57B42952"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43</w:t>
            </w:r>
          </w:p>
        </w:tc>
        <w:tc>
          <w:tcPr>
            <w:tcW w:w="468" w:type="pct"/>
            <w:tcBorders>
              <w:top w:val="nil"/>
              <w:left w:val="nil"/>
              <w:bottom w:val="single" w:sz="4" w:space="0" w:color="auto"/>
              <w:right w:val="single" w:sz="4" w:space="0" w:color="auto"/>
            </w:tcBorders>
            <w:shd w:val="clear" w:color="auto" w:fill="auto"/>
            <w:vAlign w:val="center"/>
            <w:hideMark/>
          </w:tcPr>
          <w:p w14:paraId="35A21478"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w:t>
            </w:r>
          </w:p>
        </w:tc>
        <w:tc>
          <w:tcPr>
            <w:tcW w:w="783" w:type="pct"/>
            <w:tcBorders>
              <w:top w:val="nil"/>
              <w:left w:val="nil"/>
              <w:bottom w:val="single" w:sz="4" w:space="0" w:color="auto"/>
              <w:right w:val="single" w:sz="4" w:space="0" w:color="auto"/>
            </w:tcBorders>
            <w:shd w:val="clear" w:color="auto" w:fill="auto"/>
            <w:vAlign w:val="center"/>
            <w:hideMark/>
          </w:tcPr>
          <w:p w14:paraId="25F805BB"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32.328</w:t>
            </w:r>
          </w:p>
        </w:tc>
        <w:tc>
          <w:tcPr>
            <w:tcW w:w="547" w:type="pct"/>
            <w:tcBorders>
              <w:top w:val="nil"/>
              <w:left w:val="nil"/>
              <w:bottom w:val="single" w:sz="4" w:space="0" w:color="auto"/>
              <w:right w:val="single" w:sz="4" w:space="0" w:color="auto"/>
            </w:tcBorders>
            <w:shd w:val="clear" w:color="auto" w:fill="auto"/>
            <w:noWrap/>
            <w:vAlign w:val="center"/>
            <w:hideMark/>
          </w:tcPr>
          <w:p w14:paraId="37008B02"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2AE1AEC9" w14:textId="11836771"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0,05</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23527D1F"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703F7945"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Gradbena dela</w:t>
            </w:r>
          </w:p>
        </w:tc>
        <w:tc>
          <w:tcPr>
            <w:tcW w:w="548" w:type="pct"/>
            <w:tcBorders>
              <w:top w:val="nil"/>
              <w:left w:val="nil"/>
              <w:bottom w:val="single" w:sz="4" w:space="0" w:color="auto"/>
              <w:right w:val="single" w:sz="4" w:space="0" w:color="auto"/>
            </w:tcBorders>
            <w:shd w:val="clear" w:color="auto" w:fill="auto"/>
            <w:noWrap/>
            <w:vAlign w:val="center"/>
            <w:hideMark/>
          </w:tcPr>
          <w:p w14:paraId="4E1C485F"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45</w:t>
            </w:r>
          </w:p>
        </w:tc>
        <w:tc>
          <w:tcPr>
            <w:tcW w:w="468" w:type="pct"/>
            <w:tcBorders>
              <w:top w:val="nil"/>
              <w:left w:val="nil"/>
              <w:bottom w:val="single" w:sz="4" w:space="0" w:color="auto"/>
              <w:right w:val="single" w:sz="4" w:space="0" w:color="auto"/>
            </w:tcBorders>
            <w:shd w:val="clear" w:color="auto" w:fill="auto"/>
            <w:vAlign w:val="center"/>
            <w:hideMark/>
          </w:tcPr>
          <w:p w14:paraId="2E114B8A"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w:t>
            </w:r>
          </w:p>
        </w:tc>
        <w:tc>
          <w:tcPr>
            <w:tcW w:w="783" w:type="pct"/>
            <w:tcBorders>
              <w:top w:val="nil"/>
              <w:left w:val="nil"/>
              <w:bottom w:val="single" w:sz="4" w:space="0" w:color="auto"/>
              <w:right w:val="single" w:sz="4" w:space="0" w:color="auto"/>
            </w:tcBorders>
            <w:shd w:val="clear" w:color="auto" w:fill="auto"/>
            <w:vAlign w:val="center"/>
            <w:hideMark/>
          </w:tcPr>
          <w:p w14:paraId="688BBD9B"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4.922.889</w:t>
            </w:r>
          </w:p>
        </w:tc>
        <w:tc>
          <w:tcPr>
            <w:tcW w:w="547" w:type="pct"/>
            <w:tcBorders>
              <w:top w:val="nil"/>
              <w:left w:val="nil"/>
              <w:bottom w:val="single" w:sz="4" w:space="0" w:color="auto"/>
              <w:right w:val="single" w:sz="4" w:space="0" w:color="auto"/>
            </w:tcBorders>
            <w:shd w:val="clear" w:color="auto" w:fill="auto"/>
            <w:noWrap/>
            <w:vAlign w:val="center"/>
            <w:hideMark/>
          </w:tcPr>
          <w:p w14:paraId="53F5C04B"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4,82</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15DEE70C" w14:textId="79240BF3"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7,45</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6A9BCC32"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2E96C5DC"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Programski paketi in informacijski sistemi</w:t>
            </w:r>
          </w:p>
        </w:tc>
        <w:tc>
          <w:tcPr>
            <w:tcW w:w="548" w:type="pct"/>
            <w:tcBorders>
              <w:top w:val="nil"/>
              <w:left w:val="nil"/>
              <w:bottom w:val="single" w:sz="4" w:space="0" w:color="auto"/>
              <w:right w:val="single" w:sz="4" w:space="0" w:color="auto"/>
            </w:tcBorders>
            <w:shd w:val="clear" w:color="auto" w:fill="auto"/>
            <w:noWrap/>
            <w:vAlign w:val="center"/>
            <w:hideMark/>
          </w:tcPr>
          <w:p w14:paraId="69315A38"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48</w:t>
            </w:r>
          </w:p>
        </w:tc>
        <w:tc>
          <w:tcPr>
            <w:tcW w:w="468" w:type="pct"/>
            <w:tcBorders>
              <w:top w:val="nil"/>
              <w:left w:val="nil"/>
              <w:bottom w:val="single" w:sz="4" w:space="0" w:color="auto"/>
              <w:right w:val="single" w:sz="4" w:space="0" w:color="auto"/>
            </w:tcBorders>
            <w:shd w:val="clear" w:color="auto" w:fill="auto"/>
            <w:vAlign w:val="center"/>
            <w:hideMark/>
          </w:tcPr>
          <w:p w14:paraId="255EF342"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w:t>
            </w:r>
          </w:p>
        </w:tc>
        <w:tc>
          <w:tcPr>
            <w:tcW w:w="783" w:type="pct"/>
            <w:tcBorders>
              <w:top w:val="nil"/>
              <w:left w:val="nil"/>
              <w:bottom w:val="single" w:sz="4" w:space="0" w:color="auto"/>
              <w:right w:val="single" w:sz="4" w:space="0" w:color="auto"/>
            </w:tcBorders>
            <w:shd w:val="clear" w:color="auto" w:fill="auto"/>
            <w:vAlign w:val="center"/>
            <w:hideMark/>
          </w:tcPr>
          <w:p w14:paraId="46A6E772"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563.476</w:t>
            </w:r>
          </w:p>
        </w:tc>
        <w:tc>
          <w:tcPr>
            <w:tcW w:w="547" w:type="pct"/>
            <w:tcBorders>
              <w:top w:val="nil"/>
              <w:left w:val="nil"/>
              <w:bottom w:val="single" w:sz="4" w:space="0" w:color="auto"/>
              <w:right w:val="single" w:sz="4" w:space="0" w:color="auto"/>
            </w:tcBorders>
            <w:shd w:val="clear" w:color="auto" w:fill="auto"/>
            <w:noWrap/>
            <w:vAlign w:val="center"/>
            <w:hideMark/>
          </w:tcPr>
          <w:p w14:paraId="0C09CA4C"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4,82</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6EA27CD4" w14:textId="76EB686D"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0,85</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2A700BE4"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75F58BAD"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Storitve popravila in vzdrževanja</w:t>
            </w:r>
          </w:p>
        </w:tc>
        <w:tc>
          <w:tcPr>
            <w:tcW w:w="548" w:type="pct"/>
            <w:tcBorders>
              <w:top w:val="nil"/>
              <w:left w:val="nil"/>
              <w:bottom w:val="single" w:sz="4" w:space="0" w:color="auto"/>
              <w:right w:val="single" w:sz="4" w:space="0" w:color="auto"/>
            </w:tcBorders>
            <w:shd w:val="clear" w:color="auto" w:fill="auto"/>
            <w:noWrap/>
            <w:vAlign w:val="center"/>
            <w:hideMark/>
          </w:tcPr>
          <w:p w14:paraId="67FC732B"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50</w:t>
            </w:r>
          </w:p>
        </w:tc>
        <w:tc>
          <w:tcPr>
            <w:tcW w:w="468" w:type="pct"/>
            <w:tcBorders>
              <w:top w:val="nil"/>
              <w:left w:val="nil"/>
              <w:bottom w:val="single" w:sz="4" w:space="0" w:color="auto"/>
              <w:right w:val="single" w:sz="4" w:space="0" w:color="auto"/>
            </w:tcBorders>
            <w:shd w:val="clear" w:color="auto" w:fill="auto"/>
            <w:vAlign w:val="center"/>
            <w:hideMark/>
          </w:tcPr>
          <w:p w14:paraId="5ADB1442"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26</w:t>
            </w:r>
          </w:p>
        </w:tc>
        <w:tc>
          <w:tcPr>
            <w:tcW w:w="783" w:type="pct"/>
            <w:tcBorders>
              <w:top w:val="nil"/>
              <w:left w:val="nil"/>
              <w:bottom w:val="single" w:sz="4" w:space="0" w:color="auto"/>
              <w:right w:val="single" w:sz="4" w:space="0" w:color="auto"/>
            </w:tcBorders>
            <w:shd w:val="clear" w:color="auto" w:fill="auto"/>
            <w:vAlign w:val="center"/>
            <w:hideMark/>
          </w:tcPr>
          <w:p w14:paraId="21A50770"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11.673.381</w:t>
            </w:r>
          </w:p>
        </w:tc>
        <w:tc>
          <w:tcPr>
            <w:tcW w:w="547" w:type="pct"/>
            <w:tcBorders>
              <w:top w:val="nil"/>
              <w:left w:val="nil"/>
              <w:bottom w:val="single" w:sz="4" w:space="0" w:color="auto"/>
              <w:right w:val="single" w:sz="4" w:space="0" w:color="auto"/>
            </w:tcBorders>
            <w:shd w:val="clear" w:color="auto" w:fill="auto"/>
            <w:noWrap/>
            <w:vAlign w:val="center"/>
            <w:hideMark/>
          </w:tcPr>
          <w:p w14:paraId="531B16E6"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31,33</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514A4CC5" w14:textId="4012273E"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17,68</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412D8005"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2784FA01"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Arhitekturne, gradbeniške, inženirske in inšpekcijske storitve</w:t>
            </w:r>
          </w:p>
        </w:tc>
        <w:tc>
          <w:tcPr>
            <w:tcW w:w="548" w:type="pct"/>
            <w:tcBorders>
              <w:top w:val="nil"/>
              <w:left w:val="nil"/>
              <w:bottom w:val="single" w:sz="4" w:space="0" w:color="auto"/>
              <w:right w:val="single" w:sz="4" w:space="0" w:color="auto"/>
            </w:tcBorders>
            <w:shd w:val="clear" w:color="auto" w:fill="auto"/>
            <w:noWrap/>
            <w:vAlign w:val="center"/>
            <w:hideMark/>
          </w:tcPr>
          <w:p w14:paraId="3377B97A"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71</w:t>
            </w:r>
          </w:p>
        </w:tc>
        <w:tc>
          <w:tcPr>
            <w:tcW w:w="468" w:type="pct"/>
            <w:tcBorders>
              <w:top w:val="nil"/>
              <w:left w:val="nil"/>
              <w:bottom w:val="single" w:sz="4" w:space="0" w:color="auto"/>
              <w:right w:val="single" w:sz="4" w:space="0" w:color="auto"/>
            </w:tcBorders>
            <w:shd w:val="clear" w:color="auto" w:fill="auto"/>
            <w:vAlign w:val="center"/>
            <w:hideMark/>
          </w:tcPr>
          <w:p w14:paraId="1313513E"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w:t>
            </w:r>
          </w:p>
        </w:tc>
        <w:tc>
          <w:tcPr>
            <w:tcW w:w="783" w:type="pct"/>
            <w:tcBorders>
              <w:top w:val="nil"/>
              <w:left w:val="nil"/>
              <w:bottom w:val="single" w:sz="4" w:space="0" w:color="auto"/>
              <w:right w:val="single" w:sz="4" w:space="0" w:color="auto"/>
            </w:tcBorders>
            <w:shd w:val="clear" w:color="auto" w:fill="auto"/>
            <w:vAlign w:val="center"/>
            <w:hideMark/>
          </w:tcPr>
          <w:p w14:paraId="67207BC8"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232.180</w:t>
            </w:r>
          </w:p>
        </w:tc>
        <w:tc>
          <w:tcPr>
            <w:tcW w:w="547" w:type="pct"/>
            <w:tcBorders>
              <w:top w:val="nil"/>
              <w:left w:val="nil"/>
              <w:bottom w:val="single" w:sz="4" w:space="0" w:color="auto"/>
              <w:right w:val="single" w:sz="4" w:space="0" w:color="auto"/>
            </w:tcBorders>
            <w:shd w:val="clear" w:color="auto" w:fill="auto"/>
            <w:noWrap/>
            <w:vAlign w:val="center"/>
            <w:hideMark/>
          </w:tcPr>
          <w:p w14:paraId="643993B3"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3,61</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0FE43763" w14:textId="137842ED"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0,35</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4370EF15"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09951C5B"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Storitve informacijske tehnologije: svetovanje, razvoj programske opreme, internet in podpora</w:t>
            </w:r>
          </w:p>
        </w:tc>
        <w:tc>
          <w:tcPr>
            <w:tcW w:w="548" w:type="pct"/>
            <w:tcBorders>
              <w:top w:val="nil"/>
              <w:left w:val="nil"/>
              <w:bottom w:val="single" w:sz="4" w:space="0" w:color="auto"/>
              <w:right w:val="single" w:sz="4" w:space="0" w:color="auto"/>
            </w:tcBorders>
            <w:shd w:val="clear" w:color="auto" w:fill="auto"/>
            <w:noWrap/>
            <w:vAlign w:val="center"/>
            <w:hideMark/>
          </w:tcPr>
          <w:p w14:paraId="386D8F0C"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72</w:t>
            </w:r>
          </w:p>
        </w:tc>
        <w:tc>
          <w:tcPr>
            <w:tcW w:w="468" w:type="pct"/>
            <w:tcBorders>
              <w:top w:val="nil"/>
              <w:left w:val="nil"/>
              <w:bottom w:val="single" w:sz="4" w:space="0" w:color="auto"/>
              <w:right w:val="single" w:sz="4" w:space="0" w:color="auto"/>
            </w:tcBorders>
            <w:shd w:val="clear" w:color="auto" w:fill="auto"/>
            <w:vAlign w:val="center"/>
            <w:hideMark/>
          </w:tcPr>
          <w:p w14:paraId="5E159DD8"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w:t>
            </w:r>
          </w:p>
        </w:tc>
        <w:tc>
          <w:tcPr>
            <w:tcW w:w="783" w:type="pct"/>
            <w:tcBorders>
              <w:top w:val="nil"/>
              <w:left w:val="nil"/>
              <w:bottom w:val="single" w:sz="4" w:space="0" w:color="auto"/>
              <w:right w:val="single" w:sz="4" w:space="0" w:color="auto"/>
            </w:tcBorders>
            <w:shd w:val="clear" w:color="auto" w:fill="auto"/>
            <w:vAlign w:val="center"/>
            <w:hideMark/>
          </w:tcPr>
          <w:p w14:paraId="7E55432D"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311.467</w:t>
            </w:r>
          </w:p>
        </w:tc>
        <w:tc>
          <w:tcPr>
            <w:tcW w:w="547" w:type="pct"/>
            <w:tcBorders>
              <w:top w:val="nil"/>
              <w:left w:val="nil"/>
              <w:bottom w:val="single" w:sz="4" w:space="0" w:color="auto"/>
              <w:right w:val="single" w:sz="4" w:space="0" w:color="auto"/>
            </w:tcBorders>
            <w:shd w:val="clear" w:color="auto" w:fill="auto"/>
            <w:noWrap/>
            <w:vAlign w:val="center"/>
            <w:hideMark/>
          </w:tcPr>
          <w:p w14:paraId="27FF222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2,41</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01CD7E3F" w14:textId="07AC49EE"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0,47</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201C84E0"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5E90DB4F"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Storitve na področju raziskav in razvoja ter s tem povezane svetovalne storitve</w:t>
            </w:r>
          </w:p>
        </w:tc>
        <w:tc>
          <w:tcPr>
            <w:tcW w:w="548" w:type="pct"/>
            <w:tcBorders>
              <w:top w:val="nil"/>
              <w:left w:val="nil"/>
              <w:bottom w:val="single" w:sz="4" w:space="0" w:color="auto"/>
              <w:right w:val="single" w:sz="4" w:space="0" w:color="auto"/>
            </w:tcBorders>
            <w:shd w:val="clear" w:color="auto" w:fill="auto"/>
            <w:noWrap/>
            <w:vAlign w:val="center"/>
            <w:hideMark/>
          </w:tcPr>
          <w:p w14:paraId="763A5F01"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73</w:t>
            </w:r>
          </w:p>
        </w:tc>
        <w:tc>
          <w:tcPr>
            <w:tcW w:w="468" w:type="pct"/>
            <w:tcBorders>
              <w:top w:val="nil"/>
              <w:left w:val="nil"/>
              <w:bottom w:val="single" w:sz="4" w:space="0" w:color="auto"/>
              <w:right w:val="single" w:sz="4" w:space="0" w:color="auto"/>
            </w:tcBorders>
            <w:shd w:val="clear" w:color="auto" w:fill="auto"/>
            <w:vAlign w:val="center"/>
            <w:hideMark/>
          </w:tcPr>
          <w:p w14:paraId="385BAC7D"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w:t>
            </w:r>
          </w:p>
        </w:tc>
        <w:tc>
          <w:tcPr>
            <w:tcW w:w="783" w:type="pct"/>
            <w:tcBorders>
              <w:top w:val="nil"/>
              <w:left w:val="nil"/>
              <w:bottom w:val="single" w:sz="4" w:space="0" w:color="auto"/>
              <w:right w:val="single" w:sz="4" w:space="0" w:color="auto"/>
            </w:tcBorders>
            <w:shd w:val="clear" w:color="auto" w:fill="auto"/>
            <w:vAlign w:val="center"/>
            <w:hideMark/>
          </w:tcPr>
          <w:p w14:paraId="2FF50C7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69.960</w:t>
            </w:r>
          </w:p>
        </w:tc>
        <w:tc>
          <w:tcPr>
            <w:tcW w:w="547" w:type="pct"/>
            <w:tcBorders>
              <w:top w:val="nil"/>
              <w:left w:val="nil"/>
              <w:bottom w:val="single" w:sz="4" w:space="0" w:color="auto"/>
              <w:right w:val="single" w:sz="4" w:space="0" w:color="auto"/>
            </w:tcBorders>
            <w:shd w:val="clear" w:color="auto" w:fill="auto"/>
            <w:noWrap/>
            <w:vAlign w:val="center"/>
            <w:hideMark/>
          </w:tcPr>
          <w:p w14:paraId="66EB9E32"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7820DF1E" w14:textId="779CDC0A"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0,11</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12F2F4D2" w14:textId="77777777" w:rsidTr="00AC1F17">
        <w:trPr>
          <w:trHeight w:val="300"/>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01224C56"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Storitve izobraževanja in usposabljanja</w:t>
            </w:r>
          </w:p>
        </w:tc>
        <w:tc>
          <w:tcPr>
            <w:tcW w:w="548" w:type="pct"/>
            <w:tcBorders>
              <w:top w:val="nil"/>
              <w:left w:val="nil"/>
              <w:bottom w:val="single" w:sz="4" w:space="0" w:color="auto"/>
              <w:right w:val="single" w:sz="4" w:space="0" w:color="auto"/>
            </w:tcBorders>
            <w:shd w:val="clear" w:color="auto" w:fill="auto"/>
            <w:noWrap/>
            <w:vAlign w:val="center"/>
            <w:hideMark/>
          </w:tcPr>
          <w:p w14:paraId="1BD7333F" w14:textId="77777777" w:rsidR="00072A69" w:rsidRPr="00651EDC" w:rsidRDefault="00072A69" w:rsidP="00AC1F17">
            <w:pPr>
              <w:spacing w:after="0" w:line="240" w:lineRule="auto"/>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80</w:t>
            </w:r>
          </w:p>
        </w:tc>
        <w:tc>
          <w:tcPr>
            <w:tcW w:w="468" w:type="pct"/>
            <w:tcBorders>
              <w:top w:val="nil"/>
              <w:left w:val="nil"/>
              <w:bottom w:val="single" w:sz="4" w:space="0" w:color="auto"/>
              <w:right w:val="single" w:sz="4" w:space="0" w:color="auto"/>
            </w:tcBorders>
            <w:shd w:val="clear" w:color="auto" w:fill="auto"/>
            <w:vAlign w:val="center"/>
            <w:hideMark/>
          </w:tcPr>
          <w:p w14:paraId="29D5AD9D"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w:t>
            </w:r>
          </w:p>
        </w:tc>
        <w:tc>
          <w:tcPr>
            <w:tcW w:w="783" w:type="pct"/>
            <w:tcBorders>
              <w:top w:val="nil"/>
              <w:left w:val="nil"/>
              <w:bottom w:val="single" w:sz="4" w:space="0" w:color="auto"/>
              <w:right w:val="single" w:sz="4" w:space="0" w:color="auto"/>
            </w:tcBorders>
            <w:shd w:val="clear" w:color="auto" w:fill="auto"/>
            <w:vAlign w:val="center"/>
            <w:hideMark/>
          </w:tcPr>
          <w:p w14:paraId="05722815"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502.360</w:t>
            </w:r>
          </w:p>
        </w:tc>
        <w:tc>
          <w:tcPr>
            <w:tcW w:w="547" w:type="pct"/>
            <w:tcBorders>
              <w:top w:val="nil"/>
              <w:left w:val="nil"/>
              <w:bottom w:val="single" w:sz="4" w:space="0" w:color="auto"/>
              <w:right w:val="single" w:sz="4" w:space="0" w:color="auto"/>
            </w:tcBorders>
            <w:shd w:val="clear" w:color="auto" w:fill="auto"/>
            <w:noWrap/>
            <w:vAlign w:val="center"/>
            <w:hideMark/>
          </w:tcPr>
          <w:p w14:paraId="077866C4" w14:textId="77777777"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2,41</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310B20B8" w14:textId="57B26EC2" w:rsidR="00072A69" w:rsidRPr="00651EDC" w:rsidRDefault="00072A69" w:rsidP="00AC1F17">
            <w:pPr>
              <w:spacing w:after="0" w:line="240" w:lineRule="auto"/>
              <w:jc w:val="right"/>
              <w:rPr>
                <w:rFonts w:ascii="Arial" w:eastAsia="Times New Roman" w:hAnsi="Arial" w:cs="Arial"/>
                <w:color w:val="000000"/>
                <w:sz w:val="18"/>
                <w:szCs w:val="18"/>
                <w:lang w:eastAsia="sl-SI"/>
              </w:rPr>
            </w:pPr>
            <w:r w:rsidRPr="00651EDC">
              <w:rPr>
                <w:rFonts w:ascii="Arial" w:eastAsia="Times New Roman" w:hAnsi="Arial" w:cs="Arial"/>
                <w:color w:val="000000"/>
                <w:sz w:val="18"/>
                <w:szCs w:val="18"/>
                <w:lang w:eastAsia="sl-SI"/>
              </w:rPr>
              <w:t>0,76</w:t>
            </w:r>
            <w:r w:rsidR="000B5B5F">
              <w:rPr>
                <w:rFonts w:ascii="Arial" w:eastAsia="Times New Roman" w:hAnsi="Arial" w:cs="Arial"/>
                <w:color w:val="000000"/>
                <w:sz w:val="18"/>
                <w:szCs w:val="18"/>
                <w:lang w:eastAsia="sl-SI"/>
              </w:rPr>
              <w:t xml:space="preserve"> </w:t>
            </w:r>
            <w:r w:rsidRPr="00651EDC">
              <w:rPr>
                <w:rFonts w:ascii="Arial" w:eastAsia="Times New Roman" w:hAnsi="Arial" w:cs="Arial"/>
                <w:color w:val="000000"/>
                <w:sz w:val="18"/>
                <w:szCs w:val="18"/>
                <w:lang w:eastAsia="sl-SI"/>
              </w:rPr>
              <w:t>%</w:t>
            </w:r>
          </w:p>
        </w:tc>
      </w:tr>
      <w:tr w:rsidR="00072A69" w:rsidRPr="001D33D5" w14:paraId="32542F46" w14:textId="77777777" w:rsidTr="00AC1F17">
        <w:trPr>
          <w:trHeight w:val="300"/>
        </w:trPr>
        <w:tc>
          <w:tcPr>
            <w:tcW w:w="2657"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A6E071" w14:textId="77777777" w:rsidR="00072A69" w:rsidRPr="00651EDC" w:rsidRDefault="00072A69" w:rsidP="00AC1F17">
            <w:pPr>
              <w:spacing w:after="0" w:line="240" w:lineRule="auto"/>
              <w:rPr>
                <w:rFonts w:ascii="Arial" w:eastAsia="Times New Roman" w:hAnsi="Arial" w:cs="Arial"/>
                <w:b/>
                <w:bCs/>
                <w:color w:val="000000"/>
                <w:sz w:val="18"/>
                <w:szCs w:val="18"/>
                <w:lang w:eastAsia="sl-SI"/>
              </w:rPr>
            </w:pPr>
            <w:r w:rsidRPr="00651EDC">
              <w:rPr>
                <w:rFonts w:ascii="Arial" w:eastAsia="Times New Roman" w:hAnsi="Arial" w:cs="Arial"/>
                <w:b/>
                <w:bCs/>
                <w:color w:val="000000"/>
                <w:sz w:val="18"/>
                <w:szCs w:val="18"/>
                <w:lang w:eastAsia="sl-SI"/>
              </w:rPr>
              <w:lastRenderedPageBreak/>
              <w:t>Skupaj</w:t>
            </w:r>
          </w:p>
        </w:tc>
        <w:tc>
          <w:tcPr>
            <w:tcW w:w="468" w:type="pct"/>
            <w:tcBorders>
              <w:top w:val="nil"/>
              <w:left w:val="nil"/>
              <w:bottom w:val="single" w:sz="4" w:space="0" w:color="auto"/>
              <w:right w:val="single" w:sz="4" w:space="0" w:color="auto"/>
            </w:tcBorders>
            <w:shd w:val="clear" w:color="auto" w:fill="E7E6E6" w:themeFill="background2"/>
            <w:noWrap/>
            <w:vAlign w:val="center"/>
            <w:hideMark/>
          </w:tcPr>
          <w:p w14:paraId="55FCF719" w14:textId="77777777" w:rsidR="00072A69" w:rsidRPr="00651EDC" w:rsidRDefault="00072A69" w:rsidP="00AC1F17">
            <w:pPr>
              <w:spacing w:after="0" w:line="240" w:lineRule="auto"/>
              <w:jc w:val="right"/>
              <w:rPr>
                <w:rFonts w:ascii="Arial" w:eastAsia="Times New Roman" w:hAnsi="Arial" w:cs="Arial"/>
                <w:b/>
                <w:bCs/>
                <w:color w:val="000000"/>
                <w:sz w:val="18"/>
                <w:szCs w:val="18"/>
                <w:lang w:eastAsia="sl-SI"/>
              </w:rPr>
            </w:pPr>
            <w:r w:rsidRPr="00651EDC">
              <w:rPr>
                <w:rFonts w:ascii="Arial" w:eastAsia="Times New Roman" w:hAnsi="Arial" w:cs="Arial"/>
                <w:b/>
                <w:bCs/>
                <w:color w:val="000000"/>
                <w:sz w:val="18"/>
                <w:szCs w:val="18"/>
                <w:lang w:eastAsia="sl-SI"/>
              </w:rPr>
              <w:t>83</w:t>
            </w:r>
          </w:p>
        </w:tc>
        <w:tc>
          <w:tcPr>
            <w:tcW w:w="783" w:type="pct"/>
            <w:tcBorders>
              <w:top w:val="nil"/>
              <w:left w:val="nil"/>
              <w:bottom w:val="single" w:sz="4" w:space="0" w:color="auto"/>
              <w:right w:val="single" w:sz="4" w:space="0" w:color="auto"/>
            </w:tcBorders>
            <w:shd w:val="clear" w:color="auto" w:fill="E7E6E6" w:themeFill="background2"/>
            <w:noWrap/>
            <w:vAlign w:val="center"/>
            <w:hideMark/>
          </w:tcPr>
          <w:p w14:paraId="64A06A6F" w14:textId="77777777" w:rsidR="00072A69" w:rsidRPr="00651EDC" w:rsidRDefault="00072A69" w:rsidP="00AC1F17">
            <w:pPr>
              <w:spacing w:after="0" w:line="240" w:lineRule="auto"/>
              <w:jc w:val="right"/>
              <w:rPr>
                <w:rFonts w:ascii="Arial" w:eastAsia="Times New Roman" w:hAnsi="Arial" w:cs="Arial"/>
                <w:b/>
                <w:bCs/>
                <w:color w:val="000000"/>
                <w:sz w:val="18"/>
                <w:szCs w:val="18"/>
                <w:lang w:eastAsia="sl-SI"/>
              </w:rPr>
            </w:pPr>
            <w:r w:rsidRPr="00651EDC">
              <w:rPr>
                <w:rFonts w:ascii="Arial" w:eastAsia="Times New Roman" w:hAnsi="Arial" w:cs="Arial"/>
                <w:b/>
                <w:bCs/>
                <w:color w:val="000000"/>
                <w:sz w:val="18"/>
                <w:szCs w:val="18"/>
                <w:lang w:eastAsia="sl-SI"/>
              </w:rPr>
              <w:t>66.036.672</w:t>
            </w:r>
          </w:p>
        </w:tc>
        <w:tc>
          <w:tcPr>
            <w:tcW w:w="547" w:type="pct"/>
            <w:tcBorders>
              <w:top w:val="nil"/>
              <w:left w:val="nil"/>
              <w:bottom w:val="single" w:sz="4" w:space="0" w:color="auto"/>
              <w:right w:val="single" w:sz="4" w:space="0" w:color="auto"/>
            </w:tcBorders>
            <w:shd w:val="clear" w:color="auto" w:fill="E7E6E6" w:themeFill="background2"/>
            <w:noWrap/>
            <w:vAlign w:val="center"/>
            <w:hideMark/>
          </w:tcPr>
          <w:p w14:paraId="79201F81" w14:textId="77777777" w:rsidR="00072A69" w:rsidRPr="00651EDC" w:rsidRDefault="00072A69" w:rsidP="00AC1F17">
            <w:pPr>
              <w:spacing w:after="0" w:line="240" w:lineRule="auto"/>
              <w:jc w:val="right"/>
              <w:rPr>
                <w:rFonts w:ascii="Arial" w:eastAsia="Times New Roman" w:hAnsi="Arial" w:cs="Arial"/>
                <w:b/>
                <w:color w:val="000000"/>
                <w:sz w:val="18"/>
                <w:szCs w:val="18"/>
                <w:lang w:eastAsia="sl-SI"/>
              </w:rPr>
            </w:pPr>
            <w:r w:rsidRPr="00651EDC">
              <w:rPr>
                <w:rFonts w:ascii="Arial" w:eastAsia="Times New Roman" w:hAnsi="Arial" w:cs="Arial"/>
                <w:b/>
                <w:color w:val="000000"/>
                <w:sz w:val="18"/>
                <w:szCs w:val="18"/>
                <w:lang w:eastAsia="sl-SI"/>
              </w:rPr>
              <w:t>100,00</w:t>
            </w:r>
            <w:r w:rsidRPr="00A01B3D">
              <w:rPr>
                <w:rFonts w:ascii="Arial" w:eastAsia="Times New Roman" w:hAnsi="Arial" w:cs="Arial"/>
                <w:b/>
                <w:color w:val="000000"/>
                <w:sz w:val="18"/>
                <w:szCs w:val="18"/>
                <w:lang w:eastAsia="sl-SI"/>
              </w:rPr>
              <w:t xml:space="preserve"> </w:t>
            </w:r>
            <w:r w:rsidRPr="00651EDC">
              <w:rPr>
                <w:rFonts w:ascii="Arial" w:eastAsia="Times New Roman" w:hAnsi="Arial" w:cs="Arial"/>
                <w:b/>
                <w:color w:val="000000"/>
                <w:sz w:val="18"/>
                <w:szCs w:val="18"/>
                <w:lang w:eastAsia="sl-SI"/>
              </w:rPr>
              <w:t>%</w:t>
            </w:r>
          </w:p>
        </w:tc>
        <w:tc>
          <w:tcPr>
            <w:tcW w:w="545" w:type="pct"/>
            <w:tcBorders>
              <w:top w:val="nil"/>
              <w:left w:val="nil"/>
              <w:bottom w:val="single" w:sz="4" w:space="0" w:color="auto"/>
              <w:right w:val="single" w:sz="4" w:space="0" w:color="auto"/>
            </w:tcBorders>
            <w:shd w:val="clear" w:color="auto" w:fill="E7E6E6" w:themeFill="background2"/>
            <w:noWrap/>
            <w:vAlign w:val="center"/>
            <w:hideMark/>
          </w:tcPr>
          <w:p w14:paraId="60658961" w14:textId="77777777" w:rsidR="00072A69" w:rsidRPr="00651EDC" w:rsidRDefault="00072A69" w:rsidP="00AC1F17">
            <w:pPr>
              <w:spacing w:after="0" w:line="240" w:lineRule="auto"/>
              <w:jc w:val="right"/>
              <w:rPr>
                <w:rFonts w:ascii="Arial" w:eastAsia="Times New Roman" w:hAnsi="Arial" w:cs="Arial"/>
                <w:b/>
                <w:color w:val="000000"/>
                <w:sz w:val="18"/>
                <w:szCs w:val="18"/>
                <w:lang w:eastAsia="sl-SI"/>
              </w:rPr>
            </w:pPr>
            <w:r w:rsidRPr="00651EDC">
              <w:rPr>
                <w:rFonts w:ascii="Arial" w:eastAsia="Times New Roman" w:hAnsi="Arial" w:cs="Arial"/>
                <w:b/>
                <w:color w:val="000000"/>
                <w:sz w:val="18"/>
                <w:szCs w:val="18"/>
                <w:lang w:eastAsia="sl-SI"/>
              </w:rPr>
              <w:t>100,00</w:t>
            </w:r>
            <w:r w:rsidRPr="00A01B3D">
              <w:rPr>
                <w:rFonts w:ascii="Arial" w:eastAsia="Times New Roman" w:hAnsi="Arial" w:cs="Arial"/>
                <w:b/>
                <w:color w:val="000000"/>
                <w:sz w:val="18"/>
                <w:szCs w:val="18"/>
                <w:lang w:eastAsia="sl-SI"/>
              </w:rPr>
              <w:t xml:space="preserve"> %</w:t>
            </w:r>
          </w:p>
        </w:tc>
      </w:tr>
    </w:tbl>
    <w:p w14:paraId="62A64C85" w14:textId="77777777" w:rsidR="00072A69" w:rsidRPr="00EF2D0B" w:rsidRDefault="00072A69" w:rsidP="00072A69">
      <w:pPr>
        <w:spacing w:before="120" w:after="120" w:line="240" w:lineRule="auto"/>
        <w:jc w:val="both"/>
        <w:rPr>
          <w:rFonts w:ascii="Arial" w:hAnsi="Arial" w:cs="Arial"/>
          <w:sz w:val="20"/>
          <w:highlight w:val="yellow"/>
        </w:rPr>
      </w:pPr>
    </w:p>
    <w:p w14:paraId="20D27E15" w14:textId="55F1965F" w:rsidR="00072A69" w:rsidRPr="00862D6E" w:rsidRDefault="00072A69" w:rsidP="00072A69">
      <w:pPr>
        <w:spacing w:before="120" w:after="120" w:line="240" w:lineRule="auto"/>
        <w:jc w:val="both"/>
        <w:rPr>
          <w:rFonts w:ascii="Arial" w:hAnsi="Arial" w:cs="Arial"/>
          <w:sz w:val="20"/>
        </w:rPr>
      </w:pPr>
      <w:r w:rsidRPr="00862D6E">
        <w:rPr>
          <w:rFonts w:ascii="Arial" w:hAnsi="Arial" w:cs="Arial"/>
          <w:sz w:val="20"/>
        </w:rPr>
        <w:t xml:space="preserve">Preglednica </w:t>
      </w:r>
      <w:r w:rsidR="00D23EC0">
        <w:rPr>
          <w:rFonts w:ascii="Arial" w:hAnsi="Arial" w:cs="Arial"/>
          <w:sz w:val="20"/>
        </w:rPr>
        <w:t>87</w:t>
      </w:r>
      <w:r w:rsidRPr="00862D6E">
        <w:rPr>
          <w:rFonts w:ascii="Arial" w:hAnsi="Arial" w:cs="Arial"/>
          <w:sz w:val="20"/>
        </w:rPr>
        <w:t>: Trije največji predmeti javnega naročanja glede na vrednost po Enotnem besednjaku javnih naročil (CPV) za posamezno kategorijo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8"/>
        <w:gridCol w:w="889"/>
        <w:gridCol w:w="4252"/>
        <w:gridCol w:w="851"/>
        <w:gridCol w:w="1412"/>
      </w:tblGrid>
      <w:tr w:rsidR="00072A69" w:rsidRPr="00965E46" w14:paraId="711FD95F" w14:textId="77777777" w:rsidTr="00AC1F17">
        <w:trPr>
          <w:trHeight w:val="480"/>
        </w:trPr>
        <w:tc>
          <w:tcPr>
            <w:tcW w:w="1658" w:type="dxa"/>
            <w:shd w:val="clear" w:color="000000" w:fill="EDEDED"/>
            <w:vAlign w:val="center"/>
            <w:hideMark/>
          </w:tcPr>
          <w:p w14:paraId="463BB775"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Kategorija naročnika</w:t>
            </w:r>
          </w:p>
        </w:tc>
        <w:tc>
          <w:tcPr>
            <w:tcW w:w="889" w:type="dxa"/>
            <w:shd w:val="clear" w:color="000000" w:fill="EDEDED"/>
            <w:vAlign w:val="center"/>
            <w:hideMark/>
          </w:tcPr>
          <w:p w14:paraId="7BF9D672"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CPV oddelek</w:t>
            </w:r>
          </w:p>
        </w:tc>
        <w:tc>
          <w:tcPr>
            <w:tcW w:w="4252" w:type="dxa"/>
            <w:shd w:val="clear" w:color="000000" w:fill="EDEDED"/>
            <w:vAlign w:val="center"/>
            <w:hideMark/>
          </w:tcPr>
          <w:p w14:paraId="3AA4D68A"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Opis CPV oddelka</w:t>
            </w:r>
          </w:p>
        </w:tc>
        <w:tc>
          <w:tcPr>
            <w:tcW w:w="851" w:type="dxa"/>
            <w:shd w:val="clear" w:color="000000" w:fill="EDEDED"/>
            <w:vAlign w:val="center"/>
            <w:hideMark/>
          </w:tcPr>
          <w:p w14:paraId="60C7412D"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Št. naročil</w:t>
            </w:r>
          </w:p>
        </w:tc>
        <w:tc>
          <w:tcPr>
            <w:tcW w:w="1412" w:type="dxa"/>
            <w:shd w:val="clear" w:color="000000" w:fill="EDEDED"/>
            <w:vAlign w:val="center"/>
            <w:hideMark/>
          </w:tcPr>
          <w:p w14:paraId="571C3B68"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Pogodbena vrednost</w:t>
            </w:r>
          </w:p>
        </w:tc>
      </w:tr>
      <w:tr w:rsidR="00072A69" w:rsidRPr="00965E46" w14:paraId="55117AE7" w14:textId="77777777" w:rsidTr="00AC1F17">
        <w:trPr>
          <w:trHeight w:val="300"/>
        </w:trPr>
        <w:tc>
          <w:tcPr>
            <w:tcW w:w="1658" w:type="dxa"/>
            <w:vMerge w:val="restart"/>
            <w:shd w:val="clear" w:color="auto" w:fill="auto"/>
            <w:noWrap/>
            <w:vAlign w:val="center"/>
            <w:hideMark/>
          </w:tcPr>
          <w:p w14:paraId="6DE3147C"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Organi RS</w:t>
            </w:r>
          </w:p>
        </w:tc>
        <w:tc>
          <w:tcPr>
            <w:tcW w:w="889" w:type="dxa"/>
            <w:shd w:val="clear" w:color="auto" w:fill="auto"/>
            <w:noWrap/>
            <w:vAlign w:val="center"/>
            <w:hideMark/>
          </w:tcPr>
          <w:p w14:paraId="3B95C65E"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7BE7DE95"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vAlign w:val="center"/>
            <w:hideMark/>
          </w:tcPr>
          <w:p w14:paraId="0953038D"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296</w:t>
            </w:r>
          </w:p>
        </w:tc>
        <w:tc>
          <w:tcPr>
            <w:tcW w:w="1412" w:type="dxa"/>
            <w:shd w:val="clear" w:color="auto" w:fill="auto"/>
            <w:vAlign w:val="center"/>
            <w:hideMark/>
          </w:tcPr>
          <w:p w14:paraId="50BBF0CB"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289.724.610</w:t>
            </w:r>
          </w:p>
        </w:tc>
      </w:tr>
      <w:tr w:rsidR="00072A69" w:rsidRPr="00965E46" w14:paraId="6BC0BD52" w14:textId="77777777" w:rsidTr="00AC1F17">
        <w:trPr>
          <w:trHeight w:val="300"/>
        </w:trPr>
        <w:tc>
          <w:tcPr>
            <w:tcW w:w="1658" w:type="dxa"/>
            <w:vMerge/>
            <w:vAlign w:val="center"/>
            <w:hideMark/>
          </w:tcPr>
          <w:p w14:paraId="1AA4E3FC"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42CAFBE2"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34</w:t>
            </w:r>
          </w:p>
        </w:tc>
        <w:tc>
          <w:tcPr>
            <w:tcW w:w="4252" w:type="dxa"/>
            <w:shd w:val="clear" w:color="auto" w:fill="auto"/>
            <w:noWrap/>
            <w:vAlign w:val="center"/>
            <w:hideMark/>
          </w:tcPr>
          <w:p w14:paraId="002DF5EE"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Prevozna sredstva in dodatni proizvodi za promet</w:t>
            </w:r>
          </w:p>
        </w:tc>
        <w:tc>
          <w:tcPr>
            <w:tcW w:w="851" w:type="dxa"/>
            <w:shd w:val="clear" w:color="auto" w:fill="auto"/>
            <w:vAlign w:val="center"/>
            <w:hideMark/>
          </w:tcPr>
          <w:p w14:paraId="7E40635B"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95</w:t>
            </w:r>
          </w:p>
        </w:tc>
        <w:tc>
          <w:tcPr>
            <w:tcW w:w="1412" w:type="dxa"/>
            <w:shd w:val="clear" w:color="auto" w:fill="auto"/>
            <w:vAlign w:val="center"/>
            <w:hideMark/>
          </w:tcPr>
          <w:p w14:paraId="0730873C"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50.163.061</w:t>
            </w:r>
          </w:p>
        </w:tc>
      </w:tr>
      <w:tr w:rsidR="00072A69" w:rsidRPr="00965E46" w14:paraId="1E1ECD3F" w14:textId="77777777" w:rsidTr="00AC1F17">
        <w:trPr>
          <w:trHeight w:val="300"/>
        </w:trPr>
        <w:tc>
          <w:tcPr>
            <w:tcW w:w="1658" w:type="dxa"/>
            <w:vMerge/>
            <w:vAlign w:val="center"/>
            <w:hideMark/>
          </w:tcPr>
          <w:p w14:paraId="5C2BD94A"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193BD84F"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72</w:t>
            </w:r>
          </w:p>
        </w:tc>
        <w:tc>
          <w:tcPr>
            <w:tcW w:w="4252" w:type="dxa"/>
            <w:shd w:val="clear" w:color="auto" w:fill="auto"/>
            <w:noWrap/>
            <w:vAlign w:val="center"/>
            <w:hideMark/>
          </w:tcPr>
          <w:p w14:paraId="27E5FBCF"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Storitve informacijske tehnologije: svetovanje, razvoj programske opreme, internet in podpora</w:t>
            </w:r>
          </w:p>
        </w:tc>
        <w:tc>
          <w:tcPr>
            <w:tcW w:w="851" w:type="dxa"/>
            <w:shd w:val="clear" w:color="auto" w:fill="auto"/>
            <w:vAlign w:val="center"/>
            <w:hideMark/>
          </w:tcPr>
          <w:p w14:paraId="3CF9F503"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151</w:t>
            </w:r>
          </w:p>
        </w:tc>
        <w:tc>
          <w:tcPr>
            <w:tcW w:w="1412" w:type="dxa"/>
            <w:shd w:val="clear" w:color="auto" w:fill="auto"/>
            <w:vAlign w:val="center"/>
            <w:hideMark/>
          </w:tcPr>
          <w:p w14:paraId="5C395280"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43.979.338</w:t>
            </w:r>
          </w:p>
        </w:tc>
      </w:tr>
      <w:tr w:rsidR="00072A69" w:rsidRPr="00965E46" w14:paraId="116C3864" w14:textId="77777777" w:rsidTr="00AC1F17">
        <w:trPr>
          <w:trHeight w:val="300"/>
        </w:trPr>
        <w:tc>
          <w:tcPr>
            <w:tcW w:w="1658" w:type="dxa"/>
            <w:vMerge w:val="restart"/>
            <w:shd w:val="clear" w:color="auto" w:fill="auto"/>
            <w:noWrap/>
            <w:vAlign w:val="center"/>
            <w:hideMark/>
          </w:tcPr>
          <w:p w14:paraId="1EB4AE13"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Samoupravne lokalne skupnosti</w:t>
            </w:r>
          </w:p>
        </w:tc>
        <w:tc>
          <w:tcPr>
            <w:tcW w:w="889" w:type="dxa"/>
            <w:shd w:val="clear" w:color="auto" w:fill="auto"/>
            <w:noWrap/>
            <w:vAlign w:val="center"/>
            <w:hideMark/>
          </w:tcPr>
          <w:p w14:paraId="1486CD9F"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128B0184"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vAlign w:val="center"/>
            <w:hideMark/>
          </w:tcPr>
          <w:p w14:paraId="79C5D3A1"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1.073</w:t>
            </w:r>
          </w:p>
        </w:tc>
        <w:tc>
          <w:tcPr>
            <w:tcW w:w="1412" w:type="dxa"/>
            <w:shd w:val="clear" w:color="auto" w:fill="auto"/>
            <w:vAlign w:val="center"/>
            <w:hideMark/>
          </w:tcPr>
          <w:p w14:paraId="3554CDE9"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371.485.627</w:t>
            </w:r>
          </w:p>
        </w:tc>
      </w:tr>
      <w:tr w:rsidR="00072A69" w:rsidRPr="00965E46" w14:paraId="52D578F2" w14:textId="77777777" w:rsidTr="00AC1F17">
        <w:trPr>
          <w:trHeight w:val="300"/>
        </w:trPr>
        <w:tc>
          <w:tcPr>
            <w:tcW w:w="1658" w:type="dxa"/>
            <w:vMerge/>
            <w:vAlign w:val="center"/>
            <w:hideMark/>
          </w:tcPr>
          <w:p w14:paraId="7FBC1882"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6E053EAA"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60</w:t>
            </w:r>
          </w:p>
        </w:tc>
        <w:tc>
          <w:tcPr>
            <w:tcW w:w="4252" w:type="dxa"/>
            <w:shd w:val="clear" w:color="auto" w:fill="auto"/>
            <w:noWrap/>
            <w:vAlign w:val="center"/>
            <w:hideMark/>
          </w:tcPr>
          <w:p w14:paraId="5A42014F"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Prevozne storitve (razen prevoza odpadkov)</w:t>
            </w:r>
          </w:p>
        </w:tc>
        <w:tc>
          <w:tcPr>
            <w:tcW w:w="851" w:type="dxa"/>
            <w:shd w:val="clear" w:color="auto" w:fill="auto"/>
            <w:vAlign w:val="center"/>
            <w:hideMark/>
          </w:tcPr>
          <w:p w14:paraId="31390FCA"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228</w:t>
            </w:r>
          </w:p>
        </w:tc>
        <w:tc>
          <w:tcPr>
            <w:tcW w:w="1412" w:type="dxa"/>
            <w:shd w:val="clear" w:color="auto" w:fill="auto"/>
            <w:vAlign w:val="center"/>
            <w:hideMark/>
          </w:tcPr>
          <w:p w14:paraId="751F74EC"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21.073.830</w:t>
            </w:r>
          </w:p>
        </w:tc>
      </w:tr>
      <w:tr w:rsidR="00072A69" w:rsidRPr="00965E46" w14:paraId="02E532D2" w14:textId="77777777" w:rsidTr="00AC1F17">
        <w:trPr>
          <w:trHeight w:val="300"/>
        </w:trPr>
        <w:tc>
          <w:tcPr>
            <w:tcW w:w="1658" w:type="dxa"/>
            <w:vMerge/>
            <w:vAlign w:val="center"/>
            <w:hideMark/>
          </w:tcPr>
          <w:p w14:paraId="628DB574"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7176FF4D"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71</w:t>
            </w:r>
          </w:p>
        </w:tc>
        <w:tc>
          <w:tcPr>
            <w:tcW w:w="4252" w:type="dxa"/>
            <w:shd w:val="clear" w:color="auto" w:fill="auto"/>
            <w:noWrap/>
            <w:vAlign w:val="center"/>
            <w:hideMark/>
          </w:tcPr>
          <w:p w14:paraId="7D2D16D8"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Arhitekturne, gradbeniške, inženirske in inšpekcijske storitve</w:t>
            </w:r>
          </w:p>
        </w:tc>
        <w:tc>
          <w:tcPr>
            <w:tcW w:w="851" w:type="dxa"/>
            <w:shd w:val="clear" w:color="auto" w:fill="auto"/>
            <w:vAlign w:val="center"/>
            <w:hideMark/>
          </w:tcPr>
          <w:p w14:paraId="45D24FA2"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163</w:t>
            </w:r>
          </w:p>
        </w:tc>
        <w:tc>
          <w:tcPr>
            <w:tcW w:w="1412" w:type="dxa"/>
            <w:shd w:val="clear" w:color="auto" w:fill="auto"/>
            <w:vAlign w:val="center"/>
            <w:hideMark/>
          </w:tcPr>
          <w:p w14:paraId="3045DABC"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14.284.311</w:t>
            </w:r>
          </w:p>
        </w:tc>
      </w:tr>
      <w:tr w:rsidR="00072A69" w:rsidRPr="00965E46" w14:paraId="11C6B6D2" w14:textId="77777777" w:rsidTr="00AC1F17">
        <w:trPr>
          <w:trHeight w:val="300"/>
        </w:trPr>
        <w:tc>
          <w:tcPr>
            <w:tcW w:w="1658" w:type="dxa"/>
            <w:vMerge w:val="restart"/>
            <w:shd w:val="clear" w:color="auto" w:fill="auto"/>
            <w:noWrap/>
            <w:vAlign w:val="center"/>
            <w:hideMark/>
          </w:tcPr>
          <w:p w14:paraId="2DDB5192"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Javni skladi</w:t>
            </w:r>
          </w:p>
        </w:tc>
        <w:tc>
          <w:tcPr>
            <w:tcW w:w="889" w:type="dxa"/>
            <w:shd w:val="clear" w:color="auto" w:fill="auto"/>
            <w:noWrap/>
            <w:vAlign w:val="center"/>
            <w:hideMark/>
          </w:tcPr>
          <w:p w14:paraId="51D5191E"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773184E3"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noWrap/>
            <w:vAlign w:val="center"/>
            <w:hideMark/>
          </w:tcPr>
          <w:p w14:paraId="41C3F55F"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27</w:t>
            </w:r>
          </w:p>
        </w:tc>
        <w:tc>
          <w:tcPr>
            <w:tcW w:w="1412" w:type="dxa"/>
            <w:shd w:val="clear" w:color="auto" w:fill="auto"/>
            <w:noWrap/>
            <w:vAlign w:val="center"/>
            <w:hideMark/>
          </w:tcPr>
          <w:p w14:paraId="15A90F90"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8.987.797</w:t>
            </w:r>
          </w:p>
        </w:tc>
      </w:tr>
      <w:tr w:rsidR="00072A69" w:rsidRPr="00965E46" w14:paraId="55EC07AD" w14:textId="77777777" w:rsidTr="00AC1F17">
        <w:trPr>
          <w:trHeight w:val="300"/>
        </w:trPr>
        <w:tc>
          <w:tcPr>
            <w:tcW w:w="1658" w:type="dxa"/>
            <w:vMerge/>
            <w:vAlign w:val="center"/>
            <w:hideMark/>
          </w:tcPr>
          <w:p w14:paraId="0F604FEA"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7CE66B44"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71</w:t>
            </w:r>
          </w:p>
        </w:tc>
        <w:tc>
          <w:tcPr>
            <w:tcW w:w="4252" w:type="dxa"/>
            <w:shd w:val="clear" w:color="auto" w:fill="auto"/>
            <w:noWrap/>
            <w:vAlign w:val="center"/>
            <w:hideMark/>
          </w:tcPr>
          <w:p w14:paraId="2EAE16CD"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Arhitekturne, gradbeniške, inženirske in inšpekcijske storitve</w:t>
            </w:r>
          </w:p>
        </w:tc>
        <w:tc>
          <w:tcPr>
            <w:tcW w:w="851" w:type="dxa"/>
            <w:shd w:val="clear" w:color="auto" w:fill="auto"/>
            <w:noWrap/>
            <w:vAlign w:val="center"/>
            <w:hideMark/>
          </w:tcPr>
          <w:p w14:paraId="67AD7D21"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6</w:t>
            </w:r>
          </w:p>
        </w:tc>
        <w:tc>
          <w:tcPr>
            <w:tcW w:w="1412" w:type="dxa"/>
            <w:shd w:val="clear" w:color="auto" w:fill="auto"/>
            <w:noWrap/>
            <w:vAlign w:val="center"/>
            <w:hideMark/>
          </w:tcPr>
          <w:p w14:paraId="05A63FD8"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2.208.943</w:t>
            </w:r>
          </w:p>
        </w:tc>
      </w:tr>
      <w:tr w:rsidR="00072A69" w:rsidRPr="00965E46" w14:paraId="12E03A7F" w14:textId="77777777" w:rsidTr="00AC1F17">
        <w:trPr>
          <w:trHeight w:val="300"/>
        </w:trPr>
        <w:tc>
          <w:tcPr>
            <w:tcW w:w="1658" w:type="dxa"/>
            <w:vMerge/>
            <w:vAlign w:val="center"/>
            <w:hideMark/>
          </w:tcPr>
          <w:p w14:paraId="5AEF5941"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2B3FF18D"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72</w:t>
            </w:r>
          </w:p>
        </w:tc>
        <w:tc>
          <w:tcPr>
            <w:tcW w:w="4252" w:type="dxa"/>
            <w:shd w:val="clear" w:color="auto" w:fill="auto"/>
            <w:noWrap/>
            <w:vAlign w:val="center"/>
            <w:hideMark/>
          </w:tcPr>
          <w:p w14:paraId="4F226705"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Storitve informacijske tehnologije: svetovanje, razvoj programske opreme, internet in podpora</w:t>
            </w:r>
          </w:p>
        </w:tc>
        <w:tc>
          <w:tcPr>
            <w:tcW w:w="851" w:type="dxa"/>
            <w:shd w:val="clear" w:color="auto" w:fill="auto"/>
            <w:noWrap/>
            <w:vAlign w:val="center"/>
            <w:hideMark/>
          </w:tcPr>
          <w:p w14:paraId="75D6F884"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8</w:t>
            </w:r>
          </w:p>
        </w:tc>
        <w:tc>
          <w:tcPr>
            <w:tcW w:w="1412" w:type="dxa"/>
            <w:shd w:val="clear" w:color="auto" w:fill="auto"/>
            <w:noWrap/>
            <w:vAlign w:val="center"/>
            <w:hideMark/>
          </w:tcPr>
          <w:p w14:paraId="5308C7A7"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679.524</w:t>
            </w:r>
          </w:p>
        </w:tc>
      </w:tr>
      <w:tr w:rsidR="00072A69" w:rsidRPr="00965E46" w14:paraId="01D106D6" w14:textId="77777777" w:rsidTr="00AC1F17">
        <w:trPr>
          <w:trHeight w:val="300"/>
        </w:trPr>
        <w:tc>
          <w:tcPr>
            <w:tcW w:w="1658" w:type="dxa"/>
            <w:vMerge w:val="restart"/>
            <w:shd w:val="clear" w:color="auto" w:fill="auto"/>
            <w:noWrap/>
            <w:vAlign w:val="center"/>
            <w:hideMark/>
          </w:tcPr>
          <w:p w14:paraId="3F30D209"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Javne agencije</w:t>
            </w:r>
          </w:p>
        </w:tc>
        <w:tc>
          <w:tcPr>
            <w:tcW w:w="889" w:type="dxa"/>
            <w:shd w:val="clear" w:color="auto" w:fill="auto"/>
            <w:noWrap/>
            <w:vAlign w:val="center"/>
            <w:hideMark/>
          </w:tcPr>
          <w:p w14:paraId="4EF66A14"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79</w:t>
            </w:r>
          </w:p>
        </w:tc>
        <w:tc>
          <w:tcPr>
            <w:tcW w:w="4252" w:type="dxa"/>
            <w:shd w:val="clear" w:color="auto" w:fill="auto"/>
            <w:noWrap/>
            <w:vAlign w:val="center"/>
            <w:hideMark/>
          </w:tcPr>
          <w:p w14:paraId="5E504DB1"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Poslovne storitve: pravo, trženje, svetovanje, zaposlovanje, tiskanje in varnost</w:t>
            </w:r>
          </w:p>
        </w:tc>
        <w:tc>
          <w:tcPr>
            <w:tcW w:w="851" w:type="dxa"/>
            <w:shd w:val="clear" w:color="auto" w:fill="auto"/>
            <w:vAlign w:val="center"/>
            <w:hideMark/>
          </w:tcPr>
          <w:p w14:paraId="49C163A1"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46</w:t>
            </w:r>
          </w:p>
        </w:tc>
        <w:tc>
          <w:tcPr>
            <w:tcW w:w="1412" w:type="dxa"/>
            <w:shd w:val="clear" w:color="auto" w:fill="auto"/>
            <w:vAlign w:val="center"/>
            <w:hideMark/>
          </w:tcPr>
          <w:p w14:paraId="1B17F9A6"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4.033.175</w:t>
            </w:r>
          </w:p>
        </w:tc>
      </w:tr>
      <w:tr w:rsidR="00072A69" w:rsidRPr="00965E46" w14:paraId="14B00E03" w14:textId="77777777" w:rsidTr="00AC1F17">
        <w:trPr>
          <w:trHeight w:val="300"/>
        </w:trPr>
        <w:tc>
          <w:tcPr>
            <w:tcW w:w="1658" w:type="dxa"/>
            <w:vMerge/>
            <w:vAlign w:val="center"/>
            <w:hideMark/>
          </w:tcPr>
          <w:p w14:paraId="4AFFF5B1"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588158C0"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72</w:t>
            </w:r>
          </w:p>
        </w:tc>
        <w:tc>
          <w:tcPr>
            <w:tcW w:w="4252" w:type="dxa"/>
            <w:shd w:val="clear" w:color="auto" w:fill="auto"/>
            <w:noWrap/>
            <w:vAlign w:val="center"/>
            <w:hideMark/>
          </w:tcPr>
          <w:p w14:paraId="7536993C"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Storitve informacijske tehnologije: svetovanje, razvoj programske opreme, internet in podpora</w:t>
            </w:r>
          </w:p>
        </w:tc>
        <w:tc>
          <w:tcPr>
            <w:tcW w:w="851" w:type="dxa"/>
            <w:shd w:val="clear" w:color="auto" w:fill="auto"/>
            <w:vAlign w:val="center"/>
            <w:hideMark/>
          </w:tcPr>
          <w:p w14:paraId="4AA18AAF"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25</w:t>
            </w:r>
          </w:p>
        </w:tc>
        <w:tc>
          <w:tcPr>
            <w:tcW w:w="1412" w:type="dxa"/>
            <w:shd w:val="clear" w:color="auto" w:fill="auto"/>
            <w:vAlign w:val="center"/>
            <w:hideMark/>
          </w:tcPr>
          <w:p w14:paraId="32522707"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1.168.980</w:t>
            </w:r>
          </w:p>
        </w:tc>
      </w:tr>
      <w:tr w:rsidR="00072A69" w:rsidRPr="00965E46" w14:paraId="3C6893DE" w14:textId="77777777" w:rsidTr="00AC1F17">
        <w:trPr>
          <w:trHeight w:val="300"/>
        </w:trPr>
        <w:tc>
          <w:tcPr>
            <w:tcW w:w="1658" w:type="dxa"/>
            <w:vMerge/>
            <w:vAlign w:val="center"/>
            <w:hideMark/>
          </w:tcPr>
          <w:p w14:paraId="41165418"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10A4EFBE"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39</w:t>
            </w:r>
          </w:p>
        </w:tc>
        <w:tc>
          <w:tcPr>
            <w:tcW w:w="4252" w:type="dxa"/>
            <w:shd w:val="clear" w:color="auto" w:fill="auto"/>
            <w:noWrap/>
            <w:vAlign w:val="center"/>
            <w:hideMark/>
          </w:tcPr>
          <w:p w14:paraId="228E0964"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851" w:type="dxa"/>
            <w:shd w:val="clear" w:color="auto" w:fill="auto"/>
            <w:vAlign w:val="center"/>
            <w:hideMark/>
          </w:tcPr>
          <w:p w14:paraId="3E0B121A"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w:t>
            </w:r>
          </w:p>
        </w:tc>
        <w:tc>
          <w:tcPr>
            <w:tcW w:w="1412" w:type="dxa"/>
            <w:shd w:val="clear" w:color="auto" w:fill="auto"/>
            <w:vAlign w:val="center"/>
            <w:hideMark/>
          </w:tcPr>
          <w:p w14:paraId="49C241F1"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608.698</w:t>
            </w:r>
          </w:p>
        </w:tc>
      </w:tr>
      <w:tr w:rsidR="00072A69" w:rsidRPr="00965E46" w14:paraId="74FD8501" w14:textId="77777777" w:rsidTr="00AC1F17">
        <w:trPr>
          <w:trHeight w:val="300"/>
        </w:trPr>
        <w:tc>
          <w:tcPr>
            <w:tcW w:w="1658" w:type="dxa"/>
            <w:vMerge w:val="restart"/>
            <w:shd w:val="clear" w:color="auto" w:fill="auto"/>
            <w:noWrap/>
            <w:vAlign w:val="center"/>
            <w:hideMark/>
          </w:tcPr>
          <w:p w14:paraId="12FD72E9"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Javni zavodi</w:t>
            </w:r>
          </w:p>
        </w:tc>
        <w:tc>
          <w:tcPr>
            <w:tcW w:w="889" w:type="dxa"/>
            <w:shd w:val="clear" w:color="auto" w:fill="auto"/>
            <w:noWrap/>
            <w:vAlign w:val="center"/>
            <w:hideMark/>
          </w:tcPr>
          <w:p w14:paraId="202DFE28"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33</w:t>
            </w:r>
          </w:p>
        </w:tc>
        <w:tc>
          <w:tcPr>
            <w:tcW w:w="4252" w:type="dxa"/>
            <w:shd w:val="clear" w:color="auto" w:fill="auto"/>
            <w:noWrap/>
            <w:vAlign w:val="center"/>
            <w:hideMark/>
          </w:tcPr>
          <w:p w14:paraId="1F7C1023"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Medicinska oprema, farmacevtski izdelki in izdelki za osebno nego</w:t>
            </w:r>
          </w:p>
        </w:tc>
        <w:tc>
          <w:tcPr>
            <w:tcW w:w="851" w:type="dxa"/>
            <w:shd w:val="clear" w:color="auto" w:fill="auto"/>
            <w:vAlign w:val="center"/>
            <w:hideMark/>
          </w:tcPr>
          <w:p w14:paraId="7583CCC1"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2.615</w:t>
            </w:r>
          </w:p>
        </w:tc>
        <w:tc>
          <w:tcPr>
            <w:tcW w:w="1412" w:type="dxa"/>
            <w:shd w:val="clear" w:color="auto" w:fill="auto"/>
            <w:vAlign w:val="center"/>
            <w:hideMark/>
          </w:tcPr>
          <w:p w14:paraId="5C52F13C"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237.076.422</w:t>
            </w:r>
          </w:p>
        </w:tc>
      </w:tr>
      <w:tr w:rsidR="00072A69" w:rsidRPr="00965E46" w14:paraId="674B3DA0" w14:textId="77777777" w:rsidTr="00AC1F17">
        <w:trPr>
          <w:trHeight w:val="300"/>
        </w:trPr>
        <w:tc>
          <w:tcPr>
            <w:tcW w:w="1658" w:type="dxa"/>
            <w:vMerge/>
            <w:vAlign w:val="center"/>
            <w:hideMark/>
          </w:tcPr>
          <w:p w14:paraId="3CE45B05"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1F8498C6"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15</w:t>
            </w:r>
          </w:p>
        </w:tc>
        <w:tc>
          <w:tcPr>
            <w:tcW w:w="4252" w:type="dxa"/>
            <w:shd w:val="clear" w:color="auto" w:fill="auto"/>
            <w:noWrap/>
            <w:vAlign w:val="center"/>
            <w:hideMark/>
          </w:tcPr>
          <w:p w14:paraId="3CE5A21F"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Živila, pijače, tobačni izdelki in z njimi povezani izdelki</w:t>
            </w:r>
          </w:p>
        </w:tc>
        <w:tc>
          <w:tcPr>
            <w:tcW w:w="851" w:type="dxa"/>
            <w:shd w:val="clear" w:color="auto" w:fill="auto"/>
            <w:vAlign w:val="center"/>
            <w:hideMark/>
          </w:tcPr>
          <w:p w14:paraId="50894FF5"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4.618</w:t>
            </w:r>
          </w:p>
        </w:tc>
        <w:tc>
          <w:tcPr>
            <w:tcW w:w="1412" w:type="dxa"/>
            <w:shd w:val="clear" w:color="auto" w:fill="auto"/>
            <w:vAlign w:val="center"/>
            <w:hideMark/>
          </w:tcPr>
          <w:p w14:paraId="3ECD5BE5"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86.737.865</w:t>
            </w:r>
          </w:p>
        </w:tc>
      </w:tr>
      <w:tr w:rsidR="00072A69" w:rsidRPr="00965E46" w14:paraId="7B611A62" w14:textId="77777777" w:rsidTr="00AC1F17">
        <w:trPr>
          <w:trHeight w:val="300"/>
        </w:trPr>
        <w:tc>
          <w:tcPr>
            <w:tcW w:w="1658" w:type="dxa"/>
            <w:vMerge/>
            <w:vAlign w:val="center"/>
            <w:hideMark/>
          </w:tcPr>
          <w:p w14:paraId="4C88105F"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1AE8DFE9"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72E2A77D"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vAlign w:val="center"/>
            <w:hideMark/>
          </w:tcPr>
          <w:p w14:paraId="7C4048F0"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250</w:t>
            </w:r>
          </w:p>
        </w:tc>
        <w:tc>
          <w:tcPr>
            <w:tcW w:w="1412" w:type="dxa"/>
            <w:shd w:val="clear" w:color="auto" w:fill="auto"/>
            <w:vAlign w:val="center"/>
            <w:hideMark/>
          </w:tcPr>
          <w:p w14:paraId="493B19FF"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73.467.487</w:t>
            </w:r>
          </w:p>
        </w:tc>
      </w:tr>
      <w:tr w:rsidR="00072A69" w:rsidRPr="00965E46" w14:paraId="3C67690A" w14:textId="77777777" w:rsidTr="00AC1F17">
        <w:trPr>
          <w:trHeight w:val="300"/>
        </w:trPr>
        <w:tc>
          <w:tcPr>
            <w:tcW w:w="1658" w:type="dxa"/>
            <w:vMerge w:val="restart"/>
            <w:shd w:val="clear" w:color="auto" w:fill="auto"/>
            <w:noWrap/>
            <w:vAlign w:val="center"/>
            <w:hideMark/>
          </w:tcPr>
          <w:p w14:paraId="573E1E22"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Javni gospodarski zavodi</w:t>
            </w:r>
          </w:p>
        </w:tc>
        <w:tc>
          <w:tcPr>
            <w:tcW w:w="889" w:type="dxa"/>
            <w:shd w:val="clear" w:color="auto" w:fill="auto"/>
            <w:noWrap/>
            <w:vAlign w:val="center"/>
            <w:hideMark/>
          </w:tcPr>
          <w:p w14:paraId="0516D400"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57CFA8B7"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vAlign w:val="center"/>
            <w:hideMark/>
          </w:tcPr>
          <w:p w14:paraId="54884E78"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7</w:t>
            </w:r>
          </w:p>
        </w:tc>
        <w:tc>
          <w:tcPr>
            <w:tcW w:w="1412" w:type="dxa"/>
            <w:shd w:val="clear" w:color="auto" w:fill="auto"/>
            <w:vAlign w:val="center"/>
            <w:hideMark/>
          </w:tcPr>
          <w:p w14:paraId="0C373135"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2.033.793</w:t>
            </w:r>
          </w:p>
        </w:tc>
      </w:tr>
      <w:tr w:rsidR="00072A69" w:rsidRPr="00965E46" w14:paraId="73150196" w14:textId="77777777" w:rsidTr="00AC1F17">
        <w:trPr>
          <w:trHeight w:val="300"/>
        </w:trPr>
        <w:tc>
          <w:tcPr>
            <w:tcW w:w="1658" w:type="dxa"/>
            <w:vMerge/>
            <w:vAlign w:val="center"/>
            <w:hideMark/>
          </w:tcPr>
          <w:p w14:paraId="6635739B"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2BA0EC62"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42</w:t>
            </w:r>
          </w:p>
        </w:tc>
        <w:tc>
          <w:tcPr>
            <w:tcW w:w="4252" w:type="dxa"/>
            <w:shd w:val="clear" w:color="auto" w:fill="auto"/>
            <w:noWrap/>
            <w:vAlign w:val="center"/>
            <w:hideMark/>
          </w:tcPr>
          <w:p w14:paraId="579934BB"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Industrijski stroji</w:t>
            </w:r>
          </w:p>
        </w:tc>
        <w:tc>
          <w:tcPr>
            <w:tcW w:w="851" w:type="dxa"/>
            <w:shd w:val="clear" w:color="auto" w:fill="auto"/>
            <w:vAlign w:val="center"/>
            <w:hideMark/>
          </w:tcPr>
          <w:p w14:paraId="2B88CE90"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w:t>
            </w:r>
          </w:p>
        </w:tc>
        <w:tc>
          <w:tcPr>
            <w:tcW w:w="1412" w:type="dxa"/>
            <w:shd w:val="clear" w:color="auto" w:fill="auto"/>
            <w:vAlign w:val="center"/>
            <w:hideMark/>
          </w:tcPr>
          <w:p w14:paraId="3A6941FB"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1.683.050</w:t>
            </w:r>
          </w:p>
        </w:tc>
      </w:tr>
      <w:tr w:rsidR="00072A69" w:rsidRPr="00965E46" w14:paraId="725436D5" w14:textId="77777777" w:rsidTr="00AC1F17">
        <w:trPr>
          <w:trHeight w:val="300"/>
        </w:trPr>
        <w:tc>
          <w:tcPr>
            <w:tcW w:w="1658" w:type="dxa"/>
            <w:vMerge/>
            <w:vAlign w:val="center"/>
            <w:hideMark/>
          </w:tcPr>
          <w:p w14:paraId="07EADBAB"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57F9F27B"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34</w:t>
            </w:r>
          </w:p>
        </w:tc>
        <w:tc>
          <w:tcPr>
            <w:tcW w:w="4252" w:type="dxa"/>
            <w:shd w:val="clear" w:color="auto" w:fill="auto"/>
            <w:noWrap/>
            <w:vAlign w:val="center"/>
            <w:hideMark/>
          </w:tcPr>
          <w:p w14:paraId="2AD83DD7"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Prevozna sredstva in dodatni proizvodi za promet</w:t>
            </w:r>
          </w:p>
        </w:tc>
        <w:tc>
          <w:tcPr>
            <w:tcW w:w="851" w:type="dxa"/>
            <w:shd w:val="clear" w:color="auto" w:fill="auto"/>
            <w:vAlign w:val="center"/>
            <w:hideMark/>
          </w:tcPr>
          <w:p w14:paraId="44C91CD3"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17</w:t>
            </w:r>
          </w:p>
        </w:tc>
        <w:tc>
          <w:tcPr>
            <w:tcW w:w="1412" w:type="dxa"/>
            <w:shd w:val="clear" w:color="auto" w:fill="auto"/>
            <w:vAlign w:val="center"/>
            <w:hideMark/>
          </w:tcPr>
          <w:p w14:paraId="72639B92"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993.397</w:t>
            </w:r>
          </w:p>
        </w:tc>
      </w:tr>
      <w:tr w:rsidR="00072A69" w:rsidRPr="00965E46" w14:paraId="539D462B" w14:textId="77777777" w:rsidTr="00AC1F17">
        <w:trPr>
          <w:trHeight w:val="300"/>
        </w:trPr>
        <w:tc>
          <w:tcPr>
            <w:tcW w:w="1658" w:type="dxa"/>
            <w:vMerge w:val="restart"/>
            <w:shd w:val="clear" w:color="auto" w:fill="auto"/>
            <w:vAlign w:val="center"/>
            <w:hideMark/>
          </w:tcPr>
          <w:p w14:paraId="23C880E4"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Drugi naročniki (osebe javnega prava, javna podjetja, subjekt s posebnimi infrastrukturnimi pravicami)</w:t>
            </w:r>
          </w:p>
        </w:tc>
        <w:tc>
          <w:tcPr>
            <w:tcW w:w="889" w:type="dxa"/>
            <w:shd w:val="clear" w:color="auto" w:fill="auto"/>
            <w:noWrap/>
            <w:vAlign w:val="center"/>
            <w:hideMark/>
          </w:tcPr>
          <w:p w14:paraId="5E0579E0"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34</w:t>
            </w:r>
          </w:p>
        </w:tc>
        <w:tc>
          <w:tcPr>
            <w:tcW w:w="4252" w:type="dxa"/>
            <w:shd w:val="clear" w:color="auto" w:fill="auto"/>
            <w:noWrap/>
            <w:vAlign w:val="center"/>
            <w:hideMark/>
          </w:tcPr>
          <w:p w14:paraId="1321786B"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Prevozna sredstva in dodatni proizvodi za promet</w:t>
            </w:r>
          </w:p>
        </w:tc>
        <w:tc>
          <w:tcPr>
            <w:tcW w:w="851" w:type="dxa"/>
            <w:shd w:val="clear" w:color="auto" w:fill="auto"/>
            <w:vAlign w:val="center"/>
            <w:hideMark/>
          </w:tcPr>
          <w:p w14:paraId="061565E2"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429</w:t>
            </w:r>
          </w:p>
        </w:tc>
        <w:tc>
          <w:tcPr>
            <w:tcW w:w="1412" w:type="dxa"/>
            <w:shd w:val="clear" w:color="auto" w:fill="auto"/>
            <w:vAlign w:val="center"/>
            <w:hideMark/>
          </w:tcPr>
          <w:p w14:paraId="7DF24DBD"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268.507.214</w:t>
            </w:r>
          </w:p>
        </w:tc>
      </w:tr>
      <w:tr w:rsidR="00072A69" w:rsidRPr="00965E46" w14:paraId="67E137FE" w14:textId="77777777" w:rsidTr="00AC1F17">
        <w:trPr>
          <w:trHeight w:val="300"/>
        </w:trPr>
        <w:tc>
          <w:tcPr>
            <w:tcW w:w="1658" w:type="dxa"/>
            <w:vMerge/>
            <w:vAlign w:val="center"/>
            <w:hideMark/>
          </w:tcPr>
          <w:p w14:paraId="5399B8DC"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4B55B693"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3249F966"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vAlign w:val="center"/>
            <w:hideMark/>
          </w:tcPr>
          <w:p w14:paraId="5AF18948"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446</w:t>
            </w:r>
          </w:p>
        </w:tc>
        <w:tc>
          <w:tcPr>
            <w:tcW w:w="1412" w:type="dxa"/>
            <w:shd w:val="clear" w:color="auto" w:fill="auto"/>
            <w:vAlign w:val="center"/>
            <w:hideMark/>
          </w:tcPr>
          <w:p w14:paraId="7F2C7714"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248.159.818</w:t>
            </w:r>
          </w:p>
        </w:tc>
      </w:tr>
      <w:tr w:rsidR="00072A69" w:rsidRPr="00965E46" w14:paraId="72116891" w14:textId="77777777" w:rsidTr="00AC1F17">
        <w:trPr>
          <w:trHeight w:val="300"/>
        </w:trPr>
        <w:tc>
          <w:tcPr>
            <w:tcW w:w="1658" w:type="dxa"/>
            <w:vMerge/>
            <w:vAlign w:val="center"/>
            <w:hideMark/>
          </w:tcPr>
          <w:p w14:paraId="462E03AF"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6E502671"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50</w:t>
            </w:r>
          </w:p>
        </w:tc>
        <w:tc>
          <w:tcPr>
            <w:tcW w:w="4252" w:type="dxa"/>
            <w:shd w:val="clear" w:color="auto" w:fill="auto"/>
            <w:noWrap/>
            <w:vAlign w:val="center"/>
            <w:hideMark/>
          </w:tcPr>
          <w:p w14:paraId="13DF9D09"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Storitve popravila in vzdrževanja</w:t>
            </w:r>
          </w:p>
        </w:tc>
        <w:tc>
          <w:tcPr>
            <w:tcW w:w="851" w:type="dxa"/>
            <w:shd w:val="clear" w:color="auto" w:fill="auto"/>
            <w:vAlign w:val="center"/>
            <w:hideMark/>
          </w:tcPr>
          <w:p w14:paraId="04982FF9"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252</w:t>
            </w:r>
          </w:p>
        </w:tc>
        <w:tc>
          <w:tcPr>
            <w:tcW w:w="1412" w:type="dxa"/>
            <w:shd w:val="clear" w:color="auto" w:fill="auto"/>
            <w:vAlign w:val="center"/>
            <w:hideMark/>
          </w:tcPr>
          <w:p w14:paraId="5D7524CB"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64.919.969</w:t>
            </w:r>
          </w:p>
        </w:tc>
      </w:tr>
      <w:tr w:rsidR="00072A69" w:rsidRPr="00965E46" w14:paraId="30B47586" w14:textId="77777777" w:rsidTr="00AC1F17">
        <w:trPr>
          <w:trHeight w:val="300"/>
        </w:trPr>
        <w:tc>
          <w:tcPr>
            <w:tcW w:w="1658" w:type="dxa"/>
            <w:vMerge w:val="restart"/>
            <w:shd w:val="clear" w:color="auto" w:fill="auto"/>
            <w:noWrap/>
            <w:vAlign w:val="center"/>
            <w:hideMark/>
          </w:tcPr>
          <w:p w14:paraId="20E5874D" w14:textId="77777777" w:rsidR="00072A69" w:rsidRPr="00965E46" w:rsidRDefault="00072A69" w:rsidP="00AC1F17">
            <w:pPr>
              <w:spacing w:after="0" w:line="240" w:lineRule="auto"/>
              <w:jc w:val="center"/>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Razni subjekti</w:t>
            </w:r>
          </w:p>
        </w:tc>
        <w:tc>
          <w:tcPr>
            <w:tcW w:w="889" w:type="dxa"/>
            <w:shd w:val="clear" w:color="auto" w:fill="auto"/>
            <w:noWrap/>
            <w:vAlign w:val="center"/>
            <w:hideMark/>
          </w:tcPr>
          <w:p w14:paraId="20845BEF"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45</w:t>
            </w:r>
          </w:p>
        </w:tc>
        <w:tc>
          <w:tcPr>
            <w:tcW w:w="4252" w:type="dxa"/>
            <w:shd w:val="clear" w:color="auto" w:fill="auto"/>
            <w:noWrap/>
            <w:vAlign w:val="center"/>
            <w:hideMark/>
          </w:tcPr>
          <w:p w14:paraId="10C793D4"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Gradbena dela</w:t>
            </w:r>
          </w:p>
        </w:tc>
        <w:tc>
          <w:tcPr>
            <w:tcW w:w="851" w:type="dxa"/>
            <w:shd w:val="clear" w:color="auto" w:fill="auto"/>
            <w:vAlign w:val="center"/>
            <w:hideMark/>
          </w:tcPr>
          <w:p w14:paraId="537EE1BD"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w:t>
            </w:r>
          </w:p>
        </w:tc>
        <w:tc>
          <w:tcPr>
            <w:tcW w:w="1412" w:type="dxa"/>
            <w:shd w:val="clear" w:color="auto" w:fill="auto"/>
            <w:vAlign w:val="center"/>
            <w:hideMark/>
          </w:tcPr>
          <w:p w14:paraId="45A6F291"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6.829.354</w:t>
            </w:r>
          </w:p>
        </w:tc>
      </w:tr>
      <w:tr w:rsidR="00072A69" w:rsidRPr="00965E46" w14:paraId="4D18909A" w14:textId="77777777" w:rsidTr="00AC1F17">
        <w:trPr>
          <w:trHeight w:val="300"/>
        </w:trPr>
        <w:tc>
          <w:tcPr>
            <w:tcW w:w="1658" w:type="dxa"/>
            <w:vMerge/>
            <w:vAlign w:val="center"/>
            <w:hideMark/>
          </w:tcPr>
          <w:p w14:paraId="160D6F26"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1C6DB3A3"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34</w:t>
            </w:r>
          </w:p>
        </w:tc>
        <w:tc>
          <w:tcPr>
            <w:tcW w:w="4252" w:type="dxa"/>
            <w:shd w:val="clear" w:color="auto" w:fill="auto"/>
            <w:noWrap/>
            <w:vAlign w:val="center"/>
            <w:hideMark/>
          </w:tcPr>
          <w:p w14:paraId="37913BD9"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Prevozna sredstva in dodatni proizvodi za promet</w:t>
            </w:r>
          </w:p>
        </w:tc>
        <w:tc>
          <w:tcPr>
            <w:tcW w:w="851" w:type="dxa"/>
            <w:shd w:val="clear" w:color="auto" w:fill="auto"/>
            <w:vAlign w:val="center"/>
            <w:hideMark/>
          </w:tcPr>
          <w:p w14:paraId="59B1C02F"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29</w:t>
            </w:r>
          </w:p>
        </w:tc>
        <w:tc>
          <w:tcPr>
            <w:tcW w:w="1412" w:type="dxa"/>
            <w:shd w:val="clear" w:color="auto" w:fill="auto"/>
            <w:vAlign w:val="center"/>
            <w:hideMark/>
          </w:tcPr>
          <w:p w14:paraId="1326A870"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4.094.403</w:t>
            </w:r>
          </w:p>
        </w:tc>
      </w:tr>
      <w:tr w:rsidR="00072A69" w:rsidRPr="00965E46" w14:paraId="0FE0A9FE" w14:textId="77777777" w:rsidTr="00AC1F17">
        <w:trPr>
          <w:trHeight w:val="300"/>
        </w:trPr>
        <w:tc>
          <w:tcPr>
            <w:tcW w:w="1658" w:type="dxa"/>
            <w:vMerge/>
            <w:vAlign w:val="center"/>
            <w:hideMark/>
          </w:tcPr>
          <w:p w14:paraId="42703B76" w14:textId="77777777" w:rsidR="00072A69" w:rsidRPr="00965E46" w:rsidRDefault="00072A69" w:rsidP="00AC1F17">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66A5FDB3"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38</w:t>
            </w:r>
          </w:p>
        </w:tc>
        <w:tc>
          <w:tcPr>
            <w:tcW w:w="4252" w:type="dxa"/>
            <w:shd w:val="clear" w:color="auto" w:fill="auto"/>
            <w:noWrap/>
            <w:vAlign w:val="center"/>
            <w:hideMark/>
          </w:tcPr>
          <w:p w14:paraId="0902A215" w14:textId="77777777" w:rsidR="00072A69" w:rsidRPr="00965E46" w:rsidRDefault="00072A69" w:rsidP="00AC1F17">
            <w:pPr>
              <w:spacing w:after="0" w:line="240" w:lineRule="auto"/>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Laboratorijska, optična in precizna oprema (razen očal)</w:t>
            </w:r>
          </w:p>
        </w:tc>
        <w:tc>
          <w:tcPr>
            <w:tcW w:w="851" w:type="dxa"/>
            <w:shd w:val="clear" w:color="auto" w:fill="auto"/>
            <w:vAlign w:val="center"/>
            <w:hideMark/>
          </w:tcPr>
          <w:p w14:paraId="4510C23D"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28</w:t>
            </w:r>
          </w:p>
        </w:tc>
        <w:tc>
          <w:tcPr>
            <w:tcW w:w="1412" w:type="dxa"/>
            <w:shd w:val="clear" w:color="auto" w:fill="auto"/>
            <w:vAlign w:val="center"/>
            <w:hideMark/>
          </w:tcPr>
          <w:p w14:paraId="2EF88A5C" w14:textId="77777777" w:rsidR="00072A69" w:rsidRPr="00965E46" w:rsidRDefault="00072A69" w:rsidP="00AC1F17">
            <w:pPr>
              <w:spacing w:after="0" w:line="240" w:lineRule="auto"/>
              <w:jc w:val="right"/>
              <w:rPr>
                <w:rFonts w:ascii="Arial" w:eastAsia="Times New Roman" w:hAnsi="Arial" w:cs="Arial"/>
                <w:color w:val="000000"/>
                <w:sz w:val="18"/>
                <w:szCs w:val="18"/>
                <w:lang w:eastAsia="sl-SI"/>
              </w:rPr>
            </w:pPr>
            <w:r w:rsidRPr="00965E46">
              <w:rPr>
                <w:rFonts w:ascii="Arial" w:eastAsia="Times New Roman" w:hAnsi="Arial" w:cs="Arial"/>
                <w:color w:val="000000"/>
                <w:sz w:val="18"/>
                <w:szCs w:val="18"/>
                <w:lang w:eastAsia="sl-SI"/>
              </w:rPr>
              <w:t>1.948.462</w:t>
            </w:r>
          </w:p>
        </w:tc>
      </w:tr>
    </w:tbl>
    <w:p w14:paraId="38E61C16" w14:textId="77777777" w:rsidR="00072A69" w:rsidRPr="00EF2D0B" w:rsidRDefault="00072A69" w:rsidP="00072A69">
      <w:pPr>
        <w:spacing w:before="120" w:after="120" w:line="240" w:lineRule="auto"/>
        <w:jc w:val="both"/>
        <w:rPr>
          <w:rFonts w:ascii="Arial" w:hAnsi="Arial" w:cs="Arial"/>
          <w:sz w:val="20"/>
          <w:highlight w:val="yellow"/>
        </w:rPr>
      </w:pPr>
    </w:p>
    <w:p w14:paraId="6ED05546" w14:textId="7A672465" w:rsidR="00072A69" w:rsidRPr="0079457E" w:rsidRDefault="00072A69" w:rsidP="00072A69">
      <w:pPr>
        <w:spacing w:before="120" w:after="120" w:line="240" w:lineRule="auto"/>
        <w:jc w:val="both"/>
        <w:rPr>
          <w:rFonts w:ascii="Arial" w:hAnsi="Arial" w:cs="Arial"/>
          <w:sz w:val="20"/>
        </w:rPr>
      </w:pPr>
      <w:r w:rsidRPr="0079457E">
        <w:rPr>
          <w:rFonts w:ascii="Arial" w:hAnsi="Arial" w:cs="Arial"/>
          <w:sz w:val="20"/>
        </w:rPr>
        <w:t xml:space="preserve">Preglednica </w:t>
      </w:r>
      <w:r w:rsidR="00D23EC0">
        <w:rPr>
          <w:rFonts w:ascii="Arial" w:hAnsi="Arial" w:cs="Arial"/>
          <w:sz w:val="20"/>
        </w:rPr>
        <w:t>88</w:t>
      </w:r>
      <w:r w:rsidRPr="0079457E">
        <w:rPr>
          <w:rFonts w:ascii="Arial" w:hAnsi="Arial" w:cs="Arial"/>
          <w:sz w:val="20"/>
        </w:rPr>
        <w:t>: Trije najpogostejši predmeti javnega naročanja po Enotnem besednjaku javnih naročil (CPV) za posamezno kategorijo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2"/>
        <w:gridCol w:w="1126"/>
        <w:gridCol w:w="4252"/>
        <w:gridCol w:w="850"/>
        <w:gridCol w:w="1412"/>
      </w:tblGrid>
      <w:tr w:rsidR="00072A69" w:rsidRPr="00F47410" w14:paraId="1E0B9D27" w14:textId="77777777" w:rsidTr="00C320EE">
        <w:trPr>
          <w:trHeight w:val="300"/>
          <w:tblHeader/>
        </w:trPr>
        <w:tc>
          <w:tcPr>
            <w:tcW w:w="785" w:type="pct"/>
            <w:shd w:val="clear" w:color="000000" w:fill="EDEDED"/>
            <w:noWrap/>
            <w:vAlign w:val="center"/>
            <w:hideMark/>
          </w:tcPr>
          <w:p w14:paraId="4964641A"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Opis kategorije</w:t>
            </w:r>
          </w:p>
        </w:tc>
        <w:tc>
          <w:tcPr>
            <w:tcW w:w="621" w:type="pct"/>
            <w:shd w:val="clear" w:color="000000" w:fill="EDEDED"/>
            <w:noWrap/>
            <w:vAlign w:val="center"/>
            <w:hideMark/>
          </w:tcPr>
          <w:p w14:paraId="2B611516"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CPV oddelek</w:t>
            </w:r>
          </w:p>
        </w:tc>
        <w:tc>
          <w:tcPr>
            <w:tcW w:w="2346" w:type="pct"/>
            <w:shd w:val="clear" w:color="000000" w:fill="EDEDED"/>
            <w:noWrap/>
            <w:vAlign w:val="center"/>
            <w:hideMark/>
          </w:tcPr>
          <w:p w14:paraId="4672A616"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Opis CPV oddelka</w:t>
            </w:r>
          </w:p>
        </w:tc>
        <w:tc>
          <w:tcPr>
            <w:tcW w:w="469" w:type="pct"/>
            <w:shd w:val="clear" w:color="000000" w:fill="EDEDED"/>
            <w:noWrap/>
            <w:vAlign w:val="center"/>
            <w:hideMark/>
          </w:tcPr>
          <w:p w14:paraId="375A8391"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Št. naročil</w:t>
            </w:r>
          </w:p>
        </w:tc>
        <w:tc>
          <w:tcPr>
            <w:tcW w:w="779" w:type="pct"/>
            <w:shd w:val="clear" w:color="000000" w:fill="EDEDED"/>
            <w:noWrap/>
            <w:vAlign w:val="center"/>
            <w:hideMark/>
          </w:tcPr>
          <w:p w14:paraId="267628E5"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Pogodbena vrednost</w:t>
            </w:r>
          </w:p>
        </w:tc>
      </w:tr>
      <w:tr w:rsidR="00072A69" w:rsidRPr="00F47410" w14:paraId="1F5D4F4D" w14:textId="77777777" w:rsidTr="00AC1F17">
        <w:trPr>
          <w:trHeight w:val="300"/>
        </w:trPr>
        <w:tc>
          <w:tcPr>
            <w:tcW w:w="785" w:type="pct"/>
            <w:vMerge w:val="restart"/>
            <w:shd w:val="clear" w:color="auto" w:fill="auto"/>
            <w:vAlign w:val="center"/>
            <w:hideMark/>
          </w:tcPr>
          <w:p w14:paraId="3E98B157"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Organi RS</w:t>
            </w:r>
          </w:p>
        </w:tc>
        <w:tc>
          <w:tcPr>
            <w:tcW w:w="621" w:type="pct"/>
            <w:shd w:val="clear" w:color="auto" w:fill="auto"/>
            <w:vAlign w:val="center"/>
            <w:hideMark/>
          </w:tcPr>
          <w:p w14:paraId="02D83E16"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45</w:t>
            </w:r>
          </w:p>
        </w:tc>
        <w:tc>
          <w:tcPr>
            <w:tcW w:w="2346" w:type="pct"/>
            <w:shd w:val="clear" w:color="auto" w:fill="auto"/>
            <w:vAlign w:val="center"/>
            <w:hideMark/>
          </w:tcPr>
          <w:p w14:paraId="3CD27F8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Gradbena dela</w:t>
            </w:r>
          </w:p>
        </w:tc>
        <w:tc>
          <w:tcPr>
            <w:tcW w:w="469" w:type="pct"/>
            <w:shd w:val="clear" w:color="auto" w:fill="auto"/>
            <w:vAlign w:val="center"/>
            <w:hideMark/>
          </w:tcPr>
          <w:p w14:paraId="7274087B"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296</w:t>
            </w:r>
          </w:p>
        </w:tc>
        <w:tc>
          <w:tcPr>
            <w:tcW w:w="779" w:type="pct"/>
            <w:shd w:val="clear" w:color="auto" w:fill="auto"/>
            <w:vAlign w:val="center"/>
            <w:hideMark/>
          </w:tcPr>
          <w:p w14:paraId="687659BB"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289.724.610</w:t>
            </w:r>
          </w:p>
        </w:tc>
      </w:tr>
      <w:tr w:rsidR="00072A69" w:rsidRPr="00F47410" w14:paraId="5E170272" w14:textId="77777777" w:rsidTr="00AC1F17">
        <w:trPr>
          <w:trHeight w:val="300"/>
        </w:trPr>
        <w:tc>
          <w:tcPr>
            <w:tcW w:w="785" w:type="pct"/>
            <w:vMerge/>
            <w:vAlign w:val="center"/>
            <w:hideMark/>
          </w:tcPr>
          <w:p w14:paraId="59B7F3D2"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011197A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71</w:t>
            </w:r>
          </w:p>
        </w:tc>
        <w:tc>
          <w:tcPr>
            <w:tcW w:w="2346" w:type="pct"/>
            <w:shd w:val="clear" w:color="auto" w:fill="auto"/>
            <w:vAlign w:val="center"/>
            <w:hideMark/>
          </w:tcPr>
          <w:p w14:paraId="1AF2DB40"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Arhitekturne, gradbeniške, inženirske in inšpekcijske storitve</w:t>
            </w:r>
          </w:p>
        </w:tc>
        <w:tc>
          <w:tcPr>
            <w:tcW w:w="469" w:type="pct"/>
            <w:shd w:val="clear" w:color="auto" w:fill="auto"/>
            <w:vAlign w:val="center"/>
            <w:hideMark/>
          </w:tcPr>
          <w:p w14:paraId="71D1DEF8"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224</w:t>
            </w:r>
          </w:p>
        </w:tc>
        <w:tc>
          <w:tcPr>
            <w:tcW w:w="779" w:type="pct"/>
            <w:shd w:val="clear" w:color="auto" w:fill="auto"/>
            <w:vAlign w:val="center"/>
            <w:hideMark/>
          </w:tcPr>
          <w:p w14:paraId="1B63C8B2"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40.136.796</w:t>
            </w:r>
          </w:p>
        </w:tc>
      </w:tr>
      <w:tr w:rsidR="00072A69" w:rsidRPr="00F47410" w14:paraId="733B0805" w14:textId="77777777" w:rsidTr="00AC1F17">
        <w:trPr>
          <w:trHeight w:val="300"/>
        </w:trPr>
        <w:tc>
          <w:tcPr>
            <w:tcW w:w="785" w:type="pct"/>
            <w:vMerge/>
            <w:vAlign w:val="center"/>
            <w:hideMark/>
          </w:tcPr>
          <w:p w14:paraId="33C5A894"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40E11573"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50</w:t>
            </w:r>
          </w:p>
        </w:tc>
        <w:tc>
          <w:tcPr>
            <w:tcW w:w="2346" w:type="pct"/>
            <w:shd w:val="clear" w:color="auto" w:fill="auto"/>
            <w:vAlign w:val="center"/>
            <w:hideMark/>
          </w:tcPr>
          <w:p w14:paraId="1600B4E5"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Storitve popravila in vzdrževanja</w:t>
            </w:r>
          </w:p>
        </w:tc>
        <w:tc>
          <w:tcPr>
            <w:tcW w:w="469" w:type="pct"/>
            <w:shd w:val="clear" w:color="auto" w:fill="auto"/>
            <w:vAlign w:val="center"/>
            <w:hideMark/>
          </w:tcPr>
          <w:p w14:paraId="3428800C"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154</w:t>
            </w:r>
          </w:p>
        </w:tc>
        <w:tc>
          <w:tcPr>
            <w:tcW w:w="779" w:type="pct"/>
            <w:shd w:val="clear" w:color="auto" w:fill="auto"/>
            <w:vAlign w:val="center"/>
            <w:hideMark/>
          </w:tcPr>
          <w:p w14:paraId="10C51172"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23.295.594</w:t>
            </w:r>
          </w:p>
        </w:tc>
      </w:tr>
      <w:tr w:rsidR="00072A69" w:rsidRPr="00F47410" w14:paraId="79FCC4AB" w14:textId="77777777" w:rsidTr="00AC1F17">
        <w:trPr>
          <w:trHeight w:val="360"/>
        </w:trPr>
        <w:tc>
          <w:tcPr>
            <w:tcW w:w="785" w:type="pct"/>
            <w:vMerge w:val="restart"/>
            <w:shd w:val="clear" w:color="auto" w:fill="auto"/>
            <w:vAlign w:val="center"/>
            <w:hideMark/>
          </w:tcPr>
          <w:p w14:paraId="3AAF9E34"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Samoupravne lokalne skupnosti</w:t>
            </w:r>
          </w:p>
        </w:tc>
        <w:tc>
          <w:tcPr>
            <w:tcW w:w="621" w:type="pct"/>
            <w:shd w:val="clear" w:color="auto" w:fill="auto"/>
            <w:vAlign w:val="center"/>
            <w:hideMark/>
          </w:tcPr>
          <w:p w14:paraId="7E550A6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45</w:t>
            </w:r>
          </w:p>
        </w:tc>
        <w:tc>
          <w:tcPr>
            <w:tcW w:w="2346" w:type="pct"/>
            <w:shd w:val="clear" w:color="auto" w:fill="auto"/>
            <w:vAlign w:val="center"/>
            <w:hideMark/>
          </w:tcPr>
          <w:p w14:paraId="1F7DFA20"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Gradbena dela</w:t>
            </w:r>
          </w:p>
        </w:tc>
        <w:tc>
          <w:tcPr>
            <w:tcW w:w="469" w:type="pct"/>
            <w:shd w:val="clear" w:color="auto" w:fill="auto"/>
            <w:vAlign w:val="center"/>
            <w:hideMark/>
          </w:tcPr>
          <w:p w14:paraId="3EF16149"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1.073</w:t>
            </w:r>
          </w:p>
        </w:tc>
        <w:tc>
          <w:tcPr>
            <w:tcW w:w="779" w:type="pct"/>
            <w:shd w:val="clear" w:color="auto" w:fill="auto"/>
            <w:vAlign w:val="center"/>
            <w:hideMark/>
          </w:tcPr>
          <w:p w14:paraId="4D2E082F"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371.485.627</w:t>
            </w:r>
          </w:p>
        </w:tc>
      </w:tr>
      <w:tr w:rsidR="00072A69" w:rsidRPr="00F47410" w14:paraId="09F4EA50" w14:textId="77777777" w:rsidTr="00AC1F17">
        <w:trPr>
          <w:trHeight w:val="300"/>
        </w:trPr>
        <w:tc>
          <w:tcPr>
            <w:tcW w:w="785" w:type="pct"/>
            <w:vMerge/>
            <w:vAlign w:val="center"/>
            <w:hideMark/>
          </w:tcPr>
          <w:p w14:paraId="7111CCE7"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52EEB2A0"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60</w:t>
            </w:r>
          </w:p>
        </w:tc>
        <w:tc>
          <w:tcPr>
            <w:tcW w:w="2346" w:type="pct"/>
            <w:shd w:val="clear" w:color="auto" w:fill="auto"/>
            <w:vAlign w:val="center"/>
            <w:hideMark/>
          </w:tcPr>
          <w:p w14:paraId="2A4795F1"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Prevozne storitve (razen prevoza odpadkov)</w:t>
            </w:r>
          </w:p>
        </w:tc>
        <w:tc>
          <w:tcPr>
            <w:tcW w:w="469" w:type="pct"/>
            <w:shd w:val="clear" w:color="auto" w:fill="auto"/>
            <w:vAlign w:val="center"/>
            <w:hideMark/>
          </w:tcPr>
          <w:p w14:paraId="17501505"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228</w:t>
            </w:r>
          </w:p>
        </w:tc>
        <w:tc>
          <w:tcPr>
            <w:tcW w:w="779" w:type="pct"/>
            <w:shd w:val="clear" w:color="auto" w:fill="auto"/>
            <w:vAlign w:val="center"/>
            <w:hideMark/>
          </w:tcPr>
          <w:p w14:paraId="76432BD1"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21.073.830</w:t>
            </w:r>
          </w:p>
        </w:tc>
      </w:tr>
      <w:tr w:rsidR="00072A69" w:rsidRPr="00F47410" w14:paraId="7A6E2D6A" w14:textId="77777777" w:rsidTr="00AC1F17">
        <w:trPr>
          <w:trHeight w:val="300"/>
        </w:trPr>
        <w:tc>
          <w:tcPr>
            <w:tcW w:w="785" w:type="pct"/>
            <w:vMerge/>
            <w:vAlign w:val="center"/>
            <w:hideMark/>
          </w:tcPr>
          <w:p w14:paraId="13CDBC6F"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56C298BC"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71</w:t>
            </w:r>
          </w:p>
        </w:tc>
        <w:tc>
          <w:tcPr>
            <w:tcW w:w="2346" w:type="pct"/>
            <w:shd w:val="clear" w:color="auto" w:fill="auto"/>
            <w:vAlign w:val="center"/>
            <w:hideMark/>
          </w:tcPr>
          <w:p w14:paraId="026A36CC"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Arhitekturne, gradbeniške, inženirske in inšpekcijske storitve</w:t>
            </w:r>
          </w:p>
        </w:tc>
        <w:tc>
          <w:tcPr>
            <w:tcW w:w="469" w:type="pct"/>
            <w:shd w:val="clear" w:color="auto" w:fill="auto"/>
            <w:vAlign w:val="center"/>
            <w:hideMark/>
          </w:tcPr>
          <w:p w14:paraId="3FC4E310"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163</w:t>
            </w:r>
          </w:p>
        </w:tc>
        <w:tc>
          <w:tcPr>
            <w:tcW w:w="779" w:type="pct"/>
            <w:shd w:val="clear" w:color="auto" w:fill="auto"/>
            <w:vAlign w:val="center"/>
            <w:hideMark/>
          </w:tcPr>
          <w:p w14:paraId="7F47A411"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14.284.311</w:t>
            </w:r>
          </w:p>
        </w:tc>
      </w:tr>
      <w:tr w:rsidR="00072A69" w:rsidRPr="00F47410" w14:paraId="33B60713" w14:textId="77777777" w:rsidTr="00AC1F17">
        <w:trPr>
          <w:trHeight w:val="300"/>
        </w:trPr>
        <w:tc>
          <w:tcPr>
            <w:tcW w:w="785" w:type="pct"/>
            <w:vMerge w:val="restart"/>
            <w:shd w:val="clear" w:color="auto" w:fill="auto"/>
            <w:vAlign w:val="center"/>
            <w:hideMark/>
          </w:tcPr>
          <w:p w14:paraId="6FD1247B"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Javni skladi</w:t>
            </w:r>
          </w:p>
        </w:tc>
        <w:tc>
          <w:tcPr>
            <w:tcW w:w="621" w:type="pct"/>
            <w:shd w:val="clear" w:color="auto" w:fill="auto"/>
            <w:vAlign w:val="center"/>
            <w:hideMark/>
          </w:tcPr>
          <w:p w14:paraId="45716EF4"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45</w:t>
            </w:r>
          </w:p>
        </w:tc>
        <w:tc>
          <w:tcPr>
            <w:tcW w:w="2346" w:type="pct"/>
            <w:shd w:val="clear" w:color="auto" w:fill="auto"/>
            <w:vAlign w:val="center"/>
            <w:hideMark/>
          </w:tcPr>
          <w:p w14:paraId="2BBA729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Gradbena dela</w:t>
            </w:r>
          </w:p>
        </w:tc>
        <w:tc>
          <w:tcPr>
            <w:tcW w:w="469" w:type="pct"/>
            <w:shd w:val="clear" w:color="auto" w:fill="auto"/>
            <w:vAlign w:val="center"/>
            <w:hideMark/>
          </w:tcPr>
          <w:p w14:paraId="2ACBC10F"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27</w:t>
            </w:r>
          </w:p>
        </w:tc>
        <w:tc>
          <w:tcPr>
            <w:tcW w:w="779" w:type="pct"/>
            <w:shd w:val="clear" w:color="auto" w:fill="auto"/>
            <w:vAlign w:val="center"/>
            <w:hideMark/>
          </w:tcPr>
          <w:p w14:paraId="65BA35FD"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8.987.797</w:t>
            </w:r>
          </w:p>
        </w:tc>
      </w:tr>
      <w:tr w:rsidR="00072A69" w:rsidRPr="00F47410" w14:paraId="69FF2DAC" w14:textId="77777777" w:rsidTr="00AC1F17">
        <w:trPr>
          <w:trHeight w:val="300"/>
        </w:trPr>
        <w:tc>
          <w:tcPr>
            <w:tcW w:w="785" w:type="pct"/>
            <w:vMerge/>
            <w:vAlign w:val="center"/>
            <w:hideMark/>
          </w:tcPr>
          <w:p w14:paraId="693A2769"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7706DA3B"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72</w:t>
            </w:r>
          </w:p>
        </w:tc>
        <w:tc>
          <w:tcPr>
            <w:tcW w:w="2346" w:type="pct"/>
            <w:shd w:val="clear" w:color="auto" w:fill="auto"/>
            <w:vAlign w:val="center"/>
            <w:hideMark/>
          </w:tcPr>
          <w:p w14:paraId="5CEF09A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Storitve informacijske tehnologije: svetovanje, razvoj programske opreme, internet in podpora</w:t>
            </w:r>
          </w:p>
        </w:tc>
        <w:tc>
          <w:tcPr>
            <w:tcW w:w="469" w:type="pct"/>
            <w:shd w:val="clear" w:color="auto" w:fill="auto"/>
            <w:vAlign w:val="center"/>
            <w:hideMark/>
          </w:tcPr>
          <w:p w14:paraId="595183F6"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8</w:t>
            </w:r>
          </w:p>
        </w:tc>
        <w:tc>
          <w:tcPr>
            <w:tcW w:w="779" w:type="pct"/>
            <w:shd w:val="clear" w:color="auto" w:fill="auto"/>
            <w:vAlign w:val="center"/>
            <w:hideMark/>
          </w:tcPr>
          <w:p w14:paraId="274054BA"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679.524</w:t>
            </w:r>
          </w:p>
        </w:tc>
      </w:tr>
      <w:tr w:rsidR="00072A69" w:rsidRPr="00F47410" w14:paraId="07790745" w14:textId="77777777" w:rsidTr="00AC1F17">
        <w:trPr>
          <w:trHeight w:val="300"/>
        </w:trPr>
        <w:tc>
          <w:tcPr>
            <w:tcW w:w="785" w:type="pct"/>
            <w:vMerge/>
            <w:vAlign w:val="center"/>
            <w:hideMark/>
          </w:tcPr>
          <w:p w14:paraId="7D8811F9"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68266C46"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30</w:t>
            </w:r>
          </w:p>
        </w:tc>
        <w:tc>
          <w:tcPr>
            <w:tcW w:w="2346" w:type="pct"/>
            <w:shd w:val="clear" w:color="auto" w:fill="auto"/>
            <w:vAlign w:val="center"/>
            <w:hideMark/>
          </w:tcPr>
          <w:p w14:paraId="2514AC26"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Pisarniški in računski stroji, oprema in potrebščine, razen pohištva in programskih paketov</w:t>
            </w:r>
          </w:p>
        </w:tc>
        <w:tc>
          <w:tcPr>
            <w:tcW w:w="469" w:type="pct"/>
            <w:shd w:val="clear" w:color="auto" w:fill="auto"/>
            <w:vAlign w:val="center"/>
            <w:hideMark/>
          </w:tcPr>
          <w:p w14:paraId="251CE4CE"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w:t>
            </w:r>
          </w:p>
        </w:tc>
        <w:tc>
          <w:tcPr>
            <w:tcW w:w="779" w:type="pct"/>
            <w:shd w:val="clear" w:color="auto" w:fill="auto"/>
            <w:vAlign w:val="center"/>
            <w:hideMark/>
          </w:tcPr>
          <w:p w14:paraId="608272C0"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41.616</w:t>
            </w:r>
          </w:p>
        </w:tc>
      </w:tr>
      <w:tr w:rsidR="00072A69" w:rsidRPr="00F47410" w14:paraId="265F6335" w14:textId="77777777" w:rsidTr="00AC1F17">
        <w:trPr>
          <w:trHeight w:val="300"/>
        </w:trPr>
        <w:tc>
          <w:tcPr>
            <w:tcW w:w="785" w:type="pct"/>
            <w:vMerge w:val="restart"/>
            <w:shd w:val="clear" w:color="auto" w:fill="auto"/>
            <w:vAlign w:val="center"/>
            <w:hideMark/>
          </w:tcPr>
          <w:p w14:paraId="49189B89"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Javne agencije</w:t>
            </w:r>
          </w:p>
        </w:tc>
        <w:tc>
          <w:tcPr>
            <w:tcW w:w="621" w:type="pct"/>
            <w:shd w:val="clear" w:color="auto" w:fill="auto"/>
            <w:vAlign w:val="center"/>
            <w:hideMark/>
          </w:tcPr>
          <w:p w14:paraId="5013BCD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79</w:t>
            </w:r>
          </w:p>
        </w:tc>
        <w:tc>
          <w:tcPr>
            <w:tcW w:w="2346" w:type="pct"/>
            <w:shd w:val="clear" w:color="auto" w:fill="auto"/>
            <w:vAlign w:val="center"/>
            <w:hideMark/>
          </w:tcPr>
          <w:p w14:paraId="203FAD44"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Poslovne storitve: pravo, trženje, svetovanje, zaposlovanje, tiskanje in varnost</w:t>
            </w:r>
          </w:p>
        </w:tc>
        <w:tc>
          <w:tcPr>
            <w:tcW w:w="469" w:type="pct"/>
            <w:shd w:val="clear" w:color="auto" w:fill="auto"/>
            <w:vAlign w:val="center"/>
            <w:hideMark/>
          </w:tcPr>
          <w:p w14:paraId="45E6CF89"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46</w:t>
            </w:r>
          </w:p>
        </w:tc>
        <w:tc>
          <w:tcPr>
            <w:tcW w:w="779" w:type="pct"/>
            <w:shd w:val="clear" w:color="auto" w:fill="auto"/>
            <w:vAlign w:val="center"/>
            <w:hideMark/>
          </w:tcPr>
          <w:p w14:paraId="42B49FB3"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4.033.175</w:t>
            </w:r>
          </w:p>
        </w:tc>
      </w:tr>
      <w:tr w:rsidR="00072A69" w:rsidRPr="00F47410" w14:paraId="29F2E4B7" w14:textId="77777777" w:rsidTr="00AC1F17">
        <w:trPr>
          <w:trHeight w:val="300"/>
        </w:trPr>
        <w:tc>
          <w:tcPr>
            <w:tcW w:w="785" w:type="pct"/>
            <w:vMerge/>
            <w:vAlign w:val="center"/>
            <w:hideMark/>
          </w:tcPr>
          <w:p w14:paraId="346D9F2D"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6C8060A7"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72</w:t>
            </w:r>
          </w:p>
        </w:tc>
        <w:tc>
          <w:tcPr>
            <w:tcW w:w="2346" w:type="pct"/>
            <w:shd w:val="clear" w:color="auto" w:fill="auto"/>
            <w:vAlign w:val="center"/>
            <w:hideMark/>
          </w:tcPr>
          <w:p w14:paraId="1408E8AC"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Storitve informacijske tehnologije: svetovanje, razvoj programske opreme, internet in podpora</w:t>
            </w:r>
          </w:p>
        </w:tc>
        <w:tc>
          <w:tcPr>
            <w:tcW w:w="469" w:type="pct"/>
            <w:shd w:val="clear" w:color="auto" w:fill="auto"/>
            <w:vAlign w:val="center"/>
            <w:hideMark/>
          </w:tcPr>
          <w:p w14:paraId="34D2C7A8"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25</w:t>
            </w:r>
          </w:p>
        </w:tc>
        <w:tc>
          <w:tcPr>
            <w:tcW w:w="779" w:type="pct"/>
            <w:shd w:val="clear" w:color="auto" w:fill="auto"/>
            <w:vAlign w:val="center"/>
            <w:hideMark/>
          </w:tcPr>
          <w:p w14:paraId="15424237"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1.168.980</w:t>
            </w:r>
          </w:p>
        </w:tc>
      </w:tr>
      <w:tr w:rsidR="00072A69" w:rsidRPr="00F47410" w14:paraId="6E5888C5" w14:textId="77777777" w:rsidTr="00AC1F17">
        <w:trPr>
          <w:trHeight w:val="300"/>
        </w:trPr>
        <w:tc>
          <w:tcPr>
            <w:tcW w:w="785" w:type="pct"/>
            <w:vMerge/>
            <w:vAlign w:val="center"/>
            <w:hideMark/>
          </w:tcPr>
          <w:p w14:paraId="663D04D0"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4DEE9294"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30</w:t>
            </w:r>
          </w:p>
        </w:tc>
        <w:tc>
          <w:tcPr>
            <w:tcW w:w="2346" w:type="pct"/>
            <w:shd w:val="clear" w:color="auto" w:fill="auto"/>
            <w:vAlign w:val="center"/>
            <w:hideMark/>
          </w:tcPr>
          <w:p w14:paraId="547A0AA3"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Pisarniški in računski stroji, oprema in potrebščine, razen pohištva in programskih paketov</w:t>
            </w:r>
          </w:p>
        </w:tc>
        <w:tc>
          <w:tcPr>
            <w:tcW w:w="469" w:type="pct"/>
            <w:shd w:val="clear" w:color="auto" w:fill="auto"/>
            <w:vAlign w:val="center"/>
            <w:hideMark/>
          </w:tcPr>
          <w:p w14:paraId="68F6E501"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14</w:t>
            </w:r>
          </w:p>
        </w:tc>
        <w:tc>
          <w:tcPr>
            <w:tcW w:w="779" w:type="pct"/>
            <w:shd w:val="clear" w:color="auto" w:fill="auto"/>
            <w:vAlign w:val="center"/>
            <w:hideMark/>
          </w:tcPr>
          <w:p w14:paraId="62BC56BD"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543.656</w:t>
            </w:r>
          </w:p>
        </w:tc>
      </w:tr>
      <w:tr w:rsidR="00072A69" w:rsidRPr="00F47410" w14:paraId="677E5BE2" w14:textId="77777777" w:rsidTr="00AC1F17">
        <w:trPr>
          <w:trHeight w:val="300"/>
        </w:trPr>
        <w:tc>
          <w:tcPr>
            <w:tcW w:w="785" w:type="pct"/>
            <w:vMerge w:val="restart"/>
            <w:shd w:val="clear" w:color="auto" w:fill="auto"/>
            <w:vAlign w:val="center"/>
            <w:hideMark/>
          </w:tcPr>
          <w:p w14:paraId="5583CDEC"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Javni zavodi</w:t>
            </w:r>
          </w:p>
        </w:tc>
        <w:tc>
          <w:tcPr>
            <w:tcW w:w="621" w:type="pct"/>
            <w:shd w:val="clear" w:color="auto" w:fill="auto"/>
            <w:vAlign w:val="center"/>
            <w:hideMark/>
          </w:tcPr>
          <w:p w14:paraId="3C7FC75A"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15</w:t>
            </w:r>
          </w:p>
        </w:tc>
        <w:tc>
          <w:tcPr>
            <w:tcW w:w="2346" w:type="pct"/>
            <w:shd w:val="clear" w:color="auto" w:fill="auto"/>
            <w:vAlign w:val="center"/>
            <w:hideMark/>
          </w:tcPr>
          <w:p w14:paraId="0D0FA1C3"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Živila, pijače, tobačni izdelki in z njimi povezani izdelki</w:t>
            </w:r>
          </w:p>
        </w:tc>
        <w:tc>
          <w:tcPr>
            <w:tcW w:w="469" w:type="pct"/>
            <w:shd w:val="clear" w:color="auto" w:fill="auto"/>
            <w:vAlign w:val="center"/>
            <w:hideMark/>
          </w:tcPr>
          <w:p w14:paraId="2BBD760E"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4.618</w:t>
            </w:r>
          </w:p>
        </w:tc>
        <w:tc>
          <w:tcPr>
            <w:tcW w:w="779" w:type="pct"/>
            <w:shd w:val="clear" w:color="auto" w:fill="auto"/>
            <w:vAlign w:val="center"/>
            <w:hideMark/>
          </w:tcPr>
          <w:p w14:paraId="1E66C41D"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86.737.865</w:t>
            </w:r>
          </w:p>
        </w:tc>
      </w:tr>
      <w:tr w:rsidR="00072A69" w:rsidRPr="00F47410" w14:paraId="5E2C4233" w14:textId="77777777" w:rsidTr="00AC1F17">
        <w:trPr>
          <w:trHeight w:val="300"/>
        </w:trPr>
        <w:tc>
          <w:tcPr>
            <w:tcW w:w="785" w:type="pct"/>
            <w:vMerge/>
            <w:vAlign w:val="center"/>
            <w:hideMark/>
          </w:tcPr>
          <w:p w14:paraId="7597D4A6" w14:textId="77777777" w:rsidR="00072A69" w:rsidRPr="00F47410" w:rsidRDefault="00072A69" w:rsidP="00AC1F17">
            <w:pPr>
              <w:spacing w:after="0" w:line="240" w:lineRule="auto"/>
              <w:rPr>
                <w:rFonts w:ascii="Arial" w:eastAsia="Times New Roman" w:hAnsi="Arial" w:cs="Arial"/>
                <w:color w:val="000000"/>
                <w:sz w:val="18"/>
                <w:szCs w:val="18"/>
                <w:lang w:eastAsia="sl-SI"/>
              </w:rPr>
            </w:pPr>
          </w:p>
        </w:tc>
        <w:tc>
          <w:tcPr>
            <w:tcW w:w="621" w:type="pct"/>
            <w:shd w:val="clear" w:color="auto" w:fill="auto"/>
            <w:vAlign w:val="center"/>
            <w:hideMark/>
          </w:tcPr>
          <w:p w14:paraId="5CC5E58E"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33</w:t>
            </w:r>
          </w:p>
        </w:tc>
        <w:tc>
          <w:tcPr>
            <w:tcW w:w="2346" w:type="pct"/>
            <w:shd w:val="clear" w:color="auto" w:fill="auto"/>
            <w:vAlign w:val="center"/>
            <w:hideMark/>
          </w:tcPr>
          <w:p w14:paraId="2F045F2A"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Medicinska oprema, farmacevtski izdelki in izdelki za osebno nego</w:t>
            </w:r>
          </w:p>
        </w:tc>
        <w:tc>
          <w:tcPr>
            <w:tcW w:w="469" w:type="pct"/>
            <w:shd w:val="clear" w:color="auto" w:fill="auto"/>
            <w:vAlign w:val="center"/>
            <w:hideMark/>
          </w:tcPr>
          <w:p w14:paraId="55C39B48"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2.615</w:t>
            </w:r>
          </w:p>
        </w:tc>
        <w:tc>
          <w:tcPr>
            <w:tcW w:w="779" w:type="pct"/>
            <w:shd w:val="clear" w:color="auto" w:fill="auto"/>
            <w:vAlign w:val="center"/>
            <w:hideMark/>
          </w:tcPr>
          <w:p w14:paraId="4C290EDE"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237.076.422</w:t>
            </w:r>
          </w:p>
        </w:tc>
      </w:tr>
      <w:tr w:rsidR="00072A69" w:rsidRPr="00F47410" w14:paraId="259014B8" w14:textId="77777777" w:rsidTr="00AC1F17">
        <w:trPr>
          <w:trHeight w:val="300"/>
        </w:trPr>
        <w:tc>
          <w:tcPr>
            <w:tcW w:w="785" w:type="pct"/>
            <w:vMerge/>
            <w:vAlign w:val="center"/>
            <w:hideMark/>
          </w:tcPr>
          <w:p w14:paraId="62F4796A" w14:textId="77777777" w:rsidR="00072A69" w:rsidRPr="00F47410" w:rsidRDefault="00072A69" w:rsidP="00AC1F17">
            <w:pPr>
              <w:spacing w:after="0" w:line="240" w:lineRule="auto"/>
              <w:rPr>
                <w:rFonts w:ascii="Arial" w:eastAsia="Times New Roman" w:hAnsi="Arial" w:cs="Arial"/>
                <w:color w:val="000000"/>
                <w:sz w:val="18"/>
                <w:szCs w:val="18"/>
                <w:lang w:eastAsia="sl-SI"/>
              </w:rPr>
            </w:pPr>
          </w:p>
        </w:tc>
        <w:tc>
          <w:tcPr>
            <w:tcW w:w="621" w:type="pct"/>
            <w:shd w:val="clear" w:color="auto" w:fill="auto"/>
            <w:vAlign w:val="center"/>
            <w:hideMark/>
          </w:tcPr>
          <w:p w14:paraId="57E2BE0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30</w:t>
            </w:r>
          </w:p>
        </w:tc>
        <w:tc>
          <w:tcPr>
            <w:tcW w:w="2346" w:type="pct"/>
            <w:shd w:val="clear" w:color="auto" w:fill="auto"/>
            <w:vAlign w:val="center"/>
            <w:hideMark/>
          </w:tcPr>
          <w:p w14:paraId="30A03F26"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Pisarniški in računski stroji, oprema in potrebščine, razen pohištva in programskih paketov</w:t>
            </w:r>
          </w:p>
        </w:tc>
        <w:tc>
          <w:tcPr>
            <w:tcW w:w="469" w:type="pct"/>
            <w:shd w:val="clear" w:color="auto" w:fill="auto"/>
            <w:vAlign w:val="center"/>
            <w:hideMark/>
          </w:tcPr>
          <w:p w14:paraId="0EA36847"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297</w:t>
            </w:r>
          </w:p>
        </w:tc>
        <w:tc>
          <w:tcPr>
            <w:tcW w:w="779" w:type="pct"/>
            <w:shd w:val="clear" w:color="auto" w:fill="auto"/>
            <w:vAlign w:val="center"/>
            <w:hideMark/>
          </w:tcPr>
          <w:p w14:paraId="2DE42C9B"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24.302.633</w:t>
            </w:r>
          </w:p>
        </w:tc>
      </w:tr>
      <w:tr w:rsidR="00072A69" w:rsidRPr="00F47410" w14:paraId="63B34574" w14:textId="77777777" w:rsidTr="00AC1F17">
        <w:trPr>
          <w:trHeight w:val="300"/>
        </w:trPr>
        <w:tc>
          <w:tcPr>
            <w:tcW w:w="785" w:type="pct"/>
            <w:vMerge w:val="restart"/>
            <w:shd w:val="clear" w:color="auto" w:fill="auto"/>
            <w:vAlign w:val="center"/>
            <w:hideMark/>
          </w:tcPr>
          <w:p w14:paraId="2377AB97"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Javni gospodarski zavodi</w:t>
            </w:r>
          </w:p>
        </w:tc>
        <w:tc>
          <w:tcPr>
            <w:tcW w:w="621" w:type="pct"/>
            <w:shd w:val="clear" w:color="auto" w:fill="auto"/>
            <w:vAlign w:val="center"/>
            <w:hideMark/>
          </w:tcPr>
          <w:p w14:paraId="40FE840A"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34</w:t>
            </w:r>
          </w:p>
        </w:tc>
        <w:tc>
          <w:tcPr>
            <w:tcW w:w="2346" w:type="pct"/>
            <w:shd w:val="clear" w:color="auto" w:fill="auto"/>
            <w:vAlign w:val="center"/>
            <w:hideMark/>
          </w:tcPr>
          <w:p w14:paraId="7F1C58B5"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Prevozna sredstva in dodatni proizvodi za promet</w:t>
            </w:r>
          </w:p>
        </w:tc>
        <w:tc>
          <w:tcPr>
            <w:tcW w:w="469" w:type="pct"/>
            <w:shd w:val="clear" w:color="auto" w:fill="auto"/>
            <w:vAlign w:val="center"/>
            <w:hideMark/>
          </w:tcPr>
          <w:p w14:paraId="7D84193A"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17</w:t>
            </w:r>
          </w:p>
        </w:tc>
        <w:tc>
          <w:tcPr>
            <w:tcW w:w="779" w:type="pct"/>
            <w:shd w:val="clear" w:color="auto" w:fill="auto"/>
            <w:vAlign w:val="center"/>
            <w:hideMark/>
          </w:tcPr>
          <w:p w14:paraId="4FC8C17A"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993.397</w:t>
            </w:r>
          </w:p>
        </w:tc>
      </w:tr>
      <w:tr w:rsidR="00072A69" w:rsidRPr="00F47410" w14:paraId="6E0DE06D" w14:textId="77777777" w:rsidTr="00AC1F17">
        <w:trPr>
          <w:trHeight w:val="300"/>
        </w:trPr>
        <w:tc>
          <w:tcPr>
            <w:tcW w:w="785" w:type="pct"/>
            <w:vMerge/>
            <w:vAlign w:val="center"/>
            <w:hideMark/>
          </w:tcPr>
          <w:p w14:paraId="6F7C4EB3"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0EE427E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24</w:t>
            </w:r>
          </w:p>
        </w:tc>
        <w:tc>
          <w:tcPr>
            <w:tcW w:w="2346" w:type="pct"/>
            <w:shd w:val="clear" w:color="auto" w:fill="auto"/>
            <w:vAlign w:val="center"/>
            <w:hideMark/>
          </w:tcPr>
          <w:p w14:paraId="61DAD08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Kemični proizvodi</w:t>
            </w:r>
          </w:p>
        </w:tc>
        <w:tc>
          <w:tcPr>
            <w:tcW w:w="469" w:type="pct"/>
            <w:shd w:val="clear" w:color="auto" w:fill="auto"/>
            <w:vAlign w:val="center"/>
            <w:hideMark/>
          </w:tcPr>
          <w:p w14:paraId="227DE90A"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16</w:t>
            </w:r>
          </w:p>
        </w:tc>
        <w:tc>
          <w:tcPr>
            <w:tcW w:w="779" w:type="pct"/>
            <w:shd w:val="clear" w:color="auto" w:fill="auto"/>
            <w:vAlign w:val="center"/>
            <w:hideMark/>
          </w:tcPr>
          <w:p w14:paraId="5361E7FE"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162.518</w:t>
            </w:r>
          </w:p>
        </w:tc>
      </w:tr>
      <w:tr w:rsidR="00072A69" w:rsidRPr="00F47410" w14:paraId="1C4396C6" w14:textId="77777777" w:rsidTr="00AC1F17">
        <w:trPr>
          <w:trHeight w:val="300"/>
        </w:trPr>
        <w:tc>
          <w:tcPr>
            <w:tcW w:w="785" w:type="pct"/>
            <w:vMerge/>
            <w:vAlign w:val="center"/>
            <w:hideMark/>
          </w:tcPr>
          <w:p w14:paraId="256797AE"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1232BF36"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15</w:t>
            </w:r>
          </w:p>
        </w:tc>
        <w:tc>
          <w:tcPr>
            <w:tcW w:w="2346" w:type="pct"/>
            <w:shd w:val="clear" w:color="auto" w:fill="auto"/>
            <w:vAlign w:val="center"/>
            <w:hideMark/>
          </w:tcPr>
          <w:p w14:paraId="3FDE3BA8"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Živila, pijače, tobačni izdelki in z njimi povezani izdelki</w:t>
            </w:r>
          </w:p>
        </w:tc>
        <w:tc>
          <w:tcPr>
            <w:tcW w:w="469" w:type="pct"/>
            <w:shd w:val="clear" w:color="auto" w:fill="auto"/>
            <w:vAlign w:val="center"/>
            <w:hideMark/>
          </w:tcPr>
          <w:p w14:paraId="4BA368FB"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10</w:t>
            </w:r>
          </w:p>
        </w:tc>
        <w:tc>
          <w:tcPr>
            <w:tcW w:w="779" w:type="pct"/>
            <w:shd w:val="clear" w:color="auto" w:fill="auto"/>
            <w:vAlign w:val="center"/>
            <w:hideMark/>
          </w:tcPr>
          <w:p w14:paraId="56FF53ED"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364.974</w:t>
            </w:r>
          </w:p>
        </w:tc>
      </w:tr>
      <w:tr w:rsidR="00072A69" w:rsidRPr="00F47410" w14:paraId="0868A873" w14:textId="77777777" w:rsidTr="00AC1F17">
        <w:trPr>
          <w:trHeight w:val="300"/>
        </w:trPr>
        <w:tc>
          <w:tcPr>
            <w:tcW w:w="785" w:type="pct"/>
            <w:vMerge w:val="restart"/>
            <w:shd w:val="clear" w:color="auto" w:fill="auto"/>
            <w:vAlign w:val="center"/>
            <w:hideMark/>
          </w:tcPr>
          <w:p w14:paraId="67FBDE14"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Drugi naročniki (osebe javnega prava, javna podjetja, subjekt s posebnimi infrastrukturnimi pravicami)</w:t>
            </w:r>
          </w:p>
        </w:tc>
        <w:tc>
          <w:tcPr>
            <w:tcW w:w="621" w:type="pct"/>
            <w:shd w:val="clear" w:color="auto" w:fill="auto"/>
            <w:vAlign w:val="center"/>
            <w:hideMark/>
          </w:tcPr>
          <w:p w14:paraId="44838F4A"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45</w:t>
            </w:r>
          </w:p>
        </w:tc>
        <w:tc>
          <w:tcPr>
            <w:tcW w:w="2346" w:type="pct"/>
            <w:shd w:val="clear" w:color="auto" w:fill="auto"/>
            <w:vAlign w:val="center"/>
            <w:hideMark/>
          </w:tcPr>
          <w:p w14:paraId="061CE48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Gradbena dela</w:t>
            </w:r>
          </w:p>
        </w:tc>
        <w:tc>
          <w:tcPr>
            <w:tcW w:w="469" w:type="pct"/>
            <w:shd w:val="clear" w:color="auto" w:fill="auto"/>
            <w:vAlign w:val="center"/>
            <w:hideMark/>
          </w:tcPr>
          <w:p w14:paraId="1D78A075"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446</w:t>
            </w:r>
          </w:p>
        </w:tc>
        <w:tc>
          <w:tcPr>
            <w:tcW w:w="779" w:type="pct"/>
            <w:shd w:val="clear" w:color="auto" w:fill="auto"/>
            <w:vAlign w:val="center"/>
            <w:hideMark/>
          </w:tcPr>
          <w:p w14:paraId="37B07AED"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248.159.818</w:t>
            </w:r>
          </w:p>
        </w:tc>
      </w:tr>
      <w:tr w:rsidR="00072A69" w:rsidRPr="00F47410" w14:paraId="20942764" w14:textId="77777777" w:rsidTr="00AC1F17">
        <w:trPr>
          <w:trHeight w:val="300"/>
        </w:trPr>
        <w:tc>
          <w:tcPr>
            <w:tcW w:w="785" w:type="pct"/>
            <w:vMerge/>
            <w:vAlign w:val="center"/>
            <w:hideMark/>
          </w:tcPr>
          <w:p w14:paraId="3212E8CB"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1A79833F"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34</w:t>
            </w:r>
          </w:p>
        </w:tc>
        <w:tc>
          <w:tcPr>
            <w:tcW w:w="2346" w:type="pct"/>
            <w:shd w:val="clear" w:color="auto" w:fill="auto"/>
            <w:vAlign w:val="center"/>
            <w:hideMark/>
          </w:tcPr>
          <w:p w14:paraId="42ACD703"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Prevozna sredstva in dodatni proizvodi za promet</w:t>
            </w:r>
          </w:p>
        </w:tc>
        <w:tc>
          <w:tcPr>
            <w:tcW w:w="469" w:type="pct"/>
            <w:shd w:val="clear" w:color="auto" w:fill="auto"/>
            <w:vAlign w:val="center"/>
            <w:hideMark/>
          </w:tcPr>
          <w:p w14:paraId="7BC160BC"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429</w:t>
            </w:r>
          </w:p>
        </w:tc>
        <w:tc>
          <w:tcPr>
            <w:tcW w:w="779" w:type="pct"/>
            <w:shd w:val="clear" w:color="auto" w:fill="auto"/>
            <w:vAlign w:val="center"/>
            <w:hideMark/>
          </w:tcPr>
          <w:p w14:paraId="44A8F38C"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268.507.214</w:t>
            </w:r>
          </w:p>
        </w:tc>
      </w:tr>
      <w:tr w:rsidR="00072A69" w:rsidRPr="00F47410" w14:paraId="3CBB9519" w14:textId="77777777" w:rsidTr="00AC1F17">
        <w:trPr>
          <w:trHeight w:val="300"/>
        </w:trPr>
        <w:tc>
          <w:tcPr>
            <w:tcW w:w="785" w:type="pct"/>
            <w:vMerge/>
            <w:vAlign w:val="center"/>
            <w:hideMark/>
          </w:tcPr>
          <w:p w14:paraId="6EB7DF86"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p>
        </w:tc>
        <w:tc>
          <w:tcPr>
            <w:tcW w:w="621" w:type="pct"/>
            <w:shd w:val="clear" w:color="auto" w:fill="auto"/>
            <w:vAlign w:val="center"/>
            <w:hideMark/>
          </w:tcPr>
          <w:p w14:paraId="1F06FA5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90</w:t>
            </w:r>
          </w:p>
        </w:tc>
        <w:tc>
          <w:tcPr>
            <w:tcW w:w="2346" w:type="pct"/>
            <w:shd w:val="clear" w:color="auto" w:fill="auto"/>
            <w:vAlign w:val="center"/>
            <w:hideMark/>
          </w:tcPr>
          <w:p w14:paraId="69BF7DC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Storitve v zvezi z odplakami, odpadki, čiščenjem in okoljem</w:t>
            </w:r>
          </w:p>
        </w:tc>
        <w:tc>
          <w:tcPr>
            <w:tcW w:w="469" w:type="pct"/>
            <w:shd w:val="clear" w:color="auto" w:fill="auto"/>
            <w:vAlign w:val="center"/>
            <w:hideMark/>
          </w:tcPr>
          <w:p w14:paraId="724A0E44"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329</w:t>
            </w:r>
          </w:p>
        </w:tc>
        <w:tc>
          <w:tcPr>
            <w:tcW w:w="779" w:type="pct"/>
            <w:shd w:val="clear" w:color="auto" w:fill="auto"/>
            <w:vAlign w:val="center"/>
            <w:hideMark/>
          </w:tcPr>
          <w:p w14:paraId="1E123D04"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49.146.665</w:t>
            </w:r>
          </w:p>
        </w:tc>
      </w:tr>
      <w:tr w:rsidR="00072A69" w:rsidRPr="00F47410" w14:paraId="16C22941" w14:textId="77777777" w:rsidTr="00AC1F17">
        <w:trPr>
          <w:trHeight w:val="300"/>
        </w:trPr>
        <w:tc>
          <w:tcPr>
            <w:tcW w:w="785" w:type="pct"/>
            <w:vMerge w:val="restart"/>
            <w:shd w:val="clear" w:color="auto" w:fill="auto"/>
            <w:vAlign w:val="center"/>
            <w:hideMark/>
          </w:tcPr>
          <w:p w14:paraId="0353C756" w14:textId="77777777" w:rsidR="00072A69" w:rsidRPr="00F47410" w:rsidRDefault="00072A69" w:rsidP="00AC1F17">
            <w:pPr>
              <w:spacing w:after="0" w:line="240" w:lineRule="auto"/>
              <w:jc w:val="center"/>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Razni subjekti</w:t>
            </w:r>
          </w:p>
        </w:tc>
        <w:tc>
          <w:tcPr>
            <w:tcW w:w="621" w:type="pct"/>
            <w:shd w:val="clear" w:color="auto" w:fill="auto"/>
            <w:vAlign w:val="center"/>
            <w:hideMark/>
          </w:tcPr>
          <w:p w14:paraId="4012ED42"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34</w:t>
            </w:r>
          </w:p>
        </w:tc>
        <w:tc>
          <w:tcPr>
            <w:tcW w:w="2346" w:type="pct"/>
            <w:shd w:val="clear" w:color="auto" w:fill="auto"/>
            <w:vAlign w:val="center"/>
            <w:hideMark/>
          </w:tcPr>
          <w:p w14:paraId="3124CD9A"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Prevozna sredstva in dodatni proizvodi za promet</w:t>
            </w:r>
          </w:p>
        </w:tc>
        <w:tc>
          <w:tcPr>
            <w:tcW w:w="469" w:type="pct"/>
            <w:shd w:val="clear" w:color="auto" w:fill="auto"/>
            <w:vAlign w:val="center"/>
            <w:hideMark/>
          </w:tcPr>
          <w:p w14:paraId="6BF06881"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29</w:t>
            </w:r>
          </w:p>
        </w:tc>
        <w:tc>
          <w:tcPr>
            <w:tcW w:w="779" w:type="pct"/>
            <w:shd w:val="clear" w:color="auto" w:fill="auto"/>
            <w:vAlign w:val="center"/>
            <w:hideMark/>
          </w:tcPr>
          <w:p w14:paraId="00E61BB9"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4.094.403</w:t>
            </w:r>
          </w:p>
        </w:tc>
      </w:tr>
      <w:tr w:rsidR="00072A69" w:rsidRPr="00F47410" w14:paraId="5EB5F96A" w14:textId="77777777" w:rsidTr="00AC1F17">
        <w:trPr>
          <w:trHeight w:val="300"/>
        </w:trPr>
        <w:tc>
          <w:tcPr>
            <w:tcW w:w="785" w:type="pct"/>
            <w:vMerge/>
            <w:vAlign w:val="center"/>
            <w:hideMark/>
          </w:tcPr>
          <w:p w14:paraId="31B55A10" w14:textId="77777777" w:rsidR="00072A69" w:rsidRPr="00F47410" w:rsidRDefault="00072A69" w:rsidP="00AC1F17">
            <w:pPr>
              <w:spacing w:after="0" w:line="240" w:lineRule="auto"/>
              <w:rPr>
                <w:rFonts w:ascii="Arial" w:eastAsia="Times New Roman" w:hAnsi="Arial" w:cs="Arial"/>
                <w:color w:val="000000"/>
                <w:sz w:val="18"/>
                <w:szCs w:val="18"/>
                <w:lang w:eastAsia="sl-SI"/>
              </w:rPr>
            </w:pPr>
          </w:p>
        </w:tc>
        <w:tc>
          <w:tcPr>
            <w:tcW w:w="621" w:type="pct"/>
            <w:shd w:val="clear" w:color="auto" w:fill="auto"/>
            <w:vAlign w:val="center"/>
            <w:hideMark/>
          </w:tcPr>
          <w:p w14:paraId="154CE6AD"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38</w:t>
            </w:r>
          </w:p>
        </w:tc>
        <w:tc>
          <w:tcPr>
            <w:tcW w:w="2346" w:type="pct"/>
            <w:shd w:val="clear" w:color="auto" w:fill="auto"/>
            <w:vAlign w:val="center"/>
            <w:hideMark/>
          </w:tcPr>
          <w:p w14:paraId="423A4849"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Laboratorijska, optična in precizna oprema (razen očal)</w:t>
            </w:r>
          </w:p>
        </w:tc>
        <w:tc>
          <w:tcPr>
            <w:tcW w:w="469" w:type="pct"/>
            <w:shd w:val="clear" w:color="auto" w:fill="auto"/>
            <w:vAlign w:val="center"/>
            <w:hideMark/>
          </w:tcPr>
          <w:p w14:paraId="50F3FB03"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28</w:t>
            </w:r>
          </w:p>
        </w:tc>
        <w:tc>
          <w:tcPr>
            <w:tcW w:w="779" w:type="pct"/>
            <w:shd w:val="clear" w:color="auto" w:fill="auto"/>
            <w:vAlign w:val="center"/>
            <w:hideMark/>
          </w:tcPr>
          <w:p w14:paraId="3AF18632"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1.948.462</w:t>
            </w:r>
          </w:p>
        </w:tc>
      </w:tr>
      <w:tr w:rsidR="00072A69" w:rsidRPr="00F47410" w14:paraId="75615464" w14:textId="77777777" w:rsidTr="00AC1F17">
        <w:trPr>
          <w:trHeight w:val="300"/>
        </w:trPr>
        <w:tc>
          <w:tcPr>
            <w:tcW w:w="785" w:type="pct"/>
            <w:vMerge/>
            <w:vAlign w:val="center"/>
            <w:hideMark/>
          </w:tcPr>
          <w:p w14:paraId="062E3BC4" w14:textId="77777777" w:rsidR="00072A69" w:rsidRPr="00F47410" w:rsidRDefault="00072A69" w:rsidP="00AC1F17">
            <w:pPr>
              <w:spacing w:after="0" w:line="240" w:lineRule="auto"/>
              <w:rPr>
                <w:rFonts w:ascii="Arial" w:eastAsia="Times New Roman" w:hAnsi="Arial" w:cs="Arial"/>
                <w:color w:val="000000"/>
                <w:sz w:val="18"/>
                <w:szCs w:val="18"/>
                <w:lang w:eastAsia="sl-SI"/>
              </w:rPr>
            </w:pPr>
          </w:p>
        </w:tc>
        <w:tc>
          <w:tcPr>
            <w:tcW w:w="621" w:type="pct"/>
            <w:shd w:val="clear" w:color="auto" w:fill="auto"/>
            <w:vAlign w:val="center"/>
            <w:hideMark/>
          </w:tcPr>
          <w:p w14:paraId="36B78307"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79</w:t>
            </w:r>
          </w:p>
        </w:tc>
        <w:tc>
          <w:tcPr>
            <w:tcW w:w="2346" w:type="pct"/>
            <w:shd w:val="clear" w:color="auto" w:fill="auto"/>
            <w:vAlign w:val="center"/>
            <w:hideMark/>
          </w:tcPr>
          <w:p w14:paraId="392A7F8E" w14:textId="77777777" w:rsidR="00072A69" w:rsidRPr="00F47410" w:rsidRDefault="00072A69" w:rsidP="00AC1F17">
            <w:pPr>
              <w:spacing w:after="0" w:line="240" w:lineRule="auto"/>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Poslovne storitve: pravo, trženje, svetovanje, zaposlovanje, tiskanje in varnost</w:t>
            </w:r>
          </w:p>
        </w:tc>
        <w:tc>
          <w:tcPr>
            <w:tcW w:w="469" w:type="pct"/>
            <w:shd w:val="clear" w:color="auto" w:fill="auto"/>
            <w:vAlign w:val="center"/>
            <w:hideMark/>
          </w:tcPr>
          <w:p w14:paraId="2E6C4686"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6</w:t>
            </w:r>
          </w:p>
        </w:tc>
        <w:tc>
          <w:tcPr>
            <w:tcW w:w="779" w:type="pct"/>
            <w:shd w:val="clear" w:color="auto" w:fill="auto"/>
            <w:vAlign w:val="center"/>
            <w:hideMark/>
          </w:tcPr>
          <w:p w14:paraId="0ADA57A7" w14:textId="77777777" w:rsidR="00072A69" w:rsidRPr="00F47410" w:rsidRDefault="00072A69" w:rsidP="00AC1F17">
            <w:pPr>
              <w:spacing w:after="0" w:line="240" w:lineRule="auto"/>
              <w:jc w:val="right"/>
              <w:rPr>
                <w:rFonts w:ascii="Arial" w:eastAsia="Times New Roman" w:hAnsi="Arial" w:cs="Arial"/>
                <w:color w:val="000000"/>
                <w:sz w:val="18"/>
                <w:szCs w:val="18"/>
                <w:lang w:eastAsia="sl-SI"/>
              </w:rPr>
            </w:pPr>
            <w:r w:rsidRPr="00F47410">
              <w:rPr>
                <w:rFonts w:ascii="Arial" w:eastAsia="Times New Roman" w:hAnsi="Arial" w:cs="Arial"/>
                <w:color w:val="000000"/>
                <w:sz w:val="18"/>
                <w:szCs w:val="18"/>
                <w:lang w:eastAsia="sl-SI"/>
              </w:rPr>
              <w:t>485.528</w:t>
            </w:r>
          </w:p>
        </w:tc>
      </w:tr>
    </w:tbl>
    <w:p w14:paraId="31EF7F68" w14:textId="77777777" w:rsidR="00072A69" w:rsidRPr="00EF2D0B" w:rsidRDefault="00072A69" w:rsidP="00072A69">
      <w:pPr>
        <w:spacing w:before="120" w:after="120" w:line="240" w:lineRule="auto"/>
        <w:jc w:val="both"/>
        <w:rPr>
          <w:rFonts w:ascii="Arial" w:hAnsi="Arial" w:cs="Arial"/>
          <w:sz w:val="20"/>
          <w:highlight w:val="yellow"/>
        </w:rPr>
      </w:pPr>
    </w:p>
    <w:p w14:paraId="4BF79504" w14:textId="5206146A" w:rsidR="00072A69" w:rsidRPr="003D5F82" w:rsidRDefault="00072A69" w:rsidP="00072A69">
      <w:pPr>
        <w:spacing w:before="120" w:after="120" w:line="240" w:lineRule="auto"/>
        <w:jc w:val="both"/>
        <w:rPr>
          <w:rFonts w:ascii="Arial" w:hAnsi="Arial" w:cs="Arial"/>
          <w:sz w:val="20"/>
        </w:rPr>
      </w:pPr>
      <w:r w:rsidRPr="003D5F82">
        <w:rPr>
          <w:rFonts w:ascii="Arial" w:hAnsi="Arial" w:cs="Arial"/>
          <w:sz w:val="20"/>
        </w:rPr>
        <w:t xml:space="preserve">Preglednica </w:t>
      </w:r>
      <w:r w:rsidR="00D23EC0">
        <w:rPr>
          <w:rFonts w:ascii="Arial" w:hAnsi="Arial" w:cs="Arial"/>
          <w:sz w:val="20"/>
        </w:rPr>
        <w:t>89</w:t>
      </w:r>
      <w:r w:rsidRPr="003D5F82">
        <w:rPr>
          <w:rFonts w:ascii="Arial" w:hAnsi="Arial" w:cs="Arial"/>
          <w:sz w:val="20"/>
        </w:rPr>
        <w:t>: Javna naročila, objavljena samo na portalu javnih naročil, glede na predmet naročanja po Enotnem besednjaku javnih naročil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
        <w:gridCol w:w="4677"/>
        <w:gridCol w:w="671"/>
        <w:gridCol w:w="1141"/>
        <w:gridCol w:w="901"/>
        <w:gridCol w:w="901"/>
      </w:tblGrid>
      <w:tr w:rsidR="00072A69" w:rsidRPr="00982D61" w14:paraId="2A94BA5C" w14:textId="77777777" w:rsidTr="00C320EE">
        <w:trPr>
          <w:trHeight w:val="480"/>
          <w:tblHeader/>
        </w:trPr>
        <w:tc>
          <w:tcPr>
            <w:tcW w:w="241" w:type="pct"/>
            <w:shd w:val="clear" w:color="000000" w:fill="EDEDED"/>
            <w:vAlign w:val="center"/>
            <w:hideMark/>
          </w:tcPr>
          <w:p w14:paraId="741CAB4B" w14:textId="77777777" w:rsidR="00072A69" w:rsidRPr="00982D61" w:rsidRDefault="00072A69" w:rsidP="00AC1F17">
            <w:pPr>
              <w:spacing w:after="0" w:line="240" w:lineRule="auto"/>
              <w:jc w:val="center"/>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CPV oddelek</w:t>
            </w:r>
          </w:p>
        </w:tc>
        <w:tc>
          <w:tcPr>
            <w:tcW w:w="3536" w:type="pct"/>
            <w:shd w:val="clear" w:color="000000" w:fill="EDEDED"/>
            <w:vAlign w:val="center"/>
            <w:hideMark/>
          </w:tcPr>
          <w:p w14:paraId="0AE44B38" w14:textId="77777777" w:rsidR="00072A69" w:rsidRPr="00982D61" w:rsidRDefault="00072A69" w:rsidP="00AC1F17">
            <w:pPr>
              <w:spacing w:after="0" w:line="240" w:lineRule="auto"/>
              <w:jc w:val="center"/>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Opis CPV oddelka</w:t>
            </w:r>
          </w:p>
        </w:tc>
        <w:tc>
          <w:tcPr>
            <w:tcW w:w="288" w:type="pct"/>
            <w:shd w:val="clear" w:color="000000" w:fill="EDEDED"/>
            <w:vAlign w:val="center"/>
            <w:hideMark/>
          </w:tcPr>
          <w:p w14:paraId="73265744" w14:textId="77777777" w:rsidR="00072A69" w:rsidRPr="00982D61" w:rsidRDefault="00072A69" w:rsidP="00AC1F17">
            <w:pPr>
              <w:spacing w:after="0" w:line="240" w:lineRule="auto"/>
              <w:jc w:val="center"/>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Št. naročil</w:t>
            </w:r>
          </w:p>
        </w:tc>
        <w:tc>
          <w:tcPr>
            <w:tcW w:w="369" w:type="pct"/>
            <w:shd w:val="clear" w:color="000000" w:fill="EDEDED"/>
            <w:vAlign w:val="center"/>
            <w:hideMark/>
          </w:tcPr>
          <w:p w14:paraId="20EEC730" w14:textId="77777777" w:rsidR="00072A69" w:rsidRPr="00982D61" w:rsidRDefault="00072A69" w:rsidP="00AC1F17">
            <w:pPr>
              <w:spacing w:after="0" w:line="240" w:lineRule="auto"/>
              <w:jc w:val="center"/>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Pogodbena vrednost</w:t>
            </w:r>
          </w:p>
        </w:tc>
        <w:tc>
          <w:tcPr>
            <w:tcW w:w="294" w:type="pct"/>
            <w:shd w:val="clear" w:color="000000" w:fill="EDEDED"/>
            <w:vAlign w:val="center"/>
            <w:hideMark/>
          </w:tcPr>
          <w:p w14:paraId="035C3D1B" w14:textId="77777777" w:rsidR="00072A69" w:rsidRPr="00982D61" w:rsidRDefault="00072A69" w:rsidP="00AC1F17">
            <w:pPr>
              <w:spacing w:after="0" w:line="240" w:lineRule="auto"/>
              <w:jc w:val="center"/>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Delež v št. naročil</w:t>
            </w:r>
          </w:p>
        </w:tc>
        <w:tc>
          <w:tcPr>
            <w:tcW w:w="272" w:type="pct"/>
            <w:shd w:val="clear" w:color="000000" w:fill="EDEDED"/>
            <w:vAlign w:val="center"/>
            <w:hideMark/>
          </w:tcPr>
          <w:p w14:paraId="04A0DEEC" w14:textId="77777777" w:rsidR="00072A69" w:rsidRPr="00982D61" w:rsidRDefault="00072A69" w:rsidP="00AC1F17">
            <w:pPr>
              <w:spacing w:after="0" w:line="240" w:lineRule="auto"/>
              <w:jc w:val="center"/>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Delež v vrednosti</w:t>
            </w:r>
          </w:p>
        </w:tc>
      </w:tr>
      <w:tr w:rsidR="00072A69" w:rsidRPr="00982D61" w14:paraId="3C85A77F" w14:textId="77777777" w:rsidTr="00AC1F17">
        <w:trPr>
          <w:trHeight w:val="300"/>
        </w:trPr>
        <w:tc>
          <w:tcPr>
            <w:tcW w:w="241" w:type="pct"/>
            <w:shd w:val="clear" w:color="auto" w:fill="auto"/>
            <w:vAlign w:val="center"/>
            <w:hideMark/>
          </w:tcPr>
          <w:p w14:paraId="26BE1ED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w:t>
            </w:r>
          </w:p>
        </w:tc>
        <w:tc>
          <w:tcPr>
            <w:tcW w:w="3536" w:type="pct"/>
            <w:shd w:val="clear" w:color="auto" w:fill="auto"/>
            <w:vAlign w:val="center"/>
            <w:hideMark/>
          </w:tcPr>
          <w:p w14:paraId="66B2A3AE"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Kmetijski, ribiški, gozdarski in z njimi povezani proizvodi</w:t>
            </w:r>
          </w:p>
        </w:tc>
        <w:tc>
          <w:tcPr>
            <w:tcW w:w="288" w:type="pct"/>
            <w:shd w:val="clear" w:color="auto" w:fill="auto"/>
            <w:vAlign w:val="center"/>
            <w:hideMark/>
          </w:tcPr>
          <w:p w14:paraId="6E3E282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52</w:t>
            </w:r>
          </w:p>
        </w:tc>
        <w:tc>
          <w:tcPr>
            <w:tcW w:w="369" w:type="pct"/>
            <w:shd w:val="clear" w:color="auto" w:fill="auto"/>
            <w:vAlign w:val="center"/>
            <w:hideMark/>
          </w:tcPr>
          <w:p w14:paraId="6197F14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1.687.141</w:t>
            </w:r>
          </w:p>
        </w:tc>
        <w:tc>
          <w:tcPr>
            <w:tcW w:w="294" w:type="pct"/>
            <w:shd w:val="clear" w:color="auto" w:fill="auto"/>
            <w:noWrap/>
            <w:vAlign w:val="center"/>
            <w:hideMark/>
          </w:tcPr>
          <w:p w14:paraId="1D10342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0,59</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1AD32E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072A69" w:rsidRPr="00982D61" w14:paraId="094F5CBB" w14:textId="77777777" w:rsidTr="00AC1F17">
        <w:trPr>
          <w:trHeight w:val="300"/>
        </w:trPr>
        <w:tc>
          <w:tcPr>
            <w:tcW w:w="241" w:type="pct"/>
            <w:shd w:val="clear" w:color="auto" w:fill="auto"/>
            <w:vAlign w:val="center"/>
            <w:hideMark/>
          </w:tcPr>
          <w:p w14:paraId="6E77911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w:t>
            </w:r>
          </w:p>
        </w:tc>
        <w:tc>
          <w:tcPr>
            <w:tcW w:w="3536" w:type="pct"/>
            <w:shd w:val="clear" w:color="auto" w:fill="auto"/>
            <w:vAlign w:val="center"/>
            <w:hideMark/>
          </w:tcPr>
          <w:p w14:paraId="7C063D6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Naftni derivati, goriva, električna energija in drugi viri energije</w:t>
            </w:r>
          </w:p>
        </w:tc>
        <w:tc>
          <w:tcPr>
            <w:tcW w:w="288" w:type="pct"/>
            <w:shd w:val="clear" w:color="auto" w:fill="auto"/>
            <w:vAlign w:val="center"/>
            <w:hideMark/>
          </w:tcPr>
          <w:p w14:paraId="166D8F3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136</w:t>
            </w:r>
          </w:p>
        </w:tc>
        <w:tc>
          <w:tcPr>
            <w:tcW w:w="369" w:type="pct"/>
            <w:shd w:val="clear" w:color="auto" w:fill="auto"/>
            <w:vAlign w:val="center"/>
            <w:hideMark/>
          </w:tcPr>
          <w:p w14:paraId="041C679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13.782.529</w:t>
            </w:r>
          </w:p>
        </w:tc>
        <w:tc>
          <w:tcPr>
            <w:tcW w:w="294" w:type="pct"/>
            <w:shd w:val="clear" w:color="auto" w:fill="auto"/>
            <w:noWrap/>
            <w:vAlign w:val="center"/>
            <w:hideMark/>
          </w:tcPr>
          <w:p w14:paraId="50BE8BD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1,54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39082A6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1,42</w:t>
            </w:r>
            <w:r>
              <w:rPr>
                <w:rFonts w:ascii="Arial" w:eastAsia="Times New Roman" w:hAnsi="Arial" w:cs="Arial"/>
                <w:color w:val="000000"/>
                <w:sz w:val="18"/>
                <w:szCs w:val="18"/>
                <w:lang w:eastAsia="sl-SI"/>
              </w:rPr>
              <w:t xml:space="preserve"> %</w:t>
            </w:r>
          </w:p>
        </w:tc>
      </w:tr>
      <w:tr w:rsidR="00072A69" w:rsidRPr="00982D61" w14:paraId="47697E93" w14:textId="77777777" w:rsidTr="00AC1F17">
        <w:trPr>
          <w:trHeight w:val="300"/>
        </w:trPr>
        <w:tc>
          <w:tcPr>
            <w:tcW w:w="241" w:type="pct"/>
            <w:shd w:val="clear" w:color="auto" w:fill="auto"/>
            <w:vAlign w:val="center"/>
            <w:hideMark/>
          </w:tcPr>
          <w:p w14:paraId="44A524F6"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14</w:t>
            </w:r>
          </w:p>
        </w:tc>
        <w:tc>
          <w:tcPr>
            <w:tcW w:w="3536" w:type="pct"/>
            <w:shd w:val="clear" w:color="auto" w:fill="auto"/>
            <w:vAlign w:val="center"/>
            <w:hideMark/>
          </w:tcPr>
          <w:p w14:paraId="0E87BF9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Rudarstvo, navadne kovine in z njimi povezani proizvodi</w:t>
            </w:r>
          </w:p>
        </w:tc>
        <w:tc>
          <w:tcPr>
            <w:tcW w:w="288" w:type="pct"/>
            <w:shd w:val="clear" w:color="auto" w:fill="auto"/>
            <w:vAlign w:val="center"/>
            <w:hideMark/>
          </w:tcPr>
          <w:p w14:paraId="08CDF5F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30</w:t>
            </w:r>
          </w:p>
        </w:tc>
        <w:tc>
          <w:tcPr>
            <w:tcW w:w="369" w:type="pct"/>
            <w:shd w:val="clear" w:color="auto" w:fill="auto"/>
            <w:vAlign w:val="center"/>
            <w:hideMark/>
          </w:tcPr>
          <w:p w14:paraId="60621D6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2.169.331</w:t>
            </w:r>
          </w:p>
        </w:tc>
        <w:tc>
          <w:tcPr>
            <w:tcW w:w="294" w:type="pct"/>
            <w:shd w:val="clear" w:color="auto" w:fill="auto"/>
            <w:noWrap/>
            <w:vAlign w:val="center"/>
            <w:hideMark/>
          </w:tcPr>
          <w:p w14:paraId="2F100C3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5B121C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072A69" w:rsidRPr="00982D61" w14:paraId="374B48C4" w14:textId="77777777" w:rsidTr="00AC1F17">
        <w:trPr>
          <w:trHeight w:val="360"/>
        </w:trPr>
        <w:tc>
          <w:tcPr>
            <w:tcW w:w="241" w:type="pct"/>
            <w:shd w:val="clear" w:color="auto" w:fill="auto"/>
            <w:vAlign w:val="center"/>
            <w:hideMark/>
          </w:tcPr>
          <w:p w14:paraId="3529987B"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15</w:t>
            </w:r>
          </w:p>
        </w:tc>
        <w:tc>
          <w:tcPr>
            <w:tcW w:w="3536" w:type="pct"/>
            <w:shd w:val="clear" w:color="auto" w:fill="auto"/>
            <w:vAlign w:val="center"/>
            <w:hideMark/>
          </w:tcPr>
          <w:p w14:paraId="17CB80AD"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Živila, pijače, tobačni izdelki in z njimi povezani izdelki</w:t>
            </w:r>
          </w:p>
        </w:tc>
        <w:tc>
          <w:tcPr>
            <w:tcW w:w="288" w:type="pct"/>
            <w:shd w:val="clear" w:color="auto" w:fill="auto"/>
            <w:vAlign w:val="center"/>
            <w:hideMark/>
          </w:tcPr>
          <w:p w14:paraId="7514261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1.140</w:t>
            </w:r>
          </w:p>
        </w:tc>
        <w:tc>
          <w:tcPr>
            <w:tcW w:w="369" w:type="pct"/>
            <w:shd w:val="clear" w:color="auto" w:fill="auto"/>
            <w:vAlign w:val="center"/>
            <w:hideMark/>
          </w:tcPr>
          <w:p w14:paraId="210637D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10.047.390</w:t>
            </w:r>
          </w:p>
        </w:tc>
        <w:tc>
          <w:tcPr>
            <w:tcW w:w="294" w:type="pct"/>
            <w:shd w:val="clear" w:color="auto" w:fill="auto"/>
            <w:noWrap/>
            <w:vAlign w:val="center"/>
            <w:hideMark/>
          </w:tcPr>
          <w:p w14:paraId="069A0EB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12,91</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5F32B4B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1,03</w:t>
            </w:r>
            <w:r>
              <w:rPr>
                <w:rFonts w:ascii="Arial" w:eastAsia="Times New Roman" w:hAnsi="Arial" w:cs="Arial"/>
                <w:color w:val="000000"/>
                <w:sz w:val="18"/>
                <w:szCs w:val="18"/>
                <w:lang w:eastAsia="sl-SI"/>
              </w:rPr>
              <w:t xml:space="preserve"> %</w:t>
            </w:r>
          </w:p>
        </w:tc>
      </w:tr>
      <w:tr w:rsidR="00072A69" w:rsidRPr="00982D61" w14:paraId="3ADA04B3" w14:textId="77777777" w:rsidTr="00AC1F17">
        <w:trPr>
          <w:trHeight w:val="300"/>
        </w:trPr>
        <w:tc>
          <w:tcPr>
            <w:tcW w:w="241" w:type="pct"/>
            <w:shd w:val="clear" w:color="auto" w:fill="auto"/>
            <w:vAlign w:val="center"/>
            <w:hideMark/>
          </w:tcPr>
          <w:p w14:paraId="5E3345D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16</w:t>
            </w:r>
          </w:p>
        </w:tc>
        <w:tc>
          <w:tcPr>
            <w:tcW w:w="3536" w:type="pct"/>
            <w:shd w:val="clear" w:color="auto" w:fill="auto"/>
            <w:vAlign w:val="center"/>
            <w:hideMark/>
          </w:tcPr>
          <w:p w14:paraId="700B439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Kmetijski stroji</w:t>
            </w:r>
          </w:p>
        </w:tc>
        <w:tc>
          <w:tcPr>
            <w:tcW w:w="288" w:type="pct"/>
            <w:shd w:val="clear" w:color="auto" w:fill="auto"/>
            <w:vAlign w:val="center"/>
            <w:hideMark/>
          </w:tcPr>
          <w:p w14:paraId="7B2DB73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22</w:t>
            </w:r>
          </w:p>
        </w:tc>
        <w:tc>
          <w:tcPr>
            <w:tcW w:w="369" w:type="pct"/>
            <w:shd w:val="clear" w:color="auto" w:fill="auto"/>
            <w:vAlign w:val="center"/>
            <w:hideMark/>
          </w:tcPr>
          <w:p w14:paraId="23D9FF5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1.256.165</w:t>
            </w:r>
          </w:p>
        </w:tc>
        <w:tc>
          <w:tcPr>
            <w:tcW w:w="294" w:type="pct"/>
            <w:shd w:val="clear" w:color="auto" w:fill="auto"/>
            <w:noWrap/>
            <w:vAlign w:val="center"/>
            <w:hideMark/>
          </w:tcPr>
          <w:p w14:paraId="7D26528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239B4C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072A69" w:rsidRPr="00982D61" w14:paraId="5828D4E0" w14:textId="77777777" w:rsidTr="00AC1F17">
        <w:trPr>
          <w:trHeight w:val="300"/>
        </w:trPr>
        <w:tc>
          <w:tcPr>
            <w:tcW w:w="241" w:type="pct"/>
            <w:shd w:val="clear" w:color="auto" w:fill="auto"/>
            <w:vAlign w:val="center"/>
            <w:hideMark/>
          </w:tcPr>
          <w:p w14:paraId="58F313E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18</w:t>
            </w:r>
          </w:p>
        </w:tc>
        <w:tc>
          <w:tcPr>
            <w:tcW w:w="3536" w:type="pct"/>
            <w:shd w:val="clear" w:color="auto" w:fill="auto"/>
            <w:vAlign w:val="center"/>
            <w:hideMark/>
          </w:tcPr>
          <w:p w14:paraId="004F6CB3"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Oblačila, obutev, prtljaga in pribor</w:t>
            </w:r>
          </w:p>
        </w:tc>
        <w:tc>
          <w:tcPr>
            <w:tcW w:w="288" w:type="pct"/>
            <w:shd w:val="clear" w:color="auto" w:fill="auto"/>
            <w:vAlign w:val="center"/>
            <w:hideMark/>
          </w:tcPr>
          <w:p w14:paraId="0209B21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82</w:t>
            </w:r>
          </w:p>
        </w:tc>
        <w:tc>
          <w:tcPr>
            <w:tcW w:w="369" w:type="pct"/>
            <w:shd w:val="clear" w:color="auto" w:fill="auto"/>
            <w:vAlign w:val="center"/>
            <w:hideMark/>
          </w:tcPr>
          <w:p w14:paraId="49021CD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4.410.645</w:t>
            </w:r>
          </w:p>
        </w:tc>
        <w:tc>
          <w:tcPr>
            <w:tcW w:w="294" w:type="pct"/>
            <w:shd w:val="clear" w:color="auto" w:fill="auto"/>
            <w:noWrap/>
            <w:vAlign w:val="center"/>
            <w:hideMark/>
          </w:tcPr>
          <w:p w14:paraId="7119F97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C84A7D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r>
      <w:tr w:rsidR="00072A69" w:rsidRPr="00982D61" w14:paraId="0044F3FA" w14:textId="77777777" w:rsidTr="00AC1F17">
        <w:trPr>
          <w:trHeight w:val="300"/>
        </w:trPr>
        <w:tc>
          <w:tcPr>
            <w:tcW w:w="241" w:type="pct"/>
            <w:shd w:val="clear" w:color="auto" w:fill="auto"/>
            <w:vAlign w:val="center"/>
            <w:hideMark/>
          </w:tcPr>
          <w:p w14:paraId="317B7E6D"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19</w:t>
            </w:r>
          </w:p>
        </w:tc>
        <w:tc>
          <w:tcPr>
            <w:tcW w:w="3536" w:type="pct"/>
            <w:shd w:val="clear" w:color="auto" w:fill="auto"/>
            <w:vAlign w:val="center"/>
            <w:hideMark/>
          </w:tcPr>
          <w:p w14:paraId="69ADE866"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Usnjeni in tekstilni materiali, plastični in gumijasti materiali</w:t>
            </w:r>
          </w:p>
        </w:tc>
        <w:tc>
          <w:tcPr>
            <w:tcW w:w="288" w:type="pct"/>
            <w:shd w:val="clear" w:color="auto" w:fill="auto"/>
            <w:vAlign w:val="center"/>
            <w:hideMark/>
          </w:tcPr>
          <w:p w14:paraId="4FB971D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24</w:t>
            </w:r>
          </w:p>
        </w:tc>
        <w:tc>
          <w:tcPr>
            <w:tcW w:w="369" w:type="pct"/>
            <w:shd w:val="clear" w:color="auto" w:fill="auto"/>
            <w:vAlign w:val="center"/>
            <w:hideMark/>
          </w:tcPr>
          <w:p w14:paraId="1851F8D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1.797.499</w:t>
            </w:r>
          </w:p>
        </w:tc>
        <w:tc>
          <w:tcPr>
            <w:tcW w:w="294" w:type="pct"/>
            <w:shd w:val="clear" w:color="auto" w:fill="auto"/>
            <w:noWrap/>
            <w:vAlign w:val="center"/>
            <w:hideMark/>
          </w:tcPr>
          <w:p w14:paraId="1BC4038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9C75CE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072A69" w:rsidRPr="00982D61" w14:paraId="7A092DF8" w14:textId="77777777" w:rsidTr="00AC1F17">
        <w:trPr>
          <w:trHeight w:val="300"/>
        </w:trPr>
        <w:tc>
          <w:tcPr>
            <w:tcW w:w="241" w:type="pct"/>
            <w:shd w:val="clear" w:color="auto" w:fill="auto"/>
            <w:vAlign w:val="center"/>
            <w:hideMark/>
          </w:tcPr>
          <w:p w14:paraId="7050654E"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22</w:t>
            </w:r>
          </w:p>
        </w:tc>
        <w:tc>
          <w:tcPr>
            <w:tcW w:w="3536" w:type="pct"/>
            <w:shd w:val="clear" w:color="auto" w:fill="auto"/>
            <w:vAlign w:val="center"/>
            <w:hideMark/>
          </w:tcPr>
          <w:p w14:paraId="574B56F9"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Tiskano gradivo in z njim povezani izdelki</w:t>
            </w:r>
          </w:p>
        </w:tc>
        <w:tc>
          <w:tcPr>
            <w:tcW w:w="288" w:type="pct"/>
            <w:shd w:val="clear" w:color="auto" w:fill="auto"/>
            <w:vAlign w:val="center"/>
            <w:hideMark/>
          </w:tcPr>
          <w:p w14:paraId="00547D6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72</w:t>
            </w:r>
          </w:p>
        </w:tc>
        <w:tc>
          <w:tcPr>
            <w:tcW w:w="369" w:type="pct"/>
            <w:shd w:val="clear" w:color="auto" w:fill="auto"/>
            <w:vAlign w:val="center"/>
            <w:hideMark/>
          </w:tcPr>
          <w:p w14:paraId="445C98D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3.041.457</w:t>
            </w:r>
          </w:p>
        </w:tc>
        <w:tc>
          <w:tcPr>
            <w:tcW w:w="294" w:type="pct"/>
            <w:shd w:val="clear" w:color="auto" w:fill="auto"/>
            <w:noWrap/>
            <w:vAlign w:val="center"/>
            <w:hideMark/>
          </w:tcPr>
          <w:p w14:paraId="2F5F31B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72030CA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072A69" w:rsidRPr="00982D61" w14:paraId="2AF83A20" w14:textId="77777777" w:rsidTr="00AC1F17">
        <w:trPr>
          <w:trHeight w:val="300"/>
        </w:trPr>
        <w:tc>
          <w:tcPr>
            <w:tcW w:w="241" w:type="pct"/>
            <w:shd w:val="clear" w:color="auto" w:fill="auto"/>
            <w:vAlign w:val="center"/>
            <w:hideMark/>
          </w:tcPr>
          <w:p w14:paraId="4D35721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lastRenderedPageBreak/>
              <w:t>24</w:t>
            </w:r>
          </w:p>
        </w:tc>
        <w:tc>
          <w:tcPr>
            <w:tcW w:w="3536" w:type="pct"/>
            <w:shd w:val="clear" w:color="auto" w:fill="auto"/>
            <w:vAlign w:val="center"/>
            <w:hideMark/>
          </w:tcPr>
          <w:p w14:paraId="1665AA1B"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Kemični proizvodi</w:t>
            </w:r>
          </w:p>
        </w:tc>
        <w:tc>
          <w:tcPr>
            <w:tcW w:w="288" w:type="pct"/>
            <w:shd w:val="clear" w:color="auto" w:fill="auto"/>
            <w:vAlign w:val="center"/>
            <w:hideMark/>
          </w:tcPr>
          <w:p w14:paraId="553B7C9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94</w:t>
            </w:r>
          </w:p>
        </w:tc>
        <w:tc>
          <w:tcPr>
            <w:tcW w:w="369" w:type="pct"/>
            <w:shd w:val="clear" w:color="auto" w:fill="auto"/>
            <w:vAlign w:val="center"/>
            <w:hideMark/>
          </w:tcPr>
          <w:p w14:paraId="6626875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3.535.714</w:t>
            </w:r>
          </w:p>
        </w:tc>
        <w:tc>
          <w:tcPr>
            <w:tcW w:w="294" w:type="pct"/>
            <w:shd w:val="clear" w:color="auto" w:fill="auto"/>
            <w:noWrap/>
            <w:vAlign w:val="center"/>
            <w:hideMark/>
          </w:tcPr>
          <w:p w14:paraId="6F22E51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1,06</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28BB0D4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072A69" w:rsidRPr="00982D61" w14:paraId="6EE347D6" w14:textId="77777777" w:rsidTr="00AC1F17">
        <w:trPr>
          <w:trHeight w:val="300"/>
        </w:trPr>
        <w:tc>
          <w:tcPr>
            <w:tcW w:w="241" w:type="pct"/>
            <w:shd w:val="clear" w:color="auto" w:fill="auto"/>
            <w:vAlign w:val="center"/>
            <w:hideMark/>
          </w:tcPr>
          <w:p w14:paraId="0FDAAA5B"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30</w:t>
            </w:r>
          </w:p>
        </w:tc>
        <w:tc>
          <w:tcPr>
            <w:tcW w:w="3536" w:type="pct"/>
            <w:shd w:val="clear" w:color="auto" w:fill="auto"/>
            <w:vAlign w:val="center"/>
            <w:hideMark/>
          </w:tcPr>
          <w:p w14:paraId="52C61889"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Pisarniški in računski stroji, oprema in potrebščine, razen pohištva in programskih paketov</w:t>
            </w:r>
          </w:p>
        </w:tc>
        <w:tc>
          <w:tcPr>
            <w:tcW w:w="288" w:type="pct"/>
            <w:shd w:val="clear" w:color="auto" w:fill="auto"/>
            <w:vAlign w:val="center"/>
            <w:hideMark/>
          </w:tcPr>
          <w:p w14:paraId="14A8117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318</w:t>
            </w:r>
          </w:p>
        </w:tc>
        <w:tc>
          <w:tcPr>
            <w:tcW w:w="369" w:type="pct"/>
            <w:shd w:val="clear" w:color="auto" w:fill="auto"/>
            <w:vAlign w:val="center"/>
            <w:hideMark/>
          </w:tcPr>
          <w:p w14:paraId="0EB1F57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8.515.653</w:t>
            </w:r>
          </w:p>
        </w:tc>
        <w:tc>
          <w:tcPr>
            <w:tcW w:w="294" w:type="pct"/>
            <w:shd w:val="clear" w:color="auto" w:fill="auto"/>
            <w:noWrap/>
            <w:vAlign w:val="center"/>
            <w:hideMark/>
          </w:tcPr>
          <w:p w14:paraId="5C21BE4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3,60</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58D758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0,87</w:t>
            </w:r>
            <w:r>
              <w:rPr>
                <w:rFonts w:ascii="Arial" w:eastAsia="Times New Roman" w:hAnsi="Arial" w:cs="Arial"/>
                <w:color w:val="000000"/>
                <w:sz w:val="18"/>
                <w:szCs w:val="18"/>
                <w:lang w:eastAsia="sl-SI"/>
              </w:rPr>
              <w:t xml:space="preserve"> %</w:t>
            </w:r>
          </w:p>
        </w:tc>
      </w:tr>
      <w:tr w:rsidR="00072A69" w:rsidRPr="00982D61" w14:paraId="289ABE39" w14:textId="77777777" w:rsidTr="00AC1F17">
        <w:trPr>
          <w:trHeight w:val="300"/>
        </w:trPr>
        <w:tc>
          <w:tcPr>
            <w:tcW w:w="241" w:type="pct"/>
            <w:shd w:val="clear" w:color="auto" w:fill="auto"/>
            <w:vAlign w:val="center"/>
            <w:hideMark/>
          </w:tcPr>
          <w:p w14:paraId="2047BDA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31</w:t>
            </w:r>
          </w:p>
        </w:tc>
        <w:tc>
          <w:tcPr>
            <w:tcW w:w="3536" w:type="pct"/>
            <w:shd w:val="clear" w:color="auto" w:fill="auto"/>
            <w:vAlign w:val="center"/>
            <w:hideMark/>
          </w:tcPr>
          <w:p w14:paraId="7B4277B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Električni stroji, aparati, oprema in potrošno blago; razsvetljava</w:t>
            </w:r>
          </w:p>
        </w:tc>
        <w:tc>
          <w:tcPr>
            <w:tcW w:w="288" w:type="pct"/>
            <w:shd w:val="clear" w:color="auto" w:fill="auto"/>
            <w:vAlign w:val="center"/>
            <w:hideMark/>
          </w:tcPr>
          <w:p w14:paraId="3FF7AA7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115</w:t>
            </w:r>
          </w:p>
        </w:tc>
        <w:tc>
          <w:tcPr>
            <w:tcW w:w="369" w:type="pct"/>
            <w:shd w:val="clear" w:color="auto" w:fill="auto"/>
            <w:vAlign w:val="center"/>
            <w:hideMark/>
          </w:tcPr>
          <w:p w14:paraId="1B53117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11.621.576</w:t>
            </w:r>
          </w:p>
        </w:tc>
        <w:tc>
          <w:tcPr>
            <w:tcW w:w="294" w:type="pct"/>
            <w:shd w:val="clear" w:color="auto" w:fill="auto"/>
            <w:noWrap/>
            <w:vAlign w:val="center"/>
            <w:hideMark/>
          </w:tcPr>
          <w:p w14:paraId="5CD1B63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1,30</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7448D18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1,19</w:t>
            </w:r>
            <w:r>
              <w:rPr>
                <w:rFonts w:ascii="Arial" w:eastAsia="Times New Roman" w:hAnsi="Arial" w:cs="Arial"/>
                <w:color w:val="000000"/>
                <w:sz w:val="18"/>
                <w:szCs w:val="18"/>
                <w:lang w:eastAsia="sl-SI"/>
              </w:rPr>
              <w:t xml:space="preserve"> %</w:t>
            </w:r>
          </w:p>
        </w:tc>
      </w:tr>
      <w:tr w:rsidR="00072A69" w:rsidRPr="00982D61" w14:paraId="663D6D95" w14:textId="77777777" w:rsidTr="00AC1F17">
        <w:trPr>
          <w:trHeight w:val="300"/>
        </w:trPr>
        <w:tc>
          <w:tcPr>
            <w:tcW w:w="241" w:type="pct"/>
            <w:shd w:val="clear" w:color="auto" w:fill="auto"/>
            <w:vAlign w:val="center"/>
            <w:hideMark/>
          </w:tcPr>
          <w:p w14:paraId="5380618E"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32</w:t>
            </w:r>
          </w:p>
        </w:tc>
        <w:tc>
          <w:tcPr>
            <w:tcW w:w="3536" w:type="pct"/>
            <w:shd w:val="clear" w:color="auto" w:fill="auto"/>
            <w:vAlign w:val="center"/>
            <w:hideMark/>
          </w:tcPr>
          <w:p w14:paraId="7F2B5E0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Radijski in televizijski aparati, komunikacijska, telekomunikacijska in z njimi povezana oprema</w:t>
            </w:r>
          </w:p>
        </w:tc>
        <w:tc>
          <w:tcPr>
            <w:tcW w:w="288" w:type="pct"/>
            <w:shd w:val="clear" w:color="auto" w:fill="auto"/>
            <w:vAlign w:val="center"/>
            <w:hideMark/>
          </w:tcPr>
          <w:p w14:paraId="3DC3EDE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72</w:t>
            </w:r>
          </w:p>
        </w:tc>
        <w:tc>
          <w:tcPr>
            <w:tcW w:w="369" w:type="pct"/>
            <w:shd w:val="clear" w:color="auto" w:fill="auto"/>
            <w:vAlign w:val="center"/>
            <w:hideMark/>
          </w:tcPr>
          <w:p w14:paraId="208B181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4.170.773</w:t>
            </w:r>
          </w:p>
        </w:tc>
        <w:tc>
          <w:tcPr>
            <w:tcW w:w="294" w:type="pct"/>
            <w:shd w:val="clear" w:color="auto" w:fill="auto"/>
            <w:noWrap/>
            <w:vAlign w:val="center"/>
            <w:hideMark/>
          </w:tcPr>
          <w:p w14:paraId="13278A9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EFC75B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r>
      <w:tr w:rsidR="00072A69" w:rsidRPr="00982D61" w14:paraId="607839CE" w14:textId="77777777" w:rsidTr="00AC1F17">
        <w:trPr>
          <w:trHeight w:val="300"/>
        </w:trPr>
        <w:tc>
          <w:tcPr>
            <w:tcW w:w="241" w:type="pct"/>
            <w:shd w:val="clear" w:color="auto" w:fill="auto"/>
            <w:vAlign w:val="center"/>
            <w:hideMark/>
          </w:tcPr>
          <w:p w14:paraId="5DA1E7A3"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33</w:t>
            </w:r>
          </w:p>
        </w:tc>
        <w:tc>
          <w:tcPr>
            <w:tcW w:w="3536" w:type="pct"/>
            <w:shd w:val="clear" w:color="auto" w:fill="auto"/>
            <w:vAlign w:val="center"/>
            <w:hideMark/>
          </w:tcPr>
          <w:p w14:paraId="27403162"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Medicinska oprema, farmacevtski izdelki in izdelki za osebno nego</w:t>
            </w:r>
          </w:p>
        </w:tc>
        <w:tc>
          <w:tcPr>
            <w:tcW w:w="288" w:type="pct"/>
            <w:shd w:val="clear" w:color="auto" w:fill="auto"/>
            <w:vAlign w:val="center"/>
            <w:hideMark/>
          </w:tcPr>
          <w:p w14:paraId="64B335E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911</w:t>
            </w:r>
          </w:p>
        </w:tc>
        <w:tc>
          <w:tcPr>
            <w:tcW w:w="369" w:type="pct"/>
            <w:shd w:val="clear" w:color="auto" w:fill="auto"/>
            <w:vAlign w:val="center"/>
            <w:hideMark/>
          </w:tcPr>
          <w:p w14:paraId="4A2876D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22.418.835</w:t>
            </w:r>
          </w:p>
        </w:tc>
        <w:tc>
          <w:tcPr>
            <w:tcW w:w="294" w:type="pct"/>
            <w:shd w:val="clear" w:color="auto" w:fill="auto"/>
            <w:noWrap/>
            <w:vAlign w:val="center"/>
            <w:hideMark/>
          </w:tcPr>
          <w:p w14:paraId="0D64540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10,31</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5CF93BC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2,30</w:t>
            </w:r>
            <w:r>
              <w:rPr>
                <w:rFonts w:ascii="Arial" w:eastAsia="Times New Roman" w:hAnsi="Arial" w:cs="Arial"/>
                <w:color w:val="000000"/>
                <w:sz w:val="18"/>
                <w:szCs w:val="18"/>
                <w:lang w:eastAsia="sl-SI"/>
              </w:rPr>
              <w:t xml:space="preserve"> %</w:t>
            </w:r>
          </w:p>
        </w:tc>
      </w:tr>
      <w:tr w:rsidR="00072A69" w:rsidRPr="00982D61" w14:paraId="0FA46692" w14:textId="77777777" w:rsidTr="00AC1F17">
        <w:trPr>
          <w:trHeight w:val="300"/>
        </w:trPr>
        <w:tc>
          <w:tcPr>
            <w:tcW w:w="241" w:type="pct"/>
            <w:shd w:val="clear" w:color="auto" w:fill="auto"/>
            <w:vAlign w:val="center"/>
            <w:hideMark/>
          </w:tcPr>
          <w:p w14:paraId="7F4E8A3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34</w:t>
            </w:r>
          </w:p>
        </w:tc>
        <w:tc>
          <w:tcPr>
            <w:tcW w:w="3536" w:type="pct"/>
            <w:shd w:val="clear" w:color="auto" w:fill="auto"/>
            <w:vAlign w:val="center"/>
            <w:hideMark/>
          </w:tcPr>
          <w:p w14:paraId="0319864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Prevozna sredstva in dodatni proizvodi za promet</w:t>
            </w:r>
          </w:p>
        </w:tc>
        <w:tc>
          <w:tcPr>
            <w:tcW w:w="288" w:type="pct"/>
            <w:shd w:val="clear" w:color="auto" w:fill="auto"/>
            <w:vAlign w:val="center"/>
            <w:hideMark/>
          </w:tcPr>
          <w:p w14:paraId="053FFB2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388</w:t>
            </w:r>
          </w:p>
        </w:tc>
        <w:tc>
          <w:tcPr>
            <w:tcW w:w="369" w:type="pct"/>
            <w:shd w:val="clear" w:color="auto" w:fill="auto"/>
            <w:vAlign w:val="center"/>
            <w:hideMark/>
          </w:tcPr>
          <w:p w14:paraId="0291C51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25.161.878</w:t>
            </w:r>
          </w:p>
        </w:tc>
        <w:tc>
          <w:tcPr>
            <w:tcW w:w="294" w:type="pct"/>
            <w:shd w:val="clear" w:color="auto" w:fill="auto"/>
            <w:noWrap/>
            <w:vAlign w:val="center"/>
            <w:hideMark/>
          </w:tcPr>
          <w:p w14:paraId="2D437C6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4,39</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1088A0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2,58</w:t>
            </w:r>
            <w:r>
              <w:rPr>
                <w:rFonts w:ascii="Arial" w:eastAsia="Times New Roman" w:hAnsi="Arial" w:cs="Arial"/>
                <w:color w:val="000000"/>
                <w:sz w:val="18"/>
                <w:szCs w:val="18"/>
                <w:lang w:eastAsia="sl-SI"/>
              </w:rPr>
              <w:t xml:space="preserve"> %</w:t>
            </w:r>
          </w:p>
        </w:tc>
      </w:tr>
      <w:tr w:rsidR="00072A69" w:rsidRPr="00982D61" w14:paraId="33F32FC9" w14:textId="77777777" w:rsidTr="00AC1F17">
        <w:trPr>
          <w:trHeight w:val="300"/>
        </w:trPr>
        <w:tc>
          <w:tcPr>
            <w:tcW w:w="241" w:type="pct"/>
            <w:shd w:val="clear" w:color="auto" w:fill="auto"/>
            <w:vAlign w:val="center"/>
            <w:hideMark/>
          </w:tcPr>
          <w:p w14:paraId="30FFA6B6"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35</w:t>
            </w:r>
          </w:p>
        </w:tc>
        <w:tc>
          <w:tcPr>
            <w:tcW w:w="3536" w:type="pct"/>
            <w:shd w:val="clear" w:color="auto" w:fill="auto"/>
            <w:vAlign w:val="center"/>
            <w:hideMark/>
          </w:tcPr>
          <w:p w14:paraId="5AAB6C62"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Varnostna, gasilska, policijska in obrambna oprema</w:t>
            </w:r>
          </w:p>
        </w:tc>
        <w:tc>
          <w:tcPr>
            <w:tcW w:w="288" w:type="pct"/>
            <w:shd w:val="clear" w:color="auto" w:fill="auto"/>
            <w:vAlign w:val="center"/>
            <w:hideMark/>
          </w:tcPr>
          <w:p w14:paraId="7D69C46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79</w:t>
            </w:r>
          </w:p>
        </w:tc>
        <w:tc>
          <w:tcPr>
            <w:tcW w:w="369" w:type="pct"/>
            <w:shd w:val="clear" w:color="auto" w:fill="auto"/>
            <w:vAlign w:val="center"/>
            <w:hideMark/>
          </w:tcPr>
          <w:p w14:paraId="5DA0138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4.621.239</w:t>
            </w:r>
          </w:p>
        </w:tc>
        <w:tc>
          <w:tcPr>
            <w:tcW w:w="294" w:type="pct"/>
            <w:shd w:val="clear" w:color="auto" w:fill="auto"/>
            <w:noWrap/>
            <w:vAlign w:val="center"/>
            <w:hideMark/>
          </w:tcPr>
          <w:p w14:paraId="611A352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0,89</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574FBF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r>
      <w:tr w:rsidR="00072A69" w:rsidRPr="00982D61" w14:paraId="05CF2723" w14:textId="77777777" w:rsidTr="00AC1F17">
        <w:trPr>
          <w:trHeight w:val="300"/>
        </w:trPr>
        <w:tc>
          <w:tcPr>
            <w:tcW w:w="241" w:type="pct"/>
            <w:shd w:val="clear" w:color="auto" w:fill="auto"/>
            <w:vAlign w:val="center"/>
            <w:hideMark/>
          </w:tcPr>
          <w:p w14:paraId="137D11EE"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37</w:t>
            </w:r>
          </w:p>
        </w:tc>
        <w:tc>
          <w:tcPr>
            <w:tcW w:w="3536" w:type="pct"/>
            <w:shd w:val="clear" w:color="auto" w:fill="auto"/>
            <w:vAlign w:val="center"/>
            <w:hideMark/>
          </w:tcPr>
          <w:p w14:paraId="40259E1E"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Glasbila, športni izdelki, igre, igrače, ročna dela, umetniški materiali in dodatki</w:t>
            </w:r>
          </w:p>
        </w:tc>
        <w:tc>
          <w:tcPr>
            <w:tcW w:w="288" w:type="pct"/>
            <w:shd w:val="clear" w:color="auto" w:fill="auto"/>
            <w:vAlign w:val="center"/>
            <w:hideMark/>
          </w:tcPr>
          <w:p w14:paraId="7E2FC9C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74</w:t>
            </w:r>
          </w:p>
        </w:tc>
        <w:tc>
          <w:tcPr>
            <w:tcW w:w="369" w:type="pct"/>
            <w:shd w:val="clear" w:color="auto" w:fill="auto"/>
            <w:vAlign w:val="center"/>
            <w:hideMark/>
          </w:tcPr>
          <w:p w14:paraId="0A5BB75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2.186.570</w:t>
            </w:r>
          </w:p>
        </w:tc>
        <w:tc>
          <w:tcPr>
            <w:tcW w:w="294" w:type="pct"/>
            <w:shd w:val="clear" w:color="auto" w:fill="auto"/>
            <w:noWrap/>
            <w:vAlign w:val="center"/>
            <w:hideMark/>
          </w:tcPr>
          <w:p w14:paraId="7B94A64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0BB8AF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072A69" w:rsidRPr="00982D61" w14:paraId="36BEB127" w14:textId="77777777" w:rsidTr="00AC1F17">
        <w:trPr>
          <w:trHeight w:val="300"/>
        </w:trPr>
        <w:tc>
          <w:tcPr>
            <w:tcW w:w="241" w:type="pct"/>
            <w:shd w:val="clear" w:color="auto" w:fill="auto"/>
            <w:vAlign w:val="center"/>
            <w:hideMark/>
          </w:tcPr>
          <w:p w14:paraId="771D116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38</w:t>
            </w:r>
          </w:p>
        </w:tc>
        <w:tc>
          <w:tcPr>
            <w:tcW w:w="3536" w:type="pct"/>
            <w:shd w:val="clear" w:color="auto" w:fill="auto"/>
            <w:vAlign w:val="center"/>
            <w:hideMark/>
          </w:tcPr>
          <w:p w14:paraId="313266C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Laboratorijska, optična in precizna oprema (razen očal)</w:t>
            </w:r>
          </w:p>
        </w:tc>
        <w:tc>
          <w:tcPr>
            <w:tcW w:w="288" w:type="pct"/>
            <w:shd w:val="clear" w:color="auto" w:fill="auto"/>
            <w:vAlign w:val="center"/>
            <w:hideMark/>
          </w:tcPr>
          <w:p w14:paraId="759DB49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184</w:t>
            </w:r>
          </w:p>
        </w:tc>
        <w:tc>
          <w:tcPr>
            <w:tcW w:w="369" w:type="pct"/>
            <w:shd w:val="clear" w:color="auto" w:fill="auto"/>
            <w:vAlign w:val="center"/>
            <w:hideMark/>
          </w:tcPr>
          <w:p w14:paraId="3E25C59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12.993.490</w:t>
            </w:r>
          </w:p>
        </w:tc>
        <w:tc>
          <w:tcPr>
            <w:tcW w:w="294" w:type="pct"/>
            <w:shd w:val="clear" w:color="auto" w:fill="auto"/>
            <w:noWrap/>
            <w:vAlign w:val="center"/>
            <w:hideMark/>
          </w:tcPr>
          <w:p w14:paraId="4A1A2FA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2,08</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9A33F4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1,33</w:t>
            </w:r>
            <w:r>
              <w:rPr>
                <w:rFonts w:ascii="Arial" w:eastAsia="Times New Roman" w:hAnsi="Arial" w:cs="Arial"/>
                <w:color w:val="000000"/>
                <w:sz w:val="18"/>
                <w:szCs w:val="18"/>
                <w:lang w:eastAsia="sl-SI"/>
              </w:rPr>
              <w:t xml:space="preserve"> %</w:t>
            </w:r>
          </w:p>
        </w:tc>
      </w:tr>
      <w:tr w:rsidR="00072A69" w:rsidRPr="00982D61" w14:paraId="665388AD" w14:textId="77777777" w:rsidTr="00AC1F17">
        <w:trPr>
          <w:trHeight w:val="300"/>
        </w:trPr>
        <w:tc>
          <w:tcPr>
            <w:tcW w:w="241" w:type="pct"/>
            <w:shd w:val="clear" w:color="auto" w:fill="auto"/>
            <w:vAlign w:val="center"/>
            <w:hideMark/>
          </w:tcPr>
          <w:p w14:paraId="4C9EE76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39</w:t>
            </w:r>
          </w:p>
        </w:tc>
        <w:tc>
          <w:tcPr>
            <w:tcW w:w="3536" w:type="pct"/>
            <w:shd w:val="clear" w:color="auto" w:fill="auto"/>
            <w:vAlign w:val="center"/>
            <w:hideMark/>
          </w:tcPr>
          <w:p w14:paraId="07204A24"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288" w:type="pct"/>
            <w:shd w:val="clear" w:color="auto" w:fill="auto"/>
            <w:vAlign w:val="center"/>
            <w:hideMark/>
          </w:tcPr>
          <w:p w14:paraId="7CC8F3E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288</w:t>
            </w:r>
          </w:p>
        </w:tc>
        <w:tc>
          <w:tcPr>
            <w:tcW w:w="369" w:type="pct"/>
            <w:shd w:val="clear" w:color="auto" w:fill="auto"/>
            <w:vAlign w:val="center"/>
            <w:hideMark/>
          </w:tcPr>
          <w:p w14:paraId="444116C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10.317.095</w:t>
            </w:r>
          </w:p>
        </w:tc>
        <w:tc>
          <w:tcPr>
            <w:tcW w:w="294" w:type="pct"/>
            <w:shd w:val="clear" w:color="auto" w:fill="auto"/>
            <w:noWrap/>
            <w:vAlign w:val="center"/>
            <w:hideMark/>
          </w:tcPr>
          <w:p w14:paraId="10134C2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3,26</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F5E0E3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1,06</w:t>
            </w:r>
            <w:r>
              <w:rPr>
                <w:rFonts w:ascii="Arial" w:eastAsia="Times New Roman" w:hAnsi="Arial" w:cs="Arial"/>
                <w:color w:val="000000"/>
                <w:sz w:val="18"/>
                <w:szCs w:val="18"/>
                <w:lang w:eastAsia="sl-SI"/>
              </w:rPr>
              <w:t xml:space="preserve"> %</w:t>
            </w:r>
          </w:p>
        </w:tc>
      </w:tr>
      <w:tr w:rsidR="00072A69" w:rsidRPr="00982D61" w14:paraId="0906FB1E" w14:textId="77777777" w:rsidTr="00AC1F17">
        <w:trPr>
          <w:trHeight w:val="300"/>
        </w:trPr>
        <w:tc>
          <w:tcPr>
            <w:tcW w:w="241" w:type="pct"/>
            <w:shd w:val="clear" w:color="auto" w:fill="auto"/>
            <w:vAlign w:val="center"/>
            <w:hideMark/>
          </w:tcPr>
          <w:p w14:paraId="2DAF3FFF"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41</w:t>
            </w:r>
          </w:p>
        </w:tc>
        <w:tc>
          <w:tcPr>
            <w:tcW w:w="3536" w:type="pct"/>
            <w:shd w:val="clear" w:color="auto" w:fill="auto"/>
            <w:vAlign w:val="center"/>
            <w:hideMark/>
          </w:tcPr>
          <w:p w14:paraId="3736E9B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Zbrana in očiščena voda</w:t>
            </w:r>
          </w:p>
        </w:tc>
        <w:tc>
          <w:tcPr>
            <w:tcW w:w="288" w:type="pct"/>
            <w:shd w:val="clear" w:color="auto" w:fill="auto"/>
            <w:vAlign w:val="center"/>
            <w:hideMark/>
          </w:tcPr>
          <w:p w14:paraId="50B1B1C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w:t>
            </w:r>
          </w:p>
        </w:tc>
        <w:tc>
          <w:tcPr>
            <w:tcW w:w="369" w:type="pct"/>
            <w:shd w:val="clear" w:color="auto" w:fill="auto"/>
            <w:vAlign w:val="center"/>
            <w:hideMark/>
          </w:tcPr>
          <w:p w14:paraId="4BFF03E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153.764</w:t>
            </w:r>
          </w:p>
        </w:tc>
        <w:tc>
          <w:tcPr>
            <w:tcW w:w="294" w:type="pct"/>
            <w:shd w:val="clear" w:color="auto" w:fill="auto"/>
            <w:noWrap/>
            <w:vAlign w:val="center"/>
            <w:hideMark/>
          </w:tcPr>
          <w:p w14:paraId="114492A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EB9CD5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072A69" w:rsidRPr="00982D61" w14:paraId="08157C97" w14:textId="77777777" w:rsidTr="00AC1F17">
        <w:trPr>
          <w:trHeight w:val="300"/>
        </w:trPr>
        <w:tc>
          <w:tcPr>
            <w:tcW w:w="241" w:type="pct"/>
            <w:shd w:val="clear" w:color="auto" w:fill="auto"/>
            <w:vAlign w:val="center"/>
            <w:hideMark/>
          </w:tcPr>
          <w:p w14:paraId="6BDC5B14"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42</w:t>
            </w:r>
          </w:p>
        </w:tc>
        <w:tc>
          <w:tcPr>
            <w:tcW w:w="3536" w:type="pct"/>
            <w:shd w:val="clear" w:color="auto" w:fill="auto"/>
            <w:vAlign w:val="center"/>
            <w:hideMark/>
          </w:tcPr>
          <w:p w14:paraId="7F9EFC6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Industrijski stroji</w:t>
            </w:r>
          </w:p>
        </w:tc>
        <w:tc>
          <w:tcPr>
            <w:tcW w:w="288" w:type="pct"/>
            <w:shd w:val="clear" w:color="auto" w:fill="auto"/>
            <w:vAlign w:val="center"/>
            <w:hideMark/>
          </w:tcPr>
          <w:p w14:paraId="1146229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97</w:t>
            </w:r>
          </w:p>
        </w:tc>
        <w:tc>
          <w:tcPr>
            <w:tcW w:w="369" w:type="pct"/>
            <w:shd w:val="clear" w:color="auto" w:fill="auto"/>
            <w:vAlign w:val="center"/>
            <w:hideMark/>
          </w:tcPr>
          <w:p w14:paraId="4AA9914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9.365.685</w:t>
            </w:r>
          </w:p>
        </w:tc>
        <w:tc>
          <w:tcPr>
            <w:tcW w:w="294" w:type="pct"/>
            <w:shd w:val="clear" w:color="auto" w:fill="auto"/>
            <w:noWrap/>
            <w:vAlign w:val="center"/>
            <w:hideMark/>
          </w:tcPr>
          <w:p w14:paraId="663676B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1,10</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5275B10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0,96</w:t>
            </w:r>
            <w:r>
              <w:rPr>
                <w:rFonts w:ascii="Arial" w:eastAsia="Times New Roman" w:hAnsi="Arial" w:cs="Arial"/>
                <w:color w:val="000000"/>
                <w:sz w:val="18"/>
                <w:szCs w:val="18"/>
                <w:lang w:eastAsia="sl-SI"/>
              </w:rPr>
              <w:t xml:space="preserve"> %</w:t>
            </w:r>
          </w:p>
        </w:tc>
      </w:tr>
      <w:tr w:rsidR="00072A69" w:rsidRPr="00982D61" w14:paraId="6BA7E484" w14:textId="77777777" w:rsidTr="00AC1F17">
        <w:trPr>
          <w:trHeight w:val="300"/>
        </w:trPr>
        <w:tc>
          <w:tcPr>
            <w:tcW w:w="241" w:type="pct"/>
            <w:shd w:val="clear" w:color="auto" w:fill="auto"/>
            <w:vAlign w:val="center"/>
            <w:hideMark/>
          </w:tcPr>
          <w:p w14:paraId="3B5969E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43</w:t>
            </w:r>
          </w:p>
        </w:tc>
        <w:tc>
          <w:tcPr>
            <w:tcW w:w="3536" w:type="pct"/>
            <w:shd w:val="clear" w:color="auto" w:fill="auto"/>
            <w:vAlign w:val="center"/>
            <w:hideMark/>
          </w:tcPr>
          <w:p w14:paraId="70415DFF"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Rudarska, kamnoseška in gradbena oprema</w:t>
            </w:r>
          </w:p>
        </w:tc>
        <w:tc>
          <w:tcPr>
            <w:tcW w:w="288" w:type="pct"/>
            <w:shd w:val="clear" w:color="auto" w:fill="auto"/>
            <w:vAlign w:val="center"/>
            <w:hideMark/>
          </w:tcPr>
          <w:p w14:paraId="16BFE29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55</w:t>
            </w:r>
          </w:p>
        </w:tc>
        <w:tc>
          <w:tcPr>
            <w:tcW w:w="369" w:type="pct"/>
            <w:shd w:val="clear" w:color="auto" w:fill="auto"/>
            <w:vAlign w:val="center"/>
            <w:hideMark/>
          </w:tcPr>
          <w:p w14:paraId="5A659F4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7.077.073</w:t>
            </w:r>
          </w:p>
        </w:tc>
        <w:tc>
          <w:tcPr>
            <w:tcW w:w="294" w:type="pct"/>
            <w:shd w:val="clear" w:color="auto" w:fill="auto"/>
            <w:noWrap/>
            <w:vAlign w:val="center"/>
            <w:hideMark/>
          </w:tcPr>
          <w:p w14:paraId="079CB63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22066D9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r>
      <w:tr w:rsidR="00072A69" w:rsidRPr="00982D61" w14:paraId="7B0CF67E" w14:textId="77777777" w:rsidTr="00AC1F17">
        <w:trPr>
          <w:trHeight w:val="300"/>
        </w:trPr>
        <w:tc>
          <w:tcPr>
            <w:tcW w:w="241" w:type="pct"/>
            <w:shd w:val="clear" w:color="auto" w:fill="auto"/>
            <w:vAlign w:val="center"/>
            <w:hideMark/>
          </w:tcPr>
          <w:p w14:paraId="22F69CE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44</w:t>
            </w:r>
          </w:p>
        </w:tc>
        <w:tc>
          <w:tcPr>
            <w:tcW w:w="3536" w:type="pct"/>
            <w:shd w:val="clear" w:color="auto" w:fill="auto"/>
            <w:vAlign w:val="center"/>
            <w:hideMark/>
          </w:tcPr>
          <w:p w14:paraId="69EE3AF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Gradbene strukture in materiali; pomožni gradbeni izdelki (razen električnih aparatov)</w:t>
            </w:r>
          </w:p>
        </w:tc>
        <w:tc>
          <w:tcPr>
            <w:tcW w:w="288" w:type="pct"/>
            <w:shd w:val="clear" w:color="auto" w:fill="auto"/>
            <w:vAlign w:val="center"/>
            <w:hideMark/>
          </w:tcPr>
          <w:p w14:paraId="7359B30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213</w:t>
            </w:r>
          </w:p>
        </w:tc>
        <w:tc>
          <w:tcPr>
            <w:tcW w:w="369" w:type="pct"/>
            <w:shd w:val="clear" w:color="auto" w:fill="auto"/>
            <w:vAlign w:val="center"/>
            <w:hideMark/>
          </w:tcPr>
          <w:p w14:paraId="5337144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17.203.639</w:t>
            </w:r>
          </w:p>
        </w:tc>
        <w:tc>
          <w:tcPr>
            <w:tcW w:w="294" w:type="pct"/>
            <w:shd w:val="clear" w:color="auto" w:fill="auto"/>
            <w:noWrap/>
            <w:vAlign w:val="center"/>
            <w:hideMark/>
          </w:tcPr>
          <w:p w14:paraId="03129D5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2,41</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7C2A3A5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1,77</w:t>
            </w:r>
            <w:r>
              <w:rPr>
                <w:rFonts w:ascii="Arial" w:eastAsia="Times New Roman" w:hAnsi="Arial" w:cs="Arial"/>
                <w:color w:val="000000"/>
                <w:sz w:val="18"/>
                <w:szCs w:val="18"/>
                <w:lang w:eastAsia="sl-SI"/>
              </w:rPr>
              <w:t xml:space="preserve"> %</w:t>
            </w:r>
          </w:p>
        </w:tc>
      </w:tr>
      <w:tr w:rsidR="00072A69" w:rsidRPr="00982D61" w14:paraId="58290EE5" w14:textId="77777777" w:rsidTr="00AC1F17">
        <w:trPr>
          <w:trHeight w:val="300"/>
        </w:trPr>
        <w:tc>
          <w:tcPr>
            <w:tcW w:w="241" w:type="pct"/>
            <w:shd w:val="clear" w:color="auto" w:fill="auto"/>
            <w:vAlign w:val="center"/>
            <w:hideMark/>
          </w:tcPr>
          <w:p w14:paraId="3B593D4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45</w:t>
            </w:r>
          </w:p>
        </w:tc>
        <w:tc>
          <w:tcPr>
            <w:tcW w:w="3536" w:type="pct"/>
            <w:shd w:val="clear" w:color="auto" w:fill="auto"/>
            <w:vAlign w:val="center"/>
            <w:hideMark/>
          </w:tcPr>
          <w:p w14:paraId="6990B03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Gradbena dela</w:t>
            </w:r>
          </w:p>
        </w:tc>
        <w:tc>
          <w:tcPr>
            <w:tcW w:w="288" w:type="pct"/>
            <w:shd w:val="clear" w:color="auto" w:fill="auto"/>
            <w:vAlign w:val="center"/>
            <w:hideMark/>
          </w:tcPr>
          <w:p w14:paraId="6EC555F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1.987</w:t>
            </w:r>
          </w:p>
        </w:tc>
        <w:tc>
          <w:tcPr>
            <w:tcW w:w="369" w:type="pct"/>
            <w:shd w:val="clear" w:color="auto" w:fill="auto"/>
            <w:vAlign w:val="center"/>
            <w:hideMark/>
          </w:tcPr>
          <w:p w14:paraId="237FEE1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641.587.137</w:t>
            </w:r>
          </w:p>
        </w:tc>
        <w:tc>
          <w:tcPr>
            <w:tcW w:w="294" w:type="pct"/>
            <w:shd w:val="clear" w:color="auto" w:fill="auto"/>
            <w:noWrap/>
            <w:vAlign w:val="center"/>
            <w:hideMark/>
          </w:tcPr>
          <w:p w14:paraId="7DDD26C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22,50</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2826160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65,91</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6BA34516" w14:textId="77777777" w:rsidTr="00AC1F17">
        <w:trPr>
          <w:trHeight w:val="300"/>
        </w:trPr>
        <w:tc>
          <w:tcPr>
            <w:tcW w:w="241" w:type="pct"/>
            <w:shd w:val="clear" w:color="auto" w:fill="auto"/>
            <w:vAlign w:val="center"/>
            <w:hideMark/>
          </w:tcPr>
          <w:p w14:paraId="3A2D520A"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48</w:t>
            </w:r>
          </w:p>
        </w:tc>
        <w:tc>
          <w:tcPr>
            <w:tcW w:w="3536" w:type="pct"/>
            <w:shd w:val="clear" w:color="auto" w:fill="auto"/>
            <w:vAlign w:val="center"/>
            <w:hideMark/>
          </w:tcPr>
          <w:p w14:paraId="77B1243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Programski paketi in informacijski sistemi</w:t>
            </w:r>
          </w:p>
        </w:tc>
        <w:tc>
          <w:tcPr>
            <w:tcW w:w="288" w:type="pct"/>
            <w:shd w:val="clear" w:color="auto" w:fill="auto"/>
            <w:vAlign w:val="center"/>
            <w:hideMark/>
          </w:tcPr>
          <w:p w14:paraId="61C7695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123</w:t>
            </w:r>
          </w:p>
        </w:tc>
        <w:tc>
          <w:tcPr>
            <w:tcW w:w="369" w:type="pct"/>
            <w:shd w:val="clear" w:color="auto" w:fill="auto"/>
            <w:vAlign w:val="center"/>
            <w:hideMark/>
          </w:tcPr>
          <w:p w14:paraId="3A20DEC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10.291.066</w:t>
            </w:r>
          </w:p>
        </w:tc>
        <w:tc>
          <w:tcPr>
            <w:tcW w:w="294" w:type="pct"/>
            <w:shd w:val="clear" w:color="auto" w:fill="auto"/>
            <w:noWrap/>
            <w:vAlign w:val="center"/>
            <w:hideMark/>
          </w:tcPr>
          <w:p w14:paraId="1A0F96F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1,39</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3205D2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1,06</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3C65C275" w14:textId="77777777" w:rsidTr="00AC1F17">
        <w:trPr>
          <w:trHeight w:val="300"/>
        </w:trPr>
        <w:tc>
          <w:tcPr>
            <w:tcW w:w="241" w:type="pct"/>
            <w:shd w:val="clear" w:color="auto" w:fill="auto"/>
            <w:vAlign w:val="center"/>
            <w:hideMark/>
          </w:tcPr>
          <w:p w14:paraId="719E509B"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50</w:t>
            </w:r>
          </w:p>
        </w:tc>
        <w:tc>
          <w:tcPr>
            <w:tcW w:w="3536" w:type="pct"/>
            <w:shd w:val="clear" w:color="auto" w:fill="auto"/>
            <w:vAlign w:val="center"/>
            <w:hideMark/>
          </w:tcPr>
          <w:p w14:paraId="61872EA3"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popravila in vzdrževanja</w:t>
            </w:r>
          </w:p>
        </w:tc>
        <w:tc>
          <w:tcPr>
            <w:tcW w:w="288" w:type="pct"/>
            <w:shd w:val="clear" w:color="auto" w:fill="auto"/>
            <w:vAlign w:val="center"/>
            <w:hideMark/>
          </w:tcPr>
          <w:p w14:paraId="1A15057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360</w:t>
            </w:r>
          </w:p>
        </w:tc>
        <w:tc>
          <w:tcPr>
            <w:tcW w:w="369" w:type="pct"/>
            <w:shd w:val="clear" w:color="auto" w:fill="auto"/>
            <w:vAlign w:val="center"/>
            <w:hideMark/>
          </w:tcPr>
          <w:p w14:paraId="337EC54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26.502.070</w:t>
            </w:r>
          </w:p>
        </w:tc>
        <w:tc>
          <w:tcPr>
            <w:tcW w:w="294" w:type="pct"/>
            <w:shd w:val="clear" w:color="auto" w:fill="auto"/>
            <w:noWrap/>
            <w:vAlign w:val="center"/>
            <w:hideMark/>
          </w:tcPr>
          <w:p w14:paraId="2162E69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4,08</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A36339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2,72</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2C2623E9" w14:textId="77777777" w:rsidTr="00AC1F17">
        <w:trPr>
          <w:trHeight w:val="300"/>
        </w:trPr>
        <w:tc>
          <w:tcPr>
            <w:tcW w:w="241" w:type="pct"/>
            <w:shd w:val="clear" w:color="auto" w:fill="auto"/>
            <w:vAlign w:val="center"/>
            <w:hideMark/>
          </w:tcPr>
          <w:p w14:paraId="26E1C87D"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51</w:t>
            </w:r>
          </w:p>
        </w:tc>
        <w:tc>
          <w:tcPr>
            <w:tcW w:w="3536" w:type="pct"/>
            <w:shd w:val="clear" w:color="auto" w:fill="auto"/>
            <w:vAlign w:val="center"/>
            <w:hideMark/>
          </w:tcPr>
          <w:p w14:paraId="3ED52FEA"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inštalacije (razen programske opreme)</w:t>
            </w:r>
          </w:p>
        </w:tc>
        <w:tc>
          <w:tcPr>
            <w:tcW w:w="288" w:type="pct"/>
            <w:shd w:val="clear" w:color="auto" w:fill="auto"/>
            <w:vAlign w:val="center"/>
            <w:hideMark/>
          </w:tcPr>
          <w:p w14:paraId="139BE8F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28</w:t>
            </w:r>
          </w:p>
        </w:tc>
        <w:tc>
          <w:tcPr>
            <w:tcW w:w="369" w:type="pct"/>
            <w:shd w:val="clear" w:color="auto" w:fill="auto"/>
            <w:vAlign w:val="center"/>
            <w:hideMark/>
          </w:tcPr>
          <w:p w14:paraId="5F44439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3.165.101</w:t>
            </w:r>
          </w:p>
        </w:tc>
        <w:tc>
          <w:tcPr>
            <w:tcW w:w="294" w:type="pct"/>
            <w:shd w:val="clear" w:color="auto" w:fill="auto"/>
            <w:noWrap/>
            <w:vAlign w:val="center"/>
            <w:hideMark/>
          </w:tcPr>
          <w:p w14:paraId="58E1A9C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43A504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5BFB694A" w14:textId="77777777" w:rsidTr="00AC1F17">
        <w:trPr>
          <w:trHeight w:val="300"/>
        </w:trPr>
        <w:tc>
          <w:tcPr>
            <w:tcW w:w="241" w:type="pct"/>
            <w:shd w:val="clear" w:color="auto" w:fill="auto"/>
            <w:vAlign w:val="center"/>
            <w:hideMark/>
          </w:tcPr>
          <w:p w14:paraId="4E3C680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55</w:t>
            </w:r>
          </w:p>
        </w:tc>
        <w:tc>
          <w:tcPr>
            <w:tcW w:w="3536" w:type="pct"/>
            <w:shd w:val="clear" w:color="auto" w:fill="auto"/>
            <w:vAlign w:val="center"/>
            <w:hideMark/>
          </w:tcPr>
          <w:p w14:paraId="7E6EB75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hotelov, restavracij in trgovine na drobno</w:t>
            </w:r>
          </w:p>
        </w:tc>
        <w:tc>
          <w:tcPr>
            <w:tcW w:w="288" w:type="pct"/>
            <w:shd w:val="clear" w:color="auto" w:fill="auto"/>
            <w:vAlign w:val="center"/>
            <w:hideMark/>
          </w:tcPr>
          <w:p w14:paraId="787C81A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w:t>
            </w:r>
          </w:p>
        </w:tc>
        <w:tc>
          <w:tcPr>
            <w:tcW w:w="369" w:type="pct"/>
            <w:shd w:val="clear" w:color="auto" w:fill="auto"/>
            <w:vAlign w:val="center"/>
            <w:hideMark/>
          </w:tcPr>
          <w:p w14:paraId="5B87106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726.499</w:t>
            </w:r>
          </w:p>
        </w:tc>
        <w:tc>
          <w:tcPr>
            <w:tcW w:w="294" w:type="pct"/>
            <w:shd w:val="clear" w:color="auto" w:fill="auto"/>
            <w:noWrap/>
            <w:vAlign w:val="center"/>
            <w:hideMark/>
          </w:tcPr>
          <w:p w14:paraId="678C26F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6BEACE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3FABC06D" w14:textId="77777777" w:rsidTr="00AC1F17">
        <w:trPr>
          <w:trHeight w:val="300"/>
        </w:trPr>
        <w:tc>
          <w:tcPr>
            <w:tcW w:w="241" w:type="pct"/>
            <w:shd w:val="clear" w:color="auto" w:fill="auto"/>
            <w:vAlign w:val="center"/>
            <w:hideMark/>
          </w:tcPr>
          <w:p w14:paraId="57031A24"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60</w:t>
            </w:r>
          </w:p>
        </w:tc>
        <w:tc>
          <w:tcPr>
            <w:tcW w:w="3536" w:type="pct"/>
            <w:shd w:val="clear" w:color="auto" w:fill="auto"/>
            <w:vAlign w:val="center"/>
            <w:hideMark/>
          </w:tcPr>
          <w:p w14:paraId="2D0EC44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Prevozne storitve (razen prevoza odpadkov)</w:t>
            </w:r>
          </w:p>
        </w:tc>
        <w:tc>
          <w:tcPr>
            <w:tcW w:w="288" w:type="pct"/>
            <w:shd w:val="clear" w:color="auto" w:fill="auto"/>
            <w:vAlign w:val="center"/>
            <w:hideMark/>
          </w:tcPr>
          <w:p w14:paraId="2A8B97A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155</w:t>
            </w:r>
          </w:p>
        </w:tc>
        <w:tc>
          <w:tcPr>
            <w:tcW w:w="369" w:type="pct"/>
            <w:shd w:val="clear" w:color="auto" w:fill="auto"/>
            <w:vAlign w:val="center"/>
            <w:hideMark/>
          </w:tcPr>
          <w:p w14:paraId="4846AC2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7.474.132</w:t>
            </w:r>
          </w:p>
        </w:tc>
        <w:tc>
          <w:tcPr>
            <w:tcW w:w="294" w:type="pct"/>
            <w:shd w:val="clear" w:color="auto" w:fill="auto"/>
            <w:noWrap/>
            <w:vAlign w:val="center"/>
            <w:hideMark/>
          </w:tcPr>
          <w:p w14:paraId="5A481C8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1,75</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B7A58C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0,77</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4DAA58E2" w14:textId="77777777" w:rsidTr="00AC1F17">
        <w:trPr>
          <w:trHeight w:val="300"/>
        </w:trPr>
        <w:tc>
          <w:tcPr>
            <w:tcW w:w="241" w:type="pct"/>
            <w:shd w:val="clear" w:color="auto" w:fill="auto"/>
            <w:vAlign w:val="center"/>
            <w:hideMark/>
          </w:tcPr>
          <w:p w14:paraId="3B01E70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63</w:t>
            </w:r>
          </w:p>
        </w:tc>
        <w:tc>
          <w:tcPr>
            <w:tcW w:w="3536" w:type="pct"/>
            <w:shd w:val="clear" w:color="auto" w:fill="auto"/>
            <w:vAlign w:val="center"/>
            <w:hideMark/>
          </w:tcPr>
          <w:p w14:paraId="53097BD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Podporne in pomožne prevozne storitve; storitve potovalnih agencij</w:t>
            </w:r>
          </w:p>
        </w:tc>
        <w:tc>
          <w:tcPr>
            <w:tcW w:w="288" w:type="pct"/>
            <w:shd w:val="clear" w:color="auto" w:fill="auto"/>
            <w:vAlign w:val="center"/>
            <w:hideMark/>
          </w:tcPr>
          <w:p w14:paraId="2DE0E80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19</w:t>
            </w:r>
          </w:p>
        </w:tc>
        <w:tc>
          <w:tcPr>
            <w:tcW w:w="369" w:type="pct"/>
            <w:shd w:val="clear" w:color="auto" w:fill="auto"/>
            <w:vAlign w:val="center"/>
            <w:hideMark/>
          </w:tcPr>
          <w:p w14:paraId="2833521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1.963.287</w:t>
            </w:r>
          </w:p>
        </w:tc>
        <w:tc>
          <w:tcPr>
            <w:tcW w:w="294" w:type="pct"/>
            <w:shd w:val="clear" w:color="auto" w:fill="auto"/>
            <w:noWrap/>
            <w:vAlign w:val="center"/>
            <w:hideMark/>
          </w:tcPr>
          <w:p w14:paraId="53E09FC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B5F9A2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2E5F7BF8" w14:textId="77777777" w:rsidTr="00AC1F17">
        <w:trPr>
          <w:trHeight w:val="300"/>
        </w:trPr>
        <w:tc>
          <w:tcPr>
            <w:tcW w:w="241" w:type="pct"/>
            <w:shd w:val="clear" w:color="auto" w:fill="auto"/>
            <w:vAlign w:val="center"/>
            <w:hideMark/>
          </w:tcPr>
          <w:p w14:paraId="1B20BA49"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64</w:t>
            </w:r>
          </w:p>
        </w:tc>
        <w:tc>
          <w:tcPr>
            <w:tcW w:w="3536" w:type="pct"/>
            <w:shd w:val="clear" w:color="auto" w:fill="auto"/>
            <w:vAlign w:val="center"/>
            <w:hideMark/>
          </w:tcPr>
          <w:p w14:paraId="5197306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Poštne in telekomunikacijske storitve</w:t>
            </w:r>
          </w:p>
        </w:tc>
        <w:tc>
          <w:tcPr>
            <w:tcW w:w="288" w:type="pct"/>
            <w:shd w:val="clear" w:color="auto" w:fill="auto"/>
            <w:vAlign w:val="center"/>
            <w:hideMark/>
          </w:tcPr>
          <w:p w14:paraId="3027B30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21</w:t>
            </w:r>
          </w:p>
        </w:tc>
        <w:tc>
          <w:tcPr>
            <w:tcW w:w="369" w:type="pct"/>
            <w:shd w:val="clear" w:color="auto" w:fill="auto"/>
            <w:vAlign w:val="center"/>
            <w:hideMark/>
          </w:tcPr>
          <w:p w14:paraId="7E0B2F4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1.698.603</w:t>
            </w:r>
          </w:p>
        </w:tc>
        <w:tc>
          <w:tcPr>
            <w:tcW w:w="294" w:type="pct"/>
            <w:shd w:val="clear" w:color="auto" w:fill="auto"/>
            <w:noWrap/>
            <w:vAlign w:val="center"/>
            <w:hideMark/>
          </w:tcPr>
          <w:p w14:paraId="0E22026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9C1E44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7E8B833F" w14:textId="77777777" w:rsidTr="00AC1F17">
        <w:trPr>
          <w:trHeight w:val="300"/>
        </w:trPr>
        <w:tc>
          <w:tcPr>
            <w:tcW w:w="241" w:type="pct"/>
            <w:shd w:val="clear" w:color="auto" w:fill="auto"/>
            <w:vAlign w:val="center"/>
            <w:hideMark/>
          </w:tcPr>
          <w:p w14:paraId="20239C75"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65</w:t>
            </w:r>
          </w:p>
        </w:tc>
        <w:tc>
          <w:tcPr>
            <w:tcW w:w="3536" w:type="pct"/>
            <w:shd w:val="clear" w:color="auto" w:fill="auto"/>
            <w:vAlign w:val="center"/>
            <w:hideMark/>
          </w:tcPr>
          <w:p w14:paraId="1135F34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Gospodarske javne službe</w:t>
            </w:r>
          </w:p>
        </w:tc>
        <w:tc>
          <w:tcPr>
            <w:tcW w:w="288" w:type="pct"/>
            <w:shd w:val="clear" w:color="auto" w:fill="auto"/>
            <w:vAlign w:val="center"/>
            <w:hideMark/>
          </w:tcPr>
          <w:p w14:paraId="5DC3665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40</w:t>
            </w:r>
          </w:p>
        </w:tc>
        <w:tc>
          <w:tcPr>
            <w:tcW w:w="369" w:type="pct"/>
            <w:shd w:val="clear" w:color="auto" w:fill="auto"/>
            <w:vAlign w:val="center"/>
            <w:hideMark/>
          </w:tcPr>
          <w:p w14:paraId="2C39757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2.984.667</w:t>
            </w:r>
          </w:p>
        </w:tc>
        <w:tc>
          <w:tcPr>
            <w:tcW w:w="294" w:type="pct"/>
            <w:shd w:val="clear" w:color="auto" w:fill="auto"/>
            <w:noWrap/>
            <w:vAlign w:val="center"/>
            <w:hideMark/>
          </w:tcPr>
          <w:p w14:paraId="335B2A1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B6BB85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6D521F6D" w14:textId="77777777" w:rsidTr="00AC1F17">
        <w:trPr>
          <w:trHeight w:val="300"/>
        </w:trPr>
        <w:tc>
          <w:tcPr>
            <w:tcW w:w="241" w:type="pct"/>
            <w:shd w:val="clear" w:color="auto" w:fill="auto"/>
            <w:vAlign w:val="center"/>
            <w:hideMark/>
          </w:tcPr>
          <w:p w14:paraId="4936F714"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66</w:t>
            </w:r>
          </w:p>
        </w:tc>
        <w:tc>
          <w:tcPr>
            <w:tcW w:w="3536" w:type="pct"/>
            <w:shd w:val="clear" w:color="auto" w:fill="auto"/>
            <w:vAlign w:val="center"/>
            <w:hideMark/>
          </w:tcPr>
          <w:p w14:paraId="5CB1A962"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Finančne in zavarovalniške storitve</w:t>
            </w:r>
          </w:p>
        </w:tc>
        <w:tc>
          <w:tcPr>
            <w:tcW w:w="288" w:type="pct"/>
            <w:shd w:val="clear" w:color="auto" w:fill="auto"/>
            <w:vAlign w:val="center"/>
            <w:hideMark/>
          </w:tcPr>
          <w:p w14:paraId="26BBFCC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56</w:t>
            </w:r>
          </w:p>
        </w:tc>
        <w:tc>
          <w:tcPr>
            <w:tcW w:w="369" w:type="pct"/>
            <w:shd w:val="clear" w:color="auto" w:fill="auto"/>
            <w:vAlign w:val="center"/>
            <w:hideMark/>
          </w:tcPr>
          <w:p w14:paraId="14DC3E0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3.930.278</w:t>
            </w:r>
          </w:p>
        </w:tc>
        <w:tc>
          <w:tcPr>
            <w:tcW w:w="294" w:type="pct"/>
            <w:shd w:val="clear" w:color="auto" w:fill="auto"/>
            <w:noWrap/>
            <w:vAlign w:val="center"/>
            <w:hideMark/>
          </w:tcPr>
          <w:p w14:paraId="604431B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3334028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233B7970" w14:textId="77777777" w:rsidTr="00AC1F17">
        <w:trPr>
          <w:trHeight w:val="300"/>
        </w:trPr>
        <w:tc>
          <w:tcPr>
            <w:tcW w:w="241" w:type="pct"/>
            <w:shd w:val="clear" w:color="auto" w:fill="auto"/>
            <w:vAlign w:val="center"/>
            <w:hideMark/>
          </w:tcPr>
          <w:p w14:paraId="028C9AC1"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70</w:t>
            </w:r>
          </w:p>
        </w:tc>
        <w:tc>
          <w:tcPr>
            <w:tcW w:w="3536" w:type="pct"/>
            <w:shd w:val="clear" w:color="auto" w:fill="auto"/>
            <w:vAlign w:val="center"/>
            <w:hideMark/>
          </w:tcPr>
          <w:p w14:paraId="67197EDB"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poslovanja z nepremičninami</w:t>
            </w:r>
          </w:p>
        </w:tc>
        <w:tc>
          <w:tcPr>
            <w:tcW w:w="288" w:type="pct"/>
            <w:shd w:val="clear" w:color="auto" w:fill="auto"/>
            <w:vAlign w:val="center"/>
            <w:hideMark/>
          </w:tcPr>
          <w:p w14:paraId="58247FD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w:t>
            </w:r>
          </w:p>
        </w:tc>
        <w:tc>
          <w:tcPr>
            <w:tcW w:w="369" w:type="pct"/>
            <w:shd w:val="clear" w:color="auto" w:fill="auto"/>
            <w:vAlign w:val="center"/>
            <w:hideMark/>
          </w:tcPr>
          <w:p w14:paraId="0B4A05C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491.294</w:t>
            </w:r>
          </w:p>
        </w:tc>
        <w:tc>
          <w:tcPr>
            <w:tcW w:w="294" w:type="pct"/>
            <w:shd w:val="clear" w:color="auto" w:fill="auto"/>
            <w:noWrap/>
            <w:vAlign w:val="center"/>
            <w:hideMark/>
          </w:tcPr>
          <w:p w14:paraId="31CC312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186962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193F3E09" w14:textId="77777777" w:rsidTr="00AC1F17">
        <w:trPr>
          <w:trHeight w:val="300"/>
        </w:trPr>
        <w:tc>
          <w:tcPr>
            <w:tcW w:w="241" w:type="pct"/>
            <w:shd w:val="clear" w:color="auto" w:fill="auto"/>
            <w:vAlign w:val="center"/>
            <w:hideMark/>
          </w:tcPr>
          <w:p w14:paraId="3BAE8FA9"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71</w:t>
            </w:r>
          </w:p>
        </w:tc>
        <w:tc>
          <w:tcPr>
            <w:tcW w:w="3536" w:type="pct"/>
            <w:shd w:val="clear" w:color="auto" w:fill="auto"/>
            <w:vAlign w:val="center"/>
            <w:hideMark/>
          </w:tcPr>
          <w:p w14:paraId="32CA20C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Arhitekturne, gradbeniške, inženirske in inšpekcijske storitve</w:t>
            </w:r>
          </w:p>
        </w:tc>
        <w:tc>
          <w:tcPr>
            <w:tcW w:w="288" w:type="pct"/>
            <w:shd w:val="clear" w:color="auto" w:fill="auto"/>
            <w:vAlign w:val="center"/>
            <w:hideMark/>
          </w:tcPr>
          <w:p w14:paraId="0F58FE8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388</w:t>
            </w:r>
          </w:p>
        </w:tc>
        <w:tc>
          <w:tcPr>
            <w:tcW w:w="369" w:type="pct"/>
            <w:shd w:val="clear" w:color="auto" w:fill="auto"/>
            <w:vAlign w:val="center"/>
            <w:hideMark/>
          </w:tcPr>
          <w:p w14:paraId="6429B21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24.053.275</w:t>
            </w:r>
          </w:p>
        </w:tc>
        <w:tc>
          <w:tcPr>
            <w:tcW w:w="294" w:type="pct"/>
            <w:shd w:val="clear" w:color="auto" w:fill="auto"/>
            <w:noWrap/>
            <w:vAlign w:val="center"/>
            <w:hideMark/>
          </w:tcPr>
          <w:p w14:paraId="2EA24B3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4,39</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232D3B0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2,47</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7486CAAE" w14:textId="77777777" w:rsidTr="00AC1F17">
        <w:trPr>
          <w:trHeight w:val="300"/>
        </w:trPr>
        <w:tc>
          <w:tcPr>
            <w:tcW w:w="241" w:type="pct"/>
            <w:shd w:val="clear" w:color="auto" w:fill="auto"/>
            <w:vAlign w:val="center"/>
            <w:hideMark/>
          </w:tcPr>
          <w:p w14:paraId="2A3BB0B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72</w:t>
            </w:r>
          </w:p>
        </w:tc>
        <w:tc>
          <w:tcPr>
            <w:tcW w:w="3536" w:type="pct"/>
            <w:shd w:val="clear" w:color="auto" w:fill="auto"/>
            <w:vAlign w:val="center"/>
            <w:hideMark/>
          </w:tcPr>
          <w:p w14:paraId="4EF74754"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informacijske tehnologije: svetovanje, razvoj programske opreme, internet in podpora</w:t>
            </w:r>
          </w:p>
        </w:tc>
        <w:tc>
          <w:tcPr>
            <w:tcW w:w="288" w:type="pct"/>
            <w:shd w:val="clear" w:color="auto" w:fill="auto"/>
            <w:vAlign w:val="center"/>
            <w:hideMark/>
          </w:tcPr>
          <w:p w14:paraId="7F783C1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260</w:t>
            </w:r>
          </w:p>
        </w:tc>
        <w:tc>
          <w:tcPr>
            <w:tcW w:w="369" w:type="pct"/>
            <w:shd w:val="clear" w:color="auto" w:fill="auto"/>
            <w:vAlign w:val="center"/>
            <w:hideMark/>
          </w:tcPr>
          <w:p w14:paraId="42A6A27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19.445.439</w:t>
            </w:r>
          </w:p>
        </w:tc>
        <w:tc>
          <w:tcPr>
            <w:tcW w:w="294" w:type="pct"/>
            <w:shd w:val="clear" w:color="auto" w:fill="auto"/>
            <w:noWrap/>
            <w:vAlign w:val="center"/>
            <w:hideMark/>
          </w:tcPr>
          <w:p w14:paraId="0DB2793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2,94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2E19E6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2,00</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06684D54" w14:textId="77777777" w:rsidTr="00AC1F17">
        <w:trPr>
          <w:trHeight w:val="300"/>
        </w:trPr>
        <w:tc>
          <w:tcPr>
            <w:tcW w:w="241" w:type="pct"/>
            <w:shd w:val="clear" w:color="auto" w:fill="auto"/>
            <w:vAlign w:val="center"/>
            <w:hideMark/>
          </w:tcPr>
          <w:p w14:paraId="721A595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73</w:t>
            </w:r>
          </w:p>
        </w:tc>
        <w:tc>
          <w:tcPr>
            <w:tcW w:w="3536" w:type="pct"/>
            <w:shd w:val="clear" w:color="auto" w:fill="auto"/>
            <w:vAlign w:val="center"/>
            <w:hideMark/>
          </w:tcPr>
          <w:p w14:paraId="77E145A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na področju raziskav in razvoja ter s tem povezane svetovalne storitve</w:t>
            </w:r>
          </w:p>
        </w:tc>
        <w:tc>
          <w:tcPr>
            <w:tcW w:w="288" w:type="pct"/>
            <w:shd w:val="clear" w:color="auto" w:fill="auto"/>
            <w:vAlign w:val="center"/>
            <w:hideMark/>
          </w:tcPr>
          <w:p w14:paraId="183AE22E"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38</w:t>
            </w:r>
          </w:p>
        </w:tc>
        <w:tc>
          <w:tcPr>
            <w:tcW w:w="369" w:type="pct"/>
            <w:shd w:val="clear" w:color="auto" w:fill="auto"/>
            <w:vAlign w:val="center"/>
            <w:hideMark/>
          </w:tcPr>
          <w:p w14:paraId="2603BA9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2.220.470</w:t>
            </w:r>
          </w:p>
        </w:tc>
        <w:tc>
          <w:tcPr>
            <w:tcW w:w="294" w:type="pct"/>
            <w:shd w:val="clear" w:color="auto" w:fill="auto"/>
            <w:noWrap/>
            <w:vAlign w:val="center"/>
            <w:hideMark/>
          </w:tcPr>
          <w:p w14:paraId="78199E9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9E7385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04518E24" w14:textId="77777777" w:rsidTr="00AC1F17">
        <w:trPr>
          <w:trHeight w:val="300"/>
        </w:trPr>
        <w:tc>
          <w:tcPr>
            <w:tcW w:w="241" w:type="pct"/>
            <w:shd w:val="clear" w:color="auto" w:fill="auto"/>
            <w:vAlign w:val="center"/>
            <w:hideMark/>
          </w:tcPr>
          <w:p w14:paraId="6A6B3115"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75</w:t>
            </w:r>
          </w:p>
        </w:tc>
        <w:tc>
          <w:tcPr>
            <w:tcW w:w="3536" w:type="pct"/>
            <w:shd w:val="clear" w:color="auto" w:fill="auto"/>
            <w:vAlign w:val="center"/>
            <w:hideMark/>
          </w:tcPr>
          <w:p w14:paraId="2D46DADB"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uprave, obrambe in socialnega zavarovanja</w:t>
            </w:r>
          </w:p>
        </w:tc>
        <w:tc>
          <w:tcPr>
            <w:tcW w:w="288" w:type="pct"/>
            <w:shd w:val="clear" w:color="auto" w:fill="auto"/>
            <w:vAlign w:val="center"/>
            <w:hideMark/>
          </w:tcPr>
          <w:p w14:paraId="1246D07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w:t>
            </w:r>
          </w:p>
        </w:tc>
        <w:tc>
          <w:tcPr>
            <w:tcW w:w="369" w:type="pct"/>
            <w:shd w:val="clear" w:color="auto" w:fill="auto"/>
            <w:vAlign w:val="center"/>
            <w:hideMark/>
          </w:tcPr>
          <w:p w14:paraId="41B71A1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132.194</w:t>
            </w:r>
          </w:p>
        </w:tc>
        <w:tc>
          <w:tcPr>
            <w:tcW w:w="294" w:type="pct"/>
            <w:shd w:val="clear" w:color="auto" w:fill="auto"/>
            <w:noWrap/>
            <w:vAlign w:val="center"/>
            <w:hideMark/>
          </w:tcPr>
          <w:p w14:paraId="287120E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17070B8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4B81D134" w14:textId="77777777" w:rsidTr="00AC1F17">
        <w:trPr>
          <w:trHeight w:val="300"/>
        </w:trPr>
        <w:tc>
          <w:tcPr>
            <w:tcW w:w="241" w:type="pct"/>
            <w:shd w:val="clear" w:color="auto" w:fill="auto"/>
            <w:vAlign w:val="center"/>
            <w:hideMark/>
          </w:tcPr>
          <w:p w14:paraId="47C69D9F"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76</w:t>
            </w:r>
          </w:p>
        </w:tc>
        <w:tc>
          <w:tcPr>
            <w:tcW w:w="3536" w:type="pct"/>
            <w:shd w:val="clear" w:color="auto" w:fill="auto"/>
            <w:vAlign w:val="center"/>
            <w:hideMark/>
          </w:tcPr>
          <w:p w14:paraId="2999AC7D"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povezane z industrijo nafte in zemeljskega plina</w:t>
            </w:r>
          </w:p>
        </w:tc>
        <w:tc>
          <w:tcPr>
            <w:tcW w:w="288" w:type="pct"/>
            <w:shd w:val="clear" w:color="auto" w:fill="auto"/>
            <w:vAlign w:val="center"/>
            <w:hideMark/>
          </w:tcPr>
          <w:p w14:paraId="077AF51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w:t>
            </w:r>
          </w:p>
        </w:tc>
        <w:tc>
          <w:tcPr>
            <w:tcW w:w="369" w:type="pct"/>
            <w:shd w:val="clear" w:color="auto" w:fill="auto"/>
            <w:vAlign w:val="center"/>
            <w:hideMark/>
          </w:tcPr>
          <w:p w14:paraId="1318C68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622.310</w:t>
            </w:r>
          </w:p>
        </w:tc>
        <w:tc>
          <w:tcPr>
            <w:tcW w:w="294" w:type="pct"/>
            <w:shd w:val="clear" w:color="auto" w:fill="auto"/>
            <w:noWrap/>
            <w:vAlign w:val="center"/>
            <w:hideMark/>
          </w:tcPr>
          <w:p w14:paraId="3885D13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0B8C59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63A89EFE" w14:textId="77777777" w:rsidTr="00AC1F17">
        <w:trPr>
          <w:trHeight w:val="300"/>
        </w:trPr>
        <w:tc>
          <w:tcPr>
            <w:tcW w:w="241" w:type="pct"/>
            <w:shd w:val="clear" w:color="auto" w:fill="auto"/>
            <w:vAlign w:val="center"/>
            <w:hideMark/>
          </w:tcPr>
          <w:p w14:paraId="4E43A86F"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77</w:t>
            </w:r>
          </w:p>
        </w:tc>
        <w:tc>
          <w:tcPr>
            <w:tcW w:w="3536" w:type="pct"/>
            <w:shd w:val="clear" w:color="auto" w:fill="auto"/>
            <w:vAlign w:val="center"/>
            <w:hideMark/>
          </w:tcPr>
          <w:p w14:paraId="14A188E3"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na področju kmetijstva, gozdarstva, hortikulture, akvakulture in čebelarstva</w:t>
            </w:r>
          </w:p>
        </w:tc>
        <w:tc>
          <w:tcPr>
            <w:tcW w:w="288" w:type="pct"/>
            <w:shd w:val="clear" w:color="auto" w:fill="auto"/>
            <w:vAlign w:val="center"/>
            <w:hideMark/>
          </w:tcPr>
          <w:p w14:paraId="140D28C9"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127</w:t>
            </w:r>
          </w:p>
        </w:tc>
        <w:tc>
          <w:tcPr>
            <w:tcW w:w="369" w:type="pct"/>
            <w:shd w:val="clear" w:color="auto" w:fill="auto"/>
            <w:vAlign w:val="center"/>
            <w:hideMark/>
          </w:tcPr>
          <w:p w14:paraId="57E262F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2.886.989</w:t>
            </w:r>
          </w:p>
        </w:tc>
        <w:tc>
          <w:tcPr>
            <w:tcW w:w="294" w:type="pct"/>
            <w:shd w:val="clear" w:color="auto" w:fill="auto"/>
            <w:noWrap/>
            <w:vAlign w:val="center"/>
            <w:hideMark/>
          </w:tcPr>
          <w:p w14:paraId="22FB5D3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1,44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20331B3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16733FA0" w14:textId="77777777" w:rsidTr="00AC1F17">
        <w:trPr>
          <w:trHeight w:val="300"/>
        </w:trPr>
        <w:tc>
          <w:tcPr>
            <w:tcW w:w="241" w:type="pct"/>
            <w:shd w:val="clear" w:color="auto" w:fill="auto"/>
            <w:vAlign w:val="center"/>
            <w:hideMark/>
          </w:tcPr>
          <w:p w14:paraId="56E85A14"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79</w:t>
            </w:r>
          </w:p>
        </w:tc>
        <w:tc>
          <w:tcPr>
            <w:tcW w:w="3536" w:type="pct"/>
            <w:shd w:val="clear" w:color="auto" w:fill="auto"/>
            <w:vAlign w:val="center"/>
            <w:hideMark/>
          </w:tcPr>
          <w:p w14:paraId="2AD48902"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Poslovne storitve: pravo, trženje, svetovanje, zaposlovanje, tiskanje in varnost</w:t>
            </w:r>
          </w:p>
        </w:tc>
        <w:tc>
          <w:tcPr>
            <w:tcW w:w="288" w:type="pct"/>
            <w:shd w:val="clear" w:color="auto" w:fill="auto"/>
            <w:vAlign w:val="center"/>
            <w:hideMark/>
          </w:tcPr>
          <w:p w14:paraId="3698E01A"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233</w:t>
            </w:r>
          </w:p>
        </w:tc>
        <w:tc>
          <w:tcPr>
            <w:tcW w:w="369" w:type="pct"/>
            <w:shd w:val="clear" w:color="auto" w:fill="auto"/>
            <w:vAlign w:val="center"/>
            <w:hideMark/>
          </w:tcPr>
          <w:p w14:paraId="21DA1F2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15.001.947</w:t>
            </w:r>
          </w:p>
        </w:tc>
        <w:tc>
          <w:tcPr>
            <w:tcW w:w="294" w:type="pct"/>
            <w:shd w:val="clear" w:color="auto" w:fill="auto"/>
            <w:noWrap/>
            <w:vAlign w:val="center"/>
            <w:hideMark/>
          </w:tcPr>
          <w:p w14:paraId="47E9457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2,64</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5B1A2E68"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1,54</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3EBDB8C4" w14:textId="77777777" w:rsidTr="00AC1F17">
        <w:trPr>
          <w:trHeight w:val="300"/>
        </w:trPr>
        <w:tc>
          <w:tcPr>
            <w:tcW w:w="241" w:type="pct"/>
            <w:shd w:val="clear" w:color="auto" w:fill="auto"/>
            <w:vAlign w:val="center"/>
            <w:hideMark/>
          </w:tcPr>
          <w:p w14:paraId="5E5C898E"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80</w:t>
            </w:r>
          </w:p>
        </w:tc>
        <w:tc>
          <w:tcPr>
            <w:tcW w:w="3536" w:type="pct"/>
            <w:shd w:val="clear" w:color="auto" w:fill="auto"/>
            <w:vAlign w:val="center"/>
            <w:hideMark/>
          </w:tcPr>
          <w:p w14:paraId="1F1601C7"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izobraževanja in usposabljanja</w:t>
            </w:r>
          </w:p>
        </w:tc>
        <w:tc>
          <w:tcPr>
            <w:tcW w:w="288" w:type="pct"/>
            <w:shd w:val="clear" w:color="auto" w:fill="auto"/>
            <w:vAlign w:val="center"/>
            <w:hideMark/>
          </w:tcPr>
          <w:p w14:paraId="2A4EE61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18</w:t>
            </w:r>
          </w:p>
        </w:tc>
        <w:tc>
          <w:tcPr>
            <w:tcW w:w="369" w:type="pct"/>
            <w:shd w:val="clear" w:color="auto" w:fill="auto"/>
            <w:vAlign w:val="center"/>
            <w:hideMark/>
          </w:tcPr>
          <w:p w14:paraId="2FDCEB8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873.150</w:t>
            </w:r>
          </w:p>
        </w:tc>
        <w:tc>
          <w:tcPr>
            <w:tcW w:w="294" w:type="pct"/>
            <w:shd w:val="clear" w:color="auto" w:fill="auto"/>
            <w:noWrap/>
            <w:vAlign w:val="center"/>
            <w:hideMark/>
          </w:tcPr>
          <w:p w14:paraId="49453DB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005E5A60"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7ABD891D" w14:textId="77777777" w:rsidTr="00AC1F17">
        <w:trPr>
          <w:trHeight w:val="300"/>
        </w:trPr>
        <w:tc>
          <w:tcPr>
            <w:tcW w:w="241" w:type="pct"/>
            <w:shd w:val="clear" w:color="auto" w:fill="auto"/>
            <w:vAlign w:val="center"/>
            <w:hideMark/>
          </w:tcPr>
          <w:p w14:paraId="0F661146"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85</w:t>
            </w:r>
          </w:p>
        </w:tc>
        <w:tc>
          <w:tcPr>
            <w:tcW w:w="3536" w:type="pct"/>
            <w:shd w:val="clear" w:color="auto" w:fill="auto"/>
            <w:vAlign w:val="center"/>
            <w:hideMark/>
          </w:tcPr>
          <w:p w14:paraId="59B152AA"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na področju zdravstva in socialnega varstva</w:t>
            </w:r>
          </w:p>
        </w:tc>
        <w:tc>
          <w:tcPr>
            <w:tcW w:w="288" w:type="pct"/>
            <w:shd w:val="clear" w:color="auto" w:fill="auto"/>
            <w:vAlign w:val="center"/>
            <w:hideMark/>
          </w:tcPr>
          <w:p w14:paraId="02BD325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24</w:t>
            </w:r>
          </w:p>
        </w:tc>
        <w:tc>
          <w:tcPr>
            <w:tcW w:w="369" w:type="pct"/>
            <w:shd w:val="clear" w:color="auto" w:fill="auto"/>
            <w:vAlign w:val="center"/>
            <w:hideMark/>
          </w:tcPr>
          <w:p w14:paraId="2F41846F"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1.687.191</w:t>
            </w:r>
          </w:p>
        </w:tc>
        <w:tc>
          <w:tcPr>
            <w:tcW w:w="294" w:type="pct"/>
            <w:shd w:val="clear" w:color="auto" w:fill="auto"/>
            <w:noWrap/>
            <w:vAlign w:val="center"/>
            <w:hideMark/>
          </w:tcPr>
          <w:p w14:paraId="7F8252B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45AC36C2"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6A7D3C17" w14:textId="77777777" w:rsidTr="00AC1F17">
        <w:trPr>
          <w:trHeight w:val="300"/>
        </w:trPr>
        <w:tc>
          <w:tcPr>
            <w:tcW w:w="241" w:type="pct"/>
            <w:shd w:val="clear" w:color="auto" w:fill="auto"/>
            <w:vAlign w:val="center"/>
            <w:hideMark/>
          </w:tcPr>
          <w:p w14:paraId="5442192A"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90</w:t>
            </w:r>
          </w:p>
        </w:tc>
        <w:tc>
          <w:tcPr>
            <w:tcW w:w="3536" w:type="pct"/>
            <w:shd w:val="clear" w:color="auto" w:fill="auto"/>
            <w:vAlign w:val="center"/>
            <w:hideMark/>
          </w:tcPr>
          <w:p w14:paraId="06CC5560"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v zvezi z odplakami, odpadki, čiščenjem in okoljem</w:t>
            </w:r>
          </w:p>
        </w:tc>
        <w:tc>
          <w:tcPr>
            <w:tcW w:w="288" w:type="pct"/>
            <w:shd w:val="clear" w:color="auto" w:fill="auto"/>
            <w:vAlign w:val="center"/>
            <w:hideMark/>
          </w:tcPr>
          <w:p w14:paraId="67F3F3A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355</w:t>
            </w:r>
          </w:p>
        </w:tc>
        <w:tc>
          <w:tcPr>
            <w:tcW w:w="369" w:type="pct"/>
            <w:shd w:val="clear" w:color="auto" w:fill="auto"/>
            <w:vAlign w:val="center"/>
            <w:hideMark/>
          </w:tcPr>
          <w:p w14:paraId="14D82FB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22.832.396</w:t>
            </w:r>
          </w:p>
        </w:tc>
        <w:tc>
          <w:tcPr>
            <w:tcW w:w="294" w:type="pct"/>
            <w:shd w:val="clear" w:color="auto" w:fill="auto"/>
            <w:noWrap/>
            <w:vAlign w:val="center"/>
            <w:hideMark/>
          </w:tcPr>
          <w:p w14:paraId="44AAEFE5"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4,02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CC2066C"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2,35</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69F8511E" w14:textId="77777777" w:rsidTr="00AC1F17">
        <w:trPr>
          <w:trHeight w:val="300"/>
        </w:trPr>
        <w:tc>
          <w:tcPr>
            <w:tcW w:w="241" w:type="pct"/>
            <w:shd w:val="clear" w:color="auto" w:fill="auto"/>
            <w:vAlign w:val="center"/>
            <w:hideMark/>
          </w:tcPr>
          <w:p w14:paraId="61773D0F"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92</w:t>
            </w:r>
          </w:p>
        </w:tc>
        <w:tc>
          <w:tcPr>
            <w:tcW w:w="3536" w:type="pct"/>
            <w:shd w:val="clear" w:color="auto" w:fill="auto"/>
            <w:vAlign w:val="center"/>
            <w:hideMark/>
          </w:tcPr>
          <w:p w14:paraId="366E4835"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Storitve na področju rekreacije, kulture in športa</w:t>
            </w:r>
          </w:p>
        </w:tc>
        <w:tc>
          <w:tcPr>
            <w:tcW w:w="288" w:type="pct"/>
            <w:shd w:val="clear" w:color="auto" w:fill="auto"/>
            <w:vAlign w:val="center"/>
            <w:hideMark/>
          </w:tcPr>
          <w:p w14:paraId="3FD4F857"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28</w:t>
            </w:r>
          </w:p>
        </w:tc>
        <w:tc>
          <w:tcPr>
            <w:tcW w:w="369" w:type="pct"/>
            <w:shd w:val="clear" w:color="auto" w:fill="auto"/>
            <w:vAlign w:val="center"/>
            <w:hideMark/>
          </w:tcPr>
          <w:p w14:paraId="6847E856"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1.275.092</w:t>
            </w:r>
          </w:p>
        </w:tc>
        <w:tc>
          <w:tcPr>
            <w:tcW w:w="294" w:type="pct"/>
            <w:shd w:val="clear" w:color="auto" w:fill="auto"/>
            <w:noWrap/>
            <w:vAlign w:val="center"/>
            <w:hideMark/>
          </w:tcPr>
          <w:p w14:paraId="29A9171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56E6A943"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6ED13C67" w14:textId="77777777" w:rsidTr="00AC1F17">
        <w:trPr>
          <w:trHeight w:val="300"/>
        </w:trPr>
        <w:tc>
          <w:tcPr>
            <w:tcW w:w="241" w:type="pct"/>
            <w:shd w:val="clear" w:color="auto" w:fill="auto"/>
            <w:vAlign w:val="center"/>
            <w:hideMark/>
          </w:tcPr>
          <w:p w14:paraId="764CEDAC"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98</w:t>
            </w:r>
          </w:p>
        </w:tc>
        <w:tc>
          <w:tcPr>
            <w:tcW w:w="3536" w:type="pct"/>
            <w:shd w:val="clear" w:color="auto" w:fill="auto"/>
            <w:vAlign w:val="center"/>
            <w:hideMark/>
          </w:tcPr>
          <w:p w14:paraId="0046D068" w14:textId="77777777" w:rsidR="00072A69" w:rsidRPr="00982D61" w:rsidRDefault="00072A69" w:rsidP="00AC1F17">
            <w:pPr>
              <w:spacing w:after="0" w:line="240" w:lineRule="auto"/>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Druge javne, skupne in osebne storitve</w:t>
            </w:r>
          </w:p>
        </w:tc>
        <w:tc>
          <w:tcPr>
            <w:tcW w:w="288" w:type="pct"/>
            <w:shd w:val="clear" w:color="auto" w:fill="auto"/>
            <w:vAlign w:val="center"/>
            <w:hideMark/>
          </w:tcPr>
          <w:p w14:paraId="37B5CF11"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103</w:t>
            </w:r>
          </w:p>
        </w:tc>
        <w:tc>
          <w:tcPr>
            <w:tcW w:w="369" w:type="pct"/>
            <w:shd w:val="clear" w:color="auto" w:fill="auto"/>
            <w:vAlign w:val="center"/>
            <w:hideMark/>
          </w:tcPr>
          <w:p w14:paraId="54D59C3D"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4.094.505</w:t>
            </w:r>
          </w:p>
        </w:tc>
        <w:tc>
          <w:tcPr>
            <w:tcW w:w="294" w:type="pct"/>
            <w:shd w:val="clear" w:color="auto" w:fill="auto"/>
            <w:noWrap/>
            <w:vAlign w:val="center"/>
            <w:hideMark/>
          </w:tcPr>
          <w:p w14:paraId="21D7A8F4"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c>
          <w:tcPr>
            <w:tcW w:w="272" w:type="pct"/>
            <w:shd w:val="clear" w:color="auto" w:fill="auto"/>
            <w:noWrap/>
            <w:vAlign w:val="center"/>
            <w:hideMark/>
          </w:tcPr>
          <w:p w14:paraId="6979557B" w14:textId="77777777" w:rsidR="00072A69" w:rsidRPr="00982D61" w:rsidRDefault="00072A69" w:rsidP="00AC1F17">
            <w:pPr>
              <w:spacing w:after="0" w:line="240" w:lineRule="auto"/>
              <w:jc w:val="right"/>
              <w:rPr>
                <w:rFonts w:ascii="Arial" w:eastAsia="Times New Roman" w:hAnsi="Arial" w:cs="Arial"/>
                <w:color w:val="000000"/>
                <w:sz w:val="18"/>
                <w:szCs w:val="18"/>
                <w:lang w:eastAsia="sl-SI"/>
              </w:rPr>
            </w:pPr>
            <w:r w:rsidRPr="00982D61">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r w:rsidRPr="00982D61">
              <w:rPr>
                <w:rFonts w:ascii="Arial" w:eastAsia="Times New Roman" w:hAnsi="Arial" w:cs="Arial"/>
                <w:color w:val="000000"/>
                <w:sz w:val="18"/>
                <w:szCs w:val="18"/>
                <w:lang w:eastAsia="sl-SI"/>
              </w:rPr>
              <w:t>%</w:t>
            </w:r>
          </w:p>
        </w:tc>
      </w:tr>
      <w:tr w:rsidR="00072A69" w:rsidRPr="00982D61" w14:paraId="03961C33" w14:textId="77777777" w:rsidTr="00AC1F17">
        <w:trPr>
          <w:trHeight w:val="300"/>
        </w:trPr>
        <w:tc>
          <w:tcPr>
            <w:tcW w:w="3777" w:type="pct"/>
            <w:gridSpan w:val="2"/>
            <w:shd w:val="clear" w:color="auto" w:fill="E7E6E6" w:themeFill="background2"/>
            <w:noWrap/>
            <w:vAlign w:val="center"/>
            <w:hideMark/>
          </w:tcPr>
          <w:p w14:paraId="6C072AC2" w14:textId="77777777" w:rsidR="00072A69" w:rsidRPr="00982D61" w:rsidRDefault="00072A69" w:rsidP="00AC1F17">
            <w:pPr>
              <w:spacing w:after="0" w:line="240" w:lineRule="auto"/>
              <w:rPr>
                <w:rFonts w:ascii="Arial" w:eastAsia="Times New Roman" w:hAnsi="Arial" w:cs="Arial"/>
                <w:b/>
                <w:bCs/>
                <w:color w:val="000000"/>
                <w:sz w:val="18"/>
                <w:szCs w:val="18"/>
                <w:lang w:eastAsia="sl-SI"/>
              </w:rPr>
            </w:pPr>
            <w:r w:rsidRPr="00982D61">
              <w:rPr>
                <w:rFonts w:ascii="Arial" w:eastAsia="Times New Roman" w:hAnsi="Arial" w:cs="Arial"/>
                <w:b/>
                <w:bCs/>
                <w:color w:val="000000"/>
                <w:sz w:val="18"/>
                <w:szCs w:val="18"/>
                <w:lang w:eastAsia="sl-SI"/>
              </w:rPr>
              <w:lastRenderedPageBreak/>
              <w:t>Skupaj</w:t>
            </w:r>
          </w:p>
        </w:tc>
        <w:tc>
          <w:tcPr>
            <w:tcW w:w="288" w:type="pct"/>
            <w:shd w:val="clear" w:color="auto" w:fill="E7E6E6" w:themeFill="background2"/>
            <w:noWrap/>
            <w:vAlign w:val="center"/>
            <w:hideMark/>
          </w:tcPr>
          <w:p w14:paraId="6A0051AE" w14:textId="77777777" w:rsidR="00072A69" w:rsidRPr="00982D61" w:rsidRDefault="00072A69" w:rsidP="00AC1F17">
            <w:pPr>
              <w:spacing w:after="0" w:line="240" w:lineRule="auto"/>
              <w:jc w:val="right"/>
              <w:rPr>
                <w:rFonts w:ascii="Arial" w:eastAsia="Times New Roman" w:hAnsi="Arial" w:cs="Arial"/>
                <w:b/>
                <w:bCs/>
                <w:color w:val="000000"/>
                <w:sz w:val="18"/>
                <w:szCs w:val="18"/>
                <w:lang w:eastAsia="sl-SI"/>
              </w:rPr>
            </w:pPr>
            <w:r w:rsidRPr="00982D61">
              <w:rPr>
                <w:rFonts w:ascii="Arial" w:eastAsia="Times New Roman" w:hAnsi="Arial" w:cs="Arial"/>
                <w:b/>
                <w:bCs/>
                <w:color w:val="000000"/>
                <w:sz w:val="18"/>
                <w:szCs w:val="18"/>
                <w:lang w:eastAsia="sl-SI"/>
              </w:rPr>
              <w:t>8.832</w:t>
            </w:r>
          </w:p>
        </w:tc>
        <w:tc>
          <w:tcPr>
            <w:tcW w:w="369" w:type="pct"/>
            <w:shd w:val="clear" w:color="auto" w:fill="E7E6E6" w:themeFill="background2"/>
            <w:noWrap/>
            <w:vAlign w:val="center"/>
            <w:hideMark/>
          </w:tcPr>
          <w:p w14:paraId="294A6E22" w14:textId="77777777" w:rsidR="00072A69" w:rsidRPr="00982D61" w:rsidRDefault="00072A69" w:rsidP="00AC1F17">
            <w:pPr>
              <w:spacing w:after="0" w:line="240" w:lineRule="auto"/>
              <w:jc w:val="right"/>
              <w:rPr>
                <w:rFonts w:ascii="Arial" w:eastAsia="Times New Roman" w:hAnsi="Arial" w:cs="Arial"/>
                <w:b/>
                <w:bCs/>
                <w:color w:val="000000"/>
                <w:sz w:val="18"/>
                <w:szCs w:val="18"/>
                <w:lang w:eastAsia="sl-SI"/>
              </w:rPr>
            </w:pPr>
            <w:r w:rsidRPr="00982D61">
              <w:rPr>
                <w:rFonts w:ascii="Arial" w:eastAsia="Times New Roman" w:hAnsi="Arial" w:cs="Arial"/>
                <w:b/>
                <w:bCs/>
                <w:color w:val="000000"/>
                <w:sz w:val="18"/>
                <w:szCs w:val="18"/>
                <w:lang w:eastAsia="sl-SI"/>
              </w:rPr>
              <w:t>973.474.233</w:t>
            </w:r>
          </w:p>
        </w:tc>
        <w:tc>
          <w:tcPr>
            <w:tcW w:w="294" w:type="pct"/>
            <w:shd w:val="clear" w:color="auto" w:fill="E7E6E6" w:themeFill="background2"/>
            <w:noWrap/>
            <w:vAlign w:val="center"/>
            <w:hideMark/>
          </w:tcPr>
          <w:p w14:paraId="276FD3BD" w14:textId="77777777" w:rsidR="00072A69" w:rsidRPr="00982D61" w:rsidRDefault="00072A69" w:rsidP="00AC1F17">
            <w:pPr>
              <w:spacing w:after="0" w:line="240" w:lineRule="auto"/>
              <w:jc w:val="right"/>
              <w:rPr>
                <w:rFonts w:ascii="Arial" w:eastAsia="Times New Roman" w:hAnsi="Arial" w:cs="Arial"/>
                <w:b/>
                <w:bCs/>
                <w:color w:val="000000"/>
                <w:sz w:val="18"/>
                <w:szCs w:val="18"/>
                <w:lang w:eastAsia="sl-SI"/>
              </w:rPr>
            </w:pPr>
            <w:r w:rsidRPr="00982D6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82D61">
              <w:rPr>
                <w:rFonts w:ascii="Arial" w:eastAsia="Times New Roman" w:hAnsi="Arial" w:cs="Arial"/>
                <w:b/>
                <w:bCs/>
                <w:color w:val="000000"/>
                <w:sz w:val="18"/>
                <w:szCs w:val="18"/>
                <w:lang w:eastAsia="sl-SI"/>
              </w:rPr>
              <w:t>%</w:t>
            </w:r>
          </w:p>
        </w:tc>
        <w:tc>
          <w:tcPr>
            <w:tcW w:w="272" w:type="pct"/>
            <w:shd w:val="clear" w:color="auto" w:fill="E7E6E6" w:themeFill="background2"/>
            <w:noWrap/>
            <w:vAlign w:val="center"/>
            <w:hideMark/>
          </w:tcPr>
          <w:p w14:paraId="081AB4C8" w14:textId="77777777" w:rsidR="00072A69" w:rsidRPr="00982D61" w:rsidRDefault="00072A69" w:rsidP="00AC1F17">
            <w:pPr>
              <w:spacing w:after="0" w:line="240" w:lineRule="auto"/>
              <w:jc w:val="right"/>
              <w:rPr>
                <w:rFonts w:ascii="Arial" w:eastAsia="Times New Roman" w:hAnsi="Arial" w:cs="Arial"/>
                <w:b/>
                <w:bCs/>
                <w:color w:val="000000"/>
                <w:sz w:val="18"/>
                <w:szCs w:val="18"/>
                <w:lang w:eastAsia="sl-SI"/>
              </w:rPr>
            </w:pPr>
            <w:r w:rsidRPr="00982D6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30C48534" w14:textId="77777777" w:rsidR="00072A69" w:rsidRPr="00EF2D0B" w:rsidRDefault="00072A69" w:rsidP="00072A69">
      <w:pPr>
        <w:spacing w:before="120" w:after="120" w:line="240" w:lineRule="auto"/>
        <w:jc w:val="both"/>
        <w:rPr>
          <w:rFonts w:ascii="Arial" w:hAnsi="Arial" w:cs="Arial"/>
          <w:sz w:val="20"/>
          <w:highlight w:val="yellow"/>
        </w:rPr>
      </w:pPr>
    </w:p>
    <w:p w14:paraId="7E36E9F6" w14:textId="0B99BE5D" w:rsidR="00072A69" w:rsidRPr="00636734" w:rsidRDefault="00072A69" w:rsidP="00072A69">
      <w:pPr>
        <w:spacing w:before="120" w:after="120" w:line="240" w:lineRule="auto"/>
        <w:jc w:val="both"/>
        <w:rPr>
          <w:rFonts w:ascii="Arial" w:hAnsi="Arial" w:cs="Arial"/>
          <w:sz w:val="20"/>
        </w:rPr>
      </w:pPr>
      <w:r w:rsidRPr="00636734">
        <w:rPr>
          <w:rFonts w:ascii="Arial" w:hAnsi="Arial" w:cs="Arial"/>
          <w:sz w:val="20"/>
        </w:rPr>
        <w:t>Preglednica 9</w:t>
      </w:r>
      <w:r w:rsidR="00D23EC0">
        <w:rPr>
          <w:rFonts w:ascii="Arial" w:hAnsi="Arial" w:cs="Arial"/>
          <w:sz w:val="20"/>
        </w:rPr>
        <w:t>0</w:t>
      </w:r>
      <w:r w:rsidRPr="00636734">
        <w:rPr>
          <w:rFonts w:ascii="Arial" w:hAnsi="Arial" w:cs="Arial"/>
          <w:sz w:val="20"/>
        </w:rPr>
        <w:t>: Javna naročila, objavljena na portalu javnih naročil in v Uradnem listu Evropske unije, glede na predmet naročanja po Enotnem besednjaku javnih naročil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9"/>
        <w:gridCol w:w="3402"/>
        <w:gridCol w:w="991"/>
        <w:gridCol w:w="1560"/>
        <w:gridCol w:w="1136"/>
        <w:gridCol w:w="984"/>
      </w:tblGrid>
      <w:tr w:rsidR="00072A69" w:rsidRPr="00557F27" w14:paraId="3A9040BA" w14:textId="77777777" w:rsidTr="00C320EE">
        <w:trPr>
          <w:trHeight w:val="300"/>
          <w:tblHeader/>
        </w:trPr>
        <w:tc>
          <w:tcPr>
            <w:tcW w:w="545" w:type="pct"/>
            <w:shd w:val="clear" w:color="000000" w:fill="EDEDED"/>
            <w:vAlign w:val="center"/>
            <w:hideMark/>
          </w:tcPr>
          <w:p w14:paraId="1BBA8CEA" w14:textId="77777777" w:rsidR="00072A69" w:rsidRPr="00557F27" w:rsidRDefault="00072A69" w:rsidP="00AC1F17">
            <w:pPr>
              <w:spacing w:after="0" w:line="240" w:lineRule="auto"/>
              <w:jc w:val="center"/>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CPV oddelek</w:t>
            </w:r>
          </w:p>
        </w:tc>
        <w:tc>
          <w:tcPr>
            <w:tcW w:w="1877" w:type="pct"/>
            <w:shd w:val="clear" w:color="000000" w:fill="EDEDED"/>
            <w:vAlign w:val="center"/>
            <w:hideMark/>
          </w:tcPr>
          <w:p w14:paraId="5EBC9AF0" w14:textId="77777777" w:rsidR="00072A69" w:rsidRPr="00557F27" w:rsidRDefault="00072A69" w:rsidP="00AC1F17">
            <w:pPr>
              <w:spacing w:after="0" w:line="240" w:lineRule="auto"/>
              <w:jc w:val="center"/>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Opis CV oddelka</w:t>
            </w:r>
          </w:p>
        </w:tc>
        <w:tc>
          <w:tcPr>
            <w:tcW w:w="547" w:type="pct"/>
            <w:shd w:val="clear" w:color="000000" w:fill="EDEDED"/>
            <w:vAlign w:val="center"/>
            <w:hideMark/>
          </w:tcPr>
          <w:p w14:paraId="0490D04B" w14:textId="77777777" w:rsidR="00072A69" w:rsidRPr="00557F27" w:rsidRDefault="00072A69" w:rsidP="00AC1F17">
            <w:pPr>
              <w:spacing w:after="0" w:line="240" w:lineRule="auto"/>
              <w:jc w:val="center"/>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Št. naročil</w:t>
            </w:r>
          </w:p>
        </w:tc>
        <w:tc>
          <w:tcPr>
            <w:tcW w:w="861" w:type="pct"/>
            <w:shd w:val="clear" w:color="000000" w:fill="EDEDED"/>
            <w:vAlign w:val="center"/>
            <w:hideMark/>
          </w:tcPr>
          <w:p w14:paraId="42937E53" w14:textId="77777777" w:rsidR="00072A69" w:rsidRPr="00557F27" w:rsidRDefault="00072A69" w:rsidP="00AC1F17">
            <w:pPr>
              <w:spacing w:after="0" w:line="240" w:lineRule="auto"/>
              <w:jc w:val="center"/>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Pogodbena vrednost</w:t>
            </w:r>
          </w:p>
        </w:tc>
        <w:tc>
          <w:tcPr>
            <w:tcW w:w="627" w:type="pct"/>
            <w:shd w:val="clear" w:color="000000" w:fill="EDEDED"/>
            <w:vAlign w:val="center"/>
            <w:hideMark/>
          </w:tcPr>
          <w:p w14:paraId="2F620F05" w14:textId="77777777" w:rsidR="00072A69" w:rsidRPr="00557F27" w:rsidRDefault="00072A69" w:rsidP="00AC1F17">
            <w:pPr>
              <w:spacing w:after="0" w:line="240" w:lineRule="auto"/>
              <w:jc w:val="center"/>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Delež v št. naročil</w:t>
            </w:r>
          </w:p>
        </w:tc>
        <w:tc>
          <w:tcPr>
            <w:tcW w:w="543" w:type="pct"/>
            <w:shd w:val="clear" w:color="000000" w:fill="EDEDED"/>
            <w:vAlign w:val="center"/>
            <w:hideMark/>
          </w:tcPr>
          <w:p w14:paraId="5FE6F6A0" w14:textId="77777777" w:rsidR="00072A69" w:rsidRPr="00557F27" w:rsidRDefault="00072A69" w:rsidP="00AC1F17">
            <w:pPr>
              <w:spacing w:after="0" w:line="240" w:lineRule="auto"/>
              <w:jc w:val="center"/>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Delež v vrednosti</w:t>
            </w:r>
          </w:p>
        </w:tc>
      </w:tr>
      <w:tr w:rsidR="00072A69" w:rsidRPr="00557F27" w14:paraId="74C27163" w14:textId="77777777" w:rsidTr="00AC1F17">
        <w:trPr>
          <w:trHeight w:val="300"/>
        </w:trPr>
        <w:tc>
          <w:tcPr>
            <w:tcW w:w="545" w:type="pct"/>
            <w:shd w:val="clear" w:color="auto" w:fill="auto"/>
            <w:vAlign w:val="center"/>
            <w:hideMark/>
          </w:tcPr>
          <w:p w14:paraId="4B0FE8E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w:t>
            </w:r>
          </w:p>
        </w:tc>
        <w:tc>
          <w:tcPr>
            <w:tcW w:w="1877" w:type="pct"/>
            <w:shd w:val="clear" w:color="auto" w:fill="auto"/>
            <w:vAlign w:val="center"/>
            <w:hideMark/>
          </w:tcPr>
          <w:p w14:paraId="3C679F45"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Kmetijski, ribiški, gozdarski in z njimi povezani proizvodi</w:t>
            </w:r>
          </w:p>
        </w:tc>
        <w:tc>
          <w:tcPr>
            <w:tcW w:w="547" w:type="pct"/>
            <w:shd w:val="clear" w:color="auto" w:fill="auto"/>
            <w:vAlign w:val="center"/>
            <w:hideMark/>
          </w:tcPr>
          <w:p w14:paraId="6E55E55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47</w:t>
            </w:r>
          </w:p>
        </w:tc>
        <w:tc>
          <w:tcPr>
            <w:tcW w:w="861" w:type="pct"/>
            <w:shd w:val="clear" w:color="auto" w:fill="auto"/>
            <w:vAlign w:val="center"/>
            <w:hideMark/>
          </w:tcPr>
          <w:p w14:paraId="704D360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4.551.669</w:t>
            </w:r>
          </w:p>
        </w:tc>
        <w:tc>
          <w:tcPr>
            <w:tcW w:w="627" w:type="pct"/>
            <w:shd w:val="clear" w:color="auto" w:fill="auto"/>
            <w:noWrap/>
            <w:vAlign w:val="center"/>
            <w:hideMark/>
          </w:tcPr>
          <w:p w14:paraId="5D1F173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0,59</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CCB77E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r>
      <w:tr w:rsidR="00072A69" w:rsidRPr="00557F27" w14:paraId="7BF394D9" w14:textId="77777777" w:rsidTr="00AC1F17">
        <w:trPr>
          <w:trHeight w:val="300"/>
        </w:trPr>
        <w:tc>
          <w:tcPr>
            <w:tcW w:w="545" w:type="pct"/>
            <w:shd w:val="clear" w:color="auto" w:fill="auto"/>
            <w:vAlign w:val="center"/>
            <w:hideMark/>
          </w:tcPr>
          <w:p w14:paraId="6284D8D3"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w:t>
            </w:r>
          </w:p>
        </w:tc>
        <w:tc>
          <w:tcPr>
            <w:tcW w:w="1877" w:type="pct"/>
            <w:shd w:val="clear" w:color="auto" w:fill="auto"/>
            <w:vAlign w:val="center"/>
            <w:hideMark/>
          </w:tcPr>
          <w:p w14:paraId="1D7F0C3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Naftni derivati, goriva, električna energija in drugi viri energije</w:t>
            </w:r>
          </w:p>
        </w:tc>
        <w:tc>
          <w:tcPr>
            <w:tcW w:w="547" w:type="pct"/>
            <w:shd w:val="clear" w:color="auto" w:fill="auto"/>
            <w:vAlign w:val="center"/>
            <w:hideMark/>
          </w:tcPr>
          <w:p w14:paraId="2E04739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67</w:t>
            </w:r>
          </w:p>
        </w:tc>
        <w:tc>
          <w:tcPr>
            <w:tcW w:w="861" w:type="pct"/>
            <w:shd w:val="clear" w:color="auto" w:fill="auto"/>
            <w:vAlign w:val="center"/>
            <w:hideMark/>
          </w:tcPr>
          <w:p w14:paraId="7BD3715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93.857.083</w:t>
            </w:r>
          </w:p>
        </w:tc>
        <w:tc>
          <w:tcPr>
            <w:tcW w:w="627" w:type="pct"/>
            <w:shd w:val="clear" w:color="auto" w:fill="auto"/>
            <w:noWrap/>
            <w:vAlign w:val="center"/>
            <w:hideMark/>
          </w:tcPr>
          <w:p w14:paraId="79B0491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0,83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AF09E3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4,83</w:t>
            </w:r>
            <w:r>
              <w:rPr>
                <w:rFonts w:ascii="Arial" w:eastAsia="Times New Roman" w:hAnsi="Arial" w:cs="Arial"/>
                <w:color w:val="000000"/>
                <w:sz w:val="18"/>
                <w:szCs w:val="18"/>
                <w:lang w:eastAsia="sl-SI"/>
              </w:rPr>
              <w:t xml:space="preserve"> %</w:t>
            </w:r>
          </w:p>
        </w:tc>
      </w:tr>
      <w:tr w:rsidR="00072A69" w:rsidRPr="00557F27" w14:paraId="102ACE55" w14:textId="77777777" w:rsidTr="00AC1F17">
        <w:trPr>
          <w:trHeight w:val="300"/>
        </w:trPr>
        <w:tc>
          <w:tcPr>
            <w:tcW w:w="545" w:type="pct"/>
            <w:shd w:val="clear" w:color="auto" w:fill="auto"/>
            <w:vAlign w:val="center"/>
            <w:hideMark/>
          </w:tcPr>
          <w:p w14:paraId="4AA2516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14</w:t>
            </w:r>
          </w:p>
        </w:tc>
        <w:tc>
          <w:tcPr>
            <w:tcW w:w="1877" w:type="pct"/>
            <w:shd w:val="clear" w:color="auto" w:fill="auto"/>
            <w:vAlign w:val="center"/>
            <w:hideMark/>
          </w:tcPr>
          <w:p w14:paraId="501AA18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Rudarstvo, navadne kovine in z njimi povezani proizvodi</w:t>
            </w:r>
          </w:p>
        </w:tc>
        <w:tc>
          <w:tcPr>
            <w:tcW w:w="547" w:type="pct"/>
            <w:shd w:val="clear" w:color="auto" w:fill="auto"/>
            <w:vAlign w:val="center"/>
            <w:hideMark/>
          </w:tcPr>
          <w:p w14:paraId="28B3BD9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w:t>
            </w:r>
          </w:p>
        </w:tc>
        <w:tc>
          <w:tcPr>
            <w:tcW w:w="861" w:type="pct"/>
            <w:shd w:val="clear" w:color="auto" w:fill="auto"/>
            <w:vAlign w:val="center"/>
            <w:hideMark/>
          </w:tcPr>
          <w:p w14:paraId="127C316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8.624.892</w:t>
            </w:r>
          </w:p>
        </w:tc>
        <w:tc>
          <w:tcPr>
            <w:tcW w:w="627" w:type="pct"/>
            <w:shd w:val="clear" w:color="auto" w:fill="auto"/>
            <w:noWrap/>
            <w:vAlign w:val="center"/>
            <w:hideMark/>
          </w:tcPr>
          <w:p w14:paraId="417F1793"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3B84B3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r>
      <w:tr w:rsidR="00072A69" w:rsidRPr="00557F27" w14:paraId="73DE7EFB" w14:textId="77777777" w:rsidTr="00AC1F17">
        <w:trPr>
          <w:trHeight w:val="300"/>
        </w:trPr>
        <w:tc>
          <w:tcPr>
            <w:tcW w:w="545" w:type="pct"/>
            <w:shd w:val="clear" w:color="auto" w:fill="auto"/>
            <w:vAlign w:val="center"/>
            <w:hideMark/>
          </w:tcPr>
          <w:p w14:paraId="553A59AF"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15</w:t>
            </w:r>
          </w:p>
        </w:tc>
        <w:tc>
          <w:tcPr>
            <w:tcW w:w="1877" w:type="pct"/>
            <w:shd w:val="clear" w:color="auto" w:fill="auto"/>
            <w:vAlign w:val="center"/>
            <w:hideMark/>
          </w:tcPr>
          <w:p w14:paraId="3A8F815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Živila, pijače, tobačni izdelki in z njimi povezani izdelki</w:t>
            </w:r>
          </w:p>
        </w:tc>
        <w:tc>
          <w:tcPr>
            <w:tcW w:w="547" w:type="pct"/>
            <w:shd w:val="clear" w:color="auto" w:fill="auto"/>
            <w:vAlign w:val="center"/>
            <w:hideMark/>
          </w:tcPr>
          <w:p w14:paraId="2E62B11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3.588</w:t>
            </w:r>
          </w:p>
        </w:tc>
        <w:tc>
          <w:tcPr>
            <w:tcW w:w="861" w:type="pct"/>
            <w:shd w:val="clear" w:color="auto" w:fill="auto"/>
            <w:vAlign w:val="center"/>
            <w:hideMark/>
          </w:tcPr>
          <w:p w14:paraId="1B3187B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83.273.034</w:t>
            </w:r>
          </w:p>
        </w:tc>
        <w:tc>
          <w:tcPr>
            <w:tcW w:w="627" w:type="pct"/>
            <w:shd w:val="clear" w:color="auto" w:fill="auto"/>
            <w:noWrap/>
            <w:vAlign w:val="center"/>
            <w:hideMark/>
          </w:tcPr>
          <w:p w14:paraId="562F693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44,67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3E3591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4,28</w:t>
            </w:r>
            <w:r>
              <w:rPr>
                <w:rFonts w:ascii="Arial" w:eastAsia="Times New Roman" w:hAnsi="Arial" w:cs="Arial"/>
                <w:color w:val="000000"/>
                <w:sz w:val="18"/>
                <w:szCs w:val="18"/>
                <w:lang w:eastAsia="sl-SI"/>
              </w:rPr>
              <w:t xml:space="preserve"> %</w:t>
            </w:r>
          </w:p>
        </w:tc>
      </w:tr>
      <w:tr w:rsidR="00072A69" w:rsidRPr="00557F27" w14:paraId="039743F5" w14:textId="77777777" w:rsidTr="00AC1F17">
        <w:trPr>
          <w:trHeight w:val="300"/>
        </w:trPr>
        <w:tc>
          <w:tcPr>
            <w:tcW w:w="545" w:type="pct"/>
            <w:shd w:val="clear" w:color="auto" w:fill="auto"/>
            <w:vAlign w:val="center"/>
            <w:hideMark/>
          </w:tcPr>
          <w:p w14:paraId="39BA4E1B"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16</w:t>
            </w:r>
          </w:p>
        </w:tc>
        <w:tc>
          <w:tcPr>
            <w:tcW w:w="1877" w:type="pct"/>
            <w:shd w:val="clear" w:color="auto" w:fill="auto"/>
            <w:vAlign w:val="center"/>
            <w:hideMark/>
          </w:tcPr>
          <w:p w14:paraId="3B534371"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Kmetijski stroji</w:t>
            </w:r>
          </w:p>
        </w:tc>
        <w:tc>
          <w:tcPr>
            <w:tcW w:w="547" w:type="pct"/>
            <w:shd w:val="clear" w:color="auto" w:fill="auto"/>
            <w:vAlign w:val="center"/>
            <w:hideMark/>
          </w:tcPr>
          <w:p w14:paraId="044F138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w:t>
            </w:r>
          </w:p>
        </w:tc>
        <w:tc>
          <w:tcPr>
            <w:tcW w:w="861" w:type="pct"/>
            <w:shd w:val="clear" w:color="auto" w:fill="auto"/>
            <w:vAlign w:val="center"/>
            <w:hideMark/>
          </w:tcPr>
          <w:p w14:paraId="68ACF4D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5.530.892</w:t>
            </w:r>
          </w:p>
        </w:tc>
        <w:tc>
          <w:tcPr>
            <w:tcW w:w="627" w:type="pct"/>
            <w:shd w:val="clear" w:color="auto" w:fill="auto"/>
            <w:noWrap/>
            <w:vAlign w:val="center"/>
            <w:hideMark/>
          </w:tcPr>
          <w:p w14:paraId="4E39AAE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155F499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r w:rsidR="00072A69" w:rsidRPr="00557F27" w14:paraId="360371F5" w14:textId="77777777" w:rsidTr="00AC1F17">
        <w:trPr>
          <w:trHeight w:val="300"/>
        </w:trPr>
        <w:tc>
          <w:tcPr>
            <w:tcW w:w="545" w:type="pct"/>
            <w:shd w:val="clear" w:color="auto" w:fill="auto"/>
            <w:vAlign w:val="center"/>
            <w:hideMark/>
          </w:tcPr>
          <w:p w14:paraId="5D16CB85"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w:t>
            </w:r>
          </w:p>
        </w:tc>
        <w:tc>
          <w:tcPr>
            <w:tcW w:w="1877" w:type="pct"/>
            <w:shd w:val="clear" w:color="auto" w:fill="auto"/>
            <w:vAlign w:val="center"/>
            <w:hideMark/>
          </w:tcPr>
          <w:p w14:paraId="4E8A8C0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Oblačila, obutev, prtljaga in pribor</w:t>
            </w:r>
          </w:p>
        </w:tc>
        <w:tc>
          <w:tcPr>
            <w:tcW w:w="547" w:type="pct"/>
            <w:shd w:val="clear" w:color="auto" w:fill="auto"/>
            <w:vAlign w:val="center"/>
            <w:hideMark/>
          </w:tcPr>
          <w:p w14:paraId="342AB2C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57</w:t>
            </w:r>
          </w:p>
        </w:tc>
        <w:tc>
          <w:tcPr>
            <w:tcW w:w="861" w:type="pct"/>
            <w:shd w:val="clear" w:color="auto" w:fill="auto"/>
            <w:vAlign w:val="center"/>
            <w:hideMark/>
          </w:tcPr>
          <w:p w14:paraId="651A162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11.714.182</w:t>
            </w:r>
          </w:p>
        </w:tc>
        <w:tc>
          <w:tcPr>
            <w:tcW w:w="627" w:type="pct"/>
            <w:shd w:val="clear" w:color="auto" w:fill="auto"/>
            <w:noWrap/>
            <w:vAlign w:val="center"/>
            <w:hideMark/>
          </w:tcPr>
          <w:p w14:paraId="34D17C9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3A46D5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0,60</w:t>
            </w:r>
            <w:r>
              <w:rPr>
                <w:rFonts w:ascii="Arial" w:eastAsia="Times New Roman" w:hAnsi="Arial" w:cs="Arial"/>
                <w:color w:val="000000"/>
                <w:sz w:val="18"/>
                <w:szCs w:val="18"/>
                <w:lang w:eastAsia="sl-SI"/>
              </w:rPr>
              <w:t xml:space="preserve"> %</w:t>
            </w:r>
          </w:p>
        </w:tc>
      </w:tr>
      <w:tr w:rsidR="00072A69" w:rsidRPr="00557F27" w14:paraId="4A13BF44" w14:textId="77777777" w:rsidTr="00AC1F17">
        <w:trPr>
          <w:trHeight w:val="300"/>
        </w:trPr>
        <w:tc>
          <w:tcPr>
            <w:tcW w:w="545" w:type="pct"/>
            <w:shd w:val="clear" w:color="auto" w:fill="auto"/>
            <w:vAlign w:val="center"/>
            <w:hideMark/>
          </w:tcPr>
          <w:p w14:paraId="3D378531"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19</w:t>
            </w:r>
          </w:p>
        </w:tc>
        <w:tc>
          <w:tcPr>
            <w:tcW w:w="1877" w:type="pct"/>
            <w:shd w:val="clear" w:color="auto" w:fill="auto"/>
            <w:vAlign w:val="center"/>
            <w:hideMark/>
          </w:tcPr>
          <w:p w14:paraId="15FD83B1"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Usnjeni in tekstilni materiali, plastični in gumijasti materiali</w:t>
            </w:r>
          </w:p>
        </w:tc>
        <w:tc>
          <w:tcPr>
            <w:tcW w:w="547" w:type="pct"/>
            <w:shd w:val="clear" w:color="auto" w:fill="auto"/>
            <w:vAlign w:val="center"/>
            <w:hideMark/>
          </w:tcPr>
          <w:p w14:paraId="39B1DD7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w:t>
            </w:r>
          </w:p>
        </w:tc>
        <w:tc>
          <w:tcPr>
            <w:tcW w:w="861" w:type="pct"/>
            <w:shd w:val="clear" w:color="auto" w:fill="auto"/>
            <w:vAlign w:val="center"/>
            <w:hideMark/>
          </w:tcPr>
          <w:p w14:paraId="7788FE1B"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175.724</w:t>
            </w:r>
          </w:p>
        </w:tc>
        <w:tc>
          <w:tcPr>
            <w:tcW w:w="627" w:type="pct"/>
            <w:shd w:val="clear" w:color="auto" w:fill="auto"/>
            <w:noWrap/>
            <w:vAlign w:val="center"/>
            <w:hideMark/>
          </w:tcPr>
          <w:p w14:paraId="5D894BA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727B9E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57F27" w14:paraId="62683E5F" w14:textId="77777777" w:rsidTr="00AC1F17">
        <w:trPr>
          <w:trHeight w:val="300"/>
        </w:trPr>
        <w:tc>
          <w:tcPr>
            <w:tcW w:w="545" w:type="pct"/>
            <w:shd w:val="clear" w:color="auto" w:fill="auto"/>
            <w:vAlign w:val="center"/>
            <w:hideMark/>
          </w:tcPr>
          <w:p w14:paraId="729D605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22</w:t>
            </w:r>
          </w:p>
        </w:tc>
        <w:tc>
          <w:tcPr>
            <w:tcW w:w="1877" w:type="pct"/>
            <w:shd w:val="clear" w:color="auto" w:fill="auto"/>
            <w:vAlign w:val="center"/>
            <w:hideMark/>
          </w:tcPr>
          <w:p w14:paraId="1A8655EF"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Tiskano gradivo in z njim povezani izdelki</w:t>
            </w:r>
          </w:p>
        </w:tc>
        <w:tc>
          <w:tcPr>
            <w:tcW w:w="547" w:type="pct"/>
            <w:shd w:val="clear" w:color="auto" w:fill="auto"/>
            <w:vAlign w:val="center"/>
            <w:hideMark/>
          </w:tcPr>
          <w:p w14:paraId="2E9B616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10</w:t>
            </w:r>
          </w:p>
        </w:tc>
        <w:tc>
          <w:tcPr>
            <w:tcW w:w="861" w:type="pct"/>
            <w:shd w:val="clear" w:color="auto" w:fill="auto"/>
            <w:vAlign w:val="center"/>
            <w:hideMark/>
          </w:tcPr>
          <w:p w14:paraId="19F4935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3.665.538</w:t>
            </w:r>
          </w:p>
        </w:tc>
        <w:tc>
          <w:tcPr>
            <w:tcW w:w="627" w:type="pct"/>
            <w:shd w:val="clear" w:color="auto" w:fill="auto"/>
            <w:noWrap/>
            <w:vAlign w:val="center"/>
            <w:hideMark/>
          </w:tcPr>
          <w:p w14:paraId="56C66D0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1551139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072A69" w:rsidRPr="00557F27" w14:paraId="4EAE99B9" w14:textId="77777777" w:rsidTr="00AC1F17">
        <w:trPr>
          <w:trHeight w:val="300"/>
        </w:trPr>
        <w:tc>
          <w:tcPr>
            <w:tcW w:w="545" w:type="pct"/>
            <w:shd w:val="clear" w:color="auto" w:fill="auto"/>
            <w:vAlign w:val="center"/>
            <w:hideMark/>
          </w:tcPr>
          <w:p w14:paraId="542DB227"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24</w:t>
            </w:r>
          </w:p>
        </w:tc>
        <w:tc>
          <w:tcPr>
            <w:tcW w:w="1877" w:type="pct"/>
            <w:shd w:val="clear" w:color="auto" w:fill="auto"/>
            <w:vAlign w:val="center"/>
            <w:hideMark/>
          </w:tcPr>
          <w:p w14:paraId="781874BB"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Kemični proizvodi</w:t>
            </w:r>
          </w:p>
        </w:tc>
        <w:tc>
          <w:tcPr>
            <w:tcW w:w="547" w:type="pct"/>
            <w:shd w:val="clear" w:color="auto" w:fill="auto"/>
            <w:vAlign w:val="center"/>
            <w:hideMark/>
          </w:tcPr>
          <w:p w14:paraId="5D431FB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29</w:t>
            </w:r>
          </w:p>
        </w:tc>
        <w:tc>
          <w:tcPr>
            <w:tcW w:w="861" w:type="pct"/>
            <w:shd w:val="clear" w:color="auto" w:fill="auto"/>
            <w:vAlign w:val="center"/>
            <w:hideMark/>
          </w:tcPr>
          <w:p w14:paraId="7324C45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6.060.987</w:t>
            </w:r>
          </w:p>
        </w:tc>
        <w:tc>
          <w:tcPr>
            <w:tcW w:w="627" w:type="pct"/>
            <w:shd w:val="clear" w:color="auto" w:fill="auto"/>
            <w:noWrap/>
            <w:vAlign w:val="center"/>
            <w:hideMark/>
          </w:tcPr>
          <w:p w14:paraId="648DFA8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5D1DA4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072A69" w:rsidRPr="00557F27" w14:paraId="467317C6" w14:textId="77777777" w:rsidTr="00AC1F17">
        <w:trPr>
          <w:trHeight w:val="300"/>
        </w:trPr>
        <w:tc>
          <w:tcPr>
            <w:tcW w:w="545" w:type="pct"/>
            <w:shd w:val="clear" w:color="auto" w:fill="auto"/>
            <w:vAlign w:val="center"/>
            <w:hideMark/>
          </w:tcPr>
          <w:p w14:paraId="1B4C2B32"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30</w:t>
            </w:r>
          </w:p>
        </w:tc>
        <w:tc>
          <w:tcPr>
            <w:tcW w:w="1877" w:type="pct"/>
            <w:shd w:val="clear" w:color="auto" w:fill="auto"/>
            <w:vAlign w:val="center"/>
            <w:hideMark/>
          </w:tcPr>
          <w:p w14:paraId="5421E099"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Pisarniški in računski stroji, oprema in potrebščine, razen pohištva in programskih paketov</w:t>
            </w:r>
          </w:p>
        </w:tc>
        <w:tc>
          <w:tcPr>
            <w:tcW w:w="547" w:type="pct"/>
            <w:shd w:val="clear" w:color="auto" w:fill="auto"/>
            <w:vAlign w:val="center"/>
            <w:hideMark/>
          </w:tcPr>
          <w:p w14:paraId="32B239B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200</w:t>
            </w:r>
          </w:p>
        </w:tc>
        <w:tc>
          <w:tcPr>
            <w:tcW w:w="861" w:type="pct"/>
            <w:shd w:val="clear" w:color="auto" w:fill="auto"/>
            <w:vAlign w:val="center"/>
            <w:hideMark/>
          </w:tcPr>
          <w:p w14:paraId="7A5C8C5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44.632.611</w:t>
            </w:r>
          </w:p>
        </w:tc>
        <w:tc>
          <w:tcPr>
            <w:tcW w:w="627" w:type="pct"/>
            <w:shd w:val="clear" w:color="auto" w:fill="auto"/>
            <w:noWrap/>
            <w:vAlign w:val="center"/>
            <w:hideMark/>
          </w:tcPr>
          <w:p w14:paraId="4B8129F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2,49</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534D243"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2,29</w:t>
            </w:r>
            <w:r>
              <w:rPr>
                <w:rFonts w:ascii="Arial" w:eastAsia="Times New Roman" w:hAnsi="Arial" w:cs="Arial"/>
                <w:color w:val="000000"/>
                <w:sz w:val="18"/>
                <w:szCs w:val="18"/>
                <w:lang w:eastAsia="sl-SI"/>
              </w:rPr>
              <w:t xml:space="preserve"> %</w:t>
            </w:r>
          </w:p>
        </w:tc>
      </w:tr>
      <w:tr w:rsidR="00072A69" w:rsidRPr="00557F27" w14:paraId="7657110A" w14:textId="77777777" w:rsidTr="00AC1F17">
        <w:trPr>
          <w:trHeight w:val="300"/>
        </w:trPr>
        <w:tc>
          <w:tcPr>
            <w:tcW w:w="545" w:type="pct"/>
            <w:shd w:val="clear" w:color="auto" w:fill="auto"/>
            <w:vAlign w:val="center"/>
            <w:hideMark/>
          </w:tcPr>
          <w:p w14:paraId="4863F30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31</w:t>
            </w:r>
          </w:p>
        </w:tc>
        <w:tc>
          <w:tcPr>
            <w:tcW w:w="1877" w:type="pct"/>
            <w:shd w:val="clear" w:color="auto" w:fill="auto"/>
            <w:vAlign w:val="center"/>
            <w:hideMark/>
          </w:tcPr>
          <w:p w14:paraId="3D7017AF"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Električni stroji, aparati, oprema in potrošno blago; razsvetljava</w:t>
            </w:r>
          </w:p>
        </w:tc>
        <w:tc>
          <w:tcPr>
            <w:tcW w:w="547" w:type="pct"/>
            <w:shd w:val="clear" w:color="auto" w:fill="auto"/>
            <w:vAlign w:val="center"/>
            <w:hideMark/>
          </w:tcPr>
          <w:p w14:paraId="104965E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62</w:t>
            </w:r>
          </w:p>
        </w:tc>
        <w:tc>
          <w:tcPr>
            <w:tcW w:w="861" w:type="pct"/>
            <w:shd w:val="clear" w:color="auto" w:fill="auto"/>
            <w:vAlign w:val="center"/>
            <w:hideMark/>
          </w:tcPr>
          <w:p w14:paraId="6AD5F8E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54.647.906</w:t>
            </w:r>
          </w:p>
        </w:tc>
        <w:tc>
          <w:tcPr>
            <w:tcW w:w="627" w:type="pct"/>
            <w:shd w:val="clear" w:color="auto" w:fill="auto"/>
            <w:noWrap/>
            <w:vAlign w:val="center"/>
            <w:hideMark/>
          </w:tcPr>
          <w:p w14:paraId="2DBB589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0,77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7417CA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2,81</w:t>
            </w:r>
            <w:r>
              <w:rPr>
                <w:rFonts w:ascii="Arial" w:eastAsia="Times New Roman" w:hAnsi="Arial" w:cs="Arial"/>
                <w:color w:val="000000"/>
                <w:sz w:val="18"/>
                <w:szCs w:val="18"/>
                <w:lang w:eastAsia="sl-SI"/>
              </w:rPr>
              <w:t xml:space="preserve"> %</w:t>
            </w:r>
          </w:p>
        </w:tc>
      </w:tr>
      <w:tr w:rsidR="00072A69" w:rsidRPr="00557F27" w14:paraId="3E2F7935" w14:textId="77777777" w:rsidTr="00AC1F17">
        <w:trPr>
          <w:trHeight w:val="300"/>
        </w:trPr>
        <w:tc>
          <w:tcPr>
            <w:tcW w:w="545" w:type="pct"/>
            <w:shd w:val="clear" w:color="auto" w:fill="auto"/>
            <w:vAlign w:val="center"/>
            <w:hideMark/>
          </w:tcPr>
          <w:p w14:paraId="0535A3B3"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32</w:t>
            </w:r>
          </w:p>
        </w:tc>
        <w:tc>
          <w:tcPr>
            <w:tcW w:w="1877" w:type="pct"/>
            <w:shd w:val="clear" w:color="auto" w:fill="auto"/>
            <w:vAlign w:val="center"/>
            <w:hideMark/>
          </w:tcPr>
          <w:p w14:paraId="75D5AF44"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Radijski in televizijski aparati, komunikacijska, telekomunikacijska in z njimi povezana oprema</w:t>
            </w:r>
          </w:p>
        </w:tc>
        <w:tc>
          <w:tcPr>
            <w:tcW w:w="547" w:type="pct"/>
            <w:shd w:val="clear" w:color="auto" w:fill="auto"/>
            <w:vAlign w:val="center"/>
            <w:hideMark/>
          </w:tcPr>
          <w:p w14:paraId="21B1A81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44</w:t>
            </w:r>
          </w:p>
        </w:tc>
        <w:tc>
          <w:tcPr>
            <w:tcW w:w="861" w:type="pct"/>
            <w:shd w:val="clear" w:color="auto" w:fill="auto"/>
            <w:vAlign w:val="center"/>
            <w:hideMark/>
          </w:tcPr>
          <w:p w14:paraId="378AFCE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32.332.954</w:t>
            </w:r>
          </w:p>
        </w:tc>
        <w:tc>
          <w:tcPr>
            <w:tcW w:w="627" w:type="pct"/>
            <w:shd w:val="clear" w:color="auto" w:fill="auto"/>
            <w:noWrap/>
            <w:vAlign w:val="center"/>
            <w:hideMark/>
          </w:tcPr>
          <w:p w14:paraId="6A16309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0,55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05313E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1,66</w:t>
            </w:r>
            <w:r>
              <w:rPr>
                <w:rFonts w:ascii="Arial" w:eastAsia="Times New Roman" w:hAnsi="Arial" w:cs="Arial"/>
                <w:color w:val="000000"/>
                <w:sz w:val="18"/>
                <w:szCs w:val="18"/>
                <w:lang w:eastAsia="sl-SI"/>
              </w:rPr>
              <w:t xml:space="preserve"> %</w:t>
            </w:r>
          </w:p>
        </w:tc>
      </w:tr>
      <w:tr w:rsidR="00072A69" w:rsidRPr="00557F27" w14:paraId="05AE4EA5" w14:textId="77777777" w:rsidTr="00AC1F17">
        <w:trPr>
          <w:trHeight w:val="300"/>
        </w:trPr>
        <w:tc>
          <w:tcPr>
            <w:tcW w:w="545" w:type="pct"/>
            <w:shd w:val="clear" w:color="auto" w:fill="auto"/>
            <w:vAlign w:val="center"/>
            <w:hideMark/>
          </w:tcPr>
          <w:p w14:paraId="3E49BC7F"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33</w:t>
            </w:r>
          </w:p>
        </w:tc>
        <w:tc>
          <w:tcPr>
            <w:tcW w:w="1877" w:type="pct"/>
            <w:shd w:val="clear" w:color="auto" w:fill="auto"/>
            <w:vAlign w:val="center"/>
            <w:hideMark/>
          </w:tcPr>
          <w:p w14:paraId="2DD1309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Medicinska oprema, farmacevtski izdelki in izdelki za osebno nego</w:t>
            </w:r>
          </w:p>
        </w:tc>
        <w:tc>
          <w:tcPr>
            <w:tcW w:w="547" w:type="pct"/>
            <w:shd w:val="clear" w:color="auto" w:fill="auto"/>
            <w:vAlign w:val="center"/>
            <w:hideMark/>
          </w:tcPr>
          <w:p w14:paraId="4D423CF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1.723</w:t>
            </w:r>
          </w:p>
        </w:tc>
        <w:tc>
          <w:tcPr>
            <w:tcW w:w="861" w:type="pct"/>
            <w:shd w:val="clear" w:color="auto" w:fill="auto"/>
            <w:vAlign w:val="center"/>
            <w:hideMark/>
          </w:tcPr>
          <w:p w14:paraId="0129B25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220.737.801</w:t>
            </w:r>
          </w:p>
        </w:tc>
        <w:tc>
          <w:tcPr>
            <w:tcW w:w="627" w:type="pct"/>
            <w:shd w:val="clear" w:color="auto" w:fill="auto"/>
            <w:noWrap/>
            <w:vAlign w:val="center"/>
            <w:hideMark/>
          </w:tcPr>
          <w:p w14:paraId="37AB689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21,45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5D7DFB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11,35</w:t>
            </w:r>
            <w:r>
              <w:rPr>
                <w:rFonts w:ascii="Arial" w:eastAsia="Times New Roman" w:hAnsi="Arial" w:cs="Arial"/>
                <w:color w:val="000000"/>
                <w:sz w:val="18"/>
                <w:szCs w:val="18"/>
                <w:lang w:eastAsia="sl-SI"/>
              </w:rPr>
              <w:t xml:space="preserve"> %</w:t>
            </w:r>
          </w:p>
        </w:tc>
      </w:tr>
      <w:tr w:rsidR="00072A69" w:rsidRPr="00557F27" w14:paraId="363574AC" w14:textId="77777777" w:rsidTr="00AC1F17">
        <w:trPr>
          <w:trHeight w:val="300"/>
        </w:trPr>
        <w:tc>
          <w:tcPr>
            <w:tcW w:w="545" w:type="pct"/>
            <w:shd w:val="clear" w:color="auto" w:fill="auto"/>
            <w:vAlign w:val="center"/>
            <w:hideMark/>
          </w:tcPr>
          <w:p w14:paraId="0B0BB74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34</w:t>
            </w:r>
          </w:p>
        </w:tc>
        <w:tc>
          <w:tcPr>
            <w:tcW w:w="1877" w:type="pct"/>
            <w:shd w:val="clear" w:color="auto" w:fill="auto"/>
            <w:vAlign w:val="center"/>
            <w:hideMark/>
          </w:tcPr>
          <w:p w14:paraId="5B83067E"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Prevozna sredstva in dodatni proizvodi za promet</w:t>
            </w:r>
          </w:p>
        </w:tc>
        <w:tc>
          <w:tcPr>
            <w:tcW w:w="547" w:type="pct"/>
            <w:shd w:val="clear" w:color="auto" w:fill="auto"/>
            <w:vAlign w:val="center"/>
            <w:hideMark/>
          </w:tcPr>
          <w:p w14:paraId="4C9CF89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349</w:t>
            </w:r>
          </w:p>
        </w:tc>
        <w:tc>
          <w:tcPr>
            <w:tcW w:w="861" w:type="pct"/>
            <w:shd w:val="clear" w:color="auto" w:fill="auto"/>
            <w:vAlign w:val="center"/>
            <w:hideMark/>
          </w:tcPr>
          <w:p w14:paraId="3CF9E3D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312.486.405</w:t>
            </w:r>
          </w:p>
        </w:tc>
        <w:tc>
          <w:tcPr>
            <w:tcW w:w="627" w:type="pct"/>
            <w:shd w:val="clear" w:color="auto" w:fill="auto"/>
            <w:noWrap/>
            <w:vAlign w:val="center"/>
            <w:hideMark/>
          </w:tcPr>
          <w:p w14:paraId="59A69C4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4,34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7C61C3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16,07</w:t>
            </w:r>
            <w:r>
              <w:rPr>
                <w:rFonts w:ascii="Arial" w:eastAsia="Times New Roman" w:hAnsi="Arial" w:cs="Arial"/>
                <w:color w:val="000000"/>
                <w:sz w:val="18"/>
                <w:szCs w:val="18"/>
                <w:lang w:eastAsia="sl-SI"/>
              </w:rPr>
              <w:t xml:space="preserve"> %</w:t>
            </w:r>
          </w:p>
        </w:tc>
      </w:tr>
      <w:tr w:rsidR="00072A69" w:rsidRPr="00557F27" w14:paraId="7328F591" w14:textId="77777777" w:rsidTr="00AC1F17">
        <w:trPr>
          <w:trHeight w:val="300"/>
        </w:trPr>
        <w:tc>
          <w:tcPr>
            <w:tcW w:w="545" w:type="pct"/>
            <w:shd w:val="clear" w:color="auto" w:fill="auto"/>
            <w:vAlign w:val="center"/>
            <w:hideMark/>
          </w:tcPr>
          <w:p w14:paraId="3BC9CCA4"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35</w:t>
            </w:r>
          </w:p>
        </w:tc>
        <w:tc>
          <w:tcPr>
            <w:tcW w:w="1877" w:type="pct"/>
            <w:shd w:val="clear" w:color="auto" w:fill="auto"/>
            <w:vAlign w:val="center"/>
            <w:hideMark/>
          </w:tcPr>
          <w:p w14:paraId="47BC877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Varnostna, gasilska, policijska in obrambna oprema</w:t>
            </w:r>
          </w:p>
        </w:tc>
        <w:tc>
          <w:tcPr>
            <w:tcW w:w="547" w:type="pct"/>
            <w:shd w:val="clear" w:color="auto" w:fill="auto"/>
            <w:vAlign w:val="center"/>
            <w:hideMark/>
          </w:tcPr>
          <w:p w14:paraId="26A5E2E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75</w:t>
            </w:r>
          </w:p>
        </w:tc>
        <w:tc>
          <w:tcPr>
            <w:tcW w:w="861" w:type="pct"/>
            <w:shd w:val="clear" w:color="auto" w:fill="auto"/>
            <w:vAlign w:val="center"/>
            <w:hideMark/>
          </w:tcPr>
          <w:p w14:paraId="44FEAFB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34.940.183</w:t>
            </w:r>
          </w:p>
        </w:tc>
        <w:tc>
          <w:tcPr>
            <w:tcW w:w="627" w:type="pct"/>
            <w:shd w:val="clear" w:color="auto" w:fill="auto"/>
            <w:noWrap/>
            <w:vAlign w:val="center"/>
            <w:hideMark/>
          </w:tcPr>
          <w:p w14:paraId="79A85D6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B14AC7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1,80</w:t>
            </w:r>
            <w:r>
              <w:rPr>
                <w:rFonts w:ascii="Arial" w:eastAsia="Times New Roman" w:hAnsi="Arial" w:cs="Arial"/>
                <w:color w:val="000000"/>
                <w:sz w:val="18"/>
                <w:szCs w:val="18"/>
                <w:lang w:eastAsia="sl-SI"/>
              </w:rPr>
              <w:t xml:space="preserve"> %</w:t>
            </w:r>
          </w:p>
        </w:tc>
      </w:tr>
      <w:tr w:rsidR="00072A69" w:rsidRPr="00557F27" w14:paraId="11E2F8CA" w14:textId="77777777" w:rsidTr="00AC1F17">
        <w:trPr>
          <w:trHeight w:val="300"/>
        </w:trPr>
        <w:tc>
          <w:tcPr>
            <w:tcW w:w="545" w:type="pct"/>
            <w:shd w:val="clear" w:color="auto" w:fill="auto"/>
            <w:vAlign w:val="center"/>
            <w:hideMark/>
          </w:tcPr>
          <w:p w14:paraId="0561BF8E"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37</w:t>
            </w:r>
          </w:p>
        </w:tc>
        <w:tc>
          <w:tcPr>
            <w:tcW w:w="1877" w:type="pct"/>
            <w:shd w:val="clear" w:color="auto" w:fill="auto"/>
            <w:vAlign w:val="center"/>
            <w:hideMark/>
          </w:tcPr>
          <w:p w14:paraId="11FE5214"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Glasbila, športni izdelki, igre, igrače, ročna dela, umetniški materiali in dodatki</w:t>
            </w:r>
          </w:p>
        </w:tc>
        <w:tc>
          <w:tcPr>
            <w:tcW w:w="547" w:type="pct"/>
            <w:shd w:val="clear" w:color="auto" w:fill="auto"/>
            <w:vAlign w:val="center"/>
            <w:hideMark/>
          </w:tcPr>
          <w:p w14:paraId="649F722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w:t>
            </w:r>
          </w:p>
        </w:tc>
        <w:tc>
          <w:tcPr>
            <w:tcW w:w="861" w:type="pct"/>
            <w:shd w:val="clear" w:color="auto" w:fill="auto"/>
            <w:vAlign w:val="center"/>
            <w:hideMark/>
          </w:tcPr>
          <w:p w14:paraId="53EC08E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490.887</w:t>
            </w:r>
          </w:p>
        </w:tc>
        <w:tc>
          <w:tcPr>
            <w:tcW w:w="627" w:type="pct"/>
            <w:shd w:val="clear" w:color="auto" w:fill="auto"/>
            <w:noWrap/>
            <w:vAlign w:val="center"/>
            <w:hideMark/>
          </w:tcPr>
          <w:p w14:paraId="211F717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E50EEB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557F27" w14:paraId="1B26546D" w14:textId="77777777" w:rsidTr="00AC1F17">
        <w:trPr>
          <w:trHeight w:val="300"/>
        </w:trPr>
        <w:tc>
          <w:tcPr>
            <w:tcW w:w="545" w:type="pct"/>
            <w:shd w:val="clear" w:color="auto" w:fill="auto"/>
            <w:vAlign w:val="center"/>
            <w:hideMark/>
          </w:tcPr>
          <w:p w14:paraId="4B6F1F1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38</w:t>
            </w:r>
          </w:p>
        </w:tc>
        <w:tc>
          <w:tcPr>
            <w:tcW w:w="1877" w:type="pct"/>
            <w:shd w:val="clear" w:color="auto" w:fill="auto"/>
            <w:vAlign w:val="center"/>
            <w:hideMark/>
          </w:tcPr>
          <w:p w14:paraId="0108C107"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Laboratorijska, optična in precizna oprema (razen očal)</w:t>
            </w:r>
          </w:p>
        </w:tc>
        <w:tc>
          <w:tcPr>
            <w:tcW w:w="547" w:type="pct"/>
            <w:shd w:val="clear" w:color="auto" w:fill="auto"/>
            <w:vAlign w:val="center"/>
            <w:hideMark/>
          </w:tcPr>
          <w:p w14:paraId="47E1CCD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74</w:t>
            </w:r>
          </w:p>
        </w:tc>
        <w:tc>
          <w:tcPr>
            <w:tcW w:w="861" w:type="pct"/>
            <w:shd w:val="clear" w:color="auto" w:fill="auto"/>
            <w:vAlign w:val="center"/>
            <w:hideMark/>
          </w:tcPr>
          <w:p w14:paraId="3C7BF66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15.614.979</w:t>
            </w:r>
          </w:p>
        </w:tc>
        <w:tc>
          <w:tcPr>
            <w:tcW w:w="627" w:type="pct"/>
            <w:shd w:val="clear" w:color="auto" w:fill="auto"/>
            <w:noWrap/>
            <w:vAlign w:val="center"/>
            <w:hideMark/>
          </w:tcPr>
          <w:p w14:paraId="7AA979E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0,92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2B5951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p>
        </w:tc>
      </w:tr>
      <w:tr w:rsidR="00072A69" w:rsidRPr="00557F27" w14:paraId="12AB1935" w14:textId="77777777" w:rsidTr="00AC1F17">
        <w:trPr>
          <w:trHeight w:val="300"/>
        </w:trPr>
        <w:tc>
          <w:tcPr>
            <w:tcW w:w="545" w:type="pct"/>
            <w:shd w:val="clear" w:color="auto" w:fill="auto"/>
            <w:vAlign w:val="center"/>
            <w:hideMark/>
          </w:tcPr>
          <w:p w14:paraId="288199B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39</w:t>
            </w:r>
          </w:p>
        </w:tc>
        <w:tc>
          <w:tcPr>
            <w:tcW w:w="1877" w:type="pct"/>
            <w:shd w:val="clear" w:color="auto" w:fill="auto"/>
            <w:vAlign w:val="center"/>
            <w:hideMark/>
          </w:tcPr>
          <w:p w14:paraId="0EF3ADB9"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47" w:type="pct"/>
            <w:shd w:val="clear" w:color="auto" w:fill="auto"/>
            <w:vAlign w:val="center"/>
            <w:hideMark/>
          </w:tcPr>
          <w:p w14:paraId="355C3F5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75</w:t>
            </w:r>
          </w:p>
        </w:tc>
        <w:tc>
          <w:tcPr>
            <w:tcW w:w="861" w:type="pct"/>
            <w:shd w:val="clear" w:color="auto" w:fill="auto"/>
            <w:vAlign w:val="center"/>
            <w:hideMark/>
          </w:tcPr>
          <w:p w14:paraId="2EF5C73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10.321.479</w:t>
            </w:r>
          </w:p>
        </w:tc>
        <w:tc>
          <w:tcPr>
            <w:tcW w:w="627" w:type="pct"/>
            <w:shd w:val="clear" w:color="auto" w:fill="auto"/>
            <w:noWrap/>
            <w:vAlign w:val="center"/>
            <w:hideMark/>
          </w:tcPr>
          <w:p w14:paraId="25E94D9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251AEC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r>
      <w:tr w:rsidR="00072A69" w:rsidRPr="00557F27" w14:paraId="7560EEF3" w14:textId="77777777" w:rsidTr="00AC1F17">
        <w:trPr>
          <w:trHeight w:val="300"/>
        </w:trPr>
        <w:tc>
          <w:tcPr>
            <w:tcW w:w="545" w:type="pct"/>
            <w:shd w:val="clear" w:color="auto" w:fill="auto"/>
            <w:vAlign w:val="center"/>
            <w:hideMark/>
          </w:tcPr>
          <w:p w14:paraId="48F2C4F9"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42</w:t>
            </w:r>
          </w:p>
        </w:tc>
        <w:tc>
          <w:tcPr>
            <w:tcW w:w="1877" w:type="pct"/>
            <w:shd w:val="clear" w:color="auto" w:fill="auto"/>
            <w:vAlign w:val="center"/>
            <w:hideMark/>
          </w:tcPr>
          <w:p w14:paraId="247B503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Industrijski stroji</w:t>
            </w:r>
          </w:p>
        </w:tc>
        <w:tc>
          <w:tcPr>
            <w:tcW w:w="547" w:type="pct"/>
            <w:shd w:val="clear" w:color="auto" w:fill="auto"/>
            <w:vAlign w:val="center"/>
            <w:hideMark/>
          </w:tcPr>
          <w:p w14:paraId="29C0F39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22</w:t>
            </w:r>
          </w:p>
        </w:tc>
        <w:tc>
          <w:tcPr>
            <w:tcW w:w="861" w:type="pct"/>
            <w:shd w:val="clear" w:color="auto" w:fill="auto"/>
            <w:vAlign w:val="center"/>
            <w:hideMark/>
          </w:tcPr>
          <w:p w14:paraId="6A4DEF1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35.314.817</w:t>
            </w:r>
          </w:p>
        </w:tc>
        <w:tc>
          <w:tcPr>
            <w:tcW w:w="627" w:type="pct"/>
            <w:shd w:val="clear" w:color="auto" w:fill="auto"/>
            <w:noWrap/>
            <w:vAlign w:val="center"/>
            <w:hideMark/>
          </w:tcPr>
          <w:p w14:paraId="4ADA8CF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D5EB56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1,82</w:t>
            </w:r>
            <w:r>
              <w:rPr>
                <w:rFonts w:ascii="Arial" w:eastAsia="Times New Roman" w:hAnsi="Arial" w:cs="Arial"/>
                <w:color w:val="000000"/>
                <w:sz w:val="18"/>
                <w:szCs w:val="18"/>
                <w:lang w:eastAsia="sl-SI"/>
              </w:rPr>
              <w:t xml:space="preserve"> %</w:t>
            </w:r>
          </w:p>
        </w:tc>
      </w:tr>
      <w:tr w:rsidR="00072A69" w:rsidRPr="00557F27" w14:paraId="1906A78D" w14:textId="77777777" w:rsidTr="00AC1F17">
        <w:trPr>
          <w:trHeight w:val="300"/>
        </w:trPr>
        <w:tc>
          <w:tcPr>
            <w:tcW w:w="545" w:type="pct"/>
            <w:shd w:val="clear" w:color="auto" w:fill="auto"/>
            <w:vAlign w:val="center"/>
            <w:hideMark/>
          </w:tcPr>
          <w:p w14:paraId="22BBE0A2"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43</w:t>
            </w:r>
          </w:p>
        </w:tc>
        <w:tc>
          <w:tcPr>
            <w:tcW w:w="1877" w:type="pct"/>
            <w:shd w:val="clear" w:color="auto" w:fill="auto"/>
            <w:vAlign w:val="center"/>
            <w:hideMark/>
          </w:tcPr>
          <w:p w14:paraId="1CA5602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Rudarska, kamnoseška in gradbena oprema</w:t>
            </w:r>
          </w:p>
        </w:tc>
        <w:tc>
          <w:tcPr>
            <w:tcW w:w="547" w:type="pct"/>
            <w:shd w:val="clear" w:color="auto" w:fill="auto"/>
            <w:vAlign w:val="center"/>
            <w:hideMark/>
          </w:tcPr>
          <w:p w14:paraId="0F67501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12</w:t>
            </w:r>
          </w:p>
        </w:tc>
        <w:tc>
          <w:tcPr>
            <w:tcW w:w="861" w:type="pct"/>
            <w:shd w:val="clear" w:color="auto" w:fill="auto"/>
            <w:vAlign w:val="center"/>
            <w:hideMark/>
          </w:tcPr>
          <w:p w14:paraId="0978C04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3.988.719</w:t>
            </w:r>
          </w:p>
        </w:tc>
        <w:tc>
          <w:tcPr>
            <w:tcW w:w="627" w:type="pct"/>
            <w:shd w:val="clear" w:color="auto" w:fill="auto"/>
            <w:noWrap/>
            <w:vAlign w:val="center"/>
            <w:hideMark/>
          </w:tcPr>
          <w:p w14:paraId="78760F0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42C780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072A69" w:rsidRPr="00557F27" w14:paraId="4783285D" w14:textId="77777777" w:rsidTr="00AC1F17">
        <w:trPr>
          <w:trHeight w:val="300"/>
        </w:trPr>
        <w:tc>
          <w:tcPr>
            <w:tcW w:w="545" w:type="pct"/>
            <w:shd w:val="clear" w:color="auto" w:fill="auto"/>
            <w:vAlign w:val="center"/>
            <w:hideMark/>
          </w:tcPr>
          <w:p w14:paraId="2F56865E"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44</w:t>
            </w:r>
          </w:p>
        </w:tc>
        <w:tc>
          <w:tcPr>
            <w:tcW w:w="1877" w:type="pct"/>
            <w:shd w:val="clear" w:color="auto" w:fill="auto"/>
            <w:vAlign w:val="center"/>
            <w:hideMark/>
          </w:tcPr>
          <w:p w14:paraId="256D9C31"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Gradbene strukture in materiali; pomožni gradbeni izdelki (razen električnih aparatov)</w:t>
            </w:r>
          </w:p>
        </w:tc>
        <w:tc>
          <w:tcPr>
            <w:tcW w:w="547" w:type="pct"/>
            <w:shd w:val="clear" w:color="auto" w:fill="auto"/>
            <w:vAlign w:val="center"/>
            <w:hideMark/>
          </w:tcPr>
          <w:p w14:paraId="790DC7A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29</w:t>
            </w:r>
          </w:p>
        </w:tc>
        <w:tc>
          <w:tcPr>
            <w:tcW w:w="861" w:type="pct"/>
            <w:shd w:val="clear" w:color="auto" w:fill="auto"/>
            <w:vAlign w:val="center"/>
            <w:hideMark/>
          </w:tcPr>
          <w:p w14:paraId="20B2742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18.229.539</w:t>
            </w:r>
          </w:p>
        </w:tc>
        <w:tc>
          <w:tcPr>
            <w:tcW w:w="627" w:type="pct"/>
            <w:shd w:val="clear" w:color="auto" w:fill="auto"/>
            <w:noWrap/>
            <w:vAlign w:val="center"/>
            <w:hideMark/>
          </w:tcPr>
          <w:p w14:paraId="791E74B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071C44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0,94</w:t>
            </w:r>
            <w:r>
              <w:rPr>
                <w:rFonts w:ascii="Arial" w:eastAsia="Times New Roman" w:hAnsi="Arial" w:cs="Arial"/>
                <w:color w:val="000000"/>
                <w:sz w:val="18"/>
                <w:szCs w:val="18"/>
                <w:lang w:eastAsia="sl-SI"/>
              </w:rPr>
              <w:t xml:space="preserve"> %</w:t>
            </w:r>
          </w:p>
        </w:tc>
      </w:tr>
      <w:tr w:rsidR="00072A69" w:rsidRPr="00557F27" w14:paraId="76614291" w14:textId="77777777" w:rsidTr="00AC1F17">
        <w:trPr>
          <w:trHeight w:val="300"/>
        </w:trPr>
        <w:tc>
          <w:tcPr>
            <w:tcW w:w="545" w:type="pct"/>
            <w:shd w:val="clear" w:color="auto" w:fill="auto"/>
            <w:vAlign w:val="center"/>
            <w:hideMark/>
          </w:tcPr>
          <w:p w14:paraId="0DB05274"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45</w:t>
            </w:r>
          </w:p>
        </w:tc>
        <w:tc>
          <w:tcPr>
            <w:tcW w:w="1877" w:type="pct"/>
            <w:shd w:val="clear" w:color="auto" w:fill="auto"/>
            <w:vAlign w:val="center"/>
            <w:hideMark/>
          </w:tcPr>
          <w:p w14:paraId="4057D760"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Gradbena dela</w:t>
            </w:r>
          </w:p>
        </w:tc>
        <w:tc>
          <w:tcPr>
            <w:tcW w:w="547" w:type="pct"/>
            <w:shd w:val="clear" w:color="auto" w:fill="auto"/>
            <w:vAlign w:val="center"/>
            <w:hideMark/>
          </w:tcPr>
          <w:p w14:paraId="04EE504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116</w:t>
            </w:r>
          </w:p>
        </w:tc>
        <w:tc>
          <w:tcPr>
            <w:tcW w:w="861" w:type="pct"/>
            <w:shd w:val="clear" w:color="auto" w:fill="auto"/>
            <w:vAlign w:val="center"/>
            <w:hideMark/>
          </w:tcPr>
          <w:p w14:paraId="458B45F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359.180.028</w:t>
            </w:r>
          </w:p>
        </w:tc>
        <w:tc>
          <w:tcPr>
            <w:tcW w:w="627" w:type="pct"/>
            <w:shd w:val="clear" w:color="auto" w:fill="auto"/>
            <w:noWrap/>
            <w:vAlign w:val="center"/>
            <w:hideMark/>
          </w:tcPr>
          <w:p w14:paraId="0B079363"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1,44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CADE61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18,47</w:t>
            </w:r>
            <w:r>
              <w:rPr>
                <w:rFonts w:ascii="Arial" w:eastAsia="Times New Roman" w:hAnsi="Arial" w:cs="Arial"/>
                <w:color w:val="000000"/>
                <w:sz w:val="18"/>
                <w:szCs w:val="18"/>
                <w:lang w:eastAsia="sl-SI"/>
              </w:rPr>
              <w:t xml:space="preserve"> %</w:t>
            </w:r>
          </w:p>
        </w:tc>
      </w:tr>
      <w:tr w:rsidR="00072A69" w:rsidRPr="00557F27" w14:paraId="35302030" w14:textId="77777777" w:rsidTr="00AC1F17">
        <w:trPr>
          <w:trHeight w:val="300"/>
        </w:trPr>
        <w:tc>
          <w:tcPr>
            <w:tcW w:w="545" w:type="pct"/>
            <w:shd w:val="clear" w:color="auto" w:fill="auto"/>
            <w:vAlign w:val="center"/>
            <w:hideMark/>
          </w:tcPr>
          <w:p w14:paraId="0C43ADB0"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48</w:t>
            </w:r>
          </w:p>
        </w:tc>
        <w:tc>
          <w:tcPr>
            <w:tcW w:w="1877" w:type="pct"/>
            <w:shd w:val="clear" w:color="auto" w:fill="auto"/>
            <w:vAlign w:val="center"/>
            <w:hideMark/>
          </w:tcPr>
          <w:p w14:paraId="1B6AF9E7"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Programski paketi in informacijski sistemi</w:t>
            </w:r>
          </w:p>
        </w:tc>
        <w:tc>
          <w:tcPr>
            <w:tcW w:w="547" w:type="pct"/>
            <w:shd w:val="clear" w:color="auto" w:fill="auto"/>
            <w:vAlign w:val="center"/>
            <w:hideMark/>
          </w:tcPr>
          <w:p w14:paraId="7201D8E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72</w:t>
            </w:r>
          </w:p>
        </w:tc>
        <w:tc>
          <w:tcPr>
            <w:tcW w:w="861" w:type="pct"/>
            <w:shd w:val="clear" w:color="auto" w:fill="auto"/>
            <w:vAlign w:val="center"/>
            <w:hideMark/>
          </w:tcPr>
          <w:p w14:paraId="4BEAE26B"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62.684.130</w:t>
            </w:r>
          </w:p>
        </w:tc>
        <w:tc>
          <w:tcPr>
            <w:tcW w:w="627" w:type="pct"/>
            <w:shd w:val="clear" w:color="auto" w:fill="auto"/>
            <w:noWrap/>
            <w:vAlign w:val="center"/>
            <w:hideMark/>
          </w:tcPr>
          <w:p w14:paraId="0CFD0E3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318458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3,22</w:t>
            </w:r>
            <w:r>
              <w:rPr>
                <w:rFonts w:ascii="Arial" w:eastAsia="Times New Roman" w:hAnsi="Arial" w:cs="Arial"/>
                <w:color w:val="000000"/>
                <w:sz w:val="18"/>
                <w:szCs w:val="18"/>
                <w:lang w:eastAsia="sl-SI"/>
              </w:rPr>
              <w:t xml:space="preserve"> %</w:t>
            </w:r>
          </w:p>
        </w:tc>
      </w:tr>
      <w:tr w:rsidR="00072A69" w:rsidRPr="00557F27" w14:paraId="6CECB0C9" w14:textId="77777777" w:rsidTr="00AC1F17">
        <w:trPr>
          <w:trHeight w:val="300"/>
        </w:trPr>
        <w:tc>
          <w:tcPr>
            <w:tcW w:w="545" w:type="pct"/>
            <w:shd w:val="clear" w:color="auto" w:fill="auto"/>
            <w:vAlign w:val="center"/>
            <w:hideMark/>
          </w:tcPr>
          <w:p w14:paraId="124FAA9B"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50</w:t>
            </w:r>
          </w:p>
        </w:tc>
        <w:tc>
          <w:tcPr>
            <w:tcW w:w="1877" w:type="pct"/>
            <w:shd w:val="clear" w:color="auto" w:fill="auto"/>
            <w:vAlign w:val="center"/>
            <w:hideMark/>
          </w:tcPr>
          <w:p w14:paraId="1550B5A2"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popravila in vzdrževanja</w:t>
            </w:r>
          </w:p>
        </w:tc>
        <w:tc>
          <w:tcPr>
            <w:tcW w:w="547" w:type="pct"/>
            <w:shd w:val="clear" w:color="auto" w:fill="auto"/>
            <w:vAlign w:val="center"/>
            <w:hideMark/>
          </w:tcPr>
          <w:p w14:paraId="5454B99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182</w:t>
            </w:r>
          </w:p>
        </w:tc>
        <w:tc>
          <w:tcPr>
            <w:tcW w:w="861" w:type="pct"/>
            <w:shd w:val="clear" w:color="auto" w:fill="auto"/>
            <w:vAlign w:val="center"/>
            <w:hideMark/>
          </w:tcPr>
          <w:p w14:paraId="51613A2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82.885.051</w:t>
            </w:r>
          </w:p>
        </w:tc>
        <w:tc>
          <w:tcPr>
            <w:tcW w:w="627" w:type="pct"/>
            <w:shd w:val="clear" w:color="auto" w:fill="auto"/>
            <w:noWrap/>
            <w:vAlign w:val="center"/>
            <w:hideMark/>
          </w:tcPr>
          <w:p w14:paraId="1A01225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2,27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88F4F9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4,26</w:t>
            </w:r>
            <w:r>
              <w:rPr>
                <w:rFonts w:ascii="Arial" w:eastAsia="Times New Roman" w:hAnsi="Arial" w:cs="Arial"/>
                <w:color w:val="000000"/>
                <w:sz w:val="18"/>
                <w:szCs w:val="18"/>
                <w:lang w:eastAsia="sl-SI"/>
              </w:rPr>
              <w:t xml:space="preserve"> %</w:t>
            </w:r>
          </w:p>
        </w:tc>
      </w:tr>
      <w:tr w:rsidR="00072A69" w:rsidRPr="00557F27" w14:paraId="5D70773F" w14:textId="77777777" w:rsidTr="00AC1F17">
        <w:trPr>
          <w:trHeight w:val="300"/>
        </w:trPr>
        <w:tc>
          <w:tcPr>
            <w:tcW w:w="545" w:type="pct"/>
            <w:shd w:val="clear" w:color="auto" w:fill="auto"/>
            <w:vAlign w:val="center"/>
            <w:hideMark/>
          </w:tcPr>
          <w:p w14:paraId="4F470EEC"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51</w:t>
            </w:r>
          </w:p>
        </w:tc>
        <w:tc>
          <w:tcPr>
            <w:tcW w:w="1877" w:type="pct"/>
            <w:shd w:val="clear" w:color="auto" w:fill="auto"/>
            <w:vAlign w:val="center"/>
            <w:hideMark/>
          </w:tcPr>
          <w:p w14:paraId="74144FF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inštalacije (razen programske opreme)</w:t>
            </w:r>
          </w:p>
        </w:tc>
        <w:tc>
          <w:tcPr>
            <w:tcW w:w="547" w:type="pct"/>
            <w:shd w:val="clear" w:color="auto" w:fill="auto"/>
            <w:vAlign w:val="center"/>
            <w:hideMark/>
          </w:tcPr>
          <w:p w14:paraId="4A4CCDE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w:t>
            </w:r>
          </w:p>
        </w:tc>
        <w:tc>
          <w:tcPr>
            <w:tcW w:w="861" w:type="pct"/>
            <w:shd w:val="clear" w:color="auto" w:fill="auto"/>
            <w:vAlign w:val="center"/>
            <w:hideMark/>
          </w:tcPr>
          <w:p w14:paraId="7F8538F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4.543.726</w:t>
            </w:r>
          </w:p>
        </w:tc>
        <w:tc>
          <w:tcPr>
            <w:tcW w:w="627" w:type="pct"/>
            <w:shd w:val="clear" w:color="auto" w:fill="auto"/>
            <w:noWrap/>
            <w:vAlign w:val="center"/>
            <w:hideMark/>
          </w:tcPr>
          <w:p w14:paraId="34E65DB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4A5887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r>
      <w:tr w:rsidR="00072A69" w:rsidRPr="00557F27" w14:paraId="6F06232E" w14:textId="77777777" w:rsidTr="00AC1F17">
        <w:trPr>
          <w:trHeight w:val="300"/>
        </w:trPr>
        <w:tc>
          <w:tcPr>
            <w:tcW w:w="545" w:type="pct"/>
            <w:shd w:val="clear" w:color="auto" w:fill="auto"/>
            <w:vAlign w:val="center"/>
            <w:hideMark/>
          </w:tcPr>
          <w:p w14:paraId="3E9B9310"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55</w:t>
            </w:r>
          </w:p>
        </w:tc>
        <w:tc>
          <w:tcPr>
            <w:tcW w:w="1877" w:type="pct"/>
            <w:shd w:val="clear" w:color="auto" w:fill="auto"/>
            <w:vAlign w:val="center"/>
            <w:hideMark/>
          </w:tcPr>
          <w:p w14:paraId="7165AB3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hotelov, restavracij in trgovine na drobno</w:t>
            </w:r>
          </w:p>
        </w:tc>
        <w:tc>
          <w:tcPr>
            <w:tcW w:w="547" w:type="pct"/>
            <w:shd w:val="clear" w:color="auto" w:fill="auto"/>
            <w:vAlign w:val="center"/>
            <w:hideMark/>
          </w:tcPr>
          <w:p w14:paraId="64667E73"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w:t>
            </w:r>
          </w:p>
        </w:tc>
        <w:tc>
          <w:tcPr>
            <w:tcW w:w="861" w:type="pct"/>
            <w:shd w:val="clear" w:color="auto" w:fill="auto"/>
            <w:vAlign w:val="center"/>
            <w:hideMark/>
          </w:tcPr>
          <w:p w14:paraId="4B0DEC6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7.945.418</w:t>
            </w:r>
          </w:p>
        </w:tc>
        <w:tc>
          <w:tcPr>
            <w:tcW w:w="627" w:type="pct"/>
            <w:shd w:val="clear" w:color="auto" w:fill="auto"/>
            <w:noWrap/>
            <w:vAlign w:val="center"/>
            <w:hideMark/>
          </w:tcPr>
          <w:p w14:paraId="7032F11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D58496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0,41</w:t>
            </w:r>
            <w:r>
              <w:rPr>
                <w:rFonts w:ascii="Arial" w:eastAsia="Times New Roman" w:hAnsi="Arial" w:cs="Arial"/>
                <w:color w:val="000000"/>
                <w:sz w:val="18"/>
                <w:szCs w:val="18"/>
                <w:lang w:eastAsia="sl-SI"/>
              </w:rPr>
              <w:t xml:space="preserve"> %</w:t>
            </w:r>
          </w:p>
        </w:tc>
      </w:tr>
      <w:tr w:rsidR="00072A69" w:rsidRPr="00557F27" w14:paraId="0011EA15" w14:textId="77777777" w:rsidTr="00AC1F17">
        <w:trPr>
          <w:trHeight w:val="300"/>
        </w:trPr>
        <w:tc>
          <w:tcPr>
            <w:tcW w:w="545" w:type="pct"/>
            <w:shd w:val="clear" w:color="auto" w:fill="auto"/>
            <w:vAlign w:val="center"/>
            <w:hideMark/>
          </w:tcPr>
          <w:p w14:paraId="59807F4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lastRenderedPageBreak/>
              <w:t>60</w:t>
            </w:r>
          </w:p>
        </w:tc>
        <w:tc>
          <w:tcPr>
            <w:tcW w:w="1877" w:type="pct"/>
            <w:shd w:val="clear" w:color="auto" w:fill="auto"/>
            <w:vAlign w:val="center"/>
            <w:hideMark/>
          </w:tcPr>
          <w:p w14:paraId="31A02329"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Prevozne storitve (razen prevoza odpadkov)</w:t>
            </w:r>
          </w:p>
        </w:tc>
        <w:tc>
          <w:tcPr>
            <w:tcW w:w="547" w:type="pct"/>
            <w:shd w:val="clear" w:color="auto" w:fill="auto"/>
            <w:vAlign w:val="center"/>
            <w:hideMark/>
          </w:tcPr>
          <w:p w14:paraId="6771973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209</w:t>
            </w:r>
          </w:p>
        </w:tc>
        <w:tc>
          <w:tcPr>
            <w:tcW w:w="861" w:type="pct"/>
            <w:shd w:val="clear" w:color="auto" w:fill="auto"/>
            <w:vAlign w:val="center"/>
            <w:hideMark/>
          </w:tcPr>
          <w:p w14:paraId="0BC3D39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29.264.682</w:t>
            </w:r>
          </w:p>
        </w:tc>
        <w:tc>
          <w:tcPr>
            <w:tcW w:w="627" w:type="pct"/>
            <w:shd w:val="clear" w:color="auto" w:fill="auto"/>
            <w:noWrap/>
            <w:vAlign w:val="center"/>
            <w:hideMark/>
          </w:tcPr>
          <w:p w14:paraId="7299AFFB"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2,60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D0125C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1,50</w:t>
            </w:r>
            <w:r>
              <w:rPr>
                <w:rFonts w:ascii="Arial" w:eastAsia="Times New Roman" w:hAnsi="Arial" w:cs="Arial"/>
                <w:color w:val="000000"/>
                <w:sz w:val="18"/>
                <w:szCs w:val="18"/>
                <w:lang w:eastAsia="sl-SI"/>
              </w:rPr>
              <w:t xml:space="preserve"> %</w:t>
            </w:r>
          </w:p>
        </w:tc>
      </w:tr>
      <w:tr w:rsidR="00072A69" w:rsidRPr="00557F27" w14:paraId="69EA0D79" w14:textId="77777777" w:rsidTr="00AC1F17">
        <w:trPr>
          <w:trHeight w:val="300"/>
        </w:trPr>
        <w:tc>
          <w:tcPr>
            <w:tcW w:w="545" w:type="pct"/>
            <w:shd w:val="clear" w:color="auto" w:fill="auto"/>
            <w:vAlign w:val="center"/>
            <w:hideMark/>
          </w:tcPr>
          <w:p w14:paraId="4A4DC500"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63</w:t>
            </w:r>
          </w:p>
        </w:tc>
        <w:tc>
          <w:tcPr>
            <w:tcW w:w="1877" w:type="pct"/>
            <w:shd w:val="clear" w:color="auto" w:fill="auto"/>
            <w:vAlign w:val="center"/>
            <w:hideMark/>
          </w:tcPr>
          <w:p w14:paraId="248B72A3"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Podporne in pomožne prevozne storitve; storitve potovalnih agencij</w:t>
            </w:r>
          </w:p>
        </w:tc>
        <w:tc>
          <w:tcPr>
            <w:tcW w:w="547" w:type="pct"/>
            <w:shd w:val="clear" w:color="auto" w:fill="auto"/>
            <w:vAlign w:val="center"/>
            <w:hideMark/>
          </w:tcPr>
          <w:p w14:paraId="14B98BF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w:t>
            </w:r>
          </w:p>
        </w:tc>
        <w:tc>
          <w:tcPr>
            <w:tcW w:w="861" w:type="pct"/>
            <w:shd w:val="clear" w:color="auto" w:fill="auto"/>
            <w:vAlign w:val="center"/>
            <w:hideMark/>
          </w:tcPr>
          <w:p w14:paraId="2D3B57C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14.346.389</w:t>
            </w:r>
          </w:p>
        </w:tc>
        <w:tc>
          <w:tcPr>
            <w:tcW w:w="627" w:type="pct"/>
            <w:shd w:val="clear" w:color="auto" w:fill="auto"/>
            <w:noWrap/>
            <w:vAlign w:val="center"/>
            <w:hideMark/>
          </w:tcPr>
          <w:p w14:paraId="58A326F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61B8C8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0,74</w:t>
            </w:r>
            <w:r>
              <w:rPr>
                <w:rFonts w:ascii="Arial" w:eastAsia="Times New Roman" w:hAnsi="Arial" w:cs="Arial"/>
                <w:color w:val="000000"/>
                <w:sz w:val="18"/>
                <w:szCs w:val="18"/>
                <w:lang w:eastAsia="sl-SI"/>
              </w:rPr>
              <w:t xml:space="preserve"> %</w:t>
            </w:r>
          </w:p>
        </w:tc>
      </w:tr>
      <w:tr w:rsidR="00072A69" w:rsidRPr="00557F27" w14:paraId="4AB49853" w14:textId="77777777" w:rsidTr="00AC1F17">
        <w:trPr>
          <w:trHeight w:val="300"/>
        </w:trPr>
        <w:tc>
          <w:tcPr>
            <w:tcW w:w="545" w:type="pct"/>
            <w:shd w:val="clear" w:color="auto" w:fill="auto"/>
            <w:vAlign w:val="center"/>
            <w:hideMark/>
          </w:tcPr>
          <w:p w14:paraId="5313C847"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64</w:t>
            </w:r>
          </w:p>
        </w:tc>
        <w:tc>
          <w:tcPr>
            <w:tcW w:w="1877" w:type="pct"/>
            <w:shd w:val="clear" w:color="auto" w:fill="auto"/>
            <w:vAlign w:val="center"/>
            <w:hideMark/>
          </w:tcPr>
          <w:p w14:paraId="38F7262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Poštne in telekomunikacijske storitve</w:t>
            </w:r>
          </w:p>
        </w:tc>
        <w:tc>
          <w:tcPr>
            <w:tcW w:w="547" w:type="pct"/>
            <w:shd w:val="clear" w:color="auto" w:fill="auto"/>
            <w:vAlign w:val="center"/>
            <w:hideMark/>
          </w:tcPr>
          <w:p w14:paraId="7C7FA89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67</w:t>
            </w:r>
          </w:p>
        </w:tc>
        <w:tc>
          <w:tcPr>
            <w:tcW w:w="861" w:type="pct"/>
            <w:shd w:val="clear" w:color="auto" w:fill="auto"/>
            <w:vAlign w:val="center"/>
            <w:hideMark/>
          </w:tcPr>
          <w:p w14:paraId="4874984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17.164.187</w:t>
            </w:r>
          </w:p>
        </w:tc>
        <w:tc>
          <w:tcPr>
            <w:tcW w:w="627" w:type="pct"/>
            <w:shd w:val="clear" w:color="auto" w:fill="auto"/>
            <w:noWrap/>
            <w:vAlign w:val="center"/>
            <w:hideMark/>
          </w:tcPr>
          <w:p w14:paraId="3C03B92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0,83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5E4198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0,88</w:t>
            </w:r>
            <w:r>
              <w:rPr>
                <w:rFonts w:ascii="Arial" w:eastAsia="Times New Roman" w:hAnsi="Arial" w:cs="Arial"/>
                <w:color w:val="000000"/>
                <w:sz w:val="18"/>
                <w:szCs w:val="18"/>
                <w:lang w:eastAsia="sl-SI"/>
              </w:rPr>
              <w:t xml:space="preserve"> %</w:t>
            </w:r>
          </w:p>
        </w:tc>
      </w:tr>
      <w:tr w:rsidR="00072A69" w:rsidRPr="00557F27" w14:paraId="61FAC3C0" w14:textId="77777777" w:rsidTr="00AC1F17">
        <w:trPr>
          <w:trHeight w:val="300"/>
        </w:trPr>
        <w:tc>
          <w:tcPr>
            <w:tcW w:w="545" w:type="pct"/>
            <w:shd w:val="clear" w:color="auto" w:fill="auto"/>
            <w:vAlign w:val="center"/>
            <w:hideMark/>
          </w:tcPr>
          <w:p w14:paraId="0D44963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65</w:t>
            </w:r>
          </w:p>
        </w:tc>
        <w:tc>
          <w:tcPr>
            <w:tcW w:w="1877" w:type="pct"/>
            <w:shd w:val="clear" w:color="auto" w:fill="auto"/>
            <w:vAlign w:val="center"/>
            <w:hideMark/>
          </w:tcPr>
          <w:p w14:paraId="1B43DC08"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Gospodarske javne službe</w:t>
            </w:r>
          </w:p>
        </w:tc>
        <w:tc>
          <w:tcPr>
            <w:tcW w:w="547" w:type="pct"/>
            <w:shd w:val="clear" w:color="auto" w:fill="auto"/>
            <w:vAlign w:val="center"/>
            <w:hideMark/>
          </w:tcPr>
          <w:p w14:paraId="155CD1C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15</w:t>
            </w:r>
          </w:p>
        </w:tc>
        <w:tc>
          <w:tcPr>
            <w:tcW w:w="861" w:type="pct"/>
            <w:shd w:val="clear" w:color="auto" w:fill="auto"/>
            <w:vAlign w:val="center"/>
            <w:hideMark/>
          </w:tcPr>
          <w:p w14:paraId="24E8CC4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3.141.408</w:t>
            </w:r>
          </w:p>
        </w:tc>
        <w:tc>
          <w:tcPr>
            <w:tcW w:w="627" w:type="pct"/>
            <w:shd w:val="clear" w:color="auto" w:fill="auto"/>
            <w:noWrap/>
            <w:vAlign w:val="center"/>
            <w:hideMark/>
          </w:tcPr>
          <w:p w14:paraId="11F2C6B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9BD65E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072A69" w:rsidRPr="00557F27" w14:paraId="20378E38" w14:textId="77777777" w:rsidTr="00AC1F17">
        <w:trPr>
          <w:trHeight w:val="300"/>
        </w:trPr>
        <w:tc>
          <w:tcPr>
            <w:tcW w:w="545" w:type="pct"/>
            <w:shd w:val="clear" w:color="auto" w:fill="auto"/>
            <w:vAlign w:val="center"/>
            <w:hideMark/>
          </w:tcPr>
          <w:p w14:paraId="6C349A7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66</w:t>
            </w:r>
          </w:p>
        </w:tc>
        <w:tc>
          <w:tcPr>
            <w:tcW w:w="1877" w:type="pct"/>
            <w:shd w:val="clear" w:color="auto" w:fill="auto"/>
            <w:vAlign w:val="center"/>
            <w:hideMark/>
          </w:tcPr>
          <w:p w14:paraId="39173295"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Finančne in zavarovalniške storitve</w:t>
            </w:r>
          </w:p>
        </w:tc>
        <w:tc>
          <w:tcPr>
            <w:tcW w:w="547" w:type="pct"/>
            <w:shd w:val="clear" w:color="auto" w:fill="auto"/>
            <w:vAlign w:val="center"/>
            <w:hideMark/>
          </w:tcPr>
          <w:p w14:paraId="49FC462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75</w:t>
            </w:r>
          </w:p>
        </w:tc>
        <w:tc>
          <w:tcPr>
            <w:tcW w:w="861" w:type="pct"/>
            <w:shd w:val="clear" w:color="auto" w:fill="auto"/>
            <w:vAlign w:val="center"/>
            <w:hideMark/>
          </w:tcPr>
          <w:p w14:paraId="6E1B758B"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63.000.379</w:t>
            </w:r>
          </w:p>
        </w:tc>
        <w:tc>
          <w:tcPr>
            <w:tcW w:w="627" w:type="pct"/>
            <w:shd w:val="clear" w:color="auto" w:fill="auto"/>
            <w:noWrap/>
            <w:vAlign w:val="center"/>
            <w:hideMark/>
          </w:tcPr>
          <w:p w14:paraId="2E79449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D4A234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3,24</w:t>
            </w:r>
            <w:r>
              <w:rPr>
                <w:rFonts w:ascii="Arial" w:eastAsia="Times New Roman" w:hAnsi="Arial" w:cs="Arial"/>
                <w:color w:val="000000"/>
                <w:sz w:val="18"/>
                <w:szCs w:val="18"/>
                <w:lang w:eastAsia="sl-SI"/>
              </w:rPr>
              <w:t xml:space="preserve"> %</w:t>
            </w:r>
          </w:p>
        </w:tc>
      </w:tr>
      <w:tr w:rsidR="00072A69" w:rsidRPr="00557F27" w14:paraId="58F4BECA" w14:textId="77777777" w:rsidTr="00AC1F17">
        <w:trPr>
          <w:trHeight w:val="300"/>
        </w:trPr>
        <w:tc>
          <w:tcPr>
            <w:tcW w:w="545" w:type="pct"/>
            <w:shd w:val="clear" w:color="auto" w:fill="auto"/>
            <w:vAlign w:val="center"/>
            <w:hideMark/>
          </w:tcPr>
          <w:p w14:paraId="0E57BBE9"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70</w:t>
            </w:r>
          </w:p>
        </w:tc>
        <w:tc>
          <w:tcPr>
            <w:tcW w:w="1877" w:type="pct"/>
            <w:shd w:val="clear" w:color="auto" w:fill="auto"/>
            <w:vAlign w:val="center"/>
            <w:hideMark/>
          </w:tcPr>
          <w:p w14:paraId="56D08AA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poslovanja z nepremičninami</w:t>
            </w:r>
          </w:p>
        </w:tc>
        <w:tc>
          <w:tcPr>
            <w:tcW w:w="547" w:type="pct"/>
            <w:shd w:val="clear" w:color="auto" w:fill="auto"/>
            <w:vAlign w:val="center"/>
            <w:hideMark/>
          </w:tcPr>
          <w:p w14:paraId="1963D43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10</w:t>
            </w:r>
          </w:p>
        </w:tc>
        <w:tc>
          <w:tcPr>
            <w:tcW w:w="861" w:type="pct"/>
            <w:shd w:val="clear" w:color="auto" w:fill="auto"/>
            <w:vAlign w:val="center"/>
            <w:hideMark/>
          </w:tcPr>
          <w:p w14:paraId="25D096D3"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3.009.573</w:t>
            </w:r>
          </w:p>
        </w:tc>
        <w:tc>
          <w:tcPr>
            <w:tcW w:w="627" w:type="pct"/>
            <w:shd w:val="clear" w:color="auto" w:fill="auto"/>
            <w:noWrap/>
            <w:vAlign w:val="center"/>
            <w:hideMark/>
          </w:tcPr>
          <w:p w14:paraId="4E36DE8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A033AD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072A69" w:rsidRPr="00557F27" w14:paraId="3279E812" w14:textId="77777777" w:rsidTr="00AC1F17">
        <w:trPr>
          <w:trHeight w:val="300"/>
        </w:trPr>
        <w:tc>
          <w:tcPr>
            <w:tcW w:w="545" w:type="pct"/>
            <w:shd w:val="clear" w:color="auto" w:fill="auto"/>
            <w:vAlign w:val="center"/>
            <w:hideMark/>
          </w:tcPr>
          <w:p w14:paraId="40483B2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71</w:t>
            </w:r>
          </w:p>
        </w:tc>
        <w:tc>
          <w:tcPr>
            <w:tcW w:w="1877" w:type="pct"/>
            <w:shd w:val="clear" w:color="auto" w:fill="auto"/>
            <w:vAlign w:val="center"/>
            <w:hideMark/>
          </w:tcPr>
          <w:p w14:paraId="2E13077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Arhitekturne, gradbeniške, inženirske in inšpekcijske storitve</w:t>
            </w:r>
          </w:p>
        </w:tc>
        <w:tc>
          <w:tcPr>
            <w:tcW w:w="547" w:type="pct"/>
            <w:shd w:val="clear" w:color="auto" w:fill="auto"/>
            <w:vAlign w:val="center"/>
            <w:hideMark/>
          </w:tcPr>
          <w:p w14:paraId="2B130D9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162</w:t>
            </w:r>
          </w:p>
        </w:tc>
        <w:tc>
          <w:tcPr>
            <w:tcW w:w="861" w:type="pct"/>
            <w:shd w:val="clear" w:color="auto" w:fill="auto"/>
            <w:vAlign w:val="center"/>
            <w:hideMark/>
          </w:tcPr>
          <w:p w14:paraId="14FD492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67.126.062</w:t>
            </w:r>
          </w:p>
        </w:tc>
        <w:tc>
          <w:tcPr>
            <w:tcW w:w="627" w:type="pct"/>
            <w:shd w:val="clear" w:color="auto" w:fill="auto"/>
            <w:noWrap/>
            <w:vAlign w:val="center"/>
            <w:hideMark/>
          </w:tcPr>
          <w:p w14:paraId="53EB205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2,02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E44DA5C"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3,45</w:t>
            </w:r>
            <w:r>
              <w:rPr>
                <w:rFonts w:ascii="Arial" w:eastAsia="Times New Roman" w:hAnsi="Arial" w:cs="Arial"/>
                <w:color w:val="000000"/>
                <w:sz w:val="18"/>
                <w:szCs w:val="18"/>
                <w:lang w:eastAsia="sl-SI"/>
              </w:rPr>
              <w:t xml:space="preserve"> %</w:t>
            </w:r>
          </w:p>
        </w:tc>
      </w:tr>
      <w:tr w:rsidR="00072A69" w:rsidRPr="00557F27" w14:paraId="0512B51E" w14:textId="77777777" w:rsidTr="00AC1F17">
        <w:trPr>
          <w:trHeight w:val="300"/>
        </w:trPr>
        <w:tc>
          <w:tcPr>
            <w:tcW w:w="545" w:type="pct"/>
            <w:shd w:val="clear" w:color="auto" w:fill="auto"/>
            <w:vAlign w:val="center"/>
            <w:hideMark/>
          </w:tcPr>
          <w:p w14:paraId="09C8BCB4"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72</w:t>
            </w:r>
          </w:p>
        </w:tc>
        <w:tc>
          <w:tcPr>
            <w:tcW w:w="1877" w:type="pct"/>
            <w:shd w:val="clear" w:color="auto" w:fill="auto"/>
            <w:vAlign w:val="center"/>
            <w:hideMark/>
          </w:tcPr>
          <w:p w14:paraId="74FC07C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informacijske tehnologije: svetovanje, razvoj programske opreme, internet in podpora</w:t>
            </w:r>
          </w:p>
        </w:tc>
        <w:tc>
          <w:tcPr>
            <w:tcW w:w="547" w:type="pct"/>
            <w:shd w:val="clear" w:color="auto" w:fill="auto"/>
            <w:vAlign w:val="center"/>
            <w:hideMark/>
          </w:tcPr>
          <w:p w14:paraId="03C3349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130</w:t>
            </w:r>
          </w:p>
        </w:tc>
        <w:tc>
          <w:tcPr>
            <w:tcW w:w="861" w:type="pct"/>
            <w:shd w:val="clear" w:color="auto" w:fill="auto"/>
            <w:vAlign w:val="center"/>
            <w:hideMark/>
          </w:tcPr>
          <w:p w14:paraId="72C5297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68.272.666</w:t>
            </w:r>
          </w:p>
        </w:tc>
        <w:tc>
          <w:tcPr>
            <w:tcW w:w="627" w:type="pct"/>
            <w:shd w:val="clear" w:color="auto" w:fill="auto"/>
            <w:noWrap/>
            <w:vAlign w:val="center"/>
            <w:hideMark/>
          </w:tcPr>
          <w:p w14:paraId="10D5C02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1,62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339A24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3,51</w:t>
            </w:r>
            <w:r>
              <w:rPr>
                <w:rFonts w:ascii="Arial" w:eastAsia="Times New Roman" w:hAnsi="Arial" w:cs="Arial"/>
                <w:color w:val="000000"/>
                <w:sz w:val="18"/>
                <w:szCs w:val="18"/>
                <w:lang w:eastAsia="sl-SI"/>
              </w:rPr>
              <w:t xml:space="preserve"> %</w:t>
            </w:r>
          </w:p>
        </w:tc>
      </w:tr>
      <w:tr w:rsidR="00072A69" w:rsidRPr="00557F27" w14:paraId="7DEABDCA" w14:textId="77777777" w:rsidTr="00AC1F17">
        <w:trPr>
          <w:trHeight w:val="300"/>
        </w:trPr>
        <w:tc>
          <w:tcPr>
            <w:tcW w:w="545" w:type="pct"/>
            <w:shd w:val="clear" w:color="auto" w:fill="auto"/>
            <w:vAlign w:val="center"/>
            <w:hideMark/>
          </w:tcPr>
          <w:p w14:paraId="39BAEC2F"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73</w:t>
            </w:r>
          </w:p>
        </w:tc>
        <w:tc>
          <w:tcPr>
            <w:tcW w:w="1877" w:type="pct"/>
            <w:shd w:val="clear" w:color="auto" w:fill="auto"/>
            <w:vAlign w:val="center"/>
            <w:hideMark/>
          </w:tcPr>
          <w:p w14:paraId="530387F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na področju raziskav in razvoja ter s tem povezane svetovalne storitve</w:t>
            </w:r>
          </w:p>
        </w:tc>
        <w:tc>
          <w:tcPr>
            <w:tcW w:w="547" w:type="pct"/>
            <w:shd w:val="clear" w:color="auto" w:fill="auto"/>
            <w:vAlign w:val="center"/>
            <w:hideMark/>
          </w:tcPr>
          <w:p w14:paraId="4983CDB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w:t>
            </w:r>
          </w:p>
        </w:tc>
        <w:tc>
          <w:tcPr>
            <w:tcW w:w="861" w:type="pct"/>
            <w:shd w:val="clear" w:color="auto" w:fill="auto"/>
            <w:vAlign w:val="center"/>
            <w:hideMark/>
          </w:tcPr>
          <w:p w14:paraId="6078E90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1.066.121</w:t>
            </w:r>
          </w:p>
        </w:tc>
        <w:tc>
          <w:tcPr>
            <w:tcW w:w="627" w:type="pct"/>
            <w:shd w:val="clear" w:color="auto" w:fill="auto"/>
            <w:noWrap/>
            <w:vAlign w:val="center"/>
            <w:hideMark/>
          </w:tcPr>
          <w:p w14:paraId="198FDCA7"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F10ADD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072A69" w:rsidRPr="00557F27" w14:paraId="2EEFEEDF" w14:textId="77777777" w:rsidTr="00AC1F17">
        <w:trPr>
          <w:trHeight w:val="300"/>
        </w:trPr>
        <w:tc>
          <w:tcPr>
            <w:tcW w:w="545" w:type="pct"/>
            <w:shd w:val="clear" w:color="auto" w:fill="auto"/>
            <w:vAlign w:val="center"/>
            <w:hideMark/>
          </w:tcPr>
          <w:p w14:paraId="317FEBA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75</w:t>
            </w:r>
          </w:p>
        </w:tc>
        <w:tc>
          <w:tcPr>
            <w:tcW w:w="1877" w:type="pct"/>
            <w:shd w:val="clear" w:color="auto" w:fill="auto"/>
            <w:vAlign w:val="center"/>
            <w:hideMark/>
          </w:tcPr>
          <w:p w14:paraId="1380A73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uprave, obrambe in socialnega zavarovanja</w:t>
            </w:r>
          </w:p>
        </w:tc>
        <w:tc>
          <w:tcPr>
            <w:tcW w:w="547" w:type="pct"/>
            <w:shd w:val="clear" w:color="auto" w:fill="auto"/>
            <w:vAlign w:val="center"/>
            <w:hideMark/>
          </w:tcPr>
          <w:p w14:paraId="499B7CE9"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w:t>
            </w:r>
          </w:p>
        </w:tc>
        <w:tc>
          <w:tcPr>
            <w:tcW w:w="861" w:type="pct"/>
            <w:shd w:val="clear" w:color="auto" w:fill="auto"/>
            <w:vAlign w:val="center"/>
            <w:hideMark/>
          </w:tcPr>
          <w:p w14:paraId="6D13DC9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159.876</w:t>
            </w:r>
          </w:p>
        </w:tc>
        <w:tc>
          <w:tcPr>
            <w:tcW w:w="627" w:type="pct"/>
            <w:shd w:val="clear" w:color="auto" w:fill="auto"/>
            <w:noWrap/>
            <w:vAlign w:val="center"/>
            <w:hideMark/>
          </w:tcPr>
          <w:p w14:paraId="2E03A1C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C61CC8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57F27" w14:paraId="0154A87A" w14:textId="77777777" w:rsidTr="00AC1F17">
        <w:trPr>
          <w:trHeight w:val="300"/>
        </w:trPr>
        <w:tc>
          <w:tcPr>
            <w:tcW w:w="545" w:type="pct"/>
            <w:shd w:val="clear" w:color="auto" w:fill="auto"/>
            <w:vAlign w:val="center"/>
            <w:hideMark/>
          </w:tcPr>
          <w:p w14:paraId="45ABB1B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76</w:t>
            </w:r>
          </w:p>
        </w:tc>
        <w:tc>
          <w:tcPr>
            <w:tcW w:w="1877" w:type="pct"/>
            <w:shd w:val="clear" w:color="auto" w:fill="auto"/>
            <w:vAlign w:val="center"/>
            <w:hideMark/>
          </w:tcPr>
          <w:p w14:paraId="66CD5EA5"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povezane z industrijo nafte in zemeljskega plina</w:t>
            </w:r>
          </w:p>
        </w:tc>
        <w:tc>
          <w:tcPr>
            <w:tcW w:w="547" w:type="pct"/>
            <w:shd w:val="clear" w:color="auto" w:fill="auto"/>
            <w:vAlign w:val="center"/>
            <w:hideMark/>
          </w:tcPr>
          <w:p w14:paraId="6FB4BD6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w:t>
            </w:r>
          </w:p>
        </w:tc>
        <w:tc>
          <w:tcPr>
            <w:tcW w:w="861" w:type="pct"/>
            <w:shd w:val="clear" w:color="auto" w:fill="auto"/>
            <w:vAlign w:val="center"/>
            <w:hideMark/>
          </w:tcPr>
          <w:p w14:paraId="03D1F92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11.000.000</w:t>
            </w:r>
          </w:p>
        </w:tc>
        <w:tc>
          <w:tcPr>
            <w:tcW w:w="627" w:type="pct"/>
            <w:shd w:val="clear" w:color="auto" w:fill="auto"/>
            <w:noWrap/>
            <w:vAlign w:val="center"/>
            <w:hideMark/>
          </w:tcPr>
          <w:p w14:paraId="294EEDC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405E5FB"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r>
      <w:tr w:rsidR="00072A69" w:rsidRPr="00557F27" w14:paraId="0C313FAF" w14:textId="77777777" w:rsidTr="00AC1F17">
        <w:trPr>
          <w:trHeight w:val="300"/>
        </w:trPr>
        <w:tc>
          <w:tcPr>
            <w:tcW w:w="545" w:type="pct"/>
            <w:shd w:val="clear" w:color="auto" w:fill="auto"/>
            <w:vAlign w:val="center"/>
            <w:hideMark/>
          </w:tcPr>
          <w:p w14:paraId="27CFFF14"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77</w:t>
            </w:r>
          </w:p>
        </w:tc>
        <w:tc>
          <w:tcPr>
            <w:tcW w:w="1877" w:type="pct"/>
            <w:shd w:val="clear" w:color="auto" w:fill="auto"/>
            <w:vAlign w:val="center"/>
            <w:hideMark/>
          </w:tcPr>
          <w:p w14:paraId="717962E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na področju kmetijstva, gozdarstva, hortikulture, akvakulture in čebelarstva</w:t>
            </w:r>
          </w:p>
        </w:tc>
        <w:tc>
          <w:tcPr>
            <w:tcW w:w="547" w:type="pct"/>
            <w:shd w:val="clear" w:color="auto" w:fill="auto"/>
            <w:vAlign w:val="center"/>
            <w:hideMark/>
          </w:tcPr>
          <w:p w14:paraId="58D5206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96</w:t>
            </w:r>
          </w:p>
        </w:tc>
        <w:tc>
          <w:tcPr>
            <w:tcW w:w="861" w:type="pct"/>
            <w:shd w:val="clear" w:color="auto" w:fill="auto"/>
            <w:vAlign w:val="center"/>
            <w:hideMark/>
          </w:tcPr>
          <w:p w14:paraId="034A2E0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23.720.443</w:t>
            </w:r>
          </w:p>
        </w:tc>
        <w:tc>
          <w:tcPr>
            <w:tcW w:w="627" w:type="pct"/>
            <w:shd w:val="clear" w:color="auto" w:fill="auto"/>
            <w:noWrap/>
            <w:vAlign w:val="center"/>
            <w:hideMark/>
          </w:tcPr>
          <w:p w14:paraId="4FD36A2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C9C1DD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1,22</w:t>
            </w:r>
            <w:r>
              <w:rPr>
                <w:rFonts w:ascii="Arial" w:eastAsia="Times New Roman" w:hAnsi="Arial" w:cs="Arial"/>
                <w:color w:val="000000"/>
                <w:sz w:val="18"/>
                <w:szCs w:val="18"/>
                <w:lang w:eastAsia="sl-SI"/>
              </w:rPr>
              <w:t xml:space="preserve"> %</w:t>
            </w:r>
          </w:p>
        </w:tc>
      </w:tr>
      <w:tr w:rsidR="00072A69" w:rsidRPr="00557F27" w14:paraId="3E529513" w14:textId="77777777" w:rsidTr="00AC1F17">
        <w:trPr>
          <w:trHeight w:val="300"/>
        </w:trPr>
        <w:tc>
          <w:tcPr>
            <w:tcW w:w="545" w:type="pct"/>
            <w:shd w:val="clear" w:color="auto" w:fill="auto"/>
            <w:vAlign w:val="center"/>
            <w:hideMark/>
          </w:tcPr>
          <w:p w14:paraId="5864E52E"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79</w:t>
            </w:r>
          </w:p>
        </w:tc>
        <w:tc>
          <w:tcPr>
            <w:tcW w:w="1877" w:type="pct"/>
            <w:shd w:val="clear" w:color="auto" w:fill="auto"/>
            <w:vAlign w:val="center"/>
            <w:hideMark/>
          </w:tcPr>
          <w:p w14:paraId="31B8EFED"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Poslovne storitve: pravo, trženje, svetovanje, zaposlovanje, tiskanje in varnost</w:t>
            </w:r>
          </w:p>
        </w:tc>
        <w:tc>
          <w:tcPr>
            <w:tcW w:w="547" w:type="pct"/>
            <w:shd w:val="clear" w:color="auto" w:fill="auto"/>
            <w:vAlign w:val="center"/>
            <w:hideMark/>
          </w:tcPr>
          <w:p w14:paraId="1ED92540"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71</w:t>
            </w:r>
          </w:p>
        </w:tc>
        <w:tc>
          <w:tcPr>
            <w:tcW w:w="861" w:type="pct"/>
            <w:shd w:val="clear" w:color="auto" w:fill="auto"/>
            <w:vAlign w:val="center"/>
            <w:hideMark/>
          </w:tcPr>
          <w:p w14:paraId="0B76CD0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38.725.259</w:t>
            </w:r>
          </w:p>
        </w:tc>
        <w:tc>
          <w:tcPr>
            <w:tcW w:w="627" w:type="pct"/>
            <w:shd w:val="clear" w:color="auto" w:fill="auto"/>
            <w:noWrap/>
            <w:vAlign w:val="center"/>
            <w:hideMark/>
          </w:tcPr>
          <w:p w14:paraId="67A4A25E"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0,88</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1F5D0A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1,99</w:t>
            </w:r>
            <w:r>
              <w:rPr>
                <w:rFonts w:ascii="Arial" w:eastAsia="Times New Roman" w:hAnsi="Arial" w:cs="Arial"/>
                <w:color w:val="000000"/>
                <w:sz w:val="18"/>
                <w:szCs w:val="18"/>
                <w:lang w:eastAsia="sl-SI"/>
              </w:rPr>
              <w:t xml:space="preserve"> %</w:t>
            </w:r>
          </w:p>
        </w:tc>
      </w:tr>
      <w:tr w:rsidR="00072A69" w:rsidRPr="00557F27" w14:paraId="08E91792" w14:textId="77777777" w:rsidTr="00AC1F17">
        <w:trPr>
          <w:trHeight w:val="300"/>
        </w:trPr>
        <w:tc>
          <w:tcPr>
            <w:tcW w:w="545" w:type="pct"/>
            <w:shd w:val="clear" w:color="auto" w:fill="auto"/>
            <w:vAlign w:val="center"/>
            <w:hideMark/>
          </w:tcPr>
          <w:p w14:paraId="012DBDCB"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80</w:t>
            </w:r>
          </w:p>
        </w:tc>
        <w:tc>
          <w:tcPr>
            <w:tcW w:w="1877" w:type="pct"/>
            <w:shd w:val="clear" w:color="auto" w:fill="auto"/>
            <w:vAlign w:val="center"/>
            <w:hideMark/>
          </w:tcPr>
          <w:p w14:paraId="52D6B79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izobraževanja in usposabljanja</w:t>
            </w:r>
          </w:p>
        </w:tc>
        <w:tc>
          <w:tcPr>
            <w:tcW w:w="547" w:type="pct"/>
            <w:shd w:val="clear" w:color="auto" w:fill="auto"/>
            <w:vAlign w:val="center"/>
            <w:hideMark/>
          </w:tcPr>
          <w:p w14:paraId="124DE11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21</w:t>
            </w:r>
          </w:p>
        </w:tc>
        <w:tc>
          <w:tcPr>
            <w:tcW w:w="861" w:type="pct"/>
            <w:shd w:val="clear" w:color="auto" w:fill="auto"/>
            <w:vAlign w:val="center"/>
            <w:hideMark/>
          </w:tcPr>
          <w:p w14:paraId="50C10E5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5.022.050</w:t>
            </w:r>
          </w:p>
        </w:tc>
        <w:tc>
          <w:tcPr>
            <w:tcW w:w="627" w:type="pct"/>
            <w:shd w:val="clear" w:color="auto" w:fill="auto"/>
            <w:noWrap/>
            <w:vAlign w:val="center"/>
            <w:hideMark/>
          </w:tcPr>
          <w:p w14:paraId="1950EBE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077399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072A69" w:rsidRPr="00557F27" w14:paraId="02B25B24" w14:textId="77777777" w:rsidTr="00AC1F17">
        <w:trPr>
          <w:trHeight w:val="300"/>
        </w:trPr>
        <w:tc>
          <w:tcPr>
            <w:tcW w:w="545" w:type="pct"/>
            <w:shd w:val="clear" w:color="auto" w:fill="auto"/>
            <w:vAlign w:val="center"/>
            <w:hideMark/>
          </w:tcPr>
          <w:p w14:paraId="7139FAF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85</w:t>
            </w:r>
          </w:p>
        </w:tc>
        <w:tc>
          <w:tcPr>
            <w:tcW w:w="1877" w:type="pct"/>
            <w:shd w:val="clear" w:color="auto" w:fill="auto"/>
            <w:vAlign w:val="center"/>
            <w:hideMark/>
          </w:tcPr>
          <w:p w14:paraId="585E38D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na področju zdravstva in socialnega varstva</w:t>
            </w:r>
          </w:p>
        </w:tc>
        <w:tc>
          <w:tcPr>
            <w:tcW w:w="547" w:type="pct"/>
            <w:shd w:val="clear" w:color="auto" w:fill="auto"/>
            <w:vAlign w:val="center"/>
            <w:hideMark/>
          </w:tcPr>
          <w:p w14:paraId="31B758DD"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w:t>
            </w:r>
          </w:p>
        </w:tc>
        <w:tc>
          <w:tcPr>
            <w:tcW w:w="861" w:type="pct"/>
            <w:shd w:val="clear" w:color="auto" w:fill="auto"/>
            <w:vAlign w:val="center"/>
            <w:hideMark/>
          </w:tcPr>
          <w:p w14:paraId="61D8D81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3.291.619</w:t>
            </w:r>
          </w:p>
        </w:tc>
        <w:tc>
          <w:tcPr>
            <w:tcW w:w="627" w:type="pct"/>
            <w:shd w:val="clear" w:color="auto" w:fill="auto"/>
            <w:noWrap/>
            <w:vAlign w:val="center"/>
            <w:hideMark/>
          </w:tcPr>
          <w:p w14:paraId="56E616C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405EF18"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072A69" w:rsidRPr="00557F27" w14:paraId="290BD346" w14:textId="77777777" w:rsidTr="00AC1F17">
        <w:trPr>
          <w:trHeight w:val="300"/>
        </w:trPr>
        <w:tc>
          <w:tcPr>
            <w:tcW w:w="545" w:type="pct"/>
            <w:shd w:val="clear" w:color="auto" w:fill="auto"/>
            <w:vAlign w:val="center"/>
            <w:hideMark/>
          </w:tcPr>
          <w:p w14:paraId="0F5F2B61"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90</w:t>
            </w:r>
          </w:p>
        </w:tc>
        <w:tc>
          <w:tcPr>
            <w:tcW w:w="1877" w:type="pct"/>
            <w:shd w:val="clear" w:color="auto" w:fill="auto"/>
            <w:vAlign w:val="center"/>
            <w:hideMark/>
          </w:tcPr>
          <w:p w14:paraId="510FDDAA"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v zvezi z odplakami, odpadki, čiščenjem in okoljem</w:t>
            </w:r>
          </w:p>
        </w:tc>
        <w:tc>
          <w:tcPr>
            <w:tcW w:w="547" w:type="pct"/>
            <w:shd w:val="clear" w:color="auto" w:fill="auto"/>
            <w:vAlign w:val="center"/>
            <w:hideMark/>
          </w:tcPr>
          <w:p w14:paraId="68B7A0CA"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234</w:t>
            </w:r>
          </w:p>
        </w:tc>
        <w:tc>
          <w:tcPr>
            <w:tcW w:w="861" w:type="pct"/>
            <w:shd w:val="clear" w:color="auto" w:fill="auto"/>
            <w:vAlign w:val="center"/>
            <w:hideMark/>
          </w:tcPr>
          <w:p w14:paraId="67A0640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64.869.764</w:t>
            </w:r>
          </w:p>
        </w:tc>
        <w:tc>
          <w:tcPr>
            <w:tcW w:w="627" w:type="pct"/>
            <w:shd w:val="clear" w:color="auto" w:fill="auto"/>
            <w:noWrap/>
            <w:vAlign w:val="center"/>
            <w:hideMark/>
          </w:tcPr>
          <w:p w14:paraId="0F299FE2"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2,91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AE75DF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3,33</w:t>
            </w:r>
            <w:r>
              <w:rPr>
                <w:rFonts w:ascii="Arial" w:eastAsia="Times New Roman" w:hAnsi="Arial" w:cs="Arial"/>
                <w:color w:val="000000"/>
                <w:sz w:val="18"/>
                <w:szCs w:val="18"/>
                <w:lang w:eastAsia="sl-SI"/>
              </w:rPr>
              <w:t xml:space="preserve"> %</w:t>
            </w:r>
          </w:p>
        </w:tc>
      </w:tr>
      <w:tr w:rsidR="00072A69" w:rsidRPr="00557F27" w14:paraId="71B4213B" w14:textId="77777777" w:rsidTr="00AC1F17">
        <w:trPr>
          <w:trHeight w:val="300"/>
        </w:trPr>
        <w:tc>
          <w:tcPr>
            <w:tcW w:w="545" w:type="pct"/>
            <w:shd w:val="clear" w:color="auto" w:fill="auto"/>
            <w:vAlign w:val="center"/>
            <w:hideMark/>
          </w:tcPr>
          <w:p w14:paraId="45B4ED69"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92</w:t>
            </w:r>
          </w:p>
        </w:tc>
        <w:tc>
          <w:tcPr>
            <w:tcW w:w="1877" w:type="pct"/>
            <w:shd w:val="clear" w:color="auto" w:fill="auto"/>
            <w:vAlign w:val="center"/>
            <w:hideMark/>
          </w:tcPr>
          <w:p w14:paraId="4904ABD6"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Storitve na področju rekreacije, kulture in športa</w:t>
            </w:r>
          </w:p>
        </w:tc>
        <w:tc>
          <w:tcPr>
            <w:tcW w:w="547" w:type="pct"/>
            <w:shd w:val="clear" w:color="auto" w:fill="auto"/>
            <w:vAlign w:val="center"/>
            <w:hideMark/>
          </w:tcPr>
          <w:p w14:paraId="534110A6"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3</w:t>
            </w:r>
          </w:p>
        </w:tc>
        <w:tc>
          <w:tcPr>
            <w:tcW w:w="861" w:type="pct"/>
            <w:shd w:val="clear" w:color="auto" w:fill="auto"/>
            <w:vAlign w:val="center"/>
            <w:hideMark/>
          </w:tcPr>
          <w:p w14:paraId="02289D54"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1.645.722</w:t>
            </w:r>
          </w:p>
        </w:tc>
        <w:tc>
          <w:tcPr>
            <w:tcW w:w="627" w:type="pct"/>
            <w:shd w:val="clear" w:color="auto" w:fill="auto"/>
            <w:noWrap/>
            <w:vAlign w:val="center"/>
            <w:hideMark/>
          </w:tcPr>
          <w:p w14:paraId="6B285E0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6AB38F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072A69" w:rsidRPr="00557F27" w14:paraId="7B4EF9C9" w14:textId="77777777" w:rsidTr="00AC1F17">
        <w:trPr>
          <w:trHeight w:val="300"/>
        </w:trPr>
        <w:tc>
          <w:tcPr>
            <w:tcW w:w="545" w:type="pct"/>
            <w:shd w:val="clear" w:color="auto" w:fill="auto"/>
            <w:vAlign w:val="center"/>
            <w:hideMark/>
          </w:tcPr>
          <w:p w14:paraId="266BD0AB"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98</w:t>
            </w:r>
          </w:p>
        </w:tc>
        <w:tc>
          <w:tcPr>
            <w:tcW w:w="1877" w:type="pct"/>
            <w:shd w:val="clear" w:color="auto" w:fill="auto"/>
            <w:vAlign w:val="center"/>
            <w:hideMark/>
          </w:tcPr>
          <w:p w14:paraId="1130E9E5" w14:textId="77777777" w:rsidR="00072A69" w:rsidRPr="00557F27" w:rsidRDefault="00072A69" w:rsidP="00AC1F17">
            <w:pPr>
              <w:spacing w:after="0" w:line="240" w:lineRule="auto"/>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Druge javne, skupne in osebne storitve</w:t>
            </w:r>
          </w:p>
        </w:tc>
        <w:tc>
          <w:tcPr>
            <w:tcW w:w="547" w:type="pct"/>
            <w:shd w:val="clear" w:color="auto" w:fill="auto"/>
            <w:vAlign w:val="center"/>
            <w:hideMark/>
          </w:tcPr>
          <w:p w14:paraId="1C89AB65"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22</w:t>
            </w:r>
          </w:p>
        </w:tc>
        <w:tc>
          <w:tcPr>
            <w:tcW w:w="861" w:type="pct"/>
            <w:shd w:val="clear" w:color="auto" w:fill="auto"/>
            <w:vAlign w:val="center"/>
            <w:hideMark/>
          </w:tcPr>
          <w:p w14:paraId="6880F3D1"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11.863.542</w:t>
            </w:r>
          </w:p>
        </w:tc>
        <w:tc>
          <w:tcPr>
            <w:tcW w:w="627" w:type="pct"/>
            <w:shd w:val="clear" w:color="auto" w:fill="auto"/>
            <w:noWrap/>
            <w:vAlign w:val="center"/>
            <w:hideMark/>
          </w:tcPr>
          <w:p w14:paraId="3616869F"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1937589B" w14:textId="77777777" w:rsidR="00072A69" w:rsidRPr="00557F27" w:rsidRDefault="00072A69" w:rsidP="00AC1F17">
            <w:pPr>
              <w:spacing w:after="0" w:line="240" w:lineRule="auto"/>
              <w:jc w:val="right"/>
              <w:rPr>
                <w:rFonts w:ascii="Arial" w:eastAsia="Times New Roman" w:hAnsi="Arial" w:cs="Arial"/>
                <w:color w:val="000000"/>
                <w:sz w:val="18"/>
                <w:szCs w:val="18"/>
                <w:lang w:eastAsia="sl-SI"/>
              </w:rPr>
            </w:pPr>
            <w:r w:rsidRPr="00557F27">
              <w:rPr>
                <w:rFonts w:ascii="Arial" w:eastAsia="Times New Roman" w:hAnsi="Arial" w:cs="Arial"/>
                <w:color w:val="000000"/>
                <w:sz w:val="18"/>
                <w:szCs w:val="18"/>
                <w:lang w:eastAsia="sl-SI"/>
              </w:rPr>
              <w:t>0,61%</w:t>
            </w:r>
          </w:p>
        </w:tc>
      </w:tr>
      <w:tr w:rsidR="00072A69" w:rsidRPr="00557F27" w14:paraId="43ED097C" w14:textId="77777777" w:rsidTr="00AC1F17">
        <w:trPr>
          <w:trHeight w:val="300"/>
        </w:trPr>
        <w:tc>
          <w:tcPr>
            <w:tcW w:w="2422" w:type="pct"/>
            <w:gridSpan w:val="2"/>
            <w:shd w:val="clear" w:color="auto" w:fill="E7E6E6" w:themeFill="background2"/>
            <w:noWrap/>
            <w:vAlign w:val="center"/>
            <w:hideMark/>
          </w:tcPr>
          <w:p w14:paraId="1FD19F2A" w14:textId="77777777" w:rsidR="00072A69" w:rsidRPr="00557F27" w:rsidRDefault="00072A69" w:rsidP="00AC1F17">
            <w:pPr>
              <w:spacing w:after="0" w:line="240" w:lineRule="auto"/>
              <w:rPr>
                <w:rFonts w:ascii="Arial" w:eastAsia="Times New Roman" w:hAnsi="Arial" w:cs="Arial"/>
                <w:b/>
                <w:bCs/>
                <w:color w:val="000000"/>
                <w:sz w:val="18"/>
                <w:szCs w:val="18"/>
                <w:lang w:eastAsia="sl-SI"/>
              </w:rPr>
            </w:pPr>
            <w:r w:rsidRPr="00557F27">
              <w:rPr>
                <w:rFonts w:ascii="Arial" w:eastAsia="Times New Roman" w:hAnsi="Arial" w:cs="Arial"/>
                <w:b/>
                <w:bCs/>
                <w:color w:val="000000"/>
                <w:sz w:val="18"/>
                <w:szCs w:val="18"/>
                <w:lang w:eastAsia="sl-SI"/>
              </w:rPr>
              <w:t>Skupaj</w:t>
            </w:r>
          </w:p>
        </w:tc>
        <w:tc>
          <w:tcPr>
            <w:tcW w:w="547" w:type="pct"/>
            <w:shd w:val="clear" w:color="auto" w:fill="E7E6E6" w:themeFill="background2"/>
            <w:noWrap/>
            <w:vAlign w:val="center"/>
            <w:hideMark/>
          </w:tcPr>
          <w:p w14:paraId="47D3CD92" w14:textId="77777777" w:rsidR="00072A69" w:rsidRPr="00557F27" w:rsidRDefault="00072A69" w:rsidP="00AC1F17">
            <w:pPr>
              <w:spacing w:after="0" w:line="240" w:lineRule="auto"/>
              <w:jc w:val="right"/>
              <w:rPr>
                <w:rFonts w:ascii="Arial" w:eastAsia="Times New Roman" w:hAnsi="Arial" w:cs="Arial"/>
                <w:b/>
                <w:bCs/>
                <w:color w:val="000000"/>
                <w:sz w:val="18"/>
                <w:szCs w:val="18"/>
                <w:lang w:eastAsia="sl-SI"/>
              </w:rPr>
            </w:pPr>
            <w:r w:rsidRPr="00557F27">
              <w:rPr>
                <w:rFonts w:ascii="Arial" w:eastAsia="Times New Roman" w:hAnsi="Arial" w:cs="Arial"/>
                <w:b/>
                <w:bCs/>
                <w:color w:val="000000"/>
                <w:sz w:val="18"/>
                <w:szCs w:val="18"/>
                <w:lang w:eastAsia="sl-SI"/>
              </w:rPr>
              <w:t>8.033</w:t>
            </w:r>
          </w:p>
        </w:tc>
        <w:tc>
          <w:tcPr>
            <w:tcW w:w="861" w:type="pct"/>
            <w:shd w:val="clear" w:color="auto" w:fill="E7E6E6" w:themeFill="background2"/>
            <w:noWrap/>
            <w:vAlign w:val="center"/>
            <w:hideMark/>
          </w:tcPr>
          <w:p w14:paraId="2382468A" w14:textId="77777777" w:rsidR="00072A69" w:rsidRPr="00557F27" w:rsidRDefault="00072A69" w:rsidP="00AC1F17">
            <w:pPr>
              <w:spacing w:after="0" w:line="240" w:lineRule="auto"/>
              <w:jc w:val="right"/>
              <w:rPr>
                <w:rFonts w:ascii="Arial" w:eastAsia="Times New Roman" w:hAnsi="Arial" w:cs="Arial"/>
                <w:b/>
                <w:bCs/>
                <w:color w:val="000000"/>
                <w:sz w:val="18"/>
                <w:szCs w:val="18"/>
                <w:lang w:eastAsia="sl-SI"/>
              </w:rPr>
            </w:pPr>
            <w:r w:rsidRPr="00557F27">
              <w:rPr>
                <w:rFonts w:ascii="Arial" w:eastAsia="Times New Roman" w:hAnsi="Arial" w:cs="Arial"/>
                <w:b/>
                <w:bCs/>
                <w:color w:val="000000"/>
                <w:sz w:val="18"/>
                <w:szCs w:val="18"/>
                <w:lang w:eastAsia="sl-SI"/>
              </w:rPr>
              <w:t>1.945.120.376</w:t>
            </w:r>
          </w:p>
        </w:tc>
        <w:tc>
          <w:tcPr>
            <w:tcW w:w="627" w:type="pct"/>
            <w:shd w:val="clear" w:color="auto" w:fill="E7E6E6" w:themeFill="background2"/>
            <w:noWrap/>
            <w:vAlign w:val="center"/>
            <w:hideMark/>
          </w:tcPr>
          <w:p w14:paraId="57D8D035" w14:textId="77777777" w:rsidR="00072A69" w:rsidRPr="00557F27" w:rsidRDefault="00072A69" w:rsidP="00AC1F17">
            <w:pPr>
              <w:spacing w:after="0" w:line="240" w:lineRule="auto"/>
              <w:jc w:val="right"/>
              <w:rPr>
                <w:rFonts w:ascii="Arial" w:eastAsia="Times New Roman" w:hAnsi="Arial" w:cs="Arial"/>
                <w:b/>
                <w:bCs/>
                <w:color w:val="000000"/>
                <w:sz w:val="18"/>
                <w:szCs w:val="18"/>
                <w:lang w:eastAsia="sl-SI"/>
              </w:rPr>
            </w:pPr>
            <w:r w:rsidRPr="00557F2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557F27">
              <w:rPr>
                <w:rFonts w:ascii="Arial" w:eastAsia="Times New Roman" w:hAnsi="Arial" w:cs="Arial"/>
                <w:b/>
                <w:bCs/>
                <w:color w:val="000000"/>
                <w:sz w:val="18"/>
                <w:szCs w:val="18"/>
                <w:lang w:eastAsia="sl-SI"/>
              </w:rPr>
              <w:t>%</w:t>
            </w:r>
          </w:p>
        </w:tc>
        <w:tc>
          <w:tcPr>
            <w:tcW w:w="543" w:type="pct"/>
            <w:shd w:val="clear" w:color="auto" w:fill="E7E6E6" w:themeFill="background2"/>
            <w:noWrap/>
            <w:vAlign w:val="center"/>
            <w:hideMark/>
          </w:tcPr>
          <w:p w14:paraId="33B8644F" w14:textId="77777777" w:rsidR="00072A69" w:rsidRPr="00557F27" w:rsidRDefault="00072A69" w:rsidP="00AC1F17">
            <w:pPr>
              <w:spacing w:after="0" w:line="240" w:lineRule="auto"/>
              <w:jc w:val="right"/>
              <w:rPr>
                <w:rFonts w:ascii="Arial" w:eastAsia="Times New Roman" w:hAnsi="Arial" w:cs="Arial"/>
                <w:b/>
                <w:bCs/>
                <w:color w:val="000000"/>
                <w:sz w:val="18"/>
                <w:szCs w:val="18"/>
                <w:lang w:eastAsia="sl-SI"/>
              </w:rPr>
            </w:pPr>
            <w:r w:rsidRPr="00557F2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7791AB44" w14:textId="77777777" w:rsidR="00072A69" w:rsidRPr="00EF2D0B" w:rsidRDefault="00072A69" w:rsidP="00072A69">
      <w:pPr>
        <w:spacing w:before="120" w:after="120" w:line="240" w:lineRule="auto"/>
        <w:jc w:val="both"/>
        <w:rPr>
          <w:rFonts w:ascii="Arial" w:hAnsi="Arial" w:cs="Arial"/>
          <w:sz w:val="20"/>
          <w:highlight w:val="yellow"/>
        </w:rPr>
      </w:pPr>
    </w:p>
    <w:p w14:paraId="2A644C03" w14:textId="493CA6A1" w:rsidR="00072A69" w:rsidRPr="00396CDD" w:rsidRDefault="00072A69" w:rsidP="00072A69">
      <w:pPr>
        <w:spacing w:before="120" w:after="120" w:line="240" w:lineRule="auto"/>
        <w:jc w:val="both"/>
        <w:rPr>
          <w:rFonts w:ascii="Arial" w:hAnsi="Arial" w:cs="Arial"/>
          <w:sz w:val="20"/>
        </w:rPr>
      </w:pPr>
      <w:r w:rsidRPr="00396CDD">
        <w:rPr>
          <w:rFonts w:ascii="Arial" w:hAnsi="Arial" w:cs="Arial"/>
          <w:sz w:val="20"/>
        </w:rPr>
        <w:t>Preglednica 9</w:t>
      </w:r>
      <w:r w:rsidR="00D23EC0">
        <w:rPr>
          <w:rFonts w:ascii="Arial" w:hAnsi="Arial" w:cs="Arial"/>
          <w:sz w:val="20"/>
        </w:rPr>
        <w:t>1</w:t>
      </w:r>
      <w:r w:rsidRPr="00396CDD">
        <w:rPr>
          <w:rFonts w:ascii="Arial" w:hAnsi="Arial" w:cs="Arial"/>
          <w:sz w:val="20"/>
        </w:rPr>
        <w:t>: Javna naročila glede na predmet naročanja in merila za izbor</w:t>
      </w:r>
    </w:p>
    <w:tbl>
      <w:tblPr>
        <w:tblW w:w="5000" w:type="pct"/>
        <w:tblCellMar>
          <w:left w:w="70" w:type="dxa"/>
          <w:right w:w="70" w:type="dxa"/>
        </w:tblCellMar>
        <w:tblLook w:val="04A0" w:firstRow="1" w:lastRow="0" w:firstColumn="1" w:lastColumn="0" w:noHBand="0" w:noVBand="1"/>
      </w:tblPr>
      <w:tblGrid>
        <w:gridCol w:w="1268"/>
        <w:gridCol w:w="3121"/>
        <w:gridCol w:w="1133"/>
        <w:gridCol w:w="1635"/>
        <w:gridCol w:w="952"/>
        <w:gridCol w:w="953"/>
      </w:tblGrid>
      <w:tr w:rsidR="00072A69" w:rsidRPr="003B4BB3" w14:paraId="240543CC" w14:textId="77777777" w:rsidTr="00AC1F17">
        <w:trPr>
          <w:trHeight w:val="960"/>
        </w:trPr>
        <w:tc>
          <w:tcPr>
            <w:tcW w:w="70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4C4CFC0"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bookmarkStart w:id="81" w:name="_Toc367054475"/>
            <w:bookmarkStart w:id="82" w:name="_Toc367193248"/>
            <w:bookmarkStart w:id="83" w:name="_Toc367784264"/>
            <w:bookmarkStart w:id="84" w:name="_Toc368925709"/>
            <w:bookmarkStart w:id="85" w:name="_Toc369000992"/>
            <w:bookmarkStart w:id="86" w:name="_Toc367054476"/>
            <w:bookmarkStart w:id="87" w:name="_Toc367193249"/>
            <w:bookmarkStart w:id="88" w:name="_Toc367784267"/>
            <w:r w:rsidRPr="003B4BB3">
              <w:rPr>
                <w:rFonts w:ascii="Arial" w:eastAsia="Times New Roman" w:hAnsi="Arial" w:cs="Arial"/>
                <w:color w:val="000000"/>
                <w:sz w:val="18"/>
                <w:szCs w:val="18"/>
                <w:lang w:eastAsia="sl-SI"/>
              </w:rPr>
              <w:t>Predmet</w:t>
            </w:r>
          </w:p>
        </w:tc>
        <w:tc>
          <w:tcPr>
            <w:tcW w:w="1722" w:type="pct"/>
            <w:tcBorders>
              <w:top w:val="single" w:sz="4" w:space="0" w:color="auto"/>
              <w:left w:val="nil"/>
              <w:bottom w:val="single" w:sz="4" w:space="0" w:color="auto"/>
              <w:right w:val="single" w:sz="4" w:space="0" w:color="auto"/>
            </w:tcBorders>
            <w:shd w:val="clear" w:color="000000" w:fill="EDEDED"/>
            <w:vAlign w:val="center"/>
            <w:hideMark/>
          </w:tcPr>
          <w:p w14:paraId="6D62EF95"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Merila</w:t>
            </w:r>
          </w:p>
        </w:tc>
        <w:tc>
          <w:tcPr>
            <w:tcW w:w="625" w:type="pct"/>
            <w:tcBorders>
              <w:top w:val="single" w:sz="4" w:space="0" w:color="auto"/>
              <w:left w:val="nil"/>
              <w:bottom w:val="single" w:sz="4" w:space="0" w:color="auto"/>
              <w:right w:val="single" w:sz="4" w:space="0" w:color="auto"/>
            </w:tcBorders>
            <w:shd w:val="clear" w:color="000000" w:fill="EDEDED"/>
            <w:vAlign w:val="center"/>
            <w:hideMark/>
          </w:tcPr>
          <w:p w14:paraId="078E2A7B"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Št. naročil</w:t>
            </w:r>
          </w:p>
        </w:tc>
        <w:tc>
          <w:tcPr>
            <w:tcW w:w="902" w:type="pct"/>
            <w:tcBorders>
              <w:top w:val="single" w:sz="4" w:space="0" w:color="auto"/>
              <w:left w:val="nil"/>
              <w:bottom w:val="single" w:sz="4" w:space="0" w:color="auto"/>
              <w:right w:val="single" w:sz="4" w:space="0" w:color="auto"/>
            </w:tcBorders>
            <w:shd w:val="clear" w:color="000000" w:fill="EDEDED"/>
            <w:vAlign w:val="center"/>
            <w:hideMark/>
          </w:tcPr>
          <w:p w14:paraId="74007431"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50766EE4"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A88FAAA"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Delež v vrednosti istovrstnih naročil</w:t>
            </w:r>
          </w:p>
        </w:tc>
      </w:tr>
      <w:tr w:rsidR="00072A69" w:rsidRPr="003B4BB3" w14:paraId="5C23B1F7" w14:textId="77777777" w:rsidTr="00AC1F17">
        <w:trPr>
          <w:trHeight w:val="30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14:paraId="79069C22"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Blago</w:t>
            </w:r>
          </w:p>
        </w:tc>
        <w:tc>
          <w:tcPr>
            <w:tcW w:w="1722" w:type="pct"/>
            <w:tcBorders>
              <w:top w:val="nil"/>
              <w:left w:val="nil"/>
              <w:bottom w:val="single" w:sz="4" w:space="0" w:color="auto"/>
              <w:right w:val="single" w:sz="4" w:space="0" w:color="auto"/>
            </w:tcBorders>
            <w:shd w:val="clear" w:color="auto" w:fill="auto"/>
            <w:vAlign w:val="center"/>
            <w:hideMark/>
          </w:tcPr>
          <w:p w14:paraId="0DA0B8F2" w14:textId="77777777" w:rsidR="00072A69" w:rsidRPr="003B4BB3" w:rsidRDefault="00072A69" w:rsidP="00AC1F17">
            <w:pPr>
              <w:spacing w:after="0" w:line="240" w:lineRule="auto"/>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Cena</w:t>
            </w:r>
          </w:p>
        </w:tc>
        <w:tc>
          <w:tcPr>
            <w:tcW w:w="625" w:type="pct"/>
            <w:tcBorders>
              <w:top w:val="nil"/>
              <w:left w:val="nil"/>
              <w:bottom w:val="single" w:sz="4" w:space="0" w:color="auto"/>
              <w:right w:val="single" w:sz="4" w:space="0" w:color="auto"/>
            </w:tcBorders>
            <w:shd w:val="clear" w:color="auto" w:fill="auto"/>
            <w:vAlign w:val="center"/>
            <w:hideMark/>
          </w:tcPr>
          <w:p w14:paraId="69E3C14D"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9.550</w:t>
            </w:r>
          </w:p>
        </w:tc>
        <w:tc>
          <w:tcPr>
            <w:tcW w:w="902" w:type="pct"/>
            <w:tcBorders>
              <w:top w:val="nil"/>
              <w:left w:val="nil"/>
              <w:bottom w:val="single" w:sz="4" w:space="0" w:color="auto"/>
              <w:right w:val="single" w:sz="4" w:space="0" w:color="auto"/>
            </w:tcBorders>
            <w:shd w:val="clear" w:color="auto" w:fill="auto"/>
            <w:vAlign w:val="center"/>
            <w:hideMark/>
          </w:tcPr>
          <w:p w14:paraId="617B9950"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1.074.269.278</w:t>
            </w:r>
          </w:p>
        </w:tc>
        <w:tc>
          <w:tcPr>
            <w:tcW w:w="525" w:type="pct"/>
            <w:tcBorders>
              <w:top w:val="nil"/>
              <w:left w:val="nil"/>
              <w:bottom w:val="single" w:sz="4" w:space="0" w:color="auto"/>
              <w:right w:val="single" w:sz="4" w:space="0" w:color="auto"/>
            </w:tcBorders>
            <w:shd w:val="clear" w:color="auto" w:fill="auto"/>
            <w:noWrap/>
            <w:vAlign w:val="center"/>
            <w:hideMark/>
          </w:tcPr>
          <w:p w14:paraId="5DB572F1"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87,08</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5078270"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89,70</w:t>
            </w:r>
            <w:r>
              <w:rPr>
                <w:rFonts w:ascii="Arial" w:eastAsia="Times New Roman" w:hAnsi="Arial" w:cs="Arial"/>
                <w:color w:val="000000"/>
                <w:sz w:val="18"/>
                <w:szCs w:val="18"/>
                <w:lang w:eastAsia="sl-SI"/>
              </w:rPr>
              <w:t xml:space="preserve"> %</w:t>
            </w:r>
          </w:p>
        </w:tc>
      </w:tr>
      <w:tr w:rsidR="00072A69" w:rsidRPr="003B4BB3" w14:paraId="3FEDAB0C" w14:textId="77777777" w:rsidTr="00AC1F17">
        <w:trPr>
          <w:trHeight w:val="300"/>
        </w:trPr>
        <w:tc>
          <w:tcPr>
            <w:tcW w:w="700" w:type="pct"/>
            <w:vMerge/>
            <w:tcBorders>
              <w:top w:val="nil"/>
              <w:left w:val="single" w:sz="4" w:space="0" w:color="auto"/>
              <w:bottom w:val="single" w:sz="4" w:space="0" w:color="000000"/>
              <w:right w:val="single" w:sz="4" w:space="0" w:color="auto"/>
            </w:tcBorders>
            <w:vAlign w:val="center"/>
            <w:hideMark/>
          </w:tcPr>
          <w:p w14:paraId="606F422C" w14:textId="77777777" w:rsidR="00072A69" w:rsidRPr="003B4BB3" w:rsidRDefault="00072A69" w:rsidP="00AC1F17">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274A6BFA" w14:textId="77777777" w:rsidR="00072A69" w:rsidRPr="003B4BB3" w:rsidRDefault="00072A69" w:rsidP="00AC1F17">
            <w:pPr>
              <w:spacing w:after="0" w:line="240" w:lineRule="auto"/>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Ekonomsko najugodnejša ponudba</w:t>
            </w:r>
          </w:p>
        </w:tc>
        <w:tc>
          <w:tcPr>
            <w:tcW w:w="625" w:type="pct"/>
            <w:tcBorders>
              <w:top w:val="nil"/>
              <w:left w:val="nil"/>
              <w:bottom w:val="single" w:sz="4" w:space="0" w:color="auto"/>
              <w:right w:val="single" w:sz="4" w:space="0" w:color="auto"/>
            </w:tcBorders>
            <w:shd w:val="clear" w:color="auto" w:fill="auto"/>
            <w:vAlign w:val="center"/>
            <w:hideMark/>
          </w:tcPr>
          <w:p w14:paraId="6D1D0F10"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1.417</w:t>
            </w:r>
          </w:p>
        </w:tc>
        <w:tc>
          <w:tcPr>
            <w:tcW w:w="902" w:type="pct"/>
            <w:tcBorders>
              <w:top w:val="nil"/>
              <w:left w:val="nil"/>
              <w:bottom w:val="single" w:sz="4" w:space="0" w:color="auto"/>
              <w:right w:val="single" w:sz="4" w:space="0" w:color="auto"/>
            </w:tcBorders>
            <w:shd w:val="clear" w:color="auto" w:fill="auto"/>
            <w:vAlign w:val="center"/>
            <w:hideMark/>
          </w:tcPr>
          <w:p w14:paraId="0ED7D054"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123.356.718</w:t>
            </w:r>
          </w:p>
        </w:tc>
        <w:tc>
          <w:tcPr>
            <w:tcW w:w="525" w:type="pct"/>
            <w:tcBorders>
              <w:top w:val="nil"/>
              <w:left w:val="nil"/>
              <w:bottom w:val="single" w:sz="4" w:space="0" w:color="auto"/>
              <w:right w:val="single" w:sz="4" w:space="0" w:color="auto"/>
            </w:tcBorders>
            <w:shd w:val="clear" w:color="auto" w:fill="auto"/>
            <w:noWrap/>
            <w:vAlign w:val="center"/>
            <w:hideMark/>
          </w:tcPr>
          <w:p w14:paraId="085FCF35"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12,92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E9CC991"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10,30</w:t>
            </w:r>
            <w:r>
              <w:rPr>
                <w:rFonts w:ascii="Arial" w:eastAsia="Times New Roman" w:hAnsi="Arial" w:cs="Arial"/>
                <w:color w:val="000000"/>
                <w:sz w:val="18"/>
                <w:szCs w:val="18"/>
                <w:lang w:eastAsia="sl-SI"/>
              </w:rPr>
              <w:t xml:space="preserve"> %</w:t>
            </w:r>
          </w:p>
        </w:tc>
      </w:tr>
      <w:tr w:rsidR="00072A69" w:rsidRPr="003B4BB3" w14:paraId="5B67FB21" w14:textId="77777777" w:rsidTr="00AC1F17">
        <w:trPr>
          <w:trHeight w:val="300"/>
        </w:trPr>
        <w:tc>
          <w:tcPr>
            <w:tcW w:w="700" w:type="pct"/>
            <w:vMerge/>
            <w:tcBorders>
              <w:top w:val="nil"/>
              <w:left w:val="single" w:sz="4" w:space="0" w:color="auto"/>
              <w:bottom w:val="single" w:sz="4" w:space="0" w:color="000000"/>
              <w:right w:val="single" w:sz="4" w:space="0" w:color="auto"/>
            </w:tcBorders>
            <w:vAlign w:val="center"/>
            <w:hideMark/>
          </w:tcPr>
          <w:p w14:paraId="1BC7D05E" w14:textId="77777777" w:rsidR="00072A69" w:rsidRPr="003B4BB3" w:rsidRDefault="00072A69" w:rsidP="00AC1F17">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5B9153EE" w14:textId="77777777" w:rsidR="00072A69" w:rsidRPr="003B4BB3" w:rsidRDefault="00072A69" w:rsidP="00AC1F17">
            <w:pPr>
              <w:spacing w:after="0" w:line="240" w:lineRule="auto"/>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auto"/>
            <w:vAlign w:val="center"/>
            <w:hideMark/>
          </w:tcPr>
          <w:p w14:paraId="714DAA9F"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10.967</w:t>
            </w:r>
          </w:p>
        </w:tc>
        <w:tc>
          <w:tcPr>
            <w:tcW w:w="902" w:type="pct"/>
            <w:tcBorders>
              <w:top w:val="nil"/>
              <w:left w:val="nil"/>
              <w:bottom w:val="single" w:sz="4" w:space="0" w:color="auto"/>
              <w:right w:val="single" w:sz="4" w:space="0" w:color="auto"/>
            </w:tcBorders>
            <w:shd w:val="clear" w:color="auto" w:fill="auto"/>
            <w:vAlign w:val="center"/>
            <w:hideMark/>
          </w:tcPr>
          <w:p w14:paraId="4B979BCF"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1.197.625.996</w:t>
            </w:r>
          </w:p>
        </w:tc>
        <w:tc>
          <w:tcPr>
            <w:tcW w:w="525" w:type="pct"/>
            <w:tcBorders>
              <w:top w:val="nil"/>
              <w:left w:val="nil"/>
              <w:bottom w:val="single" w:sz="4" w:space="0" w:color="auto"/>
              <w:right w:val="single" w:sz="4" w:space="0" w:color="auto"/>
            </w:tcBorders>
            <w:shd w:val="clear" w:color="auto" w:fill="auto"/>
            <w:noWrap/>
            <w:vAlign w:val="center"/>
            <w:hideMark/>
          </w:tcPr>
          <w:p w14:paraId="12412C65"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6950CA26"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3B4BB3" w14:paraId="72522D19" w14:textId="77777777" w:rsidTr="00AC1F17">
        <w:trPr>
          <w:trHeight w:val="30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14:paraId="3F1A0D56"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Storitve</w:t>
            </w:r>
          </w:p>
        </w:tc>
        <w:tc>
          <w:tcPr>
            <w:tcW w:w="1722" w:type="pct"/>
            <w:tcBorders>
              <w:top w:val="nil"/>
              <w:left w:val="nil"/>
              <w:bottom w:val="single" w:sz="4" w:space="0" w:color="auto"/>
              <w:right w:val="single" w:sz="4" w:space="0" w:color="auto"/>
            </w:tcBorders>
            <w:shd w:val="clear" w:color="auto" w:fill="auto"/>
            <w:vAlign w:val="center"/>
            <w:hideMark/>
          </w:tcPr>
          <w:p w14:paraId="657E68BE" w14:textId="77777777" w:rsidR="00072A69" w:rsidRPr="003B4BB3" w:rsidRDefault="00072A69" w:rsidP="00AC1F17">
            <w:pPr>
              <w:spacing w:after="0" w:line="240" w:lineRule="auto"/>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Cena</w:t>
            </w:r>
          </w:p>
        </w:tc>
        <w:tc>
          <w:tcPr>
            <w:tcW w:w="625" w:type="pct"/>
            <w:tcBorders>
              <w:top w:val="nil"/>
              <w:left w:val="nil"/>
              <w:bottom w:val="single" w:sz="4" w:space="0" w:color="auto"/>
              <w:right w:val="single" w:sz="4" w:space="0" w:color="auto"/>
            </w:tcBorders>
            <w:shd w:val="clear" w:color="auto" w:fill="auto"/>
            <w:vAlign w:val="center"/>
            <w:hideMark/>
          </w:tcPr>
          <w:p w14:paraId="3D852C52"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3.420</w:t>
            </w:r>
          </w:p>
        </w:tc>
        <w:tc>
          <w:tcPr>
            <w:tcW w:w="902" w:type="pct"/>
            <w:tcBorders>
              <w:top w:val="nil"/>
              <w:left w:val="nil"/>
              <w:bottom w:val="single" w:sz="4" w:space="0" w:color="auto"/>
              <w:right w:val="single" w:sz="4" w:space="0" w:color="auto"/>
            </w:tcBorders>
            <w:shd w:val="clear" w:color="auto" w:fill="auto"/>
            <w:vAlign w:val="center"/>
            <w:hideMark/>
          </w:tcPr>
          <w:p w14:paraId="390223D3"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664.429.376</w:t>
            </w:r>
          </w:p>
        </w:tc>
        <w:tc>
          <w:tcPr>
            <w:tcW w:w="525" w:type="pct"/>
            <w:tcBorders>
              <w:top w:val="nil"/>
              <w:left w:val="nil"/>
              <w:bottom w:val="single" w:sz="4" w:space="0" w:color="auto"/>
              <w:right w:val="single" w:sz="4" w:space="0" w:color="auto"/>
            </w:tcBorders>
            <w:shd w:val="clear" w:color="auto" w:fill="auto"/>
            <w:noWrap/>
            <w:vAlign w:val="center"/>
            <w:hideMark/>
          </w:tcPr>
          <w:p w14:paraId="22252DEC"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87,92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075F692A"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86,97</w:t>
            </w:r>
            <w:r>
              <w:rPr>
                <w:rFonts w:ascii="Arial" w:eastAsia="Times New Roman" w:hAnsi="Arial" w:cs="Arial"/>
                <w:color w:val="000000"/>
                <w:sz w:val="18"/>
                <w:szCs w:val="18"/>
                <w:lang w:eastAsia="sl-SI"/>
              </w:rPr>
              <w:t xml:space="preserve"> %</w:t>
            </w:r>
          </w:p>
        </w:tc>
      </w:tr>
      <w:tr w:rsidR="00072A69" w:rsidRPr="003B4BB3" w14:paraId="7CC1D21E" w14:textId="77777777" w:rsidTr="00AC1F17">
        <w:trPr>
          <w:trHeight w:val="300"/>
        </w:trPr>
        <w:tc>
          <w:tcPr>
            <w:tcW w:w="700" w:type="pct"/>
            <w:vMerge/>
            <w:tcBorders>
              <w:top w:val="nil"/>
              <w:left w:val="single" w:sz="4" w:space="0" w:color="auto"/>
              <w:bottom w:val="single" w:sz="4" w:space="0" w:color="000000"/>
              <w:right w:val="single" w:sz="4" w:space="0" w:color="auto"/>
            </w:tcBorders>
            <w:vAlign w:val="center"/>
            <w:hideMark/>
          </w:tcPr>
          <w:p w14:paraId="559904CD" w14:textId="77777777" w:rsidR="00072A69" w:rsidRPr="003B4BB3" w:rsidRDefault="00072A69" w:rsidP="00AC1F17">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6A5A1BE4" w14:textId="77777777" w:rsidR="00072A69" w:rsidRPr="003B4BB3" w:rsidRDefault="00072A69" w:rsidP="00AC1F17">
            <w:pPr>
              <w:spacing w:after="0" w:line="240" w:lineRule="auto"/>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Ekonomsko najugodnejša ponudba</w:t>
            </w:r>
          </w:p>
        </w:tc>
        <w:tc>
          <w:tcPr>
            <w:tcW w:w="625" w:type="pct"/>
            <w:tcBorders>
              <w:top w:val="nil"/>
              <w:left w:val="nil"/>
              <w:bottom w:val="single" w:sz="4" w:space="0" w:color="auto"/>
              <w:right w:val="single" w:sz="4" w:space="0" w:color="auto"/>
            </w:tcBorders>
            <w:shd w:val="clear" w:color="auto" w:fill="auto"/>
            <w:vAlign w:val="center"/>
            <w:hideMark/>
          </w:tcPr>
          <w:p w14:paraId="1DECD77E"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470</w:t>
            </w:r>
          </w:p>
        </w:tc>
        <w:tc>
          <w:tcPr>
            <w:tcW w:w="902" w:type="pct"/>
            <w:tcBorders>
              <w:top w:val="nil"/>
              <w:left w:val="nil"/>
              <w:bottom w:val="single" w:sz="4" w:space="0" w:color="auto"/>
              <w:right w:val="single" w:sz="4" w:space="0" w:color="auto"/>
            </w:tcBorders>
            <w:shd w:val="clear" w:color="auto" w:fill="auto"/>
            <w:vAlign w:val="center"/>
            <w:hideMark/>
          </w:tcPr>
          <w:p w14:paraId="2213B233"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99.512.706</w:t>
            </w:r>
          </w:p>
        </w:tc>
        <w:tc>
          <w:tcPr>
            <w:tcW w:w="525" w:type="pct"/>
            <w:tcBorders>
              <w:top w:val="nil"/>
              <w:left w:val="nil"/>
              <w:bottom w:val="single" w:sz="4" w:space="0" w:color="auto"/>
              <w:right w:val="single" w:sz="4" w:space="0" w:color="auto"/>
            </w:tcBorders>
            <w:shd w:val="clear" w:color="auto" w:fill="auto"/>
            <w:noWrap/>
            <w:vAlign w:val="center"/>
            <w:hideMark/>
          </w:tcPr>
          <w:p w14:paraId="68A8158F"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12,08</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34FF049"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13,03</w:t>
            </w:r>
            <w:r>
              <w:rPr>
                <w:rFonts w:ascii="Arial" w:eastAsia="Times New Roman" w:hAnsi="Arial" w:cs="Arial"/>
                <w:color w:val="000000"/>
                <w:sz w:val="18"/>
                <w:szCs w:val="18"/>
                <w:lang w:eastAsia="sl-SI"/>
              </w:rPr>
              <w:t xml:space="preserve"> %</w:t>
            </w:r>
          </w:p>
        </w:tc>
      </w:tr>
      <w:tr w:rsidR="00072A69" w:rsidRPr="003B4BB3" w14:paraId="30A0A23B" w14:textId="77777777" w:rsidTr="00AC1F17">
        <w:trPr>
          <w:trHeight w:val="300"/>
        </w:trPr>
        <w:tc>
          <w:tcPr>
            <w:tcW w:w="700" w:type="pct"/>
            <w:vMerge/>
            <w:tcBorders>
              <w:top w:val="nil"/>
              <w:left w:val="single" w:sz="4" w:space="0" w:color="auto"/>
              <w:bottom w:val="single" w:sz="4" w:space="0" w:color="000000"/>
              <w:right w:val="single" w:sz="4" w:space="0" w:color="auto"/>
            </w:tcBorders>
            <w:vAlign w:val="center"/>
            <w:hideMark/>
          </w:tcPr>
          <w:p w14:paraId="32A6D28B" w14:textId="77777777" w:rsidR="00072A69" w:rsidRPr="003B4BB3" w:rsidRDefault="00072A69" w:rsidP="00AC1F17">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44E7EBE6" w14:textId="77777777" w:rsidR="00072A69" w:rsidRPr="003B4BB3" w:rsidRDefault="00072A69" w:rsidP="00AC1F17">
            <w:pPr>
              <w:spacing w:after="0" w:line="240" w:lineRule="auto"/>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auto"/>
            <w:vAlign w:val="center"/>
            <w:hideMark/>
          </w:tcPr>
          <w:p w14:paraId="1051A263"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3.890</w:t>
            </w:r>
          </w:p>
        </w:tc>
        <w:tc>
          <w:tcPr>
            <w:tcW w:w="902" w:type="pct"/>
            <w:tcBorders>
              <w:top w:val="nil"/>
              <w:left w:val="nil"/>
              <w:bottom w:val="single" w:sz="4" w:space="0" w:color="auto"/>
              <w:right w:val="single" w:sz="4" w:space="0" w:color="auto"/>
            </w:tcBorders>
            <w:shd w:val="clear" w:color="auto" w:fill="auto"/>
            <w:vAlign w:val="center"/>
            <w:hideMark/>
          </w:tcPr>
          <w:p w14:paraId="26CF5C8D"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763.942.082</w:t>
            </w:r>
          </w:p>
        </w:tc>
        <w:tc>
          <w:tcPr>
            <w:tcW w:w="525" w:type="pct"/>
            <w:tcBorders>
              <w:top w:val="nil"/>
              <w:left w:val="nil"/>
              <w:bottom w:val="single" w:sz="4" w:space="0" w:color="auto"/>
              <w:right w:val="single" w:sz="4" w:space="0" w:color="auto"/>
            </w:tcBorders>
            <w:shd w:val="clear" w:color="auto" w:fill="auto"/>
            <w:noWrap/>
            <w:vAlign w:val="center"/>
            <w:hideMark/>
          </w:tcPr>
          <w:p w14:paraId="7C1E439E"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014FFA8"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3B4BB3" w14:paraId="18117170" w14:textId="77777777" w:rsidTr="00AC1F17">
        <w:trPr>
          <w:trHeight w:val="30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14:paraId="1D7C6EE1" w14:textId="77777777" w:rsidR="00072A69" w:rsidRPr="003B4BB3" w:rsidRDefault="00072A69" w:rsidP="00AC1F17">
            <w:pPr>
              <w:spacing w:after="0" w:line="240" w:lineRule="auto"/>
              <w:jc w:val="center"/>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Gradnje</w:t>
            </w:r>
          </w:p>
        </w:tc>
        <w:tc>
          <w:tcPr>
            <w:tcW w:w="1722" w:type="pct"/>
            <w:tcBorders>
              <w:top w:val="nil"/>
              <w:left w:val="nil"/>
              <w:bottom w:val="single" w:sz="4" w:space="0" w:color="auto"/>
              <w:right w:val="single" w:sz="4" w:space="0" w:color="auto"/>
            </w:tcBorders>
            <w:shd w:val="clear" w:color="auto" w:fill="auto"/>
            <w:vAlign w:val="center"/>
            <w:hideMark/>
          </w:tcPr>
          <w:p w14:paraId="49B65F1E" w14:textId="77777777" w:rsidR="00072A69" w:rsidRPr="003B4BB3" w:rsidRDefault="00072A69" w:rsidP="00AC1F17">
            <w:pPr>
              <w:spacing w:after="0" w:line="240" w:lineRule="auto"/>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Cena</w:t>
            </w:r>
          </w:p>
        </w:tc>
        <w:tc>
          <w:tcPr>
            <w:tcW w:w="625" w:type="pct"/>
            <w:tcBorders>
              <w:top w:val="nil"/>
              <w:left w:val="nil"/>
              <w:bottom w:val="single" w:sz="4" w:space="0" w:color="auto"/>
              <w:right w:val="single" w:sz="4" w:space="0" w:color="auto"/>
            </w:tcBorders>
            <w:shd w:val="clear" w:color="auto" w:fill="auto"/>
            <w:vAlign w:val="center"/>
            <w:hideMark/>
          </w:tcPr>
          <w:p w14:paraId="746BD045"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1.949</w:t>
            </w:r>
          </w:p>
        </w:tc>
        <w:tc>
          <w:tcPr>
            <w:tcW w:w="902" w:type="pct"/>
            <w:tcBorders>
              <w:top w:val="nil"/>
              <w:left w:val="nil"/>
              <w:bottom w:val="single" w:sz="4" w:space="0" w:color="auto"/>
              <w:right w:val="single" w:sz="4" w:space="0" w:color="auto"/>
            </w:tcBorders>
            <w:shd w:val="clear" w:color="auto" w:fill="auto"/>
            <w:vAlign w:val="center"/>
            <w:hideMark/>
          </w:tcPr>
          <w:p w14:paraId="6721E71E"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902.344.437</w:t>
            </w:r>
          </w:p>
        </w:tc>
        <w:tc>
          <w:tcPr>
            <w:tcW w:w="525" w:type="pct"/>
            <w:tcBorders>
              <w:top w:val="nil"/>
              <w:left w:val="nil"/>
              <w:bottom w:val="single" w:sz="4" w:space="0" w:color="auto"/>
              <w:right w:val="single" w:sz="4" w:space="0" w:color="auto"/>
            </w:tcBorders>
            <w:shd w:val="clear" w:color="auto" w:fill="auto"/>
            <w:noWrap/>
            <w:vAlign w:val="center"/>
            <w:hideMark/>
          </w:tcPr>
          <w:p w14:paraId="1AAC5413"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97,06</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60221F23"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94,29</w:t>
            </w:r>
            <w:r>
              <w:rPr>
                <w:rFonts w:ascii="Arial" w:eastAsia="Times New Roman" w:hAnsi="Arial" w:cs="Arial"/>
                <w:color w:val="000000"/>
                <w:sz w:val="18"/>
                <w:szCs w:val="18"/>
                <w:lang w:eastAsia="sl-SI"/>
              </w:rPr>
              <w:t xml:space="preserve"> %</w:t>
            </w:r>
          </w:p>
        </w:tc>
      </w:tr>
      <w:tr w:rsidR="00072A69" w:rsidRPr="003B4BB3" w14:paraId="581F96F8" w14:textId="77777777" w:rsidTr="00AC1F17">
        <w:trPr>
          <w:trHeight w:val="300"/>
        </w:trPr>
        <w:tc>
          <w:tcPr>
            <w:tcW w:w="700" w:type="pct"/>
            <w:vMerge/>
            <w:tcBorders>
              <w:top w:val="nil"/>
              <w:left w:val="single" w:sz="4" w:space="0" w:color="auto"/>
              <w:bottom w:val="single" w:sz="4" w:space="0" w:color="000000"/>
              <w:right w:val="single" w:sz="4" w:space="0" w:color="auto"/>
            </w:tcBorders>
            <w:vAlign w:val="center"/>
            <w:hideMark/>
          </w:tcPr>
          <w:p w14:paraId="7039827E" w14:textId="77777777" w:rsidR="00072A69" w:rsidRPr="003B4BB3" w:rsidRDefault="00072A69" w:rsidP="00AC1F17">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69500D70" w14:textId="77777777" w:rsidR="00072A69" w:rsidRPr="003B4BB3" w:rsidRDefault="00072A69" w:rsidP="00AC1F17">
            <w:pPr>
              <w:spacing w:after="0" w:line="240" w:lineRule="auto"/>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Ekonomsko najugodnejša ponudba</w:t>
            </w:r>
          </w:p>
        </w:tc>
        <w:tc>
          <w:tcPr>
            <w:tcW w:w="625" w:type="pct"/>
            <w:tcBorders>
              <w:top w:val="nil"/>
              <w:left w:val="nil"/>
              <w:bottom w:val="single" w:sz="4" w:space="0" w:color="auto"/>
              <w:right w:val="single" w:sz="4" w:space="0" w:color="auto"/>
            </w:tcBorders>
            <w:shd w:val="clear" w:color="auto" w:fill="auto"/>
            <w:vAlign w:val="center"/>
            <w:hideMark/>
          </w:tcPr>
          <w:p w14:paraId="3F2070A8"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59</w:t>
            </w:r>
          </w:p>
        </w:tc>
        <w:tc>
          <w:tcPr>
            <w:tcW w:w="902" w:type="pct"/>
            <w:tcBorders>
              <w:top w:val="nil"/>
              <w:left w:val="nil"/>
              <w:bottom w:val="single" w:sz="4" w:space="0" w:color="auto"/>
              <w:right w:val="single" w:sz="4" w:space="0" w:color="auto"/>
            </w:tcBorders>
            <w:shd w:val="clear" w:color="auto" w:fill="auto"/>
            <w:vAlign w:val="center"/>
            <w:hideMark/>
          </w:tcPr>
          <w:p w14:paraId="5A8EB73E"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54.682.094</w:t>
            </w:r>
          </w:p>
        </w:tc>
        <w:tc>
          <w:tcPr>
            <w:tcW w:w="525" w:type="pct"/>
            <w:tcBorders>
              <w:top w:val="nil"/>
              <w:left w:val="nil"/>
              <w:bottom w:val="single" w:sz="4" w:space="0" w:color="auto"/>
              <w:right w:val="single" w:sz="4" w:space="0" w:color="auto"/>
            </w:tcBorders>
            <w:shd w:val="clear" w:color="auto" w:fill="auto"/>
            <w:noWrap/>
            <w:vAlign w:val="center"/>
            <w:hideMark/>
          </w:tcPr>
          <w:p w14:paraId="3018BA0A"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2,94</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FA5D66B" w14:textId="77777777" w:rsidR="00072A69" w:rsidRPr="003B4BB3" w:rsidRDefault="00072A69" w:rsidP="00AC1F17">
            <w:pPr>
              <w:spacing w:after="0" w:line="240" w:lineRule="auto"/>
              <w:jc w:val="right"/>
              <w:rPr>
                <w:rFonts w:ascii="Arial" w:eastAsia="Times New Roman" w:hAnsi="Arial" w:cs="Arial"/>
                <w:color w:val="000000"/>
                <w:sz w:val="18"/>
                <w:szCs w:val="18"/>
                <w:lang w:eastAsia="sl-SI"/>
              </w:rPr>
            </w:pPr>
            <w:r w:rsidRPr="003B4BB3">
              <w:rPr>
                <w:rFonts w:ascii="Arial" w:eastAsia="Times New Roman" w:hAnsi="Arial" w:cs="Arial"/>
                <w:color w:val="000000"/>
                <w:sz w:val="18"/>
                <w:szCs w:val="18"/>
                <w:lang w:eastAsia="sl-SI"/>
              </w:rPr>
              <w:t>5,71</w:t>
            </w:r>
            <w:r>
              <w:rPr>
                <w:rFonts w:ascii="Arial" w:eastAsia="Times New Roman" w:hAnsi="Arial" w:cs="Arial"/>
                <w:color w:val="000000"/>
                <w:sz w:val="18"/>
                <w:szCs w:val="18"/>
                <w:lang w:eastAsia="sl-SI"/>
              </w:rPr>
              <w:t xml:space="preserve"> %</w:t>
            </w:r>
          </w:p>
        </w:tc>
      </w:tr>
      <w:tr w:rsidR="00072A69" w:rsidRPr="003B4BB3" w14:paraId="3A2AB655" w14:textId="77777777" w:rsidTr="00AC1F17">
        <w:trPr>
          <w:trHeight w:val="300"/>
        </w:trPr>
        <w:tc>
          <w:tcPr>
            <w:tcW w:w="700" w:type="pct"/>
            <w:vMerge/>
            <w:tcBorders>
              <w:top w:val="nil"/>
              <w:left w:val="single" w:sz="4" w:space="0" w:color="auto"/>
              <w:bottom w:val="single" w:sz="4" w:space="0" w:color="000000"/>
              <w:right w:val="single" w:sz="4" w:space="0" w:color="auto"/>
            </w:tcBorders>
            <w:vAlign w:val="center"/>
            <w:hideMark/>
          </w:tcPr>
          <w:p w14:paraId="4EEF889A" w14:textId="77777777" w:rsidR="00072A69" w:rsidRPr="003B4BB3" w:rsidRDefault="00072A69" w:rsidP="00AC1F17">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565853FC" w14:textId="77777777" w:rsidR="00072A69" w:rsidRPr="003B4BB3" w:rsidRDefault="00072A69" w:rsidP="00AC1F17">
            <w:pPr>
              <w:spacing w:after="0" w:line="240" w:lineRule="auto"/>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auto"/>
            <w:noWrap/>
            <w:vAlign w:val="center"/>
            <w:hideMark/>
          </w:tcPr>
          <w:p w14:paraId="159AD4CC"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2.008</w:t>
            </w:r>
          </w:p>
        </w:tc>
        <w:tc>
          <w:tcPr>
            <w:tcW w:w="902" w:type="pct"/>
            <w:tcBorders>
              <w:top w:val="nil"/>
              <w:left w:val="nil"/>
              <w:bottom w:val="single" w:sz="4" w:space="0" w:color="auto"/>
              <w:right w:val="single" w:sz="4" w:space="0" w:color="auto"/>
            </w:tcBorders>
            <w:shd w:val="clear" w:color="auto" w:fill="auto"/>
            <w:noWrap/>
            <w:vAlign w:val="center"/>
            <w:hideMark/>
          </w:tcPr>
          <w:p w14:paraId="6FE25F50"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957.026.531</w:t>
            </w:r>
          </w:p>
        </w:tc>
        <w:tc>
          <w:tcPr>
            <w:tcW w:w="525" w:type="pct"/>
            <w:tcBorders>
              <w:top w:val="nil"/>
              <w:left w:val="nil"/>
              <w:bottom w:val="single" w:sz="4" w:space="0" w:color="auto"/>
              <w:right w:val="single" w:sz="4" w:space="0" w:color="auto"/>
            </w:tcBorders>
            <w:shd w:val="clear" w:color="auto" w:fill="auto"/>
            <w:noWrap/>
            <w:vAlign w:val="center"/>
            <w:hideMark/>
          </w:tcPr>
          <w:p w14:paraId="5A6F6BA9"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F8205F0"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3B4BB3" w14:paraId="3B9004D1" w14:textId="77777777" w:rsidTr="00AC1F17">
        <w:trPr>
          <w:gridAfter w:val="2"/>
          <w:wAfter w:w="1051" w:type="pct"/>
          <w:trHeight w:val="300"/>
        </w:trPr>
        <w:tc>
          <w:tcPr>
            <w:tcW w:w="242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A1B552" w14:textId="77777777" w:rsidR="00072A69" w:rsidRPr="003B4BB3" w:rsidRDefault="00072A69" w:rsidP="00AC1F17">
            <w:pPr>
              <w:spacing w:after="0" w:line="240" w:lineRule="auto"/>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E7E6E6" w:themeFill="background2"/>
            <w:noWrap/>
            <w:vAlign w:val="center"/>
            <w:hideMark/>
          </w:tcPr>
          <w:p w14:paraId="3DB5C77B"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16.865</w:t>
            </w:r>
          </w:p>
        </w:tc>
        <w:tc>
          <w:tcPr>
            <w:tcW w:w="902" w:type="pct"/>
            <w:tcBorders>
              <w:top w:val="nil"/>
              <w:left w:val="nil"/>
              <w:bottom w:val="single" w:sz="4" w:space="0" w:color="auto"/>
              <w:right w:val="single" w:sz="4" w:space="0" w:color="auto"/>
            </w:tcBorders>
            <w:shd w:val="clear" w:color="auto" w:fill="E7E6E6" w:themeFill="background2"/>
            <w:noWrap/>
            <w:vAlign w:val="center"/>
            <w:hideMark/>
          </w:tcPr>
          <w:p w14:paraId="01B29879" w14:textId="77777777" w:rsidR="00072A69" w:rsidRPr="003B4BB3" w:rsidRDefault="00072A69" w:rsidP="00AC1F17">
            <w:pPr>
              <w:spacing w:after="0" w:line="240" w:lineRule="auto"/>
              <w:jc w:val="right"/>
              <w:rPr>
                <w:rFonts w:ascii="Arial" w:eastAsia="Times New Roman" w:hAnsi="Arial" w:cs="Arial"/>
                <w:b/>
                <w:bCs/>
                <w:color w:val="000000"/>
                <w:sz w:val="18"/>
                <w:szCs w:val="18"/>
                <w:lang w:eastAsia="sl-SI"/>
              </w:rPr>
            </w:pPr>
            <w:r w:rsidRPr="003B4BB3">
              <w:rPr>
                <w:rFonts w:ascii="Arial" w:eastAsia="Times New Roman" w:hAnsi="Arial" w:cs="Arial"/>
                <w:b/>
                <w:bCs/>
                <w:color w:val="000000"/>
                <w:sz w:val="18"/>
                <w:szCs w:val="18"/>
                <w:lang w:eastAsia="sl-SI"/>
              </w:rPr>
              <w:t>2.918.594.609</w:t>
            </w:r>
          </w:p>
        </w:tc>
      </w:tr>
    </w:tbl>
    <w:p w14:paraId="1F159BE0" w14:textId="77777777" w:rsidR="00072A69" w:rsidRPr="00EF2D0B" w:rsidRDefault="00072A69" w:rsidP="00072A69">
      <w:pPr>
        <w:spacing w:before="120" w:after="120" w:line="240" w:lineRule="auto"/>
        <w:jc w:val="both"/>
        <w:rPr>
          <w:rFonts w:ascii="Arial" w:hAnsi="Arial" w:cs="Arial"/>
          <w:sz w:val="20"/>
          <w:highlight w:val="yellow"/>
        </w:rPr>
      </w:pPr>
    </w:p>
    <w:p w14:paraId="1B09919B" w14:textId="163DCB47" w:rsidR="00072A69" w:rsidRPr="003B0E12" w:rsidRDefault="00072A69" w:rsidP="00072A69">
      <w:pPr>
        <w:spacing w:before="120" w:after="120" w:line="240" w:lineRule="auto"/>
        <w:jc w:val="both"/>
        <w:rPr>
          <w:rFonts w:ascii="Arial" w:hAnsi="Arial" w:cs="Arial"/>
          <w:sz w:val="20"/>
        </w:rPr>
      </w:pPr>
      <w:r w:rsidRPr="003B0E12">
        <w:rPr>
          <w:rFonts w:ascii="Arial" w:hAnsi="Arial" w:cs="Arial"/>
          <w:sz w:val="20"/>
        </w:rPr>
        <w:lastRenderedPageBreak/>
        <w:t>Preglednica 9</w:t>
      </w:r>
      <w:r w:rsidR="00D23EC0">
        <w:rPr>
          <w:rFonts w:ascii="Arial" w:hAnsi="Arial" w:cs="Arial"/>
          <w:sz w:val="20"/>
        </w:rPr>
        <w:t>2</w:t>
      </w:r>
      <w:r w:rsidRPr="003B0E12">
        <w:rPr>
          <w:rFonts w:ascii="Arial" w:hAnsi="Arial" w:cs="Arial"/>
          <w:sz w:val="20"/>
        </w:rPr>
        <w:t>: Javna naročila glede na področje naročanja in merila za izbor</w:t>
      </w:r>
    </w:p>
    <w:tbl>
      <w:tblPr>
        <w:tblW w:w="5000" w:type="pct"/>
        <w:tblCellMar>
          <w:left w:w="70" w:type="dxa"/>
          <w:right w:w="70" w:type="dxa"/>
        </w:tblCellMar>
        <w:tblLook w:val="04A0" w:firstRow="1" w:lastRow="0" w:firstColumn="1" w:lastColumn="0" w:noHBand="0" w:noVBand="1"/>
      </w:tblPr>
      <w:tblGrid>
        <w:gridCol w:w="1413"/>
        <w:gridCol w:w="2977"/>
        <w:gridCol w:w="1134"/>
        <w:gridCol w:w="1635"/>
        <w:gridCol w:w="952"/>
        <w:gridCol w:w="951"/>
      </w:tblGrid>
      <w:tr w:rsidR="00072A69" w:rsidRPr="00FB0CC3" w14:paraId="11835099" w14:textId="77777777" w:rsidTr="00AC1F17">
        <w:trPr>
          <w:trHeight w:val="960"/>
        </w:trPr>
        <w:tc>
          <w:tcPr>
            <w:tcW w:w="78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923A7BF"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Področje</w:t>
            </w:r>
          </w:p>
        </w:tc>
        <w:tc>
          <w:tcPr>
            <w:tcW w:w="1643" w:type="pct"/>
            <w:tcBorders>
              <w:top w:val="single" w:sz="4" w:space="0" w:color="auto"/>
              <w:left w:val="nil"/>
              <w:bottom w:val="single" w:sz="4" w:space="0" w:color="auto"/>
              <w:right w:val="single" w:sz="4" w:space="0" w:color="auto"/>
            </w:tcBorders>
            <w:shd w:val="clear" w:color="000000" w:fill="EDEDED"/>
            <w:vAlign w:val="center"/>
            <w:hideMark/>
          </w:tcPr>
          <w:p w14:paraId="47E72C51"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Merila</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0A9C08C7"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Št. naročil</w:t>
            </w:r>
          </w:p>
        </w:tc>
        <w:tc>
          <w:tcPr>
            <w:tcW w:w="902" w:type="pct"/>
            <w:tcBorders>
              <w:top w:val="single" w:sz="4" w:space="0" w:color="auto"/>
              <w:left w:val="nil"/>
              <w:bottom w:val="single" w:sz="4" w:space="0" w:color="auto"/>
              <w:right w:val="single" w:sz="4" w:space="0" w:color="auto"/>
            </w:tcBorders>
            <w:shd w:val="clear" w:color="000000" w:fill="EDEDED"/>
            <w:vAlign w:val="center"/>
            <w:hideMark/>
          </w:tcPr>
          <w:p w14:paraId="1F097C9B"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49FE16A2"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33B713E7"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Delež v vrednosti istovrstnih naročil</w:t>
            </w:r>
          </w:p>
        </w:tc>
      </w:tr>
      <w:tr w:rsidR="00072A69" w:rsidRPr="00FB0CC3" w14:paraId="5C6226DA" w14:textId="77777777" w:rsidTr="00AC1F17">
        <w:trPr>
          <w:trHeight w:val="300"/>
        </w:trPr>
        <w:tc>
          <w:tcPr>
            <w:tcW w:w="780" w:type="pct"/>
            <w:vMerge w:val="restart"/>
            <w:tcBorders>
              <w:top w:val="nil"/>
              <w:left w:val="single" w:sz="4" w:space="0" w:color="auto"/>
              <w:bottom w:val="single" w:sz="4" w:space="0" w:color="000000"/>
              <w:right w:val="single" w:sz="4" w:space="0" w:color="auto"/>
            </w:tcBorders>
            <w:shd w:val="clear" w:color="auto" w:fill="auto"/>
            <w:vAlign w:val="center"/>
            <w:hideMark/>
          </w:tcPr>
          <w:p w14:paraId="75B7C297"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Splošno</w:t>
            </w:r>
          </w:p>
        </w:tc>
        <w:tc>
          <w:tcPr>
            <w:tcW w:w="1643" w:type="pct"/>
            <w:tcBorders>
              <w:top w:val="nil"/>
              <w:left w:val="nil"/>
              <w:bottom w:val="single" w:sz="4" w:space="0" w:color="auto"/>
              <w:right w:val="single" w:sz="4" w:space="0" w:color="auto"/>
            </w:tcBorders>
            <w:shd w:val="clear" w:color="auto" w:fill="auto"/>
            <w:vAlign w:val="center"/>
            <w:hideMark/>
          </w:tcPr>
          <w:p w14:paraId="25B0FFDC" w14:textId="77777777" w:rsidR="00072A69" w:rsidRPr="00FB0CC3" w:rsidRDefault="00072A69" w:rsidP="00AC1F17">
            <w:pPr>
              <w:spacing w:after="0" w:line="240" w:lineRule="auto"/>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Cena</w:t>
            </w:r>
          </w:p>
        </w:tc>
        <w:tc>
          <w:tcPr>
            <w:tcW w:w="626" w:type="pct"/>
            <w:tcBorders>
              <w:top w:val="nil"/>
              <w:left w:val="nil"/>
              <w:bottom w:val="single" w:sz="4" w:space="0" w:color="auto"/>
              <w:right w:val="single" w:sz="4" w:space="0" w:color="auto"/>
            </w:tcBorders>
            <w:shd w:val="clear" w:color="auto" w:fill="auto"/>
            <w:vAlign w:val="center"/>
            <w:hideMark/>
          </w:tcPr>
          <w:p w14:paraId="12546F12"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13.440</w:t>
            </w:r>
          </w:p>
        </w:tc>
        <w:tc>
          <w:tcPr>
            <w:tcW w:w="902" w:type="pct"/>
            <w:tcBorders>
              <w:top w:val="nil"/>
              <w:left w:val="nil"/>
              <w:bottom w:val="single" w:sz="4" w:space="0" w:color="auto"/>
              <w:right w:val="single" w:sz="4" w:space="0" w:color="auto"/>
            </w:tcBorders>
            <w:shd w:val="clear" w:color="auto" w:fill="auto"/>
            <w:vAlign w:val="center"/>
            <w:hideMark/>
          </w:tcPr>
          <w:p w14:paraId="4C35B857"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2.071.979.452</w:t>
            </w:r>
          </w:p>
        </w:tc>
        <w:tc>
          <w:tcPr>
            <w:tcW w:w="525" w:type="pct"/>
            <w:tcBorders>
              <w:top w:val="nil"/>
              <w:left w:val="nil"/>
              <w:bottom w:val="single" w:sz="4" w:space="0" w:color="auto"/>
              <w:right w:val="single" w:sz="4" w:space="0" w:color="auto"/>
            </w:tcBorders>
            <w:shd w:val="clear" w:color="auto" w:fill="auto"/>
            <w:noWrap/>
            <w:vAlign w:val="center"/>
            <w:hideMark/>
          </w:tcPr>
          <w:p w14:paraId="43EDC14A"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88,40</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31D0C00"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91,55</w:t>
            </w:r>
            <w:r>
              <w:rPr>
                <w:rFonts w:ascii="Arial" w:eastAsia="Times New Roman" w:hAnsi="Arial" w:cs="Arial"/>
                <w:color w:val="000000"/>
                <w:sz w:val="18"/>
                <w:szCs w:val="18"/>
                <w:lang w:eastAsia="sl-SI"/>
              </w:rPr>
              <w:t xml:space="preserve"> %</w:t>
            </w:r>
          </w:p>
        </w:tc>
      </w:tr>
      <w:tr w:rsidR="00072A69" w:rsidRPr="00FB0CC3" w14:paraId="72DCD86B" w14:textId="77777777" w:rsidTr="00AC1F17">
        <w:trPr>
          <w:trHeight w:val="300"/>
        </w:trPr>
        <w:tc>
          <w:tcPr>
            <w:tcW w:w="780" w:type="pct"/>
            <w:vMerge/>
            <w:tcBorders>
              <w:top w:val="nil"/>
              <w:left w:val="single" w:sz="4" w:space="0" w:color="auto"/>
              <w:bottom w:val="single" w:sz="4" w:space="0" w:color="000000"/>
              <w:right w:val="single" w:sz="4" w:space="0" w:color="auto"/>
            </w:tcBorders>
            <w:vAlign w:val="center"/>
            <w:hideMark/>
          </w:tcPr>
          <w:p w14:paraId="3C7964A5" w14:textId="77777777" w:rsidR="00072A69" w:rsidRPr="00FB0CC3" w:rsidRDefault="00072A69" w:rsidP="00AC1F17">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1816D38D" w14:textId="77777777" w:rsidR="00072A69" w:rsidRPr="00FB0CC3" w:rsidRDefault="00072A69" w:rsidP="00AC1F17">
            <w:pPr>
              <w:spacing w:after="0" w:line="240" w:lineRule="auto"/>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Ekonomsko najugodnejša ponudba</w:t>
            </w:r>
          </w:p>
        </w:tc>
        <w:tc>
          <w:tcPr>
            <w:tcW w:w="626" w:type="pct"/>
            <w:tcBorders>
              <w:top w:val="nil"/>
              <w:left w:val="nil"/>
              <w:bottom w:val="single" w:sz="4" w:space="0" w:color="auto"/>
              <w:right w:val="single" w:sz="4" w:space="0" w:color="auto"/>
            </w:tcBorders>
            <w:shd w:val="clear" w:color="auto" w:fill="auto"/>
            <w:vAlign w:val="center"/>
            <w:hideMark/>
          </w:tcPr>
          <w:p w14:paraId="3EBE983F"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1.763</w:t>
            </w:r>
          </w:p>
        </w:tc>
        <w:tc>
          <w:tcPr>
            <w:tcW w:w="902" w:type="pct"/>
            <w:tcBorders>
              <w:top w:val="nil"/>
              <w:left w:val="nil"/>
              <w:bottom w:val="single" w:sz="4" w:space="0" w:color="auto"/>
              <w:right w:val="single" w:sz="4" w:space="0" w:color="auto"/>
            </w:tcBorders>
            <w:shd w:val="clear" w:color="auto" w:fill="auto"/>
            <w:vAlign w:val="center"/>
            <w:hideMark/>
          </w:tcPr>
          <w:p w14:paraId="30E3826D"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191.228.193</w:t>
            </w:r>
          </w:p>
        </w:tc>
        <w:tc>
          <w:tcPr>
            <w:tcW w:w="525" w:type="pct"/>
            <w:tcBorders>
              <w:top w:val="nil"/>
              <w:left w:val="nil"/>
              <w:bottom w:val="single" w:sz="4" w:space="0" w:color="auto"/>
              <w:right w:val="single" w:sz="4" w:space="0" w:color="auto"/>
            </w:tcBorders>
            <w:shd w:val="clear" w:color="auto" w:fill="auto"/>
            <w:noWrap/>
            <w:vAlign w:val="center"/>
            <w:hideMark/>
          </w:tcPr>
          <w:p w14:paraId="230F6BC3"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11,60</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1A5DB5A"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8,45</w:t>
            </w:r>
            <w:r>
              <w:rPr>
                <w:rFonts w:ascii="Arial" w:eastAsia="Times New Roman" w:hAnsi="Arial" w:cs="Arial"/>
                <w:color w:val="000000"/>
                <w:sz w:val="18"/>
                <w:szCs w:val="18"/>
                <w:lang w:eastAsia="sl-SI"/>
              </w:rPr>
              <w:t xml:space="preserve"> %</w:t>
            </w:r>
          </w:p>
        </w:tc>
      </w:tr>
      <w:tr w:rsidR="00072A69" w:rsidRPr="00FB0CC3" w14:paraId="2288AE2D" w14:textId="77777777" w:rsidTr="00AC1F17">
        <w:trPr>
          <w:trHeight w:val="300"/>
        </w:trPr>
        <w:tc>
          <w:tcPr>
            <w:tcW w:w="780" w:type="pct"/>
            <w:vMerge/>
            <w:tcBorders>
              <w:top w:val="nil"/>
              <w:left w:val="single" w:sz="4" w:space="0" w:color="auto"/>
              <w:bottom w:val="single" w:sz="4" w:space="0" w:color="000000"/>
              <w:right w:val="single" w:sz="4" w:space="0" w:color="auto"/>
            </w:tcBorders>
            <w:vAlign w:val="center"/>
            <w:hideMark/>
          </w:tcPr>
          <w:p w14:paraId="1D678113" w14:textId="77777777" w:rsidR="00072A69" w:rsidRPr="00FB0CC3" w:rsidRDefault="00072A69" w:rsidP="00AC1F17">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26CF87A7" w14:textId="77777777" w:rsidR="00072A69" w:rsidRPr="00FB0CC3" w:rsidRDefault="00072A69" w:rsidP="00AC1F17">
            <w:pPr>
              <w:spacing w:after="0" w:line="240" w:lineRule="auto"/>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0293CBAB"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15.203</w:t>
            </w:r>
          </w:p>
        </w:tc>
        <w:tc>
          <w:tcPr>
            <w:tcW w:w="902" w:type="pct"/>
            <w:tcBorders>
              <w:top w:val="nil"/>
              <w:left w:val="nil"/>
              <w:bottom w:val="single" w:sz="4" w:space="0" w:color="auto"/>
              <w:right w:val="single" w:sz="4" w:space="0" w:color="auto"/>
            </w:tcBorders>
            <w:shd w:val="clear" w:color="auto" w:fill="auto"/>
            <w:vAlign w:val="center"/>
            <w:hideMark/>
          </w:tcPr>
          <w:p w14:paraId="7AF902DC"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2.263.207.645</w:t>
            </w:r>
          </w:p>
        </w:tc>
        <w:tc>
          <w:tcPr>
            <w:tcW w:w="525" w:type="pct"/>
            <w:tcBorders>
              <w:top w:val="nil"/>
              <w:left w:val="nil"/>
              <w:bottom w:val="single" w:sz="4" w:space="0" w:color="auto"/>
              <w:right w:val="single" w:sz="4" w:space="0" w:color="auto"/>
            </w:tcBorders>
            <w:shd w:val="clear" w:color="auto" w:fill="auto"/>
            <w:noWrap/>
            <w:vAlign w:val="center"/>
            <w:hideMark/>
          </w:tcPr>
          <w:p w14:paraId="3DEFA46A"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D83560B"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FB0CC3" w14:paraId="4AF09D09" w14:textId="77777777" w:rsidTr="00AC1F17">
        <w:trPr>
          <w:trHeight w:val="300"/>
        </w:trPr>
        <w:tc>
          <w:tcPr>
            <w:tcW w:w="780" w:type="pct"/>
            <w:vMerge w:val="restart"/>
            <w:tcBorders>
              <w:top w:val="nil"/>
              <w:left w:val="single" w:sz="4" w:space="0" w:color="auto"/>
              <w:bottom w:val="single" w:sz="4" w:space="0" w:color="000000"/>
              <w:right w:val="single" w:sz="4" w:space="0" w:color="auto"/>
            </w:tcBorders>
            <w:shd w:val="clear" w:color="auto" w:fill="auto"/>
            <w:vAlign w:val="center"/>
            <w:hideMark/>
          </w:tcPr>
          <w:p w14:paraId="708EC771"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Infrastrukturno</w:t>
            </w:r>
          </w:p>
        </w:tc>
        <w:tc>
          <w:tcPr>
            <w:tcW w:w="1643" w:type="pct"/>
            <w:tcBorders>
              <w:top w:val="nil"/>
              <w:left w:val="nil"/>
              <w:bottom w:val="single" w:sz="4" w:space="0" w:color="auto"/>
              <w:right w:val="single" w:sz="4" w:space="0" w:color="auto"/>
            </w:tcBorders>
            <w:shd w:val="clear" w:color="auto" w:fill="auto"/>
            <w:vAlign w:val="center"/>
            <w:hideMark/>
          </w:tcPr>
          <w:p w14:paraId="308624C0" w14:textId="77777777" w:rsidR="00072A69" w:rsidRPr="00FB0CC3" w:rsidRDefault="00072A69" w:rsidP="00AC1F17">
            <w:pPr>
              <w:spacing w:after="0" w:line="240" w:lineRule="auto"/>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Cena</w:t>
            </w:r>
          </w:p>
        </w:tc>
        <w:tc>
          <w:tcPr>
            <w:tcW w:w="626" w:type="pct"/>
            <w:tcBorders>
              <w:top w:val="nil"/>
              <w:left w:val="nil"/>
              <w:bottom w:val="single" w:sz="4" w:space="0" w:color="auto"/>
              <w:right w:val="single" w:sz="4" w:space="0" w:color="auto"/>
            </w:tcBorders>
            <w:shd w:val="clear" w:color="auto" w:fill="auto"/>
            <w:vAlign w:val="center"/>
            <w:hideMark/>
          </w:tcPr>
          <w:p w14:paraId="253CA667"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1.413</w:t>
            </w:r>
          </w:p>
        </w:tc>
        <w:tc>
          <w:tcPr>
            <w:tcW w:w="902" w:type="pct"/>
            <w:tcBorders>
              <w:top w:val="nil"/>
              <w:left w:val="nil"/>
              <w:bottom w:val="single" w:sz="4" w:space="0" w:color="auto"/>
              <w:right w:val="single" w:sz="4" w:space="0" w:color="auto"/>
            </w:tcBorders>
            <w:shd w:val="clear" w:color="auto" w:fill="auto"/>
            <w:vAlign w:val="center"/>
            <w:hideMark/>
          </w:tcPr>
          <w:p w14:paraId="22C8904A"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533.941.196</w:t>
            </w:r>
          </w:p>
        </w:tc>
        <w:tc>
          <w:tcPr>
            <w:tcW w:w="525" w:type="pct"/>
            <w:tcBorders>
              <w:top w:val="nil"/>
              <w:left w:val="nil"/>
              <w:bottom w:val="single" w:sz="4" w:space="0" w:color="auto"/>
              <w:right w:val="single" w:sz="4" w:space="0" w:color="auto"/>
            </w:tcBorders>
            <w:shd w:val="clear" w:color="auto" w:fill="auto"/>
            <w:noWrap/>
            <w:vAlign w:val="center"/>
            <w:hideMark/>
          </w:tcPr>
          <w:p w14:paraId="03543CAE"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89,49</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1A891DD"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90,60</w:t>
            </w:r>
            <w:r>
              <w:rPr>
                <w:rFonts w:ascii="Arial" w:eastAsia="Times New Roman" w:hAnsi="Arial" w:cs="Arial"/>
                <w:color w:val="000000"/>
                <w:sz w:val="18"/>
                <w:szCs w:val="18"/>
                <w:lang w:eastAsia="sl-SI"/>
              </w:rPr>
              <w:t xml:space="preserve"> %</w:t>
            </w:r>
          </w:p>
        </w:tc>
      </w:tr>
      <w:tr w:rsidR="00072A69" w:rsidRPr="00FB0CC3" w14:paraId="61EAF49F" w14:textId="77777777" w:rsidTr="00AC1F17">
        <w:trPr>
          <w:trHeight w:val="300"/>
        </w:trPr>
        <w:tc>
          <w:tcPr>
            <w:tcW w:w="780" w:type="pct"/>
            <w:vMerge/>
            <w:tcBorders>
              <w:top w:val="nil"/>
              <w:left w:val="single" w:sz="4" w:space="0" w:color="auto"/>
              <w:bottom w:val="single" w:sz="4" w:space="0" w:color="000000"/>
              <w:right w:val="single" w:sz="4" w:space="0" w:color="auto"/>
            </w:tcBorders>
            <w:vAlign w:val="center"/>
            <w:hideMark/>
          </w:tcPr>
          <w:p w14:paraId="0BC53345" w14:textId="77777777" w:rsidR="00072A69" w:rsidRPr="00FB0CC3" w:rsidRDefault="00072A69" w:rsidP="00AC1F17">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274C9F1B" w14:textId="77777777" w:rsidR="00072A69" w:rsidRPr="00FB0CC3" w:rsidRDefault="00072A69" w:rsidP="00AC1F17">
            <w:pPr>
              <w:spacing w:after="0" w:line="240" w:lineRule="auto"/>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Ekonomsko najugodnejša ponudba</w:t>
            </w:r>
          </w:p>
        </w:tc>
        <w:tc>
          <w:tcPr>
            <w:tcW w:w="626" w:type="pct"/>
            <w:tcBorders>
              <w:top w:val="nil"/>
              <w:left w:val="nil"/>
              <w:bottom w:val="single" w:sz="4" w:space="0" w:color="auto"/>
              <w:right w:val="single" w:sz="4" w:space="0" w:color="auto"/>
            </w:tcBorders>
            <w:shd w:val="clear" w:color="auto" w:fill="auto"/>
            <w:vAlign w:val="center"/>
            <w:hideMark/>
          </w:tcPr>
          <w:p w14:paraId="41809BC3"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166</w:t>
            </w:r>
          </w:p>
        </w:tc>
        <w:tc>
          <w:tcPr>
            <w:tcW w:w="902" w:type="pct"/>
            <w:tcBorders>
              <w:top w:val="nil"/>
              <w:left w:val="nil"/>
              <w:bottom w:val="single" w:sz="4" w:space="0" w:color="auto"/>
              <w:right w:val="single" w:sz="4" w:space="0" w:color="auto"/>
            </w:tcBorders>
            <w:shd w:val="clear" w:color="auto" w:fill="auto"/>
            <w:vAlign w:val="center"/>
            <w:hideMark/>
          </w:tcPr>
          <w:p w14:paraId="7DE45038"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55.409.096</w:t>
            </w:r>
          </w:p>
        </w:tc>
        <w:tc>
          <w:tcPr>
            <w:tcW w:w="525" w:type="pct"/>
            <w:tcBorders>
              <w:top w:val="nil"/>
              <w:left w:val="nil"/>
              <w:bottom w:val="single" w:sz="4" w:space="0" w:color="auto"/>
              <w:right w:val="single" w:sz="4" w:space="0" w:color="auto"/>
            </w:tcBorders>
            <w:shd w:val="clear" w:color="auto" w:fill="auto"/>
            <w:noWrap/>
            <w:vAlign w:val="center"/>
            <w:hideMark/>
          </w:tcPr>
          <w:p w14:paraId="3AE66004"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10,51</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2FE540B"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9,40</w:t>
            </w:r>
            <w:r>
              <w:rPr>
                <w:rFonts w:ascii="Arial" w:eastAsia="Times New Roman" w:hAnsi="Arial" w:cs="Arial"/>
                <w:color w:val="000000"/>
                <w:sz w:val="18"/>
                <w:szCs w:val="18"/>
                <w:lang w:eastAsia="sl-SI"/>
              </w:rPr>
              <w:t xml:space="preserve"> %</w:t>
            </w:r>
          </w:p>
        </w:tc>
      </w:tr>
      <w:tr w:rsidR="00072A69" w:rsidRPr="00FB0CC3" w14:paraId="13F86893" w14:textId="77777777" w:rsidTr="00AC1F17">
        <w:trPr>
          <w:trHeight w:val="300"/>
        </w:trPr>
        <w:tc>
          <w:tcPr>
            <w:tcW w:w="780" w:type="pct"/>
            <w:vMerge/>
            <w:tcBorders>
              <w:top w:val="nil"/>
              <w:left w:val="single" w:sz="4" w:space="0" w:color="auto"/>
              <w:bottom w:val="single" w:sz="4" w:space="0" w:color="000000"/>
              <w:right w:val="single" w:sz="4" w:space="0" w:color="auto"/>
            </w:tcBorders>
            <w:vAlign w:val="center"/>
            <w:hideMark/>
          </w:tcPr>
          <w:p w14:paraId="0DB774AC" w14:textId="77777777" w:rsidR="00072A69" w:rsidRPr="00FB0CC3" w:rsidRDefault="00072A69" w:rsidP="00AC1F17">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52039618" w14:textId="77777777" w:rsidR="00072A69" w:rsidRPr="00FB0CC3" w:rsidRDefault="00072A69" w:rsidP="00AC1F17">
            <w:pPr>
              <w:spacing w:after="0" w:line="240" w:lineRule="auto"/>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6EA1E59E"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1.579</w:t>
            </w:r>
          </w:p>
        </w:tc>
        <w:tc>
          <w:tcPr>
            <w:tcW w:w="902" w:type="pct"/>
            <w:tcBorders>
              <w:top w:val="nil"/>
              <w:left w:val="nil"/>
              <w:bottom w:val="single" w:sz="4" w:space="0" w:color="auto"/>
              <w:right w:val="single" w:sz="4" w:space="0" w:color="auto"/>
            </w:tcBorders>
            <w:shd w:val="clear" w:color="auto" w:fill="auto"/>
            <w:vAlign w:val="center"/>
            <w:hideMark/>
          </w:tcPr>
          <w:p w14:paraId="53F2C280"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589.350.292</w:t>
            </w:r>
          </w:p>
        </w:tc>
        <w:tc>
          <w:tcPr>
            <w:tcW w:w="525" w:type="pct"/>
            <w:tcBorders>
              <w:top w:val="nil"/>
              <w:left w:val="nil"/>
              <w:bottom w:val="single" w:sz="4" w:space="0" w:color="auto"/>
              <w:right w:val="single" w:sz="4" w:space="0" w:color="auto"/>
            </w:tcBorders>
            <w:shd w:val="clear" w:color="auto" w:fill="auto"/>
            <w:noWrap/>
            <w:vAlign w:val="center"/>
            <w:hideMark/>
          </w:tcPr>
          <w:p w14:paraId="231C9C1E"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B9DE8CB"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FB0CC3" w14:paraId="29C564C6" w14:textId="77777777" w:rsidTr="00AC1F17">
        <w:trPr>
          <w:trHeight w:val="300"/>
        </w:trPr>
        <w:tc>
          <w:tcPr>
            <w:tcW w:w="780" w:type="pct"/>
            <w:vMerge w:val="restart"/>
            <w:tcBorders>
              <w:top w:val="nil"/>
              <w:left w:val="single" w:sz="4" w:space="0" w:color="auto"/>
              <w:bottom w:val="single" w:sz="4" w:space="0" w:color="000000"/>
              <w:right w:val="single" w:sz="4" w:space="0" w:color="auto"/>
            </w:tcBorders>
            <w:shd w:val="clear" w:color="auto" w:fill="auto"/>
            <w:vAlign w:val="center"/>
            <w:hideMark/>
          </w:tcPr>
          <w:p w14:paraId="3BD0850D" w14:textId="77777777" w:rsidR="00072A69" w:rsidRPr="00FB0CC3" w:rsidRDefault="00072A69" w:rsidP="00AC1F17">
            <w:pPr>
              <w:spacing w:after="0" w:line="240" w:lineRule="auto"/>
              <w:jc w:val="center"/>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Obrambno</w:t>
            </w:r>
          </w:p>
        </w:tc>
        <w:tc>
          <w:tcPr>
            <w:tcW w:w="1643" w:type="pct"/>
            <w:tcBorders>
              <w:top w:val="nil"/>
              <w:left w:val="nil"/>
              <w:bottom w:val="single" w:sz="4" w:space="0" w:color="auto"/>
              <w:right w:val="single" w:sz="4" w:space="0" w:color="auto"/>
            </w:tcBorders>
            <w:shd w:val="clear" w:color="auto" w:fill="auto"/>
            <w:vAlign w:val="center"/>
            <w:hideMark/>
          </w:tcPr>
          <w:p w14:paraId="498D1FA9" w14:textId="77777777" w:rsidR="00072A69" w:rsidRPr="00FB0CC3" w:rsidRDefault="00072A69" w:rsidP="00AC1F17">
            <w:pPr>
              <w:spacing w:after="0" w:line="240" w:lineRule="auto"/>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Cena</w:t>
            </w:r>
          </w:p>
        </w:tc>
        <w:tc>
          <w:tcPr>
            <w:tcW w:w="626" w:type="pct"/>
            <w:tcBorders>
              <w:top w:val="nil"/>
              <w:left w:val="nil"/>
              <w:bottom w:val="single" w:sz="4" w:space="0" w:color="auto"/>
              <w:right w:val="single" w:sz="4" w:space="0" w:color="auto"/>
            </w:tcBorders>
            <w:shd w:val="clear" w:color="auto" w:fill="auto"/>
            <w:vAlign w:val="center"/>
            <w:hideMark/>
          </w:tcPr>
          <w:p w14:paraId="46046B5D"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66</w:t>
            </w:r>
          </w:p>
        </w:tc>
        <w:tc>
          <w:tcPr>
            <w:tcW w:w="902" w:type="pct"/>
            <w:tcBorders>
              <w:top w:val="nil"/>
              <w:left w:val="nil"/>
              <w:bottom w:val="single" w:sz="4" w:space="0" w:color="auto"/>
              <w:right w:val="single" w:sz="4" w:space="0" w:color="auto"/>
            </w:tcBorders>
            <w:shd w:val="clear" w:color="auto" w:fill="auto"/>
            <w:vAlign w:val="center"/>
            <w:hideMark/>
          </w:tcPr>
          <w:p w14:paraId="3297A7E0"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35.122.443</w:t>
            </w:r>
          </w:p>
        </w:tc>
        <w:tc>
          <w:tcPr>
            <w:tcW w:w="525" w:type="pct"/>
            <w:tcBorders>
              <w:top w:val="nil"/>
              <w:left w:val="nil"/>
              <w:bottom w:val="single" w:sz="4" w:space="0" w:color="auto"/>
              <w:right w:val="single" w:sz="4" w:space="0" w:color="auto"/>
            </w:tcBorders>
            <w:shd w:val="clear" w:color="auto" w:fill="auto"/>
            <w:noWrap/>
            <w:vAlign w:val="center"/>
            <w:hideMark/>
          </w:tcPr>
          <w:p w14:paraId="7F101516"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79,52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705EF98"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53,19</w:t>
            </w:r>
            <w:r>
              <w:rPr>
                <w:rFonts w:ascii="Arial" w:eastAsia="Times New Roman" w:hAnsi="Arial" w:cs="Arial"/>
                <w:color w:val="000000"/>
                <w:sz w:val="18"/>
                <w:szCs w:val="18"/>
                <w:lang w:eastAsia="sl-SI"/>
              </w:rPr>
              <w:t xml:space="preserve"> %</w:t>
            </w:r>
          </w:p>
        </w:tc>
      </w:tr>
      <w:tr w:rsidR="00072A69" w:rsidRPr="00FB0CC3" w14:paraId="53F58753" w14:textId="77777777" w:rsidTr="00AC1F17">
        <w:trPr>
          <w:trHeight w:val="300"/>
        </w:trPr>
        <w:tc>
          <w:tcPr>
            <w:tcW w:w="780" w:type="pct"/>
            <w:vMerge/>
            <w:tcBorders>
              <w:top w:val="nil"/>
              <w:left w:val="single" w:sz="4" w:space="0" w:color="auto"/>
              <w:bottom w:val="single" w:sz="4" w:space="0" w:color="000000"/>
              <w:right w:val="single" w:sz="4" w:space="0" w:color="auto"/>
            </w:tcBorders>
            <w:vAlign w:val="center"/>
            <w:hideMark/>
          </w:tcPr>
          <w:p w14:paraId="14B7CF82" w14:textId="77777777" w:rsidR="00072A69" w:rsidRPr="00FB0CC3" w:rsidRDefault="00072A69" w:rsidP="00AC1F17">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6AA05DF4" w14:textId="77777777" w:rsidR="00072A69" w:rsidRPr="00FB0CC3" w:rsidRDefault="00072A69" w:rsidP="00AC1F17">
            <w:pPr>
              <w:spacing w:after="0" w:line="240" w:lineRule="auto"/>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Ekonomsko najugodnejša ponudba</w:t>
            </w:r>
          </w:p>
        </w:tc>
        <w:tc>
          <w:tcPr>
            <w:tcW w:w="626" w:type="pct"/>
            <w:tcBorders>
              <w:top w:val="nil"/>
              <w:left w:val="nil"/>
              <w:bottom w:val="single" w:sz="4" w:space="0" w:color="auto"/>
              <w:right w:val="single" w:sz="4" w:space="0" w:color="auto"/>
            </w:tcBorders>
            <w:shd w:val="clear" w:color="auto" w:fill="auto"/>
            <w:vAlign w:val="center"/>
            <w:hideMark/>
          </w:tcPr>
          <w:p w14:paraId="25414E88"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17</w:t>
            </w:r>
          </w:p>
        </w:tc>
        <w:tc>
          <w:tcPr>
            <w:tcW w:w="902" w:type="pct"/>
            <w:tcBorders>
              <w:top w:val="nil"/>
              <w:left w:val="nil"/>
              <w:bottom w:val="single" w:sz="4" w:space="0" w:color="auto"/>
              <w:right w:val="single" w:sz="4" w:space="0" w:color="auto"/>
            </w:tcBorders>
            <w:shd w:val="clear" w:color="auto" w:fill="auto"/>
            <w:vAlign w:val="center"/>
            <w:hideMark/>
          </w:tcPr>
          <w:p w14:paraId="556E78AB"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30.914.229</w:t>
            </w:r>
          </w:p>
        </w:tc>
        <w:tc>
          <w:tcPr>
            <w:tcW w:w="525" w:type="pct"/>
            <w:tcBorders>
              <w:top w:val="nil"/>
              <w:left w:val="nil"/>
              <w:bottom w:val="single" w:sz="4" w:space="0" w:color="auto"/>
              <w:right w:val="single" w:sz="4" w:space="0" w:color="auto"/>
            </w:tcBorders>
            <w:shd w:val="clear" w:color="auto" w:fill="auto"/>
            <w:noWrap/>
            <w:vAlign w:val="center"/>
            <w:hideMark/>
          </w:tcPr>
          <w:p w14:paraId="0A1819FB"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20,48</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9A96E33" w14:textId="77777777" w:rsidR="00072A69" w:rsidRPr="00FB0CC3" w:rsidRDefault="00072A69" w:rsidP="00AC1F17">
            <w:pPr>
              <w:spacing w:after="0" w:line="240" w:lineRule="auto"/>
              <w:jc w:val="right"/>
              <w:rPr>
                <w:rFonts w:ascii="Arial" w:eastAsia="Times New Roman" w:hAnsi="Arial" w:cs="Arial"/>
                <w:color w:val="000000"/>
                <w:sz w:val="18"/>
                <w:szCs w:val="18"/>
                <w:lang w:eastAsia="sl-SI"/>
              </w:rPr>
            </w:pPr>
            <w:r w:rsidRPr="00FB0CC3">
              <w:rPr>
                <w:rFonts w:ascii="Arial" w:eastAsia="Times New Roman" w:hAnsi="Arial" w:cs="Arial"/>
                <w:color w:val="000000"/>
                <w:sz w:val="18"/>
                <w:szCs w:val="18"/>
                <w:lang w:eastAsia="sl-SI"/>
              </w:rPr>
              <w:t>46,81</w:t>
            </w:r>
            <w:r>
              <w:rPr>
                <w:rFonts w:ascii="Arial" w:eastAsia="Times New Roman" w:hAnsi="Arial" w:cs="Arial"/>
                <w:color w:val="000000"/>
                <w:sz w:val="18"/>
                <w:szCs w:val="18"/>
                <w:lang w:eastAsia="sl-SI"/>
              </w:rPr>
              <w:t xml:space="preserve"> %</w:t>
            </w:r>
          </w:p>
        </w:tc>
      </w:tr>
      <w:tr w:rsidR="00072A69" w:rsidRPr="00FB0CC3" w14:paraId="6779A0A9" w14:textId="77777777" w:rsidTr="00AC1F17">
        <w:trPr>
          <w:trHeight w:val="300"/>
        </w:trPr>
        <w:tc>
          <w:tcPr>
            <w:tcW w:w="780" w:type="pct"/>
            <w:vMerge/>
            <w:tcBorders>
              <w:top w:val="nil"/>
              <w:left w:val="single" w:sz="4" w:space="0" w:color="auto"/>
              <w:bottom w:val="single" w:sz="4" w:space="0" w:color="000000"/>
              <w:right w:val="single" w:sz="4" w:space="0" w:color="auto"/>
            </w:tcBorders>
            <w:vAlign w:val="center"/>
            <w:hideMark/>
          </w:tcPr>
          <w:p w14:paraId="0D554B1B" w14:textId="77777777" w:rsidR="00072A69" w:rsidRPr="00FB0CC3" w:rsidRDefault="00072A69" w:rsidP="00AC1F17">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1C2EF705" w14:textId="77777777" w:rsidR="00072A69" w:rsidRPr="00FB0CC3" w:rsidRDefault="00072A69" w:rsidP="00AC1F17">
            <w:pPr>
              <w:spacing w:after="0" w:line="240" w:lineRule="auto"/>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noWrap/>
            <w:vAlign w:val="center"/>
            <w:hideMark/>
          </w:tcPr>
          <w:p w14:paraId="50C734BC"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83</w:t>
            </w:r>
          </w:p>
        </w:tc>
        <w:tc>
          <w:tcPr>
            <w:tcW w:w="902" w:type="pct"/>
            <w:tcBorders>
              <w:top w:val="nil"/>
              <w:left w:val="nil"/>
              <w:bottom w:val="single" w:sz="4" w:space="0" w:color="auto"/>
              <w:right w:val="single" w:sz="4" w:space="0" w:color="auto"/>
            </w:tcBorders>
            <w:shd w:val="clear" w:color="auto" w:fill="auto"/>
            <w:noWrap/>
            <w:vAlign w:val="center"/>
            <w:hideMark/>
          </w:tcPr>
          <w:p w14:paraId="053EF9CD"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66.036.672</w:t>
            </w:r>
          </w:p>
        </w:tc>
        <w:tc>
          <w:tcPr>
            <w:tcW w:w="525" w:type="pct"/>
            <w:tcBorders>
              <w:top w:val="nil"/>
              <w:left w:val="nil"/>
              <w:bottom w:val="single" w:sz="4" w:space="0" w:color="auto"/>
              <w:right w:val="single" w:sz="4" w:space="0" w:color="auto"/>
            </w:tcBorders>
            <w:shd w:val="clear" w:color="auto" w:fill="auto"/>
            <w:noWrap/>
            <w:vAlign w:val="center"/>
            <w:hideMark/>
          </w:tcPr>
          <w:p w14:paraId="5C01D75B"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4DAFAC81"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FB0CC3" w14:paraId="26A65C35" w14:textId="77777777" w:rsidTr="00AC1F17">
        <w:trPr>
          <w:gridAfter w:val="2"/>
          <w:wAfter w:w="1050" w:type="pct"/>
          <w:trHeight w:val="300"/>
        </w:trPr>
        <w:tc>
          <w:tcPr>
            <w:tcW w:w="242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55E64" w14:textId="77777777" w:rsidR="00072A69" w:rsidRPr="00FB0CC3" w:rsidRDefault="00072A69" w:rsidP="00AC1F17">
            <w:pPr>
              <w:spacing w:after="0" w:line="240" w:lineRule="auto"/>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0ED30ADB"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16.865</w:t>
            </w:r>
          </w:p>
        </w:tc>
        <w:tc>
          <w:tcPr>
            <w:tcW w:w="902" w:type="pct"/>
            <w:tcBorders>
              <w:top w:val="nil"/>
              <w:left w:val="nil"/>
              <w:bottom w:val="single" w:sz="4" w:space="0" w:color="auto"/>
              <w:right w:val="single" w:sz="4" w:space="0" w:color="auto"/>
            </w:tcBorders>
            <w:shd w:val="clear" w:color="auto" w:fill="E7E6E6" w:themeFill="background2"/>
            <w:noWrap/>
            <w:vAlign w:val="center"/>
            <w:hideMark/>
          </w:tcPr>
          <w:p w14:paraId="515435F2" w14:textId="77777777" w:rsidR="00072A69" w:rsidRPr="00FB0CC3" w:rsidRDefault="00072A69" w:rsidP="00AC1F17">
            <w:pPr>
              <w:spacing w:after="0" w:line="240" w:lineRule="auto"/>
              <w:jc w:val="right"/>
              <w:rPr>
                <w:rFonts w:ascii="Arial" w:eastAsia="Times New Roman" w:hAnsi="Arial" w:cs="Arial"/>
                <w:b/>
                <w:bCs/>
                <w:color w:val="000000"/>
                <w:sz w:val="18"/>
                <w:szCs w:val="18"/>
                <w:lang w:eastAsia="sl-SI"/>
              </w:rPr>
            </w:pPr>
            <w:r w:rsidRPr="00FB0CC3">
              <w:rPr>
                <w:rFonts w:ascii="Arial" w:eastAsia="Times New Roman" w:hAnsi="Arial" w:cs="Arial"/>
                <w:b/>
                <w:bCs/>
                <w:color w:val="000000"/>
                <w:sz w:val="18"/>
                <w:szCs w:val="18"/>
                <w:lang w:eastAsia="sl-SI"/>
              </w:rPr>
              <w:t>2.918.594.609</w:t>
            </w:r>
          </w:p>
        </w:tc>
      </w:tr>
    </w:tbl>
    <w:p w14:paraId="572C282E" w14:textId="77777777" w:rsidR="00072A69" w:rsidRPr="00EF2D0B" w:rsidRDefault="00072A69" w:rsidP="00072A69">
      <w:pPr>
        <w:spacing w:before="120" w:after="120" w:line="240" w:lineRule="auto"/>
        <w:jc w:val="both"/>
        <w:rPr>
          <w:rFonts w:ascii="Arial" w:hAnsi="Arial" w:cs="Arial"/>
          <w:sz w:val="20"/>
          <w:highlight w:val="yellow"/>
        </w:rPr>
      </w:pPr>
    </w:p>
    <w:p w14:paraId="540E5F20" w14:textId="73552CF1" w:rsidR="00072A69" w:rsidRPr="0063748B" w:rsidRDefault="00072A69" w:rsidP="00072A69">
      <w:pPr>
        <w:spacing w:before="120" w:after="120" w:line="240" w:lineRule="auto"/>
        <w:jc w:val="both"/>
        <w:rPr>
          <w:rFonts w:ascii="Arial" w:hAnsi="Arial" w:cs="Arial"/>
          <w:sz w:val="20"/>
        </w:rPr>
      </w:pPr>
      <w:r w:rsidRPr="0063748B">
        <w:rPr>
          <w:rFonts w:ascii="Arial" w:hAnsi="Arial" w:cs="Arial"/>
          <w:sz w:val="20"/>
        </w:rPr>
        <w:t>Preglednica 9</w:t>
      </w:r>
      <w:r w:rsidR="00D23EC0">
        <w:rPr>
          <w:rFonts w:ascii="Arial" w:hAnsi="Arial" w:cs="Arial"/>
          <w:sz w:val="20"/>
        </w:rPr>
        <w:t>3</w:t>
      </w:r>
      <w:r w:rsidRPr="0063748B">
        <w:rPr>
          <w:rFonts w:ascii="Arial" w:hAnsi="Arial" w:cs="Arial"/>
          <w:sz w:val="20"/>
        </w:rPr>
        <w:t>: Javna naročila glede na vrsto postopka in merila za izbor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2155"/>
        <w:gridCol w:w="691"/>
        <w:gridCol w:w="1292"/>
        <w:gridCol w:w="952"/>
        <w:gridCol w:w="952"/>
      </w:tblGrid>
      <w:tr w:rsidR="00072A69" w:rsidRPr="00DD32D5" w14:paraId="2E7708C0" w14:textId="77777777" w:rsidTr="00C320EE">
        <w:trPr>
          <w:trHeight w:val="960"/>
          <w:tblHeader/>
        </w:trPr>
        <w:tc>
          <w:tcPr>
            <w:tcW w:w="1667" w:type="pct"/>
            <w:shd w:val="clear" w:color="000000" w:fill="EDEDED"/>
            <w:vAlign w:val="center"/>
            <w:hideMark/>
          </w:tcPr>
          <w:p w14:paraId="4664367A"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bookmarkStart w:id="89" w:name="_Toc398038712"/>
            <w:bookmarkStart w:id="90" w:name="_Toc398040191"/>
            <w:bookmarkStart w:id="91" w:name="_Toc398584429"/>
            <w:bookmarkStart w:id="92" w:name="_Toc461086445"/>
            <w:bookmarkStart w:id="93" w:name="_Toc461608817"/>
            <w:bookmarkStart w:id="94" w:name="_Toc462401236"/>
            <w:r w:rsidRPr="00DD32D5">
              <w:rPr>
                <w:rFonts w:ascii="Arial" w:eastAsia="Times New Roman" w:hAnsi="Arial" w:cs="Arial"/>
                <w:color w:val="000000"/>
                <w:sz w:val="18"/>
                <w:szCs w:val="18"/>
                <w:lang w:eastAsia="sl-SI"/>
              </w:rPr>
              <w:t>Vrsta postopka</w:t>
            </w:r>
          </w:p>
        </w:tc>
        <w:tc>
          <w:tcPr>
            <w:tcW w:w="1189" w:type="pct"/>
            <w:shd w:val="clear" w:color="000000" w:fill="EDEDED"/>
            <w:vAlign w:val="center"/>
            <w:hideMark/>
          </w:tcPr>
          <w:p w14:paraId="0D8AB6B9"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Merila</w:t>
            </w:r>
          </w:p>
        </w:tc>
        <w:tc>
          <w:tcPr>
            <w:tcW w:w="381" w:type="pct"/>
            <w:shd w:val="clear" w:color="000000" w:fill="EDEDED"/>
            <w:vAlign w:val="center"/>
            <w:hideMark/>
          </w:tcPr>
          <w:p w14:paraId="1D9086DD"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Št. naročil</w:t>
            </w:r>
          </w:p>
        </w:tc>
        <w:tc>
          <w:tcPr>
            <w:tcW w:w="713" w:type="pct"/>
            <w:shd w:val="clear" w:color="000000" w:fill="EDEDED"/>
            <w:vAlign w:val="center"/>
            <w:hideMark/>
          </w:tcPr>
          <w:p w14:paraId="4C9293D7"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Pogodbena vrednost</w:t>
            </w:r>
          </w:p>
        </w:tc>
        <w:tc>
          <w:tcPr>
            <w:tcW w:w="525" w:type="pct"/>
            <w:shd w:val="clear" w:color="000000" w:fill="EDEDED"/>
            <w:vAlign w:val="center"/>
            <w:hideMark/>
          </w:tcPr>
          <w:p w14:paraId="2E3E8ADB"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Delež v št. istovrstnih naročil</w:t>
            </w:r>
          </w:p>
        </w:tc>
        <w:tc>
          <w:tcPr>
            <w:tcW w:w="525" w:type="pct"/>
            <w:shd w:val="clear" w:color="000000" w:fill="EDEDED"/>
            <w:vAlign w:val="center"/>
            <w:hideMark/>
          </w:tcPr>
          <w:p w14:paraId="3061AEAE"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Delež v vrednosti istovrstnih naročil</w:t>
            </w:r>
          </w:p>
        </w:tc>
      </w:tr>
      <w:tr w:rsidR="00072A69" w:rsidRPr="00DD32D5" w14:paraId="21D548AB" w14:textId="77777777" w:rsidTr="00AC1F17">
        <w:trPr>
          <w:trHeight w:val="300"/>
        </w:trPr>
        <w:tc>
          <w:tcPr>
            <w:tcW w:w="1667" w:type="pct"/>
            <w:vMerge w:val="restart"/>
            <w:shd w:val="clear" w:color="auto" w:fill="auto"/>
            <w:vAlign w:val="center"/>
            <w:hideMark/>
          </w:tcPr>
          <w:p w14:paraId="279788CA"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Konkurenčni dialog</w:t>
            </w:r>
          </w:p>
        </w:tc>
        <w:tc>
          <w:tcPr>
            <w:tcW w:w="1189" w:type="pct"/>
            <w:shd w:val="clear" w:color="auto" w:fill="auto"/>
            <w:vAlign w:val="center"/>
            <w:hideMark/>
          </w:tcPr>
          <w:p w14:paraId="7B677B74"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4BF81BA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3</w:t>
            </w:r>
          </w:p>
        </w:tc>
        <w:tc>
          <w:tcPr>
            <w:tcW w:w="713" w:type="pct"/>
            <w:shd w:val="clear" w:color="auto" w:fill="auto"/>
            <w:vAlign w:val="center"/>
            <w:hideMark/>
          </w:tcPr>
          <w:p w14:paraId="084ADCD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942.725</w:t>
            </w:r>
          </w:p>
        </w:tc>
        <w:tc>
          <w:tcPr>
            <w:tcW w:w="525" w:type="pct"/>
            <w:shd w:val="clear" w:color="auto" w:fill="auto"/>
            <w:noWrap/>
            <w:vAlign w:val="center"/>
            <w:hideMark/>
          </w:tcPr>
          <w:p w14:paraId="3B0817C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50,00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083F83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7,44</w:t>
            </w:r>
            <w:r>
              <w:rPr>
                <w:rFonts w:ascii="Arial" w:eastAsia="Times New Roman" w:hAnsi="Arial" w:cs="Arial"/>
                <w:color w:val="000000"/>
                <w:sz w:val="18"/>
                <w:szCs w:val="18"/>
                <w:lang w:eastAsia="sl-SI"/>
              </w:rPr>
              <w:t xml:space="preserve"> %</w:t>
            </w:r>
          </w:p>
        </w:tc>
      </w:tr>
      <w:tr w:rsidR="00072A69" w:rsidRPr="00DD32D5" w14:paraId="385D0BDC" w14:textId="77777777" w:rsidTr="00AC1F17">
        <w:trPr>
          <w:trHeight w:val="300"/>
        </w:trPr>
        <w:tc>
          <w:tcPr>
            <w:tcW w:w="1667" w:type="pct"/>
            <w:vMerge/>
            <w:vAlign w:val="center"/>
            <w:hideMark/>
          </w:tcPr>
          <w:p w14:paraId="0E518BEF"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6972120F"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582BB92B"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3</w:t>
            </w:r>
          </w:p>
        </w:tc>
        <w:tc>
          <w:tcPr>
            <w:tcW w:w="713" w:type="pct"/>
            <w:shd w:val="clear" w:color="auto" w:fill="auto"/>
            <w:vAlign w:val="center"/>
            <w:hideMark/>
          </w:tcPr>
          <w:p w14:paraId="206B79CB"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11.730.884</w:t>
            </w:r>
          </w:p>
        </w:tc>
        <w:tc>
          <w:tcPr>
            <w:tcW w:w="525" w:type="pct"/>
            <w:shd w:val="clear" w:color="auto" w:fill="auto"/>
            <w:noWrap/>
            <w:vAlign w:val="center"/>
            <w:hideMark/>
          </w:tcPr>
          <w:p w14:paraId="562C2C0C"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50,00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7A2B74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92,56</w:t>
            </w:r>
            <w:r>
              <w:rPr>
                <w:rFonts w:ascii="Arial" w:eastAsia="Times New Roman" w:hAnsi="Arial" w:cs="Arial"/>
                <w:color w:val="000000"/>
                <w:sz w:val="18"/>
                <w:szCs w:val="18"/>
                <w:lang w:eastAsia="sl-SI"/>
              </w:rPr>
              <w:t xml:space="preserve"> %</w:t>
            </w:r>
          </w:p>
        </w:tc>
      </w:tr>
      <w:tr w:rsidR="00072A69" w:rsidRPr="00DD32D5" w14:paraId="31421C0C" w14:textId="77777777" w:rsidTr="00AC1F17">
        <w:trPr>
          <w:trHeight w:val="300"/>
        </w:trPr>
        <w:tc>
          <w:tcPr>
            <w:tcW w:w="1667" w:type="pct"/>
            <w:vMerge/>
            <w:vAlign w:val="center"/>
            <w:hideMark/>
          </w:tcPr>
          <w:p w14:paraId="649CC944"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6DE22771"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18100FEA"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6</w:t>
            </w:r>
          </w:p>
        </w:tc>
        <w:tc>
          <w:tcPr>
            <w:tcW w:w="713" w:type="pct"/>
            <w:shd w:val="clear" w:color="auto" w:fill="auto"/>
            <w:vAlign w:val="center"/>
            <w:hideMark/>
          </w:tcPr>
          <w:p w14:paraId="3B3F5335"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12.673.609</w:t>
            </w:r>
          </w:p>
        </w:tc>
        <w:tc>
          <w:tcPr>
            <w:tcW w:w="525" w:type="pct"/>
            <w:shd w:val="clear" w:color="auto" w:fill="auto"/>
            <w:noWrap/>
            <w:vAlign w:val="center"/>
            <w:hideMark/>
          </w:tcPr>
          <w:p w14:paraId="0767F1DF"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39B6B4C7"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6C5EB52B" w14:textId="77777777" w:rsidTr="00AC1F17">
        <w:trPr>
          <w:trHeight w:val="300"/>
        </w:trPr>
        <w:tc>
          <w:tcPr>
            <w:tcW w:w="1667" w:type="pct"/>
            <w:vMerge w:val="restart"/>
            <w:shd w:val="clear" w:color="auto" w:fill="auto"/>
            <w:vAlign w:val="center"/>
            <w:hideMark/>
          </w:tcPr>
          <w:p w14:paraId="503AC576"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Konkurenčni postopek s pogajanji</w:t>
            </w:r>
          </w:p>
        </w:tc>
        <w:tc>
          <w:tcPr>
            <w:tcW w:w="1189" w:type="pct"/>
            <w:shd w:val="clear" w:color="auto" w:fill="auto"/>
            <w:vAlign w:val="center"/>
            <w:hideMark/>
          </w:tcPr>
          <w:p w14:paraId="79B6162E"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597DEC8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125</w:t>
            </w:r>
          </w:p>
        </w:tc>
        <w:tc>
          <w:tcPr>
            <w:tcW w:w="713" w:type="pct"/>
            <w:shd w:val="clear" w:color="auto" w:fill="auto"/>
            <w:vAlign w:val="center"/>
            <w:hideMark/>
          </w:tcPr>
          <w:p w14:paraId="4EE6EC33"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125.919.654</w:t>
            </w:r>
          </w:p>
        </w:tc>
        <w:tc>
          <w:tcPr>
            <w:tcW w:w="525" w:type="pct"/>
            <w:shd w:val="clear" w:color="auto" w:fill="auto"/>
            <w:noWrap/>
            <w:vAlign w:val="center"/>
            <w:hideMark/>
          </w:tcPr>
          <w:p w14:paraId="0C004A7B"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88,65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235FE05"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93,75</w:t>
            </w:r>
            <w:r>
              <w:rPr>
                <w:rFonts w:ascii="Arial" w:eastAsia="Times New Roman" w:hAnsi="Arial" w:cs="Arial"/>
                <w:color w:val="000000"/>
                <w:sz w:val="18"/>
                <w:szCs w:val="18"/>
                <w:lang w:eastAsia="sl-SI"/>
              </w:rPr>
              <w:t xml:space="preserve"> %</w:t>
            </w:r>
          </w:p>
        </w:tc>
      </w:tr>
      <w:tr w:rsidR="00072A69" w:rsidRPr="00DD32D5" w14:paraId="41EE04F5" w14:textId="77777777" w:rsidTr="00AC1F17">
        <w:trPr>
          <w:trHeight w:val="300"/>
        </w:trPr>
        <w:tc>
          <w:tcPr>
            <w:tcW w:w="1667" w:type="pct"/>
            <w:vMerge/>
            <w:vAlign w:val="center"/>
            <w:hideMark/>
          </w:tcPr>
          <w:p w14:paraId="08592B09"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5FD4BEC7"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7FA7AF35"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16</w:t>
            </w:r>
          </w:p>
        </w:tc>
        <w:tc>
          <w:tcPr>
            <w:tcW w:w="713" w:type="pct"/>
            <w:shd w:val="clear" w:color="auto" w:fill="auto"/>
            <w:vAlign w:val="center"/>
            <w:hideMark/>
          </w:tcPr>
          <w:p w14:paraId="5EF9791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8.395.414</w:t>
            </w:r>
          </w:p>
        </w:tc>
        <w:tc>
          <w:tcPr>
            <w:tcW w:w="525" w:type="pct"/>
            <w:shd w:val="clear" w:color="auto" w:fill="auto"/>
            <w:noWrap/>
            <w:vAlign w:val="center"/>
            <w:hideMark/>
          </w:tcPr>
          <w:p w14:paraId="23A661E9"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11,35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106EE3A"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6,25</w:t>
            </w:r>
            <w:r>
              <w:rPr>
                <w:rFonts w:ascii="Arial" w:eastAsia="Times New Roman" w:hAnsi="Arial" w:cs="Arial"/>
                <w:color w:val="000000"/>
                <w:sz w:val="18"/>
                <w:szCs w:val="18"/>
                <w:lang w:eastAsia="sl-SI"/>
              </w:rPr>
              <w:t xml:space="preserve"> %</w:t>
            </w:r>
          </w:p>
        </w:tc>
      </w:tr>
      <w:tr w:rsidR="00072A69" w:rsidRPr="00DD32D5" w14:paraId="3DD30B42" w14:textId="77777777" w:rsidTr="00AC1F17">
        <w:trPr>
          <w:trHeight w:val="300"/>
        </w:trPr>
        <w:tc>
          <w:tcPr>
            <w:tcW w:w="1667" w:type="pct"/>
            <w:vMerge/>
            <w:vAlign w:val="center"/>
            <w:hideMark/>
          </w:tcPr>
          <w:p w14:paraId="6340F555"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4E109EE9"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6EAD3319"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141</w:t>
            </w:r>
          </w:p>
        </w:tc>
        <w:tc>
          <w:tcPr>
            <w:tcW w:w="713" w:type="pct"/>
            <w:shd w:val="clear" w:color="auto" w:fill="auto"/>
            <w:vAlign w:val="center"/>
            <w:hideMark/>
          </w:tcPr>
          <w:p w14:paraId="058E39DA"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134.315.068</w:t>
            </w:r>
          </w:p>
        </w:tc>
        <w:tc>
          <w:tcPr>
            <w:tcW w:w="525" w:type="pct"/>
            <w:shd w:val="clear" w:color="auto" w:fill="auto"/>
            <w:noWrap/>
            <w:vAlign w:val="center"/>
            <w:hideMark/>
          </w:tcPr>
          <w:p w14:paraId="3C4E05B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83ED737"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41E3E920" w14:textId="77777777" w:rsidTr="00AC1F17">
        <w:trPr>
          <w:trHeight w:val="300"/>
        </w:trPr>
        <w:tc>
          <w:tcPr>
            <w:tcW w:w="1667" w:type="pct"/>
            <w:vMerge w:val="restart"/>
            <w:shd w:val="clear" w:color="auto" w:fill="auto"/>
            <w:vAlign w:val="center"/>
            <w:hideMark/>
          </w:tcPr>
          <w:p w14:paraId="6463B83E"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Odprti postopek</w:t>
            </w:r>
          </w:p>
        </w:tc>
        <w:tc>
          <w:tcPr>
            <w:tcW w:w="1189" w:type="pct"/>
            <w:shd w:val="clear" w:color="auto" w:fill="auto"/>
            <w:vAlign w:val="center"/>
            <w:hideMark/>
          </w:tcPr>
          <w:p w14:paraId="60A0177C"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78B1DEA3"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7.141</w:t>
            </w:r>
          </w:p>
        </w:tc>
        <w:tc>
          <w:tcPr>
            <w:tcW w:w="713" w:type="pct"/>
            <w:shd w:val="clear" w:color="auto" w:fill="auto"/>
            <w:vAlign w:val="center"/>
            <w:hideMark/>
          </w:tcPr>
          <w:p w14:paraId="5AB7175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1.615.787.072</w:t>
            </w:r>
          </w:p>
        </w:tc>
        <w:tc>
          <w:tcPr>
            <w:tcW w:w="525" w:type="pct"/>
            <w:shd w:val="clear" w:color="auto" w:fill="auto"/>
            <w:noWrap/>
            <w:vAlign w:val="center"/>
            <w:hideMark/>
          </w:tcPr>
          <w:p w14:paraId="3D063AE5"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86,39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30E2D12"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90,92</w:t>
            </w:r>
            <w:r>
              <w:rPr>
                <w:rFonts w:ascii="Arial" w:eastAsia="Times New Roman" w:hAnsi="Arial" w:cs="Arial"/>
                <w:color w:val="000000"/>
                <w:sz w:val="18"/>
                <w:szCs w:val="18"/>
                <w:lang w:eastAsia="sl-SI"/>
              </w:rPr>
              <w:t xml:space="preserve"> %</w:t>
            </w:r>
          </w:p>
        </w:tc>
      </w:tr>
      <w:tr w:rsidR="00072A69" w:rsidRPr="00DD32D5" w14:paraId="77FAB384" w14:textId="77777777" w:rsidTr="00AC1F17">
        <w:trPr>
          <w:trHeight w:val="300"/>
        </w:trPr>
        <w:tc>
          <w:tcPr>
            <w:tcW w:w="1667" w:type="pct"/>
            <w:vMerge/>
            <w:vAlign w:val="center"/>
            <w:hideMark/>
          </w:tcPr>
          <w:p w14:paraId="5F734571"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643BF191"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6AAF28A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1.125</w:t>
            </w:r>
          </w:p>
        </w:tc>
        <w:tc>
          <w:tcPr>
            <w:tcW w:w="713" w:type="pct"/>
            <w:shd w:val="clear" w:color="auto" w:fill="auto"/>
            <w:vAlign w:val="center"/>
            <w:hideMark/>
          </w:tcPr>
          <w:p w14:paraId="5CB6AA56"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161.334.076</w:t>
            </w:r>
          </w:p>
        </w:tc>
        <w:tc>
          <w:tcPr>
            <w:tcW w:w="525" w:type="pct"/>
            <w:shd w:val="clear" w:color="auto" w:fill="auto"/>
            <w:noWrap/>
            <w:vAlign w:val="center"/>
            <w:hideMark/>
          </w:tcPr>
          <w:p w14:paraId="66B19D2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13,61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6E5C67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9,08</w:t>
            </w:r>
            <w:r>
              <w:rPr>
                <w:rFonts w:ascii="Arial" w:eastAsia="Times New Roman" w:hAnsi="Arial" w:cs="Arial"/>
                <w:color w:val="000000"/>
                <w:sz w:val="18"/>
                <w:szCs w:val="18"/>
                <w:lang w:eastAsia="sl-SI"/>
              </w:rPr>
              <w:t xml:space="preserve"> %</w:t>
            </w:r>
          </w:p>
        </w:tc>
      </w:tr>
      <w:tr w:rsidR="00072A69" w:rsidRPr="00DD32D5" w14:paraId="1C96677A" w14:textId="77777777" w:rsidTr="00AC1F17">
        <w:trPr>
          <w:trHeight w:val="300"/>
        </w:trPr>
        <w:tc>
          <w:tcPr>
            <w:tcW w:w="1667" w:type="pct"/>
            <w:vMerge/>
            <w:vAlign w:val="center"/>
            <w:hideMark/>
          </w:tcPr>
          <w:p w14:paraId="67C5C051"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286FDCE3"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6679B4C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8.266</w:t>
            </w:r>
          </w:p>
        </w:tc>
        <w:tc>
          <w:tcPr>
            <w:tcW w:w="713" w:type="pct"/>
            <w:shd w:val="clear" w:color="auto" w:fill="auto"/>
            <w:vAlign w:val="center"/>
            <w:hideMark/>
          </w:tcPr>
          <w:p w14:paraId="6619E91F"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1.777.121.148</w:t>
            </w:r>
          </w:p>
        </w:tc>
        <w:tc>
          <w:tcPr>
            <w:tcW w:w="525" w:type="pct"/>
            <w:shd w:val="clear" w:color="auto" w:fill="auto"/>
            <w:noWrap/>
            <w:vAlign w:val="center"/>
            <w:hideMark/>
          </w:tcPr>
          <w:p w14:paraId="0B114380"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305734EE"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5E4A1091" w14:textId="77777777" w:rsidTr="00AC1F17">
        <w:trPr>
          <w:trHeight w:val="300"/>
        </w:trPr>
        <w:tc>
          <w:tcPr>
            <w:tcW w:w="1667" w:type="pct"/>
            <w:vMerge w:val="restart"/>
            <w:shd w:val="clear" w:color="auto" w:fill="auto"/>
            <w:vAlign w:val="center"/>
            <w:hideMark/>
          </w:tcPr>
          <w:p w14:paraId="510C8511"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Omejeni postopek</w:t>
            </w:r>
          </w:p>
        </w:tc>
        <w:tc>
          <w:tcPr>
            <w:tcW w:w="1189" w:type="pct"/>
            <w:shd w:val="clear" w:color="auto" w:fill="auto"/>
            <w:vAlign w:val="center"/>
            <w:hideMark/>
          </w:tcPr>
          <w:p w14:paraId="6859BD88"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55C8FAD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45</w:t>
            </w:r>
          </w:p>
        </w:tc>
        <w:tc>
          <w:tcPr>
            <w:tcW w:w="713" w:type="pct"/>
            <w:shd w:val="clear" w:color="auto" w:fill="auto"/>
            <w:vAlign w:val="center"/>
            <w:hideMark/>
          </w:tcPr>
          <w:p w14:paraId="1A4D2F8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20.004.882</w:t>
            </w:r>
          </w:p>
        </w:tc>
        <w:tc>
          <w:tcPr>
            <w:tcW w:w="525" w:type="pct"/>
            <w:shd w:val="clear" w:color="auto" w:fill="auto"/>
            <w:noWrap/>
            <w:vAlign w:val="center"/>
            <w:hideMark/>
          </w:tcPr>
          <w:p w14:paraId="1E243052"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97,83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D5E861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99,60</w:t>
            </w:r>
            <w:r>
              <w:rPr>
                <w:rFonts w:ascii="Arial" w:eastAsia="Times New Roman" w:hAnsi="Arial" w:cs="Arial"/>
                <w:color w:val="000000"/>
                <w:sz w:val="18"/>
                <w:szCs w:val="18"/>
                <w:lang w:eastAsia="sl-SI"/>
              </w:rPr>
              <w:t xml:space="preserve"> %</w:t>
            </w:r>
          </w:p>
        </w:tc>
      </w:tr>
      <w:tr w:rsidR="00072A69" w:rsidRPr="00DD32D5" w14:paraId="1674BB6E" w14:textId="77777777" w:rsidTr="00AC1F17">
        <w:trPr>
          <w:trHeight w:val="300"/>
        </w:trPr>
        <w:tc>
          <w:tcPr>
            <w:tcW w:w="1667" w:type="pct"/>
            <w:vMerge/>
            <w:vAlign w:val="center"/>
            <w:hideMark/>
          </w:tcPr>
          <w:p w14:paraId="5A6A7526"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411D10EA"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131EC03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w:t>
            </w:r>
          </w:p>
        </w:tc>
        <w:tc>
          <w:tcPr>
            <w:tcW w:w="713" w:type="pct"/>
            <w:shd w:val="clear" w:color="auto" w:fill="auto"/>
            <w:vAlign w:val="center"/>
            <w:hideMark/>
          </w:tcPr>
          <w:p w14:paraId="1DC1DF32"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80.000</w:t>
            </w:r>
          </w:p>
        </w:tc>
        <w:tc>
          <w:tcPr>
            <w:tcW w:w="525" w:type="pct"/>
            <w:shd w:val="clear" w:color="auto" w:fill="auto"/>
            <w:noWrap/>
            <w:vAlign w:val="center"/>
            <w:hideMark/>
          </w:tcPr>
          <w:p w14:paraId="319C3E62"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2,17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211F87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072A69" w:rsidRPr="00DD32D5" w14:paraId="1E54FE4D" w14:textId="77777777" w:rsidTr="00AC1F17">
        <w:trPr>
          <w:trHeight w:val="300"/>
        </w:trPr>
        <w:tc>
          <w:tcPr>
            <w:tcW w:w="1667" w:type="pct"/>
            <w:vMerge/>
            <w:vAlign w:val="center"/>
            <w:hideMark/>
          </w:tcPr>
          <w:p w14:paraId="17471D2A"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1E36A28F"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31071AA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46</w:t>
            </w:r>
          </w:p>
        </w:tc>
        <w:tc>
          <w:tcPr>
            <w:tcW w:w="713" w:type="pct"/>
            <w:shd w:val="clear" w:color="auto" w:fill="auto"/>
            <w:vAlign w:val="center"/>
            <w:hideMark/>
          </w:tcPr>
          <w:p w14:paraId="78970056"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20.084.882</w:t>
            </w:r>
          </w:p>
        </w:tc>
        <w:tc>
          <w:tcPr>
            <w:tcW w:w="525" w:type="pct"/>
            <w:shd w:val="clear" w:color="auto" w:fill="auto"/>
            <w:noWrap/>
            <w:vAlign w:val="center"/>
            <w:hideMark/>
          </w:tcPr>
          <w:p w14:paraId="53F4EADD"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75E2F16E"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5606724F" w14:textId="77777777" w:rsidTr="00AC1F17">
        <w:trPr>
          <w:trHeight w:val="300"/>
        </w:trPr>
        <w:tc>
          <w:tcPr>
            <w:tcW w:w="1667" w:type="pct"/>
            <w:vMerge w:val="restart"/>
            <w:shd w:val="clear" w:color="auto" w:fill="auto"/>
            <w:vAlign w:val="center"/>
            <w:hideMark/>
          </w:tcPr>
          <w:p w14:paraId="3DAC94D5"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Postopek naročila male vrednosti</w:t>
            </w:r>
          </w:p>
        </w:tc>
        <w:tc>
          <w:tcPr>
            <w:tcW w:w="1189" w:type="pct"/>
            <w:shd w:val="clear" w:color="auto" w:fill="auto"/>
            <w:vAlign w:val="center"/>
            <w:hideMark/>
          </w:tcPr>
          <w:p w14:paraId="20D68673"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60F09FCD"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6.618</w:t>
            </w:r>
          </w:p>
        </w:tc>
        <w:tc>
          <w:tcPr>
            <w:tcW w:w="713" w:type="pct"/>
            <w:shd w:val="clear" w:color="auto" w:fill="auto"/>
            <w:vAlign w:val="center"/>
            <w:hideMark/>
          </w:tcPr>
          <w:p w14:paraId="0A2F53E4"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422.998.799</w:t>
            </w:r>
          </w:p>
        </w:tc>
        <w:tc>
          <w:tcPr>
            <w:tcW w:w="525" w:type="pct"/>
            <w:shd w:val="clear" w:color="auto" w:fill="auto"/>
            <w:noWrap/>
            <w:vAlign w:val="center"/>
            <w:hideMark/>
          </w:tcPr>
          <w:p w14:paraId="54B2123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90,13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E70BCC3"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92,81</w:t>
            </w:r>
            <w:r>
              <w:rPr>
                <w:rFonts w:ascii="Arial" w:eastAsia="Times New Roman" w:hAnsi="Arial" w:cs="Arial"/>
                <w:color w:val="000000"/>
                <w:sz w:val="18"/>
                <w:szCs w:val="18"/>
                <w:lang w:eastAsia="sl-SI"/>
              </w:rPr>
              <w:t xml:space="preserve"> %</w:t>
            </w:r>
          </w:p>
        </w:tc>
      </w:tr>
      <w:tr w:rsidR="00072A69" w:rsidRPr="00DD32D5" w14:paraId="6D513DEF" w14:textId="77777777" w:rsidTr="00AC1F17">
        <w:trPr>
          <w:trHeight w:val="300"/>
        </w:trPr>
        <w:tc>
          <w:tcPr>
            <w:tcW w:w="1667" w:type="pct"/>
            <w:vMerge/>
            <w:vAlign w:val="center"/>
            <w:hideMark/>
          </w:tcPr>
          <w:p w14:paraId="505C2900"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7A9DB8D7"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0FC91A2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725</w:t>
            </w:r>
          </w:p>
        </w:tc>
        <w:tc>
          <w:tcPr>
            <w:tcW w:w="713" w:type="pct"/>
            <w:shd w:val="clear" w:color="auto" w:fill="auto"/>
            <w:vAlign w:val="center"/>
            <w:hideMark/>
          </w:tcPr>
          <w:p w14:paraId="30FC0795"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32.787.332</w:t>
            </w:r>
          </w:p>
        </w:tc>
        <w:tc>
          <w:tcPr>
            <w:tcW w:w="525" w:type="pct"/>
            <w:shd w:val="clear" w:color="auto" w:fill="auto"/>
            <w:noWrap/>
            <w:vAlign w:val="center"/>
            <w:hideMark/>
          </w:tcPr>
          <w:p w14:paraId="4FBB9D52"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9,87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B8F237C"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7,19</w:t>
            </w:r>
            <w:r>
              <w:rPr>
                <w:rFonts w:ascii="Arial" w:eastAsia="Times New Roman" w:hAnsi="Arial" w:cs="Arial"/>
                <w:color w:val="000000"/>
                <w:sz w:val="18"/>
                <w:szCs w:val="18"/>
                <w:lang w:eastAsia="sl-SI"/>
              </w:rPr>
              <w:t xml:space="preserve"> %</w:t>
            </w:r>
          </w:p>
        </w:tc>
      </w:tr>
      <w:tr w:rsidR="00072A69" w:rsidRPr="00DD32D5" w14:paraId="0FD76D41" w14:textId="77777777" w:rsidTr="00AC1F17">
        <w:trPr>
          <w:trHeight w:val="300"/>
        </w:trPr>
        <w:tc>
          <w:tcPr>
            <w:tcW w:w="1667" w:type="pct"/>
            <w:vMerge/>
            <w:vAlign w:val="center"/>
            <w:hideMark/>
          </w:tcPr>
          <w:p w14:paraId="60C1FD9F"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0D2BAA16"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F28C1FE"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7.343</w:t>
            </w:r>
          </w:p>
        </w:tc>
        <w:tc>
          <w:tcPr>
            <w:tcW w:w="713" w:type="pct"/>
            <w:shd w:val="clear" w:color="auto" w:fill="auto"/>
            <w:vAlign w:val="center"/>
            <w:hideMark/>
          </w:tcPr>
          <w:p w14:paraId="39A7095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455.786.131</w:t>
            </w:r>
          </w:p>
        </w:tc>
        <w:tc>
          <w:tcPr>
            <w:tcW w:w="525" w:type="pct"/>
            <w:shd w:val="clear" w:color="auto" w:fill="auto"/>
            <w:noWrap/>
            <w:vAlign w:val="center"/>
            <w:hideMark/>
          </w:tcPr>
          <w:p w14:paraId="581EF153"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361CF45D"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1A222AEB" w14:textId="77777777" w:rsidTr="00AC1F17">
        <w:trPr>
          <w:trHeight w:val="300"/>
        </w:trPr>
        <w:tc>
          <w:tcPr>
            <w:tcW w:w="1667" w:type="pct"/>
            <w:vMerge w:val="restart"/>
            <w:shd w:val="clear" w:color="auto" w:fill="auto"/>
            <w:vAlign w:val="center"/>
            <w:hideMark/>
          </w:tcPr>
          <w:p w14:paraId="56870571"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Postopek s pogajanji brez predhodne objave</w:t>
            </w:r>
          </w:p>
        </w:tc>
        <w:tc>
          <w:tcPr>
            <w:tcW w:w="1189" w:type="pct"/>
            <w:shd w:val="clear" w:color="auto" w:fill="auto"/>
            <w:vAlign w:val="center"/>
            <w:hideMark/>
          </w:tcPr>
          <w:p w14:paraId="14E8AE0C"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3D69CEB6"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791</w:t>
            </w:r>
          </w:p>
        </w:tc>
        <w:tc>
          <w:tcPr>
            <w:tcW w:w="713" w:type="pct"/>
            <w:shd w:val="clear" w:color="auto" w:fill="auto"/>
            <w:vAlign w:val="center"/>
            <w:hideMark/>
          </w:tcPr>
          <w:p w14:paraId="1F2BF97B"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297.770.848</w:t>
            </w:r>
          </w:p>
        </w:tc>
        <w:tc>
          <w:tcPr>
            <w:tcW w:w="525" w:type="pct"/>
            <w:shd w:val="clear" w:color="auto" w:fill="auto"/>
            <w:noWrap/>
            <w:vAlign w:val="center"/>
            <w:hideMark/>
          </w:tcPr>
          <w:p w14:paraId="750EA398"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95,53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DA6FC19"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96,29</w:t>
            </w:r>
            <w:r>
              <w:rPr>
                <w:rFonts w:ascii="Arial" w:eastAsia="Times New Roman" w:hAnsi="Arial" w:cs="Arial"/>
                <w:color w:val="000000"/>
                <w:sz w:val="18"/>
                <w:szCs w:val="18"/>
                <w:lang w:eastAsia="sl-SI"/>
              </w:rPr>
              <w:t xml:space="preserve"> %</w:t>
            </w:r>
          </w:p>
        </w:tc>
      </w:tr>
      <w:tr w:rsidR="00072A69" w:rsidRPr="00DD32D5" w14:paraId="3F0DD25B" w14:textId="77777777" w:rsidTr="00AC1F17">
        <w:trPr>
          <w:trHeight w:val="300"/>
        </w:trPr>
        <w:tc>
          <w:tcPr>
            <w:tcW w:w="1667" w:type="pct"/>
            <w:vMerge/>
            <w:vAlign w:val="center"/>
            <w:hideMark/>
          </w:tcPr>
          <w:p w14:paraId="2BD53910"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2DFADD6D"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0C0D646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37</w:t>
            </w:r>
          </w:p>
        </w:tc>
        <w:tc>
          <w:tcPr>
            <w:tcW w:w="713" w:type="pct"/>
            <w:shd w:val="clear" w:color="auto" w:fill="auto"/>
            <w:vAlign w:val="center"/>
            <w:hideMark/>
          </w:tcPr>
          <w:p w14:paraId="78D2B4E3"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11.460.038</w:t>
            </w:r>
          </w:p>
        </w:tc>
        <w:tc>
          <w:tcPr>
            <w:tcW w:w="525" w:type="pct"/>
            <w:shd w:val="clear" w:color="auto" w:fill="auto"/>
            <w:noWrap/>
            <w:vAlign w:val="center"/>
            <w:hideMark/>
          </w:tcPr>
          <w:p w14:paraId="46725C0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4,47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C406FCD"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3,71</w:t>
            </w:r>
            <w:r>
              <w:rPr>
                <w:rFonts w:ascii="Arial" w:eastAsia="Times New Roman" w:hAnsi="Arial" w:cs="Arial"/>
                <w:color w:val="000000"/>
                <w:sz w:val="18"/>
                <w:szCs w:val="18"/>
                <w:lang w:eastAsia="sl-SI"/>
              </w:rPr>
              <w:t xml:space="preserve"> %</w:t>
            </w:r>
          </w:p>
        </w:tc>
      </w:tr>
      <w:tr w:rsidR="00072A69" w:rsidRPr="00DD32D5" w14:paraId="75E97B12" w14:textId="77777777" w:rsidTr="00AC1F17">
        <w:trPr>
          <w:trHeight w:val="300"/>
        </w:trPr>
        <w:tc>
          <w:tcPr>
            <w:tcW w:w="1667" w:type="pct"/>
            <w:vMerge/>
            <w:vAlign w:val="center"/>
            <w:hideMark/>
          </w:tcPr>
          <w:p w14:paraId="104BC075"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45230259"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6B1DF2D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828</w:t>
            </w:r>
          </w:p>
        </w:tc>
        <w:tc>
          <w:tcPr>
            <w:tcW w:w="713" w:type="pct"/>
            <w:shd w:val="clear" w:color="auto" w:fill="auto"/>
            <w:vAlign w:val="center"/>
            <w:hideMark/>
          </w:tcPr>
          <w:p w14:paraId="76FADCA7"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309.230.886</w:t>
            </w:r>
          </w:p>
        </w:tc>
        <w:tc>
          <w:tcPr>
            <w:tcW w:w="525" w:type="pct"/>
            <w:shd w:val="clear" w:color="auto" w:fill="auto"/>
            <w:noWrap/>
            <w:vAlign w:val="center"/>
            <w:hideMark/>
          </w:tcPr>
          <w:p w14:paraId="10EFE0E4"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5D9345C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6C0A89E8" w14:textId="77777777" w:rsidTr="00AC1F17">
        <w:trPr>
          <w:trHeight w:val="300"/>
        </w:trPr>
        <w:tc>
          <w:tcPr>
            <w:tcW w:w="1667" w:type="pct"/>
            <w:vMerge w:val="restart"/>
            <w:shd w:val="clear" w:color="auto" w:fill="auto"/>
            <w:vAlign w:val="center"/>
            <w:hideMark/>
          </w:tcPr>
          <w:p w14:paraId="19236B2F"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Postopek s pogajanji po predhodni objavi</w:t>
            </w:r>
          </w:p>
        </w:tc>
        <w:tc>
          <w:tcPr>
            <w:tcW w:w="1189" w:type="pct"/>
            <w:shd w:val="clear" w:color="auto" w:fill="auto"/>
            <w:vAlign w:val="center"/>
            <w:hideMark/>
          </w:tcPr>
          <w:p w14:paraId="7ED3B779"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1B328F26"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185</w:t>
            </w:r>
          </w:p>
        </w:tc>
        <w:tc>
          <w:tcPr>
            <w:tcW w:w="713" w:type="pct"/>
            <w:shd w:val="clear" w:color="auto" w:fill="auto"/>
            <w:vAlign w:val="center"/>
            <w:hideMark/>
          </w:tcPr>
          <w:p w14:paraId="7DAA77B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156.134.119</w:t>
            </w:r>
          </w:p>
        </w:tc>
        <w:tc>
          <w:tcPr>
            <w:tcW w:w="525" w:type="pct"/>
            <w:shd w:val="clear" w:color="auto" w:fill="auto"/>
            <w:noWrap/>
            <w:vAlign w:val="center"/>
            <w:hideMark/>
          </w:tcPr>
          <w:p w14:paraId="0FC0DD84"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83,33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4FEBFA1"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75,15</w:t>
            </w:r>
            <w:r>
              <w:rPr>
                <w:rFonts w:ascii="Arial" w:eastAsia="Times New Roman" w:hAnsi="Arial" w:cs="Arial"/>
                <w:color w:val="000000"/>
                <w:sz w:val="18"/>
                <w:szCs w:val="18"/>
                <w:lang w:eastAsia="sl-SI"/>
              </w:rPr>
              <w:t xml:space="preserve"> %</w:t>
            </w:r>
          </w:p>
        </w:tc>
      </w:tr>
      <w:tr w:rsidR="00072A69" w:rsidRPr="00DD32D5" w14:paraId="1EC318E9" w14:textId="77777777" w:rsidTr="00AC1F17">
        <w:trPr>
          <w:trHeight w:val="300"/>
        </w:trPr>
        <w:tc>
          <w:tcPr>
            <w:tcW w:w="1667" w:type="pct"/>
            <w:vMerge/>
            <w:vAlign w:val="center"/>
            <w:hideMark/>
          </w:tcPr>
          <w:p w14:paraId="6B598463"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6438B496"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6E74CA9C"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37</w:t>
            </w:r>
          </w:p>
        </w:tc>
        <w:tc>
          <w:tcPr>
            <w:tcW w:w="713" w:type="pct"/>
            <w:shd w:val="clear" w:color="auto" w:fill="auto"/>
            <w:vAlign w:val="center"/>
            <w:hideMark/>
          </w:tcPr>
          <w:p w14:paraId="118DC70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51.622.944</w:t>
            </w:r>
          </w:p>
        </w:tc>
        <w:tc>
          <w:tcPr>
            <w:tcW w:w="525" w:type="pct"/>
            <w:shd w:val="clear" w:color="auto" w:fill="auto"/>
            <w:noWrap/>
            <w:vAlign w:val="center"/>
            <w:hideMark/>
          </w:tcPr>
          <w:p w14:paraId="0717F616"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16,67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D486E7A"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24,85</w:t>
            </w:r>
            <w:r>
              <w:rPr>
                <w:rFonts w:ascii="Arial" w:eastAsia="Times New Roman" w:hAnsi="Arial" w:cs="Arial"/>
                <w:color w:val="000000"/>
                <w:sz w:val="18"/>
                <w:szCs w:val="18"/>
                <w:lang w:eastAsia="sl-SI"/>
              </w:rPr>
              <w:t xml:space="preserve"> %</w:t>
            </w:r>
          </w:p>
        </w:tc>
      </w:tr>
      <w:tr w:rsidR="00072A69" w:rsidRPr="00DD32D5" w14:paraId="28829100" w14:textId="77777777" w:rsidTr="00AC1F17">
        <w:trPr>
          <w:trHeight w:val="300"/>
        </w:trPr>
        <w:tc>
          <w:tcPr>
            <w:tcW w:w="1667" w:type="pct"/>
            <w:vMerge/>
            <w:vAlign w:val="center"/>
            <w:hideMark/>
          </w:tcPr>
          <w:p w14:paraId="3D9F6D46"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282FECF9"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1A2DE6E"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222</w:t>
            </w:r>
          </w:p>
        </w:tc>
        <w:tc>
          <w:tcPr>
            <w:tcW w:w="713" w:type="pct"/>
            <w:shd w:val="clear" w:color="auto" w:fill="auto"/>
            <w:vAlign w:val="center"/>
            <w:hideMark/>
          </w:tcPr>
          <w:p w14:paraId="703BF0D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207.757.063</w:t>
            </w:r>
          </w:p>
        </w:tc>
        <w:tc>
          <w:tcPr>
            <w:tcW w:w="525" w:type="pct"/>
            <w:shd w:val="clear" w:color="auto" w:fill="auto"/>
            <w:noWrap/>
            <w:vAlign w:val="center"/>
            <w:hideMark/>
          </w:tcPr>
          <w:p w14:paraId="46940C07"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389E35CB"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06B345E5" w14:textId="77777777" w:rsidTr="00AC1F17">
        <w:trPr>
          <w:trHeight w:val="300"/>
        </w:trPr>
        <w:tc>
          <w:tcPr>
            <w:tcW w:w="1667" w:type="pct"/>
            <w:vMerge w:val="restart"/>
            <w:shd w:val="clear" w:color="auto" w:fill="auto"/>
            <w:vAlign w:val="center"/>
            <w:hideMark/>
          </w:tcPr>
          <w:p w14:paraId="34018830" w14:textId="77777777" w:rsidR="00072A69" w:rsidRPr="00DD32D5" w:rsidRDefault="00072A69" w:rsidP="00AC1F17">
            <w:pPr>
              <w:spacing w:after="0" w:line="240" w:lineRule="auto"/>
              <w:jc w:val="center"/>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Postopek zbiranja ponudb po predhodni objavi</w:t>
            </w:r>
          </w:p>
        </w:tc>
        <w:tc>
          <w:tcPr>
            <w:tcW w:w="1189" w:type="pct"/>
            <w:shd w:val="clear" w:color="auto" w:fill="auto"/>
            <w:vAlign w:val="center"/>
            <w:hideMark/>
          </w:tcPr>
          <w:p w14:paraId="39D27573"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Cena</w:t>
            </w:r>
          </w:p>
        </w:tc>
        <w:tc>
          <w:tcPr>
            <w:tcW w:w="381" w:type="pct"/>
            <w:shd w:val="clear" w:color="auto" w:fill="auto"/>
            <w:vAlign w:val="center"/>
            <w:hideMark/>
          </w:tcPr>
          <w:p w14:paraId="59F098B7"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11</w:t>
            </w:r>
          </w:p>
        </w:tc>
        <w:tc>
          <w:tcPr>
            <w:tcW w:w="713" w:type="pct"/>
            <w:shd w:val="clear" w:color="auto" w:fill="auto"/>
            <w:vAlign w:val="center"/>
            <w:hideMark/>
          </w:tcPr>
          <w:p w14:paraId="7E1F7972"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1.484.992</w:t>
            </w:r>
          </w:p>
        </w:tc>
        <w:tc>
          <w:tcPr>
            <w:tcW w:w="525" w:type="pct"/>
            <w:shd w:val="clear" w:color="auto" w:fill="auto"/>
            <w:noWrap/>
            <w:vAlign w:val="center"/>
            <w:hideMark/>
          </w:tcPr>
          <w:p w14:paraId="188309D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84,62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61E626F"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91,34</w:t>
            </w:r>
            <w:r>
              <w:rPr>
                <w:rFonts w:ascii="Arial" w:eastAsia="Times New Roman" w:hAnsi="Arial" w:cs="Arial"/>
                <w:color w:val="000000"/>
                <w:sz w:val="18"/>
                <w:szCs w:val="18"/>
                <w:lang w:eastAsia="sl-SI"/>
              </w:rPr>
              <w:t xml:space="preserve"> %</w:t>
            </w:r>
          </w:p>
        </w:tc>
      </w:tr>
      <w:tr w:rsidR="00072A69" w:rsidRPr="00DD32D5" w14:paraId="3F7C1CD0" w14:textId="77777777" w:rsidTr="00AC1F17">
        <w:trPr>
          <w:trHeight w:val="300"/>
        </w:trPr>
        <w:tc>
          <w:tcPr>
            <w:tcW w:w="1667" w:type="pct"/>
            <w:vMerge/>
            <w:vAlign w:val="center"/>
            <w:hideMark/>
          </w:tcPr>
          <w:p w14:paraId="268D288D"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10597235" w14:textId="77777777" w:rsidR="00072A69" w:rsidRPr="00DD32D5" w:rsidRDefault="00072A69" w:rsidP="00AC1F17">
            <w:pPr>
              <w:spacing w:after="0" w:line="240" w:lineRule="auto"/>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527F0B95"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2</w:t>
            </w:r>
          </w:p>
        </w:tc>
        <w:tc>
          <w:tcPr>
            <w:tcW w:w="713" w:type="pct"/>
            <w:shd w:val="clear" w:color="auto" w:fill="auto"/>
            <w:vAlign w:val="center"/>
            <w:hideMark/>
          </w:tcPr>
          <w:p w14:paraId="6EEC3309"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140.830</w:t>
            </w:r>
          </w:p>
        </w:tc>
        <w:tc>
          <w:tcPr>
            <w:tcW w:w="525" w:type="pct"/>
            <w:shd w:val="clear" w:color="auto" w:fill="auto"/>
            <w:noWrap/>
            <w:vAlign w:val="center"/>
            <w:hideMark/>
          </w:tcPr>
          <w:p w14:paraId="766ECD4A"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15,38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3C674D0" w14:textId="77777777" w:rsidR="00072A69" w:rsidRPr="00DD32D5" w:rsidRDefault="00072A69" w:rsidP="00AC1F17">
            <w:pPr>
              <w:spacing w:after="0" w:line="240" w:lineRule="auto"/>
              <w:jc w:val="right"/>
              <w:rPr>
                <w:rFonts w:ascii="Arial" w:eastAsia="Times New Roman" w:hAnsi="Arial" w:cs="Arial"/>
                <w:color w:val="000000"/>
                <w:sz w:val="18"/>
                <w:szCs w:val="18"/>
                <w:lang w:eastAsia="sl-SI"/>
              </w:rPr>
            </w:pPr>
            <w:r w:rsidRPr="00DD32D5">
              <w:rPr>
                <w:rFonts w:ascii="Arial" w:eastAsia="Times New Roman" w:hAnsi="Arial" w:cs="Arial"/>
                <w:color w:val="000000"/>
                <w:sz w:val="18"/>
                <w:szCs w:val="18"/>
                <w:lang w:eastAsia="sl-SI"/>
              </w:rPr>
              <w:t>8,66</w:t>
            </w:r>
            <w:r>
              <w:rPr>
                <w:rFonts w:ascii="Arial" w:eastAsia="Times New Roman" w:hAnsi="Arial" w:cs="Arial"/>
                <w:color w:val="000000"/>
                <w:sz w:val="18"/>
                <w:szCs w:val="18"/>
                <w:lang w:eastAsia="sl-SI"/>
              </w:rPr>
              <w:t xml:space="preserve"> %</w:t>
            </w:r>
          </w:p>
        </w:tc>
      </w:tr>
      <w:tr w:rsidR="00072A69" w:rsidRPr="00DD32D5" w14:paraId="501CE0C6" w14:textId="77777777" w:rsidTr="00AC1F17">
        <w:trPr>
          <w:trHeight w:val="300"/>
        </w:trPr>
        <w:tc>
          <w:tcPr>
            <w:tcW w:w="1667" w:type="pct"/>
            <w:vMerge/>
            <w:vAlign w:val="center"/>
            <w:hideMark/>
          </w:tcPr>
          <w:p w14:paraId="176A3BD2" w14:textId="77777777" w:rsidR="00072A69" w:rsidRPr="00DD32D5" w:rsidRDefault="00072A69" w:rsidP="00AC1F17">
            <w:pPr>
              <w:spacing w:after="0" w:line="240" w:lineRule="auto"/>
              <w:rPr>
                <w:rFonts w:ascii="Arial" w:eastAsia="Times New Roman" w:hAnsi="Arial" w:cs="Arial"/>
                <w:color w:val="000000"/>
                <w:sz w:val="18"/>
                <w:szCs w:val="18"/>
                <w:lang w:eastAsia="sl-SI"/>
              </w:rPr>
            </w:pPr>
          </w:p>
        </w:tc>
        <w:tc>
          <w:tcPr>
            <w:tcW w:w="1189" w:type="pct"/>
            <w:shd w:val="clear" w:color="auto" w:fill="auto"/>
            <w:vAlign w:val="center"/>
            <w:hideMark/>
          </w:tcPr>
          <w:p w14:paraId="61859C1D"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auto"/>
            <w:noWrap/>
            <w:vAlign w:val="center"/>
            <w:hideMark/>
          </w:tcPr>
          <w:p w14:paraId="5DC2E08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13</w:t>
            </w:r>
          </w:p>
        </w:tc>
        <w:tc>
          <w:tcPr>
            <w:tcW w:w="713" w:type="pct"/>
            <w:shd w:val="clear" w:color="auto" w:fill="auto"/>
            <w:noWrap/>
            <w:vAlign w:val="center"/>
            <w:hideMark/>
          </w:tcPr>
          <w:p w14:paraId="182D36CD"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1.625.822</w:t>
            </w:r>
          </w:p>
        </w:tc>
        <w:tc>
          <w:tcPr>
            <w:tcW w:w="525" w:type="pct"/>
            <w:shd w:val="clear" w:color="auto" w:fill="auto"/>
            <w:noWrap/>
            <w:vAlign w:val="center"/>
            <w:hideMark/>
          </w:tcPr>
          <w:p w14:paraId="199C0515"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17BA95C"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DD32D5" w14:paraId="032566AF" w14:textId="77777777" w:rsidTr="00AC1F17">
        <w:trPr>
          <w:gridAfter w:val="2"/>
          <w:wAfter w:w="1049" w:type="pct"/>
          <w:trHeight w:val="300"/>
        </w:trPr>
        <w:tc>
          <w:tcPr>
            <w:tcW w:w="2856" w:type="pct"/>
            <w:gridSpan w:val="2"/>
            <w:shd w:val="clear" w:color="auto" w:fill="E7E6E6" w:themeFill="background2"/>
            <w:noWrap/>
            <w:vAlign w:val="center"/>
            <w:hideMark/>
          </w:tcPr>
          <w:p w14:paraId="7EE7E82A" w14:textId="77777777" w:rsidR="00072A69" w:rsidRPr="00DD32D5" w:rsidRDefault="00072A69" w:rsidP="00AC1F17">
            <w:pPr>
              <w:spacing w:after="0" w:line="240" w:lineRule="auto"/>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Skupaj</w:t>
            </w:r>
          </w:p>
        </w:tc>
        <w:tc>
          <w:tcPr>
            <w:tcW w:w="381" w:type="pct"/>
            <w:shd w:val="clear" w:color="auto" w:fill="E7E6E6" w:themeFill="background2"/>
            <w:noWrap/>
            <w:vAlign w:val="center"/>
            <w:hideMark/>
          </w:tcPr>
          <w:p w14:paraId="21C2841A"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16.865</w:t>
            </w:r>
          </w:p>
        </w:tc>
        <w:tc>
          <w:tcPr>
            <w:tcW w:w="713" w:type="pct"/>
            <w:shd w:val="clear" w:color="auto" w:fill="E7E6E6" w:themeFill="background2"/>
            <w:noWrap/>
            <w:vAlign w:val="center"/>
            <w:hideMark/>
          </w:tcPr>
          <w:p w14:paraId="3E52A233" w14:textId="77777777" w:rsidR="00072A69" w:rsidRPr="00DD32D5" w:rsidRDefault="00072A69" w:rsidP="00AC1F17">
            <w:pPr>
              <w:spacing w:after="0" w:line="240" w:lineRule="auto"/>
              <w:jc w:val="right"/>
              <w:rPr>
                <w:rFonts w:ascii="Arial" w:eastAsia="Times New Roman" w:hAnsi="Arial" w:cs="Arial"/>
                <w:b/>
                <w:bCs/>
                <w:color w:val="000000"/>
                <w:sz w:val="18"/>
                <w:szCs w:val="18"/>
                <w:lang w:eastAsia="sl-SI"/>
              </w:rPr>
            </w:pPr>
            <w:r w:rsidRPr="00DD32D5">
              <w:rPr>
                <w:rFonts w:ascii="Arial" w:eastAsia="Times New Roman" w:hAnsi="Arial" w:cs="Arial"/>
                <w:b/>
                <w:bCs/>
                <w:color w:val="000000"/>
                <w:sz w:val="18"/>
                <w:szCs w:val="18"/>
                <w:lang w:eastAsia="sl-SI"/>
              </w:rPr>
              <w:t>2.918.594.609</w:t>
            </w:r>
          </w:p>
        </w:tc>
      </w:tr>
    </w:tbl>
    <w:p w14:paraId="4CE0E71E" w14:textId="77777777" w:rsidR="00072A69" w:rsidRDefault="00072A69" w:rsidP="00072A69">
      <w:pPr>
        <w:spacing w:before="120" w:after="120" w:line="240" w:lineRule="auto"/>
        <w:jc w:val="both"/>
        <w:rPr>
          <w:rFonts w:ascii="Arial" w:hAnsi="Arial" w:cs="Arial"/>
          <w:sz w:val="20"/>
          <w:highlight w:val="yellow"/>
        </w:rPr>
      </w:pPr>
    </w:p>
    <w:p w14:paraId="6B0F55CC" w14:textId="0A7F894B" w:rsidR="00072A69" w:rsidRPr="00124E05" w:rsidRDefault="00072A69" w:rsidP="00072A69">
      <w:pPr>
        <w:spacing w:before="120" w:after="120" w:line="240" w:lineRule="auto"/>
        <w:jc w:val="both"/>
        <w:rPr>
          <w:rFonts w:ascii="Arial" w:hAnsi="Arial" w:cs="Arial"/>
          <w:sz w:val="20"/>
        </w:rPr>
      </w:pPr>
      <w:r w:rsidRPr="00124E05">
        <w:rPr>
          <w:rFonts w:ascii="Arial" w:hAnsi="Arial" w:cs="Arial"/>
          <w:sz w:val="20"/>
        </w:rPr>
        <w:t>Preglednica 9</w:t>
      </w:r>
      <w:r w:rsidR="00D23EC0">
        <w:rPr>
          <w:rFonts w:ascii="Arial" w:hAnsi="Arial" w:cs="Arial"/>
          <w:sz w:val="20"/>
        </w:rPr>
        <w:t>4</w:t>
      </w:r>
      <w:r w:rsidRPr="00124E05">
        <w:rPr>
          <w:rFonts w:ascii="Arial" w:hAnsi="Arial" w:cs="Arial"/>
          <w:sz w:val="20"/>
        </w:rPr>
        <w:t xml:space="preserve">: </w:t>
      </w:r>
      <w:bookmarkEnd w:id="81"/>
      <w:bookmarkEnd w:id="82"/>
      <w:r w:rsidRPr="00124E05">
        <w:rPr>
          <w:rFonts w:ascii="Arial" w:hAnsi="Arial" w:cs="Arial"/>
          <w:sz w:val="20"/>
        </w:rPr>
        <w:t>Javna naročila proračunskih uporabnikov glede na predmet naročanja</w:t>
      </w:r>
      <w:bookmarkEnd w:id="83"/>
      <w:bookmarkEnd w:id="84"/>
      <w:bookmarkEnd w:id="85"/>
      <w:bookmarkEnd w:id="89"/>
      <w:bookmarkEnd w:id="90"/>
      <w:bookmarkEnd w:id="91"/>
      <w:bookmarkEnd w:id="92"/>
      <w:bookmarkEnd w:id="93"/>
      <w:bookmarkEnd w:id="94"/>
    </w:p>
    <w:tbl>
      <w:tblPr>
        <w:tblW w:w="5000" w:type="pct"/>
        <w:tblCellMar>
          <w:left w:w="70" w:type="dxa"/>
          <w:right w:w="70" w:type="dxa"/>
        </w:tblCellMar>
        <w:tblLook w:val="04A0" w:firstRow="1" w:lastRow="0" w:firstColumn="1" w:lastColumn="0" w:noHBand="0" w:noVBand="1"/>
      </w:tblPr>
      <w:tblGrid>
        <w:gridCol w:w="1839"/>
        <w:gridCol w:w="1841"/>
        <w:gridCol w:w="1483"/>
        <w:gridCol w:w="1698"/>
        <w:gridCol w:w="1115"/>
        <w:gridCol w:w="1086"/>
      </w:tblGrid>
      <w:tr w:rsidR="00072A69" w:rsidRPr="00124E05" w14:paraId="5008CE9C" w14:textId="77777777" w:rsidTr="00AC1F17">
        <w:trPr>
          <w:trHeight w:val="480"/>
        </w:trPr>
        <w:tc>
          <w:tcPr>
            <w:tcW w:w="101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65B532B" w14:textId="77777777" w:rsidR="00072A69" w:rsidRPr="00124E05" w:rsidRDefault="00072A69" w:rsidP="00AC1F17">
            <w:pPr>
              <w:spacing w:after="0" w:line="240" w:lineRule="auto"/>
              <w:jc w:val="center"/>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 xml:space="preserve">Predmet </w:t>
            </w:r>
          </w:p>
        </w:tc>
        <w:tc>
          <w:tcPr>
            <w:tcW w:w="1016" w:type="pct"/>
            <w:tcBorders>
              <w:top w:val="single" w:sz="4" w:space="0" w:color="auto"/>
              <w:left w:val="nil"/>
              <w:bottom w:val="single" w:sz="4" w:space="0" w:color="auto"/>
              <w:right w:val="single" w:sz="4" w:space="0" w:color="auto"/>
            </w:tcBorders>
            <w:shd w:val="clear" w:color="000000" w:fill="EDEDED"/>
            <w:vAlign w:val="center"/>
            <w:hideMark/>
          </w:tcPr>
          <w:p w14:paraId="38926D5E" w14:textId="77777777" w:rsidR="00072A69" w:rsidRPr="00124E05" w:rsidRDefault="00072A69" w:rsidP="00AC1F17">
            <w:pPr>
              <w:spacing w:after="0" w:line="240" w:lineRule="auto"/>
              <w:jc w:val="center"/>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Št. proračunskih uporabnikov</w:t>
            </w:r>
          </w:p>
        </w:tc>
        <w:tc>
          <w:tcPr>
            <w:tcW w:w="818" w:type="pct"/>
            <w:tcBorders>
              <w:top w:val="single" w:sz="4" w:space="0" w:color="auto"/>
              <w:left w:val="nil"/>
              <w:bottom w:val="single" w:sz="4" w:space="0" w:color="auto"/>
              <w:right w:val="single" w:sz="4" w:space="0" w:color="auto"/>
            </w:tcBorders>
            <w:shd w:val="clear" w:color="000000" w:fill="EDEDED"/>
            <w:vAlign w:val="center"/>
            <w:hideMark/>
          </w:tcPr>
          <w:p w14:paraId="647A7355" w14:textId="77777777" w:rsidR="00072A69" w:rsidRPr="00124E05" w:rsidRDefault="00072A69" w:rsidP="00AC1F17">
            <w:pPr>
              <w:spacing w:after="0" w:line="240" w:lineRule="auto"/>
              <w:jc w:val="center"/>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Št. naročil</w:t>
            </w:r>
          </w:p>
        </w:tc>
        <w:tc>
          <w:tcPr>
            <w:tcW w:w="937" w:type="pct"/>
            <w:tcBorders>
              <w:top w:val="single" w:sz="4" w:space="0" w:color="auto"/>
              <w:left w:val="nil"/>
              <w:bottom w:val="single" w:sz="4" w:space="0" w:color="auto"/>
              <w:right w:val="single" w:sz="4" w:space="0" w:color="auto"/>
            </w:tcBorders>
            <w:shd w:val="clear" w:color="000000" w:fill="EDEDED"/>
            <w:vAlign w:val="center"/>
            <w:hideMark/>
          </w:tcPr>
          <w:p w14:paraId="48A768F5" w14:textId="77777777" w:rsidR="00072A69" w:rsidRPr="00124E05" w:rsidRDefault="00072A69" w:rsidP="00AC1F17">
            <w:pPr>
              <w:spacing w:after="0" w:line="240" w:lineRule="auto"/>
              <w:jc w:val="center"/>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Pogodbena vrednost</w:t>
            </w:r>
          </w:p>
        </w:tc>
        <w:tc>
          <w:tcPr>
            <w:tcW w:w="615" w:type="pct"/>
            <w:tcBorders>
              <w:top w:val="single" w:sz="4" w:space="0" w:color="auto"/>
              <w:left w:val="nil"/>
              <w:bottom w:val="single" w:sz="4" w:space="0" w:color="auto"/>
              <w:right w:val="single" w:sz="4" w:space="0" w:color="auto"/>
            </w:tcBorders>
            <w:shd w:val="clear" w:color="000000" w:fill="EDEDED"/>
            <w:vAlign w:val="center"/>
            <w:hideMark/>
          </w:tcPr>
          <w:p w14:paraId="59725A1E" w14:textId="77777777" w:rsidR="00072A69" w:rsidRPr="00124E05" w:rsidRDefault="00072A69" w:rsidP="00AC1F17">
            <w:pPr>
              <w:spacing w:after="0" w:line="240" w:lineRule="auto"/>
              <w:jc w:val="center"/>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Delež v št. naročil</w:t>
            </w:r>
          </w:p>
        </w:tc>
        <w:tc>
          <w:tcPr>
            <w:tcW w:w="599" w:type="pct"/>
            <w:tcBorders>
              <w:top w:val="single" w:sz="4" w:space="0" w:color="auto"/>
              <w:left w:val="nil"/>
              <w:bottom w:val="single" w:sz="4" w:space="0" w:color="auto"/>
              <w:right w:val="single" w:sz="4" w:space="0" w:color="auto"/>
            </w:tcBorders>
            <w:shd w:val="clear" w:color="000000" w:fill="EDEDED"/>
            <w:vAlign w:val="center"/>
            <w:hideMark/>
          </w:tcPr>
          <w:p w14:paraId="12F805F2" w14:textId="77777777" w:rsidR="00072A69" w:rsidRPr="00124E05" w:rsidRDefault="00072A69" w:rsidP="00AC1F17">
            <w:pPr>
              <w:spacing w:after="0" w:line="240" w:lineRule="auto"/>
              <w:jc w:val="center"/>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Delež v vrednosti</w:t>
            </w:r>
          </w:p>
        </w:tc>
      </w:tr>
      <w:tr w:rsidR="00072A69" w:rsidRPr="00124E05" w14:paraId="2C948A3A" w14:textId="77777777" w:rsidTr="00AC1F17">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14:paraId="7CEB0B43" w14:textId="77777777" w:rsidR="00072A69" w:rsidRPr="00124E05" w:rsidRDefault="00072A69" w:rsidP="00AC1F17">
            <w:pPr>
              <w:spacing w:after="0" w:line="240" w:lineRule="auto"/>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Blago</w:t>
            </w:r>
          </w:p>
        </w:tc>
        <w:tc>
          <w:tcPr>
            <w:tcW w:w="1016" w:type="pct"/>
            <w:tcBorders>
              <w:top w:val="nil"/>
              <w:left w:val="nil"/>
              <w:bottom w:val="single" w:sz="4" w:space="0" w:color="auto"/>
              <w:right w:val="single" w:sz="4" w:space="0" w:color="auto"/>
            </w:tcBorders>
            <w:shd w:val="clear" w:color="auto" w:fill="auto"/>
            <w:vAlign w:val="center"/>
            <w:hideMark/>
          </w:tcPr>
          <w:p w14:paraId="601C0C50"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553</w:t>
            </w:r>
          </w:p>
        </w:tc>
        <w:tc>
          <w:tcPr>
            <w:tcW w:w="818" w:type="pct"/>
            <w:tcBorders>
              <w:top w:val="nil"/>
              <w:left w:val="nil"/>
              <w:bottom w:val="single" w:sz="4" w:space="0" w:color="auto"/>
              <w:right w:val="single" w:sz="4" w:space="0" w:color="auto"/>
            </w:tcBorders>
            <w:shd w:val="clear" w:color="auto" w:fill="auto"/>
            <w:vAlign w:val="center"/>
          </w:tcPr>
          <w:p w14:paraId="2F114662"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9.330</w:t>
            </w:r>
          </w:p>
        </w:tc>
        <w:tc>
          <w:tcPr>
            <w:tcW w:w="937" w:type="pct"/>
            <w:tcBorders>
              <w:top w:val="nil"/>
              <w:left w:val="nil"/>
              <w:bottom w:val="single" w:sz="4" w:space="0" w:color="auto"/>
              <w:right w:val="single" w:sz="4" w:space="0" w:color="auto"/>
            </w:tcBorders>
            <w:shd w:val="clear" w:color="auto" w:fill="auto"/>
            <w:vAlign w:val="center"/>
          </w:tcPr>
          <w:p w14:paraId="44C5F7F7"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634.889.162</w:t>
            </w:r>
          </w:p>
        </w:tc>
        <w:tc>
          <w:tcPr>
            <w:tcW w:w="615" w:type="pct"/>
            <w:tcBorders>
              <w:top w:val="nil"/>
              <w:left w:val="nil"/>
              <w:bottom w:val="single" w:sz="4" w:space="0" w:color="auto"/>
              <w:right w:val="single" w:sz="4" w:space="0" w:color="auto"/>
            </w:tcBorders>
            <w:shd w:val="clear" w:color="auto" w:fill="auto"/>
            <w:noWrap/>
            <w:vAlign w:val="center"/>
          </w:tcPr>
          <w:p w14:paraId="79C69AD0"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68,75</w:t>
            </w:r>
            <w:r>
              <w:rPr>
                <w:rFonts w:ascii="Arial" w:hAnsi="Arial" w:cs="Arial"/>
                <w:color w:val="000000"/>
                <w:sz w:val="18"/>
                <w:szCs w:val="18"/>
              </w:rPr>
              <w:t xml:space="preserve"> </w:t>
            </w:r>
            <w:r w:rsidRPr="00124E05">
              <w:rPr>
                <w:rFonts w:ascii="Arial" w:hAnsi="Arial" w:cs="Arial"/>
                <w:color w:val="000000"/>
                <w:sz w:val="18"/>
                <w:szCs w:val="18"/>
              </w:rPr>
              <w:t>%</w:t>
            </w:r>
          </w:p>
        </w:tc>
        <w:tc>
          <w:tcPr>
            <w:tcW w:w="599" w:type="pct"/>
            <w:tcBorders>
              <w:top w:val="nil"/>
              <w:left w:val="nil"/>
              <w:bottom w:val="single" w:sz="4" w:space="0" w:color="auto"/>
              <w:right w:val="single" w:sz="4" w:space="0" w:color="auto"/>
            </w:tcBorders>
            <w:shd w:val="clear" w:color="auto" w:fill="auto"/>
            <w:noWrap/>
            <w:vAlign w:val="center"/>
          </w:tcPr>
          <w:p w14:paraId="532E26D5"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36,07</w:t>
            </w:r>
            <w:r>
              <w:rPr>
                <w:rFonts w:ascii="Arial" w:hAnsi="Arial" w:cs="Arial"/>
                <w:color w:val="000000"/>
                <w:sz w:val="18"/>
                <w:szCs w:val="18"/>
              </w:rPr>
              <w:t xml:space="preserve"> </w:t>
            </w:r>
            <w:r w:rsidRPr="00124E05">
              <w:rPr>
                <w:rFonts w:ascii="Arial" w:hAnsi="Arial" w:cs="Arial"/>
                <w:color w:val="000000"/>
                <w:sz w:val="18"/>
                <w:szCs w:val="18"/>
              </w:rPr>
              <w:t>%</w:t>
            </w:r>
          </w:p>
        </w:tc>
      </w:tr>
      <w:tr w:rsidR="00072A69" w:rsidRPr="00124E05" w14:paraId="403B39F8" w14:textId="77777777" w:rsidTr="00AC1F17">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14:paraId="5987AC89" w14:textId="77777777" w:rsidR="00072A69" w:rsidRPr="00124E05" w:rsidRDefault="00072A69" w:rsidP="00AC1F17">
            <w:pPr>
              <w:spacing w:after="0" w:line="240" w:lineRule="auto"/>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Storitve</w:t>
            </w:r>
          </w:p>
        </w:tc>
        <w:tc>
          <w:tcPr>
            <w:tcW w:w="1016" w:type="pct"/>
            <w:tcBorders>
              <w:top w:val="nil"/>
              <w:left w:val="nil"/>
              <w:bottom w:val="single" w:sz="4" w:space="0" w:color="auto"/>
              <w:right w:val="single" w:sz="4" w:space="0" w:color="auto"/>
            </w:tcBorders>
            <w:shd w:val="clear" w:color="auto" w:fill="auto"/>
            <w:vAlign w:val="center"/>
            <w:hideMark/>
          </w:tcPr>
          <w:p w14:paraId="44F2D8F7"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422</w:t>
            </w:r>
          </w:p>
        </w:tc>
        <w:tc>
          <w:tcPr>
            <w:tcW w:w="818" w:type="pct"/>
            <w:tcBorders>
              <w:top w:val="nil"/>
              <w:left w:val="nil"/>
              <w:bottom w:val="single" w:sz="4" w:space="0" w:color="auto"/>
              <w:right w:val="single" w:sz="4" w:space="0" w:color="auto"/>
            </w:tcBorders>
            <w:shd w:val="clear" w:color="auto" w:fill="auto"/>
            <w:vAlign w:val="center"/>
          </w:tcPr>
          <w:p w14:paraId="337A435D"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2.612</w:t>
            </w:r>
          </w:p>
        </w:tc>
        <w:tc>
          <w:tcPr>
            <w:tcW w:w="937" w:type="pct"/>
            <w:tcBorders>
              <w:top w:val="nil"/>
              <w:left w:val="nil"/>
              <w:bottom w:val="single" w:sz="4" w:space="0" w:color="auto"/>
              <w:right w:val="single" w:sz="4" w:space="0" w:color="auto"/>
            </w:tcBorders>
            <w:shd w:val="clear" w:color="auto" w:fill="auto"/>
            <w:vAlign w:val="center"/>
          </w:tcPr>
          <w:p w14:paraId="74771322"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381.629.462</w:t>
            </w:r>
          </w:p>
        </w:tc>
        <w:tc>
          <w:tcPr>
            <w:tcW w:w="615" w:type="pct"/>
            <w:tcBorders>
              <w:top w:val="nil"/>
              <w:left w:val="nil"/>
              <w:bottom w:val="single" w:sz="4" w:space="0" w:color="auto"/>
              <w:right w:val="single" w:sz="4" w:space="0" w:color="auto"/>
            </w:tcBorders>
            <w:shd w:val="clear" w:color="auto" w:fill="auto"/>
            <w:noWrap/>
            <w:vAlign w:val="center"/>
          </w:tcPr>
          <w:p w14:paraId="17260314"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19,25</w:t>
            </w:r>
            <w:r>
              <w:rPr>
                <w:rFonts w:ascii="Arial" w:hAnsi="Arial" w:cs="Arial"/>
                <w:color w:val="000000"/>
                <w:sz w:val="18"/>
                <w:szCs w:val="18"/>
              </w:rPr>
              <w:t xml:space="preserve"> </w:t>
            </w:r>
            <w:r w:rsidRPr="00124E05">
              <w:rPr>
                <w:rFonts w:ascii="Arial" w:hAnsi="Arial" w:cs="Arial"/>
                <w:color w:val="000000"/>
                <w:sz w:val="18"/>
                <w:szCs w:val="18"/>
              </w:rPr>
              <w:t>%</w:t>
            </w:r>
          </w:p>
        </w:tc>
        <w:tc>
          <w:tcPr>
            <w:tcW w:w="599" w:type="pct"/>
            <w:tcBorders>
              <w:top w:val="nil"/>
              <w:left w:val="nil"/>
              <w:bottom w:val="single" w:sz="4" w:space="0" w:color="auto"/>
              <w:right w:val="single" w:sz="4" w:space="0" w:color="auto"/>
            </w:tcBorders>
            <w:shd w:val="clear" w:color="auto" w:fill="auto"/>
            <w:noWrap/>
            <w:vAlign w:val="center"/>
          </w:tcPr>
          <w:p w14:paraId="2850D655"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21,68</w:t>
            </w:r>
            <w:r>
              <w:rPr>
                <w:rFonts w:ascii="Arial" w:hAnsi="Arial" w:cs="Arial"/>
                <w:color w:val="000000"/>
                <w:sz w:val="18"/>
                <w:szCs w:val="18"/>
              </w:rPr>
              <w:t xml:space="preserve"> </w:t>
            </w:r>
            <w:r w:rsidRPr="00124E05">
              <w:rPr>
                <w:rFonts w:ascii="Arial" w:hAnsi="Arial" w:cs="Arial"/>
                <w:color w:val="000000"/>
                <w:sz w:val="18"/>
                <w:szCs w:val="18"/>
              </w:rPr>
              <w:t>%</w:t>
            </w:r>
          </w:p>
        </w:tc>
      </w:tr>
      <w:tr w:rsidR="00072A69" w:rsidRPr="00124E05" w14:paraId="1516C2F4" w14:textId="77777777" w:rsidTr="00AC1F17">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14:paraId="3B2BB6AF" w14:textId="77777777" w:rsidR="00072A69" w:rsidRPr="00124E05" w:rsidRDefault="00072A69" w:rsidP="00AC1F17">
            <w:pPr>
              <w:spacing w:after="0" w:line="240" w:lineRule="auto"/>
              <w:rPr>
                <w:rFonts w:ascii="Arial" w:eastAsia="Times New Roman" w:hAnsi="Arial" w:cs="Arial"/>
                <w:color w:val="000000"/>
                <w:sz w:val="18"/>
                <w:szCs w:val="18"/>
                <w:lang w:eastAsia="sl-SI"/>
              </w:rPr>
            </w:pPr>
            <w:r w:rsidRPr="00124E05">
              <w:rPr>
                <w:rFonts w:ascii="Arial" w:eastAsia="Times New Roman" w:hAnsi="Arial" w:cs="Arial"/>
                <w:color w:val="000000"/>
                <w:sz w:val="18"/>
                <w:szCs w:val="18"/>
                <w:lang w:eastAsia="sl-SI"/>
              </w:rPr>
              <w:t>Gradnje</w:t>
            </w:r>
          </w:p>
        </w:tc>
        <w:tc>
          <w:tcPr>
            <w:tcW w:w="1016" w:type="pct"/>
            <w:tcBorders>
              <w:top w:val="nil"/>
              <w:left w:val="nil"/>
              <w:bottom w:val="single" w:sz="4" w:space="0" w:color="auto"/>
              <w:right w:val="single" w:sz="4" w:space="0" w:color="auto"/>
            </w:tcBorders>
            <w:shd w:val="clear" w:color="auto" w:fill="auto"/>
            <w:vAlign w:val="center"/>
            <w:hideMark/>
          </w:tcPr>
          <w:p w14:paraId="170C3E61"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331</w:t>
            </w:r>
          </w:p>
        </w:tc>
        <w:tc>
          <w:tcPr>
            <w:tcW w:w="818" w:type="pct"/>
            <w:tcBorders>
              <w:top w:val="nil"/>
              <w:left w:val="nil"/>
              <w:bottom w:val="single" w:sz="4" w:space="0" w:color="auto"/>
              <w:right w:val="single" w:sz="4" w:space="0" w:color="auto"/>
            </w:tcBorders>
            <w:shd w:val="clear" w:color="auto" w:fill="auto"/>
            <w:vAlign w:val="center"/>
          </w:tcPr>
          <w:p w14:paraId="4BC1CACE"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1.629</w:t>
            </w:r>
          </w:p>
        </w:tc>
        <w:tc>
          <w:tcPr>
            <w:tcW w:w="937" w:type="pct"/>
            <w:tcBorders>
              <w:top w:val="nil"/>
              <w:left w:val="nil"/>
              <w:bottom w:val="single" w:sz="4" w:space="0" w:color="auto"/>
              <w:right w:val="single" w:sz="4" w:space="0" w:color="auto"/>
            </w:tcBorders>
            <w:shd w:val="clear" w:color="auto" w:fill="auto"/>
            <w:vAlign w:val="center"/>
          </w:tcPr>
          <w:p w14:paraId="648E2A2F"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743.447.507</w:t>
            </w:r>
          </w:p>
        </w:tc>
        <w:tc>
          <w:tcPr>
            <w:tcW w:w="615" w:type="pct"/>
            <w:tcBorders>
              <w:top w:val="nil"/>
              <w:left w:val="nil"/>
              <w:bottom w:val="single" w:sz="4" w:space="0" w:color="auto"/>
              <w:right w:val="single" w:sz="4" w:space="0" w:color="auto"/>
            </w:tcBorders>
            <w:shd w:val="clear" w:color="auto" w:fill="auto"/>
            <w:noWrap/>
            <w:vAlign w:val="center"/>
          </w:tcPr>
          <w:p w14:paraId="3CF535C0"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12,00</w:t>
            </w:r>
            <w:r>
              <w:rPr>
                <w:rFonts w:ascii="Arial" w:hAnsi="Arial" w:cs="Arial"/>
                <w:color w:val="000000"/>
                <w:sz w:val="18"/>
                <w:szCs w:val="18"/>
              </w:rPr>
              <w:t xml:space="preserve"> </w:t>
            </w:r>
            <w:r w:rsidRPr="00124E05">
              <w:rPr>
                <w:rFonts w:ascii="Arial" w:hAnsi="Arial" w:cs="Arial"/>
                <w:color w:val="000000"/>
                <w:sz w:val="18"/>
                <w:szCs w:val="18"/>
              </w:rPr>
              <w:t>%</w:t>
            </w:r>
          </w:p>
        </w:tc>
        <w:tc>
          <w:tcPr>
            <w:tcW w:w="599" w:type="pct"/>
            <w:tcBorders>
              <w:top w:val="nil"/>
              <w:left w:val="nil"/>
              <w:bottom w:val="single" w:sz="4" w:space="0" w:color="auto"/>
              <w:right w:val="single" w:sz="4" w:space="0" w:color="auto"/>
            </w:tcBorders>
            <w:shd w:val="clear" w:color="auto" w:fill="auto"/>
            <w:noWrap/>
            <w:vAlign w:val="center"/>
          </w:tcPr>
          <w:p w14:paraId="261BD713" w14:textId="77777777" w:rsidR="00072A69" w:rsidRPr="00124E05" w:rsidRDefault="00072A69" w:rsidP="00AC1F17">
            <w:pPr>
              <w:spacing w:after="0" w:line="240" w:lineRule="auto"/>
              <w:jc w:val="right"/>
              <w:rPr>
                <w:rFonts w:ascii="Arial" w:eastAsia="Times New Roman" w:hAnsi="Arial" w:cs="Arial"/>
                <w:color w:val="000000"/>
                <w:sz w:val="18"/>
                <w:szCs w:val="18"/>
                <w:lang w:eastAsia="sl-SI"/>
              </w:rPr>
            </w:pPr>
            <w:r w:rsidRPr="00124E05">
              <w:rPr>
                <w:rFonts w:ascii="Arial" w:hAnsi="Arial" w:cs="Arial"/>
                <w:color w:val="000000"/>
                <w:sz w:val="18"/>
                <w:szCs w:val="18"/>
              </w:rPr>
              <w:t>42,24</w:t>
            </w:r>
            <w:r>
              <w:rPr>
                <w:rFonts w:ascii="Arial" w:hAnsi="Arial" w:cs="Arial"/>
                <w:color w:val="000000"/>
                <w:sz w:val="18"/>
                <w:szCs w:val="18"/>
              </w:rPr>
              <w:t xml:space="preserve"> </w:t>
            </w:r>
            <w:r w:rsidRPr="00124E05">
              <w:rPr>
                <w:rFonts w:ascii="Arial" w:hAnsi="Arial" w:cs="Arial"/>
                <w:color w:val="000000"/>
                <w:sz w:val="18"/>
                <w:szCs w:val="18"/>
              </w:rPr>
              <w:t>%</w:t>
            </w:r>
          </w:p>
        </w:tc>
      </w:tr>
      <w:tr w:rsidR="00072A69" w:rsidRPr="00124E05" w14:paraId="327B6B24" w14:textId="77777777" w:rsidTr="00AC1F17">
        <w:trPr>
          <w:trHeight w:val="300"/>
        </w:trPr>
        <w:tc>
          <w:tcPr>
            <w:tcW w:w="1015"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2541D652" w14:textId="77777777" w:rsidR="00072A69" w:rsidRPr="00124E05" w:rsidRDefault="00072A69" w:rsidP="00AC1F17">
            <w:pPr>
              <w:spacing w:after="0" w:line="240" w:lineRule="auto"/>
              <w:rPr>
                <w:rFonts w:ascii="Arial" w:eastAsia="Times New Roman" w:hAnsi="Arial" w:cs="Arial"/>
                <w:b/>
                <w:bCs/>
                <w:color w:val="000000"/>
                <w:sz w:val="18"/>
                <w:szCs w:val="18"/>
                <w:lang w:eastAsia="sl-SI"/>
              </w:rPr>
            </w:pPr>
            <w:r w:rsidRPr="00124E05">
              <w:rPr>
                <w:rFonts w:ascii="Arial" w:eastAsia="Times New Roman" w:hAnsi="Arial" w:cs="Arial"/>
                <w:b/>
                <w:bCs/>
                <w:color w:val="000000"/>
                <w:sz w:val="18"/>
                <w:szCs w:val="18"/>
                <w:lang w:eastAsia="sl-SI"/>
              </w:rPr>
              <w:t>Skupaj</w:t>
            </w:r>
          </w:p>
        </w:tc>
        <w:tc>
          <w:tcPr>
            <w:tcW w:w="1016" w:type="pct"/>
            <w:tcBorders>
              <w:top w:val="nil"/>
              <w:left w:val="nil"/>
              <w:bottom w:val="single" w:sz="4" w:space="0" w:color="auto"/>
              <w:right w:val="single" w:sz="4" w:space="0" w:color="auto"/>
            </w:tcBorders>
            <w:shd w:val="clear" w:color="auto" w:fill="E7E6E6" w:themeFill="background2"/>
            <w:noWrap/>
            <w:vAlign w:val="center"/>
            <w:hideMark/>
          </w:tcPr>
          <w:p w14:paraId="69C7CCCC" w14:textId="77777777" w:rsidR="00072A69" w:rsidRPr="00124E05" w:rsidRDefault="00072A69" w:rsidP="00AC1F17">
            <w:pPr>
              <w:spacing w:after="0" w:line="240" w:lineRule="auto"/>
              <w:jc w:val="right"/>
              <w:rPr>
                <w:rFonts w:ascii="Arial" w:eastAsia="Times New Roman" w:hAnsi="Arial" w:cs="Arial"/>
                <w:b/>
                <w:bCs/>
                <w:color w:val="000000"/>
                <w:sz w:val="18"/>
                <w:szCs w:val="18"/>
                <w:lang w:eastAsia="sl-SI"/>
              </w:rPr>
            </w:pPr>
            <w:r w:rsidRPr="00124E05">
              <w:rPr>
                <w:rFonts w:ascii="Arial" w:hAnsi="Arial" w:cs="Arial"/>
                <w:b/>
                <w:color w:val="000000"/>
                <w:sz w:val="18"/>
                <w:szCs w:val="18"/>
              </w:rPr>
              <w:t>1.306</w:t>
            </w:r>
          </w:p>
        </w:tc>
        <w:tc>
          <w:tcPr>
            <w:tcW w:w="818" w:type="pct"/>
            <w:tcBorders>
              <w:top w:val="nil"/>
              <w:left w:val="nil"/>
              <w:bottom w:val="single" w:sz="4" w:space="0" w:color="auto"/>
              <w:right w:val="single" w:sz="4" w:space="0" w:color="auto"/>
            </w:tcBorders>
            <w:shd w:val="clear" w:color="auto" w:fill="E7E6E6" w:themeFill="background2"/>
            <w:noWrap/>
            <w:vAlign w:val="center"/>
          </w:tcPr>
          <w:p w14:paraId="3108931D" w14:textId="77777777" w:rsidR="00072A69" w:rsidRPr="00124E05" w:rsidRDefault="00072A69" w:rsidP="00AC1F17">
            <w:pPr>
              <w:spacing w:after="0" w:line="240" w:lineRule="auto"/>
              <w:jc w:val="right"/>
              <w:rPr>
                <w:rFonts w:ascii="Arial" w:eastAsia="Times New Roman" w:hAnsi="Arial" w:cs="Arial"/>
                <w:b/>
                <w:bCs/>
                <w:color w:val="000000"/>
                <w:sz w:val="18"/>
                <w:szCs w:val="18"/>
                <w:lang w:eastAsia="sl-SI"/>
              </w:rPr>
            </w:pPr>
            <w:r w:rsidRPr="00124E05">
              <w:rPr>
                <w:rFonts w:ascii="Arial" w:hAnsi="Arial" w:cs="Arial"/>
                <w:b/>
                <w:color w:val="000000"/>
                <w:sz w:val="18"/>
                <w:szCs w:val="18"/>
              </w:rPr>
              <w:t>13.571</w:t>
            </w:r>
          </w:p>
        </w:tc>
        <w:tc>
          <w:tcPr>
            <w:tcW w:w="937" w:type="pct"/>
            <w:tcBorders>
              <w:top w:val="nil"/>
              <w:left w:val="nil"/>
              <w:bottom w:val="single" w:sz="4" w:space="0" w:color="auto"/>
              <w:right w:val="single" w:sz="4" w:space="0" w:color="auto"/>
            </w:tcBorders>
            <w:shd w:val="clear" w:color="auto" w:fill="E7E6E6" w:themeFill="background2"/>
            <w:noWrap/>
            <w:vAlign w:val="center"/>
          </w:tcPr>
          <w:p w14:paraId="310093AE" w14:textId="77777777" w:rsidR="00072A69" w:rsidRPr="00124E05" w:rsidRDefault="00072A69" w:rsidP="00AC1F17">
            <w:pPr>
              <w:spacing w:after="0" w:line="240" w:lineRule="auto"/>
              <w:jc w:val="right"/>
              <w:rPr>
                <w:rFonts w:ascii="Arial" w:eastAsia="Times New Roman" w:hAnsi="Arial" w:cs="Arial"/>
                <w:b/>
                <w:bCs/>
                <w:color w:val="000000"/>
                <w:sz w:val="18"/>
                <w:szCs w:val="18"/>
                <w:lang w:eastAsia="sl-SI"/>
              </w:rPr>
            </w:pPr>
            <w:r w:rsidRPr="00124E05">
              <w:rPr>
                <w:rFonts w:ascii="Arial" w:hAnsi="Arial" w:cs="Arial"/>
                <w:b/>
                <w:color w:val="000000"/>
                <w:sz w:val="18"/>
                <w:szCs w:val="18"/>
              </w:rPr>
              <w:t>1.759.966.131</w:t>
            </w:r>
          </w:p>
        </w:tc>
        <w:tc>
          <w:tcPr>
            <w:tcW w:w="615" w:type="pct"/>
            <w:tcBorders>
              <w:top w:val="nil"/>
              <w:left w:val="nil"/>
              <w:bottom w:val="single" w:sz="4" w:space="0" w:color="auto"/>
              <w:right w:val="single" w:sz="4" w:space="0" w:color="auto"/>
            </w:tcBorders>
            <w:shd w:val="clear" w:color="auto" w:fill="E7E6E6" w:themeFill="background2"/>
            <w:noWrap/>
            <w:vAlign w:val="center"/>
          </w:tcPr>
          <w:p w14:paraId="7E2E535F" w14:textId="77777777" w:rsidR="00072A69" w:rsidRPr="00124E05" w:rsidRDefault="00072A69" w:rsidP="00AC1F17">
            <w:pPr>
              <w:spacing w:after="0" w:line="240" w:lineRule="auto"/>
              <w:jc w:val="right"/>
              <w:rPr>
                <w:rFonts w:ascii="Arial" w:eastAsia="Times New Roman" w:hAnsi="Arial" w:cs="Arial"/>
                <w:b/>
                <w:bCs/>
                <w:color w:val="000000"/>
                <w:sz w:val="18"/>
                <w:szCs w:val="18"/>
                <w:lang w:eastAsia="sl-SI"/>
              </w:rPr>
            </w:pPr>
            <w:r w:rsidRPr="00124E05">
              <w:rPr>
                <w:rFonts w:ascii="Arial" w:hAnsi="Arial" w:cs="Arial"/>
                <w:b/>
                <w:color w:val="000000"/>
                <w:sz w:val="18"/>
                <w:szCs w:val="18"/>
              </w:rPr>
              <w:t>100,00</w:t>
            </w:r>
            <w:r>
              <w:rPr>
                <w:rFonts w:ascii="Arial" w:hAnsi="Arial" w:cs="Arial"/>
                <w:b/>
                <w:color w:val="000000"/>
                <w:sz w:val="18"/>
                <w:szCs w:val="18"/>
              </w:rPr>
              <w:t xml:space="preserve"> </w:t>
            </w:r>
            <w:r w:rsidRPr="00124E05">
              <w:rPr>
                <w:rFonts w:ascii="Arial" w:hAnsi="Arial" w:cs="Arial"/>
                <w:b/>
                <w:color w:val="000000"/>
                <w:sz w:val="18"/>
                <w:szCs w:val="18"/>
              </w:rPr>
              <w:t>%</w:t>
            </w:r>
          </w:p>
        </w:tc>
        <w:tc>
          <w:tcPr>
            <w:tcW w:w="599" w:type="pct"/>
            <w:tcBorders>
              <w:top w:val="nil"/>
              <w:left w:val="nil"/>
              <w:bottom w:val="single" w:sz="4" w:space="0" w:color="auto"/>
              <w:right w:val="single" w:sz="4" w:space="0" w:color="auto"/>
            </w:tcBorders>
            <w:shd w:val="clear" w:color="auto" w:fill="E7E6E6" w:themeFill="background2"/>
            <w:noWrap/>
            <w:vAlign w:val="center"/>
          </w:tcPr>
          <w:p w14:paraId="5241698F" w14:textId="77777777" w:rsidR="00072A69" w:rsidRPr="00124E05" w:rsidRDefault="00072A69" w:rsidP="00AC1F17">
            <w:pPr>
              <w:spacing w:after="0" w:line="240" w:lineRule="auto"/>
              <w:jc w:val="right"/>
              <w:rPr>
                <w:rFonts w:ascii="Arial" w:eastAsia="Times New Roman" w:hAnsi="Arial" w:cs="Arial"/>
                <w:b/>
                <w:bCs/>
                <w:color w:val="000000"/>
                <w:sz w:val="18"/>
                <w:szCs w:val="18"/>
                <w:lang w:eastAsia="sl-SI"/>
              </w:rPr>
            </w:pPr>
            <w:r w:rsidRPr="00124E05">
              <w:rPr>
                <w:rFonts w:ascii="Arial" w:hAnsi="Arial" w:cs="Arial"/>
                <w:b/>
                <w:color w:val="000000"/>
                <w:sz w:val="18"/>
                <w:szCs w:val="18"/>
              </w:rPr>
              <w:t>100,00</w:t>
            </w:r>
            <w:r>
              <w:rPr>
                <w:rFonts w:ascii="Arial" w:hAnsi="Arial" w:cs="Arial"/>
                <w:b/>
                <w:color w:val="000000"/>
                <w:sz w:val="18"/>
                <w:szCs w:val="18"/>
              </w:rPr>
              <w:t xml:space="preserve"> </w:t>
            </w:r>
            <w:r w:rsidRPr="00124E05">
              <w:rPr>
                <w:rFonts w:ascii="Arial" w:hAnsi="Arial" w:cs="Arial"/>
                <w:b/>
                <w:color w:val="000000"/>
                <w:sz w:val="18"/>
                <w:szCs w:val="18"/>
              </w:rPr>
              <w:t>%</w:t>
            </w:r>
          </w:p>
        </w:tc>
      </w:tr>
    </w:tbl>
    <w:p w14:paraId="43CA15E6" w14:textId="77777777" w:rsidR="00072A69" w:rsidRPr="00EF2D0B" w:rsidRDefault="00072A69" w:rsidP="00072A69">
      <w:pPr>
        <w:spacing w:before="120" w:after="120" w:line="240" w:lineRule="auto"/>
        <w:jc w:val="both"/>
        <w:rPr>
          <w:rFonts w:ascii="Arial" w:hAnsi="Arial" w:cs="Arial"/>
          <w:sz w:val="20"/>
          <w:highlight w:val="yellow"/>
        </w:rPr>
      </w:pPr>
    </w:p>
    <w:p w14:paraId="3AB6FFE2" w14:textId="1F071D44" w:rsidR="00072A69" w:rsidRPr="00DF75F0" w:rsidRDefault="00072A69" w:rsidP="00072A69">
      <w:pPr>
        <w:spacing w:before="120" w:after="120" w:line="240" w:lineRule="auto"/>
        <w:jc w:val="both"/>
        <w:rPr>
          <w:rFonts w:ascii="Arial" w:hAnsi="Arial" w:cs="Arial"/>
          <w:sz w:val="20"/>
        </w:rPr>
      </w:pPr>
      <w:r w:rsidRPr="00DF75F0">
        <w:rPr>
          <w:rFonts w:ascii="Arial" w:hAnsi="Arial" w:cs="Arial"/>
          <w:sz w:val="20"/>
        </w:rPr>
        <w:t>Preglednica 9</w:t>
      </w:r>
      <w:r w:rsidR="00D23EC0">
        <w:rPr>
          <w:rFonts w:ascii="Arial" w:hAnsi="Arial" w:cs="Arial"/>
          <w:sz w:val="20"/>
        </w:rPr>
        <w:t>5</w:t>
      </w:r>
      <w:r w:rsidRPr="00DF75F0">
        <w:rPr>
          <w:rFonts w:ascii="Arial" w:hAnsi="Arial" w:cs="Arial"/>
          <w:sz w:val="20"/>
        </w:rPr>
        <w:t xml:space="preserve">: Javna naročila proračunskih uporabnikov, ki so bila objavljena na portalu javnih naročil oziroma v Uradnem listu EU </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560"/>
        <w:gridCol w:w="1170"/>
        <w:gridCol w:w="1360"/>
        <w:gridCol w:w="1100"/>
        <w:gridCol w:w="940"/>
      </w:tblGrid>
      <w:tr w:rsidR="00072A69" w:rsidRPr="00DF75F0" w14:paraId="4644D0D9" w14:textId="77777777" w:rsidTr="00AC1F17">
        <w:trPr>
          <w:trHeight w:val="284"/>
          <w:jc w:val="center"/>
        </w:trPr>
        <w:tc>
          <w:tcPr>
            <w:tcW w:w="2830" w:type="dxa"/>
            <w:shd w:val="clear" w:color="auto" w:fill="EDEDED" w:themeFill="accent3" w:themeFillTint="33"/>
            <w:vAlign w:val="center"/>
            <w:hideMark/>
          </w:tcPr>
          <w:p w14:paraId="19834716" w14:textId="77777777" w:rsidR="00072A69" w:rsidRPr="00DF75F0" w:rsidRDefault="00072A69" w:rsidP="00AC1F17">
            <w:pPr>
              <w:spacing w:after="0" w:line="240" w:lineRule="auto"/>
              <w:jc w:val="center"/>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Opis kategorije</w:t>
            </w:r>
          </w:p>
        </w:tc>
        <w:tc>
          <w:tcPr>
            <w:tcW w:w="1560" w:type="dxa"/>
            <w:shd w:val="clear" w:color="auto" w:fill="EDEDED" w:themeFill="accent3" w:themeFillTint="33"/>
            <w:vAlign w:val="center"/>
            <w:hideMark/>
          </w:tcPr>
          <w:p w14:paraId="5C4AE37E" w14:textId="77777777" w:rsidR="00072A69" w:rsidRPr="00DF75F0" w:rsidRDefault="00072A69" w:rsidP="00AC1F17">
            <w:pPr>
              <w:spacing w:after="0" w:line="240" w:lineRule="auto"/>
              <w:jc w:val="center"/>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Št. proračunskih uporabnikov</w:t>
            </w:r>
          </w:p>
        </w:tc>
        <w:tc>
          <w:tcPr>
            <w:tcW w:w="1170" w:type="dxa"/>
            <w:shd w:val="clear" w:color="auto" w:fill="EDEDED" w:themeFill="accent3" w:themeFillTint="33"/>
            <w:vAlign w:val="center"/>
            <w:hideMark/>
          </w:tcPr>
          <w:p w14:paraId="40064412" w14:textId="77777777" w:rsidR="00072A69" w:rsidRPr="00DF75F0" w:rsidRDefault="00072A69" w:rsidP="00AC1F17">
            <w:pPr>
              <w:spacing w:after="0" w:line="240" w:lineRule="auto"/>
              <w:jc w:val="center"/>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Št. naročil</w:t>
            </w:r>
          </w:p>
        </w:tc>
        <w:tc>
          <w:tcPr>
            <w:tcW w:w="1360" w:type="dxa"/>
            <w:shd w:val="clear" w:color="auto" w:fill="EDEDED" w:themeFill="accent3" w:themeFillTint="33"/>
            <w:vAlign w:val="center"/>
            <w:hideMark/>
          </w:tcPr>
          <w:p w14:paraId="4B6E4493" w14:textId="77777777" w:rsidR="00072A69" w:rsidRPr="00DF75F0" w:rsidRDefault="00072A69" w:rsidP="00AC1F17">
            <w:pPr>
              <w:spacing w:after="0" w:line="240" w:lineRule="auto"/>
              <w:jc w:val="center"/>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Pogodbena vrednost</w:t>
            </w:r>
          </w:p>
        </w:tc>
        <w:tc>
          <w:tcPr>
            <w:tcW w:w="1100" w:type="dxa"/>
            <w:shd w:val="clear" w:color="auto" w:fill="EDEDED" w:themeFill="accent3" w:themeFillTint="33"/>
            <w:vAlign w:val="center"/>
            <w:hideMark/>
          </w:tcPr>
          <w:p w14:paraId="604993AB" w14:textId="77777777" w:rsidR="00072A69" w:rsidRPr="00DF75F0" w:rsidRDefault="00072A69" w:rsidP="00AC1F17">
            <w:pPr>
              <w:spacing w:after="0" w:line="240" w:lineRule="auto"/>
              <w:jc w:val="center"/>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Delež v št. naročil</w:t>
            </w:r>
          </w:p>
        </w:tc>
        <w:tc>
          <w:tcPr>
            <w:tcW w:w="940" w:type="dxa"/>
            <w:shd w:val="clear" w:color="auto" w:fill="EDEDED" w:themeFill="accent3" w:themeFillTint="33"/>
            <w:vAlign w:val="center"/>
            <w:hideMark/>
          </w:tcPr>
          <w:p w14:paraId="01B2DFEA" w14:textId="77777777" w:rsidR="00072A69" w:rsidRPr="00DF75F0" w:rsidRDefault="00072A69" w:rsidP="00AC1F17">
            <w:pPr>
              <w:spacing w:after="0" w:line="240" w:lineRule="auto"/>
              <w:jc w:val="center"/>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Delež v vrednosti</w:t>
            </w:r>
          </w:p>
        </w:tc>
      </w:tr>
      <w:tr w:rsidR="00072A69" w:rsidRPr="00DF75F0" w14:paraId="6A7339FB" w14:textId="77777777" w:rsidTr="00AC1F17">
        <w:trPr>
          <w:trHeight w:val="284"/>
          <w:jc w:val="center"/>
        </w:trPr>
        <w:tc>
          <w:tcPr>
            <w:tcW w:w="2830" w:type="dxa"/>
            <w:shd w:val="clear" w:color="auto" w:fill="auto"/>
            <w:vAlign w:val="center"/>
            <w:hideMark/>
          </w:tcPr>
          <w:p w14:paraId="590D018E"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Organi RS</w:t>
            </w:r>
          </w:p>
        </w:tc>
        <w:tc>
          <w:tcPr>
            <w:tcW w:w="1560" w:type="dxa"/>
            <w:shd w:val="clear" w:color="auto" w:fill="auto"/>
            <w:vAlign w:val="center"/>
            <w:hideMark/>
          </w:tcPr>
          <w:p w14:paraId="63018491"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61</w:t>
            </w:r>
          </w:p>
        </w:tc>
        <w:tc>
          <w:tcPr>
            <w:tcW w:w="1170" w:type="dxa"/>
            <w:shd w:val="clear" w:color="auto" w:fill="auto"/>
            <w:vAlign w:val="center"/>
            <w:hideMark/>
          </w:tcPr>
          <w:p w14:paraId="4C47A2AA"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1.879</w:t>
            </w:r>
          </w:p>
        </w:tc>
        <w:tc>
          <w:tcPr>
            <w:tcW w:w="1360" w:type="dxa"/>
            <w:shd w:val="clear" w:color="auto" w:fill="auto"/>
            <w:vAlign w:val="center"/>
            <w:hideMark/>
          </w:tcPr>
          <w:p w14:paraId="7338347D"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644.339.171</w:t>
            </w:r>
          </w:p>
        </w:tc>
        <w:tc>
          <w:tcPr>
            <w:tcW w:w="1100" w:type="dxa"/>
            <w:shd w:val="clear" w:color="auto" w:fill="auto"/>
            <w:vAlign w:val="center"/>
            <w:hideMark/>
          </w:tcPr>
          <w:p w14:paraId="4E428C5B"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13,85 %</w:t>
            </w:r>
          </w:p>
        </w:tc>
        <w:tc>
          <w:tcPr>
            <w:tcW w:w="940" w:type="dxa"/>
            <w:shd w:val="clear" w:color="auto" w:fill="auto"/>
            <w:vAlign w:val="center"/>
            <w:hideMark/>
          </w:tcPr>
          <w:p w14:paraId="6A0F5D17"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36,61 %</w:t>
            </w:r>
          </w:p>
        </w:tc>
      </w:tr>
      <w:tr w:rsidR="00072A69" w:rsidRPr="00DF75F0" w14:paraId="078BB568" w14:textId="77777777" w:rsidTr="00AC1F17">
        <w:trPr>
          <w:trHeight w:val="284"/>
          <w:jc w:val="center"/>
        </w:trPr>
        <w:tc>
          <w:tcPr>
            <w:tcW w:w="2830" w:type="dxa"/>
            <w:shd w:val="clear" w:color="auto" w:fill="auto"/>
            <w:vAlign w:val="center"/>
            <w:hideMark/>
          </w:tcPr>
          <w:p w14:paraId="61845156"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Samoupravne lokalne skupnosti</w:t>
            </w:r>
          </w:p>
        </w:tc>
        <w:tc>
          <w:tcPr>
            <w:tcW w:w="1560" w:type="dxa"/>
            <w:shd w:val="clear" w:color="auto" w:fill="auto"/>
            <w:vAlign w:val="center"/>
            <w:hideMark/>
          </w:tcPr>
          <w:p w14:paraId="2C313373"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200</w:t>
            </w:r>
          </w:p>
        </w:tc>
        <w:tc>
          <w:tcPr>
            <w:tcW w:w="1170" w:type="dxa"/>
            <w:shd w:val="clear" w:color="auto" w:fill="auto"/>
            <w:vAlign w:val="center"/>
            <w:hideMark/>
          </w:tcPr>
          <w:p w14:paraId="768F8922"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1.891</w:t>
            </w:r>
          </w:p>
        </w:tc>
        <w:tc>
          <w:tcPr>
            <w:tcW w:w="1360" w:type="dxa"/>
            <w:shd w:val="clear" w:color="auto" w:fill="auto"/>
            <w:vAlign w:val="center"/>
            <w:hideMark/>
          </w:tcPr>
          <w:p w14:paraId="7B8CCCB1"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471.649.958</w:t>
            </w:r>
          </w:p>
        </w:tc>
        <w:tc>
          <w:tcPr>
            <w:tcW w:w="1100" w:type="dxa"/>
            <w:shd w:val="clear" w:color="auto" w:fill="auto"/>
            <w:vAlign w:val="center"/>
            <w:hideMark/>
          </w:tcPr>
          <w:p w14:paraId="63959F81"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13,93 %</w:t>
            </w:r>
          </w:p>
        </w:tc>
        <w:tc>
          <w:tcPr>
            <w:tcW w:w="940" w:type="dxa"/>
            <w:shd w:val="clear" w:color="auto" w:fill="auto"/>
            <w:vAlign w:val="center"/>
            <w:hideMark/>
          </w:tcPr>
          <w:p w14:paraId="7E1505C8"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26,80 %</w:t>
            </w:r>
          </w:p>
        </w:tc>
      </w:tr>
      <w:tr w:rsidR="00072A69" w:rsidRPr="00DF75F0" w14:paraId="3024B8C1" w14:textId="77777777" w:rsidTr="00AC1F17">
        <w:trPr>
          <w:trHeight w:val="284"/>
          <w:jc w:val="center"/>
        </w:trPr>
        <w:tc>
          <w:tcPr>
            <w:tcW w:w="2830" w:type="dxa"/>
            <w:shd w:val="clear" w:color="auto" w:fill="auto"/>
            <w:vAlign w:val="center"/>
            <w:hideMark/>
          </w:tcPr>
          <w:p w14:paraId="15BB120D"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Javni skladi</w:t>
            </w:r>
          </w:p>
        </w:tc>
        <w:tc>
          <w:tcPr>
            <w:tcW w:w="1560" w:type="dxa"/>
            <w:shd w:val="clear" w:color="auto" w:fill="auto"/>
            <w:vAlign w:val="center"/>
            <w:hideMark/>
          </w:tcPr>
          <w:p w14:paraId="44B04A33"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8</w:t>
            </w:r>
          </w:p>
        </w:tc>
        <w:tc>
          <w:tcPr>
            <w:tcW w:w="1170" w:type="dxa"/>
            <w:shd w:val="clear" w:color="auto" w:fill="auto"/>
            <w:vAlign w:val="center"/>
            <w:hideMark/>
          </w:tcPr>
          <w:p w14:paraId="3A1B5953"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59</w:t>
            </w:r>
          </w:p>
        </w:tc>
        <w:tc>
          <w:tcPr>
            <w:tcW w:w="1360" w:type="dxa"/>
            <w:shd w:val="clear" w:color="auto" w:fill="auto"/>
            <w:vAlign w:val="center"/>
            <w:hideMark/>
          </w:tcPr>
          <w:p w14:paraId="463E93FA"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12.876.310</w:t>
            </w:r>
          </w:p>
        </w:tc>
        <w:tc>
          <w:tcPr>
            <w:tcW w:w="1100" w:type="dxa"/>
            <w:shd w:val="clear" w:color="auto" w:fill="auto"/>
            <w:vAlign w:val="center"/>
            <w:hideMark/>
          </w:tcPr>
          <w:p w14:paraId="69BFBAF4"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0,43 %</w:t>
            </w:r>
          </w:p>
        </w:tc>
        <w:tc>
          <w:tcPr>
            <w:tcW w:w="940" w:type="dxa"/>
            <w:shd w:val="clear" w:color="auto" w:fill="auto"/>
            <w:vAlign w:val="center"/>
            <w:hideMark/>
          </w:tcPr>
          <w:p w14:paraId="7B741A5F"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0,73 %</w:t>
            </w:r>
          </w:p>
        </w:tc>
      </w:tr>
      <w:tr w:rsidR="00072A69" w:rsidRPr="00DF75F0" w14:paraId="0EA63F46" w14:textId="77777777" w:rsidTr="00AC1F17">
        <w:trPr>
          <w:trHeight w:val="284"/>
          <w:jc w:val="center"/>
        </w:trPr>
        <w:tc>
          <w:tcPr>
            <w:tcW w:w="2830" w:type="dxa"/>
            <w:shd w:val="clear" w:color="auto" w:fill="auto"/>
            <w:vAlign w:val="center"/>
            <w:hideMark/>
          </w:tcPr>
          <w:p w14:paraId="0BD0A2E7"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Javne agencije</w:t>
            </w:r>
          </w:p>
        </w:tc>
        <w:tc>
          <w:tcPr>
            <w:tcW w:w="1560" w:type="dxa"/>
            <w:shd w:val="clear" w:color="auto" w:fill="auto"/>
            <w:vAlign w:val="center"/>
            <w:hideMark/>
          </w:tcPr>
          <w:p w14:paraId="5E0622C7"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10</w:t>
            </w:r>
          </w:p>
        </w:tc>
        <w:tc>
          <w:tcPr>
            <w:tcW w:w="1170" w:type="dxa"/>
            <w:shd w:val="clear" w:color="auto" w:fill="auto"/>
            <w:vAlign w:val="center"/>
            <w:hideMark/>
          </w:tcPr>
          <w:p w14:paraId="2C71023D"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119</w:t>
            </w:r>
          </w:p>
        </w:tc>
        <w:tc>
          <w:tcPr>
            <w:tcW w:w="1360" w:type="dxa"/>
            <w:shd w:val="clear" w:color="auto" w:fill="auto"/>
            <w:vAlign w:val="center"/>
            <w:hideMark/>
          </w:tcPr>
          <w:p w14:paraId="066F9EC1"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7.749.458</w:t>
            </w:r>
          </w:p>
        </w:tc>
        <w:tc>
          <w:tcPr>
            <w:tcW w:w="1100" w:type="dxa"/>
            <w:shd w:val="clear" w:color="auto" w:fill="auto"/>
            <w:vAlign w:val="center"/>
            <w:hideMark/>
          </w:tcPr>
          <w:p w14:paraId="0329F542"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0,88 %</w:t>
            </w:r>
          </w:p>
        </w:tc>
        <w:tc>
          <w:tcPr>
            <w:tcW w:w="940" w:type="dxa"/>
            <w:shd w:val="clear" w:color="auto" w:fill="auto"/>
            <w:vAlign w:val="center"/>
            <w:hideMark/>
          </w:tcPr>
          <w:p w14:paraId="7BB29FB8"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0,44 %</w:t>
            </w:r>
          </w:p>
        </w:tc>
      </w:tr>
      <w:tr w:rsidR="00072A69" w:rsidRPr="00DF75F0" w14:paraId="4B6AE70E" w14:textId="77777777" w:rsidTr="00AC1F17">
        <w:trPr>
          <w:trHeight w:val="284"/>
          <w:jc w:val="center"/>
        </w:trPr>
        <w:tc>
          <w:tcPr>
            <w:tcW w:w="2830" w:type="dxa"/>
            <w:shd w:val="clear" w:color="auto" w:fill="auto"/>
            <w:vAlign w:val="center"/>
            <w:hideMark/>
          </w:tcPr>
          <w:p w14:paraId="1AD61A5A"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Javni zavodi</w:t>
            </w:r>
          </w:p>
        </w:tc>
        <w:tc>
          <w:tcPr>
            <w:tcW w:w="1560" w:type="dxa"/>
            <w:shd w:val="clear" w:color="auto" w:fill="auto"/>
            <w:vAlign w:val="center"/>
            <w:hideMark/>
          </w:tcPr>
          <w:p w14:paraId="22BDB1D5"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549</w:t>
            </w:r>
          </w:p>
        </w:tc>
        <w:tc>
          <w:tcPr>
            <w:tcW w:w="1170" w:type="dxa"/>
            <w:shd w:val="clear" w:color="auto" w:fill="auto"/>
            <w:vAlign w:val="center"/>
            <w:hideMark/>
          </w:tcPr>
          <w:p w14:paraId="625C08A0"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9.572</w:t>
            </w:r>
          </w:p>
        </w:tc>
        <w:tc>
          <w:tcPr>
            <w:tcW w:w="1360" w:type="dxa"/>
            <w:shd w:val="clear" w:color="auto" w:fill="auto"/>
            <w:vAlign w:val="center"/>
            <w:hideMark/>
          </w:tcPr>
          <w:p w14:paraId="7FC3D091"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618.410.051</w:t>
            </w:r>
          </w:p>
        </w:tc>
        <w:tc>
          <w:tcPr>
            <w:tcW w:w="1100" w:type="dxa"/>
            <w:shd w:val="clear" w:color="auto" w:fill="auto"/>
            <w:vAlign w:val="center"/>
            <w:hideMark/>
          </w:tcPr>
          <w:p w14:paraId="162540D7"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70,53 %</w:t>
            </w:r>
          </w:p>
        </w:tc>
        <w:tc>
          <w:tcPr>
            <w:tcW w:w="940" w:type="dxa"/>
            <w:shd w:val="clear" w:color="auto" w:fill="auto"/>
            <w:vAlign w:val="center"/>
            <w:hideMark/>
          </w:tcPr>
          <w:p w14:paraId="2E353CD1"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35,14 %</w:t>
            </w:r>
          </w:p>
        </w:tc>
      </w:tr>
      <w:tr w:rsidR="00072A69" w:rsidRPr="00DF75F0" w14:paraId="6F845AA1" w14:textId="77777777" w:rsidTr="00AC1F17">
        <w:trPr>
          <w:trHeight w:val="284"/>
          <w:jc w:val="center"/>
        </w:trPr>
        <w:tc>
          <w:tcPr>
            <w:tcW w:w="2830" w:type="dxa"/>
            <w:shd w:val="clear" w:color="auto" w:fill="auto"/>
            <w:vAlign w:val="center"/>
            <w:hideMark/>
          </w:tcPr>
          <w:p w14:paraId="5F2EE8B7"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Javni gospodarski zavodi</w:t>
            </w:r>
          </w:p>
        </w:tc>
        <w:tc>
          <w:tcPr>
            <w:tcW w:w="1560" w:type="dxa"/>
            <w:shd w:val="clear" w:color="auto" w:fill="auto"/>
            <w:vAlign w:val="center"/>
            <w:hideMark/>
          </w:tcPr>
          <w:p w14:paraId="25A28C26"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6</w:t>
            </w:r>
          </w:p>
        </w:tc>
        <w:tc>
          <w:tcPr>
            <w:tcW w:w="1170" w:type="dxa"/>
            <w:shd w:val="clear" w:color="auto" w:fill="auto"/>
            <w:vAlign w:val="center"/>
            <w:hideMark/>
          </w:tcPr>
          <w:p w14:paraId="67E75536"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25</w:t>
            </w:r>
          </w:p>
        </w:tc>
        <w:tc>
          <w:tcPr>
            <w:tcW w:w="1360" w:type="dxa"/>
            <w:shd w:val="clear" w:color="auto" w:fill="auto"/>
            <w:vAlign w:val="center"/>
            <w:hideMark/>
          </w:tcPr>
          <w:p w14:paraId="30BCD66E"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1.895.374</w:t>
            </w:r>
          </w:p>
        </w:tc>
        <w:tc>
          <w:tcPr>
            <w:tcW w:w="1100" w:type="dxa"/>
            <w:shd w:val="clear" w:color="auto" w:fill="auto"/>
            <w:vAlign w:val="center"/>
            <w:hideMark/>
          </w:tcPr>
          <w:p w14:paraId="577AFD52"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0,18 %</w:t>
            </w:r>
          </w:p>
        </w:tc>
        <w:tc>
          <w:tcPr>
            <w:tcW w:w="940" w:type="dxa"/>
            <w:shd w:val="clear" w:color="auto" w:fill="auto"/>
            <w:vAlign w:val="center"/>
            <w:hideMark/>
          </w:tcPr>
          <w:p w14:paraId="245517F2"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0,11 %</w:t>
            </w:r>
          </w:p>
        </w:tc>
      </w:tr>
      <w:tr w:rsidR="00072A69" w:rsidRPr="00DF75F0" w14:paraId="4BF41926" w14:textId="77777777" w:rsidTr="00AC1F17">
        <w:trPr>
          <w:trHeight w:val="284"/>
          <w:jc w:val="center"/>
        </w:trPr>
        <w:tc>
          <w:tcPr>
            <w:tcW w:w="2830" w:type="dxa"/>
            <w:shd w:val="clear" w:color="auto" w:fill="auto"/>
            <w:vAlign w:val="center"/>
            <w:hideMark/>
          </w:tcPr>
          <w:p w14:paraId="4395C9C6"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1560" w:type="dxa"/>
            <w:shd w:val="clear" w:color="auto" w:fill="auto"/>
            <w:vAlign w:val="center"/>
            <w:hideMark/>
          </w:tcPr>
          <w:p w14:paraId="646A915C"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4</w:t>
            </w:r>
          </w:p>
        </w:tc>
        <w:tc>
          <w:tcPr>
            <w:tcW w:w="1170" w:type="dxa"/>
            <w:shd w:val="clear" w:color="auto" w:fill="auto"/>
            <w:vAlign w:val="center"/>
            <w:hideMark/>
          </w:tcPr>
          <w:p w14:paraId="67576DDB"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22</w:t>
            </w:r>
          </w:p>
        </w:tc>
        <w:tc>
          <w:tcPr>
            <w:tcW w:w="1360" w:type="dxa"/>
            <w:shd w:val="clear" w:color="auto" w:fill="auto"/>
            <w:vAlign w:val="center"/>
            <w:hideMark/>
          </w:tcPr>
          <w:p w14:paraId="201E58EE"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2.402.270</w:t>
            </w:r>
          </w:p>
        </w:tc>
        <w:tc>
          <w:tcPr>
            <w:tcW w:w="1100" w:type="dxa"/>
            <w:shd w:val="clear" w:color="auto" w:fill="auto"/>
            <w:vAlign w:val="center"/>
            <w:hideMark/>
          </w:tcPr>
          <w:p w14:paraId="47466B4B"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0,16 %</w:t>
            </w:r>
          </w:p>
        </w:tc>
        <w:tc>
          <w:tcPr>
            <w:tcW w:w="940" w:type="dxa"/>
            <w:shd w:val="clear" w:color="auto" w:fill="auto"/>
            <w:vAlign w:val="center"/>
            <w:hideMark/>
          </w:tcPr>
          <w:p w14:paraId="738EE500"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0,14 %</w:t>
            </w:r>
          </w:p>
        </w:tc>
      </w:tr>
      <w:tr w:rsidR="00072A69" w:rsidRPr="00DF75F0" w14:paraId="42EA9D67" w14:textId="77777777" w:rsidTr="00AC1F17">
        <w:trPr>
          <w:trHeight w:val="284"/>
          <w:jc w:val="center"/>
        </w:trPr>
        <w:tc>
          <w:tcPr>
            <w:tcW w:w="2830" w:type="dxa"/>
            <w:shd w:val="clear" w:color="auto" w:fill="auto"/>
            <w:vAlign w:val="center"/>
            <w:hideMark/>
          </w:tcPr>
          <w:p w14:paraId="6E75B339" w14:textId="77777777" w:rsidR="00072A69" w:rsidRPr="00DF75F0" w:rsidRDefault="00072A69" w:rsidP="00AC1F17">
            <w:pPr>
              <w:spacing w:after="0" w:line="240" w:lineRule="auto"/>
              <w:rPr>
                <w:rFonts w:ascii="Arial" w:eastAsia="Times New Roman" w:hAnsi="Arial" w:cs="Arial"/>
                <w:color w:val="000000"/>
                <w:sz w:val="18"/>
                <w:szCs w:val="18"/>
                <w:lang w:eastAsia="sl-SI"/>
              </w:rPr>
            </w:pPr>
            <w:r w:rsidRPr="00DF75F0">
              <w:rPr>
                <w:rFonts w:ascii="Arial" w:eastAsia="Times New Roman" w:hAnsi="Arial" w:cs="Arial"/>
                <w:color w:val="000000"/>
                <w:sz w:val="18"/>
                <w:szCs w:val="18"/>
                <w:lang w:eastAsia="sl-SI"/>
              </w:rPr>
              <w:t>Razni subjekti</w:t>
            </w:r>
          </w:p>
        </w:tc>
        <w:tc>
          <w:tcPr>
            <w:tcW w:w="1560" w:type="dxa"/>
            <w:shd w:val="clear" w:color="auto" w:fill="auto"/>
            <w:vAlign w:val="center"/>
            <w:hideMark/>
          </w:tcPr>
          <w:p w14:paraId="34698B8B"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3</w:t>
            </w:r>
          </w:p>
        </w:tc>
        <w:tc>
          <w:tcPr>
            <w:tcW w:w="1170" w:type="dxa"/>
            <w:shd w:val="clear" w:color="auto" w:fill="auto"/>
            <w:vAlign w:val="center"/>
            <w:hideMark/>
          </w:tcPr>
          <w:p w14:paraId="501B1475"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4</w:t>
            </w:r>
          </w:p>
        </w:tc>
        <w:tc>
          <w:tcPr>
            <w:tcW w:w="1360" w:type="dxa"/>
            <w:shd w:val="clear" w:color="auto" w:fill="auto"/>
            <w:vAlign w:val="center"/>
            <w:hideMark/>
          </w:tcPr>
          <w:p w14:paraId="39ECB8DA"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643.539</w:t>
            </w:r>
          </w:p>
        </w:tc>
        <w:tc>
          <w:tcPr>
            <w:tcW w:w="1100" w:type="dxa"/>
            <w:shd w:val="clear" w:color="auto" w:fill="auto"/>
            <w:vAlign w:val="center"/>
            <w:hideMark/>
          </w:tcPr>
          <w:p w14:paraId="497C4FB2"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0,03 %</w:t>
            </w:r>
          </w:p>
        </w:tc>
        <w:tc>
          <w:tcPr>
            <w:tcW w:w="940" w:type="dxa"/>
            <w:shd w:val="clear" w:color="auto" w:fill="auto"/>
            <w:vAlign w:val="center"/>
            <w:hideMark/>
          </w:tcPr>
          <w:p w14:paraId="410A4AF6" w14:textId="77777777" w:rsidR="00072A69" w:rsidRPr="00DF75F0" w:rsidRDefault="00072A69" w:rsidP="00AC1F17">
            <w:pPr>
              <w:spacing w:after="0" w:line="240" w:lineRule="auto"/>
              <w:jc w:val="right"/>
              <w:rPr>
                <w:rFonts w:ascii="Arial" w:eastAsia="Times New Roman" w:hAnsi="Arial" w:cs="Arial"/>
                <w:color w:val="000000"/>
                <w:sz w:val="18"/>
                <w:szCs w:val="18"/>
                <w:lang w:eastAsia="sl-SI"/>
              </w:rPr>
            </w:pPr>
            <w:r w:rsidRPr="00DF75F0">
              <w:rPr>
                <w:rFonts w:ascii="Arial" w:hAnsi="Arial" w:cs="Arial"/>
                <w:color w:val="000000"/>
                <w:sz w:val="18"/>
                <w:szCs w:val="18"/>
              </w:rPr>
              <w:t>0,04 %</w:t>
            </w:r>
          </w:p>
        </w:tc>
      </w:tr>
      <w:tr w:rsidR="00072A69" w:rsidRPr="00DF75F0" w14:paraId="3F63ED73" w14:textId="77777777" w:rsidTr="00AC1F17">
        <w:trPr>
          <w:trHeight w:val="284"/>
          <w:jc w:val="center"/>
        </w:trPr>
        <w:tc>
          <w:tcPr>
            <w:tcW w:w="2830" w:type="dxa"/>
            <w:shd w:val="clear" w:color="auto" w:fill="E7E6E6" w:themeFill="background2"/>
            <w:vAlign w:val="center"/>
            <w:hideMark/>
          </w:tcPr>
          <w:p w14:paraId="3DA550AF" w14:textId="77777777" w:rsidR="00072A69" w:rsidRPr="00DF75F0" w:rsidRDefault="00072A69" w:rsidP="00AC1F17">
            <w:pPr>
              <w:spacing w:after="0" w:line="240" w:lineRule="auto"/>
              <w:rPr>
                <w:rFonts w:ascii="Arial" w:eastAsia="Times New Roman" w:hAnsi="Arial" w:cs="Arial"/>
                <w:b/>
                <w:bCs/>
                <w:color w:val="000000"/>
                <w:sz w:val="18"/>
                <w:szCs w:val="18"/>
                <w:lang w:eastAsia="sl-SI"/>
              </w:rPr>
            </w:pPr>
            <w:r w:rsidRPr="00DF75F0">
              <w:rPr>
                <w:rFonts w:ascii="Arial" w:eastAsia="Times New Roman" w:hAnsi="Arial" w:cs="Arial"/>
                <w:b/>
                <w:bCs/>
                <w:color w:val="000000"/>
                <w:sz w:val="18"/>
                <w:szCs w:val="18"/>
                <w:lang w:eastAsia="sl-SI"/>
              </w:rPr>
              <w:t>Skupaj</w:t>
            </w:r>
          </w:p>
        </w:tc>
        <w:tc>
          <w:tcPr>
            <w:tcW w:w="1560" w:type="dxa"/>
            <w:shd w:val="clear" w:color="auto" w:fill="E7E6E6" w:themeFill="background2"/>
            <w:vAlign w:val="center"/>
            <w:hideMark/>
          </w:tcPr>
          <w:p w14:paraId="0A15225E" w14:textId="77777777" w:rsidR="00072A69" w:rsidRPr="00DF75F0" w:rsidRDefault="00072A69" w:rsidP="00AC1F17">
            <w:pPr>
              <w:spacing w:after="0" w:line="240" w:lineRule="auto"/>
              <w:jc w:val="right"/>
              <w:rPr>
                <w:rFonts w:ascii="Arial" w:eastAsia="Times New Roman" w:hAnsi="Arial" w:cs="Arial"/>
                <w:b/>
                <w:bCs/>
                <w:color w:val="000000"/>
                <w:sz w:val="18"/>
                <w:szCs w:val="18"/>
                <w:lang w:eastAsia="sl-SI"/>
              </w:rPr>
            </w:pPr>
            <w:r w:rsidRPr="00DF75F0">
              <w:rPr>
                <w:rFonts w:ascii="Arial" w:hAnsi="Arial" w:cs="Arial"/>
                <w:b/>
                <w:bCs/>
                <w:color w:val="000000"/>
                <w:sz w:val="18"/>
                <w:szCs w:val="18"/>
              </w:rPr>
              <w:t>841</w:t>
            </w:r>
          </w:p>
        </w:tc>
        <w:tc>
          <w:tcPr>
            <w:tcW w:w="1170" w:type="dxa"/>
            <w:shd w:val="clear" w:color="auto" w:fill="E7E6E6" w:themeFill="background2"/>
            <w:vAlign w:val="center"/>
            <w:hideMark/>
          </w:tcPr>
          <w:p w14:paraId="67D42CFD" w14:textId="77777777" w:rsidR="00072A69" w:rsidRPr="00DF75F0" w:rsidRDefault="00072A69" w:rsidP="00AC1F17">
            <w:pPr>
              <w:spacing w:after="0" w:line="240" w:lineRule="auto"/>
              <w:jc w:val="right"/>
              <w:rPr>
                <w:rFonts w:ascii="Arial" w:eastAsia="Times New Roman" w:hAnsi="Arial" w:cs="Arial"/>
                <w:b/>
                <w:bCs/>
                <w:color w:val="000000"/>
                <w:sz w:val="18"/>
                <w:szCs w:val="18"/>
                <w:lang w:eastAsia="sl-SI"/>
              </w:rPr>
            </w:pPr>
            <w:r w:rsidRPr="00DF75F0">
              <w:rPr>
                <w:rFonts w:ascii="Arial" w:hAnsi="Arial" w:cs="Arial"/>
                <w:b/>
                <w:bCs/>
                <w:color w:val="000000"/>
                <w:sz w:val="18"/>
                <w:szCs w:val="18"/>
              </w:rPr>
              <w:t>13.571</w:t>
            </w:r>
          </w:p>
        </w:tc>
        <w:tc>
          <w:tcPr>
            <w:tcW w:w="1360" w:type="dxa"/>
            <w:shd w:val="clear" w:color="auto" w:fill="E7E6E6" w:themeFill="background2"/>
            <w:vAlign w:val="center"/>
            <w:hideMark/>
          </w:tcPr>
          <w:p w14:paraId="51CED2A1" w14:textId="77777777" w:rsidR="00072A69" w:rsidRPr="00DF75F0" w:rsidRDefault="00072A69" w:rsidP="00AC1F17">
            <w:pPr>
              <w:spacing w:after="0" w:line="240" w:lineRule="auto"/>
              <w:jc w:val="right"/>
              <w:rPr>
                <w:rFonts w:ascii="Arial" w:eastAsia="Times New Roman" w:hAnsi="Arial" w:cs="Arial"/>
                <w:b/>
                <w:bCs/>
                <w:color w:val="000000"/>
                <w:sz w:val="18"/>
                <w:szCs w:val="18"/>
                <w:lang w:eastAsia="sl-SI"/>
              </w:rPr>
            </w:pPr>
            <w:r w:rsidRPr="00DF75F0">
              <w:rPr>
                <w:rFonts w:ascii="Arial" w:hAnsi="Arial" w:cs="Arial"/>
                <w:b/>
                <w:bCs/>
                <w:color w:val="000000"/>
                <w:sz w:val="18"/>
                <w:szCs w:val="18"/>
              </w:rPr>
              <w:t>1.759.966.131</w:t>
            </w:r>
          </w:p>
        </w:tc>
        <w:tc>
          <w:tcPr>
            <w:tcW w:w="1100" w:type="dxa"/>
            <w:shd w:val="clear" w:color="auto" w:fill="E7E6E6" w:themeFill="background2"/>
            <w:vAlign w:val="center"/>
            <w:hideMark/>
          </w:tcPr>
          <w:p w14:paraId="067359D6" w14:textId="77777777" w:rsidR="00072A69" w:rsidRPr="00DF75F0" w:rsidRDefault="00072A69" w:rsidP="00AC1F17">
            <w:pPr>
              <w:spacing w:after="0" w:line="240" w:lineRule="auto"/>
              <w:jc w:val="right"/>
              <w:rPr>
                <w:rFonts w:ascii="Arial" w:eastAsia="Times New Roman" w:hAnsi="Arial" w:cs="Arial"/>
                <w:b/>
                <w:bCs/>
                <w:color w:val="000000"/>
                <w:sz w:val="18"/>
                <w:szCs w:val="18"/>
                <w:lang w:eastAsia="sl-SI"/>
              </w:rPr>
            </w:pPr>
            <w:r w:rsidRPr="00DF75F0">
              <w:rPr>
                <w:rFonts w:ascii="Arial" w:hAnsi="Arial" w:cs="Arial"/>
                <w:b/>
                <w:bCs/>
                <w:color w:val="000000"/>
                <w:sz w:val="18"/>
                <w:szCs w:val="18"/>
              </w:rPr>
              <w:t>100,00 %</w:t>
            </w:r>
          </w:p>
        </w:tc>
        <w:tc>
          <w:tcPr>
            <w:tcW w:w="940" w:type="dxa"/>
            <w:shd w:val="clear" w:color="auto" w:fill="E7E6E6" w:themeFill="background2"/>
            <w:vAlign w:val="center"/>
            <w:hideMark/>
          </w:tcPr>
          <w:p w14:paraId="124A1713" w14:textId="77777777" w:rsidR="00072A69" w:rsidRPr="00DF75F0" w:rsidRDefault="00072A69" w:rsidP="00AC1F17">
            <w:pPr>
              <w:spacing w:after="0" w:line="240" w:lineRule="auto"/>
              <w:jc w:val="right"/>
              <w:rPr>
                <w:rFonts w:ascii="Arial" w:eastAsia="Times New Roman" w:hAnsi="Arial" w:cs="Arial"/>
                <w:b/>
                <w:bCs/>
                <w:color w:val="000000"/>
                <w:sz w:val="18"/>
                <w:szCs w:val="18"/>
                <w:lang w:eastAsia="sl-SI"/>
              </w:rPr>
            </w:pPr>
            <w:r w:rsidRPr="00DF75F0">
              <w:rPr>
                <w:rFonts w:ascii="Arial" w:hAnsi="Arial" w:cs="Arial"/>
                <w:b/>
                <w:bCs/>
                <w:color w:val="000000"/>
                <w:sz w:val="18"/>
                <w:szCs w:val="18"/>
              </w:rPr>
              <w:t>100,00 %</w:t>
            </w:r>
          </w:p>
        </w:tc>
      </w:tr>
    </w:tbl>
    <w:p w14:paraId="77991B6F" w14:textId="77777777" w:rsidR="00072A69" w:rsidRPr="00DF75F0" w:rsidRDefault="00072A69" w:rsidP="00072A69">
      <w:pPr>
        <w:spacing w:before="120" w:after="120" w:line="240" w:lineRule="auto"/>
        <w:jc w:val="both"/>
        <w:rPr>
          <w:rFonts w:ascii="Arial" w:hAnsi="Arial" w:cs="Arial"/>
          <w:sz w:val="20"/>
        </w:rPr>
      </w:pPr>
    </w:p>
    <w:p w14:paraId="47BE562D" w14:textId="1D1DB721" w:rsidR="00072A69" w:rsidRPr="00866E0D" w:rsidRDefault="00072A69" w:rsidP="00072A69">
      <w:pPr>
        <w:spacing w:before="120" w:after="120" w:line="240" w:lineRule="auto"/>
        <w:jc w:val="both"/>
        <w:rPr>
          <w:rFonts w:ascii="Arial" w:hAnsi="Arial" w:cs="Arial"/>
          <w:sz w:val="20"/>
        </w:rPr>
      </w:pPr>
      <w:bookmarkStart w:id="95" w:name="_Toc367784265"/>
      <w:bookmarkStart w:id="96" w:name="_Toc368925710"/>
      <w:bookmarkStart w:id="97" w:name="_Toc369000993"/>
      <w:bookmarkStart w:id="98" w:name="_Toc398038713"/>
      <w:bookmarkStart w:id="99" w:name="_Toc398040192"/>
      <w:bookmarkStart w:id="100" w:name="_Toc398584430"/>
      <w:bookmarkStart w:id="101" w:name="_Toc461086446"/>
      <w:bookmarkStart w:id="102" w:name="_Toc461608818"/>
      <w:bookmarkStart w:id="103" w:name="_Toc462401237"/>
      <w:bookmarkEnd w:id="86"/>
      <w:bookmarkEnd w:id="87"/>
      <w:bookmarkEnd w:id="88"/>
      <w:r w:rsidRPr="00866E0D">
        <w:rPr>
          <w:rFonts w:ascii="Arial" w:hAnsi="Arial" w:cs="Arial"/>
          <w:sz w:val="20"/>
        </w:rPr>
        <w:t>Preglednica 9</w:t>
      </w:r>
      <w:r w:rsidR="00D23EC0">
        <w:rPr>
          <w:rFonts w:ascii="Arial" w:hAnsi="Arial" w:cs="Arial"/>
          <w:sz w:val="20"/>
        </w:rPr>
        <w:t>6</w:t>
      </w:r>
      <w:r w:rsidRPr="00866E0D">
        <w:rPr>
          <w:rFonts w:ascii="Arial" w:hAnsi="Arial" w:cs="Arial"/>
          <w:sz w:val="20"/>
        </w:rPr>
        <w:t>: Javna naročila, sofinancirana s sredstvi EU glede na predmet naročanja i</w:t>
      </w:r>
      <w:bookmarkEnd w:id="95"/>
      <w:bookmarkEnd w:id="96"/>
      <w:bookmarkEnd w:id="97"/>
      <w:r w:rsidRPr="00866E0D">
        <w:rPr>
          <w:rFonts w:ascii="Arial" w:hAnsi="Arial" w:cs="Arial"/>
          <w:sz w:val="20"/>
        </w:rPr>
        <w:t>n vrsto postopka</w:t>
      </w:r>
      <w:bookmarkEnd w:id="98"/>
      <w:bookmarkEnd w:id="99"/>
      <w:bookmarkEnd w:id="100"/>
      <w:bookmarkEnd w:id="101"/>
      <w:bookmarkEnd w:id="102"/>
      <w:bookmarkEnd w:id="103"/>
    </w:p>
    <w:tbl>
      <w:tblPr>
        <w:tblW w:w="5000" w:type="pct"/>
        <w:tblCellMar>
          <w:left w:w="70" w:type="dxa"/>
          <w:right w:w="70" w:type="dxa"/>
        </w:tblCellMar>
        <w:tblLook w:val="04A0" w:firstRow="1" w:lastRow="0" w:firstColumn="1" w:lastColumn="0" w:noHBand="0" w:noVBand="1"/>
      </w:tblPr>
      <w:tblGrid>
        <w:gridCol w:w="1128"/>
        <w:gridCol w:w="4019"/>
        <w:gridCol w:w="961"/>
        <w:gridCol w:w="671"/>
        <w:gridCol w:w="1142"/>
        <w:gridCol w:w="1141"/>
      </w:tblGrid>
      <w:tr w:rsidR="00072A69" w:rsidRPr="00D479D8" w14:paraId="6229DF98" w14:textId="77777777" w:rsidTr="00C320EE">
        <w:trPr>
          <w:trHeight w:val="480"/>
          <w:tblHeader/>
        </w:trPr>
        <w:tc>
          <w:tcPr>
            <w:tcW w:w="6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BFCE911"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bookmarkStart w:id="104" w:name="_Toc398038714"/>
            <w:bookmarkStart w:id="105" w:name="_Toc398040193"/>
            <w:bookmarkStart w:id="106" w:name="_Toc398584431"/>
            <w:bookmarkStart w:id="107" w:name="_Toc461086447"/>
            <w:bookmarkStart w:id="108" w:name="_Toc461608819"/>
            <w:bookmarkStart w:id="109" w:name="_Toc462401238"/>
            <w:r w:rsidRPr="00D479D8">
              <w:rPr>
                <w:rFonts w:ascii="Arial" w:eastAsia="Times New Roman" w:hAnsi="Arial" w:cs="Arial"/>
                <w:color w:val="000000"/>
                <w:sz w:val="18"/>
                <w:szCs w:val="18"/>
                <w:lang w:eastAsia="sl-SI"/>
              </w:rPr>
              <w:t xml:space="preserve">Predmet </w:t>
            </w:r>
          </w:p>
        </w:tc>
        <w:tc>
          <w:tcPr>
            <w:tcW w:w="2218" w:type="pct"/>
            <w:tcBorders>
              <w:top w:val="single" w:sz="4" w:space="0" w:color="auto"/>
              <w:left w:val="nil"/>
              <w:bottom w:val="single" w:sz="4" w:space="0" w:color="auto"/>
              <w:right w:val="single" w:sz="4" w:space="0" w:color="auto"/>
            </w:tcBorders>
            <w:shd w:val="clear" w:color="000000" w:fill="EDEDED"/>
            <w:vAlign w:val="center"/>
            <w:hideMark/>
          </w:tcPr>
          <w:p w14:paraId="60862084"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Vrsta postopka</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149A6529"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Št. postopkov</w:t>
            </w:r>
          </w:p>
        </w:tc>
        <w:tc>
          <w:tcPr>
            <w:tcW w:w="370" w:type="pct"/>
            <w:tcBorders>
              <w:top w:val="single" w:sz="4" w:space="0" w:color="auto"/>
              <w:left w:val="nil"/>
              <w:bottom w:val="single" w:sz="4" w:space="0" w:color="auto"/>
              <w:right w:val="single" w:sz="4" w:space="0" w:color="auto"/>
            </w:tcBorders>
            <w:shd w:val="clear" w:color="000000" w:fill="EDEDED"/>
            <w:vAlign w:val="center"/>
            <w:hideMark/>
          </w:tcPr>
          <w:p w14:paraId="02279D61"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Št. naročil</w:t>
            </w:r>
          </w:p>
        </w:tc>
        <w:tc>
          <w:tcPr>
            <w:tcW w:w="630" w:type="pct"/>
            <w:tcBorders>
              <w:top w:val="single" w:sz="4" w:space="0" w:color="auto"/>
              <w:left w:val="nil"/>
              <w:bottom w:val="single" w:sz="4" w:space="0" w:color="auto"/>
              <w:right w:val="single" w:sz="4" w:space="0" w:color="auto"/>
            </w:tcBorders>
            <w:shd w:val="clear" w:color="000000" w:fill="EDEDED"/>
            <w:vAlign w:val="center"/>
            <w:hideMark/>
          </w:tcPr>
          <w:p w14:paraId="44CD50A7"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Ocenjena vrednost</w:t>
            </w:r>
          </w:p>
        </w:tc>
        <w:tc>
          <w:tcPr>
            <w:tcW w:w="630" w:type="pct"/>
            <w:tcBorders>
              <w:top w:val="single" w:sz="4" w:space="0" w:color="auto"/>
              <w:left w:val="nil"/>
              <w:bottom w:val="single" w:sz="4" w:space="0" w:color="auto"/>
              <w:right w:val="single" w:sz="4" w:space="0" w:color="auto"/>
            </w:tcBorders>
            <w:shd w:val="clear" w:color="000000" w:fill="EDEDED"/>
            <w:vAlign w:val="center"/>
            <w:hideMark/>
          </w:tcPr>
          <w:p w14:paraId="139BFC47"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Pogodbena vrednost</w:t>
            </w:r>
          </w:p>
        </w:tc>
      </w:tr>
      <w:tr w:rsidR="00072A69" w:rsidRPr="00D479D8" w14:paraId="260203D6" w14:textId="77777777" w:rsidTr="00AC1F17">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7B73C612"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Blago</w:t>
            </w:r>
          </w:p>
        </w:tc>
        <w:tc>
          <w:tcPr>
            <w:tcW w:w="2218" w:type="pct"/>
            <w:tcBorders>
              <w:top w:val="nil"/>
              <w:left w:val="nil"/>
              <w:bottom w:val="single" w:sz="4" w:space="0" w:color="auto"/>
              <w:right w:val="single" w:sz="4" w:space="0" w:color="auto"/>
            </w:tcBorders>
            <w:shd w:val="clear" w:color="auto" w:fill="auto"/>
            <w:vAlign w:val="center"/>
            <w:hideMark/>
          </w:tcPr>
          <w:p w14:paraId="2382AA69"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66D03A03"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5</w:t>
            </w:r>
          </w:p>
        </w:tc>
        <w:tc>
          <w:tcPr>
            <w:tcW w:w="370" w:type="pct"/>
            <w:tcBorders>
              <w:top w:val="nil"/>
              <w:left w:val="nil"/>
              <w:bottom w:val="single" w:sz="4" w:space="0" w:color="auto"/>
              <w:right w:val="single" w:sz="4" w:space="0" w:color="auto"/>
            </w:tcBorders>
            <w:shd w:val="clear" w:color="auto" w:fill="auto"/>
            <w:vAlign w:val="center"/>
            <w:hideMark/>
          </w:tcPr>
          <w:p w14:paraId="5D4E63F3"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10</w:t>
            </w:r>
          </w:p>
        </w:tc>
        <w:tc>
          <w:tcPr>
            <w:tcW w:w="630" w:type="pct"/>
            <w:tcBorders>
              <w:top w:val="nil"/>
              <w:left w:val="nil"/>
              <w:bottom w:val="single" w:sz="4" w:space="0" w:color="auto"/>
              <w:right w:val="single" w:sz="4" w:space="0" w:color="auto"/>
            </w:tcBorders>
            <w:shd w:val="clear" w:color="auto" w:fill="auto"/>
            <w:vAlign w:val="center"/>
            <w:hideMark/>
          </w:tcPr>
          <w:p w14:paraId="235D3978"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28.223.379</w:t>
            </w:r>
          </w:p>
        </w:tc>
        <w:tc>
          <w:tcPr>
            <w:tcW w:w="630" w:type="pct"/>
            <w:tcBorders>
              <w:top w:val="nil"/>
              <w:left w:val="nil"/>
              <w:bottom w:val="single" w:sz="4" w:space="0" w:color="auto"/>
              <w:right w:val="single" w:sz="4" w:space="0" w:color="auto"/>
            </w:tcBorders>
            <w:shd w:val="clear" w:color="auto" w:fill="auto"/>
            <w:vAlign w:val="center"/>
            <w:hideMark/>
          </w:tcPr>
          <w:p w14:paraId="4A72826A"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27.889.653</w:t>
            </w:r>
          </w:p>
        </w:tc>
      </w:tr>
      <w:tr w:rsidR="00072A69" w:rsidRPr="00D479D8" w14:paraId="47A46FF1"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3659EEBA"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33282213"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25AFF7D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37</w:t>
            </w:r>
          </w:p>
        </w:tc>
        <w:tc>
          <w:tcPr>
            <w:tcW w:w="370" w:type="pct"/>
            <w:tcBorders>
              <w:top w:val="nil"/>
              <w:left w:val="nil"/>
              <w:bottom w:val="single" w:sz="4" w:space="0" w:color="auto"/>
              <w:right w:val="single" w:sz="4" w:space="0" w:color="auto"/>
            </w:tcBorders>
            <w:shd w:val="clear" w:color="auto" w:fill="auto"/>
            <w:vAlign w:val="center"/>
            <w:hideMark/>
          </w:tcPr>
          <w:p w14:paraId="6AC3AAC6"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150</w:t>
            </w:r>
          </w:p>
        </w:tc>
        <w:tc>
          <w:tcPr>
            <w:tcW w:w="630" w:type="pct"/>
            <w:tcBorders>
              <w:top w:val="nil"/>
              <w:left w:val="nil"/>
              <w:bottom w:val="single" w:sz="4" w:space="0" w:color="auto"/>
              <w:right w:val="single" w:sz="4" w:space="0" w:color="auto"/>
            </w:tcBorders>
            <w:shd w:val="clear" w:color="auto" w:fill="auto"/>
            <w:vAlign w:val="center"/>
            <w:hideMark/>
          </w:tcPr>
          <w:p w14:paraId="6F7B6C8E"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47.824.852</w:t>
            </w:r>
          </w:p>
        </w:tc>
        <w:tc>
          <w:tcPr>
            <w:tcW w:w="630" w:type="pct"/>
            <w:tcBorders>
              <w:top w:val="nil"/>
              <w:left w:val="nil"/>
              <w:bottom w:val="single" w:sz="4" w:space="0" w:color="auto"/>
              <w:right w:val="single" w:sz="4" w:space="0" w:color="auto"/>
            </w:tcBorders>
            <w:shd w:val="clear" w:color="auto" w:fill="auto"/>
            <w:vAlign w:val="center"/>
            <w:hideMark/>
          </w:tcPr>
          <w:p w14:paraId="6D0082B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42.238.790</w:t>
            </w:r>
          </w:p>
        </w:tc>
      </w:tr>
      <w:tr w:rsidR="00072A69" w:rsidRPr="00D479D8" w14:paraId="22D9F260"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0A673DF5"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35C08578"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35CD1F8A"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100</w:t>
            </w:r>
          </w:p>
        </w:tc>
        <w:tc>
          <w:tcPr>
            <w:tcW w:w="370" w:type="pct"/>
            <w:tcBorders>
              <w:top w:val="nil"/>
              <w:left w:val="nil"/>
              <w:bottom w:val="single" w:sz="4" w:space="0" w:color="auto"/>
              <w:right w:val="single" w:sz="4" w:space="0" w:color="auto"/>
            </w:tcBorders>
            <w:shd w:val="clear" w:color="auto" w:fill="auto"/>
            <w:vAlign w:val="center"/>
            <w:hideMark/>
          </w:tcPr>
          <w:p w14:paraId="193FCDE6"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179</w:t>
            </w:r>
          </w:p>
        </w:tc>
        <w:tc>
          <w:tcPr>
            <w:tcW w:w="630" w:type="pct"/>
            <w:tcBorders>
              <w:top w:val="nil"/>
              <w:left w:val="nil"/>
              <w:bottom w:val="single" w:sz="4" w:space="0" w:color="auto"/>
              <w:right w:val="single" w:sz="4" w:space="0" w:color="auto"/>
            </w:tcBorders>
            <w:shd w:val="clear" w:color="auto" w:fill="auto"/>
            <w:vAlign w:val="center"/>
            <w:hideMark/>
          </w:tcPr>
          <w:p w14:paraId="3FCA9F16"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6.310.938</w:t>
            </w:r>
          </w:p>
        </w:tc>
        <w:tc>
          <w:tcPr>
            <w:tcW w:w="630" w:type="pct"/>
            <w:tcBorders>
              <w:top w:val="nil"/>
              <w:left w:val="nil"/>
              <w:bottom w:val="single" w:sz="4" w:space="0" w:color="auto"/>
              <w:right w:val="single" w:sz="4" w:space="0" w:color="auto"/>
            </w:tcBorders>
            <w:shd w:val="clear" w:color="auto" w:fill="auto"/>
            <w:vAlign w:val="center"/>
            <w:hideMark/>
          </w:tcPr>
          <w:p w14:paraId="5B45E11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5.912.391</w:t>
            </w:r>
          </w:p>
        </w:tc>
      </w:tr>
      <w:tr w:rsidR="00072A69" w:rsidRPr="00D479D8" w14:paraId="41227535"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1E340260"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4C4BEAE0"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177E709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7</w:t>
            </w:r>
          </w:p>
        </w:tc>
        <w:tc>
          <w:tcPr>
            <w:tcW w:w="370" w:type="pct"/>
            <w:tcBorders>
              <w:top w:val="nil"/>
              <w:left w:val="nil"/>
              <w:bottom w:val="single" w:sz="4" w:space="0" w:color="auto"/>
              <w:right w:val="single" w:sz="4" w:space="0" w:color="auto"/>
            </w:tcBorders>
            <w:shd w:val="clear" w:color="auto" w:fill="auto"/>
            <w:vAlign w:val="center"/>
            <w:hideMark/>
          </w:tcPr>
          <w:p w14:paraId="68B202D5"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13</w:t>
            </w:r>
          </w:p>
        </w:tc>
        <w:tc>
          <w:tcPr>
            <w:tcW w:w="630" w:type="pct"/>
            <w:tcBorders>
              <w:top w:val="nil"/>
              <w:left w:val="nil"/>
              <w:bottom w:val="single" w:sz="4" w:space="0" w:color="auto"/>
              <w:right w:val="single" w:sz="4" w:space="0" w:color="auto"/>
            </w:tcBorders>
            <w:shd w:val="clear" w:color="auto" w:fill="auto"/>
            <w:vAlign w:val="center"/>
            <w:hideMark/>
          </w:tcPr>
          <w:p w14:paraId="10238524"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2.090.493</w:t>
            </w:r>
          </w:p>
        </w:tc>
        <w:tc>
          <w:tcPr>
            <w:tcW w:w="630" w:type="pct"/>
            <w:tcBorders>
              <w:top w:val="nil"/>
              <w:left w:val="nil"/>
              <w:bottom w:val="single" w:sz="4" w:space="0" w:color="auto"/>
              <w:right w:val="single" w:sz="4" w:space="0" w:color="auto"/>
            </w:tcBorders>
            <w:shd w:val="clear" w:color="auto" w:fill="auto"/>
            <w:vAlign w:val="center"/>
            <w:hideMark/>
          </w:tcPr>
          <w:p w14:paraId="3DB76EC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2.036.883</w:t>
            </w:r>
          </w:p>
        </w:tc>
      </w:tr>
      <w:tr w:rsidR="00072A69" w:rsidRPr="00D479D8" w14:paraId="0D38CC95"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61F737B6"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64212991" w14:textId="77777777" w:rsidR="00072A69" w:rsidRPr="00D479D8" w:rsidRDefault="00072A69" w:rsidP="00AC1F17">
            <w:pPr>
              <w:spacing w:after="0" w:line="240" w:lineRule="auto"/>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vAlign w:val="center"/>
            <w:hideMark/>
          </w:tcPr>
          <w:p w14:paraId="67448175"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149</w:t>
            </w:r>
          </w:p>
        </w:tc>
        <w:tc>
          <w:tcPr>
            <w:tcW w:w="370" w:type="pct"/>
            <w:tcBorders>
              <w:top w:val="nil"/>
              <w:left w:val="nil"/>
              <w:bottom w:val="single" w:sz="4" w:space="0" w:color="auto"/>
              <w:right w:val="single" w:sz="4" w:space="0" w:color="auto"/>
            </w:tcBorders>
            <w:shd w:val="clear" w:color="auto" w:fill="auto"/>
            <w:vAlign w:val="center"/>
            <w:hideMark/>
          </w:tcPr>
          <w:p w14:paraId="4A2740EB"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352</w:t>
            </w:r>
          </w:p>
        </w:tc>
        <w:tc>
          <w:tcPr>
            <w:tcW w:w="630" w:type="pct"/>
            <w:tcBorders>
              <w:top w:val="nil"/>
              <w:left w:val="nil"/>
              <w:bottom w:val="single" w:sz="4" w:space="0" w:color="auto"/>
              <w:right w:val="single" w:sz="4" w:space="0" w:color="auto"/>
            </w:tcBorders>
            <w:shd w:val="clear" w:color="auto" w:fill="auto"/>
            <w:vAlign w:val="center"/>
            <w:hideMark/>
          </w:tcPr>
          <w:p w14:paraId="5EF241EC"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84.449.662</w:t>
            </w:r>
          </w:p>
        </w:tc>
        <w:tc>
          <w:tcPr>
            <w:tcW w:w="630" w:type="pct"/>
            <w:tcBorders>
              <w:top w:val="nil"/>
              <w:left w:val="nil"/>
              <w:bottom w:val="single" w:sz="4" w:space="0" w:color="auto"/>
              <w:right w:val="single" w:sz="4" w:space="0" w:color="auto"/>
            </w:tcBorders>
            <w:shd w:val="clear" w:color="auto" w:fill="auto"/>
            <w:vAlign w:val="center"/>
            <w:hideMark/>
          </w:tcPr>
          <w:p w14:paraId="0ED7F0AD"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78.077.717</w:t>
            </w:r>
          </w:p>
        </w:tc>
      </w:tr>
      <w:tr w:rsidR="00072A69" w:rsidRPr="00D479D8" w14:paraId="319C64D2" w14:textId="77777777" w:rsidTr="00AC1F17">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570D184A"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Storitve</w:t>
            </w:r>
          </w:p>
        </w:tc>
        <w:tc>
          <w:tcPr>
            <w:tcW w:w="2218" w:type="pct"/>
            <w:tcBorders>
              <w:top w:val="nil"/>
              <w:left w:val="nil"/>
              <w:bottom w:val="single" w:sz="4" w:space="0" w:color="auto"/>
              <w:right w:val="single" w:sz="4" w:space="0" w:color="auto"/>
            </w:tcBorders>
            <w:shd w:val="clear" w:color="auto" w:fill="auto"/>
            <w:vAlign w:val="center"/>
            <w:hideMark/>
          </w:tcPr>
          <w:p w14:paraId="2C69B683"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6E8B7B15"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3</w:t>
            </w:r>
          </w:p>
        </w:tc>
        <w:tc>
          <w:tcPr>
            <w:tcW w:w="370" w:type="pct"/>
            <w:tcBorders>
              <w:top w:val="nil"/>
              <w:left w:val="nil"/>
              <w:bottom w:val="single" w:sz="4" w:space="0" w:color="auto"/>
              <w:right w:val="single" w:sz="4" w:space="0" w:color="auto"/>
            </w:tcBorders>
            <w:shd w:val="clear" w:color="auto" w:fill="auto"/>
            <w:vAlign w:val="center"/>
            <w:hideMark/>
          </w:tcPr>
          <w:p w14:paraId="77FDB702"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3</w:t>
            </w:r>
          </w:p>
        </w:tc>
        <w:tc>
          <w:tcPr>
            <w:tcW w:w="630" w:type="pct"/>
            <w:tcBorders>
              <w:top w:val="nil"/>
              <w:left w:val="nil"/>
              <w:bottom w:val="single" w:sz="4" w:space="0" w:color="auto"/>
              <w:right w:val="single" w:sz="4" w:space="0" w:color="auto"/>
            </w:tcBorders>
            <w:shd w:val="clear" w:color="auto" w:fill="auto"/>
            <w:vAlign w:val="center"/>
            <w:hideMark/>
          </w:tcPr>
          <w:p w14:paraId="5B62B499"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729.561</w:t>
            </w:r>
          </w:p>
        </w:tc>
        <w:tc>
          <w:tcPr>
            <w:tcW w:w="630" w:type="pct"/>
            <w:tcBorders>
              <w:top w:val="nil"/>
              <w:left w:val="nil"/>
              <w:bottom w:val="single" w:sz="4" w:space="0" w:color="auto"/>
              <w:right w:val="single" w:sz="4" w:space="0" w:color="auto"/>
            </w:tcBorders>
            <w:shd w:val="clear" w:color="auto" w:fill="auto"/>
            <w:vAlign w:val="center"/>
            <w:hideMark/>
          </w:tcPr>
          <w:p w14:paraId="74B72892"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693.314</w:t>
            </w:r>
          </w:p>
        </w:tc>
      </w:tr>
      <w:tr w:rsidR="00072A69" w:rsidRPr="00D479D8" w14:paraId="70A21707"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57D4A8D3"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145D8D02"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63F73DD9"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68</w:t>
            </w:r>
          </w:p>
        </w:tc>
        <w:tc>
          <w:tcPr>
            <w:tcW w:w="370" w:type="pct"/>
            <w:tcBorders>
              <w:top w:val="nil"/>
              <w:left w:val="nil"/>
              <w:bottom w:val="single" w:sz="4" w:space="0" w:color="auto"/>
              <w:right w:val="single" w:sz="4" w:space="0" w:color="auto"/>
            </w:tcBorders>
            <w:shd w:val="clear" w:color="auto" w:fill="auto"/>
            <w:vAlign w:val="center"/>
            <w:hideMark/>
          </w:tcPr>
          <w:p w14:paraId="1F0C898C"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100</w:t>
            </w:r>
          </w:p>
        </w:tc>
        <w:tc>
          <w:tcPr>
            <w:tcW w:w="630" w:type="pct"/>
            <w:tcBorders>
              <w:top w:val="nil"/>
              <w:left w:val="nil"/>
              <w:bottom w:val="single" w:sz="4" w:space="0" w:color="auto"/>
              <w:right w:val="single" w:sz="4" w:space="0" w:color="auto"/>
            </w:tcBorders>
            <w:shd w:val="clear" w:color="auto" w:fill="auto"/>
            <w:vAlign w:val="center"/>
            <w:hideMark/>
          </w:tcPr>
          <w:p w14:paraId="3F057FEC"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66.528.713</w:t>
            </w:r>
          </w:p>
        </w:tc>
        <w:tc>
          <w:tcPr>
            <w:tcW w:w="630" w:type="pct"/>
            <w:tcBorders>
              <w:top w:val="nil"/>
              <w:left w:val="nil"/>
              <w:bottom w:val="single" w:sz="4" w:space="0" w:color="auto"/>
              <w:right w:val="single" w:sz="4" w:space="0" w:color="auto"/>
            </w:tcBorders>
            <w:shd w:val="clear" w:color="auto" w:fill="auto"/>
            <w:vAlign w:val="center"/>
            <w:hideMark/>
          </w:tcPr>
          <w:p w14:paraId="51096630"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55.844.362</w:t>
            </w:r>
          </w:p>
        </w:tc>
      </w:tr>
      <w:tr w:rsidR="00072A69" w:rsidRPr="00D479D8" w14:paraId="41FC2F4C"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155A4E59"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447C67E6"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73AACBE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160</w:t>
            </w:r>
          </w:p>
        </w:tc>
        <w:tc>
          <w:tcPr>
            <w:tcW w:w="370" w:type="pct"/>
            <w:tcBorders>
              <w:top w:val="nil"/>
              <w:left w:val="nil"/>
              <w:bottom w:val="single" w:sz="4" w:space="0" w:color="auto"/>
              <w:right w:val="single" w:sz="4" w:space="0" w:color="auto"/>
            </w:tcBorders>
            <w:shd w:val="clear" w:color="auto" w:fill="auto"/>
            <w:vAlign w:val="center"/>
            <w:hideMark/>
          </w:tcPr>
          <w:p w14:paraId="7A5D459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200</w:t>
            </w:r>
          </w:p>
        </w:tc>
        <w:tc>
          <w:tcPr>
            <w:tcW w:w="630" w:type="pct"/>
            <w:tcBorders>
              <w:top w:val="nil"/>
              <w:left w:val="nil"/>
              <w:bottom w:val="single" w:sz="4" w:space="0" w:color="auto"/>
              <w:right w:val="single" w:sz="4" w:space="0" w:color="auto"/>
            </w:tcBorders>
            <w:shd w:val="clear" w:color="auto" w:fill="auto"/>
            <w:vAlign w:val="center"/>
            <w:hideMark/>
          </w:tcPr>
          <w:p w14:paraId="6743A89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11.319.973</w:t>
            </w:r>
          </w:p>
        </w:tc>
        <w:tc>
          <w:tcPr>
            <w:tcW w:w="630" w:type="pct"/>
            <w:tcBorders>
              <w:top w:val="nil"/>
              <w:left w:val="nil"/>
              <w:bottom w:val="single" w:sz="4" w:space="0" w:color="auto"/>
              <w:right w:val="single" w:sz="4" w:space="0" w:color="auto"/>
            </w:tcBorders>
            <w:shd w:val="clear" w:color="auto" w:fill="auto"/>
            <w:vAlign w:val="center"/>
            <w:hideMark/>
          </w:tcPr>
          <w:p w14:paraId="29A88B7E"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10.621.935</w:t>
            </w:r>
          </w:p>
        </w:tc>
      </w:tr>
      <w:tr w:rsidR="00072A69" w:rsidRPr="00D479D8" w14:paraId="3B825DE3"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02AF5E3D"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1CBF05A8"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6748BA0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11</w:t>
            </w:r>
          </w:p>
        </w:tc>
        <w:tc>
          <w:tcPr>
            <w:tcW w:w="370" w:type="pct"/>
            <w:tcBorders>
              <w:top w:val="nil"/>
              <w:left w:val="nil"/>
              <w:bottom w:val="single" w:sz="4" w:space="0" w:color="auto"/>
              <w:right w:val="single" w:sz="4" w:space="0" w:color="auto"/>
            </w:tcBorders>
            <w:shd w:val="clear" w:color="auto" w:fill="auto"/>
            <w:vAlign w:val="center"/>
            <w:hideMark/>
          </w:tcPr>
          <w:p w14:paraId="6C166228"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12</w:t>
            </w:r>
          </w:p>
        </w:tc>
        <w:tc>
          <w:tcPr>
            <w:tcW w:w="630" w:type="pct"/>
            <w:tcBorders>
              <w:top w:val="nil"/>
              <w:left w:val="nil"/>
              <w:bottom w:val="single" w:sz="4" w:space="0" w:color="auto"/>
              <w:right w:val="single" w:sz="4" w:space="0" w:color="auto"/>
            </w:tcBorders>
            <w:shd w:val="clear" w:color="auto" w:fill="auto"/>
            <w:vAlign w:val="center"/>
            <w:hideMark/>
          </w:tcPr>
          <w:p w14:paraId="31C085C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6.816.566</w:t>
            </w:r>
          </w:p>
        </w:tc>
        <w:tc>
          <w:tcPr>
            <w:tcW w:w="630" w:type="pct"/>
            <w:tcBorders>
              <w:top w:val="nil"/>
              <w:left w:val="nil"/>
              <w:bottom w:val="single" w:sz="4" w:space="0" w:color="auto"/>
              <w:right w:val="single" w:sz="4" w:space="0" w:color="auto"/>
            </w:tcBorders>
            <w:shd w:val="clear" w:color="auto" w:fill="auto"/>
            <w:vAlign w:val="center"/>
            <w:hideMark/>
          </w:tcPr>
          <w:p w14:paraId="41D8F6D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6.660.630</w:t>
            </w:r>
          </w:p>
        </w:tc>
      </w:tr>
      <w:tr w:rsidR="00072A69" w:rsidRPr="00D479D8" w14:paraId="0D6D3FCB"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1358A7C2"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4B286C3B" w14:textId="77777777" w:rsidR="00072A69" w:rsidRPr="00D479D8" w:rsidRDefault="00072A69" w:rsidP="00AC1F17">
            <w:pPr>
              <w:spacing w:after="0" w:line="240" w:lineRule="auto"/>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vAlign w:val="center"/>
            <w:hideMark/>
          </w:tcPr>
          <w:p w14:paraId="68CCFA75"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242</w:t>
            </w:r>
          </w:p>
        </w:tc>
        <w:tc>
          <w:tcPr>
            <w:tcW w:w="370" w:type="pct"/>
            <w:tcBorders>
              <w:top w:val="nil"/>
              <w:left w:val="nil"/>
              <w:bottom w:val="single" w:sz="4" w:space="0" w:color="auto"/>
              <w:right w:val="single" w:sz="4" w:space="0" w:color="auto"/>
            </w:tcBorders>
            <w:shd w:val="clear" w:color="auto" w:fill="auto"/>
            <w:vAlign w:val="center"/>
            <w:hideMark/>
          </w:tcPr>
          <w:p w14:paraId="1AB15158"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315</w:t>
            </w:r>
          </w:p>
        </w:tc>
        <w:tc>
          <w:tcPr>
            <w:tcW w:w="630" w:type="pct"/>
            <w:tcBorders>
              <w:top w:val="nil"/>
              <w:left w:val="nil"/>
              <w:bottom w:val="single" w:sz="4" w:space="0" w:color="auto"/>
              <w:right w:val="single" w:sz="4" w:space="0" w:color="auto"/>
            </w:tcBorders>
            <w:shd w:val="clear" w:color="auto" w:fill="auto"/>
            <w:vAlign w:val="center"/>
            <w:hideMark/>
          </w:tcPr>
          <w:p w14:paraId="1F8A5398"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85.394.813</w:t>
            </w:r>
          </w:p>
        </w:tc>
        <w:tc>
          <w:tcPr>
            <w:tcW w:w="630" w:type="pct"/>
            <w:tcBorders>
              <w:top w:val="nil"/>
              <w:left w:val="nil"/>
              <w:bottom w:val="single" w:sz="4" w:space="0" w:color="auto"/>
              <w:right w:val="single" w:sz="4" w:space="0" w:color="auto"/>
            </w:tcBorders>
            <w:shd w:val="clear" w:color="auto" w:fill="auto"/>
            <w:vAlign w:val="center"/>
            <w:hideMark/>
          </w:tcPr>
          <w:p w14:paraId="18B5B1A8"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73.820.241</w:t>
            </w:r>
          </w:p>
        </w:tc>
      </w:tr>
      <w:tr w:rsidR="00072A69" w:rsidRPr="00D479D8" w14:paraId="42E6980C" w14:textId="77777777" w:rsidTr="00AC1F17">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33350658" w14:textId="77777777" w:rsidR="00072A69" w:rsidRPr="00D479D8" w:rsidRDefault="00072A69" w:rsidP="00AC1F17">
            <w:pPr>
              <w:spacing w:after="0" w:line="240" w:lineRule="auto"/>
              <w:jc w:val="center"/>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lastRenderedPageBreak/>
              <w:t>Gradnje</w:t>
            </w:r>
          </w:p>
        </w:tc>
        <w:tc>
          <w:tcPr>
            <w:tcW w:w="2218" w:type="pct"/>
            <w:tcBorders>
              <w:top w:val="nil"/>
              <w:left w:val="nil"/>
              <w:bottom w:val="single" w:sz="4" w:space="0" w:color="auto"/>
              <w:right w:val="single" w:sz="4" w:space="0" w:color="auto"/>
            </w:tcBorders>
            <w:shd w:val="clear" w:color="auto" w:fill="auto"/>
            <w:vAlign w:val="center"/>
            <w:hideMark/>
          </w:tcPr>
          <w:p w14:paraId="14412F45"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23BF209E"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w:t>
            </w:r>
          </w:p>
        </w:tc>
        <w:tc>
          <w:tcPr>
            <w:tcW w:w="370" w:type="pct"/>
            <w:tcBorders>
              <w:top w:val="nil"/>
              <w:left w:val="nil"/>
              <w:bottom w:val="single" w:sz="4" w:space="0" w:color="auto"/>
              <w:right w:val="single" w:sz="4" w:space="0" w:color="auto"/>
            </w:tcBorders>
            <w:shd w:val="clear" w:color="auto" w:fill="auto"/>
            <w:vAlign w:val="center"/>
            <w:hideMark/>
          </w:tcPr>
          <w:p w14:paraId="765309D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w:t>
            </w:r>
          </w:p>
        </w:tc>
        <w:tc>
          <w:tcPr>
            <w:tcW w:w="630" w:type="pct"/>
            <w:tcBorders>
              <w:top w:val="nil"/>
              <w:left w:val="nil"/>
              <w:bottom w:val="single" w:sz="4" w:space="0" w:color="auto"/>
              <w:right w:val="single" w:sz="4" w:space="0" w:color="auto"/>
            </w:tcBorders>
            <w:shd w:val="clear" w:color="auto" w:fill="auto"/>
            <w:vAlign w:val="center"/>
            <w:hideMark/>
          </w:tcPr>
          <w:p w14:paraId="6AAE538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5.193.336</w:t>
            </w:r>
          </w:p>
        </w:tc>
        <w:tc>
          <w:tcPr>
            <w:tcW w:w="630" w:type="pct"/>
            <w:tcBorders>
              <w:top w:val="nil"/>
              <w:left w:val="nil"/>
              <w:bottom w:val="single" w:sz="4" w:space="0" w:color="auto"/>
              <w:right w:val="single" w:sz="4" w:space="0" w:color="auto"/>
            </w:tcBorders>
            <w:shd w:val="clear" w:color="auto" w:fill="auto"/>
            <w:vAlign w:val="center"/>
            <w:hideMark/>
          </w:tcPr>
          <w:p w14:paraId="3CC73FC7"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4.784.929</w:t>
            </w:r>
          </w:p>
        </w:tc>
      </w:tr>
      <w:tr w:rsidR="00072A69" w:rsidRPr="00D479D8" w14:paraId="644ECB0B"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2363EDA3"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4BA0418F"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5DFFDF64"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15</w:t>
            </w:r>
          </w:p>
        </w:tc>
        <w:tc>
          <w:tcPr>
            <w:tcW w:w="370" w:type="pct"/>
            <w:tcBorders>
              <w:top w:val="nil"/>
              <w:left w:val="nil"/>
              <w:bottom w:val="single" w:sz="4" w:space="0" w:color="auto"/>
              <w:right w:val="single" w:sz="4" w:space="0" w:color="auto"/>
            </w:tcBorders>
            <w:shd w:val="clear" w:color="auto" w:fill="auto"/>
            <w:vAlign w:val="center"/>
            <w:hideMark/>
          </w:tcPr>
          <w:p w14:paraId="3C29F45E"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15</w:t>
            </w:r>
          </w:p>
        </w:tc>
        <w:tc>
          <w:tcPr>
            <w:tcW w:w="630" w:type="pct"/>
            <w:tcBorders>
              <w:top w:val="nil"/>
              <w:left w:val="nil"/>
              <w:bottom w:val="single" w:sz="4" w:space="0" w:color="auto"/>
              <w:right w:val="single" w:sz="4" w:space="0" w:color="auto"/>
            </w:tcBorders>
            <w:shd w:val="clear" w:color="auto" w:fill="auto"/>
            <w:vAlign w:val="center"/>
            <w:hideMark/>
          </w:tcPr>
          <w:p w14:paraId="30908959"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18.143.266</w:t>
            </w:r>
          </w:p>
        </w:tc>
        <w:tc>
          <w:tcPr>
            <w:tcW w:w="630" w:type="pct"/>
            <w:tcBorders>
              <w:top w:val="nil"/>
              <w:left w:val="nil"/>
              <w:bottom w:val="single" w:sz="4" w:space="0" w:color="auto"/>
              <w:right w:val="single" w:sz="4" w:space="0" w:color="auto"/>
            </w:tcBorders>
            <w:shd w:val="clear" w:color="auto" w:fill="auto"/>
            <w:vAlign w:val="center"/>
            <w:hideMark/>
          </w:tcPr>
          <w:p w14:paraId="33F1F4F3"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20.822.484</w:t>
            </w:r>
          </w:p>
        </w:tc>
      </w:tr>
      <w:tr w:rsidR="00072A69" w:rsidRPr="00D479D8" w14:paraId="074863B5"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3DD04AC0"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7AD074D9"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2A1FA584"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51</w:t>
            </w:r>
          </w:p>
        </w:tc>
        <w:tc>
          <w:tcPr>
            <w:tcW w:w="370" w:type="pct"/>
            <w:tcBorders>
              <w:top w:val="nil"/>
              <w:left w:val="nil"/>
              <w:bottom w:val="single" w:sz="4" w:space="0" w:color="auto"/>
              <w:right w:val="single" w:sz="4" w:space="0" w:color="auto"/>
            </w:tcBorders>
            <w:shd w:val="clear" w:color="auto" w:fill="auto"/>
            <w:vAlign w:val="center"/>
            <w:hideMark/>
          </w:tcPr>
          <w:p w14:paraId="1B1D7606"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71</w:t>
            </w:r>
          </w:p>
        </w:tc>
        <w:tc>
          <w:tcPr>
            <w:tcW w:w="630" w:type="pct"/>
            <w:tcBorders>
              <w:top w:val="nil"/>
              <w:left w:val="nil"/>
              <w:bottom w:val="single" w:sz="4" w:space="0" w:color="auto"/>
              <w:right w:val="single" w:sz="4" w:space="0" w:color="auto"/>
            </w:tcBorders>
            <w:shd w:val="clear" w:color="auto" w:fill="auto"/>
            <w:vAlign w:val="center"/>
            <w:hideMark/>
          </w:tcPr>
          <w:p w14:paraId="54457914"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142.950.046</w:t>
            </w:r>
          </w:p>
        </w:tc>
        <w:tc>
          <w:tcPr>
            <w:tcW w:w="630" w:type="pct"/>
            <w:tcBorders>
              <w:top w:val="nil"/>
              <w:left w:val="nil"/>
              <w:bottom w:val="single" w:sz="4" w:space="0" w:color="auto"/>
              <w:right w:val="single" w:sz="4" w:space="0" w:color="auto"/>
            </w:tcBorders>
            <w:shd w:val="clear" w:color="auto" w:fill="auto"/>
            <w:vAlign w:val="center"/>
            <w:hideMark/>
          </w:tcPr>
          <w:p w14:paraId="0842D740"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142.687.348</w:t>
            </w:r>
          </w:p>
        </w:tc>
      </w:tr>
      <w:tr w:rsidR="00072A69" w:rsidRPr="00D479D8" w14:paraId="13DF5D7B"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7F25C5BB"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671F92DD"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415212E9"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96</w:t>
            </w:r>
          </w:p>
        </w:tc>
        <w:tc>
          <w:tcPr>
            <w:tcW w:w="370" w:type="pct"/>
            <w:tcBorders>
              <w:top w:val="nil"/>
              <w:left w:val="nil"/>
              <w:bottom w:val="single" w:sz="4" w:space="0" w:color="auto"/>
              <w:right w:val="single" w:sz="4" w:space="0" w:color="auto"/>
            </w:tcBorders>
            <w:shd w:val="clear" w:color="auto" w:fill="auto"/>
            <w:vAlign w:val="center"/>
            <w:hideMark/>
          </w:tcPr>
          <w:p w14:paraId="04AC3A55"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141</w:t>
            </w:r>
          </w:p>
        </w:tc>
        <w:tc>
          <w:tcPr>
            <w:tcW w:w="630" w:type="pct"/>
            <w:tcBorders>
              <w:top w:val="nil"/>
              <w:left w:val="nil"/>
              <w:bottom w:val="single" w:sz="4" w:space="0" w:color="auto"/>
              <w:right w:val="single" w:sz="4" w:space="0" w:color="auto"/>
            </w:tcBorders>
            <w:shd w:val="clear" w:color="auto" w:fill="auto"/>
            <w:vAlign w:val="center"/>
            <w:hideMark/>
          </w:tcPr>
          <w:p w14:paraId="5E467F81"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14.266.816</w:t>
            </w:r>
          </w:p>
        </w:tc>
        <w:tc>
          <w:tcPr>
            <w:tcW w:w="630" w:type="pct"/>
            <w:tcBorders>
              <w:top w:val="nil"/>
              <w:left w:val="nil"/>
              <w:bottom w:val="single" w:sz="4" w:space="0" w:color="auto"/>
              <w:right w:val="single" w:sz="4" w:space="0" w:color="auto"/>
            </w:tcBorders>
            <w:shd w:val="clear" w:color="auto" w:fill="auto"/>
            <w:vAlign w:val="center"/>
            <w:hideMark/>
          </w:tcPr>
          <w:p w14:paraId="519673A5"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14.079.861</w:t>
            </w:r>
          </w:p>
        </w:tc>
      </w:tr>
      <w:tr w:rsidR="00072A69" w:rsidRPr="00D479D8" w14:paraId="6C67D09D"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7B11F7AB"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7B575FF7" w14:textId="77777777" w:rsidR="00072A69" w:rsidRPr="00D479D8" w:rsidRDefault="00072A69" w:rsidP="00AC1F17">
            <w:pPr>
              <w:spacing w:after="0" w:line="240" w:lineRule="auto"/>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620988E1"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7</w:t>
            </w:r>
          </w:p>
        </w:tc>
        <w:tc>
          <w:tcPr>
            <w:tcW w:w="370" w:type="pct"/>
            <w:tcBorders>
              <w:top w:val="nil"/>
              <w:left w:val="nil"/>
              <w:bottom w:val="single" w:sz="4" w:space="0" w:color="auto"/>
              <w:right w:val="single" w:sz="4" w:space="0" w:color="auto"/>
            </w:tcBorders>
            <w:shd w:val="clear" w:color="auto" w:fill="auto"/>
            <w:vAlign w:val="center"/>
            <w:hideMark/>
          </w:tcPr>
          <w:p w14:paraId="22D50D36"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7</w:t>
            </w:r>
          </w:p>
        </w:tc>
        <w:tc>
          <w:tcPr>
            <w:tcW w:w="630" w:type="pct"/>
            <w:tcBorders>
              <w:top w:val="nil"/>
              <w:left w:val="nil"/>
              <w:bottom w:val="single" w:sz="4" w:space="0" w:color="auto"/>
              <w:right w:val="single" w:sz="4" w:space="0" w:color="auto"/>
            </w:tcBorders>
            <w:shd w:val="clear" w:color="auto" w:fill="auto"/>
            <w:vAlign w:val="center"/>
            <w:hideMark/>
          </w:tcPr>
          <w:p w14:paraId="6268928D"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20.260.746</w:t>
            </w:r>
          </w:p>
        </w:tc>
        <w:tc>
          <w:tcPr>
            <w:tcW w:w="630" w:type="pct"/>
            <w:tcBorders>
              <w:top w:val="nil"/>
              <w:left w:val="nil"/>
              <w:bottom w:val="single" w:sz="4" w:space="0" w:color="auto"/>
              <w:right w:val="single" w:sz="4" w:space="0" w:color="auto"/>
            </w:tcBorders>
            <w:shd w:val="clear" w:color="auto" w:fill="auto"/>
            <w:vAlign w:val="center"/>
            <w:hideMark/>
          </w:tcPr>
          <w:p w14:paraId="60CB256E" w14:textId="77777777" w:rsidR="00072A69" w:rsidRPr="00D479D8" w:rsidRDefault="00072A69" w:rsidP="00AC1F17">
            <w:pPr>
              <w:spacing w:after="0" w:line="240" w:lineRule="auto"/>
              <w:jc w:val="right"/>
              <w:rPr>
                <w:rFonts w:ascii="Arial" w:eastAsia="Times New Roman" w:hAnsi="Arial" w:cs="Arial"/>
                <w:color w:val="000000"/>
                <w:sz w:val="18"/>
                <w:szCs w:val="18"/>
                <w:lang w:eastAsia="sl-SI"/>
              </w:rPr>
            </w:pPr>
            <w:r w:rsidRPr="00D479D8">
              <w:rPr>
                <w:rFonts w:ascii="Arial" w:eastAsia="Times New Roman" w:hAnsi="Arial" w:cs="Arial"/>
                <w:color w:val="000000"/>
                <w:sz w:val="18"/>
                <w:szCs w:val="18"/>
                <w:lang w:eastAsia="sl-SI"/>
              </w:rPr>
              <w:t>20.391.103</w:t>
            </w:r>
          </w:p>
        </w:tc>
      </w:tr>
      <w:tr w:rsidR="00072A69" w:rsidRPr="00D479D8" w14:paraId="31B87F0E" w14:textId="77777777" w:rsidTr="00AC1F17">
        <w:trPr>
          <w:trHeight w:val="300"/>
        </w:trPr>
        <w:tc>
          <w:tcPr>
            <w:tcW w:w="623" w:type="pct"/>
            <w:vMerge/>
            <w:tcBorders>
              <w:top w:val="nil"/>
              <w:left w:val="single" w:sz="4" w:space="0" w:color="auto"/>
              <w:bottom w:val="single" w:sz="4" w:space="0" w:color="000000"/>
              <w:right w:val="single" w:sz="4" w:space="0" w:color="auto"/>
            </w:tcBorders>
            <w:vAlign w:val="center"/>
            <w:hideMark/>
          </w:tcPr>
          <w:p w14:paraId="65BB0733" w14:textId="77777777" w:rsidR="00072A69" w:rsidRPr="00D479D8" w:rsidRDefault="00072A69" w:rsidP="00AC1F17">
            <w:pPr>
              <w:spacing w:after="0" w:line="240" w:lineRule="auto"/>
              <w:rPr>
                <w:rFonts w:ascii="Arial" w:eastAsia="Times New Roman" w:hAnsi="Arial" w:cs="Arial"/>
                <w:color w:val="000000"/>
                <w:sz w:val="18"/>
                <w:szCs w:val="18"/>
                <w:lang w:eastAsia="sl-SI"/>
              </w:rPr>
            </w:pPr>
          </w:p>
        </w:tc>
        <w:tc>
          <w:tcPr>
            <w:tcW w:w="2218" w:type="pct"/>
            <w:tcBorders>
              <w:top w:val="nil"/>
              <w:left w:val="nil"/>
              <w:bottom w:val="single" w:sz="4" w:space="0" w:color="auto"/>
              <w:right w:val="single" w:sz="4" w:space="0" w:color="auto"/>
            </w:tcBorders>
            <w:shd w:val="clear" w:color="auto" w:fill="auto"/>
            <w:vAlign w:val="center"/>
            <w:hideMark/>
          </w:tcPr>
          <w:p w14:paraId="53102C95" w14:textId="77777777" w:rsidR="00072A69" w:rsidRPr="00D479D8" w:rsidRDefault="00072A69" w:rsidP="00AC1F17">
            <w:pPr>
              <w:spacing w:after="0" w:line="240" w:lineRule="auto"/>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noWrap/>
            <w:vAlign w:val="center"/>
            <w:hideMark/>
          </w:tcPr>
          <w:p w14:paraId="2E8B300A"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170</w:t>
            </w:r>
          </w:p>
        </w:tc>
        <w:tc>
          <w:tcPr>
            <w:tcW w:w="370" w:type="pct"/>
            <w:tcBorders>
              <w:top w:val="nil"/>
              <w:left w:val="nil"/>
              <w:bottom w:val="single" w:sz="4" w:space="0" w:color="auto"/>
              <w:right w:val="single" w:sz="4" w:space="0" w:color="auto"/>
            </w:tcBorders>
            <w:shd w:val="clear" w:color="auto" w:fill="auto"/>
            <w:noWrap/>
            <w:vAlign w:val="center"/>
            <w:hideMark/>
          </w:tcPr>
          <w:p w14:paraId="2CBEB64B"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235</w:t>
            </w:r>
          </w:p>
        </w:tc>
        <w:tc>
          <w:tcPr>
            <w:tcW w:w="630" w:type="pct"/>
            <w:tcBorders>
              <w:top w:val="nil"/>
              <w:left w:val="nil"/>
              <w:bottom w:val="single" w:sz="4" w:space="0" w:color="auto"/>
              <w:right w:val="single" w:sz="4" w:space="0" w:color="auto"/>
            </w:tcBorders>
            <w:shd w:val="clear" w:color="auto" w:fill="auto"/>
            <w:noWrap/>
            <w:vAlign w:val="center"/>
            <w:hideMark/>
          </w:tcPr>
          <w:p w14:paraId="2B6419BD"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200.814.210</w:t>
            </w:r>
          </w:p>
        </w:tc>
        <w:tc>
          <w:tcPr>
            <w:tcW w:w="630" w:type="pct"/>
            <w:tcBorders>
              <w:top w:val="nil"/>
              <w:left w:val="nil"/>
              <w:bottom w:val="single" w:sz="4" w:space="0" w:color="auto"/>
              <w:right w:val="single" w:sz="4" w:space="0" w:color="auto"/>
            </w:tcBorders>
            <w:shd w:val="clear" w:color="auto" w:fill="auto"/>
            <w:noWrap/>
            <w:vAlign w:val="center"/>
            <w:hideMark/>
          </w:tcPr>
          <w:p w14:paraId="3A3C2DDE"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202.765.725</w:t>
            </w:r>
          </w:p>
        </w:tc>
      </w:tr>
      <w:tr w:rsidR="00072A69" w:rsidRPr="00D479D8" w14:paraId="270D1321" w14:textId="77777777" w:rsidTr="00AC1F17">
        <w:trPr>
          <w:trHeight w:val="300"/>
        </w:trPr>
        <w:tc>
          <w:tcPr>
            <w:tcW w:w="284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F1B06" w14:textId="77777777" w:rsidR="00072A69" w:rsidRPr="00D479D8" w:rsidRDefault="00072A69" w:rsidP="00AC1F17">
            <w:pPr>
              <w:spacing w:after="0" w:line="240" w:lineRule="auto"/>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E7E6E6" w:themeFill="background2"/>
            <w:noWrap/>
            <w:vAlign w:val="center"/>
            <w:hideMark/>
          </w:tcPr>
          <w:p w14:paraId="28EC6DFA"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561</w:t>
            </w:r>
          </w:p>
        </w:tc>
        <w:tc>
          <w:tcPr>
            <w:tcW w:w="370" w:type="pct"/>
            <w:tcBorders>
              <w:top w:val="nil"/>
              <w:left w:val="nil"/>
              <w:bottom w:val="single" w:sz="4" w:space="0" w:color="auto"/>
              <w:right w:val="single" w:sz="4" w:space="0" w:color="auto"/>
            </w:tcBorders>
            <w:shd w:val="clear" w:color="auto" w:fill="E7E6E6" w:themeFill="background2"/>
            <w:noWrap/>
            <w:vAlign w:val="center"/>
            <w:hideMark/>
          </w:tcPr>
          <w:p w14:paraId="1143DD86"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902</w:t>
            </w:r>
          </w:p>
        </w:tc>
        <w:tc>
          <w:tcPr>
            <w:tcW w:w="630" w:type="pct"/>
            <w:tcBorders>
              <w:top w:val="nil"/>
              <w:left w:val="nil"/>
              <w:bottom w:val="single" w:sz="4" w:space="0" w:color="auto"/>
              <w:right w:val="single" w:sz="4" w:space="0" w:color="auto"/>
            </w:tcBorders>
            <w:shd w:val="clear" w:color="auto" w:fill="E7E6E6" w:themeFill="background2"/>
            <w:noWrap/>
            <w:vAlign w:val="center"/>
            <w:hideMark/>
          </w:tcPr>
          <w:p w14:paraId="73961F04"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370.658.685</w:t>
            </w:r>
          </w:p>
        </w:tc>
        <w:tc>
          <w:tcPr>
            <w:tcW w:w="630" w:type="pct"/>
            <w:tcBorders>
              <w:top w:val="nil"/>
              <w:left w:val="nil"/>
              <w:bottom w:val="single" w:sz="4" w:space="0" w:color="auto"/>
              <w:right w:val="single" w:sz="4" w:space="0" w:color="auto"/>
            </w:tcBorders>
            <w:shd w:val="clear" w:color="auto" w:fill="E7E6E6" w:themeFill="background2"/>
            <w:noWrap/>
            <w:vAlign w:val="center"/>
            <w:hideMark/>
          </w:tcPr>
          <w:p w14:paraId="6130C547" w14:textId="77777777" w:rsidR="00072A69" w:rsidRPr="00D479D8" w:rsidRDefault="00072A69" w:rsidP="00AC1F17">
            <w:pPr>
              <w:spacing w:after="0" w:line="240" w:lineRule="auto"/>
              <w:jc w:val="right"/>
              <w:rPr>
                <w:rFonts w:ascii="Arial" w:eastAsia="Times New Roman" w:hAnsi="Arial" w:cs="Arial"/>
                <w:b/>
                <w:bCs/>
                <w:color w:val="000000"/>
                <w:sz w:val="18"/>
                <w:szCs w:val="18"/>
                <w:lang w:eastAsia="sl-SI"/>
              </w:rPr>
            </w:pPr>
            <w:r w:rsidRPr="00D479D8">
              <w:rPr>
                <w:rFonts w:ascii="Arial" w:eastAsia="Times New Roman" w:hAnsi="Arial" w:cs="Arial"/>
                <w:b/>
                <w:bCs/>
                <w:color w:val="000000"/>
                <w:sz w:val="18"/>
                <w:szCs w:val="18"/>
                <w:lang w:eastAsia="sl-SI"/>
              </w:rPr>
              <w:t>354.663.683</w:t>
            </w:r>
          </w:p>
        </w:tc>
      </w:tr>
    </w:tbl>
    <w:p w14:paraId="3BA3A6C4" w14:textId="77777777" w:rsidR="00072A69" w:rsidRPr="00EF2D0B" w:rsidRDefault="00072A69" w:rsidP="00072A69">
      <w:pPr>
        <w:spacing w:before="120" w:after="120" w:line="240" w:lineRule="auto"/>
        <w:jc w:val="both"/>
        <w:rPr>
          <w:rFonts w:ascii="Arial" w:hAnsi="Arial" w:cs="Arial"/>
          <w:sz w:val="20"/>
          <w:highlight w:val="yellow"/>
        </w:rPr>
      </w:pPr>
    </w:p>
    <w:p w14:paraId="10417583" w14:textId="06C66C4D" w:rsidR="00072A69" w:rsidRPr="001E4E35" w:rsidRDefault="00072A69" w:rsidP="00072A69">
      <w:pPr>
        <w:spacing w:before="120" w:after="120" w:line="240" w:lineRule="auto"/>
        <w:jc w:val="both"/>
        <w:rPr>
          <w:rFonts w:ascii="Arial" w:hAnsi="Arial" w:cs="Arial"/>
          <w:sz w:val="20"/>
        </w:rPr>
      </w:pPr>
      <w:r w:rsidRPr="001E4E35">
        <w:rPr>
          <w:rFonts w:ascii="Arial" w:hAnsi="Arial" w:cs="Arial"/>
          <w:sz w:val="20"/>
        </w:rPr>
        <w:t xml:space="preserve">Preglednica </w:t>
      </w:r>
      <w:r w:rsidR="00D23EC0">
        <w:rPr>
          <w:rFonts w:ascii="Arial" w:hAnsi="Arial" w:cs="Arial"/>
          <w:sz w:val="20"/>
        </w:rPr>
        <w:t>97</w:t>
      </w:r>
      <w:r w:rsidRPr="001E4E35">
        <w:rPr>
          <w:rFonts w:ascii="Arial" w:hAnsi="Arial" w:cs="Arial"/>
          <w:sz w:val="20"/>
        </w:rPr>
        <w:t>: Javna naročila, sofinancirana s sredstvi EU glede na področje, mesto objave in vrsto postopka</w:t>
      </w:r>
      <w:bookmarkEnd w:id="104"/>
      <w:bookmarkEnd w:id="105"/>
      <w:bookmarkEnd w:id="106"/>
      <w:bookmarkEnd w:id="107"/>
      <w:bookmarkEnd w:id="108"/>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1103"/>
        <w:gridCol w:w="3884"/>
        <w:gridCol w:w="961"/>
        <w:gridCol w:w="671"/>
        <w:gridCol w:w="1142"/>
      </w:tblGrid>
      <w:tr w:rsidR="00072A69" w:rsidRPr="00416265" w14:paraId="14289661" w14:textId="77777777" w:rsidTr="00AC1F17">
        <w:trPr>
          <w:trHeight w:val="480"/>
        </w:trPr>
        <w:tc>
          <w:tcPr>
            <w:tcW w:w="718" w:type="pct"/>
            <w:shd w:val="clear" w:color="000000" w:fill="EDEDED"/>
            <w:vAlign w:val="center"/>
            <w:hideMark/>
          </w:tcPr>
          <w:p w14:paraId="3A45E0EE"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Področje</w:t>
            </w:r>
          </w:p>
        </w:tc>
        <w:tc>
          <w:tcPr>
            <w:tcW w:w="609" w:type="pct"/>
            <w:shd w:val="clear" w:color="000000" w:fill="EDEDED"/>
            <w:vAlign w:val="center"/>
            <w:hideMark/>
          </w:tcPr>
          <w:p w14:paraId="25D2E919"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Objava UL EU</w:t>
            </w:r>
          </w:p>
        </w:tc>
        <w:tc>
          <w:tcPr>
            <w:tcW w:w="2143" w:type="pct"/>
            <w:shd w:val="clear" w:color="000000" w:fill="EDEDED"/>
            <w:vAlign w:val="center"/>
            <w:hideMark/>
          </w:tcPr>
          <w:p w14:paraId="2745275F"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Vrsta postopka</w:t>
            </w:r>
          </w:p>
        </w:tc>
        <w:tc>
          <w:tcPr>
            <w:tcW w:w="530" w:type="pct"/>
            <w:shd w:val="clear" w:color="000000" w:fill="EDEDED"/>
            <w:vAlign w:val="center"/>
            <w:hideMark/>
          </w:tcPr>
          <w:p w14:paraId="23041F56"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Št. postopkov</w:t>
            </w:r>
          </w:p>
        </w:tc>
        <w:tc>
          <w:tcPr>
            <w:tcW w:w="370" w:type="pct"/>
            <w:shd w:val="clear" w:color="000000" w:fill="EDEDED"/>
            <w:vAlign w:val="center"/>
            <w:hideMark/>
          </w:tcPr>
          <w:p w14:paraId="7032E614"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Št. naročil</w:t>
            </w:r>
          </w:p>
        </w:tc>
        <w:tc>
          <w:tcPr>
            <w:tcW w:w="630" w:type="pct"/>
            <w:shd w:val="clear" w:color="000000" w:fill="EDEDED"/>
            <w:vAlign w:val="center"/>
            <w:hideMark/>
          </w:tcPr>
          <w:p w14:paraId="6BB1842D"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Pogodbena vrednost</w:t>
            </w:r>
          </w:p>
        </w:tc>
      </w:tr>
      <w:tr w:rsidR="00072A69" w:rsidRPr="00416265" w14:paraId="3530C9C7" w14:textId="77777777" w:rsidTr="00AC1F17">
        <w:trPr>
          <w:trHeight w:val="300"/>
        </w:trPr>
        <w:tc>
          <w:tcPr>
            <w:tcW w:w="718" w:type="pct"/>
            <w:vMerge w:val="restart"/>
            <w:shd w:val="clear" w:color="auto" w:fill="auto"/>
            <w:vAlign w:val="center"/>
            <w:hideMark/>
          </w:tcPr>
          <w:p w14:paraId="741DCD98"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Splošno</w:t>
            </w:r>
          </w:p>
        </w:tc>
        <w:tc>
          <w:tcPr>
            <w:tcW w:w="609" w:type="pct"/>
            <w:vMerge w:val="restart"/>
            <w:shd w:val="clear" w:color="auto" w:fill="auto"/>
            <w:vAlign w:val="center"/>
            <w:hideMark/>
          </w:tcPr>
          <w:p w14:paraId="36652F90"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DA</w:t>
            </w:r>
          </w:p>
        </w:tc>
        <w:tc>
          <w:tcPr>
            <w:tcW w:w="2143" w:type="pct"/>
            <w:shd w:val="clear" w:color="auto" w:fill="auto"/>
            <w:vAlign w:val="center"/>
            <w:hideMark/>
          </w:tcPr>
          <w:p w14:paraId="62DE7E27"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Konkurenčni dialog</w:t>
            </w:r>
          </w:p>
        </w:tc>
        <w:tc>
          <w:tcPr>
            <w:tcW w:w="530" w:type="pct"/>
            <w:shd w:val="clear" w:color="auto" w:fill="auto"/>
            <w:vAlign w:val="center"/>
            <w:hideMark/>
          </w:tcPr>
          <w:p w14:paraId="0C9A8C04"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w:t>
            </w:r>
          </w:p>
        </w:tc>
        <w:tc>
          <w:tcPr>
            <w:tcW w:w="370" w:type="pct"/>
            <w:shd w:val="clear" w:color="auto" w:fill="auto"/>
            <w:vAlign w:val="center"/>
            <w:hideMark/>
          </w:tcPr>
          <w:p w14:paraId="1FFA33DF"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w:t>
            </w:r>
          </w:p>
        </w:tc>
        <w:tc>
          <w:tcPr>
            <w:tcW w:w="630" w:type="pct"/>
            <w:shd w:val="clear" w:color="auto" w:fill="auto"/>
            <w:vAlign w:val="center"/>
            <w:hideMark/>
          </w:tcPr>
          <w:p w14:paraId="5CA4B140"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4.784.929</w:t>
            </w:r>
          </w:p>
        </w:tc>
      </w:tr>
      <w:tr w:rsidR="00072A69" w:rsidRPr="00416265" w14:paraId="39A63E4C" w14:textId="77777777" w:rsidTr="00AC1F17">
        <w:trPr>
          <w:trHeight w:val="300"/>
        </w:trPr>
        <w:tc>
          <w:tcPr>
            <w:tcW w:w="718" w:type="pct"/>
            <w:vMerge/>
            <w:vAlign w:val="center"/>
            <w:hideMark/>
          </w:tcPr>
          <w:p w14:paraId="2BB9B5DB"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0E824EE1"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3818C9AF"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Konkurenčni postopek s pogajanji</w:t>
            </w:r>
          </w:p>
        </w:tc>
        <w:tc>
          <w:tcPr>
            <w:tcW w:w="530" w:type="pct"/>
            <w:shd w:val="clear" w:color="auto" w:fill="auto"/>
            <w:vAlign w:val="center"/>
            <w:hideMark/>
          </w:tcPr>
          <w:p w14:paraId="29FDFE0A"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7</w:t>
            </w:r>
          </w:p>
        </w:tc>
        <w:tc>
          <w:tcPr>
            <w:tcW w:w="370" w:type="pct"/>
            <w:shd w:val="clear" w:color="auto" w:fill="auto"/>
            <w:vAlign w:val="center"/>
            <w:hideMark/>
          </w:tcPr>
          <w:p w14:paraId="100799B5"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10</w:t>
            </w:r>
          </w:p>
        </w:tc>
        <w:tc>
          <w:tcPr>
            <w:tcW w:w="630" w:type="pct"/>
            <w:shd w:val="clear" w:color="auto" w:fill="auto"/>
            <w:vAlign w:val="center"/>
            <w:hideMark/>
          </w:tcPr>
          <w:p w14:paraId="0EA06097"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29.346.628</w:t>
            </w:r>
          </w:p>
        </w:tc>
      </w:tr>
      <w:tr w:rsidR="00072A69" w:rsidRPr="00416265" w14:paraId="255D8A27" w14:textId="77777777" w:rsidTr="00AC1F17">
        <w:trPr>
          <w:trHeight w:val="300"/>
        </w:trPr>
        <w:tc>
          <w:tcPr>
            <w:tcW w:w="718" w:type="pct"/>
            <w:vMerge/>
            <w:vAlign w:val="center"/>
            <w:hideMark/>
          </w:tcPr>
          <w:p w14:paraId="39B0C15A"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4CF66812"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2403543B"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Odprti postopek</w:t>
            </w:r>
          </w:p>
        </w:tc>
        <w:tc>
          <w:tcPr>
            <w:tcW w:w="530" w:type="pct"/>
            <w:shd w:val="clear" w:color="auto" w:fill="auto"/>
            <w:vAlign w:val="center"/>
            <w:hideMark/>
          </w:tcPr>
          <w:p w14:paraId="2EC31F2C"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106</w:t>
            </w:r>
          </w:p>
        </w:tc>
        <w:tc>
          <w:tcPr>
            <w:tcW w:w="370" w:type="pct"/>
            <w:shd w:val="clear" w:color="auto" w:fill="auto"/>
            <w:vAlign w:val="center"/>
            <w:hideMark/>
          </w:tcPr>
          <w:p w14:paraId="0E8F9642"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257</w:t>
            </w:r>
          </w:p>
        </w:tc>
        <w:tc>
          <w:tcPr>
            <w:tcW w:w="630" w:type="pct"/>
            <w:shd w:val="clear" w:color="auto" w:fill="auto"/>
            <w:vAlign w:val="center"/>
            <w:hideMark/>
          </w:tcPr>
          <w:p w14:paraId="35840917"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193.247.041</w:t>
            </w:r>
          </w:p>
        </w:tc>
      </w:tr>
      <w:tr w:rsidR="00072A69" w:rsidRPr="00416265" w14:paraId="43F06FA0" w14:textId="77777777" w:rsidTr="00AC1F17">
        <w:trPr>
          <w:trHeight w:val="300"/>
        </w:trPr>
        <w:tc>
          <w:tcPr>
            <w:tcW w:w="718" w:type="pct"/>
            <w:vMerge/>
            <w:vAlign w:val="center"/>
            <w:hideMark/>
          </w:tcPr>
          <w:p w14:paraId="1089C8FF"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10F0956A"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78A0AE83"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Postopek s pogajanji brez predhodne objave</w:t>
            </w:r>
          </w:p>
        </w:tc>
        <w:tc>
          <w:tcPr>
            <w:tcW w:w="530" w:type="pct"/>
            <w:shd w:val="clear" w:color="auto" w:fill="auto"/>
            <w:vAlign w:val="center"/>
            <w:hideMark/>
          </w:tcPr>
          <w:p w14:paraId="4753E1D5"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7</w:t>
            </w:r>
          </w:p>
        </w:tc>
        <w:tc>
          <w:tcPr>
            <w:tcW w:w="370" w:type="pct"/>
            <w:shd w:val="clear" w:color="auto" w:fill="auto"/>
            <w:vAlign w:val="center"/>
            <w:hideMark/>
          </w:tcPr>
          <w:p w14:paraId="780B8729"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13</w:t>
            </w:r>
          </w:p>
        </w:tc>
        <w:tc>
          <w:tcPr>
            <w:tcW w:w="630" w:type="pct"/>
            <w:shd w:val="clear" w:color="auto" w:fill="auto"/>
            <w:vAlign w:val="center"/>
            <w:hideMark/>
          </w:tcPr>
          <w:p w14:paraId="6D4D277A"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24.655.857</w:t>
            </w:r>
          </w:p>
        </w:tc>
      </w:tr>
      <w:tr w:rsidR="00072A69" w:rsidRPr="00416265" w14:paraId="2277504B" w14:textId="77777777" w:rsidTr="00AC1F17">
        <w:trPr>
          <w:trHeight w:val="300"/>
        </w:trPr>
        <w:tc>
          <w:tcPr>
            <w:tcW w:w="718" w:type="pct"/>
            <w:vMerge/>
            <w:vAlign w:val="center"/>
            <w:hideMark/>
          </w:tcPr>
          <w:p w14:paraId="79F73426"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1B988CA5"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46584CB7" w14:textId="77777777" w:rsidR="00072A69" w:rsidRPr="00416265" w:rsidRDefault="00072A69" w:rsidP="00AC1F17">
            <w:pPr>
              <w:spacing w:after="0" w:line="240" w:lineRule="auto"/>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Skupaj</w:t>
            </w:r>
          </w:p>
        </w:tc>
        <w:tc>
          <w:tcPr>
            <w:tcW w:w="530" w:type="pct"/>
            <w:shd w:val="clear" w:color="auto" w:fill="auto"/>
            <w:vAlign w:val="center"/>
            <w:hideMark/>
          </w:tcPr>
          <w:p w14:paraId="4483D9DA"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121</w:t>
            </w:r>
          </w:p>
        </w:tc>
        <w:tc>
          <w:tcPr>
            <w:tcW w:w="370" w:type="pct"/>
            <w:shd w:val="clear" w:color="auto" w:fill="auto"/>
            <w:vAlign w:val="center"/>
            <w:hideMark/>
          </w:tcPr>
          <w:p w14:paraId="11496414"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281</w:t>
            </w:r>
          </w:p>
        </w:tc>
        <w:tc>
          <w:tcPr>
            <w:tcW w:w="630" w:type="pct"/>
            <w:shd w:val="clear" w:color="auto" w:fill="auto"/>
            <w:vAlign w:val="center"/>
            <w:hideMark/>
          </w:tcPr>
          <w:p w14:paraId="47910B9D"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252.034.455</w:t>
            </w:r>
          </w:p>
        </w:tc>
      </w:tr>
      <w:tr w:rsidR="00072A69" w:rsidRPr="00416265" w14:paraId="5794AAC6" w14:textId="77777777" w:rsidTr="00AC1F17">
        <w:trPr>
          <w:trHeight w:val="300"/>
        </w:trPr>
        <w:tc>
          <w:tcPr>
            <w:tcW w:w="718" w:type="pct"/>
            <w:vMerge/>
            <w:vAlign w:val="center"/>
            <w:hideMark/>
          </w:tcPr>
          <w:p w14:paraId="565000F2"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restart"/>
            <w:shd w:val="clear" w:color="auto" w:fill="auto"/>
            <w:vAlign w:val="center"/>
            <w:hideMark/>
          </w:tcPr>
          <w:p w14:paraId="56412A7D"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NE</w:t>
            </w:r>
          </w:p>
        </w:tc>
        <w:tc>
          <w:tcPr>
            <w:tcW w:w="2143" w:type="pct"/>
            <w:shd w:val="clear" w:color="auto" w:fill="auto"/>
            <w:vAlign w:val="center"/>
            <w:hideMark/>
          </w:tcPr>
          <w:p w14:paraId="1D07F0CD"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Konkurenčni postopek s pogajanji</w:t>
            </w:r>
          </w:p>
        </w:tc>
        <w:tc>
          <w:tcPr>
            <w:tcW w:w="530" w:type="pct"/>
            <w:shd w:val="clear" w:color="auto" w:fill="auto"/>
            <w:vAlign w:val="center"/>
            <w:hideMark/>
          </w:tcPr>
          <w:p w14:paraId="54ADB7D2"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16</w:t>
            </w:r>
          </w:p>
        </w:tc>
        <w:tc>
          <w:tcPr>
            <w:tcW w:w="370" w:type="pct"/>
            <w:shd w:val="clear" w:color="auto" w:fill="auto"/>
            <w:vAlign w:val="center"/>
            <w:hideMark/>
          </w:tcPr>
          <w:p w14:paraId="2771DAD7"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18</w:t>
            </w:r>
          </w:p>
        </w:tc>
        <w:tc>
          <w:tcPr>
            <w:tcW w:w="630" w:type="pct"/>
            <w:shd w:val="clear" w:color="auto" w:fill="auto"/>
            <w:vAlign w:val="center"/>
            <w:hideMark/>
          </w:tcPr>
          <w:p w14:paraId="55E544FE"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20.058.823</w:t>
            </w:r>
          </w:p>
        </w:tc>
      </w:tr>
      <w:tr w:rsidR="00072A69" w:rsidRPr="00416265" w14:paraId="377967D3" w14:textId="77777777" w:rsidTr="00AC1F17">
        <w:trPr>
          <w:trHeight w:val="300"/>
        </w:trPr>
        <w:tc>
          <w:tcPr>
            <w:tcW w:w="718" w:type="pct"/>
            <w:vMerge/>
            <w:vAlign w:val="center"/>
            <w:hideMark/>
          </w:tcPr>
          <w:p w14:paraId="7D685A59"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275F022B"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02E2EC97"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Odprti postopek</w:t>
            </w:r>
          </w:p>
        </w:tc>
        <w:tc>
          <w:tcPr>
            <w:tcW w:w="530" w:type="pct"/>
            <w:shd w:val="clear" w:color="auto" w:fill="auto"/>
            <w:vAlign w:val="center"/>
            <w:hideMark/>
          </w:tcPr>
          <w:p w14:paraId="569AFC79"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46</w:t>
            </w:r>
          </w:p>
        </w:tc>
        <w:tc>
          <w:tcPr>
            <w:tcW w:w="370" w:type="pct"/>
            <w:shd w:val="clear" w:color="auto" w:fill="auto"/>
            <w:vAlign w:val="center"/>
            <w:hideMark/>
          </w:tcPr>
          <w:p w14:paraId="12D4A0D4"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60</w:t>
            </w:r>
          </w:p>
        </w:tc>
        <w:tc>
          <w:tcPr>
            <w:tcW w:w="630" w:type="pct"/>
            <w:shd w:val="clear" w:color="auto" w:fill="auto"/>
            <w:vAlign w:val="center"/>
            <w:hideMark/>
          </w:tcPr>
          <w:p w14:paraId="022A9A98"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42.362.933</w:t>
            </w:r>
          </w:p>
        </w:tc>
      </w:tr>
      <w:tr w:rsidR="00072A69" w:rsidRPr="00416265" w14:paraId="7E185A48" w14:textId="77777777" w:rsidTr="00AC1F17">
        <w:trPr>
          <w:trHeight w:val="300"/>
        </w:trPr>
        <w:tc>
          <w:tcPr>
            <w:tcW w:w="718" w:type="pct"/>
            <w:vMerge/>
            <w:vAlign w:val="center"/>
            <w:hideMark/>
          </w:tcPr>
          <w:p w14:paraId="4790E2BF"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1C5782BE"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643F8631"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Postopek naročila male vrednosti</w:t>
            </w:r>
          </w:p>
        </w:tc>
        <w:tc>
          <w:tcPr>
            <w:tcW w:w="530" w:type="pct"/>
            <w:shd w:val="clear" w:color="auto" w:fill="auto"/>
            <w:vAlign w:val="center"/>
            <w:hideMark/>
          </w:tcPr>
          <w:p w14:paraId="740BF777"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350</w:t>
            </w:r>
          </w:p>
        </w:tc>
        <w:tc>
          <w:tcPr>
            <w:tcW w:w="370" w:type="pct"/>
            <w:shd w:val="clear" w:color="auto" w:fill="auto"/>
            <w:vAlign w:val="center"/>
            <w:hideMark/>
          </w:tcPr>
          <w:p w14:paraId="0A217F21"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514</w:t>
            </w:r>
          </w:p>
        </w:tc>
        <w:tc>
          <w:tcPr>
            <w:tcW w:w="630" w:type="pct"/>
            <w:shd w:val="clear" w:color="auto" w:fill="auto"/>
            <w:vAlign w:val="center"/>
            <w:hideMark/>
          </w:tcPr>
          <w:p w14:paraId="4216C1DF"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29.204.159</w:t>
            </w:r>
          </w:p>
        </w:tc>
      </w:tr>
      <w:tr w:rsidR="00072A69" w:rsidRPr="00416265" w14:paraId="3A5983F6" w14:textId="77777777" w:rsidTr="00AC1F17">
        <w:trPr>
          <w:trHeight w:val="300"/>
        </w:trPr>
        <w:tc>
          <w:tcPr>
            <w:tcW w:w="718" w:type="pct"/>
            <w:vMerge/>
            <w:vAlign w:val="center"/>
            <w:hideMark/>
          </w:tcPr>
          <w:p w14:paraId="074C66EF"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19158C29"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6AAEB03F"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Postopek s pogajanji brez predhodne objave</w:t>
            </w:r>
          </w:p>
        </w:tc>
        <w:tc>
          <w:tcPr>
            <w:tcW w:w="530" w:type="pct"/>
            <w:shd w:val="clear" w:color="auto" w:fill="auto"/>
            <w:vAlign w:val="center"/>
            <w:hideMark/>
          </w:tcPr>
          <w:p w14:paraId="4AAC594C"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14</w:t>
            </w:r>
          </w:p>
        </w:tc>
        <w:tc>
          <w:tcPr>
            <w:tcW w:w="370" w:type="pct"/>
            <w:shd w:val="clear" w:color="auto" w:fill="auto"/>
            <w:vAlign w:val="center"/>
            <w:hideMark/>
          </w:tcPr>
          <w:p w14:paraId="50EA8E7A"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15</w:t>
            </w:r>
          </w:p>
        </w:tc>
        <w:tc>
          <w:tcPr>
            <w:tcW w:w="630" w:type="pct"/>
            <w:shd w:val="clear" w:color="auto" w:fill="auto"/>
            <w:vAlign w:val="center"/>
            <w:hideMark/>
          </w:tcPr>
          <w:p w14:paraId="5168BE4D"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3.238.366</w:t>
            </w:r>
          </w:p>
        </w:tc>
      </w:tr>
      <w:tr w:rsidR="00072A69" w:rsidRPr="00416265" w14:paraId="2F6112FB" w14:textId="77777777" w:rsidTr="00AC1F17">
        <w:trPr>
          <w:trHeight w:val="300"/>
        </w:trPr>
        <w:tc>
          <w:tcPr>
            <w:tcW w:w="718" w:type="pct"/>
            <w:vMerge/>
            <w:vAlign w:val="center"/>
            <w:hideMark/>
          </w:tcPr>
          <w:p w14:paraId="1728551A"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01558D08"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4A10236E" w14:textId="77777777" w:rsidR="00072A69" w:rsidRPr="00416265" w:rsidRDefault="00072A69" w:rsidP="00AC1F17">
            <w:pPr>
              <w:spacing w:after="0" w:line="240" w:lineRule="auto"/>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Skupaj</w:t>
            </w:r>
          </w:p>
        </w:tc>
        <w:tc>
          <w:tcPr>
            <w:tcW w:w="530" w:type="pct"/>
            <w:shd w:val="clear" w:color="auto" w:fill="auto"/>
            <w:vAlign w:val="center"/>
            <w:hideMark/>
          </w:tcPr>
          <w:p w14:paraId="682BFD4A"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426</w:t>
            </w:r>
          </w:p>
        </w:tc>
        <w:tc>
          <w:tcPr>
            <w:tcW w:w="370" w:type="pct"/>
            <w:shd w:val="clear" w:color="auto" w:fill="auto"/>
            <w:vAlign w:val="center"/>
            <w:hideMark/>
          </w:tcPr>
          <w:p w14:paraId="7AA0EC60"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607</w:t>
            </w:r>
          </w:p>
        </w:tc>
        <w:tc>
          <w:tcPr>
            <w:tcW w:w="630" w:type="pct"/>
            <w:shd w:val="clear" w:color="auto" w:fill="auto"/>
            <w:vAlign w:val="center"/>
            <w:hideMark/>
          </w:tcPr>
          <w:p w14:paraId="0A991FAE"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94.864.281</w:t>
            </w:r>
          </w:p>
        </w:tc>
      </w:tr>
      <w:tr w:rsidR="00072A69" w:rsidRPr="00416265" w14:paraId="127B0B50" w14:textId="77777777" w:rsidTr="00AC1F17">
        <w:trPr>
          <w:trHeight w:val="300"/>
        </w:trPr>
        <w:tc>
          <w:tcPr>
            <w:tcW w:w="718" w:type="pct"/>
            <w:vMerge w:val="restart"/>
            <w:shd w:val="clear" w:color="auto" w:fill="auto"/>
            <w:vAlign w:val="center"/>
            <w:hideMark/>
          </w:tcPr>
          <w:p w14:paraId="3A21E693"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Infrastrukturno</w:t>
            </w:r>
          </w:p>
        </w:tc>
        <w:tc>
          <w:tcPr>
            <w:tcW w:w="609" w:type="pct"/>
            <w:vMerge w:val="restart"/>
            <w:shd w:val="clear" w:color="auto" w:fill="auto"/>
            <w:vAlign w:val="center"/>
            <w:hideMark/>
          </w:tcPr>
          <w:p w14:paraId="41976281"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DA</w:t>
            </w:r>
          </w:p>
        </w:tc>
        <w:tc>
          <w:tcPr>
            <w:tcW w:w="2143" w:type="pct"/>
            <w:shd w:val="clear" w:color="auto" w:fill="auto"/>
            <w:vAlign w:val="center"/>
            <w:hideMark/>
          </w:tcPr>
          <w:p w14:paraId="67AAC52E"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Odprti postopek</w:t>
            </w:r>
          </w:p>
        </w:tc>
        <w:tc>
          <w:tcPr>
            <w:tcW w:w="530" w:type="pct"/>
            <w:shd w:val="clear" w:color="auto" w:fill="auto"/>
            <w:vAlign w:val="center"/>
            <w:hideMark/>
          </w:tcPr>
          <w:p w14:paraId="1D5B5925"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4</w:t>
            </w:r>
          </w:p>
        </w:tc>
        <w:tc>
          <w:tcPr>
            <w:tcW w:w="370" w:type="pct"/>
            <w:shd w:val="clear" w:color="auto" w:fill="auto"/>
            <w:vAlign w:val="center"/>
            <w:hideMark/>
          </w:tcPr>
          <w:p w14:paraId="54779557"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4</w:t>
            </w:r>
          </w:p>
        </w:tc>
        <w:tc>
          <w:tcPr>
            <w:tcW w:w="630" w:type="pct"/>
            <w:shd w:val="clear" w:color="auto" w:fill="auto"/>
            <w:vAlign w:val="center"/>
            <w:hideMark/>
          </w:tcPr>
          <w:p w14:paraId="0AA90D97"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5.160.526</w:t>
            </w:r>
          </w:p>
        </w:tc>
      </w:tr>
      <w:tr w:rsidR="00072A69" w:rsidRPr="00416265" w14:paraId="33FE4375" w14:textId="77777777" w:rsidTr="00AC1F17">
        <w:trPr>
          <w:trHeight w:val="300"/>
        </w:trPr>
        <w:tc>
          <w:tcPr>
            <w:tcW w:w="718" w:type="pct"/>
            <w:vMerge/>
            <w:vAlign w:val="center"/>
            <w:hideMark/>
          </w:tcPr>
          <w:p w14:paraId="156DAB0C"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2B479A91"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750170C8"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Postopek s pogajanji brez predhodne objave</w:t>
            </w:r>
          </w:p>
        </w:tc>
        <w:tc>
          <w:tcPr>
            <w:tcW w:w="530" w:type="pct"/>
            <w:shd w:val="clear" w:color="auto" w:fill="auto"/>
            <w:vAlign w:val="center"/>
            <w:hideMark/>
          </w:tcPr>
          <w:p w14:paraId="5350AD21"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3</w:t>
            </w:r>
          </w:p>
        </w:tc>
        <w:tc>
          <w:tcPr>
            <w:tcW w:w="370" w:type="pct"/>
            <w:shd w:val="clear" w:color="auto" w:fill="auto"/>
            <w:vAlign w:val="center"/>
            <w:hideMark/>
          </w:tcPr>
          <w:p w14:paraId="590EAA39"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3</w:t>
            </w:r>
          </w:p>
        </w:tc>
        <w:tc>
          <w:tcPr>
            <w:tcW w:w="630" w:type="pct"/>
            <w:shd w:val="clear" w:color="auto" w:fill="auto"/>
            <w:vAlign w:val="center"/>
            <w:hideMark/>
          </w:tcPr>
          <w:p w14:paraId="22A52161"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952.643</w:t>
            </w:r>
          </w:p>
        </w:tc>
      </w:tr>
      <w:tr w:rsidR="00072A69" w:rsidRPr="00416265" w14:paraId="60AE9291" w14:textId="77777777" w:rsidTr="00AC1F17">
        <w:trPr>
          <w:trHeight w:val="300"/>
        </w:trPr>
        <w:tc>
          <w:tcPr>
            <w:tcW w:w="718" w:type="pct"/>
            <w:vMerge/>
            <w:vAlign w:val="center"/>
            <w:hideMark/>
          </w:tcPr>
          <w:p w14:paraId="3C6EA257"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7B56BE57"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49D10E89" w14:textId="77777777" w:rsidR="00072A69" w:rsidRPr="00416265" w:rsidRDefault="00072A69" w:rsidP="00AC1F17">
            <w:pPr>
              <w:spacing w:after="0" w:line="240" w:lineRule="auto"/>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Skupaj</w:t>
            </w:r>
          </w:p>
        </w:tc>
        <w:tc>
          <w:tcPr>
            <w:tcW w:w="530" w:type="pct"/>
            <w:shd w:val="clear" w:color="auto" w:fill="auto"/>
            <w:vAlign w:val="center"/>
            <w:hideMark/>
          </w:tcPr>
          <w:p w14:paraId="74276C37"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7</w:t>
            </w:r>
          </w:p>
        </w:tc>
        <w:tc>
          <w:tcPr>
            <w:tcW w:w="370" w:type="pct"/>
            <w:shd w:val="clear" w:color="auto" w:fill="auto"/>
            <w:vAlign w:val="center"/>
            <w:hideMark/>
          </w:tcPr>
          <w:p w14:paraId="276F8101"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7</w:t>
            </w:r>
          </w:p>
        </w:tc>
        <w:tc>
          <w:tcPr>
            <w:tcW w:w="630" w:type="pct"/>
            <w:shd w:val="clear" w:color="auto" w:fill="auto"/>
            <w:vAlign w:val="center"/>
            <w:hideMark/>
          </w:tcPr>
          <w:p w14:paraId="7BB4C320"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6.113.169</w:t>
            </w:r>
          </w:p>
        </w:tc>
      </w:tr>
      <w:tr w:rsidR="00072A69" w:rsidRPr="00416265" w14:paraId="6062E0CA" w14:textId="77777777" w:rsidTr="00AC1F17">
        <w:trPr>
          <w:trHeight w:val="300"/>
        </w:trPr>
        <w:tc>
          <w:tcPr>
            <w:tcW w:w="718" w:type="pct"/>
            <w:vMerge/>
            <w:vAlign w:val="center"/>
            <w:hideMark/>
          </w:tcPr>
          <w:p w14:paraId="2439ACE7"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restart"/>
            <w:shd w:val="clear" w:color="auto" w:fill="auto"/>
            <w:vAlign w:val="center"/>
            <w:hideMark/>
          </w:tcPr>
          <w:p w14:paraId="53AAE6CB" w14:textId="77777777" w:rsidR="00072A69" w:rsidRPr="00416265" w:rsidRDefault="00072A69" w:rsidP="00AC1F17">
            <w:pPr>
              <w:spacing w:after="0" w:line="240" w:lineRule="auto"/>
              <w:jc w:val="center"/>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NE</w:t>
            </w:r>
          </w:p>
        </w:tc>
        <w:tc>
          <w:tcPr>
            <w:tcW w:w="2143" w:type="pct"/>
            <w:shd w:val="clear" w:color="auto" w:fill="auto"/>
            <w:vAlign w:val="center"/>
            <w:hideMark/>
          </w:tcPr>
          <w:p w14:paraId="5E64E185"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Postopek naročila male vrednosti</w:t>
            </w:r>
          </w:p>
        </w:tc>
        <w:tc>
          <w:tcPr>
            <w:tcW w:w="530" w:type="pct"/>
            <w:shd w:val="clear" w:color="auto" w:fill="auto"/>
            <w:vAlign w:val="center"/>
            <w:hideMark/>
          </w:tcPr>
          <w:p w14:paraId="5F2C9B1C"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6</w:t>
            </w:r>
          </w:p>
        </w:tc>
        <w:tc>
          <w:tcPr>
            <w:tcW w:w="370" w:type="pct"/>
            <w:shd w:val="clear" w:color="auto" w:fill="auto"/>
            <w:vAlign w:val="center"/>
            <w:hideMark/>
          </w:tcPr>
          <w:p w14:paraId="4D475B4F"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6</w:t>
            </w:r>
          </w:p>
        </w:tc>
        <w:tc>
          <w:tcPr>
            <w:tcW w:w="630" w:type="pct"/>
            <w:shd w:val="clear" w:color="auto" w:fill="auto"/>
            <w:vAlign w:val="center"/>
            <w:hideMark/>
          </w:tcPr>
          <w:p w14:paraId="4586D33F"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1.410.028</w:t>
            </w:r>
          </w:p>
        </w:tc>
      </w:tr>
      <w:tr w:rsidR="00072A69" w:rsidRPr="00416265" w14:paraId="2DCFBF0B" w14:textId="77777777" w:rsidTr="00AC1F17">
        <w:trPr>
          <w:trHeight w:val="300"/>
        </w:trPr>
        <w:tc>
          <w:tcPr>
            <w:tcW w:w="718" w:type="pct"/>
            <w:vMerge/>
            <w:vAlign w:val="center"/>
            <w:hideMark/>
          </w:tcPr>
          <w:p w14:paraId="4C569B78"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31972EA0"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0FE47669" w14:textId="77777777" w:rsidR="00072A69" w:rsidRPr="00416265" w:rsidRDefault="00072A69" w:rsidP="00AC1F17">
            <w:pPr>
              <w:spacing w:after="0" w:line="240" w:lineRule="auto"/>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Postopek s pogajanji brez predhodne objave</w:t>
            </w:r>
          </w:p>
        </w:tc>
        <w:tc>
          <w:tcPr>
            <w:tcW w:w="530" w:type="pct"/>
            <w:shd w:val="clear" w:color="auto" w:fill="auto"/>
            <w:vAlign w:val="center"/>
            <w:hideMark/>
          </w:tcPr>
          <w:p w14:paraId="4A9F5C28"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w:t>
            </w:r>
          </w:p>
        </w:tc>
        <w:tc>
          <w:tcPr>
            <w:tcW w:w="370" w:type="pct"/>
            <w:shd w:val="clear" w:color="auto" w:fill="auto"/>
            <w:vAlign w:val="center"/>
            <w:hideMark/>
          </w:tcPr>
          <w:p w14:paraId="5E9F4558"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1</w:t>
            </w:r>
          </w:p>
        </w:tc>
        <w:tc>
          <w:tcPr>
            <w:tcW w:w="630" w:type="pct"/>
            <w:shd w:val="clear" w:color="auto" w:fill="auto"/>
            <w:vAlign w:val="center"/>
            <w:hideMark/>
          </w:tcPr>
          <w:p w14:paraId="1F342081" w14:textId="77777777" w:rsidR="00072A69" w:rsidRPr="00416265" w:rsidRDefault="00072A69" w:rsidP="00AC1F17">
            <w:pPr>
              <w:spacing w:after="0" w:line="240" w:lineRule="auto"/>
              <w:jc w:val="right"/>
              <w:rPr>
                <w:rFonts w:ascii="Arial" w:eastAsia="Times New Roman" w:hAnsi="Arial" w:cs="Arial"/>
                <w:color w:val="000000"/>
                <w:sz w:val="18"/>
                <w:szCs w:val="18"/>
                <w:lang w:eastAsia="sl-SI"/>
              </w:rPr>
            </w:pPr>
            <w:r w:rsidRPr="00416265">
              <w:rPr>
                <w:rFonts w:ascii="Arial" w:eastAsia="Times New Roman" w:hAnsi="Arial" w:cs="Arial"/>
                <w:color w:val="000000"/>
                <w:sz w:val="18"/>
                <w:szCs w:val="18"/>
                <w:lang w:eastAsia="sl-SI"/>
              </w:rPr>
              <w:t>241.750</w:t>
            </w:r>
          </w:p>
        </w:tc>
      </w:tr>
      <w:tr w:rsidR="00072A69" w:rsidRPr="00416265" w14:paraId="2645D186" w14:textId="77777777" w:rsidTr="00AC1F17">
        <w:trPr>
          <w:trHeight w:val="300"/>
        </w:trPr>
        <w:tc>
          <w:tcPr>
            <w:tcW w:w="718" w:type="pct"/>
            <w:vMerge/>
            <w:vAlign w:val="center"/>
            <w:hideMark/>
          </w:tcPr>
          <w:p w14:paraId="15E0DC18"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609" w:type="pct"/>
            <w:vMerge/>
            <w:vAlign w:val="center"/>
            <w:hideMark/>
          </w:tcPr>
          <w:p w14:paraId="6E68490D" w14:textId="77777777" w:rsidR="00072A69" w:rsidRPr="00416265" w:rsidRDefault="00072A69" w:rsidP="00AC1F17">
            <w:pPr>
              <w:spacing w:after="0" w:line="240" w:lineRule="auto"/>
              <w:rPr>
                <w:rFonts w:ascii="Arial" w:eastAsia="Times New Roman" w:hAnsi="Arial" w:cs="Arial"/>
                <w:color w:val="000000"/>
                <w:sz w:val="18"/>
                <w:szCs w:val="18"/>
                <w:lang w:eastAsia="sl-SI"/>
              </w:rPr>
            </w:pPr>
          </w:p>
        </w:tc>
        <w:tc>
          <w:tcPr>
            <w:tcW w:w="2143" w:type="pct"/>
            <w:shd w:val="clear" w:color="auto" w:fill="auto"/>
            <w:vAlign w:val="center"/>
            <w:hideMark/>
          </w:tcPr>
          <w:p w14:paraId="31C76ABD" w14:textId="77777777" w:rsidR="00072A69" w:rsidRPr="00416265" w:rsidRDefault="00072A69" w:rsidP="00AC1F17">
            <w:pPr>
              <w:spacing w:after="0" w:line="240" w:lineRule="auto"/>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Skupaj</w:t>
            </w:r>
          </w:p>
        </w:tc>
        <w:tc>
          <w:tcPr>
            <w:tcW w:w="530" w:type="pct"/>
            <w:shd w:val="clear" w:color="auto" w:fill="auto"/>
            <w:noWrap/>
            <w:vAlign w:val="center"/>
            <w:hideMark/>
          </w:tcPr>
          <w:p w14:paraId="4A56A79B"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7</w:t>
            </w:r>
          </w:p>
        </w:tc>
        <w:tc>
          <w:tcPr>
            <w:tcW w:w="370" w:type="pct"/>
            <w:shd w:val="clear" w:color="auto" w:fill="auto"/>
            <w:noWrap/>
            <w:vAlign w:val="center"/>
            <w:hideMark/>
          </w:tcPr>
          <w:p w14:paraId="7968C211"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7</w:t>
            </w:r>
          </w:p>
        </w:tc>
        <w:tc>
          <w:tcPr>
            <w:tcW w:w="630" w:type="pct"/>
            <w:shd w:val="clear" w:color="auto" w:fill="auto"/>
            <w:noWrap/>
            <w:vAlign w:val="center"/>
            <w:hideMark/>
          </w:tcPr>
          <w:p w14:paraId="42EA016F"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1651778</w:t>
            </w:r>
          </w:p>
        </w:tc>
      </w:tr>
      <w:tr w:rsidR="00072A69" w:rsidRPr="00416265" w14:paraId="034E306F" w14:textId="77777777" w:rsidTr="00AC1F17">
        <w:trPr>
          <w:trHeight w:val="300"/>
        </w:trPr>
        <w:tc>
          <w:tcPr>
            <w:tcW w:w="3470" w:type="pct"/>
            <w:gridSpan w:val="3"/>
            <w:shd w:val="clear" w:color="auto" w:fill="E7E6E6" w:themeFill="background2"/>
            <w:vAlign w:val="center"/>
            <w:hideMark/>
          </w:tcPr>
          <w:p w14:paraId="5F83BF1F" w14:textId="77777777" w:rsidR="00072A69" w:rsidRPr="00416265" w:rsidRDefault="00072A69" w:rsidP="00AC1F17">
            <w:pPr>
              <w:spacing w:after="0" w:line="240" w:lineRule="auto"/>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Skupaj</w:t>
            </w:r>
          </w:p>
        </w:tc>
        <w:tc>
          <w:tcPr>
            <w:tcW w:w="530" w:type="pct"/>
            <w:shd w:val="clear" w:color="auto" w:fill="E7E6E6" w:themeFill="background2"/>
            <w:noWrap/>
            <w:vAlign w:val="center"/>
            <w:hideMark/>
          </w:tcPr>
          <w:p w14:paraId="5C47E000"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561</w:t>
            </w:r>
          </w:p>
        </w:tc>
        <w:tc>
          <w:tcPr>
            <w:tcW w:w="370" w:type="pct"/>
            <w:shd w:val="clear" w:color="auto" w:fill="E7E6E6" w:themeFill="background2"/>
            <w:noWrap/>
            <w:vAlign w:val="center"/>
            <w:hideMark/>
          </w:tcPr>
          <w:p w14:paraId="4C6954BD"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902</w:t>
            </w:r>
          </w:p>
        </w:tc>
        <w:tc>
          <w:tcPr>
            <w:tcW w:w="630" w:type="pct"/>
            <w:shd w:val="clear" w:color="auto" w:fill="E7E6E6" w:themeFill="background2"/>
            <w:noWrap/>
            <w:vAlign w:val="center"/>
            <w:hideMark/>
          </w:tcPr>
          <w:p w14:paraId="7FE4B059" w14:textId="77777777" w:rsidR="00072A69" w:rsidRPr="00416265" w:rsidRDefault="00072A69" w:rsidP="00AC1F17">
            <w:pPr>
              <w:spacing w:after="0" w:line="240" w:lineRule="auto"/>
              <w:jc w:val="right"/>
              <w:rPr>
                <w:rFonts w:ascii="Arial" w:eastAsia="Times New Roman" w:hAnsi="Arial" w:cs="Arial"/>
                <w:b/>
                <w:bCs/>
                <w:color w:val="000000"/>
                <w:sz w:val="18"/>
                <w:szCs w:val="18"/>
                <w:lang w:eastAsia="sl-SI"/>
              </w:rPr>
            </w:pPr>
            <w:r w:rsidRPr="00416265">
              <w:rPr>
                <w:rFonts w:ascii="Arial" w:eastAsia="Times New Roman" w:hAnsi="Arial" w:cs="Arial"/>
                <w:b/>
                <w:bCs/>
                <w:color w:val="000000"/>
                <w:sz w:val="18"/>
                <w:szCs w:val="18"/>
                <w:lang w:eastAsia="sl-SI"/>
              </w:rPr>
              <w:t>354.663.683</w:t>
            </w:r>
          </w:p>
        </w:tc>
      </w:tr>
    </w:tbl>
    <w:p w14:paraId="69A4CD97" w14:textId="77777777" w:rsidR="00072A69" w:rsidRPr="00EF2D0B" w:rsidRDefault="00072A69" w:rsidP="00072A69">
      <w:pPr>
        <w:spacing w:before="120" w:after="120" w:line="240" w:lineRule="auto"/>
        <w:jc w:val="both"/>
        <w:rPr>
          <w:rFonts w:ascii="Arial" w:hAnsi="Arial" w:cs="Arial"/>
          <w:sz w:val="20"/>
          <w:highlight w:val="yellow"/>
        </w:rPr>
      </w:pPr>
    </w:p>
    <w:p w14:paraId="72700DB2" w14:textId="2DED95BA" w:rsidR="00072A69" w:rsidRPr="00B103F2" w:rsidRDefault="00072A69" w:rsidP="00072A69">
      <w:pPr>
        <w:spacing w:before="120" w:after="120" w:line="240" w:lineRule="auto"/>
        <w:jc w:val="both"/>
        <w:rPr>
          <w:rFonts w:ascii="Arial" w:hAnsi="Arial" w:cs="Arial"/>
          <w:sz w:val="20"/>
        </w:rPr>
      </w:pPr>
      <w:r w:rsidRPr="00B103F2">
        <w:rPr>
          <w:rFonts w:ascii="Arial" w:hAnsi="Arial" w:cs="Arial"/>
          <w:sz w:val="20"/>
        </w:rPr>
        <w:t xml:space="preserve">Preglednica </w:t>
      </w:r>
      <w:r w:rsidR="00D23EC0">
        <w:rPr>
          <w:rFonts w:ascii="Arial" w:hAnsi="Arial" w:cs="Arial"/>
          <w:sz w:val="20"/>
        </w:rPr>
        <w:t>98</w:t>
      </w:r>
      <w:r w:rsidRPr="00B103F2">
        <w:rPr>
          <w:rFonts w:ascii="Arial" w:hAnsi="Arial" w:cs="Arial"/>
          <w:sz w:val="20"/>
        </w:rPr>
        <w:t xml:space="preserve">: Javna naročila glede na mesto objave in sedež ponudnika </w:t>
      </w:r>
    </w:p>
    <w:tbl>
      <w:tblPr>
        <w:tblW w:w="5000" w:type="pct"/>
        <w:tblCellMar>
          <w:left w:w="70" w:type="dxa"/>
          <w:right w:w="70" w:type="dxa"/>
        </w:tblCellMar>
        <w:tblLook w:val="04A0" w:firstRow="1" w:lastRow="0" w:firstColumn="1" w:lastColumn="0" w:noHBand="0" w:noVBand="1"/>
      </w:tblPr>
      <w:tblGrid>
        <w:gridCol w:w="1553"/>
        <w:gridCol w:w="1560"/>
        <w:gridCol w:w="1278"/>
        <w:gridCol w:w="2124"/>
        <w:gridCol w:w="1325"/>
        <w:gridCol w:w="1222"/>
      </w:tblGrid>
      <w:tr w:rsidR="00072A69" w:rsidRPr="00095E75" w14:paraId="6ABB56A2" w14:textId="77777777" w:rsidTr="00AC1F17">
        <w:trPr>
          <w:trHeight w:val="960"/>
        </w:trPr>
        <w:tc>
          <w:tcPr>
            <w:tcW w:w="857"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FCA4F76"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Objava v UL EU</w:t>
            </w:r>
          </w:p>
        </w:tc>
        <w:tc>
          <w:tcPr>
            <w:tcW w:w="861" w:type="pct"/>
            <w:tcBorders>
              <w:top w:val="single" w:sz="4" w:space="0" w:color="auto"/>
              <w:left w:val="nil"/>
              <w:bottom w:val="single" w:sz="4" w:space="0" w:color="auto"/>
              <w:right w:val="single" w:sz="4" w:space="0" w:color="auto"/>
            </w:tcBorders>
            <w:shd w:val="clear" w:color="000000" w:fill="EDEDED"/>
            <w:vAlign w:val="center"/>
            <w:hideMark/>
          </w:tcPr>
          <w:p w14:paraId="1F574DFE"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Sedež ponudnika</w:t>
            </w:r>
          </w:p>
        </w:tc>
        <w:tc>
          <w:tcPr>
            <w:tcW w:w="705" w:type="pct"/>
            <w:tcBorders>
              <w:top w:val="single" w:sz="4" w:space="0" w:color="auto"/>
              <w:left w:val="nil"/>
              <w:bottom w:val="single" w:sz="4" w:space="0" w:color="auto"/>
              <w:right w:val="single" w:sz="4" w:space="0" w:color="auto"/>
            </w:tcBorders>
            <w:shd w:val="clear" w:color="000000" w:fill="EDEDED"/>
            <w:vAlign w:val="center"/>
            <w:hideMark/>
          </w:tcPr>
          <w:p w14:paraId="7357C0DE"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Št. naročil</w:t>
            </w:r>
          </w:p>
        </w:tc>
        <w:tc>
          <w:tcPr>
            <w:tcW w:w="1172" w:type="pct"/>
            <w:tcBorders>
              <w:top w:val="single" w:sz="4" w:space="0" w:color="auto"/>
              <w:left w:val="nil"/>
              <w:bottom w:val="single" w:sz="4" w:space="0" w:color="auto"/>
              <w:right w:val="single" w:sz="4" w:space="0" w:color="auto"/>
            </w:tcBorders>
            <w:shd w:val="clear" w:color="000000" w:fill="EDEDED"/>
            <w:vAlign w:val="center"/>
            <w:hideMark/>
          </w:tcPr>
          <w:p w14:paraId="088EFC50"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Pogodbena vrednost</w:t>
            </w:r>
          </w:p>
        </w:tc>
        <w:tc>
          <w:tcPr>
            <w:tcW w:w="731" w:type="pct"/>
            <w:tcBorders>
              <w:top w:val="single" w:sz="4" w:space="0" w:color="auto"/>
              <w:left w:val="nil"/>
              <w:bottom w:val="single" w:sz="4" w:space="0" w:color="auto"/>
              <w:right w:val="single" w:sz="4" w:space="0" w:color="auto"/>
            </w:tcBorders>
            <w:shd w:val="clear" w:color="000000" w:fill="EDEDED"/>
            <w:vAlign w:val="center"/>
            <w:hideMark/>
          </w:tcPr>
          <w:p w14:paraId="70723FAF"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Delež v št. istovrstnih naročil</w:t>
            </w:r>
          </w:p>
        </w:tc>
        <w:tc>
          <w:tcPr>
            <w:tcW w:w="674" w:type="pct"/>
            <w:tcBorders>
              <w:top w:val="single" w:sz="4" w:space="0" w:color="auto"/>
              <w:left w:val="nil"/>
              <w:bottom w:val="single" w:sz="4" w:space="0" w:color="auto"/>
              <w:right w:val="single" w:sz="4" w:space="0" w:color="auto"/>
            </w:tcBorders>
            <w:shd w:val="clear" w:color="000000" w:fill="EDEDED"/>
            <w:vAlign w:val="center"/>
            <w:hideMark/>
          </w:tcPr>
          <w:p w14:paraId="6A02065F"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Delež v vrednosti istovrstnih naročil</w:t>
            </w:r>
          </w:p>
        </w:tc>
      </w:tr>
      <w:tr w:rsidR="00072A69" w:rsidRPr="00095E75" w14:paraId="759BC9EA" w14:textId="77777777" w:rsidTr="00AC1F17">
        <w:trPr>
          <w:trHeight w:val="300"/>
        </w:trPr>
        <w:tc>
          <w:tcPr>
            <w:tcW w:w="857" w:type="pct"/>
            <w:vMerge w:val="restart"/>
            <w:tcBorders>
              <w:top w:val="nil"/>
              <w:left w:val="single" w:sz="4" w:space="0" w:color="auto"/>
              <w:bottom w:val="single" w:sz="4" w:space="0" w:color="000000"/>
              <w:right w:val="single" w:sz="4" w:space="0" w:color="auto"/>
            </w:tcBorders>
            <w:shd w:val="clear" w:color="auto" w:fill="auto"/>
            <w:vAlign w:val="center"/>
            <w:hideMark/>
          </w:tcPr>
          <w:p w14:paraId="2FF762D0"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DA</w:t>
            </w:r>
          </w:p>
        </w:tc>
        <w:tc>
          <w:tcPr>
            <w:tcW w:w="861" w:type="pct"/>
            <w:tcBorders>
              <w:top w:val="nil"/>
              <w:left w:val="nil"/>
              <w:bottom w:val="single" w:sz="4" w:space="0" w:color="auto"/>
              <w:right w:val="single" w:sz="4" w:space="0" w:color="auto"/>
            </w:tcBorders>
            <w:shd w:val="clear" w:color="auto" w:fill="auto"/>
            <w:vAlign w:val="center"/>
            <w:hideMark/>
          </w:tcPr>
          <w:p w14:paraId="409696DC" w14:textId="77777777" w:rsidR="00072A69" w:rsidRPr="00095E75" w:rsidRDefault="00072A69" w:rsidP="00AC1F17">
            <w:pPr>
              <w:spacing w:after="0" w:line="240" w:lineRule="auto"/>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6C2652D5"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7.864</w:t>
            </w:r>
          </w:p>
        </w:tc>
        <w:tc>
          <w:tcPr>
            <w:tcW w:w="1172" w:type="pct"/>
            <w:tcBorders>
              <w:top w:val="nil"/>
              <w:left w:val="nil"/>
              <w:bottom w:val="single" w:sz="4" w:space="0" w:color="auto"/>
              <w:right w:val="single" w:sz="4" w:space="0" w:color="auto"/>
            </w:tcBorders>
            <w:shd w:val="clear" w:color="auto" w:fill="auto"/>
            <w:vAlign w:val="center"/>
            <w:hideMark/>
          </w:tcPr>
          <w:p w14:paraId="15449836"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1.583.226.016</w:t>
            </w:r>
          </w:p>
        </w:tc>
        <w:tc>
          <w:tcPr>
            <w:tcW w:w="731" w:type="pct"/>
            <w:tcBorders>
              <w:top w:val="nil"/>
              <w:left w:val="nil"/>
              <w:bottom w:val="single" w:sz="4" w:space="0" w:color="auto"/>
              <w:right w:val="single" w:sz="4" w:space="0" w:color="auto"/>
            </w:tcBorders>
            <w:shd w:val="clear" w:color="auto" w:fill="auto"/>
            <w:noWrap/>
            <w:vAlign w:val="center"/>
            <w:hideMark/>
          </w:tcPr>
          <w:p w14:paraId="03901993"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97,90</w:t>
            </w:r>
            <w:r>
              <w:rPr>
                <w:rFonts w:ascii="Arial" w:eastAsia="Times New Roman" w:hAnsi="Arial" w:cs="Arial"/>
                <w:color w:val="000000"/>
                <w:sz w:val="18"/>
                <w:szCs w:val="18"/>
                <w:lang w:eastAsia="sl-SI"/>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A31DA98"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81,39</w:t>
            </w:r>
            <w:r>
              <w:rPr>
                <w:rFonts w:ascii="Arial" w:eastAsia="Times New Roman" w:hAnsi="Arial" w:cs="Arial"/>
                <w:color w:val="000000"/>
                <w:sz w:val="18"/>
                <w:szCs w:val="18"/>
                <w:lang w:eastAsia="sl-SI"/>
              </w:rPr>
              <w:t xml:space="preserve"> %</w:t>
            </w:r>
          </w:p>
        </w:tc>
      </w:tr>
      <w:tr w:rsidR="00072A69" w:rsidRPr="00095E75" w14:paraId="3718275A" w14:textId="77777777" w:rsidTr="00AC1F17">
        <w:trPr>
          <w:trHeight w:val="300"/>
        </w:trPr>
        <w:tc>
          <w:tcPr>
            <w:tcW w:w="857" w:type="pct"/>
            <w:vMerge/>
            <w:tcBorders>
              <w:top w:val="nil"/>
              <w:left w:val="single" w:sz="4" w:space="0" w:color="auto"/>
              <w:bottom w:val="single" w:sz="4" w:space="0" w:color="000000"/>
              <w:right w:val="single" w:sz="4" w:space="0" w:color="auto"/>
            </w:tcBorders>
            <w:vAlign w:val="center"/>
            <w:hideMark/>
          </w:tcPr>
          <w:p w14:paraId="749E07E5" w14:textId="77777777" w:rsidR="00072A69" w:rsidRPr="00095E75" w:rsidRDefault="00072A69" w:rsidP="00AC1F17">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6DA1DFFD" w14:textId="77777777" w:rsidR="00072A69" w:rsidRPr="00095E75" w:rsidRDefault="00072A69" w:rsidP="00AC1F17">
            <w:pPr>
              <w:spacing w:after="0" w:line="240" w:lineRule="auto"/>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tujina</w:t>
            </w:r>
          </w:p>
        </w:tc>
        <w:tc>
          <w:tcPr>
            <w:tcW w:w="705" w:type="pct"/>
            <w:tcBorders>
              <w:top w:val="nil"/>
              <w:left w:val="nil"/>
              <w:bottom w:val="single" w:sz="4" w:space="0" w:color="auto"/>
              <w:right w:val="single" w:sz="4" w:space="0" w:color="auto"/>
            </w:tcBorders>
            <w:shd w:val="clear" w:color="auto" w:fill="auto"/>
            <w:vAlign w:val="center"/>
            <w:hideMark/>
          </w:tcPr>
          <w:p w14:paraId="761ADA3A"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169</w:t>
            </w:r>
          </w:p>
        </w:tc>
        <w:tc>
          <w:tcPr>
            <w:tcW w:w="1172" w:type="pct"/>
            <w:tcBorders>
              <w:top w:val="nil"/>
              <w:left w:val="nil"/>
              <w:bottom w:val="single" w:sz="4" w:space="0" w:color="auto"/>
              <w:right w:val="single" w:sz="4" w:space="0" w:color="auto"/>
            </w:tcBorders>
            <w:shd w:val="clear" w:color="auto" w:fill="auto"/>
            <w:vAlign w:val="center"/>
            <w:hideMark/>
          </w:tcPr>
          <w:p w14:paraId="7F32E3DE"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361.894.360</w:t>
            </w:r>
          </w:p>
        </w:tc>
        <w:tc>
          <w:tcPr>
            <w:tcW w:w="731" w:type="pct"/>
            <w:tcBorders>
              <w:top w:val="nil"/>
              <w:left w:val="nil"/>
              <w:bottom w:val="single" w:sz="4" w:space="0" w:color="auto"/>
              <w:right w:val="single" w:sz="4" w:space="0" w:color="auto"/>
            </w:tcBorders>
            <w:shd w:val="clear" w:color="auto" w:fill="auto"/>
            <w:noWrap/>
            <w:vAlign w:val="center"/>
            <w:hideMark/>
          </w:tcPr>
          <w:p w14:paraId="5E5CC524"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2,10</w:t>
            </w:r>
            <w:r>
              <w:rPr>
                <w:rFonts w:ascii="Arial" w:eastAsia="Times New Roman" w:hAnsi="Arial" w:cs="Arial"/>
                <w:color w:val="000000"/>
                <w:sz w:val="18"/>
                <w:szCs w:val="18"/>
                <w:lang w:eastAsia="sl-SI"/>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2803DBE8"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18,61</w:t>
            </w:r>
            <w:r>
              <w:rPr>
                <w:rFonts w:ascii="Arial" w:eastAsia="Times New Roman" w:hAnsi="Arial" w:cs="Arial"/>
                <w:color w:val="000000"/>
                <w:sz w:val="18"/>
                <w:szCs w:val="18"/>
                <w:lang w:eastAsia="sl-SI"/>
              </w:rPr>
              <w:t xml:space="preserve"> %</w:t>
            </w:r>
          </w:p>
        </w:tc>
      </w:tr>
      <w:tr w:rsidR="00072A69" w:rsidRPr="00095E75" w14:paraId="24312286" w14:textId="77777777" w:rsidTr="00AC1F17">
        <w:trPr>
          <w:trHeight w:val="300"/>
        </w:trPr>
        <w:tc>
          <w:tcPr>
            <w:tcW w:w="857" w:type="pct"/>
            <w:vMerge/>
            <w:tcBorders>
              <w:top w:val="nil"/>
              <w:left w:val="single" w:sz="4" w:space="0" w:color="auto"/>
              <w:bottom w:val="single" w:sz="4" w:space="0" w:color="000000"/>
              <w:right w:val="single" w:sz="4" w:space="0" w:color="auto"/>
            </w:tcBorders>
            <w:vAlign w:val="center"/>
            <w:hideMark/>
          </w:tcPr>
          <w:p w14:paraId="34AA79E5" w14:textId="77777777" w:rsidR="00072A69" w:rsidRPr="00095E75" w:rsidRDefault="00072A69" w:rsidP="00AC1F17">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0B1303A3" w14:textId="77777777" w:rsidR="00072A69" w:rsidRPr="00095E75" w:rsidRDefault="00072A69" w:rsidP="00AC1F17">
            <w:pPr>
              <w:spacing w:after="0" w:line="240" w:lineRule="auto"/>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vAlign w:val="center"/>
            <w:hideMark/>
          </w:tcPr>
          <w:p w14:paraId="737F3597"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8.033</w:t>
            </w:r>
          </w:p>
        </w:tc>
        <w:tc>
          <w:tcPr>
            <w:tcW w:w="1172" w:type="pct"/>
            <w:tcBorders>
              <w:top w:val="nil"/>
              <w:left w:val="nil"/>
              <w:bottom w:val="single" w:sz="4" w:space="0" w:color="auto"/>
              <w:right w:val="single" w:sz="4" w:space="0" w:color="auto"/>
            </w:tcBorders>
            <w:shd w:val="clear" w:color="auto" w:fill="auto"/>
            <w:vAlign w:val="center"/>
            <w:hideMark/>
          </w:tcPr>
          <w:p w14:paraId="7237D697"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1.945.120.376</w:t>
            </w:r>
          </w:p>
        </w:tc>
        <w:tc>
          <w:tcPr>
            <w:tcW w:w="731" w:type="pct"/>
            <w:tcBorders>
              <w:top w:val="nil"/>
              <w:left w:val="nil"/>
              <w:bottom w:val="single" w:sz="4" w:space="0" w:color="auto"/>
              <w:right w:val="single" w:sz="4" w:space="0" w:color="auto"/>
            </w:tcBorders>
            <w:shd w:val="clear" w:color="auto" w:fill="auto"/>
            <w:noWrap/>
            <w:vAlign w:val="center"/>
            <w:hideMark/>
          </w:tcPr>
          <w:p w14:paraId="63305F0E"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51BB9432"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095E75" w14:paraId="256F8CCD" w14:textId="77777777" w:rsidTr="00AC1F17">
        <w:trPr>
          <w:trHeight w:val="300"/>
        </w:trPr>
        <w:tc>
          <w:tcPr>
            <w:tcW w:w="857" w:type="pct"/>
            <w:vMerge w:val="restart"/>
            <w:tcBorders>
              <w:top w:val="nil"/>
              <w:left w:val="single" w:sz="4" w:space="0" w:color="auto"/>
              <w:bottom w:val="single" w:sz="4" w:space="0" w:color="000000"/>
              <w:right w:val="single" w:sz="4" w:space="0" w:color="auto"/>
            </w:tcBorders>
            <w:shd w:val="clear" w:color="auto" w:fill="auto"/>
            <w:vAlign w:val="center"/>
            <w:hideMark/>
          </w:tcPr>
          <w:p w14:paraId="0C0638CA" w14:textId="77777777" w:rsidR="00072A69" w:rsidRPr="00095E75" w:rsidRDefault="00072A69" w:rsidP="00AC1F17">
            <w:pPr>
              <w:spacing w:after="0" w:line="240" w:lineRule="auto"/>
              <w:jc w:val="center"/>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NE</w:t>
            </w:r>
          </w:p>
        </w:tc>
        <w:tc>
          <w:tcPr>
            <w:tcW w:w="861" w:type="pct"/>
            <w:tcBorders>
              <w:top w:val="nil"/>
              <w:left w:val="nil"/>
              <w:bottom w:val="single" w:sz="4" w:space="0" w:color="auto"/>
              <w:right w:val="single" w:sz="4" w:space="0" w:color="auto"/>
            </w:tcBorders>
            <w:shd w:val="clear" w:color="auto" w:fill="auto"/>
            <w:vAlign w:val="center"/>
            <w:hideMark/>
          </w:tcPr>
          <w:p w14:paraId="65BD4325" w14:textId="77777777" w:rsidR="00072A69" w:rsidRPr="00095E75" w:rsidRDefault="00072A69" w:rsidP="00AC1F17">
            <w:pPr>
              <w:spacing w:after="0" w:line="240" w:lineRule="auto"/>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28C5D143"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8.595</w:t>
            </w:r>
          </w:p>
        </w:tc>
        <w:tc>
          <w:tcPr>
            <w:tcW w:w="1172" w:type="pct"/>
            <w:tcBorders>
              <w:top w:val="nil"/>
              <w:left w:val="nil"/>
              <w:bottom w:val="single" w:sz="4" w:space="0" w:color="auto"/>
              <w:right w:val="single" w:sz="4" w:space="0" w:color="auto"/>
            </w:tcBorders>
            <w:shd w:val="clear" w:color="auto" w:fill="auto"/>
            <w:vAlign w:val="center"/>
            <w:hideMark/>
          </w:tcPr>
          <w:p w14:paraId="47F9C39E"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947.002.857</w:t>
            </w:r>
          </w:p>
        </w:tc>
        <w:tc>
          <w:tcPr>
            <w:tcW w:w="731" w:type="pct"/>
            <w:tcBorders>
              <w:top w:val="nil"/>
              <w:left w:val="nil"/>
              <w:bottom w:val="single" w:sz="4" w:space="0" w:color="auto"/>
              <w:right w:val="single" w:sz="4" w:space="0" w:color="auto"/>
            </w:tcBorders>
            <w:shd w:val="clear" w:color="auto" w:fill="auto"/>
            <w:noWrap/>
            <w:vAlign w:val="center"/>
            <w:hideMark/>
          </w:tcPr>
          <w:p w14:paraId="53D25ACA"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97,32</w:t>
            </w:r>
            <w:r>
              <w:rPr>
                <w:rFonts w:ascii="Arial" w:eastAsia="Times New Roman" w:hAnsi="Arial" w:cs="Arial"/>
                <w:color w:val="000000"/>
                <w:sz w:val="18"/>
                <w:szCs w:val="18"/>
                <w:lang w:eastAsia="sl-SI"/>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7F1E1C8"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97,28</w:t>
            </w:r>
            <w:r>
              <w:rPr>
                <w:rFonts w:ascii="Arial" w:eastAsia="Times New Roman" w:hAnsi="Arial" w:cs="Arial"/>
                <w:color w:val="000000"/>
                <w:sz w:val="18"/>
                <w:szCs w:val="18"/>
                <w:lang w:eastAsia="sl-SI"/>
              </w:rPr>
              <w:t xml:space="preserve"> %</w:t>
            </w:r>
          </w:p>
        </w:tc>
      </w:tr>
      <w:tr w:rsidR="00072A69" w:rsidRPr="00095E75" w14:paraId="4FF13C7B" w14:textId="77777777" w:rsidTr="00AC1F17">
        <w:trPr>
          <w:trHeight w:val="300"/>
        </w:trPr>
        <w:tc>
          <w:tcPr>
            <w:tcW w:w="857" w:type="pct"/>
            <w:vMerge/>
            <w:tcBorders>
              <w:top w:val="nil"/>
              <w:left w:val="single" w:sz="4" w:space="0" w:color="auto"/>
              <w:bottom w:val="single" w:sz="4" w:space="0" w:color="000000"/>
              <w:right w:val="single" w:sz="4" w:space="0" w:color="auto"/>
            </w:tcBorders>
            <w:vAlign w:val="center"/>
            <w:hideMark/>
          </w:tcPr>
          <w:p w14:paraId="43795177" w14:textId="77777777" w:rsidR="00072A69" w:rsidRPr="00095E75" w:rsidRDefault="00072A69" w:rsidP="00AC1F17">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20371687" w14:textId="77777777" w:rsidR="00072A69" w:rsidRPr="00095E75" w:rsidRDefault="00072A69" w:rsidP="00AC1F17">
            <w:pPr>
              <w:spacing w:after="0" w:line="240" w:lineRule="auto"/>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tujina</w:t>
            </w:r>
          </w:p>
        </w:tc>
        <w:tc>
          <w:tcPr>
            <w:tcW w:w="705" w:type="pct"/>
            <w:tcBorders>
              <w:top w:val="nil"/>
              <w:left w:val="nil"/>
              <w:bottom w:val="single" w:sz="4" w:space="0" w:color="auto"/>
              <w:right w:val="single" w:sz="4" w:space="0" w:color="auto"/>
            </w:tcBorders>
            <w:shd w:val="clear" w:color="auto" w:fill="auto"/>
            <w:vAlign w:val="center"/>
            <w:hideMark/>
          </w:tcPr>
          <w:p w14:paraId="7C67F9C7"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237</w:t>
            </w:r>
          </w:p>
        </w:tc>
        <w:tc>
          <w:tcPr>
            <w:tcW w:w="1172" w:type="pct"/>
            <w:tcBorders>
              <w:top w:val="nil"/>
              <w:left w:val="nil"/>
              <w:bottom w:val="single" w:sz="4" w:space="0" w:color="auto"/>
              <w:right w:val="single" w:sz="4" w:space="0" w:color="auto"/>
            </w:tcBorders>
            <w:shd w:val="clear" w:color="auto" w:fill="auto"/>
            <w:vAlign w:val="center"/>
            <w:hideMark/>
          </w:tcPr>
          <w:p w14:paraId="3BE64519"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26.471.376</w:t>
            </w:r>
          </w:p>
        </w:tc>
        <w:tc>
          <w:tcPr>
            <w:tcW w:w="731" w:type="pct"/>
            <w:tcBorders>
              <w:top w:val="nil"/>
              <w:left w:val="nil"/>
              <w:bottom w:val="single" w:sz="4" w:space="0" w:color="auto"/>
              <w:right w:val="single" w:sz="4" w:space="0" w:color="auto"/>
            </w:tcBorders>
            <w:shd w:val="clear" w:color="auto" w:fill="auto"/>
            <w:noWrap/>
            <w:vAlign w:val="center"/>
            <w:hideMark/>
          </w:tcPr>
          <w:p w14:paraId="0BF5A907"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2,68</w:t>
            </w:r>
            <w:r>
              <w:rPr>
                <w:rFonts w:ascii="Arial" w:eastAsia="Times New Roman" w:hAnsi="Arial" w:cs="Arial"/>
                <w:color w:val="000000"/>
                <w:sz w:val="18"/>
                <w:szCs w:val="18"/>
                <w:lang w:eastAsia="sl-SI"/>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6A6215F5" w14:textId="77777777" w:rsidR="00072A69" w:rsidRPr="00095E75" w:rsidRDefault="00072A69" w:rsidP="00AC1F17">
            <w:pPr>
              <w:spacing w:after="0" w:line="240" w:lineRule="auto"/>
              <w:jc w:val="right"/>
              <w:rPr>
                <w:rFonts w:ascii="Arial" w:eastAsia="Times New Roman" w:hAnsi="Arial" w:cs="Arial"/>
                <w:color w:val="000000"/>
                <w:sz w:val="18"/>
                <w:szCs w:val="18"/>
                <w:lang w:eastAsia="sl-SI"/>
              </w:rPr>
            </w:pPr>
            <w:r w:rsidRPr="00095E75">
              <w:rPr>
                <w:rFonts w:ascii="Arial" w:eastAsia="Times New Roman" w:hAnsi="Arial" w:cs="Arial"/>
                <w:color w:val="000000"/>
                <w:sz w:val="18"/>
                <w:szCs w:val="18"/>
                <w:lang w:eastAsia="sl-SI"/>
              </w:rPr>
              <w:t>2,72</w:t>
            </w:r>
            <w:r>
              <w:rPr>
                <w:rFonts w:ascii="Arial" w:eastAsia="Times New Roman" w:hAnsi="Arial" w:cs="Arial"/>
                <w:color w:val="000000"/>
                <w:sz w:val="18"/>
                <w:szCs w:val="18"/>
                <w:lang w:eastAsia="sl-SI"/>
              </w:rPr>
              <w:t xml:space="preserve"> %</w:t>
            </w:r>
          </w:p>
        </w:tc>
      </w:tr>
      <w:tr w:rsidR="00072A69" w:rsidRPr="00095E75" w14:paraId="046DAE94" w14:textId="77777777" w:rsidTr="00AC1F17">
        <w:trPr>
          <w:trHeight w:val="300"/>
        </w:trPr>
        <w:tc>
          <w:tcPr>
            <w:tcW w:w="857" w:type="pct"/>
            <w:vMerge/>
            <w:tcBorders>
              <w:top w:val="nil"/>
              <w:left w:val="single" w:sz="4" w:space="0" w:color="auto"/>
              <w:bottom w:val="single" w:sz="4" w:space="0" w:color="000000"/>
              <w:right w:val="single" w:sz="4" w:space="0" w:color="auto"/>
            </w:tcBorders>
            <w:vAlign w:val="center"/>
            <w:hideMark/>
          </w:tcPr>
          <w:p w14:paraId="74AA2AC6" w14:textId="77777777" w:rsidR="00072A69" w:rsidRPr="00095E75" w:rsidRDefault="00072A69" w:rsidP="00AC1F17">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3F37E3F1" w14:textId="77777777" w:rsidR="00072A69" w:rsidRPr="00095E75" w:rsidRDefault="00072A69" w:rsidP="00AC1F17">
            <w:pPr>
              <w:spacing w:after="0" w:line="240" w:lineRule="auto"/>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noWrap/>
            <w:vAlign w:val="center"/>
            <w:hideMark/>
          </w:tcPr>
          <w:p w14:paraId="5E3071AF"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8.832</w:t>
            </w:r>
          </w:p>
        </w:tc>
        <w:tc>
          <w:tcPr>
            <w:tcW w:w="1172" w:type="pct"/>
            <w:tcBorders>
              <w:top w:val="nil"/>
              <w:left w:val="nil"/>
              <w:bottom w:val="single" w:sz="4" w:space="0" w:color="auto"/>
              <w:right w:val="single" w:sz="4" w:space="0" w:color="auto"/>
            </w:tcBorders>
            <w:shd w:val="clear" w:color="auto" w:fill="auto"/>
            <w:noWrap/>
            <w:vAlign w:val="center"/>
            <w:hideMark/>
          </w:tcPr>
          <w:p w14:paraId="03863E50"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973.474.233</w:t>
            </w:r>
          </w:p>
        </w:tc>
        <w:tc>
          <w:tcPr>
            <w:tcW w:w="731" w:type="pct"/>
            <w:tcBorders>
              <w:top w:val="nil"/>
              <w:left w:val="nil"/>
              <w:bottom w:val="single" w:sz="4" w:space="0" w:color="auto"/>
              <w:right w:val="single" w:sz="4" w:space="0" w:color="auto"/>
            </w:tcBorders>
            <w:shd w:val="clear" w:color="auto" w:fill="auto"/>
            <w:noWrap/>
            <w:vAlign w:val="center"/>
            <w:hideMark/>
          </w:tcPr>
          <w:p w14:paraId="50114094"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E74C7A"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095E75" w14:paraId="3462F04B" w14:textId="77777777" w:rsidTr="00AC1F17">
        <w:trPr>
          <w:gridAfter w:val="2"/>
          <w:wAfter w:w="1405" w:type="pct"/>
          <w:trHeight w:val="300"/>
        </w:trPr>
        <w:tc>
          <w:tcPr>
            <w:tcW w:w="1718" w:type="pct"/>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7ECF1776" w14:textId="77777777" w:rsidR="00072A69" w:rsidRPr="00095E75" w:rsidRDefault="00072A69" w:rsidP="00AC1F17">
            <w:pPr>
              <w:spacing w:after="0" w:line="240" w:lineRule="auto"/>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E7E6E6" w:themeFill="background2"/>
            <w:noWrap/>
            <w:vAlign w:val="center"/>
            <w:hideMark/>
          </w:tcPr>
          <w:p w14:paraId="69C416CE"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16.865</w:t>
            </w:r>
          </w:p>
        </w:tc>
        <w:tc>
          <w:tcPr>
            <w:tcW w:w="1172" w:type="pct"/>
            <w:tcBorders>
              <w:top w:val="nil"/>
              <w:left w:val="nil"/>
              <w:bottom w:val="single" w:sz="4" w:space="0" w:color="auto"/>
              <w:right w:val="single" w:sz="4" w:space="0" w:color="auto"/>
            </w:tcBorders>
            <w:shd w:val="clear" w:color="auto" w:fill="E7E6E6" w:themeFill="background2"/>
            <w:noWrap/>
            <w:vAlign w:val="center"/>
            <w:hideMark/>
          </w:tcPr>
          <w:p w14:paraId="22ABD04D" w14:textId="77777777" w:rsidR="00072A69" w:rsidRPr="00095E75" w:rsidRDefault="00072A69" w:rsidP="00AC1F17">
            <w:pPr>
              <w:spacing w:after="0" w:line="240" w:lineRule="auto"/>
              <w:jc w:val="right"/>
              <w:rPr>
                <w:rFonts w:ascii="Arial" w:eastAsia="Times New Roman" w:hAnsi="Arial" w:cs="Arial"/>
                <w:b/>
                <w:bCs/>
                <w:color w:val="000000"/>
                <w:sz w:val="18"/>
                <w:szCs w:val="18"/>
                <w:lang w:eastAsia="sl-SI"/>
              </w:rPr>
            </w:pPr>
            <w:r w:rsidRPr="00095E75">
              <w:rPr>
                <w:rFonts w:ascii="Arial" w:eastAsia="Times New Roman" w:hAnsi="Arial" w:cs="Arial"/>
                <w:b/>
                <w:bCs/>
                <w:color w:val="000000"/>
                <w:sz w:val="18"/>
                <w:szCs w:val="18"/>
                <w:lang w:eastAsia="sl-SI"/>
              </w:rPr>
              <w:t>2.918.594.609</w:t>
            </w:r>
          </w:p>
        </w:tc>
      </w:tr>
    </w:tbl>
    <w:p w14:paraId="52A92A50" w14:textId="77777777" w:rsidR="00072A69" w:rsidRPr="00EF2D0B" w:rsidRDefault="00072A69" w:rsidP="00072A69">
      <w:pPr>
        <w:spacing w:before="120" w:after="120" w:line="240" w:lineRule="auto"/>
        <w:jc w:val="both"/>
        <w:rPr>
          <w:rFonts w:ascii="Arial" w:hAnsi="Arial" w:cs="Arial"/>
          <w:sz w:val="20"/>
          <w:highlight w:val="yellow"/>
        </w:rPr>
      </w:pPr>
    </w:p>
    <w:p w14:paraId="3EC91A53" w14:textId="0DA6E12B" w:rsidR="00072A69" w:rsidRPr="005A31DE" w:rsidRDefault="00072A69" w:rsidP="00072A69">
      <w:pPr>
        <w:spacing w:before="120" w:after="120" w:line="240" w:lineRule="auto"/>
        <w:jc w:val="both"/>
        <w:rPr>
          <w:rFonts w:ascii="Arial" w:hAnsi="Arial" w:cs="Arial"/>
          <w:sz w:val="20"/>
        </w:rPr>
      </w:pPr>
      <w:r w:rsidRPr="005A31DE">
        <w:rPr>
          <w:rFonts w:ascii="Arial" w:hAnsi="Arial" w:cs="Arial"/>
          <w:sz w:val="20"/>
        </w:rPr>
        <w:lastRenderedPageBreak/>
        <w:t xml:space="preserve">Preglednica </w:t>
      </w:r>
      <w:r w:rsidR="00D23EC0">
        <w:rPr>
          <w:rFonts w:ascii="Arial" w:hAnsi="Arial" w:cs="Arial"/>
          <w:sz w:val="20"/>
        </w:rPr>
        <w:t>99</w:t>
      </w:r>
      <w:r w:rsidRPr="005A31DE">
        <w:rPr>
          <w:rFonts w:ascii="Arial" w:hAnsi="Arial" w:cs="Arial"/>
          <w:sz w:val="20"/>
        </w:rPr>
        <w:t>: Javna naročila glede na predmet naročanja in sedež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3119"/>
        <w:gridCol w:w="1193"/>
        <w:gridCol w:w="1292"/>
        <w:gridCol w:w="952"/>
        <w:gridCol w:w="953"/>
      </w:tblGrid>
      <w:tr w:rsidR="00072A69" w:rsidRPr="0050206D" w14:paraId="13C86DE6" w14:textId="77777777" w:rsidTr="00C320EE">
        <w:trPr>
          <w:trHeight w:val="960"/>
          <w:tblHeader/>
        </w:trPr>
        <w:tc>
          <w:tcPr>
            <w:tcW w:w="857" w:type="pct"/>
            <w:shd w:val="clear" w:color="000000" w:fill="EDEDED"/>
            <w:vAlign w:val="center"/>
            <w:hideMark/>
          </w:tcPr>
          <w:p w14:paraId="4403C522"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 xml:space="preserve">Predmet </w:t>
            </w:r>
          </w:p>
        </w:tc>
        <w:tc>
          <w:tcPr>
            <w:tcW w:w="1721" w:type="pct"/>
            <w:shd w:val="clear" w:color="000000" w:fill="EDEDED"/>
            <w:vAlign w:val="center"/>
            <w:hideMark/>
          </w:tcPr>
          <w:p w14:paraId="5FAE812A"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Sedež ponudnika</w:t>
            </w:r>
          </w:p>
        </w:tc>
        <w:tc>
          <w:tcPr>
            <w:tcW w:w="658" w:type="pct"/>
            <w:shd w:val="clear" w:color="000000" w:fill="EDEDED"/>
            <w:vAlign w:val="center"/>
            <w:hideMark/>
          </w:tcPr>
          <w:p w14:paraId="449E23F7"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Št. naročil</w:t>
            </w:r>
          </w:p>
        </w:tc>
        <w:tc>
          <w:tcPr>
            <w:tcW w:w="713" w:type="pct"/>
            <w:shd w:val="clear" w:color="000000" w:fill="EDEDED"/>
            <w:vAlign w:val="center"/>
            <w:hideMark/>
          </w:tcPr>
          <w:p w14:paraId="01D6904D"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Pogodbena vrednost</w:t>
            </w:r>
          </w:p>
        </w:tc>
        <w:tc>
          <w:tcPr>
            <w:tcW w:w="525" w:type="pct"/>
            <w:shd w:val="clear" w:color="000000" w:fill="EDEDED"/>
            <w:vAlign w:val="center"/>
            <w:hideMark/>
          </w:tcPr>
          <w:p w14:paraId="1F6A9E16"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Delež v št. istovrstnih naročil</w:t>
            </w:r>
          </w:p>
        </w:tc>
        <w:tc>
          <w:tcPr>
            <w:tcW w:w="525" w:type="pct"/>
            <w:shd w:val="clear" w:color="000000" w:fill="EDEDED"/>
            <w:vAlign w:val="center"/>
            <w:hideMark/>
          </w:tcPr>
          <w:p w14:paraId="583F69BD"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Delež v vrednosti istovrstnih naročil</w:t>
            </w:r>
          </w:p>
        </w:tc>
      </w:tr>
      <w:tr w:rsidR="00072A69" w:rsidRPr="0050206D" w14:paraId="2ABA5EC3" w14:textId="77777777" w:rsidTr="00AC1F17">
        <w:trPr>
          <w:trHeight w:val="300"/>
        </w:trPr>
        <w:tc>
          <w:tcPr>
            <w:tcW w:w="857" w:type="pct"/>
            <w:vMerge w:val="restart"/>
            <w:shd w:val="clear" w:color="auto" w:fill="auto"/>
            <w:vAlign w:val="center"/>
            <w:hideMark/>
          </w:tcPr>
          <w:p w14:paraId="0B2CDC29"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Blago</w:t>
            </w:r>
          </w:p>
        </w:tc>
        <w:tc>
          <w:tcPr>
            <w:tcW w:w="1721" w:type="pct"/>
            <w:shd w:val="clear" w:color="auto" w:fill="auto"/>
            <w:vAlign w:val="center"/>
            <w:hideMark/>
          </w:tcPr>
          <w:p w14:paraId="5306CEEF"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Avstrija</w:t>
            </w:r>
          </w:p>
        </w:tc>
        <w:tc>
          <w:tcPr>
            <w:tcW w:w="658" w:type="pct"/>
            <w:shd w:val="clear" w:color="auto" w:fill="auto"/>
            <w:vAlign w:val="center"/>
            <w:hideMark/>
          </w:tcPr>
          <w:p w14:paraId="473D8FF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50</w:t>
            </w:r>
          </w:p>
        </w:tc>
        <w:tc>
          <w:tcPr>
            <w:tcW w:w="713" w:type="pct"/>
            <w:shd w:val="clear" w:color="auto" w:fill="auto"/>
            <w:vAlign w:val="center"/>
            <w:hideMark/>
          </w:tcPr>
          <w:p w14:paraId="1FC8310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38.172.178</w:t>
            </w:r>
          </w:p>
        </w:tc>
        <w:tc>
          <w:tcPr>
            <w:tcW w:w="525" w:type="pct"/>
            <w:shd w:val="clear" w:color="auto" w:fill="auto"/>
            <w:noWrap/>
            <w:vAlign w:val="center"/>
            <w:hideMark/>
          </w:tcPr>
          <w:p w14:paraId="5E0E760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0,46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BD3784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3,19</w:t>
            </w:r>
            <w:r>
              <w:rPr>
                <w:rFonts w:ascii="Arial" w:eastAsia="Times New Roman" w:hAnsi="Arial" w:cs="Arial"/>
                <w:color w:val="000000"/>
                <w:sz w:val="18"/>
                <w:szCs w:val="18"/>
                <w:lang w:eastAsia="sl-SI"/>
              </w:rPr>
              <w:t xml:space="preserve"> %</w:t>
            </w:r>
          </w:p>
        </w:tc>
      </w:tr>
      <w:tr w:rsidR="00072A69" w:rsidRPr="0050206D" w14:paraId="234BB0E5" w14:textId="77777777" w:rsidTr="00AC1F17">
        <w:trPr>
          <w:trHeight w:val="300"/>
        </w:trPr>
        <w:tc>
          <w:tcPr>
            <w:tcW w:w="857" w:type="pct"/>
            <w:vMerge/>
            <w:vAlign w:val="center"/>
            <w:hideMark/>
          </w:tcPr>
          <w:p w14:paraId="4AD23B60"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7E3CB839"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Belgija</w:t>
            </w:r>
          </w:p>
        </w:tc>
        <w:tc>
          <w:tcPr>
            <w:tcW w:w="658" w:type="pct"/>
            <w:shd w:val="clear" w:color="auto" w:fill="auto"/>
            <w:vAlign w:val="center"/>
            <w:hideMark/>
          </w:tcPr>
          <w:p w14:paraId="7A74678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5EB58E5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141.904</w:t>
            </w:r>
          </w:p>
        </w:tc>
        <w:tc>
          <w:tcPr>
            <w:tcW w:w="525" w:type="pct"/>
            <w:shd w:val="clear" w:color="auto" w:fill="auto"/>
            <w:noWrap/>
            <w:vAlign w:val="center"/>
            <w:hideMark/>
          </w:tcPr>
          <w:p w14:paraId="7623BFF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488E87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0206D" w14:paraId="7435F0FE" w14:textId="77777777" w:rsidTr="00AC1F17">
        <w:trPr>
          <w:trHeight w:val="300"/>
        </w:trPr>
        <w:tc>
          <w:tcPr>
            <w:tcW w:w="857" w:type="pct"/>
            <w:vMerge/>
            <w:vAlign w:val="center"/>
            <w:hideMark/>
          </w:tcPr>
          <w:p w14:paraId="29CDFE7C"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EA8A4DA"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Češka republika</w:t>
            </w:r>
          </w:p>
        </w:tc>
        <w:tc>
          <w:tcPr>
            <w:tcW w:w="658" w:type="pct"/>
            <w:shd w:val="clear" w:color="auto" w:fill="auto"/>
            <w:vAlign w:val="center"/>
            <w:hideMark/>
          </w:tcPr>
          <w:p w14:paraId="06C915D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14</w:t>
            </w:r>
          </w:p>
        </w:tc>
        <w:tc>
          <w:tcPr>
            <w:tcW w:w="713" w:type="pct"/>
            <w:shd w:val="clear" w:color="auto" w:fill="auto"/>
            <w:vAlign w:val="center"/>
            <w:hideMark/>
          </w:tcPr>
          <w:p w14:paraId="6B56A58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5.590.579</w:t>
            </w:r>
          </w:p>
        </w:tc>
        <w:tc>
          <w:tcPr>
            <w:tcW w:w="525" w:type="pct"/>
            <w:shd w:val="clear" w:color="auto" w:fill="auto"/>
            <w:noWrap/>
            <w:vAlign w:val="center"/>
            <w:hideMark/>
          </w:tcPr>
          <w:p w14:paraId="761810A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443483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r>
      <w:tr w:rsidR="00072A69" w:rsidRPr="0050206D" w14:paraId="4777226A" w14:textId="77777777" w:rsidTr="00AC1F17">
        <w:trPr>
          <w:trHeight w:val="300"/>
        </w:trPr>
        <w:tc>
          <w:tcPr>
            <w:tcW w:w="857" w:type="pct"/>
            <w:vMerge/>
            <w:vAlign w:val="center"/>
            <w:hideMark/>
          </w:tcPr>
          <w:p w14:paraId="546B3503"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FDD8DEE"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Danska</w:t>
            </w:r>
          </w:p>
        </w:tc>
        <w:tc>
          <w:tcPr>
            <w:tcW w:w="658" w:type="pct"/>
            <w:shd w:val="clear" w:color="auto" w:fill="auto"/>
            <w:vAlign w:val="center"/>
            <w:hideMark/>
          </w:tcPr>
          <w:p w14:paraId="619AB52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0723B2B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915.960</w:t>
            </w:r>
          </w:p>
        </w:tc>
        <w:tc>
          <w:tcPr>
            <w:tcW w:w="525" w:type="pct"/>
            <w:shd w:val="clear" w:color="auto" w:fill="auto"/>
            <w:noWrap/>
            <w:vAlign w:val="center"/>
            <w:hideMark/>
          </w:tcPr>
          <w:p w14:paraId="7F8CF13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D0FF00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072A69" w:rsidRPr="0050206D" w14:paraId="7952E3E4" w14:textId="77777777" w:rsidTr="00AC1F17">
        <w:trPr>
          <w:trHeight w:val="300"/>
        </w:trPr>
        <w:tc>
          <w:tcPr>
            <w:tcW w:w="857" w:type="pct"/>
            <w:vMerge/>
            <w:vAlign w:val="center"/>
            <w:hideMark/>
          </w:tcPr>
          <w:p w14:paraId="4070245C"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92FADD2"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Finska</w:t>
            </w:r>
          </w:p>
        </w:tc>
        <w:tc>
          <w:tcPr>
            <w:tcW w:w="658" w:type="pct"/>
            <w:shd w:val="clear" w:color="auto" w:fill="auto"/>
            <w:vAlign w:val="center"/>
            <w:hideMark/>
          </w:tcPr>
          <w:p w14:paraId="252C274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29ECC94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9.867.500</w:t>
            </w:r>
          </w:p>
        </w:tc>
        <w:tc>
          <w:tcPr>
            <w:tcW w:w="525" w:type="pct"/>
            <w:shd w:val="clear" w:color="auto" w:fill="auto"/>
            <w:noWrap/>
            <w:vAlign w:val="center"/>
            <w:hideMark/>
          </w:tcPr>
          <w:p w14:paraId="7BF1AE5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1BAE0E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r>
      <w:tr w:rsidR="00072A69" w:rsidRPr="0050206D" w14:paraId="4F725632" w14:textId="77777777" w:rsidTr="00AC1F17">
        <w:trPr>
          <w:trHeight w:val="300"/>
        </w:trPr>
        <w:tc>
          <w:tcPr>
            <w:tcW w:w="857" w:type="pct"/>
            <w:vMerge/>
            <w:vAlign w:val="center"/>
            <w:hideMark/>
          </w:tcPr>
          <w:p w14:paraId="7BFDAA32"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D77478F"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Francija</w:t>
            </w:r>
          </w:p>
        </w:tc>
        <w:tc>
          <w:tcPr>
            <w:tcW w:w="658" w:type="pct"/>
            <w:shd w:val="clear" w:color="auto" w:fill="auto"/>
            <w:vAlign w:val="center"/>
            <w:hideMark/>
          </w:tcPr>
          <w:p w14:paraId="74011B7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11</w:t>
            </w:r>
          </w:p>
        </w:tc>
        <w:tc>
          <w:tcPr>
            <w:tcW w:w="713" w:type="pct"/>
            <w:shd w:val="clear" w:color="auto" w:fill="auto"/>
            <w:vAlign w:val="center"/>
            <w:hideMark/>
          </w:tcPr>
          <w:p w14:paraId="6988120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1.050.582</w:t>
            </w:r>
          </w:p>
        </w:tc>
        <w:tc>
          <w:tcPr>
            <w:tcW w:w="525" w:type="pct"/>
            <w:shd w:val="clear" w:color="auto" w:fill="auto"/>
            <w:noWrap/>
            <w:vAlign w:val="center"/>
            <w:hideMark/>
          </w:tcPr>
          <w:p w14:paraId="24296AF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3F880C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072A69" w:rsidRPr="0050206D" w14:paraId="395981DF" w14:textId="77777777" w:rsidTr="00AC1F17">
        <w:trPr>
          <w:trHeight w:val="300"/>
        </w:trPr>
        <w:tc>
          <w:tcPr>
            <w:tcW w:w="857" w:type="pct"/>
            <w:vMerge/>
            <w:vAlign w:val="center"/>
            <w:hideMark/>
          </w:tcPr>
          <w:p w14:paraId="7061A390"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CCCBEA0"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Hrvaška</w:t>
            </w:r>
          </w:p>
        </w:tc>
        <w:tc>
          <w:tcPr>
            <w:tcW w:w="658" w:type="pct"/>
            <w:shd w:val="clear" w:color="auto" w:fill="auto"/>
            <w:vAlign w:val="center"/>
            <w:hideMark/>
          </w:tcPr>
          <w:p w14:paraId="05B9EEF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41</w:t>
            </w:r>
          </w:p>
        </w:tc>
        <w:tc>
          <w:tcPr>
            <w:tcW w:w="713" w:type="pct"/>
            <w:shd w:val="clear" w:color="auto" w:fill="auto"/>
            <w:vAlign w:val="center"/>
            <w:hideMark/>
          </w:tcPr>
          <w:p w14:paraId="4910864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4.768.769</w:t>
            </w:r>
          </w:p>
        </w:tc>
        <w:tc>
          <w:tcPr>
            <w:tcW w:w="525" w:type="pct"/>
            <w:shd w:val="clear" w:color="auto" w:fill="auto"/>
            <w:noWrap/>
            <w:vAlign w:val="center"/>
            <w:hideMark/>
          </w:tcPr>
          <w:p w14:paraId="19FBBC1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96A981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072A69" w:rsidRPr="0050206D" w14:paraId="323062D7" w14:textId="77777777" w:rsidTr="00AC1F17">
        <w:trPr>
          <w:trHeight w:val="300"/>
        </w:trPr>
        <w:tc>
          <w:tcPr>
            <w:tcW w:w="857" w:type="pct"/>
            <w:vMerge/>
            <w:vAlign w:val="center"/>
            <w:hideMark/>
          </w:tcPr>
          <w:p w14:paraId="39D827D9"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347D6F86" w14:textId="77777777" w:rsidR="00072A69" w:rsidRPr="0050206D" w:rsidRDefault="00072A69" w:rsidP="00AC1F17">
            <w:pPr>
              <w:spacing w:after="0" w:line="240" w:lineRule="auto"/>
              <w:rPr>
                <w:rFonts w:ascii="Arial" w:eastAsia="Times New Roman" w:hAnsi="Arial" w:cs="Arial"/>
                <w:color w:val="000000"/>
                <w:sz w:val="18"/>
                <w:szCs w:val="18"/>
                <w:lang w:eastAsia="sl-SI"/>
              </w:rPr>
            </w:pPr>
            <w:proofErr w:type="spellStart"/>
            <w:r w:rsidRPr="0050206D">
              <w:rPr>
                <w:rFonts w:ascii="Arial" w:eastAsia="Times New Roman" w:hAnsi="Arial" w:cs="Arial"/>
                <w:color w:val="000000"/>
                <w:sz w:val="18"/>
                <w:szCs w:val="18"/>
                <w:lang w:eastAsia="sl-SI"/>
              </w:rPr>
              <w:t>Isle</w:t>
            </w:r>
            <w:proofErr w:type="spellEnd"/>
            <w:r w:rsidRPr="0050206D">
              <w:rPr>
                <w:rFonts w:ascii="Arial" w:eastAsia="Times New Roman" w:hAnsi="Arial" w:cs="Arial"/>
                <w:color w:val="000000"/>
                <w:sz w:val="18"/>
                <w:szCs w:val="18"/>
                <w:lang w:eastAsia="sl-SI"/>
              </w:rPr>
              <w:t xml:space="preserve"> </w:t>
            </w:r>
            <w:proofErr w:type="spellStart"/>
            <w:r w:rsidRPr="0050206D">
              <w:rPr>
                <w:rFonts w:ascii="Arial" w:eastAsia="Times New Roman" w:hAnsi="Arial" w:cs="Arial"/>
                <w:color w:val="000000"/>
                <w:sz w:val="18"/>
                <w:szCs w:val="18"/>
                <w:lang w:eastAsia="sl-SI"/>
              </w:rPr>
              <w:t>of</w:t>
            </w:r>
            <w:proofErr w:type="spellEnd"/>
            <w:r w:rsidRPr="0050206D">
              <w:rPr>
                <w:rFonts w:ascii="Arial" w:eastAsia="Times New Roman" w:hAnsi="Arial" w:cs="Arial"/>
                <w:color w:val="000000"/>
                <w:sz w:val="18"/>
                <w:szCs w:val="18"/>
                <w:lang w:eastAsia="sl-SI"/>
              </w:rPr>
              <w:t xml:space="preserve"> Man</w:t>
            </w:r>
          </w:p>
        </w:tc>
        <w:tc>
          <w:tcPr>
            <w:tcW w:w="658" w:type="pct"/>
            <w:shd w:val="clear" w:color="auto" w:fill="auto"/>
            <w:vAlign w:val="center"/>
            <w:hideMark/>
          </w:tcPr>
          <w:p w14:paraId="4B2C2A4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785F451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38.854</w:t>
            </w:r>
          </w:p>
        </w:tc>
        <w:tc>
          <w:tcPr>
            <w:tcW w:w="525" w:type="pct"/>
            <w:shd w:val="clear" w:color="auto" w:fill="auto"/>
            <w:noWrap/>
            <w:vAlign w:val="center"/>
            <w:hideMark/>
          </w:tcPr>
          <w:p w14:paraId="79E9F53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F704C6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50206D" w14:paraId="5D3D74F1" w14:textId="77777777" w:rsidTr="00AC1F17">
        <w:trPr>
          <w:trHeight w:val="300"/>
        </w:trPr>
        <w:tc>
          <w:tcPr>
            <w:tcW w:w="857" w:type="pct"/>
            <w:vMerge/>
            <w:vAlign w:val="center"/>
            <w:hideMark/>
          </w:tcPr>
          <w:p w14:paraId="054C8DE7"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4EC8872"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Italija</w:t>
            </w:r>
          </w:p>
        </w:tc>
        <w:tc>
          <w:tcPr>
            <w:tcW w:w="658" w:type="pct"/>
            <w:shd w:val="clear" w:color="auto" w:fill="auto"/>
            <w:vAlign w:val="center"/>
            <w:hideMark/>
          </w:tcPr>
          <w:p w14:paraId="613B59B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31</w:t>
            </w:r>
          </w:p>
        </w:tc>
        <w:tc>
          <w:tcPr>
            <w:tcW w:w="713" w:type="pct"/>
            <w:shd w:val="clear" w:color="auto" w:fill="auto"/>
            <w:vAlign w:val="center"/>
            <w:hideMark/>
          </w:tcPr>
          <w:p w14:paraId="3CEE060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20.477.049</w:t>
            </w:r>
          </w:p>
        </w:tc>
        <w:tc>
          <w:tcPr>
            <w:tcW w:w="525" w:type="pct"/>
            <w:shd w:val="clear" w:color="auto" w:fill="auto"/>
            <w:noWrap/>
            <w:vAlign w:val="center"/>
            <w:hideMark/>
          </w:tcPr>
          <w:p w14:paraId="1269B24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BEA0E8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1,71</w:t>
            </w:r>
            <w:r>
              <w:rPr>
                <w:rFonts w:ascii="Arial" w:eastAsia="Times New Roman" w:hAnsi="Arial" w:cs="Arial"/>
                <w:color w:val="000000"/>
                <w:sz w:val="18"/>
                <w:szCs w:val="18"/>
                <w:lang w:eastAsia="sl-SI"/>
              </w:rPr>
              <w:t xml:space="preserve"> %</w:t>
            </w:r>
          </w:p>
        </w:tc>
      </w:tr>
      <w:tr w:rsidR="00072A69" w:rsidRPr="0050206D" w14:paraId="48D8CE16" w14:textId="77777777" w:rsidTr="00AC1F17">
        <w:trPr>
          <w:trHeight w:val="300"/>
        </w:trPr>
        <w:tc>
          <w:tcPr>
            <w:tcW w:w="857" w:type="pct"/>
            <w:vMerge/>
            <w:vAlign w:val="center"/>
            <w:hideMark/>
          </w:tcPr>
          <w:p w14:paraId="19BC1818"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FF522B0"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Japonska</w:t>
            </w:r>
          </w:p>
        </w:tc>
        <w:tc>
          <w:tcPr>
            <w:tcW w:w="658" w:type="pct"/>
            <w:shd w:val="clear" w:color="auto" w:fill="auto"/>
            <w:vAlign w:val="center"/>
            <w:hideMark/>
          </w:tcPr>
          <w:p w14:paraId="5A40AF3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7E8E1BA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91.320</w:t>
            </w:r>
          </w:p>
        </w:tc>
        <w:tc>
          <w:tcPr>
            <w:tcW w:w="525" w:type="pct"/>
            <w:shd w:val="clear" w:color="auto" w:fill="auto"/>
            <w:noWrap/>
            <w:vAlign w:val="center"/>
            <w:hideMark/>
          </w:tcPr>
          <w:p w14:paraId="2CC6E31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50340C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0206D" w14:paraId="340C2C08" w14:textId="77777777" w:rsidTr="00AC1F17">
        <w:trPr>
          <w:trHeight w:val="300"/>
        </w:trPr>
        <w:tc>
          <w:tcPr>
            <w:tcW w:w="857" w:type="pct"/>
            <w:vMerge/>
            <w:vAlign w:val="center"/>
            <w:hideMark/>
          </w:tcPr>
          <w:p w14:paraId="4066F9E2"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98D2F6A"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Kanada</w:t>
            </w:r>
          </w:p>
        </w:tc>
        <w:tc>
          <w:tcPr>
            <w:tcW w:w="658" w:type="pct"/>
            <w:shd w:val="clear" w:color="auto" w:fill="auto"/>
            <w:vAlign w:val="center"/>
            <w:hideMark/>
          </w:tcPr>
          <w:p w14:paraId="4860C6F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43BD697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50.155</w:t>
            </w:r>
          </w:p>
        </w:tc>
        <w:tc>
          <w:tcPr>
            <w:tcW w:w="525" w:type="pct"/>
            <w:shd w:val="clear" w:color="auto" w:fill="auto"/>
            <w:noWrap/>
            <w:vAlign w:val="center"/>
            <w:hideMark/>
          </w:tcPr>
          <w:p w14:paraId="5484BAF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306B9A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50206D" w14:paraId="6B7B7EF5" w14:textId="77777777" w:rsidTr="00AC1F17">
        <w:trPr>
          <w:trHeight w:val="300"/>
        </w:trPr>
        <w:tc>
          <w:tcPr>
            <w:tcW w:w="857" w:type="pct"/>
            <w:vMerge/>
            <w:vAlign w:val="center"/>
            <w:hideMark/>
          </w:tcPr>
          <w:p w14:paraId="520200E1"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31E89DA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Luksemburg</w:t>
            </w:r>
          </w:p>
        </w:tc>
        <w:tc>
          <w:tcPr>
            <w:tcW w:w="658" w:type="pct"/>
            <w:shd w:val="clear" w:color="auto" w:fill="auto"/>
            <w:vAlign w:val="center"/>
            <w:hideMark/>
          </w:tcPr>
          <w:p w14:paraId="43F4779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149DB67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82.610</w:t>
            </w:r>
          </w:p>
        </w:tc>
        <w:tc>
          <w:tcPr>
            <w:tcW w:w="525" w:type="pct"/>
            <w:shd w:val="clear" w:color="auto" w:fill="auto"/>
            <w:noWrap/>
            <w:vAlign w:val="center"/>
            <w:hideMark/>
          </w:tcPr>
          <w:p w14:paraId="016E242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96D26E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0206D" w14:paraId="4D562050" w14:textId="77777777" w:rsidTr="00AC1F17">
        <w:trPr>
          <w:trHeight w:val="300"/>
        </w:trPr>
        <w:tc>
          <w:tcPr>
            <w:tcW w:w="857" w:type="pct"/>
            <w:vMerge/>
            <w:vAlign w:val="center"/>
            <w:hideMark/>
          </w:tcPr>
          <w:p w14:paraId="7BC2642D"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B8A1731"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Madžarska</w:t>
            </w:r>
          </w:p>
        </w:tc>
        <w:tc>
          <w:tcPr>
            <w:tcW w:w="658" w:type="pct"/>
            <w:shd w:val="clear" w:color="auto" w:fill="auto"/>
            <w:vAlign w:val="center"/>
            <w:hideMark/>
          </w:tcPr>
          <w:p w14:paraId="2BA8B4F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0232BBC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533.545</w:t>
            </w:r>
          </w:p>
        </w:tc>
        <w:tc>
          <w:tcPr>
            <w:tcW w:w="525" w:type="pct"/>
            <w:shd w:val="clear" w:color="auto" w:fill="auto"/>
            <w:noWrap/>
            <w:vAlign w:val="center"/>
            <w:hideMark/>
          </w:tcPr>
          <w:p w14:paraId="6F5976A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62B11C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072A69" w:rsidRPr="0050206D" w14:paraId="45C90783" w14:textId="77777777" w:rsidTr="00AC1F17">
        <w:trPr>
          <w:trHeight w:val="300"/>
        </w:trPr>
        <w:tc>
          <w:tcPr>
            <w:tcW w:w="857" w:type="pct"/>
            <w:vMerge/>
            <w:vAlign w:val="center"/>
            <w:hideMark/>
          </w:tcPr>
          <w:p w14:paraId="7C228429"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33516B3"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Nemčija</w:t>
            </w:r>
          </w:p>
        </w:tc>
        <w:tc>
          <w:tcPr>
            <w:tcW w:w="658" w:type="pct"/>
            <w:shd w:val="clear" w:color="auto" w:fill="auto"/>
            <w:vAlign w:val="center"/>
            <w:hideMark/>
          </w:tcPr>
          <w:p w14:paraId="36B4A9F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36</w:t>
            </w:r>
          </w:p>
        </w:tc>
        <w:tc>
          <w:tcPr>
            <w:tcW w:w="713" w:type="pct"/>
            <w:shd w:val="clear" w:color="auto" w:fill="auto"/>
            <w:vAlign w:val="center"/>
            <w:hideMark/>
          </w:tcPr>
          <w:p w14:paraId="4BE959D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32.190.617</w:t>
            </w:r>
          </w:p>
        </w:tc>
        <w:tc>
          <w:tcPr>
            <w:tcW w:w="525" w:type="pct"/>
            <w:shd w:val="clear" w:color="auto" w:fill="auto"/>
            <w:noWrap/>
            <w:vAlign w:val="center"/>
            <w:hideMark/>
          </w:tcPr>
          <w:p w14:paraId="5229A47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2983F8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2,69</w:t>
            </w:r>
            <w:r>
              <w:rPr>
                <w:rFonts w:ascii="Arial" w:eastAsia="Times New Roman" w:hAnsi="Arial" w:cs="Arial"/>
                <w:color w:val="000000"/>
                <w:sz w:val="18"/>
                <w:szCs w:val="18"/>
                <w:lang w:eastAsia="sl-SI"/>
              </w:rPr>
              <w:t xml:space="preserve"> %</w:t>
            </w:r>
          </w:p>
        </w:tc>
      </w:tr>
      <w:tr w:rsidR="00072A69" w:rsidRPr="0050206D" w14:paraId="6D914FA0" w14:textId="77777777" w:rsidTr="00AC1F17">
        <w:trPr>
          <w:trHeight w:val="300"/>
        </w:trPr>
        <w:tc>
          <w:tcPr>
            <w:tcW w:w="857" w:type="pct"/>
            <w:vMerge/>
            <w:vAlign w:val="center"/>
            <w:hideMark/>
          </w:tcPr>
          <w:p w14:paraId="4C3209A6"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36A91613"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Nizozemska</w:t>
            </w:r>
          </w:p>
        </w:tc>
        <w:tc>
          <w:tcPr>
            <w:tcW w:w="658" w:type="pct"/>
            <w:shd w:val="clear" w:color="auto" w:fill="auto"/>
            <w:vAlign w:val="center"/>
            <w:hideMark/>
          </w:tcPr>
          <w:p w14:paraId="0FC0988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6AA8C47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2.706.950</w:t>
            </w:r>
          </w:p>
        </w:tc>
        <w:tc>
          <w:tcPr>
            <w:tcW w:w="525" w:type="pct"/>
            <w:shd w:val="clear" w:color="auto" w:fill="auto"/>
            <w:noWrap/>
            <w:vAlign w:val="center"/>
            <w:hideMark/>
          </w:tcPr>
          <w:p w14:paraId="6785FD5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A55EDD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r>
      <w:tr w:rsidR="00072A69" w:rsidRPr="0050206D" w14:paraId="43FB599C" w14:textId="77777777" w:rsidTr="00AC1F17">
        <w:trPr>
          <w:trHeight w:val="300"/>
        </w:trPr>
        <w:tc>
          <w:tcPr>
            <w:tcW w:w="857" w:type="pct"/>
            <w:vMerge/>
            <w:vAlign w:val="center"/>
            <w:hideMark/>
          </w:tcPr>
          <w:p w14:paraId="7AA8B21F"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34C638FD"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Poljska</w:t>
            </w:r>
          </w:p>
        </w:tc>
        <w:tc>
          <w:tcPr>
            <w:tcW w:w="658" w:type="pct"/>
            <w:shd w:val="clear" w:color="auto" w:fill="auto"/>
            <w:vAlign w:val="center"/>
            <w:hideMark/>
          </w:tcPr>
          <w:p w14:paraId="338500C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107B94F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170.270.680</w:t>
            </w:r>
          </w:p>
        </w:tc>
        <w:tc>
          <w:tcPr>
            <w:tcW w:w="525" w:type="pct"/>
            <w:shd w:val="clear" w:color="auto" w:fill="auto"/>
            <w:noWrap/>
            <w:vAlign w:val="center"/>
            <w:hideMark/>
          </w:tcPr>
          <w:p w14:paraId="700F2DF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163FD5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14,22</w:t>
            </w:r>
            <w:r>
              <w:rPr>
                <w:rFonts w:ascii="Arial" w:eastAsia="Times New Roman" w:hAnsi="Arial" w:cs="Arial"/>
                <w:color w:val="000000"/>
                <w:sz w:val="18"/>
                <w:szCs w:val="18"/>
                <w:lang w:eastAsia="sl-SI"/>
              </w:rPr>
              <w:t xml:space="preserve"> %</w:t>
            </w:r>
          </w:p>
        </w:tc>
      </w:tr>
      <w:tr w:rsidR="00072A69" w:rsidRPr="0050206D" w14:paraId="34F6BBE3" w14:textId="77777777" w:rsidTr="00AC1F17">
        <w:trPr>
          <w:trHeight w:val="300"/>
        </w:trPr>
        <w:tc>
          <w:tcPr>
            <w:tcW w:w="857" w:type="pct"/>
            <w:vMerge/>
            <w:vAlign w:val="center"/>
            <w:hideMark/>
          </w:tcPr>
          <w:p w14:paraId="1CA98F70"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FF0866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Ruska federacija</w:t>
            </w:r>
          </w:p>
        </w:tc>
        <w:tc>
          <w:tcPr>
            <w:tcW w:w="658" w:type="pct"/>
            <w:shd w:val="clear" w:color="auto" w:fill="auto"/>
            <w:vAlign w:val="center"/>
            <w:hideMark/>
          </w:tcPr>
          <w:p w14:paraId="396087D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474810F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827.956</w:t>
            </w:r>
          </w:p>
        </w:tc>
        <w:tc>
          <w:tcPr>
            <w:tcW w:w="525" w:type="pct"/>
            <w:shd w:val="clear" w:color="auto" w:fill="auto"/>
            <w:noWrap/>
            <w:vAlign w:val="center"/>
            <w:hideMark/>
          </w:tcPr>
          <w:p w14:paraId="32BF564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15DC25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072A69" w:rsidRPr="0050206D" w14:paraId="478AEDD9" w14:textId="77777777" w:rsidTr="00AC1F17">
        <w:trPr>
          <w:trHeight w:val="300"/>
        </w:trPr>
        <w:tc>
          <w:tcPr>
            <w:tcW w:w="857" w:type="pct"/>
            <w:vMerge/>
            <w:vAlign w:val="center"/>
            <w:hideMark/>
          </w:tcPr>
          <w:p w14:paraId="7892B33A"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EF2A80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Slovaška</w:t>
            </w:r>
          </w:p>
        </w:tc>
        <w:tc>
          <w:tcPr>
            <w:tcW w:w="658" w:type="pct"/>
            <w:shd w:val="clear" w:color="auto" w:fill="auto"/>
            <w:vAlign w:val="center"/>
            <w:hideMark/>
          </w:tcPr>
          <w:p w14:paraId="2E24635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4502E74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1.646.640</w:t>
            </w:r>
          </w:p>
        </w:tc>
        <w:tc>
          <w:tcPr>
            <w:tcW w:w="525" w:type="pct"/>
            <w:shd w:val="clear" w:color="auto" w:fill="auto"/>
            <w:noWrap/>
            <w:vAlign w:val="center"/>
            <w:hideMark/>
          </w:tcPr>
          <w:p w14:paraId="1B705CC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0A2FB2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072A69" w:rsidRPr="0050206D" w14:paraId="1F62E0AB" w14:textId="77777777" w:rsidTr="00AC1F17">
        <w:trPr>
          <w:trHeight w:val="300"/>
        </w:trPr>
        <w:tc>
          <w:tcPr>
            <w:tcW w:w="857" w:type="pct"/>
            <w:vMerge/>
            <w:vAlign w:val="center"/>
            <w:hideMark/>
          </w:tcPr>
          <w:p w14:paraId="37D38B61"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996D125"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Slovenija</w:t>
            </w:r>
          </w:p>
        </w:tc>
        <w:tc>
          <w:tcPr>
            <w:tcW w:w="658" w:type="pct"/>
            <w:shd w:val="clear" w:color="auto" w:fill="auto"/>
            <w:vAlign w:val="center"/>
            <w:hideMark/>
          </w:tcPr>
          <w:p w14:paraId="39E2482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10.696</w:t>
            </w:r>
          </w:p>
        </w:tc>
        <w:tc>
          <w:tcPr>
            <w:tcW w:w="713" w:type="pct"/>
            <w:shd w:val="clear" w:color="auto" w:fill="auto"/>
            <w:vAlign w:val="center"/>
            <w:hideMark/>
          </w:tcPr>
          <w:p w14:paraId="38F7574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876.831.951</w:t>
            </w:r>
          </w:p>
        </w:tc>
        <w:tc>
          <w:tcPr>
            <w:tcW w:w="525" w:type="pct"/>
            <w:shd w:val="clear" w:color="auto" w:fill="auto"/>
            <w:noWrap/>
            <w:vAlign w:val="center"/>
            <w:hideMark/>
          </w:tcPr>
          <w:p w14:paraId="03DC782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97,53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BFACBA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73,21</w:t>
            </w:r>
            <w:r>
              <w:rPr>
                <w:rFonts w:ascii="Arial" w:eastAsia="Times New Roman" w:hAnsi="Arial" w:cs="Arial"/>
                <w:color w:val="000000"/>
                <w:sz w:val="18"/>
                <w:szCs w:val="18"/>
                <w:lang w:eastAsia="sl-SI"/>
              </w:rPr>
              <w:t xml:space="preserve"> %</w:t>
            </w:r>
          </w:p>
        </w:tc>
      </w:tr>
      <w:tr w:rsidR="00072A69" w:rsidRPr="0050206D" w14:paraId="74AC3E20" w14:textId="77777777" w:rsidTr="00AC1F17">
        <w:trPr>
          <w:trHeight w:val="300"/>
        </w:trPr>
        <w:tc>
          <w:tcPr>
            <w:tcW w:w="857" w:type="pct"/>
            <w:vMerge/>
            <w:vAlign w:val="center"/>
            <w:hideMark/>
          </w:tcPr>
          <w:p w14:paraId="2F51B94B"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D3E3C6C"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Srbija</w:t>
            </w:r>
          </w:p>
        </w:tc>
        <w:tc>
          <w:tcPr>
            <w:tcW w:w="658" w:type="pct"/>
            <w:shd w:val="clear" w:color="auto" w:fill="auto"/>
            <w:vAlign w:val="center"/>
            <w:hideMark/>
          </w:tcPr>
          <w:p w14:paraId="07A0F4B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44D8151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62.763</w:t>
            </w:r>
          </w:p>
        </w:tc>
        <w:tc>
          <w:tcPr>
            <w:tcW w:w="525" w:type="pct"/>
            <w:shd w:val="clear" w:color="auto" w:fill="auto"/>
            <w:noWrap/>
            <w:vAlign w:val="center"/>
            <w:hideMark/>
          </w:tcPr>
          <w:p w14:paraId="30AD4D8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383DC6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0206D" w14:paraId="3A45FFE6" w14:textId="77777777" w:rsidTr="00AC1F17">
        <w:trPr>
          <w:trHeight w:val="300"/>
        </w:trPr>
        <w:tc>
          <w:tcPr>
            <w:tcW w:w="857" w:type="pct"/>
            <w:vMerge/>
            <w:vAlign w:val="center"/>
            <w:hideMark/>
          </w:tcPr>
          <w:p w14:paraId="0ED84D7C"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B214B4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Španija</w:t>
            </w:r>
          </w:p>
        </w:tc>
        <w:tc>
          <w:tcPr>
            <w:tcW w:w="658" w:type="pct"/>
            <w:shd w:val="clear" w:color="auto" w:fill="auto"/>
            <w:vAlign w:val="center"/>
            <w:hideMark/>
          </w:tcPr>
          <w:p w14:paraId="6751328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6</w:t>
            </w:r>
          </w:p>
        </w:tc>
        <w:tc>
          <w:tcPr>
            <w:tcW w:w="713" w:type="pct"/>
            <w:shd w:val="clear" w:color="auto" w:fill="auto"/>
            <w:vAlign w:val="center"/>
            <w:hideMark/>
          </w:tcPr>
          <w:p w14:paraId="310CB2D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3.897.647</w:t>
            </w:r>
          </w:p>
        </w:tc>
        <w:tc>
          <w:tcPr>
            <w:tcW w:w="525" w:type="pct"/>
            <w:shd w:val="clear" w:color="auto" w:fill="auto"/>
            <w:noWrap/>
            <w:vAlign w:val="center"/>
            <w:hideMark/>
          </w:tcPr>
          <w:p w14:paraId="4F36ED9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945151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r>
      <w:tr w:rsidR="00072A69" w:rsidRPr="0050206D" w14:paraId="0907D10B" w14:textId="77777777" w:rsidTr="00AC1F17">
        <w:trPr>
          <w:trHeight w:val="300"/>
        </w:trPr>
        <w:tc>
          <w:tcPr>
            <w:tcW w:w="857" w:type="pct"/>
            <w:vMerge/>
            <w:vAlign w:val="center"/>
            <w:hideMark/>
          </w:tcPr>
          <w:p w14:paraId="2A76E26A"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DD8B767"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Švedska</w:t>
            </w:r>
          </w:p>
        </w:tc>
        <w:tc>
          <w:tcPr>
            <w:tcW w:w="658" w:type="pct"/>
            <w:shd w:val="clear" w:color="auto" w:fill="auto"/>
            <w:vAlign w:val="center"/>
            <w:hideMark/>
          </w:tcPr>
          <w:p w14:paraId="6E00BB6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2D22B8E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1.845.674</w:t>
            </w:r>
          </w:p>
        </w:tc>
        <w:tc>
          <w:tcPr>
            <w:tcW w:w="525" w:type="pct"/>
            <w:shd w:val="clear" w:color="auto" w:fill="auto"/>
            <w:noWrap/>
            <w:vAlign w:val="center"/>
            <w:hideMark/>
          </w:tcPr>
          <w:p w14:paraId="281C8F9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ABDA8F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072A69" w:rsidRPr="0050206D" w14:paraId="5BA6FB73" w14:textId="77777777" w:rsidTr="00AC1F17">
        <w:trPr>
          <w:trHeight w:val="300"/>
        </w:trPr>
        <w:tc>
          <w:tcPr>
            <w:tcW w:w="857" w:type="pct"/>
            <w:vMerge/>
            <w:vAlign w:val="center"/>
            <w:hideMark/>
          </w:tcPr>
          <w:p w14:paraId="0BEB4726"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C154077"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Švica</w:t>
            </w:r>
          </w:p>
        </w:tc>
        <w:tc>
          <w:tcPr>
            <w:tcW w:w="658" w:type="pct"/>
            <w:shd w:val="clear" w:color="auto" w:fill="auto"/>
            <w:vAlign w:val="center"/>
            <w:hideMark/>
          </w:tcPr>
          <w:p w14:paraId="3656EFE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w:t>
            </w:r>
          </w:p>
        </w:tc>
        <w:tc>
          <w:tcPr>
            <w:tcW w:w="713" w:type="pct"/>
            <w:shd w:val="clear" w:color="auto" w:fill="auto"/>
            <w:vAlign w:val="center"/>
            <w:hideMark/>
          </w:tcPr>
          <w:p w14:paraId="403DF5C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12.027.014</w:t>
            </w:r>
          </w:p>
        </w:tc>
        <w:tc>
          <w:tcPr>
            <w:tcW w:w="525" w:type="pct"/>
            <w:shd w:val="clear" w:color="auto" w:fill="auto"/>
            <w:noWrap/>
            <w:vAlign w:val="center"/>
            <w:hideMark/>
          </w:tcPr>
          <w:p w14:paraId="240B18C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8C3692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r>
      <w:tr w:rsidR="00072A69" w:rsidRPr="0050206D" w14:paraId="462E25B8" w14:textId="77777777" w:rsidTr="00AC1F17">
        <w:trPr>
          <w:trHeight w:val="300"/>
        </w:trPr>
        <w:tc>
          <w:tcPr>
            <w:tcW w:w="857" w:type="pct"/>
            <w:vMerge/>
            <w:vAlign w:val="center"/>
            <w:hideMark/>
          </w:tcPr>
          <w:p w14:paraId="300960A4"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72CD42B3"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Turčija</w:t>
            </w:r>
          </w:p>
        </w:tc>
        <w:tc>
          <w:tcPr>
            <w:tcW w:w="658" w:type="pct"/>
            <w:shd w:val="clear" w:color="auto" w:fill="auto"/>
            <w:vAlign w:val="center"/>
            <w:hideMark/>
          </w:tcPr>
          <w:p w14:paraId="4784C60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4BAE2E9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311.498</w:t>
            </w:r>
          </w:p>
        </w:tc>
        <w:tc>
          <w:tcPr>
            <w:tcW w:w="525" w:type="pct"/>
            <w:shd w:val="clear" w:color="auto" w:fill="auto"/>
            <w:noWrap/>
            <w:vAlign w:val="center"/>
            <w:hideMark/>
          </w:tcPr>
          <w:p w14:paraId="743E699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964AC2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50206D" w14:paraId="3EE78CB8" w14:textId="77777777" w:rsidTr="00AC1F17">
        <w:trPr>
          <w:trHeight w:val="300"/>
        </w:trPr>
        <w:tc>
          <w:tcPr>
            <w:tcW w:w="857" w:type="pct"/>
            <w:vMerge/>
            <w:vAlign w:val="center"/>
            <w:hideMark/>
          </w:tcPr>
          <w:p w14:paraId="7369E8D8"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116A0FA"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Združene države Amerike</w:t>
            </w:r>
          </w:p>
        </w:tc>
        <w:tc>
          <w:tcPr>
            <w:tcW w:w="658" w:type="pct"/>
            <w:shd w:val="clear" w:color="auto" w:fill="auto"/>
            <w:vAlign w:val="center"/>
            <w:hideMark/>
          </w:tcPr>
          <w:p w14:paraId="1C2A701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34</w:t>
            </w:r>
          </w:p>
        </w:tc>
        <w:tc>
          <w:tcPr>
            <w:tcW w:w="713" w:type="pct"/>
            <w:shd w:val="clear" w:color="auto" w:fill="auto"/>
            <w:vAlign w:val="center"/>
            <w:hideMark/>
          </w:tcPr>
          <w:p w14:paraId="2319D61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9.506.890</w:t>
            </w:r>
          </w:p>
        </w:tc>
        <w:tc>
          <w:tcPr>
            <w:tcW w:w="525" w:type="pct"/>
            <w:shd w:val="clear" w:color="auto" w:fill="auto"/>
            <w:noWrap/>
            <w:vAlign w:val="center"/>
            <w:hideMark/>
          </w:tcPr>
          <w:p w14:paraId="3137777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7EDF54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0,79</w:t>
            </w:r>
            <w:r>
              <w:rPr>
                <w:rFonts w:ascii="Arial" w:eastAsia="Times New Roman" w:hAnsi="Arial" w:cs="Arial"/>
                <w:color w:val="000000"/>
                <w:sz w:val="18"/>
                <w:szCs w:val="18"/>
                <w:lang w:eastAsia="sl-SI"/>
              </w:rPr>
              <w:t xml:space="preserve"> %</w:t>
            </w:r>
          </w:p>
        </w:tc>
      </w:tr>
      <w:tr w:rsidR="00072A69" w:rsidRPr="0050206D" w14:paraId="55848C50" w14:textId="77777777" w:rsidTr="00AC1F17">
        <w:trPr>
          <w:trHeight w:val="300"/>
        </w:trPr>
        <w:tc>
          <w:tcPr>
            <w:tcW w:w="857" w:type="pct"/>
            <w:vMerge/>
            <w:vAlign w:val="center"/>
            <w:hideMark/>
          </w:tcPr>
          <w:p w14:paraId="540E4636"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2A8578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Združeno kraljestvo</w:t>
            </w:r>
          </w:p>
        </w:tc>
        <w:tc>
          <w:tcPr>
            <w:tcW w:w="658" w:type="pct"/>
            <w:shd w:val="clear" w:color="auto" w:fill="auto"/>
            <w:vAlign w:val="center"/>
            <w:hideMark/>
          </w:tcPr>
          <w:p w14:paraId="4F322AE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10</w:t>
            </w:r>
          </w:p>
        </w:tc>
        <w:tc>
          <w:tcPr>
            <w:tcW w:w="713" w:type="pct"/>
            <w:shd w:val="clear" w:color="auto" w:fill="auto"/>
            <w:vAlign w:val="center"/>
            <w:hideMark/>
          </w:tcPr>
          <w:p w14:paraId="52A4085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3.718.711</w:t>
            </w:r>
          </w:p>
        </w:tc>
        <w:tc>
          <w:tcPr>
            <w:tcW w:w="525" w:type="pct"/>
            <w:shd w:val="clear" w:color="auto" w:fill="auto"/>
            <w:noWrap/>
            <w:vAlign w:val="center"/>
            <w:hideMark/>
          </w:tcPr>
          <w:p w14:paraId="79E04B6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CB9231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072A69" w:rsidRPr="0050206D" w14:paraId="47CEFFC9" w14:textId="77777777" w:rsidTr="00AC1F17">
        <w:trPr>
          <w:trHeight w:val="300"/>
        </w:trPr>
        <w:tc>
          <w:tcPr>
            <w:tcW w:w="857" w:type="pct"/>
            <w:vMerge/>
            <w:vAlign w:val="center"/>
            <w:hideMark/>
          </w:tcPr>
          <w:p w14:paraId="5907BA2B"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87DED0C" w14:textId="77777777" w:rsidR="00072A69" w:rsidRPr="0050206D" w:rsidRDefault="00072A69" w:rsidP="00AC1F17">
            <w:pPr>
              <w:spacing w:after="0" w:line="240" w:lineRule="auto"/>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Skupaj</w:t>
            </w:r>
          </w:p>
        </w:tc>
        <w:tc>
          <w:tcPr>
            <w:tcW w:w="658" w:type="pct"/>
            <w:shd w:val="clear" w:color="auto" w:fill="auto"/>
            <w:vAlign w:val="center"/>
            <w:hideMark/>
          </w:tcPr>
          <w:p w14:paraId="31FBAEA4"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10.967</w:t>
            </w:r>
          </w:p>
        </w:tc>
        <w:tc>
          <w:tcPr>
            <w:tcW w:w="713" w:type="pct"/>
            <w:shd w:val="clear" w:color="auto" w:fill="auto"/>
            <w:vAlign w:val="center"/>
            <w:hideMark/>
          </w:tcPr>
          <w:p w14:paraId="1F6795C8"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1.197.625.996</w:t>
            </w:r>
          </w:p>
        </w:tc>
        <w:tc>
          <w:tcPr>
            <w:tcW w:w="525" w:type="pct"/>
            <w:shd w:val="clear" w:color="auto" w:fill="auto"/>
            <w:noWrap/>
            <w:vAlign w:val="center"/>
            <w:hideMark/>
          </w:tcPr>
          <w:p w14:paraId="63E9E914"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F9F92CA"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50206D" w14:paraId="444A9B9B" w14:textId="77777777" w:rsidTr="00AC1F17">
        <w:trPr>
          <w:trHeight w:val="300"/>
        </w:trPr>
        <w:tc>
          <w:tcPr>
            <w:tcW w:w="857" w:type="pct"/>
            <w:vMerge w:val="restart"/>
            <w:shd w:val="clear" w:color="auto" w:fill="auto"/>
            <w:vAlign w:val="center"/>
            <w:hideMark/>
          </w:tcPr>
          <w:p w14:paraId="6B37A8E5"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Storitve</w:t>
            </w:r>
          </w:p>
        </w:tc>
        <w:tc>
          <w:tcPr>
            <w:tcW w:w="1721" w:type="pct"/>
            <w:shd w:val="clear" w:color="auto" w:fill="auto"/>
            <w:vAlign w:val="center"/>
            <w:hideMark/>
          </w:tcPr>
          <w:p w14:paraId="51574217"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Avstrija</w:t>
            </w:r>
          </w:p>
        </w:tc>
        <w:tc>
          <w:tcPr>
            <w:tcW w:w="658" w:type="pct"/>
            <w:shd w:val="clear" w:color="auto" w:fill="auto"/>
            <w:vAlign w:val="center"/>
            <w:hideMark/>
          </w:tcPr>
          <w:p w14:paraId="1B8F519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w:t>
            </w:r>
          </w:p>
        </w:tc>
        <w:tc>
          <w:tcPr>
            <w:tcW w:w="713" w:type="pct"/>
            <w:shd w:val="clear" w:color="auto" w:fill="auto"/>
            <w:vAlign w:val="center"/>
            <w:hideMark/>
          </w:tcPr>
          <w:p w14:paraId="6439AA2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1.683.583</w:t>
            </w:r>
          </w:p>
        </w:tc>
        <w:tc>
          <w:tcPr>
            <w:tcW w:w="525" w:type="pct"/>
            <w:shd w:val="clear" w:color="auto" w:fill="auto"/>
            <w:noWrap/>
            <w:vAlign w:val="center"/>
            <w:hideMark/>
          </w:tcPr>
          <w:p w14:paraId="1342738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756496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072A69" w:rsidRPr="0050206D" w14:paraId="6C381979" w14:textId="77777777" w:rsidTr="00AC1F17">
        <w:trPr>
          <w:trHeight w:val="300"/>
        </w:trPr>
        <w:tc>
          <w:tcPr>
            <w:tcW w:w="857" w:type="pct"/>
            <w:vMerge/>
            <w:vAlign w:val="center"/>
            <w:hideMark/>
          </w:tcPr>
          <w:p w14:paraId="7D406325"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A287A7A"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Belgija</w:t>
            </w:r>
          </w:p>
        </w:tc>
        <w:tc>
          <w:tcPr>
            <w:tcW w:w="658" w:type="pct"/>
            <w:shd w:val="clear" w:color="auto" w:fill="auto"/>
            <w:vAlign w:val="center"/>
            <w:hideMark/>
          </w:tcPr>
          <w:p w14:paraId="6DEF73D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7</w:t>
            </w:r>
          </w:p>
        </w:tc>
        <w:tc>
          <w:tcPr>
            <w:tcW w:w="713" w:type="pct"/>
            <w:shd w:val="clear" w:color="auto" w:fill="auto"/>
            <w:vAlign w:val="center"/>
            <w:hideMark/>
          </w:tcPr>
          <w:p w14:paraId="163C9B1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5.304.086</w:t>
            </w:r>
          </w:p>
        </w:tc>
        <w:tc>
          <w:tcPr>
            <w:tcW w:w="525" w:type="pct"/>
            <w:shd w:val="clear" w:color="auto" w:fill="auto"/>
            <w:noWrap/>
            <w:vAlign w:val="center"/>
            <w:hideMark/>
          </w:tcPr>
          <w:p w14:paraId="2E165EA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B3A075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r>
      <w:tr w:rsidR="00072A69" w:rsidRPr="0050206D" w14:paraId="20366BF6" w14:textId="77777777" w:rsidTr="00AC1F17">
        <w:trPr>
          <w:trHeight w:val="300"/>
        </w:trPr>
        <w:tc>
          <w:tcPr>
            <w:tcW w:w="857" w:type="pct"/>
            <w:vMerge/>
            <w:vAlign w:val="center"/>
            <w:hideMark/>
          </w:tcPr>
          <w:p w14:paraId="3F362FBE"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CD25E5F"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Češka republika</w:t>
            </w:r>
          </w:p>
        </w:tc>
        <w:tc>
          <w:tcPr>
            <w:tcW w:w="658" w:type="pct"/>
            <w:shd w:val="clear" w:color="auto" w:fill="auto"/>
            <w:vAlign w:val="center"/>
            <w:hideMark/>
          </w:tcPr>
          <w:p w14:paraId="4D7B2DE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099C535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3.337.721</w:t>
            </w:r>
          </w:p>
        </w:tc>
        <w:tc>
          <w:tcPr>
            <w:tcW w:w="525" w:type="pct"/>
            <w:shd w:val="clear" w:color="auto" w:fill="auto"/>
            <w:noWrap/>
            <w:vAlign w:val="center"/>
            <w:hideMark/>
          </w:tcPr>
          <w:p w14:paraId="4D358CA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A61423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r>
      <w:tr w:rsidR="00072A69" w:rsidRPr="0050206D" w14:paraId="73890C1F" w14:textId="77777777" w:rsidTr="00AC1F17">
        <w:trPr>
          <w:trHeight w:val="300"/>
        </w:trPr>
        <w:tc>
          <w:tcPr>
            <w:tcW w:w="857" w:type="pct"/>
            <w:vMerge/>
            <w:vAlign w:val="center"/>
            <w:hideMark/>
          </w:tcPr>
          <w:p w14:paraId="62D87B61"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6022F3A"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Danska</w:t>
            </w:r>
          </w:p>
        </w:tc>
        <w:tc>
          <w:tcPr>
            <w:tcW w:w="658" w:type="pct"/>
            <w:shd w:val="clear" w:color="auto" w:fill="auto"/>
            <w:vAlign w:val="center"/>
            <w:hideMark/>
          </w:tcPr>
          <w:p w14:paraId="3CDA88A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26B86A0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115.000</w:t>
            </w:r>
          </w:p>
        </w:tc>
        <w:tc>
          <w:tcPr>
            <w:tcW w:w="525" w:type="pct"/>
            <w:shd w:val="clear" w:color="auto" w:fill="auto"/>
            <w:noWrap/>
            <w:vAlign w:val="center"/>
            <w:hideMark/>
          </w:tcPr>
          <w:p w14:paraId="0BC914D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C325F9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072A69" w:rsidRPr="0050206D" w14:paraId="0E8F881C" w14:textId="77777777" w:rsidTr="00AC1F17">
        <w:trPr>
          <w:trHeight w:val="300"/>
        </w:trPr>
        <w:tc>
          <w:tcPr>
            <w:tcW w:w="857" w:type="pct"/>
            <w:vMerge/>
            <w:vAlign w:val="center"/>
            <w:hideMark/>
          </w:tcPr>
          <w:p w14:paraId="6BA30848"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8819848"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Finska</w:t>
            </w:r>
          </w:p>
        </w:tc>
        <w:tc>
          <w:tcPr>
            <w:tcW w:w="658" w:type="pct"/>
            <w:shd w:val="clear" w:color="auto" w:fill="auto"/>
            <w:vAlign w:val="center"/>
            <w:hideMark/>
          </w:tcPr>
          <w:p w14:paraId="4EBBF22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1B46710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49.889</w:t>
            </w:r>
          </w:p>
        </w:tc>
        <w:tc>
          <w:tcPr>
            <w:tcW w:w="525" w:type="pct"/>
            <w:shd w:val="clear" w:color="auto" w:fill="auto"/>
            <w:noWrap/>
            <w:vAlign w:val="center"/>
            <w:hideMark/>
          </w:tcPr>
          <w:p w14:paraId="786AFAB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B217B9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0206D" w14:paraId="05B961DD" w14:textId="77777777" w:rsidTr="00AC1F17">
        <w:trPr>
          <w:trHeight w:val="300"/>
        </w:trPr>
        <w:tc>
          <w:tcPr>
            <w:tcW w:w="857" w:type="pct"/>
            <w:vMerge/>
            <w:vAlign w:val="center"/>
            <w:hideMark/>
          </w:tcPr>
          <w:p w14:paraId="33654063"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E63E1DE"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Francija</w:t>
            </w:r>
          </w:p>
        </w:tc>
        <w:tc>
          <w:tcPr>
            <w:tcW w:w="658" w:type="pct"/>
            <w:shd w:val="clear" w:color="auto" w:fill="auto"/>
            <w:vAlign w:val="center"/>
            <w:hideMark/>
          </w:tcPr>
          <w:p w14:paraId="68DCDB8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w:t>
            </w:r>
          </w:p>
        </w:tc>
        <w:tc>
          <w:tcPr>
            <w:tcW w:w="713" w:type="pct"/>
            <w:shd w:val="clear" w:color="auto" w:fill="auto"/>
            <w:vAlign w:val="center"/>
            <w:hideMark/>
          </w:tcPr>
          <w:p w14:paraId="7BDFFBF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2.734.592</w:t>
            </w:r>
          </w:p>
        </w:tc>
        <w:tc>
          <w:tcPr>
            <w:tcW w:w="525" w:type="pct"/>
            <w:shd w:val="clear" w:color="auto" w:fill="auto"/>
            <w:noWrap/>
            <w:vAlign w:val="center"/>
            <w:hideMark/>
          </w:tcPr>
          <w:p w14:paraId="5AD194E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54A7D6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072A69" w:rsidRPr="0050206D" w14:paraId="1E8FA9AE" w14:textId="77777777" w:rsidTr="00AC1F17">
        <w:trPr>
          <w:trHeight w:val="300"/>
        </w:trPr>
        <w:tc>
          <w:tcPr>
            <w:tcW w:w="857" w:type="pct"/>
            <w:vMerge/>
            <w:vAlign w:val="center"/>
            <w:hideMark/>
          </w:tcPr>
          <w:p w14:paraId="33EC0A6B"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01586804" w14:textId="77777777" w:rsidR="00072A69" w:rsidRPr="0050206D" w:rsidRDefault="00072A69" w:rsidP="00AC1F17">
            <w:pPr>
              <w:spacing w:after="0" w:line="240" w:lineRule="auto"/>
              <w:rPr>
                <w:rFonts w:ascii="Arial" w:eastAsia="Times New Roman" w:hAnsi="Arial" w:cs="Arial"/>
                <w:color w:val="000000"/>
                <w:sz w:val="18"/>
                <w:szCs w:val="18"/>
                <w:lang w:eastAsia="sl-SI"/>
              </w:rPr>
            </w:pPr>
            <w:proofErr w:type="spellStart"/>
            <w:r w:rsidRPr="0050206D">
              <w:rPr>
                <w:rFonts w:ascii="Arial" w:eastAsia="Times New Roman" w:hAnsi="Arial" w:cs="Arial"/>
                <w:color w:val="000000"/>
                <w:sz w:val="18"/>
                <w:szCs w:val="18"/>
                <w:lang w:eastAsia="sl-SI"/>
              </w:rPr>
              <w:t>Hong</w:t>
            </w:r>
            <w:proofErr w:type="spellEnd"/>
            <w:r w:rsidRPr="0050206D">
              <w:rPr>
                <w:rFonts w:ascii="Arial" w:eastAsia="Times New Roman" w:hAnsi="Arial" w:cs="Arial"/>
                <w:color w:val="000000"/>
                <w:sz w:val="18"/>
                <w:szCs w:val="18"/>
                <w:lang w:eastAsia="sl-SI"/>
              </w:rPr>
              <w:t xml:space="preserve"> </w:t>
            </w:r>
            <w:proofErr w:type="spellStart"/>
            <w:r w:rsidRPr="0050206D">
              <w:rPr>
                <w:rFonts w:ascii="Arial" w:eastAsia="Times New Roman" w:hAnsi="Arial" w:cs="Arial"/>
                <w:color w:val="000000"/>
                <w:sz w:val="18"/>
                <w:szCs w:val="18"/>
                <w:lang w:eastAsia="sl-SI"/>
              </w:rPr>
              <w:t>Kong</w:t>
            </w:r>
            <w:proofErr w:type="spellEnd"/>
          </w:p>
        </w:tc>
        <w:tc>
          <w:tcPr>
            <w:tcW w:w="658" w:type="pct"/>
            <w:shd w:val="clear" w:color="auto" w:fill="auto"/>
            <w:vAlign w:val="center"/>
            <w:hideMark/>
          </w:tcPr>
          <w:p w14:paraId="379B1D5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54C0B1A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230.894</w:t>
            </w:r>
          </w:p>
        </w:tc>
        <w:tc>
          <w:tcPr>
            <w:tcW w:w="525" w:type="pct"/>
            <w:shd w:val="clear" w:color="auto" w:fill="auto"/>
            <w:noWrap/>
            <w:vAlign w:val="center"/>
            <w:hideMark/>
          </w:tcPr>
          <w:p w14:paraId="7F6C10F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FD3772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50206D" w14:paraId="1110D91A" w14:textId="77777777" w:rsidTr="00AC1F17">
        <w:trPr>
          <w:trHeight w:val="300"/>
        </w:trPr>
        <w:tc>
          <w:tcPr>
            <w:tcW w:w="857" w:type="pct"/>
            <w:vMerge/>
            <w:vAlign w:val="center"/>
            <w:hideMark/>
          </w:tcPr>
          <w:p w14:paraId="086D31D6"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01D8601"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Hrvaška</w:t>
            </w:r>
          </w:p>
        </w:tc>
        <w:tc>
          <w:tcPr>
            <w:tcW w:w="658" w:type="pct"/>
            <w:shd w:val="clear" w:color="auto" w:fill="auto"/>
            <w:vAlign w:val="center"/>
            <w:hideMark/>
          </w:tcPr>
          <w:p w14:paraId="67AAB51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22</w:t>
            </w:r>
          </w:p>
        </w:tc>
        <w:tc>
          <w:tcPr>
            <w:tcW w:w="713" w:type="pct"/>
            <w:shd w:val="clear" w:color="auto" w:fill="auto"/>
            <w:vAlign w:val="center"/>
            <w:hideMark/>
          </w:tcPr>
          <w:p w14:paraId="1AF246A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7.219.939</w:t>
            </w:r>
          </w:p>
        </w:tc>
        <w:tc>
          <w:tcPr>
            <w:tcW w:w="525" w:type="pct"/>
            <w:shd w:val="clear" w:color="auto" w:fill="auto"/>
            <w:noWrap/>
            <w:vAlign w:val="center"/>
            <w:hideMark/>
          </w:tcPr>
          <w:p w14:paraId="5B8DC5A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8E4154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r>
      <w:tr w:rsidR="00072A69" w:rsidRPr="0050206D" w14:paraId="213F3FF3" w14:textId="77777777" w:rsidTr="00AC1F17">
        <w:trPr>
          <w:trHeight w:val="300"/>
        </w:trPr>
        <w:tc>
          <w:tcPr>
            <w:tcW w:w="857" w:type="pct"/>
            <w:vMerge/>
            <w:vAlign w:val="center"/>
            <w:hideMark/>
          </w:tcPr>
          <w:p w14:paraId="4E65768A"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5815989"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Italija</w:t>
            </w:r>
          </w:p>
        </w:tc>
        <w:tc>
          <w:tcPr>
            <w:tcW w:w="658" w:type="pct"/>
            <w:shd w:val="clear" w:color="auto" w:fill="auto"/>
            <w:vAlign w:val="center"/>
            <w:hideMark/>
          </w:tcPr>
          <w:p w14:paraId="6E54A89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w:t>
            </w:r>
          </w:p>
        </w:tc>
        <w:tc>
          <w:tcPr>
            <w:tcW w:w="713" w:type="pct"/>
            <w:shd w:val="clear" w:color="auto" w:fill="auto"/>
            <w:vAlign w:val="center"/>
            <w:hideMark/>
          </w:tcPr>
          <w:p w14:paraId="40D4C88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881.850</w:t>
            </w:r>
          </w:p>
        </w:tc>
        <w:tc>
          <w:tcPr>
            <w:tcW w:w="525" w:type="pct"/>
            <w:shd w:val="clear" w:color="auto" w:fill="auto"/>
            <w:noWrap/>
            <w:vAlign w:val="center"/>
            <w:hideMark/>
          </w:tcPr>
          <w:p w14:paraId="3E1DBFE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656F69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072A69" w:rsidRPr="0050206D" w14:paraId="5E57B21E" w14:textId="77777777" w:rsidTr="00AC1F17">
        <w:trPr>
          <w:trHeight w:val="300"/>
        </w:trPr>
        <w:tc>
          <w:tcPr>
            <w:tcW w:w="857" w:type="pct"/>
            <w:vMerge/>
            <w:vAlign w:val="center"/>
            <w:hideMark/>
          </w:tcPr>
          <w:p w14:paraId="12850421"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3FC17F8"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Japonska</w:t>
            </w:r>
          </w:p>
        </w:tc>
        <w:tc>
          <w:tcPr>
            <w:tcW w:w="658" w:type="pct"/>
            <w:shd w:val="clear" w:color="auto" w:fill="auto"/>
            <w:vAlign w:val="center"/>
            <w:hideMark/>
          </w:tcPr>
          <w:p w14:paraId="49303E7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5ADA207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6.233.730</w:t>
            </w:r>
          </w:p>
        </w:tc>
        <w:tc>
          <w:tcPr>
            <w:tcW w:w="525" w:type="pct"/>
            <w:shd w:val="clear" w:color="auto" w:fill="auto"/>
            <w:noWrap/>
            <w:vAlign w:val="center"/>
            <w:hideMark/>
          </w:tcPr>
          <w:p w14:paraId="7D1D6ED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D33267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r>
      <w:tr w:rsidR="00072A69" w:rsidRPr="0050206D" w14:paraId="179717E2" w14:textId="77777777" w:rsidTr="00AC1F17">
        <w:trPr>
          <w:trHeight w:val="300"/>
        </w:trPr>
        <w:tc>
          <w:tcPr>
            <w:tcW w:w="857" w:type="pct"/>
            <w:vMerge/>
            <w:vAlign w:val="center"/>
            <w:hideMark/>
          </w:tcPr>
          <w:p w14:paraId="655911B9"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509C478"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Luksemburg</w:t>
            </w:r>
          </w:p>
        </w:tc>
        <w:tc>
          <w:tcPr>
            <w:tcW w:w="658" w:type="pct"/>
            <w:shd w:val="clear" w:color="auto" w:fill="auto"/>
            <w:vAlign w:val="center"/>
            <w:hideMark/>
          </w:tcPr>
          <w:p w14:paraId="02C2F66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0C7399D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216.539</w:t>
            </w:r>
          </w:p>
        </w:tc>
        <w:tc>
          <w:tcPr>
            <w:tcW w:w="525" w:type="pct"/>
            <w:shd w:val="clear" w:color="auto" w:fill="auto"/>
            <w:noWrap/>
            <w:vAlign w:val="center"/>
            <w:hideMark/>
          </w:tcPr>
          <w:p w14:paraId="49E1D7C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820A64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50206D" w14:paraId="7C55652B" w14:textId="77777777" w:rsidTr="00AC1F17">
        <w:trPr>
          <w:trHeight w:val="300"/>
        </w:trPr>
        <w:tc>
          <w:tcPr>
            <w:tcW w:w="857" w:type="pct"/>
            <w:vMerge/>
            <w:vAlign w:val="center"/>
            <w:hideMark/>
          </w:tcPr>
          <w:p w14:paraId="1A7BEDC7"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F5DB95F"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Madžarska</w:t>
            </w:r>
          </w:p>
        </w:tc>
        <w:tc>
          <w:tcPr>
            <w:tcW w:w="658" w:type="pct"/>
            <w:shd w:val="clear" w:color="auto" w:fill="auto"/>
            <w:vAlign w:val="center"/>
            <w:hideMark/>
          </w:tcPr>
          <w:p w14:paraId="699D2F5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4E2D7DB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402.447</w:t>
            </w:r>
          </w:p>
        </w:tc>
        <w:tc>
          <w:tcPr>
            <w:tcW w:w="525" w:type="pct"/>
            <w:shd w:val="clear" w:color="auto" w:fill="auto"/>
            <w:noWrap/>
            <w:vAlign w:val="center"/>
            <w:hideMark/>
          </w:tcPr>
          <w:p w14:paraId="423D756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ACED88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072A69" w:rsidRPr="0050206D" w14:paraId="13282401" w14:textId="77777777" w:rsidTr="00AC1F17">
        <w:trPr>
          <w:trHeight w:val="300"/>
        </w:trPr>
        <w:tc>
          <w:tcPr>
            <w:tcW w:w="857" w:type="pct"/>
            <w:vMerge/>
            <w:vAlign w:val="center"/>
            <w:hideMark/>
          </w:tcPr>
          <w:p w14:paraId="73171050"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6D9CA4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Nekdanja jug. republika Makedonija</w:t>
            </w:r>
          </w:p>
        </w:tc>
        <w:tc>
          <w:tcPr>
            <w:tcW w:w="658" w:type="pct"/>
            <w:shd w:val="clear" w:color="auto" w:fill="auto"/>
            <w:vAlign w:val="center"/>
            <w:hideMark/>
          </w:tcPr>
          <w:p w14:paraId="7C31809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12203F8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1.199.600</w:t>
            </w:r>
          </w:p>
        </w:tc>
        <w:tc>
          <w:tcPr>
            <w:tcW w:w="525" w:type="pct"/>
            <w:shd w:val="clear" w:color="auto" w:fill="auto"/>
            <w:noWrap/>
            <w:vAlign w:val="center"/>
            <w:hideMark/>
          </w:tcPr>
          <w:p w14:paraId="7A313FD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E6BA86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072A69" w:rsidRPr="0050206D" w14:paraId="659CA227" w14:textId="77777777" w:rsidTr="00AC1F17">
        <w:trPr>
          <w:trHeight w:val="300"/>
        </w:trPr>
        <w:tc>
          <w:tcPr>
            <w:tcW w:w="857" w:type="pct"/>
            <w:vMerge/>
            <w:vAlign w:val="center"/>
            <w:hideMark/>
          </w:tcPr>
          <w:p w14:paraId="05F9F0C4"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0963DBB"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Nemčija</w:t>
            </w:r>
          </w:p>
        </w:tc>
        <w:tc>
          <w:tcPr>
            <w:tcW w:w="658" w:type="pct"/>
            <w:shd w:val="clear" w:color="auto" w:fill="auto"/>
            <w:vAlign w:val="center"/>
            <w:hideMark/>
          </w:tcPr>
          <w:p w14:paraId="7ECB276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21</w:t>
            </w:r>
          </w:p>
        </w:tc>
        <w:tc>
          <w:tcPr>
            <w:tcW w:w="713" w:type="pct"/>
            <w:shd w:val="clear" w:color="auto" w:fill="auto"/>
            <w:vAlign w:val="center"/>
            <w:hideMark/>
          </w:tcPr>
          <w:p w14:paraId="52B410B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4.796.224</w:t>
            </w:r>
          </w:p>
        </w:tc>
        <w:tc>
          <w:tcPr>
            <w:tcW w:w="525" w:type="pct"/>
            <w:shd w:val="clear" w:color="auto" w:fill="auto"/>
            <w:noWrap/>
            <w:vAlign w:val="center"/>
            <w:hideMark/>
          </w:tcPr>
          <w:p w14:paraId="60F1CBB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7201A4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r>
      <w:tr w:rsidR="00072A69" w:rsidRPr="0050206D" w14:paraId="33726135" w14:textId="77777777" w:rsidTr="00AC1F17">
        <w:trPr>
          <w:trHeight w:val="300"/>
        </w:trPr>
        <w:tc>
          <w:tcPr>
            <w:tcW w:w="857" w:type="pct"/>
            <w:vMerge/>
            <w:vAlign w:val="center"/>
            <w:hideMark/>
          </w:tcPr>
          <w:p w14:paraId="4505B13F"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066D9A21"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Nizozemska</w:t>
            </w:r>
          </w:p>
        </w:tc>
        <w:tc>
          <w:tcPr>
            <w:tcW w:w="658" w:type="pct"/>
            <w:shd w:val="clear" w:color="auto" w:fill="auto"/>
            <w:vAlign w:val="center"/>
            <w:hideMark/>
          </w:tcPr>
          <w:p w14:paraId="35BE881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7</w:t>
            </w:r>
          </w:p>
        </w:tc>
        <w:tc>
          <w:tcPr>
            <w:tcW w:w="713" w:type="pct"/>
            <w:shd w:val="clear" w:color="auto" w:fill="auto"/>
            <w:vAlign w:val="center"/>
            <w:hideMark/>
          </w:tcPr>
          <w:p w14:paraId="69783C6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1.314.952</w:t>
            </w:r>
          </w:p>
        </w:tc>
        <w:tc>
          <w:tcPr>
            <w:tcW w:w="525" w:type="pct"/>
            <w:shd w:val="clear" w:color="auto" w:fill="auto"/>
            <w:noWrap/>
            <w:vAlign w:val="center"/>
            <w:hideMark/>
          </w:tcPr>
          <w:p w14:paraId="44B288B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033EF5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072A69" w:rsidRPr="0050206D" w14:paraId="5D1DBE82" w14:textId="77777777" w:rsidTr="00AC1F17">
        <w:trPr>
          <w:trHeight w:val="300"/>
        </w:trPr>
        <w:tc>
          <w:tcPr>
            <w:tcW w:w="857" w:type="pct"/>
            <w:vMerge/>
            <w:vAlign w:val="center"/>
            <w:hideMark/>
          </w:tcPr>
          <w:p w14:paraId="4607FE5A"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3BB5A33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Norveška</w:t>
            </w:r>
          </w:p>
        </w:tc>
        <w:tc>
          <w:tcPr>
            <w:tcW w:w="658" w:type="pct"/>
            <w:shd w:val="clear" w:color="auto" w:fill="auto"/>
            <w:vAlign w:val="center"/>
            <w:hideMark/>
          </w:tcPr>
          <w:p w14:paraId="4242D9E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19AF69B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669.508</w:t>
            </w:r>
          </w:p>
        </w:tc>
        <w:tc>
          <w:tcPr>
            <w:tcW w:w="525" w:type="pct"/>
            <w:shd w:val="clear" w:color="auto" w:fill="auto"/>
            <w:noWrap/>
            <w:vAlign w:val="center"/>
            <w:hideMark/>
          </w:tcPr>
          <w:p w14:paraId="7977345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D1F196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072A69" w:rsidRPr="0050206D" w14:paraId="6C0CE6EA" w14:textId="77777777" w:rsidTr="00AC1F17">
        <w:trPr>
          <w:trHeight w:val="300"/>
        </w:trPr>
        <w:tc>
          <w:tcPr>
            <w:tcW w:w="857" w:type="pct"/>
            <w:vMerge/>
            <w:vAlign w:val="center"/>
            <w:hideMark/>
          </w:tcPr>
          <w:p w14:paraId="59226F72"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91A49AC"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Slovenija</w:t>
            </w:r>
          </w:p>
        </w:tc>
        <w:tc>
          <w:tcPr>
            <w:tcW w:w="658" w:type="pct"/>
            <w:shd w:val="clear" w:color="auto" w:fill="auto"/>
            <w:vAlign w:val="center"/>
            <w:hideMark/>
          </w:tcPr>
          <w:p w14:paraId="20891C7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3.761</w:t>
            </w:r>
          </w:p>
        </w:tc>
        <w:tc>
          <w:tcPr>
            <w:tcW w:w="713" w:type="pct"/>
            <w:shd w:val="clear" w:color="auto" w:fill="auto"/>
            <w:vAlign w:val="center"/>
            <w:hideMark/>
          </w:tcPr>
          <w:p w14:paraId="4716821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717.545.466</w:t>
            </w:r>
          </w:p>
        </w:tc>
        <w:tc>
          <w:tcPr>
            <w:tcW w:w="525" w:type="pct"/>
            <w:shd w:val="clear" w:color="auto" w:fill="auto"/>
            <w:noWrap/>
            <w:vAlign w:val="center"/>
            <w:hideMark/>
          </w:tcPr>
          <w:p w14:paraId="458952F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96,68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03FD64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93,93</w:t>
            </w:r>
            <w:r>
              <w:rPr>
                <w:rFonts w:ascii="Arial" w:eastAsia="Times New Roman" w:hAnsi="Arial" w:cs="Arial"/>
                <w:color w:val="000000"/>
                <w:sz w:val="18"/>
                <w:szCs w:val="18"/>
                <w:lang w:eastAsia="sl-SI"/>
              </w:rPr>
              <w:t xml:space="preserve"> %</w:t>
            </w:r>
          </w:p>
        </w:tc>
      </w:tr>
      <w:tr w:rsidR="00072A69" w:rsidRPr="0050206D" w14:paraId="065235EA" w14:textId="77777777" w:rsidTr="00AC1F17">
        <w:trPr>
          <w:trHeight w:val="300"/>
        </w:trPr>
        <w:tc>
          <w:tcPr>
            <w:tcW w:w="857" w:type="pct"/>
            <w:vMerge/>
            <w:vAlign w:val="center"/>
            <w:hideMark/>
          </w:tcPr>
          <w:p w14:paraId="46039FE2"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4198B21"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Srbija</w:t>
            </w:r>
          </w:p>
        </w:tc>
        <w:tc>
          <w:tcPr>
            <w:tcW w:w="658" w:type="pct"/>
            <w:shd w:val="clear" w:color="auto" w:fill="auto"/>
            <w:vAlign w:val="center"/>
            <w:hideMark/>
          </w:tcPr>
          <w:p w14:paraId="32FB254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67D2597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505.000</w:t>
            </w:r>
          </w:p>
        </w:tc>
        <w:tc>
          <w:tcPr>
            <w:tcW w:w="525" w:type="pct"/>
            <w:shd w:val="clear" w:color="auto" w:fill="auto"/>
            <w:noWrap/>
            <w:vAlign w:val="center"/>
            <w:hideMark/>
          </w:tcPr>
          <w:p w14:paraId="0BBF961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FEE5C2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072A69" w:rsidRPr="0050206D" w14:paraId="1177BC0B" w14:textId="77777777" w:rsidTr="00AC1F17">
        <w:trPr>
          <w:trHeight w:val="300"/>
        </w:trPr>
        <w:tc>
          <w:tcPr>
            <w:tcW w:w="857" w:type="pct"/>
            <w:vMerge/>
            <w:vAlign w:val="center"/>
            <w:hideMark/>
          </w:tcPr>
          <w:p w14:paraId="1AEAFB25"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3B18991"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Španija</w:t>
            </w:r>
          </w:p>
        </w:tc>
        <w:tc>
          <w:tcPr>
            <w:tcW w:w="658" w:type="pct"/>
            <w:shd w:val="clear" w:color="auto" w:fill="auto"/>
            <w:vAlign w:val="center"/>
            <w:hideMark/>
          </w:tcPr>
          <w:p w14:paraId="0CF7525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w:t>
            </w:r>
          </w:p>
        </w:tc>
        <w:tc>
          <w:tcPr>
            <w:tcW w:w="713" w:type="pct"/>
            <w:shd w:val="clear" w:color="auto" w:fill="auto"/>
            <w:vAlign w:val="center"/>
            <w:hideMark/>
          </w:tcPr>
          <w:p w14:paraId="071DFB0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805.122</w:t>
            </w:r>
          </w:p>
        </w:tc>
        <w:tc>
          <w:tcPr>
            <w:tcW w:w="525" w:type="pct"/>
            <w:shd w:val="clear" w:color="auto" w:fill="auto"/>
            <w:noWrap/>
            <w:vAlign w:val="center"/>
            <w:hideMark/>
          </w:tcPr>
          <w:p w14:paraId="2434940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01F07B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072A69" w:rsidRPr="0050206D" w14:paraId="363F3ADD" w14:textId="77777777" w:rsidTr="00AC1F17">
        <w:trPr>
          <w:trHeight w:val="300"/>
        </w:trPr>
        <w:tc>
          <w:tcPr>
            <w:tcW w:w="857" w:type="pct"/>
            <w:vMerge/>
            <w:vAlign w:val="center"/>
            <w:hideMark/>
          </w:tcPr>
          <w:p w14:paraId="3975AD31"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7281F74E"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Švedska</w:t>
            </w:r>
          </w:p>
        </w:tc>
        <w:tc>
          <w:tcPr>
            <w:tcW w:w="658" w:type="pct"/>
            <w:shd w:val="clear" w:color="auto" w:fill="auto"/>
            <w:vAlign w:val="center"/>
            <w:hideMark/>
          </w:tcPr>
          <w:p w14:paraId="7EF9689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w:t>
            </w:r>
          </w:p>
        </w:tc>
        <w:tc>
          <w:tcPr>
            <w:tcW w:w="713" w:type="pct"/>
            <w:shd w:val="clear" w:color="auto" w:fill="auto"/>
            <w:vAlign w:val="center"/>
            <w:hideMark/>
          </w:tcPr>
          <w:p w14:paraId="412F43D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646.012</w:t>
            </w:r>
          </w:p>
        </w:tc>
        <w:tc>
          <w:tcPr>
            <w:tcW w:w="525" w:type="pct"/>
            <w:shd w:val="clear" w:color="auto" w:fill="auto"/>
            <w:noWrap/>
            <w:vAlign w:val="center"/>
            <w:hideMark/>
          </w:tcPr>
          <w:p w14:paraId="4D4ABC9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730CD4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072A69" w:rsidRPr="0050206D" w14:paraId="741F0F49" w14:textId="77777777" w:rsidTr="00AC1F17">
        <w:trPr>
          <w:trHeight w:val="300"/>
        </w:trPr>
        <w:tc>
          <w:tcPr>
            <w:tcW w:w="857" w:type="pct"/>
            <w:vMerge/>
            <w:vAlign w:val="center"/>
            <w:hideMark/>
          </w:tcPr>
          <w:p w14:paraId="32C1FA9D"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6B83A11"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Švica</w:t>
            </w:r>
          </w:p>
        </w:tc>
        <w:tc>
          <w:tcPr>
            <w:tcW w:w="658" w:type="pct"/>
            <w:shd w:val="clear" w:color="auto" w:fill="auto"/>
            <w:vAlign w:val="center"/>
            <w:hideMark/>
          </w:tcPr>
          <w:p w14:paraId="749880A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w:t>
            </w:r>
          </w:p>
        </w:tc>
        <w:tc>
          <w:tcPr>
            <w:tcW w:w="713" w:type="pct"/>
            <w:shd w:val="clear" w:color="auto" w:fill="auto"/>
            <w:vAlign w:val="center"/>
            <w:hideMark/>
          </w:tcPr>
          <w:p w14:paraId="198B9441"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898.740</w:t>
            </w:r>
          </w:p>
        </w:tc>
        <w:tc>
          <w:tcPr>
            <w:tcW w:w="525" w:type="pct"/>
            <w:shd w:val="clear" w:color="auto" w:fill="auto"/>
            <w:noWrap/>
            <w:vAlign w:val="center"/>
            <w:hideMark/>
          </w:tcPr>
          <w:p w14:paraId="1AC34D8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1819ADE"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072A69" w:rsidRPr="0050206D" w14:paraId="19E4D1B5" w14:textId="77777777" w:rsidTr="00AC1F17">
        <w:trPr>
          <w:trHeight w:val="300"/>
        </w:trPr>
        <w:tc>
          <w:tcPr>
            <w:tcW w:w="857" w:type="pct"/>
            <w:vMerge/>
            <w:vAlign w:val="center"/>
            <w:hideMark/>
          </w:tcPr>
          <w:p w14:paraId="669A5F26"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4B4129EB"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Združene države Amerike</w:t>
            </w:r>
          </w:p>
        </w:tc>
        <w:tc>
          <w:tcPr>
            <w:tcW w:w="658" w:type="pct"/>
            <w:shd w:val="clear" w:color="auto" w:fill="auto"/>
            <w:vAlign w:val="center"/>
            <w:hideMark/>
          </w:tcPr>
          <w:p w14:paraId="1DF1F28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15</w:t>
            </w:r>
          </w:p>
        </w:tc>
        <w:tc>
          <w:tcPr>
            <w:tcW w:w="713" w:type="pct"/>
            <w:shd w:val="clear" w:color="auto" w:fill="auto"/>
            <w:vAlign w:val="center"/>
            <w:hideMark/>
          </w:tcPr>
          <w:p w14:paraId="65F26DA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2.184.018</w:t>
            </w:r>
          </w:p>
        </w:tc>
        <w:tc>
          <w:tcPr>
            <w:tcW w:w="525" w:type="pct"/>
            <w:shd w:val="clear" w:color="auto" w:fill="auto"/>
            <w:noWrap/>
            <w:vAlign w:val="center"/>
            <w:hideMark/>
          </w:tcPr>
          <w:p w14:paraId="206476A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927E0B8"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r>
      <w:tr w:rsidR="00072A69" w:rsidRPr="0050206D" w14:paraId="18793A9D" w14:textId="77777777" w:rsidTr="00AC1F17">
        <w:trPr>
          <w:trHeight w:val="300"/>
        </w:trPr>
        <w:tc>
          <w:tcPr>
            <w:tcW w:w="857" w:type="pct"/>
            <w:vMerge/>
            <w:vAlign w:val="center"/>
            <w:hideMark/>
          </w:tcPr>
          <w:p w14:paraId="7A4DBE94"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13952BF4"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Združeno kraljestvo</w:t>
            </w:r>
          </w:p>
        </w:tc>
        <w:tc>
          <w:tcPr>
            <w:tcW w:w="658" w:type="pct"/>
            <w:shd w:val="clear" w:color="auto" w:fill="auto"/>
            <w:vAlign w:val="center"/>
            <w:hideMark/>
          </w:tcPr>
          <w:p w14:paraId="5CC3F09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w:t>
            </w:r>
          </w:p>
        </w:tc>
        <w:tc>
          <w:tcPr>
            <w:tcW w:w="713" w:type="pct"/>
            <w:shd w:val="clear" w:color="auto" w:fill="auto"/>
            <w:vAlign w:val="center"/>
            <w:hideMark/>
          </w:tcPr>
          <w:p w14:paraId="63F2304A"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4.967.170</w:t>
            </w:r>
          </w:p>
        </w:tc>
        <w:tc>
          <w:tcPr>
            <w:tcW w:w="525" w:type="pct"/>
            <w:shd w:val="clear" w:color="auto" w:fill="auto"/>
            <w:noWrap/>
            <w:vAlign w:val="center"/>
            <w:hideMark/>
          </w:tcPr>
          <w:p w14:paraId="5D3379B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AD27FB0"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r>
      <w:tr w:rsidR="00072A69" w:rsidRPr="0050206D" w14:paraId="64BB0529" w14:textId="77777777" w:rsidTr="00AC1F17">
        <w:trPr>
          <w:trHeight w:val="300"/>
        </w:trPr>
        <w:tc>
          <w:tcPr>
            <w:tcW w:w="857" w:type="pct"/>
            <w:vMerge/>
            <w:vAlign w:val="center"/>
            <w:hideMark/>
          </w:tcPr>
          <w:p w14:paraId="7DCA4AEF"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4A9B1FA" w14:textId="77777777" w:rsidR="00072A69" w:rsidRPr="0050206D" w:rsidRDefault="00072A69" w:rsidP="00AC1F17">
            <w:pPr>
              <w:spacing w:after="0" w:line="240" w:lineRule="auto"/>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Skupaj</w:t>
            </w:r>
          </w:p>
        </w:tc>
        <w:tc>
          <w:tcPr>
            <w:tcW w:w="658" w:type="pct"/>
            <w:shd w:val="clear" w:color="auto" w:fill="auto"/>
            <w:vAlign w:val="center"/>
            <w:hideMark/>
          </w:tcPr>
          <w:p w14:paraId="0D1DA71B"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3.890</w:t>
            </w:r>
          </w:p>
        </w:tc>
        <w:tc>
          <w:tcPr>
            <w:tcW w:w="713" w:type="pct"/>
            <w:shd w:val="clear" w:color="auto" w:fill="auto"/>
            <w:vAlign w:val="center"/>
            <w:hideMark/>
          </w:tcPr>
          <w:p w14:paraId="45A05DC5"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763.942.082</w:t>
            </w:r>
          </w:p>
        </w:tc>
        <w:tc>
          <w:tcPr>
            <w:tcW w:w="525" w:type="pct"/>
            <w:shd w:val="clear" w:color="auto" w:fill="auto"/>
            <w:noWrap/>
            <w:vAlign w:val="center"/>
            <w:hideMark/>
          </w:tcPr>
          <w:p w14:paraId="343A39CA"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38C7D173"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50206D" w14:paraId="6ECED4FD" w14:textId="77777777" w:rsidTr="00AC1F17">
        <w:trPr>
          <w:trHeight w:val="300"/>
        </w:trPr>
        <w:tc>
          <w:tcPr>
            <w:tcW w:w="857" w:type="pct"/>
            <w:vMerge w:val="restart"/>
            <w:shd w:val="clear" w:color="auto" w:fill="auto"/>
            <w:vAlign w:val="center"/>
            <w:hideMark/>
          </w:tcPr>
          <w:p w14:paraId="75C1F4AC" w14:textId="77777777" w:rsidR="00072A69" w:rsidRPr="0050206D" w:rsidRDefault="00072A69" w:rsidP="00AC1F17">
            <w:pPr>
              <w:spacing w:after="0" w:line="240" w:lineRule="auto"/>
              <w:jc w:val="center"/>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Gradnje</w:t>
            </w:r>
          </w:p>
        </w:tc>
        <w:tc>
          <w:tcPr>
            <w:tcW w:w="1721" w:type="pct"/>
            <w:shd w:val="clear" w:color="auto" w:fill="auto"/>
            <w:vAlign w:val="center"/>
            <w:hideMark/>
          </w:tcPr>
          <w:p w14:paraId="2CD45136"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Avstrija</w:t>
            </w:r>
          </w:p>
        </w:tc>
        <w:tc>
          <w:tcPr>
            <w:tcW w:w="658" w:type="pct"/>
            <w:shd w:val="clear" w:color="auto" w:fill="auto"/>
            <w:vAlign w:val="center"/>
            <w:hideMark/>
          </w:tcPr>
          <w:p w14:paraId="683C5FA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6F2E7E1B"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13.611.815</w:t>
            </w:r>
          </w:p>
        </w:tc>
        <w:tc>
          <w:tcPr>
            <w:tcW w:w="525" w:type="pct"/>
            <w:shd w:val="clear" w:color="auto" w:fill="auto"/>
            <w:noWrap/>
            <w:vAlign w:val="center"/>
            <w:hideMark/>
          </w:tcPr>
          <w:p w14:paraId="65A8B5F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45A7F3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1,42</w:t>
            </w:r>
            <w:r>
              <w:rPr>
                <w:rFonts w:ascii="Arial" w:eastAsia="Times New Roman" w:hAnsi="Arial" w:cs="Arial"/>
                <w:color w:val="000000"/>
                <w:sz w:val="18"/>
                <w:szCs w:val="18"/>
                <w:lang w:eastAsia="sl-SI"/>
              </w:rPr>
              <w:t xml:space="preserve"> %</w:t>
            </w:r>
          </w:p>
        </w:tc>
      </w:tr>
      <w:tr w:rsidR="00072A69" w:rsidRPr="0050206D" w14:paraId="3F46170B" w14:textId="77777777" w:rsidTr="00AC1F17">
        <w:trPr>
          <w:trHeight w:val="300"/>
        </w:trPr>
        <w:tc>
          <w:tcPr>
            <w:tcW w:w="857" w:type="pct"/>
            <w:vMerge/>
            <w:vAlign w:val="center"/>
            <w:hideMark/>
          </w:tcPr>
          <w:p w14:paraId="0FCDEBB8"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69D8A46B"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Hrvaška</w:t>
            </w:r>
          </w:p>
        </w:tc>
        <w:tc>
          <w:tcPr>
            <w:tcW w:w="658" w:type="pct"/>
            <w:shd w:val="clear" w:color="auto" w:fill="auto"/>
            <w:vAlign w:val="center"/>
            <w:hideMark/>
          </w:tcPr>
          <w:p w14:paraId="37288E0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w:t>
            </w:r>
          </w:p>
        </w:tc>
        <w:tc>
          <w:tcPr>
            <w:tcW w:w="713" w:type="pct"/>
            <w:shd w:val="clear" w:color="auto" w:fill="auto"/>
            <w:vAlign w:val="center"/>
            <w:hideMark/>
          </w:tcPr>
          <w:p w14:paraId="29DCED9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7.477.934</w:t>
            </w:r>
          </w:p>
        </w:tc>
        <w:tc>
          <w:tcPr>
            <w:tcW w:w="525" w:type="pct"/>
            <w:shd w:val="clear" w:color="auto" w:fill="auto"/>
            <w:noWrap/>
            <w:vAlign w:val="center"/>
            <w:hideMark/>
          </w:tcPr>
          <w:p w14:paraId="1B92C3C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86D2C37"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0,78</w:t>
            </w:r>
            <w:r>
              <w:rPr>
                <w:rFonts w:ascii="Arial" w:eastAsia="Times New Roman" w:hAnsi="Arial" w:cs="Arial"/>
                <w:color w:val="000000"/>
                <w:sz w:val="18"/>
                <w:szCs w:val="18"/>
                <w:lang w:eastAsia="sl-SI"/>
              </w:rPr>
              <w:t xml:space="preserve"> %</w:t>
            </w:r>
          </w:p>
        </w:tc>
      </w:tr>
      <w:tr w:rsidR="00072A69" w:rsidRPr="0050206D" w14:paraId="516FA753" w14:textId="77777777" w:rsidTr="00AC1F17">
        <w:trPr>
          <w:trHeight w:val="300"/>
        </w:trPr>
        <w:tc>
          <w:tcPr>
            <w:tcW w:w="857" w:type="pct"/>
            <w:vMerge/>
            <w:vAlign w:val="center"/>
            <w:hideMark/>
          </w:tcPr>
          <w:p w14:paraId="7EEECB65"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9FDF00F"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Italija</w:t>
            </w:r>
          </w:p>
        </w:tc>
        <w:tc>
          <w:tcPr>
            <w:tcW w:w="658" w:type="pct"/>
            <w:shd w:val="clear" w:color="auto" w:fill="auto"/>
            <w:vAlign w:val="center"/>
            <w:hideMark/>
          </w:tcPr>
          <w:p w14:paraId="0DEF276D"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2AC8280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59.492</w:t>
            </w:r>
          </w:p>
        </w:tc>
        <w:tc>
          <w:tcPr>
            <w:tcW w:w="525" w:type="pct"/>
            <w:shd w:val="clear" w:color="auto" w:fill="auto"/>
            <w:noWrap/>
            <w:vAlign w:val="center"/>
            <w:hideMark/>
          </w:tcPr>
          <w:p w14:paraId="5BB3C365"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A5BDE66"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50206D" w14:paraId="4B2BB5A4" w14:textId="77777777" w:rsidTr="00AC1F17">
        <w:trPr>
          <w:trHeight w:val="300"/>
        </w:trPr>
        <w:tc>
          <w:tcPr>
            <w:tcW w:w="857" w:type="pct"/>
            <w:vMerge/>
            <w:vAlign w:val="center"/>
            <w:hideMark/>
          </w:tcPr>
          <w:p w14:paraId="437304CD"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2E8C0AA9"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Madžarska</w:t>
            </w:r>
          </w:p>
        </w:tc>
        <w:tc>
          <w:tcPr>
            <w:tcW w:w="658" w:type="pct"/>
            <w:shd w:val="clear" w:color="auto" w:fill="auto"/>
            <w:vAlign w:val="center"/>
            <w:hideMark/>
          </w:tcPr>
          <w:p w14:paraId="4D81B53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1</w:t>
            </w:r>
          </w:p>
        </w:tc>
        <w:tc>
          <w:tcPr>
            <w:tcW w:w="713" w:type="pct"/>
            <w:shd w:val="clear" w:color="auto" w:fill="auto"/>
            <w:vAlign w:val="center"/>
            <w:hideMark/>
          </w:tcPr>
          <w:p w14:paraId="04128F5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25.834</w:t>
            </w:r>
          </w:p>
        </w:tc>
        <w:tc>
          <w:tcPr>
            <w:tcW w:w="525" w:type="pct"/>
            <w:shd w:val="clear" w:color="auto" w:fill="auto"/>
            <w:noWrap/>
            <w:vAlign w:val="center"/>
            <w:hideMark/>
          </w:tcPr>
          <w:p w14:paraId="571206EC"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9A07169"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50206D" w14:paraId="581261CD" w14:textId="77777777" w:rsidTr="00AC1F17">
        <w:trPr>
          <w:trHeight w:val="300"/>
        </w:trPr>
        <w:tc>
          <w:tcPr>
            <w:tcW w:w="857" w:type="pct"/>
            <w:vMerge/>
            <w:vAlign w:val="center"/>
            <w:hideMark/>
          </w:tcPr>
          <w:p w14:paraId="66E42F04"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5AEC8F82" w14:textId="77777777" w:rsidR="00072A69" w:rsidRPr="0050206D" w:rsidRDefault="00072A69" w:rsidP="00AC1F17">
            <w:pPr>
              <w:spacing w:after="0" w:line="240" w:lineRule="auto"/>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Slovenija</w:t>
            </w:r>
          </w:p>
        </w:tc>
        <w:tc>
          <w:tcPr>
            <w:tcW w:w="658" w:type="pct"/>
            <w:shd w:val="clear" w:color="auto" w:fill="auto"/>
            <w:vAlign w:val="center"/>
            <w:hideMark/>
          </w:tcPr>
          <w:p w14:paraId="404A4D03"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2.002</w:t>
            </w:r>
          </w:p>
        </w:tc>
        <w:tc>
          <w:tcPr>
            <w:tcW w:w="713" w:type="pct"/>
            <w:shd w:val="clear" w:color="auto" w:fill="auto"/>
            <w:vAlign w:val="center"/>
            <w:hideMark/>
          </w:tcPr>
          <w:p w14:paraId="7D793D4F"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935.851.456</w:t>
            </w:r>
          </w:p>
        </w:tc>
        <w:tc>
          <w:tcPr>
            <w:tcW w:w="525" w:type="pct"/>
            <w:shd w:val="clear" w:color="auto" w:fill="auto"/>
            <w:noWrap/>
            <w:vAlign w:val="center"/>
            <w:hideMark/>
          </w:tcPr>
          <w:p w14:paraId="2F31FC02"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99,70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B9D9964" w14:textId="77777777" w:rsidR="00072A69" w:rsidRPr="0050206D" w:rsidRDefault="00072A69" w:rsidP="00AC1F17">
            <w:pPr>
              <w:spacing w:after="0" w:line="240" w:lineRule="auto"/>
              <w:jc w:val="right"/>
              <w:rPr>
                <w:rFonts w:ascii="Arial" w:eastAsia="Times New Roman" w:hAnsi="Arial" w:cs="Arial"/>
                <w:color w:val="000000"/>
                <w:sz w:val="18"/>
                <w:szCs w:val="18"/>
                <w:lang w:eastAsia="sl-SI"/>
              </w:rPr>
            </w:pPr>
            <w:r w:rsidRPr="0050206D">
              <w:rPr>
                <w:rFonts w:ascii="Arial" w:eastAsia="Times New Roman" w:hAnsi="Arial" w:cs="Arial"/>
                <w:color w:val="000000"/>
                <w:sz w:val="18"/>
                <w:szCs w:val="18"/>
                <w:lang w:eastAsia="sl-SI"/>
              </w:rPr>
              <w:t>97,79</w:t>
            </w:r>
            <w:r>
              <w:rPr>
                <w:rFonts w:ascii="Arial" w:eastAsia="Times New Roman" w:hAnsi="Arial" w:cs="Arial"/>
                <w:color w:val="000000"/>
                <w:sz w:val="18"/>
                <w:szCs w:val="18"/>
                <w:lang w:eastAsia="sl-SI"/>
              </w:rPr>
              <w:t xml:space="preserve"> %</w:t>
            </w:r>
          </w:p>
        </w:tc>
      </w:tr>
      <w:tr w:rsidR="00072A69" w:rsidRPr="0050206D" w14:paraId="145DCD8C" w14:textId="77777777" w:rsidTr="00AC1F17">
        <w:trPr>
          <w:trHeight w:val="300"/>
        </w:trPr>
        <w:tc>
          <w:tcPr>
            <w:tcW w:w="857" w:type="pct"/>
            <w:vMerge/>
            <w:vAlign w:val="center"/>
            <w:hideMark/>
          </w:tcPr>
          <w:p w14:paraId="543ED275" w14:textId="77777777" w:rsidR="00072A69" w:rsidRPr="0050206D" w:rsidRDefault="00072A69" w:rsidP="00AC1F17">
            <w:pPr>
              <w:spacing w:after="0" w:line="240" w:lineRule="auto"/>
              <w:rPr>
                <w:rFonts w:ascii="Arial" w:eastAsia="Times New Roman" w:hAnsi="Arial" w:cs="Arial"/>
                <w:color w:val="000000"/>
                <w:sz w:val="18"/>
                <w:szCs w:val="18"/>
                <w:lang w:eastAsia="sl-SI"/>
              </w:rPr>
            </w:pPr>
          </w:p>
        </w:tc>
        <w:tc>
          <w:tcPr>
            <w:tcW w:w="1721" w:type="pct"/>
            <w:shd w:val="clear" w:color="auto" w:fill="auto"/>
            <w:vAlign w:val="center"/>
            <w:hideMark/>
          </w:tcPr>
          <w:p w14:paraId="091CBC4E" w14:textId="77777777" w:rsidR="00072A69" w:rsidRPr="0050206D" w:rsidRDefault="00072A69" w:rsidP="00AC1F17">
            <w:pPr>
              <w:spacing w:after="0" w:line="240" w:lineRule="auto"/>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Skupaj</w:t>
            </w:r>
          </w:p>
        </w:tc>
        <w:tc>
          <w:tcPr>
            <w:tcW w:w="658" w:type="pct"/>
            <w:shd w:val="clear" w:color="auto" w:fill="auto"/>
            <w:noWrap/>
            <w:vAlign w:val="center"/>
            <w:hideMark/>
          </w:tcPr>
          <w:p w14:paraId="2E70C218"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2.008</w:t>
            </w:r>
          </w:p>
        </w:tc>
        <w:tc>
          <w:tcPr>
            <w:tcW w:w="713" w:type="pct"/>
            <w:shd w:val="clear" w:color="auto" w:fill="auto"/>
            <w:noWrap/>
            <w:vAlign w:val="center"/>
            <w:hideMark/>
          </w:tcPr>
          <w:p w14:paraId="36D2F0AE"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957.026.531</w:t>
            </w:r>
          </w:p>
        </w:tc>
        <w:tc>
          <w:tcPr>
            <w:tcW w:w="525" w:type="pct"/>
            <w:shd w:val="clear" w:color="auto" w:fill="auto"/>
            <w:noWrap/>
            <w:vAlign w:val="center"/>
            <w:hideMark/>
          </w:tcPr>
          <w:p w14:paraId="55681482"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4E79C24"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50206D" w14:paraId="3F1EBCC7" w14:textId="77777777" w:rsidTr="00AC1F17">
        <w:trPr>
          <w:gridAfter w:val="2"/>
          <w:wAfter w:w="1051" w:type="pct"/>
          <w:trHeight w:val="300"/>
        </w:trPr>
        <w:tc>
          <w:tcPr>
            <w:tcW w:w="2578" w:type="pct"/>
            <w:gridSpan w:val="2"/>
            <w:shd w:val="clear" w:color="auto" w:fill="E7E6E6" w:themeFill="background2"/>
            <w:vAlign w:val="center"/>
            <w:hideMark/>
          </w:tcPr>
          <w:p w14:paraId="6DA33DBC" w14:textId="77777777" w:rsidR="00072A69" w:rsidRPr="0050206D" w:rsidRDefault="00072A69" w:rsidP="00AC1F17">
            <w:pPr>
              <w:spacing w:after="0" w:line="240" w:lineRule="auto"/>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Skupaj</w:t>
            </w:r>
          </w:p>
        </w:tc>
        <w:tc>
          <w:tcPr>
            <w:tcW w:w="658" w:type="pct"/>
            <w:shd w:val="clear" w:color="auto" w:fill="E7E6E6" w:themeFill="background2"/>
            <w:noWrap/>
            <w:vAlign w:val="center"/>
            <w:hideMark/>
          </w:tcPr>
          <w:p w14:paraId="2A84593F"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16.865</w:t>
            </w:r>
          </w:p>
        </w:tc>
        <w:tc>
          <w:tcPr>
            <w:tcW w:w="713" w:type="pct"/>
            <w:shd w:val="clear" w:color="auto" w:fill="E7E6E6" w:themeFill="background2"/>
            <w:noWrap/>
            <w:vAlign w:val="center"/>
            <w:hideMark/>
          </w:tcPr>
          <w:p w14:paraId="32609AC8" w14:textId="77777777" w:rsidR="00072A69" w:rsidRPr="0050206D" w:rsidRDefault="00072A69" w:rsidP="00AC1F17">
            <w:pPr>
              <w:spacing w:after="0" w:line="240" w:lineRule="auto"/>
              <w:jc w:val="right"/>
              <w:rPr>
                <w:rFonts w:ascii="Arial" w:eastAsia="Times New Roman" w:hAnsi="Arial" w:cs="Arial"/>
                <w:b/>
                <w:bCs/>
                <w:color w:val="000000"/>
                <w:sz w:val="18"/>
                <w:szCs w:val="18"/>
                <w:lang w:eastAsia="sl-SI"/>
              </w:rPr>
            </w:pPr>
            <w:r w:rsidRPr="0050206D">
              <w:rPr>
                <w:rFonts w:ascii="Arial" w:eastAsia="Times New Roman" w:hAnsi="Arial" w:cs="Arial"/>
                <w:b/>
                <w:bCs/>
                <w:color w:val="000000"/>
                <w:sz w:val="18"/>
                <w:szCs w:val="18"/>
                <w:lang w:eastAsia="sl-SI"/>
              </w:rPr>
              <w:t>2.918.594.609</w:t>
            </w:r>
          </w:p>
        </w:tc>
      </w:tr>
    </w:tbl>
    <w:p w14:paraId="193CFB22" w14:textId="77777777" w:rsidR="00072A69" w:rsidRPr="00EF2D0B" w:rsidRDefault="00072A69" w:rsidP="00072A69">
      <w:pPr>
        <w:spacing w:before="120" w:after="120" w:line="240" w:lineRule="auto"/>
        <w:jc w:val="both"/>
        <w:rPr>
          <w:rFonts w:ascii="Arial" w:hAnsi="Arial" w:cs="Arial"/>
          <w:sz w:val="20"/>
          <w:highlight w:val="yellow"/>
        </w:rPr>
      </w:pPr>
    </w:p>
    <w:p w14:paraId="537AFCD9" w14:textId="11D21FD6" w:rsidR="00072A69" w:rsidRPr="002E2AD3" w:rsidRDefault="00072A69" w:rsidP="00072A69">
      <w:pPr>
        <w:spacing w:before="120" w:after="120" w:line="240" w:lineRule="auto"/>
        <w:jc w:val="both"/>
        <w:rPr>
          <w:rFonts w:ascii="Arial" w:hAnsi="Arial" w:cs="Arial"/>
          <w:sz w:val="20"/>
        </w:rPr>
      </w:pPr>
      <w:r w:rsidRPr="002E2AD3">
        <w:rPr>
          <w:rFonts w:ascii="Arial" w:hAnsi="Arial" w:cs="Arial"/>
          <w:sz w:val="20"/>
        </w:rPr>
        <w:t>Preglednica 10</w:t>
      </w:r>
      <w:r w:rsidR="00D23EC0">
        <w:rPr>
          <w:rFonts w:ascii="Arial" w:hAnsi="Arial" w:cs="Arial"/>
          <w:sz w:val="20"/>
        </w:rPr>
        <w:t>0</w:t>
      </w:r>
      <w:r w:rsidRPr="002E2AD3">
        <w:rPr>
          <w:rFonts w:ascii="Arial" w:hAnsi="Arial" w:cs="Arial"/>
          <w:sz w:val="20"/>
        </w:rPr>
        <w:t>: Oddani sklopi glede na sedež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5"/>
        <w:gridCol w:w="3666"/>
        <w:gridCol w:w="1843"/>
        <w:gridCol w:w="1838"/>
      </w:tblGrid>
      <w:tr w:rsidR="00072A69" w:rsidRPr="00C47C25" w14:paraId="694AE9BE" w14:textId="77777777" w:rsidTr="00C320EE">
        <w:trPr>
          <w:trHeight w:val="480"/>
          <w:tblHeader/>
        </w:trPr>
        <w:tc>
          <w:tcPr>
            <w:tcW w:w="946" w:type="pct"/>
            <w:shd w:val="clear" w:color="000000" w:fill="EDEDED"/>
            <w:vAlign w:val="center"/>
            <w:hideMark/>
          </w:tcPr>
          <w:p w14:paraId="30430532"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Ponudnik - država</w:t>
            </w:r>
          </w:p>
        </w:tc>
        <w:tc>
          <w:tcPr>
            <w:tcW w:w="2023" w:type="pct"/>
            <w:shd w:val="clear" w:color="000000" w:fill="EDEDED"/>
            <w:vAlign w:val="center"/>
            <w:hideMark/>
          </w:tcPr>
          <w:p w14:paraId="162B2C61" w14:textId="77777777" w:rsidR="00072A69" w:rsidRPr="00C47C25" w:rsidRDefault="00072A69" w:rsidP="00AC1F17">
            <w:pPr>
              <w:spacing w:after="0" w:line="240" w:lineRule="auto"/>
              <w:jc w:val="center"/>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Država ponudnika</w:t>
            </w:r>
          </w:p>
        </w:tc>
        <w:tc>
          <w:tcPr>
            <w:tcW w:w="1017" w:type="pct"/>
            <w:shd w:val="clear" w:color="000000" w:fill="EDEDED"/>
            <w:vAlign w:val="center"/>
            <w:hideMark/>
          </w:tcPr>
          <w:p w14:paraId="11523738" w14:textId="77777777" w:rsidR="00072A69" w:rsidRPr="00C47C25" w:rsidRDefault="00072A69" w:rsidP="00AC1F17">
            <w:pPr>
              <w:spacing w:after="0" w:line="240" w:lineRule="auto"/>
              <w:jc w:val="center"/>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Št. naročil</w:t>
            </w:r>
          </w:p>
        </w:tc>
        <w:tc>
          <w:tcPr>
            <w:tcW w:w="1014" w:type="pct"/>
            <w:shd w:val="clear" w:color="000000" w:fill="EDEDED"/>
            <w:vAlign w:val="center"/>
            <w:hideMark/>
          </w:tcPr>
          <w:p w14:paraId="1A1D18BE" w14:textId="77777777" w:rsidR="00072A69" w:rsidRPr="00C47C25" w:rsidRDefault="00072A69" w:rsidP="00AC1F17">
            <w:pPr>
              <w:spacing w:after="0" w:line="240" w:lineRule="auto"/>
              <w:jc w:val="center"/>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Pogodbena vrednost</w:t>
            </w:r>
          </w:p>
        </w:tc>
      </w:tr>
      <w:tr w:rsidR="00072A69" w:rsidRPr="00C47C25" w14:paraId="60BF14B7" w14:textId="77777777" w:rsidTr="00AC1F17">
        <w:trPr>
          <w:trHeight w:val="300"/>
        </w:trPr>
        <w:tc>
          <w:tcPr>
            <w:tcW w:w="946" w:type="pct"/>
            <w:shd w:val="clear" w:color="auto" w:fill="auto"/>
            <w:vAlign w:val="center"/>
            <w:hideMark/>
          </w:tcPr>
          <w:p w14:paraId="79F60B1E" w14:textId="77777777" w:rsidR="00072A69" w:rsidRPr="00C47C25" w:rsidRDefault="00072A69" w:rsidP="00AC1F17">
            <w:pPr>
              <w:spacing w:after="0" w:line="240" w:lineRule="auto"/>
              <w:jc w:val="center"/>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Slovenija</w:t>
            </w:r>
          </w:p>
        </w:tc>
        <w:tc>
          <w:tcPr>
            <w:tcW w:w="2023" w:type="pct"/>
            <w:shd w:val="clear" w:color="auto" w:fill="auto"/>
            <w:vAlign w:val="center"/>
            <w:hideMark/>
          </w:tcPr>
          <w:p w14:paraId="6F1569B8" w14:textId="77777777" w:rsidR="00072A69" w:rsidRPr="00C47C25" w:rsidRDefault="00072A69" w:rsidP="00AC1F17">
            <w:pPr>
              <w:spacing w:after="0" w:line="240" w:lineRule="auto"/>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Skupaj</w:t>
            </w:r>
          </w:p>
        </w:tc>
        <w:tc>
          <w:tcPr>
            <w:tcW w:w="1017" w:type="pct"/>
            <w:shd w:val="clear" w:color="auto" w:fill="auto"/>
            <w:vAlign w:val="center"/>
            <w:hideMark/>
          </w:tcPr>
          <w:p w14:paraId="2385A05F"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16.459</w:t>
            </w:r>
          </w:p>
        </w:tc>
        <w:tc>
          <w:tcPr>
            <w:tcW w:w="1014" w:type="pct"/>
            <w:shd w:val="clear" w:color="auto" w:fill="auto"/>
            <w:vAlign w:val="center"/>
            <w:hideMark/>
          </w:tcPr>
          <w:p w14:paraId="58661EF9"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2.530.228.873</w:t>
            </w:r>
          </w:p>
        </w:tc>
      </w:tr>
      <w:tr w:rsidR="00072A69" w:rsidRPr="00C47C25" w14:paraId="4D6F46D8" w14:textId="77777777" w:rsidTr="00AC1F17">
        <w:trPr>
          <w:trHeight w:val="300"/>
        </w:trPr>
        <w:tc>
          <w:tcPr>
            <w:tcW w:w="946" w:type="pct"/>
            <w:vMerge w:val="restart"/>
            <w:shd w:val="clear" w:color="auto" w:fill="auto"/>
            <w:vAlign w:val="center"/>
            <w:hideMark/>
          </w:tcPr>
          <w:p w14:paraId="1D8A9DA7" w14:textId="77777777" w:rsidR="00072A69" w:rsidRPr="00C47C25" w:rsidRDefault="00072A69" w:rsidP="00AC1F17">
            <w:pPr>
              <w:spacing w:after="0" w:line="240" w:lineRule="auto"/>
              <w:jc w:val="center"/>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EU</w:t>
            </w:r>
          </w:p>
        </w:tc>
        <w:tc>
          <w:tcPr>
            <w:tcW w:w="2023" w:type="pct"/>
            <w:shd w:val="clear" w:color="auto" w:fill="auto"/>
            <w:vAlign w:val="center"/>
            <w:hideMark/>
          </w:tcPr>
          <w:p w14:paraId="69CEDC18"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Avstrija</w:t>
            </w:r>
          </w:p>
        </w:tc>
        <w:tc>
          <w:tcPr>
            <w:tcW w:w="1017" w:type="pct"/>
            <w:shd w:val="clear" w:color="auto" w:fill="auto"/>
            <w:vAlign w:val="center"/>
            <w:hideMark/>
          </w:tcPr>
          <w:p w14:paraId="3FDE690C"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60</w:t>
            </w:r>
          </w:p>
        </w:tc>
        <w:tc>
          <w:tcPr>
            <w:tcW w:w="1014" w:type="pct"/>
            <w:shd w:val="clear" w:color="auto" w:fill="auto"/>
            <w:vAlign w:val="center"/>
            <w:hideMark/>
          </w:tcPr>
          <w:p w14:paraId="5270D384"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53.467.576</w:t>
            </w:r>
          </w:p>
        </w:tc>
      </w:tr>
      <w:tr w:rsidR="00072A69" w:rsidRPr="00C47C25" w14:paraId="716EA171" w14:textId="77777777" w:rsidTr="00AC1F17">
        <w:trPr>
          <w:trHeight w:val="300"/>
        </w:trPr>
        <w:tc>
          <w:tcPr>
            <w:tcW w:w="946" w:type="pct"/>
            <w:vMerge/>
            <w:vAlign w:val="center"/>
            <w:hideMark/>
          </w:tcPr>
          <w:p w14:paraId="40FDA8C8"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5E40D21A"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Belgija</w:t>
            </w:r>
          </w:p>
        </w:tc>
        <w:tc>
          <w:tcPr>
            <w:tcW w:w="1017" w:type="pct"/>
            <w:shd w:val="clear" w:color="auto" w:fill="auto"/>
            <w:vAlign w:val="center"/>
            <w:hideMark/>
          </w:tcPr>
          <w:p w14:paraId="77C91A4A"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9</w:t>
            </w:r>
          </w:p>
        </w:tc>
        <w:tc>
          <w:tcPr>
            <w:tcW w:w="1014" w:type="pct"/>
            <w:shd w:val="clear" w:color="auto" w:fill="auto"/>
            <w:vAlign w:val="center"/>
            <w:hideMark/>
          </w:tcPr>
          <w:p w14:paraId="790289D5"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5.445.990</w:t>
            </w:r>
          </w:p>
        </w:tc>
      </w:tr>
      <w:tr w:rsidR="00072A69" w:rsidRPr="00C47C25" w14:paraId="6E05376A" w14:textId="77777777" w:rsidTr="00AC1F17">
        <w:trPr>
          <w:trHeight w:val="300"/>
        </w:trPr>
        <w:tc>
          <w:tcPr>
            <w:tcW w:w="946" w:type="pct"/>
            <w:vMerge/>
            <w:vAlign w:val="center"/>
            <w:hideMark/>
          </w:tcPr>
          <w:p w14:paraId="3C347000"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42B984E5"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Češka republika</w:t>
            </w:r>
          </w:p>
        </w:tc>
        <w:tc>
          <w:tcPr>
            <w:tcW w:w="1017" w:type="pct"/>
            <w:shd w:val="clear" w:color="auto" w:fill="auto"/>
            <w:vAlign w:val="center"/>
            <w:hideMark/>
          </w:tcPr>
          <w:p w14:paraId="622C1750"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17</w:t>
            </w:r>
          </w:p>
        </w:tc>
        <w:tc>
          <w:tcPr>
            <w:tcW w:w="1014" w:type="pct"/>
            <w:shd w:val="clear" w:color="auto" w:fill="auto"/>
            <w:vAlign w:val="center"/>
            <w:hideMark/>
          </w:tcPr>
          <w:p w14:paraId="508734E6"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8.928.300</w:t>
            </w:r>
          </w:p>
        </w:tc>
      </w:tr>
      <w:tr w:rsidR="00072A69" w:rsidRPr="00C47C25" w14:paraId="211FF9B0" w14:textId="77777777" w:rsidTr="00AC1F17">
        <w:trPr>
          <w:trHeight w:val="300"/>
        </w:trPr>
        <w:tc>
          <w:tcPr>
            <w:tcW w:w="946" w:type="pct"/>
            <w:vMerge/>
            <w:vAlign w:val="center"/>
            <w:hideMark/>
          </w:tcPr>
          <w:p w14:paraId="592BD1DF"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11F354D"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Danska</w:t>
            </w:r>
          </w:p>
        </w:tc>
        <w:tc>
          <w:tcPr>
            <w:tcW w:w="1017" w:type="pct"/>
            <w:shd w:val="clear" w:color="auto" w:fill="auto"/>
            <w:vAlign w:val="center"/>
            <w:hideMark/>
          </w:tcPr>
          <w:p w14:paraId="254C83EC"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4</w:t>
            </w:r>
          </w:p>
        </w:tc>
        <w:tc>
          <w:tcPr>
            <w:tcW w:w="1014" w:type="pct"/>
            <w:shd w:val="clear" w:color="auto" w:fill="auto"/>
            <w:vAlign w:val="center"/>
            <w:hideMark/>
          </w:tcPr>
          <w:p w14:paraId="036DAA03"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1.030.960</w:t>
            </w:r>
          </w:p>
        </w:tc>
      </w:tr>
      <w:tr w:rsidR="00072A69" w:rsidRPr="00C47C25" w14:paraId="4262426B" w14:textId="77777777" w:rsidTr="00AC1F17">
        <w:trPr>
          <w:trHeight w:val="300"/>
        </w:trPr>
        <w:tc>
          <w:tcPr>
            <w:tcW w:w="946" w:type="pct"/>
            <w:vMerge/>
            <w:vAlign w:val="center"/>
            <w:hideMark/>
          </w:tcPr>
          <w:p w14:paraId="62BAA6CB"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2D9DB7BD"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Finska</w:t>
            </w:r>
          </w:p>
        </w:tc>
        <w:tc>
          <w:tcPr>
            <w:tcW w:w="1017" w:type="pct"/>
            <w:shd w:val="clear" w:color="auto" w:fill="auto"/>
            <w:vAlign w:val="center"/>
            <w:hideMark/>
          </w:tcPr>
          <w:p w14:paraId="169EA4BB"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4</w:t>
            </w:r>
          </w:p>
        </w:tc>
        <w:tc>
          <w:tcPr>
            <w:tcW w:w="1014" w:type="pct"/>
            <w:shd w:val="clear" w:color="auto" w:fill="auto"/>
            <w:vAlign w:val="center"/>
            <w:hideMark/>
          </w:tcPr>
          <w:p w14:paraId="5F224FF5"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9.917.389</w:t>
            </w:r>
          </w:p>
        </w:tc>
      </w:tr>
      <w:tr w:rsidR="00072A69" w:rsidRPr="00C47C25" w14:paraId="11606CC1" w14:textId="77777777" w:rsidTr="00AC1F17">
        <w:trPr>
          <w:trHeight w:val="300"/>
        </w:trPr>
        <w:tc>
          <w:tcPr>
            <w:tcW w:w="946" w:type="pct"/>
            <w:vMerge/>
            <w:vAlign w:val="center"/>
            <w:hideMark/>
          </w:tcPr>
          <w:p w14:paraId="4E9AE999"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28006D8C"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Francija</w:t>
            </w:r>
          </w:p>
        </w:tc>
        <w:tc>
          <w:tcPr>
            <w:tcW w:w="1017" w:type="pct"/>
            <w:shd w:val="clear" w:color="auto" w:fill="auto"/>
            <w:vAlign w:val="center"/>
            <w:hideMark/>
          </w:tcPr>
          <w:p w14:paraId="33775AF8"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14</w:t>
            </w:r>
          </w:p>
        </w:tc>
        <w:tc>
          <w:tcPr>
            <w:tcW w:w="1014" w:type="pct"/>
            <w:shd w:val="clear" w:color="auto" w:fill="auto"/>
            <w:vAlign w:val="center"/>
            <w:hideMark/>
          </w:tcPr>
          <w:p w14:paraId="04E99E0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3.785.174</w:t>
            </w:r>
          </w:p>
        </w:tc>
      </w:tr>
      <w:tr w:rsidR="00072A69" w:rsidRPr="00C47C25" w14:paraId="24C78B51" w14:textId="77777777" w:rsidTr="00AC1F17">
        <w:trPr>
          <w:trHeight w:val="300"/>
        </w:trPr>
        <w:tc>
          <w:tcPr>
            <w:tcW w:w="946" w:type="pct"/>
            <w:vMerge/>
            <w:vAlign w:val="center"/>
            <w:hideMark/>
          </w:tcPr>
          <w:p w14:paraId="3B38E568"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10C59097"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Hrvaška</w:t>
            </w:r>
          </w:p>
        </w:tc>
        <w:tc>
          <w:tcPr>
            <w:tcW w:w="1017" w:type="pct"/>
            <w:shd w:val="clear" w:color="auto" w:fill="auto"/>
            <w:vAlign w:val="center"/>
            <w:hideMark/>
          </w:tcPr>
          <w:p w14:paraId="0648A11D"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65</w:t>
            </w:r>
          </w:p>
        </w:tc>
        <w:tc>
          <w:tcPr>
            <w:tcW w:w="1014" w:type="pct"/>
            <w:shd w:val="clear" w:color="auto" w:fill="auto"/>
            <w:vAlign w:val="center"/>
            <w:hideMark/>
          </w:tcPr>
          <w:p w14:paraId="2B59881D"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19.466.642</w:t>
            </w:r>
          </w:p>
        </w:tc>
      </w:tr>
      <w:tr w:rsidR="00072A69" w:rsidRPr="00C47C25" w14:paraId="7479D7AF" w14:textId="77777777" w:rsidTr="00AC1F17">
        <w:trPr>
          <w:trHeight w:val="300"/>
        </w:trPr>
        <w:tc>
          <w:tcPr>
            <w:tcW w:w="946" w:type="pct"/>
            <w:vMerge/>
            <w:vAlign w:val="center"/>
            <w:hideMark/>
          </w:tcPr>
          <w:p w14:paraId="1638608B"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BDC7E3B"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Italija</w:t>
            </w:r>
          </w:p>
        </w:tc>
        <w:tc>
          <w:tcPr>
            <w:tcW w:w="1017" w:type="pct"/>
            <w:shd w:val="clear" w:color="auto" w:fill="auto"/>
            <w:vAlign w:val="center"/>
            <w:hideMark/>
          </w:tcPr>
          <w:p w14:paraId="24E346B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41</w:t>
            </w:r>
          </w:p>
        </w:tc>
        <w:tc>
          <w:tcPr>
            <w:tcW w:w="1014" w:type="pct"/>
            <w:shd w:val="clear" w:color="auto" w:fill="auto"/>
            <w:vAlign w:val="center"/>
            <w:hideMark/>
          </w:tcPr>
          <w:p w14:paraId="3E1CDDE8"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21.418.391</w:t>
            </w:r>
          </w:p>
        </w:tc>
      </w:tr>
      <w:tr w:rsidR="00072A69" w:rsidRPr="00C47C25" w14:paraId="6D731620" w14:textId="77777777" w:rsidTr="00AC1F17">
        <w:trPr>
          <w:trHeight w:val="300"/>
        </w:trPr>
        <w:tc>
          <w:tcPr>
            <w:tcW w:w="946" w:type="pct"/>
            <w:vMerge/>
            <w:vAlign w:val="center"/>
            <w:hideMark/>
          </w:tcPr>
          <w:p w14:paraId="01543C94"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17A4B1BD"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Luksemburg</w:t>
            </w:r>
          </w:p>
        </w:tc>
        <w:tc>
          <w:tcPr>
            <w:tcW w:w="1017" w:type="pct"/>
            <w:shd w:val="clear" w:color="auto" w:fill="auto"/>
            <w:vAlign w:val="center"/>
            <w:hideMark/>
          </w:tcPr>
          <w:p w14:paraId="24436D70"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2</w:t>
            </w:r>
          </w:p>
        </w:tc>
        <w:tc>
          <w:tcPr>
            <w:tcW w:w="1014" w:type="pct"/>
            <w:shd w:val="clear" w:color="auto" w:fill="auto"/>
            <w:vAlign w:val="center"/>
            <w:hideMark/>
          </w:tcPr>
          <w:p w14:paraId="49CA357F"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299.149</w:t>
            </w:r>
          </w:p>
        </w:tc>
      </w:tr>
      <w:tr w:rsidR="00072A69" w:rsidRPr="00C47C25" w14:paraId="69031A33" w14:textId="77777777" w:rsidTr="00AC1F17">
        <w:trPr>
          <w:trHeight w:val="300"/>
        </w:trPr>
        <w:tc>
          <w:tcPr>
            <w:tcW w:w="946" w:type="pct"/>
            <w:vMerge/>
            <w:vAlign w:val="center"/>
            <w:hideMark/>
          </w:tcPr>
          <w:p w14:paraId="7324A8A2"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606634FA"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Madžarska</w:t>
            </w:r>
          </w:p>
        </w:tc>
        <w:tc>
          <w:tcPr>
            <w:tcW w:w="1017" w:type="pct"/>
            <w:shd w:val="clear" w:color="auto" w:fill="auto"/>
            <w:vAlign w:val="center"/>
            <w:hideMark/>
          </w:tcPr>
          <w:p w14:paraId="4C0B4AD6"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5</w:t>
            </w:r>
          </w:p>
        </w:tc>
        <w:tc>
          <w:tcPr>
            <w:tcW w:w="1014" w:type="pct"/>
            <w:shd w:val="clear" w:color="auto" w:fill="auto"/>
            <w:vAlign w:val="center"/>
            <w:hideMark/>
          </w:tcPr>
          <w:p w14:paraId="6842E2C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961.826</w:t>
            </w:r>
          </w:p>
        </w:tc>
      </w:tr>
      <w:tr w:rsidR="00072A69" w:rsidRPr="00C47C25" w14:paraId="3BBB9782" w14:textId="77777777" w:rsidTr="00AC1F17">
        <w:trPr>
          <w:trHeight w:val="300"/>
        </w:trPr>
        <w:tc>
          <w:tcPr>
            <w:tcW w:w="946" w:type="pct"/>
            <w:vMerge/>
            <w:vAlign w:val="center"/>
            <w:hideMark/>
          </w:tcPr>
          <w:p w14:paraId="371106EC"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234350E5"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Nemčija</w:t>
            </w:r>
          </w:p>
        </w:tc>
        <w:tc>
          <w:tcPr>
            <w:tcW w:w="1017" w:type="pct"/>
            <w:shd w:val="clear" w:color="auto" w:fill="auto"/>
            <w:vAlign w:val="center"/>
            <w:hideMark/>
          </w:tcPr>
          <w:p w14:paraId="68832DC4"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57</w:t>
            </w:r>
          </w:p>
        </w:tc>
        <w:tc>
          <w:tcPr>
            <w:tcW w:w="1014" w:type="pct"/>
            <w:shd w:val="clear" w:color="auto" w:fill="auto"/>
            <w:vAlign w:val="center"/>
            <w:hideMark/>
          </w:tcPr>
          <w:p w14:paraId="0B7FAA7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36.986.841</w:t>
            </w:r>
          </w:p>
        </w:tc>
      </w:tr>
      <w:tr w:rsidR="00072A69" w:rsidRPr="00C47C25" w14:paraId="5214EDAC" w14:textId="77777777" w:rsidTr="00AC1F17">
        <w:trPr>
          <w:trHeight w:val="300"/>
        </w:trPr>
        <w:tc>
          <w:tcPr>
            <w:tcW w:w="946" w:type="pct"/>
            <w:vMerge/>
            <w:vAlign w:val="center"/>
            <w:hideMark/>
          </w:tcPr>
          <w:p w14:paraId="26B02EDE"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5002CFEB"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Nizozemska</w:t>
            </w:r>
          </w:p>
        </w:tc>
        <w:tc>
          <w:tcPr>
            <w:tcW w:w="1017" w:type="pct"/>
            <w:shd w:val="clear" w:color="auto" w:fill="auto"/>
            <w:vAlign w:val="center"/>
            <w:hideMark/>
          </w:tcPr>
          <w:p w14:paraId="16EF38F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10</w:t>
            </w:r>
          </w:p>
        </w:tc>
        <w:tc>
          <w:tcPr>
            <w:tcW w:w="1014" w:type="pct"/>
            <w:shd w:val="clear" w:color="auto" w:fill="auto"/>
            <w:vAlign w:val="center"/>
            <w:hideMark/>
          </w:tcPr>
          <w:p w14:paraId="726970AF"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4.021.902</w:t>
            </w:r>
          </w:p>
        </w:tc>
      </w:tr>
      <w:tr w:rsidR="00072A69" w:rsidRPr="00C47C25" w14:paraId="5E11D49C" w14:textId="77777777" w:rsidTr="00AC1F17">
        <w:trPr>
          <w:trHeight w:val="300"/>
        </w:trPr>
        <w:tc>
          <w:tcPr>
            <w:tcW w:w="946" w:type="pct"/>
            <w:vMerge/>
            <w:vAlign w:val="center"/>
            <w:hideMark/>
          </w:tcPr>
          <w:p w14:paraId="07EEC252"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6DA1674D"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Norveška</w:t>
            </w:r>
          </w:p>
        </w:tc>
        <w:tc>
          <w:tcPr>
            <w:tcW w:w="1017" w:type="pct"/>
            <w:shd w:val="clear" w:color="auto" w:fill="auto"/>
            <w:vAlign w:val="center"/>
            <w:hideMark/>
          </w:tcPr>
          <w:p w14:paraId="6404F8EB"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2DCE4AA1"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669.508</w:t>
            </w:r>
          </w:p>
        </w:tc>
      </w:tr>
      <w:tr w:rsidR="00072A69" w:rsidRPr="00C47C25" w14:paraId="62328730" w14:textId="77777777" w:rsidTr="00AC1F17">
        <w:trPr>
          <w:trHeight w:val="300"/>
        </w:trPr>
        <w:tc>
          <w:tcPr>
            <w:tcW w:w="946" w:type="pct"/>
            <w:vMerge/>
            <w:vAlign w:val="center"/>
            <w:hideMark/>
          </w:tcPr>
          <w:p w14:paraId="6D164181"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9DBF418"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Poljska</w:t>
            </w:r>
          </w:p>
        </w:tc>
        <w:tc>
          <w:tcPr>
            <w:tcW w:w="1017" w:type="pct"/>
            <w:shd w:val="clear" w:color="auto" w:fill="auto"/>
            <w:vAlign w:val="center"/>
            <w:hideMark/>
          </w:tcPr>
          <w:p w14:paraId="562FE481"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w:t>
            </w:r>
          </w:p>
        </w:tc>
        <w:tc>
          <w:tcPr>
            <w:tcW w:w="1014" w:type="pct"/>
            <w:shd w:val="clear" w:color="auto" w:fill="auto"/>
            <w:vAlign w:val="center"/>
            <w:hideMark/>
          </w:tcPr>
          <w:p w14:paraId="065E1404"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170.270.680</w:t>
            </w:r>
          </w:p>
        </w:tc>
      </w:tr>
      <w:tr w:rsidR="00072A69" w:rsidRPr="00C47C25" w14:paraId="1470EF82" w14:textId="77777777" w:rsidTr="00AC1F17">
        <w:trPr>
          <w:trHeight w:val="300"/>
        </w:trPr>
        <w:tc>
          <w:tcPr>
            <w:tcW w:w="946" w:type="pct"/>
            <w:vMerge/>
            <w:vAlign w:val="center"/>
            <w:hideMark/>
          </w:tcPr>
          <w:p w14:paraId="47791CF2"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C5847F5"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Slovaška</w:t>
            </w:r>
          </w:p>
        </w:tc>
        <w:tc>
          <w:tcPr>
            <w:tcW w:w="1017" w:type="pct"/>
            <w:shd w:val="clear" w:color="auto" w:fill="auto"/>
            <w:vAlign w:val="center"/>
            <w:hideMark/>
          </w:tcPr>
          <w:p w14:paraId="31CD45E4"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2AFF050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1.646.640</w:t>
            </w:r>
          </w:p>
        </w:tc>
      </w:tr>
      <w:tr w:rsidR="00072A69" w:rsidRPr="00C47C25" w14:paraId="6A325386" w14:textId="77777777" w:rsidTr="00AC1F17">
        <w:trPr>
          <w:trHeight w:val="300"/>
        </w:trPr>
        <w:tc>
          <w:tcPr>
            <w:tcW w:w="946" w:type="pct"/>
            <w:vMerge/>
            <w:vAlign w:val="center"/>
            <w:hideMark/>
          </w:tcPr>
          <w:p w14:paraId="4BA0FB68"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79D9B2EC"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Španija</w:t>
            </w:r>
          </w:p>
        </w:tc>
        <w:tc>
          <w:tcPr>
            <w:tcW w:w="1017" w:type="pct"/>
            <w:shd w:val="clear" w:color="auto" w:fill="auto"/>
            <w:vAlign w:val="center"/>
            <w:hideMark/>
          </w:tcPr>
          <w:p w14:paraId="2FB20863"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11</w:t>
            </w:r>
          </w:p>
        </w:tc>
        <w:tc>
          <w:tcPr>
            <w:tcW w:w="1014" w:type="pct"/>
            <w:shd w:val="clear" w:color="auto" w:fill="auto"/>
            <w:vAlign w:val="center"/>
            <w:hideMark/>
          </w:tcPr>
          <w:p w14:paraId="5BF89328"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4.702.769</w:t>
            </w:r>
          </w:p>
        </w:tc>
      </w:tr>
      <w:tr w:rsidR="00072A69" w:rsidRPr="00C47C25" w14:paraId="5970B1C9" w14:textId="77777777" w:rsidTr="00AC1F17">
        <w:trPr>
          <w:trHeight w:val="300"/>
        </w:trPr>
        <w:tc>
          <w:tcPr>
            <w:tcW w:w="946" w:type="pct"/>
            <w:vMerge/>
            <w:vAlign w:val="center"/>
            <w:hideMark/>
          </w:tcPr>
          <w:p w14:paraId="27BB2E66"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52EFB60D"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Švedska</w:t>
            </w:r>
          </w:p>
        </w:tc>
        <w:tc>
          <w:tcPr>
            <w:tcW w:w="1017" w:type="pct"/>
            <w:shd w:val="clear" w:color="auto" w:fill="auto"/>
            <w:vAlign w:val="center"/>
            <w:hideMark/>
          </w:tcPr>
          <w:p w14:paraId="5127F700"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7</w:t>
            </w:r>
          </w:p>
        </w:tc>
        <w:tc>
          <w:tcPr>
            <w:tcW w:w="1014" w:type="pct"/>
            <w:shd w:val="clear" w:color="auto" w:fill="auto"/>
            <w:vAlign w:val="center"/>
            <w:hideMark/>
          </w:tcPr>
          <w:p w14:paraId="053B9285"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2.491.686</w:t>
            </w:r>
          </w:p>
        </w:tc>
      </w:tr>
      <w:tr w:rsidR="00072A69" w:rsidRPr="00C47C25" w14:paraId="57C2FC74" w14:textId="77777777" w:rsidTr="00AC1F17">
        <w:trPr>
          <w:trHeight w:val="300"/>
        </w:trPr>
        <w:tc>
          <w:tcPr>
            <w:tcW w:w="946" w:type="pct"/>
            <w:vMerge/>
            <w:vAlign w:val="center"/>
            <w:hideMark/>
          </w:tcPr>
          <w:p w14:paraId="53615212"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57966583"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Švica</w:t>
            </w:r>
          </w:p>
        </w:tc>
        <w:tc>
          <w:tcPr>
            <w:tcW w:w="1017" w:type="pct"/>
            <w:shd w:val="clear" w:color="auto" w:fill="auto"/>
            <w:vAlign w:val="center"/>
            <w:hideMark/>
          </w:tcPr>
          <w:p w14:paraId="3FC13EC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13</w:t>
            </w:r>
          </w:p>
        </w:tc>
        <w:tc>
          <w:tcPr>
            <w:tcW w:w="1014" w:type="pct"/>
            <w:shd w:val="clear" w:color="auto" w:fill="auto"/>
            <w:vAlign w:val="center"/>
            <w:hideMark/>
          </w:tcPr>
          <w:p w14:paraId="739289F2"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12.925.754</w:t>
            </w:r>
          </w:p>
        </w:tc>
      </w:tr>
      <w:tr w:rsidR="00072A69" w:rsidRPr="00C47C25" w14:paraId="464DC51C" w14:textId="77777777" w:rsidTr="00AC1F17">
        <w:trPr>
          <w:trHeight w:val="300"/>
        </w:trPr>
        <w:tc>
          <w:tcPr>
            <w:tcW w:w="946" w:type="pct"/>
            <w:vMerge/>
            <w:vAlign w:val="center"/>
            <w:hideMark/>
          </w:tcPr>
          <w:p w14:paraId="6E5BCB93"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529DB3A6"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Turčija</w:t>
            </w:r>
          </w:p>
        </w:tc>
        <w:tc>
          <w:tcPr>
            <w:tcW w:w="1017" w:type="pct"/>
            <w:shd w:val="clear" w:color="auto" w:fill="auto"/>
            <w:vAlign w:val="center"/>
            <w:hideMark/>
          </w:tcPr>
          <w:p w14:paraId="0701BADB"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w:t>
            </w:r>
          </w:p>
        </w:tc>
        <w:tc>
          <w:tcPr>
            <w:tcW w:w="1014" w:type="pct"/>
            <w:shd w:val="clear" w:color="auto" w:fill="auto"/>
            <w:vAlign w:val="center"/>
            <w:hideMark/>
          </w:tcPr>
          <w:p w14:paraId="686A04F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311.498</w:t>
            </w:r>
          </w:p>
        </w:tc>
      </w:tr>
      <w:tr w:rsidR="00072A69" w:rsidRPr="00C47C25" w14:paraId="560AB2E6" w14:textId="77777777" w:rsidTr="00AC1F17">
        <w:trPr>
          <w:trHeight w:val="300"/>
        </w:trPr>
        <w:tc>
          <w:tcPr>
            <w:tcW w:w="946" w:type="pct"/>
            <w:vMerge/>
            <w:vAlign w:val="center"/>
            <w:hideMark/>
          </w:tcPr>
          <w:p w14:paraId="308F984B"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FD235EA"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Združeno kraljestvo</w:t>
            </w:r>
          </w:p>
        </w:tc>
        <w:tc>
          <w:tcPr>
            <w:tcW w:w="1017" w:type="pct"/>
            <w:shd w:val="clear" w:color="auto" w:fill="auto"/>
            <w:vAlign w:val="center"/>
            <w:hideMark/>
          </w:tcPr>
          <w:p w14:paraId="0E6AFC1F"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19</w:t>
            </w:r>
          </w:p>
        </w:tc>
        <w:tc>
          <w:tcPr>
            <w:tcW w:w="1014" w:type="pct"/>
            <w:shd w:val="clear" w:color="auto" w:fill="auto"/>
            <w:vAlign w:val="center"/>
            <w:hideMark/>
          </w:tcPr>
          <w:p w14:paraId="3956E7E3"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8.685.881</w:t>
            </w:r>
          </w:p>
        </w:tc>
      </w:tr>
      <w:tr w:rsidR="00072A69" w:rsidRPr="00C47C25" w14:paraId="5F4E48F8" w14:textId="77777777" w:rsidTr="00AC1F17">
        <w:trPr>
          <w:trHeight w:val="300"/>
        </w:trPr>
        <w:tc>
          <w:tcPr>
            <w:tcW w:w="946" w:type="pct"/>
            <w:vMerge/>
            <w:vAlign w:val="center"/>
            <w:hideMark/>
          </w:tcPr>
          <w:p w14:paraId="737E0DAC"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45DF83CF" w14:textId="77777777" w:rsidR="00072A69" w:rsidRPr="00C47C25" w:rsidRDefault="00072A69" w:rsidP="00AC1F17">
            <w:pPr>
              <w:spacing w:after="0" w:line="240" w:lineRule="auto"/>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Skupaj</w:t>
            </w:r>
          </w:p>
        </w:tc>
        <w:tc>
          <w:tcPr>
            <w:tcW w:w="1017" w:type="pct"/>
            <w:shd w:val="clear" w:color="auto" w:fill="auto"/>
            <w:vAlign w:val="center"/>
            <w:hideMark/>
          </w:tcPr>
          <w:p w14:paraId="2AD06DA6"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346</w:t>
            </w:r>
          </w:p>
        </w:tc>
        <w:tc>
          <w:tcPr>
            <w:tcW w:w="1014" w:type="pct"/>
            <w:shd w:val="clear" w:color="auto" w:fill="auto"/>
            <w:vAlign w:val="center"/>
            <w:hideMark/>
          </w:tcPr>
          <w:p w14:paraId="190B3DCB"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367.434.556</w:t>
            </w:r>
          </w:p>
        </w:tc>
      </w:tr>
      <w:tr w:rsidR="00072A69" w:rsidRPr="00C47C25" w14:paraId="799B4AD6" w14:textId="77777777" w:rsidTr="00AC1F17">
        <w:trPr>
          <w:trHeight w:val="300"/>
        </w:trPr>
        <w:tc>
          <w:tcPr>
            <w:tcW w:w="946" w:type="pct"/>
            <w:vMerge w:val="restart"/>
            <w:shd w:val="clear" w:color="auto" w:fill="auto"/>
            <w:vAlign w:val="center"/>
            <w:hideMark/>
          </w:tcPr>
          <w:p w14:paraId="59524316" w14:textId="77777777" w:rsidR="00072A69" w:rsidRPr="00C47C25" w:rsidRDefault="00072A69" w:rsidP="00AC1F1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w:t>
            </w:r>
            <w:r w:rsidRPr="00C47C25">
              <w:rPr>
                <w:rFonts w:ascii="Arial" w:eastAsia="Times New Roman" w:hAnsi="Arial" w:cs="Arial"/>
                <w:color w:val="000000"/>
                <w:sz w:val="18"/>
                <w:szCs w:val="18"/>
                <w:lang w:eastAsia="sl-SI"/>
              </w:rPr>
              <w:t>zven EU</w:t>
            </w:r>
          </w:p>
        </w:tc>
        <w:tc>
          <w:tcPr>
            <w:tcW w:w="2023" w:type="pct"/>
            <w:shd w:val="clear" w:color="auto" w:fill="auto"/>
            <w:vAlign w:val="center"/>
            <w:hideMark/>
          </w:tcPr>
          <w:p w14:paraId="43E47989" w14:textId="77777777" w:rsidR="00072A69" w:rsidRPr="00C47C25" w:rsidRDefault="00072A69" w:rsidP="00AC1F17">
            <w:pPr>
              <w:spacing w:after="0" w:line="240" w:lineRule="auto"/>
              <w:rPr>
                <w:rFonts w:ascii="Arial" w:eastAsia="Times New Roman" w:hAnsi="Arial" w:cs="Arial"/>
                <w:color w:val="000000"/>
                <w:sz w:val="18"/>
                <w:szCs w:val="18"/>
                <w:lang w:eastAsia="sl-SI"/>
              </w:rPr>
            </w:pPr>
            <w:proofErr w:type="spellStart"/>
            <w:r w:rsidRPr="00C47C25">
              <w:rPr>
                <w:rFonts w:ascii="Arial" w:eastAsia="Times New Roman" w:hAnsi="Arial" w:cs="Arial"/>
                <w:color w:val="000000"/>
                <w:sz w:val="18"/>
                <w:szCs w:val="18"/>
                <w:lang w:eastAsia="sl-SI"/>
              </w:rPr>
              <w:t>Hong</w:t>
            </w:r>
            <w:proofErr w:type="spellEnd"/>
            <w:r w:rsidRPr="00C47C25">
              <w:rPr>
                <w:rFonts w:ascii="Arial" w:eastAsia="Times New Roman" w:hAnsi="Arial" w:cs="Arial"/>
                <w:color w:val="000000"/>
                <w:sz w:val="18"/>
                <w:szCs w:val="18"/>
                <w:lang w:eastAsia="sl-SI"/>
              </w:rPr>
              <w:t xml:space="preserve"> </w:t>
            </w:r>
            <w:proofErr w:type="spellStart"/>
            <w:r w:rsidRPr="00C47C25">
              <w:rPr>
                <w:rFonts w:ascii="Arial" w:eastAsia="Times New Roman" w:hAnsi="Arial" w:cs="Arial"/>
                <w:color w:val="000000"/>
                <w:sz w:val="18"/>
                <w:szCs w:val="18"/>
                <w:lang w:eastAsia="sl-SI"/>
              </w:rPr>
              <w:t>Kong</w:t>
            </w:r>
            <w:proofErr w:type="spellEnd"/>
          </w:p>
        </w:tc>
        <w:tc>
          <w:tcPr>
            <w:tcW w:w="1017" w:type="pct"/>
            <w:shd w:val="clear" w:color="auto" w:fill="auto"/>
            <w:vAlign w:val="center"/>
            <w:hideMark/>
          </w:tcPr>
          <w:p w14:paraId="2F174EBE"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2C349DED"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230.894</w:t>
            </w:r>
          </w:p>
        </w:tc>
      </w:tr>
      <w:tr w:rsidR="00072A69" w:rsidRPr="00C47C25" w14:paraId="6E788F38" w14:textId="77777777" w:rsidTr="00AC1F17">
        <w:trPr>
          <w:trHeight w:val="300"/>
        </w:trPr>
        <w:tc>
          <w:tcPr>
            <w:tcW w:w="946" w:type="pct"/>
            <w:vMerge/>
            <w:vAlign w:val="center"/>
            <w:hideMark/>
          </w:tcPr>
          <w:p w14:paraId="5592E75B"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7FC27262" w14:textId="77777777" w:rsidR="00072A69" w:rsidRPr="00C47C25" w:rsidRDefault="00072A69" w:rsidP="00AC1F17">
            <w:pPr>
              <w:spacing w:after="0" w:line="240" w:lineRule="auto"/>
              <w:rPr>
                <w:rFonts w:ascii="Arial" w:eastAsia="Times New Roman" w:hAnsi="Arial" w:cs="Arial"/>
                <w:color w:val="000000"/>
                <w:sz w:val="18"/>
                <w:szCs w:val="18"/>
                <w:lang w:eastAsia="sl-SI"/>
              </w:rPr>
            </w:pPr>
            <w:proofErr w:type="spellStart"/>
            <w:r w:rsidRPr="00C47C25">
              <w:rPr>
                <w:rFonts w:ascii="Arial" w:eastAsia="Times New Roman" w:hAnsi="Arial" w:cs="Arial"/>
                <w:color w:val="000000"/>
                <w:sz w:val="18"/>
                <w:szCs w:val="18"/>
                <w:lang w:eastAsia="sl-SI"/>
              </w:rPr>
              <w:t>Isle</w:t>
            </w:r>
            <w:proofErr w:type="spellEnd"/>
            <w:r w:rsidRPr="00C47C25">
              <w:rPr>
                <w:rFonts w:ascii="Arial" w:eastAsia="Times New Roman" w:hAnsi="Arial" w:cs="Arial"/>
                <w:color w:val="000000"/>
                <w:sz w:val="18"/>
                <w:szCs w:val="18"/>
                <w:lang w:eastAsia="sl-SI"/>
              </w:rPr>
              <w:t xml:space="preserve"> </w:t>
            </w:r>
            <w:proofErr w:type="spellStart"/>
            <w:r w:rsidRPr="00C47C25">
              <w:rPr>
                <w:rFonts w:ascii="Arial" w:eastAsia="Times New Roman" w:hAnsi="Arial" w:cs="Arial"/>
                <w:color w:val="000000"/>
                <w:sz w:val="18"/>
                <w:szCs w:val="18"/>
                <w:lang w:eastAsia="sl-SI"/>
              </w:rPr>
              <w:t>of</w:t>
            </w:r>
            <w:proofErr w:type="spellEnd"/>
            <w:r w:rsidRPr="00C47C25">
              <w:rPr>
                <w:rFonts w:ascii="Arial" w:eastAsia="Times New Roman" w:hAnsi="Arial" w:cs="Arial"/>
                <w:color w:val="000000"/>
                <w:sz w:val="18"/>
                <w:szCs w:val="18"/>
                <w:lang w:eastAsia="sl-SI"/>
              </w:rPr>
              <w:t xml:space="preserve"> Man</w:t>
            </w:r>
          </w:p>
        </w:tc>
        <w:tc>
          <w:tcPr>
            <w:tcW w:w="1017" w:type="pct"/>
            <w:shd w:val="clear" w:color="auto" w:fill="auto"/>
            <w:vAlign w:val="center"/>
            <w:hideMark/>
          </w:tcPr>
          <w:p w14:paraId="61AB221F"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7D48D74D"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38.854</w:t>
            </w:r>
          </w:p>
        </w:tc>
      </w:tr>
      <w:tr w:rsidR="00072A69" w:rsidRPr="00C47C25" w14:paraId="21735705" w14:textId="77777777" w:rsidTr="00AC1F17">
        <w:trPr>
          <w:trHeight w:val="300"/>
        </w:trPr>
        <w:tc>
          <w:tcPr>
            <w:tcW w:w="946" w:type="pct"/>
            <w:vMerge/>
            <w:vAlign w:val="center"/>
            <w:hideMark/>
          </w:tcPr>
          <w:p w14:paraId="221B4710"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B820410"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Japonska</w:t>
            </w:r>
          </w:p>
        </w:tc>
        <w:tc>
          <w:tcPr>
            <w:tcW w:w="1017" w:type="pct"/>
            <w:shd w:val="clear" w:color="auto" w:fill="auto"/>
            <w:vAlign w:val="center"/>
            <w:hideMark/>
          </w:tcPr>
          <w:p w14:paraId="15E285B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w:t>
            </w:r>
          </w:p>
        </w:tc>
        <w:tc>
          <w:tcPr>
            <w:tcW w:w="1014" w:type="pct"/>
            <w:shd w:val="clear" w:color="auto" w:fill="auto"/>
            <w:vAlign w:val="center"/>
            <w:hideMark/>
          </w:tcPr>
          <w:p w14:paraId="2E30CE9E"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6.325.050</w:t>
            </w:r>
          </w:p>
        </w:tc>
      </w:tr>
      <w:tr w:rsidR="00072A69" w:rsidRPr="00C47C25" w14:paraId="70F0613D" w14:textId="77777777" w:rsidTr="00AC1F17">
        <w:trPr>
          <w:trHeight w:val="300"/>
        </w:trPr>
        <w:tc>
          <w:tcPr>
            <w:tcW w:w="946" w:type="pct"/>
            <w:vMerge/>
            <w:vAlign w:val="center"/>
            <w:hideMark/>
          </w:tcPr>
          <w:p w14:paraId="60DE2990"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45ED75D8"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Kanada</w:t>
            </w:r>
          </w:p>
        </w:tc>
        <w:tc>
          <w:tcPr>
            <w:tcW w:w="1017" w:type="pct"/>
            <w:shd w:val="clear" w:color="auto" w:fill="auto"/>
            <w:vAlign w:val="center"/>
            <w:hideMark/>
          </w:tcPr>
          <w:p w14:paraId="41CEB4F6"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320124E0"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50.155</w:t>
            </w:r>
          </w:p>
        </w:tc>
      </w:tr>
      <w:tr w:rsidR="00072A69" w:rsidRPr="00C47C25" w14:paraId="5EA034C0" w14:textId="77777777" w:rsidTr="00AC1F17">
        <w:trPr>
          <w:trHeight w:val="300"/>
        </w:trPr>
        <w:tc>
          <w:tcPr>
            <w:tcW w:w="946" w:type="pct"/>
            <w:vMerge/>
            <w:vAlign w:val="center"/>
            <w:hideMark/>
          </w:tcPr>
          <w:p w14:paraId="50CF6662"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3F9795F1"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Nekdanja jug. republika Makedonija</w:t>
            </w:r>
          </w:p>
        </w:tc>
        <w:tc>
          <w:tcPr>
            <w:tcW w:w="1017" w:type="pct"/>
            <w:shd w:val="clear" w:color="auto" w:fill="auto"/>
            <w:vAlign w:val="center"/>
            <w:hideMark/>
          </w:tcPr>
          <w:p w14:paraId="35601E4F"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43779BC9"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1.199.600</w:t>
            </w:r>
          </w:p>
        </w:tc>
      </w:tr>
      <w:tr w:rsidR="00072A69" w:rsidRPr="00C47C25" w14:paraId="422F6689" w14:textId="77777777" w:rsidTr="00AC1F17">
        <w:trPr>
          <w:trHeight w:val="300"/>
        </w:trPr>
        <w:tc>
          <w:tcPr>
            <w:tcW w:w="946" w:type="pct"/>
            <w:vMerge/>
            <w:vAlign w:val="center"/>
            <w:hideMark/>
          </w:tcPr>
          <w:p w14:paraId="43149592"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07BAEA7E"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Ruska federacija</w:t>
            </w:r>
          </w:p>
        </w:tc>
        <w:tc>
          <w:tcPr>
            <w:tcW w:w="1017" w:type="pct"/>
            <w:shd w:val="clear" w:color="auto" w:fill="auto"/>
            <w:vAlign w:val="center"/>
            <w:hideMark/>
          </w:tcPr>
          <w:p w14:paraId="28C29F31"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w:t>
            </w:r>
          </w:p>
        </w:tc>
        <w:tc>
          <w:tcPr>
            <w:tcW w:w="1014" w:type="pct"/>
            <w:shd w:val="clear" w:color="auto" w:fill="auto"/>
            <w:vAlign w:val="center"/>
            <w:hideMark/>
          </w:tcPr>
          <w:p w14:paraId="4D61F636"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827.956</w:t>
            </w:r>
          </w:p>
        </w:tc>
      </w:tr>
      <w:tr w:rsidR="00072A69" w:rsidRPr="00C47C25" w14:paraId="3310EF82" w14:textId="77777777" w:rsidTr="00AC1F17">
        <w:trPr>
          <w:trHeight w:val="300"/>
        </w:trPr>
        <w:tc>
          <w:tcPr>
            <w:tcW w:w="946" w:type="pct"/>
            <w:vMerge/>
            <w:vAlign w:val="center"/>
            <w:hideMark/>
          </w:tcPr>
          <w:p w14:paraId="2F7D6558"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78A5B70F"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Srbija</w:t>
            </w:r>
          </w:p>
        </w:tc>
        <w:tc>
          <w:tcPr>
            <w:tcW w:w="1017" w:type="pct"/>
            <w:shd w:val="clear" w:color="auto" w:fill="auto"/>
            <w:vAlign w:val="center"/>
            <w:hideMark/>
          </w:tcPr>
          <w:p w14:paraId="086CAF57"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3</w:t>
            </w:r>
          </w:p>
        </w:tc>
        <w:tc>
          <w:tcPr>
            <w:tcW w:w="1014" w:type="pct"/>
            <w:shd w:val="clear" w:color="auto" w:fill="auto"/>
            <w:vAlign w:val="center"/>
            <w:hideMark/>
          </w:tcPr>
          <w:p w14:paraId="4C8F5DDE"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567.763</w:t>
            </w:r>
          </w:p>
        </w:tc>
      </w:tr>
      <w:tr w:rsidR="00072A69" w:rsidRPr="00C47C25" w14:paraId="64B606B7" w14:textId="77777777" w:rsidTr="00AC1F17">
        <w:trPr>
          <w:trHeight w:val="300"/>
        </w:trPr>
        <w:tc>
          <w:tcPr>
            <w:tcW w:w="946" w:type="pct"/>
            <w:vMerge/>
            <w:vAlign w:val="center"/>
            <w:hideMark/>
          </w:tcPr>
          <w:p w14:paraId="2BC10A3F"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27B2D952" w14:textId="77777777" w:rsidR="00072A69" w:rsidRPr="00C47C25" w:rsidRDefault="00072A69" w:rsidP="00AC1F17">
            <w:pPr>
              <w:spacing w:after="0" w:line="240" w:lineRule="auto"/>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Združene države Amerike</w:t>
            </w:r>
          </w:p>
        </w:tc>
        <w:tc>
          <w:tcPr>
            <w:tcW w:w="1017" w:type="pct"/>
            <w:shd w:val="clear" w:color="auto" w:fill="auto"/>
            <w:vAlign w:val="center"/>
            <w:hideMark/>
          </w:tcPr>
          <w:p w14:paraId="1347EEBE"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49</w:t>
            </w:r>
          </w:p>
        </w:tc>
        <w:tc>
          <w:tcPr>
            <w:tcW w:w="1014" w:type="pct"/>
            <w:shd w:val="clear" w:color="auto" w:fill="auto"/>
            <w:vAlign w:val="center"/>
            <w:hideMark/>
          </w:tcPr>
          <w:p w14:paraId="499E9B3B" w14:textId="77777777" w:rsidR="00072A69" w:rsidRPr="00C47C25" w:rsidRDefault="00072A69" w:rsidP="00AC1F17">
            <w:pPr>
              <w:spacing w:after="0" w:line="240" w:lineRule="auto"/>
              <w:jc w:val="right"/>
              <w:rPr>
                <w:rFonts w:ascii="Arial" w:eastAsia="Times New Roman" w:hAnsi="Arial" w:cs="Arial"/>
                <w:color w:val="000000"/>
                <w:sz w:val="18"/>
                <w:szCs w:val="18"/>
                <w:lang w:eastAsia="sl-SI"/>
              </w:rPr>
            </w:pPr>
            <w:r w:rsidRPr="00C47C25">
              <w:rPr>
                <w:rFonts w:ascii="Arial" w:eastAsia="Times New Roman" w:hAnsi="Arial" w:cs="Arial"/>
                <w:color w:val="000000"/>
                <w:sz w:val="18"/>
                <w:szCs w:val="18"/>
                <w:lang w:eastAsia="sl-SI"/>
              </w:rPr>
              <w:t>11.690.908</w:t>
            </w:r>
          </w:p>
        </w:tc>
      </w:tr>
      <w:tr w:rsidR="00072A69" w:rsidRPr="00C47C25" w14:paraId="09FC17C4" w14:textId="77777777" w:rsidTr="00AC1F17">
        <w:trPr>
          <w:trHeight w:val="300"/>
        </w:trPr>
        <w:tc>
          <w:tcPr>
            <w:tcW w:w="946" w:type="pct"/>
            <w:vMerge/>
            <w:vAlign w:val="center"/>
            <w:hideMark/>
          </w:tcPr>
          <w:p w14:paraId="362C83FB" w14:textId="77777777" w:rsidR="00072A69" w:rsidRPr="00C47C25" w:rsidRDefault="00072A69" w:rsidP="00AC1F17">
            <w:pPr>
              <w:spacing w:after="0" w:line="240" w:lineRule="auto"/>
              <w:rPr>
                <w:rFonts w:ascii="Arial" w:eastAsia="Times New Roman" w:hAnsi="Arial" w:cs="Arial"/>
                <w:color w:val="000000"/>
                <w:sz w:val="18"/>
                <w:szCs w:val="18"/>
                <w:lang w:eastAsia="sl-SI"/>
              </w:rPr>
            </w:pPr>
          </w:p>
        </w:tc>
        <w:tc>
          <w:tcPr>
            <w:tcW w:w="2023" w:type="pct"/>
            <w:shd w:val="clear" w:color="auto" w:fill="auto"/>
            <w:vAlign w:val="center"/>
            <w:hideMark/>
          </w:tcPr>
          <w:p w14:paraId="64D0046E" w14:textId="77777777" w:rsidR="00072A69" w:rsidRPr="00C47C25" w:rsidRDefault="00072A69" w:rsidP="00AC1F17">
            <w:pPr>
              <w:spacing w:after="0" w:line="240" w:lineRule="auto"/>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Skupaj</w:t>
            </w:r>
          </w:p>
        </w:tc>
        <w:tc>
          <w:tcPr>
            <w:tcW w:w="1017" w:type="pct"/>
            <w:shd w:val="clear" w:color="auto" w:fill="auto"/>
            <w:noWrap/>
            <w:vAlign w:val="center"/>
            <w:hideMark/>
          </w:tcPr>
          <w:p w14:paraId="1B46DE68"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60</w:t>
            </w:r>
          </w:p>
        </w:tc>
        <w:tc>
          <w:tcPr>
            <w:tcW w:w="1014" w:type="pct"/>
            <w:shd w:val="clear" w:color="auto" w:fill="auto"/>
            <w:noWrap/>
            <w:vAlign w:val="center"/>
            <w:hideMark/>
          </w:tcPr>
          <w:p w14:paraId="08CF0B95"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20.931.180</w:t>
            </w:r>
          </w:p>
        </w:tc>
      </w:tr>
      <w:tr w:rsidR="00072A69" w:rsidRPr="00C47C25" w14:paraId="447EB7BE" w14:textId="77777777" w:rsidTr="00AC1F17">
        <w:trPr>
          <w:trHeight w:val="300"/>
        </w:trPr>
        <w:tc>
          <w:tcPr>
            <w:tcW w:w="2969" w:type="pct"/>
            <w:gridSpan w:val="2"/>
            <w:shd w:val="clear" w:color="auto" w:fill="E7E6E6" w:themeFill="background2"/>
            <w:vAlign w:val="center"/>
            <w:hideMark/>
          </w:tcPr>
          <w:p w14:paraId="27287C5E" w14:textId="77777777" w:rsidR="00072A69" w:rsidRPr="00C47C25" w:rsidRDefault="00072A69" w:rsidP="00AC1F17">
            <w:pPr>
              <w:spacing w:after="0" w:line="240" w:lineRule="auto"/>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Skupaj</w:t>
            </w:r>
          </w:p>
        </w:tc>
        <w:tc>
          <w:tcPr>
            <w:tcW w:w="1017" w:type="pct"/>
            <w:shd w:val="clear" w:color="auto" w:fill="E7E6E6" w:themeFill="background2"/>
            <w:noWrap/>
            <w:vAlign w:val="center"/>
            <w:hideMark/>
          </w:tcPr>
          <w:p w14:paraId="5737E489"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16.865</w:t>
            </w:r>
          </w:p>
        </w:tc>
        <w:tc>
          <w:tcPr>
            <w:tcW w:w="1014" w:type="pct"/>
            <w:shd w:val="clear" w:color="auto" w:fill="E7E6E6" w:themeFill="background2"/>
            <w:noWrap/>
            <w:vAlign w:val="center"/>
            <w:hideMark/>
          </w:tcPr>
          <w:p w14:paraId="16473310" w14:textId="77777777" w:rsidR="00072A69" w:rsidRPr="00C47C25" w:rsidRDefault="00072A69" w:rsidP="00AC1F17">
            <w:pPr>
              <w:spacing w:after="0" w:line="240" w:lineRule="auto"/>
              <w:jc w:val="right"/>
              <w:rPr>
                <w:rFonts w:ascii="Arial" w:eastAsia="Times New Roman" w:hAnsi="Arial" w:cs="Arial"/>
                <w:b/>
                <w:bCs/>
                <w:color w:val="000000"/>
                <w:sz w:val="18"/>
                <w:szCs w:val="18"/>
                <w:lang w:eastAsia="sl-SI"/>
              </w:rPr>
            </w:pPr>
            <w:r w:rsidRPr="00C47C25">
              <w:rPr>
                <w:rFonts w:ascii="Arial" w:eastAsia="Times New Roman" w:hAnsi="Arial" w:cs="Arial"/>
                <w:b/>
                <w:bCs/>
                <w:color w:val="000000"/>
                <w:sz w:val="18"/>
                <w:szCs w:val="18"/>
                <w:lang w:eastAsia="sl-SI"/>
              </w:rPr>
              <w:t>2.918.594.609</w:t>
            </w:r>
          </w:p>
        </w:tc>
      </w:tr>
    </w:tbl>
    <w:p w14:paraId="4C5BC013" w14:textId="77777777" w:rsidR="00072A69" w:rsidRPr="00EF2D0B" w:rsidRDefault="00072A69" w:rsidP="00072A69">
      <w:pPr>
        <w:spacing w:before="120" w:after="120" w:line="240" w:lineRule="auto"/>
        <w:jc w:val="both"/>
        <w:rPr>
          <w:rFonts w:ascii="Arial" w:hAnsi="Arial" w:cs="Arial"/>
          <w:sz w:val="20"/>
          <w:highlight w:val="yellow"/>
        </w:rPr>
      </w:pPr>
    </w:p>
    <w:p w14:paraId="76E480C0" w14:textId="62511D09" w:rsidR="00072A69" w:rsidRPr="00125B07" w:rsidRDefault="00072A69" w:rsidP="00072A69">
      <w:pPr>
        <w:spacing w:before="120" w:after="120" w:line="240" w:lineRule="auto"/>
        <w:jc w:val="both"/>
        <w:rPr>
          <w:rFonts w:ascii="Arial" w:hAnsi="Arial" w:cs="Arial"/>
          <w:sz w:val="20"/>
        </w:rPr>
      </w:pPr>
      <w:r w:rsidRPr="00AA71AD">
        <w:rPr>
          <w:rFonts w:ascii="Arial" w:hAnsi="Arial" w:cs="Arial"/>
          <w:sz w:val="20"/>
        </w:rPr>
        <w:t>Preglednica 10</w:t>
      </w:r>
      <w:r w:rsidR="00D23EC0">
        <w:rPr>
          <w:rFonts w:ascii="Arial" w:hAnsi="Arial" w:cs="Arial"/>
          <w:sz w:val="20"/>
        </w:rPr>
        <w:t>1</w:t>
      </w:r>
      <w:r w:rsidRPr="00AA71AD">
        <w:rPr>
          <w:rFonts w:ascii="Arial" w:hAnsi="Arial" w:cs="Arial"/>
          <w:sz w:val="20"/>
        </w:rPr>
        <w:t>: Javna naročila, oddana slovenskim ponudnikom, glede na regijo naročnika in regijo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9"/>
        <w:gridCol w:w="2920"/>
        <w:gridCol w:w="1075"/>
        <w:gridCol w:w="2148"/>
      </w:tblGrid>
      <w:tr w:rsidR="00072A69" w:rsidRPr="00AA71AD" w14:paraId="5440E69C" w14:textId="77777777" w:rsidTr="00C320EE">
        <w:trPr>
          <w:trHeight w:val="300"/>
          <w:tblHeader/>
        </w:trPr>
        <w:tc>
          <w:tcPr>
            <w:tcW w:w="1611" w:type="pct"/>
            <w:shd w:val="clear" w:color="000000" w:fill="EDEDED"/>
            <w:noWrap/>
            <w:vAlign w:val="center"/>
            <w:hideMark/>
          </w:tcPr>
          <w:p w14:paraId="372C3C83"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Regija naročnika</w:t>
            </w:r>
          </w:p>
        </w:tc>
        <w:tc>
          <w:tcPr>
            <w:tcW w:w="1611" w:type="pct"/>
            <w:shd w:val="clear" w:color="000000" w:fill="EDEDED"/>
            <w:noWrap/>
            <w:vAlign w:val="center"/>
            <w:hideMark/>
          </w:tcPr>
          <w:p w14:paraId="371A43AF"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Regija ponudnika</w:t>
            </w:r>
          </w:p>
        </w:tc>
        <w:tc>
          <w:tcPr>
            <w:tcW w:w="593" w:type="pct"/>
            <w:shd w:val="clear" w:color="000000" w:fill="EDEDED"/>
            <w:noWrap/>
            <w:vAlign w:val="center"/>
            <w:hideMark/>
          </w:tcPr>
          <w:p w14:paraId="05A35F1A"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Št. naročil</w:t>
            </w:r>
          </w:p>
        </w:tc>
        <w:tc>
          <w:tcPr>
            <w:tcW w:w="1186" w:type="pct"/>
            <w:shd w:val="clear" w:color="000000" w:fill="EDEDED"/>
            <w:noWrap/>
            <w:vAlign w:val="center"/>
            <w:hideMark/>
          </w:tcPr>
          <w:p w14:paraId="678429B5"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Pogodbena vrednost</w:t>
            </w:r>
          </w:p>
        </w:tc>
      </w:tr>
      <w:tr w:rsidR="00072A69" w:rsidRPr="00AA71AD" w14:paraId="26EF9EB7" w14:textId="77777777" w:rsidTr="00AC1F17">
        <w:trPr>
          <w:trHeight w:val="300"/>
        </w:trPr>
        <w:tc>
          <w:tcPr>
            <w:tcW w:w="1611" w:type="pct"/>
            <w:vMerge w:val="restart"/>
            <w:shd w:val="clear" w:color="auto" w:fill="auto"/>
            <w:vAlign w:val="center"/>
            <w:hideMark/>
          </w:tcPr>
          <w:p w14:paraId="58DBD10D"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GORENJSKA</w:t>
            </w:r>
          </w:p>
        </w:tc>
        <w:tc>
          <w:tcPr>
            <w:tcW w:w="1611" w:type="pct"/>
            <w:shd w:val="clear" w:color="auto" w:fill="auto"/>
            <w:vAlign w:val="center"/>
            <w:hideMark/>
          </w:tcPr>
          <w:p w14:paraId="03EFCC86"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GORENJSKA</w:t>
            </w:r>
          </w:p>
        </w:tc>
        <w:tc>
          <w:tcPr>
            <w:tcW w:w="593" w:type="pct"/>
            <w:shd w:val="clear" w:color="auto" w:fill="auto"/>
            <w:vAlign w:val="center"/>
            <w:hideMark/>
          </w:tcPr>
          <w:p w14:paraId="2185DA44"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291</w:t>
            </w:r>
          </w:p>
        </w:tc>
        <w:tc>
          <w:tcPr>
            <w:tcW w:w="1186" w:type="pct"/>
            <w:shd w:val="clear" w:color="auto" w:fill="auto"/>
            <w:vAlign w:val="center"/>
            <w:hideMark/>
          </w:tcPr>
          <w:p w14:paraId="27133547"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46.743.254</w:t>
            </w:r>
          </w:p>
        </w:tc>
      </w:tr>
      <w:tr w:rsidR="00072A69" w:rsidRPr="00AA71AD" w14:paraId="333F12D7" w14:textId="77777777" w:rsidTr="00AC1F17">
        <w:trPr>
          <w:trHeight w:val="300"/>
        </w:trPr>
        <w:tc>
          <w:tcPr>
            <w:tcW w:w="1611" w:type="pct"/>
            <w:vMerge/>
            <w:vAlign w:val="center"/>
            <w:hideMark/>
          </w:tcPr>
          <w:p w14:paraId="51A8959E"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4B809EA5"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20530E63"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726</w:t>
            </w:r>
          </w:p>
        </w:tc>
        <w:tc>
          <w:tcPr>
            <w:tcW w:w="1186" w:type="pct"/>
            <w:shd w:val="clear" w:color="auto" w:fill="auto"/>
            <w:vAlign w:val="center"/>
            <w:hideMark/>
          </w:tcPr>
          <w:p w14:paraId="2D5BBBC4"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87.492.695</w:t>
            </w:r>
          </w:p>
        </w:tc>
      </w:tr>
      <w:tr w:rsidR="00072A69" w:rsidRPr="00AA71AD" w14:paraId="29AA24AB" w14:textId="77777777" w:rsidTr="00AC1F17">
        <w:trPr>
          <w:trHeight w:val="300"/>
        </w:trPr>
        <w:tc>
          <w:tcPr>
            <w:tcW w:w="1611" w:type="pct"/>
            <w:vMerge/>
            <w:vAlign w:val="center"/>
            <w:hideMark/>
          </w:tcPr>
          <w:p w14:paraId="15C28445"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62590D73"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0D65F26F"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1.017</w:t>
            </w:r>
          </w:p>
        </w:tc>
        <w:tc>
          <w:tcPr>
            <w:tcW w:w="1186" w:type="pct"/>
            <w:shd w:val="clear" w:color="auto" w:fill="auto"/>
            <w:vAlign w:val="center"/>
            <w:hideMark/>
          </w:tcPr>
          <w:p w14:paraId="1B125741"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134.235.949</w:t>
            </w:r>
          </w:p>
        </w:tc>
      </w:tr>
      <w:tr w:rsidR="00072A69" w:rsidRPr="00AA71AD" w14:paraId="10982D81" w14:textId="77777777" w:rsidTr="00AC1F17">
        <w:trPr>
          <w:trHeight w:val="300"/>
        </w:trPr>
        <w:tc>
          <w:tcPr>
            <w:tcW w:w="1611" w:type="pct"/>
            <w:vMerge w:val="restart"/>
            <w:shd w:val="clear" w:color="auto" w:fill="auto"/>
            <w:vAlign w:val="center"/>
            <w:hideMark/>
          </w:tcPr>
          <w:p w14:paraId="7F4D759B"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GORIŠKA</w:t>
            </w:r>
          </w:p>
        </w:tc>
        <w:tc>
          <w:tcPr>
            <w:tcW w:w="1611" w:type="pct"/>
            <w:shd w:val="clear" w:color="auto" w:fill="auto"/>
            <w:vAlign w:val="center"/>
            <w:hideMark/>
          </w:tcPr>
          <w:p w14:paraId="59A5B212"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GORIŠKA</w:t>
            </w:r>
          </w:p>
        </w:tc>
        <w:tc>
          <w:tcPr>
            <w:tcW w:w="593" w:type="pct"/>
            <w:shd w:val="clear" w:color="auto" w:fill="auto"/>
            <w:vAlign w:val="center"/>
            <w:hideMark/>
          </w:tcPr>
          <w:p w14:paraId="44AD32A2"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143</w:t>
            </w:r>
          </w:p>
        </w:tc>
        <w:tc>
          <w:tcPr>
            <w:tcW w:w="1186" w:type="pct"/>
            <w:shd w:val="clear" w:color="auto" w:fill="auto"/>
            <w:vAlign w:val="center"/>
            <w:hideMark/>
          </w:tcPr>
          <w:p w14:paraId="437C3F60"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20.189.328</w:t>
            </w:r>
          </w:p>
        </w:tc>
      </w:tr>
      <w:tr w:rsidR="00072A69" w:rsidRPr="00AA71AD" w14:paraId="005DCC36" w14:textId="77777777" w:rsidTr="00AC1F17">
        <w:trPr>
          <w:trHeight w:val="300"/>
        </w:trPr>
        <w:tc>
          <w:tcPr>
            <w:tcW w:w="1611" w:type="pct"/>
            <w:vMerge/>
            <w:vAlign w:val="center"/>
            <w:hideMark/>
          </w:tcPr>
          <w:p w14:paraId="3916695B"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2BD4AA71"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189B777C"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374</w:t>
            </w:r>
          </w:p>
        </w:tc>
        <w:tc>
          <w:tcPr>
            <w:tcW w:w="1186" w:type="pct"/>
            <w:shd w:val="clear" w:color="auto" w:fill="auto"/>
            <w:vAlign w:val="center"/>
            <w:hideMark/>
          </w:tcPr>
          <w:p w14:paraId="1F439FFF"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32.432.136</w:t>
            </w:r>
          </w:p>
        </w:tc>
      </w:tr>
      <w:tr w:rsidR="00072A69" w:rsidRPr="00AA71AD" w14:paraId="1882662F" w14:textId="77777777" w:rsidTr="00AC1F17">
        <w:trPr>
          <w:trHeight w:val="300"/>
        </w:trPr>
        <w:tc>
          <w:tcPr>
            <w:tcW w:w="1611" w:type="pct"/>
            <w:vMerge/>
            <w:vAlign w:val="center"/>
            <w:hideMark/>
          </w:tcPr>
          <w:p w14:paraId="296FED8A"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45F88A45"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6ADD57B3"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517</w:t>
            </w:r>
          </w:p>
        </w:tc>
        <w:tc>
          <w:tcPr>
            <w:tcW w:w="1186" w:type="pct"/>
            <w:shd w:val="clear" w:color="auto" w:fill="auto"/>
            <w:vAlign w:val="center"/>
            <w:hideMark/>
          </w:tcPr>
          <w:p w14:paraId="487A57AD"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52.621.464</w:t>
            </w:r>
          </w:p>
        </w:tc>
      </w:tr>
      <w:tr w:rsidR="00072A69" w:rsidRPr="00AA71AD" w14:paraId="5B655ECB" w14:textId="77777777" w:rsidTr="00AC1F17">
        <w:trPr>
          <w:trHeight w:val="360"/>
        </w:trPr>
        <w:tc>
          <w:tcPr>
            <w:tcW w:w="1611" w:type="pct"/>
            <w:vMerge w:val="restart"/>
            <w:shd w:val="clear" w:color="auto" w:fill="auto"/>
            <w:vAlign w:val="center"/>
            <w:hideMark/>
          </w:tcPr>
          <w:p w14:paraId="5D96E6D9"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JUGOVZHODNA SLOVENIJA</w:t>
            </w:r>
          </w:p>
        </w:tc>
        <w:tc>
          <w:tcPr>
            <w:tcW w:w="1611" w:type="pct"/>
            <w:shd w:val="clear" w:color="auto" w:fill="auto"/>
            <w:vAlign w:val="center"/>
            <w:hideMark/>
          </w:tcPr>
          <w:p w14:paraId="01230181"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JUGOVZHODNA SLOVENIJA</w:t>
            </w:r>
          </w:p>
        </w:tc>
        <w:tc>
          <w:tcPr>
            <w:tcW w:w="593" w:type="pct"/>
            <w:shd w:val="clear" w:color="auto" w:fill="auto"/>
            <w:vAlign w:val="center"/>
            <w:hideMark/>
          </w:tcPr>
          <w:p w14:paraId="36FD7034"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157</w:t>
            </w:r>
          </w:p>
        </w:tc>
        <w:tc>
          <w:tcPr>
            <w:tcW w:w="1186" w:type="pct"/>
            <w:shd w:val="clear" w:color="auto" w:fill="auto"/>
            <w:vAlign w:val="center"/>
            <w:hideMark/>
          </w:tcPr>
          <w:p w14:paraId="33C65987"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27.706.574</w:t>
            </w:r>
          </w:p>
        </w:tc>
      </w:tr>
      <w:tr w:rsidR="00072A69" w:rsidRPr="00AA71AD" w14:paraId="727E4513" w14:textId="77777777" w:rsidTr="00AC1F17">
        <w:trPr>
          <w:trHeight w:val="300"/>
        </w:trPr>
        <w:tc>
          <w:tcPr>
            <w:tcW w:w="1611" w:type="pct"/>
            <w:vMerge/>
            <w:vAlign w:val="center"/>
            <w:hideMark/>
          </w:tcPr>
          <w:p w14:paraId="5AF267EA"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20895181"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4F087F01"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623</w:t>
            </w:r>
          </w:p>
        </w:tc>
        <w:tc>
          <w:tcPr>
            <w:tcW w:w="1186" w:type="pct"/>
            <w:shd w:val="clear" w:color="auto" w:fill="auto"/>
            <w:vAlign w:val="center"/>
            <w:hideMark/>
          </w:tcPr>
          <w:p w14:paraId="13FD2B99"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70.476.100</w:t>
            </w:r>
          </w:p>
        </w:tc>
      </w:tr>
      <w:tr w:rsidR="00072A69" w:rsidRPr="00AA71AD" w14:paraId="50D083B7" w14:textId="77777777" w:rsidTr="00AC1F17">
        <w:trPr>
          <w:trHeight w:val="300"/>
        </w:trPr>
        <w:tc>
          <w:tcPr>
            <w:tcW w:w="1611" w:type="pct"/>
            <w:vMerge/>
            <w:vAlign w:val="center"/>
            <w:hideMark/>
          </w:tcPr>
          <w:p w14:paraId="712CE874"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62DEA266"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1209116D"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780</w:t>
            </w:r>
          </w:p>
        </w:tc>
        <w:tc>
          <w:tcPr>
            <w:tcW w:w="1186" w:type="pct"/>
            <w:shd w:val="clear" w:color="auto" w:fill="auto"/>
            <w:vAlign w:val="center"/>
            <w:hideMark/>
          </w:tcPr>
          <w:p w14:paraId="00EE4B6F"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98.182.674</w:t>
            </w:r>
          </w:p>
        </w:tc>
      </w:tr>
      <w:tr w:rsidR="00072A69" w:rsidRPr="00AA71AD" w14:paraId="099A9B26" w14:textId="77777777" w:rsidTr="00AC1F17">
        <w:trPr>
          <w:trHeight w:val="300"/>
        </w:trPr>
        <w:tc>
          <w:tcPr>
            <w:tcW w:w="1611" w:type="pct"/>
            <w:vMerge w:val="restart"/>
            <w:shd w:val="clear" w:color="auto" w:fill="auto"/>
            <w:vAlign w:val="center"/>
            <w:hideMark/>
          </w:tcPr>
          <w:p w14:paraId="6A59EBA1"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KOROŠKA</w:t>
            </w:r>
          </w:p>
        </w:tc>
        <w:tc>
          <w:tcPr>
            <w:tcW w:w="1611" w:type="pct"/>
            <w:shd w:val="clear" w:color="auto" w:fill="auto"/>
            <w:vAlign w:val="center"/>
            <w:hideMark/>
          </w:tcPr>
          <w:p w14:paraId="16B1773A"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KOROŠKA</w:t>
            </w:r>
          </w:p>
        </w:tc>
        <w:tc>
          <w:tcPr>
            <w:tcW w:w="593" w:type="pct"/>
            <w:shd w:val="clear" w:color="auto" w:fill="auto"/>
            <w:vAlign w:val="center"/>
            <w:hideMark/>
          </w:tcPr>
          <w:p w14:paraId="3137A996"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156</w:t>
            </w:r>
          </w:p>
        </w:tc>
        <w:tc>
          <w:tcPr>
            <w:tcW w:w="1186" w:type="pct"/>
            <w:shd w:val="clear" w:color="auto" w:fill="auto"/>
            <w:vAlign w:val="center"/>
            <w:hideMark/>
          </w:tcPr>
          <w:p w14:paraId="3F71BE34"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12.246.827</w:t>
            </w:r>
          </w:p>
        </w:tc>
      </w:tr>
      <w:tr w:rsidR="00072A69" w:rsidRPr="00AA71AD" w14:paraId="09F0FB97" w14:textId="77777777" w:rsidTr="00AC1F17">
        <w:trPr>
          <w:trHeight w:val="300"/>
        </w:trPr>
        <w:tc>
          <w:tcPr>
            <w:tcW w:w="1611" w:type="pct"/>
            <w:vMerge/>
            <w:vAlign w:val="center"/>
            <w:hideMark/>
          </w:tcPr>
          <w:p w14:paraId="0B3EB482"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7F9F9F70"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29B47F14"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223</w:t>
            </w:r>
          </w:p>
        </w:tc>
        <w:tc>
          <w:tcPr>
            <w:tcW w:w="1186" w:type="pct"/>
            <w:shd w:val="clear" w:color="auto" w:fill="auto"/>
            <w:vAlign w:val="center"/>
            <w:hideMark/>
          </w:tcPr>
          <w:p w14:paraId="0C7BF19E"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25.878.730</w:t>
            </w:r>
          </w:p>
        </w:tc>
      </w:tr>
      <w:tr w:rsidR="00072A69" w:rsidRPr="00AA71AD" w14:paraId="4F728142" w14:textId="77777777" w:rsidTr="00AC1F17">
        <w:trPr>
          <w:trHeight w:val="300"/>
        </w:trPr>
        <w:tc>
          <w:tcPr>
            <w:tcW w:w="1611" w:type="pct"/>
            <w:vMerge/>
            <w:vAlign w:val="center"/>
            <w:hideMark/>
          </w:tcPr>
          <w:p w14:paraId="7CF08460"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321363BE"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2CE63615"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379</w:t>
            </w:r>
          </w:p>
        </w:tc>
        <w:tc>
          <w:tcPr>
            <w:tcW w:w="1186" w:type="pct"/>
            <w:shd w:val="clear" w:color="auto" w:fill="auto"/>
            <w:vAlign w:val="center"/>
            <w:hideMark/>
          </w:tcPr>
          <w:p w14:paraId="16B5971A"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38.125.557</w:t>
            </w:r>
          </w:p>
        </w:tc>
      </w:tr>
      <w:tr w:rsidR="00072A69" w:rsidRPr="00AA71AD" w14:paraId="733E6598" w14:textId="77777777" w:rsidTr="00AC1F17">
        <w:trPr>
          <w:trHeight w:val="300"/>
        </w:trPr>
        <w:tc>
          <w:tcPr>
            <w:tcW w:w="1611" w:type="pct"/>
            <w:vMerge w:val="restart"/>
            <w:shd w:val="clear" w:color="auto" w:fill="auto"/>
            <w:vAlign w:val="center"/>
            <w:hideMark/>
          </w:tcPr>
          <w:p w14:paraId="76D59F62"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OBALNO-KRAŠKA</w:t>
            </w:r>
          </w:p>
        </w:tc>
        <w:tc>
          <w:tcPr>
            <w:tcW w:w="1611" w:type="pct"/>
            <w:shd w:val="clear" w:color="auto" w:fill="auto"/>
            <w:vAlign w:val="center"/>
            <w:hideMark/>
          </w:tcPr>
          <w:p w14:paraId="7C506DB5"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OBALNO-KRAŠKA</w:t>
            </w:r>
          </w:p>
        </w:tc>
        <w:tc>
          <w:tcPr>
            <w:tcW w:w="593" w:type="pct"/>
            <w:shd w:val="clear" w:color="auto" w:fill="auto"/>
            <w:vAlign w:val="center"/>
            <w:hideMark/>
          </w:tcPr>
          <w:p w14:paraId="348DA361"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151</w:t>
            </w:r>
          </w:p>
        </w:tc>
        <w:tc>
          <w:tcPr>
            <w:tcW w:w="1186" w:type="pct"/>
            <w:shd w:val="clear" w:color="auto" w:fill="auto"/>
            <w:vAlign w:val="center"/>
            <w:hideMark/>
          </w:tcPr>
          <w:p w14:paraId="38C185FF"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34.963.784</w:t>
            </w:r>
          </w:p>
        </w:tc>
      </w:tr>
      <w:tr w:rsidR="00072A69" w:rsidRPr="00AA71AD" w14:paraId="29E27B02" w14:textId="77777777" w:rsidTr="00AC1F17">
        <w:trPr>
          <w:trHeight w:val="300"/>
        </w:trPr>
        <w:tc>
          <w:tcPr>
            <w:tcW w:w="1611" w:type="pct"/>
            <w:vMerge/>
            <w:vAlign w:val="center"/>
            <w:hideMark/>
          </w:tcPr>
          <w:p w14:paraId="3BCC6FE1"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2CECE7BA"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17828E02"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544</w:t>
            </w:r>
          </w:p>
        </w:tc>
        <w:tc>
          <w:tcPr>
            <w:tcW w:w="1186" w:type="pct"/>
            <w:shd w:val="clear" w:color="auto" w:fill="auto"/>
            <w:vAlign w:val="center"/>
            <w:hideMark/>
          </w:tcPr>
          <w:p w14:paraId="068EA87D"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82.237.098</w:t>
            </w:r>
          </w:p>
        </w:tc>
      </w:tr>
      <w:tr w:rsidR="00072A69" w:rsidRPr="00AA71AD" w14:paraId="72951929" w14:textId="77777777" w:rsidTr="00AC1F17">
        <w:trPr>
          <w:trHeight w:val="300"/>
        </w:trPr>
        <w:tc>
          <w:tcPr>
            <w:tcW w:w="1611" w:type="pct"/>
            <w:vMerge/>
            <w:vAlign w:val="center"/>
            <w:hideMark/>
          </w:tcPr>
          <w:p w14:paraId="7095CD05"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3DE73C17"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6AF9212F"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695</w:t>
            </w:r>
          </w:p>
        </w:tc>
        <w:tc>
          <w:tcPr>
            <w:tcW w:w="1186" w:type="pct"/>
            <w:shd w:val="clear" w:color="auto" w:fill="auto"/>
            <w:vAlign w:val="center"/>
            <w:hideMark/>
          </w:tcPr>
          <w:p w14:paraId="727AF850"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117.200.882</w:t>
            </w:r>
          </w:p>
        </w:tc>
      </w:tr>
      <w:tr w:rsidR="00072A69" w:rsidRPr="00AA71AD" w14:paraId="63EF1367" w14:textId="77777777" w:rsidTr="00AC1F17">
        <w:trPr>
          <w:trHeight w:val="300"/>
        </w:trPr>
        <w:tc>
          <w:tcPr>
            <w:tcW w:w="1611" w:type="pct"/>
            <w:vMerge w:val="restart"/>
            <w:shd w:val="clear" w:color="auto" w:fill="auto"/>
            <w:vAlign w:val="center"/>
            <w:hideMark/>
          </w:tcPr>
          <w:p w14:paraId="5CF31CB9"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OSREDNJESLOVENSKA</w:t>
            </w:r>
          </w:p>
        </w:tc>
        <w:tc>
          <w:tcPr>
            <w:tcW w:w="1611" w:type="pct"/>
            <w:shd w:val="clear" w:color="auto" w:fill="auto"/>
            <w:vAlign w:val="center"/>
            <w:hideMark/>
          </w:tcPr>
          <w:p w14:paraId="75A1D586"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OSREDNJESLOVENSKA</w:t>
            </w:r>
          </w:p>
        </w:tc>
        <w:tc>
          <w:tcPr>
            <w:tcW w:w="593" w:type="pct"/>
            <w:shd w:val="clear" w:color="auto" w:fill="auto"/>
            <w:vAlign w:val="center"/>
            <w:hideMark/>
          </w:tcPr>
          <w:p w14:paraId="5C895A3B"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4.933</w:t>
            </w:r>
          </w:p>
        </w:tc>
        <w:tc>
          <w:tcPr>
            <w:tcW w:w="1186" w:type="pct"/>
            <w:shd w:val="clear" w:color="auto" w:fill="auto"/>
            <w:vAlign w:val="center"/>
            <w:hideMark/>
          </w:tcPr>
          <w:p w14:paraId="1C5780A6"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896.153.345</w:t>
            </w:r>
          </w:p>
        </w:tc>
      </w:tr>
      <w:tr w:rsidR="00072A69" w:rsidRPr="00AA71AD" w14:paraId="4428D6A1" w14:textId="77777777" w:rsidTr="00AC1F17">
        <w:trPr>
          <w:trHeight w:val="300"/>
        </w:trPr>
        <w:tc>
          <w:tcPr>
            <w:tcW w:w="1611" w:type="pct"/>
            <w:vMerge/>
            <w:vAlign w:val="center"/>
            <w:hideMark/>
          </w:tcPr>
          <w:p w14:paraId="65C851F9"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50FDAB73"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2EA74D7E"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2.415</w:t>
            </w:r>
          </w:p>
        </w:tc>
        <w:tc>
          <w:tcPr>
            <w:tcW w:w="1186" w:type="pct"/>
            <w:shd w:val="clear" w:color="auto" w:fill="auto"/>
            <w:vAlign w:val="center"/>
            <w:hideMark/>
          </w:tcPr>
          <w:p w14:paraId="6354B822"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449.355.133</w:t>
            </w:r>
          </w:p>
        </w:tc>
      </w:tr>
      <w:tr w:rsidR="00072A69" w:rsidRPr="00AA71AD" w14:paraId="2A7EECBB" w14:textId="77777777" w:rsidTr="00AC1F17">
        <w:trPr>
          <w:trHeight w:val="300"/>
        </w:trPr>
        <w:tc>
          <w:tcPr>
            <w:tcW w:w="1611" w:type="pct"/>
            <w:vMerge/>
            <w:vAlign w:val="center"/>
            <w:hideMark/>
          </w:tcPr>
          <w:p w14:paraId="6DBEB601"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48592432"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1ECE784B"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7.348</w:t>
            </w:r>
          </w:p>
        </w:tc>
        <w:tc>
          <w:tcPr>
            <w:tcW w:w="1186" w:type="pct"/>
            <w:shd w:val="clear" w:color="auto" w:fill="auto"/>
            <w:vAlign w:val="center"/>
            <w:hideMark/>
          </w:tcPr>
          <w:p w14:paraId="71E99ED3"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1.345.508.478</w:t>
            </w:r>
          </w:p>
        </w:tc>
      </w:tr>
      <w:tr w:rsidR="00072A69" w:rsidRPr="00AA71AD" w14:paraId="5A5EF765" w14:textId="77777777" w:rsidTr="00AC1F17">
        <w:trPr>
          <w:trHeight w:val="300"/>
        </w:trPr>
        <w:tc>
          <w:tcPr>
            <w:tcW w:w="1611" w:type="pct"/>
            <w:vMerge w:val="restart"/>
            <w:shd w:val="clear" w:color="auto" w:fill="auto"/>
            <w:vAlign w:val="center"/>
            <w:hideMark/>
          </w:tcPr>
          <w:p w14:paraId="624C80F2"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PODRAVSKA</w:t>
            </w:r>
          </w:p>
        </w:tc>
        <w:tc>
          <w:tcPr>
            <w:tcW w:w="1611" w:type="pct"/>
            <w:shd w:val="clear" w:color="auto" w:fill="auto"/>
            <w:vAlign w:val="center"/>
            <w:hideMark/>
          </w:tcPr>
          <w:p w14:paraId="2BFBBAE7"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PODRAVSKA</w:t>
            </w:r>
          </w:p>
        </w:tc>
        <w:tc>
          <w:tcPr>
            <w:tcW w:w="593" w:type="pct"/>
            <w:shd w:val="clear" w:color="auto" w:fill="auto"/>
            <w:vAlign w:val="center"/>
            <w:hideMark/>
          </w:tcPr>
          <w:p w14:paraId="733DF479"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744</w:t>
            </w:r>
          </w:p>
        </w:tc>
        <w:tc>
          <w:tcPr>
            <w:tcW w:w="1186" w:type="pct"/>
            <w:shd w:val="clear" w:color="auto" w:fill="auto"/>
            <w:vAlign w:val="center"/>
            <w:hideMark/>
          </w:tcPr>
          <w:p w14:paraId="2AD8CDE1"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82.875.009</w:t>
            </w:r>
          </w:p>
        </w:tc>
      </w:tr>
      <w:tr w:rsidR="00072A69" w:rsidRPr="00AA71AD" w14:paraId="317287F9" w14:textId="77777777" w:rsidTr="00AC1F17">
        <w:trPr>
          <w:trHeight w:val="300"/>
        </w:trPr>
        <w:tc>
          <w:tcPr>
            <w:tcW w:w="1611" w:type="pct"/>
            <w:vMerge/>
            <w:vAlign w:val="center"/>
            <w:hideMark/>
          </w:tcPr>
          <w:p w14:paraId="0845C28C"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77453B10"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35F7DC95"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1.506</w:t>
            </w:r>
          </w:p>
        </w:tc>
        <w:tc>
          <w:tcPr>
            <w:tcW w:w="1186" w:type="pct"/>
            <w:shd w:val="clear" w:color="auto" w:fill="auto"/>
            <w:vAlign w:val="center"/>
            <w:hideMark/>
          </w:tcPr>
          <w:p w14:paraId="00D61F11"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196.111.964</w:t>
            </w:r>
          </w:p>
        </w:tc>
      </w:tr>
      <w:tr w:rsidR="00072A69" w:rsidRPr="00AA71AD" w14:paraId="3F723318" w14:textId="77777777" w:rsidTr="00AC1F17">
        <w:trPr>
          <w:trHeight w:val="300"/>
        </w:trPr>
        <w:tc>
          <w:tcPr>
            <w:tcW w:w="1611" w:type="pct"/>
            <w:vMerge/>
            <w:vAlign w:val="center"/>
            <w:hideMark/>
          </w:tcPr>
          <w:p w14:paraId="11D72929"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0652D6BD"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3304BB68"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2.250</w:t>
            </w:r>
          </w:p>
        </w:tc>
        <w:tc>
          <w:tcPr>
            <w:tcW w:w="1186" w:type="pct"/>
            <w:shd w:val="clear" w:color="auto" w:fill="auto"/>
            <w:vAlign w:val="center"/>
            <w:hideMark/>
          </w:tcPr>
          <w:p w14:paraId="57966374"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278.986.973</w:t>
            </w:r>
          </w:p>
        </w:tc>
      </w:tr>
      <w:tr w:rsidR="00072A69" w:rsidRPr="00AA71AD" w14:paraId="49094B6B" w14:textId="77777777" w:rsidTr="00AC1F17">
        <w:trPr>
          <w:trHeight w:val="300"/>
        </w:trPr>
        <w:tc>
          <w:tcPr>
            <w:tcW w:w="1611" w:type="pct"/>
            <w:vMerge w:val="restart"/>
            <w:shd w:val="clear" w:color="auto" w:fill="auto"/>
            <w:vAlign w:val="center"/>
            <w:hideMark/>
          </w:tcPr>
          <w:p w14:paraId="1B1EE8B4"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POMURSKA</w:t>
            </w:r>
          </w:p>
        </w:tc>
        <w:tc>
          <w:tcPr>
            <w:tcW w:w="1611" w:type="pct"/>
            <w:shd w:val="clear" w:color="auto" w:fill="auto"/>
            <w:vAlign w:val="center"/>
            <w:hideMark/>
          </w:tcPr>
          <w:p w14:paraId="0BD1F1B9"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POMURSKA</w:t>
            </w:r>
          </w:p>
        </w:tc>
        <w:tc>
          <w:tcPr>
            <w:tcW w:w="593" w:type="pct"/>
            <w:shd w:val="clear" w:color="auto" w:fill="auto"/>
            <w:vAlign w:val="center"/>
            <w:hideMark/>
          </w:tcPr>
          <w:p w14:paraId="1032FFC1"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308</w:t>
            </w:r>
          </w:p>
        </w:tc>
        <w:tc>
          <w:tcPr>
            <w:tcW w:w="1186" w:type="pct"/>
            <w:shd w:val="clear" w:color="auto" w:fill="auto"/>
            <w:vAlign w:val="center"/>
            <w:hideMark/>
          </w:tcPr>
          <w:p w14:paraId="0F8A55C6"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26.325.100</w:t>
            </w:r>
          </w:p>
        </w:tc>
      </w:tr>
      <w:tr w:rsidR="00072A69" w:rsidRPr="00AA71AD" w14:paraId="07A16089" w14:textId="77777777" w:rsidTr="00AC1F17">
        <w:trPr>
          <w:trHeight w:val="300"/>
        </w:trPr>
        <w:tc>
          <w:tcPr>
            <w:tcW w:w="1611" w:type="pct"/>
            <w:vMerge/>
            <w:vAlign w:val="center"/>
            <w:hideMark/>
          </w:tcPr>
          <w:p w14:paraId="049F3472"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6AABB475"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5836CB70"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560</w:t>
            </w:r>
          </w:p>
        </w:tc>
        <w:tc>
          <w:tcPr>
            <w:tcW w:w="1186" w:type="pct"/>
            <w:shd w:val="clear" w:color="auto" w:fill="auto"/>
            <w:vAlign w:val="center"/>
            <w:hideMark/>
          </w:tcPr>
          <w:p w14:paraId="492766D9"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32.426.796</w:t>
            </w:r>
          </w:p>
        </w:tc>
      </w:tr>
      <w:tr w:rsidR="00072A69" w:rsidRPr="00AA71AD" w14:paraId="31CD8966" w14:textId="77777777" w:rsidTr="00AC1F17">
        <w:trPr>
          <w:trHeight w:val="300"/>
        </w:trPr>
        <w:tc>
          <w:tcPr>
            <w:tcW w:w="1611" w:type="pct"/>
            <w:vMerge/>
            <w:vAlign w:val="center"/>
            <w:hideMark/>
          </w:tcPr>
          <w:p w14:paraId="5501291B"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2892D9A3"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24B3FA1D"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868</w:t>
            </w:r>
          </w:p>
        </w:tc>
        <w:tc>
          <w:tcPr>
            <w:tcW w:w="1186" w:type="pct"/>
            <w:shd w:val="clear" w:color="auto" w:fill="auto"/>
            <w:vAlign w:val="center"/>
            <w:hideMark/>
          </w:tcPr>
          <w:p w14:paraId="278EF158"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58.751.896</w:t>
            </w:r>
          </w:p>
        </w:tc>
      </w:tr>
      <w:tr w:rsidR="00072A69" w:rsidRPr="00AA71AD" w14:paraId="63A1CE63" w14:textId="77777777" w:rsidTr="00AC1F17">
        <w:trPr>
          <w:trHeight w:val="300"/>
        </w:trPr>
        <w:tc>
          <w:tcPr>
            <w:tcW w:w="1611" w:type="pct"/>
            <w:vMerge w:val="restart"/>
            <w:shd w:val="clear" w:color="auto" w:fill="auto"/>
            <w:vAlign w:val="center"/>
            <w:hideMark/>
          </w:tcPr>
          <w:p w14:paraId="351CCC05"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POSAVSKA</w:t>
            </w:r>
          </w:p>
        </w:tc>
        <w:tc>
          <w:tcPr>
            <w:tcW w:w="1611" w:type="pct"/>
            <w:shd w:val="clear" w:color="auto" w:fill="auto"/>
            <w:vAlign w:val="center"/>
            <w:hideMark/>
          </w:tcPr>
          <w:p w14:paraId="2CCBBDF9"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POSAVSKA</w:t>
            </w:r>
          </w:p>
        </w:tc>
        <w:tc>
          <w:tcPr>
            <w:tcW w:w="593" w:type="pct"/>
            <w:shd w:val="clear" w:color="auto" w:fill="auto"/>
            <w:vAlign w:val="center"/>
            <w:hideMark/>
          </w:tcPr>
          <w:p w14:paraId="1F43D15A"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150</w:t>
            </w:r>
          </w:p>
        </w:tc>
        <w:tc>
          <w:tcPr>
            <w:tcW w:w="1186" w:type="pct"/>
            <w:shd w:val="clear" w:color="auto" w:fill="auto"/>
            <w:vAlign w:val="center"/>
            <w:hideMark/>
          </w:tcPr>
          <w:p w14:paraId="07C31FA6"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16.927.844</w:t>
            </w:r>
          </w:p>
        </w:tc>
      </w:tr>
      <w:tr w:rsidR="00072A69" w:rsidRPr="00AA71AD" w14:paraId="0B1D66A5" w14:textId="77777777" w:rsidTr="00AC1F17">
        <w:trPr>
          <w:trHeight w:val="300"/>
        </w:trPr>
        <w:tc>
          <w:tcPr>
            <w:tcW w:w="1611" w:type="pct"/>
            <w:vMerge/>
            <w:vAlign w:val="center"/>
            <w:hideMark/>
          </w:tcPr>
          <w:p w14:paraId="517796D0"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73E18426"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2D9796CC"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402</w:t>
            </w:r>
          </w:p>
        </w:tc>
        <w:tc>
          <w:tcPr>
            <w:tcW w:w="1186" w:type="pct"/>
            <w:shd w:val="clear" w:color="auto" w:fill="auto"/>
            <w:vAlign w:val="center"/>
            <w:hideMark/>
          </w:tcPr>
          <w:p w14:paraId="2B80E6A7"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46.212.161</w:t>
            </w:r>
          </w:p>
        </w:tc>
      </w:tr>
      <w:tr w:rsidR="00072A69" w:rsidRPr="00AA71AD" w14:paraId="349F6677" w14:textId="77777777" w:rsidTr="00AC1F17">
        <w:trPr>
          <w:trHeight w:val="300"/>
        </w:trPr>
        <w:tc>
          <w:tcPr>
            <w:tcW w:w="1611" w:type="pct"/>
            <w:vMerge/>
            <w:vAlign w:val="center"/>
            <w:hideMark/>
          </w:tcPr>
          <w:p w14:paraId="01F7707B"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0CA2DC6E"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5EEF0ED9"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552</w:t>
            </w:r>
          </w:p>
        </w:tc>
        <w:tc>
          <w:tcPr>
            <w:tcW w:w="1186" w:type="pct"/>
            <w:shd w:val="clear" w:color="auto" w:fill="auto"/>
            <w:vAlign w:val="center"/>
            <w:hideMark/>
          </w:tcPr>
          <w:p w14:paraId="14199615"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63.140.005</w:t>
            </w:r>
          </w:p>
        </w:tc>
      </w:tr>
      <w:tr w:rsidR="00072A69" w:rsidRPr="00AA71AD" w14:paraId="221500D3" w14:textId="77777777" w:rsidTr="00AC1F17">
        <w:trPr>
          <w:trHeight w:val="360"/>
        </w:trPr>
        <w:tc>
          <w:tcPr>
            <w:tcW w:w="1611" w:type="pct"/>
            <w:vMerge w:val="restart"/>
            <w:shd w:val="clear" w:color="auto" w:fill="auto"/>
            <w:vAlign w:val="center"/>
            <w:hideMark/>
          </w:tcPr>
          <w:p w14:paraId="622ABDF8"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PRIMORSKO-NOTRANJSKA</w:t>
            </w:r>
          </w:p>
        </w:tc>
        <w:tc>
          <w:tcPr>
            <w:tcW w:w="1611" w:type="pct"/>
            <w:shd w:val="clear" w:color="auto" w:fill="auto"/>
            <w:vAlign w:val="center"/>
            <w:hideMark/>
          </w:tcPr>
          <w:p w14:paraId="1CC6ABA9"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PRIMORSKO-NOTRANJSKA</w:t>
            </w:r>
          </w:p>
        </w:tc>
        <w:tc>
          <w:tcPr>
            <w:tcW w:w="593" w:type="pct"/>
            <w:shd w:val="clear" w:color="auto" w:fill="auto"/>
            <w:vAlign w:val="center"/>
            <w:hideMark/>
          </w:tcPr>
          <w:p w14:paraId="0CB440B3"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45</w:t>
            </w:r>
          </w:p>
        </w:tc>
        <w:tc>
          <w:tcPr>
            <w:tcW w:w="1186" w:type="pct"/>
            <w:shd w:val="clear" w:color="auto" w:fill="auto"/>
            <w:vAlign w:val="center"/>
            <w:hideMark/>
          </w:tcPr>
          <w:p w14:paraId="7A22BF62"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2.867.232</w:t>
            </w:r>
          </w:p>
        </w:tc>
      </w:tr>
      <w:tr w:rsidR="00072A69" w:rsidRPr="00AA71AD" w14:paraId="2173C38A" w14:textId="77777777" w:rsidTr="00AC1F17">
        <w:trPr>
          <w:trHeight w:val="300"/>
        </w:trPr>
        <w:tc>
          <w:tcPr>
            <w:tcW w:w="1611" w:type="pct"/>
            <w:vMerge/>
            <w:vAlign w:val="center"/>
            <w:hideMark/>
          </w:tcPr>
          <w:p w14:paraId="1ACD59A0"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52F400BA"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75CCC2D9"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264</w:t>
            </w:r>
          </w:p>
        </w:tc>
        <w:tc>
          <w:tcPr>
            <w:tcW w:w="1186" w:type="pct"/>
            <w:shd w:val="clear" w:color="auto" w:fill="auto"/>
            <w:vAlign w:val="center"/>
            <w:hideMark/>
          </w:tcPr>
          <w:p w14:paraId="4B5BF285"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16.964.539</w:t>
            </w:r>
          </w:p>
        </w:tc>
      </w:tr>
      <w:tr w:rsidR="00072A69" w:rsidRPr="00AA71AD" w14:paraId="16705039" w14:textId="77777777" w:rsidTr="00AC1F17">
        <w:trPr>
          <w:trHeight w:val="300"/>
        </w:trPr>
        <w:tc>
          <w:tcPr>
            <w:tcW w:w="1611" w:type="pct"/>
            <w:vMerge/>
            <w:vAlign w:val="center"/>
            <w:hideMark/>
          </w:tcPr>
          <w:p w14:paraId="71215C32"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27DAECEA"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14BFA580"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309</w:t>
            </w:r>
          </w:p>
        </w:tc>
        <w:tc>
          <w:tcPr>
            <w:tcW w:w="1186" w:type="pct"/>
            <w:shd w:val="clear" w:color="auto" w:fill="auto"/>
            <w:vAlign w:val="center"/>
            <w:hideMark/>
          </w:tcPr>
          <w:p w14:paraId="173CE6D6"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19.831.771</w:t>
            </w:r>
          </w:p>
        </w:tc>
      </w:tr>
      <w:tr w:rsidR="00072A69" w:rsidRPr="00AA71AD" w14:paraId="06D2157C" w14:textId="77777777" w:rsidTr="00AC1F17">
        <w:trPr>
          <w:trHeight w:val="300"/>
        </w:trPr>
        <w:tc>
          <w:tcPr>
            <w:tcW w:w="1611" w:type="pct"/>
            <w:vMerge w:val="restart"/>
            <w:shd w:val="clear" w:color="auto" w:fill="auto"/>
            <w:vAlign w:val="center"/>
            <w:hideMark/>
          </w:tcPr>
          <w:p w14:paraId="6DC26230"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SAVINJSKA</w:t>
            </w:r>
          </w:p>
        </w:tc>
        <w:tc>
          <w:tcPr>
            <w:tcW w:w="1611" w:type="pct"/>
            <w:shd w:val="clear" w:color="auto" w:fill="auto"/>
            <w:vAlign w:val="center"/>
            <w:hideMark/>
          </w:tcPr>
          <w:p w14:paraId="553DB037"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SAVINJSKA</w:t>
            </w:r>
          </w:p>
        </w:tc>
        <w:tc>
          <w:tcPr>
            <w:tcW w:w="593" w:type="pct"/>
            <w:shd w:val="clear" w:color="auto" w:fill="auto"/>
            <w:vAlign w:val="center"/>
            <w:hideMark/>
          </w:tcPr>
          <w:p w14:paraId="3A9E13A9"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490</w:t>
            </w:r>
          </w:p>
        </w:tc>
        <w:tc>
          <w:tcPr>
            <w:tcW w:w="1186" w:type="pct"/>
            <w:shd w:val="clear" w:color="auto" w:fill="auto"/>
            <w:vAlign w:val="center"/>
            <w:hideMark/>
          </w:tcPr>
          <w:p w14:paraId="5D650087"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99.822.699</w:t>
            </w:r>
          </w:p>
        </w:tc>
      </w:tr>
      <w:tr w:rsidR="00072A69" w:rsidRPr="00AA71AD" w14:paraId="4BFD597C" w14:textId="77777777" w:rsidTr="00AC1F17">
        <w:trPr>
          <w:trHeight w:val="300"/>
        </w:trPr>
        <w:tc>
          <w:tcPr>
            <w:tcW w:w="1611" w:type="pct"/>
            <w:vMerge/>
            <w:vAlign w:val="center"/>
            <w:hideMark/>
          </w:tcPr>
          <w:p w14:paraId="448EF2BD"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3B031B72"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0140B5A4"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981</w:t>
            </w:r>
          </w:p>
        </w:tc>
        <w:tc>
          <w:tcPr>
            <w:tcW w:w="1186" w:type="pct"/>
            <w:shd w:val="clear" w:color="auto" w:fill="auto"/>
            <w:vAlign w:val="center"/>
            <w:hideMark/>
          </w:tcPr>
          <w:p w14:paraId="2A850429"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198.050.967</w:t>
            </w:r>
          </w:p>
        </w:tc>
      </w:tr>
      <w:tr w:rsidR="00072A69" w:rsidRPr="00AA71AD" w14:paraId="7B8274F8" w14:textId="77777777" w:rsidTr="00AC1F17">
        <w:trPr>
          <w:trHeight w:val="300"/>
        </w:trPr>
        <w:tc>
          <w:tcPr>
            <w:tcW w:w="1611" w:type="pct"/>
            <w:vMerge/>
            <w:vAlign w:val="center"/>
            <w:hideMark/>
          </w:tcPr>
          <w:p w14:paraId="515EBF0D"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3AD44584"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vAlign w:val="center"/>
            <w:hideMark/>
          </w:tcPr>
          <w:p w14:paraId="7C7BB317"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1.471</w:t>
            </w:r>
          </w:p>
        </w:tc>
        <w:tc>
          <w:tcPr>
            <w:tcW w:w="1186" w:type="pct"/>
            <w:shd w:val="clear" w:color="auto" w:fill="auto"/>
            <w:vAlign w:val="center"/>
            <w:hideMark/>
          </w:tcPr>
          <w:p w14:paraId="309266E7"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297.873.666</w:t>
            </w:r>
          </w:p>
        </w:tc>
      </w:tr>
      <w:tr w:rsidR="00072A69" w:rsidRPr="00AA71AD" w14:paraId="686656F8" w14:textId="77777777" w:rsidTr="00AC1F17">
        <w:trPr>
          <w:trHeight w:val="300"/>
        </w:trPr>
        <w:tc>
          <w:tcPr>
            <w:tcW w:w="1611" w:type="pct"/>
            <w:vMerge w:val="restart"/>
            <w:shd w:val="clear" w:color="auto" w:fill="auto"/>
            <w:vAlign w:val="center"/>
            <w:hideMark/>
          </w:tcPr>
          <w:p w14:paraId="56CE521E" w14:textId="77777777" w:rsidR="00072A69" w:rsidRPr="00AA71AD" w:rsidRDefault="00072A69" w:rsidP="00AC1F17">
            <w:pPr>
              <w:spacing w:after="0" w:line="240" w:lineRule="auto"/>
              <w:jc w:val="center"/>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ZASAVSKA</w:t>
            </w:r>
          </w:p>
        </w:tc>
        <w:tc>
          <w:tcPr>
            <w:tcW w:w="1611" w:type="pct"/>
            <w:shd w:val="clear" w:color="auto" w:fill="auto"/>
            <w:vAlign w:val="center"/>
            <w:hideMark/>
          </w:tcPr>
          <w:p w14:paraId="443124D6"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ZASAVSKA</w:t>
            </w:r>
          </w:p>
        </w:tc>
        <w:tc>
          <w:tcPr>
            <w:tcW w:w="593" w:type="pct"/>
            <w:shd w:val="clear" w:color="auto" w:fill="auto"/>
            <w:vAlign w:val="center"/>
            <w:hideMark/>
          </w:tcPr>
          <w:p w14:paraId="2C5EFAB6"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35</w:t>
            </w:r>
          </w:p>
        </w:tc>
        <w:tc>
          <w:tcPr>
            <w:tcW w:w="1186" w:type="pct"/>
            <w:shd w:val="clear" w:color="auto" w:fill="auto"/>
            <w:vAlign w:val="center"/>
            <w:hideMark/>
          </w:tcPr>
          <w:p w14:paraId="52C4F135"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4.262.925</w:t>
            </w:r>
          </w:p>
        </w:tc>
      </w:tr>
      <w:tr w:rsidR="00072A69" w:rsidRPr="00AA71AD" w14:paraId="671F37A0" w14:textId="77777777" w:rsidTr="00AC1F17">
        <w:trPr>
          <w:trHeight w:val="300"/>
        </w:trPr>
        <w:tc>
          <w:tcPr>
            <w:tcW w:w="1611" w:type="pct"/>
            <w:vMerge/>
            <w:vAlign w:val="center"/>
            <w:hideMark/>
          </w:tcPr>
          <w:p w14:paraId="39234455"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19013B5C" w14:textId="77777777" w:rsidR="00072A69" w:rsidRPr="00AA71AD" w:rsidRDefault="00072A69" w:rsidP="00AC1F17">
            <w:pPr>
              <w:spacing w:after="0" w:line="240" w:lineRule="auto"/>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ostale regije</w:t>
            </w:r>
          </w:p>
        </w:tc>
        <w:tc>
          <w:tcPr>
            <w:tcW w:w="593" w:type="pct"/>
            <w:shd w:val="clear" w:color="auto" w:fill="auto"/>
            <w:vAlign w:val="center"/>
            <w:hideMark/>
          </w:tcPr>
          <w:p w14:paraId="5F4F0107"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238</w:t>
            </w:r>
          </w:p>
        </w:tc>
        <w:tc>
          <w:tcPr>
            <w:tcW w:w="1186" w:type="pct"/>
            <w:shd w:val="clear" w:color="auto" w:fill="auto"/>
            <w:vAlign w:val="center"/>
            <w:hideMark/>
          </w:tcPr>
          <w:p w14:paraId="74E743C1" w14:textId="77777777" w:rsidR="00072A69" w:rsidRPr="00AA71AD" w:rsidRDefault="00072A69" w:rsidP="00AC1F17">
            <w:pPr>
              <w:spacing w:after="0" w:line="240" w:lineRule="auto"/>
              <w:jc w:val="right"/>
              <w:rPr>
                <w:rFonts w:ascii="Arial" w:eastAsia="Times New Roman" w:hAnsi="Arial" w:cs="Arial"/>
                <w:color w:val="000000"/>
                <w:sz w:val="18"/>
                <w:szCs w:val="18"/>
                <w:lang w:eastAsia="sl-SI"/>
              </w:rPr>
            </w:pPr>
            <w:r w:rsidRPr="00AA71AD">
              <w:rPr>
                <w:rFonts w:ascii="Arial" w:eastAsia="Times New Roman" w:hAnsi="Arial" w:cs="Arial"/>
                <w:color w:val="000000"/>
                <w:sz w:val="18"/>
                <w:szCs w:val="18"/>
                <w:lang w:eastAsia="sl-SI"/>
              </w:rPr>
              <w:t>21.506.633</w:t>
            </w:r>
          </w:p>
        </w:tc>
      </w:tr>
      <w:tr w:rsidR="00072A69" w:rsidRPr="00AA71AD" w14:paraId="051DB4E8" w14:textId="77777777" w:rsidTr="00AC1F17">
        <w:trPr>
          <w:trHeight w:val="300"/>
        </w:trPr>
        <w:tc>
          <w:tcPr>
            <w:tcW w:w="1611" w:type="pct"/>
            <w:vMerge/>
            <w:vAlign w:val="center"/>
            <w:hideMark/>
          </w:tcPr>
          <w:p w14:paraId="33A5E059" w14:textId="77777777" w:rsidR="00072A69" w:rsidRPr="00AA71AD" w:rsidRDefault="00072A69" w:rsidP="00AC1F17">
            <w:pPr>
              <w:spacing w:after="0" w:line="240" w:lineRule="auto"/>
              <w:rPr>
                <w:rFonts w:ascii="Arial" w:eastAsia="Times New Roman" w:hAnsi="Arial" w:cs="Arial"/>
                <w:color w:val="000000"/>
                <w:sz w:val="18"/>
                <w:szCs w:val="18"/>
                <w:lang w:eastAsia="sl-SI"/>
              </w:rPr>
            </w:pPr>
          </w:p>
        </w:tc>
        <w:tc>
          <w:tcPr>
            <w:tcW w:w="1611" w:type="pct"/>
            <w:shd w:val="clear" w:color="auto" w:fill="auto"/>
            <w:vAlign w:val="center"/>
            <w:hideMark/>
          </w:tcPr>
          <w:p w14:paraId="7D9C8D65"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auto" w:fill="auto"/>
            <w:noWrap/>
            <w:vAlign w:val="center"/>
            <w:hideMark/>
          </w:tcPr>
          <w:p w14:paraId="79E95E70"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273</w:t>
            </w:r>
          </w:p>
        </w:tc>
        <w:tc>
          <w:tcPr>
            <w:tcW w:w="1186" w:type="pct"/>
            <w:shd w:val="clear" w:color="auto" w:fill="auto"/>
            <w:noWrap/>
            <w:vAlign w:val="center"/>
            <w:hideMark/>
          </w:tcPr>
          <w:p w14:paraId="08D8ED8B"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25.769.558</w:t>
            </w:r>
          </w:p>
        </w:tc>
      </w:tr>
      <w:tr w:rsidR="00072A69" w:rsidRPr="00AA71AD" w14:paraId="1008B124" w14:textId="77777777" w:rsidTr="00AC1F17">
        <w:trPr>
          <w:trHeight w:val="300"/>
        </w:trPr>
        <w:tc>
          <w:tcPr>
            <w:tcW w:w="3222" w:type="pct"/>
            <w:gridSpan w:val="2"/>
            <w:shd w:val="clear" w:color="000000" w:fill="E7E6E6"/>
            <w:noWrap/>
            <w:vAlign w:val="center"/>
            <w:hideMark/>
          </w:tcPr>
          <w:p w14:paraId="5FB1DFBA" w14:textId="77777777" w:rsidR="00072A69" w:rsidRPr="00AA71AD" w:rsidRDefault="00072A69" w:rsidP="00AC1F17">
            <w:pPr>
              <w:spacing w:after="0" w:line="240" w:lineRule="auto"/>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Skupaj</w:t>
            </w:r>
          </w:p>
        </w:tc>
        <w:tc>
          <w:tcPr>
            <w:tcW w:w="593" w:type="pct"/>
            <w:shd w:val="clear" w:color="000000" w:fill="E7E6E6"/>
            <w:noWrap/>
            <w:vAlign w:val="center"/>
            <w:hideMark/>
          </w:tcPr>
          <w:p w14:paraId="45E0CC4B"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16.459</w:t>
            </w:r>
          </w:p>
        </w:tc>
        <w:tc>
          <w:tcPr>
            <w:tcW w:w="1186" w:type="pct"/>
            <w:shd w:val="clear" w:color="000000" w:fill="E7E6E6"/>
            <w:noWrap/>
            <w:vAlign w:val="center"/>
            <w:hideMark/>
          </w:tcPr>
          <w:p w14:paraId="5C0A3E66" w14:textId="77777777" w:rsidR="00072A69" w:rsidRPr="00AA71AD" w:rsidRDefault="00072A69" w:rsidP="00AC1F17">
            <w:pPr>
              <w:spacing w:after="0" w:line="240" w:lineRule="auto"/>
              <w:jc w:val="right"/>
              <w:rPr>
                <w:rFonts w:ascii="Arial" w:eastAsia="Times New Roman" w:hAnsi="Arial" w:cs="Arial"/>
                <w:b/>
                <w:bCs/>
                <w:color w:val="000000"/>
                <w:sz w:val="18"/>
                <w:szCs w:val="18"/>
                <w:lang w:eastAsia="sl-SI"/>
              </w:rPr>
            </w:pPr>
            <w:r w:rsidRPr="00AA71AD">
              <w:rPr>
                <w:rFonts w:ascii="Arial" w:eastAsia="Times New Roman" w:hAnsi="Arial" w:cs="Arial"/>
                <w:b/>
                <w:bCs/>
                <w:color w:val="000000"/>
                <w:sz w:val="18"/>
                <w:szCs w:val="18"/>
                <w:lang w:eastAsia="sl-SI"/>
              </w:rPr>
              <w:t>2.530.228.873</w:t>
            </w:r>
          </w:p>
        </w:tc>
      </w:tr>
    </w:tbl>
    <w:p w14:paraId="38805CA3" w14:textId="77777777" w:rsidR="00072A69" w:rsidRPr="00EF2D0B" w:rsidRDefault="00072A69" w:rsidP="00072A69">
      <w:pPr>
        <w:spacing w:before="120" w:after="120" w:line="240" w:lineRule="auto"/>
        <w:jc w:val="both"/>
        <w:rPr>
          <w:rFonts w:ascii="Arial" w:hAnsi="Arial" w:cs="Arial"/>
          <w:sz w:val="20"/>
          <w:highlight w:val="yellow"/>
        </w:rPr>
      </w:pPr>
    </w:p>
    <w:p w14:paraId="2F6EB9A6" w14:textId="45510866" w:rsidR="00072A69" w:rsidRPr="00360427" w:rsidRDefault="00072A69" w:rsidP="00072A69">
      <w:pPr>
        <w:spacing w:before="120" w:after="120" w:line="240" w:lineRule="auto"/>
        <w:jc w:val="both"/>
        <w:rPr>
          <w:rFonts w:ascii="Arial" w:hAnsi="Arial" w:cs="Arial"/>
          <w:sz w:val="20"/>
        </w:rPr>
      </w:pPr>
      <w:r w:rsidRPr="00360427">
        <w:rPr>
          <w:rFonts w:ascii="Arial" w:hAnsi="Arial" w:cs="Arial"/>
          <w:sz w:val="20"/>
        </w:rPr>
        <w:t>Preglednica 10</w:t>
      </w:r>
      <w:r w:rsidR="00D23EC0">
        <w:rPr>
          <w:rFonts w:ascii="Arial" w:hAnsi="Arial" w:cs="Arial"/>
          <w:sz w:val="20"/>
        </w:rPr>
        <w:t>2</w:t>
      </w:r>
      <w:r w:rsidRPr="00360427">
        <w:rPr>
          <w:rFonts w:ascii="Arial" w:hAnsi="Arial" w:cs="Arial"/>
          <w:sz w:val="20"/>
        </w:rPr>
        <w:t xml:space="preserve">: Javna naročila, oddana slovenskim ponudnikom, glede na velikost ponudnika </w:t>
      </w:r>
    </w:p>
    <w:tbl>
      <w:tblPr>
        <w:tblW w:w="5000" w:type="pct"/>
        <w:tblCellMar>
          <w:left w:w="70" w:type="dxa"/>
          <w:right w:w="70" w:type="dxa"/>
        </w:tblCellMar>
        <w:tblLook w:val="04A0" w:firstRow="1" w:lastRow="0" w:firstColumn="1" w:lastColumn="0" w:noHBand="0" w:noVBand="1"/>
      </w:tblPr>
      <w:tblGrid>
        <w:gridCol w:w="2922"/>
        <w:gridCol w:w="973"/>
        <w:gridCol w:w="1948"/>
        <w:gridCol w:w="1631"/>
        <w:gridCol w:w="1588"/>
      </w:tblGrid>
      <w:tr w:rsidR="00072A69" w:rsidRPr="00360427" w14:paraId="3C85F235" w14:textId="77777777" w:rsidTr="00AC1F17">
        <w:trPr>
          <w:trHeight w:val="300"/>
        </w:trPr>
        <w:tc>
          <w:tcPr>
            <w:tcW w:w="1612"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5D4E661" w14:textId="77777777" w:rsidR="00072A69" w:rsidRPr="00360427" w:rsidRDefault="00072A69" w:rsidP="00AC1F17">
            <w:pPr>
              <w:spacing w:after="0" w:line="240" w:lineRule="auto"/>
              <w:jc w:val="center"/>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Velikost ponudnika</w:t>
            </w:r>
          </w:p>
        </w:tc>
        <w:tc>
          <w:tcPr>
            <w:tcW w:w="537" w:type="pct"/>
            <w:tcBorders>
              <w:top w:val="single" w:sz="4" w:space="0" w:color="auto"/>
              <w:left w:val="nil"/>
              <w:bottom w:val="single" w:sz="4" w:space="0" w:color="auto"/>
              <w:right w:val="single" w:sz="4" w:space="0" w:color="auto"/>
            </w:tcBorders>
            <w:shd w:val="clear" w:color="000000" w:fill="EDEDED"/>
            <w:noWrap/>
            <w:vAlign w:val="center"/>
            <w:hideMark/>
          </w:tcPr>
          <w:p w14:paraId="1396DF3F" w14:textId="77777777" w:rsidR="00072A69" w:rsidRPr="00360427" w:rsidRDefault="00072A69" w:rsidP="00AC1F17">
            <w:pPr>
              <w:spacing w:after="0" w:line="240" w:lineRule="auto"/>
              <w:jc w:val="center"/>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Št. naročil</w:t>
            </w:r>
          </w:p>
        </w:tc>
        <w:tc>
          <w:tcPr>
            <w:tcW w:w="1075" w:type="pct"/>
            <w:tcBorders>
              <w:top w:val="single" w:sz="4" w:space="0" w:color="auto"/>
              <w:left w:val="nil"/>
              <w:bottom w:val="single" w:sz="4" w:space="0" w:color="auto"/>
              <w:right w:val="single" w:sz="4" w:space="0" w:color="auto"/>
            </w:tcBorders>
            <w:shd w:val="clear" w:color="000000" w:fill="EDEDED"/>
            <w:noWrap/>
            <w:vAlign w:val="center"/>
            <w:hideMark/>
          </w:tcPr>
          <w:p w14:paraId="1DFF3CB8" w14:textId="77777777" w:rsidR="00072A69" w:rsidRPr="00360427" w:rsidRDefault="00072A69" w:rsidP="00AC1F17">
            <w:pPr>
              <w:spacing w:after="0" w:line="240" w:lineRule="auto"/>
              <w:jc w:val="center"/>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Pogodbena vrednost</w:t>
            </w:r>
          </w:p>
        </w:tc>
        <w:tc>
          <w:tcPr>
            <w:tcW w:w="900" w:type="pct"/>
            <w:tcBorders>
              <w:top w:val="single" w:sz="4" w:space="0" w:color="auto"/>
              <w:left w:val="nil"/>
              <w:bottom w:val="single" w:sz="4" w:space="0" w:color="auto"/>
              <w:right w:val="single" w:sz="4" w:space="0" w:color="auto"/>
            </w:tcBorders>
            <w:shd w:val="clear" w:color="000000" w:fill="EDEDED"/>
            <w:noWrap/>
            <w:vAlign w:val="center"/>
            <w:hideMark/>
          </w:tcPr>
          <w:p w14:paraId="63C92799" w14:textId="77777777" w:rsidR="00072A69" w:rsidRPr="00360427" w:rsidRDefault="00072A69" w:rsidP="00AC1F17">
            <w:pPr>
              <w:spacing w:after="0" w:line="240" w:lineRule="auto"/>
              <w:jc w:val="center"/>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Delež v št. naročil</w:t>
            </w:r>
          </w:p>
        </w:tc>
        <w:tc>
          <w:tcPr>
            <w:tcW w:w="876" w:type="pct"/>
            <w:tcBorders>
              <w:top w:val="single" w:sz="4" w:space="0" w:color="auto"/>
              <w:left w:val="nil"/>
              <w:bottom w:val="single" w:sz="4" w:space="0" w:color="auto"/>
              <w:right w:val="single" w:sz="4" w:space="0" w:color="auto"/>
            </w:tcBorders>
            <w:shd w:val="clear" w:color="000000" w:fill="EDEDED"/>
            <w:noWrap/>
            <w:vAlign w:val="center"/>
            <w:hideMark/>
          </w:tcPr>
          <w:p w14:paraId="370100BC" w14:textId="77777777" w:rsidR="00072A69" w:rsidRPr="00360427" w:rsidRDefault="00072A69" w:rsidP="00AC1F17">
            <w:pPr>
              <w:spacing w:after="0" w:line="240" w:lineRule="auto"/>
              <w:jc w:val="center"/>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Delež v vrednosti</w:t>
            </w:r>
          </w:p>
        </w:tc>
      </w:tr>
      <w:tr w:rsidR="00072A69" w:rsidRPr="00360427" w14:paraId="1C1B028B"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79A9A0C9" w14:textId="77777777" w:rsidR="00072A69" w:rsidRPr="00360427" w:rsidRDefault="00072A69" w:rsidP="00AC1F17">
            <w:pPr>
              <w:spacing w:after="0" w:line="240" w:lineRule="auto"/>
              <w:rPr>
                <w:rFonts w:ascii="Arial" w:eastAsia="Times New Roman" w:hAnsi="Arial" w:cs="Arial"/>
                <w:color w:val="000000"/>
                <w:sz w:val="18"/>
                <w:szCs w:val="18"/>
                <w:lang w:eastAsia="sl-SI"/>
              </w:rPr>
            </w:pPr>
            <w:proofErr w:type="spellStart"/>
            <w:r w:rsidRPr="00360427">
              <w:rPr>
                <w:rFonts w:ascii="Arial" w:eastAsia="Times New Roman" w:hAnsi="Arial" w:cs="Arial"/>
                <w:color w:val="000000"/>
                <w:sz w:val="18"/>
                <w:szCs w:val="18"/>
                <w:lang w:eastAsia="sl-SI"/>
              </w:rPr>
              <w:t>Mikro</w:t>
            </w:r>
            <w:proofErr w:type="spellEnd"/>
            <w:r w:rsidRPr="00360427">
              <w:rPr>
                <w:rFonts w:ascii="Arial" w:eastAsia="Times New Roman" w:hAnsi="Arial" w:cs="Arial"/>
                <w:color w:val="000000"/>
                <w:sz w:val="18"/>
                <w:szCs w:val="18"/>
                <w:lang w:eastAsia="sl-SI"/>
              </w:rPr>
              <w:t xml:space="preserve"> enote</w:t>
            </w:r>
          </w:p>
        </w:tc>
        <w:tc>
          <w:tcPr>
            <w:tcW w:w="537" w:type="pct"/>
            <w:tcBorders>
              <w:top w:val="nil"/>
              <w:left w:val="nil"/>
              <w:bottom w:val="single" w:sz="4" w:space="0" w:color="auto"/>
              <w:right w:val="single" w:sz="4" w:space="0" w:color="auto"/>
            </w:tcBorders>
            <w:shd w:val="clear" w:color="auto" w:fill="auto"/>
            <w:vAlign w:val="center"/>
            <w:hideMark/>
          </w:tcPr>
          <w:p w14:paraId="7B8A2E6F"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2.326</w:t>
            </w:r>
          </w:p>
        </w:tc>
        <w:tc>
          <w:tcPr>
            <w:tcW w:w="1075" w:type="pct"/>
            <w:tcBorders>
              <w:top w:val="nil"/>
              <w:left w:val="nil"/>
              <w:bottom w:val="single" w:sz="4" w:space="0" w:color="auto"/>
              <w:right w:val="single" w:sz="4" w:space="0" w:color="auto"/>
            </w:tcBorders>
            <w:shd w:val="clear" w:color="auto" w:fill="auto"/>
            <w:vAlign w:val="center"/>
            <w:hideMark/>
          </w:tcPr>
          <w:p w14:paraId="7F245C6B"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219.904.503</w:t>
            </w:r>
          </w:p>
        </w:tc>
        <w:tc>
          <w:tcPr>
            <w:tcW w:w="900" w:type="pct"/>
            <w:tcBorders>
              <w:top w:val="nil"/>
              <w:left w:val="nil"/>
              <w:bottom w:val="single" w:sz="4" w:space="0" w:color="auto"/>
              <w:right w:val="single" w:sz="4" w:space="0" w:color="auto"/>
            </w:tcBorders>
            <w:shd w:val="clear" w:color="auto" w:fill="auto"/>
            <w:noWrap/>
            <w:vAlign w:val="center"/>
            <w:hideMark/>
          </w:tcPr>
          <w:p w14:paraId="30FA7E11"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14,13</w:t>
            </w:r>
            <w:r>
              <w:rPr>
                <w:rFonts w:ascii="Arial" w:eastAsia="Times New Roman" w:hAnsi="Arial" w:cs="Arial"/>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auto"/>
            <w:noWrap/>
            <w:vAlign w:val="center"/>
            <w:hideMark/>
          </w:tcPr>
          <w:p w14:paraId="14C31C22"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8,69</w:t>
            </w:r>
            <w:r>
              <w:rPr>
                <w:rFonts w:ascii="Arial" w:eastAsia="Times New Roman" w:hAnsi="Arial" w:cs="Arial"/>
                <w:color w:val="000000"/>
                <w:sz w:val="18"/>
                <w:szCs w:val="18"/>
                <w:lang w:eastAsia="sl-SI"/>
              </w:rPr>
              <w:t xml:space="preserve"> %</w:t>
            </w:r>
          </w:p>
        </w:tc>
      </w:tr>
      <w:tr w:rsidR="00072A69" w:rsidRPr="00360427" w14:paraId="33D61BCC"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533D5F31" w14:textId="77777777" w:rsidR="00072A69" w:rsidRPr="00360427" w:rsidRDefault="00072A69" w:rsidP="00AC1F17">
            <w:pPr>
              <w:spacing w:after="0" w:line="240" w:lineRule="auto"/>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Majhne enote</w:t>
            </w:r>
          </w:p>
        </w:tc>
        <w:tc>
          <w:tcPr>
            <w:tcW w:w="537" w:type="pct"/>
            <w:tcBorders>
              <w:top w:val="nil"/>
              <w:left w:val="nil"/>
              <w:bottom w:val="single" w:sz="4" w:space="0" w:color="auto"/>
              <w:right w:val="single" w:sz="4" w:space="0" w:color="auto"/>
            </w:tcBorders>
            <w:shd w:val="clear" w:color="auto" w:fill="auto"/>
            <w:vAlign w:val="center"/>
            <w:hideMark/>
          </w:tcPr>
          <w:p w14:paraId="7479CCB0"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5.738</w:t>
            </w:r>
          </w:p>
        </w:tc>
        <w:tc>
          <w:tcPr>
            <w:tcW w:w="1075" w:type="pct"/>
            <w:tcBorders>
              <w:top w:val="nil"/>
              <w:left w:val="nil"/>
              <w:bottom w:val="single" w:sz="4" w:space="0" w:color="auto"/>
              <w:right w:val="single" w:sz="4" w:space="0" w:color="auto"/>
            </w:tcBorders>
            <w:shd w:val="clear" w:color="auto" w:fill="auto"/>
            <w:vAlign w:val="center"/>
            <w:hideMark/>
          </w:tcPr>
          <w:p w14:paraId="7FAE7FBC"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746.106.195</w:t>
            </w:r>
          </w:p>
        </w:tc>
        <w:tc>
          <w:tcPr>
            <w:tcW w:w="900" w:type="pct"/>
            <w:tcBorders>
              <w:top w:val="nil"/>
              <w:left w:val="nil"/>
              <w:bottom w:val="single" w:sz="4" w:space="0" w:color="auto"/>
              <w:right w:val="single" w:sz="4" w:space="0" w:color="auto"/>
            </w:tcBorders>
            <w:shd w:val="clear" w:color="auto" w:fill="auto"/>
            <w:noWrap/>
            <w:vAlign w:val="center"/>
            <w:hideMark/>
          </w:tcPr>
          <w:p w14:paraId="64673C9E"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34,86</w:t>
            </w:r>
            <w:r>
              <w:rPr>
                <w:rFonts w:ascii="Arial" w:eastAsia="Times New Roman" w:hAnsi="Arial" w:cs="Arial"/>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auto"/>
            <w:noWrap/>
            <w:vAlign w:val="center"/>
            <w:hideMark/>
          </w:tcPr>
          <w:p w14:paraId="678D53D6"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29,49</w:t>
            </w:r>
            <w:r>
              <w:rPr>
                <w:rFonts w:ascii="Arial" w:eastAsia="Times New Roman" w:hAnsi="Arial" w:cs="Arial"/>
                <w:color w:val="000000"/>
                <w:sz w:val="18"/>
                <w:szCs w:val="18"/>
                <w:lang w:eastAsia="sl-SI"/>
              </w:rPr>
              <w:t xml:space="preserve"> %</w:t>
            </w:r>
          </w:p>
        </w:tc>
      </w:tr>
      <w:tr w:rsidR="00072A69" w:rsidRPr="00360427" w14:paraId="313AFB8A"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37F53FE5" w14:textId="77777777" w:rsidR="00072A69" w:rsidRPr="00360427" w:rsidRDefault="00072A69" w:rsidP="00AC1F17">
            <w:pPr>
              <w:spacing w:after="0" w:line="240" w:lineRule="auto"/>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Srednje enote</w:t>
            </w:r>
          </w:p>
        </w:tc>
        <w:tc>
          <w:tcPr>
            <w:tcW w:w="537" w:type="pct"/>
            <w:tcBorders>
              <w:top w:val="nil"/>
              <w:left w:val="nil"/>
              <w:bottom w:val="single" w:sz="4" w:space="0" w:color="auto"/>
              <w:right w:val="single" w:sz="4" w:space="0" w:color="auto"/>
            </w:tcBorders>
            <w:shd w:val="clear" w:color="auto" w:fill="auto"/>
            <w:vAlign w:val="center"/>
            <w:hideMark/>
          </w:tcPr>
          <w:p w14:paraId="56A1056A"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3.787</w:t>
            </w:r>
          </w:p>
        </w:tc>
        <w:tc>
          <w:tcPr>
            <w:tcW w:w="1075" w:type="pct"/>
            <w:tcBorders>
              <w:top w:val="nil"/>
              <w:left w:val="nil"/>
              <w:bottom w:val="single" w:sz="4" w:space="0" w:color="auto"/>
              <w:right w:val="single" w:sz="4" w:space="0" w:color="auto"/>
            </w:tcBorders>
            <w:shd w:val="clear" w:color="auto" w:fill="auto"/>
            <w:vAlign w:val="center"/>
            <w:hideMark/>
          </w:tcPr>
          <w:p w14:paraId="7A598973"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623.899.613</w:t>
            </w:r>
          </w:p>
        </w:tc>
        <w:tc>
          <w:tcPr>
            <w:tcW w:w="900" w:type="pct"/>
            <w:tcBorders>
              <w:top w:val="nil"/>
              <w:left w:val="nil"/>
              <w:bottom w:val="single" w:sz="4" w:space="0" w:color="auto"/>
              <w:right w:val="single" w:sz="4" w:space="0" w:color="auto"/>
            </w:tcBorders>
            <w:shd w:val="clear" w:color="auto" w:fill="auto"/>
            <w:noWrap/>
            <w:vAlign w:val="center"/>
            <w:hideMark/>
          </w:tcPr>
          <w:p w14:paraId="57FAE7BA"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23,01</w:t>
            </w:r>
            <w:r>
              <w:rPr>
                <w:rFonts w:ascii="Arial" w:eastAsia="Times New Roman" w:hAnsi="Arial" w:cs="Arial"/>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auto"/>
            <w:noWrap/>
            <w:vAlign w:val="center"/>
            <w:hideMark/>
          </w:tcPr>
          <w:p w14:paraId="4F98BA96"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24,66</w:t>
            </w:r>
            <w:r>
              <w:rPr>
                <w:rFonts w:ascii="Arial" w:eastAsia="Times New Roman" w:hAnsi="Arial" w:cs="Arial"/>
                <w:color w:val="000000"/>
                <w:sz w:val="18"/>
                <w:szCs w:val="18"/>
                <w:lang w:eastAsia="sl-SI"/>
              </w:rPr>
              <w:t xml:space="preserve"> %</w:t>
            </w:r>
          </w:p>
        </w:tc>
      </w:tr>
      <w:tr w:rsidR="00072A69" w:rsidRPr="00360427" w14:paraId="4BD20242"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3ED097F4" w14:textId="77777777" w:rsidR="00072A69" w:rsidRPr="00360427" w:rsidRDefault="00072A69" w:rsidP="00AC1F17">
            <w:pPr>
              <w:spacing w:after="0" w:line="240" w:lineRule="auto"/>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Velike enote</w:t>
            </w:r>
          </w:p>
        </w:tc>
        <w:tc>
          <w:tcPr>
            <w:tcW w:w="537" w:type="pct"/>
            <w:tcBorders>
              <w:top w:val="nil"/>
              <w:left w:val="nil"/>
              <w:bottom w:val="single" w:sz="4" w:space="0" w:color="auto"/>
              <w:right w:val="single" w:sz="4" w:space="0" w:color="auto"/>
            </w:tcBorders>
            <w:shd w:val="clear" w:color="auto" w:fill="auto"/>
            <w:vAlign w:val="center"/>
            <w:hideMark/>
          </w:tcPr>
          <w:p w14:paraId="636235AB"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4.086</w:t>
            </w:r>
          </w:p>
        </w:tc>
        <w:tc>
          <w:tcPr>
            <w:tcW w:w="1075" w:type="pct"/>
            <w:tcBorders>
              <w:top w:val="nil"/>
              <w:left w:val="nil"/>
              <w:bottom w:val="single" w:sz="4" w:space="0" w:color="auto"/>
              <w:right w:val="single" w:sz="4" w:space="0" w:color="auto"/>
            </w:tcBorders>
            <w:shd w:val="clear" w:color="auto" w:fill="auto"/>
            <w:vAlign w:val="center"/>
            <w:hideMark/>
          </w:tcPr>
          <w:p w14:paraId="49B1CCA5"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893.901.340</w:t>
            </w:r>
          </w:p>
        </w:tc>
        <w:tc>
          <w:tcPr>
            <w:tcW w:w="900" w:type="pct"/>
            <w:tcBorders>
              <w:top w:val="nil"/>
              <w:left w:val="nil"/>
              <w:bottom w:val="single" w:sz="4" w:space="0" w:color="auto"/>
              <w:right w:val="single" w:sz="4" w:space="0" w:color="auto"/>
            </w:tcBorders>
            <w:shd w:val="clear" w:color="auto" w:fill="auto"/>
            <w:noWrap/>
            <w:vAlign w:val="center"/>
            <w:hideMark/>
          </w:tcPr>
          <w:p w14:paraId="4504A285"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24,83</w:t>
            </w:r>
            <w:r>
              <w:rPr>
                <w:rFonts w:ascii="Arial" w:eastAsia="Times New Roman" w:hAnsi="Arial" w:cs="Arial"/>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auto"/>
            <w:noWrap/>
            <w:vAlign w:val="center"/>
            <w:hideMark/>
          </w:tcPr>
          <w:p w14:paraId="5DDB9438"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35,33</w:t>
            </w:r>
            <w:r>
              <w:rPr>
                <w:rFonts w:ascii="Arial" w:eastAsia="Times New Roman" w:hAnsi="Arial" w:cs="Arial"/>
                <w:color w:val="000000"/>
                <w:sz w:val="18"/>
                <w:szCs w:val="18"/>
                <w:lang w:eastAsia="sl-SI"/>
              </w:rPr>
              <w:t xml:space="preserve"> %</w:t>
            </w:r>
          </w:p>
        </w:tc>
      </w:tr>
      <w:tr w:rsidR="00072A69" w:rsidRPr="00360427" w14:paraId="469B2EFD"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52AD769E" w14:textId="77777777" w:rsidR="00072A69" w:rsidRPr="00360427" w:rsidRDefault="00072A69" w:rsidP="00AC1F17">
            <w:pPr>
              <w:spacing w:after="0" w:line="240" w:lineRule="auto"/>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Velikost RS se ne izračunava</w:t>
            </w:r>
          </w:p>
        </w:tc>
        <w:tc>
          <w:tcPr>
            <w:tcW w:w="537" w:type="pct"/>
            <w:tcBorders>
              <w:top w:val="nil"/>
              <w:left w:val="nil"/>
              <w:bottom w:val="single" w:sz="4" w:space="0" w:color="auto"/>
              <w:right w:val="single" w:sz="4" w:space="0" w:color="auto"/>
            </w:tcBorders>
            <w:shd w:val="clear" w:color="auto" w:fill="auto"/>
            <w:vAlign w:val="center"/>
            <w:hideMark/>
          </w:tcPr>
          <w:p w14:paraId="63AC60AA"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445</w:t>
            </w:r>
          </w:p>
        </w:tc>
        <w:tc>
          <w:tcPr>
            <w:tcW w:w="1075" w:type="pct"/>
            <w:tcBorders>
              <w:top w:val="nil"/>
              <w:left w:val="nil"/>
              <w:bottom w:val="single" w:sz="4" w:space="0" w:color="auto"/>
              <w:right w:val="single" w:sz="4" w:space="0" w:color="auto"/>
            </w:tcBorders>
            <w:shd w:val="clear" w:color="auto" w:fill="auto"/>
            <w:vAlign w:val="center"/>
            <w:hideMark/>
          </w:tcPr>
          <w:p w14:paraId="67054EB8"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36.369.671</w:t>
            </w:r>
          </w:p>
        </w:tc>
        <w:tc>
          <w:tcPr>
            <w:tcW w:w="900" w:type="pct"/>
            <w:tcBorders>
              <w:top w:val="nil"/>
              <w:left w:val="nil"/>
              <w:bottom w:val="single" w:sz="4" w:space="0" w:color="auto"/>
              <w:right w:val="single" w:sz="4" w:space="0" w:color="auto"/>
            </w:tcBorders>
            <w:shd w:val="clear" w:color="auto" w:fill="auto"/>
            <w:noWrap/>
            <w:vAlign w:val="center"/>
            <w:hideMark/>
          </w:tcPr>
          <w:p w14:paraId="51A9D770"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2,70</w:t>
            </w:r>
            <w:r>
              <w:rPr>
                <w:rFonts w:ascii="Arial" w:eastAsia="Times New Roman" w:hAnsi="Arial" w:cs="Arial"/>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auto"/>
            <w:noWrap/>
            <w:vAlign w:val="center"/>
            <w:hideMark/>
          </w:tcPr>
          <w:p w14:paraId="7BBAC16B"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1,44</w:t>
            </w:r>
            <w:r>
              <w:rPr>
                <w:rFonts w:ascii="Arial" w:eastAsia="Times New Roman" w:hAnsi="Arial" w:cs="Arial"/>
                <w:color w:val="000000"/>
                <w:sz w:val="18"/>
                <w:szCs w:val="18"/>
                <w:lang w:eastAsia="sl-SI"/>
              </w:rPr>
              <w:t xml:space="preserve"> %</w:t>
            </w:r>
          </w:p>
        </w:tc>
      </w:tr>
      <w:tr w:rsidR="00072A69" w:rsidRPr="00360427" w14:paraId="533A084B"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4A668955" w14:textId="77777777" w:rsidR="00072A69" w:rsidRPr="00360427" w:rsidRDefault="00072A69" w:rsidP="00AC1F17">
            <w:pPr>
              <w:spacing w:after="0" w:line="240" w:lineRule="auto"/>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Ni podatka o velikosti</w:t>
            </w:r>
          </w:p>
        </w:tc>
        <w:tc>
          <w:tcPr>
            <w:tcW w:w="537" w:type="pct"/>
            <w:tcBorders>
              <w:top w:val="nil"/>
              <w:left w:val="nil"/>
              <w:bottom w:val="single" w:sz="4" w:space="0" w:color="auto"/>
              <w:right w:val="single" w:sz="4" w:space="0" w:color="auto"/>
            </w:tcBorders>
            <w:shd w:val="clear" w:color="auto" w:fill="auto"/>
            <w:vAlign w:val="center"/>
            <w:hideMark/>
          </w:tcPr>
          <w:p w14:paraId="5AAF7185"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77</w:t>
            </w:r>
          </w:p>
        </w:tc>
        <w:tc>
          <w:tcPr>
            <w:tcW w:w="1075" w:type="pct"/>
            <w:tcBorders>
              <w:top w:val="nil"/>
              <w:left w:val="nil"/>
              <w:bottom w:val="single" w:sz="4" w:space="0" w:color="auto"/>
              <w:right w:val="single" w:sz="4" w:space="0" w:color="auto"/>
            </w:tcBorders>
            <w:shd w:val="clear" w:color="auto" w:fill="auto"/>
            <w:vAlign w:val="center"/>
            <w:hideMark/>
          </w:tcPr>
          <w:p w14:paraId="17A2EDE2"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10.047.551</w:t>
            </w:r>
          </w:p>
        </w:tc>
        <w:tc>
          <w:tcPr>
            <w:tcW w:w="900" w:type="pct"/>
            <w:tcBorders>
              <w:top w:val="nil"/>
              <w:left w:val="nil"/>
              <w:bottom w:val="single" w:sz="4" w:space="0" w:color="auto"/>
              <w:right w:val="single" w:sz="4" w:space="0" w:color="auto"/>
            </w:tcBorders>
            <w:shd w:val="clear" w:color="auto" w:fill="auto"/>
            <w:noWrap/>
            <w:vAlign w:val="center"/>
            <w:hideMark/>
          </w:tcPr>
          <w:p w14:paraId="608CC686"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auto"/>
            <w:noWrap/>
            <w:vAlign w:val="center"/>
            <w:hideMark/>
          </w:tcPr>
          <w:p w14:paraId="13A8F134" w14:textId="77777777" w:rsidR="00072A69" w:rsidRPr="00360427" w:rsidRDefault="00072A69" w:rsidP="00AC1F17">
            <w:pPr>
              <w:spacing w:after="0" w:line="240" w:lineRule="auto"/>
              <w:jc w:val="right"/>
              <w:rPr>
                <w:rFonts w:ascii="Arial" w:eastAsia="Times New Roman" w:hAnsi="Arial" w:cs="Arial"/>
                <w:color w:val="000000"/>
                <w:sz w:val="18"/>
                <w:szCs w:val="18"/>
                <w:lang w:eastAsia="sl-SI"/>
              </w:rPr>
            </w:pPr>
            <w:r w:rsidRPr="00360427">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072A69" w:rsidRPr="00360427" w14:paraId="0F3DBE19" w14:textId="77777777" w:rsidTr="00AC1F17">
        <w:trPr>
          <w:trHeight w:val="300"/>
        </w:trPr>
        <w:tc>
          <w:tcPr>
            <w:tcW w:w="1612"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745D0C1F" w14:textId="77777777" w:rsidR="00072A69" w:rsidRPr="00360427" w:rsidRDefault="00072A69" w:rsidP="00AC1F17">
            <w:pPr>
              <w:spacing w:after="0" w:line="240" w:lineRule="auto"/>
              <w:rPr>
                <w:rFonts w:ascii="Arial" w:eastAsia="Times New Roman" w:hAnsi="Arial" w:cs="Arial"/>
                <w:b/>
                <w:bCs/>
                <w:color w:val="000000"/>
                <w:sz w:val="18"/>
                <w:szCs w:val="18"/>
                <w:lang w:eastAsia="sl-SI"/>
              </w:rPr>
            </w:pPr>
            <w:r w:rsidRPr="00360427">
              <w:rPr>
                <w:rFonts w:ascii="Arial" w:eastAsia="Times New Roman" w:hAnsi="Arial" w:cs="Arial"/>
                <w:b/>
                <w:bCs/>
                <w:color w:val="000000"/>
                <w:sz w:val="18"/>
                <w:szCs w:val="18"/>
                <w:lang w:eastAsia="sl-SI"/>
              </w:rPr>
              <w:t>Skupaj</w:t>
            </w:r>
          </w:p>
        </w:tc>
        <w:tc>
          <w:tcPr>
            <w:tcW w:w="537" w:type="pct"/>
            <w:tcBorders>
              <w:top w:val="nil"/>
              <w:left w:val="nil"/>
              <w:bottom w:val="single" w:sz="4" w:space="0" w:color="auto"/>
              <w:right w:val="single" w:sz="4" w:space="0" w:color="auto"/>
            </w:tcBorders>
            <w:shd w:val="clear" w:color="auto" w:fill="E7E6E6" w:themeFill="background2"/>
            <w:noWrap/>
            <w:vAlign w:val="center"/>
            <w:hideMark/>
          </w:tcPr>
          <w:p w14:paraId="30A6EA2A" w14:textId="77777777" w:rsidR="00072A69" w:rsidRPr="00360427" w:rsidRDefault="00072A69" w:rsidP="00AC1F17">
            <w:pPr>
              <w:spacing w:after="0" w:line="240" w:lineRule="auto"/>
              <w:jc w:val="right"/>
              <w:rPr>
                <w:rFonts w:ascii="Arial" w:eastAsia="Times New Roman" w:hAnsi="Arial" w:cs="Arial"/>
                <w:b/>
                <w:bCs/>
                <w:color w:val="000000"/>
                <w:sz w:val="18"/>
                <w:szCs w:val="18"/>
                <w:lang w:eastAsia="sl-SI"/>
              </w:rPr>
            </w:pPr>
            <w:r w:rsidRPr="00360427">
              <w:rPr>
                <w:rFonts w:ascii="Arial" w:eastAsia="Times New Roman" w:hAnsi="Arial" w:cs="Arial"/>
                <w:b/>
                <w:bCs/>
                <w:color w:val="000000"/>
                <w:sz w:val="18"/>
                <w:szCs w:val="18"/>
                <w:lang w:eastAsia="sl-SI"/>
              </w:rPr>
              <w:t>16.459</w:t>
            </w:r>
          </w:p>
        </w:tc>
        <w:tc>
          <w:tcPr>
            <w:tcW w:w="1075" w:type="pct"/>
            <w:tcBorders>
              <w:top w:val="nil"/>
              <w:left w:val="nil"/>
              <w:bottom w:val="single" w:sz="4" w:space="0" w:color="auto"/>
              <w:right w:val="single" w:sz="4" w:space="0" w:color="auto"/>
            </w:tcBorders>
            <w:shd w:val="clear" w:color="auto" w:fill="E7E6E6" w:themeFill="background2"/>
            <w:noWrap/>
            <w:vAlign w:val="center"/>
            <w:hideMark/>
          </w:tcPr>
          <w:p w14:paraId="0E720C20" w14:textId="77777777" w:rsidR="00072A69" w:rsidRPr="00360427" w:rsidRDefault="00072A69" w:rsidP="00AC1F17">
            <w:pPr>
              <w:spacing w:after="0" w:line="240" w:lineRule="auto"/>
              <w:jc w:val="right"/>
              <w:rPr>
                <w:rFonts w:ascii="Arial" w:eastAsia="Times New Roman" w:hAnsi="Arial" w:cs="Arial"/>
                <w:b/>
                <w:bCs/>
                <w:color w:val="000000"/>
                <w:sz w:val="18"/>
                <w:szCs w:val="18"/>
                <w:lang w:eastAsia="sl-SI"/>
              </w:rPr>
            </w:pPr>
            <w:r w:rsidRPr="00360427">
              <w:rPr>
                <w:rFonts w:ascii="Arial" w:eastAsia="Times New Roman" w:hAnsi="Arial" w:cs="Arial"/>
                <w:b/>
                <w:bCs/>
                <w:color w:val="000000"/>
                <w:sz w:val="18"/>
                <w:szCs w:val="18"/>
                <w:lang w:eastAsia="sl-SI"/>
              </w:rPr>
              <w:t>2.530.228.873</w:t>
            </w:r>
          </w:p>
        </w:tc>
        <w:tc>
          <w:tcPr>
            <w:tcW w:w="900" w:type="pct"/>
            <w:tcBorders>
              <w:top w:val="nil"/>
              <w:left w:val="nil"/>
              <w:bottom w:val="single" w:sz="4" w:space="0" w:color="auto"/>
              <w:right w:val="single" w:sz="4" w:space="0" w:color="auto"/>
            </w:tcBorders>
            <w:shd w:val="clear" w:color="auto" w:fill="E7E6E6" w:themeFill="background2"/>
            <w:noWrap/>
            <w:vAlign w:val="center"/>
            <w:hideMark/>
          </w:tcPr>
          <w:p w14:paraId="4847EA50" w14:textId="77777777" w:rsidR="00072A69" w:rsidRPr="00360427" w:rsidRDefault="00072A69" w:rsidP="00AC1F17">
            <w:pPr>
              <w:spacing w:after="0" w:line="240" w:lineRule="auto"/>
              <w:jc w:val="right"/>
              <w:rPr>
                <w:rFonts w:ascii="Arial" w:eastAsia="Times New Roman" w:hAnsi="Arial" w:cs="Arial"/>
                <w:b/>
                <w:bCs/>
                <w:color w:val="000000"/>
                <w:sz w:val="18"/>
                <w:szCs w:val="18"/>
                <w:lang w:eastAsia="sl-SI"/>
              </w:rPr>
            </w:pPr>
            <w:r w:rsidRPr="0036042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876" w:type="pct"/>
            <w:tcBorders>
              <w:top w:val="nil"/>
              <w:left w:val="nil"/>
              <w:bottom w:val="single" w:sz="4" w:space="0" w:color="auto"/>
              <w:right w:val="single" w:sz="4" w:space="0" w:color="auto"/>
            </w:tcBorders>
            <w:shd w:val="clear" w:color="auto" w:fill="E7E6E6" w:themeFill="background2"/>
            <w:noWrap/>
            <w:vAlign w:val="center"/>
            <w:hideMark/>
          </w:tcPr>
          <w:p w14:paraId="09F4CBDE" w14:textId="77777777" w:rsidR="00072A69" w:rsidRPr="00360427" w:rsidRDefault="00072A69" w:rsidP="00AC1F17">
            <w:pPr>
              <w:spacing w:after="0" w:line="240" w:lineRule="auto"/>
              <w:jc w:val="right"/>
              <w:rPr>
                <w:rFonts w:ascii="Arial" w:eastAsia="Times New Roman" w:hAnsi="Arial" w:cs="Arial"/>
                <w:b/>
                <w:bCs/>
                <w:color w:val="000000"/>
                <w:sz w:val="18"/>
                <w:szCs w:val="18"/>
                <w:lang w:eastAsia="sl-SI"/>
              </w:rPr>
            </w:pPr>
            <w:r w:rsidRPr="0036042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4EB26C45" w14:textId="77777777" w:rsidR="00072A69" w:rsidRPr="00EF2D0B" w:rsidRDefault="00072A69" w:rsidP="00072A69">
      <w:pPr>
        <w:spacing w:before="120" w:after="120" w:line="240" w:lineRule="auto"/>
        <w:jc w:val="both"/>
        <w:rPr>
          <w:rFonts w:ascii="Arial" w:hAnsi="Arial" w:cs="Arial"/>
          <w:sz w:val="20"/>
          <w:highlight w:val="yellow"/>
        </w:rPr>
      </w:pPr>
    </w:p>
    <w:p w14:paraId="2DF06CD5" w14:textId="5A4555FD" w:rsidR="00072A69" w:rsidRPr="001F0077" w:rsidRDefault="00072A69" w:rsidP="00072A69">
      <w:pPr>
        <w:spacing w:before="120" w:after="120" w:line="240" w:lineRule="auto"/>
        <w:jc w:val="both"/>
        <w:rPr>
          <w:rFonts w:ascii="Arial" w:hAnsi="Arial" w:cs="Arial"/>
          <w:sz w:val="20"/>
        </w:rPr>
      </w:pPr>
      <w:r w:rsidRPr="001F0077">
        <w:rPr>
          <w:rFonts w:ascii="Arial" w:hAnsi="Arial" w:cs="Arial"/>
          <w:sz w:val="20"/>
        </w:rPr>
        <w:t>Preglednica 10</w:t>
      </w:r>
      <w:r w:rsidR="00D23EC0">
        <w:rPr>
          <w:rFonts w:ascii="Arial" w:hAnsi="Arial" w:cs="Arial"/>
          <w:sz w:val="20"/>
        </w:rPr>
        <w:t>3</w:t>
      </w:r>
      <w:r w:rsidRPr="001F0077">
        <w:rPr>
          <w:rFonts w:ascii="Arial" w:hAnsi="Arial" w:cs="Arial"/>
          <w:sz w:val="20"/>
        </w:rPr>
        <w:t>: Javna naročila, oddana slovenskim ponudnikom, glede na regijo naročnika in velikost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916"/>
        <w:gridCol w:w="691"/>
        <w:gridCol w:w="1292"/>
        <w:gridCol w:w="951"/>
        <w:gridCol w:w="1001"/>
      </w:tblGrid>
      <w:tr w:rsidR="00072A69" w:rsidRPr="00A33FC4" w14:paraId="21350784" w14:textId="77777777" w:rsidTr="00C320EE">
        <w:trPr>
          <w:trHeight w:val="960"/>
          <w:tblHeader/>
        </w:trPr>
        <w:tc>
          <w:tcPr>
            <w:tcW w:w="1220" w:type="pct"/>
            <w:shd w:val="clear" w:color="000000" w:fill="EDEDED"/>
            <w:vAlign w:val="center"/>
            <w:hideMark/>
          </w:tcPr>
          <w:p w14:paraId="7B8BF214"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Regija naročnika</w:t>
            </w:r>
          </w:p>
        </w:tc>
        <w:tc>
          <w:tcPr>
            <w:tcW w:w="1637" w:type="pct"/>
            <w:shd w:val="clear" w:color="000000" w:fill="EDEDED"/>
            <w:vAlign w:val="center"/>
            <w:hideMark/>
          </w:tcPr>
          <w:p w14:paraId="42D2ED24"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ponudnika</w:t>
            </w:r>
          </w:p>
        </w:tc>
        <w:tc>
          <w:tcPr>
            <w:tcW w:w="381" w:type="pct"/>
            <w:shd w:val="clear" w:color="000000" w:fill="EDEDED"/>
            <w:vAlign w:val="center"/>
            <w:hideMark/>
          </w:tcPr>
          <w:p w14:paraId="30E04BEE"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Št. naročil</w:t>
            </w:r>
          </w:p>
        </w:tc>
        <w:tc>
          <w:tcPr>
            <w:tcW w:w="713" w:type="pct"/>
            <w:shd w:val="clear" w:color="000000" w:fill="EDEDED"/>
            <w:vAlign w:val="center"/>
            <w:hideMark/>
          </w:tcPr>
          <w:p w14:paraId="27CDB8BD"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Pogodbena vrednost</w:t>
            </w:r>
          </w:p>
        </w:tc>
        <w:tc>
          <w:tcPr>
            <w:tcW w:w="525" w:type="pct"/>
            <w:shd w:val="clear" w:color="000000" w:fill="EDEDED"/>
            <w:vAlign w:val="center"/>
            <w:hideMark/>
          </w:tcPr>
          <w:p w14:paraId="1A34E4E2"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Delež v št. istovrstnih naročil</w:t>
            </w:r>
          </w:p>
        </w:tc>
        <w:tc>
          <w:tcPr>
            <w:tcW w:w="525" w:type="pct"/>
            <w:shd w:val="clear" w:color="000000" w:fill="EDEDED"/>
            <w:vAlign w:val="center"/>
            <w:hideMark/>
          </w:tcPr>
          <w:p w14:paraId="7A3D6ABE"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Delež v vrednosti istovrstnih naročil</w:t>
            </w:r>
          </w:p>
        </w:tc>
      </w:tr>
      <w:tr w:rsidR="00072A69" w:rsidRPr="00A33FC4" w14:paraId="64EF36B5" w14:textId="77777777" w:rsidTr="00AC1F17">
        <w:trPr>
          <w:trHeight w:val="300"/>
        </w:trPr>
        <w:tc>
          <w:tcPr>
            <w:tcW w:w="1220" w:type="pct"/>
            <w:vMerge w:val="restart"/>
            <w:shd w:val="clear" w:color="auto" w:fill="auto"/>
            <w:vAlign w:val="center"/>
            <w:hideMark/>
          </w:tcPr>
          <w:p w14:paraId="0A6E1C9C"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GORENJSKA</w:t>
            </w:r>
          </w:p>
        </w:tc>
        <w:tc>
          <w:tcPr>
            <w:tcW w:w="1637" w:type="pct"/>
            <w:shd w:val="clear" w:color="auto" w:fill="auto"/>
            <w:vAlign w:val="center"/>
            <w:hideMark/>
          </w:tcPr>
          <w:p w14:paraId="3D4C555A"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34733EE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122</w:t>
            </w:r>
          </w:p>
        </w:tc>
        <w:tc>
          <w:tcPr>
            <w:tcW w:w="713" w:type="pct"/>
            <w:shd w:val="clear" w:color="auto" w:fill="auto"/>
            <w:vAlign w:val="center"/>
            <w:hideMark/>
          </w:tcPr>
          <w:p w14:paraId="444007C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11.990.129</w:t>
            </w:r>
          </w:p>
        </w:tc>
        <w:tc>
          <w:tcPr>
            <w:tcW w:w="525" w:type="pct"/>
            <w:shd w:val="clear" w:color="auto" w:fill="auto"/>
            <w:noWrap/>
            <w:vAlign w:val="center"/>
            <w:hideMark/>
          </w:tcPr>
          <w:p w14:paraId="6776D5B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12,00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4F20D25" w14:textId="5E3AA4F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8,93</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DDC1652" w14:textId="77777777" w:rsidTr="00AC1F17">
        <w:trPr>
          <w:trHeight w:val="300"/>
        </w:trPr>
        <w:tc>
          <w:tcPr>
            <w:tcW w:w="1220" w:type="pct"/>
            <w:vMerge/>
            <w:vAlign w:val="center"/>
            <w:hideMark/>
          </w:tcPr>
          <w:p w14:paraId="481297AB"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C5153C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2707351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391</w:t>
            </w:r>
          </w:p>
        </w:tc>
        <w:tc>
          <w:tcPr>
            <w:tcW w:w="713" w:type="pct"/>
            <w:shd w:val="clear" w:color="auto" w:fill="auto"/>
            <w:vAlign w:val="center"/>
            <w:hideMark/>
          </w:tcPr>
          <w:p w14:paraId="5A8D41C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54.780.558</w:t>
            </w:r>
          </w:p>
        </w:tc>
        <w:tc>
          <w:tcPr>
            <w:tcW w:w="525" w:type="pct"/>
            <w:shd w:val="clear" w:color="auto" w:fill="auto"/>
            <w:noWrap/>
            <w:vAlign w:val="center"/>
            <w:hideMark/>
          </w:tcPr>
          <w:p w14:paraId="7821112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38,45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79C2FA2" w14:textId="0AD789A0"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40,81</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9141770" w14:textId="77777777" w:rsidTr="00AC1F17">
        <w:trPr>
          <w:trHeight w:val="300"/>
        </w:trPr>
        <w:tc>
          <w:tcPr>
            <w:tcW w:w="1220" w:type="pct"/>
            <w:vMerge/>
            <w:vAlign w:val="center"/>
            <w:hideMark/>
          </w:tcPr>
          <w:p w14:paraId="6F5111A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41FAAB6"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1DE4B6A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232</w:t>
            </w:r>
          </w:p>
        </w:tc>
        <w:tc>
          <w:tcPr>
            <w:tcW w:w="713" w:type="pct"/>
            <w:shd w:val="clear" w:color="auto" w:fill="auto"/>
            <w:vAlign w:val="center"/>
            <w:hideMark/>
          </w:tcPr>
          <w:p w14:paraId="6A3FD06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30.623.667</w:t>
            </w:r>
          </w:p>
        </w:tc>
        <w:tc>
          <w:tcPr>
            <w:tcW w:w="525" w:type="pct"/>
            <w:shd w:val="clear" w:color="auto" w:fill="auto"/>
            <w:noWrap/>
            <w:vAlign w:val="center"/>
            <w:hideMark/>
          </w:tcPr>
          <w:p w14:paraId="2D2BC26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22,81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2CEF831" w14:textId="09C77633"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22,81</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E312C64" w14:textId="77777777" w:rsidTr="00AC1F17">
        <w:trPr>
          <w:trHeight w:val="300"/>
        </w:trPr>
        <w:tc>
          <w:tcPr>
            <w:tcW w:w="1220" w:type="pct"/>
            <w:vMerge/>
            <w:vAlign w:val="center"/>
            <w:hideMark/>
          </w:tcPr>
          <w:p w14:paraId="72D400E6"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A3366E6"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30FF5C6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247</w:t>
            </w:r>
          </w:p>
        </w:tc>
        <w:tc>
          <w:tcPr>
            <w:tcW w:w="713" w:type="pct"/>
            <w:shd w:val="clear" w:color="auto" w:fill="auto"/>
            <w:vAlign w:val="center"/>
            <w:hideMark/>
          </w:tcPr>
          <w:p w14:paraId="4F887C8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33.983.417</w:t>
            </w:r>
          </w:p>
        </w:tc>
        <w:tc>
          <w:tcPr>
            <w:tcW w:w="525" w:type="pct"/>
            <w:shd w:val="clear" w:color="auto" w:fill="auto"/>
            <w:noWrap/>
            <w:vAlign w:val="center"/>
            <w:hideMark/>
          </w:tcPr>
          <w:p w14:paraId="421E788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24,29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6037877" w14:textId="440E4969"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25,32</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98A7471" w14:textId="77777777" w:rsidTr="00AC1F17">
        <w:trPr>
          <w:trHeight w:val="300"/>
        </w:trPr>
        <w:tc>
          <w:tcPr>
            <w:tcW w:w="1220" w:type="pct"/>
            <w:vMerge/>
            <w:vAlign w:val="center"/>
            <w:hideMark/>
          </w:tcPr>
          <w:p w14:paraId="6F80FD40"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2806315"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5265E69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w:t>
            </w:r>
          </w:p>
        </w:tc>
        <w:tc>
          <w:tcPr>
            <w:tcW w:w="713" w:type="pct"/>
            <w:shd w:val="clear" w:color="auto" w:fill="auto"/>
            <w:vAlign w:val="center"/>
            <w:hideMark/>
          </w:tcPr>
          <w:p w14:paraId="2A4BC6A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2.701.783</w:t>
            </w:r>
          </w:p>
        </w:tc>
        <w:tc>
          <w:tcPr>
            <w:tcW w:w="525" w:type="pct"/>
            <w:shd w:val="clear" w:color="auto" w:fill="auto"/>
            <w:noWrap/>
            <w:vAlign w:val="center"/>
            <w:hideMark/>
          </w:tcPr>
          <w:p w14:paraId="3811F84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46E60F6" w14:textId="73231489"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2,01</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20E8382" w14:textId="77777777" w:rsidTr="00AC1F17">
        <w:trPr>
          <w:trHeight w:val="300"/>
        </w:trPr>
        <w:tc>
          <w:tcPr>
            <w:tcW w:w="1220" w:type="pct"/>
            <w:vMerge/>
            <w:vAlign w:val="center"/>
            <w:hideMark/>
          </w:tcPr>
          <w:p w14:paraId="0FA1D9F0"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F327938"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5E61398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w:t>
            </w:r>
          </w:p>
        </w:tc>
        <w:tc>
          <w:tcPr>
            <w:tcW w:w="713" w:type="pct"/>
            <w:shd w:val="clear" w:color="auto" w:fill="auto"/>
            <w:vAlign w:val="center"/>
            <w:hideMark/>
          </w:tcPr>
          <w:p w14:paraId="52E9B8C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156.395</w:t>
            </w:r>
          </w:p>
        </w:tc>
        <w:tc>
          <w:tcPr>
            <w:tcW w:w="525" w:type="pct"/>
            <w:shd w:val="clear" w:color="auto" w:fill="auto"/>
            <w:noWrap/>
            <w:vAlign w:val="center"/>
            <w:hideMark/>
          </w:tcPr>
          <w:p w14:paraId="6B61987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A2394C2" w14:textId="23D7D258"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0,12</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86FB309" w14:textId="77777777" w:rsidTr="00AC1F17">
        <w:trPr>
          <w:trHeight w:val="300"/>
        </w:trPr>
        <w:tc>
          <w:tcPr>
            <w:tcW w:w="1220" w:type="pct"/>
            <w:vMerge/>
            <w:vAlign w:val="center"/>
            <w:hideMark/>
          </w:tcPr>
          <w:p w14:paraId="61D7F26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47C6EDB"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24B59BEE"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1.017</w:t>
            </w:r>
          </w:p>
        </w:tc>
        <w:tc>
          <w:tcPr>
            <w:tcW w:w="713" w:type="pct"/>
            <w:shd w:val="clear" w:color="auto" w:fill="auto"/>
            <w:vAlign w:val="center"/>
            <w:hideMark/>
          </w:tcPr>
          <w:p w14:paraId="662BC12A"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134.235.949</w:t>
            </w:r>
          </w:p>
        </w:tc>
        <w:tc>
          <w:tcPr>
            <w:tcW w:w="525" w:type="pct"/>
            <w:shd w:val="clear" w:color="auto" w:fill="auto"/>
            <w:noWrap/>
            <w:vAlign w:val="center"/>
            <w:hideMark/>
          </w:tcPr>
          <w:p w14:paraId="379E61F1"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522033CA" w14:textId="29AD3623"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0B5B5F">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505CE8EE" w14:textId="77777777" w:rsidTr="00AC1F17">
        <w:trPr>
          <w:trHeight w:val="360"/>
        </w:trPr>
        <w:tc>
          <w:tcPr>
            <w:tcW w:w="1220" w:type="pct"/>
            <w:vMerge w:val="restart"/>
            <w:shd w:val="clear" w:color="auto" w:fill="auto"/>
            <w:vAlign w:val="center"/>
            <w:hideMark/>
          </w:tcPr>
          <w:p w14:paraId="30343444"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GORIŠKA</w:t>
            </w:r>
          </w:p>
        </w:tc>
        <w:tc>
          <w:tcPr>
            <w:tcW w:w="1637" w:type="pct"/>
            <w:shd w:val="clear" w:color="auto" w:fill="auto"/>
            <w:vAlign w:val="center"/>
            <w:hideMark/>
          </w:tcPr>
          <w:p w14:paraId="5DC5DFEE"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0B2C956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74</w:t>
            </w:r>
          </w:p>
        </w:tc>
        <w:tc>
          <w:tcPr>
            <w:tcW w:w="713" w:type="pct"/>
            <w:shd w:val="clear" w:color="auto" w:fill="auto"/>
            <w:vAlign w:val="center"/>
            <w:hideMark/>
          </w:tcPr>
          <w:p w14:paraId="486BCE5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4.398.209</w:t>
            </w:r>
          </w:p>
        </w:tc>
        <w:tc>
          <w:tcPr>
            <w:tcW w:w="525" w:type="pct"/>
            <w:shd w:val="clear" w:color="auto" w:fill="auto"/>
            <w:noWrap/>
            <w:vAlign w:val="center"/>
            <w:hideMark/>
          </w:tcPr>
          <w:p w14:paraId="6AD764C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14,31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441EE39" w14:textId="7502B115"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8,36</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16C10021" w14:textId="77777777" w:rsidTr="00AC1F17">
        <w:trPr>
          <w:trHeight w:val="300"/>
        </w:trPr>
        <w:tc>
          <w:tcPr>
            <w:tcW w:w="1220" w:type="pct"/>
            <w:vMerge/>
            <w:vAlign w:val="center"/>
            <w:hideMark/>
          </w:tcPr>
          <w:p w14:paraId="1760E5B4"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7B58EBCD"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1D5B074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133</w:t>
            </w:r>
          </w:p>
        </w:tc>
        <w:tc>
          <w:tcPr>
            <w:tcW w:w="713" w:type="pct"/>
            <w:shd w:val="clear" w:color="auto" w:fill="auto"/>
            <w:vAlign w:val="center"/>
            <w:hideMark/>
          </w:tcPr>
          <w:p w14:paraId="483295D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19.404.967</w:t>
            </w:r>
          </w:p>
        </w:tc>
        <w:tc>
          <w:tcPr>
            <w:tcW w:w="525" w:type="pct"/>
            <w:shd w:val="clear" w:color="auto" w:fill="auto"/>
            <w:noWrap/>
            <w:vAlign w:val="center"/>
            <w:hideMark/>
          </w:tcPr>
          <w:p w14:paraId="57AB46A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25,73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0C23D92" w14:textId="035060B4"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36,88</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44F74613" w14:textId="77777777" w:rsidTr="00AC1F17">
        <w:trPr>
          <w:trHeight w:val="300"/>
        </w:trPr>
        <w:tc>
          <w:tcPr>
            <w:tcW w:w="1220" w:type="pct"/>
            <w:vMerge/>
            <w:vAlign w:val="center"/>
            <w:hideMark/>
          </w:tcPr>
          <w:p w14:paraId="052EAFA8"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B158650"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33CE937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132</w:t>
            </w:r>
          </w:p>
        </w:tc>
        <w:tc>
          <w:tcPr>
            <w:tcW w:w="713" w:type="pct"/>
            <w:shd w:val="clear" w:color="auto" w:fill="auto"/>
            <w:vAlign w:val="center"/>
            <w:hideMark/>
          </w:tcPr>
          <w:p w14:paraId="16FB0A9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12.295.068</w:t>
            </w:r>
          </w:p>
        </w:tc>
        <w:tc>
          <w:tcPr>
            <w:tcW w:w="525" w:type="pct"/>
            <w:shd w:val="clear" w:color="auto" w:fill="auto"/>
            <w:noWrap/>
            <w:vAlign w:val="center"/>
            <w:hideMark/>
          </w:tcPr>
          <w:p w14:paraId="37D18FE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25,53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D8A7D56" w14:textId="3D9A866C"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23,37</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97D82D0" w14:textId="77777777" w:rsidTr="00AC1F17">
        <w:trPr>
          <w:trHeight w:val="300"/>
        </w:trPr>
        <w:tc>
          <w:tcPr>
            <w:tcW w:w="1220" w:type="pct"/>
            <w:vMerge/>
            <w:vAlign w:val="center"/>
            <w:hideMark/>
          </w:tcPr>
          <w:p w14:paraId="5D482E3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522536B"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00E6FC6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172</w:t>
            </w:r>
          </w:p>
        </w:tc>
        <w:tc>
          <w:tcPr>
            <w:tcW w:w="713" w:type="pct"/>
            <w:shd w:val="clear" w:color="auto" w:fill="auto"/>
            <w:vAlign w:val="center"/>
            <w:hideMark/>
          </w:tcPr>
          <w:p w14:paraId="386CB3C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16.412.512</w:t>
            </w:r>
          </w:p>
        </w:tc>
        <w:tc>
          <w:tcPr>
            <w:tcW w:w="525" w:type="pct"/>
            <w:shd w:val="clear" w:color="auto" w:fill="auto"/>
            <w:noWrap/>
            <w:vAlign w:val="center"/>
            <w:hideMark/>
          </w:tcPr>
          <w:p w14:paraId="3D3AEA3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33,27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838E387" w14:textId="6C23BD71"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31,19</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09916359" w14:textId="77777777" w:rsidTr="00AC1F17">
        <w:trPr>
          <w:trHeight w:val="300"/>
        </w:trPr>
        <w:tc>
          <w:tcPr>
            <w:tcW w:w="1220" w:type="pct"/>
            <w:vMerge/>
            <w:vAlign w:val="center"/>
            <w:hideMark/>
          </w:tcPr>
          <w:p w14:paraId="3F105E6C"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72032E8C"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7F1D9E7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w:t>
            </w:r>
          </w:p>
        </w:tc>
        <w:tc>
          <w:tcPr>
            <w:tcW w:w="713" w:type="pct"/>
            <w:shd w:val="clear" w:color="auto" w:fill="auto"/>
            <w:vAlign w:val="center"/>
            <w:hideMark/>
          </w:tcPr>
          <w:p w14:paraId="2E55A4A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32.156</w:t>
            </w:r>
          </w:p>
        </w:tc>
        <w:tc>
          <w:tcPr>
            <w:tcW w:w="525" w:type="pct"/>
            <w:shd w:val="clear" w:color="auto" w:fill="auto"/>
            <w:noWrap/>
            <w:vAlign w:val="center"/>
            <w:hideMark/>
          </w:tcPr>
          <w:p w14:paraId="2699AD8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0,58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0A1C863" w14:textId="32279196"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0,06</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0477B99F" w14:textId="77777777" w:rsidTr="00AC1F17">
        <w:trPr>
          <w:trHeight w:val="300"/>
        </w:trPr>
        <w:tc>
          <w:tcPr>
            <w:tcW w:w="1220" w:type="pct"/>
            <w:vMerge/>
            <w:vAlign w:val="center"/>
            <w:hideMark/>
          </w:tcPr>
          <w:p w14:paraId="299CF7AB"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5D626A7"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03958BB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w:t>
            </w:r>
          </w:p>
        </w:tc>
        <w:tc>
          <w:tcPr>
            <w:tcW w:w="713" w:type="pct"/>
            <w:shd w:val="clear" w:color="auto" w:fill="auto"/>
            <w:vAlign w:val="center"/>
            <w:hideMark/>
          </w:tcPr>
          <w:p w14:paraId="1B1EBEE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78.552</w:t>
            </w:r>
          </w:p>
        </w:tc>
        <w:tc>
          <w:tcPr>
            <w:tcW w:w="525" w:type="pct"/>
            <w:shd w:val="clear" w:color="auto" w:fill="auto"/>
            <w:noWrap/>
            <w:vAlign w:val="center"/>
            <w:hideMark/>
          </w:tcPr>
          <w:p w14:paraId="058E9DA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0,58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B43D60E" w14:textId="3308F2F2"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0,15</w:t>
            </w:r>
            <w:r w:rsidR="000B5B5F">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E3633D4" w14:textId="77777777" w:rsidTr="00AC1F17">
        <w:trPr>
          <w:trHeight w:val="300"/>
        </w:trPr>
        <w:tc>
          <w:tcPr>
            <w:tcW w:w="1220" w:type="pct"/>
            <w:vMerge/>
            <w:vAlign w:val="center"/>
            <w:hideMark/>
          </w:tcPr>
          <w:p w14:paraId="0018B6C6"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F286B46"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CA82FC0"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517</w:t>
            </w:r>
          </w:p>
        </w:tc>
        <w:tc>
          <w:tcPr>
            <w:tcW w:w="713" w:type="pct"/>
            <w:shd w:val="clear" w:color="auto" w:fill="auto"/>
            <w:vAlign w:val="center"/>
            <w:hideMark/>
          </w:tcPr>
          <w:p w14:paraId="3B3CBFA1"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52.621.464</w:t>
            </w:r>
          </w:p>
        </w:tc>
        <w:tc>
          <w:tcPr>
            <w:tcW w:w="525" w:type="pct"/>
            <w:shd w:val="clear" w:color="auto" w:fill="auto"/>
            <w:noWrap/>
            <w:vAlign w:val="center"/>
            <w:hideMark/>
          </w:tcPr>
          <w:p w14:paraId="2490460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4DDB3968" w14:textId="795D0461"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0B5B5F">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2E02A1BF" w14:textId="77777777" w:rsidTr="00AC1F17">
        <w:trPr>
          <w:trHeight w:val="300"/>
        </w:trPr>
        <w:tc>
          <w:tcPr>
            <w:tcW w:w="1220" w:type="pct"/>
            <w:vMerge w:val="restart"/>
            <w:shd w:val="clear" w:color="auto" w:fill="auto"/>
            <w:vAlign w:val="center"/>
            <w:hideMark/>
          </w:tcPr>
          <w:p w14:paraId="306F3F2F"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lastRenderedPageBreak/>
              <w:t>JUGOVZHODNA SLOVENIJA</w:t>
            </w:r>
          </w:p>
        </w:tc>
        <w:tc>
          <w:tcPr>
            <w:tcW w:w="1637" w:type="pct"/>
            <w:shd w:val="clear" w:color="auto" w:fill="auto"/>
            <w:vAlign w:val="center"/>
            <w:hideMark/>
          </w:tcPr>
          <w:p w14:paraId="36D7A898"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0A6BA3B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89</w:t>
            </w:r>
          </w:p>
        </w:tc>
        <w:tc>
          <w:tcPr>
            <w:tcW w:w="713" w:type="pct"/>
            <w:shd w:val="clear" w:color="auto" w:fill="auto"/>
            <w:vAlign w:val="center"/>
            <w:hideMark/>
          </w:tcPr>
          <w:p w14:paraId="5E755F4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4.726.700</w:t>
            </w:r>
          </w:p>
        </w:tc>
        <w:tc>
          <w:tcPr>
            <w:tcW w:w="525" w:type="pct"/>
            <w:shd w:val="clear" w:color="auto" w:fill="auto"/>
            <w:noWrap/>
            <w:vAlign w:val="center"/>
            <w:hideMark/>
          </w:tcPr>
          <w:p w14:paraId="57D5FE6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11,41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78E027F" w14:textId="1B69182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4,81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090021FF" w14:textId="77777777" w:rsidTr="00AC1F17">
        <w:trPr>
          <w:trHeight w:val="300"/>
        </w:trPr>
        <w:tc>
          <w:tcPr>
            <w:tcW w:w="1220" w:type="pct"/>
            <w:vMerge/>
            <w:vAlign w:val="center"/>
            <w:hideMark/>
          </w:tcPr>
          <w:p w14:paraId="3603ED89"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FBC6FB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0B17B71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226</w:t>
            </w:r>
          </w:p>
        </w:tc>
        <w:tc>
          <w:tcPr>
            <w:tcW w:w="713" w:type="pct"/>
            <w:shd w:val="clear" w:color="auto" w:fill="auto"/>
            <w:vAlign w:val="center"/>
            <w:hideMark/>
          </w:tcPr>
          <w:p w14:paraId="27D8033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21.654.624</w:t>
            </w:r>
          </w:p>
        </w:tc>
        <w:tc>
          <w:tcPr>
            <w:tcW w:w="525" w:type="pct"/>
            <w:shd w:val="clear" w:color="auto" w:fill="auto"/>
            <w:noWrap/>
            <w:vAlign w:val="center"/>
            <w:hideMark/>
          </w:tcPr>
          <w:p w14:paraId="2500133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28,97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EEF2F8E" w14:textId="29D15DAD"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22,06</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191F244" w14:textId="77777777" w:rsidTr="00AC1F17">
        <w:trPr>
          <w:trHeight w:val="300"/>
        </w:trPr>
        <w:tc>
          <w:tcPr>
            <w:tcW w:w="1220" w:type="pct"/>
            <w:vMerge/>
            <w:vAlign w:val="center"/>
            <w:hideMark/>
          </w:tcPr>
          <w:p w14:paraId="6524EB15"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545B6E5A"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52A557D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185</w:t>
            </w:r>
          </w:p>
        </w:tc>
        <w:tc>
          <w:tcPr>
            <w:tcW w:w="713" w:type="pct"/>
            <w:shd w:val="clear" w:color="auto" w:fill="auto"/>
            <w:vAlign w:val="center"/>
            <w:hideMark/>
          </w:tcPr>
          <w:p w14:paraId="2C2801E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22.549.148</w:t>
            </w:r>
          </w:p>
        </w:tc>
        <w:tc>
          <w:tcPr>
            <w:tcW w:w="525" w:type="pct"/>
            <w:shd w:val="clear" w:color="auto" w:fill="auto"/>
            <w:noWrap/>
            <w:vAlign w:val="center"/>
            <w:hideMark/>
          </w:tcPr>
          <w:p w14:paraId="15DE3EE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23,72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A2110E6" w14:textId="60037BD4"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22,97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53A14ED" w14:textId="77777777" w:rsidTr="00AC1F17">
        <w:trPr>
          <w:trHeight w:val="300"/>
        </w:trPr>
        <w:tc>
          <w:tcPr>
            <w:tcW w:w="1220" w:type="pct"/>
            <w:vMerge/>
            <w:vAlign w:val="center"/>
            <w:hideMark/>
          </w:tcPr>
          <w:p w14:paraId="4707E2B6"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49128F3"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1FDCBB0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254</w:t>
            </w:r>
          </w:p>
        </w:tc>
        <w:tc>
          <w:tcPr>
            <w:tcW w:w="713" w:type="pct"/>
            <w:shd w:val="clear" w:color="auto" w:fill="auto"/>
            <w:vAlign w:val="center"/>
            <w:hideMark/>
          </w:tcPr>
          <w:p w14:paraId="72000A0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47.288.156</w:t>
            </w:r>
          </w:p>
        </w:tc>
        <w:tc>
          <w:tcPr>
            <w:tcW w:w="525" w:type="pct"/>
            <w:shd w:val="clear" w:color="auto" w:fill="auto"/>
            <w:noWrap/>
            <w:vAlign w:val="center"/>
            <w:hideMark/>
          </w:tcPr>
          <w:p w14:paraId="068EA75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32,56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9B73A08" w14:textId="00B266E3"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48,16</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D126A21" w14:textId="77777777" w:rsidTr="00AC1F17">
        <w:trPr>
          <w:trHeight w:val="300"/>
        </w:trPr>
        <w:tc>
          <w:tcPr>
            <w:tcW w:w="1220" w:type="pct"/>
            <w:vMerge/>
            <w:vAlign w:val="center"/>
            <w:hideMark/>
          </w:tcPr>
          <w:p w14:paraId="5041C800"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6A2843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23B7E2A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w:t>
            </w:r>
          </w:p>
        </w:tc>
        <w:tc>
          <w:tcPr>
            <w:tcW w:w="713" w:type="pct"/>
            <w:shd w:val="clear" w:color="auto" w:fill="auto"/>
            <w:vAlign w:val="center"/>
            <w:hideMark/>
          </w:tcPr>
          <w:p w14:paraId="607E762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1.493.408</w:t>
            </w:r>
          </w:p>
        </w:tc>
        <w:tc>
          <w:tcPr>
            <w:tcW w:w="525" w:type="pct"/>
            <w:shd w:val="clear" w:color="auto" w:fill="auto"/>
            <w:noWrap/>
            <w:vAlign w:val="center"/>
            <w:hideMark/>
          </w:tcPr>
          <w:p w14:paraId="6E88C34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2,95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FB8BC09" w14:textId="5721B109"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1,52</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0CF861F" w14:textId="77777777" w:rsidTr="00AC1F17">
        <w:trPr>
          <w:trHeight w:val="300"/>
        </w:trPr>
        <w:tc>
          <w:tcPr>
            <w:tcW w:w="1220" w:type="pct"/>
            <w:vMerge/>
            <w:vAlign w:val="center"/>
            <w:hideMark/>
          </w:tcPr>
          <w:p w14:paraId="067E4B0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6123479"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7373DE5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w:t>
            </w:r>
          </w:p>
        </w:tc>
        <w:tc>
          <w:tcPr>
            <w:tcW w:w="713" w:type="pct"/>
            <w:shd w:val="clear" w:color="auto" w:fill="auto"/>
            <w:vAlign w:val="center"/>
            <w:hideMark/>
          </w:tcPr>
          <w:p w14:paraId="3F26C93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470.638</w:t>
            </w:r>
          </w:p>
        </w:tc>
        <w:tc>
          <w:tcPr>
            <w:tcW w:w="525" w:type="pct"/>
            <w:shd w:val="clear" w:color="auto" w:fill="auto"/>
            <w:noWrap/>
            <w:vAlign w:val="center"/>
            <w:hideMark/>
          </w:tcPr>
          <w:p w14:paraId="4E03043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4C4E69A" w14:textId="4291844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0,48</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E1B9349" w14:textId="77777777" w:rsidTr="00AC1F17">
        <w:trPr>
          <w:trHeight w:val="300"/>
        </w:trPr>
        <w:tc>
          <w:tcPr>
            <w:tcW w:w="1220" w:type="pct"/>
            <w:vMerge/>
            <w:vAlign w:val="center"/>
            <w:hideMark/>
          </w:tcPr>
          <w:p w14:paraId="64594DD8"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510C379A"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CBDEA82"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780</w:t>
            </w:r>
          </w:p>
        </w:tc>
        <w:tc>
          <w:tcPr>
            <w:tcW w:w="713" w:type="pct"/>
            <w:shd w:val="clear" w:color="auto" w:fill="auto"/>
            <w:vAlign w:val="center"/>
            <w:hideMark/>
          </w:tcPr>
          <w:p w14:paraId="7CDA55B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98.182.674</w:t>
            </w:r>
          </w:p>
        </w:tc>
        <w:tc>
          <w:tcPr>
            <w:tcW w:w="525" w:type="pct"/>
            <w:shd w:val="clear" w:color="auto" w:fill="auto"/>
            <w:noWrap/>
            <w:vAlign w:val="center"/>
            <w:hideMark/>
          </w:tcPr>
          <w:p w14:paraId="5F173B2D"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9460431" w14:textId="638D8810"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6A54C191" w14:textId="77777777" w:rsidTr="00AC1F17">
        <w:trPr>
          <w:trHeight w:val="300"/>
        </w:trPr>
        <w:tc>
          <w:tcPr>
            <w:tcW w:w="1220" w:type="pct"/>
            <w:vMerge w:val="restart"/>
            <w:shd w:val="clear" w:color="auto" w:fill="auto"/>
            <w:vAlign w:val="center"/>
            <w:hideMark/>
          </w:tcPr>
          <w:p w14:paraId="72EE15EF"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KOROŠKA</w:t>
            </w:r>
          </w:p>
        </w:tc>
        <w:tc>
          <w:tcPr>
            <w:tcW w:w="1637" w:type="pct"/>
            <w:shd w:val="clear" w:color="auto" w:fill="auto"/>
            <w:vAlign w:val="center"/>
            <w:hideMark/>
          </w:tcPr>
          <w:p w14:paraId="32CC576E"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6442D62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85</w:t>
            </w:r>
          </w:p>
        </w:tc>
        <w:tc>
          <w:tcPr>
            <w:tcW w:w="713" w:type="pct"/>
            <w:shd w:val="clear" w:color="auto" w:fill="auto"/>
            <w:vAlign w:val="center"/>
            <w:hideMark/>
          </w:tcPr>
          <w:p w14:paraId="731D682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2.409.084</w:t>
            </w:r>
          </w:p>
        </w:tc>
        <w:tc>
          <w:tcPr>
            <w:tcW w:w="525" w:type="pct"/>
            <w:shd w:val="clear" w:color="auto" w:fill="auto"/>
            <w:noWrap/>
            <w:vAlign w:val="center"/>
            <w:hideMark/>
          </w:tcPr>
          <w:p w14:paraId="4A32B5C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22,43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6738F7F" w14:textId="47A9C4F3"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6,32</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6C2D8D4" w14:textId="77777777" w:rsidTr="00AC1F17">
        <w:trPr>
          <w:trHeight w:val="300"/>
        </w:trPr>
        <w:tc>
          <w:tcPr>
            <w:tcW w:w="1220" w:type="pct"/>
            <w:vMerge/>
            <w:vAlign w:val="center"/>
            <w:hideMark/>
          </w:tcPr>
          <w:p w14:paraId="5092CDFD"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AF5357C"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1C118FF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132</w:t>
            </w:r>
          </w:p>
        </w:tc>
        <w:tc>
          <w:tcPr>
            <w:tcW w:w="713" w:type="pct"/>
            <w:shd w:val="clear" w:color="auto" w:fill="auto"/>
            <w:vAlign w:val="center"/>
            <w:hideMark/>
          </w:tcPr>
          <w:p w14:paraId="68CCE03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16.946.935</w:t>
            </w:r>
          </w:p>
        </w:tc>
        <w:tc>
          <w:tcPr>
            <w:tcW w:w="525" w:type="pct"/>
            <w:shd w:val="clear" w:color="auto" w:fill="auto"/>
            <w:noWrap/>
            <w:vAlign w:val="center"/>
            <w:hideMark/>
          </w:tcPr>
          <w:p w14:paraId="16C307A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34,83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30A8CA8" w14:textId="56F570C6"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44,45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9F45330" w14:textId="77777777" w:rsidTr="00AC1F17">
        <w:trPr>
          <w:trHeight w:val="300"/>
        </w:trPr>
        <w:tc>
          <w:tcPr>
            <w:tcW w:w="1220" w:type="pct"/>
            <w:vMerge/>
            <w:vAlign w:val="center"/>
            <w:hideMark/>
          </w:tcPr>
          <w:p w14:paraId="0C052804"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CDCE39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0114E6C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59</w:t>
            </w:r>
          </w:p>
        </w:tc>
        <w:tc>
          <w:tcPr>
            <w:tcW w:w="713" w:type="pct"/>
            <w:shd w:val="clear" w:color="auto" w:fill="auto"/>
            <w:vAlign w:val="center"/>
            <w:hideMark/>
          </w:tcPr>
          <w:p w14:paraId="19E6845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9.690.379</w:t>
            </w:r>
          </w:p>
        </w:tc>
        <w:tc>
          <w:tcPr>
            <w:tcW w:w="525" w:type="pct"/>
            <w:shd w:val="clear" w:color="auto" w:fill="auto"/>
            <w:noWrap/>
            <w:vAlign w:val="center"/>
            <w:hideMark/>
          </w:tcPr>
          <w:p w14:paraId="3B6EBBF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15,57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22ED6D4" w14:textId="20F4353F"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25,42</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9A38046" w14:textId="77777777" w:rsidTr="00AC1F17">
        <w:trPr>
          <w:trHeight w:val="300"/>
        </w:trPr>
        <w:tc>
          <w:tcPr>
            <w:tcW w:w="1220" w:type="pct"/>
            <w:vMerge/>
            <w:vAlign w:val="center"/>
            <w:hideMark/>
          </w:tcPr>
          <w:p w14:paraId="2D283FE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7C28C800"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438D999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76</w:t>
            </w:r>
          </w:p>
        </w:tc>
        <w:tc>
          <w:tcPr>
            <w:tcW w:w="713" w:type="pct"/>
            <w:shd w:val="clear" w:color="auto" w:fill="auto"/>
            <w:vAlign w:val="center"/>
            <w:hideMark/>
          </w:tcPr>
          <w:p w14:paraId="2A4A1DC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8.767.830</w:t>
            </w:r>
          </w:p>
        </w:tc>
        <w:tc>
          <w:tcPr>
            <w:tcW w:w="525" w:type="pct"/>
            <w:shd w:val="clear" w:color="auto" w:fill="auto"/>
            <w:noWrap/>
            <w:vAlign w:val="center"/>
            <w:hideMark/>
          </w:tcPr>
          <w:p w14:paraId="7865590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20,05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3150D13" w14:textId="53AB7925"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23,00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65EBAED" w14:textId="77777777" w:rsidTr="00AC1F17">
        <w:trPr>
          <w:trHeight w:val="300"/>
        </w:trPr>
        <w:tc>
          <w:tcPr>
            <w:tcW w:w="1220" w:type="pct"/>
            <w:vMerge/>
            <w:vAlign w:val="center"/>
            <w:hideMark/>
          </w:tcPr>
          <w:p w14:paraId="507CC642"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5DCEC118"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5FD29DD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w:t>
            </w:r>
          </w:p>
        </w:tc>
        <w:tc>
          <w:tcPr>
            <w:tcW w:w="713" w:type="pct"/>
            <w:shd w:val="clear" w:color="auto" w:fill="auto"/>
            <w:vAlign w:val="center"/>
            <w:hideMark/>
          </w:tcPr>
          <w:p w14:paraId="2DFF39E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311.329</w:t>
            </w:r>
          </w:p>
        </w:tc>
        <w:tc>
          <w:tcPr>
            <w:tcW w:w="525" w:type="pct"/>
            <w:shd w:val="clear" w:color="auto" w:fill="auto"/>
            <w:noWrap/>
            <w:vAlign w:val="center"/>
            <w:hideMark/>
          </w:tcPr>
          <w:p w14:paraId="335DD84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7,12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23E981F" w14:textId="74535050"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0,82</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8A1FBE4" w14:textId="77777777" w:rsidTr="00AC1F17">
        <w:trPr>
          <w:trHeight w:val="300"/>
        </w:trPr>
        <w:tc>
          <w:tcPr>
            <w:tcW w:w="1220" w:type="pct"/>
            <w:vMerge/>
            <w:vAlign w:val="center"/>
            <w:hideMark/>
          </w:tcPr>
          <w:p w14:paraId="1B35CB86"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79CD9AB5"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FB51973"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379</w:t>
            </w:r>
          </w:p>
        </w:tc>
        <w:tc>
          <w:tcPr>
            <w:tcW w:w="713" w:type="pct"/>
            <w:shd w:val="clear" w:color="auto" w:fill="auto"/>
            <w:vAlign w:val="center"/>
            <w:hideMark/>
          </w:tcPr>
          <w:p w14:paraId="419E28D1"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38.125.557</w:t>
            </w:r>
          </w:p>
        </w:tc>
        <w:tc>
          <w:tcPr>
            <w:tcW w:w="525" w:type="pct"/>
            <w:shd w:val="clear" w:color="auto" w:fill="auto"/>
            <w:noWrap/>
            <w:vAlign w:val="center"/>
            <w:hideMark/>
          </w:tcPr>
          <w:p w14:paraId="6B90C42C"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2BC2BB8E" w14:textId="3B3CFF0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4D9EB4D2" w14:textId="77777777" w:rsidTr="00AC1F17">
        <w:trPr>
          <w:trHeight w:val="300"/>
        </w:trPr>
        <w:tc>
          <w:tcPr>
            <w:tcW w:w="1220" w:type="pct"/>
            <w:vMerge w:val="restart"/>
            <w:shd w:val="clear" w:color="auto" w:fill="auto"/>
            <w:vAlign w:val="center"/>
            <w:hideMark/>
          </w:tcPr>
          <w:p w14:paraId="29495AB5"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OBALNO-KRAŠKA</w:t>
            </w:r>
          </w:p>
        </w:tc>
        <w:tc>
          <w:tcPr>
            <w:tcW w:w="1637" w:type="pct"/>
            <w:shd w:val="clear" w:color="auto" w:fill="auto"/>
            <w:vAlign w:val="center"/>
            <w:hideMark/>
          </w:tcPr>
          <w:p w14:paraId="7E299569"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1C55DE2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68</w:t>
            </w:r>
          </w:p>
        </w:tc>
        <w:tc>
          <w:tcPr>
            <w:tcW w:w="713" w:type="pct"/>
            <w:shd w:val="clear" w:color="auto" w:fill="auto"/>
            <w:vAlign w:val="center"/>
            <w:hideMark/>
          </w:tcPr>
          <w:p w14:paraId="25390FB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11.821.525</w:t>
            </w:r>
          </w:p>
        </w:tc>
        <w:tc>
          <w:tcPr>
            <w:tcW w:w="525" w:type="pct"/>
            <w:shd w:val="clear" w:color="auto" w:fill="auto"/>
            <w:noWrap/>
            <w:vAlign w:val="center"/>
            <w:hideMark/>
          </w:tcPr>
          <w:p w14:paraId="191D594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9,78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5F75C5A" w14:textId="2E109406"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10,09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46961CEB" w14:textId="77777777" w:rsidTr="00AC1F17">
        <w:trPr>
          <w:trHeight w:val="300"/>
        </w:trPr>
        <w:tc>
          <w:tcPr>
            <w:tcW w:w="1220" w:type="pct"/>
            <w:vMerge/>
            <w:vAlign w:val="center"/>
            <w:hideMark/>
          </w:tcPr>
          <w:p w14:paraId="5C8BCB1B"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79FBBD72"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499FBB2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201</w:t>
            </w:r>
          </w:p>
        </w:tc>
        <w:tc>
          <w:tcPr>
            <w:tcW w:w="713" w:type="pct"/>
            <w:shd w:val="clear" w:color="auto" w:fill="auto"/>
            <w:vAlign w:val="center"/>
            <w:hideMark/>
          </w:tcPr>
          <w:p w14:paraId="0FDC4B1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23.950.562</w:t>
            </w:r>
          </w:p>
        </w:tc>
        <w:tc>
          <w:tcPr>
            <w:tcW w:w="525" w:type="pct"/>
            <w:shd w:val="clear" w:color="auto" w:fill="auto"/>
            <w:noWrap/>
            <w:vAlign w:val="center"/>
            <w:hideMark/>
          </w:tcPr>
          <w:p w14:paraId="1139B5D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28,92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E01653F" w14:textId="4D0B73E9"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20,44</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E35F6E8" w14:textId="77777777" w:rsidTr="00AC1F17">
        <w:trPr>
          <w:trHeight w:val="300"/>
        </w:trPr>
        <w:tc>
          <w:tcPr>
            <w:tcW w:w="1220" w:type="pct"/>
            <w:vMerge/>
            <w:vAlign w:val="center"/>
            <w:hideMark/>
          </w:tcPr>
          <w:p w14:paraId="07E0471B"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2148138"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27AE13D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207</w:t>
            </w:r>
          </w:p>
        </w:tc>
        <w:tc>
          <w:tcPr>
            <w:tcW w:w="713" w:type="pct"/>
            <w:shd w:val="clear" w:color="auto" w:fill="auto"/>
            <w:vAlign w:val="center"/>
            <w:hideMark/>
          </w:tcPr>
          <w:p w14:paraId="5C3BF86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31.275.302</w:t>
            </w:r>
          </w:p>
        </w:tc>
        <w:tc>
          <w:tcPr>
            <w:tcW w:w="525" w:type="pct"/>
            <w:shd w:val="clear" w:color="auto" w:fill="auto"/>
            <w:noWrap/>
            <w:vAlign w:val="center"/>
            <w:hideMark/>
          </w:tcPr>
          <w:p w14:paraId="03B60E7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29,78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A56C7A5" w14:textId="4B6A814B"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26,69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1D4DB01D" w14:textId="77777777" w:rsidTr="00AC1F17">
        <w:trPr>
          <w:trHeight w:val="300"/>
        </w:trPr>
        <w:tc>
          <w:tcPr>
            <w:tcW w:w="1220" w:type="pct"/>
            <w:vMerge/>
            <w:vAlign w:val="center"/>
            <w:hideMark/>
          </w:tcPr>
          <w:p w14:paraId="274E06C3"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776630A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2665008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210</w:t>
            </w:r>
          </w:p>
        </w:tc>
        <w:tc>
          <w:tcPr>
            <w:tcW w:w="713" w:type="pct"/>
            <w:shd w:val="clear" w:color="auto" w:fill="auto"/>
            <w:vAlign w:val="center"/>
            <w:hideMark/>
          </w:tcPr>
          <w:p w14:paraId="0BD346E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49.309.929</w:t>
            </w:r>
          </w:p>
        </w:tc>
        <w:tc>
          <w:tcPr>
            <w:tcW w:w="525" w:type="pct"/>
            <w:shd w:val="clear" w:color="auto" w:fill="auto"/>
            <w:noWrap/>
            <w:vAlign w:val="center"/>
            <w:hideMark/>
          </w:tcPr>
          <w:p w14:paraId="4353639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30,22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12115C9" w14:textId="4FEEF74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42,07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2F84E9D" w14:textId="77777777" w:rsidTr="00AC1F17">
        <w:trPr>
          <w:trHeight w:val="360"/>
        </w:trPr>
        <w:tc>
          <w:tcPr>
            <w:tcW w:w="1220" w:type="pct"/>
            <w:vMerge/>
            <w:vAlign w:val="center"/>
            <w:hideMark/>
          </w:tcPr>
          <w:p w14:paraId="486A182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92EA023"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7CC2291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w:t>
            </w:r>
          </w:p>
        </w:tc>
        <w:tc>
          <w:tcPr>
            <w:tcW w:w="713" w:type="pct"/>
            <w:shd w:val="clear" w:color="auto" w:fill="auto"/>
            <w:vAlign w:val="center"/>
            <w:hideMark/>
          </w:tcPr>
          <w:p w14:paraId="3FB04BE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136.179</w:t>
            </w:r>
          </w:p>
        </w:tc>
        <w:tc>
          <w:tcPr>
            <w:tcW w:w="525" w:type="pct"/>
            <w:shd w:val="clear" w:color="auto" w:fill="auto"/>
            <w:noWrap/>
            <w:vAlign w:val="center"/>
            <w:hideMark/>
          </w:tcPr>
          <w:p w14:paraId="695C94E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0,58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FC8BC9B" w14:textId="1D925C1B"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0,12</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AA7BA83" w14:textId="77777777" w:rsidTr="00AC1F17">
        <w:trPr>
          <w:trHeight w:val="300"/>
        </w:trPr>
        <w:tc>
          <w:tcPr>
            <w:tcW w:w="1220" w:type="pct"/>
            <w:vMerge/>
            <w:vAlign w:val="center"/>
            <w:hideMark/>
          </w:tcPr>
          <w:p w14:paraId="3AECC1BD"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7D14E4C"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23B57CE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w:t>
            </w:r>
          </w:p>
        </w:tc>
        <w:tc>
          <w:tcPr>
            <w:tcW w:w="713" w:type="pct"/>
            <w:shd w:val="clear" w:color="auto" w:fill="auto"/>
            <w:vAlign w:val="center"/>
            <w:hideMark/>
          </w:tcPr>
          <w:p w14:paraId="04853B6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707.385</w:t>
            </w:r>
          </w:p>
        </w:tc>
        <w:tc>
          <w:tcPr>
            <w:tcW w:w="525" w:type="pct"/>
            <w:shd w:val="clear" w:color="auto" w:fill="auto"/>
            <w:noWrap/>
            <w:vAlign w:val="center"/>
            <w:hideMark/>
          </w:tcPr>
          <w:p w14:paraId="0643B81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0,72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EF9A7D0" w14:textId="12E43973"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0,60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F7562B1" w14:textId="77777777" w:rsidTr="00AC1F17">
        <w:trPr>
          <w:trHeight w:val="300"/>
        </w:trPr>
        <w:tc>
          <w:tcPr>
            <w:tcW w:w="1220" w:type="pct"/>
            <w:vMerge/>
            <w:vAlign w:val="center"/>
            <w:hideMark/>
          </w:tcPr>
          <w:p w14:paraId="0FAB3FC9"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7BAAFCD"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0FF724A4"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695</w:t>
            </w:r>
          </w:p>
        </w:tc>
        <w:tc>
          <w:tcPr>
            <w:tcW w:w="713" w:type="pct"/>
            <w:shd w:val="clear" w:color="auto" w:fill="auto"/>
            <w:vAlign w:val="center"/>
            <w:hideMark/>
          </w:tcPr>
          <w:p w14:paraId="174560E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117.200.882</w:t>
            </w:r>
          </w:p>
        </w:tc>
        <w:tc>
          <w:tcPr>
            <w:tcW w:w="525" w:type="pct"/>
            <w:shd w:val="clear" w:color="auto" w:fill="auto"/>
            <w:noWrap/>
            <w:vAlign w:val="center"/>
            <w:hideMark/>
          </w:tcPr>
          <w:p w14:paraId="5BA32FAB"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E68A457" w14:textId="587CA8BF"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41790C0F" w14:textId="77777777" w:rsidTr="00AC1F17">
        <w:trPr>
          <w:trHeight w:val="300"/>
        </w:trPr>
        <w:tc>
          <w:tcPr>
            <w:tcW w:w="1220" w:type="pct"/>
            <w:vMerge w:val="restart"/>
            <w:shd w:val="clear" w:color="auto" w:fill="auto"/>
            <w:vAlign w:val="center"/>
            <w:hideMark/>
          </w:tcPr>
          <w:p w14:paraId="4557E5E9"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OSREDNJESLOVENSKA</w:t>
            </w:r>
          </w:p>
        </w:tc>
        <w:tc>
          <w:tcPr>
            <w:tcW w:w="1637" w:type="pct"/>
            <w:shd w:val="clear" w:color="auto" w:fill="auto"/>
            <w:vAlign w:val="center"/>
            <w:hideMark/>
          </w:tcPr>
          <w:p w14:paraId="581BEBAB"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422CD8A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1.129</w:t>
            </w:r>
          </w:p>
        </w:tc>
        <w:tc>
          <w:tcPr>
            <w:tcW w:w="713" w:type="pct"/>
            <w:shd w:val="clear" w:color="auto" w:fill="auto"/>
            <w:vAlign w:val="center"/>
            <w:hideMark/>
          </w:tcPr>
          <w:p w14:paraId="4D80A78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129.264.920</w:t>
            </w:r>
          </w:p>
        </w:tc>
        <w:tc>
          <w:tcPr>
            <w:tcW w:w="525" w:type="pct"/>
            <w:shd w:val="clear" w:color="auto" w:fill="auto"/>
            <w:noWrap/>
            <w:vAlign w:val="center"/>
            <w:hideMark/>
          </w:tcPr>
          <w:p w14:paraId="5BA8DC7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15,36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81E6797" w14:textId="41629B8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9,61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D2B8BCA" w14:textId="77777777" w:rsidTr="00AC1F17">
        <w:trPr>
          <w:trHeight w:val="300"/>
        </w:trPr>
        <w:tc>
          <w:tcPr>
            <w:tcW w:w="1220" w:type="pct"/>
            <w:vMerge/>
            <w:vAlign w:val="center"/>
            <w:hideMark/>
          </w:tcPr>
          <w:p w14:paraId="5BD06D32"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5F9F785"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419999C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2.674</w:t>
            </w:r>
          </w:p>
        </w:tc>
        <w:tc>
          <w:tcPr>
            <w:tcW w:w="713" w:type="pct"/>
            <w:shd w:val="clear" w:color="auto" w:fill="auto"/>
            <w:vAlign w:val="center"/>
            <w:hideMark/>
          </w:tcPr>
          <w:p w14:paraId="3CAD802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378.118.113</w:t>
            </w:r>
          </w:p>
        </w:tc>
        <w:tc>
          <w:tcPr>
            <w:tcW w:w="525" w:type="pct"/>
            <w:shd w:val="clear" w:color="auto" w:fill="auto"/>
            <w:noWrap/>
            <w:vAlign w:val="center"/>
            <w:hideMark/>
          </w:tcPr>
          <w:p w14:paraId="6719FA4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36,39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AA2A89D" w14:textId="7EF55258"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28,10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665ADF2" w14:textId="77777777" w:rsidTr="00AC1F17">
        <w:trPr>
          <w:trHeight w:val="300"/>
        </w:trPr>
        <w:tc>
          <w:tcPr>
            <w:tcW w:w="1220" w:type="pct"/>
            <w:vMerge/>
            <w:vAlign w:val="center"/>
            <w:hideMark/>
          </w:tcPr>
          <w:p w14:paraId="0A9EAEC9"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4A405CD"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237F467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1.557</w:t>
            </w:r>
          </w:p>
        </w:tc>
        <w:tc>
          <w:tcPr>
            <w:tcW w:w="713" w:type="pct"/>
            <w:shd w:val="clear" w:color="auto" w:fill="auto"/>
            <w:vAlign w:val="center"/>
            <w:hideMark/>
          </w:tcPr>
          <w:p w14:paraId="64BF178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305.048.172</w:t>
            </w:r>
          </w:p>
        </w:tc>
        <w:tc>
          <w:tcPr>
            <w:tcW w:w="525" w:type="pct"/>
            <w:shd w:val="clear" w:color="auto" w:fill="auto"/>
            <w:noWrap/>
            <w:vAlign w:val="center"/>
            <w:hideMark/>
          </w:tcPr>
          <w:p w14:paraId="11F656C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21,19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26C0E19" w14:textId="2465050A"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22,67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BDCD5AC" w14:textId="77777777" w:rsidTr="00AC1F17">
        <w:trPr>
          <w:trHeight w:val="300"/>
        </w:trPr>
        <w:tc>
          <w:tcPr>
            <w:tcW w:w="1220" w:type="pct"/>
            <w:vMerge/>
            <w:vAlign w:val="center"/>
            <w:hideMark/>
          </w:tcPr>
          <w:p w14:paraId="35CF0717"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24FBFAA"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2878D37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1.700</w:t>
            </w:r>
          </w:p>
        </w:tc>
        <w:tc>
          <w:tcPr>
            <w:tcW w:w="713" w:type="pct"/>
            <w:shd w:val="clear" w:color="auto" w:fill="auto"/>
            <w:vAlign w:val="center"/>
            <w:hideMark/>
          </w:tcPr>
          <w:p w14:paraId="3E548B7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503.848.958</w:t>
            </w:r>
          </w:p>
        </w:tc>
        <w:tc>
          <w:tcPr>
            <w:tcW w:w="525" w:type="pct"/>
            <w:shd w:val="clear" w:color="auto" w:fill="auto"/>
            <w:noWrap/>
            <w:vAlign w:val="center"/>
            <w:hideMark/>
          </w:tcPr>
          <w:p w14:paraId="4C771FE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23,14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10FF2A8" w14:textId="527F08E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37,45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8AA8D9C" w14:textId="77777777" w:rsidTr="00AC1F17">
        <w:trPr>
          <w:trHeight w:val="300"/>
        </w:trPr>
        <w:tc>
          <w:tcPr>
            <w:tcW w:w="1220" w:type="pct"/>
            <w:vMerge/>
            <w:vAlign w:val="center"/>
            <w:hideMark/>
          </w:tcPr>
          <w:p w14:paraId="51FDFBA1"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7AB28A8"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1C436E5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236</w:t>
            </w:r>
          </w:p>
        </w:tc>
        <w:tc>
          <w:tcPr>
            <w:tcW w:w="713" w:type="pct"/>
            <w:shd w:val="clear" w:color="auto" w:fill="auto"/>
            <w:vAlign w:val="center"/>
            <w:hideMark/>
          </w:tcPr>
          <w:p w14:paraId="61ED4AC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21.958.670</w:t>
            </w:r>
          </w:p>
        </w:tc>
        <w:tc>
          <w:tcPr>
            <w:tcW w:w="525" w:type="pct"/>
            <w:shd w:val="clear" w:color="auto" w:fill="auto"/>
            <w:noWrap/>
            <w:vAlign w:val="center"/>
            <w:hideMark/>
          </w:tcPr>
          <w:p w14:paraId="675BD86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3,21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98A45F4" w14:textId="6E856F90"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1,63</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158BAE4" w14:textId="77777777" w:rsidTr="00AC1F17">
        <w:trPr>
          <w:trHeight w:val="300"/>
        </w:trPr>
        <w:tc>
          <w:tcPr>
            <w:tcW w:w="1220" w:type="pct"/>
            <w:vMerge/>
            <w:vAlign w:val="center"/>
            <w:hideMark/>
          </w:tcPr>
          <w:p w14:paraId="22079010"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72E68F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6A7E8E1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52</w:t>
            </w:r>
          </w:p>
        </w:tc>
        <w:tc>
          <w:tcPr>
            <w:tcW w:w="713" w:type="pct"/>
            <w:shd w:val="clear" w:color="auto" w:fill="auto"/>
            <w:vAlign w:val="center"/>
            <w:hideMark/>
          </w:tcPr>
          <w:p w14:paraId="141D326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7.269.645</w:t>
            </w:r>
          </w:p>
        </w:tc>
        <w:tc>
          <w:tcPr>
            <w:tcW w:w="525" w:type="pct"/>
            <w:shd w:val="clear" w:color="auto" w:fill="auto"/>
            <w:noWrap/>
            <w:vAlign w:val="center"/>
            <w:hideMark/>
          </w:tcPr>
          <w:p w14:paraId="3F23D93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D51ACA2" w14:textId="1015EBDD"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0,54</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49BFBECE" w14:textId="77777777" w:rsidTr="00AC1F17">
        <w:trPr>
          <w:trHeight w:val="300"/>
        </w:trPr>
        <w:tc>
          <w:tcPr>
            <w:tcW w:w="1220" w:type="pct"/>
            <w:vMerge/>
            <w:vAlign w:val="center"/>
            <w:hideMark/>
          </w:tcPr>
          <w:p w14:paraId="64066FD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5FDF2C8"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A57D4C5"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7.348</w:t>
            </w:r>
          </w:p>
        </w:tc>
        <w:tc>
          <w:tcPr>
            <w:tcW w:w="713" w:type="pct"/>
            <w:shd w:val="clear" w:color="auto" w:fill="auto"/>
            <w:vAlign w:val="center"/>
            <w:hideMark/>
          </w:tcPr>
          <w:p w14:paraId="768A7BE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1.345.508.478</w:t>
            </w:r>
          </w:p>
        </w:tc>
        <w:tc>
          <w:tcPr>
            <w:tcW w:w="525" w:type="pct"/>
            <w:shd w:val="clear" w:color="auto" w:fill="auto"/>
            <w:noWrap/>
            <w:vAlign w:val="center"/>
            <w:hideMark/>
          </w:tcPr>
          <w:p w14:paraId="39C0542A"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2269A3DB" w14:textId="34063D33"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60755F72" w14:textId="77777777" w:rsidTr="00AC1F17">
        <w:trPr>
          <w:trHeight w:val="300"/>
        </w:trPr>
        <w:tc>
          <w:tcPr>
            <w:tcW w:w="1220" w:type="pct"/>
            <w:vMerge w:val="restart"/>
            <w:shd w:val="clear" w:color="auto" w:fill="auto"/>
            <w:vAlign w:val="center"/>
            <w:hideMark/>
          </w:tcPr>
          <w:p w14:paraId="5C07D228"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PODRAVSKA</w:t>
            </w:r>
          </w:p>
        </w:tc>
        <w:tc>
          <w:tcPr>
            <w:tcW w:w="1637" w:type="pct"/>
            <w:shd w:val="clear" w:color="auto" w:fill="auto"/>
            <w:vAlign w:val="center"/>
            <w:hideMark/>
          </w:tcPr>
          <w:p w14:paraId="331622E5"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7345874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350</w:t>
            </w:r>
          </w:p>
        </w:tc>
        <w:tc>
          <w:tcPr>
            <w:tcW w:w="713" w:type="pct"/>
            <w:shd w:val="clear" w:color="auto" w:fill="auto"/>
            <w:vAlign w:val="center"/>
            <w:hideMark/>
          </w:tcPr>
          <w:p w14:paraId="4D6391B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24.525.545</w:t>
            </w:r>
          </w:p>
        </w:tc>
        <w:tc>
          <w:tcPr>
            <w:tcW w:w="525" w:type="pct"/>
            <w:shd w:val="clear" w:color="auto" w:fill="auto"/>
            <w:noWrap/>
            <w:vAlign w:val="center"/>
            <w:hideMark/>
          </w:tcPr>
          <w:p w14:paraId="7FD950D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15,56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F007AD7" w14:textId="6E66A50B"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8,79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0BC86E0" w14:textId="77777777" w:rsidTr="00AC1F17">
        <w:trPr>
          <w:trHeight w:val="300"/>
        </w:trPr>
        <w:tc>
          <w:tcPr>
            <w:tcW w:w="1220" w:type="pct"/>
            <w:vMerge/>
            <w:vAlign w:val="center"/>
            <w:hideMark/>
          </w:tcPr>
          <w:p w14:paraId="11DB9459"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FD6DE71"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6120732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794</w:t>
            </w:r>
          </w:p>
        </w:tc>
        <w:tc>
          <w:tcPr>
            <w:tcW w:w="713" w:type="pct"/>
            <w:shd w:val="clear" w:color="auto" w:fill="auto"/>
            <w:vAlign w:val="center"/>
            <w:hideMark/>
          </w:tcPr>
          <w:p w14:paraId="34EECB2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82.451.408</w:t>
            </w:r>
          </w:p>
        </w:tc>
        <w:tc>
          <w:tcPr>
            <w:tcW w:w="525" w:type="pct"/>
            <w:shd w:val="clear" w:color="auto" w:fill="auto"/>
            <w:noWrap/>
            <w:vAlign w:val="center"/>
            <w:hideMark/>
          </w:tcPr>
          <w:p w14:paraId="47F385A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35,29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45B619C" w14:textId="72D676D4"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29,55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19C1572B" w14:textId="77777777" w:rsidTr="00AC1F17">
        <w:trPr>
          <w:trHeight w:val="300"/>
        </w:trPr>
        <w:tc>
          <w:tcPr>
            <w:tcW w:w="1220" w:type="pct"/>
            <w:vMerge/>
            <w:vAlign w:val="center"/>
            <w:hideMark/>
          </w:tcPr>
          <w:p w14:paraId="7B8EF3B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629E551"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004F22E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546</w:t>
            </w:r>
          </w:p>
        </w:tc>
        <w:tc>
          <w:tcPr>
            <w:tcW w:w="713" w:type="pct"/>
            <w:shd w:val="clear" w:color="auto" w:fill="auto"/>
            <w:vAlign w:val="center"/>
            <w:hideMark/>
          </w:tcPr>
          <w:p w14:paraId="76F9CC0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84.493.659</w:t>
            </w:r>
          </w:p>
        </w:tc>
        <w:tc>
          <w:tcPr>
            <w:tcW w:w="525" w:type="pct"/>
            <w:shd w:val="clear" w:color="auto" w:fill="auto"/>
            <w:noWrap/>
            <w:vAlign w:val="center"/>
            <w:hideMark/>
          </w:tcPr>
          <w:p w14:paraId="681534E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24,27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09AB292" w14:textId="28998925"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30,29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63A45EF" w14:textId="77777777" w:rsidTr="00AC1F17">
        <w:trPr>
          <w:trHeight w:val="300"/>
        </w:trPr>
        <w:tc>
          <w:tcPr>
            <w:tcW w:w="1220" w:type="pct"/>
            <w:vMerge/>
            <w:vAlign w:val="center"/>
            <w:hideMark/>
          </w:tcPr>
          <w:p w14:paraId="2939D514"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AB02C8B"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43A9A6E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498</w:t>
            </w:r>
          </w:p>
        </w:tc>
        <w:tc>
          <w:tcPr>
            <w:tcW w:w="713" w:type="pct"/>
            <w:shd w:val="clear" w:color="auto" w:fill="auto"/>
            <w:vAlign w:val="center"/>
            <w:hideMark/>
          </w:tcPr>
          <w:p w14:paraId="5E743CD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83.950.812</w:t>
            </w:r>
          </w:p>
        </w:tc>
        <w:tc>
          <w:tcPr>
            <w:tcW w:w="525" w:type="pct"/>
            <w:shd w:val="clear" w:color="auto" w:fill="auto"/>
            <w:noWrap/>
            <w:vAlign w:val="center"/>
            <w:hideMark/>
          </w:tcPr>
          <w:p w14:paraId="2C4FC16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22,13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ABC55F5" w14:textId="252F1A19"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30,09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47FB5730" w14:textId="77777777" w:rsidTr="00AC1F17">
        <w:trPr>
          <w:trHeight w:val="300"/>
        </w:trPr>
        <w:tc>
          <w:tcPr>
            <w:tcW w:w="1220" w:type="pct"/>
            <w:vMerge/>
            <w:vAlign w:val="center"/>
            <w:hideMark/>
          </w:tcPr>
          <w:p w14:paraId="3499C8ED"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ABE038B"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369A9E0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59</w:t>
            </w:r>
          </w:p>
        </w:tc>
        <w:tc>
          <w:tcPr>
            <w:tcW w:w="713" w:type="pct"/>
            <w:shd w:val="clear" w:color="auto" w:fill="auto"/>
            <w:vAlign w:val="center"/>
            <w:hideMark/>
          </w:tcPr>
          <w:p w14:paraId="64AC29C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3.353.959</w:t>
            </w:r>
          </w:p>
        </w:tc>
        <w:tc>
          <w:tcPr>
            <w:tcW w:w="525" w:type="pct"/>
            <w:shd w:val="clear" w:color="auto" w:fill="auto"/>
            <w:noWrap/>
            <w:vAlign w:val="center"/>
            <w:hideMark/>
          </w:tcPr>
          <w:p w14:paraId="3BCCD2C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2,62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BBFCBD4" w14:textId="1B08F9C4"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B925737" w14:textId="77777777" w:rsidTr="00AC1F17">
        <w:trPr>
          <w:trHeight w:val="300"/>
        </w:trPr>
        <w:tc>
          <w:tcPr>
            <w:tcW w:w="1220" w:type="pct"/>
            <w:vMerge/>
            <w:vAlign w:val="center"/>
            <w:hideMark/>
          </w:tcPr>
          <w:p w14:paraId="104C97BE"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5661C8D"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196246D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w:t>
            </w:r>
          </w:p>
        </w:tc>
        <w:tc>
          <w:tcPr>
            <w:tcW w:w="713" w:type="pct"/>
            <w:shd w:val="clear" w:color="auto" w:fill="auto"/>
            <w:vAlign w:val="center"/>
            <w:hideMark/>
          </w:tcPr>
          <w:p w14:paraId="6A442BA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211.590</w:t>
            </w:r>
          </w:p>
        </w:tc>
        <w:tc>
          <w:tcPr>
            <w:tcW w:w="525" w:type="pct"/>
            <w:shd w:val="clear" w:color="auto" w:fill="auto"/>
            <w:noWrap/>
            <w:vAlign w:val="center"/>
            <w:hideMark/>
          </w:tcPr>
          <w:p w14:paraId="544B6A1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C3154E2" w14:textId="42628F06"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0,08</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18EC614" w14:textId="77777777" w:rsidTr="00AC1F17">
        <w:trPr>
          <w:trHeight w:val="300"/>
        </w:trPr>
        <w:tc>
          <w:tcPr>
            <w:tcW w:w="1220" w:type="pct"/>
            <w:vMerge/>
            <w:vAlign w:val="center"/>
            <w:hideMark/>
          </w:tcPr>
          <w:p w14:paraId="7828AF38"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BD6FA2B"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11482328"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2.250</w:t>
            </w:r>
          </w:p>
        </w:tc>
        <w:tc>
          <w:tcPr>
            <w:tcW w:w="713" w:type="pct"/>
            <w:shd w:val="clear" w:color="auto" w:fill="auto"/>
            <w:vAlign w:val="center"/>
            <w:hideMark/>
          </w:tcPr>
          <w:p w14:paraId="17797FB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278.986.973</w:t>
            </w:r>
          </w:p>
        </w:tc>
        <w:tc>
          <w:tcPr>
            <w:tcW w:w="525" w:type="pct"/>
            <w:shd w:val="clear" w:color="auto" w:fill="auto"/>
            <w:noWrap/>
            <w:vAlign w:val="center"/>
            <w:hideMark/>
          </w:tcPr>
          <w:p w14:paraId="2B253C3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4E83CE51" w14:textId="5A15A335"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57590568" w14:textId="77777777" w:rsidTr="00AC1F17">
        <w:trPr>
          <w:trHeight w:val="300"/>
        </w:trPr>
        <w:tc>
          <w:tcPr>
            <w:tcW w:w="1220" w:type="pct"/>
            <w:vMerge w:val="restart"/>
            <w:shd w:val="clear" w:color="auto" w:fill="auto"/>
            <w:vAlign w:val="center"/>
            <w:hideMark/>
          </w:tcPr>
          <w:p w14:paraId="4D51C023"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POMURSKA</w:t>
            </w:r>
          </w:p>
        </w:tc>
        <w:tc>
          <w:tcPr>
            <w:tcW w:w="1637" w:type="pct"/>
            <w:shd w:val="clear" w:color="auto" w:fill="auto"/>
            <w:vAlign w:val="center"/>
            <w:hideMark/>
          </w:tcPr>
          <w:p w14:paraId="5444D482"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6F99583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95</w:t>
            </w:r>
          </w:p>
        </w:tc>
        <w:tc>
          <w:tcPr>
            <w:tcW w:w="713" w:type="pct"/>
            <w:shd w:val="clear" w:color="auto" w:fill="auto"/>
            <w:vAlign w:val="center"/>
            <w:hideMark/>
          </w:tcPr>
          <w:p w14:paraId="68DB144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5.486.687</w:t>
            </w:r>
          </w:p>
        </w:tc>
        <w:tc>
          <w:tcPr>
            <w:tcW w:w="525" w:type="pct"/>
            <w:shd w:val="clear" w:color="auto" w:fill="auto"/>
            <w:noWrap/>
            <w:vAlign w:val="center"/>
            <w:hideMark/>
          </w:tcPr>
          <w:p w14:paraId="37A57B8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10,94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27FAE92" w14:textId="0B2313C8"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9,34</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46D873CB" w14:textId="77777777" w:rsidTr="00AC1F17">
        <w:trPr>
          <w:trHeight w:val="300"/>
        </w:trPr>
        <w:tc>
          <w:tcPr>
            <w:tcW w:w="1220" w:type="pct"/>
            <w:vMerge/>
            <w:vAlign w:val="center"/>
            <w:hideMark/>
          </w:tcPr>
          <w:p w14:paraId="0D3155F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8BC209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243A8F8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262</w:t>
            </w:r>
          </w:p>
        </w:tc>
        <w:tc>
          <w:tcPr>
            <w:tcW w:w="713" w:type="pct"/>
            <w:shd w:val="clear" w:color="auto" w:fill="auto"/>
            <w:vAlign w:val="center"/>
            <w:hideMark/>
          </w:tcPr>
          <w:p w14:paraId="75A2007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18.380.475</w:t>
            </w:r>
          </w:p>
        </w:tc>
        <w:tc>
          <w:tcPr>
            <w:tcW w:w="525" w:type="pct"/>
            <w:shd w:val="clear" w:color="auto" w:fill="auto"/>
            <w:noWrap/>
            <w:vAlign w:val="center"/>
            <w:hideMark/>
          </w:tcPr>
          <w:p w14:paraId="62F9CDA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30,18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454088B" w14:textId="5BBA85D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31,28</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26B7AB1" w14:textId="77777777" w:rsidTr="00AC1F17">
        <w:trPr>
          <w:trHeight w:val="300"/>
        </w:trPr>
        <w:tc>
          <w:tcPr>
            <w:tcW w:w="1220" w:type="pct"/>
            <w:vMerge/>
            <w:vAlign w:val="center"/>
            <w:hideMark/>
          </w:tcPr>
          <w:p w14:paraId="78DF0E88"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03D64C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6E50EDC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241</w:t>
            </w:r>
          </w:p>
        </w:tc>
        <w:tc>
          <w:tcPr>
            <w:tcW w:w="713" w:type="pct"/>
            <w:shd w:val="clear" w:color="auto" w:fill="auto"/>
            <w:vAlign w:val="center"/>
            <w:hideMark/>
          </w:tcPr>
          <w:p w14:paraId="31BFCFC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10.583.078</w:t>
            </w:r>
          </w:p>
        </w:tc>
        <w:tc>
          <w:tcPr>
            <w:tcW w:w="525" w:type="pct"/>
            <w:shd w:val="clear" w:color="auto" w:fill="auto"/>
            <w:noWrap/>
            <w:vAlign w:val="center"/>
            <w:hideMark/>
          </w:tcPr>
          <w:p w14:paraId="2693CEE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27,76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F754F2F" w14:textId="1DAE87EB"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18,01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5C36996" w14:textId="77777777" w:rsidTr="00AC1F17">
        <w:trPr>
          <w:trHeight w:val="300"/>
        </w:trPr>
        <w:tc>
          <w:tcPr>
            <w:tcW w:w="1220" w:type="pct"/>
            <w:vMerge/>
            <w:vAlign w:val="center"/>
            <w:hideMark/>
          </w:tcPr>
          <w:p w14:paraId="104EB01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5C7443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3891D41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262</w:t>
            </w:r>
          </w:p>
        </w:tc>
        <w:tc>
          <w:tcPr>
            <w:tcW w:w="713" w:type="pct"/>
            <w:shd w:val="clear" w:color="auto" w:fill="auto"/>
            <w:vAlign w:val="center"/>
            <w:hideMark/>
          </w:tcPr>
          <w:p w14:paraId="4D8260D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23.031.967</w:t>
            </w:r>
          </w:p>
        </w:tc>
        <w:tc>
          <w:tcPr>
            <w:tcW w:w="525" w:type="pct"/>
            <w:shd w:val="clear" w:color="auto" w:fill="auto"/>
            <w:noWrap/>
            <w:vAlign w:val="center"/>
            <w:hideMark/>
          </w:tcPr>
          <w:p w14:paraId="1DC9832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30,18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6B841DC" w14:textId="4BA0F5EC"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39,20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BD3179C" w14:textId="77777777" w:rsidTr="00AC1F17">
        <w:trPr>
          <w:trHeight w:val="300"/>
        </w:trPr>
        <w:tc>
          <w:tcPr>
            <w:tcW w:w="1220" w:type="pct"/>
            <w:vMerge/>
            <w:vAlign w:val="center"/>
            <w:hideMark/>
          </w:tcPr>
          <w:p w14:paraId="64B6A96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E8EF099"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5CB0FF4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w:t>
            </w:r>
          </w:p>
        </w:tc>
        <w:tc>
          <w:tcPr>
            <w:tcW w:w="713" w:type="pct"/>
            <w:shd w:val="clear" w:color="auto" w:fill="auto"/>
            <w:vAlign w:val="center"/>
            <w:hideMark/>
          </w:tcPr>
          <w:p w14:paraId="0D3E8E5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1.240.439</w:t>
            </w:r>
          </w:p>
        </w:tc>
        <w:tc>
          <w:tcPr>
            <w:tcW w:w="525" w:type="pct"/>
            <w:shd w:val="clear" w:color="auto" w:fill="auto"/>
            <w:noWrap/>
            <w:vAlign w:val="center"/>
            <w:hideMark/>
          </w:tcPr>
          <w:p w14:paraId="33E6FB3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0,81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F3F5600" w14:textId="7907375F"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EF48E8C" w14:textId="77777777" w:rsidTr="00AC1F17">
        <w:trPr>
          <w:trHeight w:val="300"/>
        </w:trPr>
        <w:tc>
          <w:tcPr>
            <w:tcW w:w="1220" w:type="pct"/>
            <w:vMerge/>
            <w:vAlign w:val="center"/>
            <w:hideMark/>
          </w:tcPr>
          <w:p w14:paraId="6C3DC52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8C1C217"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5C3F9A2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w:t>
            </w:r>
          </w:p>
        </w:tc>
        <w:tc>
          <w:tcPr>
            <w:tcW w:w="713" w:type="pct"/>
            <w:shd w:val="clear" w:color="auto" w:fill="auto"/>
            <w:vAlign w:val="center"/>
            <w:hideMark/>
          </w:tcPr>
          <w:p w14:paraId="0F0909E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29.250</w:t>
            </w:r>
          </w:p>
        </w:tc>
        <w:tc>
          <w:tcPr>
            <w:tcW w:w="525" w:type="pct"/>
            <w:shd w:val="clear" w:color="auto" w:fill="auto"/>
            <w:noWrap/>
            <w:vAlign w:val="center"/>
            <w:hideMark/>
          </w:tcPr>
          <w:p w14:paraId="68CCDC6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630F35A" w14:textId="24E43325"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0,05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12ABCDD7" w14:textId="77777777" w:rsidTr="00AC1F17">
        <w:trPr>
          <w:trHeight w:val="300"/>
        </w:trPr>
        <w:tc>
          <w:tcPr>
            <w:tcW w:w="1220" w:type="pct"/>
            <w:vMerge/>
            <w:vAlign w:val="center"/>
            <w:hideMark/>
          </w:tcPr>
          <w:p w14:paraId="370D7C4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B66A876"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4C596E7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868</w:t>
            </w:r>
          </w:p>
        </w:tc>
        <w:tc>
          <w:tcPr>
            <w:tcW w:w="713" w:type="pct"/>
            <w:shd w:val="clear" w:color="auto" w:fill="auto"/>
            <w:vAlign w:val="center"/>
            <w:hideMark/>
          </w:tcPr>
          <w:p w14:paraId="1DEF9C88"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58.751.896</w:t>
            </w:r>
          </w:p>
        </w:tc>
        <w:tc>
          <w:tcPr>
            <w:tcW w:w="525" w:type="pct"/>
            <w:shd w:val="clear" w:color="auto" w:fill="auto"/>
            <w:noWrap/>
            <w:vAlign w:val="center"/>
            <w:hideMark/>
          </w:tcPr>
          <w:p w14:paraId="0C54C3F5"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2AEE4A79" w14:textId="618AE130"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09707286" w14:textId="77777777" w:rsidTr="00AC1F17">
        <w:trPr>
          <w:trHeight w:val="300"/>
        </w:trPr>
        <w:tc>
          <w:tcPr>
            <w:tcW w:w="1220" w:type="pct"/>
            <w:vMerge w:val="restart"/>
            <w:shd w:val="clear" w:color="auto" w:fill="auto"/>
            <w:vAlign w:val="center"/>
            <w:hideMark/>
          </w:tcPr>
          <w:p w14:paraId="64046853"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lastRenderedPageBreak/>
              <w:t>POSAVSKA</w:t>
            </w:r>
          </w:p>
        </w:tc>
        <w:tc>
          <w:tcPr>
            <w:tcW w:w="1637" w:type="pct"/>
            <w:shd w:val="clear" w:color="auto" w:fill="auto"/>
            <w:vAlign w:val="center"/>
            <w:hideMark/>
          </w:tcPr>
          <w:p w14:paraId="18233356"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1975356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87</w:t>
            </w:r>
          </w:p>
        </w:tc>
        <w:tc>
          <w:tcPr>
            <w:tcW w:w="713" w:type="pct"/>
            <w:shd w:val="clear" w:color="auto" w:fill="auto"/>
            <w:vAlign w:val="center"/>
            <w:hideMark/>
          </w:tcPr>
          <w:p w14:paraId="408E44A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5.934.618</w:t>
            </w:r>
          </w:p>
        </w:tc>
        <w:tc>
          <w:tcPr>
            <w:tcW w:w="525" w:type="pct"/>
            <w:shd w:val="clear" w:color="auto" w:fill="auto"/>
            <w:noWrap/>
            <w:vAlign w:val="center"/>
            <w:hideMark/>
          </w:tcPr>
          <w:p w14:paraId="2CEC6FC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15,76</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5899046" w14:textId="27EDEAF8"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9,40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8366705" w14:textId="77777777" w:rsidTr="00AC1F17">
        <w:trPr>
          <w:trHeight w:val="300"/>
        </w:trPr>
        <w:tc>
          <w:tcPr>
            <w:tcW w:w="1220" w:type="pct"/>
            <w:vMerge/>
            <w:vAlign w:val="center"/>
            <w:hideMark/>
          </w:tcPr>
          <w:p w14:paraId="39E62EC9"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E9DA006"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1010D93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160</w:t>
            </w:r>
          </w:p>
        </w:tc>
        <w:tc>
          <w:tcPr>
            <w:tcW w:w="713" w:type="pct"/>
            <w:shd w:val="clear" w:color="auto" w:fill="auto"/>
            <w:vAlign w:val="center"/>
            <w:hideMark/>
          </w:tcPr>
          <w:p w14:paraId="71695D4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8.110.442</w:t>
            </w:r>
          </w:p>
        </w:tc>
        <w:tc>
          <w:tcPr>
            <w:tcW w:w="525" w:type="pct"/>
            <w:shd w:val="clear" w:color="auto" w:fill="auto"/>
            <w:noWrap/>
            <w:vAlign w:val="center"/>
            <w:hideMark/>
          </w:tcPr>
          <w:p w14:paraId="722B7DB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28,99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9840166" w14:textId="6D5C0196"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12,85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F0C13B9" w14:textId="77777777" w:rsidTr="00AC1F17">
        <w:trPr>
          <w:trHeight w:val="300"/>
        </w:trPr>
        <w:tc>
          <w:tcPr>
            <w:tcW w:w="1220" w:type="pct"/>
            <w:vMerge/>
            <w:vAlign w:val="center"/>
            <w:hideMark/>
          </w:tcPr>
          <w:p w14:paraId="4A1AF0CD"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694B4FA"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11EF9FC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122</w:t>
            </w:r>
          </w:p>
        </w:tc>
        <w:tc>
          <w:tcPr>
            <w:tcW w:w="713" w:type="pct"/>
            <w:shd w:val="clear" w:color="auto" w:fill="auto"/>
            <w:vAlign w:val="center"/>
            <w:hideMark/>
          </w:tcPr>
          <w:p w14:paraId="30D08D2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25.400.519</w:t>
            </w:r>
          </w:p>
        </w:tc>
        <w:tc>
          <w:tcPr>
            <w:tcW w:w="525" w:type="pct"/>
            <w:shd w:val="clear" w:color="auto" w:fill="auto"/>
            <w:noWrap/>
            <w:vAlign w:val="center"/>
            <w:hideMark/>
          </w:tcPr>
          <w:p w14:paraId="4BC3C31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22,10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01F6255" w14:textId="7DB5BAF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40,23</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4468B43" w14:textId="77777777" w:rsidTr="00AC1F17">
        <w:trPr>
          <w:trHeight w:val="300"/>
        </w:trPr>
        <w:tc>
          <w:tcPr>
            <w:tcW w:w="1220" w:type="pct"/>
            <w:vMerge/>
            <w:vAlign w:val="center"/>
            <w:hideMark/>
          </w:tcPr>
          <w:p w14:paraId="4D5D6690"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33491A9"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62C4B0B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154</w:t>
            </w:r>
          </w:p>
        </w:tc>
        <w:tc>
          <w:tcPr>
            <w:tcW w:w="713" w:type="pct"/>
            <w:shd w:val="clear" w:color="auto" w:fill="auto"/>
            <w:vAlign w:val="center"/>
            <w:hideMark/>
          </w:tcPr>
          <w:p w14:paraId="2EBC891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20.210.635</w:t>
            </w:r>
          </w:p>
        </w:tc>
        <w:tc>
          <w:tcPr>
            <w:tcW w:w="525" w:type="pct"/>
            <w:shd w:val="clear" w:color="auto" w:fill="auto"/>
            <w:noWrap/>
            <w:vAlign w:val="center"/>
            <w:hideMark/>
          </w:tcPr>
          <w:p w14:paraId="11E50A8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27,90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AD2CE71" w14:textId="3FD3AAD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32,01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0FF0226" w14:textId="77777777" w:rsidTr="00AC1F17">
        <w:trPr>
          <w:trHeight w:val="300"/>
        </w:trPr>
        <w:tc>
          <w:tcPr>
            <w:tcW w:w="1220" w:type="pct"/>
            <w:vMerge/>
            <w:vAlign w:val="center"/>
            <w:hideMark/>
          </w:tcPr>
          <w:p w14:paraId="41594462"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8A1428A"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7D8260E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28</w:t>
            </w:r>
          </w:p>
        </w:tc>
        <w:tc>
          <w:tcPr>
            <w:tcW w:w="713" w:type="pct"/>
            <w:shd w:val="clear" w:color="auto" w:fill="auto"/>
            <w:vAlign w:val="center"/>
            <w:hideMark/>
          </w:tcPr>
          <w:p w14:paraId="0DCD582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2.732.910</w:t>
            </w:r>
          </w:p>
        </w:tc>
        <w:tc>
          <w:tcPr>
            <w:tcW w:w="525" w:type="pct"/>
            <w:shd w:val="clear" w:color="auto" w:fill="auto"/>
            <w:noWrap/>
            <w:vAlign w:val="center"/>
            <w:hideMark/>
          </w:tcPr>
          <w:p w14:paraId="19BC04A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5,07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D0C03EA" w14:textId="364EE595"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4,33</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A2BFEF9" w14:textId="77777777" w:rsidTr="00AC1F17">
        <w:trPr>
          <w:trHeight w:val="300"/>
        </w:trPr>
        <w:tc>
          <w:tcPr>
            <w:tcW w:w="1220" w:type="pct"/>
            <w:vMerge/>
            <w:vAlign w:val="center"/>
            <w:hideMark/>
          </w:tcPr>
          <w:p w14:paraId="420232FD"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96ADCD0"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43A60DA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w:t>
            </w:r>
          </w:p>
        </w:tc>
        <w:tc>
          <w:tcPr>
            <w:tcW w:w="713" w:type="pct"/>
            <w:shd w:val="clear" w:color="auto" w:fill="auto"/>
            <w:vAlign w:val="center"/>
            <w:hideMark/>
          </w:tcPr>
          <w:p w14:paraId="54667D5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750.881</w:t>
            </w:r>
          </w:p>
        </w:tc>
        <w:tc>
          <w:tcPr>
            <w:tcW w:w="525" w:type="pct"/>
            <w:shd w:val="clear" w:color="auto" w:fill="auto"/>
            <w:noWrap/>
            <w:vAlign w:val="center"/>
            <w:hideMark/>
          </w:tcPr>
          <w:p w14:paraId="7AE3128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44A870D" w14:textId="0BCA644B"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1,19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45859ED" w14:textId="77777777" w:rsidTr="00AC1F17">
        <w:trPr>
          <w:trHeight w:val="300"/>
        </w:trPr>
        <w:tc>
          <w:tcPr>
            <w:tcW w:w="1220" w:type="pct"/>
            <w:vMerge/>
            <w:vAlign w:val="center"/>
            <w:hideMark/>
          </w:tcPr>
          <w:p w14:paraId="34E17D09"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49868F4C"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4A3425F5"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552</w:t>
            </w:r>
          </w:p>
        </w:tc>
        <w:tc>
          <w:tcPr>
            <w:tcW w:w="713" w:type="pct"/>
            <w:shd w:val="clear" w:color="auto" w:fill="auto"/>
            <w:vAlign w:val="center"/>
            <w:hideMark/>
          </w:tcPr>
          <w:p w14:paraId="4DA10F8E"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63.140.005</w:t>
            </w:r>
          </w:p>
        </w:tc>
        <w:tc>
          <w:tcPr>
            <w:tcW w:w="525" w:type="pct"/>
            <w:shd w:val="clear" w:color="auto" w:fill="auto"/>
            <w:noWrap/>
            <w:vAlign w:val="center"/>
            <w:hideMark/>
          </w:tcPr>
          <w:p w14:paraId="36DE957A"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14192976" w14:textId="6E763895"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15028BED" w14:textId="77777777" w:rsidTr="00AC1F17">
        <w:trPr>
          <w:trHeight w:val="300"/>
        </w:trPr>
        <w:tc>
          <w:tcPr>
            <w:tcW w:w="1220" w:type="pct"/>
            <w:vMerge w:val="restart"/>
            <w:shd w:val="clear" w:color="auto" w:fill="auto"/>
            <w:vAlign w:val="center"/>
            <w:hideMark/>
          </w:tcPr>
          <w:p w14:paraId="6C7EAC91"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PRIMORSKO-NOTRANJSKA</w:t>
            </w:r>
          </w:p>
        </w:tc>
        <w:tc>
          <w:tcPr>
            <w:tcW w:w="1637" w:type="pct"/>
            <w:shd w:val="clear" w:color="auto" w:fill="auto"/>
            <w:vAlign w:val="center"/>
            <w:hideMark/>
          </w:tcPr>
          <w:p w14:paraId="52AF1DDA"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231912A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w:t>
            </w:r>
          </w:p>
        </w:tc>
        <w:tc>
          <w:tcPr>
            <w:tcW w:w="713" w:type="pct"/>
            <w:shd w:val="clear" w:color="auto" w:fill="auto"/>
            <w:vAlign w:val="center"/>
            <w:hideMark/>
          </w:tcPr>
          <w:p w14:paraId="13EE78E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827.652</w:t>
            </w:r>
          </w:p>
        </w:tc>
        <w:tc>
          <w:tcPr>
            <w:tcW w:w="525" w:type="pct"/>
            <w:shd w:val="clear" w:color="auto" w:fill="auto"/>
            <w:noWrap/>
            <w:vAlign w:val="center"/>
            <w:hideMark/>
          </w:tcPr>
          <w:p w14:paraId="3EA1DC2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7,12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287F658" w14:textId="486593D4"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4,17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32F3E52" w14:textId="77777777" w:rsidTr="00AC1F17">
        <w:trPr>
          <w:trHeight w:val="300"/>
        </w:trPr>
        <w:tc>
          <w:tcPr>
            <w:tcW w:w="1220" w:type="pct"/>
            <w:vMerge/>
            <w:vAlign w:val="center"/>
            <w:hideMark/>
          </w:tcPr>
          <w:p w14:paraId="1DBEC38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A6040B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199EFC61"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95</w:t>
            </w:r>
          </w:p>
        </w:tc>
        <w:tc>
          <w:tcPr>
            <w:tcW w:w="713" w:type="pct"/>
            <w:shd w:val="clear" w:color="auto" w:fill="auto"/>
            <w:vAlign w:val="center"/>
            <w:hideMark/>
          </w:tcPr>
          <w:p w14:paraId="0344D78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7.673.507</w:t>
            </w:r>
          </w:p>
        </w:tc>
        <w:tc>
          <w:tcPr>
            <w:tcW w:w="525" w:type="pct"/>
            <w:shd w:val="clear" w:color="auto" w:fill="auto"/>
            <w:noWrap/>
            <w:vAlign w:val="center"/>
            <w:hideMark/>
          </w:tcPr>
          <w:p w14:paraId="030E0C8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30,74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D0425E9" w14:textId="7BE514D6"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38,69</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3CFE28EC" w14:textId="77777777" w:rsidTr="00AC1F17">
        <w:trPr>
          <w:trHeight w:val="300"/>
        </w:trPr>
        <w:tc>
          <w:tcPr>
            <w:tcW w:w="1220" w:type="pct"/>
            <w:vMerge/>
            <w:vAlign w:val="center"/>
            <w:hideMark/>
          </w:tcPr>
          <w:p w14:paraId="3676AA74"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175F5B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25612615"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85</w:t>
            </w:r>
          </w:p>
        </w:tc>
        <w:tc>
          <w:tcPr>
            <w:tcW w:w="713" w:type="pct"/>
            <w:shd w:val="clear" w:color="auto" w:fill="auto"/>
            <w:vAlign w:val="center"/>
            <w:hideMark/>
          </w:tcPr>
          <w:p w14:paraId="1AFEC5F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4.502.742</w:t>
            </w:r>
          </w:p>
        </w:tc>
        <w:tc>
          <w:tcPr>
            <w:tcW w:w="525" w:type="pct"/>
            <w:shd w:val="clear" w:color="auto" w:fill="auto"/>
            <w:noWrap/>
            <w:vAlign w:val="center"/>
            <w:hideMark/>
          </w:tcPr>
          <w:p w14:paraId="3AFDDEB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27,51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855572D" w14:textId="1E5D5A5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22,70</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7A3A250" w14:textId="77777777" w:rsidTr="00AC1F17">
        <w:trPr>
          <w:trHeight w:val="300"/>
        </w:trPr>
        <w:tc>
          <w:tcPr>
            <w:tcW w:w="1220" w:type="pct"/>
            <w:vMerge/>
            <w:vAlign w:val="center"/>
            <w:hideMark/>
          </w:tcPr>
          <w:p w14:paraId="7D74BBD3"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256828B"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4BDACFC2"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105</w:t>
            </w:r>
          </w:p>
        </w:tc>
        <w:tc>
          <w:tcPr>
            <w:tcW w:w="713" w:type="pct"/>
            <w:shd w:val="clear" w:color="auto" w:fill="auto"/>
            <w:vAlign w:val="center"/>
            <w:hideMark/>
          </w:tcPr>
          <w:p w14:paraId="2461275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6.647.154</w:t>
            </w:r>
          </w:p>
        </w:tc>
        <w:tc>
          <w:tcPr>
            <w:tcW w:w="525" w:type="pct"/>
            <w:shd w:val="clear" w:color="auto" w:fill="auto"/>
            <w:noWrap/>
            <w:vAlign w:val="center"/>
            <w:hideMark/>
          </w:tcPr>
          <w:p w14:paraId="3E2EE143"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33,98</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784AB12" w14:textId="7E608F1A"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33,52</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EA3BFDE" w14:textId="77777777" w:rsidTr="00AC1F17">
        <w:trPr>
          <w:trHeight w:val="300"/>
        </w:trPr>
        <w:tc>
          <w:tcPr>
            <w:tcW w:w="1220" w:type="pct"/>
            <w:vMerge/>
            <w:vAlign w:val="center"/>
            <w:hideMark/>
          </w:tcPr>
          <w:p w14:paraId="4B96A98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DF3AC43"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382473F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w:t>
            </w:r>
          </w:p>
        </w:tc>
        <w:tc>
          <w:tcPr>
            <w:tcW w:w="713" w:type="pct"/>
            <w:shd w:val="clear" w:color="auto" w:fill="auto"/>
            <w:vAlign w:val="center"/>
            <w:hideMark/>
          </w:tcPr>
          <w:p w14:paraId="6981745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180.716</w:t>
            </w:r>
          </w:p>
        </w:tc>
        <w:tc>
          <w:tcPr>
            <w:tcW w:w="525" w:type="pct"/>
            <w:shd w:val="clear" w:color="auto" w:fill="auto"/>
            <w:noWrap/>
            <w:vAlign w:val="center"/>
            <w:hideMark/>
          </w:tcPr>
          <w:p w14:paraId="26581A0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1CEA2BEC" w14:textId="595ED92C"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0,91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98A78C4" w14:textId="77777777" w:rsidTr="00AC1F17">
        <w:trPr>
          <w:trHeight w:val="300"/>
        </w:trPr>
        <w:tc>
          <w:tcPr>
            <w:tcW w:w="1220" w:type="pct"/>
            <w:vMerge/>
            <w:vAlign w:val="center"/>
            <w:hideMark/>
          </w:tcPr>
          <w:p w14:paraId="4B049E42"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B38386D"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06D95709"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309</w:t>
            </w:r>
          </w:p>
        </w:tc>
        <w:tc>
          <w:tcPr>
            <w:tcW w:w="713" w:type="pct"/>
            <w:shd w:val="clear" w:color="auto" w:fill="auto"/>
            <w:vAlign w:val="center"/>
            <w:hideMark/>
          </w:tcPr>
          <w:p w14:paraId="5AECB8E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19.831.771</w:t>
            </w:r>
          </w:p>
        </w:tc>
        <w:tc>
          <w:tcPr>
            <w:tcW w:w="525" w:type="pct"/>
            <w:shd w:val="clear" w:color="auto" w:fill="auto"/>
            <w:noWrap/>
            <w:vAlign w:val="center"/>
            <w:hideMark/>
          </w:tcPr>
          <w:p w14:paraId="467E5E71"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78F9FDCC" w14:textId="26BE4939"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795CA39B" w14:textId="77777777" w:rsidTr="00AC1F17">
        <w:trPr>
          <w:trHeight w:val="300"/>
        </w:trPr>
        <w:tc>
          <w:tcPr>
            <w:tcW w:w="1220" w:type="pct"/>
            <w:vMerge w:val="restart"/>
            <w:shd w:val="clear" w:color="auto" w:fill="auto"/>
            <w:vAlign w:val="center"/>
            <w:hideMark/>
          </w:tcPr>
          <w:p w14:paraId="4047C235"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SAVINJSKA</w:t>
            </w:r>
          </w:p>
        </w:tc>
        <w:tc>
          <w:tcPr>
            <w:tcW w:w="1637" w:type="pct"/>
            <w:shd w:val="clear" w:color="auto" w:fill="auto"/>
            <w:vAlign w:val="center"/>
            <w:hideMark/>
          </w:tcPr>
          <w:p w14:paraId="1BF23E47"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374BE72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175</w:t>
            </w:r>
          </w:p>
        </w:tc>
        <w:tc>
          <w:tcPr>
            <w:tcW w:w="713" w:type="pct"/>
            <w:shd w:val="clear" w:color="auto" w:fill="auto"/>
            <w:vAlign w:val="center"/>
            <w:hideMark/>
          </w:tcPr>
          <w:p w14:paraId="75EFE0A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16.593.705</w:t>
            </w:r>
          </w:p>
        </w:tc>
        <w:tc>
          <w:tcPr>
            <w:tcW w:w="525" w:type="pct"/>
            <w:shd w:val="clear" w:color="auto" w:fill="auto"/>
            <w:noWrap/>
            <w:vAlign w:val="center"/>
            <w:hideMark/>
          </w:tcPr>
          <w:p w14:paraId="0E8AD29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11,90</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EBED0C9" w14:textId="6D0BDA2F"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5,57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02A68B48" w14:textId="77777777" w:rsidTr="00AC1F17">
        <w:trPr>
          <w:trHeight w:val="300"/>
        </w:trPr>
        <w:tc>
          <w:tcPr>
            <w:tcW w:w="1220" w:type="pct"/>
            <w:vMerge/>
            <w:vAlign w:val="center"/>
            <w:hideMark/>
          </w:tcPr>
          <w:p w14:paraId="71FD636C"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0DC18A7"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36AA803B"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603</w:t>
            </w:r>
          </w:p>
        </w:tc>
        <w:tc>
          <w:tcPr>
            <w:tcW w:w="713" w:type="pct"/>
            <w:shd w:val="clear" w:color="auto" w:fill="auto"/>
            <w:vAlign w:val="center"/>
            <w:hideMark/>
          </w:tcPr>
          <w:p w14:paraId="46062EC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108.876.737</w:t>
            </w:r>
          </w:p>
        </w:tc>
        <w:tc>
          <w:tcPr>
            <w:tcW w:w="525" w:type="pct"/>
            <w:shd w:val="clear" w:color="auto" w:fill="auto"/>
            <w:noWrap/>
            <w:vAlign w:val="center"/>
            <w:hideMark/>
          </w:tcPr>
          <w:p w14:paraId="763E405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40,99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D384471" w14:textId="7ABE2C0A"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36,55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6C6BFA1" w14:textId="77777777" w:rsidTr="00AC1F17">
        <w:trPr>
          <w:trHeight w:val="300"/>
        </w:trPr>
        <w:tc>
          <w:tcPr>
            <w:tcW w:w="1220" w:type="pct"/>
            <w:vMerge/>
            <w:vAlign w:val="center"/>
            <w:hideMark/>
          </w:tcPr>
          <w:p w14:paraId="4A39EFAB"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2BAC5AE7"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0E2809F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340</w:t>
            </w:r>
          </w:p>
        </w:tc>
        <w:tc>
          <w:tcPr>
            <w:tcW w:w="713" w:type="pct"/>
            <w:shd w:val="clear" w:color="auto" w:fill="auto"/>
            <w:vAlign w:val="center"/>
            <w:hideMark/>
          </w:tcPr>
          <w:p w14:paraId="3113FFF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74.405.729</w:t>
            </w:r>
          </w:p>
        </w:tc>
        <w:tc>
          <w:tcPr>
            <w:tcW w:w="525" w:type="pct"/>
            <w:shd w:val="clear" w:color="auto" w:fill="auto"/>
            <w:noWrap/>
            <w:vAlign w:val="center"/>
            <w:hideMark/>
          </w:tcPr>
          <w:p w14:paraId="67502E8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23,11</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A16C66B" w14:textId="6CAC7C48"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24,98</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09B173DF" w14:textId="77777777" w:rsidTr="00AC1F17">
        <w:trPr>
          <w:trHeight w:val="300"/>
        </w:trPr>
        <w:tc>
          <w:tcPr>
            <w:tcW w:w="1220" w:type="pct"/>
            <w:vMerge/>
            <w:vAlign w:val="center"/>
            <w:hideMark/>
          </w:tcPr>
          <w:p w14:paraId="31B24547"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F187AB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092810E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321</w:t>
            </w:r>
          </w:p>
        </w:tc>
        <w:tc>
          <w:tcPr>
            <w:tcW w:w="713" w:type="pct"/>
            <w:shd w:val="clear" w:color="auto" w:fill="auto"/>
            <w:vAlign w:val="center"/>
            <w:hideMark/>
          </w:tcPr>
          <w:p w14:paraId="611E1D2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95.794.474</w:t>
            </w:r>
          </w:p>
        </w:tc>
        <w:tc>
          <w:tcPr>
            <w:tcW w:w="525" w:type="pct"/>
            <w:shd w:val="clear" w:color="auto" w:fill="auto"/>
            <w:noWrap/>
            <w:vAlign w:val="center"/>
            <w:hideMark/>
          </w:tcPr>
          <w:p w14:paraId="5B513ED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21,82</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56E426CD" w14:textId="3028D1B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32,16</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E72BFA2" w14:textId="77777777" w:rsidTr="00AC1F17">
        <w:trPr>
          <w:trHeight w:val="300"/>
        </w:trPr>
        <w:tc>
          <w:tcPr>
            <w:tcW w:w="1220" w:type="pct"/>
            <w:vMerge/>
            <w:vAlign w:val="center"/>
            <w:hideMark/>
          </w:tcPr>
          <w:p w14:paraId="77B6ECFA"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FAE3126"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18A0623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27</w:t>
            </w:r>
          </w:p>
        </w:tc>
        <w:tc>
          <w:tcPr>
            <w:tcW w:w="713" w:type="pct"/>
            <w:shd w:val="clear" w:color="auto" w:fill="auto"/>
            <w:vAlign w:val="center"/>
            <w:hideMark/>
          </w:tcPr>
          <w:p w14:paraId="5BE5730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1.829.806</w:t>
            </w:r>
          </w:p>
        </w:tc>
        <w:tc>
          <w:tcPr>
            <w:tcW w:w="525" w:type="pct"/>
            <w:shd w:val="clear" w:color="auto" w:fill="auto"/>
            <w:noWrap/>
            <w:vAlign w:val="center"/>
            <w:hideMark/>
          </w:tcPr>
          <w:p w14:paraId="0C7BE96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8B6F8C8" w14:textId="29022130"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0,61</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6996107" w14:textId="77777777" w:rsidTr="00AC1F17">
        <w:trPr>
          <w:trHeight w:val="300"/>
        </w:trPr>
        <w:tc>
          <w:tcPr>
            <w:tcW w:w="1220" w:type="pct"/>
            <w:vMerge/>
            <w:vAlign w:val="center"/>
            <w:hideMark/>
          </w:tcPr>
          <w:p w14:paraId="432EA5C8"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6F9AD447"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Ni podatka o velikosti</w:t>
            </w:r>
          </w:p>
        </w:tc>
        <w:tc>
          <w:tcPr>
            <w:tcW w:w="381" w:type="pct"/>
            <w:shd w:val="clear" w:color="auto" w:fill="auto"/>
            <w:vAlign w:val="center"/>
            <w:hideMark/>
          </w:tcPr>
          <w:p w14:paraId="21CE93D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w:t>
            </w:r>
          </w:p>
        </w:tc>
        <w:tc>
          <w:tcPr>
            <w:tcW w:w="713" w:type="pct"/>
            <w:shd w:val="clear" w:color="auto" w:fill="auto"/>
            <w:vAlign w:val="center"/>
            <w:hideMark/>
          </w:tcPr>
          <w:p w14:paraId="0D0A7640"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373.215</w:t>
            </w:r>
          </w:p>
        </w:tc>
        <w:tc>
          <w:tcPr>
            <w:tcW w:w="525" w:type="pct"/>
            <w:shd w:val="clear" w:color="auto" w:fill="auto"/>
            <w:noWrap/>
            <w:vAlign w:val="center"/>
            <w:hideMark/>
          </w:tcPr>
          <w:p w14:paraId="6567323D"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42FF48D1" w14:textId="51C001C2"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0,13</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13417DF" w14:textId="77777777" w:rsidTr="00AC1F17">
        <w:trPr>
          <w:trHeight w:val="300"/>
        </w:trPr>
        <w:tc>
          <w:tcPr>
            <w:tcW w:w="1220" w:type="pct"/>
            <w:vMerge/>
            <w:vAlign w:val="center"/>
            <w:hideMark/>
          </w:tcPr>
          <w:p w14:paraId="552C20FC"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8FA3C6A"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2EC7251"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1.471</w:t>
            </w:r>
          </w:p>
        </w:tc>
        <w:tc>
          <w:tcPr>
            <w:tcW w:w="713" w:type="pct"/>
            <w:shd w:val="clear" w:color="auto" w:fill="auto"/>
            <w:vAlign w:val="center"/>
            <w:hideMark/>
          </w:tcPr>
          <w:p w14:paraId="53EA7606"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297.873.666</w:t>
            </w:r>
          </w:p>
        </w:tc>
        <w:tc>
          <w:tcPr>
            <w:tcW w:w="525" w:type="pct"/>
            <w:shd w:val="clear" w:color="auto" w:fill="auto"/>
            <w:noWrap/>
            <w:vAlign w:val="center"/>
            <w:hideMark/>
          </w:tcPr>
          <w:p w14:paraId="64BEB3E5"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030851BB" w14:textId="4E1048B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w:t>
            </w:r>
            <w:r w:rsidRPr="00A33FC4">
              <w:rPr>
                <w:rFonts w:ascii="Arial" w:eastAsia="Times New Roman" w:hAnsi="Arial" w:cs="Arial"/>
                <w:b/>
                <w:bCs/>
                <w:color w:val="000000"/>
                <w:sz w:val="18"/>
                <w:szCs w:val="18"/>
                <w:lang w:eastAsia="sl-SI"/>
              </w:rPr>
              <w:t>%</w:t>
            </w:r>
          </w:p>
        </w:tc>
      </w:tr>
      <w:tr w:rsidR="00072A69" w:rsidRPr="00A33FC4" w14:paraId="005A067E" w14:textId="77777777" w:rsidTr="00AC1F17">
        <w:trPr>
          <w:trHeight w:val="300"/>
        </w:trPr>
        <w:tc>
          <w:tcPr>
            <w:tcW w:w="1220" w:type="pct"/>
            <w:vMerge w:val="restart"/>
            <w:shd w:val="clear" w:color="auto" w:fill="auto"/>
            <w:vAlign w:val="center"/>
            <w:hideMark/>
          </w:tcPr>
          <w:p w14:paraId="7684B4E8" w14:textId="77777777" w:rsidR="00072A69" w:rsidRPr="00A33FC4" w:rsidRDefault="00072A69" w:rsidP="00AC1F17">
            <w:pPr>
              <w:spacing w:after="0" w:line="240" w:lineRule="auto"/>
              <w:jc w:val="center"/>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ZASAVSKA</w:t>
            </w:r>
          </w:p>
        </w:tc>
        <w:tc>
          <w:tcPr>
            <w:tcW w:w="1637" w:type="pct"/>
            <w:shd w:val="clear" w:color="auto" w:fill="auto"/>
            <w:vAlign w:val="center"/>
            <w:hideMark/>
          </w:tcPr>
          <w:p w14:paraId="5C1D129A" w14:textId="77777777" w:rsidR="00072A69" w:rsidRPr="00A33FC4" w:rsidRDefault="00072A69" w:rsidP="00AC1F17">
            <w:pPr>
              <w:spacing w:after="0" w:line="240" w:lineRule="auto"/>
              <w:rPr>
                <w:rFonts w:ascii="Arial" w:eastAsia="Times New Roman" w:hAnsi="Arial" w:cs="Arial"/>
                <w:color w:val="000000"/>
                <w:sz w:val="18"/>
                <w:szCs w:val="18"/>
                <w:lang w:eastAsia="sl-SI"/>
              </w:rPr>
            </w:pPr>
            <w:proofErr w:type="spellStart"/>
            <w:r w:rsidRPr="00A33FC4">
              <w:rPr>
                <w:rFonts w:ascii="Arial" w:eastAsia="Times New Roman" w:hAnsi="Arial" w:cs="Arial"/>
                <w:color w:val="000000"/>
                <w:sz w:val="18"/>
                <w:szCs w:val="18"/>
                <w:lang w:eastAsia="sl-SI"/>
              </w:rPr>
              <w:t>Mikro</w:t>
            </w:r>
            <w:proofErr w:type="spellEnd"/>
            <w:r w:rsidRPr="00A33FC4">
              <w:rPr>
                <w:rFonts w:ascii="Arial" w:eastAsia="Times New Roman" w:hAnsi="Arial" w:cs="Arial"/>
                <w:color w:val="000000"/>
                <w:sz w:val="18"/>
                <w:szCs w:val="18"/>
                <w:lang w:eastAsia="sl-SI"/>
              </w:rPr>
              <w:t xml:space="preserve"> enote</w:t>
            </w:r>
          </w:p>
        </w:tc>
        <w:tc>
          <w:tcPr>
            <w:tcW w:w="381" w:type="pct"/>
            <w:shd w:val="clear" w:color="auto" w:fill="auto"/>
            <w:vAlign w:val="center"/>
            <w:hideMark/>
          </w:tcPr>
          <w:p w14:paraId="625F948E"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30</w:t>
            </w:r>
          </w:p>
        </w:tc>
        <w:tc>
          <w:tcPr>
            <w:tcW w:w="713" w:type="pct"/>
            <w:shd w:val="clear" w:color="auto" w:fill="auto"/>
            <w:vAlign w:val="center"/>
            <w:hideMark/>
          </w:tcPr>
          <w:p w14:paraId="07D2FA0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1.925.729</w:t>
            </w:r>
          </w:p>
        </w:tc>
        <w:tc>
          <w:tcPr>
            <w:tcW w:w="525" w:type="pct"/>
            <w:shd w:val="clear" w:color="auto" w:fill="auto"/>
            <w:noWrap/>
            <w:vAlign w:val="center"/>
            <w:hideMark/>
          </w:tcPr>
          <w:p w14:paraId="43CED4B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10,99</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70C2E863" w14:textId="61C27B21"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7,47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42F20755" w14:textId="77777777" w:rsidTr="00AC1F17">
        <w:trPr>
          <w:trHeight w:val="300"/>
        </w:trPr>
        <w:tc>
          <w:tcPr>
            <w:tcW w:w="1220" w:type="pct"/>
            <w:vMerge/>
            <w:vAlign w:val="center"/>
            <w:hideMark/>
          </w:tcPr>
          <w:p w14:paraId="18B7D23D"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5F09260E"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Majhne enote</w:t>
            </w:r>
          </w:p>
        </w:tc>
        <w:tc>
          <w:tcPr>
            <w:tcW w:w="381" w:type="pct"/>
            <w:shd w:val="clear" w:color="auto" w:fill="auto"/>
            <w:vAlign w:val="center"/>
            <w:hideMark/>
          </w:tcPr>
          <w:p w14:paraId="7D05E29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67</w:t>
            </w:r>
          </w:p>
        </w:tc>
        <w:tc>
          <w:tcPr>
            <w:tcW w:w="713" w:type="pct"/>
            <w:shd w:val="clear" w:color="auto" w:fill="auto"/>
            <w:vAlign w:val="center"/>
            <w:hideMark/>
          </w:tcPr>
          <w:p w14:paraId="65D3E39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5.757.867</w:t>
            </w:r>
          </w:p>
        </w:tc>
        <w:tc>
          <w:tcPr>
            <w:tcW w:w="525" w:type="pct"/>
            <w:shd w:val="clear" w:color="auto" w:fill="auto"/>
            <w:noWrap/>
            <w:vAlign w:val="center"/>
            <w:hideMark/>
          </w:tcPr>
          <w:p w14:paraId="0CD0405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24,54</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2C4089C5" w14:textId="7CFA9B58"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22,34</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29472BC6" w14:textId="77777777" w:rsidTr="00AC1F17">
        <w:trPr>
          <w:trHeight w:val="300"/>
        </w:trPr>
        <w:tc>
          <w:tcPr>
            <w:tcW w:w="1220" w:type="pct"/>
            <w:vMerge/>
            <w:vAlign w:val="center"/>
            <w:hideMark/>
          </w:tcPr>
          <w:p w14:paraId="5A102DA1"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39B36CF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Srednje enote</w:t>
            </w:r>
          </w:p>
        </w:tc>
        <w:tc>
          <w:tcPr>
            <w:tcW w:w="381" w:type="pct"/>
            <w:shd w:val="clear" w:color="auto" w:fill="auto"/>
            <w:vAlign w:val="center"/>
            <w:hideMark/>
          </w:tcPr>
          <w:p w14:paraId="3367A2F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81</w:t>
            </w:r>
          </w:p>
        </w:tc>
        <w:tc>
          <w:tcPr>
            <w:tcW w:w="713" w:type="pct"/>
            <w:shd w:val="clear" w:color="auto" w:fill="auto"/>
            <w:vAlign w:val="center"/>
            <w:hideMark/>
          </w:tcPr>
          <w:p w14:paraId="29E3746F"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13.032.150</w:t>
            </w:r>
          </w:p>
        </w:tc>
        <w:tc>
          <w:tcPr>
            <w:tcW w:w="525" w:type="pct"/>
            <w:shd w:val="clear" w:color="auto" w:fill="auto"/>
            <w:noWrap/>
            <w:vAlign w:val="center"/>
            <w:hideMark/>
          </w:tcPr>
          <w:p w14:paraId="15F6A197"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29,67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31A1DA79" w14:textId="35267090"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50,57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5B41A637" w14:textId="77777777" w:rsidTr="00AC1F17">
        <w:trPr>
          <w:trHeight w:val="300"/>
        </w:trPr>
        <w:tc>
          <w:tcPr>
            <w:tcW w:w="1220" w:type="pct"/>
            <w:vMerge/>
            <w:vAlign w:val="center"/>
            <w:hideMark/>
          </w:tcPr>
          <w:p w14:paraId="2A672046"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514DF2FF"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Velike enote</w:t>
            </w:r>
          </w:p>
        </w:tc>
        <w:tc>
          <w:tcPr>
            <w:tcW w:w="381" w:type="pct"/>
            <w:shd w:val="clear" w:color="auto" w:fill="auto"/>
            <w:vAlign w:val="center"/>
            <w:hideMark/>
          </w:tcPr>
          <w:p w14:paraId="36700B1C"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87</w:t>
            </w:r>
          </w:p>
        </w:tc>
        <w:tc>
          <w:tcPr>
            <w:tcW w:w="713" w:type="pct"/>
            <w:shd w:val="clear" w:color="auto" w:fill="auto"/>
            <w:vAlign w:val="center"/>
            <w:hideMark/>
          </w:tcPr>
          <w:p w14:paraId="03670F49"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4.655.496</w:t>
            </w:r>
          </w:p>
        </w:tc>
        <w:tc>
          <w:tcPr>
            <w:tcW w:w="525" w:type="pct"/>
            <w:shd w:val="clear" w:color="auto" w:fill="auto"/>
            <w:noWrap/>
            <w:vAlign w:val="center"/>
            <w:hideMark/>
          </w:tcPr>
          <w:p w14:paraId="23C21C64"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31,87</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68C7FCFF" w14:textId="1EB905E1"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18,07</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6BF6C57C" w14:textId="77777777" w:rsidTr="00AC1F17">
        <w:trPr>
          <w:trHeight w:val="300"/>
        </w:trPr>
        <w:tc>
          <w:tcPr>
            <w:tcW w:w="1220" w:type="pct"/>
            <w:vMerge/>
            <w:vAlign w:val="center"/>
            <w:hideMark/>
          </w:tcPr>
          <w:p w14:paraId="0092752F"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0DA64074" w14:textId="77777777" w:rsidR="00072A69" w:rsidRPr="00A33FC4" w:rsidRDefault="00072A69" w:rsidP="00AC1F17">
            <w:pPr>
              <w:spacing w:after="0" w:line="240" w:lineRule="auto"/>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Velikost RS se ne izračunava</w:t>
            </w:r>
          </w:p>
        </w:tc>
        <w:tc>
          <w:tcPr>
            <w:tcW w:w="381" w:type="pct"/>
            <w:shd w:val="clear" w:color="auto" w:fill="auto"/>
            <w:vAlign w:val="center"/>
            <w:hideMark/>
          </w:tcPr>
          <w:p w14:paraId="3E035458"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8</w:t>
            </w:r>
          </w:p>
        </w:tc>
        <w:tc>
          <w:tcPr>
            <w:tcW w:w="713" w:type="pct"/>
            <w:shd w:val="clear" w:color="auto" w:fill="auto"/>
            <w:vAlign w:val="center"/>
            <w:hideMark/>
          </w:tcPr>
          <w:p w14:paraId="20C78DC6"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398.316</w:t>
            </w:r>
          </w:p>
        </w:tc>
        <w:tc>
          <w:tcPr>
            <w:tcW w:w="525" w:type="pct"/>
            <w:shd w:val="clear" w:color="auto" w:fill="auto"/>
            <w:noWrap/>
            <w:vAlign w:val="center"/>
            <w:hideMark/>
          </w:tcPr>
          <w:p w14:paraId="22969FFA" w14:textId="77777777"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2,93</w:t>
            </w:r>
            <w:r>
              <w:rPr>
                <w:rFonts w:ascii="Arial" w:eastAsia="Times New Roman" w:hAnsi="Arial" w:cs="Arial"/>
                <w:color w:val="000000"/>
                <w:sz w:val="18"/>
                <w:szCs w:val="18"/>
                <w:lang w:eastAsia="sl-SI"/>
              </w:rPr>
              <w:t xml:space="preserve"> %</w:t>
            </w:r>
          </w:p>
        </w:tc>
        <w:tc>
          <w:tcPr>
            <w:tcW w:w="525" w:type="pct"/>
            <w:shd w:val="clear" w:color="auto" w:fill="auto"/>
            <w:noWrap/>
            <w:vAlign w:val="center"/>
            <w:hideMark/>
          </w:tcPr>
          <w:p w14:paraId="0783F265" w14:textId="3B2339BE" w:rsidR="00072A69" w:rsidRPr="00A33FC4" w:rsidRDefault="00072A69" w:rsidP="00AC1F17">
            <w:pPr>
              <w:spacing w:after="0" w:line="240" w:lineRule="auto"/>
              <w:jc w:val="right"/>
              <w:rPr>
                <w:rFonts w:ascii="Arial" w:eastAsia="Times New Roman" w:hAnsi="Arial" w:cs="Arial"/>
                <w:color w:val="000000"/>
                <w:sz w:val="18"/>
                <w:szCs w:val="18"/>
                <w:lang w:eastAsia="sl-SI"/>
              </w:rPr>
            </w:pPr>
            <w:r w:rsidRPr="00A33FC4">
              <w:rPr>
                <w:rFonts w:ascii="Arial" w:eastAsia="Times New Roman" w:hAnsi="Arial" w:cs="Arial"/>
                <w:color w:val="000000"/>
                <w:sz w:val="18"/>
                <w:szCs w:val="18"/>
                <w:lang w:eastAsia="sl-SI"/>
              </w:rPr>
              <w:t>1,55</w:t>
            </w:r>
            <w:r w:rsidR="00B85806">
              <w:rPr>
                <w:rFonts w:ascii="Arial" w:eastAsia="Times New Roman" w:hAnsi="Arial" w:cs="Arial"/>
                <w:color w:val="000000"/>
                <w:sz w:val="18"/>
                <w:szCs w:val="18"/>
                <w:lang w:eastAsia="sl-SI"/>
              </w:rPr>
              <w:t xml:space="preserve"> </w:t>
            </w:r>
            <w:r w:rsidRPr="00A33FC4">
              <w:rPr>
                <w:rFonts w:ascii="Arial" w:eastAsia="Times New Roman" w:hAnsi="Arial" w:cs="Arial"/>
                <w:color w:val="000000"/>
                <w:sz w:val="18"/>
                <w:szCs w:val="18"/>
                <w:lang w:eastAsia="sl-SI"/>
              </w:rPr>
              <w:t>%</w:t>
            </w:r>
          </w:p>
        </w:tc>
      </w:tr>
      <w:tr w:rsidR="00072A69" w:rsidRPr="00A33FC4" w14:paraId="735E259E" w14:textId="77777777" w:rsidTr="00AC1F17">
        <w:trPr>
          <w:trHeight w:val="300"/>
        </w:trPr>
        <w:tc>
          <w:tcPr>
            <w:tcW w:w="1220" w:type="pct"/>
            <w:vMerge/>
            <w:vAlign w:val="center"/>
            <w:hideMark/>
          </w:tcPr>
          <w:p w14:paraId="75031A1C" w14:textId="77777777" w:rsidR="00072A69" w:rsidRPr="00A33FC4" w:rsidRDefault="00072A69" w:rsidP="00AC1F17">
            <w:pPr>
              <w:spacing w:after="0" w:line="240" w:lineRule="auto"/>
              <w:rPr>
                <w:rFonts w:ascii="Arial" w:eastAsia="Times New Roman" w:hAnsi="Arial" w:cs="Arial"/>
                <w:color w:val="000000"/>
                <w:sz w:val="18"/>
                <w:szCs w:val="18"/>
                <w:lang w:eastAsia="sl-SI"/>
              </w:rPr>
            </w:pPr>
          </w:p>
        </w:tc>
        <w:tc>
          <w:tcPr>
            <w:tcW w:w="1637" w:type="pct"/>
            <w:shd w:val="clear" w:color="auto" w:fill="auto"/>
            <w:vAlign w:val="center"/>
            <w:hideMark/>
          </w:tcPr>
          <w:p w14:paraId="130D8BF3"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auto"/>
            <w:noWrap/>
            <w:vAlign w:val="center"/>
            <w:hideMark/>
          </w:tcPr>
          <w:p w14:paraId="09BEB2C9"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273</w:t>
            </w:r>
          </w:p>
        </w:tc>
        <w:tc>
          <w:tcPr>
            <w:tcW w:w="713" w:type="pct"/>
            <w:shd w:val="clear" w:color="auto" w:fill="auto"/>
            <w:noWrap/>
            <w:vAlign w:val="center"/>
            <w:hideMark/>
          </w:tcPr>
          <w:p w14:paraId="73DD83C3"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25.769.558</w:t>
            </w:r>
          </w:p>
        </w:tc>
        <w:tc>
          <w:tcPr>
            <w:tcW w:w="525" w:type="pct"/>
            <w:shd w:val="clear" w:color="auto" w:fill="auto"/>
            <w:noWrap/>
            <w:vAlign w:val="center"/>
            <w:hideMark/>
          </w:tcPr>
          <w:p w14:paraId="1414B944"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25" w:type="pct"/>
            <w:shd w:val="clear" w:color="auto" w:fill="auto"/>
            <w:noWrap/>
            <w:vAlign w:val="center"/>
            <w:hideMark/>
          </w:tcPr>
          <w:p w14:paraId="7A142F0E" w14:textId="10E8C8AB"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100,00</w:t>
            </w:r>
            <w:r w:rsidR="00B85806">
              <w:rPr>
                <w:rFonts w:ascii="Arial" w:eastAsia="Times New Roman" w:hAnsi="Arial" w:cs="Arial"/>
                <w:b/>
                <w:bCs/>
                <w:color w:val="000000"/>
                <w:sz w:val="18"/>
                <w:szCs w:val="18"/>
                <w:lang w:eastAsia="sl-SI"/>
              </w:rPr>
              <w:t xml:space="preserve"> s</w:t>
            </w:r>
            <w:r w:rsidRPr="00A33FC4">
              <w:rPr>
                <w:rFonts w:ascii="Arial" w:eastAsia="Times New Roman" w:hAnsi="Arial" w:cs="Arial"/>
                <w:b/>
                <w:bCs/>
                <w:color w:val="000000"/>
                <w:sz w:val="18"/>
                <w:szCs w:val="18"/>
                <w:lang w:eastAsia="sl-SI"/>
              </w:rPr>
              <w:t>%</w:t>
            </w:r>
          </w:p>
        </w:tc>
      </w:tr>
      <w:tr w:rsidR="00072A69" w:rsidRPr="00A33FC4" w14:paraId="793F476F" w14:textId="77777777" w:rsidTr="00AC1F17">
        <w:trPr>
          <w:gridAfter w:val="2"/>
          <w:wAfter w:w="1049" w:type="pct"/>
          <w:trHeight w:val="300"/>
        </w:trPr>
        <w:tc>
          <w:tcPr>
            <w:tcW w:w="2856" w:type="pct"/>
            <w:gridSpan w:val="2"/>
            <w:shd w:val="clear" w:color="auto" w:fill="E7E6E6" w:themeFill="background2"/>
            <w:vAlign w:val="center"/>
            <w:hideMark/>
          </w:tcPr>
          <w:p w14:paraId="7DD61036" w14:textId="77777777" w:rsidR="00072A69" w:rsidRPr="00A33FC4" w:rsidRDefault="00072A69" w:rsidP="00AC1F17">
            <w:pPr>
              <w:spacing w:after="0" w:line="240" w:lineRule="auto"/>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Skupaj</w:t>
            </w:r>
          </w:p>
        </w:tc>
        <w:tc>
          <w:tcPr>
            <w:tcW w:w="381" w:type="pct"/>
            <w:shd w:val="clear" w:color="auto" w:fill="E7E6E6" w:themeFill="background2"/>
            <w:noWrap/>
            <w:vAlign w:val="center"/>
            <w:hideMark/>
          </w:tcPr>
          <w:p w14:paraId="1838E487"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16.459</w:t>
            </w:r>
          </w:p>
        </w:tc>
        <w:tc>
          <w:tcPr>
            <w:tcW w:w="713" w:type="pct"/>
            <w:shd w:val="clear" w:color="auto" w:fill="E7E6E6" w:themeFill="background2"/>
            <w:noWrap/>
            <w:vAlign w:val="center"/>
            <w:hideMark/>
          </w:tcPr>
          <w:p w14:paraId="59A3BABA" w14:textId="77777777" w:rsidR="00072A69" w:rsidRPr="00A33FC4" w:rsidRDefault="00072A69" w:rsidP="00AC1F17">
            <w:pPr>
              <w:spacing w:after="0" w:line="240" w:lineRule="auto"/>
              <w:jc w:val="right"/>
              <w:rPr>
                <w:rFonts w:ascii="Arial" w:eastAsia="Times New Roman" w:hAnsi="Arial" w:cs="Arial"/>
                <w:b/>
                <w:bCs/>
                <w:color w:val="000000"/>
                <w:sz w:val="18"/>
                <w:szCs w:val="18"/>
                <w:lang w:eastAsia="sl-SI"/>
              </w:rPr>
            </w:pPr>
            <w:r w:rsidRPr="00A33FC4">
              <w:rPr>
                <w:rFonts w:ascii="Arial" w:eastAsia="Times New Roman" w:hAnsi="Arial" w:cs="Arial"/>
                <w:b/>
                <w:bCs/>
                <w:color w:val="000000"/>
                <w:sz w:val="18"/>
                <w:szCs w:val="18"/>
                <w:lang w:eastAsia="sl-SI"/>
              </w:rPr>
              <w:t>2.530.228.873</w:t>
            </w:r>
          </w:p>
        </w:tc>
      </w:tr>
    </w:tbl>
    <w:p w14:paraId="0BA473AD" w14:textId="77777777" w:rsidR="00072A69" w:rsidRPr="00EF2D0B" w:rsidRDefault="00072A69" w:rsidP="00072A69">
      <w:pPr>
        <w:spacing w:before="120" w:after="120" w:line="240" w:lineRule="auto"/>
        <w:jc w:val="both"/>
        <w:rPr>
          <w:rFonts w:ascii="Arial" w:hAnsi="Arial" w:cs="Arial"/>
          <w:sz w:val="20"/>
          <w:highlight w:val="yellow"/>
        </w:rPr>
      </w:pPr>
    </w:p>
    <w:p w14:paraId="54BDA0FA" w14:textId="166D7DFB" w:rsidR="00F00D26" w:rsidRPr="00EB599F" w:rsidRDefault="00F00D26" w:rsidP="00F00D26">
      <w:pPr>
        <w:spacing w:before="120" w:after="120" w:line="240" w:lineRule="auto"/>
        <w:jc w:val="both"/>
        <w:rPr>
          <w:rFonts w:ascii="Arial" w:hAnsi="Arial" w:cs="Arial"/>
          <w:sz w:val="20"/>
        </w:rPr>
      </w:pPr>
      <w:bookmarkStart w:id="110" w:name="_Toc369000994"/>
      <w:bookmarkStart w:id="111" w:name="_Toc398038715"/>
      <w:bookmarkStart w:id="112" w:name="_Toc398040194"/>
      <w:bookmarkStart w:id="113" w:name="_Toc398584432"/>
      <w:r w:rsidRPr="00EB599F">
        <w:rPr>
          <w:rFonts w:ascii="Arial" w:hAnsi="Arial" w:cs="Arial"/>
          <w:sz w:val="20"/>
        </w:rPr>
        <w:t>Preglednica 10</w:t>
      </w:r>
      <w:r>
        <w:rPr>
          <w:rFonts w:ascii="Arial" w:hAnsi="Arial" w:cs="Arial"/>
          <w:sz w:val="20"/>
        </w:rPr>
        <w:t>4</w:t>
      </w:r>
      <w:r w:rsidRPr="00EB599F">
        <w:rPr>
          <w:rFonts w:ascii="Arial" w:hAnsi="Arial" w:cs="Arial"/>
          <w:sz w:val="20"/>
        </w:rPr>
        <w:t>: Javna naročila, pri oddaji katerih so bili upoštevani socialni vidiki glede na način upoštevanja teh vidikov</w:t>
      </w:r>
    </w:p>
    <w:tbl>
      <w:tblPr>
        <w:tblW w:w="5000" w:type="pct"/>
        <w:tblCellMar>
          <w:left w:w="70" w:type="dxa"/>
          <w:right w:w="70" w:type="dxa"/>
        </w:tblCellMar>
        <w:tblLook w:val="04A0" w:firstRow="1" w:lastRow="0" w:firstColumn="1" w:lastColumn="0" w:noHBand="0" w:noVBand="1"/>
      </w:tblPr>
      <w:tblGrid>
        <w:gridCol w:w="1212"/>
        <w:gridCol w:w="1047"/>
        <w:gridCol w:w="1200"/>
        <w:gridCol w:w="1156"/>
        <w:gridCol w:w="1046"/>
        <w:gridCol w:w="1046"/>
        <w:gridCol w:w="1068"/>
        <w:gridCol w:w="1287"/>
      </w:tblGrid>
      <w:tr w:rsidR="00F00D26" w:rsidRPr="00F115C3" w14:paraId="1514C7A2" w14:textId="77777777" w:rsidTr="00C320EE">
        <w:trPr>
          <w:trHeight w:val="720"/>
          <w:tblHeader/>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56832"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Tehnične specifikacije</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B0B03AE"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Merila</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09908EB"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Pogoji za sodelovanje</w:t>
            </w:r>
          </w:p>
        </w:tc>
        <w:tc>
          <w:tcPr>
            <w:tcW w:w="638" w:type="pct"/>
            <w:tcBorders>
              <w:top w:val="single" w:sz="4" w:space="0" w:color="auto"/>
              <w:left w:val="nil"/>
              <w:bottom w:val="single" w:sz="4" w:space="0" w:color="auto"/>
              <w:right w:val="single" w:sz="4" w:space="0" w:color="auto"/>
            </w:tcBorders>
            <w:shd w:val="clear" w:color="auto" w:fill="auto"/>
            <w:vAlign w:val="center"/>
            <w:hideMark/>
          </w:tcPr>
          <w:p w14:paraId="19F80FFE"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Pogodbena določila</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C8A36F9"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Razlogi za izključitev</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3D6BD509"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Drugo</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CD8874B"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Št. naročil</w:t>
            </w:r>
          </w:p>
        </w:tc>
        <w:tc>
          <w:tcPr>
            <w:tcW w:w="710" w:type="pct"/>
            <w:tcBorders>
              <w:top w:val="single" w:sz="4" w:space="0" w:color="auto"/>
              <w:left w:val="nil"/>
              <w:bottom w:val="single" w:sz="4" w:space="0" w:color="auto"/>
              <w:right w:val="single" w:sz="4" w:space="0" w:color="auto"/>
            </w:tcBorders>
            <w:shd w:val="clear" w:color="auto" w:fill="auto"/>
            <w:vAlign w:val="center"/>
            <w:hideMark/>
          </w:tcPr>
          <w:p w14:paraId="49CB3DF5" w14:textId="77777777" w:rsidR="00F00D26" w:rsidRPr="00F115C3" w:rsidRDefault="00F00D26" w:rsidP="00F45253">
            <w:pPr>
              <w:spacing w:after="0" w:line="240" w:lineRule="auto"/>
              <w:jc w:val="center"/>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Pogodbena vrednost</w:t>
            </w:r>
          </w:p>
        </w:tc>
      </w:tr>
      <w:tr w:rsidR="00F00D26" w:rsidRPr="00F115C3" w14:paraId="03D84AB3"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593B4D5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53130B5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vAlign w:val="center"/>
            <w:hideMark/>
          </w:tcPr>
          <w:p w14:paraId="1CA7422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57A0BBF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4C56B8C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35FACAC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71415DF9"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346</w:t>
            </w:r>
          </w:p>
        </w:tc>
        <w:tc>
          <w:tcPr>
            <w:tcW w:w="710" w:type="pct"/>
            <w:tcBorders>
              <w:top w:val="nil"/>
              <w:left w:val="nil"/>
              <w:bottom w:val="single" w:sz="4" w:space="0" w:color="auto"/>
              <w:right w:val="single" w:sz="4" w:space="0" w:color="auto"/>
            </w:tcBorders>
            <w:shd w:val="clear" w:color="auto" w:fill="auto"/>
            <w:vAlign w:val="center"/>
            <w:hideMark/>
          </w:tcPr>
          <w:p w14:paraId="73BF1011"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202.638.543</w:t>
            </w:r>
          </w:p>
        </w:tc>
      </w:tr>
      <w:tr w:rsidR="00F00D26" w:rsidRPr="00F115C3" w14:paraId="69474D95"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1BB6658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3F60F3B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vAlign w:val="center"/>
            <w:hideMark/>
          </w:tcPr>
          <w:p w14:paraId="05724B8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0CC8860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3C9E04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72ACFC2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715306AA"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w:t>
            </w:r>
          </w:p>
        </w:tc>
        <w:tc>
          <w:tcPr>
            <w:tcW w:w="710" w:type="pct"/>
            <w:tcBorders>
              <w:top w:val="nil"/>
              <w:left w:val="nil"/>
              <w:bottom w:val="single" w:sz="4" w:space="0" w:color="auto"/>
              <w:right w:val="single" w:sz="4" w:space="0" w:color="auto"/>
            </w:tcBorders>
            <w:shd w:val="clear" w:color="auto" w:fill="auto"/>
            <w:vAlign w:val="center"/>
            <w:hideMark/>
          </w:tcPr>
          <w:p w14:paraId="19338A2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34.261</w:t>
            </w:r>
          </w:p>
        </w:tc>
      </w:tr>
      <w:tr w:rsidR="00F00D26" w:rsidRPr="00F115C3" w14:paraId="44D41FD4"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6F784A6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74CB6C9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3B11E3F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3862CE4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41911E7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774A816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00548719"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w:t>
            </w:r>
          </w:p>
        </w:tc>
        <w:tc>
          <w:tcPr>
            <w:tcW w:w="710" w:type="pct"/>
            <w:tcBorders>
              <w:top w:val="nil"/>
              <w:left w:val="nil"/>
              <w:bottom w:val="single" w:sz="4" w:space="0" w:color="auto"/>
              <w:right w:val="single" w:sz="4" w:space="0" w:color="auto"/>
            </w:tcBorders>
            <w:shd w:val="clear" w:color="auto" w:fill="auto"/>
            <w:vAlign w:val="center"/>
            <w:hideMark/>
          </w:tcPr>
          <w:p w14:paraId="45CF82A7"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443.659</w:t>
            </w:r>
          </w:p>
        </w:tc>
      </w:tr>
      <w:tr w:rsidR="00F00D26" w:rsidRPr="00F115C3" w14:paraId="51F3079C"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18D5E41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609C9C5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7326F98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vAlign w:val="center"/>
            <w:hideMark/>
          </w:tcPr>
          <w:p w14:paraId="394022F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6C8A0CB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71677B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03FA5F33"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vAlign w:val="center"/>
            <w:hideMark/>
          </w:tcPr>
          <w:p w14:paraId="3722ED3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7.842</w:t>
            </w:r>
          </w:p>
        </w:tc>
      </w:tr>
      <w:tr w:rsidR="00F00D26" w:rsidRPr="00F115C3" w14:paraId="0D7CFCA3"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7377C11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54376BE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6D32F04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5637D31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36A90AE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E14A7C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49742413"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vAlign w:val="center"/>
            <w:hideMark/>
          </w:tcPr>
          <w:p w14:paraId="0798D701"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138.381</w:t>
            </w:r>
          </w:p>
        </w:tc>
      </w:tr>
      <w:tr w:rsidR="00F00D26" w:rsidRPr="00F115C3" w14:paraId="12EA7279"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0EF4A05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59B7894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711B90E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vAlign w:val="center"/>
            <w:hideMark/>
          </w:tcPr>
          <w:p w14:paraId="4992319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885B26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C19912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4BE345F0"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57</w:t>
            </w:r>
          </w:p>
        </w:tc>
        <w:tc>
          <w:tcPr>
            <w:tcW w:w="710" w:type="pct"/>
            <w:tcBorders>
              <w:top w:val="nil"/>
              <w:left w:val="nil"/>
              <w:bottom w:val="single" w:sz="4" w:space="0" w:color="auto"/>
              <w:right w:val="single" w:sz="4" w:space="0" w:color="auto"/>
            </w:tcBorders>
            <w:shd w:val="clear" w:color="auto" w:fill="auto"/>
            <w:vAlign w:val="center"/>
            <w:hideMark/>
          </w:tcPr>
          <w:p w14:paraId="68FED2D0"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969.229</w:t>
            </w:r>
          </w:p>
        </w:tc>
      </w:tr>
      <w:tr w:rsidR="00F00D26" w:rsidRPr="00F115C3" w14:paraId="6B717A59"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4736379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5FE849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vAlign w:val="center"/>
            <w:hideMark/>
          </w:tcPr>
          <w:p w14:paraId="1030DF8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vAlign w:val="center"/>
            <w:hideMark/>
          </w:tcPr>
          <w:p w14:paraId="3DFB4B7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6C8B6B9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3BAAC19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20D199F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w:t>
            </w:r>
          </w:p>
        </w:tc>
        <w:tc>
          <w:tcPr>
            <w:tcW w:w="710" w:type="pct"/>
            <w:tcBorders>
              <w:top w:val="nil"/>
              <w:left w:val="nil"/>
              <w:bottom w:val="single" w:sz="4" w:space="0" w:color="auto"/>
              <w:right w:val="single" w:sz="4" w:space="0" w:color="auto"/>
            </w:tcBorders>
            <w:shd w:val="clear" w:color="auto" w:fill="auto"/>
            <w:vAlign w:val="center"/>
            <w:hideMark/>
          </w:tcPr>
          <w:p w14:paraId="240B9575"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5.678.440</w:t>
            </w:r>
          </w:p>
        </w:tc>
      </w:tr>
      <w:tr w:rsidR="00F00D26" w:rsidRPr="00F115C3" w14:paraId="18BDA656"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7B6FA82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0593023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73C9B3C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1C03B0E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54A6DB2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203207F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3A693DD1"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vAlign w:val="center"/>
            <w:hideMark/>
          </w:tcPr>
          <w:p w14:paraId="72754AA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32.459</w:t>
            </w:r>
          </w:p>
        </w:tc>
      </w:tr>
      <w:tr w:rsidR="00F00D26" w:rsidRPr="00F115C3" w14:paraId="0AE4F112"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3EA2F79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0D0197E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112E35C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vAlign w:val="center"/>
            <w:hideMark/>
          </w:tcPr>
          <w:p w14:paraId="34D2664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06AB11E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6BDAAFC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3F960523"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w:t>
            </w:r>
          </w:p>
        </w:tc>
        <w:tc>
          <w:tcPr>
            <w:tcW w:w="710" w:type="pct"/>
            <w:tcBorders>
              <w:top w:val="nil"/>
              <w:left w:val="nil"/>
              <w:bottom w:val="single" w:sz="4" w:space="0" w:color="auto"/>
              <w:right w:val="single" w:sz="4" w:space="0" w:color="auto"/>
            </w:tcBorders>
            <w:shd w:val="clear" w:color="auto" w:fill="auto"/>
            <w:vAlign w:val="center"/>
            <w:hideMark/>
          </w:tcPr>
          <w:p w14:paraId="794FF13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5.231</w:t>
            </w:r>
          </w:p>
        </w:tc>
      </w:tr>
      <w:tr w:rsidR="00F00D26" w:rsidRPr="00F115C3" w14:paraId="1C3D09DF"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0C00F43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lastRenderedPageBreak/>
              <w:t> </w:t>
            </w:r>
          </w:p>
        </w:tc>
        <w:tc>
          <w:tcPr>
            <w:tcW w:w="577" w:type="pct"/>
            <w:tcBorders>
              <w:top w:val="nil"/>
              <w:left w:val="nil"/>
              <w:bottom w:val="single" w:sz="4" w:space="0" w:color="auto"/>
              <w:right w:val="single" w:sz="4" w:space="0" w:color="auto"/>
            </w:tcBorders>
            <w:shd w:val="clear" w:color="auto" w:fill="auto"/>
            <w:vAlign w:val="center"/>
            <w:hideMark/>
          </w:tcPr>
          <w:p w14:paraId="1BA5B00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3E5FED4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011E1DE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7B6EC6D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63D00E3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3FBE11A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w:t>
            </w:r>
          </w:p>
        </w:tc>
        <w:tc>
          <w:tcPr>
            <w:tcW w:w="710" w:type="pct"/>
            <w:tcBorders>
              <w:top w:val="nil"/>
              <w:left w:val="nil"/>
              <w:bottom w:val="single" w:sz="4" w:space="0" w:color="auto"/>
              <w:right w:val="single" w:sz="4" w:space="0" w:color="auto"/>
            </w:tcBorders>
            <w:shd w:val="clear" w:color="auto" w:fill="auto"/>
            <w:vAlign w:val="center"/>
            <w:hideMark/>
          </w:tcPr>
          <w:p w14:paraId="79B7D39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215.794</w:t>
            </w:r>
          </w:p>
        </w:tc>
      </w:tr>
      <w:tr w:rsidR="00F00D26" w:rsidRPr="00F115C3" w14:paraId="2B745F35" w14:textId="77777777" w:rsidTr="00F45253">
        <w:trPr>
          <w:trHeight w:val="300"/>
        </w:trPr>
        <w:tc>
          <w:tcPr>
            <w:tcW w:w="668" w:type="pct"/>
            <w:tcBorders>
              <w:top w:val="nil"/>
              <w:left w:val="single" w:sz="4" w:space="0" w:color="auto"/>
              <w:bottom w:val="single" w:sz="4" w:space="0" w:color="auto"/>
              <w:right w:val="single" w:sz="4" w:space="0" w:color="auto"/>
            </w:tcBorders>
            <w:shd w:val="clear" w:color="000000" w:fill="00B0F0"/>
            <w:vAlign w:val="center"/>
            <w:hideMark/>
          </w:tcPr>
          <w:p w14:paraId="6CB0648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460DC24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18E2BD7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vAlign w:val="center"/>
            <w:hideMark/>
          </w:tcPr>
          <w:p w14:paraId="4D8C37E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174899E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5745846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20F5D19E"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98</w:t>
            </w:r>
          </w:p>
        </w:tc>
        <w:tc>
          <w:tcPr>
            <w:tcW w:w="710" w:type="pct"/>
            <w:tcBorders>
              <w:top w:val="nil"/>
              <w:left w:val="nil"/>
              <w:bottom w:val="single" w:sz="4" w:space="0" w:color="auto"/>
              <w:right w:val="single" w:sz="4" w:space="0" w:color="auto"/>
            </w:tcBorders>
            <w:shd w:val="clear" w:color="auto" w:fill="auto"/>
            <w:vAlign w:val="center"/>
            <w:hideMark/>
          </w:tcPr>
          <w:p w14:paraId="11775E9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3.581.156</w:t>
            </w:r>
          </w:p>
        </w:tc>
      </w:tr>
      <w:tr w:rsidR="00F00D26" w:rsidRPr="00F115C3" w14:paraId="474B53C9"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2A754F5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71729E3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vAlign w:val="center"/>
            <w:hideMark/>
          </w:tcPr>
          <w:p w14:paraId="552B9DD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0553D5A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7C38C54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28F6266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062C8BB3"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65</w:t>
            </w:r>
          </w:p>
        </w:tc>
        <w:tc>
          <w:tcPr>
            <w:tcW w:w="710" w:type="pct"/>
            <w:tcBorders>
              <w:top w:val="nil"/>
              <w:left w:val="nil"/>
              <w:bottom w:val="single" w:sz="4" w:space="0" w:color="auto"/>
              <w:right w:val="single" w:sz="4" w:space="0" w:color="auto"/>
            </w:tcBorders>
            <w:shd w:val="clear" w:color="auto" w:fill="auto"/>
            <w:vAlign w:val="center"/>
            <w:hideMark/>
          </w:tcPr>
          <w:p w14:paraId="75F807AC"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2.156.976</w:t>
            </w:r>
          </w:p>
        </w:tc>
      </w:tr>
      <w:tr w:rsidR="00F00D26" w:rsidRPr="00F115C3" w14:paraId="34A94AED"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2FDA1B1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5D4D14D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7126839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vAlign w:val="center"/>
            <w:hideMark/>
          </w:tcPr>
          <w:p w14:paraId="6D93ADE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5583FDB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43A849B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2A21BAB8"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vAlign w:val="center"/>
            <w:hideMark/>
          </w:tcPr>
          <w:p w14:paraId="6B04DD43"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72.878</w:t>
            </w:r>
          </w:p>
        </w:tc>
      </w:tr>
      <w:tr w:rsidR="00F00D26" w:rsidRPr="00F115C3" w14:paraId="04E2CCE1"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5DAC3C0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vAlign w:val="center"/>
            <w:hideMark/>
          </w:tcPr>
          <w:p w14:paraId="3388329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vAlign w:val="center"/>
            <w:hideMark/>
          </w:tcPr>
          <w:p w14:paraId="0B096E0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vAlign w:val="center"/>
            <w:hideMark/>
          </w:tcPr>
          <w:p w14:paraId="03CDB0B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0502527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vAlign w:val="center"/>
            <w:hideMark/>
          </w:tcPr>
          <w:p w14:paraId="4521CF0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vAlign w:val="center"/>
            <w:hideMark/>
          </w:tcPr>
          <w:p w14:paraId="3D113EA7"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vAlign w:val="center"/>
            <w:hideMark/>
          </w:tcPr>
          <w:p w14:paraId="599D5C17"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845</w:t>
            </w:r>
          </w:p>
        </w:tc>
      </w:tr>
      <w:tr w:rsidR="00F00D26" w:rsidRPr="00F115C3" w14:paraId="08CE684F"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0BDA842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590C3FF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45FE5C8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4A30FF5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54C1557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17F8CFC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3F472649"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20</w:t>
            </w:r>
          </w:p>
        </w:tc>
        <w:tc>
          <w:tcPr>
            <w:tcW w:w="710" w:type="pct"/>
            <w:tcBorders>
              <w:top w:val="nil"/>
              <w:left w:val="nil"/>
              <w:bottom w:val="single" w:sz="4" w:space="0" w:color="auto"/>
              <w:right w:val="single" w:sz="4" w:space="0" w:color="auto"/>
            </w:tcBorders>
            <w:shd w:val="clear" w:color="auto" w:fill="auto"/>
            <w:noWrap/>
            <w:vAlign w:val="center"/>
            <w:hideMark/>
          </w:tcPr>
          <w:p w14:paraId="27948C1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6.665.391</w:t>
            </w:r>
          </w:p>
        </w:tc>
      </w:tr>
      <w:tr w:rsidR="00F00D26" w:rsidRPr="00F115C3" w14:paraId="0B565A79"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7184430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7A0CB424"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noWrap/>
            <w:vAlign w:val="bottom"/>
            <w:hideMark/>
          </w:tcPr>
          <w:p w14:paraId="5467BD4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noWrap/>
            <w:vAlign w:val="bottom"/>
            <w:hideMark/>
          </w:tcPr>
          <w:p w14:paraId="2AD5B59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63A46FC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3660B37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36D14FA5"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270</w:t>
            </w:r>
          </w:p>
        </w:tc>
        <w:tc>
          <w:tcPr>
            <w:tcW w:w="710" w:type="pct"/>
            <w:tcBorders>
              <w:top w:val="nil"/>
              <w:left w:val="nil"/>
              <w:bottom w:val="single" w:sz="4" w:space="0" w:color="auto"/>
              <w:right w:val="single" w:sz="4" w:space="0" w:color="auto"/>
            </w:tcBorders>
            <w:shd w:val="clear" w:color="auto" w:fill="auto"/>
            <w:noWrap/>
            <w:vAlign w:val="center"/>
            <w:hideMark/>
          </w:tcPr>
          <w:p w14:paraId="16E93301"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35.410.800</w:t>
            </w:r>
          </w:p>
        </w:tc>
      </w:tr>
      <w:tr w:rsidR="00F00D26" w:rsidRPr="00F115C3" w14:paraId="424D613F"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0AD994C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582D27F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noWrap/>
            <w:vAlign w:val="bottom"/>
            <w:hideMark/>
          </w:tcPr>
          <w:p w14:paraId="5763769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1DC85CD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2A9F490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3BC0601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5E340D9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408</w:t>
            </w:r>
          </w:p>
        </w:tc>
        <w:tc>
          <w:tcPr>
            <w:tcW w:w="710" w:type="pct"/>
            <w:tcBorders>
              <w:top w:val="nil"/>
              <w:left w:val="nil"/>
              <w:bottom w:val="single" w:sz="4" w:space="0" w:color="auto"/>
              <w:right w:val="single" w:sz="4" w:space="0" w:color="auto"/>
            </w:tcBorders>
            <w:shd w:val="clear" w:color="auto" w:fill="auto"/>
            <w:noWrap/>
            <w:vAlign w:val="center"/>
            <w:hideMark/>
          </w:tcPr>
          <w:p w14:paraId="0DF9C6D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20.882.087</w:t>
            </w:r>
          </w:p>
        </w:tc>
      </w:tr>
      <w:tr w:rsidR="00F00D26" w:rsidRPr="00F115C3" w14:paraId="76DAB0CF"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2D988A8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5006177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14BEBDD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7486C9B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71F6143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0871DFB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13A12F3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929</w:t>
            </w:r>
          </w:p>
        </w:tc>
        <w:tc>
          <w:tcPr>
            <w:tcW w:w="710" w:type="pct"/>
            <w:tcBorders>
              <w:top w:val="nil"/>
              <w:left w:val="nil"/>
              <w:bottom w:val="single" w:sz="4" w:space="0" w:color="auto"/>
              <w:right w:val="single" w:sz="4" w:space="0" w:color="auto"/>
            </w:tcBorders>
            <w:shd w:val="clear" w:color="auto" w:fill="auto"/>
            <w:noWrap/>
            <w:vAlign w:val="center"/>
            <w:hideMark/>
          </w:tcPr>
          <w:p w14:paraId="299C93B1"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192.019.902</w:t>
            </w:r>
          </w:p>
        </w:tc>
      </w:tr>
      <w:tr w:rsidR="00F00D26" w:rsidRPr="00F115C3" w14:paraId="4CDEEB95"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3EBDE84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168538B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0FDDE2E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4E55AB21"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4792DF3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688A0CB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13175447"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w:t>
            </w:r>
          </w:p>
        </w:tc>
        <w:tc>
          <w:tcPr>
            <w:tcW w:w="710" w:type="pct"/>
            <w:tcBorders>
              <w:top w:val="nil"/>
              <w:left w:val="nil"/>
              <w:bottom w:val="single" w:sz="4" w:space="0" w:color="auto"/>
              <w:right w:val="single" w:sz="4" w:space="0" w:color="auto"/>
            </w:tcBorders>
            <w:shd w:val="clear" w:color="auto" w:fill="auto"/>
            <w:noWrap/>
            <w:vAlign w:val="center"/>
            <w:hideMark/>
          </w:tcPr>
          <w:p w14:paraId="0108E251"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490.736</w:t>
            </w:r>
          </w:p>
        </w:tc>
      </w:tr>
      <w:tr w:rsidR="00F00D26" w:rsidRPr="00F115C3" w14:paraId="0E061E22"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1F0088C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728BEA7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7CAEF5E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noWrap/>
            <w:vAlign w:val="bottom"/>
            <w:hideMark/>
          </w:tcPr>
          <w:p w14:paraId="5F1D7A8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08F1BF5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3D465EF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4FB54ACC"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17</w:t>
            </w:r>
          </w:p>
        </w:tc>
        <w:tc>
          <w:tcPr>
            <w:tcW w:w="710" w:type="pct"/>
            <w:tcBorders>
              <w:top w:val="nil"/>
              <w:left w:val="nil"/>
              <w:bottom w:val="single" w:sz="4" w:space="0" w:color="auto"/>
              <w:right w:val="single" w:sz="4" w:space="0" w:color="auto"/>
            </w:tcBorders>
            <w:shd w:val="clear" w:color="auto" w:fill="auto"/>
            <w:noWrap/>
            <w:vAlign w:val="center"/>
            <w:hideMark/>
          </w:tcPr>
          <w:p w14:paraId="790348A0"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1.764.862</w:t>
            </w:r>
          </w:p>
        </w:tc>
      </w:tr>
      <w:tr w:rsidR="00F00D26" w:rsidRPr="00F115C3" w14:paraId="4E83DA66"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1BBEC98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01453AD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57EE65C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noWrap/>
            <w:vAlign w:val="bottom"/>
            <w:hideMark/>
          </w:tcPr>
          <w:p w14:paraId="6FC354D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3399ACD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2988A8E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7AC5200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197</w:t>
            </w:r>
          </w:p>
        </w:tc>
        <w:tc>
          <w:tcPr>
            <w:tcW w:w="710" w:type="pct"/>
            <w:tcBorders>
              <w:top w:val="nil"/>
              <w:left w:val="nil"/>
              <w:bottom w:val="single" w:sz="4" w:space="0" w:color="auto"/>
              <w:right w:val="single" w:sz="4" w:space="0" w:color="auto"/>
            </w:tcBorders>
            <w:shd w:val="clear" w:color="auto" w:fill="auto"/>
            <w:noWrap/>
            <w:vAlign w:val="center"/>
            <w:hideMark/>
          </w:tcPr>
          <w:p w14:paraId="776A928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30.870.740</w:t>
            </w:r>
          </w:p>
        </w:tc>
      </w:tr>
      <w:tr w:rsidR="00F00D26" w:rsidRPr="00F115C3" w14:paraId="57CA744D"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335E4C0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4398762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noWrap/>
            <w:vAlign w:val="bottom"/>
            <w:hideMark/>
          </w:tcPr>
          <w:p w14:paraId="4AF8769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38E9D42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7D7C7B1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2B8BE20D"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306BD06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noWrap/>
            <w:vAlign w:val="center"/>
            <w:hideMark/>
          </w:tcPr>
          <w:p w14:paraId="33261A4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309.097</w:t>
            </w:r>
          </w:p>
        </w:tc>
      </w:tr>
      <w:tr w:rsidR="00F00D26" w:rsidRPr="00F115C3" w14:paraId="0599168A"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0CDC806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0236750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noWrap/>
            <w:vAlign w:val="bottom"/>
            <w:hideMark/>
          </w:tcPr>
          <w:p w14:paraId="7E34CC0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noWrap/>
            <w:vAlign w:val="bottom"/>
            <w:hideMark/>
          </w:tcPr>
          <w:p w14:paraId="4A835E9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2CD0ACF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5C890920"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102FF8B4"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noWrap/>
            <w:vAlign w:val="center"/>
            <w:hideMark/>
          </w:tcPr>
          <w:p w14:paraId="1B64D055"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75.059</w:t>
            </w:r>
          </w:p>
        </w:tc>
      </w:tr>
      <w:tr w:rsidR="00F00D26" w:rsidRPr="00F115C3" w14:paraId="319D5FB9"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5D024E73"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3C8872F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59AF116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2C3B3B37"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775B798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0B532ED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11393B30"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1</w:t>
            </w:r>
          </w:p>
        </w:tc>
        <w:tc>
          <w:tcPr>
            <w:tcW w:w="710" w:type="pct"/>
            <w:tcBorders>
              <w:top w:val="nil"/>
              <w:left w:val="nil"/>
              <w:bottom w:val="single" w:sz="4" w:space="0" w:color="auto"/>
              <w:right w:val="single" w:sz="4" w:space="0" w:color="auto"/>
            </w:tcBorders>
            <w:shd w:val="clear" w:color="auto" w:fill="auto"/>
            <w:noWrap/>
            <w:vAlign w:val="center"/>
            <w:hideMark/>
          </w:tcPr>
          <w:p w14:paraId="5BA059AE"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619.584</w:t>
            </w:r>
          </w:p>
        </w:tc>
      </w:tr>
      <w:tr w:rsidR="00F00D26" w:rsidRPr="00F115C3" w14:paraId="72659FCB"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7D6E0B2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01AFCEC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noWrap/>
            <w:vAlign w:val="bottom"/>
            <w:hideMark/>
          </w:tcPr>
          <w:p w14:paraId="509CBE3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auto" w:fill="auto"/>
            <w:noWrap/>
            <w:vAlign w:val="bottom"/>
            <w:hideMark/>
          </w:tcPr>
          <w:p w14:paraId="283A7C4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66BFA6E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6172112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7009ECD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30</w:t>
            </w:r>
          </w:p>
        </w:tc>
        <w:tc>
          <w:tcPr>
            <w:tcW w:w="710" w:type="pct"/>
            <w:tcBorders>
              <w:top w:val="nil"/>
              <w:left w:val="nil"/>
              <w:bottom w:val="single" w:sz="4" w:space="0" w:color="auto"/>
              <w:right w:val="single" w:sz="4" w:space="0" w:color="auto"/>
            </w:tcBorders>
            <w:shd w:val="clear" w:color="auto" w:fill="auto"/>
            <w:noWrap/>
            <w:vAlign w:val="center"/>
            <w:hideMark/>
          </w:tcPr>
          <w:p w14:paraId="47CF2FB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3.811.540</w:t>
            </w:r>
          </w:p>
        </w:tc>
      </w:tr>
      <w:tr w:rsidR="00F00D26" w:rsidRPr="00F115C3" w14:paraId="29685272"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3FB030A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65480F1F"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000000" w:fill="00B0F0"/>
            <w:noWrap/>
            <w:vAlign w:val="bottom"/>
            <w:hideMark/>
          </w:tcPr>
          <w:p w14:paraId="187913E5"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77FD06C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40FA61FA"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608D918E"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3215D758"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20</w:t>
            </w:r>
          </w:p>
        </w:tc>
        <w:tc>
          <w:tcPr>
            <w:tcW w:w="710" w:type="pct"/>
            <w:tcBorders>
              <w:top w:val="nil"/>
              <w:left w:val="nil"/>
              <w:bottom w:val="single" w:sz="4" w:space="0" w:color="auto"/>
              <w:right w:val="single" w:sz="4" w:space="0" w:color="auto"/>
            </w:tcBorders>
            <w:shd w:val="clear" w:color="auto" w:fill="auto"/>
            <w:noWrap/>
            <w:vAlign w:val="center"/>
            <w:hideMark/>
          </w:tcPr>
          <w:p w14:paraId="0AF30DE2"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8.231.142</w:t>
            </w:r>
          </w:p>
        </w:tc>
      </w:tr>
      <w:tr w:rsidR="00F00D26" w:rsidRPr="00F115C3" w14:paraId="1ED57CDD" w14:textId="77777777" w:rsidTr="00F45253">
        <w:trPr>
          <w:trHeight w:val="30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222FB3DC"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1B13CD99"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62" w:type="pct"/>
            <w:tcBorders>
              <w:top w:val="nil"/>
              <w:left w:val="nil"/>
              <w:bottom w:val="single" w:sz="4" w:space="0" w:color="auto"/>
              <w:right w:val="single" w:sz="4" w:space="0" w:color="auto"/>
            </w:tcBorders>
            <w:shd w:val="clear" w:color="auto" w:fill="auto"/>
            <w:noWrap/>
            <w:vAlign w:val="bottom"/>
            <w:hideMark/>
          </w:tcPr>
          <w:p w14:paraId="61C335C8"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638" w:type="pct"/>
            <w:tcBorders>
              <w:top w:val="nil"/>
              <w:left w:val="nil"/>
              <w:bottom w:val="single" w:sz="4" w:space="0" w:color="auto"/>
              <w:right w:val="single" w:sz="4" w:space="0" w:color="auto"/>
            </w:tcBorders>
            <w:shd w:val="clear" w:color="000000" w:fill="00B0F0"/>
            <w:noWrap/>
            <w:vAlign w:val="bottom"/>
            <w:hideMark/>
          </w:tcPr>
          <w:p w14:paraId="18F31346"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000000" w:fill="00B0F0"/>
            <w:noWrap/>
            <w:vAlign w:val="bottom"/>
            <w:hideMark/>
          </w:tcPr>
          <w:p w14:paraId="40372132"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77" w:type="pct"/>
            <w:tcBorders>
              <w:top w:val="nil"/>
              <w:left w:val="nil"/>
              <w:bottom w:val="single" w:sz="4" w:space="0" w:color="auto"/>
              <w:right w:val="single" w:sz="4" w:space="0" w:color="auto"/>
            </w:tcBorders>
            <w:shd w:val="clear" w:color="auto" w:fill="auto"/>
            <w:noWrap/>
            <w:vAlign w:val="bottom"/>
            <w:hideMark/>
          </w:tcPr>
          <w:p w14:paraId="1E0160EB" w14:textId="77777777" w:rsidR="00F00D26" w:rsidRPr="00F115C3" w:rsidRDefault="00F00D26" w:rsidP="00F45253">
            <w:pPr>
              <w:spacing w:after="0" w:line="240" w:lineRule="auto"/>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 </w:t>
            </w:r>
          </w:p>
        </w:tc>
        <w:tc>
          <w:tcPr>
            <w:tcW w:w="589" w:type="pct"/>
            <w:tcBorders>
              <w:top w:val="nil"/>
              <w:left w:val="nil"/>
              <w:bottom w:val="single" w:sz="4" w:space="0" w:color="auto"/>
              <w:right w:val="single" w:sz="4" w:space="0" w:color="auto"/>
            </w:tcBorders>
            <w:shd w:val="clear" w:color="auto" w:fill="auto"/>
            <w:noWrap/>
            <w:vAlign w:val="center"/>
            <w:hideMark/>
          </w:tcPr>
          <w:p w14:paraId="35EFE479"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39</w:t>
            </w:r>
          </w:p>
        </w:tc>
        <w:tc>
          <w:tcPr>
            <w:tcW w:w="710" w:type="pct"/>
            <w:tcBorders>
              <w:top w:val="nil"/>
              <w:left w:val="nil"/>
              <w:bottom w:val="single" w:sz="4" w:space="0" w:color="auto"/>
              <w:right w:val="single" w:sz="4" w:space="0" w:color="auto"/>
            </w:tcBorders>
            <w:shd w:val="clear" w:color="auto" w:fill="auto"/>
            <w:noWrap/>
            <w:vAlign w:val="center"/>
            <w:hideMark/>
          </w:tcPr>
          <w:p w14:paraId="4F1CCC46" w14:textId="77777777" w:rsidR="00F00D26" w:rsidRPr="00F115C3" w:rsidRDefault="00F00D26" w:rsidP="00F45253">
            <w:pPr>
              <w:spacing w:after="0" w:line="240" w:lineRule="auto"/>
              <w:jc w:val="right"/>
              <w:rPr>
                <w:rFonts w:ascii="Arial" w:eastAsia="Times New Roman" w:hAnsi="Arial" w:cs="Arial"/>
                <w:color w:val="000000"/>
                <w:sz w:val="18"/>
                <w:szCs w:val="18"/>
                <w:lang w:eastAsia="sl-SI"/>
              </w:rPr>
            </w:pPr>
            <w:r w:rsidRPr="00F115C3">
              <w:rPr>
                <w:rFonts w:ascii="Arial" w:eastAsia="Times New Roman" w:hAnsi="Arial" w:cs="Arial"/>
                <w:color w:val="000000"/>
                <w:sz w:val="18"/>
                <w:szCs w:val="18"/>
                <w:lang w:eastAsia="sl-SI"/>
              </w:rPr>
              <w:t>7.015.248</w:t>
            </w:r>
          </w:p>
        </w:tc>
      </w:tr>
    </w:tbl>
    <w:p w14:paraId="243307C4" w14:textId="77777777" w:rsidR="00F00D26" w:rsidRDefault="00F00D26" w:rsidP="00072A69">
      <w:pPr>
        <w:spacing w:before="120" w:after="120" w:line="240" w:lineRule="auto"/>
        <w:jc w:val="both"/>
        <w:rPr>
          <w:rFonts w:ascii="Arial" w:hAnsi="Arial" w:cs="Arial"/>
          <w:sz w:val="20"/>
        </w:rPr>
      </w:pPr>
    </w:p>
    <w:p w14:paraId="3EF65B2F" w14:textId="28EC35CD" w:rsidR="00072A69" w:rsidRPr="00BD311C" w:rsidRDefault="00072A69" w:rsidP="00072A69">
      <w:pPr>
        <w:spacing w:before="120" w:after="120" w:line="240" w:lineRule="auto"/>
        <w:jc w:val="both"/>
        <w:rPr>
          <w:rFonts w:ascii="Arial" w:hAnsi="Arial" w:cs="Arial"/>
          <w:sz w:val="20"/>
        </w:rPr>
      </w:pPr>
      <w:r w:rsidRPr="00BD311C">
        <w:rPr>
          <w:rFonts w:ascii="Arial" w:hAnsi="Arial" w:cs="Arial"/>
          <w:sz w:val="20"/>
        </w:rPr>
        <w:t>Preglednica 10</w:t>
      </w:r>
      <w:r w:rsidR="00F00D26">
        <w:rPr>
          <w:rFonts w:ascii="Arial" w:hAnsi="Arial" w:cs="Arial"/>
          <w:sz w:val="20"/>
        </w:rPr>
        <w:t>5</w:t>
      </w:r>
      <w:r w:rsidRPr="00BD311C">
        <w:rPr>
          <w:rFonts w:ascii="Arial" w:hAnsi="Arial" w:cs="Arial"/>
          <w:sz w:val="20"/>
        </w:rPr>
        <w:t xml:space="preserve">: Naročniki glede na kategorijo pri javnih naročilih, v katerih so bili upoštevani </w:t>
      </w:r>
      <w:proofErr w:type="spellStart"/>
      <w:r w:rsidRPr="00BD311C">
        <w:rPr>
          <w:rFonts w:ascii="Arial" w:hAnsi="Arial" w:cs="Arial"/>
          <w:sz w:val="20"/>
        </w:rPr>
        <w:t>okoljski</w:t>
      </w:r>
      <w:proofErr w:type="spellEnd"/>
      <w:r w:rsidRPr="00BD311C">
        <w:rPr>
          <w:rFonts w:ascii="Arial" w:hAnsi="Arial" w:cs="Arial"/>
          <w:sz w:val="20"/>
        </w:rPr>
        <w:t xml:space="preserve"> vidiki</w:t>
      </w:r>
      <w:bookmarkEnd w:id="110"/>
      <w:bookmarkEnd w:id="111"/>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5"/>
        <w:gridCol w:w="710"/>
        <w:gridCol w:w="1136"/>
        <w:gridCol w:w="991"/>
        <w:gridCol w:w="991"/>
        <w:gridCol w:w="850"/>
        <w:gridCol w:w="1276"/>
        <w:gridCol w:w="854"/>
        <w:gridCol w:w="839"/>
      </w:tblGrid>
      <w:tr w:rsidR="00072A69" w:rsidRPr="00602492" w14:paraId="501E0CBE" w14:textId="77777777" w:rsidTr="00AC1F17">
        <w:trPr>
          <w:trHeight w:val="1350"/>
        </w:trPr>
        <w:tc>
          <w:tcPr>
            <w:tcW w:w="780" w:type="pct"/>
            <w:shd w:val="clear" w:color="000000" w:fill="EDEDED"/>
            <w:vAlign w:val="center"/>
            <w:hideMark/>
          </w:tcPr>
          <w:p w14:paraId="0C1501C7"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Kategorija naročnika</w:t>
            </w:r>
          </w:p>
        </w:tc>
        <w:tc>
          <w:tcPr>
            <w:tcW w:w="392" w:type="pct"/>
            <w:shd w:val="clear" w:color="000000" w:fill="EDEDED"/>
            <w:vAlign w:val="center"/>
            <w:hideMark/>
          </w:tcPr>
          <w:p w14:paraId="1CF1F1C2"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Št. naročil</w:t>
            </w:r>
          </w:p>
        </w:tc>
        <w:tc>
          <w:tcPr>
            <w:tcW w:w="627" w:type="pct"/>
            <w:shd w:val="clear" w:color="000000" w:fill="EDEDED"/>
            <w:vAlign w:val="center"/>
            <w:hideMark/>
          </w:tcPr>
          <w:p w14:paraId="08D45760"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Pogodbena vrednost</w:t>
            </w:r>
          </w:p>
        </w:tc>
        <w:tc>
          <w:tcPr>
            <w:tcW w:w="547" w:type="pct"/>
            <w:shd w:val="clear" w:color="000000" w:fill="EDEDED"/>
            <w:vAlign w:val="center"/>
            <w:hideMark/>
          </w:tcPr>
          <w:p w14:paraId="5528C4AE"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 xml:space="preserve">Delež v št. </w:t>
            </w:r>
            <w:proofErr w:type="spellStart"/>
            <w:r w:rsidRPr="00602492">
              <w:rPr>
                <w:rFonts w:ascii="Arial" w:eastAsia="Times New Roman" w:hAnsi="Arial" w:cs="Arial"/>
                <w:color w:val="000000"/>
                <w:sz w:val="16"/>
                <w:szCs w:val="16"/>
                <w:lang w:eastAsia="sl-SI"/>
              </w:rPr>
              <w:t>ZeJN</w:t>
            </w:r>
            <w:proofErr w:type="spellEnd"/>
          </w:p>
        </w:tc>
        <w:tc>
          <w:tcPr>
            <w:tcW w:w="547" w:type="pct"/>
            <w:shd w:val="clear" w:color="000000" w:fill="EDEDED"/>
            <w:vAlign w:val="center"/>
            <w:hideMark/>
          </w:tcPr>
          <w:p w14:paraId="180E3A01"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 xml:space="preserve">Delež v vrednosti </w:t>
            </w:r>
            <w:proofErr w:type="spellStart"/>
            <w:r w:rsidRPr="00602492">
              <w:rPr>
                <w:rFonts w:ascii="Arial" w:eastAsia="Times New Roman" w:hAnsi="Arial" w:cs="Arial"/>
                <w:color w:val="000000"/>
                <w:sz w:val="16"/>
                <w:szCs w:val="16"/>
                <w:lang w:eastAsia="sl-SI"/>
              </w:rPr>
              <w:t>ZeJN</w:t>
            </w:r>
            <w:proofErr w:type="spellEnd"/>
          </w:p>
        </w:tc>
        <w:tc>
          <w:tcPr>
            <w:tcW w:w="469" w:type="pct"/>
            <w:shd w:val="clear" w:color="000000" w:fill="EDEDED"/>
            <w:vAlign w:val="center"/>
            <w:hideMark/>
          </w:tcPr>
          <w:p w14:paraId="74D3F653"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Št. vseh naročil kategorije</w:t>
            </w:r>
          </w:p>
        </w:tc>
        <w:tc>
          <w:tcPr>
            <w:tcW w:w="704" w:type="pct"/>
            <w:shd w:val="clear" w:color="000000" w:fill="EDEDED"/>
            <w:vAlign w:val="center"/>
            <w:hideMark/>
          </w:tcPr>
          <w:p w14:paraId="029DD6AD"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Vrednost vseh naročil kategorije</w:t>
            </w:r>
          </w:p>
        </w:tc>
        <w:tc>
          <w:tcPr>
            <w:tcW w:w="471" w:type="pct"/>
            <w:shd w:val="clear" w:color="000000" w:fill="EDEDED"/>
            <w:vAlign w:val="center"/>
            <w:hideMark/>
          </w:tcPr>
          <w:p w14:paraId="7C415C86"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 xml:space="preserve">Delež v št. </w:t>
            </w:r>
            <w:proofErr w:type="spellStart"/>
            <w:r w:rsidRPr="00602492">
              <w:rPr>
                <w:rFonts w:ascii="Arial" w:eastAsia="Times New Roman" w:hAnsi="Arial" w:cs="Arial"/>
                <w:color w:val="000000"/>
                <w:sz w:val="16"/>
                <w:szCs w:val="16"/>
                <w:lang w:eastAsia="sl-SI"/>
              </w:rPr>
              <w:t>ZeJN</w:t>
            </w:r>
            <w:proofErr w:type="spellEnd"/>
            <w:r w:rsidRPr="00602492">
              <w:rPr>
                <w:rFonts w:ascii="Arial" w:eastAsia="Times New Roman" w:hAnsi="Arial" w:cs="Arial"/>
                <w:color w:val="000000"/>
                <w:sz w:val="16"/>
                <w:szCs w:val="16"/>
                <w:lang w:eastAsia="sl-SI"/>
              </w:rPr>
              <w:t xml:space="preserve"> glede na vsa naročila kategorije</w:t>
            </w:r>
          </w:p>
        </w:tc>
        <w:tc>
          <w:tcPr>
            <w:tcW w:w="464" w:type="pct"/>
            <w:shd w:val="clear" w:color="000000" w:fill="EDEDED"/>
            <w:vAlign w:val="center"/>
            <w:hideMark/>
          </w:tcPr>
          <w:p w14:paraId="72876AED" w14:textId="77777777" w:rsidR="00072A69" w:rsidRPr="00602492" w:rsidRDefault="00072A69" w:rsidP="00AC1F17">
            <w:pPr>
              <w:spacing w:after="0" w:line="240" w:lineRule="auto"/>
              <w:jc w:val="center"/>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 xml:space="preserve">Delež v vrednosti </w:t>
            </w:r>
            <w:proofErr w:type="spellStart"/>
            <w:r w:rsidRPr="00602492">
              <w:rPr>
                <w:rFonts w:ascii="Arial" w:eastAsia="Times New Roman" w:hAnsi="Arial" w:cs="Arial"/>
                <w:color w:val="000000"/>
                <w:sz w:val="16"/>
                <w:szCs w:val="16"/>
                <w:lang w:eastAsia="sl-SI"/>
              </w:rPr>
              <w:t>ZeJN</w:t>
            </w:r>
            <w:proofErr w:type="spellEnd"/>
            <w:r w:rsidRPr="00602492">
              <w:rPr>
                <w:rFonts w:ascii="Arial" w:eastAsia="Times New Roman" w:hAnsi="Arial" w:cs="Arial"/>
                <w:color w:val="000000"/>
                <w:sz w:val="16"/>
                <w:szCs w:val="16"/>
                <w:lang w:eastAsia="sl-SI"/>
              </w:rPr>
              <w:t xml:space="preserve"> glede na vsa naročila kategorije</w:t>
            </w:r>
          </w:p>
        </w:tc>
      </w:tr>
      <w:tr w:rsidR="00072A69" w:rsidRPr="00602492" w14:paraId="4546D8AC" w14:textId="77777777" w:rsidTr="00AC1F17">
        <w:trPr>
          <w:trHeight w:val="300"/>
        </w:trPr>
        <w:tc>
          <w:tcPr>
            <w:tcW w:w="780" w:type="pct"/>
            <w:shd w:val="clear" w:color="auto" w:fill="auto"/>
            <w:vAlign w:val="center"/>
            <w:hideMark/>
          </w:tcPr>
          <w:p w14:paraId="2BDBBE99"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Organi RS</w:t>
            </w:r>
          </w:p>
        </w:tc>
        <w:tc>
          <w:tcPr>
            <w:tcW w:w="392" w:type="pct"/>
            <w:shd w:val="clear" w:color="auto" w:fill="auto"/>
            <w:vAlign w:val="center"/>
            <w:hideMark/>
          </w:tcPr>
          <w:p w14:paraId="282BCACD"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306</w:t>
            </w:r>
          </w:p>
        </w:tc>
        <w:tc>
          <w:tcPr>
            <w:tcW w:w="627" w:type="pct"/>
            <w:shd w:val="clear" w:color="auto" w:fill="auto"/>
            <w:vAlign w:val="center"/>
            <w:hideMark/>
          </w:tcPr>
          <w:p w14:paraId="330FDE6F"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51.774.693</w:t>
            </w:r>
          </w:p>
        </w:tc>
        <w:tc>
          <w:tcPr>
            <w:tcW w:w="547" w:type="pct"/>
            <w:shd w:val="clear" w:color="auto" w:fill="auto"/>
            <w:vAlign w:val="center"/>
            <w:hideMark/>
          </w:tcPr>
          <w:p w14:paraId="02D51880"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5,30</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4419A79D"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9,26</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274005F6"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1.916</w:t>
            </w:r>
          </w:p>
        </w:tc>
        <w:tc>
          <w:tcPr>
            <w:tcW w:w="704" w:type="pct"/>
            <w:shd w:val="clear" w:color="auto" w:fill="auto"/>
            <w:vAlign w:val="center"/>
            <w:hideMark/>
          </w:tcPr>
          <w:p w14:paraId="5E316344"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645.442.366</w:t>
            </w:r>
          </w:p>
        </w:tc>
        <w:tc>
          <w:tcPr>
            <w:tcW w:w="471" w:type="pct"/>
            <w:shd w:val="clear" w:color="auto" w:fill="auto"/>
            <w:noWrap/>
            <w:vAlign w:val="center"/>
            <w:hideMark/>
          </w:tcPr>
          <w:p w14:paraId="27BA0AAF"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15,97 %</w:t>
            </w:r>
          </w:p>
        </w:tc>
        <w:tc>
          <w:tcPr>
            <w:tcW w:w="464" w:type="pct"/>
            <w:shd w:val="clear" w:color="auto" w:fill="auto"/>
            <w:noWrap/>
            <w:vAlign w:val="center"/>
            <w:hideMark/>
          </w:tcPr>
          <w:p w14:paraId="2738B364"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8,02 %</w:t>
            </w:r>
          </w:p>
        </w:tc>
      </w:tr>
      <w:tr w:rsidR="00072A69" w:rsidRPr="00602492" w14:paraId="6922F61A" w14:textId="77777777" w:rsidTr="00AC1F17">
        <w:trPr>
          <w:trHeight w:val="300"/>
        </w:trPr>
        <w:tc>
          <w:tcPr>
            <w:tcW w:w="780" w:type="pct"/>
            <w:shd w:val="clear" w:color="auto" w:fill="auto"/>
            <w:noWrap/>
            <w:vAlign w:val="center"/>
            <w:hideMark/>
          </w:tcPr>
          <w:p w14:paraId="49F3140D"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Samoupravne lokalne skupnosti</w:t>
            </w:r>
          </w:p>
        </w:tc>
        <w:tc>
          <w:tcPr>
            <w:tcW w:w="392" w:type="pct"/>
            <w:shd w:val="clear" w:color="auto" w:fill="auto"/>
            <w:vAlign w:val="center"/>
            <w:hideMark/>
          </w:tcPr>
          <w:p w14:paraId="0D552133"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541</w:t>
            </w:r>
          </w:p>
        </w:tc>
        <w:tc>
          <w:tcPr>
            <w:tcW w:w="627" w:type="pct"/>
            <w:shd w:val="clear" w:color="auto" w:fill="auto"/>
            <w:vAlign w:val="center"/>
            <w:hideMark/>
          </w:tcPr>
          <w:p w14:paraId="15E75947"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194.632.587</w:t>
            </w:r>
          </w:p>
        </w:tc>
        <w:tc>
          <w:tcPr>
            <w:tcW w:w="547" w:type="pct"/>
            <w:shd w:val="clear" w:color="auto" w:fill="auto"/>
            <w:vAlign w:val="center"/>
            <w:hideMark/>
          </w:tcPr>
          <w:p w14:paraId="6758B1A9"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9,37</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50A49B6D"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34,79</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55EB882D"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1.891</w:t>
            </w:r>
          </w:p>
        </w:tc>
        <w:tc>
          <w:tcPr>
            <w:tcW w:w="704" w:type="pct"/>
            <w:shd w:val="clear" w:color="auto" w:fill="auto"/>
            <w:vAlign w:val="center"/>
            <w:hideMark/>
          </w:tcPr>
          <w:p w14:paraId="47D40F8C"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471.649.958</w:t>
            </w:r>
          </w:p>
        </w:tc>
        <w:tc>
          <w:tcPr>
            <w:tcW w:w="471" w:type="pct"/>
            <w:shd w:val="clear" w:color="auto" w:fill="auto"/>
            <w:noWrap/>
            <w:vAlign w:val="center"/>
            <w:hideMark/>
          </w:tcPr>
          <w:p w14:paraId="2D654899"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28,61 %</w:t>
            </w:r>
          </w:p>
        </w:tc>
        <w:tc>
          <w:tcPr>
            <w:tcW w:w="464" w:type="pct"/>
            <w:shd w:val="clear" w:color="auto" w:fill="auto"/>
            <w:noWrap/>
            <w:vAlign w:val="center"/>
            <w:hideMark/>
          </w:tcPr>
          <w:p w14:paraId="219EEE26"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41,27 %</w:t>
            </w:r>
          </w:p>
        </w:tc>
      </w:tr>
      <w:tr w:rsidR="00072A69" w:rsidRPr="00602492" w14:paraId="59B2B87D" w14:textId="77777777" w:rsidTr="00AC1F17">
        <w:trPr>
          <w:trHeight w:val="300"/>
        </w:trPr>
        <w:tc>
          <w:tcPr>
            <w:tcW w:w="780" w:type="pct"/>
            <w:shd w:val="clear" w:color="auto" w:fill="auto"/>
            <w:vAlign w:val="center"/>
            <w:hideMark/>
          </w:tcPr>
          <w:p w14:paraId="7D483C87"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Javni skladi</w:t>
            </w:r>
          </w:p>
        </w:tc>
        <w:tc>
          <w:tcPr>
            <w:tcW w:w="392" w:type="pct"/>
            <w:shd w:val="clear" w:color="auto" w:fill="auto"/>
            <w:vAlign w:val="center"/>
            <w:hideMark/>
          </w:tcPr>
          <w:p w14:paraId="5746F543"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11</w:t>
            </w:r>
          </w:p>
        </w:tc>
        <w:tc>
          <w:tcPr>
            <w:tcW w:w="627" w:type="pct"/>
            <w:shd w:val="clear" w:color="auto" w:fill="auto"/>
            <w:vAlign w:val="center"/>
            <w:hideMark/>
          </w:tcPr>
          <w:p w14:paraId="583BECAC"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1.416.213</w:t>
            </w:r>
          </w:p>
        </w:tc>
        <w:tc>
          <w:tcPr>
            <w:tcW w:w="547" w:type="pct"/>
            <w:shd w:val="clear" w:color="auto" w:fill="auto"/>
            <w:vAlign w:val="center"/>
            <w:hideMark/>
          </w:tcPr>
          <w:p w14:paraId="0DF35A74"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0,19</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4BE1D10F"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0,25</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311DF9C7"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59</w:t>
            </w:r>
          </w:p>
        </w:tc>
        <w:tc>
          <w:tcPr>
            <w:tcW w:w="704" w:type="pct"/>
            <w:shd w:val="clear" w:color="auto" w:fill="auto"/>
            <w:vAlign w:val="center"/>
            <w:hideMark/>
          </w:tcPr>
          <w:p w14:paraId="66040C26"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12.876.310</w:t>
            </w:r>
          </w:p>
        </w:tc>
        <w:tc>
          <w:tcPr>
            <w:tcW w:w="471" w:type="pct"/>
            <w:shd w:val="clear" w:color="auto" w:fill="auto"/>
            <w:noWrap/>
            <w:vAlign w:val="center"/>
            <w:hideMark/>
          </w:tcPr>
          <w:p w14:paraId="44530B3C"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18,64 %</w:t>
            </w:r>
          </w:p>
        </w:tc>
        <w:tc>
          <w:tcPr>
            <w:tcW w:w="464" w:type="pct"/>
            <w:shd w:val="clear" w:color="auto" w:fill="auto"/>
            <w:noWrap/>
            <w:vAlign w:val="center"/>
            <w:hideMark/>
          </w:tcPr>
          <w:p w14:paraId="40E2D92F"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11,00 %</w:t>
            </w:r>
          </w:p>
        </w:tc>
      </w:tr>
      <w:tr w:rsidR="00072A69" w:rsidRPr="00602492" w14:paraId="0D8B0EB3" w14:textId="77777777" w:rsidTr="00AC1F17">
        <w:trPr>
          <w:trHeight w:val="300"/>
        </w:trPr>
        <w:tc>
          <w:tcPr>
            <w:tcW w:w="780" w:type="pct"/>
            <w:shd w:val="clear" w:color="auto" w:fill="auto"/>
            <w:vAlign w:val="center"/>
            <w:hideMark/>
          </w:tcPr>
          <w:p w14:paraId="385C7A23"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Javne agencije</w:t>
            </w:r>
          </w:p>
        </w:tc>
        <w:tc>
          <w:tcPr>
            <w:tcW w:w="392" w:type="pct"/>
            <w:shd w:val="clear" w:color="auto" w:fill="auto"/>
            <w:vAlign w:val="center"/>
            <w:hideMark/>
          </w:tcPr>
          <w:p w14:paraId="4EC66BAD"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10</w:t>
            </w:r>
          </w:p>
        </w:tc>
        <w:tc>
          <w:tcPr>
            <w:tcW w:w="627" w:type="pct"/>
            <w:shd w:val="clear" w:color="auto" w:fill="auto"/>
            <w:vAlign w:val="center"/>
            <w:hideMark/>
          </w:tcPr>
          <w:p w14:paraId="2D1DB952"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663.891</w:t>
            </w:r>
          </w:p>
        </w:tc>
        <w:tc>
          <w:tcPr>
            <w:tcW w:w="547" w:type="pct"/>
            <w:shd w:val="clear" w:color="auto" w:fill="auto"/>
            <w:vAlign w:val="center"/>
            <w:hideMark/>
          </w:tcPr>
          <w:p w14:paraId="685B40B9"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0,17</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0FCEF36B"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0,12</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115D0D2A"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119</w:t>
            </w:r>
          </w:p>
        </w:tc>
        <w:tc>
          <w:tcPr>
            <w:tcW w:w="704" w:type="pct"/>
            <w:shd w:val="clear" w:color="auto" w:fill="auto"/>
            <w:vAlign w:val="center"/>
            <w:hideMark/>
          </w:tcPr>
          <w:p w14:paraId="39CECE10"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7.749.458</w:t>
            </w:r>
          </w:p>
        </w:tc>
        <w:tc>
          <w:tcPr>
            <w:tcW w:w="471" w:type="pct"/>
            <w:shd w:val="clear" w:color="auto" w:fill="auto"/>
            <w:noWrap/>
            <w:vAlign w:val="center"/>
            <w:hideMark/>
          </w:tcPr>
          <w:p w14:paraId="4DC4126E"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8,40 %</w:t>
            </w:r>
          </w:p>
        </w:tc>
        <w:tc>
          <w:tcPr>
            <w:tcW w:w="464" w:type="pct"/>
            <w:shd w:val="clear" w:color="auto" w:fill="auto"/>
            <w:noWrap/>
            <w:vAlign w:val="center"/>
            <w:hideMark/>
          </w:tcPr>
          <w:p w14:paraId="7603DEE6"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8,57 %</w:t>
            </w:r>
          </w:p>
        </w:tc>
      </w:tr>
      <w:tr w:rsidR="00072A69" w:rsidRPr="00602492" w14:paraId="54FAD46B" w14:textId="77777777" w:rsidTr="00AC1F17">
        <w:trPr>
          <w:trHeight w:val="300"/>
        </w:trPr>
        <w:tc>
          <w:tcPr>
            <w:tcW w:w="780" w:type="pct"/>
            <w:shd w:val="clear" w:color="auto" w:fill="auto"/>
            <w:vAlign w:val="center"/>
            <w:hideMark/>
          </w:tcPr>
          <w:p w14:paraId="2ABFA74B"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Javni zavodi</w:t>
            </w:r>
          </w:p>
        </w:tc>
        <w:tc>
          <w:tcPr>
            <w:tcW w:w="392" w:type="pct"/>
            <w:shd w:val="clear" w:color="auto" w:fill="auto"/>
            <w:vAlign w:val="center"/>
            <w:hideMark/>
          </w:tcPr>
          <w:p w14:paraId="1581BFEA"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4.433</w:t>
            </w:r>
          </w:p>
        </w:tc>
        <w:tc>
          <w:tcPr>
            <w:tcW w:w="627" w:type="pct"/>
            <w:shd w:val="clear" w:color="auto" w:fill="auto"/>
            <w:vAlign w:val="center"/>
            <w:hideMark/>
          </w:tcPr>
          <w:p w14:paraId="2DAC3B6A"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178.025.170</w:t>
            </w:r>
          </w:p>
        </w:tc>
        <w:tc>
          <w:tcPr>
            <w:tcW w:w="547" w:type="pct"/>
            <w:shd w:val="clear" w:color="auto" w:fill="auto"/>
            <w:vAlign w:val="center"/>
            <w:hideMark/>
          </w:tcPr>
          <w:p w14:paraId="43702F51"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76,82</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41D42026"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31,82</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01E236F6"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9.738</w:t>
            </w:r>
          </w:p>
        </w:tc>
        <w:tc>
          <w:tcPr>
            <w:tcW w:w="704" w:type="pct"/>
            <w:shd w:val="clear" w:color="auto" w:fill="auto"/>
            <w:vAlign w:val="center"/>
            <w:hideMark/>
          </w:tcPr>
          <w:p w14:paraId="5E633715"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649.914.411</w:t>
            </w:r>
          </w:p>
        </w:tc>
        <w:tc>
          <w:tcPr>
            <w:tcW w:w="471" w:type="pct"/>
            <w:shd w:val="clear" w:color="auto" w:fill="auto"/>
            <w:noWrap/>
            <w:vAlign w:val="center"/>
            <w:hideMark/>
          </w:tcPr>
          <w:p w14:paraId="1F4517EB"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45,52 %</w:t>
            </w:r>
          </w:p>
        </w:tc>
        <w:tc>
          <w:tcPr>
            <w:tcW w:w="464" w:type="pct"/>
            <w:shd w:val="clear" w:color="auto" w:fill="auto"/>
            <w:noWrap/>
            <w:vAlign w:val="center"/>
            <w:hideMark/>
          </w:tcPr>
          <w:p w14:paraId="38B36372"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27,39 %</w:t>
            </w:r>
          </w:p>
        </w:tc>
      </w:tr>
      <w:tr w:rsidR="00072A69" w:rsidRPr="00602492" w14:paraId="1F430AB4" w14:textId="77777777" w:rsidTr="00AC1F17">
        <w:trPr>
          <w:trHeight w:val="300"/>
        </w:trPr>
        <w:tc>
          <w:tcPr>
            <w:tcW w:w="780" w:type="pct"/>
            <w:shd w:val="clear" w:color="auto" w:fill="auto"/>
            <w:vAlign w:val="center"/>
            <w:hideMark/>
          </w:tcPr>
          <w:p w14:paraId="35B3FC11"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Javni gospodarski zavodi</w:t>
            </w:r>
          </w:p>
        </w:tc>
        <w:tc>
          <w:tcPr>
            <w:tcW w:w="392" w:type="pct"/>
            <w:shd w:val="clear" w:color="auto" w:fill="auto"/>
            <w:vAlign w:val="center"/>
            <w:hideMark/>
          </w:tcPr>
          <w:p w14:paraId="54D9E0EE"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27</w:t>
            </w:r>
          </w:p>
        </w:tc>
        <w:tc>
          <w:tcPr>
            <w:tcW w:w="627" w:type="pct"/>
            <w:shd w:val="clear" w:color="auto" w:fill="auto"/>
            <w:vAlign w:val="center"/>
            <w:hideMark/>
          </w:tcPr>
          <w:p w14:paraId="4596F29C"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3.271.602</w:t>
            </w:r>
          </w:p>
        </w:tc>
        <w:tc>
          <w:tcPr>
            <w:tcW w:w="547" w:type="pct"/>
            <w:shd w:val="clear" w:color="auto" w:fill="auto"/>
            <w:vAlign w:val="center"/>
            <w:hideMark/>
          </w:tcPr>
          <w:p w14:paraId="4AE636F1"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0,47</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7CD6A772"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0,58</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51E2AFD5"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86</w:t>
            </w:r>
          </w:p>
        </w:tc>
        <w:tc>
          <w:tcPr>
            <w:tcW w:w="704" w:type="pct"/>
            <w:shd w:val="clear" w:color="auto" w:fill="auto"/>
            <w:vAlign w:val="center"/>
            <w:hideMark/>
          </w:tcPr>
          <w:p w14:paraId="00805C1E"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7.392.932</w:t>
            </w:r>
          </w:p>
        </w:tc>
        <w:tc>
          <w:tcPr>
            <w:tcW w:w="471" w:type="pct"/>
            <w:shd w:val="clear" w:color="auto" w:fill="auto"/>
            <w:noWrap/>
            <w:vAlign w:val="center"/>
            <w:hideMark/>
          </w:tcPr>
          <w:p w14:paraId="575AA74A"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31,40 %</w:t>
            </w:r>
          </w:p>
        </w:tc>
        <w:tc>
          <w:tcPr>
            <w:tcW w:w="464" w:type="pct"/>
            <w:shd w:val="clear" w:color="auto" w:fill="auto"/>
            <w:noWrap/>
            <w:vAlign w:val="center"/>
            <w:hideMark/>
          </w:tcPr>
          <w:p w14:paraId="4BD0AB28"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44,25 %</w:t>
            </w:r>
          </w:p>
        </w:tc>
      </w:tr>
      <w:tr w:rsidR="00072A69" w:rsidRPr="00602492" w14:paraId="5377E44B" w14:textId="77777777" w:rsidTr="00AC1F17">
        <w:trPr>
          <w:trHeight w:val="300"/>
        </w:trPr>
        <w:tc>
          <w:tcPr>
            <w:tcW w:w="780" w:type="pct"/>
            <w:shd w:val="clear" w:color="auto" w:fill="auto"/>
            <w:noWrap/>
            <w:vAlign w:val="center"/>
            <w:hideMark/>
          </w:tcPr>
          <w:p w14:paraId="69FE67D1"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Drugi naročniki (osebe javnega prava, javna podjetja, subjekt s posebnimi infrastrukturnimi pravicami</w:t>
            </w:r>
          </w:p>
        </w:tc>
        <w:tc>
          <w:tcPr>
            <w:tcW w:w="392" w:type="pct"/>
            <w:shd w:val="clear" w:color="auto" w:fill="auto"/>
            <w:vAlign w:val="center"/>
            <w:hideMark/>
          </w:tcPr>
          <w:p w14:paraId="5FE1A141"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436</w:t>
            </w:r>
          </w:p>
        </w:tc>
        <w:tc>
          <w:tcPr>
            <w:tcW w:w="627" w:type="pct"/>
            <w:shd w:val="clear" w:color="auto" w:fill="auto"/>
            <w:vAlign w:val="center"/>
            <w:hideMark/>
          </w:tcPr>
          <w:p w14:paraId="6DF41CC4"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128.647.958</w:t>
            </w:r>
          </w:p>
        </w:tc>
        <w:tc>
          <w:tcPr>
            <w:tcW w:w="547" w:type="pct"/>
            <w:shd w:val="clear" w:color="auto" w:fill="auto"/>
            <w:vAlign w:val="center"/>
            <w:hideMark/>
          </w:tcPr>
          <w:p w14:paraId="49008975"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7,56</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34A629E4"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23,00</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65A1E83E"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2.973</w:t>
            </w:r>
          </w:p>
        </w:tc>
        <w:tc>
          <w:tcPr>
            <w:tcW w:w="704" w:type="pct"/>
            <w:shd w:val="clear" w:color="auto" w:fill="auto"/>
            <w:vAlign w:val="center"/>
            <w:hideMark/>
          </w:tcPr>
          <w:p w14:paraId="0F577941"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1.107.367.319</w:t>
            </w:r>
          </w:p>
        </w:tc>
        <w:tc>
          <w:tcPr>
            <w:tcW w:w="471" w:type="pct"/>
            <w:shd w:val="clear" w:color="auto" w:fill="auto"/>
            <w:noWrap/>
            <w:vAlign w:val="center"/>
            <w:hideMark/>
          </w:tcPr>
          <w:p w14:paraId="29D36737"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14,67 %</w:t>
            </w:r>
          </w:p>
        </w:tc>
        <w:tc>
          <w:tcPr>
            <w:tcW w:w="464" w:type="pct"/>
            <w:shd w:val="clear" w:color="auto" w:fill="auto"/>
            <w:noWrap/>
            <w:vAlign w:val="center"/>
            <w:hideMark/>
          </w:tcPr>
          <w:p w14:paraId="2E2B7017"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11,62 %</w:t>
            </w:r>
          </w:p>
        </w:tc>
      </w:tr>
      <w:tr w:rsidR="00072A69" w:rsidRPr="00602492" w14:paraId="1FF14863" w14:textId="77777777" w:rsidTr="00AC1F17">
        <w:trPr>
          <w:trHeight w:val="300"/>
        </w:trPr>
        <w:tc>
          <w:tcPr>
            <w:tcW w:w="780" w:type="pct"/>
            <w:shd w:val="clear" w:color="auto" w:fill="auto"/>
            <w:vAlign w:val="center"/>
            <w:hideMark/>
          </w:tcPr>
          <w:p w14:paraId="397DE517" w14:textId="77777777" w:rsidR="00072A69" w:rsidRPr="00602492" w:rsidRDefault="00072A69" w:rsidP="00AC1F17">
            <w:pPr>
              <w:spacing w:after="0" w:line="240" w:lineRule="auto"/>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Razni subjekti</w:t>
            </w:r>
          </w:p>
        </w:tc>
        <w:tc>
          <w:tcPr>
            <w:tcW w:w="392" w:type="pct"/>
            <w:shd w:val="clear" w:color="auto" w:fill="auto"/>
            <w:vAlign w:val="center"/>
            <w:hideMark/>
          </w:tcPr>
          <w:p w14:paraId="2DCA8703"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7</w:t>
            </w:r>
          </w:p>
        </w:tc>
        <w:tc>
          <w:tcPr>
            <w:tcW w:w="627" w:type="pct"/>
            <w:shd w:val="clear" w:color="auto" w:fill="auto"/>
            <w:vAlign w:val="center"/>
            <w:hideMark/>
          </w:tcPr>
          <w:p w14:paraId="4DAA47E5"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961.602</w:t>
            </w:r>
          </w:p>
        </w:tc>
        <w:tc>
          <w:tcPr>
            <w:tcW w:w="547" w:type="pct"/>
            <w:shd w:val="clear" w:color="auto" w:fill="auto"/>
            <w:vAlign w:val="center"/>
            <w:hideMark/>
          </w:tcPr>
          <w:p w14:paraId="1894F2D0"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0,12</w:t>
            </w:r>
            <w:r>
              <w:rPr>
                <w:rFonts w:ascii="Arial" w:eastAsia="Times New Roman" w:hAnsi="Arial" w:cs="Arial"/>
                <w:color w:val="000000"/>
                <w:sz w:val="16"/>
                <w:szCs w:val="16"/>
                <w:lang w:eastAsia="sl-SI"/>
              </w:rPr>
              <w:t xml:space="preserve"> %</w:t>
            </w:r>
          </w:p>
        </w:tc>
        <w:tc>
          <w:tcPr>
            <w:tcW w:w="547" w:type="pct"/>
            <w:shd w:val="clear" w:color="auto" w:fill="auto"/>
            <w:vAlign w:val="center"/>
            <w:hideMark/>
          </w:tcPr>
          <w:p w14:paraId="2533C824"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0,17</w:t>
            </w:r>
            <w:r>
              <w:rPr>
                <w:rFonts w:ascii="Arial" w:eastAsia="Times New Roman" w:hAnsi="Arial" w:cs="Arial"/>
                <w:color w:val="000000"/>
                <w:sz w:val="16"/>
                <w:szCs w:val="16"/>
                <w:lang w:eastAsia="sl-SI"/>
              </w:rPr>
              <w:t xml:space="preserve"> %</w:t>
            </w:r>
          </w:p>
        </w:tc>
        <w:tc>
          <w:tcPr>
            <w:tcW w:w="469" w:type="pct"/>
            <w:shd w:val="clear" w:color="auto" w:fill="auto"/>
            <w:vAlign w:val="center"/>
            <w:hideMark/>
          </w:tcPr>
          <w:p w14:paraId="4E91D7DB"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83</w:t>
            </w:r>
          </w:p>
        </w:tc>
        <w:tc>
          <w:tcPr>
            <w:tcW w:w="704" w:type="pct"/>
            <w:shd w:val="clear" w:color="auto" w:fill="auto"/>
            <w:vAlign w:val="center"/>
            <w:hideMark/>
          </w:tcPr>
          <w:p w14:paraId="4C12D109"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16.201.855</w:t>
            </w:r>
          </w:p>
        </w:tc>
        <w:tc>
          <w:tcPr>
            <w:tcW w:w="471" w:type="pct"/>
            <w:shd w:val="clear" w:color="auto" w:fill="auto"/>
            <w:noWrap/>
            <w:vAlign w:val="center"/>
            <w:hideMark/>
          </w:tcPr>
          <w:p w14:paraId="08EA365E"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8,43 %</w:t>
            </w:r>
          </w:p>
        </w:tc>
        <w:tc>
          <w:tcPr>
            <w:tcW w:w="464" w:type="pct"/>
            <w:shd w:val="clear" w:color="auto" w:fill="auto"/>
            <w:noWrap/>
            <w:vAlign w:val="center"/>
            <w:hideMark/>
          </w:tcPr>
          <w:p w14:paraId="1C345D70" w14:textId="77777777" w:rsidR="00072A69" w:rsidRPr="00602492" w:rsidRDefault="00072A69" w:rsidP="00AC1F17">
            <w:pPr>
              <w:spacing w:after="0" w:line="240" w:lineRule="auto"/>
              <w:jc w:val="right"/>
              <w:rPr>
                <w:rFonts w:ascii="Arial" w:eastAsia="Times New Roman" w:hAnsi="Arial" w:cs="Arial"/>
                <w:color w:val="000000"/>
                <w:sz w:val="16"/>
                <w:szCs w:val="16"/>
                <w:lang w:eastAsia="sl-SI"/>
              </w:rPr>
            </w:pPr>
            <w:r w:rsidRPr="00602492">
              <w:rPr>
                <w:rFonts w:ascii="Arial" w:eastAsia="Times New Roman" w:hAnsi="Arial" w:cs="Arial"/>
                <w:color w:val="000000"/>
                <w:sz w:val="16"/>
                <w:szCs w:val="16"/>
                <w:lang w:eastAsia="sl-SI"/>
              </w:rPr>
              <w:t>5,94 %</w:t>
            </w:r>
          </w:p>
        </w:tc>
      </w:tr>
      <w:tr w:rsidR="00072A69" w:rsidRPr="00602492" w14:paraId="5A4A3475" w14:textId="77777777" w:rsidTr="00AC1F17">
        <w:trPr>
          <w:gridAfter w:val="2"/>
          <w:wAfter w:w="935" w:type="pct"/>
          <w:trHeight w:val="300"/>
        </w:trPr>
        <w:tc>
          <w:tcPr>
            <w:tcW w:w="780" w:type="pct"/>
            <w:shd w:val="clear" w:color="auto" w:fill="E7E6E6" w:themeFill="background2"/>
            <w:noWrap/>
            <w:vAlign w:val="center"/>
            <w:hideMark/>
          </w:tcPr>
          <w:p w14:paraId="0672C85F" w14:textId="77777777" w:rsidR="00072A69" w:rsidRPr="00602492" w:rsidRDefault="00072A69" w:rsidP="00AC1F17">
            <w:pPr>
              <w:spacing w:after="0" w:line="240" w:lineRule="auto"/>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Skupaj</w:t>
            </w:r>
          </w:p>
        </w:tc>
        <w:tc>
          <w:tcPr>
            <w:tcW w:w="392" w:type="pct"/>
            <w:shd w:val="clear" w:color="auto" w:fill="E7E6E6" w:themeFill="background2"/>
            <w:noWrap/>
            <w:vAlign w:val="center"/>
            <w:hideMark/>
          </w:tcPr>
          <w:p w14:paraId="7C7DA625" w14:textId="77777777" w:rsidR="00072A69" w:rsidRPr="00602492" w:rsidRDefault="00072A69" w:rsidP="00AC1F17">
            <w:pPr>
              <w:spacing w:after="0" w:line="240" w:lineRule="auto"/>
              <w:jc w:val="right"/>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5.771</w:t>
            </w:r>
          </w:p>
        </w:tc>
        <w:tc>
          <w:tcPr>
            <w:tcW w:w="627" w:type="pct"/>
            <w:shd w:val="clear" w:color="auto" w:fill="E7E6E6" w:themeFill="background2"/>
            <w:noWrap/>
            <w:vAlign w:val="center"/>
            <w:hideMark/>
          </w:tcPr>
          <w:p w14:paraId="7B5BDE23" w14:textId="77777777" w:rsidR="00072A69" w:rsidRPr="00602492" w:rsidRDefault="00072A69" w:rsidP="00AC1F17">
            <w:pPr>
              <w:spacing w:after="0" w:line="240" w:lineRule="auto"/>
              <w:jc w:val="right"/>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559.393.716</w:t>
            </w:r>
          </w:p>
        </w:tc>
        <w:tc>
          <w:tcPr>
            <w:tcW w:w="547" w:type="pct"/>
            <w:shd w:val="clear" w:color="auto" w:fill="E7E6E6" w:themeFill="background2"/>
            <w:vAlign w:val="center"/>
            <w:hideMark/>
          </w:tcPr>
          <w:p w14:paraId="0E65D8EF" w14:textId="77777777" w:rsidR="00072A69" w:rsidRPr="00602492" w:rsidRDefault="00072A69" w:rsidP="00AC1F17">
            <w:pPr>
              <w:spacing w:after="0" w:line="240" w:lineRule="auto"/>
              <w:jc w:val="right"/>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100,00</w:t>
            </w:r>
            <w:r>
              <w:rPr>
                <w:rFonts w:ascii="Arial" w:eastAsia="Times New Roman" w:hAnsi="Arial" w:cs="Arial"/>
                <w:b/>
                <w:bCs/>
                <w:color w:val="000000"/>
                <w:sz w:val="16"/>
                <w:szCs w:val="16"/>
                <w:lang w:eastAsia="sl-SI"/>
              </w:rPr>
              <w:t xml:space="preserve"> %</w:t>
            </w:r>
          </w:p>
        </w:tc>
        <w:tc>
          <w:tcPr>
            <w:tcW w:w="547" w:type="pct"/>
            <w:shd w:val="clear" w:color="auto" w:fill="E7E6E6" w:themeFill="background2"/>
            <w:vAlign w:val="center"/>
            <w:hideMark/>
          </w:tcPr>
          <w:p w14:paraId="743FF1CF" w14:textId="77777777" w:rsidR="00072A69" w:rsidRPr="00602492" w:rsidRDefault="00072A69" w:rsidP="00AC1F17">
            <w:pPr>
              <w:spacing w:after="0" w:line="240" w:lineRule="auto"/>
              <w:jc w:val="right"/>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100,00</w:t>
            </w:r>
            <w:r>
              <w:rPr>
                <w:rFonts w:ascii="Arial" w:eastAsia="Times New Roman" w:hAnsi="Arial" w:cs="Arial"/>
                <w:b/>
                <w:bCs/>
                <w:color w:val="000000"/>
                <w:sz w:val="16"/>
                <w:szCs w:val="16"/>
                <w:lang w:eastAsia="sl-SI"/>
              </w:rPr>
              <w:t xml:space="preserve"> %</w:t>
            </w:r>
          </w:p>
        </w:tc>
        <w:tc>
          <w:tcPr>
            <w:tcW w:w="469" w:type="pct"/>
            <w:shd w:val="clear" w:color="auto" w:fill="E7E6E6" w:themeFill="background2"/>
            <w:noWrap/>
            <w:vAlign w:val="center"/>
            <w:hideMark/>
          </w:tcPr>
          <w:p w14:paraId="542C79C0" w14:textId="77777777" w:rsidR="00072A69" w:rsidRPr="00602492" w:rsidRDefault="00072A69" w:rsidP="00AC1F17">
            <w:pPr>
              <w:spacing w:after="0" w:line="240" w:lineRule="auto"/>
              <w:jc w:val="right"/>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16.865</w:t>
            </w:r>
          </w:p>
        </w:tc>
        <w:tc>
          <w:tcPr>
            <w:tcW w:w="704" w:type="pct"/>
            <w:shd w:val="clear" w:color="auto" w:fill="E7E6E6" w:themeFill="background2"/>
            <w:noWrap/>
            <w:vAlign w:val="center"/>
            <w:hideMark/>
          </w:tcPr>
          <w:p w14:paraId="494795CA" w14:textId="77777777" w:rsidR="00072A69" w:rsidRPr="00602492" w:rsidRDefault="00072A69" w:rsidP="00AC1F17">
            <w:pPr>
              <w:spacing w:after="0" w:line="240" w:lineRule="auto"/>
              <w:jc w:val="right"/>
              <w:rPr>
                <w:rFonts w:ascii="Arial" w:eastAsia="Times New Roman" w:hAnsi="Arial" w:cs="Arial"/>
                <w:b/>
                <w:bCs/>
                <w:color w:val="000000"/>
                <w:sz w:val="16"/>
                <w:szCs w:val="16"/>
                <w:lang w:eastAsia="sl-SI"/>
              </w:rPr>
            </w:pPr>
            <w:r w:rsidRPr="00602492">
              <w:rPr>
                <w:rFonts w:ascii="Arial" w:eastAsia="Times New Roman" w:hAnsi="Arial" w:cs="Arial"/>
                <w:b/>
                <w:bCs/>
                <w:color w:val="000000"/>
                <w:sz w:val="16"/>
                <w:szCs w:val="16"/>
                <w:lang w:eastAsia="sl-SI"/>
              </w:rPr>
              <w:t>2.918.594.609</w:t>
            </w:r>
          </w:p>
        </w:tc>
      </w:tr>
    </w:tbl>
    <w:p w14:paraId="5A20AC61" w14:textId="77777777" w:rsidR="00072A69" w:rsidRPr="00EF2D0B" w:rsidRDefault="00072A69" w:rsidP="00072A69">
      <w:pPr>
        <w:spacing w:before="120" w:after="120" w:line="240" w:lineRule="auto"/>
        <w:jc w:val="both"/>
        <w:rPr>
          <w:rFonts w:ascii="Arial" w:hAnsi="Arial" w:cs="Arial"/>
          <w:sz w:val="20"/>
          <w:highlight w:val="yellow"/>
        </w:rPr>
      </w:pPr>
      <w:bookmarkStart w:id="114" w:name="_Toc368925711"/>
      <w:bookmarkStart w:id="115" w:name="_Toc369000995"/>
      <w:bookmarkStart w:id="116" w:name="_Toc398038716"/>
      <w:bookmarkStart w:id="117" w:name="_Toc398040195"/>
      <w:bookmarkStart w:id="118" w:name="_Toc398584433"/>
    </w:p>
    <w:bookmarkEnd w:id="114"/>
    <w:bookmarkEnd w:id="115"/>
    <w:bookmarkEnd w:id="116"/>
    <w:bookmarkEnd w:id="117"/>
    <w:bookmarkEnd w:id="118"/>
    <w:p w14:paraId="444F4872" w14:textId="77777777" w:rsidR="00C320EE" w:rsidRDefault="00C320EE" w:rsidP="00D23EC0">
      <w:pPr>
        <w:rPr>
          <w:rFonts w:ascii="Arial" w:hAnsi="Arial" w:cs="Arial"/>
          <w:sz w:val="20"/>
          <w:szCs w:val="20"/>
        </w:rPr>
      </w:pPr>
    </w:p>
    <w:p w14:paraId="46260953" w14:textId="77777777" w:rsidR="00C320EE" w:rsidRDefault="00C320EE" w:rsidP="00D23EC0">
      <w:pPr>
        <w:rPr>
          <w:rFonts w:ascii="Arial" w:hAnsi="Arial" w:cs="Arial"/>
          <w:sz w:val="20"/>
          <w:szCs w:val="20"/>
        </w:rPr>
      </w:pPr>
    </w:p>
    <w:p w14:paraId="3281DF87" w14:textId="309B0546" w:rsidR="00072A69" w:rsidRPr="00D23EC0" w:rsidRDefault="00D23EC0" w:rsidP="00D23EC0">
      <w:pPr>
        <w:rPr>
          <w:rFonts w:ascii="Arial" w:hAnsi="Arial" w:cs="Arial"/>
          <w:sz w:val="20"/>
          <w:szCs w:val="20"/>
        </w:rPr>
      </w:pPr>
      <w:r w:rsidRPr="00D23EC0">
        <w:rPr>
          <w:rFonts w:ascii="Arial" w:hAnsi="Arial" w:cs="Arial"/>
          <w:sz w:val="20"/>
          <w:szCs w:val="20"/>
        </w:rPr>
        <w:lastRenderedPageBreak/>
        <w:t xml:space="preserve">Preglednica 106: </w:t>
      </w:r>
      <w:r w:rsidR="00072A69" w:rsidRPr="00D23EC0">
        <w:rPr>
          <w:rFonts w:ascii="Arial" w:hAnsi="Arial" w:cs="Arial"/>
          <w:sz w:val="20"/>
          <w:szCs w:val="20"/>
        </w:rPr>
        <w:t>Število in vrednosti ter deleži zelenih naročil</w:t>
      </w:r>
    </w:p>
    <w:tbl>
      <w:tblPr>
        <w:tblW w:w="7540" w:type="dxa"/>
        <w:jc w:val="center"/>
        <w:tblCellMar>
          <w:left w:w="70" w:type="dxa"/>
          <w:right w:w="70" w:type="dxa"/>
        </w:tblCellMar>
        <w:tblLook w:val="04A0" w:firstRow="1" w:lastRow="0" w:firstColumn="1" w:lastColumn="0" w:noHBand="0" w:noVBand="1"/>
      </w:tblPr>
      <w:tblGrid>
        <w:gridCol w:w="1000"/>
        <w:gridCol w:w="1020"/>
        <w:gridCol w:w="2060"/>
        <w:gridCol w:w="1740"/>
        <w:gridCol w:w="1720"/>
      </w:tblGrid>
      <w:tr w:rsidR="00072A69" w:rsidRPr="00E42599" w14:paraId="57A29220" w14:textId="77777777" w:rsidTr="00AC1F17">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B69132A" w14:textId="77777777" w:rsidR="00072A69" w:rsidRPr="00E42599" w:rsidRDefault="00072A69" w:rsidP="00AC1F17">
            <w:pPr>
              <w:spacing w:after="0" w:line="240" w:lineRule="auto"/>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 </w:t>
            </w:r>
          </w:p>
        </w:tc>
        <w:tc>
          <w:tcPr>
            <w:tcW w:w="102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910F2EC" w14:textId="77777777" w:rsidR="00072A69" w:rsidRPr="00E42599" w:rsidRDefault="00072A69" w:rsidP="00AC1F17">
            <w:pPr>
              <w:spacing w:after="0" w:line="240" w:lineRule="auto"/>
              <w:jc w:val="center"/>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Št. naročil</w:t>
            </w:r>
          </w:p>
        </w:tc>
        <w:tc>
          <w:tcPr>
            <w:tcW w:w="20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441836" w14:textId="77777777" w:rsidR="00072A69" w:rsidRPr="00E42599" w:rsidRDefault="00072A69" w:rsidP="00AC1F17">
            <w:pPr>
              <w:spacing w:after="0" w:line="240" w:lineRule="auto"/>
              <w:jc w:val="center"/>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Pogodbena vrednost</w:t>
            </w:r>
          </w:p>
        </w:tc>
        <w:tc>
          <w:tcPr>
            <w:tcW w:w="174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161863E" w14:textId="77777777" w:rsidR="00072A69" w:rsidRPr="00E42599" w:rsidRDefault="00072A69" w:rsidP="00AC1F17">
            <w:pPr>
              <w:spacing w:after="0" w:line="240" w:lineRule="auto"/>
              <w:jc w:val="center"/>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 xml:space="preserve">Delež v št. </w:t>
            </w:r>
            <w:r>
              <w:rPr>
                <w:rFonts w:ascii="Arial" w:eastAsia="Times New Roman" w:hAnsi="Arial" w:cs="Arial"/>
                <w:color w:val="000000"/>
                <w:sz w:val="18"/>
                <w:szCs w:val="18"/>
                <w:lang w:eastAsia="sl-SI"/>
              </w:rPr>
              <w:t xml:space="preserve">vseh </w:t>
            </w:r>
            <w:r w:rsidRPr="00E42599">
              <w:rPr>
                <w:rFonts w:ascii="Arial" w:eastAsia="Times New Roman" w:hAnsi="Arial" w:cs="Arial"/>
                <w:color w:val="000000"/>
                <w:sz w:val="18"/>
                <w:szCs w:val="18"/>
                <w:lang w:eastAsia="sl-SI"/>
              </w:rPr>
              <w:t>naročil</w:t>
            </w:r>
          </w:p>
        </w:tc>
        <w:tc>
          <w:tcPr>
            <w:tcW w:w="172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567BBF5" w14:textId="77777777" w:rsidR="00072A69" w:rsidRPr="00E42599" w:rsidRDefault="00072A69" w:rsidP="00AC1F17">
            <w:pPr>
              <w:spacing w:after="0" w:line="240" w:lineRule="auto"/>
              <w:jc w:val="center"/>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Delež v vrednosti</w:t>
            </w:r>
            <w:r>
              <w:rPr>
                <w:rFonts w:ascii="Arial" w:eastAsia="Times New Roman" w:hAnsi="Arial" w:cs="Arial"/>
                <w:color w:val="000000"/>
                <w:sz w:val="18"/>
                <w:szCs w:val="18"/>
                <w:lang w:eastAsia="sl-SI"/>
              </w:rPr>
              <w:t xml:space="preserve"> vseh naročil</w:t>
            </w:r>
          </w:p>
        </w:tc>
      </w:tr>
      <w:tr w:rsidR="00072A69" w:rsidRPr="00E42599" w14:paraId="1D902A07" w14:textId="77777777" w:rsidTr="00AC1F17">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2CCB397" w14:textId="77777777" w:rsidR="00072A69" w:rsidRPr="00E42599" w:rsidRDefault="00072A69" w:rsidP="00AC1F17">
            <w:pPr>
              <w:spacing w:after="0" w:line="240" w:lineRule="auto"/>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Zelena JN</w:t>
            </w:r>
          </w:p>
        </w:tc>
        <w:tc>
          <w:tcPr>
            <w:tcW w:w="1020" w:type="dxa"/>
            <w:tcBorders>
              <w:top w:val="nil"/>
              <w:left w:val="nil"/>
              <w:bottom w:val="single" w:sz="4" w:space="0" w:color="auto"/>
              <w:right w:val="single" w:sz="4" w:space="0" w:color="auto"/>
            </w:tcBorders>
            <w:shd w:val="clear" w:color="auto" w:fill="auto"/>
            <w:noWrap/>
            <w:vAlign w:val="center"/>
            <w:hideMark/>
          </w:tcPr>
          <w:p w14:paraId="521252CA"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5.771</w:t>
            </w:r>
          </w:p>
        </w:tc>
        <w:tc>
          <w:tcPr>
            <w:tcW w:w="2060" w:type="dxa"/>
            <w:tcBorders>
              <w:top w:val="nil"/>
              <w:left w:val="nil"/>
              <w:bottom w:val="single" w:sz="4" w:space="0" w:color="auto"/>
              <w:right w:val="single" w:sz="4" w:space="0" w:color="auto"/>
            </w:tcBorders>
            <w:shd w:val="clear" w:color="auto" w:fill="auto"/>
            <w:noWrap/>
            <w:vAlign w:val="center"/>
            <w:hideMark/>
          </w:tcPr>
          <w:p w14:paraId="23FEEC4C"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559.393.716</w:t>
            </w:r>
          </w:p>
        </w:tc>
        <w:tc>
          <w:tcPr>
            <w:tcW w:w="1740" w:type="dxa"/>
            <w:tcBorders>
              <w:top w:val="nil"/>
              <w:left w:val="nil"/>
              <w:bottom w:val="single" w:sz="4" w:space="0" w:color="auto"/>
              <w:right w:val="single" w:sz="4" w:space="0" w:color="auto"/>
            </w:tcBorders>
            <w:shd w:val="clear" w:color="auto" w:fill="auto"/>
            <w:noWrap/>
            <w:vAlign w:val="center"/>
            <w:hideMark/>
          </w:tcPr>
          <w:p w14:paraId="05BBDC15"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34,22</w:t>
            </w:r>
            <w:r>
              <w:rPr>
                <w:rFonts w:ascii="Arial" w:eastAsia="Times New Roman" w:hAnsi="Arial" w:cs="Arial"/>
                <w:color w:val="000000"/>
                <w:sz w:val="18"/>
                <w:szCs w:val="18"/>
                <w:lang w:eastAsia="sl-SI"/>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2F6B526"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19,17</w:t>
            </w:r>
            <w:r>
              <w:rPr>
                <w:rFonts w:ascii="Arial" w:eastAsia="Times New Roman" w:hAnsi="Arial" w:cs="Arial"/>
                <w:color w:val="000000"/>
                <w:sz w:val="18"/>
                <w:szCs w:val="18"/>
                <w:lang w:eastAsia="sl-SI"/>
              </w:rPr>
              <w:t xml:space="preserve"> %</w:t>
            </w:r>
          </w:p>
        </w:tc>
      </w:tr>
      <w:tr w:rsidR="00072A69" w:rsidRPr="00E42599" w14:paraId="5803A0C8" w14:textId="77777777" w:rsidTr="00AC1F17">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EA9235D" w14:textId="77777777" w:rsidR="00072A69" w:rsidRPr="00E42599" w:rsidRDefault="00072A69" w:rsidP="00AC1F17">
            <w:pPr>
              <w:spacing w:after="0" w:line="240" w:lineRule="auto"/>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Ostala JN</w:t>
            </w:r>
          </w:p>
        </w:tc>
        <w:tc>
          <w:tcPr>
            <w:tcW w:w="1020" w:type="dxa"/>
            <w:tcBorders>
              <w:top w:val="nil"/>
              <w:left w:val="nil"/>
              <w:bottom w:val="single" w:sz="4" w:space="0" w:color="auto"/>
              <w:right w:val="single" w:sz="4" w:space="0" w:color="auto"/>
            </w:tcBorders>
            <w:shd w:val="clear" w:color="auto" w:fill="auto"/>
            <w:noWrap/>
            <w:vAlign w:val="center"/>
            <w:hideMark/>
          </w:tcPr>
          <w:p w14:paraId="79BE71EF"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11.094</w:t>
            </w:r>
          </w:p>
        </w:tc>
        <w:tc>
          <w:tcPr>
            <w:tcW w:w="2060" w:type="dxa"/>
            <w:tcBorders>
              <w:top w:val="nil"/>
              <w:left w:val="nil"/>
              <w:bottom w:val="single" w:sz="4" w:space="0" w:color="auto"/>
              <w:right w:val="single" w:sz="4" w:space="0" w:color="auto"/>
            </w:tcBorders>
            <w:shd w:val="clear" w:color="auto" w:fill="auto"/>
            <w:noWrap/>
            <w:vAlign w:val="center"/>
            <w:hideMark/>
          </w:tcPr>
          <w:p w14:paraId="1A25E526"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2.359.200.893</w:t>
            </w:r>
          </w:p>
        </w:tc>
        <w:tc>
          <w:tcPr>
            <w:tcW w:w="1740" w:type="dxa"/>
            <w:tcBorders>
              <w:top w:val="nil"/>
              <w:left w:val="nil"/>
              <w:bottom w:val="single" w:sz="4" w:space="0" w:color="auto"/>
              <w:right w:val="single" w:sz="4" w:space="0" w:color="auto"/>
            </w:tcBorders>
            <w:shd w:val="clear" w:color="auto" w:fill="auto"/>
            <w:noWrap/>
            <w:vAlign w:val="center"/>
            <w:hideMark/>
          </w:tcPr>
          <w:p w14:paraId="3AD49814"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65,78</w:t>
            </w:r>
            <w:r>
              <w:rPr>
                <w:rFonts w:ascii="Arial" w:eastAsia="Times New Roman" w:hAnsi="Arial" w:cs="Arial"/>
                <w:color w:val="000000"/>
                <w:sz w:val="18"/>
                <w:szCs w:val="18"/>
                <w:lang w:eastAsia="sl-SI"/>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8DB16BA" w14:textId="77777777" w:rsidR="00072A69" w:rsidRPr="00E42599" w:rsidRDefault="00072A69" w:rsidP="00AC1F17">
            <w:pPr>
              <w:spacing w:after="0" w:line="240" w:lineRule="auto"/>
              <w:jc w:val="right"/>
              <w:rPr>
                <w:rFonts w:ascii="Arial" w:eastAsia="Times New Roman" w:hAnsi="Arial" w:cs="Arial"/>
                <w:color w:val="000000"/>
                <w:sz w:val="18"/>
                <w:szCs w:val="18"/>
                <w:lang w:eastAsia="sl-SI"/>
              </w:rPr>
            </w:pPr>
            <w:r w:rsidRPr="00E42599">
              <w:rPr>
                <w:rFonts w:ascii="Arial" w:eastAsia="Times New Roman" w:hAnsi="Arial" w:cs="Arial"/>
                <w:color w:val="000000"/>
                <w:sz w:val="18"/>
                <w:szCs w:val="18"/>
                <w:lang w:eastAsia="sl-SI"/>
              </w:rPr>
              <w:t>80,83</w:t>
            </w:r>
            <w:r>
              <w:rPr>
                <w:rFonts w:ascii="Arial" w:eastAsia="Times New Roman" w:hAnsi="Arial" w:cs="Arial"/>
                <w:color w:val="000000"/>
                <w:sz w:val="18"/>
                <w:szCs w:val="18"/>
                <w:lang w:eastAsia="sl-SI"/>
              </w:rPr>
              <w:t xml:space="preserve"> %</w:t>
            </w:r>
          </w:p>
        </w:tc>
      </w:tr>
      <w:tr w:rsidR="00072A69" w:rsidRPr="00E42599" w14:paraId="68D466A2" w14:textId="77777777" w:rsidTr="00AC1F17">
        <w:trPr>
          <w:trHeight w:val="300"/>
          <w:jc w:val="center"/>
        </w:trPr>
        <w:tc>
          <w:tcPr>
            <w:tcW w:w="100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E3BEFE0" w14:textId="77777777" w:rsidR="00072A69" w:rsidRPr="00E42599" w:rsidRDefault="00072A69" w:rsidP="00AC1F17">
            <w:pPr>
              <w:spacing w:after="0" w:line="240" w:lineRule="auto"/>
              <w:rPr>
                <w:rFonts w:ascii="Arial" w:eastAsia="Times New Roman" w:hAnsi="Arial" w:cs="Arial"/>
                <w:b/>
                <w:bCs/>
                <w:color w:val="000000"/>
                <w:sz w:val="18"/>
                <w:szCs w:val="18"/>
                <w:lang w:eastAsia="sl-SI"/>
              </w:rPr>
            </w:pPr>
            <w:r w:rsidRPr="00E42599">
              <w:rPr>
                <w:rFonts w:ascii="Arial" w:eastAsia="Times New Roman" w:hAnsi="Arial" w:cs="Arial"/>
                <w:b/>
                <w:bCs/>
                <w:color w:val="000000"/>
                <w:sz w:val="18"/>
                <w:szCs w:val="18"/>
                <w:lang w:eastAsia="sl-SI"/>
              </w:rPr>
              <w:t>Skupaj</w:t>
            </w:r>
          </w:p>
        </w:tc>
        <w:tc>
          <w:tcPr>
            <w:tcW w:w="1020" w:type="dxa"/>
            <w:tcBorders>
              <w:top w:val="nil"/>
              <w:left w:val="nil"/>
              <w:bottom w:val="single" w:sz="4" w:space="0" w:color="auto"/>
              <w:right w:val="single" w:sz="4" w:space="0" w:color="auto"/>
            </w:tcBorders>
            <w:shd w:val="clear" w:color="auto" w:fill="E7E6E6" w:themeFill="background2"/>
            <w:noWrap/>
            <w:vAlign w:val="center"/>
            <w:hideMark/>
          </w:tcPr>
          <w:p w14:paraId="7C6E2855" w14:textId="77777777" w:rsidR="00072A69" w:rsidRPr="00E42599" w:rsidRDefault="00072A69" w:rsidP="00AC1F17">
            <w:pPr>
              <w:spacing w:after="0" w:line="240" w:lineRule="auto"/>
              <w:jc w:val="right"/>
              <w:rPr>
                <w:rFonts w:ascii="Arial" w:eastAsia="Times New Roman" w:hAnsi="Arial" w:cs="Arial"/>
                <w:b/>
                <w:bCs/>
                <w:color w:val="000000"/>
                <w:sz w:val="18"/>
                <w:szCs w:val="18"/>
                <w:lang w:eastAsia="sl-SI"/>
              </w:rPr>
            </w:pPr>
            <w:r w:rsidRPr="00E42599">
              <w:rPr>
                <w:rFonts w:ascii="Arial" w:eastAsia="Times New Roman" w:hAnsi="Arial" w:cs="Arial"/>
                <w:b/>
                <w:bCs/>
                <w:color w:val="000000"/>
                <w:sz w:val="18"/>
                <w:szCs w:val="18"/>
                <w:lang w:eastAsia="sl-SI"/>
              </w:rPr>
              <w:t>16.865</w:t>
            </w:r>
          </w:p>
        </w:tc>
        <w:tc>
          <w:tcPr>
            <w:tcW w:w="2060" w:type="dxa"/>
            <w:tcBorders>
              <w:top w:val="nil"/>
              <w:left w:val="nil"/>
              <w:bottom w:val="single" w:sz="4" w:space="0" w:color="auto"/>
              <w:right w:val="single" w:sz="4" w:space="0" w:color="auto"/>
            </w:tcBorders>
            <w:shd w:val="clear" w:color="auto" w:fill="E7E6E6" w:themeFill="background2"/>
            <w:noWrap/>
            <w:vAlign w:val="center"/>
            <w:hideMark/>
          </w:tcPr>
          <w:p w14:paraId="290E3B6B" w14:textId="77777777" w:rsidR="00072A69" w:rsidRPr="00E42599" w:rsidRDefault="00072A69" w:rsidP="00AC1F17">
            <w:pPr>
              <w:spacing w:after="0" w:line="240" w:lineRule="auto"/>
              <w:jc w:val="right"/>
              <w:rPr>
                <w:rFonts w:ascii="Arial" w:eastAsia="Times New Roman" w:hAnsi="Arial" w:cs="Arial"/>
                <w:b/>
                <w:bCs/>
                <w:color w:val="000000"/>
                <w:sz w:val="18"/>
                <w:szCs w:val="18"/>
                <w:lang w:eastAsia="sl-SI"/>
              </w:rPr>
            </w:pPr>
            <w:r w:rsidRPr="00E42599">
              <w:rPr>
                <w:rFonts w:ascii="Arial" w:eastAsia="Times New Roman" w:hAnsi="Arial" w:cs="Arial"/>
                <w:b/>
                <w:bCs/>
                <w:color w:val="000000"/>
                <w:sz w:val="18"/>
                <w:szCs w:val="18"/>
                <w:lang w:eastAsia="sl-SI"/>
              </w:rPr>
              <w:t>2.918.594.609</w:t>
            </w:r>
          </w:p>
        </w:tc>
        <w:tc>
          <w:tcPr>
            <w:tcW w:w="1740" w:type="dxa"/>
            <w:tcBorders>
              <w:top w:val="nil"/>
              <w:left w:val="nil"/>
              <w:bottom w:val="single" w:sz="4" w:space="0" w:color="auto"/>
              <w:right w:val="single" w:sz="4" w:space="0" w:color="auto"/>
            </w:tcBorders>
            <w:shd w:val="clear" w:color="auto" w:fill="E7E6E6" w:themeFill="background2"/>
            <w:noWrap/>
            <w:vAlign w:val="center"/>
            <w:hideMark/>
          </w:tcPr>
          <w:p w14:paraId="220A3923" w14:textId="77777777" w:rsidR="00072A69" w:rsidRPr="00E42599" w:rsidRDefault="00072A69" w:rsidP="00AC1F17">
            <w:pPr>
              <w:spacing w:after="0" w:line="240" w:lineRule="auto"/>
              <w:jc w:val="right"/>
              <w:rPr>
                <w:rFonts w:ascii="Arial" w:eastAsia="Times New Roman" w:hAnsi="Arial" w:cs="Arial"/>
                <w:b/>
                <w:color w:val="000000"/>
                <w:sz w:val="18"/>
                <w:szCs w:val="18"/>
                <w:lang w:eastAsia="sl-SI"/>
              </w:rPr>
            </w:pPr>
            <w:r w:rsidRPr="00E42599">
              <w:rPr>
                <w:rFonts w:ascii="Arial" w:eastAsia="Times New Roman" w:hAnsi="Arial" w:cs="Arial"/>
                <w:b/>
                <w:color w:val="000000"/>
                <w:sz w:val="18"/>
                <w:szCs w:val="18"/>
                <w:lang w:eastAsia="sl-SI"/>
              </w:rPr>
              <w:t>100,00</w:t>
            </w:r>
            <w:r>
              <w:rPr>
                <w:rFonts w:ascii="Arial" w:eastAsia="Times New Roman" w:hAnsi="Arial" w:cs="Arial"/>
                <w:b/>
                <w:color w:val="000000"/>
                <w:sz w:val="18"/>
                <w:szCs w:val="18"/>
                <w:lang w:eastAsia="sl-SI"/>
              </w:rPr>
              <w:t xml:space="preserve"> %</w:t>
            </w:r>
          </w:p>
        </w:tc>
        <w:tc>
          <w:tcPr>
            <w:tcW w:w="1720" w:type="dxa"/>
            <w:tcBorders>
              <w:top w:val="nil"/>
              <w:left w:val="nil"/>
              <w:bottom w:val="single" w:sz="4" w:space="0" w:color="auto"/>
              <w:right w:val="single" w:sz="4" w:space="0" w:color="auto"/>
            </w:tcBorders>
            <w:shd w:val="clear" w:color="auto" w:fill="E7E6E6" w:themeFill="background2"/>
            <w:noWrap/>
            <w:vAlign w:val="center"/>
            <w:hideMark/>
          </w:tcPr>
          <w:p w14:paraId="7D3EAF34" w14:textId="77777777" w:rsidR="00072A69" w:rsidRPr="00E42599" w:rsidRDefault="00072A69" w:rsidP="00AC1F17">
            <w:pPr>
              <w:spacing w:after="0" w:line="240" w:lineRule="auto"/>
              <w:jc w:val="right"/>
              <w:rPr>
                <w:rFonts w:ascii="Arial" w:eastAsia="Times New Roman" w:hAnsi="Arial" w:cs="Arial"/>
                <w:b/>
                <w:color w:val="000000"/>
                <w:sz w:val="18"/>
                <w:szCs w:val="18"/>
                <w:lang w:eastAsia="sl-SI"/>
              </w:rPr>
            </w:pPr>
            <w:r w:rsidRPr="00E42599">
              <w:rPr>
                <w:rFonts w:ascii="Arial" w:eastAsia="Times New Roman" w:hAnsi="Arial" w:cs="Arial"/>
                <w:b/>
                <w:color w:val="000000"/>
                <w:sz w:val="18"/>
                <w:szCs w:val="18"/>
                <w:lang w:eastAsia="sl-SI"/>
              </w:rPr>
              <w:t>100,00</w:t>
            </w:r>
            <w:r>
              <w:rPr>
                <w:rFonts w:ascii="Arial" w:eastAsia="Times New Roman" w:hAnsi="Arial" w:cs="Arial"/>
                <w:b/>
                <w:color w:val="000000"/>
                <w:sz w:val="18"/>
                <w:szCs w:val="18"/>
                <w:lang w:eastAsia="sl-SI"/>
              </w:rPr>
              <w:t xml:space="preserve"> %</w:t>
            </w:r>
          </w:p>
        </w:tc>
      </w:tr>
    </w:tbl>
    <w:p w14:paraId="377241B9" w14:textId="77777777" w:rsidR="00072A69" w:rsidRDefault="00072A69" w:rsidP="00072A69">
      <w:pPr>
        <w:pStyle w:val="Odstavekseznama"/>
        <w:rPr>
          <w:rFonts w:cs="Arial"/>
          <w:b/>
        </w:rPr>
      </w:pPr>
    </w:p>
    <w:p w14:paraId="35502D20" w14:textId="20A99AAA" w:rsidR="00072A69" w:rsidRPr="00D23EC0" w:rsidRDefault="00D23EC0" w:rsidP="00D23EC0">
      <w:pPr>
        <w:spacing w:before="120" w:after="120"/>
        <w:rPr>
          <w:rFonts w:ascii="Arial" w:hAnsi="Arial" w:cs="Arial"/>
          <w:sz w:val="20"/>
        </w:rPr>
      </w:pPr>
      <w:r w:rsidRPr="00D23EC0">
        <w:rPr>
          <w:rFonts w:ascii="Arial" w:hAnsi="Arial" w:cs="Arial"/>
          <w:sz w:val="20"/>
          <w:szCs w:val="20"/>
        </w:rPr>
        <w:t xml:space="preserve">Preglednica 107: </w:t>
      </w:r>
      <w:r w:rsidR="00072A69" w:rsidRPr="00D23EC0">
        <w:rPr>
          <w:rFonts w:ascii="Arial" w:hAnsi="Arial" w:cs="Arial"/>
          <w:sz w:val="20"/>
        </w:rPr>
        <w:t>Število in vrednosti ter deleži zelenih naročil glede na področje naročanja</w:t>
      </w:r>
    </w:p>
    <w:tbl>
      <w:tblPr>
        <w:tblW w:w="5000" w:type="pct"/>
        <w:tblCellMar>
          <w:left w:w="70" w:type="dxa"/>
          <w:right w:w="70" w:type="dxa"/>
        </w:tblCellMar>
        <w:tblLook w:val="04A0" w:firstRow="1" w:lastRow="0" w:firstColumn="1" w:lastColumn="0" w:noHBand="0" w:noVBand="1"/>
      </w:tblPr>
      <w:tblGrid>
        <w:gridCol w:w="1302"/>
        <w:gridCol w:w="962"/>
        <w:gridCol w:w="1274"/>
        <w:gridCol w:w="1276"/>
        <w:gridCol w:w="1481"/>
        <w:gridCol w:w="1203"/>
        <w:gridCol w:w="1564"/>
      </w:tblGrid>
      <w:tr w:rsidR="00072A69" w:rsidRPr="00AD28A3" w14:paraId="100819DC" w14:textId="77777777" w:rsidTr="00AC1F17">
        <w:trPr>
          <w:trHeight w:val="1035"/>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FDFF313" w14:textId="77777777" w:rsidR="00072A69" w:rsidRPr="00AD28A3" w:rsidRDefault="00072A69" w:rsidP="00AC1F17">
            <w:pPr>
              <w:spacing w:after="0" w:line="240" w:lineRule="auto"/>
              <w:jc w:val="center"/>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 xml:space="preserve">Področje </w:t>
            </w:r>
          </w:p>
        </w:tc>
        <w:tc>
          <w:tcPr>
            <w:tcW w:w="531" w:type="pct"/>
            <w:tcBorders>
              <w:top w:val="single" w:sz="4" w:space="0" w:color="auto"/>
              <w:left w:val="nil"/>
              <w:bottom w:val="single" w:sz="4" w:space="0" w:color="auto"/>
              <w:right w:val="single" w:sz="4" w:space="0" w:color="auto"/>
            </w:tcBorders>
            <w:shd w:val="clear" w:color="000000" w:fill="EDEDED"/>
            <w:vAlign w:val="center"/>
            <w:hideMark/>
          </w:tcPr>
          <w:p w14:paraId="2D7D0090" w14:textId="77777777" w:rsidR="00072A69" w:rsidRPr="00AD28A3" w:rsidRDefault="00072A69" w:rsidP="00AC1F17">
            <w:pPr>
              <w:spacing w:after="0" w:line="240" w:lineRule="auto"/>
              <w:jc w:val="center"/>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Št. zelenih naročil</w:t>
            </w:r>
          </w:p>
        </w:tc>
        <w:tc>
          <w:tcPr>
            <w:tcW w:w="703" w:type="pct"/>
            <w:tcBorders>
              <w:top w:val="single" w:sz="4" w:space="0" w:color="auto"/>
              <w:left w:val="nil"/>
              <w:bottom w:val="single" w:sz="4" w:space="0" w:color="auto"/>
              <w:right w:val="single" w:sz="4" w:space="0" w:color="auto"/>
            </w:tcBorders>
            <w:shd w:val="clear" w:color="000000" w:fill="EDEDED"/>
            <w:vAlign w:val="center"/>
            <w:hideMark/>
          </w:tcPr>
          <w:p w14:paraId="2F8B53EE" w14:textId="77777777" w:rsidR="00072A69" w:rsidRPr="00AD28A3" w:rsidRDefault="00072A69" w:rsidP="00AC1F17">
            <w:pPr>
              <w:spacing w:after="0" w:line="240" w:lineRule="auto"/>
              <w:jc w:val="center"/>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Pogodbena vrednost</w:t>
            </w:r>
          </w:p>
        </w:tc>
        <w:tc>
          <w:tcPr>
            <w:tcW w:w="704" w:type="pct"/>
            <w:tcBorders>
              <w:top w:val="single" w:sz="4" w:space="0" w:color="auto"/>
              <w:left w:val="nil"/>
              <w:bottom w:val="single" w:sz="4" w:space="0" w:color="auto"/>
              <w:right w:val="single" w:sz="4" w:space="0" w:color="auto"/>
            </w:tcBorders>
            <w:shd w:val="clear" w:color="000000" w:fill="EDEDED"/>
            <w:vAlign w:val="center"/>
          </w:tcPr>
          <w:p w14:paraId="0F1F8D1B" w14:textId="77777777" w:rsidR="00072A69" w:rsidRPr="008A3D67" w:rsidRDefault="00072A69" w:rsidP="00AC1F17">
            <w:pPr>
              <w:spacing w:after="0" w:line="240" w:lineRule="auto"/>
              <w:jc w:val="center"/>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Delež v št. vseh naročil</w:t>
            </w:r>
          </w:p>
        </w:tc>
        <w:tc>
          <w:tcPr>
            <w:tcW w:w="817" w:type="pct"/>
            <w:tcBorders>
              <w:top w:val="single" w:sz="4" w:space="0" w:color="auto"/>
              <w:left w:val="nil"/>
              <w:bottom w:val="single" w:sz="4" w:space="0" w:color="auto"/>
              <w:right w:val="single" w:sz="4" w:space="0" w:color="auto"/>
            </w:tcBorders>
            <w:shd w:val="clear" w:color="000000" w:fill="EDEDED"/>
            <w:vAlign w:val="center"/>
          </w:tcPr>
          <w:p w14:paraId="48750EC3" w14:textId="77777777" w:rsidR="00072A69" w:rsidRPr="008A3D67" w:rsidRDefault="00072A69" w:rsidP="00AC1F17">
            <w:pPr>
              <w:spacing w:after="0" w:line="240" w:lineRule="auto"/>
              <w:jc w:val="center"/>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Delež v vrednosti vseh naročil</w:t>
            </w:r>
          </w:p>
        </w:tc>
        <w:tc>
          <w:tcPr>
            <w:tcW w:w="664" w:type="pct"/>
            <w:tcBorders>
              <w:top w:val="single" w:sz="4" w:space="0" w:color="auto"/>
              <w:left w:val="nil"/>
              <w:bottom w:val="single" w:sz="4" w:space="0" w:color="auto"/>
              <w:right w:val="single" w:sz="4" w:space="0" w:color="auto"/>
            </w:tcBorders>
            <w:shd w:val="clear" w:color="000000" w:fill="EDEDED"/>
            <w:vAlign w:val="center"/>
            <w:hideMark/>
          </w:tcPr>
          <w:p w14:paraId="4DC43365" w14:textId="77777777" w:rsidR="00072A69" w:rsidRPr="00AD28A3" w:rsidRDefault="00072A69" w:rsidP="00AC1F17">
            <w:pPr>
              <w:spacing w:after="0" w:line="240" w:lineRule="auto"/>
              <w:jc w:val="center"/>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Delež v št. zelenih naročil</w:t>
            </w:r>
          </w:p>
        </w:tc>
        <w:tc>
          <w:tcPr>
            <w:tcW w:w="863" w:type="pct"/>
            <w:tcBorders>
              <w:top w:val="single" w:sz="4" w:space="0" w:color="auto"/>
              <w:left w:val="nil"/>
              <w:bottom w:val="single" w:sz="4" w:space="0" w:color="auto"/>
              <w:right w:val="single" w:sz="4" w:space="0" w:color="auto"/>
            </w:tcBorders>
            <w:shd w:val="clear" w:color="000000" w:fill="EDEDED"/>
            <w:vAlign w:val="center"/>
            <w:hideMark/>
          </w:tcPr>
          <w:p w14:paraId="7AF47A63" w14:textId="77777777" w:rsidR="00072A69" w:rsidRPr="00AD28A3" w:rsidRDefault="00072A69" w:rsidP="00AC1F17">
            <w:pPr>
              <w:spacing w:after="0" w:line="240" w:lineRule="auto"/>
              <w:jc w:val="center"/>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Delež v vrednosti zelenih</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naročil</w:t>
            </w:r>
          </w:p>
        </w:tc>
      </w:tr>
      <w:tr w:rsidR="00072A69" w:rsidRPr="00AD28A3" w14:paraId="6A54B373" w14:textId="77777777" w:rsidTr="00AC1F17">
        <w:trPr>
          <w:trHeight w:val="317"/>
        </w:trPr>
        <w:tc>
          <w:tcPr>
            <w:tcW w:w="718" w:type="pct"/>
            <w:tcBorders>
              <w:top w:val="nil"/>
              <w:left w:val="single" w:sz="4" w:space="0" w:color="auto"/>
              <w:bottom w:val="single" w:sz="4" w:space="0" w:color="auto"/>
              <w:right w:val="single" w:sz="4" w:space="0" w:color="auto"/>
            </w:tcBorders>
            <w:shd w:val="clear" w:color="auto" w:fill="auto"/>
            <w:vAlign w:val="center"/>
            <w:hideMark/>
          </w:tcPr>
          <w:p w14:paraId="21D4C3FF" w14:textId="77777777" w:rsidR="00072A69" w:rsidRPr="00AD28A3" w:rsidRDefault="00072A69" w:rsidP="00AC1F17">
            <w:pPr>
              <w:spacing w:after="0" w:line="240" w:lineRule="auto"/>
              <w:jc w:val="both"/>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Splošno</w:t>
            </w:r>
          </w:p>
        </w:tc>
        <w:tc>
          <w:tcPr>
            <w:tcW w:w="531" w:type="pct"/>
            <w:tcBorders>
              <w:top w:val="nil"/>
              <w:left w:val="nil"/>
              <w:bottom w:val="single" w:sz="4" w:space="0" w:color="auto"/>
              <w:right w:val="single" w:sz="4" w:space="0" w:color="auto"/>
            </w:tcBorders>
            <w:shd w:val="clear" w:color="auto" w:fill="auto"/>
            <w:vAlign w:val="center"/>
            <w:hideMark/>
          </w:tcPr>
          <w:p w14:paraId="7A6FD484"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5.578</w:t>
            </w:r>
          </w:p>
        </w:tc>
        <w:tc>
          <w:tcPr>
            <w:tcW w:w="703" w:type="pct"/>
            <w:tcBorders>
              <w:top w:val="nil"/>
              <w:left w:val="nil"/>
              <w:bottom w:val="single" w:sz="4" w:space="0" w:color="auto"/>
              <w:right w:val="single" w:sz="4" w:space="0" w:color="auto"/>
            </w:tcBorders>
            <w:shd w:val="clear" w:color="auto" w:fill="auto"/>
            <w:vAlign w:val="center"/>
            <w:hideMark/>
          </w:tcPr>
          <w:p w14:paraId="2F38C5B7"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515.671.596</w:t>
            </w:r>
          </w:p>
        </w:tc>
        <w:tc>
          <w:tcPr>
            <w:tcW w:w="704" w:type="pct"/>
            <w:tcBorders>
              <w:top w:val="nil"/>
              <w:left w:val="nil"/>
              <w:bottom w:val="single" w:sz="4" w:space="0" w:color="auto"/>
              <w:right w:val="single" w:sz="4" w:space="0" w:color="auto"/>
            </w:tcBorders>
            <w:shd w:val="clear" w:color="auto" w:fill="auto"/>
            <w:vAlign w:val="center"/>
          </w:tcPr>
          <w:p w14:paraId="3005B767" w14:textId="77777777" w:rsidR="00072A69" w:rsidRPr="008A3D67" w:rsidRDefault="00072A69" w:rsidP="00AC1F17">
            <w:pPr>
              <w:spacing w:after="0" w:line="240" w:lineRule="auto"/>
              <w:jc w:val="right"/>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33,07</w:t>
            </w:r>
            <w:r>
              <w:rPr>
                <w:rFonts w:ascii="Arial" w:eastAsia="Times New Roman" w:hAnsi="Arial" w:cs="Arial"/>
                <w:color w:val="000000"/>
                <w:sz w:val="18"/>
                <w:szCs w:val="18"/>
                <w:lang w:eastAsia="sl-SI"/>
              </w:rPr>
              <w:t xml:space="preserve"> </w:t>
            </w:r>
            <w:r w:rsidRPr="008A3D67">
              <w:rPr>
                <w:rFonts w:ascii="Arial" w:eastAsia="Times New Roman" w:hAnsi="Arial" w:cs="Arial"/>
                <w:color w:val="000000"/>
                <w:sz w:val="18"/>
                <w:szCs w:val="18"/>
                <w:lang w:eastAsia="sl-SI"/>
              </w:rPr>
              <w:t>%</w:t>
            </w:r>
          </w:p>
        </w:tc>
        <w:tc>
          <w:tcPr>
            <w:tcW w:w="817" w:type="pct"/>
            <w:tcBorders>
              <w:top w:val="nil"/>
              <w:left w:val="nil"/>
              <w:bottom w:val="single" w:sz="4" w:space="0" w:color="auto"/>
              <w:right w:val="single" w:sz="4" w:space="0" w:color="auto"/>
            </w:tcBorders>
            <w:shd w:val="clear" w:color="auto" w:fill="auto"/>
            <w:vAlign w:val="center"/>
          </w:tcPr>
          <w:p w14:paraId="6659AD8D" w14:textId="77777777" w:rsidR="00072A69" w:rsidRPr="008A3D67" w:rsidRDefault="00072A69" w:rsidP="00AC1F17">
            <w:pPr>
              <w:spacing w:after="0" w:line="240" w:lineRule="auto"/>
              <w:jc w:val="right"/>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17,67</w:t>
            </w:r>
            <w:r>
              <w:rPr>
                <w:rFonts w:ascii="Arial" w:eastAsia="Times New Roman" w:hAnsi="Arial" w:cs="Arial"/>
                <w:color w:val="000000"/>
                <w:sz w:val="18"/>
                <w:szCs w:val="18"/>
                <w:lang w:eastAsia="sl-SI"/>
              </w:rPr>
              <w:t xml:space="preserve"> </w:t>
            </w:r>
            <w:r w:rsidRPr="008A3D67">
              <w:rPr>
                <w:rFonts w:ascii="Arial" w:eastAsia="Times New Roman" w:hAnsi="Arial" w:cs="Arial"/>
                <w:color w:val="000000"/>
                <w:sz w:val="18"/>
                <w:szCs w:val="18"/>
                <w:lang w:eastAsia="sl-SI"/>
              </w:rPr>
              <w:t>%</w:t>
            </w:r>
          </w:p>
        </w:tc>
        <w:tc>
          <w:tcPr>
            <w:tcW w:w="664" w:type="pct"/>
            <w:tcBorders>
              <w:top w:val="nil"/>
              <w:left w:val="nil"/>
              <w:bottom w:val="single" w:sz="4" w:space="0" w:color="auto"/>
              <w:right w:val="single" w:sz="4" w:space="0" w:color="auto"/>
            </w:tcBorders>
            <w:shd w:val="clear" w:color="auto" w:fill="auto"/>
            <w:noWrap/>
            <w:vAlign w:val="center"/>
            <w:hideMark/>
          </w:tcPr>
          <w:p w14:paraId="1963F0D6"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96,66</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w:t>
            </w:r>
          </w:p>
        </w:tc>
        <w:tc>
          <w:tcPr>
            <w:tcW w:w="863" w:type="pct"/>
            <w:tcBorders>
              <w:top w:val="nil"/>
              <w:left w:val="nil"/>
              <w:bottom w:val="single" w:sz="4" w:space="0" w:color="auto"/>
              <w:right w:val="single" w:sz="4" w:space="0" w:color="auto"/>
            </w:tcBorders>
            <w:shd w:val="clear" w:color="auto" w:fill="auto"/>
            <w:noWrap/>
            <w:vAlign w:val="center"/>
            <w:hideMark/>
          </w:tcPr>
          <w:p w14:paraId="2A1B09D3"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92,18</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w:t>
            </w:r>
          </w:p>
        </w:tc>
      </w:tr>
      <w:tr w:rsidR="00072A69" w:rsidRPr="00AD28A3" w14:paraId="2BEE6EE5" w14:textId="77777777" w:rsidTr="00AC1F17">
        <w:trPr>
          <w:trHeight w:val="317"/>
        </w:trPr>
        <w:tc>
          <w:tcPr>
            <w:tcW w:w="718" w:type="pct"/>
            <w:tcBorders>
              <w:top w:val="nil"/>
              <w:left w:val="single" w:sz="4" w:space="0" w:color="auto"/>
              <w:bottom w:val="single" w:sz="4" w:space="0" w:color="auto"/>
              <w:right w:val="single" w:sz="4" w:space="0" w:color="auto"/>
            </w:tcBorders>
            <w:shd w:val="clear" w:color="auto" w:fill="auto"/>
            <w:vAlign w:val="center"/>
            <w:hideMark/>
          </w:tcPr>
          <w:p w14:paraId="4E752DC6" w14:textId="77777777" w:rsidR="00072A69" w:rsidRPr="00AD28A3" w:rsidRDefault="00072A69" w:rsidP="00AC1F17">
            <w:pPr>
              <w:spacing w:after="0" w:line="240" w:lineRule="auto"/>
              <w:jc w:val="both"/>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Infrastrukturno</w:t>
            </w:r>
          </w:p>
        </w:tc>
        <w:tc>
          <w:tcPr>
            <w:tcW w:w="531" w:type="pct"/>
            <w:tcBorders>
              <w:top w:val="nil"/>
              <w:left w:val="nil"/>
              <w:bottom w:val="single" w:sz="4" w:space="0" w:color="auto"/>
              <w:right w:val="single" w:sz="4" w:space="0" w:color="auto"/>
            </w:tcBorders>
            <w:shd w:val="clear" w:color="auto" w:fill="auto"/>
            <w:vAlign w:val="center"/>
            <w:hideMark/>
          </w:tcPr>
          <w:p w14:paraId="0069ED75"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193</w:t>
            </w:r>
          </w:p>
        </w:tc>
        <w:tc>
          <w:tcPr>
            <w:tcW w:w="703" w:type="pct"/>
            <w:tcBorders>
              <w:top w:val="nil"/>
              <w:left w:val="nil"/>
              <w:bottom w:val="single" w:sz="4" w:space="0" w:color="auto"/>
              <w:right w:val="single" w:sz="4" w:space="0" w:color="auto"/>
            </w:tcBorders>
            <w:shd w:val="clear" w:color="auto" w:fill="auto"/>
            <w:vAlign w:val="center"/>
            <w:hideMark/>
          </w:tcPr>
          <w:p w14:paraId="7AC763E3"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43.722.120</w:t>
            </w:r>
          </w:p>
        </w:tc>
        <w:tc>
          <w:tcPr>
            <w:tcW w:w="704" w:type="pct"/>
            <w:tcBorders>
              <w:top w:val="nil"/>
              <w:left w:val="nil"/>
              <w:bottom w:val="single" w:sz="4" w:space="0" w:color="auto"/>
              <w:right w:val="single" w:sz="4" w:space="0" w:color="auto"/>
            </w:tcBorders>
            <w:shd w:val="clear" w:color="auto" w:fill="auto"/>
            <w:vAlign w:val="center"/>
          </w:tcPr>
          <w:p w14:paraId="4E4FF91F" w14:textId="77777777" w:rsidR="00072A69" w:rsidRPr="008A3D67" w:rsidRDefault="00072A69" w:rsidP="00AC1F17">
            <w:pPr>
              <w:spacing w:after="0" w:line="240" w:lineRule="auto"/>
              <w:jc w:val="right"/>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1,14</w:t>
            </w:r>
            <w:r>
              <w:rPr>
                <w:rFonts w:ascii="Arial" w:eastAsia="Times New Roman" w:hAnsi="Arial" w:cs="Arial"/>
                <w:color w:val="000000"/>
                <w:sz w:val="18"/>
                <w:szCs w:val="18"/>
                <w:lang w:eastAsia="sl-SI"/>
              </w:rPr>
              <w:t xml:space="preserve"> </w:t>
            </w:r>
            <w:r w:rsidRPr="008A3D67">
              <w:rPr>
                <w:rFonts w:ascii="Arial" w:eastAsia="Times New Roman" w:hAnsi="Arial" w:cs="Arial"/>
                <w:color w:val="000000"/>
                <w:sz w:val="18"/>
                <w:szCs w:val="18"/>
                <w:lang w:eastAsia="sl-SI"/>
              </w:rPr>
              <w:t>%</w:t>
            </w:r>
          </w:p>
        </w:tc>
        <w:tc>
          <w:tcPr>
            <w:tcW w:w="817" w:type="pct"/>
            <w:tcBorders>
              <w:top w:val="nil"/>
              <w:left w:val="nil"/>
              <w:bottom w:val="single" w:sz="4" w:space="0" w:color="auto"/>
              <w:right w:val="single" w:sz="4" w:space="0" w:color="auto"/>
            </w:tcBorders>
            <w:shd w:val="clear" w:color="auto" w:fill="auto"/>
            <w:vAlign w:val="center"/>
          </w:tcPr>
          <w:p w14:paraId="6D14F3A6" w14:textId="77777777" w:rsidR="00072A69" w:rsidRPr="008A3D67" w:rsidRDefault="00072A69" w:rsidP="00AC1F17">
            <w:pPr>
              <w:spacing w:after="0" w:line="240" w:lineRule="auto"/>
              <w:jc w:val="right"/>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1,50</w:t>
            </w:r>
            <w:r>
              <w:rPr>
                <w:rFonts w:ascii="Arial" w:eastAsia="Times New Roman" w:hAnsi="Arial" w:cs="Arial"/>
                <w:color w:val="000000"/>
                <w:sz w:val="18"/>
                <w:szCs w:val="18"/>
                <w:lang w:eastAsia="sl-SI"/>
              </w:rPr>
              <w:t xml:space="preserve"> </w:t>
            </w:r>
            <w:r w:rsidRPr="008A3D67">
              <w:rPr>
                <w:rFonts w:ascii="Arial" w:eastAsia="Times New Roman" w:hAnsi="Arial" w:cs="Arial"/>
                <w:color w:val="000000"/>
                <w:sz w:val="18"/>
                <w:szCs w:val="18"/>
                <w:lang w:eastAsia="sl-SI"/>
              </w:rPr>
              <w:t>%</w:t>
            </w:r>
          </w:p>
        </w:tc>
        <w:tc>
          <w:tcPr>
            <w:tcW w:w="664" w:type="pct"/>
            <w:tcBorders>
              <w:top w:val="nil"/>
              <w:left w:val="nil"/>
              <w:bottom w:val="single" w:sz="4" w:space="0" w:color="auto"/>
              <w:right w:val="single" w:sz="4" w:space="0" w:color="auto"/>
            </w:tcBorders>
            <w:shd w:val="clear" w:color="auto" w:fill="auto"/>
            <w:noWrap/>
            <w:vAlign w:val="center"/>
            <w:hideMark/>
          </w:tcPr>
          <w:p w14:paraId="57D41BE4"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3,34</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w:t>
            </w:r>
          </w:p>
        </w:tc>
        <w:tc>
          <w:tcPr>
            <w:tcW w:w="863" w:type="pct"/>
            <w:tcBorders>
              <w:top w:val="nil"/>
              <w:left w:val="nil"/>
              <w:bottom w:val="single" w:sz="4" w:space="0" w:color="auto"/>
              <w:right w:val="single" w:sz="4" w:space="0" w:color="auto"/>
            </w:tcBorders>
            <w:shd w:val="clear" w:color="auto" w:fill="auto"/>
            <w:noWrap/>
            <w:vAlign w:val="center"/>
            <w:hideMark/>
          </w:tcPr>
          <w:p w14:paraId="7F3EEBF1"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7,82</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w:t>
            </w:r>
          </w:p>
        </w:tc>
      </w:tr>
      <w:tr w:rsidR="00072A69" w:rsidRPr="00AD28A3" w14:paraId="122CE0F1" w14:textId="77777777" w:rsidTr="00AC1F17">
        <w:trPr>
          <w:trHeight w:val="317"/>
        </w:trPr>
        <w:tc>
          <w:tcPr>
            <w:tcW w:w="718" w:type="pct"/>
            <w:tcBorders>
              <w:top w:val="nil"/>
              <w:left w:val="single" w:sz="4" w:space="0" w:color="auto"/>
              <w:bottom w:val="single" w:sz="4" w:space="0" w:color="auto"/>
              <w:right w:val="single" w:sz="4" w:space="0" w:color="auto"/>
            </w:tcBorders>
            <w:shd w:val="clear" w:color="auto" w:fill="auto"/>
            <w:vAlign w:val="center"/>
            <w:hideMark/>
          </w:tcPr>
          <w:p w14:paraId="752101DB" w14:textId="77777777" w:rsidR="00072A69" w:rsidRPr="00AD28A3" w:rsidRDefault="00072A69" w:rsidP="00AC1F17">
            <w:pPr>
              <w:spacing w:after="0" w:line="240" w:lineRule="auto"/>
              <w:jc w:val="both"/>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Obrambno</w:t>
            </w:r>
          </w:p>
        </w:tc>
        <w:tc>
          <w:tcPr>
            <w:tcW w:w="531" w:type="pct"/>
            <w:tcBorders>
              <w:top w:val="nil"/>
              <w:left w:val="nil"/>
              <w:bottom w:val="single" w:sz="4" w:space="0" w:color="auto"/>
              <w:right w:val="single" w:sz="4" w:space="0" w:color="auto"/>
            </w:tcBorders>
            <w:shd w:val="clear" w:color="auto" w:fill="auto"/>
            <w:vAlign w:val="center"/>
            <w:hideMark/>
          </w:tcPr>
          <w:p w14:paraId="0E513762"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0</w:t>
            </w:r>
          </w:p>
        </w:tc>
        <w:tc>
          <w:tcPr>
            <w:tcW w:w="703" w:type="pct"/>
            <w:tcBorders>
              <w:top w:val="nil"/>
              <w:left w:val="nil"/>
              <w:bottom w:val="single" w:sz="4" w:space="0" w:color="auto"/>
              <w:right w:val="single" w:sz="4" w:space="0" w:color="auto"/>
            </w:tcBorders>
            <w:shd w:val="clear" w:color="auto" w:fill="auto"/>
            <w:vAlign w:val="center"/>
            <w:hideMark/>
          </w:tcPr>
          <w:p w14:paraId="5CC651CA"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0</w:t>
            </w:r>
          </w:p>
        </w:tc>
        <w:tc>
          <w:tcPr>
            <w:tcW w:w="704" w:type="pct"/>
            <w:tcBorders>
              <w:top w:val="nil"/>
              <w:left w:val="nil"/>
              <w:bottom w:val="single" w:sz="4" w:space="0" w:color="auto"/>
              <w:right w:val="single" w:sz="4" w:space="0" w:color="auto"/>
            </w:tcBorders>
            <w:shd w:val="clear" w:color="auto" w:fill="auto"/>
            <w:vAlign w:val="center"/>
          </w:tcPr>
          <w:p w14:paraId="3F3C8C26" w14:textId="77777777" w:rsidR="00072A69" w:rsidRPr="008A3D67" w:rsidRDefault="00072A69" w:rsidP="00AC1F17">
            <w:pPr>
              <w:spacing w:after="0" w:line="240" w:lineRule="auto"/>
              <w:jc w:val="right"/>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8A3D67">
              <w:rPr>
                <w:rFonts w:ascii="Arial" w:eastAsia="Times New Roman" w:hAnsi="Arial" w:cs="Arial"/>
                <w:color w:val="000000"/>
                <w:sz w:val="18"/>
                <w:szCs w:val="18"/>
                <w:lang w:eastAsia="sl-SI"/>
              </w:rPr>
              <w:t>%</w:t>
            </w:r>
          </w:p>
        </w:tc>
        <w:tc>
          <w:tcPr>
            <w:tcW w:w="817" w:type="pct"/>
            <w:tcBorders>
              <w:top w:val="nil"/>
              <w:left w:val="nil"/>
              <w:bottom w:val="single" w:sz="4" w:space="0" w:color="auto"/>
              <w:right w:val="single" w:sz="4" w:space="0" w:color="auto"/>
            </w:tcBorders>
            <w:shd w:val="clear" w:color="auto" w:fill="auto"/>
            <w:vAlign w:val="center"/>
          </w:tcPr>
          <w:p w14:paraId="10D95883" w14:textId="77777777" w:rsidR="00072A69" w:rsidRPr="008A3D67" w:rsidRDefault="00072A69" w:rsidP="00AC1F17">
            <w:pPr>
              <w:spacing w:after="0" w:line="240" w:lineRule="auto"/>
              <w:jc w:val="right"/>
              <w:rPr>
                <w:rFonts w:ascii="Arial" w:eastAsia="Times New Roman" w:hAnsi="Arial" w:cs="Arial"/>
                <w:color w:val="000000"/>
                <w:sz w:val="18"/>
                <w:szCs w:val="18"/>
                <w:lang w:eastAsia="sl-SI"/>
              </w:rPr>
            </w:pPr>
            <w:r w:rsidRPr="008A3D6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8A3D67">
              <w:rPr>
                <w:rFonts w:ascii="Arial" w:eastAsia="Times New Roman" w:hAnsi="Arial" w:cs="Arial"/>
                <w:color w:val="000000"/>
                <w:sz w:val="18"/>
                <w:szCs w:val="18"/>
                <w:lang w:eastAsia="sl-SI"/>
              </w:rPr>
              <w:t>%</w:t>
            </w:r>
          </w:p>
        </w:tc>
        <w:tc>
          <w:tcPr>
            <w:tcW w:w="664" w:type="pct"/>
            <w:tcBorders>
              <w:top w:val="nil"/>
              <w:left w:val="nil"/>
              <w:bottom w:val="single" w:sz="4" w:space="0" w:color="auto"/>
              <w:right w:val="single" w:sz="4" w:space="0" w:color="auto"/>
            </w:tcBorders>
            <w:shd w:val="clear" w:color="auto" w:fill="auto"/>
            <w:noWrap/>
            <w:vAlign w:val="center"/>
            <w:hideMark/>
          </w:tcPr>
          <w:p w14:paraId="7D2550BC"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w:t>
            </w:r>
          </w:p>
        </w:tc>
        <w:tc>
          <w:tcPr>
            <w:tcW w:w="863" w:type="pct"/>
            <w:tcBorders>
              <w:top w:val="nil"/>
              <w:left w:val="nil"/>
              <w:bottom w:val="single" w:sz="4" w:space="0" w:color="auto"/>
              <w:right w:val="single" w:sz="4" w:space="0" w:color="auto"/>
            </w:tcBorders>
            <w:shd w:val="clear" w:color="auto" w:fill="auto"/>
            <w:noWrap/>
            <w:vAlign w:val="center"/>
            <w:hideMark/>
          </w:tcPr>
          <w:p w14:paraId="1B973083" w14:textId="77777777" w:rsidR="00072A69" w:rsidRPr="00AD28A3" w:rsidRDefault="00072A69" w:rsidP="00AC1F17">
            <w:pPr>
              <w:spacing w:after="0" w:line="240" w:lineRule="auto"/>
              <w:jc w:val="right"/>
              <w:rPr>
                <w:rFonts w:ascii="Arial" w:eastAsia="Times New Roman" w:hAnsi="Arial" w:cs="Arial"/>
                <w:color w:val="000000"/>
                <w:sz w:val="18"/>
                <w:szCs w:val="18"/>
                <w:lang w:eastAsia="sl-SI"/>
              </w:rPr>
            </w:pPr>
            <w:r w:rsidRPr="00AD28A3">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AD28A3">
              <w:rPr>
                <w:rFonts w:ascii="Arial" w:eastAsia="Times New Roman" w:hAnsi="Arial" w:cs="Arial"/>
                <w:color w:val="000000"/>
                <w:sz w:val="18"/>
                <w:szCs w:val="18"/>
                <w:lang w:eastAsia="sl-SI"/>
              </w:rPr>
              <w:t>%</w:t>
            </w:r>
          </w:p>
        </w:tc>
      </w:tr>
      <w:tr w:rsidR="00072A69" w:rsidRPr="00AD28A3" w14:paraId="1B5FF8E9" w14:textId="77777777" w:rsidTr="00AC1F17">
        <w:trPr>
          <w:trHeight w:val="317"/>
        </w:trPr>
        <w:tc>
          <w:tcPr>
            <w:tcW w:w="718" w:type="pct"/>
            <w:tcBorders>
              <w:top w:val="nil"/>
              <w:left w:val="single" w:sz="4" w:space="0" w:color="auto"/>
              <w:bottom w:val="single" w:sz="4" w:space="0" w:color="auto"/>
              <w:right w:val="single" w:sz="4" w:space="0" w:color="auto"/>
            </w:tcBorders>
            <w:shd w:val="clear" w:color="000000" w:fill="E7E6E6"/>
            <w:vAlign w:val="center"/>
            <w:hideMark/>
          </w:tcPr>
          <w:p w14:paraId="5EBE3EBD" w14:textId="77777777" w:rsidR="00072A69" w:rsidRPr="00AD28A3" w:rsidRDefault="00072A69" w:rsidP="00AC1F17">
            <w:pPr>
              <w:spacing w:after="0" w:line="240" w:lineRule="auto"/>
              <w:jc w:val="both"/>
              <w:rPr>
                <w:rFonts w:ascii="Arial" w:eastAsia="Times New Roman" w:hAnsi="Arial" w:cs="Arial"/>
                <w:b/>
                <w:bCs/>
                <w:color w:val="000000"/>
                <w:sz w:val="18"/>
                <w:szCs w:val="18"/>
                <w:lang w:eastAsia="sl-SI"/>
              </w:rPr>
            </w:pPr>
            <w:r w:rsidRPr="00AD28A3">
              <w:rPr>
                <w:rFonts w:ascii="Arial" w:eastAsia="Times New Roman" w:hAnsi="Arial" w:cs="Arial"/>
                <w:b/>
                <w:bCs/>
                <w:color w:val="000000"/>
                <w:sz w:val="18"/>
                <w:szCs w:val="18"/>
                <w:lang w:eastAsia="sl-SI"/>
              </w:rPr>
              <w:t>Skupaj</w:t>
            </w:r>
          </w:p>
        </w:tc>
        <w:tc>
          <w:tcPr>
            <w:tcW w:w="531" w:type="pct"/>
            <w:tcBorders>
              <w:top w:val="nil"/>
              <w:left w:val="nil"/>
              <w:bottom w:val="single" w:sz="4" w:space="0" w:color="auto"/>
              <w:right w:val="single" w:sz="4" w:space="0" w:color="auto"/>
            </w:tcBorders>
            <w:shd w:val="clear" w:color="000000" w:fill="E7E6E6"/>
            <w:vAlign w:val="center"/>
            <w:hideMark/>
          </w:tcPr>
          <w:p w14:paraId="4379B38C" w14:textId="77777777" w:rsidR="00072A69" w:rsidRPr="00AD28A3" w:rsidRDefault="00072A69" w:rsidP="00AC1F17">
            <w:pPr>
              <w:spacing w:after="0" w:line="240" w:lineRule="auto"/>
              <w:jc w:val="right"/>
              <w:rPr>
                <w:rFonts w:ascii="Arial" w:eastAsia="Times New Roman" w:hAnsi="Arial" w:cs="Arial"/>
                <w:b/>
                <w:bCs/>
                <w:color w:val="000000"/>
                <w:sz w:val="18"/>
                <w:szCs w:val="18"/>
                <w:lang w:eastAsia="sl-SI"/>
              </w:rPr>
            </w:pPr>
            <w:r w:rsidRPr="00AD28A3">
              <w:rPr>
                <w:rFonts w:ascii="Arial" w:eastAsia="Times New Roman" w:hAnsi="Arial" w:cs="Arial"/>
                <w:b/>
                <w:bCs/>
                <w:color w:val="000000"/>
                <w:sz w:val="18"/>
                <w:szCs w:val="18"/>
                <w:lang w:eastAsia="sl-SI"/>
              </w:rPr>
              <w:t>5.771</w:t>
            </w:r>
          </w:p>
        </w:tc>
        <w:tc>
          <w:tcPr>
            <w:tcW w:w="703" w:type="pct"/>
            <w:tcBorders>
              <w:top w:val="nil"/>
              <w:left w:val="nil"/>
              <w:bottom w:val="single" w:sz="4" w:space="0" w:color="auto"/>
              <w:right w:val="single" w:sz="4" w:space="0" w:color="auto"/>
            </w:tcBorders>
            <w:shd w:val="clear" w:color="000000" w:fill="E7E6E6"/>
            <w:vAlign w:val="center"/>
            <w:hideMark/>
          </w:tcPr>
          <w:p w14:paraId="2EE9E85D" w14:textId="77777777" w:rsidR="00072A69" w:rsidRPr="00AD28A3" w:rsidRDefault="00072A69" w:rsidP="00AC1F17">
            <w:pPr>
              <w:spacing w:after="0" w:line="240" w:lineRule="auto"/>
              <w:jc w:val="right"/>
              <w:rPr>
                <w:rFonts w:ascii="Arial" w:eastAsia="Times New Roman" w:hAnsi="Arial" w:cs="Arial"/>
                <w:b/>
                <w:bCs/>
                <w:color w:val="000000"/>
                <w:sz w:val="18"/>
                <w:szCs w:val="18"/>
                <w:lang w:eastAsia="sl-SI"/>
              </w:rPr>
            </w:pPr>
            <w:r w:rsidRPr="00AD28A3">
              <w:rPr>
                <w:rFonts w:ascii="Arial" w:eastAsia="Times New Roman" w:hAnsi="Arial" w:cs="Arial"/>
                <w:b/>
                <w:bCs/>
                <w:color w:val="000000"/>
                <w:sz w:val="18"/>
                <w:szCs w:val="18"/>
                <w:lang w:eastAsia="sl-SI"/>
              </w:rPr>
              <w:t>559.393.716</w:t>
            </w:r>
          </w:p>
        </w:tc>
        <w:tc>
          <w:tcPr>
            <w:tcW w:w="704" w:type="pct"/>
            <w:tcBorders>
              <w:top w:val="nil"/>
              <w:left w:val="nil"/>
              <w:bottom w:val="single" w:sz="4" w:space="0" w:color="auto"/>
              <w:right w:val="single" w:sz="4" w:space="0" w:color="auto"/>
            </w:tcBorders>
            <w:shd w:val="clear" w:color="000000" w:fill="E7E6E6"/>
            <w:vAlign w:val="center"/>
          </w:tcPr>
          <w:p w14:paraId="5E83FDD7" w14:textId="77777777" w:rsidR="00072A69" w:rsidRPr="008A3D67" w:rsidRDefault="00072A69" w:rsidP="00AC1F17">
            <w:pPr>
              <w:spacing w:after="0" w:line="240" w:lineRule="auto"/>
              <w:jc w:val="right"/>
              <w:rPr>
                <w:rFonts w:ascii="Arial" w:eastAsia="Times New Roman" w:hAnsi="Arial" w:cs="Arial"/>
                <w:b/>
                <w:color w:val="000000"/>
                <w:sz w:val="18"/>
                <w:szCs w:val="18"/>
                <w:lang w:eastAsia="sl-SI"/>
              </w:rPr>
            </w:pPr>
            <w:r w:rsidRPr="008A3D67">
              <w:rPr>
                <w:rFonts w:ascii="Arial" w:eastAsia="Times New Roman" w:hAnsi="Arial" w:cs="Arial"/>
                <w:b/>
                <w:color w:val="000000"/>
                <w:sz w:val="18"/>
                <w:szCs w:val="18"/>
                <w:lang w:eastAsia="sl-SI"/>
              </w:rPr>
              <w:t>34,22 %</w:t>
            </w:r>
          </w:p>
        </w:tc>
        <w:tc>
          <w:tcPr>
            <w:tcW w:w="817" w:type="pct"/>
            <w:tcBorders>
              <w:top w:val="nil"/>
              <w:left w:val="nil"/>
              <w:bottom w:val="single" w:sz="4" w:space="0" w:color="auto"/>
              <w:right w:val="single" w:sz="4" w:space="0" w:color="auto"/>
            </w:tcBorders>
            <w:shd w:val="clear" w:color="000000" w:fill="E7E6E6"/>
            <w:vAlign w:val="center"/>
          </w:tcPr>
          <w:p w14:paraId="08AE1AF1" w14:textId="77777777" w:rsidR="00072A69" w:rsidRPr="008A3D67" w:rsidRDefault="00072A69" w:rsidP="00AC1F17">
            <w:pPr>
              <w:spacing w:after="0" w:line="240" w:lineRule="auto"/>
              <w:jc w:val="right"/>
              <w:rPr>
                <w:rFonts w:ascii="Arial" w:eastAsia="Times New Roman" w:hAnsi="Arial" w:cs="Arial"/>
                <w:b/>
                <w:color w:val="000000"/>
                <w:sz w:val="18"/>
                <w:szCs w:val="18"/>
                <w:lang w:eastAsia="sl-SI"/>
              </w:rPr>
            </w:pPr>
            <w:r w:rsidRPr="008A3D67">
              <w:rPr>
                <w:rFonts w:ascii="Arial" w:eastAsia="Times New Roman" w:hAnsi="Arial" w:cs="Arial"/>
                <w:b/>
                <w:color w:val="000000"/>
                <w:sz w:val="18"/>
                <w:szCs w:val="18"/>
                <w:lang w:eastAsia="sl-SI"/>
              </w:rPr>
              <w:t>19,17 %</w:t>
            </w:r>
          </w:p>
        </w:tc>
        <w:tc>
          <w:tcPr>
            <w:tcW w:w="664" w:type="pct"/>
            <w:tcBorders>
              <w:top w:val="nil"/>
              <w:left w:val="nil"/>
              <w:bottom w:val="single" w:sz="4" w:space="0" w:color="auto"/>
              <w:right w:val="single" w:sz="4" w:space="0" w:color="auto"/>
            </w:tcBorders>
            <w:shd w:val="clear" w:color="auto" w:fill="E7E6E6" w:themeFill="background2"/>
            <w:noWrap/>
            <w:vAlign w:val="center"/>
            <w:hideMark/>
          </w:tcPr>
          <w:p w14:paraId="1A4C505E" w14:textId="77777777" w:rsidR="00072A69" w:rsidRPr="00AD28A3" w:rsidRDefault="00072A69" w:rsidP="00AC1F17">
            <w:pPr>
              <w:spacing w:after="0" w:line="240" w:lineRule="auto"/>
              <w:jc w:val="right"/>
              <w:rPr>
                <w:rFonts w:ascii="Arial" w:eastAsia="Times New Roman" w:hAnsi="Arial" w:cs="Arial"/>
                <w:b/>
                <w:bCs/>
                <w:color w:val="000000"/>
                <w:sz w:val="18"/>
                <w:szCs w:val="18"/>
                <w:lang w:eastAsia="sl-SI"/>
              </w:rPr>
            </w:pPr>
            <w:r w:rsidRPr="00AD28A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AD28A3">
              <w:rPr>
                <w:rFonts w:ascii="Arial" w:eastAsia="Times New Roman" w:hAnsi="Arial" w:cs="Arial"/>
                <w:b/>
                <w:bCs/>
                <w:color w:val="000000"/>
                <w:sz w:val="18"/>
                <w:szCs w:val="18"/>
                <w:lang w:eastAsia="sl-SI"/>
              </w:rPr>
              <w:t>%</w:t>
            </w:r>
          </w:p>
        </w:tc>
        <w:tc>
          <w:tcPr>
            <w:tcW w:w="863" w:type="pct"/>
            <w:tcBorders>
              <w:top w:val="nil"/>
              <w:left w:val="nil"/>
              <w:bottom w:val="single" w:sz="4" w:space="0" w:color="auto"/>
              <w:right w:val="single" w:sz="4" w:space="0" w:color="auto"/>
            </w:tcBorders>
            <w:shd w:val="clear" w:color="auto" w:fill="E7E6E6" w:themeFill="background2"/>
            <w:noWrap/>
            <w:vAlign w:val="center"/>
            <w:hideMark/>
          </w:tcPr>
          <w:p w14:paraId="7CB3DE31" w14:textId="77777777" w:rsidR="00072A69" w:rsidRPr="00AD28A3" w:rsidRDefault="00072A69" w:rsidP="00AC1F17">
            <w:pPr>
              <w:spacing w:after="0" w:line="240" w:lineRule="auto"/>
              <w:jc w:val="right"/>
              <w:rPr>
                <w:rFonts w:ascii="Arial" w:eastAsia="Times New Roman" w:hAnsi="Arial" w:cs="Arial"/>
                <w:b/>
                <w:bCs/>
                <w:color w:val="000000"/>
                <w:sz w:val="18"/>
                <w:szCs w:val="18"/>
                <w:lang w:eastAsia="sl-SI"/>
              </w:rPr>
            </w:pPr>
            <w:r w:rsidRPr="00AD28A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AD28A3">
              <w:rPr>
                <w:rFonts w:ascii="Arial" w:eastAsia="Times New Roman" w:hAnsi="Arial" w:cs="Arial"/>
                <w:b/>
                <w:bCs/>
                <w:color w:val="000000"/>
                <w:sz w:val="18"/>
                <w:szCs w:val="18"/>
                <w:lang w:eastAsia="sl-SI"/>
              </w:rPr>
              <w:t>%</w:t>
            </w:r>
          </w:p>
        </w:tc>
      </w:tr>
    </w:tbl>
    <w:p w14:paraId="4BDCC6E7" w14:textId="77777777" w:rsidR="00072A69" w:rsidRPr="00D23EC0" w:rsidRDefault="00072A69" w:rsidP="00072A69">
      <w:pPr>
        <w:rPr>
          <w:rFonts w:ascii="Arial" w:hAnsi="Arial" w:cs="Arial"/>
          <w:b/>
        </w:rPr>
      </w:pPr>
    </w:p>
    <w:p w14:paraId="6FC777F6" w14:textId="02D924B3" w:rsidR="00072A69" w:rsidRPr="00D23EC0" w:rsidRDefault="00D23EC0" w:rsidP="00D23EC0">
      <w:pPr>
        <w:rPr>
          <w:rFonts w:ascii="Arial" w:hAnsi="Arial" w:cs="Arial"/>
          <w:b/>
        </w:rPr>
      </w:pPr>
      <w:r w:rsidRPr="00D23EC0">
        <w:rPr>
          <w:rFonts w:ascii="Arial" w:hAnsi="Arial" w:cs="Arial"/>
          <w:sz w:val="20"/>
          <w:szCs w:val="20"/>
        </w:rPr>
        <w:t xml:space="preserve">Preglednica 108: </w:t>
      </w:r>
      <w:r w:rsidR="00072A69" w:rsidRPr="00D23EC0">
        <w:rPr>
          <w:rFonts w:ascii="Arial" w:hAnsi="Arial" w:cs="Arial"/>
          <w:sz w:val="20"/>
        </w:rPr>
        <w:t>Število in vrednosti ter deleži zelenih naročil glede na predmet naročanja</w:t>
      </w:r>
    </w:p>
    <w:tbl>
      <w:tblPr>
        <w:tblW w:w="5000" w:type="pct"/>
        <w:tblCellMar>
          <w:left w:w="70" w:type="dxa"/>
          <w:right w:w="70" w:type="dxa"/>
        </w:tblCellMar>
        <w:tblLook w:val="04A0" w:firstRow="1" w:lastRow="0" w:firstColumn="1" w:lastColumn="0" w:noHBand="0" w:noVBand="1"/>
      </w:tblPr>
      <w:tblGrid>
        <w:gridCol w:w="1261"/>
        <w:gridCol w:w="1261"/>
        <w:gridCol w:w="1499"/>
        <w:gridCol w:w="1261"/>
        <w:gridCol w:w="1261"/>
        <w:gridCol w:w="1261"/>
        <w:gridCol w:w="1258"/>
      </w:tblGrid>
      <w:tr w:rsidR="00072A69" w:rsidRPr="005A0D8C" w14:paraId="72053454" w14:textId="77777777" w:rsidTr="00AC1F17">
        <w:trPr>
          <w:trHeight w:val="960"/>
        </w:trPr>
        <w:tc>
          <w:tcPr>
            <w:tcW w:w="69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25215B9"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 xml:space="preserve">Predmet </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32182FB4"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Št. zelenih naročil</w:t>
            </w:r>
          </w:p>
        </w:tc>
        <w:tc>
          <w:tcPr>
            <w:tcW w:w="827" w:type="pct"/>
            <w:tcBorders>
              <w:top w:val="single" w:sz="4" w:space="0" w:color="auto"/>
              <w:left w:val="nil"/>
              <w:bottom w:val="single" w:sz="4" w:space="0" w:color="auto"/>
              <w:right w:val="single" w:sz="4" w:space="0" w:color="auto"/>
            </w:tcBorders>
            <w:shd w:val="clear" w:color="000000" w:fill="EDEDED"/>
            <w:vAlign w:val="center"/>
            <w:hideMark/>
          </w:tcPr>
          <w:p w14:paraId="64EAC988"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Pogodbena vrednost</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1E4248A4"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Delež v št. zelenih naročil</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6FE97412"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 xml:space="preserve">Delež v vrednosti zelenih naročil </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6A16D517"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Delež v št. vseh naročil</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08F9CB9E" w14:textId="77777777" w:rsidR="00072A69" w:rsidRPr="005A0D8C" w:rsidRDefault="00072A69" w:rsidP="00AC1F17">
            <w:pPr>
              <w:spacing w:after="0" w:line="240" w:lineRule="auto"/>
              <w:jc w:val="center"/>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Delež v vrednosti vseh naročil</w:t>
            </w:r>
          </w:p>
        </w:tc>
      </w:tr>
      <w:tr w:rsidR="00072A69" w:rsidRPr="005A0D8C" w14:paraId="21317F22" w14:textId="77777777" w:rsidTr="00AC1F17">
        <w:trPr>
          <w:trHeight w:val="300"/>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4CB562BE" w14:textId="77777777" w:rsidR="00072A69" w:rsidRPr="005A0D8C" w:rsidRDefault="00072A69" w:rsidP="00AC1F17">
            <w:pPr>
              <w:spacing w:after="0" w:line="240" w:lineRule="auto"/>
              <w:jc w:val="both"/>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Blago</w:t>
            </w:r>
          </w:p>
        </w:tc>
        <w:tc>
          <w:tcPr>
            <w:tcW w:w="696" w:type="pct"/>
            <w:tcBorders>
              <w:top w:val="nil"/>
              <w:left w:val="nil"/>
              <w:bottom w:val="single" w:sz="4" w:space="0" w:color="auto"/>
              <w:right w:val="single" w:sz="4" w:space="0" w:color="auto"/>
            </w:tcBorders>
            <w:shd w:val="clear" w:color="auto" w:fill="auto"/>
            <w:vAlign w:val="center"/>
            <w:hideMark/>
          </w:tcPr>
          <w:p w14:paraId="6599DFF9"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4.734</w:t>
            </w:r>
          </w:p>
        </w:tc>
        <w:tc>
          <w:tcPr>
            <w:tcW w:w="827" w:type="pct"/>
            <w:tcBorders>
              <w:top w:val="nil"/>
              <w:left w:val="nil"/>
              <w:bottom w:val="single" w:sz="4" w:space="0" w:color="auto"/>
              <w:right w:val="single" w:sz="4" w:space="0" w:color="auto"/>
            </w:tcBorders>
            <w:shd w:val="clear" w:color="auto" w:fill="auto"/>
            <w:vAlign w:val="center"/>
            <w:hideMark/>
          </w:tcPr>
          <w:p w14:paraId="5B324233"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207.167.638</w:t>
            </w:r>
          </w:p>
        </w:tc>
        <w:tc>
          <w:tcPr>
            <w:tcW w:w="696" w:type="pct"/>
            <w:tcBorders>
              <w:top w:val="nil"/>
              <w:left w:val="nil"/>
              <w:bottom w:val="single" w:sz="4" w:space="0" w:color="auto"/>
              <w:right w:val="single" w:sz="4" w:space="0" w:color="auto"/>
            </w:tcBorders>
            <w:shd w:val="clear" w:color="auto" w:fill="auto"/>
            <w:vAlign w:val="center"/>
            <w:hideMark/>
          </w:tcPr>
          <w:p w14:paraId="32228A33"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82,03</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vAlign w:val="center"/>
            <w:hideMark/>
          </w:tcPr>
          <w:p w14:paraId="721CA10A"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37,03</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noWrap/>
            <w:vAlign w:val="center"/>
            <w:hideMark/>
          </w:tcPr>
          <w:p w14:paraId="4F5AE6A8"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28,07</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noWrap/>
            <w:vAlign w:val="center"/>
            <w:hideMark/>
          </w:tcPr>
          <w:p w14:paraId="6D4F95C4"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7,10</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r>
      <w:tr w:rsidR="00072A69" w:rsidRPr="005A0D8C" w14:paraId="77F39FD3" w14:textId="77777777" w:rsidTr="00AC1F17">
        <w:trPr>
          <w:trHeight w:val="300"/>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02E709CE" w14:textId="77777777" w:rsidR="00072A69" w:rsidRPr="005A0D8C" w:rsidRDefault="00072A69" w:rsidP="00AC1F17">
            <w:pPr>
              <w:spacing w:after="0" w:line="240" w:lineRule="auto"/>
              <w:jc w:val="both"/>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Storitve</w:t>
            </w:r>
          </w:p>
        </w:tc>
        <w:tc>
          <w:tcPr>
            <w:tcW w:w="696" w:type="pct"/>
            <w:tcBorders>
              <w:top w:val="nil"/>
              <w:left w:val="nil"/>
              <w:bottom w:val="single" w:sz="4" w:space="0" w:color="auto"/>
              <w:right w:val="single" w:sz="4" w:space="0" w:color="auto"/>
            </w:tcBorders>
            <w:shd w:val="clear" w:color="auto" w:fill="auto"/>
            <w:vAlign w:val="center"/>
            <w:hideMark/>
          </w:tcPr>
          <w:p w14:paraId="746FDE21"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475</w:t>
            </w:r>
          </w:p>
        </w:tc>
        <w:tc>
          <w:tcPr>
            <w:tcW w:w="827" w:type="pct"/>
            <w:tcBorders>
              <w:top w:val="nil"/>
              <w:left w:val="nil"/>
              <w:bottom w:val="single" w:sz="4" w:space="0" w:color="auto"/>
              <w:right w:val="single" w:sz="4" w:space="0" w:color="auto"/>
            </w:tcBorders>
            <w:shd w:val="clear" w:color="auto" w:fill="auto"/>
            <w:vAlign w:val="center"/>
            <w:hideMark/>
          </w:tcPr>
          <w:p w14:paraId="02A97DF9"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73.865.096</w:t>
            </w:r>
          </w:p>
        </w:tc>
        <w:tc>
          <w:tcPr>
            <w:tcW w:w="696" w:type="pct"/>
            <w:tcBorders>
              <w:top w:val="nil"/>
              <w:left w:val="nil"/>
              <w:bottom w:val="single" w:sz="4" w:space="0" w:color="auto"/>
              <w:right w:val="single" w:sz="4" w:space="0" w:color="auto"/>
            </w:tcBorders>
            <w:shd w:val="clear" w:color="auto" w:fill="auto"/>
            <w:vAlign w:val="center"/>
            <w:hideMark/>
          </w:tcPr>
          <w:p w14:paraId="3B5265BE"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8,23</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vAlign w:val="center"/>
            <w:hideMark/>
          </w:tcPr>
          <w:p w14:paraId="6315EAE9"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13,20</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noWrap/>
            <w:vAlign w:val="center"/>
            <w:hideMark/>
          </w:tcPr>
          <w:p w14:paraId="5AE1E906"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2,82</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noWrap/>
            <w:vAlign w:val="center"/>
            <w:hideMark/>
          </w:tcPr>
          <w:p w14:paraId="27B5791A"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2,53</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r>
      <w:tr w:rsidR="00072A69" w:rsidRPr="005A0D8C" w14:paraId="5F5E4376" w14:textId="77777777" w:rsidTr="00AC1F17">
        <w:trPr>
          <w:trHeight w:val="300"/>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5847697F" w14:textId="77777777" w:rsidR="00072A69" w:rsidRPr="005A0D8C" w:rsidRDefault="00072A69" w:rsidP="00AC1F17">
            <w:pPr>
              <w:spacing w:after="0" w:line="240" w:lineRule="auto"/>
              <w:jc w:val="both"/>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Gradnje</w:t>
            </w:r>
          </w:p>
        </w:tc>
        <w:tc>
          <w:tcPr>
            <w:tcW w:w="696" w:type="pct"/>
            <w:tcBorders>
              <w:top w:val="nil"/>
              <w:left w:val="nil"/>
              <w:bottom w:val="single" w:sz="4" w:space="0" w:color="auto"/>
              <w:right w:val="single" w:sz="4" w:space="0" w:color="auto"/>
            </w:tcBorders>
            <w:shd w:val="clear" w:color="auto" w:fill="auto"/>
            <w:vAlign w:val="center"/>
            <w:hideMark/>
          </w:tcPr>
          <w:p w14:paraId="46A7131D"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562</w:t>
            </w:r>
          </w:p>
        </w:tc>
        <w:tc>
          <w:tcPr>
            <w:tcW w:w="827" w:type="pct"/>
            <w:tcBorders>
              <w:top w:val="nil"/>
              <w:left w:val="nil"/>
              <w:bottom w:val="single" w:sz="4" w:space="0" w:color="auto"/>
              <w:right w:val="single" w:sz="4" w:space="0" w:color="auto"/>
            </w:tcBorders>
            <w:shd w:val="clear" w:color="auto" w:fill="auto"/>
            <w:vAlign w:val="center"/>
            <w:hideMark/>
          </w:tcPr>
          <w:p w14:paraId="1295218B"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278.360.982</w:t>
            </w:r>
          </w:p>
        </w:tc>
        <w:tc>
          <w:tcPr>
            <w:tcW w:w="696" w:type="pct"/>
            <w:tcBorders>
              <w:top w:val="nil"/>
              <w:left w:val="nil"/>
              <w:bottom w:val="single" w:sz="4" w:space="0" w:color="auto"/>
              <w:right w:val="single" w:sz="4" w:space="0" w:color="auto"/>
            </w:tcBorders>
            <w:shd w:val="clear" w:color="auto" w:fill="auto"/>
            <w:vAlign w:val="center"/>
            <w:hideMark/>
          </w:tcPr>
          <w:p w14:paraId="7E349B72"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9,74</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vAlign w:val="center"/>
            <w:hideMark/>
          </w:tcPr>
          <w:p w14:paraId="433C6F55"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49,76</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noWrap/>
            <w:vAlign w:val="center"/>
            <w:hideMark/>
          </w:tcPr>
          <w:p w14:paraId="0087E0BB"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3,33</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c>
          <w:tcPr>
            <w:tcW w:w="696" w:type="pct"/>
            <w:tcBorders>
              <w:top w:val="nil"/>
              <w:left w:val="nil"/>
              <w:bottom w:val="single" w:sz="4" w:space="0" w:color="auto"/>
              <w:right w:val="single" w:sz="4" w:space="0" w:color="auto"/>
            </w:tcBorders>
            <w:shd w:val="clear" w:color="auto" w:fill="auto"/>
            <w:noWrap/>
            <w:vAlign w:val="center"/>
            <w:hideMark/>
          </w:tcPr>
          <w:p w14:paraId="77C51908" w14:textId="77777777" w:rsidR="00072A69" w:rsidRPr="005A0D8C" w:rsidRDefault="00072A69" w:rsidP="00AC1F17">
            <w:pPr>
              <w:spacing w:after="0" w:line="240" w:lineRule="auto"/>
              <w:jc w:val="right"/>
              <w:rPr>
                <w:rFonts w:ascii="Arial" w:eastAsia="Times New Roman" w:hAnsi="Arial" w:cs="Arial"/>
                <w:color w:val="000000"/>
                <w:sz w:val="18"/>
                <w:szCs w:val="18"/>
                <w:lang w:eastAsia="sl-SI"/>
              </w:rPr>
            </w:pPr>
            <w:r w:rsidRPr="005A0D8C">
              <w:rPr>
                <w:rFonts w:ascii="Arial" w:eastAsia="Times New Roman" w:hAnsi="Arial" w:cs="Arial"/>
                <w:color w:val="000000"/>
                <w:sz w:val="18"/>
                <w:szCs w:val="18"/>
                <w:lang w:eastAsia="sl-SI"/>
              </w:rPr>
              <w:t>9,54</w:t>
            </w:r>
            <w:r>
              <w:rPr>
                <w:rFonts w:ascii="Arial" w:eastAsia="Times New Roman" w:hAnsi="Arial" w:cs="Arial"/>
                <w:color w:val="000000"/>
                <w:sz w:val="18"/>
                <w:szCs w:val="18"/>
                <w:lang w:eastAsia="sl-SI"/>
              </w:rPr>
              <w:t xml:space="preserve"> </w:t>
            </w:r>
            <w:r w:rsidRPr="005A0D8C">
              <w:rPr>
                <w:rFonts w:ascii="Arial" w:eastAsia="Times New Roman" w:hAnsi="Arial" w:cs="Arial"/>
                <w:color w:val="000000"/>
                <w:sz w:val="18"/>
                <w:szCs w:val="18"/>
                <w:lang w:eastAsia="sl-SI"/>
              </w:rPr>
              <w:t>%</w:t>
            </w:r>
          </w:p>
        </w:tc>
      </w:tr>
      <w:tr w:rsidR="00072A69" w:rsidRPr="005A0D8C" w14:paraId="7F462CF8" w14:textId="77777777" w:rsidTr="00AC1F17">
        <w:trPr>
          <w:trHeight w:val="300"/>
        </w:trPr>
        <w:tc>
          <w:tcPr>
            <w:tcW w:w="695" w:type="pct"/>
            <w:tcBorders>
              <w:top w:val="nil"/>
              <w:left w:val="single" w:sz="4" w:space="0" w:color="auto"/>
              <w:bottom w:val="single" w:sz="4" w:space="0" w:color="auto"/>
              <w:right w:val="single" w:sz="4" w:space="0" w:color="auto"/>
            </w:tcBorders>
            <w:shd w:val="clear" w:color="000000" w:fill="E7E6E6"/>
            <w:vAlign w:val="center"/>
            <w:hideMark/>
          </w:tcPr>
          <w:p w14:paraId="3E4EFF7A" w14:textId="77777777" w:rsidR="00072A69" w:rsidRPr="005A0D8C" w:rsidRDefault="00072A69" w:rsidP="00AC1F17">
            <w:pPr>
              <w:spacing w:after="0" w:line="240" w:lineRule="auto"/>
              <w:jc w:val="both"/>
              <w:rPr>
                <w:rFonts w:ascii="Arial" w:eastAsia="Times New Roman" w:hAnsi="Arial" w:cs="Arial"/>
                <w:b/>
                <w:bCs/>
                <w:color w:val="000000"/>
                <w:sz w:val="18"/>
                <w:szCs w:val="18"/>
                <w:lang w:eastAsia="sl-SI"/>
              </w:rPr>
            </w:pPr>
            <w:r w:rsidRPr="005A0D8C">
              <w:rPr>
                <w:rFonts w:ascii="Arial" w:eastAsia="Times New Roman" w:hAnsi="Arial" w:cs="Arial"/>
                <w:b/>
                <w:bCs/>
                <w:color w:val="000000"/>
                <w:sz w:val="18"/>
                <w:szCs w:val="18"/>
                <w:lang w:eastAsia="sl-SI"/>
              </w:rPr>
              <w:t>Skupaj</w:t>
            </w:r>
          </w:p>
        </w:tc>
        <w:tc>
          <w:tcPr>
            <w:tcW w:w="696" w:type="pct"/>
            <w:tcBorders>
              <w:top w:val="nil"/>
              <w:left w:val="nil"/>
              <w:bottom w:val="single" w:sz="4" w:space="0" w:color="auto"/>
              <w:right w:val="single" w:sz="4" w:space="0" w:color="auto"/>
            </w:tcBorders>
            <w:shd w:val="clear" w:color="000000" w:fill="E7E6E6"/>
            <w:vAlign w:val="center"/>
            <w:hideMark/>
          </w:tcPr>
          <w:p w14:paraId="77ABBD97" w14:textId="77777777" w:rsidR="00072A69" w:rsidRPr="005A0D8C" w:rsidRDefault="00072A69" w:rsidP="00AC1F17">
            <w:pPr>
              <w:spacing w:after="0" w:line="240" w:lineRule="auto"/>
              <w:jc w:val="right"/>
              <w:rPr>
                <w:rFonts w:ascii="Arial" w:eastAsia="Times New Roman" w:hAnsi="Arial" w:cs="Arial"/>
                <w:b/>
                <w:bCs/>
                <w:color w:val="000000"/>
                <w:sz w:val="18"/>
                <w:szCs w:val="18"/>
                <w:lang w:eastAsia="sl-SI"/>
              </w:rPr>
            </w:pPr>
            <w:r w:rsidRPr="005A0D8C">
              <w:rPr>
                <w:rFonts w:ascii="Arial" w:eastAsia="Times New Roman" w:hAnsi="Arial" w:cs="Arial"/>
                <w:b/>
                <w:bCs/>
                <w:color w:val="000000"/>
                <w:sz w:val="18"/>
                <w:szCs w:val="18"/>
                <w:lang w:eastAsia="sl-SI"/>
              </w:rPr>
              <w:t>5.771</w:t>
            </w:r>
          </w:p>
        </w:tc>
        <w:tc>
          <w:tcPr>
            <w:tcW w:w="827" w:type="pct"/>
            <w:tcBorders>
              <w:top w:val="nil"/>
              <w:left w:val="nil"/>
              <w:bottom w:val="single" w:sz="4" w:space="0" w:color="auto"/>
              <w:right w:val="single" w:sz="4" w:space="0" w:color="auto"/>
            </w:tcBorders>
            <w:shd w:val="clear" w:color="000000" w:fill="E7E6E6"/>
            <w:vAlign w:val="center"/>
            <w:hideMark/>
          </w:tcPr>
          <w:p w14:paraId="129534A2" w14:textId="77777777" w:rsidR="00072A69" w:rsidRPr="005A0D8C" w:rsidRDefault="00072A69" w:rsidP="00AC1F17">
            <w:pPr>
              <w:spacing w:after="0" w:line="240" w:lineRule="auto"/>
              <w:jc w:val="right"/>
              <w:rPr>
                <w:rFonts w:ascii="Arial" w:eastAsia="Times New Roman" w:hAnsi="Arial" w:cs="Arial"/>
                <w:b/>
                <w:bCs/>
                <w:color w:val="000000"/>
                <w:sz w:val="18"/>
                <w:szCs w:val="18"/>
                <w:lang w:eastAsia="sl-SI"/>
              </w:rPr>
            </w:pPr>
            <w:r w:rsidRPr="005A0D8C">
              <w:rPr>
                <w:rFonts w:ascii="Arial" w:eastAsia="Times New Roman" w:hAnsi="Arial" w:cs="Arial"/>
                <w:b/>
                <w:bCs/>
                <w:color w:val="000000"/>
                <w:sz w:val="18"/>
                <w:szCs w:val="18"/>
                <w:lang w:eastAsia="sl-SI"/>
              </w:rPr>
              <w:t>559.393.716</w:t>
            </w:r>
          </w:p>
        </w:tc>
        <w:tc>
          <w:tcPr>
            <w:tcW w:w="696" w:type="pct"/>
            <w:tcBorders>
              <w:top w:val="nil"/>
              <w:left w:val="nil"/>
              <w:bottom w:val="single" w:sz="4" w:space="0" w:color="auto"/>
              <w:right w:val="single" w:sz="4" w:space="0" w:color="auto"/>
            </w:tcBorders>
            <w:shd w:val="clear" w:color="000000" w:fill="E7E6E6"/>
            <w:vAlign w:val="center"/>
            <w:hideMark/>
          </w:tcPr>
          <w:p w14:paraId="0110D830" w14:textId="77777777" w:rsidR="00072A69" w:rsidRPr="005A0D8C" w:rsidRDefault="00072A69" w:rsidP="00AC1F17">
            <w:pPr>
              <w:spacing w:after="0" w:line="240" w:lineRule="auto"/>
              <w:jc w:val="right"/>
              <w:rPr>
                <w:rFonts w:ascii="Arial" w:eastAsia="Times New Roman" w:hAnsi="Arial" w:cs="Arial"/>
                <w:b/>
                <w:bCs/>
                <w:color w:val="000000"/>
                <w:sz w:val="18"/>
                <w:szCs w:val="18"/>
                <w:lang w:eastAsia="sl-SI"/>
              </w:rPr>
            </w:pPr>
            <w:r w:rsidRPr="005A0D8C">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5A0D8C">
              <w:rPr>
                <w:rFonts w:ascii="Arial" w:eastAsia="Times New Roman" w:hAnsi="Arial" w:cs="Arial"/>
                <w:b/>
                <w:bCs/>
                <w:color w:val="000000"/>
                <w:sz w:val="18"/>
                <w:szCs w:val="18"/>
                <w:lang w:eastAsia="sl-SI"/>
              </w:rPr>
              <w:t>%</w:t>
            </w:r>
          </w:p>
        </w:tc>
        <w:tc>
          <w:tcPr>
            <w:tcW w:w="696" w:type="pct"/>
            <w:tcBorders>
              <w:top w:val="nil"/>
              <w:left w:val="nil"/>
              <w:bottom w:val="single" w:sz="4" w:space="0" w:color="auto"/>
              <w:right w:val="single" w:sz="4" w:space="0" w:color="auto"/>
            </w:tcBorders>
            <w:shd w:val="clear" w:color="000000" w:fill="E7E6E6"/>
            <w:vAlign w:val="center"/>
            <w:hideMark/>
          </w:tcPr>
          <w:p w14:paraId="7E4258CA" w14:textId="77777777" w:rsidR="00072A69" w:rsidRPr="005A0D8C" w:rsidRDefault="00072A69" w:rsidP="00AC1F17">
            <w:pPr>
              <w:spacing w:after="0" w:line="240" w:lineRule="auto"/>
              <w:jc w:val="right"/>
              <w:rPr>
                <w:rFonts w:ascii="Arial" w:eastAsia="Times New Roman" w:hAnsi="Arial" w:cs="Arial"/>
                <w:b/>
                <w:bCs/>
                <w:color w:val="000000"/>
                <w:sz w:val="18"/>
                <w:szCs w:val="18"/>
                <w:lang w:eastAsia="sl-SI"/>
              </w:rPr>
            </w:pPr>
            <w:r w:rsidRPr="005A0D8C">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5A0D8C">
              <w:rPr>
                <w:rFonts w:ascii="Arial" w:eastAsia="Times New Roman" w:hAnsi="Arial" w:cs="Arial"/>
                <w:b/>
                <w:bCs/>
                <w:color w:val="000000"/>
                <w:sz w:val="18"/>
                <w:szCs w:val="18"/>
                <w:lang w:eastAsia="sl-SI"/>
              </w:rPr>
              <w:t>%</w:t>
            </w:r>
          </w:p>
        </w:tc>
        <w:tc>
          <w:tcPr>
            <w:tcW w:w="696" w:type="pct"/>
            <w:tcBorders>
              <w:top w:val="nil"/>
              <w:left w:val="nil"/>
              <w:bottom w:val="single" w:sz="4" w:space="0" w:color="auto"/>
              <w:right w:val="single" w:sz="4" w:space="0" w:color="auto"/>
            </w:tcBorders>
            <w:shd w:val="clear" w:color="auto" w:fill="E7E6E6" w:themeFill="background2"/>
            <w:noWrap/>
            <w:vAlign w:val="center"/>
            <w:hideMark/>
          </w:tcPr>
          <w:p w14:paraId="525535CB" w14:textId="77777777" w:rsidR="00072A69" w:rsidRPr="005A0D8C" w:rsidRDefault="00072A69" w:rsidP="00AC1F17">
            <w:pPr>
              <w:spacing w:after="0" w:line="240" w:lineRule="auto"/>
              <w:jc w:val="right"/>
              <w:rPr>
                <w:rFonts w:ascii="Arial" w:eastAsia="Times New Roman" w:hAnsi="Arial" w:cs="Arial"/>
                <w:b/>
                <w:color w:val="000000"/>
                <w:sz w:val="18"/>
                <w:szCs w:val="18"/>
                <w:lang w:eastAsia="sl-SI"/>
              </w:rPr>
            </w:pPr>
            <w:r w:rsidRPr="005A0D8C">
              <w:rPr>
                <w:rFonts w:ascii="Arial" w:eastAsia="Times New Roman" w:hAnsi="Arial" w:cs="Arial"/>
                <w:b/>
                <w:color w:val="000000"/>
                <w:sz w:val="18"/>
                <w:szCs w:val="18"/>
                <w:lang w:eastAsia="sl-SI"/>
              </w:rPr>
              <w:t>34,22</w:t>
            </w:r>
            <w:r>
              <w:rPr>
                <w:rFonts w:ascii="Arial" w:eastAsia="Times New Roman" w:hAnsi="Arial" w:cs="Arial"/>
                <w:b/>
                <w:color w:val="000000"/>
                <w:sz w:val="18"/>
                <w:szCs w:val="18"/>
                <w:lang w:eastAsia="sl-SI"/>
              </w:rPr>
              <w:t xml:space="preserve"> </w:t>
            </w:r>
            <w:r w:rsidRPr="005A0D8C">
              <w:rPr>
                <w:rFonts w:ascii="Arial" w:eastAsia="Times New Roman" w:hAnsi="Arial" w:cs="Arial"/>
                <w:b/>
                <w:color w:val="000000"/>
                <w:sz w:val="18"/>
                <w:szCs w:val="18"/>
                <w:lang w:eastAsia="sl-SI"/>
              </w:rPr>
              <w:t>%</w:t>
            </w:r>
          </w:p>
        </w:tc>
        <w:tc>
          <w:tcPr>
            <w:tcW w:w="696" w:type="pct"/>
            <w:tcBorders>
              <w:top w:val="nil"/>
              <w:left w:val="nil"/>
              <w:bottom w:val="single" w:sz="4" w:space="0" w:color="auto"/>
              <w:right w:val="single" w:sz="4" w:space="0" w:color="auto"/>
            </w:tcBorders>
            <w:shd w:val="clear" w:color="auto" w:fill="E7E6E6" w:themeFill="background2"/>
            <w:noWrap/>
            <w:vAlign w:val="center"/>
            <w:hideMark/>
          </w:tcPr>
          <w:p w14:paraId="29FD8E3B" w14:textId="77777777" w:rsidR="00072A69" w:rsidRPr="005A0D8C" w:rsidRDefault="00072A69" w:rsidP="00AC1F17">
            <w:pPr>
              <w:spacing w:after="0" w:line="240" w:lineRule="auto"/>
              <w:jc w:val="right"/>
              <w:rPr>
                <w:rFonts w:ascii="Arial" w:eastAsia="Times New Roman" w:hAnsi="Arial" w:cs="Arial"/>
                <w:b/>
                <w:color w:val="000000"/>
                <w:sz w:val="18"/>
                <w:szCs w:val="18"/>
                <w:lang w:eastAsia="sl-SI"/>
              </w:rPr>
            </w:pPr>
            <w:r w:rsidRPr="005A0D8C">
              <w:rPr>
                <w:rFonts w:ascii="Arial" w:eastAsia="Times New Roman" w:hAnsi="Arial" w:cs="Arial"/>
                <w:b/>
                <w:color w:val="000000"/>
                <w:sz w:val="18"/>
                <w:szCs w:val="18"/>
                <w:lang w:eastAsia="sl-SI"/>
              </w:rPr>
              <w:t>19,17</w:t>
            </w:r>
            <w:r>
              <w:rPr>
                <w:rFonts w:ascii="Arial" w:eastAsia="Times New Roman" w:hAnsi="Arial" w:cs="Arial"/>
                <w:b/>
                <w:color w:val="000000"/>
                <w:sz w:val="18"/>
                <w:szCs w:val="18"/>
                <w:lang w:eastAsia="sl-SI"/>
              </w:rPr>
              <w:t xml:space="preserve"> </w:t>
            </w:r>
            <w:r w:rsidRPr="005A0D8C">
              <w:rPr>
                <w:rFonts w:ascii="Arial" w:eastAsia="Times New Roman" w:hAnsi="Arial" w:cs="Arial"/>
                <w:b/>
                <w:color w:val="000000"/>
                <w:sz w:val="18"/>
                <w:szCs w:val="18"/>
                <w:lang w:eastAsia="sl-SI"/>
              </w:rPr>
              <w:t>%</w:t>
            </w:r>
          </w:p>
        </w:tc>
      </w:tr>
    </w:tbl>
    <w:p w14:paraId="4238277F" w14:textId="77777777" w:rsidR="00072A69" w:rsidRPr="00D23EC0" w:rsidRDefault="00072A69" w:rsidP="00072A69">
      <w:pPr>
        <w:pStyle w:val="Odstavekseznama"/>
        <w:rPr>
          <w:rFonts w:cs="Arial"/>
          <w:b/>
        </w:rPr>
      </w:pPr>
    </w:p>
    <w:p w14:paraId="7F500149" w14:textId="1796D97E" w:rsidR="00072A69" w:rsidRPr="00D23EC0" w:rsidRDefault="00D23EC0" w:rsidP="00D23EC0">
      <w:pPr>
        <w:rPr>
          <w:rFonts w:ascii="Arial" w:hAnsi="Arial" w:cs="Arial"/>
          <w:b/>
        </w:rPr>
      </w:pPr>
      <w:r w:rsidRPr="00D23EC0">
        <w:rPr>
          <w:rFonts w:ascii="Arial" w:hAnsi="Arial" w:cs="Arial"/>
          <w:sz w:val="20"/>
          <w:szCs w:val="20"/>
        </w:rPr>
        <w:t xml:space="preserve">Preglednica 109: </w:t>
      </w:r>
      <w:r w:rsidR="00072A69" w:rsidRPr="00D23EC0">
        <w:rPr>
          <w:rFonts w:ascii="Arial" w:hAnsi="Arial" w:cs="Arial"/>
          <w:sz w:val="20"/>
        </w:rPr>
        <w:t>Število in vrednosti ter deleži zelenih naročil glede na oddelek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574"/>
        <w:gridCol w:w="850"/>
        <w:gridCol w:w="1276"/>
        <w:gridCol w:w="995"/>
        <w:gridCol w:w="991"/>
        <w:gridCol w:w="852"/>
        <w:gridCol w:w="984"/>
      </w:tblGrid>
      <w:tr w:rsidR="00072A69" w:rsidRPr="00141EF9" w14:paraId="1055DA6E" w14:textId="77777777" w:rsidTr="00C320EE">
        <w:trPr>
          <w:trHeight w:val="960"/>
          <w:tblHeader/>
        </w:trPr>
        <w:tc>
          <w:tcPr>
            <w:tcW w:w="298" w:type="pct"/>
            <w:shd w:val="clear" w:color="000000" w:fill="E7E6E6"/>
            <w:noWrap/>
            <w:vAlign w:val="center"/>
            <w:hideMark/>
          </w:tcPr>
          <w:p w14:paraId="3B4E38AB"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CPV koda</w:t>
            </w:r>
          </w:p>
        </w:tc>
        <w:tc>
          <w:tcPr>
            <w:tcW w:w="1420" w:type="pct"/>
            <w:shd w:val="clear" w:color="000000" w:fill="E7E6E6"/>
            <w:noWrap/>
            <w:vAlign w:val="center"/>
            <w:hideMark/>
          </w:tcPr>
          <w:p w14:paraId="42E0C85F"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CPV opis</w:t>
            </w:r>
          </w:p>
        </w:tc>
        <w:tc>
          <w:tcPr>
            <w:tcW w:w="469" w:type="pct"/>
            <w:shd w:val="clear" w:color="000000" w:fill="E7E6E6"/>
            <w:noWrap/>
            <w:vAlign w:val="center"/>
            <w:hideMark/>
          </w:tcPr>
          <w:p w14:paraId="4473AC98"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Št. zelenih naročil</w:t>
            </w:r>
          </w:p>
        </w:tc>
        <w:tc>
          <w:tcPr>
            <w:tcW w:w="704" w:type="pct"/>
            <w:shd w:val="clear" w:color="000000" w:fill="E7E6E6"/>
            <w:noWrap/>
            <w:vAlign w:val="center"/>
            <w:hideMark/>
          </w:tcPr>
          <w:p w14:paraId="24B11305"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Pogodbena vrednost</w:t>
            </w:r>
          </w:p>
        </w:tc>
        <w:tc>
          <w:tcPr>
            <w:tcW w:w="549" w:type="pct"/>
            <w:shd w:val="clear" w:color="000000" w:fill="EDEDED"/>
            <w:vAlign w:val="center"/>
            <w:hideMark/>
          </w:tcPr>
          <w:p w14:paraId="38336B74"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Delež v št. zelenih naročil</w:t>
            </w:r>
          </w:p>
        </w:tc>
        <w:tc>
          <w:tcPr>
            <w:tcW w:w="547" w:type="pct"/>
            <w:shd w:val="clear" w:color="000000" w:fill="EDEDED"/>
            <w:vAlign w:val="center"/>
            <w:hideMark/>
          </w:tcPr>
          <w:p w14:paraId="27AE034E"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 xml:space="preserve">Delež v vrednosti zelenih naročil </w:t>
            </w:r>
          </w:p>
        </w:tc>
        <w:tc>
          <w:tcPr>
            <w:tcW w:w="470" w:type="pct"/>
            <w:shd w:val="clear" w:color="000000" w:fill="EDEDED"/>
            <w:vAlign w:val="center"/>
            <w:hideMark/>
          </w:tcPr>
          <w:p w14:paraId="59C189B9"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Delež v št. vseh naročil</w:t>
            </w:r>
          </w:p>
        </w:tc>
        <w:tc>
          <w:tcPr>
            <w:tcW w:w="543" w:type="pct"/>
            <w:shd w:val="clear" w:color="000000" w:fill="EDEDED"/>
            <w:vAlign w:val="center"/>
            <w:hideMark/>
          </w:tcPr>
          <w:p w14:paraId="70CD557F" w14:textId="77777777" w:rsidR="00072A69" w:rsidRPr="00141EF9" w:rsidRDefault="00072A69" w:rsidP="00AC1F17">
            <w:pPr>
              <w:spacing w:after="0" w:line="240" w:lineRule="auto"/>
              <w:jc w:val="center"/>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Delež v vrednosti vseh naročil</w:t>
            </w:r>
          </w:p>
        </w:tc>
      </w:tr>
      <w:tr w:rsidR="00072A69" w:rsidRPr="00141EF9" w14:paraId="0E4DAD48" w14:textId="77777777" w:rsidTr="00AC1F17">
        <w:trPr>
          <w:trHeight w:val="300"/>
        </w:trPr>
        <w:tc>
          <w:tcPr>
            <w:tcW w:w="298" w:type="pct"/>
            <w:shd w:val="clear" w:color="auto" w:fill="auto"/>
            <w:noWrap/>
            <w:vAlign w:val="center"/>
            <w:hideMark/>
          </w:tcPr>
          <w:p w14:paraId="48A97A03"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w:t>
            </w:r>
          </w:p>
        </w:tc>
        <w:tc>
          <w:tcPr>
            <w:tcW w:w="1420" w:type="pct"/>
            <w:shd w:val="clear" w:color="auto" w:fill="auto"/>
            <w:noWrap/>
            <w:vAlign w:val="center"/>
            <w:hideMark/>
          </w:tcPr>
          <w:p w14:paraId="28BAACF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Kmetijski, ribiški, gozdarski in z njimi povezani proizvodi</w:t>
            </w:r>
          </w:p>
        </w:tc>
        <w:tc>
          <w:tcPr>
            <w:tcW w:w="469" w:type="pct"/>
            <w:shd w:val="clear" w:color="auto" w:fill="auto"/>
            <w:vAlign w:val="center"/>
            <w:hideMark/>
          </w:tcPr>
          <w:p w14:paraId="1C8969F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33</w:t>
            </w:r>
          </w:p>
        </w:tc>
        <w:tc>
          <w:tcPr>
            <w:tcW w:w="704" w:type="pct"/>
            <w:shd w:val="clear" w:color="auto" w:fill="auto"/>
            <w:vAlign w:val="center"/>
            <w:hideMark/>
          </w:tcPr>
          <w:p w14:paraId="5EB2654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1.491.272</w:t>
            </w:r>
          </w:p>
        </w:tc>
        <w:tc>
          <w:tcPr>
            <w:tcW w:w="549" w:type="pct"/>
            <w:shd w:val="clear" w:color="auto" w:fill="auto"/>
            <w:noWrap/>
            <w:vAlign w:val="center"/>
            <w:hideMark/>
          </w:tcPr>
          <w:p w14:paraId="7CE4DC2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2DF230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754EBEF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9020A2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072A69" w:rsidRPr="00141EF9" w14:paraId="3293560A" w14:textId="77777777" w:rsidTr="00AC1F17">
        <w:trPr>
          <w:trHeight w:val="300"/>
        </w:trPr>
        <w:tc>
          <w:tcPr>
            <w:tcW w:w="298" w:type="pct"/>
            <w:shd w:val="clear" w:color="auto" w:fill="auto"/>
            <w:noWrap/>
            <w:vAlign w:val="center"/>
            <w:hideMark/>
          </w:tcPr>
          <w:p w14:paraId="54FD4E77"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w:t>
            </w:r>
          </w:p>
        </w:tc>
        <w:tc>
          <w:tcPr>
            <w:tcW w:w="1420" w:type="pct"/>
            <w:shd w:val="clear" w:color="auto" w:fill="auto"/>
            <w:noWrap/>
            <w:vAlign w:val="center"/>
            <w:hideMark/>
          </w:tcPr>
          <w:p w14:paraId="14B8049F"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Naftni derivati, goriva, električna energija in drugi viri energije</w:t>
            </w:r>
          </w:p>
        </w:tc>
        <w:tc>
          <w:tcPr>
            <w:tcW w:w="469" w:type="pct"/>
            <w:shd w:val="clear" w:color="auto" w:fill="auto"/>
            <w:vAlign w:val="center"/>
            <w:hideMark/>
          </w:tcPr>
          <w:p w14:paraId="729615F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56</w:t>
            </w:r>
          </w:p>
        </w:tc>
        <w:tc>
          <w:tcPr>
            <w:tcW w:w="704" w:type="pct"/>
            <w:shd w:val="clear" w:color="auto" w:fill="auto"/>
            <w:vAlign w:val="center"/>
            <w:hideMark/>
          </w:tcPr>
          <w:p w14:paraId="02D656A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34.251.755</w:t>
            </w:r>
          </w:p>
        </w:tc>
        <w:tc>
          <w:tcPr>
            <w:tcW w:w="549" w:type="pct"/>
            <w:shd w:val="clear" w:color="auto" w:fill="auto"/>
            <w:noWrap/>
            <w:vAlign w:val="center"/>
            <w:hideMark/>
          </w:tcPr>
          <w:p w14:paraId="73C783C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0,97</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4818840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6,12</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6F8ECE3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4894E7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r>
      <w:tr w:rsidR="00072A69" w:rsidRPr="00141EF9" w14:paraId="1503A7E9" w14:textId="77777777" w:rsidTr="00AC1F17">
        <w:trPr>
          <w:trHeight w:val="300"/>
        </w:trPr>
        <w:tc>
          <w:tcPr>
            <w:tcW w:w="298" w:type="pct"/>
            <w:shd w:val="clear" w:color="auto" w:fill="auto"/>
            <w:noWrap/>
            <w:vAlign w:val="center"/>
            <w:hideMark/>
          </w:tcPr>
          <w:p w14:paraId="5958835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15</w:t>
            </w:r>
          </w:p>
        </w:tc>
        <w:tc>
          <w:tcPr>
            <w:tcW w:w="1420" w:type="pct"/>
            <w:shd w:val="clear" w:color="auto" w:fill="auto"/>
            <w:noWrap/>
            <w:vAlign w:val="center"/>
            <w:hideMark/>
          </w:tcPr>
          <w:p w14:paraId="33B2916B"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Živila, pijače, tobačni izdelki in z njimi povezani izdelki</w:t>
            </w:r>
          </w:p>
        </w:tc>
        <w:tc>
          <w:tcPr>
            <w:tcW w:w="469" w:type="pct"/>
            <w:shd w:val="clear" w:color="auto" w:fill="auto"/>
            <w:vAlign w:val="center"/>
            <w:hideMark/>
          </w:tcPr>
          <w:p w14:paraId="64818B4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3.724</w:t>
            </w:r>
          </w:p>
        </w:tc>
        <w:tc>
          <w:tcPr>
            <w:tcW w:w="704" w:type="pct"/>
            <w:shd w:val="clear" w:color="auto" w:fill="auto"/>
            <w:vAlign w:val="center"/>
            <w:hideMark/>
          </w:tcPr>
          <w:p w14:paraId="58C9726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70.017.158</w:t>
            </w:r>
          </w:p>
        </w:tc>
        <w:tc>
          <w:tcPr>
            <w:tcW w:w="549" w:type="pct"/>
            <w:shd w:val="clear" w:color="auto" w:fill="auto"/>
            <w:noWrap/>
            <w:vAlign w:val="center"/>
            <w:hideMark/>
          </w:tcPr>
          <w:p w14:paraId="4337593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64,53</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D66BE3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12,52</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299B398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22,08</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2FA3D0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2,40</w:t>
            </w:r>
            <w:r>
              <w:rPr>
                <w:rFonts w:ascii="Arial" w:eastAsia="Times New Roman" w:hAnsi="Arial" w:cs="Arial"/>
                <w:color w:val="000000"/>
                <w:sz w:val="18"/>
                <w:szCs w:val="18"/>
                <w:lang w:eastAsia="sl-SI"/>
              </w:rPr>
              <w:t xml:space="preserve"> %</w:t>
            </w:r>
          </w:p>
        </w:tc>
      </w:tr>
      <w:tr w:rsidR="00072A69" w:rsidRPr="00141EF9" w14:paraId="71884B30" w14:textId="77777777" w:rsidTr="00AC1F17">
        <w:trPr>
          <w:trHeight w:val="300"/>
        </w:trPr>
        <w:tc>
          <w:tcPr>
            <w:tcW w:w="298" w:type="pct"/>
            <w:shd w:val="clear" w:color="auto" w:fill="auto"/>
            <w:noWrap/>
            <w:vAlign w:val="center"/>
            <w:hideMark/>
          </w:tcPr>
          <w:p w14:paraId="484D46DF"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16</w:t>
            </w:r>
          </w:p>
        </w:tc>
        <w:tc>
          <w:tcPr>
            <w:tcW w:w="1420" w:type="pct"/>
            <w:shd w:val="clear" w:color="auto" w:fill="auto"/>
            <w:noWrap/>
            <w:vAlign w:val="center"/>
            <w:hideMark/>
          </w:tcPr>
          <w:p w14:paraId="57A4BFD0"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Kmetijski stroji</w:t>
            </w:r>
          </w:p>
        </w:tc>
        <w:tc>
          <w:tcPr>
            <w:tcW w:w="469" w:type="pct"/>
            <w:shd w:val="clear" w:color="auto" w:fill="auto"/>
            <w:vAlign w:val="center"/>
            <w:hideMark/>
          </w:tcPr>
          <w:p w14:paraId="665F707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w:t>
            </w:r>
          </w:p>
        </w:tc>
        <w:tc>
          <w:tcPr>
            <w:tcW w:w="704" w:type="pct"/>
            <w:shd w:val="clear" w:color="auto" w:fill="auto"/>
            <w:vAlign w:val="center"/>
            <w:hideMark/>
          </w:tcPr>
          <w:p w14:paraId="766B7B1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624.449</w:t>
            </w:r>
          </w:p>
        </w:tc>
        <w:tc>
          <w:tcPr>
            <w:tcW w:w="549" w:type="pct"/>
            <w:shd w:val="clear" w:color="auto" w:fill="auto"/>
            <w:noWrap/>
            <w:vAlign w:val="center"/>
            <w:hideMark/>
          </w:tcPr>
          <w:p w14:paraId="145F3CF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24B1939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4B77B78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AC7E42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072A69" w:rsidRPr="00141EF9" w14:paraId="3900B662" w14:textId="77777777" w:rsidTr="00AC1F17">
        <w:trPr>
          <w:trHeight w:val="300"/>
        </w:trPr>
        <w:tc>
          <w:tcPr>
            <w:tcW w:w="298" w:type="pct"/>
            <w:shd w:val="clear" w:color="auto" w:fill="auto"/>
            <w:noWrap/>
            <w:vAlign w:val="center"/>
            <w:hideMark/>
          </w:tcPr>
          <w:p w14:paraId="14B951EC"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18</w:t>
            </w:r>
          </w:p>
        </w:tc>
        <w:tc>
          <w:tcPr>
            <w:tcW w:w="1420" w:type="pct"/>
            <w:shd w:val="clear" w:color="auto" w:fill="auto"/>
            <w:noWrap/>
            <w:vAlign w:val="center"/>
            <w:hideMark/>
          </w:tcPr>
          <w:p w14:paraId="24888A5A"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Oblačila, obutev, prtljaga in pribor</w:t>
            </w:r>
          </w:p>
        </w:tc>
        <w:tc>
          <w:tcPr>
            <w:tcW w:w="469" w:type="pct"/>
            <w:shd w:val="clear" w:color="auto" w:fill="auto"/>
            <w:vAlign w:val="center"/>
            <w:hideMark/>
          </w:tcPr>
          <w:p w14:paraId="25305A5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27</w:t>
            </w:r>
          </w:p>
        </w:tc>
        <w:tc>
          <w:tcPr>
            <w:tcW w:w="704" w:type="pct"/>
            <w:shd w:val="clear" w:color="auto" w:fill="auto"/>
            <w:vAlign w:val="center"/>
            <w:hideMark/>
          </w:tcPr>
          <w:p w14:paraId="4B06858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7.789.235</w:t>
            </w:r>
          </w:p>
        </w:tc>
        <w:tc>
          <w:tcPr>
            <w:tcW w:w="549" w:type="pct"/>
            <w:shd w:val="clear" w:color="auto" w:fill="auto"/>
            <w:noWrap/>
            <w:vAlign w:val="center"/>
            <w:hideMark/>
          </w:tcPr>
          <w:p w14:paraId="543EA38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02135C9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1,39</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BD2CBD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0E2D48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072A69" w:rsidRPr="00141EF9" w14:paraId="08FF3A5E" w14:textId="77777777" w:rsidTr="00AC1F17">
        <w:trPr>
          <w:trHeight w:val="300"/>
        </w:trPr>
        <w:tc>
          <w:tcPr>
            <w:tcW w:w="298" w:type="pct"/>
            <w:shd w:val="clear" w:color="auto" w:fill="auto"/>
            <w:noWrap/>
            <w:vAlign w:val="center"/>
            <w:hideMark/>
          </w:tcPr>
          <w:p w14:paraId="6B6197EE"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19</w:t>
            </w:r>
          </w:p>
        </w:tc>
        <w:tc>
          <w:tcPr>
            <w:tcW w:w="1420" w:type="pct"/>
            <w:shd w:val="clear" w:color="auto" w:fill="auto"/>
            <w:noWrap/>
            <w:vAlign w:val="center"/>
            <w:hideMark/>
          </w:tcPr>
          <w:p w14:paraId="1A0E667F"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Usnjeni in tekstilni materiali, plastični in gumijasti materiali</w:t>
            </w:r>
          </w:p>
        </w:tc>
        <w:tc>
          <w:tcPr>
            <w:tcW w:w="469" w:type="pct"/>
            <w:shd w:val="clear" w:color="auto" w:fill="auto"/>
            <w:vAlign w:val="center"/>
            <w:hideMark/>
          </w:tcPr>
          <w:p w14:paraId="357ED24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w:t>
            </w:r>
          </w:p>
        </w:tc>
        <w:tc>
          <w:tcPr>
            <w:tcW w:w="704" w:type="pct"/>
            <w:shd w:val="clear" w:color="auto" w:fill="auto"/>
            <w:vAlign w:val="center"/>
            <w:hideMark/>
          </w:tcPr>
          <w:p w14:paraId="5D56CEB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188.858</w:t>
            </w:r>
          </w:p>
        </w:tc>
        <w:tc>
          <w:tcPr>
            <w:tcW w:w="549" w:type="pct"/>
            <w:shd w:val="clear" w:color="auto" w:fill="auto"/>
            <w:noWrap/>
            <w:vAlign w:val="center"/>
            <w:hideMark/>
          </w:tcPr>
          <w:p w14:paraId="6644BD7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6252B2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0AF6A9A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3D8389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68C51314" w14:textId="77777777" w:rsidTr="00AC1F17">
        <w:trPr>
          <w:trHeight w:val="300"/>
        </w:trPr>
        <w:tc>
          <w:tcPr>
            <w:tcW w:w="298" w:type="pct"/>
            <w:shd w:val="clear" w:color="auto" w:fill="auto"/>
            <w:noWrap/>
            <w:vAlign w:val="center"/>
            <w:hideMark/>
          </w:tcPr>
          <w:p w14:paraId="426EEF4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22</w:t>
            </w:r>
          </w:p>
        </w:tc>
        <w:tc>
          <w:tcPr>
            <w:tcW w:w="1420" w:type="pct"/>
            <w:shd w:val="clear" w:color="auto" w:fill="auto"/>
            <w:noWrap/>
            <w:vAlign w:val="center"/>
            <w:hideMark/>
          </w:tcPr>
          <w:p w14:paraId="34DD78EA"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Tiskano gradivo in z njim povezani izdelki</w:t>
            </w:r>
          </w:p>
        </w:tc>
        <w:tc>
          <w:tcPr>
            <w:tcW w:w="469" w:type="pct"/>
            <w:shd w:val="clear" w:color="auto" w:fill="auto"/>
            <w:vAlign w:val="center"/>
            <w:hideMark/>
          </w:tcPr>
          <w:p w14:paraId="2F747CD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w:t>
            </w:r>
          </w:p>
        </w:tc>
        <w:tc>
          <w:tcPr>
            <w:tcW w:w="704" w:type="pct"/>
            <w:shd w:val="clear" w:color="auto" w:fill="auto"/>
            <w:vAlign w:val="center"/>
            <w:hideMark/>
          </w:tcPr>
          <w:p w14:paraId="22E69AD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219.547</w:t>
            </w:r>
          </w:p>
        </w:tc>
        <w:tc>
          <w:tcPr>
            <w:tcW w:w="549" w:type="pct"/>
            <w:shd w:val="clear" w:color="auto" w:fill="auto"/>
            <w:noWrap/>
            <w:vAlign w:val="center"/>
            <w:hideMark/>
          </w:tcPr>
          <w:p w14:paraId="03CF670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46AF419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4C75235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4D98B6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103E07B8" w14:textId="77777777" w:rsidTr="00AC1F17">
        <w:trPr>
          <w:trHeight w:val="300"/>
        </w:trPr>
        <w:tc>
          <w:tcPr>
            <w:tcW w:w="298" w:type="pct"/>
            <w:shd w:val="clear" w:color="auto" w:fill="auto"/>
            <w:noWrap/>
            <w:vAlign w:val="center"/>
            <w:hideMark/>
          </w:tcPr>
          <w:p w14:paraId="6B79D65B"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24</w:t>
            </w:r>
          </w:p>
        </w:tc>
        <w:tc>
          <w:tcPr>
            <w:tcW w:w="1420" w:type="pct"/>
            <w:shd w:val="clear" w:color="auto" w:fill="auto"/>
            <w:noWrap/>
            <w:vAlign w:val="center"/>
            <w:hideMark/>
          </w:tcPr>
          <w:p w14:paraId="3C215712"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Kemični proizvodi</w:t>
            </w:r>
          </w:p>
        </w:tc>
        <w:tc>
          <w:tcPr>
            <w:tcW w:w="469" w:type="pct"/>
            <w:shd w:val="clear" w:color="auto" w:fill="auto"/>
            <w:vAlign w:val="center"/>
            <w:hideMark/>
          </w:tcPr>
          <w:p w14:paraId="66162AA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w:t>
            </w:r>
          </w:p>
        </w:tc>
        <w:tc>
          <w:tcPr>
            <w:tcW w:w="704" w:type="pct"/>
            <w:shd w:val="clear" w:color="auto" w:fill="auto"/>
            <w:vAlign w:val="center"/>
            <w:hideMark/>
          </w:tcPr>
          <w:p w14:paraId="7B70003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142.000</w:t>
            </w:r>
          </w:p>
        </w:tc>
        <w:tc>
          <w:tcPr>
            <w:tcW w:w="549" w:type="pct"/>
            <w:shd w:val="clear" w:color="auto" w:fill="auto"/>
            <w:noWrap/>
            <w:vAlign w:val="center"/>
            <w:hideMark/>
          </w:tcPr>
          <w:p w14:paraId="12C5483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570917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A8A5FF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9918F9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141EF9" w14:paraId="285A616E" w14:textId="77777777" w:rsidTr="00AC1F17">
        <w:trPr>
          <w:trHeight w:val="300"/>
        </w:trPr>
        <w:tc>
          <w:tcPr>
            <w:tcW w:w="298" w:type="pct"/>
            <w:shd w:val="clear" w:color="auto" w:fill="auto"/>
            <w:noWrap/>
            <w:vAlign w:val="center"/>
            <w:hideMark/>
          </w:tcPr>
          <w:p w14:paraId="36BAE759"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30</w:t>
            </w:r>
          </w:p>
        </w:tc>
        <w:tc>
          <w:tcPr>
            <w:tcW w:w="1420" w:type="pct"/>
            <w:shd w:val="clear" w:color="auto" w:fill="auto"/>
            <w:noWrap/>
            <w:vAlign w:val="center"/>
            <w:hideMark/>
          </w:tcPr>
          <w:p w14:paraId="3B4A227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Pisarniški in računski stroji, oprema in potrebščine, razen pohištva in programskih paketov</w:t>
            </w:r>
          </w:p>
        </w:tc>
        <w:tc>
          <w:tcPr>
            <w:tcW w:w="469" w:type="pct"/>
            <w:shd w:val="clear" w:color="auto" w:fill="auto"/>
            <w:vAlign w:val="center"/>
            <w:hideMark/>
          </w:tcPr>
          <w:p w14:paraId="26180C1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288</w:t>
            </w:r>
          </w:p>
        </w:tc>
        <w:tc>
          <w:tcPr>
            <w:tcW w:w="704" w:type="pct"/>
            <w:shd w:val="clear" w:color="auto" w:fill="auto"/>
            <w:vAlign w:val="center"/>
            <w:hideMark/>
          </w:tcPr>
          <w:p w14:paraId="03957DD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26.159.509</w:t>
            </w:r>
          </w:p>
        </w:tc>
        <w:tc>
          <w:tcPr>
            <w:tcW w:w="549" w:type="pct"/>
            <w:shd w:val="clear" w:color="auto" w:fill="auto"/>
            <w:noWrap/>
            <w:vAlign w:val="center"/>
            <w:hideMark/>
          </w:tcPr>
          <w:p w14:paraId="1908872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4,99</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734CC6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4,68</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F92C6A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1,71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CDC3E9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072A69" w:rsidRPr="00141EF9" w14:paraId="07CA50F2" w14:textId="77777777" w:rsidTr="00AC1F17">
        <w:trPr>
          <w:trHeight w:val="300"/>
        </w:trPr>
        <w:tc>
          <w:tcPr>
            <w:tcW w:w="298" w:type="pct"/>
            <w:shd w:val="clear" w:color="auto" w:fill="auto"/>
            <w:noWrap/>
            <w:vAlign w:val="center"/>
            <w:hideMark/>
          </w:tcPr>
          <w:p w14:paraId="2E587787"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lastRenderedPageBreak/>
              <w:t>31</w:t>
            </w:r>
          </w:p>
        </w:tc>
        <w:tc>
          <w:tcPr>
            <w:tcW w:w="1420" w:type="pct"/>
            <w:shd w:val="clear" w:color="auto" w:fill="auto"/>
            <w:noWrap/>
            <w:vAlign w:val="center"/>
            <w:hideMark/>
          </w:tcPr>
          <w:p w14:paraId="12EE4339"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Električni stroji, aparati, oprema in potrošno blago; razsvetljava</w:t>
            </w:r>
          </w:p>
        </w:tc>
        <w:tc>
          <w:tcPr>
            <w:tcW w:w="469" w:type="pct"/>
            <w:shd w:val="clear" w:color="auto" w:fill="auto"/>
            <w:vAlign w:val="center"/>
            <w:hideMark/>
          </w:tcPr>
          <w:p w14:paraId="599598A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19</w:t>
            </w:r>
          </w:p>
        </w:tc>
        <w:tc>
          <w:tcPr>
            <w:tcW w:w="704" w:type="pct"/>
            <w:shd w:val="clear" w:color="auto" w:fill="auto"/>
            <w:vAlign w:val="center"/>
            <w:hideMark/>
          </w:tcPr>
          <w:p w14:paraId="5B0D37C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5.303.999</w:t>
            </w:r>
          </w:p>
        </w:tc>
        <w:tc>
          <w:tcPr>
            <w:tcW w:w="549" w:type="pct"/>
            <w:shd w:val="clear" w:color="auto" w:fill="auto"/>
            <w:noWrap/>
            <w:vAlign w:val="center"/>
            <w:hideMark/>
          </w:tcPr>
          <w:p w14:paraId="252268C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41946D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48BFB60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DB79B3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072A69" w:rsidRPr="00141EF9" w14:paraId="1B566481" w14:textId="77777777" w:rsidTr="00AC1F17">
        <w:trPr>
          <w:trHeight w:val="300"/>
        </w:trPr>
        <w:tc>
          <w:tcPr>
            <w:tcW w:w="298" w:type="pct"/>
            <w:shd w:val="clear" w:color="auto" w:fill="auto"/>
            <w:noWrap/>
            <w:vAlign w:val="center"/>
            <w:hideMark/>
          </w:tcPr>
          <w:p w14:paraId="778FFDCC"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32</w:t>
            </w:r>
          </w:p>
        </w:tc>
        <w:tc>
          <w:tcPr>
            <w:tcW w:w="1420" w:type="pct"/>
            <w:shd w:val="clear" w:color="auto" w:fill="auto"/>
            <w:noWrap/>
            <w:vAlign w:val="center"/>
            <w:hideMark/>
          </w:tcPr>
          <w:p w14:paraId="6A08698D"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Radijski in televizijski aparati, komunikacijska, telekomunikacijska in z njimi povezana oprema</w:t>
            </w:r>
          </w:p>
        </w:tc>
        <w:tc>
          <w:tcPr>
            <w:tcW w:w="469" w:type="pct"/>
            <w:shd w:val="clear" w:color="auto" w:fill="auto"/>
            <w:vAlign w:val="center"/>
            <w:hideMark/>
          </w:tcPr>
          <w:p w14:paraId="5FC63C88"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8</w:t>
            </w:r>
          </w:p>
        </w:tc>
        <w:tc>
          <w:tcPr>
            <w:tcW w:w="704" w:type="pct"/>
            <w:shd w:val="clear" w:color="auto" w:fill="auto"/>
            <w:vAlign w:val="center"/>
            <w:hideMark/>
          </w:tcPr>
          <w:p w14:paraId="530D265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150.714</w:t>
            </w:r>
          </w:p>
        </w:tc>
        <w:tc>
          <w:tcPr>
            <w:tcW w:w="549" w:type="pct"/>
            <w:shd w:val="clear" w:color="auto" w:fill="auto"/>
            <w:noWrap/>
            <w:vAlign w:val="center"/>
            <w:hideMark/>
          </w:tcPr>
          <w:p w14:paraId="3A84B7E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108F68F8"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68BA9BF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9FEB44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2F20CED8" w14:textId="77777777" w:rsidTr="00AC1F17">
        <w:trPr>
          <w:trHeight w:val="300"/>
        </w:trPr>
        <w:tc>
          <w:tcPr>
            <w:tcW w:w="298" w:type="pct"/>
            <w:shd w:val="clear" w:color="auto" w:fill="auto"/>
            <w:noWrap/>
            <w:vAlign w:val="center"/>
            <w:hideMark/>
          </w:tcPr>
          <w:p w14:paraId="5C5A6D7F"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33</w:t>
            </w:r>
          </w:p>
        </w:tc>
        <w:tc>
          <w:tcPr>
            <w:tcW w:w="1420" w:type="pct"/>
            <w:shd w:val="clear" w:color="auto" w:fill="auto"/>
            <w:noWrap/>
            <w:vAlign w:val="center"/>
            <w:hideMark/>
          </w:tcPr>
          <w:p w14:paraId="142789AA"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Medicinska oprema, farmacevtski izdelki in izdelki za osebno nego</w:t>
            </w:r>
          </w:p>
        </w:tc>
        <w:tc>
          <w:tcPr>
            <w:tcW w:w="469" w:type="pct"/>
            <w:shd w:val="clear" w:color="auto" w:fill="auto"/>
            <w:vAlign w:val="center"/>
            <w:hideMark/>
          </w:tcPr>
          <w:p w14:paraId="4BD9012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29</w:t>
            </w:r>
          </w:p>
        </w:tc>
        <w:tc>
          <w:tcPr>
            <w:tcW w:w="704" w:type="pct"/>
            <w:shd w:val="clear" w:color="auto" w:fill="auto"/>
            <w:vAlign w:val="center"/>
            <w:hideMark/>
          </w:tcPr>
          <w:p w14:paraId="5F0DBFB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2.367.175</w:t>
            </w:r>
          </w:p>
        </w:tc>
        <w:tc>
          <w:tcPr>
            <w:tcW w:w="549" w:type="pct"/>
            <w:shd w:val="clear" w:color="auto" w:fill="auto"/>
            <w:noWrap/>
            <w:vAlign w:val="center"/>
            <w:hideMark/>
          </w:tcPr>
          <w:p w14:paraId="2D815A3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566F2F1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026FA01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F5E48F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072A69" w:rsidRPr="00141EF9" w14:paraId="15EC6344" w14:textId="77777777" w:rsidTr="00AC1F17">
        <w:trPr>
          <w:trHeight w:val="300"/>
        </w:trPr>
        <w:tc>
          <w:tcPr>
            <w:tcW w:w="298" w:type="pct"/>
            <w:shd w:val="clear" w:color="auto" w:fill="auto"/>
            <w:noWrap/>
            <w:vAlign w:val="center"/>
            <w:hideMark/>
          </w:tcPr>
          <w:p w14:paraId="18AC130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34</w:t>
            </w:r>
          </w:p>
        </w:tc>
        <w:tc>
          <w:tcPr>
            <w:tcW w:w="1420" w:type="pct"/>
            <w:shd w:val="clear" w:color="auto" w:fill="auto"/>
            <w:noWrap/>
            <w:vAlign w:val="center"/>
            <w:hideMark/>
          </w:tcPr>
          <w:p w14:paraId="1C62D63A"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Prevozna sredstva in dodatni proizvodi za promet</w:t>
            </w:r>
          </w:p>
        </w:tc>
        <w:tc>
          <w:tcPr>
            <w:tcW w:w="469" w:type="pct"/>
            <w:shd w:val="clear" w:color="auto" w:fill="auto"/>
            <w:vAlign w:val="center"/>
            <w:hideMark/>
          </w:tcPr>
          <w:p w14:paraId="16C12B0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336</w:t>
            </w:r>
          </w:p>
        </w:tc>
        <w:tc>
          <w:tcPr>
            <w:tcW w:w="704" w:type="pct"/>
            <w:shd w:val="clear" w:color="auto" w:fill="auto"/>
            <w:vAlign w:val="center"/>
            <w:hideMark/>
          </w:tcPr>
          <w:p w14:paraId="0B9BF7E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41.742.996</w:t>
            </w:r>
          </w:p>
        </w:tc>
        <w:tc>
          <w:tcPr>
            <w:tcW w:w="549" w:type="pct"/>
            <w:shd w:val="clear" w:color="auto" w:fill="auto"/>
            <w:noWrap/>
            <w:vAlign w:val="center"/>
            <w:hideMark/>
          </w:tcPr>
          <w:p w14:paraId="7982C67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5,82</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2903AF4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7,46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0D66E7C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1,99</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FD628E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1,43</w:t>
            </w:r>
            <w:r>
              <w:rPr>
                <w:rFonts w:ascii="Arial" w:eastAsia="Times New Roman" w:hAnsi="Arial" w:cs="Arial"/>
                <w:color w:val="000000"/>
                <w:sz w:val="18"/>
                <w:szCs w:val="18"/>
                <w:lang w:eastAsia="sl-SI"/>
              </w:rPr>
              <w:t xml:space="preserve"> %</w:t>
            </w:r>
          </w:p>
        </w:tc>
      </w:tr>
      <w:tr w:rsidR="00072A69" w:rsidRPr="00141EF9" w14:paraId="074034C1" w14:textId="77777777" w:rsidTr="00AC1F17">
        <w:trPr>
          <w:trHeight w:val="300"/>
        </w:trPr>
        <w:tc>
          <w:tcPr>
            <w:tcW w:w="298" w:type="pct"/>
            <w:shd w:val="clear" w:color="auto" w:fill="auto"/>
            <w:noWrap/>
            <w:vAlign w:val="center"/>
            <w:hideMark/>
          </w:tcPr>
          <w:p w14:paraId="28A8DB6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35</w:t>
            </w:r>
          </w:p>
        </w:tc>
        <w:tc>
          <w:tcPr>
            <w:tcW w:w="1420" w:type="pct"/>
            <w:shd w:val="clear" w:color="auto" w:fill="auto"/>
            <w:noWrap/>
            <w:vAlign w:val="center"/>
            <w:hideMark/>
          </w:tcPr>
          <w:p w14:paraId="70F5E4FE"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Varnostna, gasilska, policijska in obrambna oprema</w:t>
            </w:r>
          </w:p>
        </w:tc>
        <w:tc>
          <w:tcPr>
            <w:tcW w:w="469" w:type="pct"/>
            <w:shd w:val="clear" w:color="auto" w:fill="auto"/>
            <w:vAlign w:val="center"/>
            <w:hideMark/>
          </w:tcPr>
          <w:p w14:paraId="245ED7A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17</w:t>
            </w:r>
          </w:p>
        </w:tc>
        <w:tc>
          <w:tcPr>
            <w:tcW w:w="704" w:type="pct"/>
            <w:shd w:val="clear" w:color="auto" w:fill="auto"/>
            <w:vAlign w:val="center"/>
            <w:hideMark/>
          </w:tcPr>
          <w:p w14:paraId="6584641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4.863.383</w:t>
            </w:r>
          </w:p>
        </w:tc>
        <w:tc>
          <w:tcPr>
            <w:tcW w:w="549" w:type="pct"/>
            <w:shd w:val="clear" w:color="auto" w:fill="auto"/>
            <w:noWrap/>
            <w:vAlign w:val="center"/>
            <w:hideMark/>
          </w:tcPr>
          <w:p w14:paraId="2301475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031B6F5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0,87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4E8A103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19C60F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072A69" w:rsidRPr="00141EF9" w14:paraId="384718DE" w14:textId="77777777" w:rsidTr="00AC1F17">
        <w:trPr>
          <w:trHeight w:val="300"/>
        </w:trPr>
        <w:tc>
          <w:tcPr>
            <w:tcW w:w="298" w:type="pct"/>
            <w:shd w:val="clear" w:color="auto" w:fill="auto"/>
            <w:noWrap/>
            <w:vAlign w:val="center"/>
            <w:hideMark/>
          </w:tcPr>
          <w:p w14:paraId="453487DC"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37</w:t>
            </w:r>
          </w:p>
        </w:tc>
        <w:tc>
          <w:tcPr>
            <w:tcW w:w="1420" w:type="pct"/>
            <w:shd w:val="clear" w:color="auto" w:fill="auto"/>
            <w:noWrap/>
            <w:vAlign w:val="center"/>
            <w:hideMark/>
          </w:tcPr>
          <w:p w14:paraId="0B4CE229"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Glasbila, športni izdelki, igre, igrače, ročna dela, umetniški materiali in dodatki</w:t>
            </w:r>
          </w:p>
        </w:tc>
        <w:tc>
          <w:tcPr>
            <w:tcW w:w="469" w:type="pct"/>
            <w:shd w:val="clear" w:color="auto" w:fill="auto"/>
            <w:vAlign w:val="center"/>
            <w:hideMark/>
          </w:tcPr>
          <w:p w14:paraId="1F8CED3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8</w:t>
            </w:r>
          </w:p>
        </w:tc>
        <w:tc>
          <w:tcPr>
            <w:tcW w:w="704" w:type="pct"/>
            <w:shd w:val="clear" w:color="auto" w:fill="auto"/>
            <w:vAlign w:val="center"/>
            <w:hideMark/>
          </w:tcPr>
          <w:p w14:paraId="7C74A11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738.622</w:t>
            </w:r>
          </w:p>
        </w:tc>
        <w:tc>
          <w:tcPr>
            <w:tcW w:w="549" w:type="pct"/>
            <w:shd w:val="clear" w:color="auto" w:fill="auto"/>
            <w:noWrap/>
            <w:vAlign w:val="center"/>
            <w:hideMark/>
          </w:tcPr>
          <w:p w14:paraId="2155720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6603917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1F05AC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CD81268"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141EF9" w14:paraId="0E19B190" w14:textId="77777777" w:rsidTr="00AC1F17">
        <w:trPr>
          <w:trHeight w:val="300"/>
        </w:trPr>
        <w:tc>
          <w:tcPr>
            <w:tcW w:w="298" w:type="pct"/>
            <w:shd w:val="clear" w:color="auto" w:fill="auto"/>
            <w:noWrap/>
            <w:vAlign w:val="center"/>
            <w:hideMark/>
          </w:tcPr>
          <w:p w14:paraId="1A91C482"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38</w:t>
            </w:r>
          </w:p>
        </w:tc>
        <w:tc>
          <w:tcPr>
            <w:tcW w:w="1420" w:type="pct"/>
            <w:shd w:val="clear" w:color="auto" w:fill="auto"/>
            <w:noWrap/>
            <w:vAlign w:val="center"/>
            <w:hideMark/>
          </w:tcPr>
          <w:p w14:paraId="652C6A1E"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Laboratorijska, optična in precizna oprema (razen očal)</w:t>
            </w:r>
          </w:p>
        </w:tc>
        <w:tc>
          <w:tcPr>
            <w:tcW w:w="469" w:type="pct"/>
            <w:shd w:val="clear" w:color="auto" w:fill="auto"/>
            <w:vAlign w:val="center"/>
            <w:hideMark/>
          </w:tcPr>
          <w:p w14:paraId="73EFF84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w:t>
            </w:r>
          </w:p>
        </w:tc>
        <w:tc>
          <w:tcPr>
            <w:tcW w:w="704" w:type="pct"/>
            <w:shd w:val="clear" w:color="auto" w:fill="auto"/>
            <w:vAlign w:val="center"/>
            <w:hideMark/>
          </w:tcPr>
          <w:p w14:paraId="5813E36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307.756</w:t>
            </w:r>
          </w:p>
        </w:tc>
        <w:tc>
          <w:tcPr>
            <w:tcW w:w="549" w:type="pct"/>
            <w:shd w:val="clear" w:color="auto" w:fill="auto"/>
            <w:noWrap/>
            <w:vAlign w:val="center"/>
            <w:hideMark/>
          </w:tcPr>
          <w:p w14:paraId="0E06CD3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5FA992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69D3656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DE53B1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79648D09" w14:textId="77777777" w:rsidTr="00AC1F17">
        <w:trPr>
          <w:trHeight w:val="300"/>
        </w:trPr>
        <w:tc>
          <w:tcPr>
            <w:tcW w:w="298" w:type="pct"/>
            <w:shd w:val="clear" w:color="auto" w:fill="auto"/>
            <w:noWrap/>
            <w:vAlign w:val="center"/>
            <w:hideMark/>
          </w:tcPr>
          <w:p w14:paraId="0ABD95B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39</w:t>
            </w:r>
          </w:p>
        </w:tc>
        <w:tc>
          <w:tcPr>
            <w:tcW w:w="1420" w:type="pct"/>
            <w:shd w:val="clear" w:color="auto" w:fill="auto"/>
            <w:noWrap/>
            <w:vAlign w:val="center"/>
            <w:hideMark/>
          </w:tcPr>
          <w:p w14:paraId="2624598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69" w:type="pct"/>
            <w:shd w:val="clear" w:color="auto" w:fill="auto"/>
            <w:vAlign w:val="center"/>
            <w:hideMark/>
          </w:tcPr>
          <w:p w14:paraId="5B8A782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191</w:t>
            </w:r>
          </w:p>
        </w:tc>
        <w:tc>
          <w:tcPr>
            <w:tcW w:w="704" w:type="pct"/>
            <w:shd w:val="clear" w:color="auto" w:fill="auto"/>
            <w:vAlign w:val="center"/>
            <w:hideMark/>
          </w:tcPr>
          <w:p w14:paraId="6A30B5F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14.374.843</w:t>
            </w:r>
          </w:p>
        </w:tc>
        <w:tc>
          <w:tcPr>
            <w:tcW w:w="549" w:type="pct"/>
            <w:shd w:val="clear" w:color="auto" w:fill="auto"/>
            <w:noWrap/>
            <w:vAlign w:val="center"/>
            <w:hideMark/>
          </w:tcPr>
          <w:p w14:paraId="69C2260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3,31</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583A2EE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2,57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4B25B1D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1,13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023D30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0,49</w:t>
            </w:r>
            <w:r>
              <w:rPr>
                <w:rFonts w:ascii="Arial" w:eastAsia="Times New Roman" w:hAnsi="Arial" w:cs="Arial"/>
                <w:color w:val="000000"/>
                <w:sz w:val="18"/>
                <w:szCs w:val="18"/>
                <w:lang w:eastAsia="sl-SI"/>
              </w:rPr>
              <w:t xml:space="preserve"> %</w:t>
            </w:r>
          </w:p>
        </w:tc>
      </w:tr>
      <w:tr w:rsidR="00072A69" w:rsidRPr="00141EF9" w14:paraId="37A584DD" w14:textId="77777777" w:rsidTr="00AC1F17">
        <w:trPr>
          <w:trHeight w:val="300"/>
        </w:trPr>
        <w:tc>
          <w:tcPr>
            <w:tcW w:w="298" w:type="pct"/>
            <w:shd w:val="clear" w:color="auto" w:fill="auto"/>
            <w:noWrap/>
            <w:vAlign w:val="center"/>
            <w:hideMark/>
          </w:tcPr>
          <w:p w14:paraId="21838104"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42</w:t>
            </w:r>
          </w:p>
        </w:tc>
        <w:tc>
          <w:tcPr>
            <w:tcW w:w="1420" w:type="pct"/>
            <w:shd w:val="clear" w:color="auto" w:fill="auto"/>
            <w:noWrap/>
            <w:vAlign w:val="center"/>
            <w:hideMark/>
          </w:tcPr>
          <w:p w14:paraId="4CF94A26"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Industrijski stroji</w:t>
            </w:r>
          </w:p>
        </w:tc>
        <w:tc>
          <w:tcPr>
            <w:tcW w:w="469" w:type="pct"/>
            <w:shd w:val="clear" w:color="auto" w:fill="auto"/>
            <w:vAlign w:val="center"/>
            <w:hideMark/>
          </w:tcPr>
          <w:p w14:paraId="129E698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12</w:t>
            </w:r>
          </w:p>
        </w:tc>
        <w:tc>
          <w:tcPr>
            <w:tcW w:w="704" w:type="pct"/>
            <w:shd w:val="clear" w:color="auto" w:fill="auto"/>
            <w:vAlign w:val="center"/>
            <w:hideMark/>
          </w:tcPr>
          <w:p w14:paraId="62430BB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359.083</w:t>
            </w:r>
          </w:p>
        </w:tc>
        <w:tc>
          <w:tcPr>
            <w:tcW w:w="549" w:type="pct"/>
            <w:shd w:val="clear" w:color="auto" w:fill="auto"/>
            <w:noWrap/>
            <w:vAlign w:val="center"/>
            <w:hideMark/>
          </w:tcPr>
          <w:p w14:paraId="4125B47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5E880CA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245AF01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FBA42E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72A9BA10" w14:textId="77777777" w:rsidTr="00AC1F17">
        <w:trPr>
          <w:trHeight w:val="300"/>
        </w:trPr>
        <w:tc>
          <w:tcPr>
            <w:tcW w:w="298" w:type="pct"/>
            <w:shd w:val="clear" w:color="auto" w:fill="auto"/>
            <w:noWrap/>
            <w:vAlign w:val="center"/>
            <w:hideMark/>
          </w:tcPr>
          <w:p w14:paraId="63E6F02B"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43</w:t>
            </w:r>
          </w:p>
        </w:tc>
        <w:tc>
          <w:tcPr>
            <w:tcW w:w="1420" w:type="pct"/>
            <w:shd w:val="clear" w:color="auto" w:fill="auto"/>
            <w:noWrap/>
            <w:vAlign w:val="center"/>
            <w:hideMark/>
          </w:tcPr>
          <w:p w14:paraId="2D98925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Rudarska, kamnoseška in gradbena oprema</w:t>
            </w:r>
          </w:p>
        </w:tc>
        <w:tc>
          <w:tcPr>
            <w:tcW w:w="469" w:type="pct"/>
            <w:shd w:val="clear" w:color="auto" w:fill="auto"/>
            <w:vAlign w:val="center"/>
            <w:hideMark/>
          </w:tcPr>
          <w:p w14:paraId="5131E818"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w:t>
            </w:r>
          </w:p>
        </w:tc>
        <w:tc>
          <w:tcPr>
            <w:tcW w:w="704" w:type="pct"/>
            <w:shd w:val="clear" w:color="auto" w:fill="auto"/>
            <w:vAlign w:val="center"/>
            <w:hideMark/>
          </w:tcPr>
          <w:p w14:paraId="02A1C32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791.530</w:t>
            </w:r>
          </w:p>
        </w:tc>
        <w:tc>
          <w:tcPr>
            <w:tcW w:w="549" w:type="pct"/>
            <w:shd w:val="clear" w:color="auto" w:fill="auto"/>
            <w:noWrap/>
            <w:vAlign w:val="center"/>
            <w:hideMark/>
          </w:tcPr>
          <w:p w14:paraId="12C962C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52DE2B9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03AB6B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7805E2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141EF9" w14:paraId="132CBFBB" w14:textId="77777777" w:rsidTr="00AC1F17">
        <w:trPr>
          <w:trHeight w:val="300"/>
        </w:trPr>
        <w:tc>
          <w:tcPr>
            <w:tcW w:w="298" w:type="pct"/>
            <w:shd w:val="clear" w:color="auto" w:fill="auto"/>
            <w:noWrap/>
            <w:vAlign w:val="center"/>
            <w:hideMark/>
          </w:tcPr>
          <w:p w14:paraId="7453F03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44</w:t>
            </w:r>
          </w:p>
        </w:tc>
        <w:tc>
          <w:tcPr>
            <w:tcW w:w="1420" w:type="pct"/>
            <w:shd w:val="clear" w:color="auto" w:fill="auto"/>
            <w:noWrap/>
            <w:vAlign w:val="center"/>
            <w:hideMark/>
          </w:tcPr>
          <w:p w14:paraId="533390A6"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Gradbene strukture in materiali; pomožni gradbeni izdelki (razen električnih aparatov)</w:t>
            </w:r>
          </w:p>
        </w:tc>
        <w:tc>
          <w:tcPr>
            <w:tcW w:w="469" w:type="pct"/>
            <w:shd w:val="clear" w:color="auto" w:fill="auto"/>
            <w:vAlign w:val="center"/>
            <w:hideMark/>
          </w:tcPr>
          <w:p w14:paraId="7C41175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w:t>
            </w:r>
          </w:p>
        </w:tc>
        <w:tc>
          <w:tcPr>
            <w:tcW w:w="704" w:type="pct"/>
            <w:shd w:val="clear" w:color="auto" w:fill="auto"/>
            <w:vAlign w:val="center"/>
            <w:hideMark/>
          </w:tcPr>
          <w:p w14:paraId="6828E85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1.698.349</w:t>
            </w:r>
          </w:p>
        </w:tc>
        <w:tc>
          <w:tcPr>
            <w:tcW w:w="549" w:type="pct"/>
            <w:shd w:val="clear" w:color="auto" w:fill="auto"/>
            <w:noWrap/>
            <w:vAlign w:val="center"/>
            <w:hideMark/>
          </w:tcPr>
          <w:p w14:paraId="0466A1D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05B39C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76C35EA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012254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072A69" w:rsidRPr="00141EF9" w14:paraId="55BB082C" w14:textId="77777777" w:rsidTr="00AC1F17">
        <w:trPr>
          <w:trHeight w:val="300"/>
        </w:trPr>
        <w:tc>
          <w:tcPr>
            <w:tcW w:w="298" w:type="pct"/>
            <w:shd w:val="clear" w:color="auto" w:fill="auto"/>
            <w:noWrap/>
            <w:vAlign w:val="center"/>
            <w:hideMark/>
          </w:tcPr>
          <w:p w14:paraId="36C41F7B"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45</w:t>
            </w:r>
          </w:p>
        </w:tc>
        <w:tc>
          <w:tcPr>
            <w:tcW w:w="1420" w:type="pct"/>
            <w:shd w:val="clear" w:color="auto" w:fill="auto"/>
            <w:noWrap/>
            <w:vAlign w:val="center"/>
            <w:hideMark/>
          </w:tcPr>
          <w:p w14:paraId="1CF89484"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Gradbena dela</w:t>
            </w:r>
          </w:p>
        </w:tc>
        <w:tc>
          <w:tcPr>
            <w:tcW w:w="469" w:type="pct"/>
            <w:shd w:val="clear" w:color="auto" w:fill="auto"/>
            <w:vAlign w:val="center"/>
            <w:hideMark/>
          </w:tcPr>
          <w:p w14:paraId="076655D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566</w:t>
            </w:r>
          </w:p>
        </w:tc>
        <w:tc>
          <w:tcPr>
            <w:tcW w:w="704" w:type="pct"/>
            <w:shd w:val="clear" w:color="auto" w:fill="auto"/>
            <w:vAlign w:val="center"/>
            <w:hideMark/>
          </w:tcPr>
          <w:p w14:paraId="7BF7A9F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278.962.639</w:t>
            </w:r>
          </w:p>
        </w:tc>
        <w:tc>
          <w:tcPr>
            <w:tcW w:w="549" w:type="pct"/>
            <w:shd w:val="clear" w:color="auto" w:fill="auto"/>
            <w:noWrap/>
            <w:vAlign w:val="center"/>
            <w:hideMark/>
          </w:tcPr>
          <w:p w14:paraId="67403D8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9,81</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2686156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49,87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00EEE4D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3,36</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7CD9AD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9,56</w:t>
            </w:r>
            <w:r>
              <w:rPr>
                <w:rFonts w:ascii="Arial" w:eastAsia="Times New Roman" w:hAnsi="Arial" w:cs="Arial"/>
                <w:color w:val="000000"/>
                <w:sz w:val="18"/>
                <w:szCs w:val="18"/>
                <w:lang w:eastAsia="sl-SI"/>
              </w:rPr>
              <w:t xml:space="preserve"> %</w:t>
            </w:r>
          </w:p>
        </w:tc>
      </w:tr>
      <w:tr w:rsidR="00072A69" w:rsidRPr="00141EF9" w14:paraId="7972726F" w14:textId="77777777" w:rsidTr="00AC1F17">
        <w:trPr>
          <w:trHeight w:val="300"/>
        </w:trPr>
        <w:tc>
          <w:tcPr>
            <w:tcW w:w="298" w:type="pct"/>
            <w:shd w:val="clear" w:color="auto" w:fill="auto"/>
            <w:noWrap/>
            <w:vAlign w:val="center"/>
            <w:hideMark/>
          </w:tcPr>
          <w:p w14:paraId="033556E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50</w:t>
            </w:r>
          </w:p>
        </w:tc>
        <w:tc>
          <w:tcPr>
            <w:tcW w:w="1420" w:type="pct"/>
            <w:shd w:val="clear" w:color="auto" w:fill="auto"/>
            <w:noWrap/>
            <w:vAlign w:val="center"/>
            <w:hideMark/>
          </w:tcPr>
          <w:p w14:paraId="3053AA5F"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popravila in vzdrževanja</w:t>
            </w:r>
          </w:p>
        </w:tc>
        <w:tc>
          <w:tcPr>
            <w:tcW w:w="469" w:type="pct"/>
            <w:shd w:val="clear" w:color="auto" w:fill="auto"/>
            <w:vAlign w:val="center"/>
            <w:hideMark/>
          </w:tcPr>
          <w:p w14:paraId="14BBB8D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25</w:t>
            </w:r>
          </w:p>
        </w:tc>
        <w:tc>
          <w:tcPr>
            <w:tcW w:w="704" w:type="pct"/>
            <w:shd w:val="clear" w:color="auto" w:fill="auto"/>
            <w:vAlign w:val="center"/>
            <w:hideMark/>
          </w:tcPr>
          <w:p w14:paraId="00ADB3D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3.127.591</w:t>
            </w:r>
          </w:p>
        </w:tc>
        <w:tc>
          <w:tcPr>
            <w:tcW w:w="549" w:type="pct"/>
            <w:shd w:val="clear" w:color="auto" w:fill="auto"/>
            <w:noWrap/>
            <w:vAlign w:val="center"/>
            <w:hideMark/>
          </w:tcPr>
          <w:p w14:paraId="22D831D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5AFDDC6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0,56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57FE319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DC0D32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072A69" w:rsidRPr="00141EF9" w14:paraId="00E15E38" w14:textId="77777777" w:rsidTr="00AC1F17">
        <w:trPr>
          <w:trHeight w:val="300"/>
        </w:trPr>
        <w:tc>
          <w:tcPr>
            <w:tcW w:w="298" w:type="pct"/>
            <w:shd w:val="clear" w:color="auto" w:fill="auto"/>
            <w:noWrap/>
            <w:vAlign w:val="center"/>
            <w:hideMark/>
          </w:tcPr>
          <w:p w14:paraId="369D0DA7"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51</w:t>
            </w:r>
          </w:p>
        </w:tc>
        <w:tc>
          <w:tcPr>
            <w:tcW w:w="1420" w:type="pct"/>
            <w:shd w:val="clear" w:color="auto" w:fill="auto"/>
            <w:noWrap/>
            <w:vAlign w:val="center"/>
            <w:hideMark/>
          </w:tcPr>
          <w:p w14:paraId="422186ED"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inštalacije (razen programske opreme)</w:t>
            </w:r>
          </w:p>
        </w:tc>
        <w:tc>
          <w:tcPr>
            <w:tcW w:w="469" w:type="pct"/>
            <w:shd w:val="clear" w:color="auto" w:fill="auto"/>
            <w:vAlign w:val="center"/>
            <w:hideMark/>
          </w:tcPr>
          <w:p w14:paraId="1B4201F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w:t>
            </w:r>
          </w:p>
        </w:tc>
        <w:tc>
          <w:tcPr>
            <w:tcW w:w="704" w:type="pct"/>
            <w:shd w:val="clear" w:color="auto" w:fill="auto"/>
            <w:vAlign w:val="center"/>
            <w:hideMark/>
          </w:tcPr>
          <w:p w14:paraId="4E52790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891.020</w:t>
            </w:r>
          </w:p>
        </w:tc>
        <w:tc>
          <w:tcPr>
            <w:tcW w:w="549" w:type="pct"/>
            <w:shd w:val="clear" w:color="auto" w:fill="auto"/>
            <w:noWrap/>
            <w:vAlign w:val="center"/>
            <w:hideMark/>
          </w:tcPr>
          <w:p w14:paraId="4CFB18D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57F54C5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787DB98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A447FA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072A69" w:rsidRPr="00141EF9" w14:paraId="2541C0C5" w14:textId="77777777" w:rsidTr="00AC1F17">
        <w:trPr>
          <w:trHeight w:val="300"/>
        </w:trPr>
        <w:tc>
          <w:tcPr>
            <w:tcW w:w="298" w:type="pct"/>
            <w:shd w:val="clear" w:color="auto" w:fill="auto"/>
            <w:noWrap/>
            <w:vAlign w:val="center"/>
            <w:hideMark/>
          </w:tcPr>
          <w:p w14:paraId="60E8413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55</w:t>
            </w:r>
          </w:p>
        </w:tc>
        <w:tc>
          <w:tcPr>
            <w:tcW w:w="1420" w:type="pct"/>
            <w:shd w:val="clear" w:color="auto" w:fill="auto"/>
            <w:noWrap/>
            <w:vAlign w:val="center"/>
            <w:hideMark/>
          </w:tcPr>
          <w:p w14:paraId="4919CD24"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hotelov, restavracij in trgovine na drobno</w:t>
            </w:r>
          </w:p>
        </w:tc>
        <w:tc>
          <w:tcPr>
            <w:tcW w:w="469" w:type="pct"/>
            <w:shd w:val="clear" w:color="auto" w:fill="auto"/>
            <w:vAlign w:val="center"/>
            <w:hideMark/>
          </w:tcPr>
          <w:p w14:paraId="7DDFC94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w:t>
            </w:r>
          </w:p>
        </w:tc>
        <w:tc>
          <w:tcPr>
            <w:tcW w:w="704" w:type="pct"/>
            <w:shd w:val="clear" w:color="auto" w:fill="auto"/>
            <w:vAlign w:val="center"/>
            <w:hideMark/>
          </w:tcPr>
          <w:p w14:paraId="0D3A660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4.649.881</w:t>
            </w:r>
          </w:p>
        </w:tc>
        <w:tc>
          <w:tcPr>
            <w:tcW w:w="549" w:type="pct"/>
            <w:shd w:val="clear" w:color="auto" w:fill="auto"/>
            <w:noWrap/>
            <w:vAlign w:val="center"/>
            <w:hideMark/>
          </w:tcPr>
          <w:p w14:paraId="14696A2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2B1AD9F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0,83</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402903F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089104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072A69" w:rsidRPr="00141EF9" w14:paraId="08575EC8" w14:textId="77777777" w:rsidTr="00AC1F17">
        <w:trPr>
          <w:trHeight w:val="300"/>
        </w:trPr>
        <w:tc>
          <w:tcPr>
            <w:tcW w:w="298" w:type="pct"/>
            <w:shd w:val="clear" w:color="auto" w:fill="auto"/>
            <w:noWrap/>
            <w:vAlign w:val="center"/>
            <w:hideMark/>
          </w:tcPr>
          <w:p w14:paraId="668D04A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60</w:t>
            </w:r>
          </w:p>
        </w:tc>
        <w:tc>
          <w:tcPr>
            <w:tcW w:w="1420" w:type="pct"/>
            <w:shd w:val="clear" w:color="auto" w:fill="auto"/>
            <w:noWrap/>
            <w:vAlign w:val="center"/>
            <w:hideMark/>
          </w:tcPr>
          <w:p w14:paraId="4AF88420"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Prevozne storitve (razen prevoza odpadkov)</w:t>
            </w:r>
          </w:p>
        </w:tc>
        <w:tc>
          <w:tcPr>
            <w:tcW w:w="469" w:type="pct"/>
            <w:shd w:val="clear" w:color="auto" w:fill="auto"/>
            <w:vAlign w:val="center"/>
            <w:hideMark/>
          </w:tcPr>
          <w:p w14:paraId="3AF18EC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42</w:t>
            </w:r>
          </w:p>
        </w:tc>
        <w:tc>
          <w:tcPr>
            <w:tcW w:w="704" w:type="pct"/>
            <w:shd w:val="clear" w:color="auto" w:fill="auto"/>
            <w:vAlign w:val="center"/>
            <w:hideMark/>
          </w:tcPr>
          <w:p w14:paraId="5FFE2E6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2.007.530</w:t>
            </w:r>
          </w:p>
        </w:tc>
        <w:tc>
          <w:tcPr>
            <w:tcW w:w="549" w:type="pct"/>
            <w:shd w:val="clear" w:color="auto" w:fill="auto"/>
            <w:noWrap/>
            <w:vAlign w:val="center"/>
            <w:hideMark/>
          </w:tcPr>
          <w:p w14:paraId="3546BFF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63E65E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52D92C1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07D0C8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072A69" w:rsidRPr="00141EF9" w14:paraId="510FF6E0" w14:textId="77777777" w:rsidTr="00AC1F17">
        <w:trPr>
          <w:trHeight w:val="300"/>
        </w:trPr>
        <w:tc>
          <w:tcPr>
            <w:tcW w:w="298" w:type="pct"/>
            <w:shd w:val="clear" w:color="auto" w:fill="auto"/>
            <w:noWrap/>
            <w:vAlign w:val="center"/>
            <w:hideMark/>
          </w:tcPr>
          <w:p w14:paraId="1ADBE551"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63</w:t>
            </w:r>
          </w:p>
        </w:tc>
        <w:tc>
          <w:tcPr>
            <w:tcW w:w="1420" w:type="pct"/>
            <w:shd w:val="clear" w:color="auto" w:fill="auto"/>
            <w:noWrap/>
            <w:vAlign w:val="center"/>
            <w:hideMark/>
          </w:tcPr>
          <w:p w14:paraId="00F912EC"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Podporne in pomožne prevozne storitve; storitve potovalnih agencij</w:t>
            </w:r>
          </w:p>
        </w:tc>
        <w:tc>
          <w:tcPr>
            <w:tcW w:w="469" w:type="pct"/>
            <w:shd w:val="clear" w:color="auto" w:fill="auto"/>
            <w:vAlign w:val="center"/>
            <w:hideMark/>
          </w:tcPr>
          <w:p w14:paraId="6E57879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w:t>
            </w:r>
          </w:p>
        </w:tc>
        <w:tc>
          <w:tcPr>
            <w:tcW w:w="704" w:type="pct"/>
            <w:shd w:val="clear" w:color="auto" w:fill="auto"/>
            <w:vAlign w:val="center"/>
            <w:hideMark/>
          </w:tcPr>
          <w:p w14:paraId="2EF91A2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49.796</w:t>
            </w:r>
          </w:p>
        </w:tc>
        <w:tc>
          <w:tcPr>
            <w:tcW w:w="549" w:type="pct"/>
            <w:shd w:val="clear" w:color="auto" w:fill="auto"/>
            <w:noWrap/>
            <w:vAlign w:val="center"/>
            <w:hideMark/>
          </w:tcPr>
          <w:p w14:paraId="256DF47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06480A9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14CC084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26613B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141EF9" w14:paraId="5B6DA25E" w14:textId="77777777" w:rsidTr="00AC1F17">
        <w:trPr>
          <w:trHeight w:val="300"/>
        </w:trPr>
        <w:tc>
          <w:tcPr>
            <w:tcW w:w="298" w:type="pct"/>
            <w:shd w:val="clear" w:color="auto" w:fill="auto"/>
            <w:noWrap/>
            <w:vAlign w:val="center"/>
            <w:hideMark/>
          </w:tcPr>
          <w:p w14:paraId="6C7ED8A6"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64</w:t>
            </w:r>
          </w:p>
        </w:tc>
        <w:tc>
          <w:tcPr>
            <w:tcW w:w="1420" w:type="pct"/>
            <w:shd w:val="clear" w:color="auto" w:fill="auto"/>
            <w:noWrap/>
            <w:vAlign w:val="center"/>
            <w:hideMark/>
          </w:tcPr>
          <w:p w14:paraId="594A3A03"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Poštne in telekomunikacijske storitve</w:t>
            </w:r>
          </w:p>
        </w:tc>
        <w:tc>
          <w:tcPr>
            <w:tcW w:w="469" w:type="pct"/>
            <w:shd w:val="clear" w:color="auto" w:fill="auto"/>
            <w:vAlign w:val="center"/>
            <w:hideMark/>
          </w:tcPr>
          <w:p w14:paraId="0FA0598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w:t>
            </w:r>
          </w:p>
        </w:tc>
        <w:tc>
          <w:tcPr>
            <w:tcW w:w="704" w:type="pct"/>
            <w:shd w:val="clear" w:color="auto" w:fill="auto"/>
            <w:vAlign w:val="center"/>
            <w:hideMark/>
          </w:tcPr>
          <w:p w14:paraId="1597AB7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390.458</w:t>
            </w:r>
          </w:p>
        </w:tc>
        <w:tc>
          <w:tcPr>
            <w:tcW w:w="549" w:type="pct"/>
            <w:shd w:val="clear" w:color="auto" w:fill="auto"/>
            <w:noWrap/>
            <w:vAlign w:val="center"/>
            <w:hideMark/>
          </w:tcPr>
          <w:p w14:paraId="7699039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672C77A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2FF6FE7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318BCE1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001DD3C9" w14:textId="77777777" w:rsidTr="00AC1F17">
        <w:trPr>
          <w:trHeight w:val="300"/>
        </w:trPr>
        <w:tc>
          <w:tcPr>
            <w:tcW w:w="298" w:type="pct"/>
            <w:shd w:val="clear" w:color="auto" w:fill="auto"/>
            <w:noWrap/>
            <w:vAlign w:val="center"/>
            <w:hideMark/>
          </w:tcPr>
          <w:p w14:paraId="17FAC67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65</w:t>
            </w:r>
          </w:p>
        </w:tc>
        <w:tc>
          <w:tcPr>
            <w:tcW w:w="1420" w:type="pct"/>
            <w:shd w:val="clear" w:color="auto" w:fill="auto"/>
            <w:noWrap/>
            <w:vAlign w:val="center"/>
            <w:hideMark/>
          </w:tcPr>
          <w:p w14:paraId="0A9CA6AA"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Gospodarske javne službe</w:t>
            </w:r>
          </w:p>
        </w:tc>
        <w:tc>
          <w:tcPr>
            <w:tcW w:w="469" w:type="pct"/>
            <w:shd w:val="clear" w:color="auto" w:fill="auto"/>
            <w:vAlign w:val="center"/>
            <w:hideMark/>
          </w:tcPr>
          <w:p w14:paraId="36B27CA8"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w:t>
            </w:r>
          </w:p>
        </w:tc>
        <w:tc>
          <w:tcPr>
            <w:tcW w:w="704" w:type="pct"/>
            <w:shd w:val="clear" w:color="auto" w:fill="auto"/>
            <w:vAlign w:val="center"/>
            <w:hideMark/>
          </w:tcPr>
          <w:p w14:paraId="78651C0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1.067.840</w:t>
            </w:r>
          </w:p>
        </w:tc>
        <w:tc>
          <w:tcPr>
            <w:tcW w:w="549" w:type="pct"/>
            <w:shd w:val="clear" w:color="auto" w:fill="auto"/>
            <w:noWrap/>
            <w:vAlign w:val="center"/>
            <w:hideMark/>
          </w:tcPr>
          <w:p w14:paraId="59F076E8"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90E779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B100AB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717712E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072A69" w:rsidRPr="00141EF9" w14:paraId="5F6D42BB" w14:textId="77777777" w:rsidTr="00AC1F17">
        <w:trPr>
          <w:trHeight w:val="300"/>
        </w:trPr>
        <w:tc>
          <w:tcPr>
            <w:tcW w:w="298" w:type="pct"/>
            <w:shd w:val="clear" w:color="auto" w:fill="auto"/>
            <w:noWrap/>
            <w:vAlign w:val="center"/>
            <w:hideMark/>
          </w:tcPr>
          <w:p w14:paraId="135276CD"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70</w:t>
            </w:r>
          </w:p>
        </w:tc>
        <w:tc>
          <w:tcPr>
            <w:tcW w:w="1420" w:type="pct"/>
            <w:shd w:val="clear" w:color="auto" w:fill="auto"/>
            <w:noWrap/>
            <w:vAlign w:val="center"/>
            <w:hideMark/>
          </w:tcPr>
          <w:p w14:paraId="5DA45377"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poslovanja z nepremičninami</w:t>
            </w:r>
          </w:p>
        </w:tc>
        <w:tc>
          <w:tcPr>
            <w:tcW w:w="469" w:type="pct"/>
            <w:shd w:val="clear" w:color="auto" w:fill="auto"/>
            <w:vAlign w:val="center"/>
            <w:hideMark/>
          </w:tcPr>
          <w:p w14:paraId="0422DEE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w:t>
            </w:r>
          </w:p>
        </w:tc>
        <w:tc>
          <w:tcPr>
            <w:tcW w:w="704" w:type="pct"/>
            <w:shd w:val="clear" w:color="auto" w:fill="auto"/>
            <w:vAlign w:val="center"/>
            <w:hideMark/>
          </w:tcPr>
          <w:p w14:paraId="48CDBB0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691.609</w:t>
            </w:r>
          </w:p>
        </w:tc>
        <w:tc>
          <w:tcPr>
            <w:tcW w:w="549" w:type="pct"/>
            <w:shd w:val="clear" w:color="auto" w:fill="auto"/>
            <w:noWrap/>
            <w:vAlign w:val="center"/>
            <w:hideMark/>
          </w:tcPr>
          <w:p w14:paraId="178BD79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6ADAF84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6D74752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7BED7E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072A69" w:rsidRPr="00141EF9" w14:paraId="49B3E1D1" w14:textId="77777777" w:rsidTr="00AC1F17">
        <w:trPr>
          <w:trHeight w:val="300"/>
        </w:trPr>
        <w:tc>
          <w:tcPr>
            <w:tcW w:w="298" w:type="pct"/>
            <w:shd w:val="clear" w:color="auto" w:fill="auto"/>
            <w:noWrap/>
            <w:vAlign w:val="center"/>
            <w:hideMark/>
          </w:tcPr>
          <w:p w14:paraId="7DA5F844"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71</w:t>
            </w:r>
          </w:p>
        </w:tc>
        <w:tc>
          <w:tcPr>
            <w:tcW w:w="1420" w:type="pct"/>
            <w:shd w:val="clear" w:color="auto" w:fill="auto"/>
            <w:noWrap/>
            <w:vAlign w:val="center"/>
            <w:hideMark/>
          </w:tcPr>
          <w:p w14:paraId="63323DF7"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Arhitekturne, gradbeniške, inženirske in inšpekcijske storitve</w:t>
            </w:r>
          </w:p>
        </w:tc>
        <w:tc>
          <w:tcPr>
            <w:tcW w:w="469" w:type="pct"/>
            <w:shd w:val="clear" w:color="auto" w:fill="auto"/>
            <w:vAlign w:val="center"/>
            <w:hideMark/>
          </w:tcPr>
          <w:p w14:paraId="198010E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70</w:t>
            </w:r>
          </w:p>
        </w:tc>
        <w:tc>
          <w:tcPr>
            <w:tcW w:w="704" w:type="pct"/>
            <w:shd w:val="clear" w:color="auto" w:fill="auto"/>
            <w:vAlign w:val="center"/>
            <w:hideMark/>
          </w:tcPr>
          <w:p w14:paraId="61158ED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6.737.181</w:t>
            </w:r>
          </w:p>
        </w:tc>
        <w:tc>
          <w:tcPr>
            <w:tcW w:w="549" w:type="pct"/>
            <w:shd w:val="clear" w:color="auto" w:fill="auto"/>
            <w:noWrap/>
            <w:vAlign w:val="center"/>
            <w:hideMark/>
          </w:tcPr>
          <w:p w14:paraId="1316946C"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1,21</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6448A86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527282D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E11534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r>
      <w:tr w:rsidR="00072A69" w:rsidRPr="00141EF9" w14:paraId="497A9D9A" w14:textId="77777777" w:rsidTr="00AC1F17">
        <w:trPr>
          <w:trHeight w:val="300"/>
        </w:trPr>
        <w:tc>
          <w:tcPr>
            <w:tcW w:w="298" w:type="pct"/>
            <w:shd w:val="clear" w:color="auto" w:fill="auto"/>
            <w:noWrap/>
            <w:vAlign w:val="center"/>
            <w:hideMark/>
          </w:tcPr>
          <w:p w14:paraId="14EAFCC6"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72</w:t>
            </w:r>
          </w:p>
        </w:tc>
        <w:tc>
          <w:tcPr>
            <w:tcW w:w="1420" w:type="pct"/>
            <w:shd w:val="clear" w:color="auto" w:fill="auto"/>
            <w:noWrap/>
            <w:vAlign w:val="center"/>
            <w:hideMark/>
          </w:tcPr>
          <w:p w14:paraId="15EFF659"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informacijske tehnologije: svetovanje, razvoj programske opreme, internet in podpora</w:t>
            </w:r>
          </w:p>
        </w:tc>
        <w:tc>
          <w:tcPr>
            <w:tcW w:w="469" w:type="pct"/>
            <w:shd w:val="clear" w:color="auto" w:fill="auto"/>
            <w:vAlign w:val="center"/>
            <w:hideMark/>
          </w:tcPr>
          <w:p w14:paraId="31CA739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w:t>
            </w:r>
          </w:p>
        </w:tc>
        <w:tc>
          <w:tcPr>
            <w:tcW w:w="704" w:type="pct"/>
            <w:shd w:val="clear" w:color="auto" w:fill="auto"/>
            <w:vAlign w:val="center"/>
            <w:hideMark/>
          </w:tcPr>
          <w:p w14:paraId="3EC08D9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1.693.469</w:t>
            </w:r>
          </w:p>
        </w:tc>
        <w:tc>
          <w:tcPr>
            <w:tcW w:w="549" w:type="pct"/>
            <w:shd w:val="clear" w:color="auto" w:fill="auto"/>
            <w:noWrap/>
            <w:vAlign w:val="center"/>
            <w:hideMark/>
          </w:tcPr>
          <w:p w14:paraId="7C03D23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9A52A7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105B6CB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1E65FBD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072A69" w:rsidRPr="00141EF9" w14:paraId="3F211E8C" w14:textId="77777777" w:rsidTr="00AC1F17">
        <w:trPr>
          <w:trHeight w:val="300"/>
        </w:trPr>
        <w:tc>
          <w:tcPr>
            <w:tcW w:w="298" w:type="pct"/>
            <w:shd w:val="clear" w:color="auto" w:fill="auto"/>
            <w:noWrap/>
            <w:vAlign w:val="center"/>
            <w:hideMark/>
          </w:tcPr>
          <w:p w14:paraId="7FFCEF83"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73</w:t>
            </w:r>
          </w:p>
        </w:tc>
        <w:tc>
          <w:tcPr>
            <w:tcW w:w="1420" w:type="pct"/>
            <w:shd w:val="clear" w:color="auto" w:fill="auto"/>
            <w:noWrap/>
            <w:vAlign w:val="center"/>
            <w:hideMark/>
          </w:tcPr>
          <w:p w14:paraId="257D7B3D"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na področju raziskav in razvoja ter s tem povezane svetovalne storitve</w:t>
            </w:r>
          </w:p>
        </w:tc>
        <w:tc>
          <w:tcPr>
            <w:tcW w:w="469" w:type="pct"/>
            <w:shd w:val="clear" w:color="auto" w:fill="auto"/>
            <w:vAlign w:val="center"/>
            <w:hideMark/>
          </w:tcPr>
          <w:p w14:paraId="59ED965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w:t>
            </w:r>
          </w:p>
        </w:tc>
        <w:tc>
          <w:tcPr>
            <w:tcW w:w="704" w:type="pct"/>
            <w:shd w:val="clear" w:color="auto" w:fill="auto"/>
            <w:vAlign w:val="center"/>
            <w:hideMark/>
          </w:tcPr>
          <w:p w14:paraId="0AAE91B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303.283</w:t>
            </w:r>
          </w:p>
        </w:tc>
        <w:tc>
          <w:tcPr>
            <w:tcW w:w="549" w:type="pct"/>
            <w:shd w:val="clear" w:color="auto" w:fill="auto"/>
            <w:noWrap/>
            <w:vAlign w:val="center"/>
            <w:hideMark/>
          </w:tcPr>
          <w:p w14:paraId="661976E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79F2FF5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7A3B7A4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56CE3055"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6F409BDA" w14:textId="77777777" w:rsidTr="00AC1F17">
        <w:trPr>
          <w:trHeight w:val="300"/>
        </w:trPr>
        <w:tc>
          <w:tcPr>
            <w:tcW w:w="298" w:type="pct"/>
            <w:shd w:val="clear" w:color="auto" w:fill="auto"/>
            <w:noWrap/>
            <w:vAlign w:val="center"/>
            <w:hideMark/>
          </w:tcPr>
          <w:p w14:paraId="749DA963"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77</w:t>
            </w:r>
          </w:p>
        </w:tc>
        <w:tc>
          <w:tcPr>
            <w:tcW w:w="1420" w:type="pct"/>
            <w:shd w:val="clear" w:color="auto" w:fill="auto"/>
            <w:noWrap/>
            <w:vAlign w:val="center"/>
            <w:hideMark/>
          </w:tcPr>
          <w:p w14:paraId="5F783492"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 xml:space="preserve">Storitve na področju kmetijstva, gozdarstva, </w:t>
            </w:r>
            <w:r w:rsidRPr="00141EF9">
              <w:rPr>
                <w:rFonts w:ascii="Arial" w:eastAsia="Times New Roman" w:hAnsi="Arial" w:cs="Arial"/>
                <w:color w:val="000000"/>
                <w:sz w:val="18"/>
                <w:szCs w:val="18"/>
                <w:lang w:eastAsia="sl-SI"/>
              </w:rPr>
              <w:lastRenderedPageBreak/>
              <w:t>hortikulture, akvakulture in čebelarstva</w:t>
            </w:r>
          </w:p>
        </w:tc>
        <w:tc>
          <w:tcPr>
            <w:tcW w:w="469" w:type="pct"/>
            <w:shd w:val="clear" w:color="auto" w:fill="auto"/>
            <w:vAlign w:val="center"/>
            <w:hideMark/>
          </w:tcPr>
          <w:p w14:paraId="2185BDC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lastRenderedPageBreak/>
              <w:t>11</w:t>
            </w:r>
          </w:p>
        </w:tc>
        <w:tc>
          <w:tcPr>
            <w:tcW w:w="704" w:type="pct"/>
            <w:shd w:val="clear" w:color="auto" w:fill="auto"/>
            <w:vAlign w:val="center"/>
            <w:hideMark/>
          </w:tcPr>
          <w:p w14:paraId="22CD3A2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3.900.817</w:t>
            </w:r>
          </w:p>
        </w:tc>
        <w:tc>
          <w:tcPr>
            <w:tcW w:w="549" w:type="pct"/>
            <w:shd w:val="clear" w:color="auto" w:fill="auto"/>
            <w:noWrap/>
            <w:vAlign w:val="center"/>
            <w:hideMark/>
          </w:tcPr>
          <w:p w14:paraId="363BD37D"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02D318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50D2276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93EF4C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072A69" w:rsidRPr="00141EF9" w14:paraId="60DEB503" w14:textId="77777777" w:rsidTr="00AC1F17">
        <w:trPr>
          <w:trHeight w:val="300"/>
        </w:trPr>
        <w:tc>
          <w:tcPr>
            <w:tcW w:w="298" w:type="pct"/>
            <w:shd w:val="clear" w:color="auto" w:fill="auto"/>
            <w:noWrap/>
            <w:vAlign w:val="center"/>
            <w:hideMark/>
          </w:tcPr>
          <w:p w14:paraId="1CA7F12F"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79</w:t>
            </w:r>
          </w:p>
        </w:tc>
        <w:tc>
          <w:tcPr>
            <w:tcW w:w="1420" w:type="pct"/>
            <w:shd w:val="clear" w:color="auto" w:fill="auto"/>
            <w:noWrap/>
            <w:vAlign w:val="center"/>
            <w:hideMark/>
          </w:tcPr>
          <w:p w14:paraId="71DC5CA2"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Poslovne storitve: pravo, trženje, svetovanje, zaposlovanje, tiskanje in varnost</w:t>
            </w:r>
          </w:p>
        </w:tc>
        <w:tc>
          <w:tcPr>
            <w:tcW w:w="469" w:type="pct"/>
            <w:shd w:val="clear" w:color="auto" w:fill="auto"/>
            <w:vAlign w:val="center"/>
            <w:hideMark/>
          </w:tcPr>
          <w:p w14:paraId="2DDA946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11</w:t>
            </w:r>
          </w:p>
        </w:tc>
        <w:tc>
          <w:tcPr>
            <w:tcW w:w="704" w:type="pct"/>
            <w:shd w:val="clear" w:color="auto" w:fill="auto"/>
            <w:vAlign w:val="center"/>
            <w:hideMark/>
          </w:tcPr>
          <w:p w14:paraId="357C46C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1.487.396</w:t>
            </w:r>
          </w:p>
        </w:tc>
        <w:tc>
          <w:tcPr>
            <w:tcW w:w="549" w:type="pct"/>
            <w:shd w:val="clear" w:color="auto" w:fill="auto"/>
            <w:noWrap/>
            <w:vAlign w:val="center"/>
            <w:hideMark/>
          </w:tcPr>
          <w:p w14:paraId="7BB50B5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6B805BB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364BA9B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FB9AAE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072A69" w:rsidRPr="00141EF9" w14:paraId="0DCF4F41" w14:textId="77777777" w:rsidTr="00AC1F17">
        <w:trPr>
          <w:trHeight w:val="300"/>
        </w:trPr>
        <w:tc>
          <w:tcPr>
            <w:tcW w:w="298" w:type="pct"/>
            <w:shd w:val="clear" w:color="auto" w:fill="auto"/>
            <w:noWrap/>
            <w:vAlign w:val="center"/>
            <w:hideMark/>
          </w:tcPr>
          <w:p w14:paraId="5AD3246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80</w:t>
            </w:r>
          </w:p>
        </w:tc>
        <w:tc>
          <w:tcPr>
            <w:tcW w:w="1420" w:type="pct"/>
            <w:shd w:val="clear" w:color="auto" w:fill="auto"/>
            <w:noWrap/>
            <w:vAlign w:val="center"/>
            <w:hideMark/>
          </w:tcPr>
          <w:p w14:paraId="71288E55"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izobraževanja in usposabljanja</w:t>
            </w:r>
          </w:p>
        </w:tc>
        <w:tc>
          <w:tcPr>
            <w:tcW w:w="469" w:type="pct"/>
            <w:shd w:val="clear" w:color="auto" w:fill="auto"/>
            <w:vAlign w:val="center"/>
            <w:hideMark/>
          </w:tcPr>
          <w:p w14:paraId="3BE949F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w:t>
            </w:r>
          </w:p>
        </w:tc>
        <w:tc>
          <w:tcPr>
            <w:tcW w:w="704" w:type="pct"/>
            <w:shd w:val="clear" w:color="auto" w:fill="auto"/>
            <w:vAlign w:val="center"/>
            <w:hideMark/>
          </w:tcPr>
          <w:p w14:paraId="7FC66E26"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1.698.480</w:t>
            </w:r>
          </w:p>
        </w:tc>
        <w:tc>
          <w:tcPr>
            <w:tcW w:w="549" w:type="pct"/>
            <w:shd w:val="clear" w:color="auto" w:fill="auto"/>
            <w:noWrap/>
            <w:vAlign w:val="center"/>
            <w:hideMark/>
          </w:tcPr>
          <w:p w14:paraId="7A7CB29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1CDB742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2A04431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008F201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072A69" w:rsidRPr="00141EF9" w14:paraId="6289D56E" w14:textId="77777777" w:rsidTr="00AC1F17">
        <w:trPr>
          <w:trHeight w:val="300"/>
        </w:trPr>
        <w:tc>
          <w:tcPr>
            <w:tcW w:w="298" w:type="pct"/>
            <w:shd w:val="clear" w:color="auto" w:fill="auto"/>
            <w:noWrap/>
            <w:vAlign w:val="center"/>
            <w:hideMark/>
          </w:tcPr>
          <w:p w14:paraId="652020DE"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90</w:t>
            </w:r>
          </w:p>
        </w:tc>
        <w:tc>
          <w:tcPr>
            <w:tcW w:w="1420" w:type="pct"/>
            <w:shd w:val="clear" w:color="auto" w:fill="auto"/>
            <w:noWrap/>
            <w:vAlign w:val="center"/>
            <w:hideMark/>
          </w:tcPr>
          <w:p w14:paraId="1C99C918"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v zvezi z odplakami, odpadki, čiščenjem in okoljem</w:t>
            </w:r>
          </w:p>
        </w:tc>
        <w:tc>
          <w:tcPr>
            <w:tcW w:w="469" w:type="pct"/>
            <w:shd w:val="clear" w:color="auto" w:fill="auto"/>
            <w:vAlign w:val="center"/>
            <w:hideMark/>
          </w:tcPr>
          <w:p w14:paraId="52C450D2"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176</w:t>
            </w:r>
          </w:p>
        </w:tc>
        <w:tc>
          <w:tcPr>
            <w:tcW w:w="704" w:type="pct"/>
            <w:shd w:val="clear" w:color="auto" w:fill="auto"/>
            <w:vAlign w:val="center"/>
            <w:hideMark/>
          </w:tcPr>
          <w:p w14:paraId="505D5D7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34.023.895</w:t>
            </w:r>
          </w:p>
        </w:tc>
        <w:tc>
          <w:tcPr>
            <w:tcW w:w="549" w:type="pct"/>
            <w:shd w:val="clear" w:color="auto" w:fill="auto"/>
            <w:noWrap/>
            <w:vAlign w:val="center"/>
            <w:hideMark/>
          </w:tcPr>
          <w:p w14:paraId="28D825A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3,05</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072A509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6,08</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7D6181A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1,04</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20B889C4"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r>
      <w:tr w:rsidR="00072A69" w:rsidRPr="00141EF9" w14:paraId="3B54D5BE" w14:textId="77777777" w:rsidTr="00AC1F17">
        <w:trPr>
          <w:trHeight w:val="300"/>
        </w:trPr>
        <w:tc>
          <w:tcPr>
            <w:tcW w:w="298" w:type="pct"/>
            <w:shd w:val="clear" w:color="auto" w:fill="auto"/>
            <w:noWrap/>
            <w:vAlign w:val="center"/>
            <w:hideMark/>
          </w:tcPr>
          <w:p w14:paraId="5CCDC3C3"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92</w:t>
            </w:r>
          </w:p>
        </w:tc>
        <w:tc>
          <w:tcPr>
            <w:tcW w:w="1420" w:type="pct"/>
            <w:shd w:val="clear" w:color="auto" w:fill="auto"/>
            <w:noWrap/>
            <w:vAlign w:val="center"/>
            <w:hideMark/>
          </w:tcPr>
          <w:p w14:paraId="5CDBF1C5"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Storitve na področju rekreacije, kulture in športa</w:t>
            </w:r>
          </w:p>
        </w:tc>
        <w:tc>
          <w:tcPr>
            <w:tcW w:w="469" w:type="pct"/>
            <w:shd w:val="clear" w:color="auto" w:fill="auto"/>
            <w:vAlign w:val="center"/>
            <w:hideMark/>
          </w:tcPr>
          <w:p w14:paraId="7CD6FBE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4</w:t>
            </w:r>
          </w:p>
        </w:tc>
        <w:tc>
          <w:tcPr>
            <w:tcW w:w="704" w:type="pct"/>
            <w:shd w:val="clear" w:color="auto" w:fill="auto"/>
            <w:vAlign w:val="center"/>
            <w:hideMark/>
          </w:tcPr>
          <w:p w14:paraId="5E8B28AE"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353.455</w:t>
            </w:r>
          </w:p>
        </w:tc>
        <w:tc>
          <w:tcPr>
            <w:tcW w:w="549" w:type="pct"/>
            <w:shd w:val="clear" w:color="auto" w:fill="auto"/>
            <w:noWrap/>
            <w:vAlign w:val="center"/>
            <w:hideMark/>
          </w:tcPr>
          <w:p w14:paraId="1BA491F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1380D37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503DB6E0"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6A9D9B1F"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072A69" w:rsidRPr="00141EF9" w14:paraId="0317DFDF" w14:textId="77777777" w:rsidTr="00AC1F17">
        <w:trPr>
          <w:trHeight w:val="300"/>
        </w:trPr>
        <w:tc>
          <w:tcPr>
            <w:tcW w:w="298" w:type="pct"/>
            <w:shd w:val="clear" w:color="auto" w:fill="auto"/>
            <w:noWrap/>
            <w:vAlign w:val="center"/>
            <w:hideMark/>
          </w:tcPr>
          <w:p w14:paraId="4098BFED"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98</w:t>
            </w:r>
          </w:p>
        </w:tc>
        <w:tc>
          <w:tcPr>
            <w:tcW w:w="1420" w:type="pct"/>
            <w:shd w:val="clear" w:color="auto" w:fill="auto"/>
            <w:noWrap/>
            <w:vAlign w:val="center"/>
            <w:hideMark/>
          </w:tcPr>
          <w:p w14:paraId="3F07C223" w14:textId="77777777" w:rsidR="00072A69" w:rsidRPr="00141EF9" w:rsidRDefault="00072A69" w:rsidP="00AC1F17">
            <w:pPr>
              <w:spacing w:after="0" w:line="240" w:lineRule="auto"/>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Druge javne, skupne in osebne storitve</w:t>
            </w:r>
          </w:p>
        </w:tc>
        <w:tc>
          <w:tcPr>
            <w:tcW w:w="469" w:type="pct"/>
            <w:shd w:val="clear" w:color="auto" w:fill="auto"/>
            <w:vAlign w:val="center"/>
            <w:hideMark/>
          </w:tcPr>
          <w:p w14:paraId="27AF86CB"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39</w:t>
            </w:r>
          </w:p>
        </w:tc>
        <w:tc>
          <w:tcPr>
            <w:tcW w:w="704" w:type="pct"/>
            <w:shd w:val="clear" w:color="auto" w:fill="auto"/>
            <w:vAlign w:val="center"/>
            <w:hideMark/>
          </w:tcPr>
          <w:p w14:paraId="13D2D791"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3.775.143</w:t>
            </w:r>
          </w:p>
        </w:tc>
        <w:tc>
          <w:tcPr>
            <w:tcW w:w="549" w:type="pct"/>
            <w:shd w:val="clear" w:color="auto" w:fill="auto"/>
            <w:noWrap/>
            <w:vAlign w:val="center"/>
            <w:hideMark/>
          </w:tcPr>
          <w:p w14:paraId="1AA48389"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0,68</w:t>
            </w:r>
            <w:r>
              <w:rPr>
                <w:rFonts w:ascii="Arial" w:eastAsia="Times New Roman" w:hAnsi="Arial" w:cs="Arial"/>
                <w:color w:val="000000"/>
                <w:sz w:val="18"/>
                <w:szCs w:val="18"/>
                <w:lang w:eastAsia="sl-SI"/>
              </w:rPr>
              <w:t xml:space="preserve"> %</w:t>
            </w:r>
          </w:p>
        </w:tc>
        <w:tc>
          <w:tcPr>
            <w:tcW w:w="547" w:type="pct"/>
            <w:shd w:val="clear" w:color="auto" w:fill="auto"/>
            <w:noWrap/>
            <w:vAlign w:val="center"/>
            <w:hideMark/>
          </w:tcPr>
          <w:p w14:paraId="3456D88A"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0,67</w:t>
            </w:r>
            <w:r>
              <w:rPr>
                <w:rFonts w:ascii="Arial" w:eastAsia="Times New Roman" w:hAnsi="Arial" w:cs="Arial"/>
                <w:color w:val="000000"/>
                <w:sz w:val="18"/>
                <w:szCs w:val="18"/>
                <w:lang w:eastAsia="sl-SI"/>
              </w:rPr>
              <w:t xml:space="preserve"> %</w:t>
            </w:r>
          </w:p>
        </w:tc>
        <w:tc>
          <w:tcPr>
            <w:tcW w:w="470" w:type="pct"/>
            <w:shd w:val="clear" w:color="auto" w:fill="auto"/>
            <w:noWrap/>
            <w:vAlign w:val="center"/>
            <w:hideMark/>
          </w:tcPr>
          <w:p w14:paraId="02BE01B3"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543" w:type="pct"/>
            <w:shd w:val="clear" w:color="auto" w:fill="auto"/>
            <w:noWrap/>
            <w:vAlign w:val="center"/>
            <w:hideMark/>
          </w:tcPr>
          <w:p w14:paraId="4E53E227" w14:textId="77777777" w:rsidR="00072A69" w:rsidRPr="00141EF9" w:rsidRDefault="00072A69" w:rsidP="00AC1F17">
            <w:pPr>
              <w:spacing w:after="0" w:line="240" w:lineRule="auto"/>
              <w:jc w:val="right"/>
              <w:rPr>
                <w:rFonts w:ascii="Arial" w:eastAsia="Times New Roman" w:hAnsi="Arial" w:cs="Arial"/>
                <w:color w:val="000000"/>
                <w:sz w:val="18"/>
                <w:szCs w:val="18"/>
                <w:lang w:eastAsia="sl-SI"/>
              </w:rPr>
            </w:pPr>
            <w:r w:rsidRPr="00141EF9">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072A69" w:rsidRPr="00141EF9" w14:paraId="2D6E54C8" w14:textId="77777777" w:rsidTr="00AC1F17">
        <w:trPr>
          <w:trHeight w:val="300"/>
        </w:trPr>
        <w:tc>
          <w:tcPr>
            <w:tcW w:w="1718" w:type="pct"/>
            <w:gridSpan w:val="2"/>
            <w:shd w:val="clear" w:color="000000" w:fill="E7E6E6"/>
            <w:noWrap/>
            <w:vAlign w:val="center"/>
            <w:hideMark/>
          </w:tcPr>
          <w:p w14:paraId="45F40F21" w14:textId="77777777" w:rsidR="00072A69" w:rsidRPr="00141EF9" w:rsidRDefault="00072A69" w:rsidP="00AC1F17">
            <w:pPr>
              <w:spacing w:after="0" w:line="240" w:lineRule="auto"/>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Skupaj</w:t>
            </w:r>
          </w:p>
        </w:tc>
        <w:tc>
          <w:tcPr>
            <w:tcW w:w="469" w:type="pct"/>
            <w:shd w:val="clear" w:color="000000" w:fill="E7E6E6"/>
            <w:noWrap/>
            <w:vAlign w:val="center"/>
            <w:hideMark/>
          </w:tcPr>
          <w:p w14:paraId="3EF549C5" w14:textId="77777777" w:rsidR="00072A69" w:rsidRPr="00141EF9" w:rsidRDefault="00072A69" w:rsidP="00AC1F17">
            <w:pPr>
              <w:spacing w:after="0" w:line="240" w:lineRule="auto"/>
              <w:jc w:val="right"/>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5.771</w:t>
            </w:r>
          </w:p>
        </w:tc>
        <w:tc>
          <w:tcPr>
            <w:tcW w:w="704" w:type="pct"/>
            <w:shd w:val="clear" w:color="000000" w:fill="E7E6E6"/>
            <w:noWrap/>
            <w:vAlign w:val="center"/>
            <w:hideMark/>
          </w:tcPr>
          <w:p w14:paraId="631BE0CF" w14:textId="77777777" w:rsidR="00072A69" w:rsidRPr="00141EF9" w:rsidRDefault="00072A69" w:rsidP="00AC1F17">
            <w:pPr>
              <w:spacing w:after="0" w:line="240" w:lineRule="auto"/>
              <w:jc w:val="right"/>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559.393.716</w:t>
            </w:r>
          </w:p>
        </w:tc>
        <w:tc>
          <w:tcPr>
            <w:tcW w:w="549" w:type="pct"/>
            <w:shd w:val="clear" w:color="auto" w:fill="E7E6E6" w:themeFill="background2"/>
            <w:noWrap/>
            <w:vAlign w:val="center"/>
            <w:hideMark/>
          </w:tcPr>
          <w:p w14:paraId="3F8C41A9" w14:textId="77777777" w:rsidR="00072A69" w:rsidRPr="00141EF9" w:rsidRDefault="00072A69" w:rsidP="00AC1F17">
            <w:pPr>
              <w:spacing w:after="0" w:line="240" w:lineRule="auto"/>
              <w:jc w:val="right"/>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141EF9">
              <w:rPr>
                <w:rFonts w:ascii="Arial" w:eastAsia="Times New Roman" w:hAnsi="Arial" w:cs="Arial"/>
                <w:b/>
                <w:bCs/>
                <w:color w:val="000000"/>
                <w:sz w:val="18"/>
                <w:szCs w:val="18"/>
                <w:lang w:eastAsia="sl-SI"/>
              </w:rPr>
              <w:t>%</w:t>
            </w:r>
          </w:p>
        </w:tc>
        <w:tc>
          <w:tcPr>
            <w:tcW w:w="547" w:type="pct"/>
            <w:shd w:val="clear" w:color="auto" w:fill="E7E6E6" w:themeFill="background2"/>
            <w:noWrap/>
            <w:vAlign w:val="center"/>
            <w:hideMark/>
          </w:tcPr>
          <w:p w14:paraId="02BFCFC8" w14:textId="77777777" w:rsidR="00072A69" w:rsidRPr="00141EF9" w:rsidRDefault="00072A69" w:rsidP="00AC1F17">
            <w:pPr>
              <w:spacing w:after="0" w:line="240" w:lineRule="auto"/>
              <w:jc w:val="right"/>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141EF9">
              <w:rPr>
                <w:rFonts w:ascii="Arial" w:eastAsia="Times New Roman" w:hAnsi="Arial" w:cs="Arial"/>
                <w:b/>
                <w:bCs/>
                <w:color w:val="000000"/>
                <w:sz w:val="18"/>
                <w:szCs w:val="18"/>
                <w:lang w:eastAsia="sl-SI"/>
              </w:rPr>
              <w:t>%</w:t>
            </w:r>
          </w:p>
        </w:tc>
        <w:tc>
          <w:tcPr>
            <w:tcW w:w="470" w:type="pct"/>
            <w:shd w:val="clear" w:color="auto" w:fill="E7E6E6" w:themeFill="background2"/>
            <w:noWrap/>
            <w:vAlign w:val="center"/>
            <w:hideMark/>
          </w:tcPr>
          <w:p w14:paraId="1392E7E7" w14:textId="77777777" w:rsidR="00072A69" w:rsidRPr="00141EF9" w:rsidRDefault="00072A69" w:rsidP="00AC1F17">
            <w:pPr>
              <w:spacing w:after="0" w:line="240" w:lineRule="auto"/>
              <w:jc w:val="right"/>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34,22</w:t>
            </w:r>
            <w:r>
              <w:rPr>
                <w:rFonts w:ascii="Arial" w:eastAsia="Times New Roman" w:hAnsi="Arial" w:cs="Arial"/>
                <w:b/>
                <w:bCs/>
                <w:color w:val="000000"/>
                <w:sz w:val="18"/>
                <w:szCs w:val="18"/>
                <w:lang w:eastAsia="sl-SI"/>
              </w:rPr>
              <w:t xml:space="preserve"> </w:t>
            </w:r>
            <w:r w:rsidRPr="00141EF9">
              <w:rPr>
                <w:rFonts w:ascii="Arial" w:eastAsia="Times New Roman" w:hAnsi="Arial" w:cs="Arial"/>
                <w:b/>
                <w:bCs/>
                <w:color w:val="000000"/>
                <w:sz w:val="18"/>
                <w:szCs w:val="18"/>
                <w:lang w:eastAsia="sl-SI"/>
              </w:rPr>
              <w:t>%</w:t>
            </w:r>
          </w:p>
        </w:tc>
        <w:tc>
          <w:tcPr>
            <w:tcW w:w="543" w:type="pct"/>
            <w:shd w:val="clear" w:color="auto" w:fill="E7E6E6" w:themeFill="background2"/>
            <w:noWrap/>
            <w:vAlign w:val="center"/>
            <w:hideMark/>
          </w:tcPr>
          <w:p w14:paraId="05D73DE6" w14:textId="77777777" w:rsidR="00072A69" w:rsidRPr="00141EF9" w:rsidRDefault="00072A69" w:rsidP="00AC1F17">
            <w:pPr>
              <w:spacing w:after="0" w:line="240" w:lineRule="auto"/>
              <w:jc w:val="right"/>
              <w:rPr>
                <w:rFonts w:ascii="Arial" w:eastAsia="Times New Roman" w:hAnsi="Arial" w:cs="Arial"/>
                <w:b/>
                <w:bCs/>
                <w:color w:val="000000"/>
                <w:sz w:val="18"/>
                <w:szCs w:val="18"/>
                <w:lang w:eastAsia="sl-SI"/>
              </w:rPr>
            </w:pPr>
            <w:r w:rsidRPr="00141EF9">
              <w:rPr>
                <w:rFonts w:ascii="Arial" w:eastAsia="Times New Roman" w:hAnsi="Arial" w:cs="Arial"/>
                <w:b/>
                <w:bCs/>
                <w:color w:val="000000"/>
                <w:sz w:val="18"/>
                <w:szCs w:val="18"/>
                <w:lang w:eastAsia="sl-SI"/>
              </w:rPr>
              <w:t>19,17</w:t>
            </w:r>
            <w:r>
              <w:rPr>
                <w:rFonts w:ascii="Arial" w:eastAsia="Times New Roman" w:hAnsi="Arial" w:cs="Arial"/>
                <w:b/>
                <w:bCs/>
                <w:color w:val="000000"/>
                <w:sz w:val="18"/>
                <w:szCs w:val="18"/>
                <w:lang w:eastAsia="sl-SI"/>
              </w:rPr>
              <w:t xml:space="preserve"> </w:t>
            </w:r>
            <w:r w:rsidRPr="00141EF9">
              <w:rPr>
                <w:rFonts w:ascii="Arial" w:eastAsia="Times New Roman" w:hAnsi="Arial" w:cs="Arial"/>
                <w:b/>
                <w:bCs/>
                <w:color w:val="000000"/>
                <w:sz w:val="18"/>
                <w:szCs w:val="18"/>
                <w:lang w:eastAsia="sl-SI"/>
              </w:rPr>
              <w:t>%</w:t>
            </w:r>
          </w:p>
        </w:tc>
      </w:tr>
    </w:tbl>
    <w:p w14:paraId="7CB74748" w14:textId="77777777" w:rsidR="00072A69" w:rsidRDefault="00072A69" w:rsidP="00072A69">
      <w:pPr>
        <w:pStyle w:val="Odstavekseznama"/>
        <w:rPr>
          <w:rFonts w:cs="Arial"/>
          <w:b/>
        </w:rPr>
      </w:pPr>
    </w:p>
    <w:p w14:paraId="1E369210" w14:textId="421625FA" w:rsidR="00072A69" w:rsidRPr="00D23EC0" w:rsidRDefault="00D23EC0" w:rsidP="00D23EC0">
      <w:pPr>
        <w:rPr>
          <w:rFonts w:ascii="Arial" w:hAnsi="Arial" w:cs="Arial"/>
          <w:b/>
        </w:rPr>
      </w:pPr>
      <w:r w:rsidRPr="00D23EC0">
        <w:rPr>
          <w:rFonts w:ascii="Arial" w:hAnsi="Arial" w:cs="Arial"/>
          <w:sz w:val="20"/>
          <w:szCs w:val="20"/>
        </w:rPr>
        <w:t xml:space="preserve">Preglednica 110: </w:t>
      </w:r>
      <w:r w:rsidR="00072A69" w:rsidRPr="00D23EC0">
        <w:rPr>
          <w:rFonts w:ascii="Arial" w:hAnsi="Arial" w:cs="Arial"/>
          <w:sz w:val="20"/>
        </w:rPr>
        <w:t>Število in vrednosti ter deleži zelenih naročil glede na predmete zelenega javnega naročanja</w:t>
      </w:r>
    </w:p>
    <w:tbl>
      <w:tblPr>
        <w:tblW w:w="5000" w:type="pct"/>
        <w:tblLayout w:type="fixed"/>
        <w:tblCellMar>
          <w:left w:w="70" w:type="dxa"/>
          <w:right w:w="70" w:type="dxa"/>
        </w:tblCellMar>
        <w:tblLook w:val="04A0" w:firstRow="1" w:lastRow="0" w:firstColumn="1" w:lastColumn="0" w:noHBand="0" w:noVBand="1"/>
      </w:tblPr>
      <w:tblGrid>
        <w:gridCol w:w="2830"/>
        <w:gridCol w:w="856"/>
        <w:gridCol w:w="1274"/>
        <w:gridCol w:w="990"/>
        <w:gridCol w:w="993"/>
        <w:gridCol w:w="1133"/>
        <w:gridCol w:w="986"/>
      </w:tblGrid>
      <w:tr w:rsidR="00072A69" w:rsidRPr="00FB65D3" w14:paraId="2878811B" w14:textId="77777777" w:rsidTr="00C320EE">
        <w:trPr>
          <w:trHeight w:val="720"/>
          <w:tblHeader/>
        </w:trPr>
        <w:tc>
          <w:tcPr>
            <w:tcW w:w="15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8E41DC"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Predmeti zelenega javnega naročanja</w:t>
            </w:r>
          </w:p>
        </w:tc>
        <w:tc>
          <w:tcPr>
            <w:tcW w:w="472"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22816ACB"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 xml:space="preserve">Št. </w:t>
            </w:r>
            <w:r>
              <w:rPr>
                <w:rFonts w:ascii="Arial" w:eastAsia="Times New Roman" w:hAnsi="Arial" w:cs="Arial"/>
                <w:color w:val="000000"/>
                <w:sz w:val="18"/>
                <w:szCs w:val="18"/>
                <w:lang w:eastAsia="sl-SI"/>
              </w:rPr>
              <w:t>zelenih naročil</w:t>
            </w:r>
          </w:p>
        </w:tc>
        <w:tc>
          <w:tcPr>
            <w:tcW w:w="703"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59EAA75D"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Pogodbena vrednost</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A238EC7"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Delež v št. vseh naročil</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2922A9"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Delež v vrednosti vseh naročil</w:t>
            </w:r>
          </w:p>
        </w:tc>
        <w:tc>
          <w:tcPr>
            <w:tcW w:w="6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239A58"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Delež v št. zelenih naročil</w:t>
            </w:r>
          </w:p>
        </w:tc>
        <w:tc>
          <w:tcPr>
            <w:tcW w:w="54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E4D97E" w14:textId="77777777" w:rsidR="00072A69" w:rsidRPr="00FB65D3" w:rsidRDefault="00072A69" w:rsidP="00AC1F17">
            <w:pPr>
              <w:spacing w:after="0" w:line="240" w:lineRule="auto"/>
              <w:jc w:val="center"/>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Delež v vrednosti zelenih naročil</w:t>
            </w:r>
          </w:p>
        </w:tc>
      </w:tr>
      <w:tr w:rsidR="00072A69" w:rsidRPr="00FB65D3" w14:paraId="3977CE59"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31FDBA7B"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 = Električna energija</w:t>
            </w:r>
          </w:p>
        </w:tc>
        <w:tc>
          <w:tcPr>
            <w:tcW w:w="472" w:type="pct"/>
            <w:tcBorders>
              <w:top w:val="nil"/>
              <w:left w:val="nil"/>
              <w:bottom w:val="single" w:sz="4" w:space="0" w:color="auto"/>
              <w:right w:val="single" w:sz="4" w:space="0" w:color="auto"/>
            </w:tcBorders>
            <w:shd w:val="clear" w:color="auto" w:fill="auto"/>
            <w:noWrap/>
            <w:vAlign w:val="center"/>
            <w:hideMark/>
          </w:tcPr>
          <w:p w14:paraId="6DE7DA1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180</w:t>
            </w:r>
          </w:p>
        </w:tc>
        <w:tc>
          <w:tcPr>
            <w:tcW w:w="703" w:type="pct"/>
            <w:tcBorders>
              <w:top w:val="nil"/>
              <w:left w:val="nil"/>
              <w:bottom w:val="single" w:sz="4" w:space="0" w:color="auto"/>
              <w:right w:val="single" w:sz="4" w:space="0" w:color="auto"/>
            </w:tcBorders>
            <w:shd w:val="clear" w:color="auto" w:fill="auto"/>
            <w:noWrap/>
            <w:vAlign w:val="center"/>
            <w:hideMark/>
          </w:tcPr>
          <w:p w14:paraId="72A5D92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60.310.178</w:t>
            </w:r>
          </w:p>
        </w:tc>
        <w:tc>
          <w:tcPr>
            <w:tcW w:w="546" w:type="pct"/>
            <w:tcBorders>
              <w:top w:val="nil"/>
              <w:left w:val="nil"/>
              <w:bottom w:val="single" w:sz="4" w:space="0" w:color="auto"/>
              <w:right w:val="single" w:sz="4" w:space="0" w:color="auto"/>
            </w:tcBorders>
            <w:shd w:val="clear" w:color="auto" w:fill="auto"/>
            <w:noWrap/>
            <w:vAlign w:val="center"/>
            <w:hideMark/>
          </w:tcPr>
          <w:p w14:paraId="5F8792B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1,07</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6F154F1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2,07</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1F8773C1"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2A7083A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10,78</w:t>
            </w:r>
            <w:r>
              <w:rPr>
                <w:rFonts w:ascii="Arial" w:eastAsia="Times New Roman" w:hAnsi="Arial" w:cs="Arial"/>
                <w:color w:val="000000"/>
                <w:sz w:val="18"/>
                <w:szCs w:val="18"/>
                <w:lang w:eastAsia="sl-SI"/>
              </w:rPr>
              <w:t xml:space="preserve"> %</w:t>
            </w:r>
          </w:p>
        </w:tc>
      </w:tr>
      <w:tr w:rsidR="00072A69" w:rsidRPr="00FB65D3" w14:paraId="640F66C1"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44341203"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 = Živila in gostinske storitve</w:t>
            </w:r>
          </w:p>
        </w:tc>
        <w:tc>
          <w:tcPr>
            <w:tcW w:w="472" w:type="pct"/>
            <w:tcBorders>
              <w:top w:val="nil"/>
              <w:left w:val="nil"/>
              <w:bottom w:val="single" w:sz="4" w:space="0" w:color="auto"/>
              <w:right w:val="single" w:sz="4" w:space="0" w:color="auto"/>
            </w:tcBorders>
            <w:shd w:val="clear" w:color="auto" w:fill="auto"/>
            <w:noWrap/>
            <w:vAlign w:val="center"/>
            <w:hideMark/>
          </w:tcPr>
          <w:p w14:paraId="1CA3C33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4.770</w:t>
            </w:r>
          </w:p>
        </w:tc>
        <w:tc>
          <w:tcPr>
            <w:tcW w:w="703" w:type="pct"/>
            <w:tcBorders>
              <w:top w:val="nil"/>
              <w:left w:val="nil"/>
              <w:bottom w:val="single" w:sz="4" w:space="0" w:color="auto"/>
              <w:right w:val="single" w:sz="4" w:space="0" w:color="auto"/>
            </w:tcBorders>
            <w:shd w:val="clear" w:color="auto" w:fill="auto"/>
            <w:noWrap/>
            <w:vAlign w:val="center"/>
            <w:hideMark/>
          </w:tcPr>
          <w:p w14:paraId="51853C2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101.334.931</w:t>
            </w:r>
          </w:p>
        </w:tc>
        <w:tc>
          <w:tcPr>
            <w:tcW w:w="546" w:type="pct"/>
            <w:tcBorders>
              <w:top w:val="nil"/>
              <w:left w:val="nil"/>
              <w:bottom w:val="single" w:sz="4" w:space="0" w:color="auto"/>
              <w:right w:val="single" w:sz="4" w:space="0" w:color="auto"/>
            </w:tcBorders>
            <w:shd w:val="clear" w:color="auto" w:fill="auto"/>
            <w:noWrap/>
            <w:vAlign w:val="center"/>
            <w:hideMark/>
          </w:tcPr>
          <w:p w14:paraId="7F613A7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28,28</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00DF8EC"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3,47</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4313470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82,65</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5598DAD1"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18,12</w:t>
            </w:r>
            <w:r>
              <w:rPr>
                <w:rFonts w:ascii="Arial" w:eastAsia="Times New Roman" w:hAnsi="Arial" w:cs="Arial"/>
                <w:color w:val="000000"/>
                <w:sz w:val="18"/>
                <w:szCs w:val="18"/>
                <w:lang w:eastAsia="sl-SI"/>
              </w:rPr>
              <w:t xml:space="preserve"> %</w:t>
            </w:r>
          </w:p>
        </w:tc>
      </w:tr>
      <w:tr w:rsidR="00072A69" w:rsidRPr="00FB65D3" w14:paraId="1381D46F"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3DE5EA5B"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 = Pisarniški papir in higienski papirnati izdelki</w:t>
            </w:r>
          </w:p>
        </w:tc>
        <w:tc>
          <w:tcPr>
            <w:tcW w:w="472" w:type="pct"/>
            <w:tcBorders>
              <w:top w:val="nil"/>
              <w:left w:val="nil"/>
              <w:bottom w:val="single" w:sz="4" w:space="0" w:color="auto"/>
              <w:right w:val="single" w:sz="4" w:space="0" w:color="auto"/>
            </w:tcBorders>
            <w:shd w:val="clear" w:color="auto" w:fill="auto"/>
            <w:noWrap/>
            <w:vAlign w:val="center"/>
            <w:hideMark/>
          </w:tcPr>
          <w:p w14:paraId="385C82A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90</w:t>
            </w:r>
          </w:p>
        </w:tc>
        <w:tc>
          <w:tcPr>
            <w:tcW w:w="703" w:type="pct"/>
            <w:tcBorders>
              <w:top w:val="nil"/>
              <w:left w:val="nil"/>
              <w:bottom w:val="single" w:sz="4" w:space="0" w:color="auto"/>
              <w:right w:val="single" w:sz="4" w:space="0" w:color="auto"/>
            </w:tcBorders>
            <w:shd w:val="clear" w:color="auto" w:fill="auto"/>
            <w:noWrap/>
            <w:vAlign w:val="center"/>
            <w:hideMark/>
          </w:tcPr>
          <w:p w14:paraId="500CC8C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8.507.738</w:t>
            </w:r>
          </w:p>
        </w:tc>
        <w:tc>
          <w:tcPr>
            <w:tcW w:w="546" w:type="pct"/>
            <w:tcBorders>
              <w:top w:val="nil"/>
              <w:left w:val="nil"/>
              <w:bottom w:val="single" w:sz="4" w:space="0" w:color="auto"/>
              <w:right w:val="single" w:sz="4" w:space="0" w:color="auto"/>
            </w:tcBorders>
            <w:shd w:val="clear" w:color="auto" w:fill="auto"/>
            <w:noWrap/>
            <w:vAlign w:val="center"/>
            <w:hideMark/>
          </w:tcPr>
          <w:p w14:paraId="157EABFF"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3799103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061082E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1,56</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427B694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1,52</w:t>
            </w:r>
            <w:r>
              <w:rPr>
                <w:rFonts w:ascii="Arial" w:eastAsia="Times New Roman" w:hAnsi="Arial" w:cs="Arial"/>
                <w:color w:val="000000"/>
                <w:sz w:val="18"/>
                <w:szCs w:val="18"/>
                <w:lang w:eastAsia="sl-SI"/>
              </w:rPr>
              <w:t xml:space="preserve"> %</w:t>
            </w:r>
          </w:p>
        </w:tc>
      </w:tr>
      <w:tr w:rsidR="00072A69" w:rsidRPr="00FB65D3" w14:paraId="767DAB96"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76BF566D"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 = Elektronska pisarniška oprema</w:t>
            </w:r>
          </w:p>
        </w:tc>
        <w:tc>
          <w:tcPr>
            <w:tcW w:w="472" w:type="pct"/>
            <w:tcBorders>
              <w:top w:val="nil"/>
              <w:left w:val="nil"/>
              <w:bottom w:val="single" w:sz="4" w:space="0" w:color="auto"/>
              <w:right w:val="single" w:sz="4" w:space="0" w:color="auto"/>
            </w:tcBorders>
            <w:shd w:val="clear" w:color="auto" w:fill="auto"/>
            <w:noWrap/>
            <w:vAlign w:val="center"/>
            <w:hideMark/>
          </w:tcPr>
          <w:p w14:paraId="256384F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237</w:t>
            </w:r>
          </w:p>
        </w:tc>
        <w:tc>
          <w:tcPr>
            <w:tcW w:w="703" w:type="pct"/>
            <w:tcBorders>
              <w:top w:val="nil"/>
              <w:left w:val="nil"/>
              <w:bottom w:val="single" w:sz="4" w:space="0" w:color="auto"/>
              <w:right w:val="single" w:sz="4" w:space="0" w:color="auto"/>
            </w:tcBorders>
            <w:shd w:val="clear" w:color="auto" w:fill="auto"/>
            <w:noWrap/>
            <w:vAlign w:val="center"/>
            <w:hideMark/>
          </w:tcPr>
          <w:p w14:paraId="75F0CAD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35.205.519</w:t>
            </w:r>
          </w:p>
        </w:tc>
        <w:tc>
          <w:tcPr>
            <w:tcW w:w="546" w:type="pct"/>
            <w:tcBorders>
              <w:top w:val="nil"/>
              <w:left w:val="nil"/>
              <w:bottom w:val="single" w:sz="4" w:space="0" w:color="auto"/>
              <w:right w:val="single" w:sz="4" w:space="0" w:color="auto"/>
            </w:tcBorders>
            <w:shd w:val="clear" w:color="auto" w:fill="auto"/>
            <w:noWrap/>
            <w:vAlign w:val="center"/>
            <w:hideMark/>
          </w:tcPr>
          <w:p w14:paraId="31A1EB5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1,41</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2BCEA85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1,21</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321D3134"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4,11</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24F56DAF"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6,29</w:t>
            </w:r>
            <w:r>
              <w:rPr>
                <w:rFonts w:ascii="Arial" w:eastAsia="Times New Roman" w:hAnsi="Arial" w:cs="Arial"/>
                <w:color w:val="000000"/>
                <w:sz w:val="18"/>
                <w:szCs w:val="18"/>
                <w:lang w:eastAsia="sl-SI"/>
              </w:rPr>
              <w:t xml:space="preserve"> %</w:t>
            </w:r>
          </w:p>
        </w:tc>
      </w:tr>
      <w:tr w:rsidR="00072A69" w:rsidRPr="00FB65D3" w14:paraId="327E8378"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4E2C919A"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 = Televizorji</w:t>
            </w:r>
          </w:p>
        </w:tc>
        <w:tc>
          <w:tcPr>
            <w:tcW w:w="472" w:type="pct"/>
            <w:tcBorders>
              <w:top w:val="nil"/>
              <w:left w:val="nil"/>
              <w:bottom w:val="single" w:sz="4" w:space="0" w:color="auto"/>
              <w:right w:val="single" w:sz="4" w:space="0" w:color="auto"/>
            </w:tcBorders>
            <w:shd w:val="clear" w:color="auto" w:fill="auto"/>
            <w:noWrap/>
            <w:vAlign w:val="center"/>
            <w:hideMark/>
          </w:tcPr>
          <w:p w14:paraId="1EDAA161"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12</w:t>
            </w:r>
          </w:p>
        </w:tc>
        <w:tc>
          <w:tcPr>
            <w:tcW w:w="703" w:type="pct"/>
            <w:tcBorders>
              <w:top w:val="nil"/>
              <w:left w:val="nil"/>
              <w:bottom w:val="single" w:sz="4" w:space="0" w:color="auto"/>
              <w:right w:val="single" w:sz="4" w:space="0" w:color="auto"/>
            </w:tcBorders>
            <w:shd w:val="clear" w:color="auto" w:fill="auto"/>
            <w:noWrap/>
            <w:vAlign w:val="center"/>
            <w:hideMark/>
          </w:tcPr>
          <w:p w14:paraId="446DD75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2.251.624</w:t>
            </w:r>
          </w:p>
        </w:tc>
        <w:tc>
          <w:tcPr>
            <w:tcW w:w="546" w:type="pct"/>
            <w:tcBorders>
              <w:top w:val="nil"/>
              <w:left w:val="nil"/>
              <w:bottom w:val="single" w:sz="4" w:space="0" w:color="auto"/>
              <w:right w:val="single" w:sz="4" w:space="0" w:color="auto"/>
            </w:tcBorders>
            <w:shd w:val="clear" w:color="auto" w:fill="auto"/>
            <w:noWrap/>
            <w:vAlign w:val="center"/>
            <w:hideMark/>
          </w:tcPr>
          <w:p w14:paraId="44E9E01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B45DB5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21FD944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182DDCD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072A69" w:rsidRPr="00FB65D3" w14:paraId="2B55455A"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3A865821"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6 = Hladilniki, zamrzovalniki in njihove kombinacije, pralni stroji, pomivalni stroji, sušilni stroji, sesalniki in klimatske naprave</w:t>
            </w:r>
          </w:p>
        </w:tc>
        <w:tc>
          <w:tcPr>
            <w:tcW w:w="472" w:type="pct"/>
            <w:tcBorders>
              <w:top w:val="nil"/>
              <w:left w:val="nil"/>
              <w:bottom w:val="single" w:sz="4" w:space="0" w:color="auto"/>
              <w:right w:val="single" w:sz="4" w:space="0" w:color="auto"/>
            </w:tcBorders>
            <w:shd w:val="clear" w:color="auto" w:fill="auto"/>
            <w:noWrap/>
            <w:vAlign w:val="center"/>
            <w:hideMark/>
          </w:tcPr>
          <w:p w14:paraId="4EEFB30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93</w:t>
            </w:r>
          </w:p>
        </w:tc>
        <w:tc>
          <w:tcPr>
            <w:tcW w:w="703" w:type="pct"/>
            <w:tcBorders>
              <w:top w:val="nil"/>
              <w:left w:val="nil"/>
              <w:bottom w:val="single" w:sz="4" w:space="0" w:color="auto"/>
              <w:right w:val="single" w:sz="4" w:space="0" w:color="auto"/>
            </w:tcBorders>
            <w:shd w:val="clear" w:color="auto" w:fill="auto"/>
            <w:noWrap/>
            <w:vAlign w:val="center"/>
            <w:hideMark/>
          </w:tcPr>
          <w:p w14:paraId="5CB48AA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19.319.790</w:t>
            </w:r>
          </w:p>
        </w:tc>
        <w:tc>
          <w:tcPr>
            <w:tcW w:w="546" w:type="pct"/>
            <w:tcBorders>
              <w:top w:val="nil"/>
              <w:left w:val="nil"/>
              <w:bottom w:val="single" w:sz="4" w:space="0" w:color="auto"/>
              <w:right w:val="single" w:sz="4" w:space="0" w:color="auto"/>
            </w:tcBorders>
            <w:shd w:val="clear" w:color="auto" w:fill="auto"/>
            <w:noWrap/>
            <w:vAlign w:val="center"/>
            <w:hideMark/>
          </w:tcPr>
          <w:p w14:paraId="15382AD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0,55</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26CF815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01A1082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1,61</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19C1653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3,45</w:t>
            </w:r>
            <w:r>
              <w:rPr>
                <w:rFonts w:ascii="Arial" w:eastAsia="Times New Roman" w:hAnsi="Arial" w:cs="Arial"/>
                <w:color w:val="000000"/>
                <w:sz w:val="18"/>
                <w:szCs w:val="18"/>
                <w:lang w:eastAsia="sl-SI"/>
              </w:rPr>
              <w:t xml:space="preserve"> %</w:t>
            </w:r>
          </w:p>
        </w:tc>
      </w:tr>
      <w:tr w:rsidR="00072A69" w:rsidRPr="00FB65D3" w14:paraId="5D437752"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01526687"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7 = Projektiranje oziroma izvedba gradnje stavb</w:t>
            </w:r>
          </w:p>
        </w:tc>
        <w:tc>
          <w:tcPr>
            <w:tcW w:w="472" w:type="pct"/>
            <w:tcBorders>
              <w:top w:val="nil"/>
              <w:left w:val="nil"/>
              <w:bottom w:val="single" w:sz="4" w:space="0" w:color="auto"/>
              <w:right w:val="single" w:sz="4" w:space="0" w:color="auto"/>
            </w:tcBorders>
            <w:shd w:val="clear" w:color="auto" w:fill="auto"/>
            <w:noWrap/>
            <w:vAlign w:val="center"/>
            <w:hideMark/>
          </w:tcPr>
          <w:p w14:paraId="5133F63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536</w:t>
            </w:r>
          </w:p>
        </w:tc>
        <w:tc>
          <w:tcPr>
            <w:tcW w:w="703" w:type="pct"/>
            <w:tcBorders>
              <w:top w:val="nil"/>
              <w:left w:val="nil"/>
              <w:bottom w:val="single" w:sz="4" w:space="0" w:color="auto"/>
              <w:right w:val="single" w:sz="4" w:space="0" w:color="auto"/>
            </w:tcBorders>
            <w:shd w:val="clear" w:color="auto" w:fill="auto"/>
            <w:noWrap/>
            <w:vAlign w:val="center"/>
            <w:hideMark/>
          </w:tcPr>
          <w:p w14:paraId="517866E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284.585.163</w:t>
            </w:r>
          </w:p>
        </w:tc>
        <w:tc>
          <w:tcPr>
            <w:tcW w:w="546" w:type="pct"/>
            <w:tcBorders>
              <w:top w:val="nil"/>
              <w:left w:val="nil"/>
              <w:bottom w:val="single" w:sz="4" w:space="0" w:color="auto"/>
              <w:right w:val="single" w:sz="4" w:space="0" w:color="auto"/>
            </w:tcBorders>
            <w:shd w:val="clear" w:color="auto" w:fill="auto"/>
            <w:noWrap/>
            <w:vAlign w:val="center"/>
            <w:hideMark/>
          </w:tcPr>
          <w:p w14:paraId="13111A0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3,18</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220D53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9,75</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10A061D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9,29</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73D569A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50,87</w:t>
            </w:r>
            <w:r>
              <w:rPr>
                <w:rFonts w:ascii="Arial" w:eastAsia="Times New Roman" w:hAnsi="Arial" w:cs="Arial"/>
                <w:color w:val="000000"/>
                <w:sz w:val="18"/>
                <w:szCs w:val="18"/>
                <w:lang w:eastAsia="sl-SI"/>
              </w:rPr>
              <w:t xml:space="preserve"> %</w:t>
            </w:r>
          </w:p>
        </w:tc>
      </w:tr>
      <w:tr w:rsidR="00072A69" w:rsidRPr="00FB65D3" w14:paraId="376B3070"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0045799B"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8 = Pohištvo</w:t>
            </w:r>
          </w:p>
        </w:tc>
        <w:tc>
          <w:tcPr>
            <w:tcW w:w="472" w:type="pct"/>
            <w:tcBorders>
              <w:top w:val="nil"/>
              <w:left w:val="nil"/>
              <w:bottom w:val="single" w:sz="4" w:space="0" w:color="auto"/>
              <w:right w:val="single" w:sz="4" w:space="0" w:color="auto"/>
            </w:tcBorders>
            <w:shd w:val="clear" w:color="auto" w:fill="auto"/>
            <w:noWrap/>
            <w:vAlign w:val="center"/>
            <w:hideMark/>
          </w:tcPr>
          <w:p w14:paraId="0456E99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179</w:t>
            </w:r>
          </w:p>
        </w:tc>
        <w:tc>
          <w:tcPr>
            <w:tcW w:w="703" w:type="pct"/>
            <w:tcBorders>
              <w:top w:val="nil"/>
              <w:left w:val="nil"/>
              <w:bottom w:val="single" w:sz="4" w:space="0" w:color="auto"/>
              <w:right w:val="single" w:sz="4" w:space="0" w:color="auto"/>
            </w:tcBorders>
            <w:shd w:val="clear" w:color="auto" w:fill="auto"/>
            <w:noWrap/>
            <w:vAlign w:val="center"/>
            <w:hideMark/>
          </w:tcPr>
          <w:p w14:paraId="154C9EE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51.130.438</w:t>
            </w:r>
          </w:p>
        </w:tc>
        <w:tc>
          <w:tcPr>
            <w:tcW w:w="546" w:type="pct"/>
            <w:tcBorders>
              <w:top w:val="nil"/>
              <w:left w:val="nil"/>
              <w:bottom w:val="single" w:sz="4" w:space="0" w:color="auto"/>
              <w:right w:val="single" w:sz="4" w:space="0" w:color="auto"/>
            </w:tcBorders>
            <w:shd w:val="clear" w:color="auto" w:fill="auto"/>
            <w:noWrap/>
            <w:vAlign w:val="center"/>
            <w:hideMark/>
          </w:tcPr>
          <w:p w14:paraId="3779B41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1,06</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2FF912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1,75</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3170EB8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3,10</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54074EE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9,14</w:t>
            </w:r>
            <w:r>
              <w:rPr>
                <w:rFonts w:ascii="Arial" w:eastAsia="Times New Roman" w:hAnsi="Arial" w:cs="Arial"/>
                <w:color w:val="000000"/>
                <w:sz w:val="18"/>
                <w:szCs w:val="18"/>
                <w:lang w:eastAsia="sl-SI"/>
              </w:rPr>
              <w:t xml:space="preserve"> %</w:t>
            </w:r>
          </w:p>
        </w:tc>
      </w:tr>
      <w:tr w:rsidR="00072A69" w:rsidRPr="00FB65D3" w14:paraId="009F0B9C"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262E12D4"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 = Čistila, storitve čiščenja in storitve pranja perila</w:t>
            </w:r>
          </w:p>
        </w:tc>
        <w:tc>
          <w:tcPr>
            <w:tcW w:w="472" w:type="pct"/>
            <w:tcBorders>
              <w:top w:val="nil"/>
              <w:left w:val="nil"/>
              <w:bottom w:val="single" w:sz="4" w:space="0" w:color="auto"/>
              <w:right w:val="single" w:sz="4" w:space="0" w:color="auto"/>
            </w:tcBorders>
            <w:shd w:val="clear" w:color="auto" w:fill="auto"/>
            <w:noWrap/>
            <w:vAlign w:val="center"/>
            <w:hideMark/>
          </w:tcPr>
          <w:p w14:paraId="5095163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263</w:t>
            </w:r>
          </w:p>
        </w:tc>
        <w:tc>
          <w:tcPr>
            <w:tcW w:w="703" w:type="pct"/>
            <w:tcBorders>
              <w:top w:val="nil"/>
              <w:left w:val="nil"/>
              <w:bottom w:val="single" w:sz="4" w:space="0" w:color="auto"/>
              <w:right w:val="single" w:sz="4" w:space="0" w:color="auto"/>
            </w:tcBorders>
            <w:shd w:val="clear" w:color="auto" w:fill="auto"/>
            <w:noWrap/>
            <w:vAlign w:val="center"/>
            <w:hideMark/>
          </w:tcPr>
          <w:p w14:paraId="02816B7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40.877.261</w:t>
            </w:r>
          </w:p>
        </w:tc>
        <w:tc>
          <w:tcPr>
            <w:tcW w:w="546" w:type="pct"/>
            <w:tcBorders>
              <w:top w:val="nil"/>
              <w:left w:val="nil"/>
              <w:bottom w:val="single" w:sz="4" w:space="0" w:color="auto"/>
              <w:right w:val="single" w:sz="4" w:space="0" w:color="auto"/>
            </w:tcBorders>
            <w:shd w:val="clear" w:color="auto" w:fill="auto"/>
            <w:noWrap/>
            <w:vAlign w:val="center"/>
            <w:hideMark/>
          </w:tcPr>
          <w:p w14:paraId="3A03510C"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1,56</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2C491D64"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1,40</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0BF9629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4,56</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7949005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7,31</w:t>
            </w:r>
            <w:r>
              <w:rPr>
                <w:rFonts w:ascii="Arial" w:eastAsia="Times New Roman" w:hAnsi="Arial" w:cs="Arial"/>
                <w:color w:val="000000"/>
                <w:sz w:val="18"/>
                <w:szCs w:val="18"/>
                <w:lang w:eastAsia="sl-SI"/>
              </w:rPr>
              <w:t xml:space="preserve"> %</w:t>
            </w:r>
          </w:p>
        </w:tc>
      </w:tr>
      <w:tr w:rsidR="00072A69" w:rsidRPr="00FB65D3" w14:paraId="2437E6A4"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708D18D7"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 = Cestna vozila</w:t>
            </w:r>
          </w:p>
        </w:tc>
        <w:tc>
          <w:tcPr>
            <w:tcW w:w="472" w:type="pct"/>
            <w:tcBorders>
              <w:top w:val="nil"/>
              <w:left w:val="nil"/>
              <w:bottom w:val="single" w:sz="4" w:space="0" w:color="auto"/>
              <w:right w:val="single" w:sz="4" w:space="0" w:color="auto"/>
            </w:tcBorders>
            <w:shd w:val="clear" w:color="auto" w:fill="auto"/>
            <w:noWrap/>
            <w:vAlign w:val="center"/>
            <w:hideMark/>
          </w:tcPr>
          <w:p w14:paraId="6FFEE0A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657</w:t>
            </w:r>
          </w:p>
        </w:tc>
        <w:tc>
          <w:tcPr>
            <w:tcW w:w="703" w:type="pct"/>
            <w:tcBorders>
              <w:top w:val="nil"/>
              <w:left w:val="nil"/>
              <w:bottom w:val="single" w:sz="4" w:space="0" w:color="auto"/>
              <w:right w:val="single" w:sz="4" w:space="0" w:color="auto"/>
            </w:tcBorders>
            <w:shd w:val="clear" w:color="auto" w:fill="auto"/>
            <w:noWrap/>
            <w:vAlign w:val="center"/>
            <w:hideMark/>
          </w:tcPr>
          <w:p w14:paraId="1FFD1EF1"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96.920.762</w:t>
            </w:r>
          </w:p>
        </w:tc>
        <w:tc>
          <w:tcPr>
            <w:tcW w:w="546" w:type="pct"/>
            <w:tcBorders>
              <w:top w:val="nil"/>
              <w:left w:val="nil"/>
              <w:bottom w:val="single" w:sz="4" w:space="0" w:color="auto"/>
              <w:right w:val="single" w:sz="4" w:space="0" w:color="auto"/>
            </w:tcBorders>
            <w:shd w:val="clear" w:color="auto" w:fill="auto"/>
            <w:noWrap/>
            <w:vAlign w:val="center"/>
            <w:hideMark/>
          </w:tcPr>
          <w:p w14:paraId="4C98C6E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3,90</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C13BDC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3,32</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3C651D31"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11,38</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0E1DB1B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17,33</w:t>
            </w:r>
            <w:r>
              <w:rPr>
                <w:rFonts w:ascii="Arial" w:eastAsia="Times New Roman" w:hAnsi="Arial" w:cs="Arial"/>
                <w:color w:val="000000"/>
                <w:sz w:val="18"/>
                <w:szCs w:val="18"/>
                <w:lang w:eastAsia="sl-SI"/>
              </w:rPr>
              <w:t xml:space="preserve"> %</w:t>
            </w:r>
          </w:p>
        </w:tc>
      </w:tr>
      <w:tr w:rsidR="00072A69" w:rsidRPr="00FB65D3" w14:paraId="1253CA2F"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0F97F2A7"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11 = Pnevmatike</w:t>
            </w:r>
          </w:p>
        </w:tc>
        <w:tc>
          <w:tcPr>
            <w:tcW w:w="472" w:type="pct"/>
            <w:tcBorders>
              <w:top w:val="nil"/>
              <w:left w:val="nil"/>
              <w:bottom w:val="single" w:sz="4" w:space="0" w:color="auto"/>
              <w:right w:val="single" w:sz="4" w:space="0" w:color="auto"/>
            </w:tcBorders>
            <w:shd w:val="clear" w:color="auto" w:fill="auto"/>
            <w:noWrap/>
            <w:vAlign w:val="center"/>
            <w:hideMark/>
          </w:tcPr>
          <w:p w14:paraId="5344B8AC"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42</w:t>
            </w:r>
          </w:p>
        </w:tc>
        <w:tc>
          <w:tcPr>
            <w:tcW w:w="703" w:type="pct"/>
            <w:tcBorders>
              <w:top w:val="nil"/>
              <w:left w:val="nil"/>
              <w:bottom w:val="single" w:sz="4" w:space="0" w:color="auto"/>
              <w:right w:val="single" w:sz="4" w:space="0" w:color="auto"/>
            </w:tcBorders>
            <w:shd w:val="clear" w:color="auto" w:fill="auto"/>
            <w:noWrap/>
            <w:vAlign w:val="center"/>
            <w:hideMark/>
          </w:tcPr>
          <w:p w14:paraId="0E6D8DA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5.020.789</w:t>
            </w:r>
          </w:p>
        </w:tc>
        <w:tc>
          <w:tcPr>
            <w:tcW w:w="546" w:type="pct"/>
            <w:tcBorders>
              <w:top w:val="nil"/>
              <w:left w:val="nil"/>
              <w:bottom w:val="single" w:sz="4" w:space="0" w:color="auto"/>
              <w:right w:val="single" w:sz="4" w:space="0" w:color="auto"/>
            </w:tcBorders>
            <w:shd w:val="clear" w:color="auto" w:fill="auto"/>
            <w:noWrap/>
            <w:vAlign w:val="center"/>
            <w:hideMark/>
          </w:tcPr>
          <w:p w14:paraId="1BE114F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24EE2FE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60AFB70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500CB39F"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072A69" w:rsidRPr="00FB65D3" w14:paraId="6D1DCF0C"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3380245F"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12 = Električne sijalke in svetilke ter razsvetljava v notranjih prostorih</w:t>
            </w:r>
          </w:p>
        </w:tc>
        <w:tc>
          <w:tcPr>
            <w:tcW w:w="472" w:type="pct"/>
            <w:tcBorders>
              <w:top w:val="nil"/>
              <w:left w:val="nil"/>
              <w:bottom w:val="single" w:sz="4" w:space="0" w:color="auto"/>
              <w:right w:val="single" w:sz="4" w:space="0" w:color="auto"/>
            </w:tcBorders>
            <w:shd w:val="clear" w:color="auto" w:fill="auto"/>
            <w:noWrap/>
            <w:vAlign w:val="center"/>
            <w:hideMark/>
          </w:tcPr>
          <w:p w14:paraId="56002C4C"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109</w:t>
            </w:r>
          </w:p>
        </w:tc>
        <w:tc>
          <w:tcPr>
            <w:tcW w:w="703" w:type="pct"/>
            <w:tcBorders>
              <w:top w:val="nil"/>
              <w:left w:val="nil"/>
              <w:bottom w:val="single" w:sz="4" w:space="0" w:color="auto"/>
              <w:right w:val="single" w:sz="4" w:space="0" w:color="auto"/>
            </w:tcBorders>
            <w:shd w:val="clear" w:color="auto" w:fill="auto"/>
            <w:noWrap/>
            <w:vAlign w:val="center"/>
            <w:hideMark/>
          </w:tcPr>
          <w:p w14:paraId="5FB04D01"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54.362.287</w:t>
            </w:r>
          </w:p>
        </w:tc>
        <w:tc>
          <w:tcPr>
            <w:tcW w:w="546" w:type="pct"/>
            <w:tcBorders>
              <w:top w:val="nil"/>
              <w:left w:val="nil"/>
              <w:bottom w:val="single" w:sz="4" w:space="0" w:color="auto"/>
              <w:right w:val="single" w:sz="4" w:space="0" w:color="auto"/>
            </w:tcBorders>
            <w:shd w:val="clear" w:color="auto" w:fill="auto"/>
            <w:noWrap/>
            <w:vAlign w:val="center"/>
            <w:hideMark/>
          </w:tcPr>
          <w:p w14:paraId="098700B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B3284A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1,86</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7C16F7C4"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1,89</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182C0DE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9,72</w:t>
            </w:r>
            <w:r>
              <w:rPr>
                <w:rFonts w:ascii="Arial" w:eastAsia="Times New Roman" w:hAnsi="Arial" w:cs="Arial"/>
                <w:color w:val="000000"/>
                <w:sz w:val="18"/>
                <w:szCs w:val="18"/>
                <w:lang w:eastAsia="sl-SI"/>
              </w:rPr>
              <w:t xml:space="preserve"> %</w:t>
            </w:r>
          </w:p>
        </w:tc>
      </w:tr>
      <w:tr w:rsidR="00072A69" w:rsidRPr="00FB65D3" w14:paraId="5594165F"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2B9CFCCA"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13 = Tekstilni izdelki</w:t>
            </w:r>
          </w:p>
        </w:tc>
        <w:tc>
          <w:tcPr>
            <w:tcW w:w="472" w:type="pct"/>
            <w:tcBorders>
              <w:top w:val="nil"/>
              <w:left w:val="nil"/>
              <w:bottom w:val="single" w:sz="4" w:space="0" w:color="auto"/>
              <w:right w:val="single" w:sz="4" w:space="0" w:color="auto"/>
            </w:tcBorders>
            <w:shd w:val="clear" w:color="auto" w:fill="auto"/>
            <w:noWrap/>
            <w:vAlign w:val="center"/>
            <w:hideMark/>
          </w:tcPr>
          <w:p w14:paraId="409AADE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135</w:t>
            </w:r>
          </w:p>
        </w:tc>
        <w:tc>
          <w:tcPr>
            <w:tcW w:w="703" w:type="pct"/>
            <w:tcBorders>
              <w:top w:val="nil"/>
              <w:left w:val="nil"/>
              <w:bottom w:val="single" w:sz="4" w:space="0" w:color="auto"/>
              <w:right w:val="single" w:sz="4" w:space="0" w:color="auto"/>
            </w:tcBorders>
            <w:shd w:val="clear" w:color="auto" w:fill="auto"/>
            <w:noWrap/>
            <w:vAlign w:val="center"/>
            <w:hideMark/>
          </w:tcPr>
          <w:p w14:paraId="090EF6B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19.818.930</w:t>
            </w:r>
          </w:p>
        </w:tc>
        <w:tc>
          <w:tcPr>
            <w:tcW w:w="546" w:type="pct"/>
            <w:tcBorders>
              <w:top w:val="nil"/>
              <w:left w:val="nil"/>
              <w:bottom w:val="single" w:sz="4" w:space="0" w:color="auto"/>
              <w:right w:val="single" w:sz="4" w:space="0" w:color="auto"/>
            </w:tcBorders>
            <w:shd w:val="clear" w:color="auto" w:fill="auto"/>
            <w:noWrap/>
            <w:vAlign w:val="center"/>
            <w:hideMark/>
          </w:tcPr>
          <w:p w14:paraId="1E1BF5B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31AD6304"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0,68</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63BC5084"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2,34</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4A69BD6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3,54</w:t>
            </w:r>
            <w:r>
              <w:rPr>
                <w:rFonts w:ascii="Arial" w:eastAsia="Times New Roman" w:hAnsi="Arial" w:cs="Arial"/>
                <w:color w:val="000000"/>
                <w:sz w:val="18"/>
                <w:szCs w:val="18"/>
                <w:lang w:eastAsia="sl-SI"/>
              </w:rPr>
              <w:t xml:space="preserve"> %</w:t>
            </w:r>
          </w:p>
        </w:tc>
      </w:tr>
      <w:tr w:rsidR="00072A69" w:rsidRPr="00FB65D3" w14:paraId="2A5B5A6F"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2D2B2151"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14 = Grelniki vode, grelniki prostora in njihove kombinacije ter hranilniki tople vode</w:t>
            </w:r>
          </w:p>
        </w:tc>
        <w:tc>
          <w:tcPr>
            <w:tcW w:w="472" w:type="pct"/>
            <w:tcBorders>
              <w:top w:val="nil"/>
              <w:left w:val="nil"/>
              <w:bottom w:val="single" w:sz="4" w:space="0" w:color="auto"/>
              <w:right w:val="single" w:sz="4" w:space="0" w:color="auto"/>
            </w:tcBorders>
            <w:shd w:val="clear" w:color="auto" w:fill="auto"/>
            <w:noWrap/>
            <w:vAlign w:val="center"/>
            <w:hideMark/>
          </w:tcPr>
          <w:p w14:paraId="6AA9DBF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52</w:t>
            </w:r>
          </w:p>
        </w:tc>
        <w:tc>
          <w:tcPr>
            <w:tcW w:w="703" w:type="pct"/>
            <w:tcBorders>
              <w:top w:val="nil"/>
              <w:left w:val="nil"/>
              <w:bottom w:val="single" w:sz="4" w:space="0" w:color="auto"/>
              <w:right w:val="single" w:sz="4" w:space="0" w:color="auto"/>
            </w:tcBorders>
            <w:shd w:val="clear" w:color="auto" w:fill="auto"/>
            <w:noWrap/>
            <w:vAlign w:val="center"/>
            <w:hideMark/>
          </w:tcPr>
          <w:p w14:paraId="116988A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24.726.921</w:t>
            </w:r>
          </w:p>
        </w:tc>
        <w:tc>
          <w:tcPr>
            <w:tcW w:w="546" w:type="pct"/>
            <w:tcBorders>
              <w:top w:val="nil"/>
              <w:left w:val="nil"/>
              <w:bottom w:val="single" w:sz="4" w:space="0" w:color="auto"/>
              <w:right w:val="single" w:sz="4" w:space="0" w:color="auto"/>
            </w:tcBorders>
            <w:shd w:val="clear" w:color="auto" w:fill="auto"/>
            <w:noWrap/>
            <w:vAlign w:val="center"/>
            <w:hideMark/>
          </w:tcPr>
          <w:p w14:paraId="18AB247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78A1AD0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0,85</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6D771B2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0D58FFD6"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4,42</w:t>
            </w:r>
            <w:r>
              <w:rPr>
                <w:rFonts w:ascii="Arial" w:eastAsia="Times New Roman" w:hAnsi="Arial" w:cs="Arial"/>
                <w:color w:val="000000"/>
                <w:sz w:val="18"/>
                <w:szCs w:val="18"/>
                <w:lang w:eastAsia="sl-SI"/>
              </w:rPr>
              <w:t xml:space="preserve"> %</w:t>
            </w:r>
          </w:p>
        </w:tc>
      </w:tr>
      <w:tr w:rsidR="00072A69" w:rsidRPr="00FB65D3" w14:paraId="322964D8"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0DA915D1"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15 = Sanitarne armature</w:t>
            </w:r>
          </w:p>
        </w:tc>
        <w:tc>
          <w:tcPr>
            <w:tcW w:w="472" w:type="pct"/>
            <w:tcBorders>
              <w:top w:val="nil"/>
              <w:left w:val="nil"/>
              <w:bottom w:val="single" w:sz="4" w:space="0" w:color="auto"/>
              <w:right w:val="single" w:sz="4" w:space="0" w:color="auto"/>
            </w:tcBorders>
            <w:shd w:val="clear" w:color="auto" w:fill="auto"/>
            <w:noWrap/>
            <w:vAlign w:val="center"/>
            <w:hideMark/>
          </w:tcPr>
          <w:p w14:paraId="2AB69CF6"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79</w:t>
            </w:r>
          </w:p>
        </w:tc>
        <w:tc>
          <w:tcPr>
            <w:tcW w:w="703" w:type="pct"/>
            <w:tcBorders>
              <w:top w:val="nil"/>
              <w:left w:val="nil"/>
              <w:bottom w:val="single" w:sz="4" w:space="0" w:color="auto"/>
              <w:right w:val="single" w:sz="4" w:space="0" w:color="auto"/>
            </w:tcBorders>
            <w:shd w:val="clear" w:color="auto" w:fill="auto"/>
            <w:noWrap/>
            <w:vAlign w:val="center"/>
            <w:hideMark/>
          </w:tcPr>
          <w:p w14:paraId="3AB05F6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42.224.838</w:t>
            </w:r>
          </w:p>
        </w:tc>
        <w:tc>
          <w:tcPr>
            <w:tcW w:w="546" w:type="pct"/>
            <w:tcBorders>
              <w:top w:val="nil"/>
              <w:left w:val="nil"/>
              <w:bottom w:val="single" w:sz="4" w:space="0" w:color="auto"/>
              <w:right w:val="single" w:sz="4" w:space="0" w:color="auto"/>
            </w:tcBorders>
            <w:shd w:val="clear" w:color="auto" w:fill="auto"/>
            <w:noWrap/>
            <w:vAlign w:val="center"/>
            <w:hideMark/>
          </w:tcPr>
          <w:p w14:paraId="1B482086"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39147A1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1,45</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619B994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1,37</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2954B826"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7,55</w:t>
            </w:r>
            <w:r>
              <w:rPr>
                <w:rFonts w:ascii="Arial" w:eastAsia="Times New Roman" w:hAnsi="Arial" w:cs="Arial"/>
                <w:color w:val="000000"/>
                <w:sz w:val="18"/>
                <w:szCs w:val="18"/>
                <w:lang w:eastAsia="sl-SI"/>
              </w:rPr>
              <w:t xml:space="preserve"> %</w:t>
            </w:r>
          </w:p>
        </w:tc>
      </w:tr>
      <w:tr w:rsidR="00072A69" w:rsidRPr="00FB65D3" w14:paraId="53B746DD"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790E808A"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16 = Oprema za stranišča na splakovanje in oprema za pisoarje</w:t>
            </w:r>
          </w:p>
        </w:tc>
        <w:tc>
          <w:tcPr>
            <w:tcW w:w="472" w:type="pct"/>
            <w:tcBorders>
              <w:top w:val="nil"/>
              <w:left w:val="nil"/>
              <w:bottom w:val="single" w:sz="4" w:space="0" w:color="auto"/>
              <w:right w:val="single" w:sz="4" w:space="0" w:color="auto"/>
            </w:tcBorders>
            <w:shd w:val="clear" w:color="auto" w:fill="auto"/>
            <w:vAlign w:val="center"/>
            <w:hideMark/>
          </w:tcPr>
          <w:p w14:paraId="3C6638A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96</w:t>
            </w:r>
          </w:p>
        </w:tc>
        <w:tc>
          <w:tcPr>
            <w:tcW w:w="703" w:type="pct"/>
            <w:tcBorders>
              <w:top w:val="nil"/>
              <w:left w:val="nil"/>
              <w:bottom w:val="single" w:sz="4" w:space="0" w:color="auto"/>
              <w:right w:val="single" w:sz="4" w:space="0" w:color="auto"/>
            </w:tcBorders>
            <w:shd w:val="clear" w:color="auto" w:fill="auto"/>
            <w:vAlign w:val="center"/>
            <w:hideMark/>
          </w:tcPr>
          <w:p w14:paraId="3899192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55008563</w:t>
            </w:r>
          </w:p>
        </w:tc>
        <w:tc>
          <w:tcPr>
            <w:tcW w:w="546" w:type="pct"/>
            <w:tcBorders>
              <w:top w:val="nil"/>
              <w:left w:val="nil"/>
              <w:bottom w:val="single" w:sz="4" w:space="0" w:color="auto"/>
              <w:right w:val="single" w:sz="4" w:space="0" w:color="auto"/>
            </w:tcBorders>
            <w:shd w:val="clear" w:color="auto" w:fill="auto"/>
            <w:noWrap/>
            <w:vAlign w:val="center"/>
            <w:hideMark/>
          </w:tcPr>
          <w:p w14:paraId="6466612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46AAF92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1,88</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2825260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1,66</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3430EB1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9,83</w:t>
            </w:r>
            <w:r>
              <w:rPr>
                <w:rFonts w:ascii="Arial" w:eastAsia="Times New Roman" w:hAnsi="Arial" w:cs="Arial"/>
                <w:color w:val="000000"/>
                <w:sz w:val="18"/>
                <w:szCs w:val="18"/>
                <w:lang w:eastAsia="sl-SI"/>
              </w:rPr>
              <w:t xml:space="preserve"> %</w:t>
            </w:r>
          </w:p>
        </w:tc>
      </w:tr>
      <w:tr w:rsidR="00072A69" w:rsidRPr="00FB65D3" w14:paraId="317BAB94"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39267C01"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17 = Stenske plošče</w:t>
            </w:r>
          </w:p>
        </w:tc>
        <w:tc>
          <w:tcPr>
            <w:tcW w:w="472" w:type="pct"/>
            <w:tcBorders>
              <w:top w:val="nil"/>
              <w:left w:val="nil"/>
              <w:bottom w:val="single" w:sz="4" w:space="0" w:color="auto"/>
              <w:right w:val="single" w:sz="4" w:space="0" w:color="auto"/>
            </w:tcBorders>
            <w:shd w:val="clear" w:color="auto" w:fill="auto"/>
            <w:vAlign w:val="center"/>
            <w:hideMark/>
          </w:tcPr>
          <w:p w14:paraId="1470058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63</w:t>
            </w:r>
          </w:p>
        </w:tc>
        <w:tc>
          <w:tcPr>
            <w:tcW w:w="703" w:type="pct"/>
            <w:tcBorders>
              <w:top w:val="nil"/>
              <w:left w:val="nil"/>
              <w:bottom w:val="single" w:sz="4" w:space="0" w:color="auto"/>
              <w:right w:val="single" w:sz="4" w:space="0" w:color="auto"/>
            </w:tcBorders>
            <w:shd w:val="clear" w:color="auto" w:fill="auto"/>
            <w:vAlign w:val="center"/>
            <w:hideMark/>
          </w:tcPr>
          <w:p w14:paraId="2891241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23055066</w:t>
            </w:r>
          </w:p>
        </w:tc>
        <w:tc>
          <w:tcPr>
            <w:tcW w:w="546" w:type="pct"/>
            <w:tcBorders>
              <w:top w:val="nil"/>
              <w:left w:val="nil"/>
              <w:bottom w:val="single" w:sz="4" w:space="0" w:color="auto"/>
              <w:right w:val="single" w:sz="4" w:space="0" w:color="auto"/>
            </w:tcBorders>
            <w:shd w:val="clear" w:color="auto" w:fill="auto"/>
            <w:noWrap/>
            <w:vAlign w:val="center"/>
            <w:hideMark/>
          </w:tcPr>
          <w:p w14:paraId="6321B56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F3A3692"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0,79</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174C515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1,09</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65D82E7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4,12</w:t>
            </w:r>
            <w:r>
              <w:rPr>
                <w:rFonts w:ascii="Arial" w:eastAsia="Times New Roman" w:hAnsi="Arial" w:cs="Arial"/>
                <w:color w:val="000000"/>
                <w:sz w:val="18"/>
                <w:szCs w:val="18"/>
                <w:lang w:eastAsia="sl-SI"/>
              </w:rPr>
              <w:t xml:space="preserve"> %</w:t>
            </w:r>
          </w:p>
        </w:tc>
      </w:tr>
      <w:tr w:rsidR="00072A69" w:rsidRPr="00FB65D3" w14:paraId="200C5AB9"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70721B83"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18 = Projektiranje oziroma izvedba gradnje cest</w:t>
            </w:r>
          </w:p>
        </w:tc>
        <w:tc>
          <w:tcPr>
            <w:tcW w:w="472" w:type="pct"/>
            <w:tcBorders>
              <w:top w:val="nil"/>
              <w:left w:val="nil"/>
              <w:bottom w:val="single" w:sz="4" w:space="0" w:color="auto"/>
              <w:right w:val="single" w:sz="4" w:space="0" w:color="auto"/>
            </w:tcBorders>
            <w:shd w:val="clear" w:color="auto" w:fill="auto"/>
            <w:noWrap/>
            <w:vAlign w:val="center"/>
            <w:hideMark/>
          </w:tcPr>
          <w:p w14:paraId="64966D1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537</w:t>
            </w:r>
          </w:p>
        </w:tc>
        <w:tc>
          <w:tcPr>
            <w:tcW w:w="703" w:type="pct"/>
            <w:tcBorders>
              <w:top w:val="nil"/>
              <w:left w:val="nil"/>
              <w:bottom w:val="single" w:sz="4" w:space="0" w:color="auto"/>
              <w:right w:val="single" w:sz="4" w:space="0" w:color="auto"/>
            </w:tcBorders>
            <w:shd w:val="clear" w:color="auto" w:fill="auto"/>
            <w:noWrap/>
            <w:vAlign w:val="center"/>
            <w:hideMark/>
          </w:tcPr>
          <w:p w14:paraId="79E513E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222.236.525</w:t>
            </w:r>
          </w:p>
        </w:tc>
        <w:tc>
          <w:tcPr>
            <w:tcW w:w="546" w:type="pct"/>
            <w:tcBorders>
              <w:top w:val="nil"/>
              <w:left w:val="nil"/>
              <w:bottom w:val="single" w:sz="4" w:space="0" w:color="auto"/>
              <w:right w:val="single" w:sz="4" w:space="0" w:color="auto"/>
            </w:tcBorders>
            <w:shd w:val="clear" w:color="auto" w:fill="auto"/>
            <w:noWrap/>
            <w:vAlign w:val="center"/>
            <w:hideMark/>
          </w:tcPr>
          <w:p w14:paraId="6439765C"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3,18</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0B7E819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7,61</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0F3D387F"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9,31</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3AAD290B"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39,73</w:t>
            </w:r>
            <w:r>
              <w:rPr>
                <w:rFonts w:ascii="Arial" w:eastAsia="Times New Roman" w:hAnsi="Arial" w:cs="Arial"/>
                <w:color w:val="000000"/>
                <w:sz w:val="18"/>
                <w:szCs w:val="18"/>
                <w:lang w:eastAsia="sl-SI"/>
              </w:rPr>
              <w:t xml:space="preserve"> %</w:t>
            </w:r>
          </w:p>
        </w:tc>
      </w:tr>
      <w:tr w:rsidR="00072A69" w:rsidRPr="00FB65D3" w14:paraId="2A53904E"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150128E0"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lastRenderedPageBreak/>
              <w:t>19 = Cestna razsvetljava in prometna signalizacija</w:t>
            </w:r>
          </w:p>
        </w:tc>
        <w:tc>
          <w:tcPr>
            <w:tcW w:w="472" w:type="pct"/>
            <w:tcBorders>
              <w:top w:val="nil"/>
              <w:left w:val="nil"/>
              <w:bottom w:val="single" w:sz="4" w:space="0" w:color="auto"/>
              <w:right w:val="single" w:sz="4" w:space="0" w:color="auto"/>
            </w:tcBorders>
            <w:shd w:val="clear" w:color="auto" w:fill="auto"/>
            <w:noWrap/>
            <w:vAlign w:val="center"/>
            <w:hideMark/>
          </w:tcPr>
          <w:p w14:paraId="6889DFA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75</w:t>
            </w:r>
          </w:p>
        </w:tc>
        <w:tc>
          <w:tcPr>
            <w:tcW w:w="703" w:type="pct"/>
            <w:tcBorders>
              <w:top w:val="nil"/>
              <w:left w:val="nil"/>
              <w:bottom w:val="single" w:sz="4" w:space="0" w:color="auto"/>
              <w:right w:val="single" w:sz="4" w:space="0" w:color="auto"/>
            </w:tcBorders>
            <w:shd w:val="clear" w:color="auto" w:fill="auto"/>
            <w:noWrap/>
            <w:vAlign w:val="center"/>
            <w:hideMark/>
          </w:tcPr>
          <w:p w14:paraId="0C56186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36.066.300</w:t>
            </w:r>
          </w:p>
        </w:tc>
        <w:tc>
          <w:tcPr>
            <w:tcW w:w="546" w:type="pct"/>
            <w:tcBorders>
              <w:top w:val="nil"/>
              <w:left w:val="nil"/>
              <w:bottom w:val="single" w:sz="4" w:space="0" w:color="auto"/>
              <w:right w:val="single" w:sz="4" w:space="0" w:color="auto"/>
            </w:tcBorders>
            <w:shd w:val="clear" w:color="auto" w:fill="auto"/>
            <w:noWrap/>
            <w:vAlign w:val="center"/>
            <w:hideMark/>
          </w:tcPr>
          <w:p w14:paraId="5DF32898"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4692EC0"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1,24</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62336C4A"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1,30</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69CE4C5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6,45</w:t>
            </w:r>
            <w:r>
              <w:rPr>
                <w:rFonts w:ascii="Arial" w:eastAsia="Times New Roman" w:hAnsi="Arial" w:cs="Arial"/>
                <w:color w:val="000000"/>
                <w:sz w:val="18"/>
                <w:szCs w:val="18"/>
                <w:lang w:eastAsia="sl-SI"/>
              </w:rPr>
              <w:t xml:space="preserve"> %</w:t>
            </w:r>
          </w:p>
        </w:tc>
      </w:tr>
      <w:tr w:rsidR="00072A69" w:rsidRPr="00FB65D3" w14:paraId="0CFEEB01" w14:textId="77777777" w:rsidTr="00AC1F17">
        <w:trPr>
          <w:trHeight w:val="300"/>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62D3CCFC" w14:textId="77777777" w:rsidR="00072A69" w:rsidRPr="00FB65D3" w:rsidRDefault="00072A69" w:rsidP="00AC1F17">
            <w:pPr>
              <w:spacing w:after="0" w:line="240" w:lineRule="auto"/>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20 = Vrtnarske storitve, kmetijski in drugi proizvodi ter oprema in stroji za vrtnarjenje</w:t>
            </w:r>
          </w:p>
        </w:tc>
        <w:tc>
          <w:tcPr>
            <w:tcW w:w="472" w:type="pct"/>
            <w:tcBorders>
              <w:top w:val="nil"/>
              <w:left w:val="nil"/>
              <w:bottom w:val="single" w:sz="4" w:space="0" w:color="auto"/>
              <w:right w:val="single" w:sz="4" w:space="0" w:color="auto"/>
            </w:tcBorders>
            <w:shd w:val="clear" w:color="auto" w:fill="auto"/>
            <w:noWrap/>
            <w:vAlign w:val="center"/>
            <w:hideMark/>
          </w:tcPr>
          <w:p w14:paraId="726BD8C7"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52</w:t>
            </w:r>
          </w:p>
        </w:tc>
        <w:tc>
          <w:tcPr>
            <w:tcW w:w="703" w:type="pct"/>
            <w:tcBorders>
              <w:top w:val="nil"/>
              <w:left w:val="nil"/>
              <w:bottom w:val="single" w:sz="4" w:space="0" w:color="auto"/>
              <w:right w:val="single" w:sz="4" w:space="0" w:color="auto"/>
            </w:tcBorders>
            <w:shd w:val="clear" w:color="auto" w:fill="auto"/>
            <w:noWrap/>
            <w:vAlign w:val="center"/>
            <w:hideMark/>
          </w:tcPr>
          <w:p w14:paraId="2E684673"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10.676.656</w:t>
            </w:r>
          </w:p>
        </w:tc>
        <w:tc>
          <w:tcPr>
            <w:tcW w:w="546" w:type="pct"/>
            <w:tcBorders>
              <w:top w:val="nil"/>
              <w:left w:val="nil"/>
              <w:bottom w:val="single" w:sz="4" w:space="0" w:color="auto"/>
              <w:right w:val="single" w:sz="4" w:space="0" w:color="auto"/>
            </w:tcBorders>
            <w:shd w:val="clear" w:color="auto" w:fill="auto"/>
            <w:noWrap/>
            <w:vAlign w:val="center"/>
            <w:hideMark/>
          </w:tcPr>
          <w:p w14:paraId="716382DD"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1A0575E"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4F446705"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0E311BA9" w14:textId="77777777" w:rsidR="00072A69" w:rsidRPr="00FB65D3" w:rsidRDefault="00072A69" w:rsidP="00AC1F17">
            <w:pPr>
              <w:spacing w:after="0" w:line="240" w:lineRule="auto"/>
              <w:jc w:val="right"/>
              <w:rPr>
                <w:rFonts w:ascii="Arial" w:eastAsia="Times New Roman" w:hAnsi="Arial" w:cs="Arial"/>
                <w:color w:val="000000"/>
                <w:sz w:val="18"/>
                <w:szCs w:val="18"/>
                <w:lang w:eastAsia="sl-SI"/>
              </w:rPr>
            </w:pPr>
            <w:r w:rsidRPr="00FB65D3">
              <w:rPr>
                <w:rFonts w:ascii="Arial" w:eastAsia="Times New Roman" w:hAnsi="Arial" w:cs="Arial"/>
                <w:color w:val="000000"/>
                <w:sz w:val="18"/>
                <w:szCs w:val="18"/>
                <w:lang w:eastAsia="sl-SI"/>
              </w:rPr>
              <w:t>1,91</w:t>
            </w:r>
            <w:r>
              <w:rPr>
                <w:rFonts w:ascii="Arial" w:eastAsia="Times New Roman" w:hAnsi="Arial" w:cs="Arial"/>
                <w:color w:val="000000"/>
                <w:sz w:val="18"/>
                <w:szCs w:val="18"/>
                <w:lang w:eastAsia="sl-SI"/>
              </w:rPr>
              <w:t xml:space="preserve"> %</w:t>
            </w:r>
          </w:p>
        </w:tc>
      </w:tr>
    </w:tbl>
    <w:p w14:paraId="2A8A3937" w14:textId="77777777" w:rsidR="00072A69" w:rsidRPr="00AD2396" w:rsidRDefault="00072A69" w:rsidP="00072A69">
      <w:pPr>
        <w:pStyle w:val="Odstavekseznama"/>
        <w:rPr>
          <w:rFonts w:cs="Arial"/>
          <w:b/>
          <w:highlight w:val="yellow"/>
        </w:rPr>
      </w:pPr>
    </w:p>
    <w:p w14:paraId="13C1C122" w14:textId="7894566A" w:rsidR="00072A69" w:rsidRPr="00D23EC0" w:rsidRDefault="00D23EC0" w:rsidP="00D23EC0">
      <w:pPr>
        <w:rPr>
          <w:rFonts w:cs="Arial"/>
          <w:b/>
        </w:rPr>
      </w:pPr>
      <w:r w:rsidRPr="00D23EC0">
        <w:rPr>
          <w:rFonts w:ascii="Arial" w:hAnsi="Arial" w:cs="Arial"/>
          <w:sz w:val="20"/>
          <w:szCs w:val="20"/>
        </w:rPr>
        <w:t>Preglednica 1</w:t>
      </w:r>
      <w:r>
        <w:rPr>
          <w:rFonts w:ascii="Arial" w:hAnsi="Arial" w:cs="Arial"/>
          <w:sz w:val="20"/>
          <w:szCs w:val="20"/>
        </w:rPr>
        <w:t>11</w:t>
      </w:r>
      <w:r w:rsidRPr="00D23EC0">
        <w:rPr>
          <w:rFonts w:ascii="Arial" w:hAnsi="Arial" w:cs="Arial"/>
          <w:sz w:val="20"/>
          <w:szCs w:val="20"/>
        </w:rPr>
        <w:t xml:space="preserve">: </w:t>
      </w:r>
      <w:r w:rsidR="00072A69" w:rsidRPr="00D23EC0">
        <w:rPr>
          <w:rFonts w:ascii="Arial" w:hAnsi="Arial" w:cs="Arial"/>
          <w:sz w:val="20"/>
        </w:rPr>
        <w:t>Število in vrednosti ter deleži zelenih naročil glede na vrste postopkov</w:t>
      </w:r>
    </w:p>
    <w:tbl>
      <w:tblPr>
        <w:tblW w:w="5000" w:type="pct"/>
        <w:tblCellMar>
          <w:left w:w="70" w:type="dxa"/>
          <w:right w:w="70" w:type="dxa"/>
        </w:tblCellMar>
        <w:tblLook w:val="04A0" w:firstRow="1" w:lastRow="0" w:firstColumn="1" w:lastColumn="0" w:noHBand="0" w:noVBand="1"/>
      </w:tblPr>
      <w:tblGrid>
        <w:gridCol w:w="3114"/>
        <w:gridCol w:w="850"/>
        <w:gridCol w:w="1419"/>
        <w:gridCol w:w="991"/>
        <w:gridCol w:w="991"/>
        <w:gridCol w:w="814"/>
        <w:gridCol w:w="883"/>
      </w:tblGrid>
      <w:tr w:rsidR="00072A69" w:rsidRPr="007D29C5" w14:paraId="2A23BC09" w14:textId="77777777" w:rsidTr="00AC1F17">
        <w:trPr>
          <w:trHeight w:val="397"/>
        </w:trPr>
        <w:tc>
          <w:tcPr>
            <w:tcW w:w="1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B1AFA24"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Vrsta postopka</w:t>
            </w:r>
          </w:p>
        </w:tc>
        <w:tc>
          <w:tcPr>
            <w:tcW w:w="469" w:type="pct"/>
            <w:tcBorders>
              <w:top w:val="single" w:sz="4" w:space="0" w:color="auto"/>
              <w:left w:val="nil"/>
              <w:bottom w:val="single" w:sz="4" w:space="0" w:color="auto"/>
              <w:right w:val="single" w:sz="4" w:space="0" w:color="auto"/>
            </w:tcBorders>
            <w:shd w:val="clear" w:color="000000" w:fill="EDEDED"/>
            <w:vAlign w:val="center"/>
            <w:hideMark/>
          </w:tcPr>
          <w:p w14:paraId="24FAE0D1"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Št. zelenih naročil</w:t>
            </w:r>
          </w:p>
        </w:tc>
        <w:tc>
          <w:tcPr>
            <w:tcW w:w="783" w:type="pct"/>
            <w:tcBorders>
              <w:top w:val="single" w:sz="4" w:space="0" w:color="auto"/>
              <w:left w:val="nil"/>
              <w:bottom w:val="single" w:sz="4" w:space="0" w:color="auto"/>
              <w:right w:val="single" w:sz="4" w:space="0" w:color="auto"/>
            </w:tcBorders>
            <w:shd w:val="clear" w:color="000000" w:fill="EDEDED"/>
            <w:vAlign w:val="center"/>
            <w:hideMark/>
          </w:tcPr>
          <w:p w14:paraId="478F6C12"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Pogodbena vrednost</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6431C694"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Delež v št. zelenih naročil</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649C0603"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 xml:space="preserve">Delež v vrednosti zelenih naročil </w:t>
            </w:r>
          </w:p>
        </w:tc>
        <w:tc>
          <w:tcPr>
            <w:tcW w:w="449" w:type="pct"/>
            <w:tcBorders>
              <w:top w:val="single" w:sz="4" w:space="0" w:color="auto"/>
              <w:left w:val="nil"/>
              <w:bottom w:val="single" w:sz="4" w:space="0" w:color="auto"/>
              <w:right w:val="single" w:sz="4" w:space="0" w:color="auto"/>
            </w:tcBorders>
            <w:shd w:val="clear" w:color="000000" w:fill="EDEDED"/>
            <w:vAlign w:val="center"/>
            <w:hideMark/>
          </w:tcPr>
          <w:p w14:paraId="509F90A8"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Delež v št. vseh naročil</w:t>
            </w:r>
          </w:p>
        </w:tc>
        <w:tc>
          <w:tcPr>
            <w:tcW w:w="487" w:type="pct"/>
            <w:tcBorders>
              <w:top w:val="single" w:sz="4" w:space="0" w:color="auto"/>
              <w:left w:val="nil"/>
              <w:bottom w:val="single" w:sz="4" w:space="0" w:color="auto"/>
              <w:right w:val="single" w:sz="4" w:space="0" w:color="auto"/>
            </w:tcBorders>
            <w:shd w:val="clear" w:color="000000" w:fill="EDEDED"/>
            <w:vAlign w:val="center"/>
            <w:hideMark/>
          </w:tcPr>
          <w:p w14:paraId="147D68A2" w14:textId="77777777" w:rsidR="00072A69" w:rsidRPr="007D29C5" w:rsidRDefault="00072A69" w:rsidP="00AC1F17">
            <w:pPr>
              <w:spacing w:after="0" w:line="240" w:lineRule="auto"/>
              <w:jc w:val="center"/>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Delež v vrednosti vseh naročil</w:t>
            </w:r>
          </w:p>
        </w:tc>
      </w:tr>
      <w:tr w:rsidR="00072A69" w:rsidRPr="007D29C5" w14:paraId="5737743C"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37F16D0D"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Konkurenčni dialog</w:t>
            </w:r>
          </w:p>
        </w:tc>
        <w:tc>
          <w:tcPr>
            <w:tcW w:w="469" w:type="pct"/>
            <w:tcBorders>
              <w:top w:val="nil"/>
              <w:left w:val="nil"/>
              <w:bottom w:val="single" w:sz="4" w:space="0" w:color="auto"/>
              <w:right w:val="single" w:sz="4" w:space="0" w:color="auto"/>
            </w:tcBorders>
            <w:shd w:val="clear" w:color="auto" w:fill="auto"/>
            <w:vAlign w:val="center"/>
            <w:hideMark/>
          </w:tcPr>
          <w:p w14:paraId="43F16603"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2</w:t>
            </w:r>
          </w:p>
        </w:tc>
        <w:tc>
          <w:tcPr>
            <w:tcW w:w="783" w:type="pct"/>
            <w:tcBorders>
              <w:top w:val="nil"/>
              <w:left w:val="nil"/>
              <w:bottom w:val="single" w:sz="4" w:space="0" w:color="auto"/>
              <w:right w:val="single" w:sz="4" w:space="0" w:color="auto"/>
            </w:tcBorders>
            <w:shd w:val="clear" w:color="auto" w:fill="auto"/>
            <w:vAlign w:val="center"/>
            <w:hideMark/>
          </w:tcPr>
          <w:p w14:paraId="1EE35636"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11.394.929</w:t>
            </w:r>
          </w:p>
        </w:tc>
        <w:tc>
          <w:tcPr>
            <w:tcW w:w="547" w:type="pct"/>
            <w:tcBorders>
              <w:top w:val="nil"/>
              <w:left w:val="nil"/>
              <w:bottom w:val="single" w:sz="4" w:space="0" w:color="auto"/>
              <w:right w:val="single" w:sz="4" w:space="0" w:color="auto"/>
            </w:tcBorders>
            <w:shd w:val="clear" w:color="auto" w:fill="auto"/>
            <w:noWrap/>
            <w:vAlign w:val="center"/>
            <w:hideMark/>
          </w:tcPr>
          <w:p w14:paraId="126F1649"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4AB698A1"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2,04</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5A0A3579"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54B24CC1"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r>
      <w:tr w:rsidR="00072A69" w:rsidRPr="007D29C5" w14:paraId="54E4458C"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0572FFC3"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Konkurenčni postopek s pogajanji</w:t>
            </w:r>
          </w:p>
        </w:tc>
        <w:tc>
          <w:tcPr>
            <w:tcW w:w="469" w:type="pct"/>
            <w:tcBorders>
              <w:top w:val="nil"/>
              <w:left w:val="nil"/>
              <w:bottom w:val="single" w:sz="4" w:space="0" w:color="auto"/>
              <w:right w:val="single" w:sz="4" w:space="0" w:color="auto"/>
            </w:tcBorders>
            <w:shd w:val="clear" w:color="auto" w:fill="auto"/>
            <w:vAlign w:val="center"/>
            <w:hideMark/>
          </w:tcPr>
          <w:p w14:paraId="27CA86C7"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43</w:t>
            </w:r>
          </w:p>
        </w:tc>
        <w:tc>
          <w:tcPr>
            <w:tcW w:w="783" w:type="pct"/>
            <w:tcBorders>
              <w:top w:val="nil"/>
              <w:left w:val="nil"/>
              <w:bottom w:val="single" w:sz="4" w:space="0" w:color="auto"/>
              <w:right w:val="single" w:sz="4" w:space="0" w:color="auto"/>
            </w:tcBorders>
            <w:shd w:val="clear" w:color="auto" w:fill="auto"/>
            <w:vAlign w:val="center"/>
            <w:hideMark/>
          </w:tcPr>
          <w:p w14:paraId="1FA136D8"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50.850.862</w:t>
            </w:r>
          </w:p>
        </w:tc>
        <w:tc>
          <w:tcPr>
            <w:tcW w:w="547" w:type="pct"/>
            <w:tcBorders>
              <w:top w:val="nil"/>
              <w:left w:val="nil"/>
              <w:bottom w:val="single" w:sz="4" w:space="0" w:color="auto"/>
              <w:right w:val="single" w:sz="4" w:space="0" w:color="auto"/>
            </w:tcBorders>
            <w:shd w:val="clear" w:color="auto" w:fill="auto"/>
            <w:noWrap/>
            <w:vAlign w:val="center"/>
            <w:hideMark/>
          </w:tcPr>
          <w:p w14:paraId="06C1B8F1"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0,75</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50E09911"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9,09</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535CFEC3"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31A653A9"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1,74</w:t>
            </w:r>
            <w:r>
              <w:rPr>
                <w:rFonts w:ascii="Arial" w:eastAsia="Times New Roman" w:hAnsi="Arial" w:cs="Arial"/>
                <w:color w:val="000000"/>
                <w:sz w:val="18"/>
                <w:szCs w:val="18"/>
                <w:lang w:eastAsia="sl-SI"/>
              </w:rPr>
              <w:t xml:space="preserve"> %</w:t>
            </w:r>
          </w:p>
        </w:tc>
      </w:tr>
      <w:tr w:rsidR="00072A69" w:rsidRPr="007D29C5" w14:paraId="3AFF4191"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544CECD1"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Odprti postopek</w:t>
            </w:r>
          </w:p>
        </w:tc>
        <w:tc>
          <w:tcPr>
            <w:tcW w:w="469" w:type="pct"/>
            <w:tcBorders>
              <w:top w:val="nil"/>
              <w:left w:val="nil"/>
              <w:bottom w:val="single" w:sz="4" w:space="0" w:color="auto"/>
              <w:right w:val="single" w:sz="4" w:space="0" w:color="auto"/>
            </w:tcBorders>
            <w:shd w:val="clear" w:color="auto" w:fill="auto"/>
            <w:vAlign w:val="center"/>
            <w:hideMark/>
          </w:tcPr>
          <w:p w14:paraId="2625E96A"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3.598</w:t>
            </w:r>
          </w:p>
        </w:tc>
        <w:tc>
          <w:tcPr>
            <w:tcW w:w="783" w:type="pct"/>
            <w:tcBorders>
              <w:top w:val="nil"/>
              <w:left w:val="nil"/>
              <w:bottom w:val="single" w:sz="4" w:space="0" w:color="auto"/>
              <w:right w:val="single" w:sz="4" w:space="0" w:color="auto"/>
            </w:tcBorders>
            <w:shd w:val="clear" w:color="auto" w:fill="auto"/>
            <w:vAlign w:val="center"/>
            <w:hideMark/>
          </w:tcPr>
          <w:p w14:paraId="17785908"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337.350.542</w:t>
            </w:r>
          </w:p>
        </w:tc>
        <w:tc>
          <w:tcPr>
            <w:tcW w:w="547" w:type="pct"/>
            <w:tcBorders>
              <w:top w:val="nil"/>
              <w:left w:val="nil"/>
              <w:bottom w:val="single" w:sz="4" w:space="0" w:color="auto"/>
              <w:right w:val="single" w:sz="4" w:space="0" w:color="auto"/>
            </w:tcBorders>
            <w:shd w:val="clear" w:color="auto" w:fill="auto"/>
            <w:noWrap/>
            <w:vAlign w:val="center"/>
            <w:hideMark/>
          </w:tcPr>
          <w:p w14:paraId="7EFC535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62,35</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3116C6E4"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60,31</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51D8E3F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21,33</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08AEF525"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11,56</w:t>
            </w:r>
            <w:r>
              <w:rPr>
                <w:rFonts w:ascii="Arial" w:eastAsia="Times New Roman" w:hAnsi="Arial" w:cs="Arial"/>
                <w:color w:val="000000"/>
                <w:sz w:val="18"/>
                <w:szCs w:val="18"/>
                <w:lang w:eastAsia="sl-SI"/>
              </w:rPr>
              <w:t xml:space="preserve"> %</w:t>
            </w:r>
          </w:p>
        </w:tc>
      </w:tr>
      <w:tr w:rsidR="00072A69" w:rsidRPr="007D29C5" w14:paraId="749541AC"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6D832932"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Omejeni postopek</w:t>
            </w:r>
          </w:p>
        </w:tc>
        <w:tc>
          <w:tcPr>
            <w:tcW w:w="469" w:type="pct"/>
            <w:tcBorders>
              <w:top w:val="nil"/>
              <w:left w:val="nil"/>
              <w:bottom w:val="single" w:sz="4" w:space="0" w:color="auto"/>
              <w:right w:val="single" w:sz="4" w:space="0" w:color="auto"/>
            </w:tcBorders>
            <w:shd w:val="clear" w:color="auto" w:fill="auto"/>
            <w:vAlign w:val="center"/>
            <w:hideMark/>
          </w:tcPr>
          <w:p w14:paraId="5BD054F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2</w:t>
            </w:r>
          </w:p>
        </w:tc>
        <w:tc>
          <w:tcPr>
            <w:tcW w:w="783" w:type="pct"/>
            <w:tcBorders>
              <w:top w:val="nil"/>
              <w:left w:val="nil"/>
              <w:bottom w:val="single" w:sz="4" w:space="0" w:color="auto"/>
              <w:right w:val="single" w:sz="4" w:space="0" w:color="auto"/>
            </w:tcBorders>
            <w:shd w:val="clear" w:color="auto" w:fill="auto"/>
            <w:vAlign w:val="center"/>
            <w:hideMark/>
          </w:tcPr>
          <w:p w14:paraId="6258F7B9"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3.600.000</w:t>
            </w:r>
          </w:p>
        </w:tc>
        <w:tc>
          <w:tcPr>
            <w:tcW w:w="547" w:type="pct"/>
            <w:tcBorders>
              <w:top w:val="nil"/>
              <w:left w:val="nil"/>
              <w:bottom w:val="single" w:sz="4" w:space="0" w:color="auto"/>
              <w:right w:val="single" w:sz="4" w:space="0" w:color="auto"/>
            </w:tcBorders>
            <w:shd w:val="clear" w:color="auto" w:fill="auto"/>
            <w:noWrap/>
            <w:vAlign w:val="center"/>
            <w:hideMark/>
          </w:tcPr>
          <w:p w14:paraId="0A246C8C"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3264DF66"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0,64</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62DB09C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0813A45D"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072A69" w:rsidRPr="007D29C5" w14:paraId="2F53939D"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1D05650A"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Postopek naročila male vrednosti</w:t>
            </w:r>
          </w:p>
        </w:tc>
        <w:tc>
          <w:tcPr>
            <w:tcW w:w="469" w:type="pct"/>
            <w:tcBorders>
              <w:top w:val="nil"/>
              <w:left w:val="nil"/>
              <w:bottom w:val="single" w:sz="4" w:space="0" w:color="auto"/>
              <w:right w:val="single" w:sz="4" w:space="0" w:color="auto"/>
            </w:tcBorders>
            <w:shd w:val="clear" w:color="auto" w:fill="auto"/>
            <w:vAlign w:val="center"/>
            <w:hideMark/>
          </w:tcPr>
          <w:p w14:paraId="7301E65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2.039</w:t>
            </w:r>
          </w:p>
        </w:tc>
        <w:tc>
          <w:tcPr>
            <w:tcW w:w="783" w:type="pct"/>
            <w:tcBorders>
              <w:top w:val="nil"/>
              <w:left w:val="nil"/>
              <w:bottom w:val="single" w:sz="4" w:space="0" w:color="auto"/>
              <w:right w:val="single" w:sz="4" w:space="0" w:color="auto"/>
            </w:tcBorders>
            <w:shd w:val="clear" w:color="auto" w:fill="auto"/>
            <w:vAlign w:val="center"/>
            <w:hideMark/>
          </w:tcPr>
          <w:p w14:paraId="2AEF13F7"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108.640.255</w:t>
            </w:r>
          </w:p>
        </w:tc>
        <w:tc>
          <w:tcPr>
            <w:tcW w:w="547" w:type="pct"/>
            <w:tcBorders>
              <w:top w:val="nil"/>
              <w:left w:val="nil"/>
              <w:bottom w:val="single" w:sz="4" w:space="0" w:color="auto"/>
              <w:right w:val="single" w:sz="4" w:space="0" w:color="auto"/>
            </w:tcBorders>
            <w:shd w:val="clear" w:color="auto" w:fill="auto"/>
            <w:noWrap/>
            <w:vAlign w:val="center"/>
            <w:hideMark/>
          </w:tcPr>
          <w:p w14:paraId="30DDBB94"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35,33</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4571F63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19,42</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40000AA1"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12,09</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5CA48A1E"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3,72</w:t>
            </w:r>
            <w:r>
              <w:rPr>
                <w:rFonts w:ascii="Arial" w:eastAsia="Times New Roman" w:hAnsi="Arial" w:cs="Arial"/>
                <w:color w:val="000000"/>
                <w:sz w:val="18"/>
                <w:szCs w:val="18"/>
                <w:lang w:eastAsia="sl-SI"/>
              </w:rPr>
              <w:t xml:space="preserve"> %</w:t>
            </w:r>
          </w:p>
        </w:tc>
      </w:tr>
      <w:tr w:rsidR="00072A69" w:rsidRPr="007D29C5" w14:paraId="4849722B"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3452CB66"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Postopek s pogajanji brez predhodne objave</w:t>
            </w:r>
          </w:p>
        </w:tc>
        <w:tc>
          <w:tcPr>
            <w:tcW w:w="469" w:type="pct"/>
            <w:tcBorders>
              <w:top w:val="nil"/>
              <w:left w:val="nil"/>
              <w:bottom w:val="single" w:sz="4" w:space="0" w:color="auto"/>
              <w:right w:val="single" w:sz="4" w:space="0" w:color="auto"/>
            </w:tcBorders>
            <w:shd w:val="clear" w:color="auto" w:fill="auto"/>
            <w:vAlign w:val="center"/>
            <w:hideMark/>
          </w:tcPr>
          <w:p w14:paraId="6751C7F7"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74</w:t>
            </w:r>
          </w:p>
        </w:tc>
        <w:tc>
          <w:tcPr>
            <w:tcW w:w="783" w:type="pct"/>
            <w:tcBorders>
              <w:top w:val="nil"/>
              <w:left w:val="nil"/>
              <w:bottom w:val="single" w:sz="4" w:space="0" w:color="auto"/>
              <w:right w:val="single" w:sz="4" w:space="0" w:color="auto"/>
            </w:tcBorders>
            <w:shd w:val="clear" w:color="auto" w:fill="auto"/>
            <w:vAlign w:val="center"/>
            <w:hideMark/>
          </w:tcPr>
          <w:p w14:paraId="47714C9C"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39.128.675</w:t>
            </w:r>
          </w:p>
        </w:tc>
        <w:tc>
          <w:tcPr>
            <w:tcW w:w="547" w:type="pct"/>
            <w:tcBorders>
              <w:top w:val="nil"/>
              <w:left w:val="nil"/>
              <w:bottom w:val="single" w:sz="4" w:space="0" w:color="auto"/>
              <w:right w:val="single" w:sz="4" w:space="0" w:color="auto"/>
            </w:tcBorders>
            <w:shd w:val="clear" w:color="auto" w:fill="auto"/>
            <w:noWrap/>
            <w:vAlign w:val="center"/>
            <w:hideMark/>
          </w:tcPr>
          <w:p w14:paraId="6094DC81"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1,28</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49DC26EA"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6,99</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1DCDC7FC"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7A7DD460"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1,34</w:t>
            </w:r>
            <w:r>
              <w:rPr>
                <w:rFonts w:ascii="Arial" w:eastAsia="Times New Roman" w:hAnsi="Arial" w:cs="Arial"/>
                <w:color w:val="000000"/>
                <w:sz w:val="18"/>
                <w:szCs w:val="18"/>
                <w:lang w:eastAsia="sl-SI"/>
              </w:rPr>
              <w:t xml:space="preserve"> %</w:t>
            </w:r>
          </w:p>
        </w:tc>
      </w:tr>
      <w:tr w:rsidR="00072A69" w:rsidRPr="007D29C5" w14:paraId="75E5FF00" w14:textId="77777777" w:rsidTr="00AC1F17">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44ADA8DF" w14:textId="77777777" w:rsidR="00072A69" w:rsidRPr="007D29C5" w:rsidRDefault="00072A69" w:rsidP="00AC1F17">
            <w:pPr>
              <w:spacing w:after="0" w:line="240" w:lineRule="auto"/>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Postopek s pogajanji po predhodni objavi</w:t>
            </w:r>
          </w:p>
        </w:tc>
        <w:tc>
          <w:tcPr>
            <w:tcW w:w="469" w:type="pct"/>
            <w:tcBorders>
              <w:top w:val="nil"/>
              <w:left w:val="nil"/>
              <w:bottom w:val="single" w:sz="4" w:space="0" w:color="auto"/>
              <w:right w:val="single" w:sz="4" w:space="0" w:color="auto"/>
            </w:tcBorders>
            <w:shd w:val="clear" w:color="auto" w:fill="auto"/>
            <w:vAlign w:val="center"/>
            <w:hideMark/>
          </w:tcPr>
          <w:p w14:paraId="55345744"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13</w:t>
            </w:r>
          </w:p>
        </w:tc>
        <w:tc>
          <w:tcPr>
            <w:tcW w:w="783" w:type="pct"/>
            <w:tcBorders>
              <w:top w:val="nil"/>
              <w:left w:val="nil"/>
              <w:bottom w:val="single" w:sz="4" w:space="0" w:color="auto"/>
              <w:right w:val="single" w:sz="4" w:space="0" w:color="auto"/>
            </w:tcBorders>
            <w:shd w:val="clear" w:color="auto" w:fill="auto"/>
            <w:vAlign w:val="center"/>
            <w:hideMark/>
          </w:tcPr>
          <w:p w14:paraId="5404A6E4"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8.428.453</w:t>
            </w:r>
          </w:p>
        </w:tc>
        <w:tc>
          <w:tcPr>
            <w:tcW w:w="547" w:type="pct"/>
            <w:tcBorders>
              <w:top w:val="nil"/>
              <w:left w:val="nil"/>
              <w:bottom w:val="single" w:sz="4" w:space="0" w:color="auto"/>
              <w:right w:val="single" w:sz="4" w:space="0" w:color="auto"/>
            </w:tcBorders>
            <w:shd w:val="clear" w:color="auto" w:fill="auto"/>
            <w:noWrap/>
            <w:vAlign w:val="center"/>
            <w:hideMark/>
          </w:tcPr>
          <w:p w14:paraId="518354D7"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365A980B"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1,51</w:t>
            </w:r>
            <w:r>
              <w:rPr>
                <w:rFonts w:ascii="Arial" w:eastAsia="Times New Roman" w:hAnsi="Arial" w:cs="Arial"/>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4C87B2F7"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14:paraId="0CE986D3" w14:textId="77777777" w:rsidR="00072A69" w:rsidRPr="007D29C5" w:rsidRDefault="00072A69" w:rsidP="00AC1F17">
            <w:pPr>
              <w:spacing w:after="0" w:line="240" w:lineRule="auto"/>
              <w:jc w:val="right"/>
              <w:rPr>
                <w:rFonts w:ascii="Arial" w:eastAsia="Times New Roman" w:hAnsi="Arial" w:cs="Arial"/>
                <w:color w:val="000000"/>
                <w:sz w:val="18"/>
                <w:szCs w:val="18"/>
                <w:lang w:eastAsia="sl-SI"/>
              </w:rPr>
            </w:pPr>
            <w:r w:rsidRPr="007D29C5">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r>
      <w:tr w:rsidR="00072A69" w:rsidRPr="007D29C5" w14:paraId="492AA91A" w14:textId="77777777" w:rsidTr="00AC1F17">
        <w:trPr>
          <w:trHeight w:val="397"/>
        </w:trPr>
        <w:tc>
          <w:tcPr>
            <w:tcW w:w="1718" w:type="pct"/>
            <w:tcBorders>
              <w:top w:val="nil"/>
              <w:left w:val="single" w:sz="4" w:space="0" w:color="auto"/>
              <w:bottom w:val="single" w:sz="4" w:space="0" w:color="auto"/>
              <w:right w:val="single" w:sz="4" w:space="0" w:color="auto"/>
            </w:tcBorders>
            <w:shd w:val="clear" w:color="000000" w:fill="E7E6E6"/>
            <w:vAlign w:val="center"/>
            <w:hideMark/>
          </w:tcPr>
          <w:p w14:paraId="1374A59A" w14:textId="77777777" w:rsidR="00072A69" w:rsidRPr="007D29C5" w:rsidRDefault="00072A69" w:rsidP="00AC1F17">
            <w:pPr>
              <w:spacing w:after="0" w:line="240" w:lineRule="auto"/>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Skupaj</w:t>
            </w:r>
          </w:p>
        </w:tc>
        <w:tc>
          <w:tcPr>
            <w:tcW w:w="469" w:type="pct"/>
            <w:tcBorders>
              <w:top w:val="nil"/>
              <w:left w:val="nil"/>
              <w:bottom w:val="single" w:sz="4" w:space="0" w:color="auto"/>
              <w:right w:val="single" w:sz="4" w:space="0" w:color="auto"/>
            </w:tcBorders>
            <w:shd w:val="clear" w:color="000000" w:fill="E7E6E6"/>
            <w:noWrap/>
            <w:vAlign w:val="center"/>
            <w:hideMark/>
          </w:tcPr>
          <w:p w14:paraId="7D01CF7F" w14:textId="77777777" w:rsidR="00072A69" w:rsidRPr="007D29C5" w:rsidRDefault="00072A69" w:rsidP="00AC1F17">
            <w:pPr>
              <w:spacing w:after="0" w:line="240" w:lineRule="auto"/>
              <w:jc w:val="right"/>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5.771</w:t>
            </w:r>
          </w:p>
        </w:tc>
        <w:tc>
          <w:tcPr>
            <w:tcW w:w="783" w:type="pct"/>
            <w:tcBorders>
              <w:top w:val="nil"/>
              <w:left w:val="nil"/>
              <w:bottom w:val="single" w:sz="4" w:space="0" w:color="auto"/>
              <w:right w:val="single" w:sz="4" w:space="0" w:color="auto"/>
            </w:tcBorders>
            <w:shd w:val="clear" w:color="000000" w:fill="E7E6E6"/>
            <w:noWrap/>
            <w:vAlign w:val="center"/>
            <w:hideMark/>
          </w:tcPr>
          <w:p w14:paraId="49823113" w14:textId="77777777" w:rsidR="00072A69" w:rsidRPr="007D29C5" w:rsidRDefault="00072A69" w:rsidP="00AC1F17">
            <w:pPr>
              <w:spacing w:after="0" w:line="240" w:lineRule="auto"/>
              <w:jc w:val="right"/>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559.393.716</w:t>
            </w:r>
          </w:p>
        </w:tc>
        <w:tc>
          <w:tcPr>
            <w:tcW w:w="547" w:type="pct"/>
            <w:tcBorders>
              <w:top w:val="nil"/>
              <w:left w:val="nil"/>
              <w:bottom w:val="single" w:sz="4" w:space="0" w:color="auto"/>
              <w:right w:val="single" w:sz="4" w:space="0" w:color="auto"/>
            </w:tcBorders>
            <w:shd w:val="clear" w:color="000000" w:fill="E7E6E6"/>
            <w:noWrap/>
            <w:vAlign w:val="center"/>
            <w:hideMark/>
          </w:tcPr>
          <w:p w14:paraId="22A17C26" w14:textId="77777777" w:rsidR="00072A69" w:rsidRPr="007D29C5" w:rsidRDefault="00072A69" w:rsidP="00AC1F17">
            <w:pPr>
              <w:spacing w:after="0" w:line="240" w:lineRule="auto"/>
              <w:jc w:val="right"/>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7" w:type="pct"/>
            <w:tcBorders>
              <w:top w:val="nil"/>
              <w:left w:val="nil"/>
              <w:bottom w:val="single" w:sz="4" w:space="0" w:color="auto"/>
              <w:right w:val="single" w:sz="4" w:space="0" w:color="auto"/>
            </w:tcBorders>
            <w:shd w:val="clear" w:color="000000" w:fill="E7E6E6"/>
            <w:noWrap/>
            <w:vAlign w:val="center"/>
            <w:hideMark/>
          </w:tcPr>
          <w:p w14:paraId="282473E8" w14:textId="77777777" w:rsidR="00072A69" w:rsidRPr="007D29C5" w:rsidRDefault="00072A69" w:rsidP="00AC1F17">
            <w:pPr>
              <w:spacing w:after="0" w:line="240" w:lineRule="auto"/>
              <w:jc w:val="right"/>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49" w:type="pct"/>
            <w:tcBorders>
              <w:top w:val="nil"/>
              <w:left w:val="nil"/>
              <w:bottom w:val="single" w:sz="4" w:space="0" w:color="auto"/>
              <w:right w:val="single" w:sz="4" w:space="0" w:color="auto"/>
            </w:tcBorders>
            <w:shd w:val="clear" w:color="auto" w:fill="E7E6E6" w:themeFill="background2"/>
            <w:noWrap/>
            <w:vAlign w:val="center"/>
            <w:hideMark/>
          </w:tcPr>
          <w:p w14:paraId="197F444E" w14:textId="77777777" w:rsidR="00072A69" w:rsidRPr="007D29C5" w:rsidRDefault="00072A69" w:rsidP="00AC1F17">
            <w:pPr>
              <w:spacing w:after="0" w:line="240" w:lineRule="auto"/>
              <w:jc w:val="right"/>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34,22</w:t>
            </w:r>
            <w:r>
              <w:rPr>
                <w:rFonts w:ascii="Arial" w:eastAsia="Times New Roman" w:hAnsi="Arial" w:cs="Arial"/>
                <w:b/>
                <w:bCs/>
                <w:color w:val="000000"/>
                <w:sz w:val="18"/>
                <w:szCs w:val="18"/>
                <w:lang w:eastAsia="sl-SI"/>
              </w:rPr>
              <w:t xml:space="preserve"> %</w:t>
            </w:r>
          </w:p>
        </w:tc>
        <w:tc>
          <w:tcPr>
            <w:tcW w:w="487" w:type="pct"/>
            <w:tcBorders>
              <w:top w:val="nil"/>
              <w:left w:val="nil"/>
              <w:bottom w:val="single" w:sz="4" w:space="0" w:color="auto"/>
              <w:right w:val="single" w:sz="4" w:space="0" w:color="auto"/>
            </w:tcBorders>
            <w:shd w:val="clear" w:color="auto" w:fill="E7E6E6" w:themeFill="background2"/>
            <w:noWrap/>
            <w:vAlign w:val="center"/>
            <w:hideMark/>
          </w:tcPr>
          <w:p w14:paraId="426C2094" w14:textId="77777777" w:rsidR="00072A69" w:rsidRPr="007D29C5" w:rsidRDefault="00072A69" w:rsidP="00AC1F17">
            <w:pPr>
              <w:spacing w:after="0" w:line="240" w:lineRule="auto"/>
              <w:jc w:val="right"/>
              <w:rPr>
                <w:rFonts w:ascii="Arial" w:eastAsia="Times New Roman" w:hAnsi="Arial" w:cs="Arial"/>
                <w:b/>
                <w:bCs/>
                <w:color w:val="000000"/>
                <w:sz w:val="18"/>
                <w:szCs w:val="18"/>
                <w:lang w:eastAsia="sl-SI"/>
              </w:rPr>
            </w:pPr>
            <w:r w:rsidRPr="007D29C5">
              <w:rPr>
                <w:rFonts w:ascii="Arial" w:eastAsia="Times New Roman" w:hAnsi="Arial" w:cs="Arial"/>
                <w:b/>
                <w:bCs/>
                <w:color w:val="000000"/>
                <w:sz w:val="18"/>
                <w:szCs w:val="18"/>
                <w:lang w:eastAsia="sl-SI"/>
              </w:rPr>
              <w:t>19,17</w:t>
            </w:r>
            <w:r>
              <w:rPr>
                <w:rFonts w:ascii="Arial" w:eastAsia="Times New Roman" w:hAnsi="Arial" w:cs="Arial"/>
                <w:b/>
                <w:bCs/>
                <w:color w:val="000000"/>
                <w:sz w:val="18"/>
                <w:szCs w:val="18"/>
                <w:lang w:eastAsia="sl-SI"/>
              </w:rPr>
              <w:t xml:space="preserve"> %</w:t>
            </w:r>
          </w:p>
        </w:tc>
      </w:tr>
    </w:tbl>
    <w:p w14:paraId="04A63466" w14:textId="77777777" w:rsidR="00072A69" w:rsidRDefault="00072A69" w:rsidP="00072A69">
      <w:pPr>
        <w:pStyle w:val="Odstavekseznama"/>
        <w:rPr>
          <w:rFonts w:cs="Arial"/>
          <w:sz w:val="20"/>
          <w:szCs w:val="20"/>
        </w:rPr>
      </w:pPr>
    </w:p>
    <w:p w14:paraId="7734DA62" w14:textId="77777777" w:rsidR="00072A69" w:rsidRPr="00BE7DC5" w:rsidRDefault="00072A69" w:rsidP="00072A69">
      <w:pPr>
        <w:pStyle w:val="Odstavekseznama"/>
        <w:rPr>
          <w:rFonts w:cs="Arial"/>
          <w:b/>
        </w:rPr>
      </w:pPr>
    </w:p>
    <w:p w14:paraId="41AADDAF" w14:textId="28E20C31" w:rsidR="00072A69" w:rsidRPr="00D23EC0" w:rsidRDefault="00D23EC0" w:rsidP="00D23EC0">
      <w:pPr>
        <w:rPr>
          <w:rFonts w:ascii="Arial" w:hAnsi="Arial" w:cs="Arial"/>
          <w:b/>
        </w:rPr>
      </w:pPr>
      <w:r w:rsidRPr="00D23EC0">
        <w:rPr>
          <w:rFonts w:ascii="Arial" w:hAnsi="Arial" w:cs="Arial"/>
          <w:sz w:val="20"/>
          <w:szCs w:val="20"/>
        </w:rPr>
        <w:t xml:space="preserve">Preglednica 112: </w:t>
      </w:r>
      <w:r w:rsidR="00072A69" w:rsidRPr="00D23EC0">
        <w:rPr>
          <w:rFonts w:ascii="Arial" w:hAnsi="Arial" w:cs="Arial"/>
          <w:sz w:val="20"/>
        </w:rPr>
        <w:t xml:space="preserve">Število in vrednosti ter deleži zelenih naročil glede na način vključevanja </w:t>
      </w:r>
      <w:proofErr w:type="spellStart"/>
      <w:r w:rsidR="00072A69" w:rsidRPr="00D23EC0">
        <w:rPr>
          <w:rFonts w:ascii="Arial" w:hAnsi="Arial" w:cs="Arial"/>
          <w:sz w:val="20"/>
        </w:rPr>
        <w:t>okoljskih</w:t>
      </w:r>
      <w:proofErr w:type="spellEnd"/>
      <w:r w:rsidR="00072A69" w:rsidRPr="00D23EC0">
        <w:rPr>
          <w:rFonts w:ascii="Arial" w:hAnsi="Arial" w:cs="Arial"/>
          <w:sz w:val="20"/>
        </w:rPr>
        <w:t xml:space="preserve"> vidikov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847"/>
        <w:gridCol w:w="1143"/>
        <w:gridCol w:w="991"/>
        <w:gridCol w:w="1415"/>
        <w:gridCol w:w="990"/>
        <w:gridCol w:w="1129"/>
      </w:tblGrid>
      <w:tr w:rsidR="00072A69" w:rsidRPr="00AB6CF2" w14:paraId="2323B066" w14:textId="77777777" w:rsidTr="00627B2D">
        <w:trPr>
          <w:trHeight w:val="397"/>
        </w:trPr>
        <w:tc>
          <w:tcPr>
            <w:tcW w:w="1405" w:type="pct"/>
            <w:shd w:val="clear" w:color="000000" w:fill="EDEDED"/>
            <w:vAlign w:val="center"/>
            <w:hideMark/>
          </w:tcPr>
          <w:p w14:paraId="5307549F"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 xml:space="preserve">Način vključevanje </w:t>
            </w:r>
            <w:proofErr w:type="spellStart"/>
            <w:r w:rsidRPr="00AB6CF2">
              <w:rPr>
                <w:rFonts w:ascii="Arial" w:eastAsia="Times New Roman" w:hAnsi="Arial" w:cs="Arial"/>
                <w:color w:val="000000"/>
                <w:sz w:val="18"/>
                <w:szCs w:val="18"/>
                <w:lang w:eastAsia="sl-SI"/>
              </w:rPr>
              <w:t>okoljskih</w:t>
            </w:r>
            <w:proofErr w:type="spellEnd"/>
            <w:r w:rsidRPr="00AB6CF2">
              <w:rPr>
                <w:rFonts w:ascii="Arial" w:eastAsia="Times New Roman" w:hAnsi="Arial" w:cs="Arial"/>
                <w:color w:val="000000"/>
                <w:sz w:val="18"/>
                <w:szCs w:val="18"/>
                <w:lang w:eastAsia="sl-SI"/>
              </w:rPr>
              <w:t xml:space="preserve"> vidikov v javno naročanje</w:t>
            </w:r>
          </w:p>
        </w:tc>
        <w:tc>
          <w:tcPr>
            <w:tcW w:w="467" w:type="pct"/>
            <w:shd w:val="clear" w:color="000000" w:fill="EDEDED"/>
            <w:vAlign w:val="center"/>
            <w:hideMark/>
          </w:tcPr>
          <w:p w14:paraId="5B462DA1"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Št. zelenih naročil</w:t>
            </w:r>
          </w:p>
        </w:tc>
        <w:tc>
          <w:tcPr>
            <w:tcW w:w="630" w:type="pct"/>
            <w:shd w:val="clear" w:color="000000" w:fill="EDEDED"/>
            <w:vAlign w:val="center"/>
            <w:hideMark/>
          </w:tcPr>
          <w:p w14:paraId="2E515979"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Pogodbena vrednost</w:t>
            </w:r>
          </w:p>
        </w:tc>
        <w:tc>
          <w:tcPr>
            <w:tcW w:w="547" w:type="pct"/>
            <w:shd w:val="clear" w:color="000000" w:fill="EDEDED"/>
            <w:vAlign w:val="center"/>
            <w:hideMark/>
          </w:tcPr>
          <w:p w14:paraId="01E24496"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Delež v št. zelenih naročil</w:t>
            </w:r>
          </w:p>
        </w:tc>
        <w:tc>
          <w:tcPr>
            <w:tcW w:w="781" w:type="pct"/>
            <w:shd w:val="clear" w:color="000000" w:fill="EDEDED"/>
            <w:vAlign w:val="center"/>
            <w:hideMark/>
          </w:tcPr>
          <w:p w14:paraId="606DE8DC"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Delež v vrednosti zelenih naročil</w:t>
            </w:r>
          </w:p>
        </w:tc>
        <w:tc>
          <w:tcPr>
            <w:tcW w:w="546" w:type="pct"/>
            <w:shd w:val="clear" w:color="000000" w:fill="EDEDED"/>
            <w:vAlign w:val="center"/>
            <w:hideMark/>
          </w:tcPr>
          <w:p w14:paraId="738B2CDE"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Delež v št. vseh naročil</w:t>
            </w:r>
          </w:p>
        </w:tc>
        <w:tc>
          <w:tcPr>
            <w:tcW w:w="623" w:type="pct"/>
            <w:shd w:val="clear" w:color="000000" w:fill="EDEDED"/>
            <w:vAlign w:val="center"/>
            <w:hideMark/>
          </w:tcPr>
          <w:p w14:paraId="3D453589" w14:textId="77777777" w:rsidR="00072A69" w:rsidRPr="00AB6CF2" w:rsidRDefault="00072A69" w:rsidP="00AC1F17">
            <w:pPr>
              <w:spacing w:after="0" w:line="240" w:lineRule="auto"/>
              <w:jc w:val="center"/>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Delež v vrednosti vseh naročil</w:t>
            </w:r>
          </w:p>
        </w:tc>
      </w:tr>
      <w:tr w:rsidR="00072A69" w:rsidRPr="00AB6CF2" w14:paraId="07A8D357" w14:textId="77777777" w:rsidTr="00627B2D">
        <w:trPr>
          <w:trHeight w:val="397"/>
        </w:trPr>
        <w:tc>
          <w:tcPr>
            <w:tcW w:w="1405" w:type="pct"/>
            <w:shd w:val="clear" w:color="auto" w:fill="auto"/>
            <w:vAlign w:val="center"/>
            <w:hideMark/>
          </w:tcPr>
          <w:p w14:paraId="2B32F48D"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Predmet javnega naročila</w:t>
            </w:r>
          </w:p>
        </w:tc>
        <w:tc>
          <w:tcPr>
            <w:tcW w:w="467" w:type="pct"/>
            <w:shd w:val="clear" w:color="auto" w:fill="auto"/>
            <w:vAlign w:val="center"/>
            <w:hideMark/>
          </w:tcPr>
          <w:p w14:paraId="5CDC813D"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w:t>
            </w:r>
          </w:p>
        </w:tc>
        <w:tc>
          <w:tcPr>
            <w:tcW w:w="630" w:type="pct"/>
            <w:shd w:val="clear" w:color="auto" w:fill="auto"/>
            <w:vAlign w:val="center"/>
            <w:hideMark/>
          </w:tcPr>
          <w:p w14:paraId="1256EDF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w:t>
            </w:r>
          </w:p>
        </w:tc>
        <w:tc>
          <w:tcPr>
            <w:tcW w:w="547" w:type="pct"/>
            <w:shd w:val="clear" w:color="auto" w:fill="auto"/>
            <w:vAlign w:val="center"/>
            <w:hideMark/>
          </w:tcPr>
          <w:p w14:paraId="2BF39FF4"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3C4C263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5062C5E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784EF20D"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072A69" w:rsidRPr="00AB6CF2" w14:paraId="6873FA16" w14:textId="77777777" w:rsidTr="00627B2D">
        <w:trPr>
          <w:trHeight w:val="397"/>
        </w:trPr>
        <w:tc>
          <w:tcPr>
            <w:tcW w:w="1405" w:type="pct"/>
            <w:shd w:val="clear" w:color="auto" w:fill="auto"/>
            <w:vAlign w:val="center"/>
            <w:hideMark/>
          </w:tcPr>
          <w:p w14:paraId="72C05265"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Tehnične specifikacije</w:t>
            </w:r>
          </w:p>
        </w:tc>
        <w:tc>
          <w:tcPr>
            <w:tcW w:w="467" w:type="pct"/>
            <w:shd w:val="clear" w:color="auto" w:fill="auto"/>
            <w:vAlign w:val="center"/>
            <w:hideMark/>
          </w:tcPr>
          <w:p w14:paraId="5725E9D2"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3.800</w:t>
            </w:r>
          </w:p>
        </w:tc>
        <w:tc>
          <w:tcPr>
            <w:tcW w:w="630" w:type="pct"/>
            <w:shd w:val="clear" w:color="auto" w:fill="auto"/>
            <w:vAlign w:val="center"/>
            <w:hideMark/>
          </w:tcPr>
          <w:p w14:paraId="64880450"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424.016.579</w:t>
            </w:r>
          </w:p>
        </w:tc>
        <w:tc>
          <w:tcPr>
            <w:tcW w:w="547" w:type="pct"/>
            <w:shd w:val="clear" w:color="auto" w:fill="auto"/>
            <w:vAlign w:val="center"/>
            <w:hideMark/>
          </w:tcPr>
          <w:p w14:paraId="511A67E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65,85</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7D10BF8A"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75,80</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0690FAEF"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22,53</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02F7689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14,53</w:t>
            </w:r>
            <w:r>
              <w:rPr>
                <w:rFonts w:ascii="Arial" w:eastAsia="Times New Roman" w:hAnsi="Arial" w:cs="Arial"/>
                <w:color w:val="000000"/>
                <w:sz w:val="18"/>
                <w:szCs w:val="18"/>
                <w:lang w:eastAsia="sl-SI"/>
              </w:rPr>
              <w:t xml:space="preserve"> %</w:t>
            </w:r>
          </w:p>
        </w:tc>
      </w:tr>
      <w:tr w:rsidR="00072A69" w:rsidRPr="00AB6CF2" w14:paraId="09766517" w14:textId="77777777" w:rsidTr="00627B2D">
        <w:trPr>
          <w:trHeight w:val="397"/>
        </w:trPr>
        <w:tc>
          <w:tcPr>
            <w:tcW w:w="1405" w:type="pct"/>
            <w:shd w:val="clear" w:color="auto" w:fill="auto"/>
            <w:vAlign w:val="center"/>
            <w:hideMark/>
          </w:tcPr>
          <w:p w14:paraId="444E15A8"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 xml:space="preserve">Merila za oddajo javnega naročila </w:t>
            </w:r>
          </w:p>
        </w:tc>
        <w:tc>
          <w:tcPr>
            <w:tcW w:w="467" w:type="pct"/>
            <w:shd w:val="clear" w:color="auto" w:fill="auto"/>
            <w:vAlign w:val="center"/>
            <w:hideMark/>
          </w:tcPr>
          <w:p w14:paraId="02A19B9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2.089</w:t>
            </w:r>
          </w:p>
        </w:tc>
        <w:tc>
          <w:tcPr>
            <w:tcW w:w="630" w:type="pct"/>
            <w:shd w:val="clear" w:color="auto" w:fill="auto"/>
            <w:vAlign w:val="center"/>
            <w:hideMark/>
          </w:tcPr>
          <w:p w14:paraId="0CDA7CE5"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80.284.480</w:t>
            </w:r>
          </w:p>
        </w:tc>
        <w:tc>
          <w:tcPr>
            <w:tcW w:w="547" w:type="pct"/>
            <w:shd w:val="clear" w:color="auto" w:fill="auto"/>
            <w:vAlign w:val="center"/>
            <w:hideMark/>
          </w:tcPr>
          <w:p w14:paraId="34F627E6"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36,20</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626570B2"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14,35</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68A13890"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12,39</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0C03D105"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2,75</w:t>
            </w:r>
            <w:r>
              <w:rPr>
                <w:rFonts w:ascii="Arial" w:eastAsia="Times New Roman" w:hAnsi="Arial" w:cs="Arial"/>
                <w:color w:val="000000"/>
                <w:sz w:val="18"/>
                <w:szCs w:val="18"/>
                <w:lang w:eastAsia="sl-SI"/>
              </w:rPr>
              <w:t xml:space="preserve"> %</w:t>
            </w:r>
          </w:p>
        </w:tc>
      </w:tr>
      <w:tr w:rsidR="00072A69" w:rsidRPr="00AB6CF2" w14:paraId="69090EA7" w14:textId="77777777" w:rsidTr="00627B2D">
        <w:trPr>
          <w:trHeight w:val="397"/>
        </w:trPr>
        <w:tc>
          <w:tcPr>
            <w:tcW w:w="1405" w:type="pct"/>
            <w:shd w:val="clear" w:color="auto" w:fill="auto"/>
            <w:vAlign w:val="center"/>
            <w:hideMark/>
          </w:tcPr>
          <w:p w14:paraId="1E10E6A5"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Pogoji za sodelovanje</w:t>
            </w:r>
          </w:p>
        </w:tc>
        <w:tc>
          <w:tcPr>
            <w:tcW w:w="467" w:type="pct"/>
            <w:shd w:val="clear" w:color="auto" w:fill="auto"/>
            <w:vAlign w:val="center"/>
            <w:hideMark/>
          </w:tcPr>
          <w:p w14:paraId="096CFFC4"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1.553</w:t>
            </w:r>
          </w:p>
        </w:tc>
        <w:tc>
          <w:tcPr>
            <w:tcW w:w="630" w:type="pct"/>
            <w:shd w:val="clear" w:color="auto" w:fill="auto"/>
            <w:vAlign w:val="center"/>
            <w:hideMark/>
          </w:tcPr>
          <w:p w14:paraId="359CC20B"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171.490.659</w:t>
            </w:r>
          </w:p>
        </w:tc>
        <w:tc>
          <w:tcPr>
            <w:tcW w:w="547" w:type="pct"/>
            <w:shd w:val="clear" w:color="auto" w:fill="auto"/>
            <w:vAlign w:val="center"/>
            <w:hideMark/>
          </w:tcPr>
          <w:p w14:paraId="59CCF08B"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26,91</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2634E874"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30,66</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56C66974"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9,21</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14C873A4"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5,88</w:t>
            </w:r>
            <w:r>
              <w:rPr>
                <w:rFonts w:ascii="Arial" w:eastAsia="Times New Roman" w:hAnsi="Arial" w:cs="Arial"/>
                <w:color w:val="000000"/>
                <w:sz w:val="18"/>
                <w:szCs w:val="18"/>
                <w:lang w:eastAsia="sl-SI"/>
              </w:rPr>
              <w:t xml:space="preserve"> %</w:t>
            </w:r>
          </w:p>
        </w:tc>
      </w:tr>
      <w:tr w:rsidR="00072A69" w:rsidRPr="00AB6CF2" w14:paraId="785D999C" w14:textId="77777777" w:rsidTr="00627B2D">
        <w:trPr>
          <w:trHeight w:val="397"/>
        </w:trPr>
        <w:tc>
          <w:tcPr>
            <w:tcW w:w="1405" w:type="pct"/>
            <w:shd w:val="clear" w:color="auto" w:fill="auto"/>
            <w:vAlign w:val="center"/>
            <w:hideMark/>
          </w:tcPr>
          <w:p w14:paraId="1B83FFBA"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Pogodbena določila iz obligacijskega razmerja</w:t>
            </w:r>
          </w:p>
        </w:tc>
        <w:tc>
          <w:tcPr>
            <w:tcW w:w="467" w:type="pct"/>
            <w:shd w:val="clear" w:color="auto" w:fill="auto"/>
            <w:vAlign w:val="center"/>
            <w:hideMark/>
          </w:tcPr>
          <w:p w14:paraId="31F63AFE"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2.147</w:t>
            </w:r>
          </w:p>
        </w:tc>
        <w:tc>
          <w:tcPr>
            <w:tcW w:w="630" w:type="pct"/>
            <w:shd w:val="clear" w:color="auto" w:fill="auto"/>
            <w:vAlign w:val="center"/>
            <w:hideMark/>
          </w:tcPr>
          <w:p w14:paraId="4E41F37F"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134.461.490</w:t>
            </w:r>
          </w:p>
        </w:tc>
        <w:tc>
          <w:tcPr>
            <w:tcW w:w="547" w:type="pct"/>
            <w:shd w:val="clear" w:color="auto" w:fill="auto"/>
            <w:vAlign w:val="center"/>
            <w:hideMark/>
          </w:tcPr>
          <w:p w14:paraId="53272514"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37,20</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1FC65738"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24,04</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170CC8DA"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12,73</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60820DF0"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4,61</w:t>
            </w:r>
            <w:r>
              <w:rPr>
                <w:rFonts w:ascii="Arial" w:eastAsia="Times New Roman" w:hAnsi="Arial" w:cs="Arial"/>
                <w:color w:val="000000"/>
                <w:sz w:val="18"/>
                <w:szCs w:val="18"/>
                <w:lang w:eastAsia="sl-SI"/>
              </w:rPr>
              <w:t xml:space="preserve"> %</w:t>
            </w:r>
          </w:p>
        </w:tc>
      </w:tr>
      <w:tr w:rsidR="00072A69" w:rsidRPr="00AB6CF2" w14:paraId="246A90F5" w14:textId="77777777" w:rsidTr="00627B2D">
        <w:trPr>
          <w:trHeight w:val="397"/>
        </w:trPr>
        <w:tc>
          <w:tcPr>
            <w:tcW w:w="1405" w:type="pct"/>
            <w:shd w:val="clear" w:color="auto" w:fill="auto"/>
            <w:vAlign w:val="center"/>
            <w:hideMark/>
          </w:tcPr>
          <w:p w14:paraId="39DAE551"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Razlogi za izključitev</w:t>
            </w:r>
          </w:p>
        </w:tc>
        <w:tc>
          <w:tcPr>
            <w:tcW w:w="467" w:type="pct"/>
            <w:shd w:val="clear" w:color="auto" w:fill="auto"/>
            <w:vAlign w:val="center"/>
            <w:hideMark/>
          </w:tcPr>
          <w:p w14:paraId="1D9C20C8"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570</w:t>
            </w:r>
          </w:p>
        </w:tc>
        <w:tc>
          <w:tcPr>
            <w:tcW w:w="630" w:type="pct"/>
            <w:shd w:val="clear" w:color="auto" w:fill="auto"/>
            <w:vAlign w:val="center"/>
            <w:hideMark/>
          </w:tcPr>
          <w:p w14:paraId="09A24FA8"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59.082.056</w:t>
            </w:r>
          </w:p>
        </w:tc>
        <w:tc>
          <w:tcPr>
            <w:tcW w:w="547" w:type="pct"/>
            <w:shd w:val="clear" w:color="auto" w:fill="auto"/>
            <w:vAlign w:val="center"/>
            <w:hideMark/>
          </w:tcPr>
          <w:p w14:paraId="32D69FF2"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9,88</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6EC2DE6E"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10,56</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44DC01CB"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3,38</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473DAEE0"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2,02</w:t>
            </w:r>
            <w:r>
              <w:rPr>
                <w:rFonts w:ascii="Arial" w:eastAsia="Times New Roman" w:hAnsi="Arial" w:cs="Arial"/>
                <w:color w:val="000000"/>
                <w:sz w:val="18"/>
                <w:szCs w:val="18"/>
                <w:lang w:eastAsia="sl-SI"/>
              </w:rPr>
              <w:t xml:space="preserve"> %</w:t>
            </w:r>
          </w:p>
        </w:tc>
      </w:tr>
      <w:tr w:rsidR="00072A69" w:rsidRPr="00AB6CF2" w14:paraId="19F1C252" w14:textId="77777777" w:rsidTr="00627B2D">
        <w:trPr>
          <w:trHeight w:val="397"/>
        </w:trPr>
        <w:tc>
          <w:tcPr>
            <w:tcW w:w="1405" w:type="pct"/>
            <w:shd w:val="clear" w:color="auto" w:fill="auto"/>
            <w:vAlign w:val="center"/>
            <w:hideMark/>
          </w:tcPr>
          <w:p w14:paraId="2747C8B8" w14:textId="77777777" w:rsidR="00072A69" w:rsidRPr="00AB6CF2" w:rsidRDefault="00072A69" w:rsidP="00AC1F17">
            <w:pPr>
              <w:spacing w:after="0" w:line="240" w:lineRule="auto"/>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Drugo</w:t>
            </w:r>
          </w:p>
        </w:tc>
        <w:tc>
          <w:tcPr>
            <w:tcW w:w="467" w:type="pct"/>
            <w:shd w:val="clear" w:color="auto" w:fill="auto"/>
            <w:vAlign w:val="center"/>
            <w:hideMark/>
          </w:tcPr>
          <w:p w14:paraId="07EBF9CA"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10</w:t>
            </w:r>
          </w:p>
        </w:tc>
        <w:tc>
          <w:tcPr>
            <w:tcW w:w="630" w:type="pct"/>
            <w:shd w:val="clear" w:color="auto" w:fill="auto"/>
            <w:vAlign w:val="center"/>
            <w:hideMark/>
          </w:tcPr>
          <w:p w14:paraId="02DA5DAE"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8.195.822</w:t>
            </w:r>
          </w:p>
        </w:tc>
        <w:tc>
          <w:tcPr>
            <w:tcW w:w="547" w:type="pct"/>
            <w:shd w:val="clear" w:color="auto" w:fill="auto"/>
            <w:vAlign w:val="center"/>
            <w:hideMark/>
          </w:tcPr>
          <w:p w14:paraId="0E487E88"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781" w:type="pct"/>
            <w:shd w:val="clear" w:color="auto" w:fill="auto"/>
            <w:vAlign w:val="center"/>
            <w:hideMark/>
          </w:tcPr>
          <w:p w14:paraId="0E2AE23B"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1,47</w:t>
            </w:r>
            <w:r>
              <w:rPr>
                <w:rFonts w:ascii="Arial" w:eastAsia="Times New Roman" w:hAnsi="Arial" w:cs="Arial"/>
                <w:color w:val="000000"/>
                <w:sz w:val="18"/>
                <w:szCs w:val="18"/>
                <w:lang w:eastAsia="sl-SI"/>
              </w:rPr>
              <w:t xml:space="preserve"> %</w:t>
            </w:r>
          </w:p>
        </w:tc>
        <w:tc>
          <w:tcPr>
            <w:tcW w:w="546" w:type="pct"/>
            <w:shd w:val="clear" w:color="auto" w:fill="auto"/>
            <w:noWrap/>
            <w:vAlign w:val="center"/>
            <w:hideMark/>
          </w:tcPr>
          <w:p w14:paraId="1E35AC1B"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623" w:type="pct"/>
            <w:shd w:val="clear" w:color="auto" w:fill="auto"/>
            <w:noWrap/>
            <w:vAlign w:val="center"/>
            <w:hideMark/>
          </w:tcPr>
          <w:p w14:paraId="0C1843E8" w14:textId="77777777" w:rsidR="00072A69" w:rsidRPr="00AB6CF2" w:rsidRDefault="00072A69" w:rsidP="00AC1F17">
            <w:pPr>
              <w:spacing w:after="0" w:line="240" w:lineRule="auto"/>
              <w:jc w:val="right"/>
              <w:rPr>
                <w:rFonts w:ascii="Arial" w:eastAsia="Times New Roman" w:hAnsi="Arial" w:cs="Arial"/>
                <w:color w:val="000000"/>
                <w:sz w:val="18"/>
                <w:szCs w:val="18"/>
                <w:lang w:eastAsia="sl-SI"/>
              </w:rPr>
            </w:pPr>
            <w:r w:rsidRPr="00AB6CF2">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bl>
    <w:p w14:paraId="6AB88F9D" w14:textId="7FCC77BB" w:rsidR="00072A69" w:rsidRDefault="00072A69" w:rsidP="00072A69">
      <w:pPr>
        <w:pStyle w:val="Odstavekseznama"/>
        <w:rPr>
          <w:rFonts w:cs="Arial"/>
          <w:b/>
        </w:rPr>
      </w:pPr>
    </w:p>
    <w:p w14:paraId="621A43AF" w14:textId="2569D2BA" w:rsidR="00D23EC0" w:rsidRPr="00A315DE" w:rsidRDefault="00D23EC0" w:rsidP="00A315DE">
      <w:pPr>
        <w:spacing w:before="120" w:after="120" w:line="240" w:lineRule="auto"/>
        <w:jc w:val="both"/>
        <w:rPr>
          <w:rFonts w:ascii="Arial" w:hAnsi="Arial" w:cs="Arial"/>
          <w:sz w:val="20"/>
        </w:rPr>
      </w:pPr>
      <w:r w:rsidRPr="00337D75">
        <w:rPr>
          <w:rFonts w:ascii="Arial" w:hAnsi="Arial" w:cs="Arial"/>
          <w:sz w:val="20"/>
          <w:szCs w:val="20"/>
        </w:rPr>
        <w:t>Preglednica 113:</w:t>
      </w:r>
      <w:r w:rsidR="00A315DE" w:rsidRPr="00337D75">
        <w:rPr>
          <w:rFonts w:ascii="Arial" w:hAnsi="Arial" w:cs="Arial"/>
          <w:sz w:val="20"/>
          <w:szCs w:val="20"/>
        </w:rPr>
        <w:t xml:space="preserve"> </w:t>
      </w:r>
      <w:r w:rsidR="00A315DE" w:rsidRPr="00337D75">
        <w:rPr>
          <w:rFonts w:ascii="Arial" w:hAnsi="Arial" w:cs="Arial"/>
          <w:sz w:val="20"/>
        </w:rPr>
        <w:t>Javna</w:t>
      </w:r>
      <w:r w:rsidR="00A315DE" w:rsidRPr="00426EE5">
        <w:rPr>
          <w:rFonts w:ascii="Arial" w:hAnsi="Arial" w:cs="Arial"/>
          <w:sz w:val="20"/>
        </w:rPr>
        <w:t xml:space="preserve"> naročila, pri oddaji katerih so bili upoštevani </w:t>
      </w:r>
      <w:proofErr w:type="spellStart"/>
      <w:r w:rsidR="00A315DE" w:rsidRPr="00426EE5">
        <w:rPr>
          <w:rFonts w:ascii="Arial" w:hAnsi="Arial" w:cs="Arial"/>
          <w:sz w:val="20"/>
        </w:rPr>
        <w:t>okoljski</w:t>
      </w:r>
      <w:proofErr w:type="spellEnd"/>
      <w:r w:rsidR="00A315DE" w:rsidRPr="00426EE5">
        <w:rPr>
          <w:rFonts w:ascii="Arial" w:hAnsi="Arial" w:cs="Arial"/>
          <w:sz w:val="20"/>
        </w:rPr>
        <w:t xml:space="preserve"> vidiki glede na način upoštevanja teh vidikov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2"/>
        <w:gridCol w:w="1132"/>
        <w:gridCol w:w="1133"/>
        <w:gridCol w:w="1133"/>
        <w:gridCol w:w="1133"/>
        <w:gridCol w:w="1133"/>
        <w:gridCol w:w="997"/>
        <w:gridCol w:w="1269"/>
      </w:tblGrid>
      <w:tr w:rsidR="00072A69" w:rsidRPr="00FD1952" w14:paraId="0DF78764" w14:textId="77777777" w:rsidTr="00C320EE">
        <w:trPr>
          <w:trHeight w:val="480"/>
          <w:tblHeader/>
        </w:trPr>
        <w:tc>
          <w:tcPr>
            <w:tcW w:w="625" w:type="pct"/>
            <w:shd w:val="clear" w:color="auto" w:fill="E7E6E6" w:themeFill="background2"/>
            <w:vAlign w:val="center"/>
            <w:hideMark/>
          </w:tcPr>
          <w:p w14:paraId="456A7358"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Tehnične specifikacije</w:t>
            </w:r>
          </w:p>
        </w:tc>
        <w:tc>
          <w:tcPr>
            <w:tcW w:w="625" w:type="pct"/>
            <w:shd w:val="clear" w:color="auto" w:fill="E7E6E6" w:themeFill="background2"/>
            <w:vAlign w:val="center"/>
            <w:hideMark/>
          </w:tcPr>
          <w:p w14:paraId="1FD7D3BB"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xml:space="preserve">Merila </w:t>
            </w:r>
          </w:p>
        </w:tc>
        <w:tc>
          <w:tcPr>
            <w:tcW w:w="625" w:type="pct"/>
            <w:shd w:val="clear" w:color="auto" w:fill="E7E6E6" w:themeFill="background2"/>
            <w:vAlign w:val="center"/>
            <w:hideMark/>
          </w:tcPr>
          <w:p w14:paraId="35E281D4"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Pogoji za sodelovanje</w:t>
            </w:r>
          </w:p>
        </w:tc>
        <w:tc>
          <w:tcPr>
            <w:tcW w:w="625" w:type="pct"/>
            <w:shd w:val="clear" w:color="auto" w:fill="E7E6E6" w:themeFill="background2"/>
            <w:vAlign w:val="center"/>
            <w:hideMark/>
          </w:tcPr>
          <w:p w14:paraId="4D9B7423"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Pogodbena določila</w:t>
            </w:r>
          </w:p>
        </w:tc>
        <w:tc>
          <w:tcPr>
            <w:tcW w:w="625" w:type="pct"/>
            <w:shd w:val="clear" w:color="auto" w:fill="E7E6E6" w:themeFill="background2"/>
            <w:vAlign w:val="center"/>
            <w:hideMark/>
          </w:tcPr>
          <w:p w14:paraId="5FC33F8D"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Razlogi za izključitev</w:t>
            </w:r>
          </w:p>
        </w:tc>
        <w:tc>
          <w:tcPr>
            <w:tcW w:w="625" w:type="pct"/>
            <w:shd w:val="clear" w:color="auto" w:fill="E7E6E6" w:themeFill="background2"/>
            <w:vAlign w:val="center"/>
            <w:hideMark/>
          </w:tcPr>
          <w:p w14:paraId="6069E015"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Drugo</w:t>
            </w:r>
          </w:p>
        </w:tc>
        <w:tc>
          <w:tcPr>
            <w:tcW w:w="550" w:type="pct"/>
            <w:shd w:val="clear" w:color="auto" w:fill="E7E6E6" w:themeFill="background2"/>
            <w:vAlign w:val="center"/>
            <w:hideMark/>
          </w:tcPr>
          <w:p w14:paraId="58C679FE"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Št. naročil</w:t>
            </w:r>
          </w:p>
        </w:tc>
        <w:tc>
          <w:tcPr>
            <w:tcW w:w="701" w:type="pct"/>
            <w:shd w:val="clear" w:color="auto" w:fill="E7E6E6" w:themeFill="background2"/>
            <w:vAlign w:val="center"/>
            <w:hideMark/>
          </w:tcPr>
          <w:p w14:paraId="5142E27C" w14:textId="77777777" w:rsidR="00072A69" w:rsidRPr="00FD1952" w:rsidRDefault="00072A69" w:rsidP="00AC1F17">
            <w:pPr>
              <w:spacing w:after="0" w:line="240" w:lineRule="auto"/>
              <w:jc w:val="center"/>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Pogodbena vrednost</w:t>
            </w:r>
          </w:p>
        </w:tc>
      </w:tr>
      <w:tr w:rsidR="00072A69" w:rsidRPr="00FD1952" w14:paraId="3A1A9136" w14:textId="77777777" w:rsidTr="00AC1F17">
        <w:trPr>
          <w:trHeight w:val="300"/>
        </w:trPr>
        <w:tc>
          <w:tcPr>
            <w:tcW w:w="625" w:type="pct"/>
            <w:shd w:val="clear" w:color="000000" w:fill="00B0F0"/>
            <w:noWrap/>
            <w:vAlign w:val="center"/>
            <w:hideMark/>
          </w:tcPr>
          <w:p w14:paraId="6C11C0B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01B584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3416FC0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70D0718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79FA14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11FC0AC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0D3614D1"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2.328</w:t>
            </w:r>
          </w:p>
        </w:tc>
        <w:tc>
          <w:tcPr>
            <w:tcW w:w="701" w:type="pct"/>
            <w:shd w:val="clear" w:color="auto" w:fill="auto"/>
            <w:vAlign w:val="center"/>
            <w:hideMark/>
          </w:tcPr>
          <w:p w14:paraId="6EC942F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263.933.837</w:t>
            </w:r>
          </w:p>
        </w:tc>
      </w:tr>
      <w:tr w:rsidR="00072A69" w:rsidRPr="00FD1952" w14:paraId="31334734" w14:textId="77777777" w:rsidTr="00AC1F17">
        <w:trPr>
          <w:trHeight w:val="300"/>
        </w:trPr>
        <w:tc>
          <w:tcPr>
            <w:tcW w:w="625" w:type="pct"/>
            <w:shd w:val="clear" w:color="000000" w:fill="00B0F0"/>
            <w:noWrap/>
            <w:vAlign w:val="center"/>
            <w:hideMark/>
          </w:tcPr>
          <w:p w14:paraId="2841A72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79B6312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D89530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7844137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6AC35E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779C4E5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4276F3C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167</w:t>
            </w:r>
          </w:p>
        </w:tc>
        <w:tc>
          <w:tcPr>
            <w:tcW w:w="701" w:type="pct"/>
            <w:shd w:val="clear" w:color="auto" w:fill="auto"/>
            <w:vAlign w:val="center"/>
            <w:hideMark/>
          </w:tcPr>
          <w:p w14:paraId="68737A9A"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21.617.824</w:t>
            </w:r>
          </w:p>
        </w:tc>
      </w:tr>
      <w:tr w:rsidR="00072A69" w:rsidRPr="00FD1952" w14:paraId="0C16718F" w14:textId="77777777" w:rsidTr="00AC1F17">
        <w:trPr>
          <w:trHeight w:val="300"/>
        </w:trPr>
        <w:tc>
          <w:tcPr>
            <w:tcW w:w="625" w:type="pct"/>
            <w:shd w:val="clear" w:color="000000" w:fill="00B0F0"/>
            <w:noWrap/>
            <w:vAlign w:val="center"/>
            <w:hideMark/>
          </w:tcPr>
          <w:p w14:paraId="173F66E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765AF9D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1B30869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2FA88A6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FD25DB1"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74614C0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53AF9F8F"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41</w:t>
            </w:r>
          </w:p>
        </w:tc>
        <w:tc>
          <w:tcPr>
            <w:tcW w:w="701" w:type="pct"/>
            <w:shd w:val="clear" w:color="auto" w:fill="auto"/>
            <w:vAlign w:val="center"/>
            <w:hideMark/>
          </w:tcPr>
          <w:p w14:paraId="13890F23"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2.889.731</w:t>
            </w:r>
          </w:p>
        </w:tc>
      </w:tr>
      <w:tr w:rsidR="00072A69" w:rsidRPr="00FD1952" w14:paraId="24AB7FEB" w14:textId="77777777" w:rsidTr="00AC1F17">
        <w:trPr>
          <w:trHeight w:val="300"/>
        </w:trPr>
        <w:tc>
          <w:tcPr>
            <w:tcW w:w="625" w:type="pct"/>
            <w:shd w:val="clear" w:color="000000" w:fill="00B0F0"/>
            <w:noWrap/>
            <w:vAlign w:val="center"/>
            <w:hideMark/>
          </w:tcPr>
          <w:p w14:paraId="540F252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lastRenderedPageBreak/>
              <w:t> </w:t>
            </w:r>
          </w:p>
        </w:tc>
        <w:tc>
          <w:tcPr>
            <w:tcW w:w="625" w:type="pct"/>
            <w:shd w:val="clear" w:color="000000" w:fill="00B0F0"/>
            <w:noWrap/>
            <w:vAlign w:val="center"/>
            <w:hideMark/>
          </w:tcPr>
          <w:p w14:paraId="64106D4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653E2F0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1D9E729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29EBEE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7F0F938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139B0DBE"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118</w:t>
            </w:r>
          </w:p>
        </w:tc>
        <w:tc>
          <w:tcPr>
            <w:tcW w:w="701" w:type="pct"/>
            <w:shd w:val="clear" w:color="auto" w:fill="auto"/>
            <w:vAlign w:val="center"/>
            <w:hideMark/>
          </w:tcPr>
          <w:p w14:paraId="3E6ADCF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2.729.875</w:t>
            </w:r>
          </w:p>
        </w:tc>
      </w:tr>
      <w:tr w:rsidR="00072A69" w:rsidRPr="00FD1952" w14:paraId="3D7649A3" w14:textId="77777777" w:rsidTr="00AC1F17">
        <w:trPr>
          <w:trHeight w:val="300"/>
        </w:trPr>
        <w:tc>
          <w:tcPr>
            <w:tcW w:w="625" w:type="pct"/>
            <w:shd w:val="clear" w:color="000000" w:fill="00B0F0"/>
            <w:noWrap/>
            <w:vAlign w:val="center"/>
            <w:hideMark/>
          </w:tcPr>
          <w:p w14:paraId="625716D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4213FFF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1450442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6652A12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AFDE02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88C7FA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510AC4F9"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21</w:t>
            </w:r>
          </w:p>
        </w:tc>
        <w:tc>
          <w:tcPr>
            <w:tcW w:w="701" w:type="pct"/>
            <w:shd w:val="clear" w:color="auto" w:fill="auto"/>
            <w:vAlign w:val="center"/>
            <w:hideMark/>
          </w:tcPr>
          <w:p w14:paraId="253355F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1.276.375</w:t>
            </w:r>
          </w:p>
        </w:tc>
      </w:tr>
      <w:tr w:rsidR="00072A69" w:rsidRPr="00FD1952" w14:paraId="2E28447C" w14:textId="77777777" w:rsidTr="00AC1F17">
        <w:trPr>
          <w:trHeight w:val="300"/>
        </w:trPr>
        <w:tc>
          <w:tcPr>
            <w:tcW w:w="625" w:type="pct"/>
            <w:shd w:val="clear" w:color="000000" w:fill="00B0F0"/>
            <w:noWrap/>
            <w:vAlign w:val="center"/>
            <w:hideMark/>
          </w:tcPr>
          <w:p w14:paraId="7DF3C8A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C66AC9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59F77CD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67DEEA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2838166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AC0B36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1DAE6609"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170</w:t>
            </w:r>
          </w:p>
        </w:tc>
        <w:tc>
          <w:tcPr>
            <w:tcW w:w="701" w:type="pct"/>
            <w:shd w:val="clear" w:color="auto" w:fill="auto"/>
            <w:vAlign w:val="center"/>
            <w:hideMark/>
          </w:tcPr>
          <w:p w14:paraId="468D19EC"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33.140.029</w:t>
            </w:r>
          </w:p>
        </w:tc>
      </w:tr>
      <w:tr w:rsidR="00072A69" w:rsidRPr="00FD1952" w14:paraId="7819BD1B" w14:textId="77777777" w:rsidTr="00AC1F17">
        <w:trPr>
          <w:trHeight w:val="300"/>
        </w:trPr>
        <w:tc>
          <w:tcPr>
            <w:tcW w:w="625" w:type="pct"/>
            <w:shd w:val="clear" w:color="000000" w:fill="00B0F0"/>
            <w:noWrap/>
            <w:vAlign w:val="center"/>
            <w:hideMark/>
          </w:tcPr>
          <w:p w14:paraId="59D8030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EF9871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55C0BC9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5E0F1BD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4AC933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B97E1E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3CC2DEC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333</w:t>
            </w:r>
          </w:p>
        </w:tc>
        <w:tc>
          <w:tcPr>
            <w:tcW w:w="701" w:type="pct"/>
            <w:shd w:val="clear" w:color="auto" w:fill="auto"/>
            <w:vAlign w:val="center"/>
            <w:hideMark/>
          </w:tcPr>
          <w:p w14:paraId="1AE902B6"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22.733.396</w:t>
            </w:r>
          </w:p>
        </w:tc>
      </w:tr>
      <w:tr w:rsidR="00072A69" w:rsidRPr="00FD1952" w14:paraId="6BEF6331" w14:textId="77777777" w:rsidTr="00AC1F17">
        <w:trPr>
          <w:trHeight w:val="300"/>
        </w:trPr>
        <w:tc>
          <w:tcPr>
            <w:tcW w:w="625" w:type="pct"/>
            <w:shd w:val="clear" w:color="000000" w:fill="00B0F0"/>
            <w:noWrap/>
            <w:vAlign w:val="center"/>
            <w:hideMark/>
          </w:tcPr>
          <w:p w14:paraId="0E78AF7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6F04F6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C23273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3BA3578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4625A0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C253D1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4BA4DD04"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129</w:t>
            </w:r>
          </w:p>
        </w:tc>
        <w:tc>
          <w:tcPr>
            <w:tcW w:w="701" w:type="pct"/>
            <w:shd w:val="clear" w:color="auto" w:fill="auto"/>
            <w:vAlign w:val="center"/>
            <w:hideMark/>
          </w:tcPr>
          <w:p w14:paraId="0EBFB78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27.336.936</w:t>
            </w:r>
          </w:p>
        </w:tc>
      </w:tr>
      <w:tr w:rsidR="00072A69" w:rsidRPr="00FD1952" w14:paraId="50C42321" w14:textId="77777777" w:rsidTr="00AC1F17">
        <w:trPr>
          <w:trHeight w:val="300"/>
        </w:trPr>
        <w:tc>
          <w:tcPr>
            <w:tcW w:w="625" w:type="pct"/>
            <w:shd w:val="clear" w:color="000000" w:fill="00B0F0"/>
            <w:noWrap/>
            <w:vAlign w:val="center"/>
            <w:hideMark/>
          </w:tcPr>
          <w:p w14:paraId="59BD49C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DC3742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E4C3D2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2DD40A51"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3A9CA1E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25FB60D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37BF477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w:t>
            </w:r>
          </w:p>
        </w:tc>
        <w:tc>
          <w:tcPr>
            <w:tcW w:w="701" w:type="pct"/>
            <w:shd w:val="clear" w:color="auto" w:fill="auto"/>
            <w:vAlign w:val="center"/>
            <w:hideMark/>
          </w:tcPr>
          <w:p w14:paraId="40246F07"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120.975</w:t>
            </w:r>
          </w:p>
        </w:tc>
      </w:tr>
      <w:tr w:rsidR="00072A69" w:rsidRPr="00FD1952" w14:paraId="58B65054" w14:textId="77777777" w:rsidTr="00AC1F17">
        <w:trPr>
          <w:trHeight w:val="300"/>
        </w:trPr>
        <w:tc>
          <w:tcPr>
            <w:tcW w:w="625" w:type="pct"/>
            <w:shd w:val="clear" w:color="000000" w:fill="00B0F0"/>
            <w:noWrap/>
            <w:vAlign w:val="center"/>
            <w:hideMark/>
          </w:tcPr>
          <w:p w14:paraId="0F847CB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8B01B4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713DE4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043B91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21216D8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1A7354F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558E8248"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24</w:t>
            </w:r>
          </w:p>
        </w:tc>
        <w:tc>
          <w:tcPr>
            <w:tcW w:w="701" w:type="pct"/>
            <w:shd w:val="clear" w:color="auto" w:fill="auto"/>
            <w:vAlign w:val="center"/>
            <w:hideMark/>
          </w:tcPr>
          <w:p w14:paraId="5728F11A"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7.745.026</w:t>
            </w:r>
          </w:p>
        </w:tc>
      </w:tr>
      <w:tr w:rsidR="00072A69" w:rsidRPr="00FD1952" w14:paraId="124DE584" w14:textId="77777777" w:rsidTr="00AC1F17">
        <w:trPr>
          <w:trHeight w:val="300"/>
        </w:trPr>
        <w:tc>
          <w:tcPr>
            <w:tcW w:w="625" w:type="pct"/>
            <w:shd w:val="clear" w:color="000000" w:fill="00B0F0"/>
            <w:noWrap/>
            <w:vAlign w:val="center"/>
            <w:hideMark/>
          </w:tcPr>
          <w:p w14:paraId="6534973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2D99AD4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7B99ABF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167633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06564D9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37EC339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7B83DA21"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11</w:t>
            </w:r>
          </w:p>
        </w:tc>
        <w:tc>
          <w:tcPr>
            <w:tcW w:w="701" w:type="pct"/>
            <w:shd w:val="clear" w:color="auto" w:fill="auto"/>
            <w:vAlign w:val="center"/>
            <w:hideMark/>
          </w:tcPr>
          <w:p w14:paraId="0C541FA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761.229</w:t>
            </w:r>
          </w:p>
        </w:tc>
      </w:tr>
      <w:tr w:rsidR="00072A69" w:rsidRPr="00FD1952" w14:paraId="3E140996" w14:textId="77777777" w:rsidTr="00AC1F17">
        <w:trPr>
          <w:trHeight w:val="300"/>
        </w:trPr>
        <w:tc>
          <w:tcPr>
            <w:tcW w:w="625" w:type="pct"/>
            <w:shd w:val="clear" w:color="000000" w:fill="00B0F0"/>
            <w:noWrap/>
            <w:vAlign w:val="center"/>
            <w:hideMark/>
          </w:tcPr>
          <w:p w14:paraId="516AA8C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03D8EFF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347AE09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9072FD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53C21D6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8EF906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7984776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6</w:t>
            </w:r>
          </w:p>
        </w:tc>
        <w:tc>
          <w:tcPr>
            <w:tcW w:w="701" w:type="pct"/>
            <w:shd w:val="clear" w:color="auto" w:fill="auto"/>
            <w:vAlign w:val="center"/>
            <w:hideMark/>
          </w:tcPr>
          <w:p w14:paraId="69E62B32"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511.564</w:t>
            </w:r>
          </w:p>
        </w:tc>
      </w:tr>
      <w:tr w:rsidR="00072A69" w:rsidRPr="00FD1952" w14:paraId="32E07570" w14:textId="77777777" w:rsidTr="00AC1F17">
        <w:trPr>
          <w:trHeight w:val="300"/>
        </w:trPr>
        <w:tc>
          <w:tcPr>
            <w:tcW w:w="625" w:type="pct"/>
            <w:shd w:val="clear" w:color="000000" w:fill="00B0F0"/>
            <w:noWrap/>
            <w:vAlign w:val="center"/>
            <w:hideMark/>
          </w:tcPr>
          <w:p w14:paraId="21C092F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73D2CE8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794A88E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3B73010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45FB2DC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018FD8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69C2AE4E"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280</w:t>
            </w:r>
          </w:p>
        </w:tc>
        <w:tc>
          <w:tcPr>
            <w:tcW w:w="701" w:type="pct"/>
            <w:shd w:val="clear" w:color="auto" w:fill="auto"/>
            <w:vAlign w:val="center"/>
            <w:hideMark/>
          </w:tcPr>
          <w:p w14:paraId="6CA5E21D"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14.454.971</w:t>
            </w:r>
          </w:p>
        </w:tc>
      </w:tr>
      <w:tr w:rsidR="00072A69" w:rsidRPr="00FD1952" w14:paraId="64DD92EF" w14:textId="77777777" w:rsidTr="00AC1F17">
        <w:trPr>
          <w:trHeight w:val="300"/>
        </w:trPr>
        <w:tc>
          <w:tcPr>
            <w:tcW w:w="625" w:type="pct"/>
            <w:shd w:val="clear" w:color="000000" w:fill="00B0F0"/>
            <w:noWrap/>
            <w:vAlign w:val="center"/>
            <w:hideMark/>
          </w:tcPr>
          <w:p w14:paraId="680609C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4AB0F03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00FBD27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7C69F7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79E139F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07A20A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7842C79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23</w:t>
            </w:r>
          </w:p>
        </w:tc>
        <w:tc>
          <w:tcPr>
            <w:tcW w:w="701" w:type="pct"/>
            <w:shd w:val="clear" w:color="auto" w:fill="auto"/>
            <w:vAlign w:val="center"/>
            <w:hideMark/>
          </w:tcPr>
          <w:p w14:paraId="34EF8C13"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893.347</w:t>
            </w:r>
          </w:p>
        </w:tc>
      </w:tr>
      <w:tr w:rsidR="00072A69" w:rsidRPr="00FD1952" w14:paraId="51CC9212" w14:textId="77777777" w:rsidTr="00AC1F17">
        <w:trPr>
          <w:trHeight w:val="300"/>
        </w:trPr>
        <w:tc>
          <w:tcPr>
            <w:tcW w:w="625" w:type="pct"/>
            <w:shd w:val="clear" w:color="000000" w:fill="00B0F0"/>
            <w:noWrap/>
            <w:vAlign w:val="center"/>
            <w:hideMark/>
          </w:tcPr>
          <w:p w14:paraId="235AD97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F550FE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2D5100AB" w14:textId="77777777" w:rsidR="00072A69" w:rsidRPr="00FD1952" w:rsidRDefault="00072A69" w:rsidP="00AC1F17">
            <w:pPr>
              <w:spacing w:after="0" w:line="240" w:lineRule="auto"/>
              <w:rPr>
                <w:rFonts w:ascii="Arial" w:eastAsia="Times New Roman" w:hAnsi="Arial" w:cs="Arial"/>
                <w:color w:val="00B0F0"/>
                <w:sz w:val="18"/>
                <w:szCs w:val="18"/>
                <w:lang w:eastAsia="sl-SI"/>
              </w:rPr>
            </w:pPr>
            <w:r w:rsidRPr="00FD1952">
              <w:rPr>
                <w:rFonts w:ascii="Arial" w:eastAsia="Times New Roman" w:hAnsi="Arial" w:cs="Arial"/>
                <w:color w:val="00B0F0"/>
                <w:sz w:val="18"/>
                <w:szCs w:val="18"/>
                <w:lang w:eastAsia="sl-SI"/>
              </w:rPr>
              <w:t> </w:t>
            </w:r>
          </w:p>
        </w:tc>
        <w:tc>
          <w:tcPr>
            <w:tcW w:w="625" w:type="pct"/>
            <w:shd w:val="clear" w:color="000000" w:fill="00B0F0"/>
            <w:noWrap/>
            <w:vAlign w:val="center"/>
            <w:hideMark/>
          </w:tcPr>
          <w:p w14:paraId="1793667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0CCF45A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6B0617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379758B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132</w:t>
            </w:r>
          </w:p>
        </w:tc>
        <w:tc>
          <w:tcPr>
            <w:tcW w:w="701" w:type="pct"/>
            <w:shd w:val="clear" w:color="auto" w:fill="auto"/>
            <w:vAlign w:val="center"/>
            <w:hideMark/>
          </w:tcPr>
          <w:p w14:paraId="44321E98"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21.668.666</w:t>
            </w:r>
          </w:p>
        </w:tc>
      </w:tr>
      <w:tr w:rsidR="00072A69" w:rsidRPr="00FD1952" w14:paraId="4CF545AF" w14:textId="77777777" w:rsidTr="00AC1F17">
        <w:trPr>
          <w:trHeight w:val="300"/>
        </w:trPr>
        <w:tc>
          <w:tcPr>
            <w:tcW w:w="625" w:type="pct"/>
            <w:shd w:val="clear" w:color="000000" w:fill="00B0F0"/>
            <w:noWrap/>
            <w:vAlign w:val="center"/>
            <w:hideMark/>
          </w:tcPr>
          <w:p w14:paraId="300CA91D" w14:textId="77777777" w:rsidR="00072A69" w:rsidRPr="00FD1952" w:rsidRDefault="00072A69" w:rsidP="00AC1F17">
            <w:pPr>
              <w:spacing w:after="0" w:line="240" w:lineRule="auto"/>
              <w:rPr>
                <w:rFonts w:ascii="Arial" w:eastAsia="Times New Roman" w:hAnsi="Arial" w:cs="Arial"/>
                <w:color w:val="00B0F0"/>
                <w:sz w:val="18"/>
                <w:szCs w:val="18"/>
                <w:lang w:eastAsia="sl-SI"/>
              </w:rPr>
            </w:pPr>
            <w:r w:rsidRPr="00FD1952">
              <w:rPr>
                <w:rFonts w:ascii="Arial" w:eastAsia="Times New Roman" w:hAnsi="Arial" w:cs="Arial"/>
                <w:color w:val="00B0F0"/>
                <w:sz w:val="18"/>
                <w:szCs w:val="18"/>
                <w:lang w:eastAsia="sl-SI"/>
              </w:rPr>
              <w:t> </w:t>
            </w:r>
          </w:p>
        </w:tc>
        <w:tc>
          <w:tcPr>
            <w:tcW w:w="625" w:type="pct"/>
            <w:shd w:val="clear" w:color="auto" w:fill="auto"/>
            <w:noWrap/>
            <w:vAlign w:val="center"/>
            <w:hideMark/>
          </w:tcPr>
          <w:p w14:paraId="70C0789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22DEA4B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52614643" w14:textId="77777777" w:rsidR="00072A69" w:rsidRPr="00FD1952" w:rsidRDefault="00072A69" w:rsidP="00AC1F17">
            <w:pPr>
              <w:spacing w:after="0" w:line="240" w:lineRule="auto"/>
              <w:rPr>
                <w:rFonts w:ascii="Arial" w:eastAsia="Times New Roman" w:hAnsi="Arial" w:cs="Arial"/>
                <w:color w:val="00B0F0"/>
                <w:sz w:val="18"/>
                <w:szCs w:val="18"/>
                <w:lang w:eastAsia="sl-SI"/>
              </w:rPr>
            </w:pPr>
            <w:r w:rsidRPr="00FD1952">
              <w:rPr>
                <w:rFonts w:ascii="Arial" w:eastAsia="Times New Roman" w:hAnsi="Arial" w:cs="Arial"/>
                <w:color w:val="00B0F0"/>
                <w:sz w:val="18"/>
                <w:szCs w:val="18"/>
                <w:lang w:eastAsia="sl-SI"/>
              </w:rPr>
              <w:t> </w:t>
            </w:r>
          </w:p>
        </w:tc>
        <w:tc>
          <w:tcPr>
            <w:tcW w:w="625" w:type="pct"/>
            <w:shd w:val="clear" w:color="000000" w:fill="00B0F0"/>
            <w:noWrap/>
            <w:vAlign w:val="center"/>
            <w:hideMark/>
          </w:tcPr>
          <w:p w14:paraId="78D14D01" w14:textId="77777777" w:rsidR="00072A69" w:rsidRPr="00FD1952" w:rsidRDefault="00072A69" w:rsidP="00AC1F17">
            <w:pPr>
              <w:spacing w:after="0" w:line="240" w:lineRule="auto"/>
              <w:rPr>
                <w:rFonts w:ascii="Arial" w:eastAsia="Times New Roman" w:hAnsi="Arial" w:cs="Arial"/>
                <w:color w:val="00B0F0"/>
                <w:sz w:val="18"/>
                <w:szCs w:val="18"/>
                <w:lang w:eastAsia="sl-SI"/>
              </w:rPr>
            </w:pPr>
            <w:r w:rsidRPr="00FD1952">
              <w:rPr>
                <w:rFonts w:ascii="Arial" w:eastAsia="Times New Roman" w:hAnsi="Arial" w:cs="Arial"/>
                <w:color w:val="00B0F0"/>
                <w:sz w:val="18"/>
                <w:szCs w:val="18"/>
                <w:lang w:eastAsia="sl-SI"/>
              </w:rPr>
              <w:t> </w:t>
            </w:r>
          </w:p>
        </w:tc>
        <w:tc>
          <w:tcPr>
            <w:tcW w:w="625" w:type="pct"/>
            <w:shd w:val="clear" w:color="000000" w:fill="FFFFFF"/>
            <w:noWrap/>
            <w:vAlign w:val="center"/>
            <w:hideMark/>
          </w:tcPr>
          <w:p w14:paraId="1084294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39317E9C"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15</w:t>
            </w:r>
          </w:p>
        </w:tc>
        <w:tc>
          <w:tcPr>
            <w:tcW w:w="701" w:type="pct"/>
            <w:shd w:val="clear" w:color="auto" w:fill="auto"/>
            <w:vAlign w:val="center"/>
            <w:hideMark/>
          </w:tcPr>
          <w:p w14:paraId="3AD30861"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2.202.798</w:t>
            </w:r>
          </w:p>
        </w:tc>
      </w:tr>
      <w:tr w:rsidR="00072A69" w:rsidRPr="00FD1952" w14:paraId="2523EF26" w14:textId="77777777" w:rsidTr="00AC1F17">
        <w:trPr>
          <w:trHeight w:val="300"/>
        </w:trPr>
        <w:tc>
          <w:tcPr>
            <w:tcW w:w="625" w:type="pct"/>
            <w:shd w:val="clear" w:color="000000" w:fill="FFFFFF"/>
            <w:noWrap/>
            <w:vAlign w:val="center"/>
            <w:hideMark/>
          </w:tcPr>
          <w:p w14:paraId="787F193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3EF87B7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DA4C47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1511F35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CB0BF2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53A1E24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0472B71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446</w:t>
            </w:r>
          </w:p>
        </w:tc>
        <w:tc>
          <w:tcPr>
            <w:tcW w:w="701" w:type="pct"/>
            <w:shd w:val="clear" w:color="auto" w:fill="auto"/>
            <w:vAlign w:val="center"/>
            <w:hideMark/>
          </w:tcPr>
          <w:p w14:paraId="3FE73D3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17.244.614</w:t>
            </w:r>
          </w:p>
        </w:tc>
      </w:tr>
      <w:tr w:rsidR="00072A69" w:rsidRPr="00FD1952" w14:paraId="4D0CCD2C" w14:textId="77777777" w:rsidTr="00AC1F17">
        <w:trPr>
          <w:trHeight w:val="300"/>
        </w:trPr>
        <w:tc>
          <w:tcPr>
            <w:tcW w:w="625" w:type="pct"/>
            <w:shd w:val="clear" w:color="000000" w:fill="FFFFFF"/>
            <w:noWrap/>
            <w:vAlign w:val="center"/>
            <w:hideMark/>
          </w:tcPr>
          <w:p w14:paraId="6E9A56E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32059EE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1CAF12C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36F97D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6B1FB94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3B14249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0ECCDDD2"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15</w:t>
            </w:r>
          </w:p>
        </w:tc>
        <w:tc>
          <w:tcPr>
            <w:tcW w:w="701" w:type="pct"/>
            <w:shd w:val="clear" w:color="auto" w:fill="auto"/>
            <w:vAlign w:val="center"/>
            <w:hideMark/>
          </w:tcPr>
          <w:p w14:paraId="64668BC4"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1.014.570</w:t>
            </w:r>
          </w:p>
        </w:tc>
      </w:tr>
      <w:tr w:rsidR="00072A69" w:rsidRPr="00FD1952" w14:paraId="77F8C033" w14:textId="77777777" w:rsidTr="00AC1F17">
        <w:trPr>
          <w:trHeight w:val="300"/>
        </w:trPr>
        <w:tc>
          <w:tcPr>
            <w:tcW w:w="625" w:type="pct"/>
            <w:shd w:val="clear" w:color="000000" w:fill="FFFFFF"/>
            <w:noWrap/>
            <w:vAlign w:val="center"/>
            <w:hideMark/>
          </w:tcPr>
          <w:p w14:paraId="7F27EB3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3976D1A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1E56C51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center"/>
            <w:hideMark/>
          </w:tcPr>
          <w:p w14:paraId="01D31A9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1AB088B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FFFFFF"/>
            <w:noWrap/>
            <w:vAlign w:val="center"/>
            <w:hideMark/>
          </w:tcPr>
          <w:p w14:paraId="0178ED1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vAlign w:val="center"/>
            <w:hideMark/>
          </w:tcPr>
          <w:p w14:paraId="172C160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39</w:t>
            </w:r>
          </w:p>
        </w:tc>
        <w:tc>
          <w:tcPr>
            <w:tcW w:w="701" w:type="pct"/>
            <w:shd w:val="clear" w:color="auto" w:fill="auto"/>
            <w:vAlign w:val="center"/>
            <w:hideMark/>
          </w:tcPr>
          <w:p w14:paraId="1154A98A"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1.383.182</w:t>
            </w:r>
          </w:p>
        </w:tc>
      </w:tr>
      <w:tr w:rsidR="00072A69" w:rsidRPr="00FD1952" w14:paraId="28E6A796" w14:textId="77777777" w:rsidTr="00AC1F17">
        <w:trPr>
          <w:trHeight w:val="300"/>
        </w:trPr>
        <w:tc>
          <w:tcPr>
            <w:tcW w:w="625" w:type="pct"/>
            <w:shd w:val="clear" w:color="auto" w:fill="auto"/>
            <w:noWrap/>
            <w:vAlign w:val="bottom"/>
            <w:hideMark/>
          </w:tcPr>
          <w:p w14:paraId="1CF25B6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18A94BD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31CE831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5A88E8D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5159833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20C435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5B7FBFA3"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918</w:t>
            </w:r>
          </w:p>
        </w:tc>
        <w:tc>
          <w:tcPr>
            <w:tcW w:w="701" w:type="pct"/>
            <w:shd w:val="clear" w:color="auto" w:fill="auto"/>
            <w:noWrap/>
            <w:vAlign w:val="center"/>
            <w:hideMark/>
          </w:tcPr>
          <w:p w14:paraId="4EE7AD0D"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15.656.222</w:t>
            </w:r>
          </w:p>
        </w:tc>
      </w:tr>
      <w:tr w:rsidR="00072A69" w:rsidRPr="00FD1952" w14:paraId="3DB58D07" w14:textId="77777777" w:rsidTr="00AC1F17">
        <w:trPr>
          <w:trHeight w:val="300"/>
        </w:trPr>
        <w:tc>
          <w:tcPr>
            <w:tcW w:w="625" w:type="pct"/>
            <w:shd w:val="clear" w:color="auto" w:fill="auto"/>
            <w:noWrap/>
            <w:vAlign w:val="bottom"/>
            <w:hideMark/>
          </w:tcPr>
          <w:p w14:paraId="33B7F37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330505F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62C36CE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E35203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572209C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4FDE778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249D4F04"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328</w:t>
            </w:r>
          </w:p>
        </w:tc>
        <w:tc>
          <w:tcPr>
            <w:tcW w:w="701" w:type="pct"/>
            <w:shd w:val="clear" w:color="auto" w:fill="auto"/>
            <w:noWrap/>
            <w:vAlign w:val="center"/>
            <w:hideMark/>
          </w:tcPr>
          <w:p w14:paraId="41ED0A6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58.713.420</w:t>
            </w:r>
          </w:p>
        </w:tc>
      </w:tr>
      <w:tr w:rsidR="00072A69" w:rsidRPr="00FD1952" w14:paraId="68782A97" w14:textId="77777777" w:rsidTr="00AC1F17">
        <w:trPr>
          <w:trHeight w:val="300"/>
        </w:trPr>
        <w:tc>
          <w:tcPr>
            <w:tcW w:w="625" w:type="pct"/>
            <w:shd w:val="clear" w:color="auto" w:fill="auto"/>
            <w:noWrap/>
            <w:vAlign w:val="bottom"/>
            <w:hideMark/>
          </w:tcPr>
          <w:p w14:paraId="78F01D6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EA607A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327FC9A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6B68433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19E87C1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06EE2F3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7A9714A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54</w:t>
            </w:r>
          </w:p>
        </w:tc>
        <w:tc>
          <w:tcPr>
            <w:tcW w:w="701" w:type="pct"/>
            <w:shd w:val="clear" w:color="auto" w:fill="auto"/>
            <w:noWrap/>
            <w:vAlign w:val="center"/>
            <w:hideMark/>
          </w:tcPr>
          <w:p w14:paraId="1100D857"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9.264.578</w:t>
            </w:r>
          </w:p>
        </w:tc>
      </w:tr>
      <w:tr w:rsidR="00072A69" w:rsidRPr="00FD1952" w14:paraId="38C7E55F" w14:textId="77777777" w:rsidTr="00AC1F17">
        <w:trPr>
          <w:trHeight w:val="300"/>
        </w:trPr>
        <w:tc>
          <w:tcPr>
            <w:tcW w:w="625" w:type="pct"/>
            <w:shd w:val="clear" w:color="auto" w:fill="auto"/>
            <w:noWrap/>
            <w:vAlign w:val="bottom"/>
            <w:hideMark/>
          </w:tcPr>
          <w:p w14:paraId="6506CA6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508FD2A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3891D0A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4CFD502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CF9EE8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0B4131A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5F1B71E4"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w:t>
            </w:r>
          </w:p>
        </w:tc>
        <w:tc>
          <w:tcPr>
            <w:tcW w:w="701" w:type="pct"/>
            <w:shd w:val="clear" w:color="auto" w:fill="auto"/>
            <w:noWrap/>
            <w:vAlign w:val="center"/>
            <w:hideMark/>
          </w:tcPr>
          <w:p w14:paraId="3AED32F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191.890</w:t>
            </w:r>
          </w:p>
        </w:tc>
      </w:tr>
      <w:tr w:rsidR="00072A69" w:rsidRPr="00FD1952" w14:paraId="4E12790A" w14:textId="77777777" w:rsidTr="00AC1F17">
        <w:trPr>
          <w:trHeight w:val="300"/>
        </w:trPr>
        <w:tc>
          <w:tcPr>
            <w:tcW w:w="625" w:type="pct"/>
            <w:shd w:val="clear" w:color="auto" w:fill="auto"/>
            <w:noWrap/>
            <w:vAlign w:val="bottom"/>
            <w:hideMark/>
          </w:tcPr>
          <w:p w14:paraId="67B7529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EE845F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FD1102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0264EED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52BD664"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DCCB92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21E91E69"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84</w:t>
            </w:r>
          </w:p>
        </w:tc>
        <w:tc>
          <w:tcPr>
            <w:tcW w:w="701" w:type="pct"/>
            <w:shd w:val="clear" w:color="auto" w:fill="auto"/>
            <w:noWrap/>
            <w:vAlign w:val="center"/>
            <w:hideMark/>
          </w:tcPr>
          <w:p w14:paraId="07406FED"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13.181.249</w:t>
            </w:r>
          </w:p>
        </w:tc>
      </w:tr>
      <w:tr w:rsidR="00072A69" w:rsidRPr="00FD1952" w14:paraId="2CBF1673" w14:textId="77777777" w:rsidTr="00AC1F17">
        <w:trPr>
          <w:trHeight w:val="300"/>
        </w:trPr>
        <w:tc>
          <w:tcPr>
            <w:tcW w:w="625" w:type="pct"/>
            <w:shd w:val="clear" w:color="auto" w:fill="auto"/>
            <w:noWrap/>
            <w:vAlign w:val="bottom"/>
            <w:hideMark/>
          </w:tcPr>
          <w:p w14:paraId="35BA595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490216E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034790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813B95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17BB0B11"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7DA43C5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20AB425A"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7</w:t>
            </w:r>
          </w:p>
        </w:tc>
        <w:tc>
          <w:tcPr>
            <w:tcW w:w="701" w:type="pct"/>
            <w:shd w:val="clear" w:color="auto" w:fill="auto"/>
            <w:noWrap/>
            <w:vAlign w:val="center"/>
            <w:hideMark/>
          </w:tcPr>
          <w:p w14:paraId="651D367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7.882.957</w:t>
            </w:r>
          </w:p>
        </w:tc>
      </w:tr>
      <w:tr w:rsidR="00072A69" w:rsidRPr="00FD1952" w14:paraId="1FA65FE5" w14:textId="77777777" w:rsidTr="00AC1F17">
        <w:trPr>
          <w:trHeight w:val="300"/>
        </w:trPr>
        <w:tc>
          <w:tcPr>
            <w:tcW w:w="625" w:type="pct"/>
            <w:shd w:val="clear" w:color="auto" w:fill="auto"/>
            <w:noWrap/>
            <w:vAlign w:val="bottom"/>
            <w:hideMark/>
          </w:tcPr>
          <w:p w14:paraId="39CCFB7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07D8CFB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3A5692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1BBF2C6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1016FFE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5D62FE6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39C6A0F1"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37</w:t>
            </w:r>
          </w:p>
        </w:tc>
        <w:tc>
          <w:tcPr>
            <w:tcW w:w="701" w:type="pct"/>
            <w:shd w:val="clear" w:color="auto" w:fill="auto"/>
            <w:noWrap/>
            <w:vAlign w:val="center"/>
            <w:hideMark/>
          </w:tcPr>
          <w:p w14:paraId="14190A21"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7.232.744</w:t>
            </w:r>
          </w:p>
        </w:tc>
      </w:tr>
      <w:tr w:rsidR="00072A69" w:rsidRPr="00FD1952" w14:paraId="310144C4" w14:textId="77777777" w:rsidTr="00AC1F17">
        <w:trPr>
          <w:trHeight w:val="300"/>
        </w:trPr>
        <w:tc>
          <w:tcPr>
            <w:tcW w:w="625" w:type="pct"/>
            <w:shd w:val="clear" w:color="auto" w:fill="auto"/>
            <w:noWrap/>
            <w:vAlign w:val="bottom"/>
            <w:hideMark/>
          </w:tcPr>
          <w:p w14:paraId="4CB987B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04995CA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0A84BB0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107CA2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42E2B5A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0E606539"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2317F81A"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9</w:t>
            </w:r>
          </w:p>
        </w:tc>
        <w:tc>
          <w:tcPr>
            <w:tcW w:w="701" w:type="pct"/>
            <w:shd w:val="clear" w:color="auto" w:fill="auto"/>
            <w:noWrap/>
            <w:vAlign w:val="center"/>
            <w:hideMark/>
          </w:tcPr>
          <w:p w14:paraId="6995C05B"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206.762</w:t>
            </w:r>
          </w:p>
        </w:tc>
      </w:tr>
      <w:tr w:rsidR="00072A69" w:rsidRPr="00FD1952" w14:paraId="10B6CF1B" w14:textId="77777777" w:rsidTr="00AC1F17">
        <w:trPr>
          <w:trHeight w:val="300"/>
        </w:trPr>
        <w:tc>
          <w:tcPr>
            <w:tcW w:w="625" w:type="pct"/>
            <w:shd w:val="clear" w:color="auto" w:fill="auto"/>
            <w:noWrap/>
            <w:vAlign w:val="bottom"/>
            <w:hideMark/>
          </w:tcPr>
          <w:p w14:paraId="18B7E7A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623E99F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16A6016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98FE63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207FAF1D"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5D6DAAF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5345F312"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w:t>
            </w:r>
          </w:p>
        </w:tc>
        <w:tc>
          <w:tcPr>
            <w:tcW w:w="701" w:type="pct"/>
            <w:shd w:val="clear" w:color="auto" w:fill="auto"/>
            <w:noWrap/>
            <w:vAlign w:val="center"/>
            <w:hideMark/>
          </w:tcPr>
          <w:p w14:paraId="3D8ACBBC"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309.097</w:t>
            </w:r>
          </w:p>
        </w:tc>
      </w:tr>
      <w:tr w:rsidR="00072A69" w:rsidRPr="00FD1952" w14:paraId="63C79CA4" w14:textId="77777777" w:rsidTr="00AC1F17">
        <w:trPr>
          <w:trHeight w:val="300"/>
        </w:trPr>
        <w:tc>
          <w:tcPr>
            <w:tcW w:w="625" w:type="pct"/>
            <w:shd w:val="clear" w:color="auto" w:fill="auto"/>
            <w:noWrap/>
            <w:vAlign w:val="bottom"/>
            <w:hideMark/>
          </w:tcPr>
          <w:p w14:paraId="5033F03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73922FC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4A41184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3E4C396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0D43CCD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D15F718"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4EB54D4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w:t>
            </w:r>
          </w:p>
        </w:tc>
        <w:tc>
          <w:tcPr>
            <w:tcW w:w="701" w:type="pct"/>
            <w:shd w:val="clear" w:color="auto" w:fill="auto"/>
            <w:noWrap/>
            <w:vAlign w:val="center"/>
            <w:hideMark/>
          </w:tcPr>
          <w:p w14:paraId="1C618212"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1.995</w:t>
            </w:r>
          </w:p>
        </w:tc>
      </w:tr>
      <w:tr w:rsidR="00072A69" w:rsidRPr="00FD1952" w14:paraId="6722E53C" w14:textId="77777777" w:rsidTr="00AC1F17">
        <w:trPr>
          <w:trHeight w:val="300"/>
        </w:trPr>
        <w:tc>
          <w:tcPr>
            <w:tcW w:w="625" w:type="pct"/>
            <w:shd w:val="clear" w:color="auto" w:fill="auto"/>
            <w:noWrap/>
            <w:vAlign w:val="bottom"/>
            <w:hideMark/>
          </w:tcPr>
          <w:p w14:paraId="7BD130F1"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234F86F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3CF8628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1FE9B25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636C45E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4BC321A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17F02432"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15</w:t>
            </w:r>
          </w:p>
        </w:tc>
        <w:tc>
          <w:tcPr>
            <w:tcW w:w="701" w:type="pct"/>
            <w:shd w:val="clear" w:color="auto" w:fill="auto"/>
            <w:noWrap/>
            <w:vAlign w:val="center"/>
            <w:hideMark/>
          </w:tcPr>
          <w:p w14:paraId="72A96209"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226.469</w:t>
            </w:r>
          </w:p>
        </w:tc>
      </w:tr>
      <w:tr w:rsidR="00072A69" w:rsidRPr="00FD1952" w14:paraId="5880F0E9" w14:textId="77777777" w:rsidTr="00AC1F17">
        <w:trPr>
          <w:trHeight w:val="300"/>
        </w:trPr>
        <w:tc>
          <w:tcPr>
            <w:tcW w:w="625" w:type="pct"/>
            <w:shd w:val="clear" w:color="auto" w:fill="auto"/>
            <w:noWrap/>
            <w:vAlign w:val="bottom"/>
            <w:hideMark/>
          </w:tcPr>
          <w:p w14:paraId="40C11347"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4A0D5486"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7C70685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F5F3B9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037D675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CF1846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587299BF"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9</w:t>
            </w:r>
          </w:p>
        </w:tc>
        <w:tc>
          <w:tcPr>
            <w:tcW w:w="701" w:type="pct"/>
            <w:shd w:val="clear" w:color="auto" w:fill="auto"/>
            <w:noWrap/>
            <w:vAlign w:val="center"/>
            <w:hideMark/>
          </w:tcPr>
          <w:p w14:paraId="3F81254E"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714.500</w:t>
            </w:r>
          </w:p>
        </w:tc>
      </w:tr>
      <w:tr w:rsidR="00072A69" w:rsidRPr="00FD1952" w14:paraId="6CDCFE9C" w14:textId="77777777" w:rsidTr="00AC1F17">
        <w:trPr>
          <w:trHeight w:val="300"/>
        </w:trPr>
        <w:tc>
          <w:tcPr>
            <w:tcW w:w="625" w:type="pct"/>
            <w:shd w:val="clear" w:color="auto" w:fill="auto"/>
            <w:noWrap/>
            <w:vAlign w:val="bottom"/>
            <w:hideMark/>
          </w:tcPr>
          <w:p w14:paraId="65A6F0BC"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506E512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332D5FB3"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6EBD37E2"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6C15BB7B"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18C64A8F"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0A27009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w:t>
            </w:r>
          </w:p>
        </w:tc>
        <w:tc>
          <w:tcPr>
            <w:tcW w:w="701" w:type="pct"/>
            <w:shd w:val="clear" w:color="auto" w:fill="auto"/>
            <w:noWrap/>
            <w:vAlign w:val="center"/>
            <w:hideMark/>
          </w:tcPr>
          <w:p w14:paraId="154E0330"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875.848</w:t>
            </w:r>
          </w:p>
        </w:tc>
      </w:tr>
      <w:tr w:rsidR="00072A69" w:rsidRPr="00FD1952" w14:paraId="4CA97253" w14:textId="77777777" w:rsidTr="00AC1F17">
        <w:trPr>
          <w:trHeight w:val="300"/>
        </w:trPr>
        <w:tc>
          <w:tcPr>
            <w:tcW w:w="625" w:type="pct"/>
            <w:shd w:val="clear" w:color="auto" w:fill="auto"/>
            <w:noWrap/>
            <w:vAlign w:val="bottom"/>
            <w:hideMark/>
          </w:tcPr>
          <w:p w14:paraId="75208D05"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7CCEFDD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2BEBFE4A"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17871BC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000000" w:fill="00B0F0"/>
            <w:noWrap/>
            <w:vAlign w:val="bottom"/>
            <w:hideMark/>
          </w:tcPr>
          <w:p w14:paraId="35405770"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625" w:type="pct"/>
            <w:shd w:val="clear" w:color="auto" w:fill="auto"/>
            <w:noWrap/>
            <w:vAlign w:val="bottom"/>
            <w:hideMark/>
          </w:tcPr>
          <w:p w14:paraId="0067307E" w14:textId="77777777" w:rsidR="00072A69" w:rsidRPr="00FD1952" w:rsidRDefault="00072A69" w:rsidP="00AC1F17">
            <w:pPr>
              <w:spacing w:after="0" w:line="240" w:lineRule="auto"/>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 </w:t>
            </w:r>
          </w:p>
        </w:tc>
        <w:tc>
          <w:tcPr>
            <w:tcW w:w="550" w:type="pct"/>
            <w:shd w:val="clear" w:color="auto" w:fill="auto"/>
            <w:noWrap/>
            <w:vAlign w:val="center"/>
            <w:hideMark/>
          </w:tcPr>
          <w:p w14:paraId="11BC0C38"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5</w:t>
            </w:r>
          </w:p>
        </w:tc>
        <w:tc>
          <w:tcPr>
            <w:tcW w:w="701" w:type="pct"/>
            <w:shd w:val="clear" w:color="auto" w:fill="auto"/>
            <w:noWrap/>
            <w:vAlign w:val="center"/>
            <w:hideMark/>
          </w:tcPr>
          <w:p w14:paraId="762D8DE5" w14:textId="77777777" w:rsidR="00072A69" w:rsidRPr="00FD1952" w:rsidRDefault="00072A69" w:rsidP="00AC1F17">
            <w:pPr>
              <w:spacing w:after="0" w:line="240" w:lineRule="auto"/>
              <w:jc w:val="right"/>
              <w:rPr>
                <w:rFonts w:ascii="Arial" w:eastAsia="Times New Roman" w:hAnsi="Arial" w:cs="Arial"/>
                <w:color w:val="000000"/>
                <w:sz w:val="18"/>
                <w:szCs w:val="18"/>
                <w:lang w:eastAsia="sl-SI"/>
              </w:rPr>
            </w:pPr>
            <w:r w:rsidRPr="00FD1952">
              <w:rPr>
                <w:rFonts w:ascii="Arial" w:eastAsia="Times New Roman" w:hAnsi="Arial" w:cs="Arial"/>
                <w:color w:val="000000"/>
                <w:sz w:val="18"/>
                <w:szCs w:val="18"/>
                <w:lang w:eastAsia="sl-SI"/>
              </w:rPr>
              <w:t>1.277.040</w:t>
            </w:r>
          </w:p>
        </w:tc>
      </w:tr>
    </w:tbl>
    <w:p w14:paraId="1B93A801" w14:textId="77777777" w:rsidR="00072A69" w:rsidRPr="00337D75" w:rsidRDefault="00072A69" w:rsidP="00072A69">
      <w:pPr>
        <w:pStyle w:val="Odstavekseznama"/>
        <w:rPr>
          <w:rFonts w:cs="Arial"/>
          <w:b/>
        </w:rPr>
      </w:pPr>
    </w:p>
    <w:p w14:paraId="0AA0FDA4" w14:textId="63725991" w:rsidR="00072A69" w:rsidRPr="00337D75" w:rsidRDefault="00337D75" w:rsidP="00337D75">
      <w:pPr>
        <w:rPr>
          <w:rFonts w:ascii="Arial" w:hAnsi="Arial" w:cs="Arial"/>
          <w:sz w:val="20"/>
          <w:szCs w:val="20"/>
        </w:rPr>
      </w:pPr>
      <w:r w:rsidRPr="00337D75">
        <w:rPr>
          <w:rFonts w:ascii="Arial" w:hAnsi="Arial" w:cs="Arial"/>
          <w:sz w:val="20"/>
          <w:szCs w:val="20"/>
        </w:rPr>
        <w:t xml:space="preserve">Preglednica 114: </w:t>
      </w:r>
      <w:r w:rsidR="00072A69" w:rsidRPr="00337D75">
        <w:rPr>
          <w:rFonts w:ascii="Arial" w:hAnsi="Arial" w:cs="Arial"/>
          <w:sz w:val="20"/>
          <w:szCs w:val="20"/>
        </w:rPr>
        <w:t>Število naročnikov glede na kategorijo naročnika</w:t>
      </w:r>
    </w:p>
    <w:tbl>
      <w:tblPr>
        <w:tblW w:w="0" w:type="auto"/>
        <w:tblCellMar>
          <w:left w:w="70" w:type="dxa"/>
          <w:right w:w="70" w:type="dxa"/>
        </w:tblCellMar>
        <w:tblLook w:val="04A0" w:firstRow="1" w:lastRow="0" w:firstColumn="1" w:lastColumn="0" w:noHBand="0" w:noVBand="1"/>
      </w:tblPr>
      <w:tblGrid>
        <w:gridCol w:w="1928"/>
        <w:gridCol w:w="1300"/>
        <w:gridCol w:w="1402"/>
        <w:gridCol w:w="774"/>
        <w:gridCol w:w="1210"/>
        <w:gridCol w:w="1102"/>
        <w:gridCol w:w="1346"/>
      </w:tblGrid>
      <w:tr w:rsidR="00072A69" w:rsidRPr="00A51E79" w14:paraId="1A53E6C9" w14:textId="77777777" w:rsidTr="00C320EE">
        <w:trPr>
          <w:trHeight w:val="397"/>
          <w:tblHeader/>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5D2F36CC"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Kategorija naročnika</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77560F1E"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Št. naročnikov, ki so oddali vsaj eno zeleno naročilo</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3B8ED807"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Št. naročnikov, ki so oddali vsaj eno naročilo, a nobeno ni bilo zeleno</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72024E32"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Št. zelenih naročil</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5D7EC335"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Vrednost zelenih naročil</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6313A995"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Skupno število naročnikov</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045DB776" w14:textId="77777777" w:rsidR="00072A69" w:rsidRPr="00A51E79" w:rsidRDefault="00072A69" w:rsidP="00AC1F17">
            <w:pPr>
              <w:spacing w:after="0" w:line="240" w:lineRule="auto"/>
              <w:jc w:val="center"/>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Delež v št. naročnikov, ki so oddali vsaj eno zeleno naročilo</w:t>
            </w:r>
          </w:p>
        </w:tc>
      </w:tr>
      <w:tr w:rsidR="00072A69" w:rsidRPr="00A51E79" w14:paraId="58DC534B"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97A59"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Organi RS</w:t>
            </w:r>
          </w:p>
        </w:tc>
        <w:tc>
          <w:tcPr>
            <w:tcW w:w="0" w:type="auto"/>
            <w:tcBorders>
              <w:top w:val="nil"/>
              <w:left w:val="nil"/>
              <w:bottom w:val="single" w:sz="4" w:space="0" w:color="auto"/>
              <w:right w:val="single" w:sz="4" w:space="0" w:color="auto"/>
            </w:tcBorders>
            <w:shd w:val="clear" w:color="auto" w:fill="auto"/>
            <w:vAlign w:val="center"/>
            <w:hideMark/>
          </w:tcPr>
          <w:p w14:paraId="0F676D32"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38</w:t>
            </w:r>
          </w:p>
        </w:tc>
        <w:tc>
          <w:tcPr>
            <w:tcW w:w="0" w:type="auto"/>
            <w:tcBorders>
              <w:top w:val="nil"/>
              <w:left w:val="nil"/>
              <w:bottom w:val="single" w:sz="4" w:space="0" w:color="auto"/>
              <w:right w:val="single" w:sz="4" w:space="0" w:color="auto"/>
            </w:tcBorders>
            <w:shd w:val="clear" w:color="auto" w:fill="auto"/>
            <w:vAlign w:val="center"/>
            <w:hideMark/>
          </w:tcPr>
          <w:p w14:paraId="0DD4C7DF"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31</w:t>
            </w:r>
          </w:p>
        </w:tc>
        <w:tc>
          <w:tcPr>
            <w:tcW w:w="0" w:type="auto"/>
            <w:tcBorders>
              <w:top w:val="nil"/>
              <w:left w:val="nil"/>
              <w:bottom w:val="single" w:sz="4" w:space="0" w:color="auto"/>
              <w:right w:val="single" w:sz="4" w:space="0" w:color="auto"/>
            </w:tcBorders>
            <w:shd w:val="clear" w:color="auto" w:fill="auto"/>
            <w:vAlign w:val="center"/>
            <w:hideMark/>
          </w:tcPr>
          <w:p w14:paraId="37046C09"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306</w:t>
            </w:r>
          </w:p>
        </w:tc>
        <w:tc>
          <w:tcPr>
            <w:tcW w:w="0" w:type="auto"/>
            <w:tcBorders>
              <w:top w:val="nil"/>
              <w:left w:val="nil"/>
              <w:bottom w:val="single" w:sz="4" w:space="0" w:color="auto"/>
              <w:right w:val="single" w:sz="4" w:space="0" w:color="auto"/>
            </w:tcBorders>
            <w:shd w:val="clear" w:color="auto" w:fill="auto"/>
            <w:vAlign w:val="center"/>
            <w:hideMark/>
          </w:tcPr>
          <w:p w14:paraId="3FB16DAF"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51.774.693</w:t>
            </w:r>
          </w:p>
        </w:tc>
        <w:tc>
          <w:tcPr>
            <w:tcW w:w="0" w:type="auto"/>
            <w:tcBorders>
              <w:top w:val="nil"/>
              <w:left w:val="nil"/>
              <w:bottom w:val="single" w:sz="4" w:space="0" w:color="auto"/>
              <w:right w:val="single" w:sz="4" w:space="0" w:color="auto"/>
            </w:tcBorders>
            <w:shd w:val="clear" w:color="auto" w:fill="auto"/>
            <w:noWrap/>
            <w:vAlign w:val="center"/>
            <w:hideMark/>
          </w:tcPr>
          <w:p w14:paraId="14C9B94E"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69</w:t>
            </w:r>
          </w:p>
        </w:tc>
        <w:tc>
          <w:tcPr>
            <w:tcW w:w="0" w:type="auto"/>
            <w:tcBorders>
              <w:top w:val="nil"/>
              <w:left w:val="nil"/>
              <w:bottom w:val="single" w:sz="4" w:space="0" w:color="auto"/>
              <w:right w:val="single" w:sz="4" w:space="0" w:color="auto"/>
            </w:tcBorders>
            <w:shd w:val="clear" w:color="auto" w:fill="auto"/>
            <w:noWrap/>
            <w:vAlign w:val="center"/>
            <w:hideMark/>
          </w:tcPr>
          <w:p w14:paraId="19D699F0"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55,07</w:t>
            </w:r>
            <w:r>
              <w:rPr>
                <w:rFonts w:ascii="Arial" w:eastAsia="Times New Roman" w:hAnsi="Arial" w:cs="Arial"/>
                <w:color w:val="000000"/>
                <w:sz w:val="18"/>
                <w:szCs w:val="18"/>
                <w:lang w:eastAsia="sl-SI"/>
              </w:rPr>
              <w:t xml:space="preserve"> %</w:t>
            </w:r>
          </w:p>
        </w:tc>
      </w:tr>
      <w:tr w:rsidR="00072A69" w:rsidRPr="00A51E79" w14:paraId="50BFBD92"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44C8D"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Samoupravne lokalne skupnosti</w:t>
            </w:r>
          </w:p>
        </w:tc>
        <w:tc>
          <w:tcPr>
            <w:tcW w:w="0" w:type="auto"/>
            <w:tcBorders>
              <w:top w:val="nil"/>
              <w:left w:val="nil"/>
              <w:bottom w:val="single" w:sz="4" w:space="0" w:color="auto"/>
              <w:right w:val="single" w:sz="4" w:space="0" w:color="auto"/>
            </w:tcBorders>
            <w:shd w:val="clear" w:color="auto" w:fill="auto"/>
            <w:vAlign w:val="center"/>
            <w:hideMark/>
          </w:tcPr>
          <w:p w14:paraId="63A96AB4"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126</w:t>
            </w:r>
          </w:p>
        </w:tc>
        <w:tc>
          <w:tcPr>
            <w:tcW w:w="0" w:type="auto"/>
            <w:tcBorders>
              <w:top w:val="nil"/>
              <w:left w:val="nil"/>
              <w:bottom w:val="single" w:sz="4" w:space="0" w:color="auto"/>
              <w:right w:val="single" w:sz="4" w:space="0" w:color="auto"/>
            </w:tcBorders>
            <w:shd w:val="clear" w:color="auto" w:fill="auto"/>
            <w:vAlign w:val="center"/>
            <w:hideMark/>
          </w:tcPr>
          <w:p w14:paraId="756F5F0B"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74</w:t>
            </w:r>
          </w:p>
        </w:tc>
        <w:tc>
          <w:tcPr>
            <w:tcW w:w="0" w:type="auto"/>
            <w:tcBorders>
              <w:top w:val="nil"/>
              <w:left w:val="nil"/>
              <w:bottom w:val="single" w:sz="4" w:space="0" w:color="auto"/>
              <w:right w:val="single" w:sz="4" w:space="0" w:color="auto"/>
            </w:tcBorders>
            <w:shd w:val="clear" w:color="auto" w:fill="auto"/>
            <w:vAlign w:val="center"/>
            <w:hideMark/>
          </w:tcPr>
          <w:p w14:paraId="4C9E192A"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541</w:t>
            </w:r>
          </w:p>
        </w:tc>
        <w:tc>
          <w:tcPr>
            <w:tcW w:w="0" w:type="auto"/>
            <w:tcBorders>
              <w:top w:val="nil"/>
              <w:left w:val="nil"/>
              <w:bottom w:val="single" w:sz="4" w:space="0" w:color="auto"/>
              <w:right w:val="single" w:sz="4" w:space="0" w:color="auto"/>
            </w:tcBorders>
            <w:shd w:val="clear" w:color="auto" w:fill="auto"/>
            <w:vAlign w:val="center"/>
            <w:hideMark/>
          </w:tcPr>
          <w:p w14:paraId="683836F3"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194.632.587</w:t>
            </w:r>
          </w:p>
        </w:tc>
        <w:tc>
          <w:tcPr>
            <w:tcW w:w="0" w:type="auto"/>
            <w:tcBorders>
              <w:top w:val="nil"/>
              <w:left w:val="nil"/>
              <w:bottom w:val="single" w:sz="4" w:space="0" w:color="auto"/>
              <w:right w:val="single" w:sz="4" w:space="0" w:color="auto"/>
            </w:tcBorders>
            <w:shd w:val="clear" w:color="auto" w:fill="auto"/>
            <w:noWrap/>
            <w:vAlign w:val="center"/>
            <w:hideMark/>
          </w:tcPr>
          <w:p w14:paraId="4FA0E82F"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200</w:t>
            </w:r>
          </w:p>
        </w:tc>
        <w:tc>
          <w:tcPr>
            <w:tcW w:w="0" w:type="auto"/>
            <w:tcBorders>
              <w:top w:val="nil"/>
              <w:left w:val="nil"/>
              <w:bottom w:val="single" w:sz="4" w:space="0" w:color="auto"/>
              <w:right w:val="single" w:sz="4" w:space="0" w:color="auto"/>
            </w:tcBorders>
            <w:shd w:val="clear" w:color="auto" w:fill="auto"/>
            <w:noWrap/>
            <w:vAlign w:val="center"/>
            <w:hideMark/>
          </w:tcPr>
          <w:p w14:paraId="6AF84018"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63,00</w:t>
            </w:r>
            <w:r>
              <w:rPr>
                <w:rFonts w:ascii="Arial" w:eastAsia="Times New Roman" w:hAnsi="Arial" w:cs="Arial"/>
                <w:color w:val="000000"/>
                <w:sz w:val="18"/>
                <w:szCs w:val="18"/>
                <w:lang w:eastAsia="sl-SI"/>
              </w:rPr>
              <w:t xml:space="preserve"> %</w:t>
            </w:r>
          </w:p>
        </w:tc>
      </w:tr>
      <w:tr w:rsidR="00072A69" w:rsidRPr="00A51E79" w14:paraId="6D71067C"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876C2"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Javni skladi</w:t>
            </w:r>
          </w:p>
        </w:tc>
        <w:tc>
          <w:tcPr>
            <w:tcW w:w="0" w:type="auto"/>
            <w:tcBorders>
              <w:top w:val="nil"/>
              <w:left w:val="nil"/>
              <w:bottom w:val="single" w:sz="4" w:space="0" w:color="auto"/>
              <w:right w:val="single" w:sz="4" w:space="0" w:color="auto"/>
            </w:tcBorders>
            <w:shd w:val="clear" w:color="auto" w:fill="auto"/>
            <w:vAlign w:val="center"/>
            <w:hideMark/>
          </w:tcPr>
          <w:p w14:paraId="1950DFD3"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w:t>
            </w:r>
          </w:p>
        </w:tc>
        <w:tc>
          <w:tcPr>
            <w:tcW w:w="0" w:type="auto"/>
            <w:tcBorders>
              <w:top w:val="nil"/>
              <w:left w:val="nil"/>
              <w:bottom w:val="single" w:sz="4" w:space="0" w:color="auto"/>
              <w:right w:val="single" w:sz="4" w:space="0" w:color="auto"/>
            </w:tcBorders>
            <w:shd w:val="clear" w:color="auto" w:fill="auto"/>
            <w:vAlign w:val="center"/>
            <w:hideMark/>
          </w:tcPr>
          <w:p w14:paraId="4EA751FB"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w:t>
            </w:r>
          </w:p>
        </w:tc>
        <w:tc>
          <w:tcPr>
            <w:tcW w:w="0" w:type="auto"/>
            <w:tcBorders>
              <w:top w:val="nil"/>
              <w:left w:val="nil"/>
              <w:bottom w:val="single" w:sz="4" w:space="0" w:color="auto"/>
              <w:right w:val="single" w:sz="4" w:space="0" w:color="auto"/>
            </w:tcBorders>
            <w:shd w:val="clear" w:color="auto" w:fill="auto"/>
            <w:vAlign w:val="center"/>
            <w:hideMark/>
          </w:tcPr>
          <w:p w14:paraId="0400EA19"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11</w:t>
            </w:r>
          </w:p>
        </w:tc>
        <w:tc>
          <w:tcPr>
            <w:tcW w:w="0" w:type="auto"/>
            <w:tcBorders>
              <w:top w:val="nil"/>
              <w:left w:val="nil"/>
              <w:bottom w:val="single" w:sz="4" w:space="0" w:color="auto"/>
              <w:right w:val="single" w:sz="4" w:space="0" w:color="auto"/>
            </w:tcBorders>
            <w:shd w:val="clear" w:color="auto" w:fill="auto"/>
            <w:vAlign w:val="center"/>
            <w:hideMark/>
          </w:tcPr>
          <w:p w14:paraId="32216161"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1.416.213</w:t>
            </w:r>
          </w:p>
        </w:tc>
        <w:tc>
          <w:tcPr>
            <w:tcW w:w="0" w:type="auto"/>
            <w:tcBorders>
              <w:top w:val="nil"/>
              <w:left w:val="nil"/>
              <w:bottom w:val="single" w:sz="4" w:space="0" w:color="auto"/>
              <w:right w:val="single" w:sz="4" w:space="0" w:color="auto"/>
            </w:tcBorders>
            <w:shd w:val="clear" w:color="auto" w:fill="auto"/>
            <w:noWrap/>
            <w:vAlign w:val="center"/>
            <w:hideMark/>
          </w:tcPr>
          <w:p w14:paraId="45A184BA"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8</w:t>
            </w:r>
          </w:p>
        </w:tc>
        <w:tc>
          <w:tcPr>
            <w:tcW w:w="0" w:type="auto"/>
            <w:tcBorders>
              <w:top w:val="nil"/>
              <w:left w:val="nil"/>
              <w:bottom w:val="single" w:sz="4" w:space="0" w:color="auto"/>
              <w:right w:val="single" w:sz="4" w:space="0" w:color="auto"/>
            </w:tcBorders>
            <w:shd w:val="clear" w:color="auto" w:fill="auto"/>
            <w:noWrap/>
            <w:vAlign w:val="center"/>
            <w:hideMark/>
          </w:tcPr>
          <w:p w14:paraId="606DC024"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50,00</w:t>
            </w:r>
            <w:r>
              <w:rPr>
                <w:rFonts w:ascii="Arial" w:eastAsia="Times New Roman" w:hAnsi="Arial" w:cs="Arial"/>
                <w:color w:val="000000"/>
                <w:sz w:val="18"/>
                <w:szCs w:val="18"/>
                <w:lang w:eastAsia="sl-SI"/>
              </w:rPr>
              <w:t xml:space="preserve"> %</w:t>
            </w:r>
          </w:p>
        </w:tc>
      </w:tr>
      <w:tr w:rsidR="00072A69" w:rsidRPr="00A51E79" w14:paraId="52E176B1"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2A1FC"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Javne agencije</w:t>
            </w:r>
          </w:p>
        </w:tc>
        <w:tc>
          <w:tcPr>
            <w:tcW w:w="0" w:type="auto"/>
            <w:tcBorders>
              <w:top w:val="nil"/>
              <w:left w:val="nil"/>
              <w:bottom w:val="single" w:sz="4" w:space="0" w:color="auto"/>
              <w:right w:val="single" w:sz="4" w:space="0" w:color="auto"/>
            </w:tcBorders>
            <w:shd w:val="clear" w:color="auto" w:fill="auto"/>
            <w:vAlign w:val="center"/>
            <w:hideMark/>
          </w:tcPr>
          <w:p w14:paraId="79DCF96A"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w:t>
            </w:r>
          </w:p>
        </w:tc>
        <w:tc>
          <w:tcPr>
            <w:tcW w:w="0" w:type="auto"/>
            <w:tcBorders>
              <w:top w:val="nil"/>
              <w:left w:val="nil"/>
              <w:bottom w:val="single" w:sz="4" w:space="0" w:color="auto"/>
              <w:right w:val="single" w:sz="4" w:space="0" w:color="auto"/>
            </w:tcBorders>
            <w:shd w:val="clear" w:color="auto" w:fill="auto"/>
            <w:vAlign w:val="center"/>
            <w:hideMark/>
          </w:tcPr>
          <w:p w14:paraId="2D59528B"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6</w:t>
            </w:r>
          </w:p>
        </w:tc>
        <w:tc>
          <w:tcPr>
            <w:tcW w:w="0" w:type="auto"/>
            <w:tcBorders>
              <w:top w:val="nil"/>
              <w:left w:val="nil"/>
              <w:bottom w:val="single" w:sz="4" w:space="0" w:color="auto"/>
              <w:right w:val="single" w:sz="4" w:space="0" w:color="auto"/>
            </w:tcBorders>
            <w:shd w:val="clear" w:color="auto" w:fill="auto"/>
            <w:vAlign w:val="center"/>
            <w:hideMark/>
          </w:tcPr>
          <w:p w14:paraId="56C05BDC"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10</w:t>
            </w:r>
          </w:p>
        </w:tc>
        <w:tc>
          <w:tcPr>
            <w:tcW w:w="0" w:type="auto"/>
            <w:tcBorders>
              <w:top w:val="nil"/>
              <w:left w:val="nil"/>
              <w:bottom w:val="single" w:sz="4" w:space="0" w:color="auto"/>
              <w:right w:val="single" w:sz="4" w:space="0" w:color="auto"/>
            </w:tcBorders>
            <w:shd w:val="clear" w:color="auto" w:fill="auto"/>
            <w:vAlign w:val="center"/>
            <w:hideMark/>
          </w:tcPr>
          <w:p w14:paraId="2C90FE0F"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663.891</w:t>
            </w:r>
          </w:p>
        </w:tc>
        <w:tc>
          <w:tcPr>
            <w:tcW w:w="0" w:type="auto"/>
            <w:tcBorders>
              <w:top w:val="nil"/>
              <w:left w:val="nil"/>
              <w:bottom w:val="single" w:sz="4" w:space="0" w:color="auto"/>
              <w:right w:val="single" w:sz="4" w:space="0" w:color="auto"/>
            </w:tcBorders>
            <w:shd w:val="clear" w:color="auto" w:fill="auto"/>
            <w:noWrap/>
            <w:vAlign w:val="center"/>
            <w:hideMark/>
          </w:tcPr>
          <w:p w14:paraId="516F57F2"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10</w:t>
            </w:r>
          </w:p>
        </w:tc>
        <w:tc>
          <w:tcPr>
            <w:tcW w:w="0" w:type="auto"/>
            <w:tcBorders>
              <w:top w:val="nil"/>
              <w:left w:val="nil"/>
              <w:bottom w:val="single" w:sz="4" w:space="0" w:color="auto"/>
              <w:right w:val="single" w:sz="4" w:space="0" w:color="auto"/>
            </w:tcBorders>
            <w:shd w:val="clear" w:color="auto" w:fill="auto"/>
            <w:noWrap/>
            <w:vAlign w:val="center"/>
            <w:hideMark/>
          </w:tcPr>
          <w:p w14:paraId="378DB83B"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40,00</w:t>
            </w:r>
            <w:r>
              <w:rPr>
                <w:rFonts w:ascii="Arial" w:eastAsia="Times New Roman" w:hAnsi="Arial" w:cs="Arial"/>
                <w:color w:val="000000"/>
                <w:sz w:val="18"/>
                <w:szCs w:val="18"/>
                <w:lang w:eastAsia="sl-SI"/>
              </w:rPr>
              <w:t xml:space="preserve"> %</w:t>
            </w:r>
          </w:p>
        </w:tc>
      </w:tr>
      <w:tr w:rsidR="00072A69" w:rsidRPr="00A51E79" w14:paraId="4F995F5E"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3342D"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Javni zavodi</w:t>
            </w:r>
          </w:p>
        </w:tc>
        <w:tc>
          <w:tcPr>
            <w:tcW w:w="0" w:type="auto"/>
            <w:tcBorders>
              <w:top w:val="nil"/>
              <w:left w:val="nil"/>
              <w:bottom w:val="single" w:sz="4" w:space="0" w:color="auto"/>
              <w:right w:val="single" w:sz="4" w:space="0" w:color="auto"/>
            </w:tcBorders>
            <w:shd w:val="clear" w:color="auto" w:fill="auto"/>
            <w:vAlign w:val="center"/>
            <w:hideMark/>
          </w:tcPr>
          <w:p w14:paraId="60456DF3"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415</w:t>
            </w:r>
          </w:p>
        </w:tc>
        <w:tc>
          <w:tcPr>
            <w:tcW w:w="0" w:type="auto"/>
            <w:tcBorders>
              <w:top w:val="nil"/>
              <w:left w:val="nil"/>
              <w:bottom w:val="single" w:sz="4" w:space="0" w:color="auto"/>
              <w:right w:val="single" w:sz="4" w:space="0" w:color="auto"/>
            </w:tcBorders>
            <w:shd w:val="clear" w:color="auto" w:fill="auto"/>
            <w:vAlign w:val="center"/>
            <w:hideMark/>
          </w:tcPr>
          <w:p w14:paraId="6297E7AE"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147</w:t>
            </w:r>
          </w:p>
        </w:tc>
        <w:tc>
          <w:tcPr>
            <w:tcW w:w="0" w:type="auto"/>
            <w:tcBorders>
              <w:top w:val="nil"/>
              <w:left w:val="nil"/>
              <w:bottom w:val="single" w:sz="4" w:space="0" w:color="auto"/>
              <w:right w:val="single" w:sz="4" w:space="0" w:color="auto"/>
            </w:tcBorders>
            <w:shd w:val="clear" w:color="auto" w:fill="auto"/>
            <w:vAlign w:val="center"/>
            <w:hideMark/>
          </w:tcPr>
          <w:p w14:paraId="789FE755"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4.433</w:t>
            </w:r>
          </w:p>
        </w:tc>
        <w:tc>
          <w:tcPr>
            <w:tcW w:w="0" w:type="auto"/>
            <w:tcBorders>
              <w:top w:val="nil"/>
              <w:left w:val="nil"/>
              <w:bottom w:val="single" w:sz="4" w:space="0" w:color="auto"/>
              <w:right w:val="single" w:sz="4" w:space="0" w:color="auto"/>
            </w:tcBorders>
            <w:shd w:val="clear" w:color="auto" w:fill="auto"/>
            <w:vAlign w:val="center"/>
            <w:hideMark/>
          </w:tcPr>
          <w:p w14:paraId="297AA204"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178.025.170</w:t>
            </w:r>
          </w:p>
        </w:tc>
        <w:tc>
          <w:tcPr>
            <w:tcW w:w="0" w:type="auto"/>
            <w:tcBorders>
              <w:top w:val="nil"/>
              <w:left w:val="nil"/>
              <w:bottom w:val="single" w:sz="4" w:space="0" w:color="auto"/>
              <w:right w:val="single" w:sz="4" w:space="0" w:color="auto"/>
            </w:tcBorders>
            <w:shd w:val="clear" w:color="auto" w:fill="auto"/>
            <w:noWrap/>
            <w:vAlign w:val="center"/>
            <w:hideMark/>
          </w:tcPr>
          <w:p w14:paraId="60A629ED"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562</w:t>
            </w:r>
          </w:p>
        </w:tc>
        <w:tc>
          <w:tcPr>
            <w:tcW w:w="0" w:type="auto"/>
            <w:tcBorders>
              <w:top w:val="nil"/>
              <w:left w:val="nil"/>
              <w:bottom w:val="single" w:sz="4" w:space="0" w:color="auto"/>
              <w:right w:val="single" w:sz="4" w:space="0" w:color="auto"/>
            </w:tcBorders>
            <w:shd w:val="clear" w:color="auto" w:fill="auto"/>
            <w:noWrap/>
            <w:vAlign w:val="center"/>
            <w:hideMark/>
          </w:tcPr>
          <w:p w14:paraId="61A344F5"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73,84</w:t>
            </w:r>
            <w:r>
              <w:rPr>
                <w:rFonts w:ascii="Arial" w:eastAsia="Times New Roman" w:hAnsi="Arial" w:cs="Arial"/>
                <w:color w:val="000000"/>
                <w:sz w:val="18"/>
                <w:szCs w:val="18"/>
                <w:lang w:eastAsia="sl-SI"/>
              </w:rPr>
              <w:t xml:space="preserve"> %</w:t>
            </w:r>
          </w:p>
        </w:tc>
      </w:tr>
      <w:tr w:rsidR="00072A69" w:rsidRPr="00A51E79" w14:paraId="171314B4"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C765C"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lastRenderedPageBreak/>
              <w:t>Javni gospodarski zavodi</w:t>
            </w:r>
          </w:p>
        </w:tc>
        <w:tc>
          <w:tcPr>
            <w:tcW w:w="0" w:type="auto"/>
            <w:tcBorders>
              <w:top w:val="nil"/>
              <w:left w:val="nil"/>
              <w:bottom w:val="single" w:sz="4" w:space="0" w:color="auto"/>
              <w:right w:val="single" w:sz="4" w:space="0" w:color="auto"/>
            </w:tcBorders>
            <w:shd w:val="clear" w:color="auto" w:fill="auto"/>
            <w:vAlign w:val="center"/>
            <w:hideMark/>
          </w:tcPr>
          <w:p w14:paraId="0F857FC4"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8</w:t>
            </w:r>
          </w:p>
        </w:tc>
        <w:tc>
          <w:tcPr>
            <w:tcW w:w="0" w:type="auto"/>
            <w:tcBorders>
              <w:top w:val="nil"/>
              <w:left w:val="nil"/>
              <w:bottom w:val="single" w:sz="4" w:space="0" w:color="auto"/>
              <w:right w:val="single" w:sz="4" w:space="0" w:color="auto"/>
            </w:tcBorders>
            <w:shd w:val="clear" w:color="auto" w:fill="auto"/>
            <w:vAlign w:val="center"/>
            <w:hideMark/>
          </w:tcPr>
          <w:p w14:paraId="0F833B9A"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3</w:t>
            </w:r>
          </w:p>
        </w:tc>
        <w:tc>
          <w:tcPr>
            <w:tcW w:w="0" w:type="auto"/>
            <w:tcBorders>
              <w:top w:val="nil"/>
              <w:left w:val="nil"/>
              <w:bottom w:val="single" w:sz="4" w:space="0" w:color="auto"/>
              <w:right w:val="single" w:sz="4" w:space="0" w:color="auto"/>
            </w:tcBorders>
            <w:shd w:val="clear" w:color="auto" w:fill="auto"/>
            <w:vAlign w:val="center"/>
            <w:hideMark/>
          </w:tcPr>
          <w:p w14:paraId="38923BAB"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27</w:t>
            </w:r>
          </w:p>
        </w:tc>
        <w:tc>
          <w:tcPr>
            <w:tcW w:w="0" w:type="auto"/>
            <w:tcBorders>
              <w:top w:val="nil"/>
              <w:left w:val="nil"/>
              <w:bottom w:val="single" w:sz="4" w:space="0" w:color="auto"/>
              <w:right w:val="single" w:sz="4" w:space="0" w:color="auto"/>
            </w:tcBorders>
            <w:shd w:val="clear" w:color="auto" w:fill="auto"/>
            <w:vAlign w:val="center"/>
            <w:hideMark/>
          </w:tcPr>
          <w:p w14:paraId="5D07D5DA"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3.271.602</w:t>
            </w:r>
          </w:p>
        </w:tc>
        <w:tc>
          <w:tcPr>
            <w:tcW w:w="0" w:type="auto"/>
            <w:tcBorders>
              <w:top w:val="nil"/>
              <w:left w:val="nil"/>
              <w:bottom w:val="single" w:sz="4" w:space="0" w:color="auto"/>
              <w:right w:val="single" w:sz="4" w:space="0" w:color="auto"/>
            </w:tcBorders>
            <w:shd w:val="clear" w:color="auto" w:fill="auto"/>
            <w:noWrap/>
            <w:vAlign w:val="center"/>
            <w:hideMark/>
          </w:tcPr>
          <w:p w14:paraId="10A3F805"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11</w:t>
            </w:r>
          </w:p>
        </w:tc>
        <w:tc>
          <w:tcPr>
            <w:tcW w:w="0" w:type="auto"/>
            <w:tcBorders>
              <w:top w:val="nil"/>
              <w:left w:val="nil"/>
              <w:bottom w:val="single" w:sz="4" w:space="0" w:color="auto"/>
              <w:right w:val="single" w:sz="4" w:space="0" w:color="auto"/>
            </w:tcBorders>
            <w:shd w:val="clear" w:color="auto" w:fill="auto"/>
            <w:noWrap/>
            <w:vAlign w:val="center"/>
            <w:hideMark/>
          </w:tcPr>
          <w:p w14:paraId="7D6E99E6"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72,73</w:t>
            </w:r>
            <w:r>
              <w:rPr>
                <w:rFonts w:ascii="Arial" w:eastAsia="Times New Roman" w:hAnsi="Arial" w:cs="Arial"/>
                <w:color w:val="000000"/>
                <w:sz w:val="18"/>
                <w:szCs w:val="18"/>
                <w:lang w:eastAsia="sl-SI"/>
              </w:rPr>
              <w:t xml:space="preserve"> %</w:t>
            </w:r>
          </w:p>
        </w:tc>
      </w:tr>
      <w:tr w:rsidR="00072A69" w:rsidRPr="00A51E79" w14:paraId="5963254B"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DF284"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Drugi naročniki (osebe javnega prava, javna podjetja, subjekt s posebnimi infrastrukturnimi pravicami)</w:t>
            </w:r>
          </w:p>
        </w:tc>
        <w:tc>
          <w:tcPr>
            <w:tcW w:w="0" w:type="auto"/>
            <w:tcBorders>
              <w:top w:val="nil"/>
              <w:left w:val="nil"/>
              <w:bottom w:val="single" w:sz="4" w:space="0" w:color="auto"/>
              <w:right w:val="single" w:sz="4" w:space="0" w:color="auto"/>
            </w:tcBorders>
            <w:shd w:val="clear" w:color="auto" w:fill="auto"/>
            <w:vAlign w:val="center"/>
            <w:hideMark/>
          </w:tcPr>
          <w:p w14:paraId="7C1D8379"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82</w:t>
            </w:r>
          </w:p>
        </w:tc>
        <w:tc>
          <w:tcPr>
            <w:tcW w:w="0" w:type="auto"/>
            <w:tcBorders>
              <w:top w:val="nil"/>
              <w:left w:val="nil"/>
              <w:bottom w:val="single" w:sz="4" w:space="0" w:color="auto"/>
              <w:right w:val="single" w:sz="4" w:space="0" w:color="auto"/>
            </w:tcBorders>
            <w:shd w:val="clear" w:color="auto" w:fill="auto"/>
            <w:vAlign w:val="center"/>
            <w:hideMark/>
          </w:tcPr>
          <w:p w14:paraId="1349AAC7"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52</w:t>
            </w:r>
          </w:p>
        </w:tc>
        <w:tc>
          <w:tcPr>
            <w:tcW w:w="0" w:type="auto"/>
            <w:tcBorders>
              <w:top w:val="nil"/>
              <w:left w:val="nil"/>
              <w:bottom w:val="single" w:sz="4" w:space="0" w:color="auto"/>
              <w:right w:val="single" w:sz="4" w:space="0" w:color="auto"/>
            </w:tcBorders>
            <w:shd w:val="clear" w:color="auto" w:fill="auto"/>
            <w:vAlign w:val="center"/>
            <w:hideMark/>
          </w:tcPr>
          <w:p w14:paraId="0C29447A"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436</w:t>
            </w:r>
          </w:p>
        </w:tc>
        <w:tc>
          <w:tcPr>
            <w:tcW w:w="0" w:type="auto"/>
            <w:tcBorders>
              <w:top w:val="nil"/>
              <w:left w:val="nil"/>
              <w:bottom w:val="single" w:sz="4" w:space="0" w:color="auto"/>
              <w:right w:val="single" w:sz="4" w:space="0" w:color="auto"/>
            </w:tcBorders>
            <w:shd w:val="clear" w:color="auto" w:fill="auto"/>
            <w:vAlign w:val="center"/>
            <w:hideMark/>
          </w:tcPr>
          <w:p w14:paraId="2634A7EE"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128.647.958</w:t>
            </w:r>
          </w:p>
        </w:tc>
        <w:tc>
          <w:tcPr>
            <w:tcW w:w="0" w:type="auto"/>
            <w:tcBorders>
              <w:top w:val="nil"/>
              <w:left w:val="nil"/>
              <w:bottom w:val="single" w:sz="4" w:space="0" w:color="auto"/>
              <w:right w:val="single" w:sz="4" w:space="0" w:color="auto"/>
            </w:tcBorders>
            <w:shd w:val="clear" w:color="auto" w:fill="auto"/>
            <w:noWrap/>
            <w:vAlign w:val="center"/>
            <w:hideMark/>
          </w:tcPr>
          <w:p w14:paraId="4D1B245C"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134</w:t>
            </w:r>
          </w:p>
        </w:tc>
        <w:tc>
          <w:tcPr>
            <w:tcW w:w="0" w:type="auto"/>
            <w:tcBorders>
              <w:top w:val="nil"/>
              <w:left w:val="nil"/>
              <w:bottom w:val="single" w:sz="4" w:space="0" w:color="auto"/>
              <w:right w:val="single" w:sz="4" w:space="0" w:color="auto"/>
            </w:tcBorders>
            <w:shd w:val="clear" w:color="auto" w:fill="auto"/>
            <w:noWrap/>
            <w:vAlign w:val="center"/>
            <w:hideMark/>
          </w:tcPr>
          <w:p w14:paraId="254EC187"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61,19</w:t>
            </w:r>
            <w:r>
              <w:rPr>
                <w:rFonts w:ascii="Arial" w:eastAsia="Times New Roman" w:hAnsi="Arial" w:cs="Arial"/>
                <w:color w:val="000000"/>
                <w:sz w:val="18"/>
                <w:szCs w:val="18"/>
                <w:lang w:eastAsia="sl-SI"/>
              </w:rPr>
              <w:t xml:space="preserve"> %</w:t>
            </w:r>
          </w:p>
        </w:tc>
      </w:tr>
      <w:tr w:rsidR="00072A69" w:rsidRPr="00A51E79" w14:paraId="101F0586" w14:textId="77777777" w:rsidTr="00AC1F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A9280" w14:textId="77777777" w:rsidR="00072A69" w:rsidRPr="00A51E79" w:rsidRDefault="00072A69" w:rsidP="00AC1F17">
            <w:pPr>
              <w:spacing w:after="0" w:line="240" w:lineRule="auto"/>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Razni subjekti</w:t>
            </w:r>
          </w:p>
        </w:tc>
        <w:tc>
          <w:tcPr>
            <w:tcW w:w="0" w:type="auto"/>
            <w:tcBorders>
              <w:top w:val="nil"/>
              <w:left w:val="nil"/>
              <w:bottom w:val="single" w:sz="4" w:space="0" w:color="auto"/>
              <w:right w:val="single" w:sz="4" w:space="0" w:color="auto"/>
            </w:tcBorders>
            <w:shd w:val="clear" w:color="auto" w:fill="auto"/>
            <w:vAlign w:val="center"/>
            <w:hideMark/>
          </w:tcPr>
          <w:p w14:paraId="03F313B1"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7</w:t>
            </w:r>
          </w:p>
        </w:tc>
        <w:tc>
          <w:tcPr>
            <w:tcW w:w="0" w:type="auto"/>
            <w:tcBorders>
              <w:top w:val="nil"/>
              <w:left w:val="nil"/>
              <w:bottom w:val="single" w:sz="4" w:space="0" w:color="auto"/>
              <w:right w:val="single" w:sz="4" w:space="0" w:color="auto"/>
            </w:tcBorders>
            <w:shd w:val="clear" w:color="auto" w:fill="auto"/>
            <w:vAlign w:val="center"/>
            <w:hideMark/>
          </w:tcPr>
          <w:p w14:paraId="1F4722F4"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40</w:t>
            </w:r>
          </w:p>
        </w:tc>
        <w:tc>
          <w:tcPr>
            <w:tcW w:w="0" w:type="auto"/>
            <w:tcBorders>
              <w:top w:val="nil"/>
              <w:left w:val="nil"/>
              <w:bottom w:val="single" w:sz="4" w:space="0" w:color="auto"/>
              <w:right w:val="single" w:sz="4" w:space="0" w:color="auto"/>
            </w:tcBorders>
            <w:shd w:val="clear" w:color="auto" w:fill="auto"/>
            <w:vAlign w:val="center"/>
            <w:hideMark/>
          </w:tcPr>
          <w:p w14:paraId="0714A038"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7</w:t>
            </w:r>
          </w:p>
        </w:tc>
        <w:tc>
          <w:tcPr>
            <w:tcW w:w="0" w:type="auto"/>
            <w:tcBorders>
              <w:top w:val="nil"/>
              <w:left w:val="nil"/>
              <w:bottom w:val="single" w:sz="4" w:space="0" w:color="auto"/>
              <w:right w:val="single" w:sz="4" w:space="0" w:color="auto"/>
            </w:tcBorders>
            <w:shd w:val="clear" w:color="auto" w:fill="auto"/>
            <w:vAlign w:val="center"/>
            <w:hideMark/>
          </w:tcPr>
          <w:p w14:paraId="3D5332F3"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961.602</w:t>
            </w:r>
          </w:p>
        </w:tc>
        <w:tc>
          <w:tcPr>
            <w:tcW w:w="0" w:type="auto"/>
            <w:tcBorders>
              <w:top w:val="nil"/>
              <w:left w:val="nil"/>
              <w:bottom w:val="single" w:sz="4" w:space="0" w:color="auto"/>
              <w:right w:val="single" w:sz="4" w:space="0" w:color="auto"/>
            </w:tcBorders>
            <w:shd w:val="clear" w:color="auto" w:fill="auto"/>
            <w:noWrap/>
            <w:vAlign w:val="center"/>
            <w:hideMark/>
          </w:tcPr>
          <w:p w14:paraId="3BD66D5E"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47</w:t>
            </w:r>
          </w:p>
        </w:tc>
        <w:tc>
          <w:tcPr>
            <w:tcW w:w="0" w:type="auto"/>
            <w:tcBorders>
              <w:top w:val="nil"/>
              <w:left w:val="nil"/>
              <w:bottom w:val="single" w:sz="4" w:space="0" w:color="auto"/>
              <w:right w:val="single" w:sz="4" w:space="0" w:color="auto"/>
            </w:tcBorders>
            <w:shd w:val="clear" w:color="auto" w:fill="auto"/>
            <w:noWrap/>
            <w:vAlign w:val="center"/>
            <w:hideMark/>
          </w:tcPr>
          <w:p w14:paraId="2C2E87DD" w14:textId="77777777" w:rsidR="00072A69" w:rsidRPr="00A51E79" w:rsidRDefault="00072A69" w:rsidP="00AC1F17">
            <w:pPr>
              <w:spacing w:after="0" w:line="240" w:lineRule="auto"/>
              <w:jc w:val="right"/>
              <w:rPr>
                <w:rFonts w:ascii="Arial" w:eastAsia="Times New Roman" w:hAnsi="Arial" w:cs="Arial"/>
                <w:color w:val="000000"/>
                <w:sz w:val="18"/>
                <w:szCs w:val="18"/>
                <w:lang w:eastAsia="sl-SI"/>
              </w:rPr>
            </w:pPr>
            <w:r w:rsidRPr="00A51E79">
              <w:rPr>
                <w:rFonts w:ascii="Arial" w:eastAsia="Times New Roman" w:hAnsi="Arial" w:cs="Arial"/>
                <w:color w:val="000000"/>
                <w:sz w:val="18"/>
                <w:szCs w:val="18"/>
                <w:lang w:eastAsia="sl-SI"/>
              </w:rPr>
              <w:t>14,89</w:t>
            </w:r>
            <w:r>
              <w:rPr>
                <w:rFonts w:ascii="Arial" w:eastAsia="Times New Roman" w:hAnsi="Arial" w:cs="Arial"/>
                <w:color w:val="000000"/>
                <w:sz w:val="18"/>
                <w:szCs w:val="18"/>
                <w:lang w:eastAsia="sl-SI"/>
              </w:rPr>
              <w:t xml:space="preserve"> %</w:t>
            </w:r>
          </w:p>
        </w:tc>
      </w:tr>
      <w:tr w:rsidR="00072A69" w:rsidRPr="00A51E79" w14:paraId="739C5B4F" w14:textId="77777777" w:rsidTr="00AC1F17">
        <w:trPr>
          <w:gridAfter w:val="2"/>
          <w:trHeight w:val="397"/>
        </w:trPr>
        <w:tc>
          <w:tcPr>
            <w:tcW w:w="0" w:type="auto"/>
            <w:tcBorders>
              <w:top w:val="nil"/>
              <w:left w:val="single" w:sz="4" w:space="0" w:color="auto"/>
              <w:bottom w:val="single" w:sz="4" w:space="0" w:color="auto"/>
              <w:right w:val="single" w:sz="4" w:space="0" w:color="auto"/>
            </w:tcBorders>
            <w:shd w:val="clear" w:color="000000" w:fill="E7E6E6"/>
            <w:vAlign w:val="center"/>
            <w:hideMark/>
          </w:tcPr>
          <w:p w14:paraId="1123B029" w14:textId="77777777" w:rsidR="00072A69" w:rsidRPr="00A51E79" w:rsidRDefault="00072A69" w:rsidP="00AC1F17">
            <w:pPr>
              <w:spacing w:after="0" w:line="240" w:lineRule="auto"/>
              <w:jc w:val="both"/>
              <w:rPr>
                <w:rFonts w:ascii="Arial" w:eastAsia="Times New Roman" w:hAnsi="Arial" w:cs="Arial"/>
                <w:b/>
                <w:bCs/>
                <w:color w:val="000000"/>
                <w:sz w:val="18"/>
                <w:szCs w:val="18"/>
                <w:lang w:eastAsia="sl-SI"/>
              </w:rPr>
            </w:pPr>
            <w:r w:rsidRPr="00A51E79">
              <w:rPr>
                <w:rFonts w:ascii="Arial" w:eastAsia="Times New Roman" w:hAnsi="Arial" w:cs="Arial"/>
                <w:b/>
                <w:bCs/>
                <w:color w:val="000000"/>
                <w:sz w:val="18"/>
                <w:szCs w:val="18"/>
                <w:lang w:eastAsia="sl-SI"/>
              </w:rPr>
              <w:t>Skupaj</w:t>
            </w:r>
          </w:p>
        </w:tc>
        <w:tc>
          <w:tcPr>
            <w:tcW w:w="0" w:type="auto"/>
            <w:tcBorders>
              <w:top w:val="nil"/>
              <w:left w:val="nil"/>
              <w:bottom w:val="single" w:sz="4" w:space="0" w:color="auto"/>
              <w:right w:val="single" w:sz="4" w:space="0" w:color="auto"/>
            </w:tcBorders>
            <w:shd w:val="clear" w:color="000000" w:fill="E7E6E6"/>
            <w:vAlign w:val="center"/>
            <w:hideMark/>
          </w:tcPr>
          <w:p w14:paraId="2129DD81" w14:textId="77777777" w:rsidR="00072A69" w:rsidRPr="00A51E79" w:rsidRDefault="00072A69" w:rsidP="00AC1F17">
            <w:pPr>
              <w:spacing w:after="0" w:line="240" w:lineRule="auto"/>
              <w:jc w:val="right"/>
              <w:rPr>
                <w:rFonts w:ascii="Arial" w:eastAsia="Times New Roman" w:hAnsi="Arial" w:cs="Arial"/>
                <w:b/>
                <w:bCs/>
                <w:color w:val="000000"/>
                <w:sz w:val="18"/>
                <w:szCs w:val="18"/>
                <w:lang w:eastAsia="sl-SI"/>
              </w:rPr>
            </w:pPr>
            <w:r w:rsidRPr="00A51E79">
              <w:rPr>
                <w:rFonts w:ascii="Arial" w:eastAsia="Times New Roman" w:hAnsi="Arial" w:cs="Arial"/>
                <w:b/>
                <w:bCs/>
                <w:color w:val="000000"/>
                <w:sz w:val="18"/>
                <w:szCs w:val="18"/>
                <w:lang w:eastAsia="sl-SI"/>
              </w:rPr>
              <w:t>684</w:t>
            </w:r>
          </w:p>
        </w:tc>
        <w:tc>
          <w:tcPr>
            <w:tcW w:w="0" w:type="auto"/>
            <w:tcBorders>
              <w:top w:val="nil"/>
              <w:left w:val="nil"/>
              <w:bottom w:val="single" w:sz="4" w:space="0" w:color="auto"/>
              <w:right w:val="single" w:sz="4" w:space="0" w:color="auto"/>
            </w:tcBorders>
            <w:shd w:val="clear" w:color="000000" w:fill="E7E6E6"/>
            <w:vAlign w:val="center"/>
            <w:hideMark/>
          </w:tcPr>
          <w:p w14:paraId="5E2351B6" w14:textId="77777777" w:rsidR="00072A69" w:rsidRPr="00A51E79" w:rsidRDefault="00072A69" w:rsidP="00AC1F17">
            <w:pPr>
              <w:spacing w:after="0" w:line="240" w:lineRule="auto"/>
              <w:jc w:val="right"/>
              <w:rPr>
                <w:rFonts w:ascii="Arial" w:eastAsia="Times New Roman" w:hAnsi="Arial" w:cs="Arial"/>
                <w:b/>
                <w:bCs/>
                <w:color w:val="000000"/>
                <w:sz w:val="18"/>
                <w:szCs w:val="18"/>
                <w:lang w:eastAsia="sl-SI"/>
              </w:rPr>
            </w:pPr>
            <w:r w:rsidRPr="00A51E79">
              <w:rPr>
                <w:rFonts w:ascii="Arial" w:eastAsia="Times New Roman" w:hAnsi="Arial" w:cs="Arial"/>
                <w:b/>
                <w:bCs/>
                <w:color w:val="000000"/>
                <w:sz w:val="18"/>
                <w:szCs w:val="18"/>
                <w:lang w:eastAsia="sl-SI"/>
              </w:rPr>
              <w:t>357</w:t>
            </w:r>
          </w:p>
        </w:tc>
        <w:tc>
          <w:tcPr>
            <w:tcW w:w="0" w:type="auto"/>
            <w:tcBorders>
              <w:top w:val="nil"/>
              <w:left w:val="nil"/>
              <w:bottom w:val="single" w:sz="4" w:space="0" w:color="auto"/>
              <w:right w:val="single" w:sz="4" w:space="0" w:color="auto"/>
            </w:tcBorders>
            <w:shd w:val="clear" w:color="000000" w:fill="E7E6E6"/>
            <w:vAlign w:val="center"/>
            <w:hideMark/>
          </w:tcPr>
          <w:p w14:paraId="0C02A7A2" w14:textId="77777777" w:rsidR="00072A69" w:rsidRPr="00A51E79" w:rsidRDefault="00072A69" w:rsidP="00AC1F17">
            <w:pPr>
              <w:spacing w:after="0" w:line="240" w:lineRule="auto"/>
              <w:jc w:val="right"/>
              <w:rPr>
                <w:rFonts w:ascii="Arial" w:eastAsia="Times New Roman" w:hAnsi="Arial" w:cs="Arial"/>
                <w:b/>
                <w:bCs/>
                <w:color w:val="000000"/>
                <w:sz w:val="18"/>
                <w:szCs w:val="18"/>
                <w:lang w:eastAsia="sl-SI"/>
              </w:rPr>
            </w:pPr>
            <w:r w:rsidRPr="00A51E79">
              <w:rPr>
                <w:rFonts w:ascii="Arial" w:eastAsia="Times New Roman" w:hAnsi="Arial" w:cs="Arial"/>
                <w:b/>
                <w:bCs/>
                <w:color w:val="000000"/>
                <w:sz w:val="18"/>
                <w:szCs w:val="18"/>
                <w:lang w:eastAsia="sl-SI"/>
              </w:rPr>
              <w:t>5.771</w:t>
            </w:r>
          </w:p>
        </w:tc>
        <w:tc>
          <w:tcPr>
            <w:tcW w:w="0" w:type="auto"/>
            <w:tcBorders>
              <w:top w:val="nil"/>
              <w:left w:val="nil"/>
              <w:bottom w:val="single" w:sz="4" w:space="0" w:color="auto"/>
              <w:right w:val="single" w:sz="4" w:space="0" w:color="auto"/>
            </w:tcBorders>
            <w:shd w:val="clear" w:color="000000" w:fill="E7E6E6"/>
            <w:vAlign w:val="center"/>
            <w:hideMark/>
          </w:tcPr>
          <w:p w14:paraId="5CE5B6A2" w14:textId="77777777" w:rsidR="00072A69" w:rsidRPr="00A51E79" w:rsidRDefault="00072A69" w:rsidP="00AC1F17">
            <w:pPr>
              <w:spacing w:after="0" w:line="240" w:lineRule="auto"/>
              <w:jc w:val="right"/>
              <w:rPr>
                <w:rFonts w:ascii="Arial" w:eastAsia="Times New Roman" w:hAnsi="Arial" w:cs="Arial"/>
                <w:b/>
                <w:bCs/>
                <w:color w:val="000000"/>
                <w:sz w:val="18"/>
                <w:szCs w:val="18"/>
                <w:lang w:eastAsia="sl-SI"/>
              </w:rPr>
            </w:pPr>
            <w:r w:rsidRPr="00A51E79">
              <w:rPr>
                <w:rFonts w:ascii="Arial" w:eastAsia="Times New Roman" w:hAnsi="Arial" w:cs="Arial"/>
                <w:b/>
                <w:bCs/>
                <w:color w:val="000000"/>
                <w:sz w:val="18"/>
                <w:szCs w:val="18"/>
                <w:lang w:eastAsia="sl-SI"/>
              </w:rPr>
              <w:t>559.393.716</w:t>
            </w:r>
          </w:p>
        </w:tc>
      </w:tr>
    </w:tbl>
    <w:p w14:paraId="5067EC92" w14:textId="77777777" w:rsidR="00072A69" w:rsidRDefault="00072A69" w:rsidP="00072A69">
      <w:pPr>
        <w:pStyle w:val="Odstavekseznama"/>
        <w:rPr>
          <w:rFonts w:cs="Arial"/>
          <w:b/>
        </w:rPr>
      </w:pPr>
    </w:p>
    <w:p w14:paraId="3DEB7515" w14:textId="77777777" w:rsidR="00072A69" w:rsidRDefault="00072A69" w:rsidP="00072A69">
      <w:pPr>
        <w:pStyle w:val="Odstavekseznama"/>
        <w:rPr>
          <w:rFonts w:cs="Arial"/>
          <w:b/>
        </w:rPr>
      </w:pPr>
    </w:p>
    <w:p w14:paraId="0CF76A84" w14:textId="5B9A864C" w:rsidR="00072A69" w:rsidRPr="00337D75" w:rsidRDefault="00337D75" w:rsidP="00337D75">
      <w:pPr>
        <w:rPr>
          <w:rFonts w:ascii="Arial" w:hAnsi="Arial" w:cs="Arial"/>
          <w:sz w:val="20"/>
          <w:szCs w:val="20"/>
        </w:rPr>
      </w:pPr>
      <w:r w:rsidRPr="00337D75">
        <w:rPr>
          <w:rFonts w:ascii="Arial" w:hAnsi="Arial" w:cs="Arial"/>
          <w:sz w:val="20"/>
          <w:szCs w:val="20"/>
        </w:rPr>
        <w:t xml:space="preserve">Preglednica 115: </w:t>
      </w:r>
      <w:r w:rsidR="00072A69" w:rsidRPr="00337D75">
        <w:rPr>
          <w:rFonts w:ascii="Arial" w:hAnsi="Arial" w:cs="Arial"/>
          <w:sz w:val="20"/>
          <w:szCs w:val="20"/>
        </w:rPr>
        <w:t>Število in vrednosti ter deleži zelenih naročil glede na predmet naročanja in sedež ponudnika</w:t>
      </w:r>
    </w:p>
    <w:tbl>
      <w:tblPr>
        <w:tblW w:w="5000" w:type="pct"/>
        <w:tblCellMar>
          <w:left w:w="70" w:type="dxa"/>
          <w:right w:w="70" w:type="dxa"/>
        </w:tblCellMar>
        <w:tblLook w:val="04A0" w:firstRow="1" w:lastRow="0" w:firstColumn="1" w:lastColumn="0" w:noHBand="0" w:noVBand="1"/>
      </w:tblPr>
      <w:tblGrid>
        <w:gridCol w:w="821"/>
        <w:gridCol w:w="891"/>
        <w:gridCol w:w="711"/>
        <w:gridCol w:w="1141"/>
        <w:gridCol w:w="901"/>
        <w:gridCol w:w="901"/>
        <w:gridCol w:w="801"/>
        <w:gridCol w:w="871"/>
        <w:gridCol w:w="978"/>
        <w:gridCol w:w="1046"/>
      </w:tblGrid>
      <w:tr w:rsidR="00072A69" w:rsidRPr="007F7D5A" w14:paraId="1F9A7ABD" w14:textId="77777777" w:rsidTr="00AC1F17">
        <w:trPr>
          <w:trHeight w:val="960"/>
        </w:trPr>
        <w:tc>
          <w:tcPr>
            <w:tcW w:w="29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ABE1329"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Predmet</w:t>
            </w:r>
          </w:p>
        </w:tc>
        <w:tc>
          <w:tcPr>
            <w:tcW w:w="319" w:type="pct"/>
            <w:tcBorders>
              <w:top w:val="single" w:sz="4" w:space="0" w:color="auto"/>
              <w:left w:val="nil"/>
              <w:bottom w:val="single" w:sz="4" w:space="0" w:color="auto"/>
              <w:right w:val="single" w:sz="4" w:space="0" w:color="auto"/>
            </w:tcBorders>
            <w:shd w:val="clear" w:color="000000" w:fill="E7E6E6"/>
            <w:vAlign w:val="center"/>
            <w:hideMark/>
          </w:tcPr>
          <w:p w14:paraId="38F1D121"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Ponudnik</w:t>
            </w:r>
          </w:p>
        </w:tc>
        <w:tc>
          <w:tcPr>
            <w:tcW w:w="337" w:type="pct"/>
            <w:tcBorders>
              <w:top w:val="single" w:sz="4" w:space="0" w:color="auto"/>
              <w:left w:val="nil"/>
              <w:bottom w:val="single" w:sz="4" w:space="0" w:color="auto"/>
              <w:right w:val="single" w:sz="4" w:space="0" w:color="auto"/>
            </w:tcBorders>
            <w:shd w:val="clear" w:color="000000" w:fill="E7E6E6"/>
            <w:vAlign w:val="center"/>
            <w:hideMark/>
          </w:tcPr>
          <w:p w14:paraId="2FF0B289"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Št. zelenih naročil</w:t>
            </w:r>
          </w:p>
        </w:tc>
        <w:tc>
          <w:tcPr>
            <w:tcW w:w="409" w:type="pct"/>
            <w:tcBorders>
              <w:top w:val="single" w:sz="4" w:space="0" w:color="auto"/>
              <w:left w:val="nil"/>
              <w:bottom w:val="single" w:sz="4" w:space="0" w:color="auto"/>
              <w:right w:val="single" w:sz="4" w:space="0" w:color="auto"/>
            </w:tcBorders>
            <w:shd w:val="clear" w:color="000000" w:fill="E7E6E6"/>
            <w:vAlign w:val="center"/>
            <w:hideMark/>
          </w:tcPr>
          <w:p w14:paraId="3FFDF98D"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Pogodbena vrednost</w:t>
            </w:r>
          </w:p>
        </w:tc>
        <w:tc>
          <w:tcPr>
            <w:tcW w:w="337" w:type="pct"/>
            <w:tcBorders>
              <w:top w:val="single" w:sz="4" w:space="0" w:color="auto"/>
              <w:left w:val="nil"/>
              <w:bottom w:val="single" w:sz="4" w:space="0" w:color="auto"/>
              <w:right w:val="single" w:sz="4" w:space="0" w:color="auto"/>
            </w:tcBorders>
            <w:shd w:val="clear" w:color="000000" w:fill="E7E6E6"/>
            <w:vAlign w:val="center"/>
            <w:hideMark/>
          </w:tcPr>
          <w:p w14:paraId="0D5B7084"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Delež v št. zelenih naročil</w:t>
            </w:r>
          </w:p>
        </w:tc>
        <w:tc>
          <w:tcPr>
            <w:tcW w:w="423" w:type="pct"/>
            <w:tcBorders>
              <w:top w:val="single" w:sz="4" w:space="0" w:color="auto"/>
              <w:left w:val="nil"/>
              <w:bottom w:val="single" w:sz="4" w:space="0" w:color="auto"/>
              <w:right w:val="single" w:sz="4" w:space="0" w:color="auto"/>
            </w:tcBorders>
            <w:shd w:val="clear" w:color="000000" w:fill="E7E6E6"/>
            <w:vAlign w:val="center"/>
            <w:hideMark/>
          </w:tcPr>
          <w:p w14:paraId="07F826B6"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Delež v vrednosti zelenih naročil</w:t>
            </w:r>
          </w:p>
        </w:tc>
        <w:tc>
          <w:tcPr>
            <w:tcW w:w="423" w:type="pct"/>
            <w:tcBorders>
              <w:top w:val="single" w:sz="4" w:space="0" w:color="auto"/>
              <w:left w:val="nil"/>
              <w:bottom w:val="single" w:sz="4" w:space="0" w:color="auto"/>
              <w:right w:val="single" w:sz="4" w:space="0" w:color="auto"/>
            </w:tcBorders>
            <w:shd w:val="clear" w:color="000000" w:fill="E7E6E6"/>
            <w:vAlign w:val="center"/>
            <w:hideMark/>
          </w:tcPr>
          <w:p w14:paraId="55F1D4C7"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Delež v št. vseh naročil</w:t>
            </w:r>
          </w:p>
        </w:tc>
        <w:tc>
          <w:tcPr>
            <w:tcW w:w="403" w:type="pct"/>
            <w:tcBorders>
              <w:top w:val="single" w:sz="4" w:space="0" w:color="auto"/>
              <w:left w:val="nil"/>
              <w:bottom w:val="single" w:sz="4" w:space="0" w:color="auto"/>
              <w:right w:val="single" w:sz="4" w:space="0" w:color="auto"/>
            </w:tcBorders>
            <w:shd w:val="clear" w:color="000000" w:fill="E7E6E6"/>
            <w:vAlign w:val="center"/>
            <w:hideMark/>
          </w:tcPr>
          <w:p w14:paraId="397CCD21"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Delež v vrednosti vseh naročil</w:t>
            </w:r>
          </w:p>
        </w:tc>
        <w:tc>
          <w:tcPr>
            <w:tcW w:w="1009" w:type="pct"/>
            <w:tcBorders>
              <w:top w:val="single" w:sz="4" w:space="0" w:color="auto"/>
              <w:left w:val="nil"/>
              <w:bottom w:val="single" w:sz="4" w:space="0" w:color="auto"/>
              <w:right w:val="single" w:sz="4" w:space="0" w:color="auto"/>
            </w:tcBorders>
            <w:shd w:val="clear" w:color="000000" w:fill="E7E6E6"/>
            <w:vAlign w:val="center"/>
            <w:hideMark/>
          </w:tcPr>
          <w:p w14:paraId="03D647FA"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Delež v št. istovrstnih naročil</w:t>
            </w:r>
          </w:p>
        </w:tc>
        <w:tc>
          <w:tcPr>
            <w:tcW w:w="1046" w:type="pct"/>
            <w:tcBorders>
              <w:top w:val="single" w:sz="4" w:space="0" w:color="auto"/>
              <w:left w:val="nil"/>
              <w:bottom w:val="single" w:sz="4" w:space="0" w:color="auto"/>
              <w:right w:val="single" w:sz="4" w:space="0" w:color="auto"/>
            </w:tcBorders>
            <w:shd w:val="clear" w:color="000000" w:fill="E7E6E6"/>
            <w:vAlign w:val="center"/>
            <w:hideMark/>
          </w:tcPr>
          <w:p w14:paraId="4E940541"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 xml:space="preserve">Delež v vrednosti istovrstnih </w:t>
            </w:r>
            <w:proofErr w:type="spellStart"/>
            <w:r w:rsidRPr="007F7D5A">
              <w:rPr>
                <w:rFonts w:ascii="Arial" w:eastAsia="Times New Roman" w:hAnsi="Arial" w:cs="Arial"/>
                <w:color w:val="000000"/>
                <w:sz w:val="18"/>
                <w:szCs w:val="18"/>
                <w:lang w:eastAsia="sl-SI"/>
              </w:rPr>
              <w:t>nročil</w:t>
            </w:r>
            <w:proofErr w:type="spellEnd"/>
          </w:p>
        </w:tc>
      </w:tr>
      <w:tr w:rsidR="00072A69" w:rsidRPr="007F7D5A" w14:paraId="427CA0E6" w14:textId="77777777" w:rsidTr="00AC1F17">
        <w:trPr>
          <w:trHeight w:val="300"/>
        </w:trPr>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14:paraId="04635C43"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Blago</w:t>
            </w:r>
          </w:p>
        </w:tc>
        <w:tc>
          <w:tcPr>
            <w:tcW w:w="319" w:type="pct"/>
            <w:tcBorders>
              <w:top w:val="nil"/>
              <w:left w:val="nil"/>
              <w:bottom w:val="single" w:sz="4" w:space="0" w:color="auto"/>
              <w:right w:val="single" w:sz="4" w:space="0" w:color="auto"/>
            </w:tcBorders>
            <w:shd w:val="clear" w:color="auto" w:fill="auto"/>
            <w:vAlign w:val="center"/>
            <w:hideMark/>
          </w:tcPr>
          <w:p w14:paraId="72D72145" w14:textId="77777777" w:rsidR="00072A69" w:rsidRPr="007F7D5A" w:rsidRDefault="00072A69" w:rsidP="00AC1F17">
            <w:pPr>
              <w:spacing w:after="0" w:line="240" w:lineRule="auto"/>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Slovenija</w:t>
            </w:r>
          </w:p>
        </w:tc>
        <w:tc>
          <w:tcPr>
            <w:tcW w:w="337" w:type="pct"/>
            <w:tcBorders>
              <w:top w:val="nil"/>
              <w:left w:val="nil"/>
              <w:bottom w:val="single" w:sz="4" w:space="0" w:color="auto"/>
              <w:right w:val="single" w:sz="4" w:space="0" w:color="auto"/>
            </w:tcBorders>
            <w:shd w:val="clear" w:color="auto" w:fill="auto"/>
            <w:vAlign w:val="center"/>
            <w:hideMark/>
          </w:tcPr>
          <w:p w14:paraId="42245757"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4.730</w:t>
            </w:r>
          </w:p>
        </w:tc>
        <w:tc>
          <w:tcPr>
            <w:tcW w:w="409" w:type="pct"/>
            <w:tcBorders>
              <w:top w:val="nil"/>
              <w:left w:val="nil"/>
              <w:bottom w:val="single" w:sz="4" w:space="0" w:color="auto"/>
              <w:right w:val="single" w:sz="4" w:space="0" w:color="auto"/>
            </w:tcBorders>
            <w:shd w:val="clear" w:color="auto" w:fill="auto"/>
            <w:vAlign w:val="center"/>
            <w:hideMark/>
          </w:tcPr>
          <w:p w14:paraId="07378771"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206.842.988</w:t>
            </w:r>
          </w:p>
        </w:tc>
        <w:tc>
          <w:tcPr>
            <w:tcW w:w="337" w:type="pct"/>
            <w:tcBorders>
              <w:top w:val="nil"/>
              <w:left w:val="nil"/>
              <w:bottom w:val="single" w:sz="4" w:space="0" w:color="auto"/>
              <w:right w:val="single" w:sz="4" w:space="0" w:color="auto"/>
            </w:tcBorders>
            <w:shd w:val="clear" w:color="auto" w:fill="auto"/>
            <w:noWrap/>
            <w:vAlign w:val="center"/>
            <w:hideMark/>
          </w:tcPr>
          <w:p w14:paraId="78539D90"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81,96</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3AD0A143"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36,98</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70C75C3B"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28,05</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2B2A3BEB"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7,09</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E498336"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99,92</w:t>
            </w:r>
            <w:r>
              <w:rPr>
                <w:rFonts w:ascii="Arial" w:eastAsia="Times New Roman" w:hAnsi="Arial" w:cs="Arial"/>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353B641E" w14:textId="57E186CF"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99,84</w:t>
            </w:r>
            <w:r w:rsidR="004E0797">
              <w:rPr>
                <w:rFonts w:ascii="Arial" w:eastAsia="Times New Roman" w:hAnsi="Arial" w:cs="Arial"/>
                <w:color w:val="000000"/>
                <w:sz w:val="18"/>
                <w:szCs w:val="18"/>
                <w:lang w:eastAsia="sl-SI"/>
              </w:rPr>
              <w:t xml:space="preserve"> </w:t>
            </w:r>
            <w:r w:rsidRPr="007F7D5A">
              <w:rPr>
                <w:rFonts w:ascii="Arial" w:eastAsia="Times New Roman" w:hAnsi="Arial" w:cs="Arial"/>
                <w:color w:val="000000"/>
                <w:sz w:val="18"/>
                <w:szCs w:val="18"/>
                <w:lang w:eastAsia="sl-SI"/>
              </w:rPr>
              <w:t>%</w:t>
            </w:r>
          </w:p>
        </w:tc>
      </w:tr>
      <w:tr w:rsidR="00072A69" w:rsidRPr="007F7D5A" w14:paraId="2A30518A" w14:textId="77777777" w:rsidTr="00AC1F17">
        <w:trPr>
          <w:trHeight w:val="300"/>
        </w:trPr>
        <w:tc>
          <w:tcPr>
            <w:tcW w:w="294" w:type="pct"/>
            <w:vMerge/>
            <w:tcBorders>
              <w:top w:val="nil"/>
              <w:left w:val="single" w:sz="4" w:space="0" w:color="auto"/>
              <w:bottom w:val="single" w:sz="4" w:space="0" w:color="auto"/>
              <w:right w:val="single" w:sz="4" w:space="0" w:color="auto"/>
            </w:tcBorders>
            <w:vAlign w:val="center"/>
            <w:hideMark/>
          </w:tcPr>
          <w:p w14:paraId="423574C4" w14:textId="77777777" w:rsidR="00072A69" w:rsidRPr="007F7D5A" w:rsidRDefault="00072A69" w:rsidP="00AC1F17">
            <w:pPr>
              <w:spacing w:after="0" w:line="240" w:lineRule="auto"/>
              <w:rPr>
                <w:rFonts w:ascii="Arial" w:eastAsia="Times New Roman" w:hAnsi="Arial" w:cs="Arial"/>
                <w:color w:val="000000"/>
                <w:sz w:val="18"/>
                <w:szCs w:val="18"/>
                <w:lang w:eastAsia="sl-SI"/>
              </w:rPr>
            </w:pPr>
          </w:p>
        </w:tc>
        <w:tc>
          <w:tcPr>
            <w:tcW w:w="319" w:type="pct"/>
            <w:tcBorders>
              <w:top w:val="nil"/>
              <w:left w:val="nil"/>
              <w:bottom w:val="single" w:sz="4" w:space="0" w:color="auto"/>
              <w:right w:val="single" w:sz="4" w:space="0" w:color="auto"/>
            </w:tcBorders>
            <w:shd w:val="clear" w:color="auto" w:fill="auto"/>
            <w:vAlign w:val="center"/>
            <w:hideMark/>
          </w:tcPr>
          <w:p w14:paraId="17CD5B8C" w14:textId="77777777" w:rsidR="00072A69" w:rsidRPr="007F7D5A" w:rsidRDefault="00072A69" w:rsidP="00AC1F17">
            <w:pPr>
              <w:spacing w:after="0" w:line="240" w:lineRule="auto"/>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EU</w:t>
            </w:r>
          </w:p>
        </w:tc>
        <w:tc>
          <w:tcPr>
            <w:tcW w:w="337" w:type="pct"/>
            <w:tcBorders>
              <w:top w:val="nil"/>
              <w:left w:val="nil"/>
              <w:bottom w:val="single" w:sz="4" w:space="0" w:color="auto"/>
              <w:right w:val="single" w:sz="4" w:space="0" w:color="auto"/>
            </w:tcBorders>
            <w:shd w:val="clear" w:color="auto" w:fill="auto"/>
            <w:vAlign w:val="center"/>
            <w:hideMark/>
          </w:tcPr>
          <w:p w14:paraId="3C3DC341"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4</w:t>
            </w:r>
          </w:p>
        </w:tc>
        <w:tc>
          <w:tcPr>
            <w:tcW w:w="409" w:type="pct"/>
            <w:tcBorders>
              <w:top w:val="nil"/>
              <w:left w:val="nil"/>
              <w:bottom w:val="single" w:sz="4" w:space="0" w:color="auto"/>
              <w:right w:val="single" w:sz="4" w:space="0" w:color="auto"/>
            </w:tcBorders>
            <w:shd w:val="clear" w:color="auto" w:fill="auto"/>
            <w:vAlign w:val="center"/>
            <w:hideMark/>
          </w:tcPr>
          <w:p w14:paraId="287873B3"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324.650</w:t>
            </w:r>
          </w:p>
        </w:tc>
        <w:tc>
          <w:tcPr>
            <w:tcW w:w="337" w:type="pct"/>
            <w:tcBorders>
              <w:top w:val="nil"/>
              <w:left w:val="nil"/>
              <w:bottom w:val="single" w:sz="4" w:space="0" w:color="auto"/>
              <w:right w:val="single" w:sz="4" w:space="0" w:color="auto"/>
            </w:tcBorders>
            <w:shd w:val="clear" w:color="auto" w:fill="auto"/>
            <w:noWrap/>
            <w:vAlign w:val="center"/>
            <w:hideMark/>
          </w:tcPr>
          <w:p w14:paraId="2FFB60C3"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59BBDE4C"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74BF210"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57920B3B"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8C5B1D9"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73449C62" w14:textId="01FDA120"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0,16</w:t>
            </w:r>
            <w:r w:rsidR="004E0797">
              <w:rPr>
                <w:rFonts w:ascii="Arial" w:eastAsia="Times New Roman" w:hAnsi="Arial" w:cs="Arial"/>
                <w:color w:val="000000"/>
                <w:sz w:val="18"/>
                <w:szCs w:val="18"/>
                <w:lang w:eastAsia="sl-SI"/>
              </w:rPr>
              <w:t xml:space="preserve"> </w:t>
            </w:r>
            <w:r w:rsidRPr="007F7D5A">
              <w:rPr>
                <w:rFonts w:ascii="Arial" w:eastAsia="Times New Roman" w:hAnsi="Arial" w:cs="Arial"/>
                <w:color w:val="000000"/>
                <w:sz w:val="18"/>
                <w:szCs w:val="18"/>
                <w:lang w:eastAsia="sl-SI"/>
              </w:rPr>
              <w:t>%</w:t>
            </w:r>
          </w:p>
        </w:tc>
      </w:tr>
      <w:tr w:rsidR="00072A69" w:rsidRPr="007F7D5A" w14:paraId="1869F231" w14:textId="77777777" w:rsidTr="00AC1F17">
        <w:trPr>
          <w:trHeight w:val="300"/>
        </w:trPr>
        <w:tc>
          <w:tcPr>
            <w:tcW w:w="294" w:type="pct"/>
            <w:vMerge/>
            <w:tcBorders>
              <w:top w:val="nil"/>
              <w:left w:val="single" w:sz="4" w:space="0" w:color="auto"/>
              <w:bottom w:val="single" w:sz="4" w:space="0" w:color="auto"/>
              <w:right w:val="single" w:sz="4" w:space="0" w:color="auto"/>
            </w:tcBorders>
            <w:vAlign w:val="center"/>
            <w:hideMark/>
          </w:tcPr>
          <w:p w14:paraId="1AB4F161" w14:textId="77777777" w:rsidR="00072A69" w:rsidRPr="007F7D5A" w:rsidRDefault="00072A69" w:rsidP="00AC1F17">
            <w:pPr>
              <w:spacing w:after="0" w:line="240" w:lineRule="auto"/>
              <w:rPr>
                <w:rFonts w:ascii="Arial" w:eastAsia="Times New Roman" w:hAnsi="Arial" w:cs="Arial"/>
                <w:color w:val="000000"/>
                <w:sz w:val="18"/>
                <w:szCs w:val="18"/>
                <w:lang w:eastAsia="sl-SI"/>
              </w:rPr>
            </w:pPr>
          </w:p>
        </w:tc>
        <w:tc>
          <w:tcPr>
            <w:tcW w:w="319" w:type="pct"/>
            <w:tcBorders>
              <w:top w:val="nil"/>
              <w:left w:val="nil"/>
              <w:bottom w:val="single" w:sz="4" w:space="0" w:color="auto"/>
              <w:right w:val="single" w:sz="4" w:space="0" w:color="auto"/>
            </w:tcBorders>
            <w:shd w:val="clear" w:color="auto" w:fill="auto"/>
            <w:vAlign w:val="center"/>
            <w:hideMark/>
          </w:tcPr>
          <w:p w14:paraId="2A9CCC57" w14:textId="77777777" w:rsidR="00072A69" w:rsidRPr="007F7D5A" w:rsidRDefault="00072A69" w:rsidP="00AC1F17">
            <w:pPr>
              <w:spacing w:after="0" w:line="240" w:lineRule="auto"/>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Skupaj</w:t>
            </w:r>
          </w:p>
        </w:tc>
        <w:tc>
          <w:tcPr>
            <w:tcW w:w="337" w:type="pct"/>
            <w:tcBorders>
              <w:top w:val="nil"/>
              <w:left w:val="nil"/>
              <w:bottom w:val="single" w:sz="4" w:space="0" w:color="auto"/>
              <w:right w:val="single" w:sz="4" w:space="0" w:color="auto"/>
            </w:tcBorders>
            <w:shd w:val="clear" w:color="auto" w:fill="auto"/>
            <w:vAlign w:val="center"/>
            <w:hideMark/>
          </w:tcPr>
          <w:p w14:paraId="5C57DEA0"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4.734</w:t>
            </w:r>
          </w:p>
        </w:tc>
        <w:tc>
          <w:tcPr>
            <w:tcW w:w="409" w:type="pct"/>
            <w:tcBorders>
              <w:top w:val="nil"/>
              <w:left w:val="nil"/>
              <w:bottom w:val="single" w:sz="4" w:space="0" w:color="auto"/>
              <w:right w:val="single" w:sz="4" w:space="0" w:color="auto"/>
            </w:tcBorders>
            <w:shd w:val="clear" w:color="auto" w:fill="auto"/>
            <w:vAlign w:val="center"/>
            <w:hideMark/>
          </w:tcPr>
          <w:p w14:paraId="320482BB"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207.167.638</w:t>
            </w:r>
          </w:p>
        </w:tc>
        <w:tc>
          <w:tcPr>
            <w:tcW w:w="337" w:type="pct"/>
            <w:tcBorders>
              <w:top w:val="nil"/>
              <w:left w:val="nil"/>
              <w:bottom w:val="single" w:sz="4" w:space="0" w:color="auto"/>
              <w:right w:val="single" w:sz="4" w:space="0" w:color="auto"/>
            </w:tcBorders>
            <w:shd w:val="clear" w:color="auto" w:fill="auto"/>
            <w:noWrap/>
            <w:vAlign w:val="center"/>
            <w:hideMark/>
          </w:tcPr>
          <w:p w14:paraId="72181B45"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82,03</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21DB1004"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37,03</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6C023D4C"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28,07</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2CF67044"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7,10</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53DAAA9"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29C8D396" w14:textId="7A1AE7A4"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sidR="004E0797">
              <w:rPr>
                <w:rFonts w:ascii="Arial" w:eastAsia="Times New Roman" w:hAnsi="Arial" w:cs="Arial"/>
                <w:b/>
                <w:bCs/>
                <w:color w:val="000000"/>
                <w:sz w:val="18"/>
                <w:szCs w:val="18"/>
                <w:lang w:eastAsia="sl-SI"/>
              </w:rPr>
              <w:t xml:space="preserve"> </w:t>
            </w:r>
            <w:r w:rsidRPr="007F7D5A">
              <w:rPr>
                <w:rFonts w:ascii="Arial" w:eastAsia="Times New Roman" w:hAnsi="Arial" w:cs="Arial"/>
                <w:b/>
                <w:bCs/>
                <w:color w:val="000000"/>
                <w:sz w:val="18"/>
                <w:szCs w:val="18"/>
                <w:lang w:eastAsia="sl-SI"/>
              </w:rPr>
              <w:t>%</w:t>
            </w:r>
          </w:p>
        </w:tc>
      </w:tr>
      <w:tr w:rsidR="00072A69" w:rsidRPr="007F7D5A" w14:paraId="2240E4EE" w14:textId="77777777" w:rsidTr="00AC1F17">
        <w:trPr>
          <w:trHeight w:val="300"/>
        </w:trPr>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14:paraId="337D0D54"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Storitve</w:t>
            </w:r>
          </w:p>
        </w:tc>
        <w:tc>
          <w:tcPr>
            <w:tcW w:w="319" w:type="pct"/>
            <w:tcBorders>
              <w:top w:val="nil"/>
              <w:left w:val="nil"/>
              <w:bottom w:val="single" w:sz="4" w:space="0" w:color="auto"/>
              <w:right w:val="single" w:sz="4" w:space="0" w:color="auto"/>
            </w:tcBorders>
            <w:shd w:val="clear" w:color="auto" w:fill="auto"/>
            <w:vAlign w:val="center"/>
            <w:hideMark/>
          </w:tcPr>
          <w:p w14:paraId="5F752CF3" w14:textId="77777777" w:rsidR="00072A69" w:rsidRPr="007F7D5A" w:rsidRDefault="00072A69" w:rsidP="00AC1F17">
            <w:pPr>
              <w:spacing w:after="0" w:line="240" w:lineRule="auto"/>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Slovenija</w:t>
            </w:r>
          </w:p>
        </w:tc>
        <w:tc>
          <w:tcPr>
            <w:tcW w:w="337" w:type="pct"/>
            <w:tcBorders>
              <w:top w:val="nil"/>
              <w:left w:val="nil"/>
              <w:bottom w:val="single" w:sz="4" w:space="0" w:color="auto"/>
              <w:right w:val="single" w:sz="4" w:space="0" w:color="auto"/>
            </w:tcBorders>
            <w:shd w:val="clear" w:color="auto" w:fill="auto"/>
            <w:vAlign w:val="center"/>
            <w:hideMark/>
          </w:tcPr>
          <w:p w14:paraId="2D4A5386"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472</w:t>
            </w:r>
          </w:p>
        </w:tc>
        <w:tc>
          <w:tcPr>
            <w:tcW w:w="409" w:type="pct"/>
            <w:tcBorders>
              <w:top w:val="nil"/>
              <w:left w:val="nil"/>
              <w:bottom w:val="single" w:sz="4" w:space="0" w:color="auto"/>
              <w:right w:val="single" w:sz="4" w:space="0" w:color="auto"/>
            </w:tcBorders>
            <w:shd w:val="clear" w:color="auto" w:fill="auto"/>
            <w:vAlign w:val="center"/>
            <w:hideMark/>
          </w:tcPr>
          <w:p w14:paraId="17730F14"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72.579.696</w:t>
            </w:r>
          </w:p>
        </w:tc>
        <w:tc>
          <w:tcPr>
            <w:tcW w:w="337" w:type="pct"/>
            <w:tcBorders>
              <w:top w:val="nil"/>
              <w:left w:val="nil"/>
              <w:bottom w:val="single" w:sz="4" w:space="0" w:color="auto"/>
              <w:right w:val="single" w:sz="4" w:space="0" w:color="auto"/>
            </w:tcBorders>
            <w:shd w:val="clear" w:color="auto" w:fill="auto"/>
            <w:noWrap/>
            <w:vAlign w:val="center"/>
            <w:hideMark/>
          </w:tcPr>
          <w:p w14:paraId="34162C1C"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8,18</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51A710B4"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12,97</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1389DC3"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2,80</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4409098C"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2,49</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9C0132E"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99,37</w:t>
            </w:r>
            <w:r>
              <w:rPr>
                <w:rFonts w:ascii="Arial" w:eastAsia="Times New Roman" w:hAnsi="Arial" w:cs="Arial"/>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48ACA4F3" w14:textId="7535866C"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98,26</w:t>
            </w:r>
            <w:r w:rsidR="004E0797">
              <w:rPr>
                <w:rFonts w:ascii="Arial" w:eastAsia="Times New Roman" w:hAnsi="Arial" w:cs="Arial"/>
                <w:color w:val="000000"/>
                <w:sz w:val="18"/>
                <w:szCs w:val="18"/>
                <w:lang w:eastAsia="sl-SI"/>
              </w:rPr>
              <w:t xml:space="preserve"> </w:t>
            </w:r>
            <w:r w:rsidRPr="007F7D5A">
              <w:rPr>
                <w:rFonts w:ascii="Arial" w:eastAsia="Times New Roman" w:hAnsi="Arial" w:cs="Arial"/>
                <w:color w:val="000000"/>
                <w:sz w:val="18"/>
                <w:szCs w:val="18"/>
                <w:lang w:eastAsia="sl-SI"/>
              </w:rPr>
              <w:t>%</w:t>
            </w:r>
          </w:p>
        </w:tc>
      </w:tr>
      <w:tr w:rsidR="00072A69" w:rsidRPr="007F7D5A" w14:paraId="3EA4BDEC" w14:textId="77777777" w:rsidTr="00AC1F17">
        <w:trPr>
          <w:trHeight w:val="300"/>
        </w:trPr>
        <w:tc>
          <w:tcPr>
            <w:tcW w:w="294" w:type="pct"/>
            <w:vMerge/>
            <w:tcBorders>
              <w:top w:val="nil"/>
              <w:left w:val="single" w:sz="4" w:space="0" w:color="auto"/>
              <w:bottom w:val="single" w:sz="4" w:space="0" w:color="auto"/>
              <w:right w:val="single" w:sz="4" w:space="0" w:color="auto"/>
            </w:tcBorders>
            <w:vAlign w:val="center"/>
            <w:hideMark/>
          </w:tcPr>
          <w:p w14:paraId="2E9B5275" w14:textId="77777777" w:rsidR="00072A69" w:rsidRPr="007F7D5A" w:rsidRDefault="00072A69" w:rsidP="00AC1F17">
            <w:pPr>
              <w:spacing w:after="0" w:line="240" w:lineRule="auto"/>
              <w:rPr>
                <w:rFonts w:ascii="Arial" w:eastAsia="Times New Roman" w:hAnsi="Arial" w:cs="Arial"/>
                <w:color w:val="000000"/>
                <w:sz w:val="18"/>
                <w:szCs w:val="18"/>
                <w:lang w:eastAsia="sl-SI"/>
              </w:rPr>
            </w:pPr>
          </w:p>
        </w:tc>
        <w:tc>
          <w:tcPr>
            <w:tcW w:w="319" w:type="pct"/>
            <w:tcBorders>
              <w:top w:val="nil"/>
              <w:left w:val="nil"/>
              <w:bottom w:val="single" w:sz="4" w:space="0" w:color="auto"/>
              <w:right w:val="single" w:sz="4" w:space="0" w:color="auto"/>
            </w:tcBorders>
            <w:shd w:val="clear" w:color="auto" w:fill="auto"/>
            <w:vAlign w:val="center"/>
            <w:hideMark/>
          </w:tcPr>
          <w:p w14:paraId="17B71DBC" w14:textId="77777777" w:rsidR="00072A69" w:rsidRPr="007F7D5A" w:rsidRDefault="00072A69" w:rsidP="00AC1F17">
            <w:pPr>
              <w:spacing w:after="0" w:line="240" w:lineRule="auto"/>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EU</w:t>
            </w:r>
          </w:p>
        </w:tc>
        <w:tc>
          <w:tcPr>
            <w:tcW w:w="337" w:type="pct"/>
            <w:tcBorders>
              <w:top w:val="nil"/>
              <w:left w:val="nil"/>
              <w:bottom w:val="single" w:sz="4" w:space="0" w:color="auto"/>
              <w:right w:val="single" w:sz="4" w:space="0" w:color="auto"/>
            </w:tcBorders>
            <w:shd w:val="clear" w:color="auto" w:fill="auto"/>
            <w:vAlign w:val="center"/>
            <w:hideMark/>
          </w:tcPr>
          <w:p w14:paraId="66FC76DB"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3</w:t>
            </w:r>
          </w:p>
        </w:tc>
        <w:tc>
          <w:tcPr>
            <w:tcW w:w="409" w:type="pct"/>
            <w:tcBorders>
              <w:top w:val="nil"/>
              <w:left w:val="nil"/>
              <w:bottom w:val="single" w:sz="4" w:space="0" w:color="auto"/>
              <w:right w:val="single" w:sz="4" w:space="0" w:color="auto"/>
            </w:tcBorders>
            <w:shd w:val="clear" w:color="auto" w:fill="auto"/>
            <w:vAlign w:val="center"/>
            <w:hideMark/>
          </w:tcPr>
          <w:p w14:paraId="7E68AD49"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1.285.400</w:t>
            </w:r>
          </w:p>
        </w:tc>
        <w:tc>
          <w:tcPr>
            <w:tcW w:w="337" w:type="pct"/>
            <w:tcBorders>
              <w:top w:val="nil"/>
              <w:left w:val="nil"/>
              <w:bottom w:val="single" w:sz="4" w:space="0" w:color="auto"/>
              <w:right w:val="single" w:sz="4" w:space="0" w:color="auto"/>
            </w:tcBorders>
            <w:shd w:val="clear" w:color="auto" w:fill="auto"/>
            <w:noWrap/>
            <w:vAlign w:val="center"/>
            <w:hideMark/>
          </w:tcPr>
          <w:p w14:paraId="10CCC1C8"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A32DDAA"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2C6E8B97"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27EDE89D"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6D0190D2"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701DB48F" w14:textId="2172DA24"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1,74</w:t>
            </w:r>
            <w:r w:rsidR="004E0797">
              <w:rPr>
                <w:rFonts w:ascii="Arial" w:eastAsia="Times New Roman" w:hAnsi="Arial" w:cs="Arial"/>
                <w:color w:val="000000"/>
                <w:sz w:val="18"/>
                <w:szCs w:val="18"/>
                <w:lang w:eastAsia="sl-SI"/>
              </w:rPr>
              <w:t xml:space="preserve"> </w:t>
            </w:r>
            <w:r w:rsidRPr="007F7D5A">
              <w:rPr>
                <w:rFonts w:ascii="Arial" w:eastAsia="Times New Roman" w:hAnsi="Arial" w:cs="Arial"/>
                <w:color w:val="000000"/>
                <w:sz w:val="18"/>
                <w:szCs w:val="18"/>
                <w:lang w:eastAsia="sl-SI"/>
              </w:rPr>
              <w:t>%</w:t>
            </w:r>
          </w:p>
        </w:tc>
      </w:tr>
      <w:tr w:rsidR="00072A69" w:rsidRPr="007F7D5A" w14:paraId="272D3678" w14:textId="77777777" w:rsidTr="00AC1F17">
        <w:trPr>
          <w:trHeight w:val="300"/>
        </w:trPr>
        <w:tc>
          <w:tcPr>
            <w:tcW w:w="294" w:type="pct"/>
            <w:vMerge/>
            <w:tcBorders>
              <w:top w:val="nil"/>
              <w:left w:val="single" w:sz="4" w:space="0" w:color="auto"/>
              <w:bottom w:val="single" w:sz="4" w:space="0" w:color="auto"/>
              <w:right w:val="single" w:sz="4" w:space="0" w:color="auto"/>
            </w:tcBorders>
            <w:vAlign w:val="center"/>
            <w:hideMark/>
          </w:tcPr>
          <w:p w14:paraId="5116D6D5" w14:textId="77777777" w:rsidR="00072A69" w:rsidRPr="007F7D5A" w:rsidRDefault="00072A69" w:rsidP="00AC1F17">
            <w:pPr>
              <w:spacing w:after="0" w:line="240" w:lineRule="auto"/>
              <w:rPr>
                <w:rFonts w:ascii="Arial" w:eastAsia="Times New Roman" w:hAnsi="Arial" w:cs="Arial"/>
                <w:color w:val="000000"/>
                <w:sz w:val="18"/>
                <w:szCs w:val="18"/>
                <w:lang w:eastAsia="sl-SI"/>
              </w:rPr>
            </w:pPr>
          </w:p>
        </w:tc>
        <w:tc>
          <w:tcPr>
            <w:tcW w:w="319" w:type="pct"/>
            <w:tcBorders>
              <w:top w:val="nil"/>
              <w:left w:val="nil"/>
              <w:bottom w:val="single" w:sz="4" w:space="0" w:color="auto"/>
              <w:right w:val="single" w:sz="4" w:space="0" w:color="auto"/>
            </w:tcBorders>
            <w:shd w:val="clear" w:color="auto" w:fill="auto"/>
            <w:vAlign w:val="center"/>
            <w:hideMark/>
          </w:tcPr>
          <w:p w14:paraId="743C89E2" w14:textId="77777777" w:rsidR="00072A69" w:rsidRPr="007F7D5A" w:rsidRDefault="00072A69" w:rsidP="00AC1F17">
            <w:pPr>
              <w:spacing w:after="0" w:line="240" w:lineRule="auto"/>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Skupaj</w:t>
            </w:r>
          </w:p>
        </w:tc>
        <w:tc>
          <w:tcPr>
            <w:tcW w:w="337" w:type="pct"/>
            <w:tcBorders>
              <w:top w:val="nil"/>
              <w:left w:val="nil"/>
              <w:bottom w:val="single" w:sz="4" w:space="0" w:color="auto"/>
              <w:right w:val="single" w:sz="4" w:space="0" w:color="auto"/>
            </w:tcBorders>
            <w:shd w:val="clear" w:color="auto" w:fill="auto"/>
            <w:vAlign w:val="center"/>
            <w:hideMark/>
          </w:tcPr>
          <w:p w14:paraId="5182A181"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475</w:t>
            </w:r>
          </w:p>
        </w:tc>
        <w:tc>
          <w:tcPr>
            <w:tcW w:w="409" w:type="pct"/>
            <w:tcBorders>
              <w:top w:val="nil"/>
              <w:left w:val="nil"/>
              <w:bottom w:val="single" w:sz="4" w:space="0" w:color="auto"/>
              <w:right w:val="single" w:sz="4" w:space="0" w:color="auto"/>
            </w:tcBorders>
            <w:shd w:val="clear" w:color="auto" w:fill="auto"/>
            <w:vAlign w:val="center"/>
            <w:hideMark/>
          </w:tcPr>
          <w:p w14:paraId="1B7ABC30"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73.865.096</w:t>
            </w:r>
          </w:p>
        </w:tc>
        <w:tc>
          <w:tcPr>
            <w:tcW w:w="337" w:type="pct"/>
            <w:tcBorders>
              <w:top w:val="nil"/>
              <w:left w:val="nil"/>
              <w:bottom w:val="single" w:sz="4" w:space="0" w:color="auto"/>
              <w:right w:val="single" w:sz="4" w:space="0" w:color="auto"/>
            </w:tcBorders>
            <w:shd w:val="clear" w:color="auto" w:fill="auto"/>
            <w:noWrap/>
            <w:vAlign w:val="center"/>
            <w:hideMark/>
          </w:tcPr>
          <w:p w14:paraId="4E924D9C"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8,23</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5DB84125"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13,20</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00A822BB"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2,82</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4D48FDD4"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2,53</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43E9A11"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70A93A44" w14:textId="4E276920"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sidR="004E0797">
              <w:rPr>
                <w:rFonts w:ascii="Arial" w:eastAsia="Times New Roman" w:hAnsi="Arial" w:cs="Arial"/>
                <w:b/>
                <w:bCs/>
                <w:color w:val="000000"/>
                <w:sz w:val="18"/>
                <w:szCs w:val="18"/>
                <w:lang w:eastAsia="sl-SI"/>
              </w:rPr>
              <w:t xml:space="preserve"> </w:t>
            </w:r>
            <w:r w:rsidRPr="007F7D5A">
              <w:rPr>
                <w:rFonts w:ascii="Arial" w:eastAsia="Times New Roman" w:hAnsi="Arial" w:cs="Arial"/>
                <w:b/>
                <w:bCs/>
                <w:color w:val="000000"/>
                <w:sz w:val="18"/>
                <w:szCs w:val="18"/>
                <w:lang w:eastAsia="sl-SI"/>
              </w:rPr>
              <w:t>%</w:t>
            </w:r>
          </w:p>
        </w:tc>
      </w:tr>
      <w:tr w:rsidR="00072A69" w:rsidRPr="007F7D5A" w14:paraId="4EFB6C09" w14:textId="77777777" w:rsidTr="00AC1F17">
        <w:trPr>
          <w:trHeight w:val="300"/>
        </w:trPr>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14:paraId="0C8F6580" w14:textId="77777777" w:rsidR="00072A69" w:rsidRPr="007F7D5A" w:rsidRDefault="00072A69" w:rsidP="00AC1F17">
            <w:pPr>
              <w:spacing w:after="0" w:line="240" w:lineRule="auto"/>
              <w:jc w:val="center"/>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Gradnje</w:t>
            </w:r>
          </w:p>
        </w:tc>
        <w:tc>
          <w:tcPr>
            <w:tcW w:w="319" w:type="pct"/>
            <w:tcBorders>
              <w:top w:val="nil"/>
              <w:left w:val="nil"/>
              <w:bottom w:val="single" w:sz="4" w:space="0" w:color="auto"/>
              <w:right w:val="single" w:sz="4" w:space="0" w:color="auto"/>
            </w:tcBorders>
            <w:shd w:val="clear" w:color="auto" w:fill="auto"/>
            <w:vAlign w:val="center"/>
            <w:hideMark/>
          </w:tcPr>
          <w:p w14:paraId="7435930C" w14:textId="77777777" w:rsidR="00072A69" w:rsidRPr="007F7D5A" w:rsidRDefault="00072A69" w:rsidP="00AC1F17">
            <w:pPr>
              <w:spacing w:after="0" w:line="240" w:lineRule="auto"/>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Slovenija</w:t>
            </w:r>
          </w:p>
        </w:tc>
        <w:tc>
          <w:tcPr>
            <w:tcW w:w="337" w:type="pct"/>
            <w:tcBorders>
              <w:top w:val="nil"/>
              <w:left w:val="nil"/>
              <w:bottom w:val="single" w:sz="4" w:space="0" w:color="auto"/>
              <w:right w:val="single" w:sz="4" w:space="0" w:color="auto"/>
            </w:tcBorders>
            <w:shd w:val="clear" w:color="auto" w:fill="auto"/>
            <w:vAlign w:val="center"/>
            <w:hideMark/>
          </w:tcPr>
          <w:p w14:paraId="4657325D"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560</w:t>
            </w:r>
          </w:p>
        </w:tc>
        <w:tc>
          <w:tcPr>
            <w:tcW w:w="409" w:type="pct"/>
            <w:tcBorders>
              <w:top w:val="nil"/>
              <w:left w:val="nil"/>
              <w:bottom w:val="single" w:sz="4" w:space="0" w:color="auto"/>
              <w:right w:val="single" w:sz="4" w:space="0" w:color="auto"/>
            </w:tcBorders>
            <w:shd w:val="clear" w:color="auto" w:fill="auto"/>
            <w:vAlign w:val="center"/>
            <w:hideMark/>
          </w:tcPr>
          <w:p w14:paraId="1A33EF22"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271.235.870</w:t>
            </w:r>
          </w:p>
        </w:tc>
        <w:tc>
          <w:tcPr>
            <w:tcW w:w="337" w:type="pct"/>
            <w:tcBorders>
              <w:top w:val="nil"/>
              <w:left w:val="nil"/>
              <w:bottom w:val="single" w:sz="4" w:space="0" w:color="auto"/>
              <w:right w:val="single" w:sz="4" w:space="0" w:color="auto"/>
            </w:tcBorders>
            <w:shd w:val="clear" w:color="auto" w:fill="auto"/>
            <w:noWrap/>
            <w:vAlign w:val="center"/>
            <w:hideMark/>
          </w:tcPr>
          <w:p w14:paraId="55699A8E"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9,70</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F5B240F"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48,49</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7683318E"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3,32</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22111A2F"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9,29</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52651D2"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99,64</w:t>
            </w:r>
            <w:r>
              <w:rPr>
                <w:rFonts w:ascii="Arial" w:eastAsia="Times New Roman" w:hAnsi="Arial" w:cs="Arial"/>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2A1DA97A" w14:textId="58F8C67E"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97,44</w:t>
            </w:r>
            <w:r w:rsidR="004E0797">
              <w:rPr>
                <w:rFonts w:ascii="Arial" w:eastAsia="Times New Roman" w:hAnsi="Arial" w:cs="Arial"/>
                <w:color w:val="000000"/>
                <w:sz w:val="18"/>
                <w:szCs w:val="18"/>
                <w:lang w:eastAsia="sl-SI"/>
              </w:rPr>
              <w:t xml:space="preserve"> </w:t>
            </w:r>
            <w:r w:rsidRPr="007F7D5A">
              <w:rPr>
                <w:rFonts w:ascii="Arial" w:eastAsia="Times New Roman" w:hAnsi="Arial" w:cs="Arial"/>
                <w:color w:val="000000"/>
                <w:sz w:val="18"/>
                <w:szCs w:val="18"/>
                <w:lang w:eastAsia="sl-SI"/>
              </w:rPr>
              <w:t>%</w:t>
            </w:r>
          </w:p>
        </w:tc>
      </w:tr>
      <w:tr w:rsidR="00072A69" w:rsidRPr="007F7D5A" w14:paraId="49E3C451" w14:textId="77777777" w:rsidTr="00AC1F17">
        <w:trPr>
          <w:trHeight w:val="300"/>
        </w:trPr>
        <w:tc>
          <w:tcPr>
            <w:tcW w:w="294" w:type="pct"/>
            <w:vMerge/>
            <w:tcBorders>
              <w:top w:val="nil"/>
              <w:left w:val="single" w:sz="4" w:space="0" w:color="auto"/>
              <w:bottom w:val="single" w:sz="4" w:space="0" w:color="auto"/>
              <w:right w:val="single" w:sz="4" w:space="0" w:color="auto"/>
            </w:tcBorders>
            <w:vAlign w:val="center"/>
            <w:hideMark/>
          </w:tcPr>
          <w:p w14:paraId="1E6C7062" w14:textId="77777777" w:rsidR="00072A69" w:rsidRPr="007F7D5A" w:rsidRDefault="00072A69" w:rsidP="00AC1F17">
            <w:pPr>
              <w:spacing w:after="0" w:line="240" w:lineRule="auto"/>
              <w:rPr>
                <w:rFonts w:ascii="Arial" w:eastAsia="Times New Roman" w:hAnsi="Arial" w:cs="Arial"/>
                <w:color w:val="000000"/>
                <w:sz w:val="18"/>
                <w:szCs w:val="18"/>
                <w:lang w:eastAsia="sl-SI"/>
              </w:rPr>
            </w:pPr>
          </w:p>
        </w:tc>
        <w:tc>
          <w:tcPr>
            <w:tcW w:w="319" w:type="pct"/>
            <w:tcBorders>
              <w:top w:val="nil"/>
              <w:left w:val="nil"/>
              <w:bottom w:val="single" w:sz="4" w:space="0" w:color="auto"/>
              <w:right w:val="single" w:sz="4" w:space="0" w:color="auto"/>
            </w:tcBorders>
            <w:shd w:val="clear" w:color="auto" w:fill="auto"/>
            <w:vAlign w:val="center"/>
            <w:hideMark/>
          </w:tcPr>
          <w:p w14:paraId="412034A5" w14:textId="77777777" w:rsidR="00072A69" w:rsidRPr="007F7D5A" w:rsidRDefault="00072A69" w:rsidP="00AC1F17">
            <w:pPr>
              <w:spacing w:after="0" w:line="240" w:lineRule="auto"/>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EU</w:t>
            </w:r>
          </w:p>
        </w:tc>
        <w:tc>
          <w:tcPr>
            <w:tcW w:w="337" w:type="pct"/>
            <w:tcBorders>
              <w:top w:val="nil"/>
              <w:left w:val="nil"/>
              <w:bottom w:val="single" w:sz="4" w:space="0" w:color="auto"/>
              <w:right w:val="single" w:sz="4" w:space="0" w:color="auto"/>
            </w:tcBorders>
            <w:shd w:val="clear" w:color="auto" w:fill="auto"/>
            <w:vAlign w:val="center"/>
            <w:hideMark/>
          </w:tcPr>
          <w:p w14:paraId="0B907E01"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w:t>
            </w:r>
          </w:p>
        </w:tc>
        <w:tc>
          <w:tcPr>
            <w:tcW w:w="409" w:type="pct"/>
            <w:tcBorders>
              <w:top w:val="nil"/>
              <w:left w:val="nil"/>
              <w:bottom w:val="single" w:sz="4" w:space="0" w:color="auto"/>
              <w:right w:val="single" w:sz="4" w:space="0" w:color="auto"/>
            </w:tcBorders>
            <w:shd w:val="clear" w:color="auto" w:fill="auto"/>
            <w:vAlign w:val="center"/>
            <w:hideMark/>
          </w:tcPr>
          <w:p w14:paraId="413E9A98"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7.125.112</w:t>
            </w:r>
          </w:p>
        </w:tc>
        <w:tc>
          <w:tcPr>
            <w:tcW w:w="337" w:type="pct"/>
            <w:tcBorders>
              <w:top w:val="nil"/>
              <w:left w:val="nil"/>
              <w:bottom w:val="single" w:sz="4" w:space="0" w:color="auto"/>
              <w:right w:val="single" w:sz="4" w:space="0" w:color="auto"/>
            </w:tcBorders>
            <w:shd w:val="clear" w:color="auto" w:fill="auto"/>
            <w:noWrap/>
            <w:vAlign w:val="center"/>
            <w:hideMark/>
          </w:tcPr>
          <w:p w14:paraId="19BD95D5"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929D357"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1,27</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749D649A"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55296A65"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30E387AC"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23D8A94D" w14:textId="5AE3AFC1"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2,56</w:t>
            </w:r>
            <w:r w:rsidR="004E0797">
              <w:rPr>
                <w:rFonts w:ascii="Arial" w:eastAsia="Times New Roman" w:hAnsi="Arial" w:cs="Arial"/>
                <w:color w:val="000000"/>
                <w:sz w:val="18"/>
                <w:szCs w:val="18"/>
                <w:lang w:eastAsia="sl-SI"/>
              </w:rPr>
              <w:t xml:space="preserve"> </w:t>
            </w:r>
            <w:r w:rsidRPr="007F7D5A">
              <w:rPr>
                <w:rFonts w:ascii="Arial" w:eastAsia="Times New Roman" w:hAnsi="Arial" w:cs="Arial"/>
                <w:color w:val="000000"/>
                <w:sz w:val="18"/>
                <w:szCs w:val="18"/>
                <w:lang w:eastAsia="sl-SI"/>
              </w:rPr>
              <w:t>%</w:t>
            </w:r>
          </w:p>
        </w:tc>
      </w:tr>
      <w:tr w:rsidR="00072A69" w:rsidRPr="007F7D5A" w14:paraId="15733A61" w14:textId="77777777" w:rsidTr="00AC1F17">
        <w:trPr>
          <w:trHeight w:val="300"/>
        </w:trPr>
        <w:tc>
          <w:tcPr>
            <w:tcW w:w="294" w:type="pct"/>
            <w:vMerge/>
            <w:tcBorders>
              <w:top w:val="nil"/>
              <w:left w:val="single" w:sz="4" w:space="0" w:color="auto"/>
              <w:bottom w:val="single" w:sz="4" w:space="0" w:color="auto"/>
              <w:right w:val="single" w:sz="4" w:space="0" w:color="auto"/>
            </w:tcBorders>
            <w:vAlign w:val="center"/>
            <w:hideMark/>
          </w:tcPr>
          <w:p w14:paraId="41EF2CFE" w14:textId="77777777" w:rsidR="00072A69" w:rsidRPr="007F7D5A" w:rsidRDefault="00072A69" w:rsidP="00AC1F17">
            <w:pPr>
              <w:spacing w:after="0" w:line="240" w:lineRule="auto"/>
              <w:rPr>
                <w:rFonts w:ascii="Arial" w:eastAsia="Times New Roman" w:hAnsi="Arial" w:cs="Arial"/>
                <w:color w:val="000000"/>
                <w:sz w:val="18"/>
                <w:szCs w:val="18"/>
                <w:lang w:eastAsia="sl-SI"/>
              </w:rPr>
            </w:pPr>
          </w:p>
        </w:tc>
        <w:tc>
          <w:tcPr>
            <w:tcW w:w="319" w:type="pct"/>
            <w:tcBorders>
              <w:top w:val="nil"/>
              <w:left w:val="nil"/>
              <w:bottom w:val="single" w:sz="4" w:space="0" w:color="auto"/>
              <w:right w:val="single" w:sz="4" w:space="0" w:color="auto"/>
            </w:tcBorders>
            <w:shd w:val="clear" w:color="auto" w:fill="auto"/>
            <w:vAlign w:val="center"/>
            <w:hideMark/>
          </w:tcPr>
          <w:p w14:paraId="0F9DF6C0" w14:textId="77777777" w:rsidR="00072A69" w:rsidRPr="007F7D5A" w:rsidRDefault="00072A69" w:rsidP="00AC1F17">
            <w:pPr>
              <w:spacing w:after="0" w:line="240" w:lineRule="auto"/>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Skupaj</w:t>
            </w:r>
          </w:p>
        </w:tc>
        <w:tc>
          <w:tcPr>
            <w:tcW w:w="337" w:type="pct"/>
            <w:tcBorders>
              <w:top w:val="nil"/>
              <w:left w:val="nil"/>
              <w:bottom w:val="single" w:sz="4" w:space="0" w:color="auto"/>
              <w:right w:val="single" w:sz="4" w:space="0" w:color="auto"/>
            </w:tcBorders>
            <w:shd w:val="clear" w:color="auto" w:fill="auto"/>
            <w:vAlign w:val="center"/>
            <w:hideMark/>
          </w:tcPr>
          <w:p w14:paraId="3A0FDB7F"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562</w:t>
            </w:r>
          </w:p>
        </w:tc>
        <w:tc>
          <w:tcPr>
            <w:tcW w:w="409" w:type="pct"/>
            <w:tcBorders>
              <w:top w:val="nil"/>
              <w:left w:val="nil"/>
              <w:bottom w:val="single" w:sz="4" w:space="0" w:color="auto"/>
              <w:right w:val="single" w:sz="4" w:space="0" w:color="auto"/>
            </w:tcBorders>
            <w:shd w:val="clear" w:color="auto" w:fill="auto"/>
            <w:vAlign w:val="center"/>
            <w:hideMark/>
          </w:tcPr>
          <w:p w14:paraId="0D647660"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278.360.982</w:t>
            </w:r>
          </w:p>
        </w:tc>
        <w:tc>
          <w:tcPr>
            <w:tcW w:w="337" w:type="pct"/>
            <w:tcBorders>
              <w:top w:val="nil"/>
              <w:left w:val="nil"/>
              <w:bottom w:val="single" w:sz="4" w:space="0" w:color="auto"/>
              <w:right w:val="single" w:sz="4" w:space="0" w:color="auto"/>
            </w:tcBorders>
            <w:shd w:val="clear" w:color="auto" w:fill="auto"/>
            <w:noWrap/>
            <w:vAlign w:val="center"/>
            <w:hideMark/>
          </w:tcPr>
          <w:p w14:paraId="621DEF2E"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9,74</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316D9B4B"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49,76</w:t>
            </w:r>
            <w:r>
              <w:rPr>
                <w:rFonts w:ascii="Arial" w:eastAsia="Times New Roman" w:hAnsi="Arial" w:cs="Arial"/>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54EB4F15"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3,33</w:t>
            </w:r>
            <w:r>
              <w:rPr>
                <w:rFonts w:ascii="Arial" w:eastAsia="Times New Roman" w:hAnsi="Arial" w:cs="Arial"/>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14:paraId="6245B35E" w14:textId="77777777" w:rsidR="00072A69" w:rsidRPr="007F7D5A" w:rsidRDefault="00072A69" w:rsidP="00AC1F17">
            <w:pPr>
              <w:spacing w:after="0" w:line="240" w:lineRule="auto"/>
              <w:jc w:val="right"/>
              <w:rPr>
                <w:rFonts w:ascii="Arial" w:eastAsia="Times New Roman" w:hAnsi="Arial" w:cs="Arial"/>
                <w:color w:val="000000"/>
                <w:sz w:val="18"/>
                <w:szCs w:val="18"/>
                <w:lang w:eastAsia="sl-SI"/>
              </w:rPr>
            </w:pPr>
            <w:r w:rsidRPr="007F7D5A">
              <w:rPr>
                <w:rFonts w:ascii="Arial" w:eastAsia="Times New Roman" w:hAnsi="Arial" w:cs="Arial"/>
                <w:color w:val="000000"/>
                <w:sz w:val="18"/>
                <w:szCs w:val="18"/>
                <w:lang w:eastAsia="sl-SI"/>
              </w:rPr>
              <w:t>9,54</w:t>
            </w:r>
            <w:r>
              <w:rPr>
                <w:rFonts w:ascii="Arial" w:eastAsia="Times New Roman" w:hAnsi="Arial" w:cs="Arial"/>
                <w:color w:val="000000"/>
                <w:sz w:val="18"/>
                <w:szCs w:val="18"/>
                <w:lang w:eastAsia="sl-SI"/>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6FEF5B7"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046" w:type="pct"/>
            <w:tcBorders>
              <w:top w:val="nil"/>
              <w:left w:val="nil"/>
              <w:bottom w:val="single" w:sz="4" w:space="0" w:color="auto"/>
              <w:right w:val="single" w:sz="4" w:space="0" w:color="auto"/>
            </w:tcBorders>
            <w:shd w:val="clear" w:color="auto" w:fill="auto"/>
            <w:noWrap/>
            <w:vAlign w:val="center"/>
            <w:hideMark/>
          </w:tcPr>
          <w:p w14:paraId="1E253BC8" w14:textId="6BDA731A"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sidR="004E0797">
              <w:rPr>
                <w:rFonts w:ascii="Arial" w:eastAsia="Times New Roman" w:hAnsi="Arial" w:cs="Arial"/>
                <w:b/>
                <w:bCs/>
                <w:color w:val="000000"/>
                <w:sz w:val="18"/>
                <w:szCs w:val="18"/>
                <w:lang w:eastAsia="sl-SI"/>
              </w:rPr>
              <w:t xml:space="preserve"> </w:t>
            </w:r>
            <w:r w:rsidRPr="007F7D5A">
              <w:rPr>
                <w:rFonts w:ascii="Arial" w:eastAsia="Times New Roman" w:hAnsi="Arial" w:cs="Arial"/>
                <w:b/>
                <w:bCs/>
                <w:color w:val="000000"/>
                <w:sz w:val="18"/>
                <w:szCs w:val="18"/>
                <w:lang w:eastAsia="sl-SI"/>
              </w:rPr>
              <w:t>%</w:t>
            </w:r>
          </w:p>
        </w:tc>
      </w:tr>
      <w:tr w:rsidR="00072A69" w:rsidRPr="007F7D5A" w14:paraId="6CF1BFA6" w14:textId="77777777" w:rsidTr="00AC1F17">
        <w:trPr>
          <w:trHeight w:val="300"/>
        </w:trPr>
        <w:tc>
          <w:tcPr>
            <w:tcW w:w="613" w:type="pct"/>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936319" w14:textId="77777777" w:rsidR="00072A69" w:rsidRPr="007F7D5A" w:rsidRDefault="00072A69" w:rsidP="00AC1F17">
            <w:pPr>
              <w:spacing w:after="0" w:line="240" w:lineRule="auto"/>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Skupaj</w:t>
            </w:r>
          </w:p>
        </w:tc>
        <w:tc>
          <w:tcPr>
            <w:tcW w:w="337" w:type="pct"/>
            <w:tcBorders>
              <w:top w:val="nil"/>
              <w:left w:val="nil"/>
              <w:bottom w:val="single" w:sz="4" w:space="0" w:color="auto"/>
              <w:right w:val="single" w:sz="4" w:space="0" w:color="auto"/>
            </w:tcBorders>
            <w:shd w:val="clear" w:color="000000" w:fill="E7E6E6"/>
            <w:noWrap/>
            <w:vAlign w:val="center"/>
            <w:hideMark/>
          </w:tcPr>
          <w:p w14:paraId="314D70FA"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5.771</w:t>
            </w:r>
          </w:p>
        </w:tc>
        <w:tc>
          <w:tcPr>
            <w:tcW w:w="409" w:type="pct"/>
            <w:tcBorders>
              <w:top w:val="nil"/>
              <w:left w:val="nil"/>
              <w:bottom w:val="single" w:sz="4" w:space="0" w:color="auto"/>
              <w:right w:val="single" w:sz="4" w:space="0" w:color="auto"/>
            </w:tcBorders>
            <w:shd w:val="clear" w:color="000000" w:fill="E7E6E6"/>
            <w:noWrap/>
            <w:vAlign w:val="center"/>
            <w:hideMark/>
          </w:tcPr>
          <w:p w14:paraId="02F3F7D3"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559.393.716</w:t>
            </w:r>
          </w:p>
        </w:tc>
        <w:tc>
          <w:tcPr>
            <w:tcW w:w="337" w:type="pct"/>
            <w:tcBorders>
              <w:top w:val="nil"/>
              <w:left w:val="nil"/>
              <w:bottom w:val="single" w:sz="4" w:space="0" w:color="auto"/>
              <w:right w:val="single" w:sz="4" w:space="0" w:color="auto"/>
            </w:tcBorders>
            <w:shd w:val="clear" w:color="auto" w:fill="E7E6E6" w:themeFill="background2"/>
            <w:noWrap/>
            <w:vAlign w:val="center"/>
            <w:hideMark/>
          </w:tcPr>
          <w:p w14:paraId="6476FFD4"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7D5A">
              <w:rPr>
                <w:rFonts w:ascii="Arial" w:eastAsia="Times New Roman" w:hAnsi="Arial" w:cs="Arial"/>
                <w:b/>
                <w:bCs/>
                <w:color w:val="000000"/>
                <w:sz w:val="18"/>
                <w:szCs w:val="18"/>
                <w:lang w:eastAsia="sl-SI"/>
              </w:rPr>
              <w:t>%</w:t>
            </w:r>
          </w:p>
        </w:tc>
        <w:tc>
          <w:tcPr>
            <w:tcW w:w="423" w:type="pct"/>
            <w:tcBorders>
              <w:top w:val="nil"/>
              <w:left w:val="nil"/>
              <w:bottom w:val="single" w:sz="4" w:space="0" w:color="auto"/>
              <w:right w:val="single" w:sz="4" w:space="0" w:color="auto"/>
            </w:tcBorders>
            <w:shd w:val="clear" w:color="auto" w:fill="E7E6E6" w:themeFill="background2"/>
            <w:noWrap/>
            <w:vAlign w:val="center"/>
            <w:hideMark/>
          </w:tcPr>
          <w:p w14:paraId="4441439E"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23" w:type="pct"/>
            <w:tcBorders>
              <w:top w:val="nil"/>
              <w:left w:val="nil"/>
              <w:bottom w:val="single" w:sz="4" w:space="0" w:color="auto"/>
              <w:right w:val="single" w:sz="4" w:space="0" w:color="auto"/>
            </w:tcBorders>
            <w:shd w:val="clear" w:color="auto" w:fill="E7E6E6" w:themeFill="background2"/>
            <w:noWrap/>
            <w:vAlign w:val="center"/>
            <w:hideMark/>
          </w:tcPr>
          <w:p w14:paraId="16CBE429"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34,22</w:t>
            </w:r>
            <w:r>
              <w:rPr>
                <w:rFonts w:ascii="Arial" w:eastAsia="Times New Roman" w:hAnsi="Arial" w:cs="Arial"/>
                <w:b/>
                <w:bCs/>
                <w:color w:val="000000"/>
                <w:sz w:val="18"/>
                <w:szCs w:val="18"/>
                <w:lang w:eastAsia="sl-SI"/>
              </w:rPr>
              <w:t xml:space="preserve"> %</w:t>
            </w:r>
          </w:p>
        </w:tc>
        <w:tc>
          <w:tcPr>
            <w:tcW w:w="403" w:type="pct"/>
            <w:tcBorders>
              <w:top w:val="nil"/>
              <w:left w:val="nil"/>
              <w:bottom w:val="single" w:sz="4" w:space="0" w:color="auto"/>
              <w:right w:val="single" w:sz="4" w:space="0" w:color="auto"/>
            </w:tcBorders>
            <w:shd w:val="clear" w:color="auto" w:fill="E7E6E6" w:themeFill="background2"/>
            <w:noWrap/>
            <w:vAlign w:val="center"/>
            <w:hideMark/>
          </w:tcPr>
          <w:p w14:paraId="26FCB19E"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r w:rsidRPr="007F7D5A">
              <w:rPr>
                <w:rFonts w:ascii="Arial" w:eastAsia="Times New Roman" w:hAnsi="Arial" w:cs="Arial"/>
                <w:b/>
                <w:bCs/>
                <w:color w:val="000000"/>
                <w:sz w:val="18"/>
                <w:szCs w:val="18"/>
                <w:lang w:eastAsia="sl-SI"/>
              </w:rPr>
              <w:t>19,17</w:t>
            </w:r>
            <w:r>
              <w:rPr>
                <w:rFonts w:ascii="Arial" w:eastAsia="Times New Roman" w:hAnsi="Arial" w:cs="Arial"/>
                <w:b/>
                <w:bCs/>
                <w:color w:val="000000"/>
                <w:sz w:val="18"/>
                <w:szCs w:val="18"/>
                <w:lang w:eastAsia="sl-SI"/>
              </w:rPr>
              <w:t xml:space="preserve"> %</w:t>
            </w:r>
          </w:p>
        </w:tc>
        <w:tc>
          <w:tcPr>
            <w:tcW w:w="1009" w:type="pct"/>
            <w:tcBorders>
              <w:top w:val="nil"/>
              <w:left w:val="nil"/>
              <w:bottom w:val="nil"/>
              <w:right w:val="nil"/>
            </w:tcBorders>
            <w:shd w:val="clear" w:color="auto" w:fill="auto"/>
            <w:noWrap/>
            <w:vAlign w:val="bottom"/>
            <w:hideMark/>
          </w:tcPr>
          <w:p w14:paraId="4736C121" w14:textId="77777777" w:rsidR="00072A69" w:rsidRPr="007F7D5A" w:rsidRDefault="00072A69" w:rsidP="00AC1F17">
            <w:pPr>
              <w:spacing w:after="0" w:line="240" w:lineRule="auto"/>
              <w:jc w:val="right"/>
              <w:rPr>
                <w:rFonts w:ascii="Arial" w:eastAsia="Times New Roman" w:hAnsi="Arial" w:cs="Arial"/>
                <w:b/>
                <w:bCs/>
                <w:color w:val="000000"/>
                <w:sz w:val="18"/>
                <w:szCs w:val="18"/>
                <w:lang w:eastAsia="sl-SI"/>
              </w:rPr>
            </w:pPr>
          </w:p>
        </w:tc>
        <w:tc>
          <w:tcPr>
            <w:tcW w:w="1046" w:type="pct"/>
            <w:tcBorders>
              <w:top w:val="nil"/>
              <w:left w:val="nil"/>
              <w:bottom w:val="nil"/>
              <w:right w:val="nil"/>
            </w:tcBorders>
            <w:shd w:val="clear" w:color="auto" w:fill="auto"/>
            <w:noWrap/>
            <w:vAlign w:val="bottom"/>
            <w:hideMark/>
          </w:tcPr>
          <w:p w14:paraId="1A9BFAD0" w14:textId="77777777" w:rsidR="00072A69" w:rsidRPr="007F7D5A" w:rsidRDefault="00072A69" w:rsidP="00AC1F17">
            <w:pPr>
              <w:spacing w:after="0" w:line="240" w:lineRule="auto"/>
              <w:rPr>
                <w:rFonts w:ascii="Arial" w:eastAsia="Times New Roman" w:hAnsi="Arial" w:cs="Arial"/>
                <w:sz w:val="18"/>
                <w:szCs w:val="18"/>
                <w:lang w:eastAsia="sl-SI"/>
              </w:rPr>
            </w:pPr>
          </w:p>
        </w:tc>
      </w:tr>
    </w:tbl>
    <w:p w14:paraId="11522517" w14:textId="77777777" w:rsidR="00072A69" w:rsidRDefault="00072A69" w:rsidP="00072A69">
      <w:pPr>
        <w:pStyle w:val="Odstavekseznama"/>
        <w:rPr>
          <w:rFonts w:cs="Arial"/>
        </w:rPr>
      </w:pPr>
    </w:p>
    <w:p w14:paraId="1765987C" w14:textId="77777777" w:rsidR="00072A69" w:rsidRDefault="00072A69" w:rsidP="00072A69">
      <w:pPr>
        <w:pStyle w:val="Odstavekseznama"/>
        <w:rPr>
          <w:rFonts w:cs="Arial"/>
        </w:rPr>
      </w:pPr>
    </w:p>
    <w:p w14:paraId="2F977835" w14:textId="725BCB22" w:rsidR="00072A69" w:rsidRPr="00337D75" w:rsidRDefault="00337D75" w:rsidP="00337D75">
      <w:pPr>
        <w:rPr>
          <w:rFonts w:ascii="Arial" w:hAnsi="Arial" w:cs="Arial"/>
          <w:sz w:val="20"/>
          <w:szCs w:val="20"/>
        </w:rPr>
      </w:pPr>
      <w:r w:rsidRPr="00337D75">
        <w:rPr>
          <w:rFonts w:ascii="Arial" w:hAnsi="Arial" w:cs="Arial"/>
          <w:sz w:val="20"/>
          <w:szCs w:val="20"/>
        </w:rPr>
        <w:t xml:space="preserve">Preglednica 116: </w:t>
      </w:r>
      <w:r w:rsidR="00072A69" w:rsidRPr="00337D75">
        <w:rPr>
          <w:rFonts w:ascii="Arial" w:hAnsi="Arial" w:cs="Arial"/>
          <w:sz w:val="20"/>
          <w:szCs w:val="20"/>
        </w:rPr>
        <w:t>Število ponudnikov, ki jim je bilo oddano vsaj eno zeleno naročilo, razčlenjeno glede na vrsto predmeta in poreklo ponudnika</w:t>
      </w:r>
    </w:p>
    <w:tbl>
      <w:tblPr>
        <w:tblW w:w="0" w:type="auto"/>
        <w:tblLayout w:type="fixed"/>
        <w:tblCellMar>
          <w:left w:w="70" w:type="dxa"/>
          <w:right w:w="70" w:type="dxa"/>
        </w:tblCellMar>
        <w:tblLook w:val="04A0" w:firstRow="1" w:lastRow="0" w:firstColumn="1" w:lastColumn="0" w:noHBand="0" w:noVBand="1"/>
      </w:tblPr>
      <w:tblGrid>
        <w:gridCol w:w="846"/>
        <w:gridCol w:w="1134"/>
        <w:gridCol w:w="1134"/>
        <w:gridCol w:w="992"/>
        <w:gridCol w:w="1418"/>
        <w:gridCol w:w="1123"/>
        <w:gridCol w:w="1223"/>
        <w:gridCol w:w="1192"/>
      </w:tblGrid>
      <w:tr w:rsidR="00072A69" w:rsidRPr="00235F54" w14:paraId="16A84D8A" w14:textId="77777777" w:rsidTr="00AC1F17">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EB54B4"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Predmet</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3F1D7A39"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Ponudnik</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68E6A7B5"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Št. ponudnikov</w:t>
            </w:r>
          </w:p>
        </w:tc>
        <w:tc>
          <w:tcPr>
            <w:tcW w:w="992" w:type="dxa"/>
            <w:tcBorders>
              <w:top w:val="single" w:sz="4" w:space="0" w:color="auto"/>
              <w:left w:val="nil"/>
              <w:bottom w:val="single" w:sz="4" w:space="0" w:color="auto"/>
              <w:right w:val="single" w:sz="4" w:space="0" w:color="auto"/>
            </w:tcBorders>
            <w:shd w:val="clear" w:color="000000" w:fill="E7E6E6"/>
            <w:noWrap/>
            <w:vAlign w:val="center"/>
            <w:hideMark/>
          </w:tcPr>
          <w:p w14:paraId="73BCC423"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Št. zelenih naročil</w:t>
            </w:r>
          </w:p>
        </w:tc>
        <w:tc>
          <w:tcPr>
            <w:tcW w:w="1418" w:type="dxa"/>
            <w:tcBorders>
              <w:top w:val="single" w:sz="4" w:space="0" w:color="auto"/>
              <w:left w:val="nil"/>
              <w:bottom w:val="single" w:sz="4" w:space="0" w:color="auto"/>
              <w:right w:val="single" w:sz="4" w:space="0" w:color="auto"/>
            </w:tcBorders>
            <w:shd w:val="clear" w:color="000000" w:fill="E7E6E6"/>
            <w:noWrap/>
            <w:vAlign w:val="center"/>
            <w:hideMark/>
          </w:tcPr>
          <w:p w14:paraId="2BBD5672"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Pogodbena vrednost</w:t>
            </w:r>
          </w:p>
        </w:tc>
        <w:tc>
          <w:tcPr>
            <w:tcW w:w="1123" w:type="dxa"/>
            <w:tcBorders>
              <w:top w:val="single" w:sz="4" w:space="0" w:color="auto"/>
              <w:left w:val="nil"/>
              <w:bottom w:val="single" w:sz="4" w:space="0" w:color="auto"/>
              <w:right w:val="single" w:sz="4" w:space="0" w:color="auto"/>
            </w:tcBorders>
            <w:shd w:val="clear" w:color="000000" w:fill="E7E6E6"/>
            <w:noWrap/>
            <w:vAlign w:val="center"/>
            <w:hideMark/>
          </w:tcPr>
          <w:p w14:paraId="19AA2444"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Delež v št. ponudnikov</w:t>
            </w:r>
          </w:p>
        </w:tc>
        <w:tc>
          <w:tcPr>
            <w:tcW w:w="1223" w:type="dxa"/>
            <w:tcBorders>
              <w:top w:val="single" w:sz="4" w:space="0" w:color="auto"/>
              <w:left w:val="nil"/>
              <w:bottom w:val="single" w:sz="4" w:space="0" w:color="auto"/>
              <w:right w:val="single" w:sz="4" w:space="0" w:color="auto"/>
            </w:tcBorders>
            <w:shd w:val="clear" w:color="000000" w:fill="E7E6E6"/>
            <w:noWrap/>
            <w:vAlign w:val="center"/>
            <w:hideMark/>
          </w:tcPr>
          <w:p w14:paraId="2F3DF7CE"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Delež v št. naročil</w:t>
            </w:r>
          </w:p>
        </w:tc>
        <w:tc>
          <w:tcPr>
            <w:tcW w:w="1192" w:type="dxa"/>
            <w:tcBorders>
              <w:top w:val="single" w:sz="4" w:space="0" w:color="auto"/>
              <w:left w:val="nil"/>
              <w:bottom w:val="single" w:sz="4" w:space="0" w:color="auto"/>
              <w:right w:val="single" w:sz="4" w:space="0" w:color="auto"/>
            </w:tcBorders>
            <w:shd w:val="clear" w:color="000000" w:fill="E7E6E6"/>
            <w:noWrap/>
            <w:vAlign w:val="center"/>
            <w:hideMark/>
          </w:tcPr>
          <w:p w14:paraId="77586F07"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Delež v vrednosti</w:t>
            </w:r>
          </w:p>
        </w:tc>
      </w:tr>
      <w:tr w:rsidR="00072A69" w:rsidRPr="00235F54" w14:paraId="6966A851" w14:textId="77777777" w:rsidTr="00AC1F17">
        <w:trPr>
          <w:trHeight w:val="3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1B3737C"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Blago</w:t>
            </w:r>
          </w:p>
        </w:tc>
        <w:tc>
          <w:tcPr>
            <w:tcW w:w="1134" w:type="dxa"/>
            <w:tcBorders>
              <w:top w:val="nil"/>
              <w:left w:val="nil"/>
              <w:bottom w:val="single" w:sz="4" w:space="0" w:color="auto"/>
              <w:right w:val="single" w:sz="4" w:space="0" w:color="auto"/>
            </w:tcBorders>
            <w:shd w:val="clear" w:color="auto" w:fill="auto"/>
            <w:vAlign w:val="center"/>
            <w:hideMark/>
          </w:tcPr>
          <w:p w14:paraId="6C623968" w14:textId="77777777" w:rsidR="00072A69" w:rsidRPr="00235F54" w:rsidRDefault="00072A69" w:rsidP="00AC1F17">
            <w:pPr>
              <w:spacing w:after="0" w:line="240" w:lineRule="auto"/>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Slovenija</w:t>
            </w:r>
          </w:p>
        </w:tc>
        <w:tc>
          <w:tcPr>
            <w:tcW w:w="1134" w:type="dxa"/>
            <w:tcBorders>
              <w:top w:val="nil"/>
              <w:left w:val="nil"/>
              <w:bottom w:val="single" w:sz="4" w:space="0" w:color="auto"/>
              <w:right w:val="single" w:sz="4" w:space="0" w:color="auto"/>
            </w:tcBorders>
            <w:shd w:val="clear" w:color="auto" w:fill="auto"/>
            <w:vAlign w:val="center"/>
            <w:hideMark/>
          </w:tcPr>
          <w:p w14:paraId="0F413110"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471</w:t>
            </w:r>
          </w:p>
        </w:tc>
        <w:tc>
          <w:tcPr>
            <w:tcW w:w="992" w:type="dxa"/>
            <w:tcBorders>
              <w:top w:val="nil"/>
              <w:left w:val="nil"/>
              <w:bottom w:val="single" w:sz="4" w:space="0" w:color="auto"/>
              <w:right w:val="single" w:sz="4" w:space="0" w:color="auto"/>
            </w:tcBorders>
            <w:shd w:val="clear" w:color="auto" w:fill="auto"/>
            <w:vAlign w:val="center"/>
            <w:hideMark/>
          </w:tcPr>
          <w:p w14:paraId="5303E40A"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4.730</w:t>
            </w:r>
          </w:p>
        </w:tc>
        <w:tc>
          <w:tcPr>
            <w:tcW w:w="1418" w:type="dxa"/>
            <w:tcBorders>
              <w:top w:val="nil"/>
              <w:left w:val="nil"/>
              <w:bottom w:val="single" w:sz="4" w:space="0" w:color="auto"/>
              <w:right w:val="single" w:sz="4" w:space="0" w:color="auto"/>
            </w:tcBorders>
            <w:shd w:val="clear" w:color="auto" w:fill="auto"/>
            <w:vAlign w:val="center"/>
            <w:hideMark/>
          </w:tcPr>
          <w:p w14:paraId="57503A6F"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206.842.988</w:t>
            </w:r>
          </w:p>
        </w:tc>
        <w:tc>
          <w:tcPr>
            <w:tcW w:w="1123" w:type="dxa"/>
            <w:tcBorders>
              <w:top w:val="nil"/>
              <w:left w:val="nil"/>
              <w:bottom w:val="single" w:sz="4" w:space="0" w:color="auto"/>
              <w:right w:val="single" w:sz="4" w:space="0" w:color="auto"/>
            </w:tcBorders>
            <w:shd w:val="clear" w:color="auto" w:fill="auto"/>
            <w:vAlign w:val="center"/>
            <w:hideMark/>
          </w:tcPr>
          <w:p w14:paraId="3BDE9642"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99,37</w:t>
            </w:r>
            <w:r>
              <w:rPr>
                <w:rFonts w:ascii="Arial" w:eastAsia="Times New Roman" w:hAnsi="Arial" w:cs="Arial"/>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653724F6"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99,92</w:t>
            </w:r>
            <w:r>
              <w:rPr>
                <w:rFonts w:ascii="Arial" w:eastAsia="Times New Roman" w:hAnsi="Arial" w:cs="Arial"/>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0F91DA0C"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99,84</w:t>
            </w:r>
            <w:r>
              <w:rPr>
                <w:rFonts w:ascii="Arial" w:eastAsia="Times New Roman" w:hAnsi="Arial" w:cs="Arial"/>
                <w:color w:val="000000"/>
                <w:sz w:val="18"/>
                <w:szCs w:val="18"/>
                <w:lang w:eastAsia="sl-SI"/>
              </w:rPr>
              <w:t xml:space="preserve"> %</w:t>
            </w:r>
          </w:p>
        </w:tc>
      </w:tr>
      <w:tr w:rsidR="00072A69" w:rsidRPr="00235F54" w14:paraId="7F81C9CA" w14:textId="77777777" w:rsidTr="00AC1F17">
        <w:trPr>
          <w:trHeight w:val="300"/>
        </w:trPr>
        <w:tc>
          <w:tcPr>
            <w:tcW w:w="846" w:type="dxa"/>
            <w:vMerge/>
            <w:tcBorders>
              <w:top w:val="nil"/>
              <w:left w:val="single" w:sz="4" w:space="0" w:color="auto"/>
              <w:bottom w:val="single" w:sz="4" w:space="0" w:color="auto"/>
              <w:right w:val="single" w:sz="4" w:space="0" w:color="auto"/>
            </w:tcBorders>
            <w:vAlign w:val="center"/>
            <w:hideMark/>
          </w:tcPr>
          <w:p w14:paraId="225420D7" w14:textId="77777777" w:rsidR="00072A69" w:rsidRPr="00235F54" w:rsidRDefault="00072A69" w:rsidP="00AC1F17">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vAlign w:val="center"/>
            <w:hideMark/>
          </w:tcPr>
          <w:p w14:paraId="107CA3C9" w14:textId="77777777" w:rsidR="00072A69" w:rsidRPr="00235F54" w:rsidRDefault="00072A69" w:rsidP="00AC1F17">
            <w:pPr>
              <w:spacing w:after="0" w:line="240" w:lineRule="auto"/>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EU</w:t>
            </w:r>
          </w:p>
        </w:tc>
        <w:tc>
          <w:tcPr>
            <w:tcW w:w="1134" w:type="dxa"/>
            <w:tcBorders>
              <w:top w:val="nil"/>
              <w:left w:val="nil"/>
              <w:bottom w:val="single" w:sz="4" w:space="0" w:color="auto"/>
              <w:right w:val="single" w:sz="4" w:space="0" w:color="auto"/>
            </w:tcBorders>
            <w:shd w:val="clear" w:color="auto" w:fill="auto"/>
            <w:vAlign w:val="center"/>
            <w:hideMark/>
          </w:tcPr>
          <w:p w14:paraId="18A41B08"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3</w:t>
            </w:r>
          </w:p>
        </w:tc>
        <w:tc>
          <w:tcPr>
            <w:tcW w:w="992" w:type="dxa"/>
            <w:tcBorders>
              <w:top w:val="nil"/>
              <w:left w:val="nil"/>
              <w:bottom w:val="single" w:sz="4" w:space="0" w:color="auto"/>
              <w:right w:val="single" w:sz="4" w:space="0" w:color="auto"/>
            </w:tcBorders>
            <w:shd w:val="clear" w:color="auto" w:fill="auto"/>
            <w:vAlign w:val="center"/>
            <w:hideMark/>
          </w:tcPr>
          <w:p w14:paraId="6AADC08B"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4</w:t>
            </w:r>
          </w:p>
        </w:tc>
        <w:tc>
          <w:tcPr>
            <w:tcW w:w="1418" w:type="dxa"/>
            <w:tcBorders>
              <w:top w:val="nil"/>
              <w:left w:val="nil"/>
              <w:bottom w:val="single" w:sz="4" w:space="0" w:color="auto"/>
              <w:right w:val="single" w:sz="4" w:space="0" w:color="auto"/>
            </w:tcBorders>
            <w:shd w:val="clear" w:color="auto" w:fill="auto"/>
            <w:vAlign w:val="center"/>
            <w:hideMark/>
          </w:tcPr>
          <w:p w14:paraId="26C08F01"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324.650</w:t>
            </w:r>
          </w:p>
        </w:tc>
        <w:tc>
          <w:tcPr>
            <w:tcW w:w="1123" w:type="dxa"/>
            <w:tcBorders>
              <w:top w:val="nil"/>
              <w:left w:val="nil"/>
              <w:bottom w:val="single" w:sz="4" w:space="0" w:color="auto"/>
              <w:right w:val="single" w:sz="4" w:space="0" w:color="auto"/>
            </w:tcBorders>
            <w:shd w:val="clear" w:color="auto" w:fill="auto"/>
            <w:vAlign w:val="center"/>
            <w:hideMark/>
          </w:tcPr>
          <w:p w14:paraId="443AF287"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247704BA"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04FD2BB1"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072A69" w:rsidRPr="00235F54" w14:paraId="506FF09B" w14:textId="77777777" w:rsidTr="00AC1F17">
        <w:trPr>
          <w:trHeight w:val="300"/>
        </w:trPr>
        <w:tc>
          <w:tcPr>
            <w:tcW w:w="846" w:type="dxa"/>
            <w:vMerge/>
            <w:tcBorders>
              <w:top w:val="nil"/>
              <w:left w:val="single" w:sz="4" w:space="0" w:color="auto"/>
              <w:bottom w:val="single" w:sz="4" w:space="0" w:color="auto"/>
              <w:right w:val="single" w:sz="4" w:space="0" w:color="auto"/>
            </w:tcBorders>
            <w:vAlign w:val="center"/>
            <w:hideMark/>
          </w:tcPr>
          <w:p w14:paraId="312735D5" w14:textId="77777777" w:rsidR="00072A69" w:rsidRPr="00235F54" w:rsidRDefault="00072A69" w:rsidP="00AC1F17">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vAlign w:val="center"/>
            <w:hideMark/>
          </w:tcPr>
          <w:p w14:paraId="4848F223" w14:textId="77777777" w:rsidR="00072A69" w:rsidRPr="00235F54" w:rsidRDefault="00072A69" w:rsidP="00AC1F17">
            <w:pPr>
              <w:spacing w:after="0" w:line="240" w:lineRule="auto"/>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317E06AD"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474</w:t>
            </w:r>
          </w:p>
        </w:tc>
        <w:tc>
          <w:tcPr>
            <w:tcW w:w="992" w:type="dxa"/>
            <w:tcBorders>
              <w:top w:val="nil"/>
              <w:left w:val="nil"/>
              <w:bottom w:val="single" w:sz="4" w:space="0" w:color="auto"/>
              <w:right w:val="single" w:sz="4" w:space="0" w:color="auto"/>
            </w:tcBorders>
            <w:shd w:val="clear" w:color="auto" w:fill="auto"/>
            <w:vAlign w:val="center"/>
            <w:hideMark/>
          </w:tcPr>
          <w:p w14:paraId="4AD2EC25"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4.734</w:t>
            </w:r>
          </w:p>
        </w:tc>
        <w:tc>
          <w:tcPr>
            <w:tcW w:w="1418" w:type="dxa"/>
            <w:tcBorders>
              <w:top w:val="nil"/>
              <w:left w:val="nil"/>
              <w:bottom w:val="single" w:sz="4" w:space="0" w:color="auto"/>
              <w:right w:val="single" w:sz="4" w:space="0" w:color="auto"/>
            </w:tcBorders>
            <w:shd w:val="clear" w:color="auto" w:fill="auto"/>
            <w:vAlign w:val="center"/>
            <w:hideMark/>
          </w:tcPr>
          <w:p w14:paraId="18BA245B"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207.167.638</w:t>
            </w:r>
          </w:p>
        </w:tc>
        <w:tc>
          <w:tcPr>
            <w:tcW w:w="1123" w:type="dxa"/>
            <w:tcBorders>
              <w:top w:val="nil"/>
              <w:left w:val="nil"/>
              <w:bottom w:val="single" w:sz="4" w:space="0" w:color="auto"/>
              <w:right w:val="single" w:sz="4" w:space="0" w:color="auto"/>
            </w:tcBorders>
            <w:shd w:val="clear" w:color="auto" w:fill="auto"/>
            <w:vAlign w:val="center"/>
            <w:hideMark/>
          </w:tcPr>
          <w:p w14:paraId="38117387"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1089CBED"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1160FA53"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235F54" w14:paraId="167306FF" w14:textId="77777777" w:rsidTr="00AC1F17">
        <w:trPr>
          <w:trHeight w:val="3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16E5BD2"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Storitve</w:t>
            </w:r>
          </w:p>
        </w:tc>
        <w:tc>
          <w:tcPr>
            <w:tcW w:w="1134" w:type="dxa"/>
            <w:tcBorders>
              <w:top w:val="nil"/>
              <w:left w:val="nil"/>
              <w:bottom w:val="single" w:sz="4" w:space="0" w:color="auto"/>
              <w:right w:val="single" w:sz="4" w:space="0" w:color="auto"/>
            </w:tcBorders>
            <w:shd w:val="clear" w:color="auto" w:fill="auto"/>
            <w:vAlign w:val="center"/>
            <w:hideMark/>
          </w:tcPr>
          <w:p w14:paraId="31C58E9C" w14:textId="77777777" w:rsidR="00072A69" w:rsidRPr="00235F54" w:rsidRDefault="00072A69" w:rsidP="00AC1F17">
            <w:pPr>
              <w:spacing w:after="0" w:line="240" w:lineRule="auto"/>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Slovenija</w:t>
            </w:r>
          </w:p>
        </w:tc>
        <w:tc>
          <w:tcPr>
            <w:tcW w:w="1134" w:type="dxa"/>
            <w:tcBorders>
              <w:top w:val="nil"/>
              <w:left w:val="nil"/>
              <w:bottom w:val="single" w:sz="4" w:space="0" w:color="auto"/>
              <w:right w:val="single" w:sz="4" w:space="0" w:color="auto"/>
            </w:tcBorders>
            <w:shd w:val="clear" w:color="auto" w:fill="auto"/>
            <w:vAlign w:val="center"/>
            <w:hideMark/>
          </w:tcPr>
          <w:p w14:paraId="02FCD250"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228</w:t>
            </w:r>
          </w:p>
        </w:tc>
        <w:tc>
          <w:tcPr>
            <w:tcW w:w="992" w:type="dxa"/>
            <w:tcBorders>
              <w:top w:val="nil"/>
              <w:left w:val="nil"/>
              <w:bottom w:val="single" w:sz="4" w:space="0" w:color="auto"/>
              <w:right w:val="single" w:sz="4" w:space="0" w:color="auto"/>
            </w:tcBorders>
            <w:shd w:val="clear" w:color="auto" w:fill="auto"/>
            <w:vAlign w:val="center"/>
            <w:hideMark/>
          </w:tcPr>
          <w:p w14:paraId="381D0029"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472</w:t>
            </w:r>
          </w:p>
        </w:tc>
        <w:tc>
          <w:tcPr>
            <w:tcW w:w="1418" w:type="dxa"/>
            <w:tcBorders>
              <w:top w:val="nil"/>
              <w:left w:val="nil"/>
              <w:bottom w:val="single" w:sz="4" w:space="0" w:color="auto"/>
              <w:right w:val="single" w:sz="4" w:space="0" w:color="auto"/>
            </w:tcBorders>
            <w:shd w:val="clear" w:color="auto" w:fill="auto"/>
            <w:vAlign w:val="center"/>
            <w:hideMark/>
          </w:tcPr>
          <w:p w14:paraId="4B9BE81B"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72.579.696</w:t>
            </w:r>
          </w:p>
        </w:tc>
        <w:tc>
          <w:tcPr>
            <w:tcW w:w="1123" w:type="dxa"/>
            <w:tcBorders>
              <w:top w:val="nil"/>
              <w:left w:val="nil"/>
              <w:bottom w:val="single" w:sz="4" w:space="0" w:color="auto"/>
              <w:right w:val="single" w:sz="4" w:space="0" w:color="auto"/>
            </w:tcBorders>
            <w:shd w:val="clear" w:color="auto" w:fill="auto"/>
            <w:vAlign w:val="center"/>
            <w:hideMark/>
          </w:tcPr>
          <w:p w14:paraId="37244207"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98,70</w:t>
            </w:r>
            <w:r>
              <w:rPr>
                <w:rFonts w:ascii="Arial" w:eastAsia="Times New Roman" w:hAnsi="Arial" w:cs="Arial"/>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0505E7CE"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99,37</w:t>
            </w:r>
            <w:r>
              <w:rPr>
                <w:rFonts w:ascii="Arial" w:eastAsia="Times New Roman" w:hAnsi="Arial" w:cs="Arial"/>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4E9A7478"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98,26</w:t>
            </w:r>
            <w:r>
              <w:rPr>
                <w:rFonts w:ascii="Arial" w:eastAsia="Times New Roman" w:hAnsi="Arial" w:cs="Arial"/>
                <w:color w:val="000000"/>
                <w:sz w:val="18"/>
                <w:szCs w:val="18"/>
                <w:lang w:eastAsia="sl-SI"/>
              </w:rPr>
              <w:t xml:space="preserve"> %</w:t>
            </w:r>
          </w:p>
        </w:tc>
      </w:tr>
      <w:tr w:rsidR="00072A69" w:rsidRPr="00235F54" w14:paraId="21556DB5" w14:textId="77777777" w:rsidTr="00AC1F17">
        <w:trPr>
          <w:trHeight w:val="300"/>
        </w:trPr>
        <w:tc>
          <w:tcPr>
            <w:tcW w:w="846" w:type="dxa"/>
            <w:vMerge/>
            <w:tcBorders>
              <w:top w:val="nil"/>
              <w:left w:val="single" w:sz="4" w:space="0" w:color="auto"/>
              <w:bottom w:val="single" w:sz="4" w:space="0" w:color="auto"/>
              <w:right w:val="single" w:sz="4" w:space="0" w:color="auto"/>
            </w:tcBorders>
            <w:vAlign w:val="center"/>
            <w:hideMark/>
          </w:tcPr>
          <w:p w14:paraId="55E03196" w14:textId="77777777" w:rsidR="00072A69" w:rsidRPr="00235F54" w:rsidRDefault="00072A69" w:rsidP="00AC1F17">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vAlign w:val="center"/>
            <w:hideMark/>
          </w:tcPr>
          <w:p w14:paraId="14DB363D" w14:textId="77777777" w:rsidR="00072A69" w:rsidRPr="00235F54" w:rsidRDefault="00072A69" w:rsidP="00AC1F17">
            <w:pPr>
              <w:spacing w:after="0" w:line="240" w:lineRule="auto"/>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EU</w:t>
            </w:r>
          </w:p>
        </w:tc>
        <w:tc>
          <w:tcPr>
            <w:tcW w:w="1134" w:type="dxa"/>
            <w:tcBorders>
              <w:top w:val="nil"/>
              <w:left w:val="nil"/>
              <w:bottom w:val="single" w:sz="4" w:space="0" w:color="auto"/>
              <w:right w:val="single" w:sz="4" w:space="0" w:color="auto"/>
            </w:tcBorders>
            <w:shd w:val="clear" w:color="auto" w:fill="auto"/>
            <w:vAlign w:val="center"/>
            <w:hideMark/>
          </w:tcPr>
          <w:p w14:paraId="38BC8778"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3</w:t>
            </w:r>
          </w:p>
        </w:tc>
        <w:tc>
          <w:tcPr>
            <w:tcW w:w="992" w:type="dxa"/>
            <w:tcBorders>
              <w:top w:val="nil"/>
              <w:left w:val="nil"/>
              <w:bottom w:val="single" w:sz="4" w:space="0" w:color="auto"/>
              <w:right w:val="single" w:sz="4" w:space="0" w:color="auto"/>
            </w:tcBorders>
            <w:shd w:val="clear" w:color="auto" w:fill="auto"/>
            <w:vAlign w:val="center"/>
            <w:hideMark/>
          </w:tcPr>
          <w:p w14:paraId="33A5E11C"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3</w:t>
            </w:r>
          </w:p>
        </w:tc>
        <w:tc>
          <w:tcPr>
            <w:tcW w:w="1418" w:type="dxa"/>
            <w:tcBorders>
              <w:top w:val="nil"/>
              <w:left w:val="nil"/>
              <w:bottom w:val="single" w:sz="4" w:space="0" w:color="auto"/>
              <w:right w:val="single" w:sz="4" w:space="0" w:color="auto"/>
            </w:tcBorders>
            <w:shd w:val="clear" w:color="auto" w:fill="auto"/>
            <w:vAlign w:val="center"/>
            <w:hideMark/>
          </w:tcPr>
          <w:p w14:paraId="7DB9B2D4"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1.285.400</w:t>
            </w:r>
          </w:p>
        </w:tc>
        <w:tc>
          <w:tcPr>
            <w:tcW w:w="1123" w:type="dxa"/>
            <w:tcBorders>
              <w:top w:val="nil"/>
              <w:left w:val="nil"/>
              <w:bottom w:val="single" w:sz="4" w:space="0" w:color="auto"/>
              <w:right w:val="single" w:sz="4" w:space="0" w:color="auto"/>
            </w:tcBorders>
            <w:shd w:val="clear" w:color="auto" w:fill="auto"/>
            <w:vAlign w:val="center"/>
            <w:hideMark/>
          </w:tcPr>
          <w:p w14:paraId="580E700A"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1,30</w:t>
            </w:r>
            <w:r>
              <w:rPr>
                <w:rFonts w:ascii="Arial" w:eastAsia="Times New Roman" w:hAnsi="Arial" w:cs="Arial"/>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3CED27BE"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711A8461"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1,74</w:t>
            </w:r>
            <w:r>
              <w:rPr>
                <w:rFonts w:ascii="Arial" w:eastAsia="Times New Roman" w:hAnsi="Arial" w:cs="Arial"/>
                <w:color w:val="000000"/>
                <w:sz w:val="18"/>
                <w:szCs w:val="18"/>
                <w:lang w:eastAsia="sl-SI"/>
              </w:rPr>
              <w:t xml:space="preserve"> %</w:t>
            </w:r>
          </w:p>
        </w:tc>
      </w:tr>
      <w:tr w:rsidR="00072A69" w:rsidRPr="00235F54" w14:paraId="4F6819B8" w14:textId="77777777" w:rsidTr="00AC1F17">
        <w:trPr>
          <w:trHeight w:val="300"/>
        </w:trPr>
        <w:tc>
          <w:tcPr>
            <w:tcW w:w="846" w:type="dxa"/>
            <w:vMerge/>
            <w:tcBorders>
              <w:top w:val="nil"/>
              <w:left w:val="single" w:sz="4" w:space="0" w:color="auto"/>
              <w:bottom w:val="single" w:sz="4" w:space="0" w:color="auto"/>
              <w:right w:val="single" w:sz="4" w:space="0" w:color="auto"/>
            </w:tcBorders>
            <w:vAlign w:val="center"/>
            <w:hideMark/>
          </w:tcPr>
          <w:p w14:paraId="655E84F4" w14:textId="77777777" w:rsidR="00072A69" w:rsidRPr="00235F54" w:rsidRDefault="00072A69" w:rsidP="00AC1F17">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vAlign w:val="center"/>
            <w:hideMark/>
          </w:tcPr>
          <w:p w14:paraId="761F7A6D" w14:textId="77777777" w:rsidR="00072A69" w:rsidRPr="00235F54" w:rsidRDefault="00072A69" w:rsidP="00AC1F17">
            <w:pPr>
              <w:spacing w:after="0" w:line="240" w:lineRule="auto"/>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30A8961E"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231</w:t>
            </w:r>
          </w:p>
        </w:tc>
        <w:tc>
          <w:tcPr>
            <w:tcW w:w="992" w:type="dxa"/>
            <w:tcBorders>
              <w:top w:val="nil"/>
              <w:left w:val="nil"/>
              <w:bottom w:val="single" w:sz="4" w:space="0" w:color="auto"/>
              <w:right w:val="single" w:sz="4" w:space="0" w:color="auto"/>
            </w:tcBorders>
            <w:shd w:val="clear" w:color="auto" w:fill="auto"/>
            <w:vAlign w:val="center"/>
            <w:hideMark/>
          </w:tcPr>
          <w:p w14:paraId="4E93D3BD"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475</w:t>
            </w:r>
          </w:p>
        </w:tc>
        <w:tc>
          <w:tcPr>
            <w:tcW w:w="1418" w:type="dxa"/>
            <w:tcBorders>
              <w:top w:val="nil"/>
              <w:left w:val="nil"/>
              <w:bottom w:val="single" w:sz="4" w:space="0" w:color="auto"/>
              <w:right w:val="single" w:sz="4" w:space="0" w:color="auto"/>
            </w:tcBorders>
            <w:shd w:val="clear" w:color="auto" w:fill="auto"/>
            <w:vAlign w:val="center"/>
            <w:hideMark/>
          </w:tcPr>
          <w:p w14:paraId="182EE782"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73.865.096</w:t>
            </w:r>
          </w:p>
        </w:tc>
        <w:tc>
          <w:tcPr>
            <w:tcW w:w="1123" w:type="dxa"/>
            <w:tcBorders>
              <w:top w:val="nil"/>
              <w:left w:val="nil"/>
              <w:bottom w:val="single" w:sz="4" w:space="0" w:color="auto"/>
              <w:right w:val="single" w:sz="4" w:space="0" w:color="auto"/>
            </w:tcBorders>
            <w:shd w:val="clear" w:color="auto" w:fill="auto"/>
            <w:vAlign w:val="center"/>
            <w:hideMark/>
          </w:tcPr>
          <w:p w14:paraId="5A7424A4"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34AE8D2F"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276B033E"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235F54" w14:paraId="3A7FE7C7" w14:textId="77777777" w:rsidTr="00AC1F17">
        <w:trPr>
          <w:trHeight w:val="3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67AF8A86" w14:textId="77777777" w:rsidR="00072A69" w:rsidRPr="00235F54" w:rsidRDefault="00072A69" w:rsidP="00AC1F17">
            <w:pPr>
              <w:spacing w:after="0" w:line="240" w:lineRule="auto"/>
              <w:jc w:val="center"/>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Gradnje</w:t>
            </w:r>
          </w:p>
        </w:tc>
        <w:tc>
          <w:tcPr>
            <w:tcW w:w="1134" w:type="dxa"/>
            <w:tcBorders>
              <w:top w:val="nil"/>
              <w:left w:val="nil"/>
              <w:bottom w:val="single" w:sz="4" w:space="0" w:color="auto"/>
              <w:right w:val="single" w:sz="4" w:space="0" w:color="auto"/>
            </w:tcBorders>
            <w:shd w:val="clear" w:color="auto" w:fill="auto"/>
            <w:vAlign w:val="center"/>
            <w:hideMark/>
          </w:tcPr>
          <w:p w14:paraId="546218FC" w14:textId="77777777" w:rsidR="00072A69" w:rsidRPr="00235F54" w:rsidRDefault="00072A69" w:rsidP="00AC1F17">
            <w:pPr>
              <w:spacing w:after="0" w:line="240" w:lineRule="auto"/>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Slovenija</w:t>
            </w:r>
          </w:p>
        </w:tc>
        <w:tc>
          <w:tcPr>
            <w:tcW w:w="1134" w:type="dxa"/>
            <w:tcBorders>
              <w:top w:val="nil"/>
              <w:left w:val="nil"/>
              <w:bottom w:val="single" w:sz="4" w:space="0" w:color="auto"/>
              <w:right w:val="single" w:sz="4" w:space="0" w:color="auto"/>
            </w:tcBorders>
            <w:shd w:val="clear" w:color="auto" w:fill="auto"/>
            <w:vAlign w:val="center"/>
            <w:hideMark/>
          </w:tcPr>
          <w:p w14:paraId="52656160"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239</w:t>
            </w:r>
          </w:p>
        </w:tc>
        <w:tc>
          <w:tcPr>
            <w:tcW w:w="992" w:type="dxa"/>
            <w:tcBorders>
              <w:top w:val="nil"/>
              <w:left w:val="nil"/>
              <w:bottom w:val="single" w:sz="4" w:space="0" w:color="auto"/>
              <w:right w:val="single" w:sz="4" w:space="0" w:color="auto"/>
            </w:tcBorders>
            <w:shd w:val="clear" w:color="auto" w:fill="auto"/>
            <w:vAlign w:val="center"/>
            <w:hideMark/>
          </w:tcPr>
          <w:p w14:paraId="165573F3"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560</w:t>
            </w:r>
          </w:p>
        </w:tc>
        <w:tc>
          <w:tcPr>
            <w:tcW w:w="1418" w:type="dxa"/>
            <w:tcBorders>
              <w:top w:val="nil"/>
              <w:left w:val="nil"/>
              <w:bottom w:val="single" w:sz="4" w:space="0" w:color="auto"/>
              <w:right w:val="single" w:sz="4" w:space="0" w:color="auto"/>
            </w:tcBorders>
            <w:shd w:val="clear" w:color="auto" w:fill="auto"/>
            <w:vAlign w:val="center"/>
            <w:hideMark/>
          </w:tcPr>
          <w:p w14:paraId="674DDD1C"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271.235.870</w:t>
            </w:r>
          </w:p>
        </w:tc>
        <w:tc>
          <w:tcPr>
            <w:tcW w:w="1123" w:type="dxa"/>
            <w:tcBorders>
              <w:top w:val="nil"/>
              <w:left w:val="nil"/>
              <w:bottom w:val="single" w:sz="4" w:space="0" w:color="auto"/>
              <w:right w:val="single" w:sz="4" w:space="0" w:color="auto"/>
            </w:tcBorders>
            <w:shd w:val="clear" w:color="auto" w:fill="auto"/>
            <w:vAlign w:val="center"/>
            <w:hideMark/>
          </w:tcPr>
          <w:p w14:paraId="31285EFA"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99,17</w:t>
            </w:r>
            <w:r>
              <w:rPr>
                <w:rFonts w:ascii="Arial" w:eastAsia="Times New Roman" w:hAnsi="Arial" w:cs="Arial"/>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74D0748F"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99,64</w:t>
            </w:r>
            <w:r>
              <w:rPr>
                <w:rFonts w:ascii="Arial" w:eastAsia="Times New Roman" w:hAnsi="Arial" w:cs="Arial"/>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7C1486AF"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97,44</w:t>
            </w:r>
            <w:r>
              <w:rPr>
                <w:rFonts w:ascii="Arial" w:eastAsia="Times New Roman" w:hAnsi="Arial" w:cs="Arial"/>
                <w:color w:val="000000"/>
                <w:sz w:val="18"/>
                <w:szCs w:val="18"/>
                <w:lang w:eastAsia="sl-SI"/>
              </w:rPr>
              <w:t xml:space="preserve"> %</w:t>
            </w:r>
          </w:p>
        </w:tc>
      </w:tr>
      <w:tr w:rsidR="00072A69" w:rsidRPr="00235F54" w14:paraId="553CD4EC" w14:textId="77777777" w:rsidTr="00AC1F17">
        <w:trPr>
          <w:trHeight w:val="300"/>
        </w:trPr>
        <w:tc>
          <w:tcPr>
            <w:tcW w:w="846" w:type="dxa"/>
            <w:vMerge/>
            <w:tcBorders>
              <w:top w:val="nil"/>
              <w:left w:val="single" w:sz="4" w:space="0" w:color="auto"/>
              <w:bottom w:val="single" w:sz="4" w:space="0" w:color="auto"/>
              <w:right w:val="single" w:sz="4" w:space="0" w:color="auto"/>
            </w:tcBorders>
            <w:vAlign w:val="center"/>
            <w:hideMark/>
          </w:tcPr>
          <w:p w14:paraId="57EB8F0A" w14:textId="77777777" w:rsidR="00072A69" w:rsidRPr="00235F54" w:rsidRDefault="00072A69" w:rsidP="00AC1F17">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vAlign w:val="center"/>
            <w:hideMark/>
          </w:tcPr>
          <w:p w14:paraId="02DB52FF" w14:textId="77777777" w:rsidR="00072A69" w:rsidRPr="00235F54" w:rsidRDefault="00072A69" w:rsidP="00AC1F17">
            <w:pPr>
              <w:spacing w:after="0" w:line="240" w:lineRule="auto"/>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EU</w:t>
            </w:r>
          </w:p>
        </w:tc>
        <w:tc>
          <w:tcPr>
            <w:tcW w:w="1134" w:type="dxa"/>
            <w:tcBorders>
              <w:top w:val="nil"/>
              <w:left w:val="nil"/>
              <w:bottom w:val="single" w:sz="4" w:space="0" w:color="auto"/>
              <w:right w:val="single" w:sz="4" w:space="0" w:color="auto"/>
            </w:tcBorders>
            <w:shd w:val="clear" w:color="auto" w:fill="auto"/>
            <w:vAlign w:val="center"/>
            <w:hideMark/>
          </w:tcPr>
          <w:p w14:paraId="330BA461"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w:t>
            </w:r>
          </w:p>
        </w:tc>
        <w:tc>
          <w:tcPr>
            <w:tcW w:w="992" w:type="dxa"/>
            <w:tcBorders>
              <w:top w:val="nil"/>
              <w:left w:val="nil"/>
              <w:bottom w:val="single" w:sz="4" w:space="0" w:color="auto"/>
              <w:right w:val="single" w:sz="4" w:space="0" w:color="auto"/>
            </w:tcBorders>
            <w:shd w:val="clear" w:color="auto" w:fill="auto"/>
            <w:vAlign w:val="center"/>
            <w:hideMark/>
          </w:tcPr>
          <w:p w14:paraId="60ADE95E"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w:t>
            </w:r>
          </w:p>
        </w:tc>
        <w:tc>
          <w:tcPr>
            <w:tcW w:w="1418" w:type="dxa"/>
            <w:tcBorders>
              <w:top w:val="nil"/>
              <w:left w:val="nil"/>
              <w:bottom w:val="single" w:sz="4" w:space="0" w:color="auto"/>
              <w:right w:val="single" w:sz="4" w:space="0" w:color="auto"/>
            </w:tcBorders>
            <w:shd w:val="clear" w:color="auto" w:fill="auto"/>
            <w:vAlign w:val="center"/>
            <w:hideMark/>
          </w:tcPr>
          <w:p w14:paraId="0ADE9A9C"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7.125.112</w:t>
            </w:r>
          </w:p>
        </w:tc>
        <w:tc>
          <w:tcPr>
            <w:tcW w:w="1123" w:type="dxa"/>
            <w:tcBorders>
              <w:top w:val="nil"/>
              <w:left w:val="nil"/>
              <w:bottom w:val="single" w:sz="4" w:space="0" w:color="auto"/>
              <w:right w:val="single" w:sz="4" w:space="0" w:color="auto"/>
            </w:tcBorders>
            <w:shd w:val="clear" w:color="auto" w:fill="auto"/>
            <w:vAlign w:val="center"/>
            <w:hideMark/>
          </w:tcPr>
          <w:p w14:paraId="18DE15E3"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0,83</w:t>
            </w:r>
            <w:r>
              <w:rPr>
                <w:rFonts w:ascii="Arial" w:eastAsia="Times New Roman" w:hAnsi="Arial" w:cs="Arial"/>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1AFA5652"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10CE4BC1" w14:textId="77777777" w:rsidR="00072A69" w:rsidRPr="00235F54" w:rsidRDefault="00072A69" w:rsidP="00AC1F17">
            <w:pPr>
              <w:spacing w:after="0" w:line="240" w:lineRule="auto"/>
              <w:jc w:val="right"/>
              <w:rPr>
                <w:rFonts w:ascii="Arial" w:eastAsia="Times New Roman" w:hAnsi="Arial" w:cs="Arial"/>
                <w:color w:val="000000"/>
                <w:sz w:val="18"/>
                <w:szCs w:val="18"/>
                <w:lang w:eastAsia="sl-SI"/>
              </w:rPr>
            </w:pPr>
            <w:r w:rsidRPr="00235F54">
              <w:rPr>
                <w:rFonts w:ascii="Arial" w:eastAsia="Times New Roman" w:hAnsi="Arial" w:cs="Arial"/>
                <w:color w:val="000000"/>
                <w:sz w:val="18"/>
                <w:szCs w:val="18"/>
                <w:lang w:eastAsia="sl-SI"/>
              </w:rPr>
              <w:t>2,56</w:t>
            </w:r>
            <w:r>
              <w:rPr>
                <w:rFonts w:ascii="Arial" w:eastAsia="Times New Roman" w:hAnsi="Arial" w:cs="Arial"/>
                <w:color w:val="000000"/>
                <w:sz w:val="18"/>
                <w:szCs w:val="18"/>
                <w:lang w:eastAsia="sl-SI"/>
              </w:rPr>
              <w:t xml:space="preserve"> %</w:t>
            </w:r>
          </w:p>
        </w:tc>
      </w:tr>
      <w:tr w:rsidR="00072A69" w:rsidRPr="00235F54" w14:paraId="0D3D51D2" w14:textId="77777777" w:rsidTr="00AC1F17">
        <w:trPr>
          <w:trHeight w:val="300"/>
        </w:trPr>
        <w:tc>
          <w:tcPr>
            <w:tcW w:w="846" w:type="dxa"/>
            <w:vMerge/>
            <w:tcBorders>
              <w:top w:val="nil"/>
              <w:left w:val="single" w:sz="4" w:space="0" w:color="auto"/>
              <w:bottom w:val="single" w:sz="4" w:space="0" w:color="auto"/>
              <w:right w:val="single" w:sz="4" w:space="0" w:color="auto"/>
            </w:tcBorders>
            <w:vAlign w:val="center"/>
            <w:hideMark/>
          </w:tcPr>
          <w:p w14:paraId="19C14937" w14:textId="77777777" w:rsidR="00072A69" w:rsidRPr="00235F54" w:rsidRDefault="00072A69" w:rsidP="00AC1F17">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vAlign w:val="center"/>
            <w:hideMark/>
          </w:tcPr>
          <w:p w14:paraId="2722708A" w14:textId="77777777" w:rsidR="00072A69" w:rsidRPr="00235F54" w:rsidRDefault="00072A69" w:rsidP="00AC1F17">
            <w:pPr>
              <w:spacing w:after="0" w:line="240" w:lineRule="auto"/>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6F442264"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241</w:t>
            </w:r>
          </w:p>
        </w:tc>
        <w:tc>
          <w:tcPr>
            <w:tcW w:w="992" w:type="dxa"/>
            <w:tcBorders>
              <w:top w:val="nil"/>
              <w:left w:val="nil"/>
              <w:bottom w:val="single" w:sz="4" w:space="0" w:color="auto"/>
              <w:right w:val="single" w:sz="4" w:space="0" w:color="auto"/>
            </w:tcBorders>
            <w:shd w:val="clear" w:color="auto" w:fill="auto"/>
            <w:vAlign w:val="center"/>
            <w:hideMark/>
          </w:tcPr>
          <w:p w14:paraId="23E84260"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562</w:t>
            </w:r>
          </w:p>
        </w:tc>
        <w:tc>
          <w:tcPr>
            <w:tcW w:w="1418" w:type="dxa"/>
            <w:tcBorders>
              <w:top w:val="nil"/>
              <w:left w:val="nil"/>
              <w:bottom w:val="single" w:sz="4" w:space="0" w:color="auto"/>
              <w:right w:val="single" w:sz="4" w:space="0" w:color="auto"/>
            </w:tcBorders>
            <w:shd w:val="clear" w:color="auto" w:fill="auto"/>
            <w:vAlign w:val="center"/>
            <w:hideMark/>
          </w:tcPr>
          <w:p w14:paraId="20473405"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278.360.982</w:t>
            </w:r>
          </w:p>
        </w:tc>
        <w:tc>
          <w:tcPr>
            <w:tcW w:w="1123" w:type="dxa"/>
            <w:tcBorders>
              <w:top w:val="nil"/>
              <w:left w:val="nil"/>
              <w:bottom w:val="single" w:sz="4" w:space="0" w:color="auto"/>
              <w:right w:val="single" w:sz="4" w:space="0" w:color="auto"/>
            </w:tcBorders>
            <w:shd w:val="clear" w:color="auto" w:fill="auto"/>
            <w:vAlign w:val="center"/>
            <w:hideMark/>
          </w:tcPr>
          <w:p w14:paraId="66A360CE"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24C5B97F"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5069FDE0"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072A69" w:rsidRPr="00235F54" w14:paraId="7D37ECAC" w14:textId="77777777" w:rsidTr="00AC1F17">
        <w:trPr>
          <w:gridAfter w:val="2"/>
          <w:wAfter w:w="2415" w:type="dxa"/>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47897CB" w14:textId="77777777" w:rsidR="00072A69" w:rsidRPr="00235F54" w:rsidRDefault="00072A69" w:rsidP="00AC1F17">
            <w:pPr>
              <w:spacing w:after="0" w:line="240" w:lineRule="auto"/>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000000" w:fill="E7E6E6"/>
            <w:noWrap/>
            <w:vAlign w:val="center"/>
            <w:hideMark/>
          </w:tcPr>
          <w:p w14:paraId="21640A8F"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946</w:t>
            </w:r>
          </w:p>
        </w:tc>
        <w:tc>
          <w:tcPr>
            <w:tcW w:w="992" w:type="dxa"/>
            <w:tcBorders>
              <w:top w:val="nil"/>
              <w:left w:val="nil"/>
              <w:bottom w:val="single" w:sz="4" w:space="0" w:color="auto"/>
              <w:right w:val="single" w:sz="4" w:space="0" w:color="auto"/>
            </w:tcBorders>
            <w:shd w:val="clear" w:color="000000" w:fill="E7E6E6"/>
            <w:noWrap/>
            <w:vAlign w:val="center"/>
            <w:hideMark/>
          </w:tcPr>
          <w:p w14:paraId="15F5D230"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5.771</w:t>
            </w:r>
          </w:p>
        </w:tc>
        <w:tc>
          <w:tcPr>
            <w:tcW w:w="1418" w:type="dxa"/>
            <w:tcBorders>
              <w:top w:val="nil"/>
              <w:left w:val="nil"/>
              <w:bottom w:val="single" w:sz="4" w:space="0" w:color="auto"/>
              <w:right w:val="single" w:sz="4" w:space="0" w:color="auto"/>
            </w:tcBorders>
            <w:shd w:val="clear" w:color="000000" w:fill="E7E6E6"/>
            <w:noWrap/>
            <w:vAlign w:val="center"/>
            <w:hideMark/>
          </w:tcPr>
          <w:p w14:paraId="128D44CC"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r w:rsidRPr="00235F54">
              <w:rPr>
                <w:rFonts w:ascii="Arial" w:eastAsia="Times New Roman" w:hAnsi="Arial" w:cs="Arial"/>
                <w:b/>
                <w:bCs/>
                <w:color w:val="000000"/>
                <w:sz w:val="18"/>
                <w:szCs w:val="18"/>
                <w:lang w:eastAsia="sl-SI"/>
              </w:rPr>
              <w:t>559.393.716</w:t>
            </w:r>
          </w:p>
        </w:tc>
        <w:tc>
          <w:tcPr>
            <w:tcW w:w="1123" w:type="dxa"/>
            <w:tcBorders>
              <w:top w:val="nil"/>
              <w:left w:val="nil"/>
              <w:bottom w:val="nil"/>
              <w:right w:val="nil"/>
            </w:tcBorders>
            <w:shd w:val="clear" w:color="auto" w:fill="auto"/>
            <w:noWrap/>
            <w:vAlign w:val="center"/>
            <w:hideMark/>
          </w:tcPr>
          <w:p w14:paraId="5094F2EA" w14:textId="77777777" w:rsidR="00072A69" w:rsidRPr="00235F54" w:rsidRDefault="00072A69" w:rsidP="00AC1F17">
            <w:pPr>
              <w:spacing w:after="0" w:line="240" w:lineRule="auto"/>
              <w:jc w:val="right"/>
              <w:rPr>
                <w:rFonts w:ascii="Arial" w:eastAsia="Times New Roman" w:hAnsi="Arial" w:cs="Arial"/>
                <w:b/>
                <w:bCs/>
                <w:color w:val="000000"/>
                <w:sz w:val="18"/>
                <w:szCs w:val="18"/>
                <w:lang w:eastAsia="sl-SI"/>
              </w:rPr>
            </w:pPr>
          </w:p>
        </w:tc>
      </w:tr>
    </w:tbl>
    <w:p w14:paraId="657F7160" w14:textId="77777777" w:rsidR="00072A69" w:rsidRDefault="00072A69" w:rsidP="00072A69">
      <w:pPr>
        <w:pStyle w:val="Odstavekseznama"/>
        <w:rPr>
          <w:rFonts w:cs="Arial"/>
          <w:sz w:val="20"/>
          <w:szCs w:val="20"/>
        </w:rPr>
      </w:pPr>
    </w:p>
    <w:p w14:paraId="652D697B" w14:textId="22ADEBF7" w:rsidR="00072A69" w:rsidRPr="00337D75" w:rsidRDefault="00337D75" w:rsidP="00337D75">
      <w:pPr>
        <w:rPr>
          <w:rFonts w:ascii="Arial" w:hAnsi="Arial" w:cs="Arial"/>
          <w:sz w:val="20"/>
          <w:szCs w:val="20"/>
        </w:rPr>
      </w:pPr>
      <w:r w:rsidRPr="00337D75">
        <w:rPr>
          <w:rFonts w:ascii="Arial" w:hAnsi="Arial" w:cs="Arial"/>
          <w:sz w:val="20"/>
          <w:szCs w:val="20"/>
        </w:rPr>
        <w:lastRenderedPageBreak/>
        <w:t xml:space="preserve">Preglednica 117: </w:t>
      </w:r>
      <w:r w:rsidR="00072A69" w:rsidRPr="00337D75">
        <w:rPr>
          <w:rFonts w:ascii="Arial" w:hAnsi="Arial" w:cs="Arial"/>
          <w:sz w:val="20"/>
          <w:szCs w:val="20"/>
        </w:rPr>
        <w:t>Število ponudnikov, ki jim je bilo oddano vsaj eno zeleno naročilo, razčlenjeno glede na vrsto predmeta in velikost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700"/>
        <w:gridCol w:w="1135"/>
        <w:gridCol w:w="993"/>
        <w:gridCol w:w="1278"/>
        <w:gridCol w:w="1136"/>
        <w:gridCol w:w="995"/>
        <w:gridCol w:w="979"/>
      </w:tblGrid>
      <w:tr w:rsidR="00072A69" w:rsidRPr="007D1B96" w14:paraId="16C87BFA" w14:textId="77777777" w:rsidTr="00AC1F17">
        <w:trPr>
          <w:trHeight w:val="480"/>
        </w:trPr>
        <w:tc>
          <w:tcPr>
            <w:tcW w:w="467" w:type="pct"/>
            <w:shd w:val="clear" w:color="000000" w:fill="E7E6E6"/>
            <w:noWrap/>
            <w:vAlign w:val="center"/>
            <w:hideMark/>
          </w:tcPr>
          <w:p w14:paraId="1A348C52"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Predmet</w:t>
            </w:r>
          </w:p>
        </w:tc>
        <w:tc>
          <w:tcPr>
            <w:tcW w:w="938" w:type="pct"/>
            <w:shd w:val="clear" w:color="000000" w:fill="E7E6E6"/>
            <w:noWrap/>
            <w:vAlign w:val="center"/>
            <w:hideMark/>
          </w:tcPr>
          <w:p w14:paraId="6CF7EA32"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Velikost ponudnika</w:t>
            </w:r>
          </w:p>
        </w:tc>
        <w:tc>
          <w:tcPr>
            <w:tcW w:w="626" w:type="pct"/>
            <w:shd w:val="clear" w:color="000000" w:fill="E7E6E6"/>
            <w:noWrap/>
            <w:vAlign w:val="center"/>
            <w:hideMark/>
          </w:tcPr>
          <w:p w14:paraId="7DE07A25"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Št. ponudnikov</w:t>
            </w:r>
          </w:p>
        </w:tc>
        <w:tc>
          <w:tcPr>
            <w:tcW w:w="548" w:type="pct"/>
            <w:shd w:val="clear" w:color="000000" w:fill="E7E6E6"/>
            <w:vAlign w:val="center"/>
            <w:hideMark/>
          </w:tcPr>
          <w:p w14:paraId="27BAD28E"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Št. zelenih naročil</w:t>
            </w:r>
          </w:p>
        </w:tc>
        <w:tc>
          <w:tcPr>
            <w:tcW w:w="705" w:type="pct"/>
            <w:shd w:val="clear" w:color="000000" w:fill="E7E6E6"/>
            <w:vAlign w:val="center"/>
            <w:hideMark/>
          </w:tcPr>
          <w:p w14:paraId="452C67D4"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Pogodbena vrednost</w:t>
            </w:r>
          </w:p>
        </w:tc>
        <w:tc>
          <w:tcPr>
            <w:tcW w:w="627" w:type="pct"/>
            <w:shd w:val="clear" w:color="000000" w:fill="E7E6E6"/>
            <w:noWrap/>
            <w:vAlign w:val="center"/>
            <w:hideMark/>
          </w:tcPr>
          <w:p w14:paraId="53980C7A"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Delež v št. ponudnikov</w:t>
            </w:r>
          </w:p>
        </w:tc>
        <w:tc>
          <w:tcPr>
            <w:tcW w:w="549" w:type="pct"/>
            <w:shd w:val="clear" w:color="000000" w:fill="E7E6E6"/>
            <w:noWrap/>
            <w:vAlign w:val="center"/>
            <w:hideMark/>
          </w:tcPr>
          <w:p w14:paraId="0B2383B5"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Delež v št. naročil</w:t>
            </w:r>
          </w:p>
        </w:tc>
        <w:tc>
          <w:tcPr>
            <w:tcW w:w="540" w:type="pct"/>
            <w:shd w:val="clear" w:color="000000" w:fill="E7E6E6"/>
            <w:noWrap/>
            <w:vAlign w:val="center"/>
            <w:hideMark/>
          </w:tcPr>
          <w:p w14:paraId="6C8072FE"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Delež v vrednosti</w:t>
            </w:r>
          </w:p>
        </w:tc>
      </w:tr>
      <w:tr w:rsidR="00072A69" w:rsidRPr="007D1B96" w14:paraId="0501718E" w14:textId="77777777" w:rsidTr="00AC1F17">
        <w:trPr>
          <w:trHeight w:val="300"/>
        </w:trPr>
        <w:tc>
          <w:tcPr>
            <w:tcW w:w="467" w:type="pct"/>
            <w:vMerge w:val="restart"/>
            <w:shd w:val="clear" w:color="auto" w:fill="auto"/>
            <w:noWrap/>
            <w:vAlign w:val="center"/>
            <w:hideMark/>
          </w:tcPr>
          <w:p w14:paraId="2448E97C"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Blago</w:t>
            </w:r>
          </w:p>
        </w:tc>
        <w:tc>
          <w:tcPr>
            <w:tcW w:w="938" w:type="pct"/>
            <w:shd w:val="clear" w:color="auto" w:fill="auto"/>
            <w:vAlign w:val="center"/>
            <w:hideMark/>
          </w:tcPr>
          <w:p w14:paraId="1C31EE59" w14:textId="77777777" w:rsidR="00072A69" w:rsidRPr="007D1B96" w:rsidRDefault="00072A69" w:rsidP="00AC1F17">
            <w:pPr>
              <w:spacing w:after="0" w:line="240" w:lineRule="auto"/>
              <w:rPr>
                <w:rFonts w:ascii="Arial" w:eastAsia="Times New Roman" w:hAnsi="Arial" w:cs="Arial"/>
                <w:color w:val="000000"/>
                <w:sz w:val="18"/>
                <w:szCs w:val="18"/>
                <w:lang w:eastAsia="sl-SI"/>
              </w:rPr>
            </w:pPr>
            <w:proofErr w:type="spellStart"/>
            <w:r w:rsidRPr="007D1B96">
              <w:rPr>
                <w:rFonts w:ascii="Arial" w:eastAsia="Times New Roman" w:hAnsi="Arial" w:cs="Arial"/>
                <w:color w:val="000000"/>
                <w:sz w:val="18"/>
                <w:szCs w:val="18"/>
                <w:lang w:eastAsia="sl-SI"/>
              </w:rPr>
              <w:t>Mikro</w:t>
            </w:r>
            <w:proofErr w:type="spellEnd"/>
            <w:r w:rsidRPr="007D1B96">
              <w:rPr>
                <w:rFonts w:ascii="Arial" w:eastAsia="Times New Roman" w:hAnsi="Arial" w:cs="Arial"/>
                <w:color w:val="000000"/>
                <w:sz w:val="18"/>
                <w:szCs w:val="18"/>
                <w:lang w:eastAsia="sl-SI"/>
              </w:rPr>
              <w:t xml:space="preserve"> enote</w:t>
            </w:r>
          </w:p>
        </w:tc>
        <w:tc>
          <w:tcPr>
            <w:tcW w:w="626" w:type="pct"/>
            <w:shd w:val="clear" w:color="auto" w:fill="auto"/>
            <w:vAlign w:val="center"/>
            <w:hideMark/>
          </w:tcPr>
          <w:p w14:paraId="42919DE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105</w:t>
            </w:r>
          </w:p>
        </w:tc>
        <w:tc>
          <w:tcPr>
            <w:tcW w:w="548" w:type="pct"/>
            <w:shd w:val="clear" w:color="auto" w:fill="auto"/>
            <w:vAlign w:val="center"/>
            <w:hideMark/>
          </w:tcPr>
          <w:p w14:paraId="676485E1"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330</w:t>
            </w:r>
          </w:p>
        </w:tc>
        <w:tc>
          <w:tcPr>
            <w:tcW w:w="705" w:type="pct"/>
            <w:shd w:val="clear" w:color="auto" w:fill="auto"/>
            <w:vAlign w:val="center"/>
            <w:hideMark/>
          </w:tcPr>
          <w:p w14:paraId="16710173"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15.688.922</w:t>
            </w:r>
          </w:p>
        </w:tc>
        <w:tc>
          <w:tcPr>
            <w:tcW w:w="627" w:type="pct"/>
            <w:shd w:val="clear" w:color="auto" w:fill="auto"/>
            <w:noWrap/>
            <w:vAlign w:val="center"/>
            <w:hideMark/>
          </w:tcPr>
          <w:p w14:paraId="08516429"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22,15</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357C220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6,97</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76325C07" w14:textId="30610572"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7,57</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6BEFC9F7" w14:textId="77777777" w:rsidTr="00AC1F17">
        <w:trPr>
          <w:trHeight w:val="300"/>
        </w:trPr>
        <w:tc>
          <w:tcPr>
            <w:tcW w:w="467" w:type="pct"/>
            <w:vMerge/>
            <w:vAlign w:val="center"/>
            <w:hideMark/>
          </w:tcPr>
          <w:p w14:paraId="236E158D"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513D8834"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Majhne enote</w:t>
            </w:r>
          </w:p>
        </w:tc>
        <w:tc>
          <w:tcPr>
            <w:tcW w:w="626" w:type="pct"/>
            <w:shd w:val="clear" w:color="auto" w:fill="auto"/>
            <w:vAlign w:val="center"/>
            <w:hideMark/>
          </w:tcPr>
          <w:p w14:paraId="409F25C2"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197</w:t>
            </w:r>
          </w:p>
        </w:tc>
        <w:tc>
          <w:tcPr>
            <w:tcW w:w="548" w:type="pct"/>
            <w:shd w:val="clear" w:color="auto" w:fill="auto"/>
            <w:vAlign w:val="center"/>
            <w:hideMark/>
          </w:tcPr>
          <w:p w14:paraId="34784869"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1.431</w:t>
            </w:r>
          </w:p>
        </w:tc>
        <w:tc>
          <w:tcPr>
            <w:tcW w:w="705" w:type="pct"/>
            <w:shd w:val="clear" w:color="auto" w:fill="auto"/>
            <w:vAlign w:val="center"/>
            <w:hideMark/>
          </w:tcPr>
          <w:p w14:paraId="057EC22F"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53.630.758</w:t>
            </w:r>
          </w:p>
        </w:tc>
        <w:tc>
          <w:tcPr>
            <w:tcW w:w="627" w:type="pct"/>
            <w:shd w:val="clear" w:color="auto" w:fill="auto"/>
            <w:noWrap/>
            <w:vAlign w:val="center"/>
            <w:hideMark/>
          </w:tcPr>
          <w:p w14:paraId="6AEC36F9"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41,56</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0305ED9D"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30,23</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15795CF4" w14:textId="151AC55A"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25,89</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2FE1787E" w14:textId="77777777" w:rsidTr="00AC1F17">
        <w:trPr>
          <w:trHeight w:val="300"/>
        </w:trPr>
        <w:tc>
          <w:tcPr>
            <w:tcW w:w="467" w:type="pct"/>
            <w:vMerge/>
            <w:vAlign w:val="center"/>
            <w:hideMark/>
          </w:tcPr>
          <w:p w14:paraId="69240AF4"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26C52728"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Srednje enote</w:t>
            </w:r>
          </w:p>
        </w:tc>
        <w:tc>
          <w:tcPr>
            <w:tcW w:w="626" w:type="pct"/>
            <w:shd w:val="clear" w:color="auto" w:fill="auto"/>
            <w:vAlign w:val="center"/>
            <w:hideMark/>
          </w:tcPr>
          <w:p w14:paraId="747BEE50"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88</w:t>
            </w:r>
          </w:p>
        </w:tc>
        <w:tc>
          <w:tcPr>
            <w:tcW w:w="548" w:type="pct"/>
            <w:shd w:val="clear" w:color="auto" w:fill="auto"/>
            <w:vAlign w:val="center"/>
            <w:hideMark/>
          </w:tcPr>
          <w:p w14:paraId="51726986"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1.409</w:t>
            </w:r>
          </w:p>
        </w:tc>
        <w:tc>
          <w:tcPr>
            <w:tcW w:w="705" w:type="pct"/>
            <w:shd w:val="clear" w:color="auto" w:fill="auto"/>
            <w:vAlign w:val="center"/>
            <w:hideMark/>
          </w:tcPr>
          <w:p w14:paraId="2D471A4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54.872.310</w:t>
            </w:r>
          </w:p>
        </w:tc>
        <w:tc>
          <w:tcPr>
            <w:tcW w:w="627" w:type="pct"/>
            <w:shd w:val="clear" w:color="auto" w:fill="auto"/>
            <w:noWrap/>
            <w:vAlign w:val="center"/>
            <w:hideMark/>
          </w:tcPr>
          <w:p w14:paraId="1BC75B5A"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18,57</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4A084B76"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29,76</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3B43B773" w14:textId="3F11C67E"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26,49</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4648FFA2" w14:textId="77777777" w:rsidTr="00AC1F17">
        <w:trPr>
          <w:trHeight w:val="300"/>
        </w:trPr>
        <w:tc>
          <w:tcPr>
            <w:tcW w:w="467" w:type="pct"/>
            <w:vMerge/>
            <w:vAlign w:val="center"/>
            <w:hideMark/>
          </w:tcPr>
          <w:p w14:paraId="77D838B6"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3D048E23"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Velike enote</w:t>
            </w:r>
          </w:p>
        </w:tc>
        <w:tc>
          <w:tcPr>
            <w:tcW w:w="626" w:type="pct"/>
            <w:shd w:val="clear" w:color="auto" w:fill="auto"/>
            <w:vAlign w:val="center"/>
            <w:hideMark/>
          </w:tcPr>
          <w:p w14:paraId="72CD9D7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41</w:t>
            </w:r>
          </w:p>
        </w:tc>
        <w:tc>
          <w:tcPr>
            <w:tcW w:w="548" w:type="pct"/>
            <w:shd w:val="clear" w:color="auto" w:fill="auto"/>
            <w:vAlign w:val="center"/>
            <w:hideMark/>
          </w:tcPr>
          <w:p w14:paraId="551EECB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1.493</w:t>
            </w:r>
          </w:p>
        </w:tc>
        <w:tc>
          <w:tcPr>
            <w:tcW w:w="705" w:type="pct"/>
            <w:shd w:val="clear" w:color="auto" w:fill="auto"/>
            <w:vAlign w:val="center"/>
            <w:hideMark/>
          </w:tcPr>
          <w:p w14:paraId="1E6D2172"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81.285.903</w:t>
            </w:r>
          </w:p>
        </w:tc>
        <w:tc>
          <w:tcPr>
            <w:tcW w:w="627" w:type="pct"/>
            <w:shd w:val="clear" w:color="auto" w:fill="auto"/>
            <w:noWrap/>
            <w:vAlign w:val="center"/>
            <w:hideMark/>
          </w:tcPr>
          <w:p w14:paraId="5BA8E5E2"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8,65</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7987F646"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31,54</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6FFFE033" w14:textId="27F89D7A"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39,24</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53465072" w14:textId="77777777" w:rsidTr="00AC1F17">
        <w:trPr>
          <w:trHeight w:val="480"/>
        </w:trPr>
        <w:tc>
          <w:tcPr>
            <w:tcW w:w="467" w:type="pct"/>
            <w:vMerge/>
            <w:vAlign w:val="center"/>
            <w:hideMark/>
          </w:tcPr>
          <w:p w14:paraId="7983D479"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517B1201"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Velikost RS se ne izračunava</w:t>
            </w:r>
          </w:p>
        </w:tc>
        <w:tc>
          <w:tcPr>
            <w:tcW w:w="626" w:type="pct"/>
            <w:shd w:val="clear" w:color="auto" w:fill="auto"/>
            <w:vAlign w:val="center"/>
            <w:hideMark/>
          </w:tcPr>
          <w:p w14:paraId="796E8780"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29</w:t>
            </w:r>
          </w:p>
        </w:tc>
        <w:tc>
          <w:tcPr>
            <w:tcW w:w="548" w:type="pct"/>
            <w:shd w:val="clear" w:color="auto" w:fill="auto"/>
            <w:vAlign w:val="center"/>
            <w:hideMark/>
          </w:tcPr>
          <w:p w14:paraId="2051433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47</w:t>
            </w:r>
          </w:p>
        </w:tc>
        <w:tc>
          <w:tcPr>
            <w:tcW w:w="705" w:type="pct"/>
            <w:shd w:val="clear" w:color="auto" w:fill="auto"/>
            <w:vAlign w:val="center"/>
            <w:hideMark/>
          </w:tcPr>
          <w:p w14:paraId="688C8FC9"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982.923</w:t>
            </w:r>
          </w:p>
        </w:tc>
        <w:tc>
          <w:tcPr>
            <w:tcW w:w="627" w:type="pct"/>
            <w:shd w:val="clear" w:color="auto" w:fill="auto"/>
            <w:noWrap/>
            <w:vAlign w:val="center"/>
            <w:hideMark/>
          </w:tcPr>
          <w:p w14:paraId="7375070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6,12</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6B9C99A5"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0,99</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71BF4EFE" w14:textId="07BE12A9"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0,47</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7B04E06B" w14:textId="77777777" w:rsidTr="00AC1F17">
        <w:trPr>
          <w:trHeight w:val="480"/>
        </w:trPr>
        <w:tc>
          <w:tcPr>
            <w:tcW w:w="467" w:type="pct"/>
            <w:vMerge/>
            <w:vAlign w:val="center"/>
            <w:hideMark/>
          </w:tcPr>
          <w:p w14:paraId="4B890E17"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63EE58AD"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Ni podatka o velikosti</w:t>
            </w:r>
          </w:p>
        </w:tc>
        <w:tc>
          <w:tcPr>
            <w:tcW w:w="626" w:type="pct"/>
            <w:shd w:val="clear" w:color="auto" w:fill="auto"/>
            <w:vAlign w:val="center"/>
            <w:hideMark/>
          </w:tcPr>
          <w:p w14:paraId="49CCDA43"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w:t>
            </w:r>
          </w:p>
        </w:tc>
        <w:tc>
          <w:tcPr>
            <w:tcW w:w="548" w:type="pct"/>
            <w:shd w:val="clear" w:color="auto" w:fill="auto"/>
            <w:vAlign w:val="center"/>
            <w:hideMark/>
          </w:tcPr>
          <w:p w14:paraId="52DE080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24</w:t>
            </w:r>
          </w:p>
        </w:tc>
        <w:tc>
          <w:tcPr>
            <w:tcW w:w="705" w:type="pct"/>
            <w:shd w:val="clear" w:color="auto" w:fill="auto"/>
            <w:vAlign w:val="center"/>
            <w:hideMark/>
          </w:tcPr>
          <w:p w14:paraId="2AE66CD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706.822</w:t>
            </w:r>
          </w:p>
        </w:tc>
        <w:tc>
          <w:tcPr>
            <w:tcW w:w="627" w:type="pct"/>
            <w:shd w:val="clear" w:color="auto" w:fill="auto"/>
            <w:noWrap/>
            <w:vAlign w:val="center"/>
            <w:hideMark/>
          </w:tcPr>
          <w:p w14:paraId="64E9BFA7"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2,95</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766A642C"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0,51</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6A91EB83" w14:textId="21DE9FDC"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0,34</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1F378C45" w14:textId="77777777" w:rsidTr="00AC1F17">
        <w:trPr>
          <w:trHeight w:val="300"/>
        </w:trPr>
        <w:tc>
          <w:tcPr>
            <w:tcW w:w="467" w:type="pct"/>
            <w:vMerge/>
            <w:vAlign w:val="center"/>
            <w:hideMark/>
          </w:tcPr>
          <w:p w14:paraId="0522754A"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15FA5AA6" w14:textId="77777777" w:rsidR="00072A69" w:rsidRPr="007D1B96" w:rsidRDefault="00072A69" w:rsidP="00AC1F17">
            <w:pPr>
              <w:spacing w:after="0" w:line="240" w:lineRule="auto"/>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Skupaj</w:t>
            </w:r>
          </w:p>
        </w:tc>
        <w:tc>
          <w:tcPr>
            <w:tcW w:w="626" w:type="pct"/>
            <w:shd w:val="clear" w:color="auto" w:fill="auto"/>
            <w:vAlign w:val="center"/>
            <w:hideMark/>
          </w:tcPr>
          <w:p w14:paraId="40743FB6"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474</w:t>
            </w:r>
          </w:p>
        </w:tc>
        <w:tc>
          <w:tcPr>
            <w:tcW w:w="548" w:type="pct"/>
            <w:shd w:val="clear" w:color="auto" w:fill="auto"/>
            <w:vAlign w:val="center"/>
            <w:hideMark/>
          </w:tcPr>
          <w:p w14:paraId="46BD05CE"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4.734</w:t>
            </w:r>
          </w:p>
        </w:tc>
        <w:tc>
          <w:tcPr>
            <w:tcW w:w="705" w:type="pct"/>
            <w:shd w:val="clear" w:color="auto" w:fill="auto"/>
            <w:vAlign w:val="center"/>
            <w:hideMark/>
          </w:tcPr>
          <w:p w14:paraId="5C947DC3"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207.167.638</w:t>
            </w:r>
          </w:p>
        </w:tc>
        <w:tc>
          <w:tcPr>
            <w:tcW w:w="627" w:type="pct"/>
            <w:shd w:val="clear" w:color="auto" w:fill="auto"/>
            <w:noWrap/>
            <w:vAlign w:val="center"/>
            <w:hideMark/>
          </w:tcPr>
          <w:p w14:paraId="47A97815"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9" w:type="pct"/>
            <w:shd w:val="clear" w:color="auto" w:fill="auto"/>
            <w:noWrap/>
            <w:vAlign w:val="center"/>
            <w:hideMark/>
          </w:tcPr>
          <w:p w14:paraId="4B709A17"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0" w:type="pct"/>
            <w:shd w:val="clear" w:color="auto" w:fill="auto"/>
            <w:noWrap/>
            <w:vAlign w:val="center"/>
            <w:hideMark/>
          </w:tcPr>
          <w:p w14:paraId="39D443BD" w14:textId="74A772D1"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sidR="0017776C">
              <w:rPr>
                <w:rFonts w:ascii="Arial" w:eastAsia="Times New Roman" w:hAnsi="Arial" w:cs="Arial"/>
                <w:b/>
                <w:bCs/>
                <w:color w:val="000000"/>
                <w:sz w:val="18"/>
                <w:szCs w:val="18"/>
                <w:lang w:eastAsia="sl-SI"/>
              </w:rPr>
              <w:t xml:space="preserve"> </w:t>
            </w:r>
            <w:r w:rsidRPr="007D1B96">
              <w:rPr>
                <w:rFonts w:ascii="Arial" w:eastAsia="Times New Roman" w:hAnsi="Arial" w:cs="Arial"/>
                <w:b/>
                <w:bCs/>
                <w:color w:val="000000"/>
                <w:sz w:val="18"/>
                <w:szCs w:val="18"/>
                <w:lang w:eastAsia="sl-SI"/>
              </w:rPr>
              <w:t>%</w:t>
            </w:r>
          </w:p>
        </w:tc>
      </w:tr>
      <w:tr w:rsidR="00072A69" w:rsidRPr="007D1B96" w14:paraId="0E4D2644" w14:textId="77777777" w:rsidTr="00AC1F17">
        <w:trPr>
          <w:trHeight w:val="300"/>
        </w:trPr>
        <w:tc>
          <w:tcPr>
            <w:tcW w:w="467" w:type="pct"/>
            <w:vMerge w:val="restart"/>
            <w:shd w:val="clear" w:color="auto" w:fill="auto"/>
            <w:vAlign w:val="center"/>
            <w:hideMark/>
          </w:tcPr>
          <w:p w14:paraId="310CE80B"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Storitve</w:t>
            </w:r>
          </w:p>
        </w:tc>
        <w:tc>
          <w:tcPr>
            <w:tcW w:w="938" w:type="pct"/>
            <w:shd w:val="clear" w:color="auto" w:fill="auto"/>
            <w:vAlign w:val="center"/>
            <w:hideMark/>
          </w:tcPr>
          <w:p w14:paraId="572EB195" w14:textId="77777777" w:rsidR="00072A69" w:rsidRPr="007D1B96" w:rsidRDefault="00072A69" w:rsidP="00AC1F17">
            <w:pPr>
              <w:spacing w:after="0" w:line="240" w:lineRule="auto"/>
              <w:rPr>
                <w:rFonts w:ascii="Arial" w:eastAsia="Times New Roman" w:hAnsi="Arial" w:cs="Arial"/>
                <w:color w:val="000000"/>
                <w:sz w:val="18"/>
                <w:szCs w:val="18"/>
                <w:lang w:eastAsia="sl-SI"/>
              </w:rPr>
            </w:pPr>
            <w:proofErr w:type="spellStart"/>
            <w:r w:rsidRPr="007D1B96">
              <w:rPr>
                <w:rFonts w:ascii="Arial" w:eastAsia="Times New Roman" w:hAnsi="Arial" w:cs="Arial"/>
                <w:color w:val="000000"/>
                <w:sz w:val="18"/>
                <w:szCs w:val="18"/>
                <w:lang w:eastAsia="sl-SI"/>
              </w:rPr>
              <w:t>Mikro</w:t>
            </w:r>
            <w:proofErr w:type="spellEnd"/>
            <w:r w:rsidRPr="007D1B96">
              <w:rPr>
                <w:rFonts w:ascii="Arial" w:eastAsia="Times New Roman" w:hAnsi="Arial" w:cs="Arial"/>
                <w:color w:val="000000"/>
                <w:sz w:val="18"/>
                <w:szCs w:val="18"/>
                <w:lang w:eastAsia="sl-SI"/>
              </w:rPr>
              <w:t xml:space="preserve"> enote</w:t>
            </w:r>
          </w:p>
        </w:tc>
        <w:tc>
          <w:tcPr>
            <w:tcW w:w="626" w:type="pct"/>
            <w:shd w:val="clear" w:color="auto" w:fill="auto"/>
            <w:vAlign w:val="center"/>
            <w:hideMark/>
          </w:tcPr>
          <w:p w14:paraId="355F74D3"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82</w:t>
            </w:r>
          </w:p>
        </w:tc>
        <w:tc>
          <w:tcPr>
            <w:tcW w:w="548" w:type="pct"/>
            <w:shd w:val="clear" w:color="auto" w:fill="auto"/>
            <w:vAlign w:val="center"/>
            <w:hideMark/>
          </w:tcPr>
          <w:p w14:paraId="2A11985F"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115</w:t>
            </w:r>
          </w:p>
        </w:tc>
        <w:tc>
          <w:tcPr>
            <w:tcW w:w="705" w:type="pct"/>
            <w:shd w:val="clear" w:color="auto" w:fill="auto"/>
            <w:vAlign w:val="center"/>
            <w:hideMark/>
          </w:tcPr>
          <w:p w14:paraId="000F4690"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14.196.098</w:t>
            </w:r>
          </w:p>
        </w:tc>
        <w:tc>
          <w:tcPr>
            <w:tcW w:w="627" w:type="pct"/>
            <w:shd w:val="clear" w:color="auto" w:fill="auto"/>
            <w:noWrap/>
            <w:vAlign w:val="center"/>
            <w:hideMark/>
          </w:tcPr>
          <w:p w14:paraId="6512B1D1"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35,50</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193C7EEA"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24,21</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40DD8BE8" w14:textId="56ECA918"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19,22</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086466D1" w14:textId="77777777" w:rsidTr="00AC1F17">
        <w:trPr>
          <w:trHeight w:val="300"/>
        </w:trPr>
        <w:tc>
          <w:tcPr>
            <w:tcW w:w="467" w:type="pct"/>
            <w:vMerge/>
            <w:vAlign w:val="center"/>
            <w:hideMark/>
          </w:tcPr>
          <w:p w14:paraId="40C1B028"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618FC3DF"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Majhne enote</w:t>
            </w:r>
          </w:p>
        </w:tc>
        <w:tc>
          <w:tcPr>
            <w:tcW w:w="626" w:type="pct"/>
            <w:shd w:val="clear" w:color="auto" w:fill="auto"/>
            <w:vAlign w:val="center"/>
            <w:hideMark/>
          </w:tcPr>
          <w:p w14:paraId="635A3DF1"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86</w:t>
            </w:r>
          </w:p>
        </w:tc>
        <w:tc>
          <w:tcPr>
            <w:tcW w:w="548" w:type="pct"/>
            <w:shd w:val="clear" w:color="auto" w:fill="auto"/>
            <w:vAlign w:val="center"/>
            <w:hideMark/>
          </w:tcPr>
          <w:p w14:paraId="18073107"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225</w:t>
            </w:r>
          </w:p>
        </w:tc>
        <w:tc>
          <w:tcPr>
            <w:tcW w:w="705" w:type="pct"/>
            <w:shd w:val="clear" w:color="auto" w:fill="auto"/>
            <w:vAlign w:val="center"/>
            <w:hideMark/>
          </w:tcPr>
          <w:p w14:paraId="66F0914A"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34.939.611</w:t>
            </w:r>
          </w:p>
        </w:tc>
        <w:tc>
          <w:tcPr>
            <w:tcW w:w="627" w:type="pct"/>
            <w:shd w:val="clear" w:color="auto" w:fill="auto"/>
            <w:noWrap/>
            <w:vAlign w:val="center"/>
            <w:hideMark/>
          </w:tcPr>
          <w:p w14:paraId="3602A31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37,23</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1E388A92"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47,37</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7A28C041" w14:textId="501FF095"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47,30</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3F0B85A6" w14:textId="77777777" w:rsidTr="00AC1F17">
        <w:trPr>
          <w:trHeight w:val="300"/>
        </w:trPr>
        <w:tc>
          <w:tcPr>
            <w:tcW w:w="467" w:type="pct"/>
            <w:vMerge/>
            <w:vAlign w:val="center"/>
            <w:hideMark/>
          </w:tcPr>
          <w:p w14:paraId="0EC9144E"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531CA689"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Srednje enote</w:t>
            </w:r>
          </w:p>
        </w:tc>
        <w:tc>
          <w:tcPr>
            <w:tcW w:w="626" w:type="pct"/>
            <w:shd w:val="clear" w:color="auto" w:fill="auto"/>
            <w:vAlign w:val="center"/>
            <w:hideMark/>
          </w:tcPr>
          <w:p w14:paraId="0D2DCA70"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32</w:t>
            </w:r>
          </w:p>
        </w:tc>
        <w:tc>
          <w:tcPr>
            <w:tcW w:w="548" w:type="pct"/>
            <w:shd w:val="clear" w:color="auto" w:fill="auto"/>
            <w:vAlign w:val="center"/>
            <w:hideMark/>
          </w:tcPr>
          <w:p w14:paraId="30BBD70C"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85</w:t>
            </w:r>
          </w:p>
        </w:tc>
        <w:tc>
          <w:tcPr>
            <w:tcW w:w="705" w:type="pct"/>
            <w:shd w:val="clear" w:color="auto" w:fill="auto"/>
            <w:vAlign w:val="center"/>
            <w:hideMark/>
          </w:tcPr>
          <w:p w14:paraId="3135AF3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15.546.101</w:t>
            </w:r>
          </w:p>
        </w:tc>
        <w:tc>
          <w:tcPr>
            <w:tcW w:w="627" w:type="pct"/>
            <w:shd w:val="clear" w:color="auto" w:fill="auto"/>
            <w:noWrap/>
            <w:vAlign w:val="center"/>
            <w:hideMark/>
          </w:tcPr>
          <w:p w14:paraId="738FB23C"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13,85</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6AB59F2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17,89</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54A7A902" w14:textId="745D6F6C"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21,05</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35C678EC" w14:textId="77777777" w:rsidTr="00AC1F17">
        <w:trPr>
          <w:trHeight w:val="300"/>
        </w:trPr>
        <w:tc>
          <w:tcPr>
            <w:tcW w:w="467" w:type="pct"/>
            <w:vMerge/>
            <w:vAlign w:val="center"/>
            <w:hideMark/>
          </w:tcPr>
          <w:p w14:paraId="3812F591"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4A63815C"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Velike enote</w:t>
            </w:r>
          </w:p>
        </w:tc>
        <w:tc>
          <w:tcPr>
            <w:tcW w:w="626" w:type="pct"/>
            <w:shd w:val="clear" w:color="auto" w:fill="auto"/>
            <w:vAlign w:val="center"/>
            <w:hideMark/>
          </w:tcPr>
          <w:p w14:paraId="66667D69"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13</w:t>
            </w:r>
          </w:p>
        </w:tc>
        <w:tc>
          <w:tcPr>
            <w:tcW w:w="548" w:type="pct"/>
            <w:shd w:val="clear" w:color="auto" w:fill="auto"/>
            <w:vAlign w:val="center"/>
            <w:hideMark/>
          </w:tcPr>
          <w:p w14:paraId="04E620E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21</w:t>
            </w:r>
          </w:p>
        </w:tc>
        <w:tc>
          <w:tcPr>
            <w:tcW w:w="705" w:type="pct"/>
            <w:shd w:val="clear" w:color="auto" w:fill="auto"/>
            <w:vAlign w:val="center"/>
            <w:hideMark/>
          </w:tcPr>
          <w:p w14:paraId="0B8A00A3"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4.438.353</w:t>
            </w:r>
          </w:p>
        </w:tc>
        <w:tc>
          <w:tcPr>
            <w:tcW w:w="627" w:type="pct"/>
            <w:shd w:val="clear" w:color="auto" w:fill="auto"/>
            <w:noWrap/>
            <w:vAlign w:val="center"/>
            <w:hideMark/>
          </w:tcPr>
          <w:p w14:paraId="48472D3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5,63</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6D9E025F"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4,42</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61CDF896" w14:textId="3F8886A2"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6,01</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1CF8E20D" w14:textId="77777777" w:rsidTr="00AC1F17">
        <w:trPr>
          <w:trHeight w:val="480"/>
        </w:trPr>
        <w:tc>
          <w:tcPr>
            <w:tcW w:w="467" w:type="pct"/>
            <w:vMerge/>
            <w:vAlign w:val="center"/>
            <w:hideMark/>
          </w:tcPr>
          <w:p w14:paraId="1A19B4D4"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673ADA3E"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Velikost RS se ne izračunava</w:t>
            </w:r>
          </w:p>
        </w:tc>
        <w:tc>
          <w:tcPr>
            <w:tcW w:w="626" w:type="pct"/>
            <w:shd w:val="clear" w:color="auto" w:fill="auto"/>
            <w:vAlign w:val="center"/>
            <w:hideMark/>
          </w:tcPr>
          <w:p w14:paraId="57D36353"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12</w:t>
            </w:r>
          </w:p>
        </w:tc>
        <w:tc>
          <w:tcPr>
            <w:tcW w:w="548" w:type="pct"/>
            <w:shd w:val="clear" w:color="auto" w:fill="auto"/>
            <w:vAlign w:val="center"/>
            <w:hideMark/>
          </w:tcPr>
          <w:p w14:paraId="63964915"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18</w:t>
            </w:r>
          </w:p>
        </w:tc>
        <w:tc>
          <w:tcPr>
            <w:tcW w:w="705" w:type="pct"/>
            <w:shd w:val="clear" w:color="auto" w:fill="auto"/>
            <w:vAlign w:val="center"/>
            <w:hideMark/>
          </w:tcPr>
          <w:p w14:paraId="177E93FB"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2.445.012</w:t>
            </w:r>
          </w:p>
        </w:tc>
        <w:tc>
          <w:tcPr>
            <w:tcW w:w="627" w:type="pct"/>
            <w:shd w:val="clear" w:color="auto" w:fill="auto"/>
            <w:noWrap/>
            <w:vAlign w:val="center"/>
            <w:hideMark/>
          </w:tcPr>
          <w:p w14:paraId="6DFFC67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5,19</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086EC677"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3,79</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1CC06BEB" w14:textId="73A1CD30"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3,31</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371967EE" w14:textId="77777777" w:rsidTr="00AC1F17">
        <w:trPr>
          <w:trHeight w:val="480"/>
        </w:trPr>
        <w:tc>
          <w:tcPr>
            <w:tcW w:w="467" w:type="pct"/>
            <w:vMerge/>
            <w:vAlign w:val="center"/>
            <w:hideMark/>
          </w:tcPr>
          <w:p w14:paraId="1304D1BC"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3AEED7F0"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Ni podatka o velikosti</w:t>
            </w:r>
          </w:p>
        </w:tc>
        <w:tc>
          <w:tcPr>
            <w:tcW w:w="626" w:type="pct"/>
            <w:shd w:val="clear" w:color="auto" w:fill="auto"/>
            <w:vAlign w:val="center"/>
            <w:hideMark/>
          </w:tcPr>
          <w:p w14:paraId="77DEE65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6</w:t>
            </w:r>
          </w:p>
        </w:tc>
        <w:tc>
          <w:tcPr>
            <w:tcW w:w="548" w:type="pct"/>
            <w:shd w:val="clear" w:color="auto" w:fill="auto"/>
            <w:vAlign w:val="center"/>
            <w:hideMark/>
          </w:tcPr>
          <w:p w14:paraId="3D37240B"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11</w:t>
            </w:r>
          </w:p>
        </w:tc>
        <w:tc>
          <w:tcPr>
            <w:tcW w:w="705" w:type="pct"/>
            <w:shd w:val="clear" w:color="auto" w:fill="auto"/>
            <w:vAlign w:val="center"/>
            <w:hideMark/>
          </w:tcPr>
          <w:p w14:paraId="076E99D5"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2.299.921</w:t>
            </w:r>
          </w:p>
        </w:tc>
        <w:tc>
          <w:tcPr>
            <w:tcW w:w="627" w:type="pct"/>
            <w:shd w:val="clear" w:color="auto" w:fill="auto"/>
            <w:noWrap/>
            <w:vAlign w:val="center"/>
            <w:hideMark/>
          </w:tcPr>
          <w:p w14:paraId="39104012"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2,60</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3F76B527"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2,32</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48105F00" w14:textId="2149B090"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3,11</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5D2F8817" w14:textId="77777777" w:rsidTr="00AC1F17">
        <w:trPr>
          <w:trHeight w:val="300"/>
        </w:trPr>
        <w:tc>
          <w:tcPr>
            <w:tcW w:w="467" w:type="pct"/>
            <w:vMerge/>
            <w:vAlign w:val="center"/>
            <w:hideMark/>
          </w:tcPr>
          <w:p w14:paraId="64B4E2A3"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0A676481" w14:textId="77777777" w:rsidR="00072A69" w:rsidRPr="007D1B96" w:rsidRDefault="00072A69" w:rsidP="00AC1F17">
            <w:pPr>
              <w:spacing w:after="0" w:line="240" w:lineRule="auto"/>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Skupaj</w:t>
            </w:r>
          </w:p>
        </w:tc>
        <w:tc>
          <w:tcPr>
            <w:tcW w:w="626" w:type="pct"/>
            <w:shd w:val="clear" w:color="auto" w:fill="auto"/>
            <w:vAlign w:val="center"/>
            <w:hideMark/>
          </w:tcPr>
          <w:p w14:paraId="3B8761CF"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231</w:t>
            </w:r>
          </w:p>
        </w:tc>
        <w:tc>
          <w:tcPr>
            <w:tcW w:w="548" w:type="pct"/>
            <w:shd w:val="clear" w:color="auto" w:fill="auto"/>
            <w:vAlign w:val="center"/>
            <w:hideMark/>
          </w:tcPr>
          <w:p w14:paraId="53C01DD6"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475</w:t>
            </w:r>
          </w:p>
        </w:tc>
        <w:tc>
          <w:tcPr>
            <w:tcW w:w="705" w:type="pct"/>
            <w:shd w:val="clear" w:color="auto" w:fill="auto"/>
            <w:vAlign w:val="center"/>
            <w:hideMark/>
          </w:tcPr>
          <w:p w14:paraId="0C457A34"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73.865.096</w:t>
            </w:r>
          </w:p>
        </w:tc>
        <w:tc>
          <w:tcPr>
            <w:tcW w:w="627" w:type="pct"/>
            <w:shd w:val="clear" w:color="auto" w:fill="auto"/>
            <w:noWrap/>
            <w:vAlign w:val="center"/>
            <w:hideMark/>
          </w:tcPr>
          <w:p w14:paraId="606DE01A"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9" w:type="pct"/>
            <w:shd w:val="clear" w:color="auto" w:fill="auto"/>
            <w:noWrap/>
            <w:vAlign w:val="center"/>
            <w:hideMark/>
          </w:tcPr>
          <w:p w14:paraId="723B1CA9"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0" w:type="pct"/>
            <w:shd w:val="clear" w:color="auto" w:fill="auto"/>
            <w:noWrap/>
            <w:vAlign w:val="center"/>
            <w:hideMark/>
          </w:tcPr>
          <w:p w14:paraId="60C769B7" w14:textId="23073D2F"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sidR="0017776C">
              <w:rPr>
                <w:rFonts w:ascii="Arial" w:eastAsia="Times New Roman" w:hAnsi="Arial" w:cs="Arial"/>
                <w:b/>
                <w:bCs/>
                <w:color w:val="000000"/>
                <w:sz w:val="18"/>
                <w:szCs w:val="18"/>
                <w:lang w:eastAsia="sl-SI"/>
              </w:rPr>
              <w:t xml:space="preserve"> </w:t>
            </w:r>
            <w:r w:rsidRPr="007D1B96">
              <w:rPr>
                <w:rFonts w:ascii="Arial" w:eastAsia="Times New Roman" w:hAnsi="Arial" w:cs="Arial"/>
                <w:b/>
                <w:bCs/>
                <w:color w:val="000000"/>
                <w:sz w:val="18"/>
                <w:szCs w:val="18"/>
                <w:lang w:eastAsia="sl-SI"/>
              </w:rPr>
              <w:t>%</w:t>
            </w:r>
          </w:p>
        </w:tc>
      </w:tr>
      <w:tr w:rsidR="00072A69" w:rsidRPr="007D1B96" w14:paraId="05A449EC" w14:textId="77777777" w:rsidTr="00AC1F17">
        <w:trPr>
          <w:trHeight w:val="300"/>
        </w:trPr>
        <w:tc>
          <w:tcPr>
            <w:tcW w:w="467" w:type="pct"/>
            <w:vMerge w:val="restart"/>
            <w:shd w:val="clear" w:color="auto" w:fill="auto"/>
            <w:vAlign w:val="center"/>
            <w:hideMark/>
          </w:tcPr>
          <w:p w14:paraId="0384C8CE" w14:textId="77777777" w:rsidR="00072A69" w:rsidRPr="007D1B96" w:rsidRDefault="00072A69" w:rsidP="00AC1F17">
            <w:pPr>
              <w:spacing w:after="0" w:line="240" w:lineRule="auto"/>
              <w:jc w:val="center"/>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Gradnje</w:t>
            </w:r>
          </w:p>
        </w:tc>
        <w:tc>
          <w:tcPr>
            <w:tcW w:w="938" w:type="pct"/>
            <w:shd w:val="clear" w:color="auto" w:fill="auto"/>
            <w:vAlign w:val="center"/>
            <w:hideMark/>
          </w:tcPr>
          <w:p w14:paraId="18183046" w14:textId="77777777" w:rsidR="00072A69" w:rsidRPr="007D1B96" w:rsidRDefault="00072A69" w:rsidP="00AC1F17">
            <w:pPr>
              <w:spacing w:after="0" w:line="240" w:lineRule="auto"/>
              <w:rPr>
                <w:rFonts w:ascii="Arial" w:eastAsia="Times New Roman" w:hAnsi="Arial" w:cs="Arial"/>
                <w:color w:val="000000"/>
                <w:sz w:val="18"/>
                <w:szCs w:val="18"/>
                <w:lang w:eastAsia="sl-SI"/>
              </w:rPr>
            </w:pPr>
            <w:proofErr w:type="spellStart"/>
            <w:r w:rsidRPr="007D1B96">
              <w:rPr>
                <w:rFonts w:ascii="Arial" w:eastAsia="Times New Roman" w:hAnsi="Arial" w:cs="Arial"/>
                <w:color w:val="000000"/>
                <w:sz w:val="18"/>
                <w:szCs w:val="18"/>
                <w:lang w:eastAsia="sl-SI"/>
              </w:rPr>
              <w:t>Mikro</w:t>
            </w:r>
            <w:proofErr w:type="spellEnd"/>
            <w:r w:rsidRPr="007D1B96">
              <w:rPr>
                <w:rFonts w:ascii="Arial" w:eastAsia="Times New Roman" w:hAnsi="Arial" w:cs="Arial"/>
                <w:color w:val="000000"/>
                <w:sz w:val="18"/>
                <w:szCs w:val="18"/>
                <w:lang w:eastAsia="sl-SI"/>
              </w:rPr>
              <w:t xml:space="preserve"> enote</w:t>
            </w:r>
          </w:p>
        </w:tc>
        <w:tc>
          <w:tcPr>
            <w:tcW w:w="626" w:type="pct"/>
            <w:shd w:val="clear" w:color="auto" w:fill="auto"/>
            <w:vAlign w:val="center"/>
            <w:hideMark/>
          </w:tcPr>
          <w:p w14:paraId="7300B210"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54</w:t>
            </w:r>
          </w:p>
        </w:tc>
        <w:tc>
          <w:tcPr>
            <w:tcW w:w="548" w:type="pct"/>
            <w:shd w:val="clear" w:color="auto" w:fill="auto"/>
            <w:vAlign w:val="center"/>
            <w:hideMark/>
          </w:tcPr>
          <w:p w14:paraId="7CBBF856"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84</w:t>
            </w:r>
          </w:p>
        </w:tc>
        <w:tc>
          <w:tcPr>
            <w:tcW w:w="705" w:type="pct"/>
            <w:shd w:val="clear" w:color="auto" w:fill="auto"/>
            <w:vAlign w:val="center"/>
            <w:hideMark/>
          </w:tcPr>
          <w:p w14:paraId="5232E411"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12.156.268</w:t>
            </w:r>
          </w:p>
        </w:tc>
        <w:tc>
          <w:tcPr>
            <w:tcW w:w="627" w:type="pct"/>
            <w:shd w:val="clear" w:color="auto" w:fill="auto"/>
            <w:noWrap/>
            <w:vAlign w:val="center"/>
            <w:hideMark/>
          </w:tcPr>
          <w:p w14:paraId="05643E8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22,41</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71BEF55D"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14,95</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45D7DF74" w14:textId="67C308BE"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4,37</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3C19BAB8" w14:textId="77777777" w:rsidTr="00AC1F17">
        <w:trPr>
          <w:trHeight w:val="300"/>
        </w:trPr>
        <w:tc>
          <w:tcPr>
            <w:tcW w:w="467" w:type="pct"/>
            <w:vMerge/>
            <w:vAlign w:val="center"/>
            <w:hideMark/>
          </w:tcPr>
          <w:p w14:paraId="0AB4A1FA"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4EB6B2FC"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Majhne enote</w:t>
            </w:r>
          </w:p>
        </w:tc>
        <w:tc>
          <w:tcPr>
            <w:tcW w:w="626" w:type="pct"/>
            <w:shd w:val="clear" w:color="auto" w:fill="auto"/>
            <w:vAlign w:val="center"/>
            <w:hideMark/>
          </w:tcPr>
          <w:p w14:paraId="51FD4C1B"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130</w:t>
            </w:r>
          </w:p>
        </w:tc>
        <w:tc>
          <w:tcPr>
            <w:tcW w:w="548" w:type="pct"/>
            <w:shd w:val="clear" w:color="auto" w:fill="auto"/>
            <w:vAlign w:val="center"/>
            <w:hideMark/>
          </w:tcPr>
          <w:p w14:paraId="7D5D8A7C"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258</w:t>
            </w:r>
          </w:p>
        </w:tc>
        <w:tc>
          <w:tcPr>
            <w:tcW w:w="705" w:type="pct"/>
            <w:shd w:val="clear" w:color="auto" w:fill="auto"/>
            <w:vAlign w:val="center"/>
            <w:hideMark/>
          </w:tcPr>
          <w:p w14:paraId="0896BFB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79.395.335</w:t>
            </w:r>
          </w:p>
        </w:tc>
        <w:tc>
          <w:tcPr>
            <w:tcW w:w="627" w:type="pct"/>
            <w:shd w:val="clear" w:color="auto" w:fill="auto"/>
            <w:noWrap/>
            <w:vAlign w:val="center"/>
            <w:hideMark/>
          </w:tcPr>
          <w:p w14:paraId="1A45B550"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53,94</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7F496BC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45,91</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3EB836C3" w14:textId="4033449A"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28,52</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75647727" w14:textId="77777777" w:rsidTr="00AC1F17">
        <w:trPr>
          <w:trHeight w:val="300"/>
        </w:trPr>
        <w:tc>
          <w:tcPr>
            <w:tcW w:w="467" w:type="pct"/>
            <w:vMerge/>
            <w:vAlign w:val="center"/>
            <w:hideMark/>
          </w:tcPr>
          <w:p w14:paraId="421D038E"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6E1E28D6"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Srednje enote</w:t>
            </w:r>
          </w:p>
        </w:tc>
        <w:tc>
          <w:tcPr>
            <w:tcW w:w="626" w:type="pct"/>
            <w:shd w:val="clear" w:color="auto" w:fill="auto"/>
            <w:vAlign w:val="center"/>
            <w:hideMark/>
          </w:tcPr>
          <w:p w14:paraId="16119A2C"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42</w:t>
            </w:r>
          </w:p>
        </w:tc>
        <w:tc>
          <w:tcPr>
            <w:tcW w:w="548" w:type="pct"/>
            <w:shd w:val="clear" w:color="auto" w:fill="auto"/>
            <w:vAlign w:val="center"/>
            <w:hideMark/>
          </w:tcPr>
          <w:p w14:paraId="3C544A59"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124</w:t>
            </w:r>
          </w:p>
        </w:tc>
        <w:tc>
          <w:tcPr>
            <w:tcW w:w="705" w:type="pct"/>
            <w:shd w:val="clear" w:color="auto" w:fill="auto"/>
            <w:vAlign w:val="center"/>
            <w:hideMark/>
          </w:tcPr>
          <w:p w14:paraId="08B5134C"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92.650.824</w:t>
            </w:r>
          </w:p>
        </w:tc>
        <w:tc>
          <w:tcPr>
            <w:tcW w:w="627" w:type="pct"/>
            <w:shd w:val="clear" w:color="auto" w:fill="auto"/>
            <w:noWrap/>
            <w:vAlign w:val="center"/>
            <w:hideMark/>
          </w:tcPr>
          <w:p w14:paraId="25B211B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17,43</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3B5E81C8"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22,06</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33A5A981" w14:textId="09DBB126"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33,28</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5F3A86BA" w14:textId="77777777" w:rsidTr="00AC1F17">
        <w:trPr>
          <w:trHeight w:val="300"/>
        </w:trPr>
        <w:tc>
          <w:tcPr>
            <w:tcW w:w="467" w:type="pct"/>
            <w:vMerge/>
            <w:vAlign w:val="center"/>
            <w:hideMark/>
          </w:tcPr>
          <w:p w14:paraId="2A3C0356"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5B58D0EF"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Velike enote</w:t>
            </w:r>
          </w:p>
        </w:tc>
        <w:tc>
          <w:tcPr>
            <w:tcW w:w="626" w:type="pct"/>
            <w:shd w:val="clear" w:color="auto" w:fill="auto"/>
            <w:vAlign w:val="center"/>
            <w:hideMark/>
          </w:tcPr>
          <w:p w14:paraId="795440BB"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12</w:t>
            </w:r>
          </w:p>
        </w:tc>
        <w:tc>
          <w:tcPr>
            <w:tcW w:w="548" w:type="pct"/>
            <w:shd w:val="clear" w:color="auto" w:fill="auto"/>
            <w:vAlign w:val="center"/>
            <w:hideMark/>
          </w:tcPr>
          <w:p w14:paraId="304432F5"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84</w:t>
            </w:r>
          </w:p>
        </w:tc>
        <w:tc>
          <w:tcPr>
            <w:tcW w:w="705" w:type="pct"/>
            <w:shd w:val="clear" w:color="auto" w:fill="auto"/>
            <w:vAlign w:val="center"/>
            <w:hideMark/>
          </w:tcPr>
          <w:p w14:paraId="43639F92"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85.841.922</w:t>
            </w:r>
          </w:p>
        </w:tc>
        <w:tc>
          <w:tcPr>
            <w:tcW w:w="627" w:type="pct"/>
            <w:shd w:val="clear" w:color="auto" w:fill="auto"/>
            <w:noWrap/>
            <w:vAlign w:val="center"/>
            <w:hideMark/>
          </w:tcPr>
          <w:p w14:paraId="5FED7137"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4,98</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331D284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14,95</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009E9804" w14:textId="4C27B32E"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30,84</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5B592BCE" w14:textId="77777777" w:rsidTr="00AC1F17">
        <w:trPr>
          <w:trHeight w:val="480"/>
        </w:trPr>
        <w:tc>
          <w:tcPr>
            <w:tcW w:w="467" w:type="pct"/>
            <w:vMerge/>
            <w:vAlign w:val="center"/>
            <w:hideMark/>
          </w:tcPr>
          <w:p w14:paraId="634F6D07"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79169A94" w14:textId="77777777" w:rsidR="00072A69" w:rsidRPr="007D1B96" w:rsidRDefault="00072A69" w:rsidP="00AC1F17">
            <w:pPr>
              <w:spacing w:after="0" w:line="240" w:lineRule="auto"/>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Ni podatka o velikosti</w:t>
            </w:r>
          </w:p>
        </w:tc>
        <w:tc>
          <w:tcPr>
            <w:tcW w:w="626" w:type="pct"/>
            <w:shd w:val="clear" w:color="auto" w:fill="auto"/>
            <w:vAlign w:val="center"/>
            <w:hideMark/>
          </w:tcPr>
          <w:p w14:paraId="73351553"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3</w:t>
            </w:r>
          </w:p>
        </w:tc>
        <w:tc>
          <w:tcPr>
            <w:tcW w:w="548" w:type="pct"/>
            <w:shd w:val="clear" w:color="auto" w:fill="auto"/>
            <w:vAlign w:val="center"/>
            <w:hideMark/>
          </w:tcPr>
          <w:p w14:paraId="56801134"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12</w:t>
            </w:r>
          </w:p>
        </w:tc>
        <w:tc>
          <w:tcPr>
            <w:tcW w:w="705" w:type="pct"/>
            <w:shd w:val="clear" w:color="auto" w:fill="auto"/>
            <w:vAlign w:val="center"/>
            <w:hideMark/>
          </w:tcPr>
          <w:p w14:paraId="0A20E211"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8.316.633</w:t>
            </w:r>
          </w:p>
        </w:tc>
        <w:tc>
          <w:tcPr>
            <w:tcW w:w="627" w:type="pct"/>
            <w:shd w:val="clear" w:color="auto" w:fill="auto"/>
            <w:noWrap/>
            <w:vAlign w:val="center"/>
            <w:hideMark/>
          </w:tcPr>
          <w:p w14:paraId="2A8D686A"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1,24</w:t>
            </w:r>
            <w:r>
              <w:rPr>
                <w:rFonts w:ascii="Arial" w:eastAsia="Times New Roman" w:hAnsi="Arial" w:cs="Arial"/>
                <w:color w:val="000000"/>
                <w:sz w:val="18"/>
                <w:szCs w:val="18"/>
                <w:lang w:eastAsia="sl-SI"/>
              </w:rPr>
              <w:t xml:space="preserve"> %</w:t>
            </w:r>
          </w:p>
        </w:tc>
        <w:tc>
          <w:tcPr>
            <w:tcW w:w="549" w:type="pct"/>
            <w:shd w:val="clear" w:color="auto" w:fill="auto"/>
            <w:noWrap/>
            <w:vAlign w:val="center"/>
            <w:hideMark/>
          </w:tcPr>
          <w:p w14:paraId="0DEB73DE" w14:textId="7777777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2,14</w:t>
            </w:r>
            <w:r>
              <w:rPr>
                <w:rFonts w:ascii="Arial" w:eastAsia="Times New Roman" w:hAnsi="Arial" w:cs="Arial"/>
                <w:color w:val="000000"/>
                <w:sz w:val="18"/>
                <w:szCs w:val="18"/>
                <w:lang w:eastAsia="sl-SI"/>
              </w:rPr>
              <w:t xml:space="preserve"> %</w:t>
            </w:r>
          </w:p>
        </w:tc>
        <w:tc>
          <w:tcPr>
            <w:tcW w:w="540" w:type="pct"/>
            <w:shd w:val="clear" w:color="auto" w:fill="auto"/>
            <w:noWrap/>
            <w:vAlign w:val="center"/>
            <w:hideMark/>
          </w:tcPr>
          <w:p w14:paraId="1CC8B875" w14:textId="2A11C447" w:rsidR="00072A69" w:rsidRPr="007D1B96" w:rsidRDefault="00072A69" w:rsidP="00AC1F17">
            <w:pPr>
              <w:spacing w:after="0" w:line="240" w:lineRule="auto"/>
              <w:jc w:val="right"/>
              <w:rPr>
                <w:rFonts w:ascii="Arial" w:eastAsia="Times New Roman" w:hAnsi="Arial" w:cs="Arial"/>
                <w:color w:val="000000"/>
                <w:sz w:val="18"/>
                <w:szCs w:val="18"/>
                <w:lang w:eastAsia="sl-SI"/>
              </w:rPr>
            </w:pPr>
            <w:r w:rsidRPr="007D1B96">
              <w:rPr>
                <w:rFonts w:ascii="Arial" w:eastAsia="Times New Roman" w:hAnsi="Arial" w:cs="Arial"/>
                <w:color w:val="000000"/>
                <w:sz w:val="18"/>
                <w:szCs w:val="18"/>
                <w:lang w:eastAsia="sl-SI"/>
              </w:rPr>
              <w:t>2,99</w:t>
            </w:r>
            <w:r w:rsidR="0017776C">
              <w:rPr>
                <w:rFonts w:ascii="Arial" w:eastAsia="Times New Roman" w:hAnsi="Arial" w:cs="Arial"/>
                <w:color w:val="000000"/>
                <w:sz w:val="18"/>
                <w:szCs w:val="18"/>
                <w:lang w:eastAsia="sl-SI"/>
              </w:rPr>
              <w:t xml:space="preserve"> </w:t>
            </w:r>
            <w:r w:rsidRPr="007D1B96">
              <w:rPr>
                <w:rFonts w:ascii="Arial" w:eastAsia="Times New Roman" w:hAnsi="Arial" w:cs="Arial"/>
                <w:color w:val="000000"/>
                <w:sz w:val="18"/>
                <w:szCs w:val="18"/>
                <w:lang w:eastAsia="sl-SI"/>
              </w:rPr>
              <w:t>%</w:t>
            </w:r>
          </w:p>
        </w:tc>
      </w:tr>
      <w:tr w:rsidR="00072A69" w:rsidRPr="007D1B96" w14:paraId="728B1D6A" w14:textId="77777777" w:rsidTr="00AC1F17">
        <w:trPr>
          <w:trHeight w:val="300"/>
        </w:trPr>
        <w:tc>
          <w:tcPr>
            <w:tcW w:w="467" w:type="pct"/>
            <w:vMerge/>
            <w:vAlign w:val="center"/>
            <w:hideMark/>
          </w:tcPr>
          <w:p w14:paraId="06F26CBC" w14:textId="77777777" w:rsidR="00072A69" w:rsidRPr="007D1B96" w:rsidRDefault="00072A69" w:rsidP="00AC1F17">
            <w:pPr>
              <w:spacing w:after="0" w:line="240" w:lineRule="auto"/>
              <w:rPr>
                <w:rFonts w:ascii="Arial" w:eastAsia="Times New Roman" w:hAnsi="Arial" w:cs="Arial"/>
                <w:color w:val="000000"/>
                <w:sz w:val="18"/>
                <w:szCs w:val="18"/>
                <w:lang w:eastAsia="sl-SI"/>
              </w:rPr>
            </w:pPr>
          </w:p>
        </w:tc>
        <w:tc>
          <w:tcPr>
            <w:tcW w:w="938" w:type="pct"/>
            <w:shd w:val="clear" w:color="auto" w:fill="auto"/>
            <w:vAlign w:val="center"/>
            <w:hideMark/>
          </w:tcPr>
          <w:p w14:paraId="1D42152E" w14:textId="77777777" w:rsidR="00072A69" w:rsidRPr="007D1B96" w:rsidRDefault="00072A69" w:rsidP="00AC1F17">
            <w:pPr>
              <w:spacing w:after="0" w:line="240" w:lineRule="auto"/>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Skupaj</w:t>
            </w:r>
          </w:p>
        </w:tc>
        <w:tc>
          <w:tcPr>
            <w:tcW w:w="626" w:type="pct"/>
            <w:shd w:val="clear" w:color="auto" w:fill="auto"/>
            <w:noWrap/>
            <w:vAlign w:val="center"/>
            <w:hideMark/>
          </w:tcPr>
          <w:p w14:paraId="0B3357FC"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241</w:t>
            </w:r>
          </w:p>
        </w:tc>
        <w:tc>
          <w:tcPr>
            <w:tcW w:w="548" w:type="pct"/>
            <w:shd w:val="clear" w:color="auto" w:fill="auto"/>
            <w:noWrap/>
            <w:vAlign w:val="center"/>
            <w:hideMark/>
          </w:tcPr>
          <w:p w14:paraId="4BC322F5"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562</w:t>
            </w:r>
          </w:p>
        </w:tc>
        <w:tc>
          <w:tcPr>
            <w:tcW w:w="705" w:type="pct"/>
            <w:shd w:val="clear" w:color="auto" w:fill="auto"/>
            <w:noWrap/>
            <w:vAlign w:val="center"/>
            <w:hideMark/>
          </w:tcPr>
          <w:p w14:paraId="1820E4A0"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278.360.982</w:t>
            </w:r>
          </w:p>
        </w:tc>
        <w:tc>
          <w:tcPr>
            <w:tcW w:w="627" w:type="pct"/>
            <w:shd w:val="clear" w:color="auto" w:fill="auto"/>
            <w:noWrap/>
            <w:vAlign w:val="center"/>
            <w:hideMark/>
          </w:tcPr>
          <w:p w14:paraId="40EF9CE0"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9" w:type="pct"/>
            <w:shd w:val="clear" w:color="auto" w:fill="auto"/>
            <w:noWrap/>
            <w:vAlign w:val="center"/>
            <w:hideMark/>
          </w:tcPr>
          <w:p w14:paraId="4362138B"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40" w:type="pct"/>
            <w:shd w:val="clear" w:color="auto" w:fill="auto"/>
            <w:noWrap/>
            <w:vAlign w:val="center"/>
            <w:hideMark/>
          </w:tcPr>
          <w:p w14:paraId="249490FE" w14:textId="06A3A619"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100,00</w:t>
            </w:r>
            <w:r w:rsidR="0017776C">
              <w:rPr>
                <w:rFonts w:ascii="Arial" w:eastAsia="Times New Roman" w:hAnsi="Arial" w:cs="Arial"/>
                <w:b/>
                <w:bCs/>
                <w:color w:val="000000"/>
                <w:sz w:val="18"/>
                <w:szCs w:val="18"/>
                <w:lang w:eastAsia="sl-SI"/>
              </w:rPr>
              <w:t xml:space="preserve"> </w:t>
            </w:r>
            <w:r w:rsidRPr="007D1B96">
              <w:rPr>
                <w:rFonts w:ascii="Arial" w:eastAsia="Times New Roman" w:hAnsi="Arial" w:cs="Arial"/>
                <w:b/>
                <w:bCs/>
                <w:color w:val="000000"/>
                <w:sz w:val="18"/>
                <w:szCs w:val="18"/>
                <w:lang w:eastAsia="sl-SI"/>
              </w:rPr>
              <w:t>%</w:t>
            </w:r>
          </w:p>
        </w:tc>
      </w:tr>
      <w:tr w:rsidR="00072A69" w:rsidRPr="007D1B96" w14:paraId="35F25347" w14:textId="77777777" w:rsidTr="00AC1F17">
        <w:trPr>
          <w:gridAfter w:val="3"/>
          <w:wAfter w:w="1716" w:type="pct"/>
          <w:trHeight w:val="300"/>
        </w:trPr>
        <w:tc>
          <w:tcPr>
            <w:tcW w:w="1405" w:type="pct"/>
            <w:gridSpan w:val="2"/>
            <w:shd w:val="clear" w:color="000000" w:fill="E7E6E6"/>
            <w:noWrap/>
            <w:vAlign w:val="center"/>
            <w:hideMark/>
          </w:tcPr>
          <w:p w14:paraId="5DF44DBD" w14:textId="77777777" w:rsidR="00072A69" w:rsidRPr="007D1B96" w:rsidRDefault="00072A69" w:rsidP="00AC1F17">
            <w:pPr>
              <w:spacing w:after="0" w:line="240" w:lineRule="auto"/>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Skupaj</w:t>
            </w:r>
          </w:p>
        </w:tc>
        <w:tc>
          <w:tcPr>
            <w:tcW w:w="626" w:type="pct"/>
            <w:shd w:val="clear" w:color="000000" w:fill="E7E6E6"/>
            <w:noWrap/>
            <w:vAlign w:val="center"/>
            <w:hideMark/>
          </w:tcPr>
          <w:p w14:paraId="00572A99"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946</w:t>
            </w:r>
          </w:p>
        </w:tc>
        <w:tc>
          <w:tcPr>
            <w:tcW w:w="548" w:type="pct"/>
            <w:shd w:val="clear" w:color="000000" w:fill="E7E6E6"/>
            <w:noWrap/>
            <w:vAlign w:val="center"/>
            <w:hideMark/>
          </w:tcPr>
          <w:p w14:paraId="2B09E861"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5.771</w:t>
            </w:r>
          </w:p>
        </w:tc>
        <w:tc>
          <w:tcPr>
            <w:tcW w:w="705" w:type="pct"/>
            <w:shd w:val="clear" w:color="000000" w:fill="E7E6E6"/>
            <w:noWrap/>
            <w:vAlign w:val="center"/>
            <w:hideMark/>
          </w:tcPr>
          <w:p w14:paraId="36249EF1" w14:textId="77777777" w:rsidR="00072A69" w:rsidRPr="007D1B96" w:rsidRDefault="00072A69" w:rsidP="00AC1F17">
            <w:pPr>
              <w:spacing w:after="0" w:line="240" w:lineRule="auto"/>
              <w:jc w:val="right"/>
              <w:rPr>
                <w:rFonts w:ascii="Arial" w:eastAsia="Times New Roman" w:hAnsi="Arial" w:cs="Arial"/>
                <w:b/>
                <w:bCs/>
                <w:color w:val="000000"/>
                <w:sz w:val="18"/>
                <w:szCs w:val="18"/>
                <w:lang w:eastAsia="sl-SI"/>
              </w:rPr>
            </w:pPr>
            <w:r w:rsidRPr="007D1B96">
              <w:rPr>
                <w:rFonts w:ascii="Arial" w:eastAsia="Times New Roman" w:hAnsi="Arial" w:cs="Arial"/>
                <w:b/>
                <w:bCs/>
                <w:color w:val="000000"/>
                <w:sz w:val="18"/>
                <w:szCs w:val="18"/>
                <w:lang w:eastAsia="sl-SI"/>
              </w:rPr>
              <w:t>559.393.716</w:t>
            </w:r>
          </w:p>
        </w:tc>
      </w:tr>
    </w:tbl>
    <w:p w14:paraId="2C718876" w14:textId="77777777" w:rsidR="00072A69" w:rsidRDefault="00072A69" w:rsidP="00072A69">
      <w:pPr>
        <w:pStyle w:val="Odstavekseznama"/>
        <w:rPr>
          <w:rFonts w:cs="Arial"/>
          <w:sz w:val="20"/>
          <w:szCs w:val="20"/>
        </w:rPr>
      </w:pPr>
    </w:p>
    <w:p w14:paraId="6E743686" w14:textId="0578A945" w:rsidR="00072A69" w:rsidRPr="007B3D46" w:rsidRDefault="00072A69" w:rsidP="00072A69">
      <w:pPr>
        <w:spacing w:before="120" w:after="120" w:line="240" w:lineRule="auto"/>
        <w:jc w:val="both"/>
        <w:rPr>
          <w:rFonts w:ascii="Arial" w:hAnsi="Arial" w:cs="Arial"/>
          <w:sz w:val="20"/>
        </w:rPr>
      </w:pPr>
      <w:r w:rsidRPr="007B3D46">
        <w:rPr>
          <w:rFonts w:ascii="Arial" w:hAnsi="Arial" w:cs="Arial"/>
          <w:sz w:val="20"/>
        </w:rPr>
        <w:t>Preglednica 11</w:t>
      </w:r>
      <w:r w:rsidR="00337D75">
        <w:rPr>
          <w:rFonts w:ascii="Arial" w:hAnsi="Arial" w:cs="Arial"/>
          <w:sz w:val="20"/>
        </w:rPr>
        <w:t>8</w:t>
      </w:r>
      <w:r w:rsidRPr="007B3D46">
        <w:rPr>
          <w:rFonts w:ascii="Arial" w:hAnsi="Arial" w:cs="Arial"/>
          <w:sz w:val="20"/>
        </w:rPr>
        <w:t>: Seznam naročnikov, ki so v letu 2018 oddali javna naročila, izvedli postopek javnega naročanja za sklenitev okvirnega sporazuma ali oddajali posamezna naročila na podlagi sklenjenega okvirnega sporazuma</w:t>
      </w:r>
    </w:p>
    <w:tbl>
      <w:tblPr>
        <w:tblW w:w="9067" w:type="dxa"/>
        <w:tblLayout w:type="fixed"/>
        <w:tblCellMar>
          <w:left w:w="70" w:type="dxa"/>
          <w:right w:w="70" w:type="dxa"/>
        </w:tblCellMar>
        <w:tblLook w:val="04A0" w:firstRow="1" w:lastRow="0" w:firstColumn="1" w:lastColumn="0" w:noHBand="0" w:noVBand="1"/>
      </w:tblPr>
      <w:tblGrid>
        <w:gridCol w:w="649"/>
        <w:gridCol w:w="1036"/>
        <w:gridCol w:w="1036"/>
        <w:gridCol w:w="160"/>
        <w:gridCol w:w="6186"/>
      </w:tblGrid>
      <w:tr w:rsidR="00072A69" w:rsidRPr="00DC6DF9" w14:paraId="58EABC99" w14:textId="77777777" w:rsidTr="00AC1F17">
        <w:trPr>
          <w:trHeight w:val="300"/>
          <w:tblHeader/>
        </w:trPr>
        <w:tc>
          <w:tcPr>
            <w:tcW w:w="64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5C9236" w14:textId="77777777" w:rsidR="00072A69" w:rsidRPr="00DC6DF9" w:rsidRDefault="00072A69" w:rsidP="00AC1F17">
            <w:pPr>
              <w:spacing w:after="0" w:line="240" w:lineRule="auto"/>
              <w:jc w:val="center"/>
              <w:rPr>
                <w:rFonts w:ascii="Arial" w:eastAsia="Times New Roman" w:hAnsi="Arial" w:cs="Arial"/>
                <w:color w:val="000000"/>
                <w:sz w:val="16"/>
                <w:szCs w:val="16"/>
                <w:lang w:eastAsia="sl-SI"/>
              </w:rPr>
            </w:pPr>
            <w:proofErr w:type="spellStart"/>
            <w:r w:rsidRPr="00DC6DF9">
              <w:rPr>
                <w:rFonts w:ascii="Arial" w:eastAsia="Times New Roman" w:hAnsi="Arial" w:cs="Arial"/>
                <w:color w:val="000000"/>
                <w:sz w:val="16"/>
                <w:szCs w:val="16"/>
                <w:lang w:eastAsia="sl-SI"/>
              </w:rPr>
              <w:t>Zap</w:t>
            </w:r>
            <w:proofErr w:type="spellEnd"/>
            <w:r w:rsidRPr="00DC6DF9">
              <w:rPr>
                <w:rFonts w:ascii="Arial" w:eastAsia="Times New Roman" w:hAnsi="Arial" w:cs="Arial"/>
                <w:color w:val="000000"/>
                <w:sz w:val="16"/>
                <w:szCs w:val="16"/>
                <w:lang w:eastAsia="sl-SI"/>
              </w:rPr>
              <w:t>. št.</w:t>
            </w:r>
          </w:p>
        </w:tc>
        <w:tc>
          <w:tcPr>
            <w:tcW w:w="1036" w:type="dxa"/>
            <w:tcBorders>
              <w:top w:val="single" w:sz="4" w:space="0" w:color="auto"/>
              <w:left w:val="nil"/>
              <w:bottom w:val="single" w:sz="4" w:space="0" w:color="auto"/>
              <w:right w:val="single" w:sz="4" w:space="0" w:color="auto"/>
            </w:tcBorders>
            <w:shd w:val="clear" w:color="000000" w:fill="F2F2F2"/>
            <w:noWrap/>
            <w:vAlign w:val="center"/>
            <w:hideMark/>
          </w:tcPr>
          <w:p w14:paraId="2962123C" w14:textId="77777777" w:rsidR="00072A69" w:rsidRPr="00DC6DF9" w:rsidRDefault="00072A69" w:rsidP="00AC1F17">
            <w:pPr>
              <w:spacing w:after="0" w:line="240" w:lineRule="auto"/>
              <w:jc w:val="center"/>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Matična številka</w:t>
            </w:r>
          </w:p>
        </w:tc>
        <w:tc>
          <w:tcPr>
            <w:tcW w:w="1036" w:type="dxa"/>
            <w:tcBorders>
              <w:top w:val="single" w:sz="4" w:space="0" w:color="auto"/>
              <w:left w:val="nil"/>
              <w:bottom w:val="single" w:sz="4" w:space="0" w:color="auto"/>
              <w:right w:val="single" w:sz="4" w:space="0" w:color="auto"/>
            </w:tcBorders>
            <w:shd w:val="clear" w:color="000000" w:fill="F2F2F2"/>
            <w:noWrap/>
            <w:vAlign w:val="center"/>
            <w:hideMark/>
          </w:tcPr>
          <w:p w14:paraId="326261F0" w14:textId="77777777" w:rsidR="00072A69" w:rsidRPr="00DC6DF9" w:rsidRDefault="00072A69" w:rsidP="00AC1F17">
            <w:pPr>
              <w:spacing w:after="0" w:line="240" w:lineRule="auto"/>
              <w:jc w:val="center"/>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Davčna številka</w:t>
            </w:r>
          </w:p>
        </w:tc>
        <w:tc>
          <w:tcPr>
            <w:tcW w:w="160" w:type="dxa"/>
            <w:tcBorders>
              <w:top w:val="single" w:sz="4" w:space="0" w:color="auto"/>
              <w:left w:val="nil"/>
              <w:bottom w:val="single" w:sz="4" w:space="0" w:color="auto"/>
              <w:right w:val="nil"/>
            </w:tcBorders>
            <w:shd w:val="clear" w:color="000000" w:fill="F2F2F2"/>
            <w:vAlign w:val="center"/>
          </w:tcPr>
          <w:p w14:paraId="0353FB60" w14:textId="77777777" w:rsidR="00072A69" w:rsidRPr="00DC6DF9" w:rsidRDefault="00072A69" w:rsidP="00AC1F17">
            <w:pPr>
              <w:spacing w:after="0" w:line="240" w:lineRule="auto"/>
              <w:jc w:val="center"/>
              <w:rPr>
                <w:rFonts w:ascii="Arial" w:eastAsia="Times New Roman" w:hAnsi="Arial" w:cs="Arial"/>
                <w:color w:val="000000"/>
                <w:sz w:val="16"/>
                <w:szCs w:val="16"/>
                <w:lang w:eastAsia="sl-SI"/>
              </w:rPr>
            </w:pPr>
          </w:p>
        </w:tc>
        <w:tc>
          <w:tcPr>
            <w:tcW w:w="6186" w:type="dxa"/>
            <w:tcBorders>
              <w:top w:val="single" w:sz="4" w:space="0" w:color="auto"/>
              <w:left w:val="nil"/>
              <w:bottom w:val="single" w:sz="4" w:space="0" w:color="auto"/>
              <w:right w:val="single" w:sz="4" w:space="0" w:color="auto"/>
            </w:tcBorders>
            <w:shd w:val="clear" w:color="000000" w:fill="F2F2F2"/>
            <w:noWrap/>
            <w:vAlign w:val="center"/>
            <w:hideMark/>
          </w:tcPr>
          <w:p w14:paraId="47DF346B" w14:textId="77777777" w:rsidR="00072A69" w:rsidRPr="00DC6DF9" w:rsidRDefault="00072A69" w:rsidP="00AC1F17">
            <w:pPr>
              <w:spacing w:after="0" w:line="240" w:lineRule="auto"/>
              <w:jc w:val="center"/>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w:t>
            </w:r>
            <w:r>
              <w:rPr>
                <w:rFonts w:ascii="Arial" w:eastAsia="Times New Roman" w:hAnsi="Arial" w:cs="Arial"/>
                <w:color w:val="000000"/>
                <w:sz w:val="16"/>
                <w:szCs w:val="16"/>
                <w:lang w:eastAsia="sl-SI"/>
              </w:rPr>
              <w:t>aziv naročnika</w:t>
            </w:r>
          </w:p>
        </w:tc>
      </w:tr>
      <w:tr w:rsidR="00072A69" w:rsidRPr="00DC6DF9" w14:paraId="4B7337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520E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w:t>
            </w:r>
          </w:p>
        </w:tc>
        <w:tc>
          <w:tcPr>
            <w:tcW w:w="1036" w:type="dxa"/>
            <w:tcBorders>
              <w:top w:val="nil"/>
              <w:left w:val="nil"/>
              <w:bottom w:val="single" w:sz="4" w:space="0" w:color="auto"/>
              <w:right w:val="single" w:sz="4" w:space="0" w:color="auto"/>
            </w:tcBorders>
            <w:shd w:val="clear" w:color="auto" w:fill="auto"/>
            <w:noWrap/>
            <w:vAlign w:val="center"/>
            <w:hideMark/>
          </w:tcPr>
          <w:p w14:paraId="26F990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3348008000</w:t>
            </w:r>
          </w:p>
        </w:tc>
        <w:tc>
          <w:tcPr>
            <w:tcW w:w="1036" w:type="dxa"/>
            <w:tcBorders>
              <w:top w:val="nil"/>
              <w:left w:val="nil"/>
              <w:bottom w:val="single" w:sz="4" w:space="0" w:color="auto"/>
              <w:right w:val="single" w:sz="4" w:space="0" w:color="auto"/>
            </w:tcBorders>
            <w:shd w:val="clear" w:color="auto" w:fill="auto"/>
            <w:noWrap/>
            <w:vAlign w:val="center"/>
            <w:hideMark/>
          </w:tcPr>
          <w:p w14:paraId="4F35FE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52959856</w:t>
            </w:r>
          </w:p>
        </w:tc>
        <w:tc>
          <w:tcPr>
            <w:tcW w:w="160" w:type="dxa"/>
            <w:tcBorders>
              <w:top w:val="nil"/>
              <w:left w:val="nil"/>
              <w:bottom w:val="single" w:sz="4" w:space="0" w:color="auto"/>
              <w:right w:val="nil"/>
            </w:tcBorders>
            <w:vAlign w:val="center"/>
          </w:tcPr>
          <w:p w14:paraId="65665EB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4C91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 OSNOVNA ŠOLA SLOVENSKA BISTRICA</w:t>
            </w:r>
          </w:p>
        </w:tc>
      </w:tr>
      <w:tr w:rsidR="00072A69" w:rsidRPr="00DC6DF9" w14:paraId="42F1BB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22E3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w:t>
            </w:r>
          </w:p>
        </w:tc>
        <w:tc>
          <w:tcPr>
            <w:tcW w:w="1036" w:type="dxa"/>
            <w:tcBorders>
              <w:top w:val="nil"/>
              <w:left w:val="nil"/>
              <w:bottom w:val="single" w:sz="4" w:space="0" w:color="auto"/>
              <w:right w:val="single" w:sz="4" w:space="0" w:color="auto"/>
            </w:tcBorders>
            <w:shd w:val="clear" w:color="auto" w:fill="auto"/>
            <w:noWrap/>
            <w:vAlign w:val="center"/>
            <w:hideMark/>
          </w:tcPr>
          <w:p w14:paraId="3B707D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7096283000</w:t>
            </w:r>
          </w:p>
        </w:tc>
        <w:tc>
          <w:tcPr>
            <w:tcW w:w="1036" w:type="dxa"/>
            <w:tcBorders>
              <w:top w:val="nil"/>
              <w:left w:val="nil"/>
              <w:bottom w:val="single" w:sz="4" w:space="0" w:color="auto"/>
              <w:right w:val="single" w:sz="4" w:space="0" w:color="auto"/>
            </w:tcBorders>
            <w:shd w:val="clear" w:color="auto" w:fill="auto"/>
            <w:noWrap/>
            <w:vAlign w:val="center"/>
            <w:hideMark/>
          </w:tcPr>
          <w:p w14:paraId="658E2B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91611369</w:t>
            </w:r>
          </w:p>
        </w:tc>
        <w:tc>
          <w:tcPr>
            <w:tcW w:w="160" w:type="dxa"/>
            <w:tcBorders>
              <w:top w:val="nil"/>
              <w:left w:val="nil"/>
              <w:bottom w:val="single" w:sz="4" w:space="0" w:color="auto"/>
              <w:right w:val="nil"/>
            </w:tcBorders>
            <w:vAlign w:val="center"/>
          </w:tcPr>
          <w:p w14:paraId="1A1FD3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05C8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2TDK, D. O. O. </w:t>
            </w:r>
          </w:p>
        </w:tc>
      </w:tr>
      <w:tr w:rsidR="00072A69" w:rsidRPr="00DC6DF9" w14:paraId="143E849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A26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w:t>
            </w:r>
          </w:p>
        </w:tc>
        <w:tc>
          <w:tcPr>
            <w:tcW w:w="1036" w:type="dxa"/>
            <w:tcBorders>
              <w:top w:val="nil"/>
              <w:left w:val="nil"/>
              <w:bottom w:val="single" w:sz="4" w:space="0" w:color="auto"/>
              <w:right w:val="single" w:sz="4" w:space="0" w:color="auto"/>
            </w:tcBorders>
            <w:shd w:val="clear" w:color="auto" w:fill="auto"/>
            <w:noWrap/>
            <w:vAlign w:val="center"/>
            <w:hideMark/>
          </w:tcPr>
          <w:p w14:paraId="47C648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6811396000</w:t>
            </w:r>
          </w:p>
        </w:tc>
        <w:tc>
          <w:tcPr>
            <w:tcW w:w="1036" w:type="dxa"/>
            <w:tcBorders>
              <w:top w:val="nil"/>
              <w:left w:val="nil"/>
              <w:bottom w:val="single" w:sz="4" w:space="0" w:color="auto"/>
              <w:right w:val="single" w:sz="4" w:space="0" w:color="auto"/>
            </w:tcBorders>
            <w:shd w:val="clear" w:color="auto" w:fill="auto"/>
            <w:noWrap/>
            <w:vAlign w:val="center"/>
            <w:hideMark/>
          </w:tcPr>
          <w:p w14:paraId="1CC6A8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12640280</w:t>
            </w:r>
          </w:p>
        </w:tc>
        <w:tc>
          <w:tcPr>
            <w:tcW w:w="160" w:type="dxa"/>
            <w:tcBorders>
              <w:top w:val="nil"/>
              <w:left w:val="nil"/>
              <w:bottom w:val="single" w:sz="4" w:space="0" w:color="auto"/>
              <w:right w:val="nil"/>
            </w:tcBorders>
            <w:vAlign w:val="center"/>
          </w:tcPr>
          <w:p w14:paraId="0C3B6D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DB0A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ABC ACCELERATOR, D. O. O. </w:t>
            </w:r>
          </w:p>
        </w:tc>
      </w:tr>
      <w:tr w:rsidR="00072A69" w:rsidRPr="00DC6DF9" w14:paraId="2E3468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7200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w:t>
            </w:r>
          </w:p>
        </w:tc>
        <w:tc>
          <w:tcPr>
            <w:tcW w:w="1036" w:type="dxa"/>
            <w:tcBorders>
              <w:top w:val="nil"/>
              <w:left w:val="nil"/>
              <w:bottom w:val="single" w:sz="4" w:space="0" w:color="auto"/>
              <w:right w:val="single" w:sz="4" w:space="0" w:color="auto"/>
            </w:tcBorders>
            <w:shd w:val="clear" w:color="auto" w:fill="auto"/>
            <w:noWrap/>
            <w:vAlign w:val="center"/>
            <w:hideMark/>
          </w:tcPr>
          <w:p w14:paraId="5992D8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1732803000</w:t>
            </w:r>
          </w:p>
        </w:tc>
        <w:tc>
          <w:tcPr>
            <w:tcW w:w="1036" w:type="dxa"/>
            <w:tcBorders>
              <w:top w:val="nil"/>
              <w:left w:val="nil"/>
              <w:bottom w:val="single" w:sz="4" w:space="0" w:color="auto"/>
              <w:right w:val="single" w:sz="4" w:space="0" w:color="auto"/>
            </w:tcBorders>
            <w:shd w:val="clear" w:color="auto" w:fill="auto"/>
            <w:noWrap/>
            <w:vAlign w:val="center"/>
            <w:hideMark/>
          </w:tcPr>
          <w:p w14:paraId="71800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14717468</w:t>
            </w:r>
          </w:p>
        </w:tc>
        <w:tc>
          <w:tcPr>
            <w:tcW w:w="160" w:type="dxa"/>
            <w:tcBorders>
              <w:top w:val="nil"/>
              <w:left w:val="nil"/>
              <w:bottom w:val="single" w:sz="4" w:space="0" w:color="auto"/>
              <w:right w:val="nil"/>
            </w:tcBorders>
            <w:vAlign w:val="center"/>
          </w:tcPr>
          <w:p w14:paraId="58941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40F6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REPUBLIKE SLOVENIJE ZA JAVNOPRAVNE EVIDENCE IN STORITVE</w:t>
            </w:r>
          </w:p>
        </w:tc>
      </w:tr>
      <w:tr w:rsidR="00072A69" w:rsidRPr="00DC6DF9" w14:paraId="66DAED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92CE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w:t>
            </w:r>
          </w:p>
        </w:tc>
        <w:tc>
          <w:tcPr>
            <w:tcW w:w="1036" w:type="dxa"/>
            <w:tcBorders>
              <w:top w:val="nil"/>
              <w:left w:val="nil"/>
              <w:bottom w:val="single" w:sz="4" w:space="0" w:color="auto"/>
              <w:right w:val="single" w:sz="4" w:space="0" w:color="auto"/>
            </w:tcBorders>
            <w:shd w:val="clear" w:color="auto" w:fill="auto"/>
            <w:noWrap/>
            <w:vAlign w:val="center"/>
            <w:hideMark/>
          </w:tcPr>
          <w:p w14:paraId="3A0B03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2178982000</w:t>
            </w:r>
          </w:p>
        </w:tc>
        <w:tc>
          <w:tcPr>
            <w:tcW w:w="1036" w:type="dxa"/>
            <w:tcBorders>
              <w:top w:val="nil"/>
              <w:left w:val="nil"/>
              <w:bottom w:val="single" w:sz="4" w:space="0" w:color="auto"/>
              <w:right w:val="single" w:sz="4" w:space="0" w:color="auto"/>
            </w:tcBorders>
            <w:shd w:val="clear" w:color="auto" w:fill="auto"/>
            <w:noWrap/>
            <w:vAlign w:val="center"/>
            <w:hideMark/>
          </w:tcPr>
          <w:p w14:paraId="538BED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25845837</w:t>
            </w:r>
          </w:p>
        </w:tc>
        <w:tc>
          <w:tcPr>
            <w:tcW w:w="160" w:type="dxa"/>
            <w:tcBorders>
              <w:top w:val="nil"/>
              <w:left w:val="nil"/>
              <w:bottom w:val="single" w:sz="4" w:space="0" w:color="auto"/>
              <w:right w:val="nil"/>
            </w:tcBorders>
            <w:vAlign w:val="center"/>
          </w:tcPr>
          <w:p w14:paraId="3A2B0F1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EE08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REPUBLIKE SLOVENIJE ZA KMETIJSKE TRGE IN RAZVOJ PODEŽELJA</w:t>
            </w:r>
          </w:p>
        </w:tc>
      </w:tr>
      <w:tr w:rsidR="00072A69" w:rsidRPr="00DC6DF9" w14:paraId="409B85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D09F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w:t>
            </w:r>
          </w:p>
        </w:tc>
        <w:tc>
          <w:tcPr>
            <w:tcW w:w="1036" w:type="dxa"/>
            <w:tcBorders>
              <w:top w:val="nil"/>
              <w:left w:val="nil"/>
              <w:bottom w:val="single" w:sz="4" w:space="0" w:color="auto"/>
              <w:right w:val="single" w:sz="4" w:space="0" w:color="auto"/>
            </w:tcBorders>
            <w:shd w:val="clear" w:color="auto" w:fill="auto"/>
            <w:noWrap/>
            <w:vAlign w:val="center"/>
            <w:hideMark/>
          </w:tcPr>
          <w:p w14:paraId="19721A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2482878000</w:t>
            </w:r>
          </w:p>
        </w:tc>
        <w:tc>
          <w:tcPr>
            <w:tcW w:w="1036" w:type="dxa"/>
            <w:tcBorders>
              <w:top w:val="nil"/>
              <w:left w:val="nil"/>
              <w:bottom w:val="single" w:sz="4" w:space="0" w:color="auto"/>
              <w:right w:val="single" w:sz="4" w:space="0" w:color="auto"/>
            </w:tcBorders>
            <w:shd w:val="clear" w:color="auto" w:fill="auto"/>
            <w:noWrap/>
            <w:vAlign w:val="center"/>
            <w:hideMark/>
          </w:tcPr>
          <w:p w14:paraId="496D8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18945082</w:t>
            </w:r>
          </w:p>
        </w:tc>
        <w:tc>
          <w:tcPr>
            <w:tcW w:w="160" w:type="dxa"/>
            <w:tcBorders>
              <w:top w:val="nil"/>
              <w:left w:val="nil"/>
              <w:bottom w:val="single" w:sz="4" w:space="0" w:color="auto"/>
              <w:right w:val="nil"/>
            </w:tcBorders>
            <w:vAlign w:val="center"/>
          </w:tcPr>
          <w:p w14:paraId="094C11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54D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REPUBLIKE SLOVENIJE ZA OKOLJE</w:t>
            </w:r>
          </w:p>
        </w:tc>
      </w:tr>
      <w:tr w:rsidR="00072A69" w:rsidRPr="00DC6DF9" w14:paraId="61E570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5E1E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w:t>
            </w:r>
          </w:p>
        </w:tc>
        <w:tc>
          <w:tcPr>
            <w:tcW w:w="1036" w:type="dxa"/>
            <w:tcBorders>
              <w:top w:val="nil"/>
              <w:left w:val="nil"/>
              <w:bottom w:val="single" w:sz="4" w:space="0" w:color="auto"/>
              <w:right w:val="single" w:sz="4" w:space="0" w:color="auto"/>
            </w:tcBorders>
            <w:shd w:val="clear" w:color="auto" w:fill="auto"/>
            <w:noWrap/>
            <w:vAlign w:val="center"/>
            <w:hideMark/>
          </w:tcPr>
          <w:p w14:paraId="1AC6DB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1993666000</w:t>
            </w:r>
          </w:p>
        </w:tc>
        <w:tc>
          <w:tcPr>
            <w:tcW w:w="1036" w:type="dxa"/>
            <w:tcBorders>
              <w:top w:val="nil"/>
              <w:left w:val="nil"/>
              <w:bottom w:val="single" w:sz="4" w:space="0" w:color="auto"/>
              <w:right w:val="single" w:sz="4" w:space="0" w:color="auto"/>
            </w:tcBorders>
            <w:shd w:val="clear" w:color="auto" w:fill="auto"/>
            <w:noWrap/>
            <w:vAlign w:val="center"/>
            <w:hideMark/>
          </w:tcPr>
          <w:p w14:paraId="59EE9D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45123136</w:t>
            </w:r>
          </w:p>
        </w:tc>
        <w:tc>
          <w:tcPr>
            <w:tcW w:w="160" w:type="dxa"/>
            <w:tcBorders>
              <w:top w:val="nil"/>
              <w:left w:val="nil"/>
              <w:bottom w:val="single" w:sz="4" w:space="0" w:color="auto"/>
              <w:right w:val="nil"/>
            </w:tcBorders>
            <w:vAlign w:val="center"/>
          </w:tcPr>
          <w:p w14:paraId="321987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8282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ZA ENERGIJO</w:t>
            </w:r>
          </w:p>
        </w:tc>
      </w:tr>
      <w:tr w:rsidR="00072A69" w:rsidRPr="00DC6DF9" w14:paraId="2080CC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1208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w:t>
            </w:r>
          </w:p>
        </w:tc>
        <w:tc>
          <w:tcPr>
            <w:tcW w:w="1036" w:type="dxa"/>
            <w:tcBorders>
              <w:top w:val="nil"/>
              <w:left w:val="nil"/>
              <w:bottom w:val="single" w:sz="4" w:space="0" w:color="auto"/>
              <w:right w:val="single" w:sz="4" w:space="0" w:color="auto"/>
            </w:tcBorders>
            <w:shd w:val="clear" w:color="auto" w:fill="auto"/>
            <w:noWrap/>
            <w:vAlign w:val="center"/>
            <w:hideMark/>
          </w:tcPr>
          <w:p w14:paraId="60D438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1332899000</w:t>
            </w:r>
          </w:p>
        </w:tc>
        <w:tc>
          <w:tcPr>
            <w:tcW w:w="1036" w:type="dxa"/>
            <w:tcBorders>
              <w:top w:val="nil"/>
              <w:left w:val="nil"/>
              <w:bottom w:val="single" w:sz="4" w:space="0" w:color="auto"/>
              <w:right w:val="single" w:sz="4" w:space="0" w:color="auto"/>
            </w:tcBorders>
            <w:shd w:val="clear" w:color="auto" w:fill="auto"/>
            <w:noWrap/>
            <w:vAlign w:val="center"/>
            <w:hideMark/>
          </w:tcPr>
          <w:p w14:paraId="487AF8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10482369</w:t>
            </w:r>
          </w:p>
        </w:tc>
        <w:tc>
          <w:tcPr>
            <w:tcW w:w="160" w:type="dxa"/>
            <w:tcBorders>
              <w:top w:val="nil"/>
              <w:left w:val="nil"/>
              <w:bottom w:val="single" w:sz="4" w:space="0" w:color="auto"/>
              <w:right w:val="nil"/>
            </w:tcBorders>
            <w:vAlign w:val="center"/>
          </w:tcPr>
          <w:p w14:paraId="3089DF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4D9C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ZA KOMUNIKACIJSKA OMREŽJA IN STORITVE REPUBLIKE SLOVENIJE</w:t>
            </w:r>
          </w:p>
        </w:tc>
      </w:tr>
      <w:tr w:rsidR="00072A69" w:rsidRPr="00DC6DF9" w14:paraId="63A9B5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445F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w:t>
            </w:r>
          </w:p>
        </w:tc>
        <w:tc>
          <w:tcPr>
            <w:tcW w:w="1036" w:type="dxa"/>
            <w:tcBorders>
              <w:top w:val="nil"/>
              <w:left w:val="nil"/>
              <w:bottom w:val="single" w:sz="4" w:space="0" w:color="auto"/>
              <w:right w:val="single" w:sz="4" w:space="0" w:color="auto"/>
            </w:tcBorders>
            <w:shd w:val="clear" w:color="auto" w:fill="auto"/>
            <w:noWrap/>
            <w:vAlign w:val="center"/>
            <w:hideMark/>
          </w:tcPr>
          <w:p w14:paraId="421AF7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5833566000</w:t>
            </w:r>
          </w:p>
        </w:tc>
        <w:tc>
          <w:tcPr>
            <w:tcW w:w="1036" w:type="dxa"/>
            <w:tcBorders>
              <w:top w:val="nil"/>
              <w:left w:val="nil"/>
              <w:bottom w:val="single" w:sz="4" w:space="0" w:color="auto"/>
              <w:right w:val="single" w:sz="4" w:space="0" w:color="auto"/>
            </w:tcBorders>
            <w:shd w:val="clear" w:color="auto" w:fill="auto"/>
            <w:noWrap/>
            <w:vAlign w:val="center"/>
            <w:hideMark/>
          </w:tcPr>
          <w:p w14:paraId="1F8E7D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43586350</w:t>
            </w:r>
          </w:p>
        </w:tc>
        <w:tc>
          <w:tcPr>
            <w:tcW w:w="160" w:type="dxa"/>
            <w:tcBorders>
              <w:top w:val="nil"/>
              <w:left w:val="nil"/>
              <w:bottom w:val="single" w:sz="4" w:space="0" w:color="auto"/>
              <w:right w:val="nil"/>
            </w:tcBorders>
            <w:vAlign w:val="center"/>
          </w:tcPr>
          <w:p w14:paraId="386C80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7850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ZA TRG VREDNOSTNIH PAPIRJEV</w:t>
            </w:r>
          </w:p>
        </w:tc>
      </w:tr>
      <w:tr w:rsidR="00072A69" w:rsidRPr="00DC6DF9" w14:paraId="1C7FEE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A6DA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w:t>
            </w:r>
          </w:p>
        </w:tc>
        <w:tc>
          <w:tcPr>
            <w:tcW w:w="1036" w:type="dxa"/>
            <w:tcBorders>
              <w:top w:val="nil"/>
              <w:left w:val="nil"/>
              <w:bottom w:val="single" w:sz="4" w:space="0" w:color="auto"/>
              <w:right w:val="single" w:sz="4" w:space="0" w:color="auto"/>
            </w:tcBorders>
            <w:shd w:val="clear" w:color="auto" w:fill="auto"/>
            <w:noWrap/>
            <w:vAlign w:val="center"/>
            <w:hideMark/>
          </w:tcPr>
          <w:p w14:paraId="1C0D0F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1332856000</w:t>
            </w:r>
          </w:p>
        </w:tc>
        <w:tc>
          <w:tcPr>
            <w:tcW w:w="1036" w:type="dxa"/>
            <w:tcBorders>
              <w:top w:val="nil"/>
              <w:left w:val="nil"/>
              <w:bottom w:val="single" w:sz="4" w:space="0" w:color="auto"/>
              <w:right w:val="single" w:sz="4" w:space="0" w:color="auto"/>
            </w:tcBorders>
            <w:shd w:val="clear" w:color="auto" w:fill="auto"/>
            <w:noWrap/>
            <w:vAlign w:val="center"/>
            <w:hideMark/>
          </w:tcPr>
          <w:p w14:paraId="3C184D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18962343</w:t>
            </w:r>
          </w:p>
        </w:tc>
        <w:tc>
          <w:tcPr>
            <w:tcW w:w="160" w:type="dxa"/>
            <w:tcBorders>
              <w:top w:val="nil"/>
              <w:left w:val="nil"/>
              <w:bottom w:val="single" w:sz="4" w:space="0" w:color="auto"/>
              <w:right w:val="nil"/>
            </w:tcBorders>
            <w:vAlign w:val="center"/>
          </w:tcPr>
          <w:p w14:paraId="0B6164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69B6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AGENCIJA ZA ZAVAROVALNI NADZOR</w:t>
            </w:r>
          </w:p>
        </w:tc>
      </w:tr>
      <w:tr w:rsidR="00072A69" w:rsidRPr="00DC6DF9" w14:paraId="3C4EA6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ED06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w:t>
            </w:r>
          </w:p>
        </w:tc>
        <w:tc>
          <w:tcPr>
            <w:tcW w:w="1036" w:type="dxa"/>
            <w:tcBorders>
              <w:top w:val="nil"/>
              <w:left w:val="nil"/>
              <w:bottom w:val="single" w:sz="4" w:space="0" w:color="auto"/>
              <w:right w:val="single" w:sz="4" w:space="0" w:color="auto"/>
            </w:tcBorders>
            <w:shd w:val="clear" w:color="auto" w:fill="auto"/>
            <w:noWrap/>
            <w:vAlign w:val="center"/>
            <w:hideMark/>
          </w:tcPr>
          <w:p w14:paraId="0A0F10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5618100000</w:t>
            </w:r>
          </w:p>
        </w:tc>
        <w:tc>
          <w:tcPr>
            <w:tcW w:w="1036" w:type="dxa"/>
            <w:tcBorders>
              <w:top w:val="nil"/>
              <w:left w:val="nil"/>
              <w:bottom w:val="single" w:sz="4" w:space="0" w:color="auto"/>
              <w:right w:val="single" w:sz="4" w:space="0" w:color="auto"/>
            </w:tcBorders>
            <w:shd w:val="clear" w:color="auto" w:fill="auto"/>
            <w:noWrap/>
            <w:vAlign w:val="center"/>
            <w:hideMark/>
          </w:tcPr>
          <w:p w14:paraId="7F0617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65799739</w:t>
            </w:r>
          </w:p>
        </w:tc>
        <w:tc>
          <w:tcPr>
            <w:tcW w:w="160" w:type="dxa"/>
            <w:tcBorders>
              <w:top w:val="nil"/>
              <w:left w:val="nil"/>
              <w:bottom w:val="single" w:sz="4" w:space="0" w:color="auto"/>
              <w:right w:val="nil"/>
            </w:tcBorders>
            <w:vAlign w:val="center"/>
          </w:tcPr>
          <w:p w14:paraId="27C9B5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4D9B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AKADEMSKA IN RAZISKOVALNA MREŽA SLOVENIJE</w:t>
            </w:r>
          </w:p>
        </w:tc>
      </w:tr>
      <w:tr w:rsidR="00072A69" w:rsidRPr="00DC6DF9" w14:paraId="4A245C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662E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12</w:t>
            </w:r>
          </w:p>
        </w:tc>
        <w:tc>
          <w:tcPr>
            <w:tcW w:w="1036" w:type="dxa"/>
            <w:tcBorders>
              <w:top w:val="nil"/>
              <w:left w:val="nil"/>
              <w:bottom w:val="single" w:sz="4" w:space="0" w:color="auto"/>
              <w:right w:val="single" w:sz="4" w:space="0" w:color="auto"/>
            </w:tcBorders>
            <w:shd w:val="clear" w:color="auto" w:fill="auto"/>
            <w:noWrap/>
            <w:vAlign w:val="center"/>
            <w:hideMark/>
          </w:tcPr>
          <w:p w14:paraId="5B078F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5523192000</w:t>
            </w:r>
          </w:p>
        </w:tc>
        <w:tc>
          <w:tcPr>
            <w:tcW w:w="1036" w:type="dxa"/>
            <w:tcBorders>
              <w:top w:val="nil"/>
              <w:left w:val="nil"/>
              <w:bottom w:val="single" w:sz="4" w:space="0" w:color="auto"/>
              <w:right w:val="single" w:sz="4" w:space="0" w:color="auto"/>
            </w:tcBorders>
            <w:shd w:val="clear" w:color="auto" w:fill="auto"/>
            <w:noWrap/>
            <w:vAlign w:val="center"/>
            <w:hideMark/>
          </w:tcPr>
          <w:p w14:paraId="4C0F8E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54646499</w:t>
            </w:r>
          </w:p>
        </w:tc>
        <w:tc>
          <w:tcPr>
            <w:tcW w:w="160" w:type="dxa"/>
            <w:tcBorders>
              <w:top w:val="nil"/>
              <w:left w:val="nil"/>
              <w:bottom w:val="single" w:sz="4" w:space="0" w:color="auto"/>
              <w:right w:val="nil"/>
            </w:tcBorders>
            <w:vAlign w:val="center"/>
          </w:tcPr>
          <w:p w14:paraId="0BEBCE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4CB7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ANDRAGOŠKI CENTER REPUBLIKE SLOVENIJE </w:t>
            </w:r>
          </w:p>
        </w:tc>
      </w:tr>
      <w:tr w:rsidR="00072A69" w:rsidRPr="00DC6DF9" w14:paraId="18081B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EB7D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w:t>
            </w:r>
          </w:p>
        </w:tc>
        <w:tc>
          <w:tcPr>
            <w:tcW w:w="1036" w:type="dxa"/>
            <w:tcBorders>
              <w:top w:val="nil"/>
              <w:left w:val="nil"/>
              <w:bottom w:val="single" w:sz="4" w:space="0" w:color="auto"/>
              <w:right w:val="single" w:sz="4" w:space="0" w:color="auto"/>
            </w:tcBorders>
            <w:shd w:val="clear" w:color="auto" w:fill="auto"/>
            <w:noWrap/>
            <w:vAlign w:val="center"/>
            <w:hideMark/>
          </w:tcPr>
          <w:p w14:paraId="383C00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5053013000</w:t>
            </w:r>
          </w:p>
        </w:tc>
        <w:tc>
          <w:tcPr>
            <w:tcW w:w="1036" w:type="dxa"/>
            <w:tcBorders>
              <w:top w:val="nil"/>
              <w:left w:val="nil"/>
              <w:bottom w:val="single" w:sz="4" w:space="0" w:color="auto"/>
              <w:right w:val="single" w:sz="4" w:space="0" w:color="auto"/>
            </w:tcBorders>
            <w:shd w:val="clear" w:color="auto" w:fill="auto"/>
            <w:noWrap/>
            <w:vAlign w:val="center"/>
            <w:hideMark/>
          </w:tcPr>
          <w:p w14:paraId="70F6D6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18783724</w:t>
            </w:r>
          </w:p>
        </w:tc>
        <w:tc>
          <w:tcPr>
            <w:tcW w:w="160" w:type="dxa"/>
            <w:tcBorders>
              <w:top w:val="nil"/>
              <w:left w:val="nil"/>
              <w:bottom w:val="single" w:sz="4" w:space="0" w:color="auto"/>
              <w:right w:val="nil"/>
            </w:tcBorders>
            <w:vAlign w:val="center"/>
          </w:tcPr>
          <w:p w14:paraId="48A29C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4967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ANDRAGOŠKI ZAVOD LJUDSKA UNIVERZA VELENJE</w:t>
            </w:r>
          </w:p>
        </w:tc>
      </w:tr>
      <w:tr w:rsidR="00072A69" w:rsidRPr="00DC6DF9" w14:paraId="12F6CB1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268F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w:t>
            </w:r>
          </w:p>
        </w:tc>
        <w:tc>
          <w:tcPr>
            <w:tcW w:w="1036" w:type="dxa"/>
            <w:tcBorders>
              <w:top w:val="nil"/>
              <w:left w:val="nil"/>
              <w:bottom w:val="single" w:sz="4" w:space="0" w:color="auto"/>
              <w:right w:val="single" w:sz="4" w:space="0" w:color="auto"/>
            </w:tcBorders>
            <w:shd w:val="clear" w:color="auto" w:fill="auto"/>
            <w:noWrap/>
            <w:vAlign w:val="center"/>
            <w:hideMark/>
          </w:tcPr>
          <w:p w14:paraId="045467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2145731000</w:t>
            </w:r>
          </w:p>
        </w:tc>
        <w:tc>
          <w:tcPr>
            <w:tcW w:w="1036" w:type="dxa"/>
            <w:tcBorders>
              <w:top w:val="nil"/>
              <w:left w:val="nil"/>
              <w:bottom w:val="single" w:sz="4" w:space="0" w:color="auto"/>
              <w:right w:val="single" w:sz="4" w:space="0" w:color="auto"/>
            </w:tcBorders>
            <w:shd w:val="clear" w:color="auto" w:fill="auto"/>
            <w:noWrap/>
            <w:vAlign w:val="center"/>
            <w:hideMark/>
          </w:tcPr>
          <w:p w14:paraId="350E7E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73607975</w:t>
            </w:r>
          </w:p>
        </w:tc>
        <w:tc>
          <w:tcPr>
            <w:tcW w:w="160" w:type="dxa"/>
            <w:tcBorders>
              <w:top w:val="nil"/>
              <w:left w:val="nil"/>
              <w:bottom w:val="single" w:sz="4" w:space="0" w:color="auto"/>
              <w:right w:val="nil"/>
            </w:tcBorders>
            <w:vAlign w:val="center"/>
          </w:tcPr>
          <w:p w14:paraId="081DB0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F6AA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ANTON PODBEVŠEK TEATER</w:t>
            </w:r>
          </w:p>
        </w:tc>
      </w:tr>
      <w:tr w:rsidR="00072A69" w:rsidRPr="00DC6DF9" w14:paraId="44762C8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D8D5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w:t>
            </w:r>
          </w:p>
        </w:tc>
        <w:tc>
          <w:tcPr>
            <w:tcW w:w="1036" w:type="dxa"/>
            <w:tcBorders>
              <w:top w:val="nil"/>
              <w:left w:val="nil"/>
              <w:bottom w:val="single" w:sz="4" w:space="0" w:color="auto"/>
              <w:right w:val="single" w:sz="4" w:space="0" w:color="auto"/>
            </w:tcBorders>
            <w:shd w:val="clear" w:color="auto" w:fill="auto"/>
            <w:noWrap/>
            <w:vAlign w:val="center"/>
            <w:hideMark/>
          </w:tcPr>
          <w:p w14:paraId="399264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5526329000</w:t>
            </w:r>
          </w:p>
        </w:tc>
        <w:tc>
          <w:tcPr>
            <w:tcW w:w="1036" w:type="dxa"/>
            <w:tcBorders>
              <w:top w:val="nil"/>
              <w:left w:val="nil"/>
              <w:bottom w:val="single" w:sz="4" w:space="0" w:color="auto"/>
              <w:right w:val="single" w:sz="4" w:space="0" w:color="auto"/>
            </w:tcBorders>
            <w:shd w:val="clear" w:color="auto" w:fill="auto"/>
            <w:noWrap/>
            <w:vAlign w:val="center"/>
            <w:hideMark/>
          </w:tcPr>
          <w:p w14:paraId="402DC4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32495854</w:t>
            </w:r>
          </w:p>
        </w:tc>
        <w:tc>
          <w:tcPr>
            <w:tcW w:w="160" w:type="dxa"/>
            <w:tcBorders>
              <w:top w:val="nil"/>
              <w:left w:val="nil"/>
              <w:bottom w:val="single" w:sz="4" w:space="0" w:color="auto"/>
              <w:right w:val="nil"/>
            </w:tcBorders>
            <w:vAlign w:val="center"/>
          </w:tcPr>
          <w:p w14:paraId="36D73E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87BD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ARAO - AGENCIJA ZA RADIOAKTIVNE ODPADKE, LJUBLJANA</w:t>
            </w:r>
          </w:p>
        </w:tc>
      </w:tr>
      <w:tr w:rsidR="00072A69" w:rsidRPr="00DC6DF9" w14:paraId="1DE94F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9642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w:t>
            </w:r>
          </w:p>
        </w:tc>
        <w:tc>
          <w:tcPr>
            <w:tcW w:w="1036" w:type="dxa"/>
            <w:tcBorders>
              <w:top w:val="nil"/>
              <w:left w:val="nil"/>
              <w:bottom w:val="single" w:sz="4" w:space="0" w:color="auto"/>
              <w:right w:val="single" w:sz="4" w:space="0" w:color="auto"/>
            </w:tcBorders>
            <w:shd w:val="clear" w:color="auto" w:fill="auto"/>
            <w:noWrap/>
            <w:vAlign w:val="center"/>
            <w:hideMark/>
          </w:tcPr>
          <w:p w14:paraId="1388E3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5051894000</w:t>
            </w:r>
          </w:p>
        </w:tc>
        <w:tc>
          <w:tcPr>
            <w:tcW w:w="1036" w:type="dxa"/>
            <w:tcBorders>
              <w:top w:val="nil"/>
              <w:left w:val="nil"/>
              <w:bottom w:val="single" w:sz="4" w:space="0" w:color="auto"/>
              <w:right w:val="single" w:sz="4" w:space="0" w:color="auto"/>
            </w:tcBorders>
            <w:shd w:val="clear" w:color="auto" w:fill="auto"/>
            <w:noWrap/>
            <w:vAlign w:val="center"/>
            <w:hideMark/>
          </w:tcPr>
          <w:p w14:paraId="05935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16505638</w:t>
            </w:r>
          </w:p>
        </w:tc>
        <w:tc>
          <w:tcPr>
            <w:tcW w:w="160" w:type="dxa"/>
            <w:tcBorders>
              <w:top w:val="nil"/>
              <w:left w:val="nil"/>
              <w:bottom w:val="single" w:sz="4" w:space="0" w:color="auto"/>
              <w:right w:val="nil"/>
            </w:tcBorders>
            <w:vAlign w:val="center"/>
          </w:tcPr>
          <w:p w14:paraId="0038F2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A8CD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ARBORETUM VOLČJI POTOK</w:t>
            </w:r>
          </w:p>
        </w:tc>
      </w:tr>
      <w:tr w:rsidR="00072A69" w:rsidRPr="00DC6DF9" w14:paraId="367EEE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A3B3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w:t>
            </w:r>
          </w:p>
        </w:tc>
        <w:tc>
          <w:tcPr>
            <w:tcW w:w="1036" w:type="dxa"/>
            <w:tcBorders>
              <w:top w:val="nil"/>
              <w:left w:val="nil"/>
              <w:bottom w:val="single" w:sz="4" w:space="0" w:color="auto"/>
              <w:right w:val="single" w:sz="4" w:space="0" w:color="auto"/>
            </w:tcBorders>
            <w:shd w:val="clear" w:color="auto" w:fill="auto"/>
            <w:noWrap/>
            <w:vAlign w:val="center"/>
            <w:hideMark/>
          </w:tcPr>
          <w:p w14:paraId="152F48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2399369000</w:t>
            </w:r>
          </w:p>
        </w:tc>
        <w:tc>
          <w:tcPr>
            <w:tcW w:w="1036" w:type="dxa"/>
            <w:tcBorders>
              <w:top w:val="nil"/>
              <w:left w:val="nil"/>
              <w:bottom w:val="single" w:sz="4" w:space="0" w:color="auto"/>
              <w:right w:val="single" w:sz="4" w:space="0" w:color="auto"/>
            </w:tcBorders>
            <w:shd w:val="clear" w:color="auto" w:fill="auto"/>
            <w:noWrap/>
            <w:vAlign w:val="center"/>
            <w:hideMark/>
          </w:tcPr>
          <w:p w14:paraId="520629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12356824</w:t>
            </w:r>
          </w:p>
        </w:tc>
        <w:tc>
          <w:tcPr>
            <w:tcW w:w="160" w:type="dxa"/>
            <w:tcBorders>
              <w:top w:val="nil"/>
              <w:left w:val="nil"/>
              <w:bottom w:val="single" w:sz="4" w:space="0" w:color="auto"/>
              <w:right w:val="nil"/>
            </w:tcBorders>
            <w:vAlign w:val="center"/>
          </w:tcPr>
          <w:p w14:paraId="5183CD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7473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ARHIV REPUBLIKE SLOVENIJE</w:t>
            </w:r>
          </w:p>
        </w:tc>
      </w:tr>
      <w:tr w:rsidR="00072A69" w:rsidRPr="00DC6DF9" w14:paraId="6F33E9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A0F1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w:t>
            </w:r>
          </w:p>
        </w:tc>
        <w:tc>
          <w:tcPr>
            <w:tcW w:w="1036" w:type="dxa"/>
            <w:tcBorders>
              <w:top w:val="nil"/>
              <w:left w:val="nil"/>
              <w:bottom w:val="single" w:sz="4" w:space="0" w:color="auto"/>
              <w:right w:val="single" w:sz="4" w:space="0" w:color="auto"/>
            </w:tcBorders>
            <w:shd w:val="clear" w:color="auto" w:fill="auto"/>
            <w:noWrap/>
            <w:vAlign w:val="center"/>
            <w:hideMark/>
          </w:tcPr>
          <w:p w14:paraId="3F61BC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5097053000</w:t>
            </w:r>
          </w:p>
        </w:tc>
        <w:tc>
          <w:tcPr>
            <w:tcW w:w="1036" w:type="dxa"/>
            <w:tcBorders>
              <w:top w:val="nil"/>
              <w:left w:val="nil"/>
              <w:bottom w:val="single" w:sz="4" w:space="0" w:color="auto"/>
              <w:right w:val="single" w:sz="4" w:space="0" w:color="auto"/>
            </w:tcBorders>
            <w:shd w:val="clear" w:color="auto" w:fill="auto"/>
            <w:noWrap/>
            <w:vAlign w:val="center"/>
            <w:hideMark/>
          </w:tcPr>
          <w:p w14:paraId="238EF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24010383</w:t>
            </w:r>
          </w:p>
        </w:tc>
        <w:tc>
          <w:tcPr>
            <w:tcW w:w="160" w:type="dxa"/>
            <w:tcBorders>
              <w:top w:val="nil"/>
              <w:left w:val="nil"/>
              <w:bottom w:val="single" w:sz="4" w:space="0" w:color="auto"/>
              <w:right w:val="nil"/>
            </w:tcBorders>
            <w:vAlign w:val="center"/>
          </w:tcPr>
          <w:p w14:paraId="3DC0EF9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B40B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ARRIVA ALPETOUR, D. O. O. </w:t>
            </w:r>
          </w:p>
        </w:tc>
      </w:tr>
      <w:tr w:rsidR="00072A69" w:rsidRPr="00DC6DF9" w14:paraId="1975C5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83F7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w:t>
            </w:r>
          </w:p>
        </w:tc>
        <w:tc>
          <w:tcPr>
            <w:tcW w:w="1036" w:type="dxa"/>
            <w:tcBorders>
              <w:top w:val="nil"/>
              <w:left w:val="nil"/>
              <w:bottom w:val="single" w:sz="4" w:space="0" w:color="auto"/>
              <w:right w:val="single" w:sz="4" w:space="0" w:color="auto"/>
            </w:tcBorders>
            <w:shd w:val="clear" w:color="auto" w:fill="auto"/>
            <w:noWrap/>
            <w:vAlign w:val="center"/>
            <w:hideMark/>
          </w:tcPr>
          <w:p w14:paraId="22C81D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5352657000</w:t>
            </w:r>
          </w:p>
        </w:tc>
        <w:tc>
          <w:tcPr>
            <w:tcW w:w="1036" w:type="dxa"/>
            <w:tcBorders>
              <w:top w:val="nil"/>
              <w:left w:val="nil"/>
              <w:bottom w:val="single" w:sz="4" w:space="0" w:color="auto"/>
              <w:right w:val="single" w:sz="4" w:space="0" w:color="auto"/>
            </w:tcBorders>
            <w:shd w:val="clear" w:color="auto" w:fill="auto"/>
            <w:noWrap/>
            <w:vAlign w:val="center"/>
            <w:hideMark/>
          </w:tcPr>
          <w:p w14:paraId="7228E6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68738196</w:t>
            </w:r>
          </w:p>
        </w:tc>
        <w:tc>
          <w:tcPr>
            <w:tcW w:w="160" w:type="dxa"/>
            <w:tcBorders>
              <w:top w:val="nil"/>
              <w:left w:val="nil"/>
              <w:bottom w:val="single" w:sz="4" w:space="0" w:color="auto"/>
              <w:right w:val="nil"/>
            </w:tcBorders>
            <w:vAlign w:val="center"/>
          </w:tcPr>
          <w:p w14:paraId="261307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0106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ARRIVA DOLENJSKA IN PRIMORSKA,  D. O. O. </w:t>
            </w:r>
          </w:p>
        </w:tc>
      </w:tr>
      <w:tr w:rsidR="00072A69" w:rsidRPr="00DC6DF9" w14:paraId="531889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3690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w:t>
            </w:r>
          </w:p>
        </w:tc>
        <w:tc>
          <w:tcPr>
            <w:tcW w:w="1036" w:type="dxa"/>
            <w:tcBorders>
              <w:top w:val="nil"/>
              <w:left w:val="nil"/>
              <w:bottom w:val="single" w:sz="4" w:space="0" w:color="auto"/>
              <w:right w:val="single" w:sz="4" w:space="0" w:color="auto"/>
            </w:tcBorders>
            <w:shd w:val="clear" w:color="auto" w:fill="auto"/>
            <w:noWrap/>
            <w:vAlign w:val="center"/>
            <w:hideMark/>
          </w:tcPr>
          <w:p w14:paraId="064222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5544378000</w:t>
            </w:r>
          </w:p>
        </w:tc>
        <w:tc>
          <w:tcPr>
            <w:tcW w:w="1036" w:type="dxa"/>
            <w:tcBorders>
              <w:top w:val="nil"/>
              <w:left w:val="nil"/>
              <w:bottom w:val="single" w:sz="4" w:space="0" w:color="auto"/>
              <w:right w:val="single" w:sz="4" w:space="0" w:color="auto"/>
            </w:tcBorders>
            <w:shd w:val="clear" w:color="auto" w:fill="auto"/>
            <w:noWrap/>
            <w:vAlign w:val="center"/>
            <w:hideMark/>
          </w:tcPr>
          <w:p w14:paraId="3235AD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83902210</w:t>
            </w:r>
          </w:p>
        </w:tc>
        <w:tc>
          <w:tcPr>
            <w:tcW w:w="160" w:type="dxa"/>
            <w:tcBorders>
              <w:top w:val="nil"/>
              <w:left w:val="nil"/>
              <w:bottom w:val="single" w:sz="4" w:space="0" w:color="auto"/>
              <w:right w:val="nil"/>
            </w:tcBorders>
            <w:vAlign w:val="center"/>
          </w:tcPr>
          <w:p w14:paraId="5056C59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E6DF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ARRIVA KAM-BUS, D. O. O. </w:t>
            </w:r>
          </w:p>
        </w:tc>
      </w:tr>
      <w:tr w:rsidR="00072A69" w:rsidRPr="00DC6DF9" w14:paraId="23F828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651A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w:t>
            </w:r>
          </w:p>
        </w:tc>
        <w:tc>
          <w:tcPr>
            <w:tcW w:w="1036" w:type="dxa"/>
            <w:tcBorders>
              <w:top w:val="nil"/>
              <w:left w:val="nil"/>
              <w:bottom w:val="single" w:sz="4" w:space="0" w:color="auto"/>
              <w:right w:val="single" w:sz="4" w:space="0" w:color="auto"/>
            </w:tcBorders>
            <w:shd w:val="clear" w:color="auto" w:fill="auto"/>
            <w:noWrap/>
            <w:vAlign w:val="center"/>
            <w:hideMark/>
          </w:tcPr>
          <w:p w14:paraId="14A8AE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5263433000</w:t>
            </w:r>
          </w:p>
        </w:tc>
        <w:tc>
          <w:tcPr>
            <w:tcW w:w="1036" w:type="dxa"/>
            <w:tcBorders>
              <w:top w:val="nil"/>
              <w:left w:val="nil"/>
              <w:bottom w:val="single" w:sz="4" w:space="0" w:color="auto"/>
              <w:right w:val="single" w:sz="4" w:space="0" w:color="auto"/>
            </w:tcBorders>
            <w:shd w:val="clear" w:color="auto" w:fill="auto"/>
            <w:noWrap/>
            <w:vAlign w:val="center"/>
            <w:hideMark/>
          </w:tcPr>
          <w:p w14:paraId="26391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31727077</w:t>
            </w:r>
          </w:p>
        </w:tc>
        <w:tc>
          <w:tcPr>
            <w:tcW w:w="160" w:type="dxa"/>
            <w:tcBorders>
              <w:top w:val="nil"/>
              <w:left w:val="nil"/>
              <w:bottom w:val="single" w:sz="4" w:space="0" w:color="auto"/>
              <w:right w:val="nil"/>
            </w:tcBorders>
            <w:vAlign w:val="center"/>
          </w:tcPr>
          <w:p w14:paraId="782C0D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17C5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ARRIVA ŠTAJERSKA, D. D. </w:t>
            </w:r>
          </w:p>
        </w:tc>
      </w:tr>
      <w:tr w:rsidR="00072A69" w:rsidRPr="00DC6DF9" w14:paraId="71E9C8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4441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w:t>
            </w:r>
          </w:p>
        </w:tc>
        <w:tc>
          <w:tcPr>
            <w:tcW w:w="1036" w:type="dxa"/>
            <w:tcBorders>
              <w:top w:val="nil"/>
              <w:left w:val="nil"/>
              <w:bottom w:val="single" w:sz="4" w:space="0" w:color="auto"/>
              <w:right w:val="single" w:sz="4" w:space="0" w:color="auto"/>
            </w:tcBorders>
            <w:shd w:val="clear" w:color="auto" w:fill="auto"/>
            <w:noWrap/>
            <w:vAlign w:val="center"/>
            <w:hideMark/>
          </w:tcPr>
          <w:p w14:paraId="0F8869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5023912000</w:t>
            </w:r>
          </w:p>
        </w:tc>
        <w:tc>
          <w:tcPr>
            <w:tcW w:w="1036" w:type="dxa"/>
            <w:tcBorders>
              <w:top w:val="nil"/>
              <w:left w:val="nil"/>
              <w:bottom w:val="single" w:sz="4" w:space="0" w:color="auto"/>
              <w:right w:val="single" w:sz="4" w:space="0" w:color="auto"/>
            </w:tcBorders>
            <w:shd w:val="clear" w:color="auto" w:fill="auto"/>
            <w:noWrap/>
            <w:vAlign w:val="center"/>
            <w:hideMark/>
          </w:tcPr>
          <w:p w14:paraId="7F4FBB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92582087</w:t>
            </w:r>
          </w:p>
        </w:tc>
        <w:tc>
          <w:tcPr>
            <w:tcW w:w="160" w:type="dxa"/>
            <w:tcBorders>
              <w:top w:val="nil"/>
              <w:left w:val="nil"/>
              <w:bottom w:val="single" w:sz="4" w:space="0" w:color="auto"/>
              <w:right w:val="nil"/>
            </w:tcBorders>
            <w:vAlign w:val="center"/>
          </w:tcPr>
          <w:p w14:paraId="30E1F9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1E6A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BANKA SLOVENIJE</w:t>
            </w:r>
          </w:p>
        </w:tc>
      </w:tr>
      <w:tr w:rsidR="00072A69" w:rsidRPr="00DC6DF9" w14:paraId="5B02E2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BFF8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w:t>
            </w:r>
          </w:p>
        </w:tc>
        <w:tc>
          <w:tcPr>
            <w:tcW w:w="1036" w:type="dxa"/>
            <w:tcBorders>
              <w:top w:val="nil"/>
              <w:left w:val="nil"/>
              <w:bottom w:val="single" w:sz="4" w:space="0" w:color="auto"/>
              <w:right w:val="single" w:sz="4" w:space="0" w:color="auto"/>
            </w:tcBorders>
            <w:shd w:val="clear" w:color="auto" w:fill="auto"/>
            <w:noWrap/>
            <w:vAlign w:val="center"/>
            <w:hideMark/>
          </w:tcPr>
          <w:p w14:paraId="4F9B1B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5052149000</w:t>
            </w:r>
          </w:p>
        </w:tc>
        <w:tc>
          <w:tcPr>
            <w:tcW w:w="1036" w:type="dxa"/>
            <w:tcBorders>
              <w:top w:val="nil"/>
              <w:left w:val="nil"/>
              <w:bottom w:val="single" w:sz="4" w:space="0" w:color="auto"/>
              <w:right w:val="single" w:sz="4" w:space="0" w:color="auto"/>
            </w:tcBorders>
            <w:shd w:val="clear" w:color="auto" w:fill="auto"/>
            <w:noWrap/>
            <w:vAlign w:val="center"/>
            <w:hideMark/>
          </w:tcPr>
          <w:p w14:paraId="0C8A54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23901233</w:t>
            </w:r>
          </w:p>
        </w:tc>
        <w:tc>
          <w:tcPr>
            <w:tcW w:w="160" w:type="dxa"/>
            <w:tcBorders>
              <w:top w:val="nil"/>
              <w:left w:val="nil"/>
              <w:bottom w:val="single" w:sz="4" w:space="0" w:color="auto"/>
              <w:right w:val="nil"/>
            </w:tcBorders>
            <w:vAlign w:val="center"/>
          </w:tcPr>
          <w:p w14:paraId="31D19AB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2A33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BELOKRANJSKI MUZEJ METLIKA</w:t>
            </w:r>
          </w:p>
        </w:tc>
      </w:tr>
      <w:tr w:rsidR="00072A69" w:rsidRPr="00DC6DF9" w14:paraId="0FE3A3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A866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w:t>
            </w:r>
          </w:p>
        </w:tc>
        <w:tc>
          <w:tcPr>
            <w:tcW w:w="1036" w:type="dxa"/>
            <w:tcBorders>
              <w:top w:val="nil"/>
              <w:left w:val="nil"/>
              <w:bottom w:val="single" w:sz="4" w:space="0" w:color="auto"/>
              <w:right w:val="single" w:sz="4" w:space="0" w:color="auto"/>
            </w:tcBorders>
            <w:shd w:val="clear" w:color="auto" w:fill="auto"/>
            <w:noWrap/>
            <w:vAlign w:val="center"/>
            <w:hideMark/>
          </w:tcPr>
          <w:p w14:paraId="0F7F3C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5085454000</w:t>
            </w:r>
          </w:p>
        </w:tc>
        <w:tc>
          <w:tcPr>
            <w:tcW w:w="1036" w:type="dxa"/>
            <w:tcBorders>
              <w:top w:val="nil"/>
              <w:left w:val="nil"/>
              <w:bottom w:val="single" w:sz="4" w:space="0" w:color="auto"/>
              <w:right w:val="single" w:sz="4" w:space="0" w:color="auto"/>
            </w:tcBorders>
            <w:shd w:val="clear" w:color="auto" w:fill="auto"/>
            <w:noWrap/>
            <w:vAlign w:val="center"/>
            <w:hideMark/>
          </w:tcPr>
          <w:p w14:paraId="1F476D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42181216</w:t>
            </w:r>
          </w:p>
        </w:tc>
        <w:tc>
          <w:tcPr>
            <w:tcW w:w="160" w:type="dxa"/>
            <w:tcBorders>
              <w:top w:val="nil"/>
              <w:left w:val="nil"/>
              <w:bottom w:val="single" w:sz="4" w:space="0" w:color="auto"/>
              <w:right w:val="nil"/>
            </w:tcBorders>
            <w:vAlign w:val="center"/>
          </w:tcPr>
          <w:p w14:paraId="12331C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D56D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BIOTEHNIŠKA ŠOLA MARIBOR</w:t>
            </w:r>
          </w:p>
        </w:tc>
      </w:tr>
      <w:tr w:rsidR="00072A69" w:rsidRPr="00DC6DF9" w14:paraId="47952A4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026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w:t>
            </w:r>
          </w:p>
        </w:tc>
        <w:tc>
          <w:tcPr>
            <w:tcW w:w="1036" w:type="dxa"/>
            <w:tcBorders>
              <w:top w:val="nil"/>
              <w:left w:val="nil"/>
              <w:bottom w:val="single" w:sz="4" w:space="0" w:color="auto"/>
              <w:right w:val="single" w:sz="4" w:space="0" w:color="auto"/>
            </w:tcBorders>
            <w:shd w:val="clear" w:color="auto" w:fill="auto"/>
            <w:noWrap/>
            <w:vAlign w:val="center"/>
            <w:hideMark/>
          </w:tcPr>
          <w:p w14:paraId="15D71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5089794000</w:t>
            </w:r>
          </w:p>
        </w:tc>
        <w:tc>
          <w:tcPr>
            <w:tcW w:w="1036" w:type="dxa"/>
            <w:tcBorders>
              <w:top w:val="nil"/>
              <w:left w:val="nil"/>
              <w:bottom w:val="single" w:sz="4" w:space="0" w:color="auto"/>
              <w:right w:val="single" w:sz="4" w:space="0" w:color="auto"/>
            </w:tcBorders>
            <w:shd w:val="clear" w:color="auto" w:fill="auto"/>
            <w:noWrap/>
            <w:vAlign w:val="center"/>
            <w:hideMark/>
          </w:tcPr>
          <w:p w14:paraId="76D34E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81849494</w:t>
            </w:r>
          </w:p>
        </w:tc>
        <w:tc>
          <w:tcPr>
            <w:tcW w:w="160" w:type="dxa"/>
            <w:tcBorders>
              <w:top w:val="nil"/>
              <w:left w:val="nil"/>
              <w:bottom w:val="single" w:sz="4" w:space="0" w:color="auto"/>
              <w:right w:val="nil"/>
            </w:tcBorders>
            <w:vAlign w:val="center"/>
          </w:tcPr>
          <w:p w14:paraId="23661B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34CC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BIOTEHNIŠKA ŠOLA RAKIČAN</w:t>
            </w:r>
          </w:p>
        </w:tc>
      </w:tr>
      <w:tr w:rsidR="00072A69" w:rsidRPr="00DC6DF9" w14:paraId="7AB9816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84BE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w:t>
            </w:r>
          </w:p>
        </w:tc>
        <w:tc>
          <w:tcPr>
            <w:tcW w:w="1036" w:type="dxa"/>
            <w:tcBorders>
              <w:top w:val="nil"/>
              <w:left w:val="nil"/>
              <w:bottom w:val="single" w:sz="4" w:space="0" w:color="auto"/>
              <w:right w:val="single" w:sz="4" w:space="0" w:color="auto"/>
            </w:tcBorders>
            <w:shd w:val="clear" w:color="auto" w:fill="auto"/>
            <w:noWrap/>
            <w:vAlign w:val="center"/>
            <w:hideMark/>
          </w:tcPr>
          <w:p w14:paraId="3F9A03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5088739000</w:t>
            </w:r>
          </w:p>
        </w:tc>
        <w:tc>
          <w:tcPr>
            <w:tcW w:w="1036" w:type="dxa"/>
            <w:tcBorders>
              <w:top w:val="nil"/>
              <w:left w:val="nil"/>
              <w:bottom w:val="single" w:sz="4" w:space="0" w:color="auto"/>
              <w:right w:val="single" w:sz="4" w:space="0" w:color="auto"/>
            </w:tcBorders>
            <w:shd w:val="clear" w:color="auto" w:fill="auto"/>
            <w:noWrap/>
            <w:vAlign w:val="center"/>
            <w:hideMark/>
          </w:tcPr>
          <w:p w14:paraId="127374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66817994</w:t>
            </w:r>
          </w:p>
        </w:tc>
        <w:tc>
          <w:tcPr>
            <w:tcW w:w="160" w:type="dxa"/>
            <w:tcBorders>
              <w:top w:val="nil"/>
              <w:left w:val="nil"/>
              <w:bottom w:val="single" w:sz="4" w:space="0" w:color="auto"/>
              <w:right w:val="nil"/>
            </w:tcBorders>
            <w:vAlign w:val="center"/>
          </w:tcPr>
          <w:p w14:paraId="724F9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2F5A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BIOTEHNIŠKI CENTER NAKLO</w:t>
            </w:r>
          </w:p>
        </w:tc>
      </w:tr>
      <w:tr w:rsidR="00072A69" w:rsidRPr="00DC6DF9" w14:paraId="7E6A8C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A5CD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w:t>
            </w:r>
          </w:p>
        </w:tc>
        <w:tc>
          <w:tcPr>
            <w:tcW w:w="1036" w:type="dxa"/>
            <w:tcBorders>
              <w:top w:val="nil"/>
              <w:left w:val="nil"/>
              <w:bottom w:val="single" w:sz="4" w:space="0" w:color="auto"/>
              <w:right w:val="single" w:sz="4" w:space="0" w:color="auto"/>
            </w:tcBorders>
            <w:shd w:val="clear" w:color="auto" w:fill="auto"/>
            <w:noWrap/>
            <w:vAlign w:val="center"/>
            <w:hideMark/>
          </w:tcPr>
          <w:p w14:paraId="28B9DD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5084571000</w:t>
            </w:r>
          </w:p>
        </w:tc>
        <w:tc>
          <w:tcPr>
            <w:tcW w:w="1036" w:type="dxa"/>
            <w:tcBorders>
              <w:top w:val="nil"/>
              <w:left w:val="nil"/>
              <w:bottom w:val="single" w:sz="4" w:space="0" w:color="auto"/>
              <w:right w:val="single" w:sz="4" w:space="0" w:color="auto"/>
            </w:tcBorders>
            <w:shd w:val="clear" w:color="auto" w:fill="auto"/>
            <w:noWrap/>
            <w:vAlign w:val="center"/>
            <w:hideMark/>
          </w:tcPr>
          <w:p w14:paraId="7D77F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95277145</w:t>
            </w:r>
          </w:p>
        </w:tc>
        <w:tc>
          <w:tcPr>
            <w:tcW w:w="160" w:type="dxa"/>
            <w:tcBorders>
              <w:top w:val="nil"/>
              <w:left w:val="nil"/>
              <w:bottom w:val="single" w:sz="4" w:space="0" w:color="auto"/>
              <w:right w:val="nil"/>
            </w:tcBorders>
            <w:vAlign w:val="center"/>
          </w:tcPr>
          <w:p w14:paraId="7E3F23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4147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BIOTEHNIŠKI IZOBRAŽEVALNI CENTER LJUBLJANA</w:t>
            </w:r>
          </w:p>
        </w:tc>
      </w:tr>
      <w:tr w:rsidR="00072A69" w:rsidRPr="00DC6DF9" w14:paraId="797D162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A6B9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w:t>
            </w:r>
          </w:p>
        </w:tc>
        <w:tc>
          <w:tcPr>
            <w:tcW w:w="1036" w:type="dxa"/>
            <w:tcBorders>
              <w:top w:val="nil"/>
              <w:left w:val="nil"/>
              <w:bottom w:val="single" w:sz="4" w:space="0" w:color="auto"/>
              <w:right w:val="single" w:sz="4" w:space="0" w:color="auto"/>
            </w:tcBorders>
            <w:shd w:val="clear" w:color="auto" w:fill="auto"/>
            <w:noWrap/>
            <w:vAlign w:val="center"/>
            <w:hideMark/>
          </w:tcPr>
          <w:p w14:paraId="0F2956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5054940000</w:t>
            </w:r>
          </w:p>
        </w:tc>
        <w:tc>
          <w:tcPr>
            <w:tcW w:w="1036" w:type="dxa"/>
            <w:tcBorders>
              <w:top w:val="nil"/>
              <w:left w:val="nil"/>
              <w:bottom w:val="single" w:sz="4" w:space="0" w:color="auto"/>
              <w:right w:val="single" w:sz="4" w:space="0" w:color="auto"/>
            </w:tcBorders>
            <w:shd w:val="clear" w:color="auto" w:fill="auto"/>
            <w:noWrap/>
            <w:vAlign w:val="center"/>
            <w:hideMark/>
          </w:tcPr>
          <w:p w14:paraId="3FF0E4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17330246</w:t>
            </w:r>
          </w:p>
        </w:tc>
        <w:tc>
          <w:tcPr>
            <w:tcW w:w="160" w:type="dxa"/>
            <w:tcBorders>
              <w:top w:val="nil"/>
              <w:left w:val="nil"/>
              <w:bottom w:val="single" w:sz="4" w:space="0" w:color="auto"/>
              <w:right w:val="nil"/>
            </w:tcBorders>
            <w:vAlign w:val="center"/>
          </w:tcPr>
          <w:p w14:paraId="178489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8954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BOLNIŠNICA SEŽANA</w:t>
            </w:r>
          </w:p>
        </w:tc>
      </w:tr>
      <w:tr w:rsidR="00072A69" w:rsidRPr="00DC6DF9" w14:paraId="13F51B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C80F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w:t>
            </w:r>
          </w:p>
        </w:tc>
        <w:tc>
          <w:tcPr>
            <w:tcW w:w="1036" w:type="dxa"/>
            <w:tcBorders>
              <w:top w:val="nil"/>
              <w:left w:val="nil"/>
              <w:bottom w:val="single" w:sz="4" w:space="0" w:color="auto"/>
              <w:right w:val="single" w:sz="4" w:space="0" w:color="auto"/>
            </w:tcBorders>
            <w:shd w:val="clear" w:color="auto" w:fill="auto"/>
            <w:noWrap/>
            <w:vAlign w:val="center"/>
            <w:hideMark/>
          </w:tcPr>
          <w:p w14:paraId="6C0909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5820570000</w:t>
            </w:r>
          </w:p>
        </w:tc>
        <w:tc>
          <w:tcPr>
            <w:tcW w:w="1036" w:type="dxa"/>
            <w:tcBorders>
              <w:top w:val="nil"/>
              <w:left w:val="nil"/>
              <w:bottom w:val="single" w:sz="4" w:space="0" w:color="auto"/>
              <w:right w:val="single" w:sz="4" w:space="0" w:color="auto"/>
            </w:tcBorders>
            <w:shd w:val="clear" w:color="auto" w:fill="auto"/>
            <w:noWrap/>
            <w:vAlign w:val="center"/>
            <w:hideMark/>
          </w:tcPr>
          <w:p w14:paraId="31C45A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64971635</w:t>
            </w:r>
          </w:p>
        </w:tc>
        <w:tc>
          <w:tcPr>
            <w:tcW w:w="160" w:type="dxa"/>
            <w:tcBorders>
              <w:top w:val="nil"/>
              <w:left w:val="nil"/>
              <w:bottom w:val="single" w:sz="4" w:space="0" w:color="auto"/>
              <w:right w:val="nil"/>
            </w:tcBorders>
            <w:vAlign w:val="center"/>
          </w:tcPr>
          <w:p w14:paraId="54DB82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1AD1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BOLNIŠNICA TOPOLŠICA</w:t>
            </w:r>
          </w:p>
        </w:tc>
      </w:tr>
      <w:tr w:rsidR="00072A69" w:rsidRPr="00DC6DF9" w14:paraId="696E86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1D03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w:t>
            </w:r>
          </w:p>
        </w:tc>
        <w:tc>
          <w:tcPr>
            <w:tcW w:w="1036" w:type="dxa"/>
            <w:tcBorders>
              <w:top w:val="nil"/>
              <w:left w:val="nil"/>
              <w:bottom w:val="single" w:sz="4" w:space="0" w:color="auto"/>
              <w:right w:val="single" w:sz="4" w:space="0" w:color="auto"/>
            </w:tcBorders>
            <w:shd w:val="clear" w:color="auto" w:fill="auto"/>
            <w:noWrap/>
            <w:vAlign w:val="center"/>
            <w:hideMark/>
          </w:tcPr>
          <w:p w14:paraId="1D1FA7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5053820000</w:t>
            </w:r>
          </w:p>
        </w:tc>
        <w:tc>
          <w:tcPr>
            <w:tcW w:w="1036" w:type="dxa"/>
            <w:tcBorders>
              <w:top w:val="nil"/>
              <w:left w:val="nil"/>
              <w:bottom w:val="single" w:sz="4" w:space="0" w:color="auto"/>
              <w:right w:val="single" w:sz="4" w:space="0" w:color="auto"/>
            </w:tcBorders>
            <w:shd w:val="clear" w:color="auto" w:fill="auto"/>
            <w:noWrap/>
            <w:vAlign w:val="center"/>
            <w:hideMark/>
          </w:tcPr>
          <w:p w14:paraId="626C85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41851455</w:t>
            </w:r>
          </w:p>
        </w:tc>
        <w:tc>
          <w:tcPr>
            <w:tcW w:w="160" w:type="dxa"/>
            <w:tcBorders>
              <w:top w:val="nil"/>
              <w:left w:val="nil"/>
              <w:bottom w:val="single" w:sz="4" w:space="0" w:color="auto"/>
              <w:right w:val="nil"/>
            </w:tcBorders>
            <w:vAlign w:val="center"/>
          </w:tcPr>
          <w:p w14:paraId="784D23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5F9F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BOLNIŠNICA ZA GINEKOLOGIJO IN PORODNIŠTVO KRANJ</w:t>
            </w:r>
          </w:p>
        </w:tc>
      </w:tr>
      <w:tr w:rsidR="00072A69" w:rsidRPr="00DC6DF9" w14:paraId="3C26688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34DF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w:t>
            </w:r>
          </w:p>
        </w:tc>
        <w:tc>
          <w:tcPr>
            <w:tcW w:w="1036" w:type="dxa"/>
            <w:tcBorders>
              <w:top w:val="nil"/>
              <w:left w:val="nil"/>
              <w:bottom w:val="single" w:sz="4" w:space="0" w:color="auto"/>
              <w:right w:val="single" w:sz="4" w:space="0" w:color="auto"/>
            </w:tcBorders>
            <w:shd w:val="clear" w:color="auto" w:fill="auto"/>
            <w:noWrap/>
            <w:vAlign w:val="center"/>
            <w:hideMark/>
          </w:tcPr>
          <w:p w14:paraId="176E0F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5779197000</w:t>
            </w:r>
          </w:p>
        </w:tc>
        <w:tc>
          <w:tcPr>
            <w:tcW w:w="1036" w:type="dxa"/>
            <w:tcBorders>
              <w:top w:val="nil"/>
              <w:left w:val="nil"/>
              <w:bottom w:val="single" w:sz="4" w:space="0" w:color="auto"/>
              <w:right w:val="single" w:sz="4" w:space="0" w:color="auto"/>
            </w:tcBorders>
            <w:shd w:val="clear" w:color="auto" w:fill="auto"/>
            <w:noWrap/>
            <w:vAlign w:val="center"/>
            <w:hideMark/>
          </w:tcPr>
          <w:p w14:paraId="745E4C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44498403</w:t>
            </w:r>
          </w:p>
        </w:tc>
        <w:tc>
          <w:tcPr>
            <w:tcW w:w="160" w:type="dxa"/>
            <w:tcBorders>
              <w:top w:val="nil"/>
              <w:left w:val="nil"/>
              <w:bottom w:val="single" w:sz="4" w:space="0" w:color="auto"/>
              <w:right w:val="nil"/>
            </w:tcBorders>
            <w:vAlign w:val="center"/>
          </w:tcPr>
          <w:p w14:paraId="60ABB2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E563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BOLNIŠNICA ZA ŽENSKE BOLEZNI IN PORODNIŠTVO POSTOJNA</w:t>
            </w:r>
          </w:p>
        </w:tc>
      </w:tr>
      <w:tr w:rsidR="00072A69" w:rsidRPr="00DC6DF9" w14:paraId="53671A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8422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w:t>
            </w:r>
          </w:p>
        </w:tc>
        <w:tc>
          <w:tcPr>
            <w:tcW w:w="1036" w:type="dxa"/>
            <w:tcBorders>
              <w:top w:val="nil"/>
              <w:left w:val="nil"/>
              <w:bottom w:val="single" w:sz="4" w:space="0" w:color="auto"/>
              <w:right w:val="single" w:sz="4" w:space="0" w:color="auto"/>
            </w:tcBorders>
            <w:shd w:val="clear" w:color="auto" w:fill="auto"/>
            <w:noWrap/>
            <w:vAlign w:val="center"/>
            <w:hideMark/>
          </w:tcPr>
          <w:p w14:paraId="70309D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1613383000</w:t>
            </w:r>
          </w:p>
        </w:tc>
        <w:tc>
          <w:tcPr>
            <w:tcW w:w="1036" w:type="dxa"/>
            <w:tcBorders>
              <w:top w:val="nil"/>
              <w:left w:val="nil"/>
              <w:bottom w:val="single" w:sz="4" w:space="0" w:color="auto"/>
              <w:right w:val="single" w:sz="4" w:space="0" w:color="auto"/>
            </w:tcBorders>
            <w:shd w:val="clear" w:color="auto" w:fill="auto"/>
            <w:noWrap/>
            <w:vAlign w:val="center"/>
            <w:hideMark/>
          </w:tcPr>
          <w:p w14:paraId="140E88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27799468</w:t>
            </w:r>
          </w:p>
        </w:tc>
        <w:tc>
          <w:tcPr>
            <w:tcW w:w="160" w:type="dxa"/>
            <w:tcBorders>
              <w:top w:val="nil"/>
              <w:left w:val="nil"/>
              <w:bottom w:val="single" w:sz="4" w:space="0" w:color="auto"/>
              <w:right w:val="nil"/>
            </w:tcBorders>
            <w:vAlign w:val="center"/>
          </w:tcPr>
          <w:p w14:paraId="0C8944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0301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BORZEN, OPERATER TRGA Z ELEKTRIKO, D. O. O.</w:t>
            </w:r>
          </w:p>
        </w:tc>
      </w:tr>
      <w:tr w:rsidR="00072A69" w:rsidRPr="00DC6DF9" w14:paraId="2FB1F4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788A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w:t>
            </w:r>
          </w:p>
        </w:tc>
        <w:tc>
          <w:tcPr>
            <w:tcW w:w="1036" w:type="dxa"/>
            <w:tcBorders>
              <w:top w:val="nil"/>
              <w:left w:val="nil"/>
              <w:bottom w:val="single" w:sz="4" w:space="0" w:color="auto"/>
              <w:right w:val="single" w:sz="4" w:space="0" w:color="auto"/>
            </w:tcBorders>
            <w:shd w:val="clear" w:color="auto" w:fill="auto"/>
            <w:noWrap/>
            <w:vAlign w:val="center"/>
            <w:hideMark/>
          </w:tcPr>
          <w:p w14:paraId="6C67A2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5891019000</w:t>
            </w:r>
          </w:p>
        </w:tc>
        <w:tc>
          <w:tcPr>
            <w:tcW w:w="1036" w:type="dxa"/>
            <w:tcBorders>
              <w:top w:val="nil"/>
              <w:left w:val="nil"/>
              <w:bottom w:val="single" w:sz="4" w:space="0" w:color="auto"/>
              <w:right w:val="single" w:sz="4" w:space="0" w:color="auto"/>
            </w:tcBorders>
            <w:shd w:val="clear" w:color="auto" w:fill="auto"/>
            <w:noWrap/>
            <w:vAlign w:val="center"/>
            <w:hideMark/>
          </w:tcPr>
          <w:p w14:paraId="5ED114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32865597</w:t>
            </w:r>
          </w:p>
        </w:tc>
        <w:tc>
          <w:tcPr>
            <w:tcW w:w="160" w:type="dxa"/>
            <w:tcBorders>
              <w:top w:val="nil"/>
              <w:left w:val="nil"/>
              <w:bottom w:val="single" w:sz="4" w:space="0" w:color="auto"/>
              <w:right w:val="nil"/>
            </w:tcBorders>
            <w:vAlign w:val="center"/>
          </w:tcPr>
          <w:p w14:paraId="15FB79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6F80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BSC, D. O. O. , KRANJ</w:t>
            </w:r>
          </w:p>
        </w:tc>
      </w:tr>
      <w:tr w:rsidR="00072A69" w:rsidRPr="00DC6DF9" w14:paraId="4D68A6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0BAA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w:t>
            </w:r>
          </w:p>
        </w:tc>
        <w:tc>
          <w:tcPr>
            <w:tcW w:w="1036" w:type="dxa"/>
            <w:tcBorders>
              <w:top w:val="nil"/>
              <w:left w:val="nil"/>
              <w:bottom w:val="single" w:sz="4" w:space="0" w:color="auto"/>
              <w:right w:val="single" w:sz="4" w:space="0" w:color="auto"/>
            </w:tcBorders>
            <w:shd w:val="clear" w:color="auto" w:fill="auto"/>
            <w:noWrap/>
            <w:vAlign w:val="center"/>
            <w:hideMark/>
          </w:tcPr>
          <w:p w14:paraId="2F9370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5099471000</w:t>
            </w:r>
          </w:p>
        </w:tc>
        <w:tc>
          <w:tcPr>
            <w:tcW w:w="1036" w:type="dxa"/>
            <w:tcBorders>
              <w:top w:val="nil"/>
              <w:left w:val="nil"/>
              <w:bottom w:val="single" w:sz="4" w:space="0" w:color="auto"/>
              <w:right w:val="single" w:sz="4" w:space="0" w:color="auto"/>
            </w:tcBorders>
            <w:shd w:val="clear" w:color="auto" w:fill="auto"/>
            <w:noWrap/>
            <w:vAlign w:val="center"/>
            <w:hideMark/>
          </w:tcPr>
          <w:p w14:paraId="465859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27164136</w:t>
            </w:r>
          </w:p>
        </w:tc>
        <w:tc>
          <w:tcPr>
            <w:tcW w:w="160" w:type="dxa"/>
            <w:tcBorders>
              <w:top w:val="nil"/>
              <w:left w:val="nil"/>
              <w:bottom w:val="single" w:sz="4" w:space="0" w:color="auto"/>
              <w:right w:val="nil"/>
            </w:tcBorders>
            <w:vAlign w:val="center"/>
          </w:tcPr>
          <w:p w14:paraId="4663CE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FF7C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CANKARJEV DOM</w:t>
            </w:r>
          </w:p>
        </w:tc>
      </w:tr>
      <w:tr w:rsidR="00072A69" w:rsidRPr="00DC6DF9" w14:paraId="3BAE9E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D5E4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w:t>
            </w:r>
          </w:p>
        </w:tc>
        <w:tc>
          <w:tcPr>
            <w:tcW w:w="1036" w:type="dxa"/>
            <w:tcBorders>
              <w:top w:val="nil"/>
              <w:left w:val="nil"/>
              <w:bottom w:val="single" w:sz="4" w:space="0" w:color="auto"/>
              <w:right w:val="single" w:sz="4" w:space="0" w:color="auto"/>
            </w:tcBorders>
            <w:shd w:val="clear" w:color="auto" w:fill="auto"/>
            <w:noWrap/>
            <w:vAlign w:val="center"/>
            <w:hideMark/>
          </w:tcPr>
          <w:p w14:paraId="22B433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5052394000</w:t>
            </w:r>
          </w:p>
        </w:tc>
        <w:tc>
          <w:tcPr>
            <w:tcW w:w="1036" w:type="dxa"/>
            <w:tcBorders>
              <w:top w:val="nil"/>
              <w:left w:val="nil"/>
              <w:bottom w:val="single" w:sz="4" w:space="0" w:color="auto"/>
              <w:right w:val="single" w:sz="4" w:space="0" w:color="auto"/>
            </w:tcBorders>
            <w:shd w:val="clear" w:color="auto" w:fill="auto"/>
            <w:noWrap/>
            <w:vAlign w:val="center"/>
            <w:hideMark/>
          </w:tcPr>
          <w:p w14:paraId="762582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33782067</w:t>
            </w:r>
          </w:p>
        </w:tc>
        <w:tc>
          <w:tcPr>
            <w:tcW w:w="160" w:type="dxa"/>
            <w:tcBorders>
              <w:top w:val="nil"/>
              <w:left w:val="nil"/>
              <w:bottom w:val="single" w:sz="4" w:space="0" w:color="auto"/>
              <w:right w:val="nil"/>
            </w:tcBorders>
            <w:vAlign w:val="center"/>
          </w:tcPr>
          <w:p w14:paraId="17FE52A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B4C3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CANKARJEVA KNJIŽNICA VRHNIKA</w:t>
            </w:r>
          </w:p>
        </w:tc>
      </w:tr>
      <w:tr w:rsidR="00072A69" w:rsidRPr="00DC6DF9" w14:paraId="06A5CF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FA18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w:t>
            </w:r>
          </w:p>
        </w:tc>
        <w:tc>
          <w:tcPr>
            <w:tcW w:w="1036" w:type="dxa"/>
            <w:tcBorders>
              <w:top w:val="nil"/>
              <w:left w:val="nil"/>
              <w:bottom w:val="single" w:sz="4" w:space="0" w:color="auto"/>
              <w:right w:val="single" w:sz="4" w:space="0" w:color="auto"/>
            </w:tcBorders>
            <w:shd w:val="clear" w:color="auto" w:fill="auto"/>
            <w:noWrap/>
            <w:vAlign w:val="center"/>
            <w:hideMark/>
          </w:tcPr>
          <w:p w14:paraId="798DAD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5053617000</w:t>
            </w:r>
          </w:p>
        </w:tc>
        <w:tc>
          <w:tcPr>
            <w:tcW w:w="1036" w:type="dxa"/>
            <w:tcBorders>
              <w:top w:val="nil"/>
              <w:left w:val="nil"/>
              <w:bottom w:val="single" w:sz="4" w:space="0" w:color="auto"/>
              <w:right w:val="single" w:sz="4" w:space="0" w:color="auto"/>
            </w:tcBorders>
            <w:shd w:val="clear" w:color="auto" w:fill="auto"/>
            <w:noWrap/>
            <w:vAlign w:val="center"/>
            <w:hideMark/>
          </w:tcPr>
          <w:p w14:paraId="4B58ED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96612401</w:t>
            </w:r>
          </w:p>
        </w:tc>
        <w:tc>
          <w:tcPr>
            <w:tcW w:w="160" w:type="dxa"/>
            <w:tcBorders>
              <w:top w:val="nil"/>
              <w:left w:val="nil"/>
              <w:bottom w:val="single" w:sz="4" w:space="0" w:color="auto"/>
              <w:right w:val="nil"/>
            </w:tcBorders>
            <w:vAlign w:val="center"/>
          </w:tcPr>
          <w:p w14:paraId="2D9738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5951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CELJSKE LEKARNE</w:t>
            </w:r>
          </w:p>
        </w:tc>
      </w:tr>
      <w:tr w:rsidR="00072A69" w:rsidRPr="00DC6DF9" w14:paraId="71E933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1310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w:t>
            </w:r>
          </w:p>
        </w:tc>
        <w:tc>
          <w:tcPr>
            <w:tcW w:w="1036" w:type="dxa"/>
            <w:tcBorders>
              <w:top w:val="nil"/>
              <w:left w:val="nil"/>
              <w:bottom w:val="single" w:sz="4" w:space="0" w:color="auto"/>
              <w:right w:val="single" w:sz="4" w:space="0" w:color="auto"/>
            </w:tcBorders>
            <w:shd w:val="clear" w:color="auto" w:fill="auto"/>
            <w:noWrap/>
            <w:vAlign w:val="center"/>
            <w:hideMark/>
          </w:tcPr>
          <w:p w14:paraId="507421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2024675000</w:t>
            </w:r>
          </w:p>
        </w:tc>
        <w:tc>
          <w:tcPr>
            <w:tcW w:w="1036" w:type="dxa"/>
            <w:tcBorders>
              <w:top w:val="nil"/>
              <w:left w:val="nil"/>
              <w:bottom w:val="single" w:sz="4" w:space="0" w:color="auto"/>
              <w:right w:val="single" w:sz="4" w:space="0" w:color="auto"/>
            </w:tcBorders>
            <w:shd w:val="clear" w:color="auto" w:fill="auto"/>
            <w:noWrap/>
            <w:vAlign w:val="center"/>
            <w:hideMark/>
          </w:tcPr>
          <w:p w14:paraId="123440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93902662</w:t>
            </w:r>
          </w:p>
        </w:tc>
        <w:tc>
          <w:tcPr>
            <w:tcW w:w="160" w:type="dxa"/>
            <w:tcBorders>
              <w:top w:val="nil"/>
              <w:left w:val="nil"/>
              <w:bottom w:val="single" w:sz="4" w:space="0" w:color="auto"/>
              <w:right w:val="nil"/>
            </w:tcBorders>
            <w:vAlign w:val="center"/>
          </w:tcPr>
          <w:p w14:paraId="798BDA9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4CE4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CELJSKI MLADINSKI CENTER</w:t>
            </w:r>
          </w:p>
        </w:tc>
      </w:tr>
      <w:tr w:rsidR="00072A69" w:rsidRPr="00DC6DF9" w14:paraId="014EBF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73BC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w:t>
            </w:r>
          </w:p>
        </w:tc>
        <w:tc>
          <w:tcPr>
            <w:tcW w:w="1036" w:type="dxa"/>
            <w:tcBorders>
              <w:top w:val="nil"/>
              <w:left w:val="nil"/>
              <w:bottom w:val="single" w:sz="4" w:space="0" w:color="auto"/>
              <w:right w:val="single" w:sz="4" w:space="0" w:color="auto"/>
            </w:tcBorders>
            <w:shd w:val="clear" w:color="auto" w:fill="auto"/>
            <w:noWrap/>
            <w:vAlign w:val="center"/>
            <w:hideMark/>
          </w:tcPr>
          <w:p w14:paraId="6519DD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5051134000</w:t>
            </w:r>
          </w:p>
        </w:tc>
        <w:tc>
          <w:tcPr>
            <w:tcW w:w="1036" w:type="dxa"/>
            <w:tcBorders>
              <w:top w:val="nil"/>
              <w:left w:val="nil"/>
              <w:bottom w:val="single" w:sz="4" w:space="0" w:color="auto"/>
              <w:right w:val="single" w:sz="4" w:space="0" w:color="auto"/>
            </w:tcBorders>
            <w:shd w:val="clear" w:color="auto" w:fill="auto"/>
            <w:noWrap/>
            <w:vAlign w:val="center"/>
            <w:hideMark/>
          </w:tcPr>
          <w:p w14:paraId="2C5897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94559899</w:t>
            </w:r>
          </w:p>
        </w:tc>
        <w:tc>
          <w:tcPr>
            <w:tcW w:w="160" w:type="dxa"/>
            <w:tcBorders>
              <w:top w:val="nil"/>
              <w:left w:val="nil"/>
              <w:bottom w:val="single" w:sz="4" w:space="0" w:color="auto"/>
              <w:right w:val="nil"/>
            </w:tcBorders>
            <w:vAlign w:val="center"/>
          </w:tcPr>
          <w:p w14:paraId="5DAC4E7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4B49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IRIS</w:t>
            </w:r>
          </w:p>
        </w:tc>
      </w:tr>
      <w:tr w:rsidR="00072A69" w:rsidRPr="00DC6DF9" w14:paraId="0B2BCB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0778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w:t>
            </w:r>
          </w:p>
        </w:tc>
        <w:tc>
          <w:tcPr>
            <w:tcW w:w="1036" w:type="dxa"/>
            <w:tcBorders>
              <w:top w:val="nil"/>
              <w:left w:val="nil"/>
              <w:bottom w:val="single" w:sz="4" w:space="0" w:color="auto"/>
              <w:right w:val="single" w:sz="4" w:space="0" w:color="auto"/>
            </w:tcBorders>
            <w:shd w:val="clear" w:color="auto" w:fill="auto"/>
            <w:noWrap/>
            <w:vAlign w:val="center"/>
            <w:hideMark/>
          </w:tcPr>
          <w:p w14:paraId="4A9A6E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8047464000</w:t>
            </w:r>
          </w:p>
        </w:tc>
        <w:tc>
          <w:tcPr>
            <w:tcW w:w="1036" w:type="dxa"/>
            <w:tcBorders>
              <w:top w:val="nil"/>
              <w:left w:val="nil"/>
              <w:bottom w:val="single" w:sz="4" w:space="0" w:color="auto"/>
              <w:right w:val="single" w:sz="4" w:space="0" w:color="auto"/>
            </w:tcBorders>
            <w:shd w:val="clear" w:color="auto" w:fill="auto"/>
            <w:noWrap/>
            <w:vAlign w:val="center"/>
            <w:hideMark/>
          </w:tcPr>
          <w:p w14:paraId="217DD3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75852179</w:t>
            </w:r>
          </w:p>
        </w:tc>
        <w:tc>
          <w:tcPr>
            <w:tcW w:w="160" w:type="dxa"/>
            <w:tcBorders>
              <w:top w:val="nil"/>
              <w:left w:val="nil"/>
              <w:bottom w:val="single" w:sz="4" w:space="0" w:color="auto"/>
              <w:right w:val="nil"/>
            </w:tcBorders>
            <w:vAlign w:val="center"/>
          </w:tcPr>
          <w:p w14:paraId="7331487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B5BD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MLADIH KOPER</w:t>
            </w:r>
          </w:p>
        </w:tc>
      </w:tr>
      <w:tr w:rsidR="00072A69" w:rsidRPr="00DC6DF9" w14:paraId="233DC2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3549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w:t>
            </w:r>
          </w:p>
        </w:tc>
        <w:tc>
          <w:tcPr>
            <w:tcW w:w="1036" w:type="dxa"/>
            <w:tcBorders>
              <w:top w:val="nil"/>
              <w:left w:val="nil"/>
              <w:bottom w:val="single" w:sz="4" w:space="0" w:color="auto"/>
              <w:right w:val="single" w:sz="4" w:space="0" w:color="auto"/>
            </w:tcBorders>
            <w:shd w:val="clear" w:color="auto" w:fill="auto"/>
            <w:noWrap/>
            <w:vAlign w:val="center"/>
            <w:hideMark/>
          </w:tcPr>
          <w:p w14:paraId="595123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3663388000</w:t>
            </w:r>
          </w:p>
        </w:tc>
        <w:tc>
          <w:tcPr>
            <w:tcW w:w="1036" w:type="dxa"/>
            <w:tcBorders>
              <w:top w:val="nil"/>
              <w:left w:val="nil"/>
              <w:bottom w:val="single" w:sz="4" w:space="0" w:color="auto"/>
              <w:right w:val="single" w:sz="4" w:space="0" w:color="auto"/>
            </w:tcBorders>
            <w:shd w:val="clear" w:color="auto" w:fill="auto"/>
            <w:noWrap/>
            <w:vAlign w:val="center"/>
            <w:hideMark/>
          </w:tcPr>
          <w:p w14:paraId="18BC0B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90147502</w:t>
            </w:r>
          </w:p>
        </w:tc>
        <w:tc>
          <w:tcPr>
            <w:tcW w:w="160" w:type="dxa"/>
            <w:tcBorders>
              <w:top w:val="nil"/>
              <w:left w:val="nil"/>
              <w:bottom w:val="single" w:sz="4" w:space="0" w:color="auto"/>
              <w:right w:val="nil"/>
            </w:tcBorders>
            <w:vAlign w:val="center"/>
          </w:tcPr>
          <w:p w14:paraId="01183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31B6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ODLIČNOSTI ZA INTEGRIRANE PRISTOPE V KEMIJI IN BIOLOGIJI PROTEINOV, LJUBLJANA</w:t>
            </w:r>
          </w:p>
        </w:tc>
      </w:tr>
      <w:tr w:rsidR="00072A69" w:rsidRPr="00DC6DF9" w14:paraId="4BCF63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5B24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w:t>
            </w:r>
          </w:p>
        </w:tc>
        <w:tc>
          <w:tcPr>
            <w:tcW w:w="1036" w:type="dxa"/>
            <w:tcBorders>
              <w:top w:val="nil"/>
              <w:left w:val="nil"/>
              <w:bottom w:val="single" w:sz="4" w:space="0" w:color="auto"/>
              <w:right w:val="single" w:sz="4" w:space="0" w:color="auto"/>
            </w:tcBorders>
            <w:shd w:val="clear" w:color="auto" w:fill="auto"/>
            <w:noWrap/>
            <w:vAlign w:val="center"/>
            <w:hideMark/>
          </w:tcPr>
          <w:p w14:paraId="2A9C66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1833006000</w:t>
            </w:r>
          </w:p>
        </w:tc>
        <w:tc>
          <w:tcPr>
            <w:tcW w:w="1036" w:type="dxa"/>
            <w:tcBorders>
              <w:top w:val="nil"/>
              <w:left w:val="nil"/>
              <w:bottom w:val="single" w:sz="4" w:space="0" w:color="auto"/>
              <w:right w:val="single" w:sz="4" w:space="0" w:color="auto"/>
            </w:tcBorders>
            <w:shd w:val="clear" w:color="auto" w:fill="auto"/>
            <w:noWrap/>
            <w:vAlign w:val="center"/>
            <w:hideMark/>
          </w:tcPr>
          <w:p w14:paraId="4D2347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33171629</w:t>
            </w:r>
          </w:p>
        </w:tc>
        <w:tc>
          <w:tcPr>
            <w:tcW w:w="160" w:type="dxa"/>
            <w:tcBorders>
              <w:top w:val="nil"/>
              <w:left w:val="nil"/>
              <w:bottom w:val="single" w:sz="4" w:space="0" w:color="auto"/>
              <w:right w:val="nil"/>
            </w:tcBorders>
            <w:vAlign w:val="center"/>
          </w:tcPr>
          <w:p w14:paraId="5D8649F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CF89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REPUBLIKE SLOVENIJE ZA MOBILNOST IN EVROPSKE PROGRAME IZOBRAŽEVANJA IN USPOSABLJANJA</w:t>
            </w:r>
          </w:p>
        </w:tc>
      </w:tr>
      <w:tr w:rsidR="00072A69" w:rsidRPr="00DC6DF9" w14:paraId="7C6379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37C6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w:t>
            </w:r>
          </w:p>
        </w:tc>
        <w:tc>
          <w:tcPr>
            <w:tcW w:w="1036" w:type="dxa"/>
            <w:tcBorders>
              <w:top w:val="nil"/>
              <w:left w:val="nil"/>
              <w:bottom w:val="single" w:sz="4" w:space="0" w:color="auto"/>
              <w:right w:val="single" w:sz="4" w:space="0" w:color="auto"/>
            </w:tcBorders>
            <w:shd w:val="clear" w:color="auto" w:fill="auto"/>
            <w:noWrap/>
            <w:vAlign w:val="center"/>
            <w:hideMark/>
          </w:tcPr>
          <w:p w14:paraId="6CCE5C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5910668000</w:t>
            </w:r>
          </w:p>
        </w:tc>
        <w:tc>
          <w:tcPr>
            <w:tcW w:w="1036" w:type="dxa"/>
            <w:tcBorders>
              <w:top w:val="nil"/>
              <w:left w:val="nil"/>
              <w:bottom w:val="single" w:sz="4" w:space="0" w:color="auto"/>
              <w:right w:val="single" w:sz="4" w:space="0" w:color="auto"/>
            </w:tcBorders>
            <w:shd w:val="clear" w:color="auto" w:fill="auto"/>
            <w:noWrap/>
            <w:vAlign w:val="center"/>
            <w:hideMark/>
          </w:tcPr>
          <w:p w14:paraId="43B4F4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44648537</w:t>
            </w:r>
          </w:p>
        </w:tc>
        <w:tc>
          <w:tcPr>
            <w:tcW w:w="160" w:type="dxa"/>
            <w:tcBorders>
              <w:top w:val="nil"/>
              <w:left w:val="nil"/>
              <w:bottom w:val="single" w:sz="4" w:space="0" w:color="auto"/>
              <w:right w:val="nil"/>
            </w:tcBorders>
            <w:vAlign w:val="center"/>
          </w:tcPr>
          <w:p w14:paraId="10151E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4112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REPUBLIKE SLOVENIJE ZA POKLICNO IZOBRAŽEVANJE</w:t>
            </w:r>
          </w:p>
        </w:tc>
      </w:tr>
      <w:tr w:rsidR="00072A69" w:rsidRPr="00DC6DF9" w14:paraId="78BB93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3B06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w:t>
            </w:r>
          </w:p>
        </w:tc>
        <w:tc>
          <w:tcPr>
            <w:tcW w:w="1036" w:type="dxa"/>
            <w:tcBorders>
              <w:top w:val="nil"/>
              <w:left w:val="nil"/>
              <w:bottom w:val="single" w:sz="4" w:space="0" w:color="auto"/>
              <w:right w:val="single" w:sz="4" w:space="0" w:color="auto"/>
            </w:tcBorders>
            <w:shd w:val="clear" w:color="auto" w:fill="auto"/>
            <w:noWrap/>
            <w:vAlign w:val="center"/>
            <w:hideMark/>
          </w:tcPr>
          <w:p w14:paraId="666E21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5050715000</w:t>
            </w:r>
          </w:p>
        </w:tc>
        <w:tc>
          <w:tcPr>
            <w:tcW w:w="1036" w:type="dxa"/>
            <w:tcBorders>
              <w:top w:val="nil"/>
              <w:left w:val="nil"/>
              <w:bottom w:val="single" w:sz="4" w:space="0" w:color="auto"/>
              <w:right w:val="single" w:sz="4" w:space="0" w:color="auto"/>
            </w:tcBorders>
            <w:shd w:val="clear" w:color="auto" w:fill="auto"/>
            <w:noWrap/>
            <w:vAlign w:val="center"/>
            <w:hideMark/>
          </w:tcPr>
          <w:p w14:paraId="29F7B2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30350611</w:t>
            </w:r>
          </w:p>
        </w:tc>
        <w:tc>
          <w:tcPr>
            <w:tcW w:w="160" w:type="dxa"/>
            <w:tcBorders>
              <w:top w:val="nil"/>
              <w:left w:val="nil"/>
              <w:bottom w:val="single" w:sz="4" w:space="0" w:color="auto"/>
              <w:right w:val="nil"/>
            </w:tcBorders>
            <w:vAlign w:val="center"/>
          </w:tcPr>
          <w:p w14:paraId="1E997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A298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SLEPIH, SLABOVIDNIH IN STAREJŠIH ŠKOFJA LOKA</w:t>
            </w:r>
          </w:p>
        </w:tc>
      </w:tr>
      <w:tr w:rsidR="00072A69" w:rsidRPr="00DC6DF9" w14:paraId="454BAFA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0467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w:t>
            </w:r>
          </w:p>
        </w:tc>
        <w:tc>
          <w:tcPr>
            <w:tcW w:w="1036" w:type="dxa"/>
            <w:tcBorders>
              <w:top w:val="nil"/>
              <w:left w:val="nil"/>
              <w:bottom w:val="single" w:sz="4" w:space="0" w:color="auto"/>
              <w:right w:val="single" w:sz="4" w:space="0" w:color="auto"/>
            </w:tcBorders>
            <w:shd w:val="clear" w:color="auto" w:fill="auto"/>
            <w:noWrap/>
            <w:vAlign w:val="center"/>
            <w:hideMark/>
          </w:tcPr>
          <w:p w14:paraId="770A78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5671221000</w:t>
            </w:r>
          </w:p>
        </w:tc>
        <w:tc>
          <w:tcPr>
            <w:tcW w:w="1036" w:type="dxa"/>
            <w:tcBorders>
              <w:top w:val="nil"/>
              <w:left w:val="nil"/>
              <w:bottom w:val="single" w:sz="4" w:space="0" w:color="auto"/>
              <w:right w:val="single" w:sz="4" w:space="0" w:color="auto"/>
            </w:tcBorders>
            <w:shd w:val="clear" w:color="auto" w:fill="auto"/>
            <w:noWrap/>
            <w:vAlign w:val="center"/>
            <w:hideMark/>
          </w:tcPr>
          <w:p w14:paraId="67BA84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89446046</w:t>
            </w:r>
          </w:p>
        </w:tc>
        <w:tc>
          <w:tcPr>
            <w:tcW w:w="160" w:type="dxa"/>
            <w:tcBorders>
              <w:top w:val="nil"/>
              <w:left w:val="nil"/>
              <w:bottom w:val="single" w:sz="4" w:space="0" w:color="auto"/>
              <w:right w:val="nil"/>
            </w:tcBorders>
            <w:vAlign w:val="center"/>
          </w:tcPr>
          <w:p w14:paraId="797AF8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AF33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ŠOLSKIH IN OBŠOLSKIH DEJAVNOSTI</w:t>
            </w:r>
          </w:p>
        </w:tc>
      </w:tr>
      <w:tr w:rsidR="00072A69" w:rsidRPr="00DC6DF9" w14:paraId="1863EA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9E4C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w:t>
            </w:r>
          </w:p>
        </w:tc>
        <w:tc>
          <w:tcPr>
            <w:tcW w:w="1036" w:type="dxa"/>
            <w:tcBorders>
              <w:top w:val="nil"/>
              <w:left w:val="nil"/>
              <w:bottom w:val="single" w:sz="4" w:space="0" w:color="auto"/>
              <w:right w:val="single" w:sz="4" w:space="0" w:color="auto"/>
            </w:tcBorders>
            <w:shd w:val="clear" w:color="auto" w:fill="auto"/>
            <w:noWrap/>
            <w:vAlign w:val="center"/>
            <w:hideMark/>
          </w:tcPr>
          <w:p w14:paraId="6AF6D6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3313069000</w:t>
            </w:r>
          </w:p>
        </w:tc>
        <w:tc>
          <w:tcPr>
            <w:tcW w:w="1036" w:type="dxa"/>
            <w:tcBorders>
              <w:top w:val="nil"/>
              <w:left w:val="nil"/>
              <w:bottom w:val="single" w:sz="4" w:space="0" w:color="auto"/>
              <w:right w:val="single" w:sz="4" w:space="0" w:color="auto"/>
            </w:tcBorders>
            <w:shd w:val="clear" w:color="auto" w:fill="auto"/>
            <w:noWrap/>
            <w:vAlign w:val="center"/>
            <w:hideMark/>
          </w:tcPr>
          <w:p w14:paraId="1A94C8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58809015</w:t>
            </w:r>
          </w:p>
        </w:tc>
        <w:tc>
          <w:tcPr>
            <w:tcW w:w="160" w:type="dxa"/>
            <w:tcBorders>
              <w:top w:val="nil"/>
              <w:left w:val="nil"/>
              <w:bottom w:val="single" w:sz="4" w:space="0" w:color="auto"/>
              <w:right w:val="nil"/>
            </w:tcBorders>
            <w:vAlign w:val="center"/>
          </w:tcPr>
          <w:p w14:paraId="58D7649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3AAF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URBANE KULTURE KINO ŠIŠKA</w:t>
            </w:r>
          </w:p>
        </w:tc>
      </w:tr>
      <w:tr w:rsidR="00072A69" w:rsidRPr="00DC6DF9" w14:paraId="66E6E91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28F0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w:t>
            </w:r>
          </w:p>
        </w:tc>
        <w:tc>
          <w:tcPr>
            <w:tcW w:w="1036" w:type="dxa"/>
            <w:tcBorders>
              <w:top w:val="nil"/>
              <w:left w:val="nil"/>
              <w:bottom w:val="single" w:sz="4" w:space="0" w:color="auto"/>
              <w:right w:val="single" w:sz="4" w:space="0" w:color="auto"/>
            </w:tcBorders>
            <w:shd w:val="clear" w:color="auto" w:fill="auto"/>
            <w:noWrap/>
            <w:vAlign w:val="center"/>
            <w:hideMark/>
          </w:tcPr>
          <w:p w14:paraId="599D10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6558615000</w:t>
            </w:r>
          </w:p>
        </w:tc>
        <w:tc>
          <w:tcPr>
            <w:tcW w:w="1036" w:type="dxa"/>
            <w:tcBorders>
              <w:top w:val="nil"/>
              <w:left w:val="nil"/>
              <w:bottom w:val="single" w:sz="4" w:space="0" w:color="auto"/>
              <w:right w:val="single" w:sz="4" w:space="0" w:color="auto"/>
            </w:tcBorders>
            <w:shd w:val="clear" w:color="auto" w:fill="auto"/>
            <w:noWrap/>
            <w:vAlign w:val="center"/>
            <w:hideMark/>
          </w:tcPr>
          <w:p w14:paraId="79802C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17102740</w:t>
            </w:r>
          </w:p>
        </w:tc>
        <w:tc>
          <w:tcPr>
            <w:tcW w:w="160" w:type="dxa"/>
            <w:tcBorders>
              <w:top w:val="nil"/>
              <w:left w:val="nil"/>
              <w:bottom w:val="single" w:sz="4" w:space="0" w:color="auto"/>
              <w:right w:val="nil"/>
            </w:tcBorders>
            <w:vAlign w:val="center"/>
          </w:tcPr>
          <w:p w14:paraId="453485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0556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VESOLJSKIH TEHNOLOGIJ HERMANA POTOČNIKA NOORDUNGA</w:t>
            </w:r>
          </w:p>
        </w:tc>
      </w:tr>
      <w:tr w:rsidR="00072A69" w:rsidRPr="00DC6DF9" w14:paraId="28555D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893E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w:t>
            </w:r>
          </w:p>
        </w:tc>
        <w:tc>
          <w:tcPr>
            <w:tcW w:w="1036" w:type="dxa"/>
            <w:tcBorders>
              <w:top w:val="nil"/>
              <w:left w:val="nil"/>
              <w:bottom w:val="single" w:sz="4" w:space="0" w:color="auto"/>
              <w:right w:val="single" w:sz="4" w:space="0" w:color="auto"/>
            </w:tcBorders>
            <w:shd w:val="clear" w:color="auto" w:fill="auto"/>
            <w:noWrap/>
            <w:vAlign w:val="center"/>
            <w:hideMark/>
          </w:tcPr>
          <w:p w14:paraId="034196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5269547000</w:t>
            </w:r>
          </w:p>
        </w:tc>
        <w:tc>
          <w:tcPr>
            <w:tcW w:w="1036" w:type="dxa"/>
            <w:tcBorders>
              <w:top w:val="nil"/>
              <w:left w:val="nil"/>
              <w:bottom w:val="single" w:sz="4" w:space="0" w:color="auto"/>
              <w:right w:val="single" w:sz="4" w:space="0" w:color="auto"/>
            </w:tcBorders>
            <w:shd w:val="clear" w:color="auto" w:fill="auto"/>
            <w:noWrap/>
            <w:vAlign w:val="center"/>
            <w:hideMark/>
          </w:tcPr>
          <w:p w14:paraId="063B31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94367531</w:t>
            </w:r>
          </w:p>
        </w:tc>
        <w:tc>
          <w:tcPr>
            <w:tcW w:w="160" w:type="dxa"/>
            <w:tcBorders>
              <w:top w:val="nil"/>
              <w:left w:val="nil"/>
              <w:bottom w:val="single" w:sz="4" w:space="0" w:color="auto"/>
              <w:right w:val="nil"/>
            </w:tcBorders>
            <w:vAlign w:val="center"/>
          </w:tcPr>
          <w:p w14:paraId="27EC340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95AE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DOPISNO IZOBRAŽEVANJE UNIVERZUM</w:t>
            </w:r>
          </w:p>
        </w:tc>
      </w:tr>
      <w:tr w:rsidR="00072A69" w:rsidRPr="00DC6DF9" w14:paraId="23B3A6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F0E1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w:t>
            </w:r>
          </w:p>
        </w:tc>
        <w:tc>
          <w:tcPr>
            <w:tcW w:w="1036" w:type="dxa"/>
            <w:tcBorders>
              <w:top w:val="nil"/>
              <w:left w:val="nil"/>
              <w:bottom w:val="single" w:sz="4" w:space="0" w:color="auto"/>
              <w:right w:val="single" w:sz="4" w:space="0" w:color="auto"/>
            </w:tcBorders>
            <w:shd w:val="clear" w:color="auto" w:fill="auto"/>
            <w:noWrap/>
            <w:vAlign w:val="center"/>
            <w:hideMark/>
          </w:tcPr>
          <w:p w14:paraId="4D0CFC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5049768000</w:t>
            </w:r>
          </w:p>
        </w:tc>
        <w:tc>
          <w:tcPr>
            <w:tcW w:w="1036" w:type="dxa"/>
            <w:tcBorders>
              <w:top w:val="nil"/>
              <w:left w:val="nil"/>
              <w:bottom w:val="single" w:sz="4" w:space="0" w:color="auto"/>
              <w:right w:val="single" w:sz="4" w:space="0" w:color="auto"/>
            </w:tcBorders>
            <w:shd w:val="clear" w:color="auto" w:fill="auto"/>
            <w:noWrap/>
            <w:vAlign w:val="center"/>
            <w:hideMark/>
          </w:tcPr>
          <w:p w14:paraId="06321C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99621053</w:t>
            </w:r>
          </w:p>
        </w:tc>
        <w:tc>
          <w:tcPr>
            <w:tcW w:w="160" w:type="dxa"/>
            <w:tcBorders>
              <w:top w:val="nil"/>
              <w:left w:val="nil"/>
              <w:bottom w:val="single" w:sz="4" w:space="0" w:color="auto"/>
              <w:right w:val="nil"/>
            </w:tcBorders>
            <w:vAlign w:val="center"/>
          </w:tcPr>
          <w:p w14:paraId="4B79DE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5367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IZOBRAŽEVANJE, REHABILITACIJO IN USPOSABLJANJE KAMNIK</w:t>
            </w:r>
          </w:p>
        </w:tc>
      </w:tr>
      <w:tr w:rsidR="00072A69" w:rsidRPr="00DC6DF9" w14:paraId="54AE60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12D7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w:t>
            </w:r>
          </w:p>
        </w:tc>
        <w:tc>
          <w:tcPr>
            <w:tcW w:w="1036" w:type="dxa"/>
            <w:tcBorders>
              <w:top w:val="nil"/>
              <w:left w:val="nil"/>
              <w:bottom w:val="single" w:sz="4" w:space="0" w:color="auto"/>
              <w:right w:val="single" w:sz="4" w:space="0" w:color="auto"/>
            </w:tcBorders>
            <w:shd w:val="clear" w:color="auto" w:fill="auto"/>
            <w:noWrap/>
            <w:vAlign w:val="center"/>
            <w:hideMark/>
          </w:tcPr>
          <w:p w14:paraId="73CFBE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5049695000</w:t>
            </w:r>
          </w:p>
        </w:tc>
        <w:tc>
          <w:tcPr>
            <w:tcW w:w="1036" w:type="dxa"/>
            <w:tcBorders>
              <w:top w:val="nil"/>
              <w:left w:val="nil"/>
              <w:bottom w:val="single" w:sz="4" w:space="0" w:color="auto"/>
              <w:right w:val="single" w:sz="4" w:space="0" w:color="auto"/>
            </w:tcBorders>
            <w:shd w:val="clear" w:color="auto" w:fill="auto"/>
            <w:noWrap/>
            <w:vAlign w:val="center"/>
            <w:hideMark/>
          </w:tcPr>
          <w:p w14:paraId="03D671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38503034</w:t>
            </w:r>
          </w:p>
        </w:tc>
        <w:tc>
          <w:tcPr>
            <w:tcW w:w="160" w:type="dxa"/>
            <w:tcBorders>
              <w:top w:val="nil"/>
              <w:left w:val="nil"/>
              <w:bottom w:val="single" w:sz="4" w:space="0" w:color="auto"/>
              <w:right w:val="nil"/>
            </w:tcBorders>
            <w:vAlign w:val="center"/>
          </w:tcPr>
          <w:p w14:paraId="54C3441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182E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IZOBRAŽEVANJE, REHABILITACIJO IN USPOSABLJANJE VIPAVA</w:t>
            </w:r>
          </w:p>
        </w:tc>
      </w:tr>
      <w:tr w:rsidR="00072A69" w:rsidRPr="00DC6DF9" w14:paraId="2580B18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BB2D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w:t>
            </w:r>
          </w:p>
        </w:tc>
        <w:tc>
          <w:tcPr>
            <w:tcW w:w="1036" w:type="dxa"/>
            <w:tcBorders>
              <w:top w:val="nil"/>
              <w:left w:val="nil"/>
              <w:bottom w:val="single" w:sz="4" w:space="0" w:color="auto"/>
              <w:right w:val="single" w:sz="4" w:space="0" w:color="auto"/>
            </w:tcBorders>
            <w:shd w:val="clear" w:color="auto" w:fill="auto"/>
            <w:noWrap/>
            <w:vAlign w:val="center"/>
            <w:hideMark/>
          </w:tcPr>
          <w:p w14:paraId="67BE58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5055393000</w:t>
            </w:r>
          </w:p>
        </w:tc>
        <w:tc>
          <w:tcPr>
            <w:tcW w:w="1036" w:type="dxa"/>
            <w:tcBorders>
              <w:top w:val="nil"/>
              <w:left w:val="nil"/>
              <w:bottom w:val="single" w:sz="4" w:space="0" w:color="auto"/>
              <w:right w:val="single" w:sz="4" w:space="0" w:color="auto"/>
            </w:tcBorders>
            <w:shd w:val="clear" w:color="auto" w:fill="auto"/>
            <w:noWrap/>
            <w:vAlign w:val="center"/>
            <w:hideMark/>
          </w:tcPr>
          <w:p w14:paraId="0C644A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54026245</w:t>
            </w:r>
          </w:p>
        </w:tc>
        <w:tc>
          <w:tcPr>
            <w:tcW w:w="160" w:type="dxa"/>
            <w:tcBorders>
              <w:top w:val="nil"/>
              <w:left w:val="nil"/>
              <w:bottom w:val="single" w:sz="4" w:space="0" w:color="auto"/>
              <w:right w:val="nil"/>
            </w:tcBorders>
            <w:vAlign w:val="center"/>
          </w:tcPr>
          <w:p w14:paraId="7E9310F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FDCB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KOMUNIKACIJO, SLUH IN GOVOR PORTOROŽ</w:t>
            </w:r>
          </w:p>
        </w:tc>
      </w:tr>
      <w:tr w:rsidR="00072A69" w:rsidRPr="00DC6DF9" w14:paraId="327602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2715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w:t>
            </w:r>
          </w:p>
        </w:tc>
        <w:tc>
          <w:tcPr>
            <w:tcW w:w="1036" w:type="dxa"/>
            <w:tcBorders>
              <w:top w:val="nil"/>
              <w:left w:val="nil"/>
              <w:bottom w:val="single" w:sz="4" w:space="0" w:color="auto"/>
              <w:right w:val="single" w:sz="4" w:space="0" w:color="auto"/>
            </w:tcBorders>
            <w:shd w:val="clear" w:color="auto" w:fill="auto"/>
            <w:noWrap/>
            <w:vAlign w:val="center"/>
            <w:hideMark/>
          </w:tcPr>
          <w:p w14:paraId="577A70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5051711000</w:t>
            </w:r>
          </w:p>
        </w:tc>
        <w:tc>
          <w:tcPr>
            <w:tcW w:w="1036" w:type="dxa"/>
            <w:tcBorders>
              <w:top w:val="nil"/>
              <w:left w:val="nil"/>
              <w:bottom w:val="single" w:sz="4" w:space="0" w:color="auto"/>
              <w:right w:val="single" w:sz="4" w:space="0" w:color="auto"/>
            </w:tcBorders>
            <w:shd w:val="clear" w:color="auto" w:fill="auto"/>
            <w:noWrap/>
            <w:vAlign w:val="center"/>
            <w:hideMark/>
          </w:tcPr>
          <w:p w14:paraId="0F2E00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91841917</w:t>
            </w:r>
          </w:p>
        </w:tc>
        <w:tc>
          <w:tcPr>
            <w:tcW w:w="160" w:type="dxa"/>
            <w:tcBorders>
              <w:top w:val="nil"/>
              <w:left w:val="nil"/>
              <w:bottom w:val="single" w:sz="4" w:space="0" w:color="auto"/>
              <w:right w:val="nil"/>
            </w:tcBorders>
            <w:vAlign w:val="center"/>
          </w:tcPr>
          <w:p w14:paraId="72D267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C667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CENTER ZA MEDNARODNO SODELOVANJE IN RAZVOJ </w:t>
            </w:r>
          </w:p>
        </w:tc>
      </w:tr>
      <w:tr w:rsidR="00072A69" w:rsidRPr="00DC6DF9" w14:paraId="4E7DF5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457A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w:t>
            </w:r>
          </w:p>
        </w:tc>
        <w:tc>
          <w:tcPr>
            <w:tcW w:w="1036" w:type="dxa"/>
            <w:tcBorders>
              <w:top w:val="nil"/>
              <w:left w:val="nil"/>
              <w:bottom w:val="single" w:sz="4" w:space="0" w:color="auto"/>
              <w:right w:val="single" w:sz="4" w:space="0" w:color="auto"/>
            </w:tcBorders>
            <w:shd w:val="clear" w:color="auto" w:fill="auto"/>
            <w:noWrap/>
            <w:vAlign w:val="center"/>
            <w:hideMark/>
          </w:tcPr>
          <w:p w14:paraId="287012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1227912000</w:t>
            </w:r>
          </w:p>
        </w:tc>
        <w:tc>
          <w:tcPr>
            <w:tcW w:w="1036" w:type="dxa"/>
            <w:tcBorders>
              <w:top w:val="nil"/>
              <w:left w:val="nil"/>
              <w:bottom w:val="single" w:sz="4" w:space="0" w:color="auto"/>
              <w:right w:val="single" w:sz="4" w:space="0" w:color="auto"/>
            </w:tcBorders>
            <w:shd w:val="clear" w:color="auto" w:fill="auto"/>
            <w:noWrap/>
            <w:vAlign w:val="center"/>
            <w:hideMark/>
          </w:tcPr>
          <w:p w14:paraId="6E9451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83823352</w:t>
            </w:r>
          </w:p>
        </w:tc>
        <w:tc>
          <w:tcPr>
            <w:tcW w:w="160" w:type="dxa"/>
            <w:tcBorders>
              <w:top w:val="nil"/>
              <w:left w:val="nil"/>
              <w:bottom w:val="single" w:sz="4" w:space="0" w:color="auto"/>
              <w:right w:val="nil"/>
            </w:tcBorders>
            <w:vAlign w:val="center"/>
          </w:tcPr>
          <w:p w14:paraId="4AFD844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C765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MLADE DOMŽALE</w:t>
            </w:r>
          </w:p>
        </w:tc>
      </w:tr>
      <w:tr w:rsidR="00072A69" w:rsidRPr="00DC6DF9" w14:paraId="3FCA17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2DE7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w:t>
            </w:r>
          </w:p>
        </w:tc>
        <w:tc>
          <w:tcPr>
            <w:tcW w:w="1036" w:type="dxa"/>
            <w:tcBorders>
              <w:top w:val="nil"/>
              <w:left w:val="nil"/>
              <w:bottom w:val="single" w:sz="4" w:space="0" w:color="auto"/>
              <w:right w:val="single" w:sz="4" w:space="0" w:color="auto"/>
            </w:tcBorders>
            <w:shd w:val="clear" w:color="auto" w:fill="auto"/>
            <w:noWrap/>
            <w:vAlign w:val="center"/>
            <w:hideMark/>
          </w:tcPr>
          <w:p w14:paraId="6906EC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3356655000</w:t>
            </w:r>
          </w:p>
        </w:tc>
        <w:tc>
          <w:tcPr>
            <w:tcW w:w="1036" w:type="dxa"/>
            <w:tcBorders>
              <w:top w:val="nil"/>
              <w:left w:val="nil"/>
              <w:bottom w:val="single" w:sz="4" w:space="0" w:color="auto"/>
              <w:right w:val="single" w:sz="4" w:space="0" w:color="auto"/>
            </w:tcBorders>
            <w:shd w:val="clear" w:color="auto" w:fill="auto"/>
            <w:noWrap/>
            <w:vAlign w:val="center"/>
            <w:hideMark/>
          </w:tcPr>
          <w:p w14:paraId="49B6EB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67396704</w:t>
            </w:r>
          </w:p>
        </w:tc>
        <w:tc>
          <w:tcPr>
            <w:tcW w:w="160" w:type="dxa"/>
            <w:tcBorders>
              <w:top w:val="nil"/>
              <w:left w:val="nil"/>
              <w:bottom w:val="single" w:sz="4" w:space="0" w:color="auto"/>
              <w:right w:val="nil"/>
            </w:tcBorders>
            <w:vAlign w:val="center"/>
          </w:tcPr>
          <w:p w14:paraId="096C0F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A346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CENTER ZA RAVNANJE Z ODPADKI PUCONCI, D. O. O. </w:t>
            </w:r>
          </w:p>
        </w:tc>
      </w:tr>
      <w:tr w:rsidR="00072A69" w:rsidRPr="00DC6DF9" w14:paraId="3F8125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E540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w:t>
            </w:r>
          </w:p>
        </w:tc>
        <w:tc>
          <w:tcPr>
            <w:tcW w:w="1036" w:type="dxa"/>
            <w:tcBorders>
              <w:top w:val="nil"/>
              <w:left w:val="nil"/>
              <w:bottom w:val="single" w:sz="4" w:space="0" w:color="auto"/>
              <w:right w:val="single" w:sz="4" w:space="0" w:color="auto"/>
            </w:tcBorders>
            <w:shd w:val="clear" w:color="auto" w:fill="auto"/>
            <w:noWrap/>
            <w:vAlign w:val="center"/>
            <w:hideMark/>
          </w:tcPr>
          <w:p w14:paraId="63DCB2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2117711000</w:t>
            </w:r>
          </w:p>
        </w:tc>
        <w:tc>
          <w:tcPr>
            <w:tcW w:w="1036" w:type="dxa"/>
            <w:tcBorders>
              <w:top w:val="nil"/>
              <w:left w:val="nil"/>
              <w:bottom w:val="single" w:sz="4" w:space="0" w:color="auto"/>
              <w:right w:val="single" w:sz="4" w:space="0" w:color="auto"/>
            </w:tcBorders>
            <w:shd w:val="clear" w:color="auto" w:fill="auto"/>
            <w:noWrap/>
            <w:vAlign w:val="center"/>
            <w:hideMark/>
          </w:tcPr>
          <w:p w14:paraId="24C261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64201643</w:t>
            </w:r>
          </w:p>
        </w:tc>
        <w:tc>
          <w:tcPr>
            <w:tcW w:w="160" w:type="dxa"/>
            <w:tcBorders>
              <w:top w:val="nil"/>
              <w:left w:val="nil"/>
              <w:bottom w:val="single" w:sz="4" w:space="0" w:color="auto"/>
              <w:right w:val="nil"/>
            </w:tcBorders>
            <w:vAlign w:val="center"/>
          </w:tcPr>
          <w:p w14:paraId="50314D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7BD4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CENTER ZA RAVNANJE Z ODPADKI ZASAVJE, D. O. O. </w:t>
            </w:r>
          </w:p>
        </w:tc>
      </w:tr>
      <w:tr w:rsidR="00072A69" w:rsidRPr="00DC6DF9" w14:paraId="5899B5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7EB7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55</w:t>
            </w:r>
          </w:p>
        </w:tc>
        <w:tc>
          <w:tcPr>
            <w:tcW w:w="1036" w:type="dxa"/>
            <w:tcBorders>
              <w:top w:val="nil"/>
              <w:left w:val="nil"/>
              <w:bottom w:val="single" w:sz="4" w:space="0" w:color="auto"/>
              <w:right w:val="single" w:sz="4" w:space="0" w:color="auto"/>
            </w:tcBorders>
            <w:shd w:val="clear" w:color="auto" w:fill="auto"/>
            <w:noWrap/>
            <w:vAlign w:val="center"/>
            <w:hideMark/>
          </w:tcPr>
          <w:p w14:paraId="1053A7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7105924000</w:t>
            </w:r>
          </w:p>
        </w:tc>
        <w:tc>
          <w:tcPr>
            <w:tcW w:w="1036" w:type="dxa"/>
            <w:tcBorders>
              <w:top w:val="nil"/>
              <w:left w:val="nil"/>
              <w:bottom w:val="single" w:sz="4" w:space="0" w:color="auto"/>
              <w:right w:val="single" w:sz="4" w:space="0" w:color="auto"/>
            </w:tcBorders>
            <w:shd w:val="clear" w:color="auto" w:fill="auto"/>
            <w:noWrap/>
            <w:vAlign w:val="center"/>
            <w:hideMark/>
          </w:tcPr>
          <w:p w14:paraId="744D1A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21706506</w:t>
            </w:r>
          </w:p>
        </w:tc>
        <w:tc>
          <w:tcPr>
            <w:tcW w:w="160" w:type="dxa"/>
            <w:tcBorders>
              <w:top w:val="nil"/>
              <w:left w:val="nil"/>
              <w:bottom w:val="single" w:sz="4" w:space="0" w:color="auto"/>
              <w:right w:val="nil"/>
            </w:tcBorders>
            <w:vAlign w:val="center"/>
          </w:tcPr>
          <w:p w14:paraId="4CECAAE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644A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RAZVOJ TERCIARNEGA IZOBRAŽEVANJA SAŠA VELENJE</w:t>
            </w:r>
          </w:p>
        </w:tc>
      </w:tr>
      <w:tr w:rsidR="00072A69" w:rsidRPr="00DC6DF9" w14:paraId="0724A3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D274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w:t>
            </w:r>
          </w:p>
        </w:tc>
        <w:tc>
          <w:tcPr>
            <w:tcW w:w="1036" w:type="dxa"/>
            <w:tcBorders>
              <w:top w:val="nil"/>
              <w:left w:val="nil"/>
              <w:bottom w:val="single" w:sz="4" w:space="0" w:color="auto"/>
              <w:right w:val="single" w:sz="4" w:space="0" w:color="auto"/>
            </w:tcBorders>
            <w:shd w:val="clear" w:color="auto" w:fill="auto"/>
            <w:noWrap/>
            <w:vAlign w:val="center"/>
            <w:hideMark/>
          </w:tcPr>
          <w:p w14:paraId="73D625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5054141000</w:t>
            </w:r>
          </w:p>
        </w:tc>
        <w:tc>
          <w:tcPr>
            <w:tcW w:w="1036" w:type="dxa"/>
            <w:tcBorders>
              <w:top w:val="nil"/>
              <w:left w:val="nil"/>
              <w:bottom w:val="single" w:sz="4" w:space="0" w:color="auto"/>
              <w:right w:val="single" w:sz="4" w:space="0" w:color="auto"/>
            </w:tcBorders>
            <w:shd w:val="clear" w:color="auto" w:fill="auto"/>
            <w:noWrap/>
            <w:vAlign w:val="center"/>
            <w:hideMark/>
          </w:tcPr>
          <w:p w14:paraId="797B7F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86790455</w:t>
            </w:r>
          </w:p>
        </w:tc>
        <w:tc>
          <w:tcPr>
            <w:tcW w:w="160" w:type="dxa"/>
            <w:tcBorders>
              <w:top w:val="nil"/>
              <w:left w:val="nil"/>
              <w:bottom w:val="single" w:sz="4" w:space="0" w:color="auto"/>
              <w:right w:val="nil"/>
            </w:tcBorders>
            <w:vAlign w:val="center"/>
          </w:tcPr>
          <w:p w14:paraId="11DFB3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073F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SLUH IN GOVOR MARIBOR</w:t>
            </w:r>
          </w:p>
        </w:tc>
      </w:tr>
      <w:tr w:rsidR="00072A69" w:rsidRPr="00DC6DF9" w14:paraId="3AAF56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96CE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w:t>
            </w:r>
          </w:p>
        </w:tc>
        <w:tc>
          <w:tcPr>
            <w:tcW w:w="1036" w:type="dxa"/>
            <w:tcBorders>
              <w:top w:val="nil"/>
              <w:left w:val="nil"/>
              <w:bottom w:val="single" w:sz="4" w:space="0" w:color="auto"/>
              <w:right w:val="single" w:sz="4" w:space="0" w:color="auto"/>
            </w:tcBorders>
            <w:shd w:val="clear" w:color="auto" w:fill="auto"/>
            <w:noWrap/>
            <w:vAlign w:val="center"/>
            <w:hideMark/>
          </w:tcPr>
          <w:p w14:paraId="6B6B84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5226724000</w:t>
            </w:r>
          </w:p>
        </w:tc>
        <w:tc>
          <w:tcPr>
            <w:tcW w:w="1036" w:type="dxa"/>
            <w:tcBorders>
              <w:top w:val="nil"/>
              <w:left w:val="nil"/>
              <w:bottom w:val="single" w:sz="4" w:space="0" w:color="auto"/>
              <w:right w:val="single" w:sz="4" w:space="0" w:color="auto"/>
            </w:tcBorders>
            <w:shd w:val="clear" w:color="auto" w:fill="auto"/>
            <w:noWrap/>
            <w:vAlign w:val="center"/>
            <w:hideMark/>
          </w:tcPr>
          <w:p w14:paraId="16C1D4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32975171</w:t>
            </w:r>
          </w:p>
        </w:tc>
        <w:tc>
          <w:tcPr>
            <w:tcW w:w="160" w:type="dxa"/>
            <w:tcBorders>
              <w:top w:val="nil"/>
              <w:left w:val="nil"/>
              <w:bottom w:val="single" w:sz="4" w:space="0" w:color="auto"/>
              <w:right w:val="nil"/>
            </w:tcBorders>
            <w:vAlign w:val="center"/>
          </w:tcPr>
          <w:p w14:paraId="24F2CE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D88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AJDOVŠČINA</w:t>
            </w:r>
          </w:p>
        </w:tc>
      </w:tr>
      <w:tr w:rsidR="00072A69" w:rsidRPr="00DC6DF9" w14:paraId="726BC0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943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w:t>
            </w:r>
          </w:p>
        </w:tc>
        <w:tc>
          <w:tcPr>
            <w:tcW w:w="1036" w:type="dxa"/>
            <w:tcBorders>
              <w:top w:val="nil"/>
              <w:left w:val="nil"/>
              <w:bottom w:val="single" w:sz="4" w:space="0" w:color="auto"/>
              <w:right w:val="single" w:sz="4" w:space="0" w:color="auto"/>
            </w:tcBorders>
            <w:shd w:val="clear" w:color="auto" w:fill="auto"/>
            <w:noWrap/>
            <w:vAlign w:val="center"/>
            <w:hideMark/>
          </w:tcPr>
          <w:p w14:paraId="173141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5255015000</w:t>
            </w:r>
          </w:p>
        </w:tc>
        <w:tc>
          <w:tcPr>
            <w:tcW w:w="1036" w:type="dxa"/>
            <w:tcBorders>
              <w:top w:val="nil"/>
              <w:left w:val="nil"/>
              <w:bottom w:val="single" w:sz="4" w:space="0" w:color="auto"/>
              <w:right w:val="single" w:sz="4" w:space="0" w:color="auto"/>
            </w:tcBorders>
            <w:shd w:val="clear" w:color="auto" w:fill="auto"/>
            <w:noWrap/>
            <w:vAlign w:val="center"/>
            <w:hideMark/>
          </w:tcPr>
          <w:p w14:paraId="57A7FE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57057958</w:t>
            </w:r>
          </w:p>
        </w:tc>
        <w:tc>
          <w:tcPr>
            <w:tcW w:w="160" w:type="dxa"/>
            <w:tcBorders>
              <w:top w:val="nil"/>
              <w:left w:val="nil"/>
              <w:bottom w:val="single" w:sz="4" w:space="0" w:color="auto"/>
              <w:right w:val="nil"/>
            </w:tcBorders>
            <w:vAlign w:val="center"/>
          </w:tcPr>
          <w:p w14:paraId="62CF60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B568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BREŽICE</w:t>
            </w:r>
          </w:p>
        </w:tc>
      </w:tr>
      <w:tr w:rsidR="00072A69" w:rsidRPr="00DC6DF9" w14:paraId="0E87AE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C1E3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w:t>
            </w:r>
          </w:p>
        </w:tc>
        <w:tc>
          <w:tcPr>
            <w:tcW w:w="1036" w:type="dxa"/>
            <w:tcBorders>
              <w:top w:val="nil"/>
              <w:left w:val="nil"/>
              <w:bottom w:val="single" w:sz="4" w:space="0" w:color="auto"/>
              <w:right w:val="single" w:sz="4" w:space="0" w:color="auto"/>
            </w:tcBorders>
            <w:shd w:val="clear" w:color="auto" w:fill="auto"/>
            <w:noWrap/>
            <w:vAlign w:val="center"/>
            <w:hideMark/>
          </w:tcPr>
          <w:p w14:paraId="6B3402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5056993000</w:t>
            </w:r>
          </w:p>
        </w:tc>
        <w:tc>
          <w:tcPr>
            <w:tcW w:w="1036" w:type="dxa"/>
            <w:tcBorders>
              <w:top w:val="nil"/>
              <w:left w:val="nil"/>
              <w:bottom w:val="single" w:sz="4" w:space="0" w:color="auto"/>
              <w:right w:val="single" w:sz="4" w:space="0" w:color="auto"/>
            </w:tcBorders>
            <w:shd w:val="clear" w:color="auto" w:fill="auto"/>
            <w:noWrap/>
            <w:vAlign w:val="center"/>
            <w:hideMark/>
          </w:tcPr>
          <w:p w14:paraId="455645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63834308</w:t>
            </w:r>
          </w:p>
        </w:tc>
        <w:tc>
          <w:tcPr>
            <w:tcW w:w="160" w:type="dxa"/>
            <w:tcBorders>
              <w:top w:val="nil"/>
              <w:left w:val="nil"/>
              <w:bottom w:val="single" w:sz="4" w:space="0" w:color="auto"/>
              <w:right w:val="nil"/>
            </w:tcBorders>
            <w:vAlign w:val="center"/>
          </w:tcPr>
          <w:p w14:paraId="19B971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46F0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CELJE</w:t>
            </w:r>
          </w:p>
        </w:tc>
      </w:tr>
      <w:tr w:rsidR="00072A69" w:rsidRPr="00DC6DF9" w14:paraId="3198CD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3234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w:t>
            </w:r>
          </w:p>
        </w:tc>
        <w:tc>
          <w:tcPr>
            <w:tcW w:w="1036" w:type="dxa"/>
            <w:tcBorders>
              <w:top w:val="nil"/>
              <w:left w:val="nil"/>
              <w:bottom w:val="single" w:sz="4" w:space="0" w:color="auto"/>
              <w:right w:val="single" w:sz="4" w:space="0" w:color="auto"/>
            </w:tcBorders>
            <w:shd w:val="clear" w:color="auto" w:fill="auto"/>
            <w:noWrap/>
            <w:vAlign w:val="center"/>
            <w:hideMark/>
          </w:tcPr>
          <w:p w14:paraId="4F0AE8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8284725000</w:t>
            </w:r>
          </w:p>
        </w:tc>
        <w:tc>
          <w:tcPr>
            <w:tcW w:w="1036" w:type="dxa"/>
            <w:tcBorders>
              <w:top w:val="nil"/>
              <w:left w:val="nil"/>
              <w:bottom w:val="single" w:sz="4" w:space="0" w:color="auto"/>
              <w:right w:val="single" w:sz="4" w:space="0" w:color="auto"/>
            </w:tcBorders>
            <w:shd w:val="clear" w:color="auto" w:fill="auto"/>
            <w:noWrap/>
            <w:vAlign w:val="center"/>
            <w:hideMark/>
          </w:tcPr>
          <w:p w14:paraId="70983F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52033155</w:t>
            </w:r>
          </w:p>
        </w:tc>
        <w:tc>
          <w:tcPr>
            <w:tcW w:w="160" w:type="dxa"/>
            <w:tcBorders>
              <w:top w:val="nil"/>
              <w:left w:val="nil"/>
              <w:bottom w:val="single" w:sz="4" w:space="0" w:color="auto"/>
              <w:right w:val="nil"/>
            </w:tcBorders>
            <w:vAlign w:val="center"/>
          </w:tcPr>
          <w:p w14:paraId="1BCE76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ACC8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DOLENJSKA IN BELA KRAJINA</w:t>
            </w:r>
          </w:p>
        </w:tc>
      </w:tr>
      <w:tr w:rsidR="00072A69" w:rsidRPr="00DC6DF9" w14:paraId="2066AC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1A51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w:t>
            </w:r>
          </w:p>
        </w:tc>
        <w:tc>
          <w:tcPr>
            <w:tcW w:w="1036" w:type="dxa"/>
            <w:tcBorders>
              <w:top w:val="nil"/>
              <w:left w:val="nil"/>
              <w:bottom w:val="single" w:sz="4" w:space="0" w:color="auto"/>
              <w:right w:val="single" w:sz="4" w:space="0" w:color="auto"/>
            </w:tcBorders>
            <w:shd w:val="clear" w:color="auto" w:fill="auto"/>
            <w:noWrap/>
            <w:vAlign w:val="center"/>
            <w:hideMark/>
          </w:tcPr>
          <w:p w14:paraId="62A589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8285411000</w:t>
            </w:r>
          </w:p>
        </w:tc>
        <w:tc>
          <w:tcPr>
            <w:tcW w:w="1036" w:type="dxa"/>
            <w:tcBorders>
              <w:top w:val="nil"/>
              <w:left w:val="nil"/>
              <w:bottom w:val="single" w:sz="4" w:space="0" w:color="auto"/>
              <w:right w:val="single" w:sz="4" w:space="0" w:color="auto"/>
            </w:tcBorders>
            <w:shd w:val="clear" w:color="auto" w:fill="auto"/>
            <w:noWrap/>
            <w:vAlign w:val="center"/>
            <w:hideMark/>
          </w:tcPr>
          <w:p w14:paraId="038637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57069174</w:t>
            </w:r>
          </w:p>
        </w:tc>
        <w:tc>
          <w:tcPr>
            <w:tcW w:w="160" w:type="dxa"/>
            <w:tcBorders>
              <w:top w:val="nil"/>
              <w:left w:val="nil"/>
              <w:bottom w:val="single" w:sz="4" w:space="0" w:color="auto"/>
              <w:right w:val="nil"/>
            </w:tcBorders>
            <w:vAlign w:val="center"/>
          </w:tcPr>
          <w:p w14:paraId="4F1EE76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A177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GORENJSKA</w:t>
            </w:r>
          </w:p>
        </w:tc>
      </w:tr>
      <w:tr w:rsidR="00072A69" w:rsidRPr="00DC6DF9" w14:paraId="5F1E276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EB13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w:t>
            </w:r>
          </w:p>
        </w:tc>
        <w:tc>
          <w:tcPr>
            <w:tcW w:w="1036" w:type="dxa"/>
            <w:tcBorders>
              <w:top w:val="nil"/>
              <w:left w:val="nil"/>
              <w:bottom w:val="single" w:sz="4" w:space="0" w:color="auto"/>
              <w:right w:val="single" w:sz="4" w:space="0" w:color="auto"/>
            </w:tcBorders>
            <w:shd w:val="clear" w:color="auto" w:fill="auto"/>
            <w:noWrap/>
            <w:vAlign w:val="center"/>
            <w:hideMark/>
          </w:tcPr>
          <w:p w14:paraId="5E561A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8285411002</w:t>
            </w:r>
          </w:p>
        </w:tc>
        <w:tc>
          <w:tcPr>
            <w:tcW w:w="1036" w:type="dxa"/>
            <w:tcBorders>
              <w:top w:val="nil"/>
              <w:left w:val="nil"/>
              <w:bottom w:val="single" w:sz="4" w:space="0" w:color="auto"/>
              <w:right w:val="single" w:sz="4" w:space="0" w:color="auto"/>
            </w:tcBorders>
            <w:shd w:val="clear" w:color="auto" w:fill="auto"/>
            <w:vAlign w:val="center"/>
            <w:hideMark/>
          </w:tcPr>
          <w:p w14:paraId="284F76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57069174</w:t>
            </w:r>
          </w:p>
        </w:tc>
        <w:tc>
          <w:tcPr>
            <w:tcW w:w="160" w:type="dxa"/>
            <w:tcBorders>
              <w:top w:val="nil"/>
              <w:left w:val="nil"/>
              <w:bottom w:val="single" w:sz="4" w:space="0" w:color="auto"/>
              <w:right w:val="nil"/>
            </w:tcBorders>
            <w:vAlign w:val="center"/>
          </w:tcPr>
          <w:p w14:paraId="0B933CD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2A92DC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GORENJSKA, ENOTA KRANJ</w:t>
            </w:r>
          </w:p>
        </w:tc>
      </w:tr>
      <w:tr w:rsidR="00072A69" w:rsidRPr="00DC6DF9" w14:paraId="5256FF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DA2E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w:t>
            </w:r>
          </w:p>
        </w:tc>
        <w:tc>
          <w:tcPr>
            <w:tcW w:w="1036" w:type="dxa"/>
            <w:tcBorders>
              <w:top w:val="nil"/>
              <w:left w:val="nil"/>
              <w:bottom w:val="single" w:sz="4" w:space="0" w:color="auto"/>
              <w:right w:val="single" w:sz="4" w:space="0" w:color="auto"/>
            </w:tcBorders>
            <w:shd w:val="clear" w:color="auto" w:fill="auto"/>
            <w:noWrap/>
            <w:vAlign w:val="center"/>
            <w:hideMark/>
          </w:tcPr>
          <w:p w14:paraId="273991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5227895000</w:t>
            </w:r>
          </w:p>
        </w:tc>
        <w:tc>
          <w:tcPr>
            <w:tcW w:w="1036" w:type="dxa"/>
            <w:tcBorders>
              <w:top w:val="nil"/>
              <w:left w:val="nil"/>
              <w:bottom w:val="single" w:sz="4" w:space="0" w:color="auto"/>
              <w:right w:val="single" w:sz="4" w:space="0" w:color="auto"/>
            </w:tcBorders>
            <w:shd w:val="clear" w:color="auto" w:fill="auto"/>
            <w:noWrap/>
            <w:vAlign w:val="center"/>
            <w:hideMark/>
          </w:tcPr>
          <w:p w14:paraId="669FE0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10608907</w:t>
            </w:r>
          </w:p>
        </w:tc>
        <w:tc>
          <w:tcPr>
            <w:tcW w:w="160" w:type="dxa"/>
            <w:tcBorders>
              <w:top w:val="nil"/>
              <w:left w:val="nil"/>
              <w:bottom w:val="single" w:sz="4" w:space="0" w:color="auto"/>
              <w:right w:val="nil"/>
            </w:tcBorders>
            <w:vAlign w:val="center"/>
          </w:tcPr>
          <w:p w14:paraId="1E6FB45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6561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GORNJA RADGONA</w:t>
            </w:r>
          </w:p>
        </w:tc>
      </w:tr>
      <w:tr w:rsidR="00072A69" w:rsidRPr="00DC6DF9" w14:paraId="63FD1E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85F3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w:t>
            </w:r>
          </w:p>
        </w:tc>
        <w:tc>
          <w:tcPr>
            <w:tcW w:w="1036" w:type="dxa"/>
            <w:tcBorders>
              <w:top w:val="nil"/>
              <w:left w:val="nil"/>
              <w:bottom w:val="single" w:sz="4" w:space="0" w:color="auto"/>
              <w:right w:val="single" w:sz="4" w:space="0" w:color="auto"/>
            </w:tcBorders>
            <w:shd w:val="clear" w:color="auto" w:fill="auto"/>
            <w:noWrap/>
            <w:vAlign w:val="center"/>
            <w:hideMark/>
          </w:tcPr>
          <w:p w14:paraId="23C9E2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5231949000</w:t>
            </w:r>
          </w:p>
        </w:tc>
        <w:tc>
          <w:tcPr>
            <w:tcW w:w="1036" w:type="dxa"/>
            <w:tcBorders>
              <w:top w:val="nil"/>
              <w:left w:val="nil"/>
              <w:bottom w:val="single" w:sz="4" w:space="0" w:color="auto"/>
              <w:right w:val="single" w:sz="4" w:space="0" w:color="auto"/>
            </w:tcBorders>
            <w:shd w:val="clear" w:color="auto" w:fill="auto"/>
            <w:noWrap/>
            <w:vAlign w:val="center"/>
            <w:hideMark/>
          </w:tcPr>
          <w:p w14:paraId="12FCC2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99858509</w:t>
            </w:r>
          </w:p>
        </w:tc>
        <w:tc>
          <w:tcPr>
            <w:tcW w:w="160" w:type="dxa"/>
            <w:tcBorders>
              <w:top w:val="nil"/>
              <w:left w:val="nil"/>
              <w:bottom w:val="single" w:sz="4" w:space="0" w:color="auto"/>
              <w:right w:val="nil"/>
            </w:tcBorders>
            <w:vAlign w:val="center"/>
          </w:tcPr>
          <w:p w14:paraId="05AF36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CB1B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IDRIJA</w:t>
            </w:r>
          </w:p>
        </w:tc>
      </w:tr>
      <w:tr w:rsidR="00072A69" w:rsidRPr="00DC6DF9" w14:paraId="5A2949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7DC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w:t>
            </w:r>
          </w:p>
        </w:tc>
        <w:tc>
          <w:tcPr>
            <w:tcW w:w="1036" w:type="dxa"/>
            <w:tcBorders>
              <w:top w:val="nil"/>
              <w:left w:val="nil"/>
              <w:bottom w:val="single" w:sz="4" w:space="0" w:color="auto"/>
              <w:right w:val="single" w:sz="4" w:space="0" w:color="auto"/>
            </w:tcBorders>
            <w:shd w:val="clear" w:color="auto" w:fill="auto"/>
            <w:noWrap/>
            <w:vAlign w:val="center"/>
            <w:hideMark/>
          </w:tcPr>
          <w:p w14:paraId="74CF51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5227836000</w:t>
            </w:r>
          </w:p>
        </w:tc>
        <w:tc>
          <w:tcPr>
            <w:tcW w:w="1036" w:type="dxa"/>
            <w:tcBorders>
              <w:top w:val="nil"/>
              <w:left w:val="nil"/>
              <w:bottom w:val="single" w:sz="4" w:space="0" w:color="auto"/>
              <w:right w:val="single" w:sz="4" w:space="0" w:color="auto"/>
            </w:tcBorders>
            <w:shd w:val="clear" w:color="auto" w:fill="auto"/>
            <w:noWrap/>
            <w:vAlign w:val="center"/>
            <w:hideMark/>
          </w:tcPr>
          <w:p w14:paraId="507BEE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73152609</w:t>
            </w:r>
          </w:p>
        </w:tc>
        <w:tc>
          <w:tcPr>
            <w:tcW w:w="160" w:type="dxa"/>
            <w:tcBorders>
              <w:top w:val="nil"/>
              <w:left w:val="nil"/>
              <w:bottom w:val="single" w:sz="4" w:space="0" w:color="auto"/>
              <w:right w:val="nil"/>
            </w:tcBorders>
            <w:vAlign w:val="center"/>
          </w:tcPr>
          <w:p w14:paraId="3D6836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F6F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JESENICE</w:t>
            </w:r>
          </w:p>
        </w:tc>
      </w:tr>
      <w:tr w:rsidR="00072A69" w:rsidRPr="00DC6DF9" w14:paraId="009F3A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03A7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w:t>
            </w:r>
          </w:p>
        </w:tc>
        <w:tc>
          <w:tcPr>
            <w:tcW w:w="1036" w:type="dxa"/>
            <w:tcBorders>
              <w:top w:val="nil"/>
              <w:left w:val="nil"/>
              <w:bottom w:val="single" w:sz="4" w:space="0" w:color="auto"/>
              <w:right w:val="single" w:sz="4" w:space="0" w:color="auto"/>
            </w:tcBorders>
            <w:shd w:val="clear" w:color="auto" w:fill="auto"/>
            <w:noWrap/>
            <w:vAlign w:val="center"/>
            <w:hideMark/>
          </w:tcPr>
          <w:p w14:paraId="10309D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8285632000</w:t>
            </w:r>
          </w:p>
        </w:tc>
        <w:tc>
          <w:tcPr>
            <w:tcW w:w="1036" w:type="dxa"/>
            <w:tcBorders>
              <w:top w:val="nil"/>
              <w:left w:val="nil"/>
              <w:bottom w:val="single" w:sz="4" w:space="0" w:color="auto"/>
              <w:right w:val="single" w:sz="4" w:space="0" w:color="auto"/>
            </w:tcBorders>
            <w:shd w:val="clear" w:color="auto" w:fill="auto"/>
            <w:noWrap/>
            <w:vAlign w:val="center"/>
            <w:hideMark/>
          </w:tcPr>
          <w:p w14:paraId="342077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52315819</w:t>
            </w:r>
          </w:p>
        </w:tc>
        <w:tc>
          <w:tcPr>
            <w:tcW w:w="160" w:type="dxa"/>
            <w:tcBorders>
              <w:top w:val="nil"/>
              <w:left w:val="nil"/>
              <w:bottom w:val="single" w:sz="4" w:space="0" w:color="auto"/>
              <w:right w:val="nil"/>
            </w:tcBorders>
            <w:vAlign w:val="center"/>
          </w:tcPr>
          <w:p w14:paraId="5C9E4E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43B5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JUŽNA PRIMORSKA</w:t>
            </w:r>
          </w:p>
        </w:tc>
      </w:tr>
      <w:tr w:rsidR="00072A69" w:rsidRPr="00DC6DF9" w14:paraId="7D02C7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8E2E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w:t>
            </w:r>
          </w:p>
        </w:tc>
        <w:tc>
          <w:tcPr>
            <w:tcW w:w="1036" w:type="dxa"/>
            <w:tcBorders>
              <w:top w:val="nil"/>
              <w:left w:val="nil"/>
              <w:bottom w:val="single" w:sz="4" w:space="0" w:color="auto"/>
              <w:right w:val="single" w:sz="4" w:space="0" w:color="auto"/>
            </w:tcBorders>
            <w:shd w:val="clear" w:color="auto" w:fill="auto"/>
            <w:noWrap/>
            <w:vAlign w:val="center"/>
            <w:hideMark/>
          </w:tcPr>
          <w:p w14:paraId="249685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5328659000</w:t>
            </w:r>
          </w:p>
        </w:tc>
        <w:tc>
          <w:tcPr>
            <w:tcW w:w="1036" w:type="dxa"/>
            <w:tcBorders>
              <w:top w:val="nil"/>
              <w:left w:val="nil"/>
              <w:bottom w:val="single" w:sz="4" w:space="0" w:color="auto"/>
              <w:right w:val="single" w:sz="4" w:space="0" w:color="auto"/>
            </w:tcBorders>
            <w:shd w:val="clear" w:color="auto" w:fill="auto"/>
            <w:noWrap/>
            <w:vAlign w:val="center"/>
            <w:hideMark/>
          </w:tcPr>
          <w:p w14:paraId="3D97D5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16514882</w:t>
            </w:r>
          </w:p>
        </w:tc>
        <w:tc>
          <w:tcPr>
            <w:tcW w:w="160" w:type="dxa"/>
            <w:tcBorders>
              <w:top w:val="nil"/>
              <w:left w:val="nil"/>
              <w:bottom w:val="single" w:sz="4" w:space="0" w:color="auto"/>
              <w:right w:val="nil"/>
            </w:tcBorders>
            <w:vAlign w:val="center"/>
          </w:tcPr>
          <w:p w14:paraId="04F2DD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15A2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CENTER ZA SOCIALNO DELO KOČEVJE </w:t>
            </w:r>
            <w:proofErr w:type="spellStart"/>
            <w:r w:rsidRPr="00DC6DF9">
              <w:rPr>
                <w:rFonts w:ascii="Arial" w:eastAsia="Times New Roman" w:hAnsi="Arial" w:cs="Arial"/>
                <w:color w:val="000000"/>
                <w:sz w:val="16"/>
                <w:szCs w:val="16"/>
                <w:lang w:eastAsia="sl-SI"/>
              </w:rPr>
              <w:t>KOČEVJE</w:t>
            </w:r>
            <w:proofErr w:type="spellEnd"/>
          </w:p>
        </w:tc>
      </w:tr>
      <w:tr w:rsidR="00072A69" w:rsidRPr="00DC6DF9" w14:paraId="541134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B2A4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w:t>
            </w:r>
          </w:p>
        </w:tc>
        <w:tc>
          <w:tcPr>
            <w:tcW w:w="1036" w:type="dxa"/>
            <w:tcBorders>
              <w:top w:val="nil"/>
              <w:left w:val="nil"/>
              <w:bottom w:val="single" w:sz="4" w:space="0" w:color="auto"/>
              <w:right w:val="single" w:sz="4" w:space="0" w:color="auto"/>
            </w:tcBorders>
            <w:shd w:val="clear" w:color="auto" w:fill="auto"/>
            <w:noWrap/>
            <w:vAlign w:val="center"/>
            <w:hideMark/>
          </w:tcPr>
          <w:p w14:paraId="56611A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8282927000</w:t>
            </w:r>
          </w:p>
        </w:tc>
        <w:tc>
          <w:tcPr>
            <w:tcW w:w="1036" w:type="dxa"/>
            <w:tcBorders>
              <w:top w:val="nil"/>
              <w:left w:val="nil"/>
              <w:bottom w:val="single" w:sz="4" w:space="0" w:color="auto"/>
              <w:right w:val="single" w:sz="4" w:space="0" w:color="auto"/>
            </w:tcBorders>
            <w:shd w:val="clear" w:color="auto" w:fill="auto"/>
            <w:noWrap/>
            <w:vAlign w:val="center"/>
            <w:hideMark/>
          </w:tcPr>
          <w:p w14:paraId="6654FF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15882314</w:t>
            </w:r>
          </w:p>
        </w:tc>
        <w:tc>
          <w:tcPr>
            <w:tcW w:w="160" w:type="dxa"/>
            <w:tcBorders>
              <w:top w:val="nil"/>
              <w:left w:val="nil"/>
              <w:bottom w:val="single" w:sz="4" w:space="0" w:color="auto"/>
              <w:right w:val="nil"/>
            </w:tcBorders>
            <w:vAlign w:val="center"/>
          </w:tcPr>
          <w:p w14:paraId="65CF3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6D60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KOROŠKA</w:t>
            </w:r>
          </w:p>
        </w:tc>
      </w:tr>
      <w:tr w:rsidR="00072A69" w:rsidRPr="00DC6DF9" w14:paraId="23D619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20FB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w:t>
            </w:r>
          </w:p>
        </w:tc>
        <w:tc>
          <w:tcPr>
            <w:tcW w:w="1036" w:type="dxa"/>
            <w:tcBorders>
              <w:top w:val="nil"/>
              <w:left w:val="nil"/>
              <w:bottom w:val="single" w:sz="4" w:space="0" w:color="auto"/>
              <w:right w:val="single" w:sz="4" w:space="0" w:color="auto"/>
            </w:tcBorders>
            <w:shd w:val="clear" w:color="auto" w:fill="auto"/>
            <w:noWrap/>
            <w:vAlign w:val="center"/>
            <w:hideMark/>
          </w:tcPr>
          <w:p w14:paraId="136973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5049865000</w:t>
            </w:r>
          </w:p>
        </w:tc>
        <w:tc>
          <w:tcPr>
            <w:tcW w:w="1036" w:type="dxa"/>
            <w:tcBorders>
              <w:top w:val="nil"/>
              <w:left w:val="nil"/>
              <w:bottom w:val="single" w:sz="4" w:space="0" w:color="auto"/>
              <w:right w:val="single" w:sz="4" w:space="0" w:color="auto"/>
            </w:tcBorders>
            <w:shd w:val="clear" w:color="auto" w:fill="auto"/>
            <w:noWrap/>
            <w:vAlign w:val="center"/>
            <w:hideMark/>
          </w:tcPr>
          <w:p w14:paraId="4F8ED7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87143402</w:t>
            </w:r>
          </w:p>
        </w:tc>
        <w:tc>
          <w:tcPr>
            <w:tcW w:w="160" w:type="dxa"/>
            <w:tcBorders>
              <w:top w:val="nil"/>
              <w:left w:val="nil"/>
              <w:bottom w:val="single" w:sz="4" w:space="0" w:color="auto"/>
              <w:right w:val="nil"/>
            </w:tcBorders>
            <w:vAlign w:val="center"/>
          </w:tcPr>
          <w:p w14:paraId="35F016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8E15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KRANJ</w:t>
            </w:r>
          </w:p>
        </w:tc>
      </w:tr>
      <w:tr w:rsidR="00072A69" w:rsidRPr="00DC6DF9" w14:paraId="2098CA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967A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w:t>
            </w:r>
          </w:p>
        </w:tc>
        <w:tc>
          <w:tcPr>
            <w:tcW w:w="1036" w:type="dxa"/>
            <w:tcBorders>
              <w:top w:val="nil"/>
              <w:left w:val="nil"/>
              <w:bottom w:val="single" w:sz="4" w:space="0" w:color="auto"/>
              <w:right w:val="single" w:sz="4" w:space="0" w:color="auto"/>
            </w:tcBorders>
            <w:shd w:val="clear" w:color="auto" w:fill="auto"/>
            <w:noWrap/>
            <w:vAlign w:val="center"/>
            <w:hideMark/>
          </w:tcPr>
          <w:p w14:paraId="12D79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5226899000</w:t>
            </w:r>
          </w:p>
        </w:tc>
        <w:tc>
          <w:tcPr>
            <w:tcW w:w="1036" w:type="dxa"/>
            <w:tcBorders>
              <w:top w:val="nil"/>
              <w:left w:val="nil"/>
              <w:bottom w:val="single" w:sz="4" w:space="0" w:color="auto"/>
              <w:right w:val="single" w:sz="4" w:space="0" w:color="auto"/>
            </w:tcBorders>
            <w:shd w:val="clear" w:color="auto" w:fill="auto"/>
            <w:noWrap/>
            <w:vAlign w:val="center"/>
            <w:hideMark/>
          </w:tcPr>
          <w:p w14:paraId="741A64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26794926</w:t>
            </w:r>
          </w:p>
        </w:tc>
        <w:tc>
          <w:tcPr>
            <w:tcW w:w="160" w:type="dxa"/>
            <w:tcBorders>
              <w:top w:val="nil"/>
              <w:left w:val="nil"/>
              <w:bottom w:val="single" w:sz="4" w:space="0" w:color="auto"/>
              <w:right w:val="nil"/>
            </w:tcBorders>
            <w:vAlign w:val="center"/>
          </w:tcPr>
          <w:p w14:paraId="3396EF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809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KRŠKO</w:t>
            </w:r>
          </w:p>
        </w:tc>
      </w:tr>
      <w:tr w:rsidR="00072A69" w:rsidRPr="00DC6DF9" w14:paraId="635E5E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8B3A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w:t>
            </w:r>
          </w:p>
        </w:tc>
        <w:tc>
          <w:tcPr>
            <w:tcW w:w="1036" w:type="dxa"/>
            <w:tcBorders>
              <w:top w:val="nil"/>
              <w:left w:val="nil"/>
              <w:bottom w:val="single" w:sz="4" w:space="0" w:color="auto"/>
              <w:right w:val="single" w:sz="4" w:space="0" w:color="auto"/>
            </w:tcBorders>
            <w:shd w:val="clear" w:color="auto" w:fill="auto"/>
            <w:noWrap/>
            <w:vAlign w:val="center"/>
            <w:hideMark/>
          </w:tcPr>
          <w:p w14:paraId="18598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5241154000</w:t>
            </w:r>
          </w:p>
        </w:tc>
        <w:tc>
          <w:tcPr>
            <w:tcW w:w="1036" w:type="dxa"/>
            <w:tcBorders>
              <w:top w:val="nil"/>
              <w:left w:val="nil"/>
              <w:bottom w:val="single" w:sz="4" w:space="0" w:color="auto"/>
              <w:right w:val="single" w:sz="4" w:space="0" w:color="auto"/>
            </w:tcBorders>
            <w:shd w:val="clear" w:color="auto" w:fill="auto"/>
            <w:noWrap/>
            <w:vAlign w:val="center"/>
            <w:hideMark/>
          </w:tcPr>
          <w:p w14:paraId="3CAF73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96622857</w:t>
            </w:r>
          </w:p>
        </w:tc>
        <w:tc>
          <w:tcPr>
            <w:tcW w:w="160" w:type="dxa"/>
            <w:tcBorders>
              <w:top w:val="nil"/>
              <w:left w:val="nil"/>
              <w:bottom w:val="single" w:sz="4" w:space="0" w:color="auto"/>
              <w:right w:val="nil"/>
            </w:tcBorders>
            <w:vAlign w:val="center"/>
          </w:tcPr>
          <w:p w14:paraId="31F730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10B7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LENART</w:t>
            </w:r>
          </w:p>
        </w:tc>
      </w:tr>
      <w:tr w:rsidR="00072A69" w:rsidRPr="00DC6DF9" w14:paraId="30141F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661D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w:t>
            </w:r>
          </w:p>
        </w:tc>
        <w:tc>
          <w:tcPr>
            <w:tcW w:w="1036" w:type="dxa"/>
            <w:tcBorders>
              <w:top w:val="nil"/>
              <w:left w:val="nil"/>
              <w:bottom w:val="single" w:sz="4" w:space="0" w:color="auto"/>
              <w:right w:val="single" w:sz="4" w:space="0" w:color="auto"/>
            </w:tcBorders>
            <w:shd w:val="clear" w:color="auto" w:fill="auto"/>
            <w:noWrap/>
            <w:vAlign w:val="center"/>
            <w:hideMark/>
          </w:tcPr>
          <w:p w14:paraId="068E6B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5226457000</w:t>
            </w:r>
          </w:p>
        </w:tc>
        <w:tc>
          <w:tcPr>
            <w:tcW w:w="1036" w:type="dxa"/>
            <w:tcBorders>
              <w:top w:val="nil"/>
              <w:left w:val="nil"/>
              <w:bottom w:val="single" w:sz="4" w:space="0" w:color="auto"/>
              <w:right w:val="single" w:sz="4" w:space="0" w:color="auto"/>
            </w:tcBorders>
            <w:shd w:val="clear" w:color="auto" w:fill="auto"/>
            <w:noWrap/>
            <w:vAlign w:val="center"/>
            <w:hideMark/>
          </w:tcPr>
          <w:p w14:paraId="20BC9A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89855400</w:t>
            </w:r>
          </w:p>
        </w:tc>
        <w:tc>
          <w:tcPr>
            <w:tcW w:w="160" w:type="dxa"/>
            <w:tcBorders>
              <w:top w:val="nil"/>
              <w:left w:val="nil"/>
              <w:bottom w:val="single" w:sz="4" w:space="0" w:color="auto"/>
              <w:right w:val="nil"/>
            </w:tcBorders>
            <w:vAlign w:val="center"/>
          </w:tcPr>
          <w:p w14:paraId="7E8D7E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27B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LENDAVA</w:t>
            </w:r>
          </w:p>
        </w:tc>
      </w:tr>
      <w:tr w:rsidR="00072A69" w:rsidRPr="00DC6DF9" w14:paraId="2F6A54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1699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w:t>
            </w:r>
          </w:p>
        </w:tc>
        <w:tc>
          <w:tcPr>
            <w:tcW w:w="1036" w:type="dxa"/>
            <w:tcBorders>
              <w:top w:val="nil"/>
              <w:left w:val="nil"/>
              <w:bottom w:val="single" w:sz="4" w:space="0" w:color="auto"/>
              <w:right w:val="single" w:sz="4" w:space="0" w:color="auto"/>
            </w:tcBorders>
            <w:shd w:val="clear" w:color="auto" w:fill="auto"/>
            <w:noWrap/>
            <w:vAlign w:val="center"/>
            <w:hideMark/>
          </w:tcPr>
          <w:p w14:paraId="710BC3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8288151000</w:t>
            </w:r>
          </w:p>
        </w:tc>
        <w:tc>
          <w:tcPr>
            <w:tcW w:w="1036" w:type="dxa"/>
            <w:tcBorders>
              <w:top w:val="nil"/>
              <w:left w:val="nil"/>
              <w:bottom w:val="single" w:sz="4" w:space="0" w:color="auto"/>
              <w:right w:val="single" w:sz="4" w:space="0" w:color="auto"/>
            </w:tcBorders>
            <w:shd w:val="clear" w:color="auto" w:fill="auto"/>
            <w:noWrap/>
            <w:vAlign w:val="center"/>
            <w:hideMark/>
          </w:tcPr>
          <w:p w14:paraId="6B4E62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97282782</w:t>
            </w:r>
          </w:p>
        </w:tc>
        <w:tc>
          <w:tcPr>
            <w:tcW w:w="160" w:type="dxa"/>
            <w:tcBorders>
              <w:top w:val="nil"/>
              <w:left w:val="nil"/>
              <w:bottom w:val="single" w:sz="4" w:space="0" w:color="auto"/>
              <w:right w:val="nil"/>
            </w:tcBorders>
            <w:vAlign w:val="center"/>
          </w:tcPr>
          <w:p w14:paraId="39329D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DECC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LJUBLJANA</w:t>
            </w:r>
          </w:p>
        </w:tc>
      </w:tr>
      <w:tr w:rsidR="00072A69" w:rsidRPr="00DC6DF9" w14:paraId="27687A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312B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w:t>
            </w:r>
          </w:p>
        </w:tc>
        <w:tc>
          <w:tcPr>
            <w:tcW w:w="1036" w:type="dxa"/>
            <w:tcBorders>
              <w:top w:val="nil"/>
              <w:left w:val="nil"/>
              <w:bottom w:val="single" w:sz="4" w:space="0" w:color="auto"/>
              <w:right w:val="single" w:sz="4" w:space="0" w:color="auto"/>
            </w:tcBorders>
            <w:shd w:val="clear" w:color="auto" w:fill="auto"/>
            <w:noWrap/>
            <w:vAlign w:val="center"/>
            <w:hideMark/>
          </w:tcPr>
          <w:p w14:paraId="024F34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5228247000</w:t>
            </w:r>
          </w:p>
        </w:tc>
        <w:tc>
          <w:tcPr>
            <w:tcW w:w="1036" w:type="dxa"/>
            <w:tcBorders>
              <w:top w:val="nil"/>
              <w:left w:val="nil"/>
              <w:bottom w:val="single" w:sz="4" w:space="0" w:color="auto"/>
              <w:right w:val="single" w:sz="4" w:space="0" w:color="auto"/>
            </w:tcBorders>
            <w:shd w:val="clear" w:color="auto" w:fill="auto"/>
            <w:noWrap/>
            <w:vAlign w:val="center"/>
            <w:hideMark/>
          </w:tcPr>
          <w:p w14:paraId="338E91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52258351</w:t>
            </w:r>
          </w:p>
        </w:tc>
        <w:tc>
          <w:tcPr>
            <w:tcW w:w="160" w:type="dxa"/>
            <w:tcBorders>
              <w:top w:val="nil"/>
              <w:left w:val="nil"/>
              <w:bottom w:val="single" w:sz="4" w:space="0" w:color="auto"/>
              <w:right w:val="nil"/>
            </w:tcBorders>
            <w:vAlign w:val="center"/>
          </w:tcPr>
          <w:p w14:paraId="7F5D98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B9CF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LJUTOMER</w:t>
            </w:r>
          </w:p>
        </w:tc>
      </w:tr>
      <w:tr w:rsidR="00072A69" w:rsidRPr="00DC6DF9" w14:paraId="213432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3DB2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w:t>
            </w:r>
          </w:p>
        </w:tc>
        <w:tc>
          <w:tcPr>
            <w:tcW w:w="1036" w:type="dxa"/>
            <w:tcBorders>
              <w:top w:val="nil"/>
              <w:left w:val="nil"/>
              <w:bottom w:val="single" w:sz="4" w:space="0" w:color="auto"/>
              <w:right w:val="single" w:sz="4" w:space="0" w:color="auto"/>
            </w:tcBorders>
            <w:shd w:val="clear" w:color="auto" w:fill="auto"/>
            <w:noWrap/>
            <w:vAlign w:val="center"/>
            <w:hideMark/>
          </w:tcPr>
          <w:p w14:paraId="4FFD2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8275009000</w:t>
            </w:r>
          </w:p>
        </w:tc>
        <w:tc>
          <w:tcPr>
            <w:tcW w:w="1036" w:type="dxa"/>
            <w:tcBorders>
              <w:top w:val="nil"/>
              <w:left w:val="nil"/>
              <w:bottom w:val="single" w:sz="4" w:space="0" w:color="auto"/>
              <w:right w:val="single" w:sz="4" w:space="0" w:color="auto"/>
            </w:tcBorders>
            <w:shd w:val="clear" w:color="auto" w:fill="auto"/>
            <w:noWrap/>
            <w:vAlign w:val="center"/>
            <w:hideMark/>
          </w:tcPr>
          <w:p w14:paraId="3D746B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61795461</w:t>
            </w:r>
          </w:p>
        </w:tc>
        <w:tc>
          <w:tcPr>
            <w:tcW w:w="160" w:type="dxa"/>
            <w:tcBorders>
              <w:top w:val="nil"/>
              <w:left w:val="nil"/>
              <w:bottom w:val="single" w:sz="4" w:space="0" w:color="auto"/>
              <w:right w:val="nil"/>
            </w:tcBorders>
            <w:vAlign w:val="center"/>
          </w:tcPr>
          <w:p w14:paraId="363B64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83DF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MARIBOR</w:t>
            </w:r>
          </w:p>
        </w:tc>
      </w:tr>
      <w:tr w:rsidR="00072A69" w:rsidRPr="00DC6DF9" w14:paraId="764980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9224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w:t>
            </w:r>
          </w:p>
        </w:tc>
        <w:tc>
          <w:tcPr>
            <w:tcW w:w="1036" w:type="dxa"/>
            <w:tcBorders>
              <w:top w:val="nil"/>
              <w:left w:val="nil"/>
              <w:bottom w:val="single" w:sz="4" w:space="0" w:color="auto"/>
              <w:right w:val="single" w:sz="4" w:space="0" w:color="auto"/>
            </w:tcBorders>
            <w:shd w:val="clear" w:color="auto" w:fill="auto"/>
            <w:noWrap/>
            <w:vAlign w:val="center"/>
            <w:hideMark/>
          </w:tcPr>
          <w:p w14:paraId="03923F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5182590000</w:t>
            </w:r>
          </w:p>
        </w:tc>
        <w:tc>
          <w:tcPr>
            <w:tcW w:w="1036" w:type="dxa"/>
            <w:tcBorders>
              <w:top w:val="nil"/>
              <w:left w:val="nil"/>
              <w:bottom w:val="single" w:sz="4" w:space="0" w:color="auto"/>
              <w:right w:val="single" w:sz="4" w:space="0" w:color="auto"/>
            </w:tcBorders>
            <w:shd w:val="clear" w:color="auto" w:fill="auto"/>
            <w:noWrap/>
            <w:vAlign w:val="center"/>
            <w:hideMark/>
          </w:tcPr>
          <w:p w14:paraId="1C94FD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11647400</w:t>
            </w:r>
          </w:p>
        </w:tc>
        <w:tc>
          <w:tcPr>
            <w:tcW w:w="160" w:type="dxa"/>
            <w:tcBorders>
              <w:top w:val="nil"/>
              <w:left w:val="nil"/>
              <w:bottom w:val="single" w:sz="4" w:space="0" w:color="auto"/>
              <w:right w:val="nil"/>
            </w:tcBorders>
            <w:vAlign w:val="center"/>
          </w:tcPr>
          <w:p w14:paraId="1AC5F6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8B4E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MURSKA SOBOTA</w:t>
            </w:r>
          </w:p>
        </w:tc>
      </w:tr>
      <w:tr w:rsidR="00072A69" w:rsidRPr="00DC6DF9" w14:paraId="37AD27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CA01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w:t>
            </w:r>
          </w:p>
        </w:tc>
        <w:tc>
          <w:tcPr>
            <w:tcW w:w="1036" w:type="dxa"/>
            <w:tcBorders>
              <w:top w:val="nil"/>
              <w:left w:val="nil"/>
              <w:bottom w:val="single" w:sz="4" w:space="0" w:color="auto"/>
              <w:right w:val="single" w:sz="4" w:space="0" w:color="auto"/>
            </w:tcBorders>
            <w:shd w:val="clear" w:color="auto" w:fill="auto"/>
            <w:noWrap/>
            <w:vAlign w:val="center"/>
            <w:hideMark/>
          </w:tcPr>
          <w:p w14:paraId="6CB6B4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5216192000</w:t>
            </w:r>
          </w:p>
        </w:tc>
        <w:tc>
          <w:tcPr>
            <w:tcW w:w="1036" w:type="dxa"/>
            <w:tcBorders>
              <w:top w:val="nil"/>
              <w:left w:val="nil"/>
              <w:bottom w:val="single" w:sz="4" w:space="0" w:color="auto"/>
              <w:right w:val="single" w:sz="4" w:space="0" w:color="auto"/>
            </w:tcBorders>
            <w:shd w:val="clear" w:color="auto" w:fill="auto"/>
            <w:noWrap/>
            <w:vAlign w:val="center"/>
            <w:hideMark/>
          </w:tcPr>
          <w:p w14:paraId="38295A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24850489</w:t>
            </w:r>
          </w:p>
        </w:tc>
        <w:tc>
          <w:tcPr>
            <w:tcW w:w="160" w:type="dxa"/>
            <w:tcBorders>
              <w:top w:val="nil"/>
              <w:left w:val="nil"/>
              <w:bottom w:val="single" w:sz="4" w:space="0" w:color="auto"/>
              <w:right w:val="nil"/>
            </w:tcBorders>
            <w:vAlign w:val="center"/>
          </w:tcPr>
          <w:p w14:paraId="257D60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E470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NOVA GORICA</w:t>
            </w:r>
          </w:p>
        </w:tc>
      </w:tr>
      <w:tr w:rsidR="00072A69" w:rsidRPr="00DC6DF9" w14:paraId="57C723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DCD0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w:t>
            </w:r>
          </w:p>
        </w:tc>
        <w:tc>
          <w:tcPr>
            <w:tcW w:w="1036" w:type="dxa"/>
            <w:tcBorders>
              <w:top w:val="nil"/>
              <w:left w:val="nil"/>
              <w:bottom w:val="single" w:sz="4" w:space="0" w:color="auto"/>
              <w:right w:val="single" w:sz="4" w:space="0" w:color="auto"/>
            </w:tcBorders>
            <w:shd w:val="clear" w:color="auto" w:fill="auto"/>
            <w:noWrap/>
            <w:vAlign w:val="center"/>
            <w:hideMark/>
          </w:tcPr>
          <w:p w14:paraId="1A3A36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8286728000</w:t>
            </w:r>
          </w:p>
        </w:tc>
        <w:tc>
          <w:tcPr>
            <w:tcW w:w="1036" w:type="dxa"/>
            <w:tcBorders>
              <w:top w:val="nil"/>
              <w:left w:val="nil"/>
              <w:bottom w:val="single" w:sz="4" w:space="0" w:color="auto"/>
              <w:right w:val="single" w:sz="4" w:space="0" w:color="auto"/>
            </w:tcBorders>
            <w:shd w:val="clear" w:color="auto" w:fill="auto"/>
            <w:noWrap/>
            <w:vAlign w:val="center"/>
            <w:hideMark/>
          </w:tcPr>
          <w:p w14:paraId="46498E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27448657</w:t>
            </w:r>
          </w:p>
        </w:tc>
        <w:tc>
          <w:tcPr>
            <w:tcW w:w="160" w:type="dxa"/>
            <w:tcBorders>
              <w:top w:val="nil"/>
              <w:left w:val="nil"/>
              <w:bottom w:val="single" w:sz="4" w:space="0" w:color="auto"/>
              <w:right w:val="nil"/>
            </w:tcBorders>
            <w:vAlign w:val="center"/>
          </w:tcPr>
          <w:p w14:paraId="0EEFF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2E4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OSREDNJA SLOVENIJA – ZAHOD</w:t>
            </w:r>
          </w:p>
        </w:tc>
      </w:tr>
      <w:tr w:rsidR="00072A69" w:rsidRPr="00DC6DF9" w14:paraId="19A902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976C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w:t>
            </w:r>
          </w:p>
        </w:tc>
        <w:tc>
          <w:tcPr>
            <w:tcW w:w="1036" w:type="dxa"/>
            <w:tcBorders>
              <w:top w:val="nil"/>
              <w:left w:val="nil"/>
              <w:bottom w:val="single" w:sz="4" w:space="0" w:color="auto"/>
              <w:right w:val="single" w:sz="4" w:space="0" w:color="auto"/>
            </w:tcBorders>
            <w:shd w:val="clear" w:color="auto" w:fill="auto"/>
            <w:noWrap/>
            <w:vAlign w:val="center"/>
            <w:hideMark/>
          </w:tcPr>
          <w:p w14:paraId="0533FE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5701546000</w:t>
            </w:r>
          </w:p>
        </w:tc>
        <w:tc>
          <w:tcPr>
            <w:tcW w:w="1036" w:type="dxa"/>
            <w:tcBorders>
              <w:top w:val="nil"/>
              <w:left w:val="nil"/>
              <w:bottom w:val="single" w:sz="4" w:space="0" w:color="auto"/>
              <w:right w:val="single" w:sz="4" w:space="0" w:color="auto"/>
            </w:tcBorders>
            <w:shd w:val="clear" w:color="auto" w:fill="auto"/>
            <w:noWrap/>
            <w:vAlign w:val="center"/>
            <w:hideMark/>
          </w:tcPr>
          <w:p w14:paraId="36AC05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63295105</w:t>
            </w:r>
          </w:p>
        </w:tc>
        <w:tc>
          <w:tcPr>
            <w:tcW w:w="160" w:type="dxa"/>
            <w:tcBorders>
              <w:top w:val="nil"/>
              <w:left w:val="nil"/>
              <w:bottom w:val="single" w:sz="4" w:space="0" w:color="auto"/>
              <w:right w:val="nil"/>
            </w:tcBorders>
            <w:vAlign w:val="center"/>
          </w:tcPr>
          <w:p w14:paraId="00668A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EC3B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PESNICA</w:t>
            </w:r>
          </w:p>
        </w:tc>
      </w:tr>
      <w:tr w:rsidR="00072A69" w:rsidRPr="00DC6DF9" w14:paraId="5EC3C2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CFF1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w:t>
            </w:r>
          </w:p>
        </w:tc>
        <w:tc>
          <w:tcPr>
            <w:tcW w:w="1036" w:type="dxa"/>
            <w:tcBorders>
              <w:top w:val="nil"/>
              <w:left w:val="nil"/>
              <w:bottom w:val="single" w:sz="4" w:space="0" w:color="auto"/>
              <w:right w:val="single" w:sz="4" w:space="0" w:color="auto"/>
            </w:tcBorders>
            <w:shd w:val="clear" w:color="auto" w:fill="auto"/>
            <w:noWrap/>
            <w:vAlign w:val="center"/>
            <w:hideMark/>
          </w:tcPr>
          <w:p w14:paraId="5B5EB8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8284806000</w:t>
            </w:r>
          </w:p>
        </w:tc>
        <w:tc>
          <w:tcPr>
            <w:tcW w:w="1036" w:type="dxa"/>
            <w:tcBorders>
              <w:top w:val="nil"/>
              <w:left w:val="nil"/>
              <w:bottom w:val="single" w:sz="4" w:space="0" w:color="auto"/>
              <w:right w:val="single" w:sz="4" w:space="0" w:color="auto"/>
            </w:tcBorders>
            <w:shd w:val="clear" w:color="auto" w:fill="auto"/>
            <w:noWrap/>
            <w:vAlign w:val="center"/>
            <w:hideMark/>
          </w:tcPr>
          <w:p w14:paraId="5BD4B1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42694795</w:t>
            </w:r>
          </w:p>
        </w:tc>
        <w:tc>
          <w:tcPr>
            <w:tcW w:w="160" w:type="dxa"/>
            <w:tcBorders>
              <w:top w:val="nil"/>
              <w:left w:val="nil"/>
              <w:bottom w:val="single" w:sz="4" w:space="0" w:color="auto"/>
              <w:right w:val="nil"/>
            </w:tcBorders>
            <w:vAlign w:val="center"/>
          </w:tcPr>
          <w:p w14:paraId="099D74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7C97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POMURJE</w:t>
            </w:r>
          </w:p>
        </w:tc>
      </w:tr>
      <w:tr w:rsidR="00072A69" w:rsidRPr="00DC6DF9" w14:paraId="15D1DAB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0B73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w:t>
            </w:r>
          </w:p>
        </w:tc>
        <w:tc>
          <w:tcPr>
            <w:tcW w:w="1036" w:type="dxa"/>
            <w:tcBorders>
              <w:top w:val="nil"/>
              <w:left w:val="nil"/>
              <w:bottom w:val="single" w:sz="4" w:space="0" w:color="auto"/>
              <w:right w:val="single" w:sz="4" w:space="0" w:color="auto"/>
            </w:tcBorders>
            <w:shd w:val="clear" w:color="auto" w:fill="auto"/>
            <w:noWrap/>
            <w:vAlign w:val="center"/>
            <w:hideMark/>
          </w:tcPr>
          <w:p w14:paraId="2D5D3B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8283770000</w:t>
            </w:r>
          </w:p>
        </w:tc>
        <w:tc>
          <w:tcPr>
            <w:tcW w:w="1036" w:type="dxa"/>
            <w:tcBorders>
              <w:top w:val="nil"/>
              <w:left w:val="nil"/>
              <w:bottom w:val="single" w:sz="4" w:space="0" w:color="auto"/>
              <w:right w:val="single" w:sz="4" w:space="0" w:color="auto"/>
            </w:tcBorders>
            <w:shd w:val="clear" w:color="auto" w:fill="auto"/>
            <w:noWrap/>
            <w:vAlign w:val="center"/>
            <w:hideMark/>
          </w:tcPr>
          <w:p w14:paraId="6CB00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14765853</w:t>
            </w:r>
          </w:p>
        </w:tc>
        <w:tc>
          <w:tcPr>
            <w:tcW w:w="160" w:type="dxa"/>
            <w:tcBorders>
              <w:top w:val="nil"/>
              <w:left w:val="nil"/>
              <w:bottom w:val="single" w:sz="4" w:space="0" w:color="auto"/>
              <w:right w:val="nil"/>
            </w:tcBorders>
            <w:vAlign w:val="center"/>
          </w:tcPr>
          <w:p w14:paraId="3714C0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377D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POSAVJE</w:t>
            </w:r>
          </w:p>
        </w:tc>
      </w:tr>
      <w:tr w:rsidR="00072A69" w:rsidRPr="00DC6DF9" w14:paraId="7DC50C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BF73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w:t>
            </w:r>
          </w:p>
        </w:tc>
        <w:tc>
          <w:tcPr>
            <w:tcW w:w="1036" w:type="dxa"/>
            <w:tcBorders>
              <w:top w:val="nil"/>
              <w:left w:val="nil"/>
              <w:bottom w:val="single" w:sz="4" w:space="0" w:color="auto"/>
              <w:right w:val="single" w:sz="4" w:space="0" w:color="auto"/>
            </w:tcBorders>
            <w:shd w:val="clear" w:color="auto" w:fill="auto"/>
            <w:noWrap/>
            <w:vAlign w:val="center"/>
            <w:hideMark/>
          </w:tcPr>
          <w:p w14:paraId="01C735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8285659000</w:t>
            </w:r>
          </w:p>
        </w:tc>
        <w:tc>
          <w:tcPr>
            <w:tcW w:w="1036" w:type="dxa"/>
            <w:tcBorders>
              <w:top w:val="nil"/>
              <w:left w:val="nil"/>
              <w:bottom w:val="single" w:sz="4" w:space="0" w:color="auto"/>
              <w:right w:val="single" w:sz="4" w:space="0" w:color="auto"/>
            </w:tcBorders>
            <w:shd w:val="clear" w:color="auto" w:fill="auto"/>
            <w:noWrap/>
            <w:vAlign w:val="center"/>
            <w:hideMark/>
          </w:tcPr>
          <w:p w14:paraId="5252EF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74839918</w:t>
            </w:r>
          </w:p>
        </w:tc>
        <w:tc>
          <w:tcPr>
            <w:tcW w:w="160" w:type="dxa"/>
            <w:tcBorders>
              <w:top w:val="nil"/>
              <w:left w:val="nil"/>
              <w:bottom w:val="single" w:sz="4" w:space="0" w:color="auto"/>
              <w:right w:val="nil"/>
            </w:tcBorders>
            <w:vAlign w:val="center"/>
          </w:tcPr>
          <w:p w14:paraId="52BC03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F1A1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PRIMORSKO-NOTRANJSKA</w:t>
            </w:r>
          </w:p>
        </w:tc>
      </w:tr>
      <w:tr w:rsidR="00072A69" w:rsidRPr="00DC6DF9" w14:paraId="3E95D5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81CB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w:t>
            </w:r>
          </w:p>
        </w:tc>
        <w:tc>
          <w:tcPr>
            <w:tcW w:w="1036" w:type="dxa"/>
            <w:tcBorders>
              <w:top w:val="nil"/>
              <w:left w:val="nil"/>
              <w:bottom w:val="single" w:sz="4" w:space="0" w:color="auto"/>
              <w:right w:val="single" w:sz="4" w:space="0" w:color="auto"/>
            </w:tcBorders>
            <w:shd w:val="clear" w:color="auto" w:fill="auto"/>
            <w:noWrap/>
            <w:vAlign w:val="center"/>
            <w:hideMark/>
          </w:tcPr>
          <w:p w14:paraId="0D6835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5230128000</w:t>
            </w:r>
          </w:p>
        </w:tc>
        <w:tc>
          <w:tcPr>
            <w:tcW w:w="1036" w:type="dxa"/>
            <w:tcBorders>
              <w:top w:val="nil"/>
              <w:left w:val="nil"/>
              <w:bottom w:val="single" w:sz="4" w:space="0" w:color="auto"/>
              <w:right w:val="single" w:sz="4" w:space="0" w:color="auto"/>
            </w:tcBorders>
            <w:shd w:val="clear" w:color="auto" w:fill="auto"/>
            <w:noWrap/>
            <w:vAlign w:val="center"/>
            <w:hideMark/>
          </w:tcPr>
          <w:p w14:paraId="71EBA1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82796335</w:t>
            </w:r>
          </w:p>
        </w:tc>
        <w:tc>
          <w:tcPr>
            <w:tcW w:w="160" w:type="dxa"/>
            <w:tcBorders>
              <w:top w:val="nil"/>
              <w:left w:val="nil"/>
              <w:bottom w:val="single" w:sz="4" w:space="0" w:color="auto"/>
              <w:right w:val="nil"/>
            </w:tcBorders>
            <w:vAlign w:val="center"/>
          </w:tcPr>
          <w:p w14:paraId="7792D74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5A4F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RADOVLJICA</w:t>
            </w:r>
          </w:p>
        </w:tc>
      </w:tr>
      <w:tr w:rsidR="00072A69" w:rsidRPr="00DC6DF9" w14:paraId="13828FB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38A7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w:t>
            </w:r>
          </w:p>
        </w:tc>
        <w:tc>
          <w:tcPr>
            <w:tcW w:w="1036" w:type="dxa"/>
            <w:tcBorders>
              <w:top w:val="nil"/>
              <w:left w:val="nil"/>
              <w:bottom w:val="single" w:sz="4" w:space="0" w:color="auto"/>
              <w:right w:val="single" w:sz="4" w:space="0" w:color="auto"/>
            </w:tcBorders>
            <w:shd w:val="clear" w:color="auto" w:fill="auto"/>
            <w:noWrap/>
            <w:vAlign w:val="center"/>
            <w:hideMark/>
          </w:tcPr>
          <w:p w14:paraId="398ABE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5691214000</w:t>
            </w:r>
          </w:p>
        </w:tc>
        <w:tc>
          <w:tcPr>
            <w:tcW w:w="1036" w:type="dxa"/>
            <w:tcBorders>
              <w:top w:val="nil"/>
              <w:left w:val="nil"/>
              <w:bottom w:val="single" w:sz="4" w:space="0" w:color="auto"/>
              <w:right w:val="single" w:sz="4" w:space="0" w:color="auto"/>
            </w:tcBorders>
            <w:shd w:val="clear" w:color="auto" w:fill="auto"/>
            <w:noWrap/>
            <w:vAlign w:val="center"/>
            <w:hideMark/>
          </w:tcPr>
          <w:p w14:paraId="1AAF19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46050060</w:t>
            </w:r>
          </w:p>
        </w:tc>
        <w:tc>
          <w:tcPr>
            <w:tcW w:w="160" w:type="dxa"/>
            <w:tcBorders>
              <w:top w:val="nil"/>
              <w:left w:val="nil"/>
              <w:bottom w:val="single" w:sz="4" w:space="0" w:color="auto"/>
              <w:right w:val="nil"/>
            </w:tcBorders>
            <w:vAlign w:val="center"/>
          </w:tcPr>
          <w:p w14:paraId="4A6A34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71CA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RUŠE</w:t>
            </w:r>
          </w:p>
        </w:tc>
      </w:tr>
      <w:tr w:rsidR="00072A69" w:rsidRPr="00DC6DF9" w14:paraId="270763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CEFF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w:t>
            </w:r>
          </w:p>
        </w:tc>
        <w:tc>
          <w:tcPr>
            <w:tcW w:w="1036" w:type="dxa"/>
            <w:tcBorders>
              <w:top w:val="nil"/>
              <w:left w:val="nil"/>
              <w:bottom w:val="single" w:sz="4" w:space="0" w:color="auto"/>
              <w:right w:val="single" w:sz="4" w:space="0" w:color="auto"/>
            </w:tcBorders>
            <w:shd w:val="clear" w:color="auto" w:fill="auto"/>
            <w:noWrap/>
            <w:vAlign w:val="center"/>
            <w:hideMark/>
          </w:tcPr>
          <w:p w14:paraId="2A1F0E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8283583000</w:t>
            </w:r>
          </w:p>
        </w:tc>
        <w:tc>
          <w:tcPr>
            <w:tcW w:w="1036" w:type="dxa"/>
            <w:tcBorders>
              <w:top w:val="nil"/>
              <w:left w:val="nil"/>
              <w:bottom w:val="single" w:sz="4" w:space="0" w:color="auto"/>
              <w:right w:val="single" w:sz="4" w:space="0" w:color="auto"/>
            </w:tcBorders>
            <w:shd w:val="clear" w:color="auto" w:fill="auto"/>
            <w:noWrap/>
            <w:vAlign w:val="center"/>
            <w:hideMark/>
          </w:tcPr>
          <w:p w14:paraId="0484B8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99388685</w:t>
            </w:r>
          </w:p>
        </w:tc>
        <w:tc>
          <w:tcPr>
            <w:tcW w:w="160" w:type="dxa"/>
            <w:tcBorders>
              <w:top w:val="nil"/>
              <w:left w:val="nil"/>
              <w:bottom w:val="single" w:sz="4" w:space="0" w:color="auto"/>
              <w:right w:val="nil"/>
            </w:tcBorders>
            <w:vAlign w:val="center"/>
          </w:tcPr>
          <w:p w14:paraId="72AEC8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3B96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SAVINJSKO-ŠALEŠKA</w:t>
            </w:r>
          </w:p>
        </w:tc>
      </w:tr>
      <w:tr w:rsidR="00072A69" w:rsidRPr="00DC6DF9" w14:paraId="1C636F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7BB9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w:t>
            </w:r>
          </w:p>
        </w:tc>
        <w:tc>
          <w:tcPr>
            <w:tcW w:w="1036" w:type="dxa"/>
            <w:tcBorders>
              <w:top w:val="nil"/>
              <w:left w:val="nil"/>
              <w:bottom w:val="single" w:sz="4" w:space="0" w:color="auto"/>
              <w:right w:val="single" w:sz="4" w:space="0" w:color="auto"/>
            </w:tcBorders>
            <w:shd w:val="clear" w:color="auto" w:fill="auto"/>
            <w:noWrap/>
            <w:vAlign w:val="center"/>
            <w:hideMark/>
          </w:tcPr>
          <w:p w14:paraId="6282B8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8284857000</w:t>
            </w:r>
          </w:p>
        </w:tc>
        <w:tc>
          <w:tcPr>
            <w:tcW w:w="1036" w:type="dxa"/>
            <w:tcBorders>
              <w:top w:val="nil"/>
              <w:left w:val="nil"/>
              <w:bottom w:val="single" w:sz="4" w:space="0" w:color="auto"/>
              <w:right w:val="single" w:sz="4" w:space="0" w:color="auto"/>
            </w:tcBorders>
            <w:shd w:val="clear" w:color="auto" w:fill="auto"/>
            <w:noWrap/>
            <w:vAlign w:val="center"/>
            <w:hideMark/>
          </w:tcPr>
          <w:p w14:paraId="4BE6CB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93702183</w:t>
            </w:r>
          </w:p>
        </w:tc>
        <w:tc>
          <w:tcPr>
            <w:tcW w:w="160" w:type="dxa"/>
            <w:tcBorders>
              <w:top w:val="nil"/>
              <w:left w:val="nil"/>
              <w:bottom w:val="single" w:sz="4" w:space="0" w:color="auto"/>
              <w:right w:val="nil"/>
            </w:tcBorders>
            <w:vAlign w:val="center"/>
          </w:tcPr>
          <w:p w14:paraId="700A9B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EB56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SEVERNA PRIMORSKA</w:t>
            </w:r>
          </w:p>
        </w:tc>
      </w:tr>
      <w:tr w:rsidR="00072A69" w:rsidRPr="00DC6DF9" w14:paraId="7F14FB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B3C8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w:t>
            </w:r>
          </w:p>
        </w:tc>
        <w:tc>
          <w:tcPr>
            <w:tcW w:w="1036" w:type="dxa"/>
            <w:tcBorders>
              <w:top w:val="nil"/>
              <w:left w:val="nil"/>
              <w:bottom w:val="single" w:sz="4" w:space="0" w:color="auto"/>
              <w:right w:val="single" w:sz="4" w:space="0" w:color="auto"/>
            </w:tcBorders>
            <w:shd w:val="clear" w:color="auto" w:fill="auto"/>
            <w:noWrap/>
            <w:vAlign w:val="center"/>
            <w:hideMark/>
          </w:tcPr>
          <w:p w14:paraId="6524A8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5229766000</w:t>
            </w:r>
          </w:p>
        </w:tc>
        <w:tc>
          <w:tcPr>
            <w:tcW w:w="1036" w:type="dxa"/>
            <w:tcBorders>
              <w:top w:val="nil"/>
              <w:left w:val="nil"/>
              <w:bottom w:val="single" w:sz="4" w:space="0" w:color="auto"/>
              <w:right w:val="single" w:sz="4" w:space="0" w:color="auto"/>
            </w:tcBorders>
            <w:shd w:val="clear" w:color="auto" w:fill="auto"/>
            <w:noWrap/>
            <w:vAlign w:val="center"/>
            <w:hideMark/>
          </w:tcPr>
          <w:p w14:paraId="4A6B77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88622681</w:t>
            </w:r>
          </w:p>
        </w:tc>
        <w:tc>
          <w:tcPr>
            <w:tcW w:w="160" w:type="dxa"/>
            <w:tcBorders>
              <w:top w:val="nil"/>
              <w:left w:val="nil"/>
              <w:bottom w:val="single" w:sz="4" w:space="0" w:color="auto"/>
              <w:right w:val="nil"/>
            </w:tcBorders>
            <w:vAlign w:val="center"/>
          </w:tcPr>
          <w:p w14:paraId="17C397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94F8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SEVNICA</w:t>
            </w:r>
          </w:p>
        </w:tc>
      </w:tr>
      <w:tr w:rsidR="00072A69" w:rsidRPr="00DC6DF9" w14:paraId="146C55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EE66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w:t>
            </w:r>
          </w:p>
        </w:tc>
        <w:tc>
          <w:tcPr>
            <w:tcW w:w="1036" w:type="dxa"/>
            <w:tcBorders>
              <w:top w:val="nil"/>
              <w:left w:val="nil"/>
              <w:bottom w:val="single" w:sz="4" w:space="0" w:color="auto"/>
              <w:right w:val="single" w:sz="4" w:space="0" w:color="auto"/>
            </w:tcBorders>
            <w:shd w:val="clear" w:color="auto" w:fill="auto"/>
            <w:noWrap/>
            <w:vAlign w:val="center"/>
            <w:hideMark/>
          </w:tcPr>
          <w:p w14:paraId="6EE7AF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5222133000</w:t>
            </w:r>
          </w:p>
        </w:tc>
        <w:tc>
          <w:tcPr>
            <w:tcW w:w="1036" w:type="dxa"/>
            <w:tcBorders>
              <w:top w:val="nil"/>
              <w:left w:val="nil"/>
              <w:bottom w:val="single" w:sz="4" w:space="0" w:color="auto"/>
              <w:right w:val="single" w:sz="4" w:space="0" w:color="auto"/>
            </w:tcBorders>
            <w:shd w:val="clear" w:color="auto" w:fill="auto"/>
            <w:noWrap/>
            <w:vAlign w:val="center"/>
            <w:hideMark/>
          </w:tcPr>
          <w:p w14:paraId="494D81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48194646</w:t>
            </w:r>
          </w:p>
        </w:tc>
        <w:tc>
          <w:tcPr>
            <w:tcW w:w="160" w:type="dxa"/>
            <w:tcBorders>
              <w:top w:val="nil"/>
              <w:left w:val="nil"/>
              <w:bottom w:val="single" w:sz="4" w:space="0" w:color="auto"/>
              <w:right w:val="nil"/>
            </w:tcBorders>
            <w:vAlign w:val="center"/>
          </w:tcPr>
          <w:p w14:paraId="3D74EE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DBE8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SLOVENSKA BISTRICA</w:t>
            </w:r>
          </w:p>
        </w:tc>
      </w:tr>
      <w:tr w:rsidR="00072A69" w:rsidRPr="00DC6DF9" w14:paraId="1EACAD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1CB7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w:t>
            </w:r>
          </w:p>
        </w:tc>
        <w:tc>
          <w:tcPr>
            <w:tcW w:w="1036" w:type="dxa"/>
            <w:tcBorders>
              <w:top w:val="nil"/>
              <w:left w:val="nil"/>
              <w:bottom w:val="single" w:sz="4" w:space="0" w:color="auto"/>
              <w:right w:val="single" w:sz="4" w:space="0" w:color="auto"/>
            </w:tcBorders>
            <w:shd w:val="clear" w:color="auto" w:fill="auto"/>
            <w:noWrap/>
            <w:vAlign w:val="center"/>
            <w:hideMark/>
          </w:tcPr>
          <w:p w14:paraId="37AC4F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8285233000</w:t>
            </w:r>
          </w:p>
        </w:tc>
        <w:tc>
          <w:tcPr>
            <w:tcW w:w="1036" w:type="dxa"/>
            <w:tcBorders>
              <w:top w:val="nil"/>
              <w:left w:val="nil"/>
              <w:bottom w:val="single" w:sz="4" w:space="0" w:color="auto"/>
              <w:right w:val="single" w:sz="4" w:space="0" w:color="auto"/>
            </w:tcBorders>
            <w:shd w:val="clear" w:color="auto" w:fill="auto"/>
            <w:noWrap/>
            <w:vAlign w:val="center"/>
            <w:hideMark/>
          </w:tcPr>
          <w:p w14:paraId="687002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70569606</w:t>
            </w:r>
          </w:p>
        </w:tc>
        <w:tc>
          <w:tcPr>
            <w:tcW w:w="160" w:type="dxa"/>
            <w:tcBorders>
              <w:top w:val="nil"/>
              <w:left w:val="nil"/>
              <w:bottom w:val="single" w:sz="4" w:space="0" w:color="auto"/>
              <w:right w:val="nil"/>
            </w:tcBorders>
            <w:vAlign w:val="center"/>
          </w:tcPr>
          <w:p w14:paraId="2C0E9DA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C2FE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SPODNJE PODRAVJE</w:t>
            </w:r>
          </w:p>
        </w:tc>
      </w:tr>
      <w:tr w:rsidR="00072A69" w:rsidRPr="00DC6DF9" w14:paraId="5A3142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8B19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w:t>
            </w:r>
          </w:p>
        </w:tc>
        <w:tc>
          <w:tcPr>
            <w:tcW w:w="1036" w:type="dxa"/>
            <w:tcBorders>
              <w:top w:val="nil"/>
              <w:left w:val="nil"/>
              <w:bottom w:val="single" w:sz="4" w:space="0" w:color="auto"/>
              <w:right w:val="single" w:sz="4" w:space="0" w:color="auto"/>
            </w:tcBorders>
            <w:shd w:val="clear" w:color="auto" w:fill="auto"/>
            <w:noWrap/>
            <w:vAlign w:val="center"/>
            <w:hideMark/>
          </w:tcPr>
          <w:p w14:paraId="305364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5230136000</w:t>
            </w:r>
          </w:p>
        </w:tc>
        <w:tc>
          <w:tcPr>
            <w:tcW w:w="1036" w:type="dxa"/>
            <w:tcBorders>
              <w:top w:val="nil"/>
              <w:left w:val="nil"/>
              <w:bottom w:val="single" w:sz="4" w:space="0" w:color="auto"/>
              <w:right w:val="single" w:sz="4" w:space="0" w:color="auto"/>
            </w:tcBorders>
            <w:shd w:val="clear" w:color="auto" w:fill="auto"/>
            <w:noWrap/>
            <w:vAlign w:val="center"/>
            <w:hideMark/>
          </w:tcPr>
          <w:p w14:paraId="0A34A6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67800629</w:t>
            </w:r>
          </w:p>
        </w:tc>
        <w:tc>
          <w:tcPr>
            <w:tcW w:w="160" w:type="dxa"/>
            <w:tcBorders>
              <w:top w:val="nil"/>
              <w:left w:val="nil"/>
              <w:bottom w:val="single" w:sz="4" w:space="0" w:color="auto"/>
              <w:right w:val="nil"/>
            </w:tcBorders>
            <w:vAlign w:val="center"/>
          </w:tcPr>
          <w:p w14:paraId="20E50B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E661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ŠKOFJA LOKA</w:t>
            </w:r>
          </w:p>
        </w:tc>
      </w:tr>
      <w:tr w:rsidR="00072A69" w:rsidRPr="00DC6DF9" w14:paraId="3B8F6D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CF8C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w:t>
            </w:r>
          </w:p>
        </w:tc>
        <w:tc>
          <w:tcPr>
            <w:tcW w:w="1036" w:type="dxa"/>
            <w:tcBorders>
              <w:top w:val="nil"/>
              <w:left w:val="nil"/>
              <w:bottom w:val="single" w:sz="4" w:space="0" w:color="auto"/>
              <w:right w:val="single" w:sz="4" w:space="0" w:color="auto"/>
            </w:tcBorders>
            <w:shd w:val="clear" w:color="auto" w:fill="auto"/>
            <w:noWrap/>
            <w:vAlign w:val="center"/>
            <w:hideMark/>
          </w:tcPr>
          <w:p w14:paraId="6B48FA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5230110000</w:t>
            </w:r>
          </w:p>
        </w:tc>
        <w:tc>
          <w:tcPr>
            <w:tcW w:w="1036" w:type="dxa"/>
            <w:tcBorders>
              <w:top w:val="nil"/>
              <w:left w:val="nil"/>
              <w:bottom w:val="single" w:sz="4" w:space="0" w:color="auto"/>
              <w:right w:val="single" w:sz="4" w:space="0" w:color="auto"/>
            </w:tcBorders>
            <w:shd w:val="clear" w:color="auto" w:fill="auto"/>
            <w:noWrap/>
            <w:vAlign w:val="center"/>
            <w:hideMark/>
          </w:tcPr>
          <w:p w14:paraId="69C829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96075325</w:t>
            </w:r>
          </w:p>
        </w:tc>
        <w:tc>
          <w:tcPr>
            <w:tcW w:w="160" w:type="dxa"/>
            <w:tcBorders>
              <w:top w:val="nil"/>
              <w:left w:val="nil"/>
              <w:bottom w:val="single" w:sz="4" w:space="0" w:color="auto"/>
              <w:right w:val="nil"/>
            </w:tcBorders>
            <w:vAlign w:val="center"/>
          </w:tcPr>
          <w:p w14:paraId="3EFB9B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871D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TOLMIN</w:t>
            </w:r>
          </w:p>
        </w:tc>
      </w:tr>
      <w:tr w:rsidR="00072A69" w:rsidRPr="00DC6DF9" w14:paraId="0AC7AF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6050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w:t>
            </w:r>
          </w:p>
        </w:tc>
        <w:tc>
          <w:tcPr>
            <w:tcW w:w="1036" w:type="dxa"/>
            <w:tcBorders>
              <w:top w:val="nil"/>
              <w:left w:val="nil"/>
              <w:bottom w:val="single" w:sz="4" w:space="0" w:color="auto"/>
              <w:right w:val="single" w:sz="4" w:space="0" w:color="auto"/>
            </w:tcBorders>
            <w:shd w:val="clear" w:color="auto" w:fill="auto"/>
            <w:noWrap/>
            <w:vAlign w:val="center"/>
            <w:hideMark/>
          </w:tcPr>
          <w:p w14:paraId="71F393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5231728000</w:t>
            </w:r>
          </w:p>
        </w:tc>
        <w:tc>
          <w:tcPr>
            <w:tcW w:w="1036" w:type="dxa"/>
            <w:tcBorders>
              <w:top w:val="nil"/>
              <w:left w:val="nil"/>
              <w:bottom w:val="single" w:sz="4" w:space="0" w:color="auto"/>
              <w:right w:val="single" w:sz="4" w:space="0" w:color="auto"/>
            </w:tcBorders>
            <w:shd w:val="clear" w:color="auto" w:fill="auto"/>
            <w:noWrap/>
            <w:vAlign w:val="center"/>
            <w:hideMark/>
          </w:tcPr>
          <w:p w14:paraId="285E01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72087684</w:t>
            </w:r>
          </w:p>
        </w:tc>
        <w:tc>
          <w:tcPr>
            <w:tcW w:w="160" w:type="dxa"/>
            <w:tcBorders>
              <w:top w:val="nil"/>
              <w:left w:val="nil"/>
              <w:bottom w:val="single" w:sz="4" w:space="0" w:color="auto"/>
              <w:right w:val="nil"/>
            </w:tcBorders>
            <w:vAlign w:val="center"/>
          </w:tcPr>
          <w:p w14:paraId="397F28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4EA9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TREBNJE</w:t>
            </w:r>
          </w:p>
        </w:tc>
      </w:tr>
      <w:tr w:rsidR="00072A69" w:rsidRPr="00DC6DF9" w14:paraId="211E3A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B0B5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w:t>
            </w:r>
          </w:p>
        </w:tc>
        <w:tc>
          <w:tcPr>
            <w:tcW w:w="1036" w:type="dxa"/>
            <w:tcBorders>
              <w:top w:val="nil"/>
              <w:left w:val="nil"/>
              <w:bottom w:val="single" w:sz="4" w:space="0" w:color="auto"/>
              <w:right w:val="single" w:sz="4" w:space="0" w:color="auto"/>
            </w:tcBorders>
            <w:shd w:val="clear" w:color="auto" w:fill="auto"/>
            <w:noWrap/>
            <w:vAlign w:val="center"/>
            <w:hideMark/>
          </w:tcPr>
          <w:p w14:paraId="7B2627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5222362000</w:t>
            </w:r>
          </w:p>
        </w:tc>
        <w:tc>
          <w:tcPr>
            <w:tcW w:w="1036" w:type="dxa"/>
            <w:tcBorders>
              <w:top w:val="nil"/>
              <w:left w:val="nil"/>
              <w:bottom w:val="single" w:sz="4" w:space="0" w:color="auto"/>
              <w:right w:val="single" w:sz="4" w:space="0" w:color="auto"/>
            </w:tcBorders>
            <w:shd w:val="clear" w:color="auto" w:fill="auto"/>
            <w:vAlign w:val="center"/>
            <w:hideMark/>
          </w:tcPr>
          <w:p w14:paraId="01BE80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71294210</w:t>
            </w:r>
          </w:p>
        </w:tc>
        <w:tc>
          <w:tcPr>
            <w:tcW w:w="160" w:type="dxa"/>
            <w:tcBorders>
              <w:top w:val="nil"/>
              <w:left w:val="nil"/>
              <w:bottom w:val="single" w:sz="4" w:space="0" w:color="auto"/>
              <w:right w:val="nil"/>
            </w:tcBorders>
            <w:vAlign w:val="center"/>
          </w:tcPr>
          <w:p w14:paraId="045A4B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171BD0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SOCIALNO DELO VRHNIKA</w:t>
            </w:r>
          </w:p>
        </w:tc>
      </w:tr>
      <w:tr w:rsidR="00072A69" w:rsidRPr="00DC6DF9" w14:paraId="66E61CD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A852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w:t>
            </w:r>
          </w:p>
        </w:tc>
        <w:tc>
          <w:tcPr>
            <w:tcW w:w="1036" w:type="dxa"/>
            <w:tcBorders>
              <w:top w:val="nil"/>
              <w:left w:val="nil"/>
              <w:bottom w:val="single" w:sz="4" w:space="0" w:color="auto"/>
              <w:right w:val="single" w:sz="4" w:space="0" w:color="auto"/>
            </w:tcBorders>
            <w:shd w:val="clear" w:color="auto" w:fill="auto"/>
            <w:noWrap/>
            <w:vAlign w:val="center"/>
            <w:hideMark/>
          </w:tcPr>
          <w:p w14:paraId="1771C0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2260166000</w:t>
            </w:r>
          </w:p>
        </w:tc>
        <w:tc>
          <w:tcPr>
            <w:tcW w:w="1036" w:type="dxa"/>
            <w:tcBorders>
              <w:top w:val="nil"/>
              <w:left w:val="nil"/>
              <w:bottom w:val="single" w:sz="4" w:space="0" w:color="auto"/>
              <w:right w:val="single" w:sz="4" w:space="0" w:color="auto"/>
            </w:tcBorders>
            <w:shd w:val="clear" w:color="auto" w:fill="auto"/>
            <w:noWrap/>
            <w:vAlign w:val="center"/>
            <w:hideMark/>
          </w:tcPr>
          <w:p w14:paraId="01E614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70383367</w:t>
            </w:r>
          </w:p>
        </w:tc>
        <w:tc>
          <w:tcPr>
            <w:tcW w:w="160" w:type="dxa"/>
            <w:tcBorders>
              <w:top w:val="nil"/>
              <w:left w:val="nil"/>
              <w:bottom w:val="single" w:sz="4" w:space="0" w:color="auto"/>
              <w:right w:val="nil"/>
            </w:tcBorders>
            <w:vAlign w:val="center"/>
          </w:tcPr>
          <w:p w14:paraId="72B29F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A556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ŠPORT, TURIZEM, INFORMIRANJE IN KULTURO LAŠKO</w:t>
            </w:r>
          </w:p>
        </w:tc>
      </w:tr>
      <w:tr w:rsidR="00072A69" w:rsidRPr="00DC6DF9" w14:paraId="4A00E52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EDFA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w:t>
            </w:r>
          </w:p>
        </w:tc>
        <w:tc>
          <w:tcPr>
            <w:tcW w:w="1036" w:type="dxa"/>
            <w:tcBorders>
              <w:top w:val="nil"/>
              <w:left w:val="nil"/>
              <w:bottom w:val="single" w:sz="4" w:space="0" w:color="auto"/>
              <w:right w:val="single" w:sz="4" w:space="0" w:color="auto"/>
            </w:tcBorders>
            <w:shd w:val="clear" w:color="auto" w:fill="auto"/>
            <w:noWrap/>
            <w:vAlign w:val="center"/>
            <w:hideMark/>
          </w:tcPr>
          <w:p w14:paraId="58BCD8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6551211000</w:t>
            </w:r>
          </w:p>
        </w:tc>
        <w:tc>
          <w:tcPr>
            <w:tcW w:w="1036" w:type="dxa"/>
            <w:tcBorders>
              <w:top w:val="nil"/>
              <w:left w:val="nil"/>
              <w:bottom w:val="single" w:sz="4" w:space="0" w:color="auto"/>
              <w:right w:val="single" w:sz="4" w:space="0" w:color="auto"/>
            </w:tcBorders>
            <w:shd w:val="clear" w:color="auto" w:fill="auto"/>
            <w:noWrap/>
            <w:vAlign w:val="center"/>
            <w:hideMark/>
          </w:tcPr>
          <w:p w14:paraId="5FCCA0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59075899</w:t>
            </w:r>
          </w:p>
        </w:tc>
        <w:tc>
          <w:tcPr>
            <w:tcW w:w="160" w:type="dxa"/>
            <w:tcBorders>
              <w:top w:val="nil"/>
              <w:left w:val="nil"/>
              <w:bottom w:val="single" w:sz="4" w:space="0" w:color="auto"/>
              <w:right w:val="nil"/>
            </w:tcBorders>
            <w:vAlign w:val="center"/>
          </w:tcPr>
          <w:p w14:paraId="482C50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1920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UPRAVLJANJE Z DEDIŠČINO ŽIVEGA SREBRA IDRIJA</w:t>
            </w:r>
          </w:p>
        </w:tc>
      </w:tr>
      <w:tr w:rsidR="00072A69" w:rsidRPr="00DC6DF9" w14:paraId="1DAEA6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64FA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w:t>
            </w:r>
          </w:p>
        </w:tc>
        <w:tc>
          <w:tcPr>
            <w:tcW w:w="1036" w:type="dxa"/>
            <w:tcBorders>
              <w:top w:val="nil"/>
              <w:left w:val="nil"/>
              <w:bottom w:val="single" w:sz="4" w:space="0" w:color="auto"/>
              <w:right w:val="single" w:sz="4" w:space="0" w:color="auto"/>
            </w:tcBorders>
            <w:shd w:val="clear" w:color="auto" w:fill="auto"/>
            <w:noWrap/>
            <w:vAlign w:val="center"/>
            <w:hideMark/>
          </w:tcPr>
          <w:p w14:paraId="7FE1D3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5055792000</w:t>
            </w:r>
          </w:p>
        </w:tc>
        <w:tc>
          <w:tcPr>
            <w:tcW w:w="1036" w:type="dxa"/>
            <w:tcBorders>
              <w:top w:val="nil"/>
              <w:left w:val="nil"/>
              <w:bottom w:val="single" w:sz="4" w:space="0" w:color="auto"/>
              <w:right w:val="single" w:sz="4" w:space="0" w:color="auto"/>
            </w:tcBorders>
            <w:shd w:val="clear" w:color="auto" w:fill="auto"/>
            <w:noWrap/>
            <w:vAlign w:val="center"/>
            <w:hideMark/>
          </w:tcPr>
          <w:p w14:paraId="1577E1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20966407</w:t>
            </w:r>
          </w:p>
        </w:tc>
        <w:tc>
          <w:tcPr>
            <w:tcW w:w="160" w:type="dxa"/>
            <w:tcBorders>
              <w:top w:val="nil"/>
              <w:left w:val="nil"/>
              <w:bottom w:val="single" w:sz="4" w:space="0" w:color="auto"/>
              <w:right w:val="nil"/>
            </w:tcBorders>
            <w:vAlign w:val="center"/>
          </w:tcPr>
          <w:p w14:paraId="3323D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15E9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USPOSABLJANJE, DELO IN VARSTVO ČRNA NA KOROŠKEM</w:t>
            </w:r>
          </w:p>
        </w:tc>
      </w:tr>
      <w:tr w:rsidR="00072A69" w:rsidRPr="00DC6DF9" w14:paraId="48908C6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2953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w:t>
            </w:r>
          </w:p>
        </w:tc>
        <w:tc>
          <w:tcPr>
            <w:tcW w:w="1036" w:type="dxa"/>
            <w:tcBorders>
              <w:top w:val="nil"/>
              <w:left w:val="nil"/>
              <w:bottom w:val="single" w:sz="4" w:space="0" w:color="auto"/>
              <w:right w:val="single" w:sz="4" w:space="0" w:color="auto"/>
            </w:tcBorders>
            <w:shd w:val="clear" w:color="auto" w:fill="auto"/>
            <w:noWrap/>
            <w:vAlign w:val="center"/>
            <w:hideMark/>
          </w:tcPr>
          <w:p w14:paraId="5C6605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5083672000</w:t>
            </w:r>
          </w:p>
        </w:tc>
        <w:tc>
          <w:tcPr>
            <w:tcW w:w="1036" w:type="dxa"/>
            <w:tcBorders>
              <w:top w:val="nil"/>
              <w:left w:val="nil"/>
              <w:bottom w:val="single" w:sz="4" w:space="0" w:color="auto"/>
              <w:right w:val="single" w:sz="4" w:space="0" w:color="auto"/>
            </w:tcBorders>
            <w:shd w:val="clear" w:color="auto" w:fill="auto"/>
            <w:noWrap/>
            <w:vAlign w:val="center"/>
            <w:hideMark/>
          </w:tcPr>
          <w:p w14:paraId="510039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59831588</w:t>
            </w:r>
          </w:p>
        </w:tc>
        <w:tc>
          <w:tcPr>
            <w:tcW w:w="160" w:type="dxa"/>
            <w:tcBorders>
              <w:top w:val="nil"/>
              <w:left w:val="nil"/>
              <w:bottom w:val="single" w:sz="4" w:space="0" w:color="auto"/>
              <w:right w:val="nil"/>
            </w:tcBorders>
            <w:vAlign w:val="center"/>
          </w:tcPr>
          <w:p w14:paraId="10AA38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5748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USPOSABLJANJE, DELO IN VARSTVO DOBRNA</w:t>
            </w:r>
          </w:p>
        </w:tc>
      </w:tr>
      <w:tr w:rsidR="00072A69" w:rsidRPr="00DC6DF9" w14:paraId="439B41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6650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98</w:t>
            </w:r>
          </w:p>
        </w:tc>
        <w:tc>
          <w:tcPr>
            <w:tcW w:w="1036" w:type="dxa"/>
            <w:tcBorders>
              <w:top w:val="nil"/>
              <w:left w:val="nil"/>
              <w:bottom w:val="single" w:sz="4" w:space="0" w:color="auto"/>
              <w:right w:val="single" w:sz="4" w:space="0" w:color="auto"/>
            </w:tcBorders>
            <w:shd w:val="clear" w:color="auto" w:fill="auto"/>
            <w:noWrap/>
            <w:vAlign w:val="center"/>
            <w:hideMark/>
          </w:tcPr>
          <w:p w14:paraId="2C1E16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5185530000</w:t>
            </w:r>
          </w:p>
        </w:tc>
        <w:tc>
          <w:tcPr>
            <w:tcW w:w="1036" w:type="dxa"/>
            <w:tcBorders>
              <w:top w:val="nil"/>
              <w:left w:val="nil"/>
              <w:bottom w:val="single" w:sz="4" w:space="0" w:color="auto"/>
              <w:right w:val="single" w:sz="4" w:space="0" w:color="auto"/>
            </w:tcBorders>
            <w:shd w:val="clear" w:color="auto" w:fill="auto"/>
            <w:noWrap/>
            <w:vAlign w:val="center"/>
            <w:hideMark/>
          </w:tcPr>
          <w:p w14:paraId="195026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17708605</w:t>
            </w:r>
          </w:p>
        </w:tc>
        <w:tc>
          <w:tcPr>
            <w:tcW w:w="160" w:type="dxa"/>
            <w:tcBorders>
              <w:top w:val="nil"/>
              <w:left w:val="nil"/>
              <w:bottom w:val="single" w:sz="4" w:space="0" w:color="auto"/>
              <w:right w:val="nil"/>
            </w:tcBorders>
            <w:vAlign w:val="center"/>
          </w:tcPr>
          <w:p w14:paraId="32ED44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7B7D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USPOSABLJANJE, DELO IN VARSTVO DOLFKE BOŠTJANČIČ, DRAGA</w:t>
            </w:r>
          </w:p>
        </w:tc>
      </w:tr>
      <w:tr w:rsidR="00072A69" w:rsidRPr="00DC6DF9" w14:paraId="1C3A9C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3043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w:t>
            </w:r>
          </w:p>
        </w:tc>
        <w:tc>
          <w:tcPr>
            <w:tcW w:w="1036" w:type="dxa"/>
            <w:tcBorders>
              <w:top w:val="nil"/>
              <w:left w:val="nil"/>
              <w:bottom w:val="single" w:sz="4" w:space="0" w:color="auto"/>
              <w:right w:val="single" w:sz="4" w:space="0" w:color="auto"/>
            </w:tcBorders>
            <w:shd w:val="clear" w:color="auto" w:fill="auto"/>
            <w:noWrap/>
            <w:vAlign w:val="center"/>
            <w:hideMark/>
          </w:tcPr>
          <w:p w14:paraId="748D0E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5867380000</w:t>
            </w:r>
          </w:p>
        </w:tc>
        <w:tc>
          <w:tcPr>
            <w:tcW w:w="1036" w:type="dxa"/>
            <w:tcBorders>
              <w:top w:val="nil"/>
              <w:left w:val="nil"/>
              <w:bottom w:val="single" w:sz="4" w:space="0" w:color="auto"/>
              <w:right w:val="single" w:sz="4" w:space="0" w:color="auto"/>
            </w:tcBorders>
            <w:shd w:val="clear" w:color="auto" w:fill="auto"/>
            <w:noWrap/>
            <w:vAlign w:val="center"/>
            <w:hideMark/>
          </w:tcPr>
          <w:p w14:paraId="626B7A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72034955</w:t>
            </w:r>
          </w:p>
        </w:tc>
        <w:tc>
          <w:tcPr>
            <w:tcW w:w="160" w:type="dxa"/>
            <w:tcBorders>
              <w:top w:val="nil"/>
              <w:left w:val="nil"/>
              <w:bottom w:val="single" w:sz="4" w:space="0" w:color="auto"/>
              <w:right w:val="nil"/>
            </w:tcBorders>
            <w:vAlign w:val="center"/>
          </w:tcPr>
          <w:p w14:paraId="503C77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CB16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USPOSABLJANJE, DELO IN VARSTVO MATEVŽA LANGUSA, RADOVLJICA</w:t>
            </w:r>
          </w:p>
        </w:tc>
      </w:tr>
      <w:tr w:rsidR="00072A69" w:rsidRPr="00DC6DF9" w14:paraId="48D377E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8FA2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w:t>
            </w:r>
          </w:p>
        </w:tc>
        <w:tc>
          <w:tcPr>
            <w:tcW w:w="1036" w:type="dxa"/>
            <w:tcBorders>
              <w:top w:val="nil"/>
              <w:left w:val="nil"/>
              <w:bottom w:val="single" w:sz="4" w:space="0" w:color="auto"/>
              <w:right w:val="single" w:sz="4" w:space="0" w:color="auto"/>
            </w:tcBorders>
            <w:shd w:val="clear" w:color="auto" w:fill="auto"/>
            <w:noWrap/>
            <w:vAlign w:val="center"/>
            <w:hideMark/>
          </w:tcPr>
          <w:p w14:paraId="1456AB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5050758000</w:t>
            </w:r>
          </w:p>
        </w:tc>
        <w:tc>
          <w:tcPr>
            <w:tcW w:w="1036" w:type="dxa"/>
            <w:tcBorders>
              <w:top w:val="nil"/>
              <w:left w:val="nil"/>
              <w:bottom w:val="single" w:sz="4" w:space="0" w:color="auto"/>
              <w:right w:val="single" w:sz="4" w:space="0" w:color="auto"/>
            </w:tcBorders>
            <w:shd w:val="clear" w:color="auto" w:fill="auto"/>
            <w:noWrap/>
            <w:vAlign w:val="center"/>
            <w:hideMark/>
          </w:tcPr>
          <w:p w14:paraId="5C08C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94338558</w:t>
            </w:r>
          </w:p>
        </w:tc>
        <w:tc>
          <w:tcPr>
            <w:tcW w:w="160" w:type="dxa"/>
            <w:tcBorders>
              <w:top w:val="nil"/>
              <w:left w:val="nil"/>
              <w:bottom w:val="single" w:sz="4" w:space="0" w:color="auto"/>
              <w:right w:val="nil"/>
            </w:tcBorders>
            <w:vAlign w:val="center"/>
          </w:tcPr>
          <w:p w14:paraId="56E19A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F04D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USPOSABLJANJE, VZGOJO IN IZOBRAŽEVANJE JANEZA LEVCA LJUBLJANA</w:t>
            </w:r>
          </w:p>
        </w:tc>
      </w:tr>
      <w:tr w:rsidR="00072A69" w:rsidRPr="00DC6DF9" w14:paraId="175F30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AB40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w:t>
            </w:r>
          </w:p>
        </w:tc>
        <w:tc>
          <w:tcPr>
            <w:tcW w:w="1036" w:type="dxa"/>
            <w:tcBorders>
              <w:top w:val="nil"/>
              <w:left w:val="nil"/>
              <w:bottom w:val="single" w:sz="4" w:space="0" w:color="auto"/>
              <w:right w:val="single" w:sz="4" w:space="0" w:color="auto"/>
            </w:tcBorders>
            <w:shd w:val="clear" w:color="auto" w:fill="auto"/>
            <w:noWrap/>
            <w:vAlign w:val="center"/>
            <w:hideMark/>
          </w:tcPr>
          <w:p w14:paraId="0BDBB3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5083664000</w:t>
            </w:r>
          </w:p>
        </w:tc>
        <w:tc>
          <w:tcPr>
            <w:tcW w:w="1036" w:type="dxa"/>
            <w:tcBorders>
              <w:top w:val="nil"/>
              <w:left w:val="nil"/>
              <w:bottom w:val="single" w:sz="4" w:space="0" w:color="auto"/>
              <w:right w:val="single" w:sz="4" w:space="0" w:color="auto"/>
            </w:tcBorders>
            <w:shd w:val="clear" w:color="auto" w:fill="auto"/>
            <w:noWrap/>
            <w:vAlign w:val="center"/>
            <w:hideMark/>
          </w:tcPr>
          <w:p w14:paraId="06732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13792717</w:t>
            </w:r>
          </w:p>
        </w:tc>
        <w:tc>
          <w:tcPr>
            <w:tcW w:w="160" w:type="dxa"/>
            <w:tcBorders>
              <w:top w:val="nil"/>
              <w:left w:val="nil"/>
              <w:bottom w:val="single" w:sz="4" w:space="0" w:color="auto"/>
              <w:right w:val="nil"/>
            </w:tcBorders>
            <w:vAlign w:val="center"/>
          </w:tcPr>
          <w:p w14:paraId="0B1704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126F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VARSTVO IN DELO GOLOVEC</w:t>
            </w:r>
          </w:p>
        </w:tc>
      </w:tr>
      <w:tr w:rsidR="00072A69" w:rsidRPr="00DC6DF9" w14:paraId="7D241CD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CCC9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w:t>
            </w:r>
          </w:p>
        </w:tc>
        <w:tc>
          <w:tcPr>
            <w:tcW w:w="1036" w:type="dxa"/>
            <w:tcBorders>
              <w:top w:val="nil"/>
              <w:left w:val="nil"/>
              <w:bottom w:val="single" w:sz="4" w:space="0" w:color="auto"/>
              <w:right w:val="single" w:sz="4" w:space="0" w:color="auto"/>
            </w:tcBorders>
            <w:shd w:val="clear" w:color="auto" w:fill="auto"/>
            <w:noWrap/>
            <w:vAlign w:val="center"/>
            <w:hideMark/>
          </w:tcPr>
          <w:p w14:paraId="005436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6974708000</w:t>
            </w:r>
          </w:p>
        </w:tc>
        <w:tc>
          <w:tcPr>
            <w:tcW w:w="1036" w:type="dxa"/>
            <w:tcBorders>
              <w:top w:val="nil"/>
              <w:left w:val="nil"/>
              <w:bottom w:val="single" w:sz="4" w:space="0" w:color="auto"/>
              <w:right w:val="single" w:sz="4" w:space="0" w:color="auto"/>
            </w:tcBorders>
            <w:shd w:val="clear" w:color="auto" w:fill="auto"/>
            <w:noWrap/>
            <w:vAlign w:val="center"/>
            <w:hideMark/>
          </w:tcPr>
          <w:p w14:paraId="39B582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49198475</w:t>
            </w:r>
          </w:p>
        </w:tc>
        <w:tc>
          <w:tcPr>
            <w:tcW w:w="160" w:type="dxa"/>
            <w:tcBorders>
              <w:top w:val="nil"/>
              <w:left w:val="nil"/>
              <w:bottom w:val="single" w:sz="4" w:space="0" w:color="auto"/>
              <w:right w:val="nil"/>
            </w:tcBorders>
            <w:vAlign w:val="center"/>
          </w:tcPr>
          <w:p w14:paraId="035C02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D032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ZAŠČITO IN REŠEVANJE DOMŽALE</w:t>
            </w:r>
          </w:p>
        </w:tc>
      </w:tr>
      <w:tr w:rsidR="00072A69" w:rsidRPr="00DC6DF9" w14:paraId="72CA10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730D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w:t>
            </w:r>
          </w:p>
        </w:tc>
        <w:tc>
          <w:tcPr>
            <w:tcW w:w="1036" w:type="dxa"/>
            <w:tcBorders>
              <w:top w:val="nil"/>
              <w:left w:val="nil"/>
              <w:bottom w:val="single" w:sz="4" w:space="0" w:color="auto"/>
              <w:right w:val="single" w:sz="4" w:space="0" w:color="auto"/>
            </w:tcBorders>
            <w:shd w:val="clear" w:color="auto" w:fill="auto"/>
            <w:noWrap/>
            <w:vAlign w:val="center"/>
            <w:hideMark/>
          </w:tcPr>
          <w:p w14:paraId="71CA12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5053650000</w:t>
            </w:r>
          </w:p>
        </w:tc>
        <w:tc>
          <w:tcPr>
            <w:tcW w:w="1036" w:type="dxa"/>
            <w:tcBorders>
              <w:top w:val="nil"/>
              <w:left w:val="nil"/>
              <w:bottom w:val="single" w:sz="4" w:space="0" w:color="auto"/>
              <w:right w:val="single" w:sz="4" w:space="0" w:color="auto"/>
            </w:tcBorders>
            <w:shd w:val="clear" w:color="auto" w:fill="auto"/>
            <w:noWrap/>
            <w:vAlign w:val="center"/>
            <w:hideMark/>
          </w:tcPr>
          <w:p w14:paraId="704709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59445475</w:t>
            </w:r>
          </w:p>
        </w:tc>
        <w:tc>
          <w:tcPr>
            <w:tcW w:w="160" w:type="dxa"/>
            <w:tcBorders>
              <w:top w:val="nil"/>
              <w:left w:val="nil"/>
              <w:bottom w:val="single" w:sz="4" w:space="0" w:color="auto"/>
              <w:right w:val="nil"/>
            </w:tcBorders>
            <w:vAlign w:val="center"/>
          </w:tcPr>
          <w:p w14:paraId="703586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8754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CENTER ZA ZDRAVLJENJE BOLEZNI OTROK</w:t>
            </w:r>
          </w:p>
        </w:tc>
      </w:tr>
      <w:tr w:rsidR="00072A69" w:rsidRPr="00DC6DF9" w14:paraId="5BA4A9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E604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w:t>
            </w:r>
          </w:p>
        </w:tc>
        <w:tc>
          <w:tcPr>
            <w:tcW w:w="1036" w:type="dxa"/>
            <w:tcBorders>
              <w:top w:val="nil"/>
              <w:left w:val="nil"/>
              <w:bottom w:val="single" w:sz="4" w:space="0" w:color="auto"/>
              <w:right w:val="single" w:sz="4" w:space="0" w:color="auto"/>
            </w:tcBorders>
            <w:shd w:val="clear" w:color="auto" w:fill="auto"/>
            <w:noWrap/>
            <w:vAlign w:val="center"/>
            <w:hideMark/>
          </w:tcPr>
          <w:p w14:paraId="2F441B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5227747000</w:t>
            </w:r>
          </w:p>
        </w:tc>
        <w:tc>
          <w:tcPr>
            <w:tcW w:w="1036" w:type="dxa"/>
            <w:tcBorders>
              <w:top w:val="nil"/>
              <w:left w:val="nil"/>
              <w:bottom w:val="single" w:sz="4" w:space="0" w:color="auto"/>
              <w:right w:val="single" w:sz="4" w:space="0" w:color="auto"/>
            </w:tcBorders>
            <w:shd w:val="clear" w:color="auto" w:fill="auto"/>
            <w:noWrap/>
            <w:vAlign w:val="center"/>
            <w:hideMark/>
          </w:tcPr>
          <w:p w14:paraId="62CF3C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18604692</w:t>
            </w:r>
          </w:p>
        </w:tc>
        <w:tc>
          <w:tcPr>
            <w:tcW w:w="160" w:type="dxa"/>
            <w:tcBorders>
              <w:top w:val="nil"/>
              <w:left w:val="nil"/>
              <w:bottom w:val="single" w:sz="4" w:space="0" w:color="auto"/>
              <w:right w:val="nil"/>
            </w:tcBorders>
            <w:vAlign w:val="center"/>
          </w:tcPr>
          <w:p w14:paraId="4359BE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F9BB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CENTRALNA ČISTILNA NAPRAVA DOMŽALE - KAMNIK, D. O. O. </w:t>
            </w:r>
          </w:p>
        </w:tc>
      </w:tr>
      <w:tr w:rsidR="00072A69" w:rsidRPr="00DC6DF9" w14:paraId="5063BC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09D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w:t>
            </w:r>
          </w:p>
        </w:tc>
        <w:tc>
          <w:tcPr>
            <w:tcW w:w="1036" w:type="dxa"/>
            <w:tcBorders>
              <w:top w:val="nil"/>
              <w:left w:val="nil"/>
              <w:bottom w:val="single" w:sz="4" w:space="0" w:color="auto"/>
              <w:right w:val="single" w:sz="4" w:space="0" w:color="auto"/>
            </w:tcBorders>
            <w:shd w:val="clear" w:color="auto" w:fill="auto"/>
            <w:noWrap/>
            <w:vAlign w:val="center"/>
            <w:hideMark/>
          </w:tcPr>
          <w:p w14:paraId="2FFBE5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5052050000</w:t>
            </w:r>
          </w:p>
        </w:tc>
        <w:tc>
          <w:tcPr>
            <w:tcW w:w="1036" w:type="dxa"/>
            <w:tcBorders>
              <w:top w:val="nil"/>
              <w:left w:val="nil"/>
              <w:bottom w:val="single" w:sz="4" w:space="0" w:color="auto"/>
              <w:right w:val="single" w:sz="4" w:space="0" w:color="auto"/>
            </w:tcBorders>
            <w:shd w:val="clear" w:color="auto" w:fill="auto"/>
            <w:noWrap/>
            <w:vAlign w:val="center"/>
            <w:hideMark/>
          </w:tcPr>
          <w:p w14:paraId="6D8FC5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23576430</w:t>
            </w:r>
          </w:p>
        </w:tc>
        <w:tc>
          <w:tcPr>
            <w:tcW w:w="160" w:type="dxa"/>
            <w:tcBorders>
              <w:top w:val="nil"/>
              <w:left w:val="nil"/>
              <w:bottom w:val="single" w:sz="4" w:space="0" w:color="auto"/>
              <w:right w:val="nil"/>
            </w:tcBorders>
            <w:vAlign w:val="center"/>
          </w:tcPr>
          <w:p w14:paraId="3F9A55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DAF1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CENTRALNA TEHNIŠKA KNJIŽNICA UNIVERZE V LJUBLJANI</w:t>
            </w:r>
          </w:p>
        </w:tc>
      </w:tr>
      <w:tr w:rsidR="00072A69" w:rsidRPr="00DC6DF9" w14:paraId="5A5021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420F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w:t>
            </w:r>
          </w:p>
        </w:tc>
        <w:tc>
          <w:tcPr>
            <w:tcW w:w="1036" w:type="dxa"/>
            <w:tcBorders>
              <w:top w:val="nil"/>
              <w:left w:val="nil"/>
              <w:bottom w:val="single" w:sz="4" w:space="0" w:color="auto"/>
              <w:right w:val="single" w:sz="4" w:space="0" w:color="auto"/>
            </w:tcBorders>
            <w:shd w:val="clear" w:color="auto" w:fill="auto"/>
            <w:noWrap/>
            <w:vAlign w:val="center"/>
            <w:hideMark/>
          </w:tcPr>
          <w:p w14:paraId="0A465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2156890000</w:t>
            </w:r>
          </w:p>
        </w:tc>
        <w:tc>
          <w:tcPr>
            <w:tcW w:w="1036" w:type="dxa"/>
            <w:tcBorders>
              <w:top w:val="nil"/>
              <w:left w:val="nil"/>
              <w:bottom w:val="single" w:sz="4" w:space="0" w:color="auto"/>
              <w:right w:val="single" w:sz="4" w:space="0" w:color="auto"/>
            </w:tcBorders>
            <w:shd w:val="clear" w:color="auto" w:fill="auto"/>
            <w:noWrap/>
            <w:vAlign w:val="center"/>
            <w:hideMark/>
          </w:tcPr>
          <w:p w14:paraId="4696FE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66262399</w:t>
            </w:r>
          </w:p>
        </w:tc>
        <w:tc>
          <w:tcPr>
            <w:tcW w:w="160" w:type="dxa"/>
            <w:tcBorders>
              <w:top w:val="nil"/>
              <w:left w:val="nil"/>
              <w:bottom w:val="single" w:sz="4" w:space="0" w:color="auto"/>
              <w:right w:val="nil"/>
            </w:tcBorders>
            <w:vAlign w:val="center"/>
          </w:tcPr>
          <w:p w14:paraId="29BE88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964E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CEROD, D. O. O. </w:t>
            </w:r>
          </w:p>
        </w:tc>
      </w:tr>
      <w:tr w:rsidR="00072A69" w:rsidRPr="00DC6DF9" w14:paraId="3CB251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2CD6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w:t>
            </w:r>
          </w:p>
        </w:tc>
        <w:tc>
          <w:tcPr>
            <w:tcW w:w="1036" w:type="dxa"/>
            <w:tcBorders>
              <w:top w:val="nil"/>
              <w:left w:val="nil"/>
              <w:bottom w:val="single" w:sz="4" w:space="0" w:color="auto"/>
              <w:right w:val="single" w:sz="4" w:space="0" w:color="auto"/>
            </w:tcBorders>
            <w:shd w:val="clear" w:color="auto" w:fill="auto"/>
            <w:noWrap/>
            <w:vAlign w:val="center"/>
            <w:hideMark/>
          </w:tcPr>
          <w:p w14:paraId="061E01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5141729000</w:t>
            </w:r>
          </w:p>
        </w:tc>
        <w:tc>
          <w:tcPr>
            <w:tcW w:w="1036" w:type="dxa"/>
            <w:tcBorders>
              <w:top w:val="nil"/>
              <w:left w:val="nil"/>
              <w:bottom w:val="single" w:sz="4" w:space="0" w:color="auto"/>
              <w:right w:val="single" w:sz="4" w:space="0" w:color="auto"/>
            </w:tcBorders>
            <w:shd w:val="clear" w:color="auto" w:fill="auto"/>
            <w:noWrap/>
            <w:vAlign w:val="center"/>
            <w:hideMark/>
          </w:tcPr>
          <w:p w14:paraId="4829A0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81079435</w:t>
            </w:r>
          </w:p>
        </w:tc>
        <w:tc>
          <w:tcPr>
            <w:tcW w:w="160" w:type="dxa"/>
            <w:tcBorders>
              <w:top w:val="nil"/>
              <w:left w:val="nil"/>
              <w:bottom w:val="single" w:sz="4" w:space="0" w:color="auto"/>
              <w:right w:val="nil"/>
            </w:tcBorders>
            <w:vAlign w:val="center"/>
          </w:tcPr>
          <w:p w14:paraId="001112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0FD6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ČEBELARSKA ZVEZA SLOVENIJE</w:t>
            </w:r>
          </w:p>
        </w:tc>
      </w:tr>
      <w:tr w:rsidR="00072A69" w:rsidRPr="00DC6DF9" w14:paraId="3C8ED2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E796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w:t>
            </w:r>
          </w:p>
        </w:tc>
        <w:tc>
          <w:tcPr>
            <w:tcW w:w="1036" w:type="dxa"/>
            <w:tcBorders>
              <w:top w:val="nil"/>
              <w:left w:val="nil"/>
              <w:bottom w:val="single" w:sz="4" w:space="0" w:color="auto"/>
              <w:right w:val="single" w:sz="4" w:space="0" w:color="auto"/>
            </w:tcBorders>
            <w:shd w:val="clear" w:color="auto" w:fill="auto"/>
            <w:noWrap/>
            <w:vAlign w:val="center"/>
            <w:hideMark/>
          </w:tcPr>
          <w:p w14:paraId="1293F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1197380000</w:t>
            </w:r>
          </w:p>
        </w:tc>
        <w:tc>
          <w:tcPr>
            <w:tcW w:w="1036" w:type="dxa"/>
            <w:tcBorders>
              <w:top w:val="nil"/>
              <w:left w:val="nil"/>
              <w:bottom w:val="single" w:sz="4" w:space="0" w:color="auto"/>
              <w:right w:val="single" w:sz="4" w:space="0" w:color="auto"/>
            </w:tcBorders>
            <w:shd w:val="clear" w:color="auto" w:fill="auto"/>
            <w:noWrap/>
            <w:vAlign w:val="center"/>
            <w:hideMark/>
          </w:tcPr>
          <w:p w14:paraId="5271B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39046923</w:t>
            </w:r>
          </w:p>
        </w:tc>
        <w:tc>
          <w:tcPr>
            <w:tcW w:w="160" w:type="dxa"/>
            <w:tcBorders>
              <w:top w:val="nil"/>
              <w:left w:val="nil"/>
              <w:bottom w:val="single" w:sz="4" w:space="0" w:color="auto"/>
              <w:right w:val="nil"/>
            </w:tcBorders>
            <w:vAlign w:val="center"/>
          </w:tcPr>
          <w:p w14:paraId="6EB75C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61A8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ČISTA NARAVA, D. O. O. </w:t>
            </w:r>
          </w:p>
        </w:tc>
      </w:tr>
      <w:tr w:rsidR="00072A69" w:rsidRPr="00DC6DF9" w14:paraId="25C520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34F4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w:t>
            </w:r>
          </w:p>
        </w:tc>
        <w:tc>
          <w:tcPr>
            <w:tcW w:w="1036" w:type="dxa"/>
            <w:tcBorders>
              <w:top w:val="nil"/>
              <w:left w:val="nil"/>
              <w:bottom w:val="single" w:sz="4" w:space="0" w:color="auto"/>
              <w:right w:val="single" w:sz="4" w:space="0" w:color="auto"/>
            </w:tcBorders>
            <w:shd w:val="clear" w:color="auto" w:fill="auto"/>
            <w:noWrap/>
            <w:vAlign w:val="center"/>
            <w:hideMark/>
          </w:tcPr>
          <w:p w14:paraId="609252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1646877000</w:t>
            </w:r>
          </w:p>
        </w:tc>
        <w:tc>
          <w:tcPr>
            <w:tcW w:w="1036" w:type="dxa"/>
            <w:tcBorders>
              <w:top w:val="nil"/>
              <w:left w:val="nil"/>
              <w:bottom w:val="single" w:sz="4" w:space="0" w:color="auto"/>
              <w:right w:val="single" w:sz="4" w:space="0" w:color="auto"/>
            </w:tcBorders>
            <w:shd w:val="clear" w:color="auto" w:fill="auto"/>
            <w:noWrap/>
            <w:vAlign w:val="center"/>
            <w:hideMark/>
          </w:tcPr>
          <w:p w14:paraId="686EA6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63283786</w:t>
            </w:r>
          </w:p>
        </w:tc>
        <w:tc>
          <w:tcPr>
            <w:tcW w:w="160" w:type="dxa"/>
            <w:tcBorders>
              <w:top w:val="nil"/>
              <w:left w:val="nil"/>
              <w:bottom w:val="single" w:sz="4" w:space="0" w:color="auto"/>
              <w:right w:val="nil"/>
            </w:tcBorders>
            <w:vAlign w:val="center"/>
          </w:tcPr>
          <w:p w14:paraId="77EDF2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8094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D.S.U., D. O. O. </w:t>
            </w:r>
          </w:p>
        </w:tc>
      </w:tr>
      <w:tr w:rsidR="00072A69" w:rsidRPr="00DC6DF9" w14:paraId="114379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776F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w:t>
            </w:r>
          </w:p>
        </w:tc>
        <w:tc>
          <w:tcPr>
            <w:tcW w:w="1036" w:type="dxa"/>
            <w:tcBorders>
              <w:top w:val="nil"/>
              <w:left w:val="nil"/>
              <w:bottom w:val="single" w:sz="4" w:space="0" w:color="auto"/>
              <w:right w:val="single" w:sz="4" w:space="0" w:color="auto"/>
            </w:tcBorders>
            <w:shd w:val="clear" w:color="auto" w:fill="auto"/>
            <w:noWrap/>
            <w:vAlign w:val="center"/>
            <w:hideMark/>
          </w:tcPr>
          <w:p w14:paraId="7EEAE7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5840481000</w:t>
            </w:r>
          </w:p>
        </w:tc>
        <w:tc>
          <w:tcPr>
            <w:tcW w:w="1036" w:type="dxa"/>
            <w:tcBorders>
              <w:top w:val="nil"/>
              <w:left w:val="nil"/>
              <w:bottom w:val="single" w:sz="4" w:space="0" w:color="auto"/>
              <w:right w:val="single" w:sz="4" w:space="0" w:color="auto"/>
            </w:tcBorders>
            <w:shd w:val="clear" w:color="auto" w:fill="auto"/>
            <w:noWrap/>
            <w:vAlign w:val="center"/>
            <w:hideMark/>
          </w:tcPr>
          <w:p w14:paraId="14BF63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25019562</w:t>
            </w:r>
          </w:p>
        </w:tc>
        <w:tc>
          <w:tcPr>
            <w:tcW w:w="160" w:type="dxa"/>
            <w:tcBorders>
              <w:top w:val="nil"/>
              <w:left w:val="nil"/>
              <w:bottom w:val="single" w:sz="4" w:space="0" w:color="auto"/>
              <w:right w:val="nil"/>
            </w:tcBorders>
            <w:vAlign w:val="center"/>
          </w:tcPr>
          <w:p w14:paraId="0D5DDA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905C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DELOVNO IN SOCIALNO SODIŠČE V LJUBLJANI</w:t>
            </w:r>
          </w:p>
        </w:tc>
      </w:tr>
      <w:tr w:rsidR="00072A69" w:rsidRPr="00DC6DF9" w14:paraId="0CE7BC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90B4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w:t>
            </w:r>
          </w:p>
        </w:tc>
        <w:tc>
          <w:tcPr>
            <w:tcW w:w="1036" w:type="dxa"/>
            <w:tcBorders>
              <w:top w:val="nil"/>
              <w:left w:val="nil"/>
              <w:bottom w:val="single" w:sz="4" w:space="0" w:color="auto"/>
              <w:right w:val="single" w:sz="4" w:space="0" w:color="auto"/>
            </w:tcBorders>
            <w:shd w:val="clear" w:color="auto" w:fill="auto"/>
            <w:noWrap/>
            <w:vAlign w:val="center"/>
            <w:hideMark/>
          </w:tcPr>
          <w:p w14:paraId="1E5DB1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5858135000</w:t>
            </w:r>
          </w:p>
        </w:tc>
        <w:tc>
          <w:tcPr>
            <w:tcW w:w="1036" w:type="dxa"/>
            <w:tcBorders>
              <w:top w:val="nil"/>
              <w:left w:val="nil"/>
              <w:bottom w:val="single" w:sz="4" w:space="0" w:color="auto"/>
              <w:right w:val="single" w:sz="4" w:space="0" w:color="auto"/>
            </w:tcBorders>
            <w:shd w:val="clear" w:color="auto" w:fill="auto"/>
            <w:noWrap/>
            <w:vAlign w:val="center"/>
            <w:hideMark/>
          </w:tcPr>
          <w:p w14:paraId="0B6A16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19290870</w:t>
            </w:r>
          </w:p>
        </w:tc>
        <w:tc>
          <w:tcPr>
            <w:tcW w:w="160" w:type="dxa"/>
            <w:tcBorders>
              <w:top w:val="nil"/>
              <w:left w:val="nil"/>
              <w:bottom w:val="single" w:sz="4" w:space="0" w:color="auto"/>
              <w:right w:val="nil"/>
            </w:tcBorders>
            <w:vAlign w:val="center"/>
          </w:tcPr>
          <w:p w14:paraId="7FEA2A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6132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DELOVNO SODIŠČE CELJE</w:t>
            </w:r>
          </w:p>
        </w:tc>
      </w:tr>
      <w:tr w:rsidR="00072A69" w:rsidRPr="00DC6DF9" w14:paraId="59D07B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2E60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w:t>
            </w:r>
          </w:p>
        </w:tc>
        <w:tc>
          <w:tcPr>
            <w:tcW w:w="1036" w:type="dxa"/>
            <w:tcBorders>
              <w:top w:val="nil"/>
              <w:left w:val="nil"/>
              <w:bottom w:val="single" w:sz="4" w:space="0" w:color="auto"/>
              <w:right w:val="single" w:sz="4" w:space="0" w:color="auto"/>
            </w:tcBorders>
            <w:shd w:val="clear" w:color="auto" w:fill="auto"/>
            <w:noWrap/>
            <w:vAlign w:val="center"/>
            <w:hideMark/>
          </w:tcPr>
          <w:p w14:paraId="5B4A72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5022584000</w:t>
            </w:r>
          </w:p>
        </w:tc>
        <w:tc>
          <w:tcPr>
            <w:tcW w:w="1036" w:type="dxa"/>
            <w:tcBorders>
              <w:top w:val="nil"/>
              <w:left w:val="nil"/>
              <w:bottom w:val="single" w:sz="4" w:space="0" w:color="auto"/>
              <w:right w:val="single" w:sz="4" w:space="0" w:color="auto"/>
            </w:tcBorders>
            <w:shd w:val="clear" w:color="auto" w:fill="auto"/>
            <w:noWrap/>
            <w:vAlign w:val="center"/>
            <w:hideMark/>
          </w:tcPr>
          <w:p w14:paraId="520B9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58934294</w:t>
            </w:r>
          </w:p>
        </w:tc>
        <w:tc>
          <w:tcPr>
            <w:tcW w:w="160" w:type="dxa"/>
            <w:tcBorders>
              <w:top w:val="nil"/>
              <w:left w:val="nil"/>
              <w:bottom w:val="single" w:sz="4" w:space="0" w:color="auto"/>
              <w:right w:val="nil"/>
            </w:tcBorders>
            <w:vAlign w:val="center"/>
          </w:tcPr>
          <w:p w14:paraId="22B210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2FD3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DELOVNO SODIŠČE V KOPRU</w:t>
            </w:r>
          </w:p>
        </w:tc>
      </w:tr>
      <w:tr w:rsidR="00072A69" w:rsidRPr="00DC6DF9" w14:paraId="7DB1B1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25C1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w:t>
            </w:r>
          </w:p>
        </w:tc>
        <w:tc>
          <w:tcPr>
            <w:tcW w:w="1036" w:type="dxa"/>
            <w:tcBorders>
              <w:top w:val="nil"/>
              <w:left w:val="nil"/>
              <w:bottom w:val="single" w:sz="4" w:space="0" w:color="auto"/>
              <w:right w:val="single" w:sz="4" w:space="0" w:color="auto"/>
            </w:tcBorders>
            <w:shd w:val="clear" w:color="auto" w:fill="auto"/>
            <w:noWrap/>
            <w:vAlign w:val="center"/>
            <w:hideMark/>
          </w:tcPr>
          <w:p w14:paraId="797510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5851009000</w:t>
            </w:r>
          </w:p>
        </w:tc>
        <w:tc>
          <w:tcPr>
            <w:tcW w:w="1036" w:type="dxa"/>
            <w:tcBorders>
              <w:top w:val="nil"/>
              <w:left w:val="nil"/>
              <w:bottom w:val="single" w:sz="4" w:space="0" w:color="auto"/>
              <w:right w:val="single" w:sz="4" w:space="0" w:color="auto"/>
            </w:tcBorders>
            <w:shd w:val="clear" w:color="auto" w:fill="auto"/>
            <w:noWrap/>
            <w:vAlign w:val="center"/>
            <w:hideMark/>
          </w:tcPr>
          <w:p w14:paraId="1AF83F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88569276</w:t>
            </w:r>
          </w:p>
        </w:tc>
        <w:tc>
          <w:tcPr>
            <w:tcW w:w="160" w:type="dxa"/>
            <w:tcBorders>
              <w:top w:val="nil"/>
              <w:left w:val="nil"/>
              <w:bottom w:val="single" w:sz="4" w:space="0" w:color="auto"/>
              <w:right w:val="nil"/>
            </w:tcBorders>
            <w:vAlign w:val="center"/>
          </w:tcPr>
          <w:p w14:paraId="40B224C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39CE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DELOVNO SODIŠČE V MARIBORU</w:t>
            </w:r>
          </w:p>
        </w:tc>
      </w:tr>
      <w:tr w:rsidR="00072A69" w:rsidRPr="00DC6DF9" w14:paraId="45A9728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EC82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w:t>
            </w:r>
          </w:p>
        </w:tc>
        <w:tc>
          <w:tcPr>
            <w:tcW w:w="1036" w:type="dxa"/>
            <w:tcBorders>
              <w:top w:val="nil"/>
              <w:left w:val="nil"/>
              <w:bottom w:val="single" w:sz="4" w:space="0" w:color="auto"/>
              <w:right w:val="single" w:sz="4" w:space="0" w:color="auto"/>
            </w:tcBorders>
            <w:shd w:val="clear" w:color="auto" w:fill="auto"/>
            <w:noWrap/>
            <w:vAlign w:val="center"/>
            <w:hideMark/>
          </w:tcPr>
          <w:p w14:paraId="205E62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5186048000</w:t>
            </w:r>
          </w:p>
        </w:tc>
        <w:tc>
          <w:tcPr>
            <w:tcW w:w="1036" w:type="dxa"/>
            <w:tcBorders>
              <w:top w:val="nil"/>
              <w:left w:val="nil"/>
              <w:bottom w:val="single" w:sz="4" w:space="0" w:color="auto"/>
              <w:right w:val="single" w:sz="4" w:space="0" w:color="auto"/>
            </w:tcBorders>
            <w:shd w:val="clear" w:color="auto" w:fill="auto"/>
            <w:noWrap/>
            <w:vAlign w:val="center"/>
            <w:hideMark/>
          </w:tcPr>
          <w:p w14:paraId="600887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72918985</w:t>
            </w:r>
          </w:p>
        </w:tc>
        <w:tc>
          <w:tcPr>
            <w:tcW w:w="160" w:type="dxa"/>
            <w:tcBorders>
              <w:top w:val="nil"/>
              <w:left w:val="nil"/>
              <w:bottom w:val="single" w:sz="4" w:space="0" w:color="auto"/>
              <w:right w:val="nil"/>
            </w:tcBorders>
            <w:vAlign w:val="center"/>
          </w:tcPr>
          <w:p w14:paraId="4253B7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B7C9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DESETKA CELJE</w:t>
            </w:r>
          </w:p>
        </w:tc>
      </w:tr>
      <w:tr w:rsidR="00072A69" w:rsidRPr="00DC6DF9" w14:paraId="7D80CB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9ABD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w:t>
            </w:r>
          </w:p>
        </w:tc>
        <w:tc>
          <w:tcPr>
            <w:tcW w:w="1036" w:type="dxa"/>
            <w:tcBorders>
              <w:top w:val="nil"/>
              <w:left w:val="nil"/>
              <w:bottom w:val="single" w:sz="4" w:space="0" w:color="auto"/>
              <w:right w:val="single" w:sz="4" w:space="0" w:color="auto"/>
            </w:tcBorders>
            <w:shd w:val="clear" w:color="auto" w:fill="auto"/>
            <w:noWrap/>
            <w:vAlign w:val="center"/>
            <w:hideMark/>
          </w:tcPr>
          <w:p w14:paraId="1B58E4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5920671000</w:t>
            </w:r>
          </w:p>
        </w:tc>
        <w:tc>
          <w:tcPr>
            <w:tcW w:w="1036" w:type="dxa"/>
            <w:tcBorders>
              <w:top w:val="nil"/>
              <w:left w:val="nil"/>
              <w:bottom w:val="single" w:sz="4" w:space="0" w:color="auto"/>
              <w:right w:val="single" w:sz="4" w:space="0" w:color="auto"/>
            </w:tcBorders>
            <w:shd w:val="clear" w:color="auto" w:fill="auto"/>
            <w:noWrap/>
            <w:vAlign w:val="center"/>
            <w:hideMark/>
          </w:tcPr>
          <w:p w14:paraId="3C32C6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66034400</w:t>
            </w:r>
          </w:p>
        </w:tc>
        <w:tc>
          <w:tcPr>
            <w:tcW w:w="160" w:type="dxa"/>
            <w:tcBorders>
              <w:top w:val="nil"/>
              <w:left w:val="nil"/>
              <w:bottom w:val="single" w:sz="4" w:space="0" w:color="auto"/>
              <w:right w:val="nil"/>
            </w:tcBorders>
            <w:vAlign w:val="center"/>
          </w:tcPr>
          <w:p w14:paraId="030769D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751A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DRAVA MARIBOR</w:t>
            </w:r>
          </w:p>
        </w:tc>
      </w:tr>
      <w:tr w:rsidR="00072A69" w:rsidRPr="00DC6DF9" w14:paraId="1D87868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FBD4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w:t>
            </w:r>
          </w:p>
        </w:tc>
        <w:tc>
          <w:tcPr>
            <w:tcW w:w="1036" w:type="dxa"/>
            <w:tcBorders>
              <w:top w:val="nil"/>
              <w:left w:val="nil"/>
              <w:bottom w:val="single" w:sz="4" w:space="0" w:color="auto"/>
              <w:right w:val="single" w:sz="4" w:space="0" w:color="auto"/>
            </w:tcBorders>
            <w:shd w:val="clear" w:color="auto" w:fill="auto"/>
            <w:noWrap/>
            <w:vAlign w:val="center"/>
            <w:hideMark/>
          </w:tcPr>
          <w:p w14:paraId="6802AE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5050120000</w:t>
            </w:r>
          </w:p>
        </w:tc>
        <w:tc>
          <w:tcPr>
            <w:tcW w:w="1036" w:type="dxa"/>
            <w:tcBorders>
              <w:top w:val="nil"/>
              <w:left w:val="nil"/>
              <w:bottom w:val="single" w:sz="4" w:space="0" w:color="auto"/>
              <w:right w:val="single" w:sz="4" w:space="0" w:color="auto"/>
            </w:tcBorders>
            <w:shd w:val="clear" w:color="auto" w:fill="auto"/>
            <w:noWrap/>
            <w:vAlign w:val="center"/>
            <w:hideMark/>
          </w:tcPr>
          <w:p w14:paraId="49DDB1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64516334</w:t>
            </w:r>
          </w:p>
        </w:tc>
        <w:tc>
          <w:tcPr>
            <w:tcW w:w="160" w:type="dxa"/>
            <w:tcBorders>
              <w:top w:val="nil"/>
              <w:left w:val="nil"/>
              <w:bottom w:val="single" w:sz="4" w:space="0" w:color="auto"/>
              <w:right w:val="nil"/>
            </w:tcBorders>
            <w:vAlign w:val="center"/>
          </w:tcPr>
          <w:p w14:paraId="58EE583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BBB1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IVANA CANKARJA</w:t>
            </w:r>
          </w:p>
        </w:tc>
      </w:tr>
      <w:tr w:rsidR="00072A69" w:rsidRPr="00DC6DF9" w14:paraId="0A4BE74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4091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w:t>
            </w:r>
          </w:p>
        </w:tc>
        <w:tc>
          <w:tcPr>
            <w:tcW w:w="1036" w:type="dxa"/>
            <w:tcBorders>
              <w:top w:val="nil"/>
              <w:left w:val="nil"/>
              <w:bottom w:val="single" w:sz="4" w:space="0" w:color="auto"/>
              <w:right w:val="single" w:sz="4" w:space="0" w:color="auto"/>
            </w:tcBorders>
            <w:shd w:val="clear" w:color="auto" w:fill="auto"/>
            <w:noWrap/>
            <w:vAlign w:val="center"/>
            <w:hideMark/>
          </w:tcPr>
          <w:p w14:paraId="0F151F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5051258000</w:t>
            </w:r>
          </w:p>
        </w:tc>
        <w:tc>
          <w:tcPr>
            <w:tcW w:w="1036" w:type="dxa"/>
            <w:tcBorders>
              <w:top w:val="nil"/>
              <w:left w:val="nil"/>
              <w:bottom w:val="single" w:sz="4" w:space="0" w:color="auto"/>
              <w:right w:val="single" w:sz="4" w:space="0" w:color="auto"/>
            </w:tcBorders>
            <w:shd w:val="clear" w:color="auto" w:fill="auto"/>
            <w:noWrap/>
            <w:vAlign w:val="center"/>
            <w:hideMark/>
          </w:tcPr>
          <w:p w14:paraId="385D00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21107815</w:t>
            </w:r>
          </w:p>
        </w:tc>
        <w:tc>
          <w:tcPr>
            <w:tcW w:w="160" w:type="dxa"/>
            <w:tcBorders>
              <w:top w:val="nil"/>
              <w:left w:val="nil"/>
              <w:bottom w:val="single" w:sz="4" w:space="0" w:color="auto"/>
              <w:right w:val="nil"/>
            </w:tcBorders>
            <w:vAlign w:val="center"/>
          </w:tcPr>
          <w:p w14:paraId="62EF63D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D6AA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LIZIKE JANČAR</w:t>
            </w:r>
          </w:p>
        </w:tc>
      </w:tr>
      <w:tr w:rsidR="00072A69" w:rsidRPr="00DC6DF9" w14:paraId="530739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F461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w:t>
            </w:r>
          </w:p>
        </w:tc>
        <w:tc>
          <w:tcPr>
            <w:tcW w:w="1036" w:type="dxa"/>
            <w:tcBorders>
              <w:top w:val="nil"/>
              <w:left w:val="nil"/>
              <w:bottom w:val="single" w:sz="4" w:space="0" w:color="auto"/>
              <w:right w:val="single" w:sz="4" w:space="0" w:color="auto"/>
            </w:tcBorders>
            <w:shd w:val="clear" w:color="auto" w:fill="auto"/>
            <w:noWrap/>
            <w:vAlign w:val="center"/>
            <w:hideMark/>
          </w:tcPr>
          <w:p w14:paraId="6650AC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5050529000</w:t>
            </w:r>
          </w:p>
        </w:tc>
        <w:tc>
          <w:tcPr>
            <w:tcW w:w="1036" w:type="dxa"/>
            <w:tcBorders>
              <w:top w:val="nil"/>
              <w:left w:val="nil"/>
              <w:bottom w:val="single" w:sz="4" w:space="0" w:color="auto"/>
              <w:right w:val="single" w:sz="4" w:space="0" w:color="auto"/>
            </w:tcBorders>
            <w:shd w:val="clear" w:color="auto" w:fill="auto"/>
            <w:noWrap/>
            <w:vAlign w:val="center"/>
            <w:hideMark/>
          </w:tcPr>
          <w:p w14:paraId="3FFD6C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69609322</w:t>
            </w:r>
          </w:p>
        </w:tc>
        <w:tc>
          <w:tcPr>
            <w:tcW w:w="160" w:type="dxa"/>
            <w:tcBorders>
              <w:top w:val="nil"/>
              <w:left w:val="nil"/>
              <w:bottom w:val="single" w:sz="4" w:space="0" w:color="auto"/>
              <w:right w:val="nil"/>
            </w:tcBorders>
            <w:vAlign w:val="center"/>
          </w:tcPr>
          <w:p w14:paraId="783263B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27D4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NOVA GORICA</w:t>
            </w:r>
          </w:p>
        </w:tc>
      </w:tr>
      <w:tr w:rsidR="00072A69" w:rsidRPr="00DC6DF9" w14:paraId="3A681C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4331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w:t>
            </w:r>
          </w:p>
        </w:tc>
        <w:tc>
          <w:tcPr>
            <w:tcW w:w="1036" w:type="dxa"/>
            <w:tcBorders>
              <w:top w:val="nil"/>
              <w:left w:val="nil"/>
              <w:bottom w:val="single" w:sz="4" w:space="0" w:color="auto"/>
              <w:right w:val="single" w:sz="4" w:space="0" w:color="auto"/>
            </w:tcBorders>
            <w:shd w:val="clear" w:color="auto" w:fill="auto"/>
            <w:noWrap/>
            <w:vAlign w:val="center"/>
            <w:hideMark/>
          </w:tcPr>
          <w:p w14:paraId="47CBAB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5268362000</w:t>
            </w:r>
          </w:p>
        </w:tc>
        <w:tc>
          <w:tcPr>
            <w:tcW w:w="1036" w:type="dxa"/>
            <w:tcBorders>
              <w:top w:val="nil"/>
              <w:left w:val="nil"/>
              <w:bottom w:val="single" w:sz="4" w:space="0" w:color="auto"/>
              <w:right w:val="single" w:sz="4" w:space="0" w:color="auto"/>
            </w:tcBorders>
            <w:shd w:val="clear" w:color="auto" w:fill="auto"/>
            <w:noWrap/>
            <w:vAlign w:val="center"/>
            <w:hideMark/>
          </w:tcPr>
          <w:p w14:paraId="6B8B31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73565962</w:t>
            </w:r>
          </w:p>
        </w:tc>
        <w:tc>
          <w:tcPr>
            <w:tcW w:w="160" w:type="dxa"/>
            <w:tcBorders>
              <w:top w:val="nil"/>
              <w:left w:val="nil"/>
              <w:bottom w:val="single" w:sz="4" w:space="0" w:color="auto"/>
              <w:right w:val="nil"/>
            </w:tcBorders>
            <w:vAlign w:val="center"/>
          </w:tcPr>
          <w:p w14:paraId="55F75E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EF8F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POLJANE</w:t>
            </w:r>
          </w:p>
        </w:tc>
      </w:tr>
      <w:tr w:rsidR="00072A69" w:rsidRPr="00DC6DF9" w14:paraId="6D1C2F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2C1B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w:t>
            </w:r>
          </w:p>
        </w:tc>
        <w:tc>
          <w:tcPr>
            <w:tcW w:w="1036" w:type="dxa"/>
            <w:tcBorders>
              <w:top w:val="nil"/>
              <w:left w:val="nil"/>
              <w:bottom w:val="single" w:sz="4" w:space="0" w:color="auto"/>
              <w:right w:val="single" w:sz="4" w:space="0" w:color="auto"/>
            </w:tcBorders>
            <w:shd w:val="clear" w:color="auto" w:fill="auto"/>
            <w:noWrap/>
            <w:vAlign w:val="center"/>
            <w:hideMark/>
          </w:tcPr>
          <w:p w14:paraId="021E5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5167086000</w:t>
            </w:r>
          </w:p>
        </w:tc>
        <w:tc>
          <w:tcPr>
            <w:tcW w:w="1036" w:type="dxa"/>
            <w:tcBorders>
              <w:top w:val="nil"/>
              <w:left w:val="nil"/>
              <w:bottom w:val="single" w:sz="4" w:space="0" w:color="auto"/>
              <w:right w:val="single" w:sz="4" w:space="0" w:color="auto"/>
            </w:tcBorders>
            <w:shd w:val="clear" w:color="auto" w:fill="auto"/>
            <w:noWrap/>
            <w:vAlign w:val="center"/>
            <w:hideMark/>
          </w:tcPr>
          <w:p w14:paraId="615078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35378620</w:t>
            </w:r>
          </w:p>
        </w:tc>
        <w:tc>
          <w:tcPr>
            <w:tcW w:w="160" w:type="dxa"/>
            <w:tcBorders>
              <w:top w:val="nil"/>
              <w:left w:val="nil"/>
              <w:bottom w:val="single" w:sz="4" w:space="0" w:color="auto"/>
              <w:right w:val="nil"/>
            </w:tcBorders>
            <w:vAlign w:val="center"/>
          </w:tcPr>
          <w:p w14:paraId="67336B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A87E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PTUJ</w:t>
            </w:r>
          </w:p>
        </w:tc>
      </w:tr>
      <w:tr w:rsidR="00072A69" w:rsidRPr="00DC6DF9" w14:paraId="43D391E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52B8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w:t>
            </w:r>
          </w:p>
        </w:tc>
        <w:tc>
          <w:tcPr>
            <w:tcW w:w="1036" w:type="dxa"/>
            <w:tcBorders>
              <w:top w:val="nil"/>
              <w:left w:val="nil"/>
              <w:bottom w:val="single" w:sz="4" w:space="0" w:color="auto"/>
              <w:right w:val="single" w:sz="4" w:space="0" w:color="auto"/>
            </w:tcBorders>
            <w:shd w:val="clear" w:color="auto" w:fill="auto"/>
            <w:noWrap/>
            <w:vAlign w:val="center"/>
            <w:hideMark/>
          </w:tcPr>
          <w:p w14:paraId="19789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5055555000</w:t>
            </w:r>
          </w:p>
        </w:tc>
        <w:tc>
          <w:tcPr>
            <w:tcW w:w="1036" w:type="dxa"/>
            <w:tcBorders>
              <w:top w:val="nil"/>
              <w:left w:val="nil"/>
              <w:bottom w:val="single" w:sz="4" w:space="0" w:color="auto"/>
              <w:right w:val="single" w:sz="4" w:space="0" w:color="auto"/>
            </w:tcBorders>
            <w:shd w:val="clear" w:color="auto" w:fill="auto"/>
            <w:noWrap/>
            <w:vAlign w:val="center"/>
            <w:hideMark/>
          </w:tcPr>
          <w:p w14:paraId="43181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60977329</w:t>
            </w:r>
          </w:p>
        </w:tc>
        <w:tc>
          <w:tcPr>
            <w:tcW w:w="160" w:type="dxa"/>
            <w:tcBorders>
              <w:top w:val="nil"/>
              <w:left w:val="nil"/>
              <w:bottom w:val="single" w:sz="4" w:space="0" w:color="auto"/>
              <w:right w:val="nil"/>
            </w:tcBorders>
            <w:vAlign w:val="center"/>
          </w:tcPr>
          <w:p w14:paraId="0E594D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F7B4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TABOR</w:t>
            </w:r>
          </w:p>
        </w:tc>
      </w:tr>
      <w:tr w:rsidR="00072A69" w:rsidRPr="00DC6DF9" w14:paraId="03834A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91F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w:t>
            </w:r>
          </w:p>
        </w:tc>
        <w:tc>
          <w:tcPr>
            <w:tcW w:w="1036" w:type="dxa"/>
            <w:tcBorders>
              <w:top w:val="nil"/>
              <w:left w:val="nil"/>
              <w:bottom w:val="single" w:sz="4" w:space="0" w:color="auto"/>
              <w:right w:val="single" w:sz="4" w:space="0" w:color="auto"/>
            </w:tcBorders>
            <w:shd w:val="clear" w:color="auto" w:fill="auto"/>
            <w:noWrap/>
            <w:vAlign w:val="center"/>
            <w:hideMark/>
          </w:tcPr>
          <w:p w14:paraId="47BB18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5050278000</w:t>
            </w:r>
          </w:p>
        </w:tc>
        <w:tc>
          <w:tcPr>
            <w:tcW w:w="1036" w:type="dxa"/>
            <w:tcBorders>
              <w:top w:val="nil"/>
              <w:left w:val="nil"/>
              <w:bottom w:val="single" w:sz="4" w:space="0" w:color="auto"/>
              <w:right w:val="single" w:sz="4" w:space="0" w:color="auto"/>
            </w:tcBorders>
            <w:shd w:val="clear" w:color="auto" w:fill="auto"/>
            <w:vAlign w:val="center"/>
            <w:hideMark/>
          </w:tcPr>
          <w:p w14:paraId="6FB712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93128436</w:t>
            </w:r>
          </w:p>
        </w:tc>
        <w:tc>
          <w:tcPr>
            <w:tcW w:w="160" w:type="dxa"/>
            <w:tcBorders>
              <w:top w:val="nil"/>
              <w:left w:val="nil"/>
              <w:bottom w:val="single" w:sz="4" w:space="0" w:color="auto"/>
              <w:right w:val="nil"/>
            </w:tcBorders>
            <w:vAlign w:val="center"/>
          </w:tcPr>
          <w:p w14:paraId="5D436A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7E4A4D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DOM VIČ</w:t>
            </w:r>
          </w:p>
        </w:tc>
      </w:tr>
      <w:tr w:rsidR="00072A69" w:rsidRPr="00DC6DF9" w14:paraId="7045A8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CDE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w:t>
            </w:r>
          </w:p>
        </w:tc>
        <w:tc>
          <w:tcPr>
            <w:tcW w:w="1036" w:type="dxa"/>
            <w:tcBorders>
              <w:top w:val="nil"/>
              <w:left w:val="nil"/>
              <w:bottom w:val="single" w:sz="4" w:space="0" w:color="auto"/>
              <w:right w:val="single" w:sz="4" w:space="0" w:color="auto"/>
            </w:tcBorders>
            <w:shd w:val="clear" w:color="auto" w:fill="auto"/>
            <w:noWrap/>
            <w:vAlign w:val="center"/>
            <w:hideMark/>
          </w:tcPr>
          <w:p w14:paraId="1B846A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5050995000</w:t>
            </w:r>
          </w:p>
        </w:tc>
        <w:tc>
          <w:tcPr>
            <w:tcW w:w="1036" w:type="dxa"/>
            <w:tcBorders>
              <w:top w:val="nil"/>
              <w:left w:val="nil"/>
              <w:bottom w:val="single" w:sz="4" w:space="0" w:color="auto"/>
              <w:right w:val="single" w:sz="4" w:space="0" w:color="auto"/>
            </w:tcBorders>
            <w:shd w:val="clear" w:color="auto" w:fill="auto"/>
            <w:noWrap/>
            <w:vAlign w:val="center"/>
            <w:hideMark/>
          </w:tcPr>
          <w:p w14:paraId="41EB69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69749426</w:t>
            </w:r>
          </w:p>
        </w:tc>
        <w:tc>
          <w:tcPr>
            <w:tcW w:w="160" w:type="dxa"/>
            <w:tcBorders>
              <w:top w:val="nil"/>
              <w:left w:val="nil"/>
              <w:bottom w:val="single" w:sz="4" w:space="0" w:color="auto"/>
              <w:right w:val="nil"/>
            </w:tcBorders>
            <w:vAlign w:val="center"/>
          </w:tcPr>
          <w:p w14:paraId="7F2C73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457F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IN ŠTUDENTSKI DOM KOPER</w:t>
            </w:r>
          </w:p>
        </w:tc>
      </w:tr>
      <w:tr w:rsidR="00072A69" w:rsidRPr="00DC6DF9" w14:paraId="794462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706B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w:t>
            </w:r>
          </w:p>
        </w:tc>
        <w:tc>
          <w:tcPr>
            <w:tcW w:w="1036" w:type="dxa"/>
            <w:tcBorders>
              <w:top w:val="nil"/>
              <w:left w:val="nil"/>
              <w:bottom w:val="single" w:sz="4" w:space="0" w:color="auto"/>
              <w:right w:val="single" w:sz="4" w:space="0" w:color="auto"/>
            </w:tcBorders>
            <w:shd w:val="clear" w:color="auto" w:fill="auto"/>
            <w:noWrap/>
            <w:vAlign w:val="center"/>
            <w:hideMark/>
          </w:tcPr>
          <w:p w14:paraId="62CC1D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5049814000</w:t>
            </w:r>
          </w:p>
        </w:tc>
        <w:tc>
          <w:tcPr>
            <w:tcW w:w="1036" w:type="dxa"/>
            <w:tcBorders>
              <w:top w:val="nil"/>
              <w:left w:val="nil"/>
              <w:bottom w:val="single" w:sz="4" w:space="0" w:color="auto"/>
              <w:right w:val="single" w:sz="4" w:space="0" w:color="auto"/>
            </w:tcBorders>
            <w:shd w:val="clear" w:color="auto" w:fill="auto"/>
            <w:noWrap/>
            <w:vAlign w:val="center"/>
            <w:hideMark/>
          </w:tcPr>
          <w:p w14:paraId="4B8BD9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97013064</w:t>
            </w:r>
          </w:p>
        </w:tc>
        <w:tc>
          <w:tcPr>
            <w:tcW w:w="160" w:type="dxa"/>
            <w:tcBorders>
              <w:top w:val="nil"/>
              <w:left w:val="nil"/>
              <w:bottom w:val="single" w:sz="4" w:space="0" w:color="auto"/>
              <w:right w:val="nil"/>
            </w:tcBorders>
            <w:vAlign w:val="center"/>
          </w:tcPr>
          <w:p w14:paraId="4F1C34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211C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IN ŠTUDENTSKI DOM KRANJ</w:t>
            </w:r>
          </w:p>
        </w:tc>
      </w:tr>
      <w:tr w:rsidR="00072A69" w:rsidRPr="00DC6DF9" w14:paraId="58B614D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73EC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w:t>
            </w:r>
          </w:p>
        </w:tc>
        <w:tc>
          <w:tcPr>
            <w:tcW w:w="1036" w:type="dxa"/>
            <w:tcBorders>
              <w:top w:val="nil"/>
              <w:left w:val="nil"/>
              <w:bottom w:val="single" w:sz="4" w:space="0" w:color="auto"/>
              <w:right w:val="single" w:sz="4" w:space="0" w:color="auto"/>
            </w:tcBorders>
            <w:shd w:val="clear" w:color="auto" w:fill="auto"/>
            <w:noWrap/>
            <w:vAlign w:val="center"/>
            <w:hideMark/>
          </w:tcPr>
          <w:p w14:paraId="2D4CF2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5050537000</w:t>
            </w:r>
          </w:p>
        </w:tc>
        <w:tc>
          <w:tcPr>
            <w:tcW w:w="1036" w:type="dxa"/>
            <w:tcBorders>
              <w:top w:val="nil"/>
              <w:left w:val="nil"/>
              <w:bottom w:val="single" w:sz="4" w:space="0" w:color="auto"/>
              <w:right w:val="single" w:sz="4" w:space="0" w:color="auto"/>
            </w:tcBorders>
            <w:shd w:val="clear" w:color="auto" w:fill="auto"/>
            <w:noWrap/>
            <w:vAlign w:val="center"/>
            <w:hideMark/>
          </w:tcPr>
          <w:p w14:paraId="7C08F0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41262735</w:t>
            </w:r>
          </w:p>
        </w:tc>
        <w:tc>
          <w:tcPr>
            <w:tcW w:w="160" w:type="dxa"/>
            <w:tcBorders>
              <w:top w:val="nil"/>
              <w:left w:val="nil"/>
              <w:bottom w:val="single" w:sz="4" w:space="0" w:color="auto"/>
              <w:right w:val="nil"/>
            </w:tcBorders>
            <w:vAlign w:val="center"/>
          </w:tcPr>
          <w:p w14:paraId="7DF9DF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132D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DIJAŠKI IN ŠTUDENTSKI DOM NOVO MESTO</w:t>
            </w:r>
          </w:p>
        </w:tc>
      </w:tr>
      <w:tr w:rsidR="00072A69" w:rsidRPr="00DC6DF9" w14:paraId="3DEF73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4A40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w:t>
            </w:r>
          </w:p>
        </w:tc>
        <w:tc>
          <w:tcPr>
            <w:tcW w:w="1036" w:type="dxa"/>
            <w:tcBorders>
              <w:top w:val="nil"/>
              <w:left w:val="nil"/>
              <w:bottom w:val="single" w:sz="4" w:space="0" w:color="auto"/>
              <w:right w:val="single" w:sz="4" w:space="0" w:color="auto"/>
            </w:tcBorders>
            <w:shd w:val="clear" w:color="auto" w:fill="auto"/>
            <w:noWrap/>
            <w:vAlign w:val="center"/>
            <w:hideMark/>
          </w:tcPr>
          <w:p w14:paraId="278E5C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5300177000</w:t>
            </w:r>
          </w:p>
        </w:tc>
        <w:tc>
          <w:tcPr>
            <w:tcW w:w="1036" w:type="dxa"/>
            <w:tcBorders>
              <w:top w:val="nil"/>
              <w:left w:val="nil"/>
              <w:bottom w:val="single" w:sz="4" w:space="0" w:color="auto"/>
              <w:right w:val="single" w:sz="4" w:space="0" w:color="auto"/>
            </w:tcBorders>
            <w:shd w:val="clear" w:color="auto" w:fill="auto"/>
            <w:noWrap/>
            <w:vAlign w:val="center"/>
            <w:hideMark/>
          </w:tcPr>
          <w:p w14:paraId="1B6FBD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75827735</w:t>
            </w:r>
          </w:p>
        </w:tc>
        <w:tc>
          <w:tcPr>
            <w:tcW w:w="160" w:type="dxa"/>
            <w:tcBorders>
              <w:top w:val="nil"/>
              <w:left w:val="nil"/>
              <w:bottom w:val="single" w:sz="4" w:space="0" w:color="auto"/>
              <w:right w:val="nil"/>
            </w:tcBorders>
            <w:vAlign w:val="center"/>
          </w:tcPr>
          <w:p w14:paraId="28C91E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A4DE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DIREKCIJA REPUBLIKE SLOVENIJE ZA INFRASTRUKTURO</w:t>
            </w:r>
          </w:p>
        </w:tc>
      </w:tr>
      <w:tr w:rsidR="00072A69" w:rsidRPr="00DC6DF9" w14:paraId="308077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2260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w:t>
            </w:r>
          </w:p>
        </w:tc>
        <w:tc>
          <w:tcPr>
            <w:tcW w:w="1036" w:type="dxa"/>
            <w:tcBorders>
              <w:top w:val="nil"/>
              <w:left w:val="nil"/>
              <w:bottom w:val="single" w:sz="4" w:space="0" w:color="auto"/>
              <w:right w:val="single" w:sz="4" w:space="0" w:color="auto"/>
            </w:tcBorders>
            <w:shd w:val="clear" w:color="auto" w:fill="auto"/>
            <w:noWrap/>
            <w:vAlign w:val="center"/>
            <w:hideMark/>
          </w:tcPr>
          <w:p w14:paraId="0FCD04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2516152000</w:t>
            </w:r>
          </w:p>
        </w:tc>
        <w:tc>
          <w:tcPr>
            <w:tcW w:w="1036" w:type="dxa"/>
            <w:tcBorders>
              <w:top w:val="nil"/>
              <w:left w:val="nil"/>
              <w:bottom w:val="single" w:sz="4" w:space="0" w:color="auto"/>
              <w:right w:val="single" w:sz="4" w:space="0" w:color="auto"/>
            </w:tcBorders>
            <w:shd w:val="clear" w:color="auto" w:fill="auto"/>
            <w:noWrap/>
            <w:vAlign w:val="center"/>
            <w:hideMark/>
          </w:tcPr>
          <w:p w14:paraId="4734B0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34921567</w:t>
            </w:r>
          </w:p>
        </w:tc>
        <w:tc>
          <w:tcPr>
            <w:tcW w:w="160" w:type="dxa"/>
            <w:tcBorders>
              <w:top w:val="nil"/>
              <w:left w:val="nil"/>
              <w:bottom w:val="single" w:sz="4" w:space="0" w:color="auto"/>
              <w:right w:val="nil"/>
            </w:tcBorders>
            <w:vAlign w:val="center"/>
          </w:tcPr>
          <w:p w14:paraId="4B5A5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3A6D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DIREKCIJA REPUBLIKE SLOVENIJE ZA VODE</w:t>
            </w:r>
          </w:p>
        </w:tc>
      </w:tr>
      <w:tr w:rsidR="00072A69" w:rsidRPr="00DC6DF9" w14:paraId="1358B4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6E55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w:t>
            </w:r>
          </w:p>
        </w:tc>
        <w:tc>
          <w:tcPr>
            <w:tcW w:w="1036" w:type="dxa"/>
            <w:tcBorders>
              <w:top w:val="nil"/>
              <w:left w:val="nil"/>
              <w:bottom w:val="single" w:sz="4" w:space="0" w:color="auto"/>
              <w:right w:val="single" w:sz="4" w:space="0" w:color="auto"/>
            </w:tcBorders>
            <w:shd w:val="clear" w:color="auto" w:fill="auto"/>
            <w:noWrap/>
            <w:vAlign w:val="center"/>
            <w:hideMark/>
          </w:tcPr>
          <w:p w14:paraId="62DDE7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5198984000</w:t>
            </w:r>
          </w:p>
        </w:tc>
        <w:tc>
          <w:tcPr>
            <w:tcW w:w="1036" w:type="dxa"/>
            <w:tcBorders>
              <w:top w:val="nil"/>
              <w:left w:val="nil"/>
              <w:bottom w:val="single" w:sz="4" w:space="0" w:color="auto"/>
              <w:right w:val="single" w:sz="4" w:space="0" w:color="auto"/>
            </w:tcBorders>
            <w:shd w:val="clear" w:color="auto" w:fill="auto"/>
            <w:noWrap/>
            <w:vAlign w:val="center"/>
            <w:hideMark/>
          </w:tcPr>
          <w:p w14:paraId="7603E7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32984375</w:t>
            </w:r>
          </w:p>
        </w:tc>
        <w:tc>
          <w:tcPr>
            <w:tcW w:w="160" w:type="dxa"/>
            <w:tcBorders>
              <w:top w:val="nil"/>
              <w:left w:val="nil"/>
              <w:bottom w:val="single" w:sz="4" w:space="0" w:color="auto"/>
              <w:right w:val="nil"/>
            </w:tcBorders>
            <w:vAlign w:val="center"/>
          </w:tcPr>
          <w:p w14:paraId="0EC8E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FF11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DOLENJSKE LEKARNE NOVO MESTO, P. O.</w:t>
            </w:r>
          </w:p>
        </w:tc>
      </w:tr>
      <w:tr w:rsidR="00072A69" w:rsidRPr="00DC6DF9" w14:paraId="6B7AC2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1E57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w:t>
            </w:r>
          </w:p>
        </w:tc>
        <w:tc>
          <w:tcPr>
            <w:tcW w:w="1036" w:type="dxa"/>
            <w:tcBorders>
              <w:top w:val="nil"/>
              <w:left w:val="nil"/>
              <w:bottom w:val="single" w:sz="4" w:space="0" w:color="auto"/>
              <w:right w:val="single" w:sz="4" w:space="0" w:color="auto"/>
            </w:tcBorders>
            <w:shd w:val="clear" w:color="auto" w:fill="auto"/>
            <w:noWrap/>
            <w:vAlign w:val="center"/>
            <w:hideMark/>
          </w:tcPr>
          <w:p w14:paraId="20108B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5052211000</w:t>
            </w:r>
          </w:p>
        </w:tc>
        <w:tc>
          <w:tcPr>
            <w:tcW w:w="1036" w:type="dxa"/>
            <w:tcBorders>
              <w:top w:val="nil"/>
              <w:left w:val="nil"/>
              <w:bottom w:val="single" w:sz="4" w:space="0" w:color="auto"/>
              <w:right w:val="single" w:sz="4" w:space="0" w:color="auto"/>
            </w:tcBorders>
            <w:shd w:val="clear" w:color="auto" w:fill="auto"/>
            <w:noWrap/>
            <w:vAlign w:val="center"/>
            <w:hideMark/>
          </w:tcPr>
          <w:p w14:paraId="35B4E2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97644781</w:t>
            </w:r>
          </w:p>
        </w:tc>
        <w:tc>
          <w:tcPr>
            <w:tcW w:w="160" w:type="dxa"/>
            <w:tcBorders>
              <w:top w:val="nil"/>
              <w:left w:val="nil"/>
              <w:bottom w:val="single" w:sz="4" w:space="0" w:color="auto"/>
              <w:right w:val="nil"/>
            </w:tcBorders>
            <w:vAlign w:val="center"/>
          </w:tcPr>
          <w:p w14:paraId="775967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D167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DOLENJSKI MUZEJ NOVO MESTO</w:t>
            </w:r>
          </w:p>
        </w:tc>
      </w:tr>
      <w:tr w:rsidR="00072A69" w:rsidRPr="00DC6DF9" w14:paraId="2237FE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754E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w:t>
            </w:r>
          </w:p>
        </w:tc>
        <w:tc>
          <w:tcPr>
            <w:tcW w:w="1036" w:type="dxa"/>
            <w:tcBorders>
              <w:top w:val="nil"/>
              <w:left w:val="nil"/>
              <w:bottom w:val="single" w:sz="4" w:space="0" w:color="auto"/>
              <w:right w:val="single" w:sz="4" w:space="0" w:color="auto"/>
            </w:tcBorders>
            <w:shd w:val="clear" w:color="auto" w:fill="auto"/>
            <w:noWrap/>
            <w:vAlign w:val="center"/>
            <w:hideMark/>
          </w:tcPr>
          <w:p w14:paraId="323FB3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5056705000</w:t>
            </w:r>
          </w:p>
        </w:tc>
        <w:tc>
          <w:tcPr>
            <w:tcW w:w="1036" w:type="dxa"/>
            <w:tcBorders>
              <w:top w:val="nil"/>
              <w:left w:val="nil"/>
              <w:bottom w:val="single" w:sz="4" w:space="0" w:color="auto"/>
              <w:right w:val="single" w:sz="4" w:space="0" w:color="auto"/>
            </w:tcBorders>
            <w:shd w:val="clear" w:color="auto" w:fill="auto"/>
            <w:noWrap/>
            <w:vAlign w:val="center"/>
            <w:hideMark/>
          </w:tcPr>
          <w:p w14:paraId="50D0FF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99732351</w:t>
            </w:r>
          </w:p>
        </w:tc>
        <w:tc>
          <w:tcPr>
            <w:tcW w:w="160" w:type="dxa"/>
            <w:tcBorders>
              <w:top w:val="nil"/>
              <w:left w:val="nil"/>
              <w:bottom w:val="single" w:sz="4" w:space="0" w:color="auto"/>
              <w:right w:val="nil"/>
            </w:tcBorders>
            <w:vAlign w:val="center"/>
          </w:tcPr>
          <w:p w14:paraId="7CF62A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BD7B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ANTONA SKALE MARIBOR</w:t>
            </w:r>
          </w:p>
        </w:tc>
      </w:tr>
      <w:tr w:rsidR="00072A69" w:rsidRPr="00DC6DF9" w14:paraId="119B12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31DB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w:t>
            </w:r>
          </w:p>
        </w:tc>
        <w:tc>
          <w:tcPr>
            <w:tcW w:w="1036" w:type="dxa"/>
            <w:tcBorders>
              <w:top w:val="nil"/>
              <w:left w:val="nil"/>
              <w:bottom w:val="single" w:sz="4" w:space="0" w:color="auto"/>
              <w:right w:val="single" w:sz="4" w:space="0" w:color="auto"/>
            </w:tcBorders>
            <w:shd w:val="clear" w:color="auto" w:fill="auto"/>
            <w:noWrap/>
            <w:vAlign w:val="center"/>
            <w:hideMark/>
          </w:tcPr>
          <w:p w14:paraId="68B183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5050367000</w:t>
            </w:r>
          </w:p>
        </w:tc>
        <w:tc>
          <w:tcPr>
            <w:tcW w:w="1036" w:type="dxa"/>
            <w:tcBorders>
              <w:top w:val="nil"/>
              <w:left w:val="nil"/>
              <w:bottom w:val="single" w:sz="4" w:space="0" w:color="auto"/>
              <w:right w:val="single" w:sz="4" w:space="0" w:color="auto"/>
            </w:tcBorders>
            <w:shd w:val="clear" w:color="auto" w:fill="auto"/>
            <w:noWrap/>
            <w:vAlign w:val="center"/>
            <w:hideMark/>
          </w:tcPr>
          <w:p w14:paraId="7CFF09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53650719</w:t>
            </w:r>
          </w:p>
        </w:tc>
        <w:tc>
          <w:tcPr>
            <w:tcW w:w="160" w:type="dxa"/>
            <w:tcBorders>
              <w:top w:val="nil"/>
              <w:left w:val="nil"/>
              <w:bottom w:val="single" w:sz="4" w:space="0" w:color="auto"/>
              <w:right w:val="nil"/>
            </w:tcBorders>
            <w:vAlign w:val="center"/>
          </w:tcPr>
          <w:p w14:paraId="5F15E5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FF63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DANICE VOGRINEC MARIBOR</w:t>
            </w:r>
          </w:p>
        </w:tc>
      </w:tr>
      <w:tr w:rsidR="00072A69" w:rsidRPr="00DC6DF9" w14:paraId="6F342E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2789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w:t>
            </w:r>
          </w:p>
        </w:tc>
        <w:tc>
          <w:tcPr>
            <w:tcW w:w="1036" w:type="dxa"/>
            <w:tcBorders>
              <w:top w:val="nil"/>
              <w:left w:val="nil"/>
              <w:bottom w:val="single" w:sz="4" w:space="0" w:color="auto"/>
              <w:right w:val="single" w:sz="4" w:space="0" w:color="auto"/>
            </w:tcBorders>
            <w:shd w:val="clear" w:color="auto" w:fill="auto"/>
            <w:noWrap/>
            <w:vAlign w:val="center"/>
            <w:hideMark/>
          </w:tcPr>
          <w:p w14:paraId="58C859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5095549000</w:t>
            </w:r>
          </w:p>
        </w:tc>
        <w:tc>
          <w:tcPr>
            <w:tcW w:w="1036" w:type="dxa"/>
            <w:tcBorders>
              <w:top w:val="nil"/>
              <w:left w:val="nil"/>
              <w:bottom w:val="single" w:sz="4" w:space="0" w:color="auto"/>
              <w:right w:val="single" w:sz="4" w:space="0" w:color="auto"/>
            </w:tcBorders>
            <w:shd w:val="clear" w:color="auto" w:fill="auto"/>
            <w:noWrap/>
            <w:vAlign w:val="center"/>
            <w:hideMark/>
          </w:tcPr>
          <w:p w14:paraId="192CBE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79863892</w:t>
            </w:r>
          </w:p>
        </w:tc>
        <w:tc>
          <w:tcPr>
            <w:tcW w:w="160" w:type="dxa"/>
            <w:tcBorders>
              <w:top w:val="nil"/>
              <w:left w:val="nil"/>
              <w:bottom w:val="single" w:sz="4" w:space="0" w:color="auto"/>
              <w:right w:val="nil"/>
            </w:tcBorders>
            <w:vAlign w:val="center"/>
          </w:tcPr>
          <w:p w14:paraId="648653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357E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DR. JANKA BENEDIKA RADOVLJICA</w:t>
            </w:r>
          </w:p>
        </w:tc>
      </w:tr>
      <w:tr w:rsidR="00072A69" w:rsidRPr="00DC6DF9" w14:paraId="504C51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FBCE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w:t>
            </w:r>
          </w:p>
        </w:tc>
        <w:tc>
          <w:tcPr>
            <w:tcW w:w="1036" w:type="dxa"/>
            <w:tcBorders>
              <w:top w:val="nil"/>
              <w:left w:val="nil"/>
              <w:bottom w:val="single" w:sz="4" w:space="0" w:color="auto"/>
              <w:right w:val="single" w:sz="4" w:space="0" w:color="auto"/>
            </w:tcBorders>
            <w:shd w:val="clear" w:color="auto" w:fill="auto"/>
            <w:noWrap/>
            <w:vAlign w:val="center"/>
            <w:hideMark/>
          </w:tcPr>
          <w:p w14:paraId="3A24FA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5050723000</w:t>
            </w:r>
          </w:p>
        </w:tc>
        <w:tc>
          <w:tcPr>
            <w:tcW w:w="1036" w:type="dxa"/>
            <w:tcBorders>
              <w:top w:val="nil"/>
              <w:left w:val="nil"/>
              <w:bottom w:val="single" w:sz="4" w:space="0" w:color="auto"/>
              <w:right w:val="single" w:sz="4" w:space="0" w:color="auto"/>
            </w:tcBorders>
            <w:shd w:val="clear" w:color="auto" w:fill="auto"/>
            <w:noWrap/>
            <w:vAlign w:val="center"/>
            <w:hideMark/>
          </w:tcPr>
          <w:p w14:paraId="37AF59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52804186</w:t>
            </w:r>
          </w:p>
        </w:tc>
        <w:tc>
          <w:tcPr>
            <w:tcW w:w="160" w:type="dxa"/>
            <w:tcBorders>
              <w:top w:val="nil"/>
              <w:left w:val="nil"/>
              <w:bottom w:val="single" w:sz="4" w:space="0" w:color="auto"/>
              <w:right w:val="nil"/>
            </w:tcBorders>
            <w:vAlign w:val="center"/>
          </w:tcPr>
          <w:p w14:paraId="5CFC6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A03C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DR. JOŽETA POTRČA POLJČANE</w:t>
            </w:r>
          </w:p>
        </w:tc>
      </w:tr>
      <w:tr w:rsidR="00072A69" w:rsidRPr="00DC6DF9" w14:paraId="303C52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E2DD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w:t>
            </w:r>
          </w:p>
        </w:tc>
        <w:tc>
          <w:tcPr>
            <w:tcW w:w="1036" w:type="dxa"/>
            <w:tcBorders>
              <w:top w:val="nil"/>
              <w:left w:val="nil"/>
              <w:bottom w:val="single" w:sz="4" w:space="0" w:color="auto"/>
              <w:right w:val="single" w:sz="4" w:space="0" w:color="auto"/>
            </w:tcBorders>
            <w:shd w:val="clear" w:color="auto" w:fill="auto"/>
            <w:noWrap/>
            <w:vAlign w:val="center"/>
            <w:hideMark/>
          </w:tcPr>
          <w:p w14:paraId="0C4A1B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5051207000</w:t>
            </w:r>
          </w:p>
        </w:tc>
        <w:tc>
          <w:tcPr>
            <w:tcW w:w="1036" w:type="dxa"/>
            <w:tcBorders>
              <w:top w:val="nil"/>
              <w:left w:val="nil"/>
              <w:bottom w:val="single" w:sz="4" w:space="0" w:color="auto"/>
              <w:right w:val="single" w:sz="4" w:space="0" w:color="auto"/>
            </w:tcBorders>
            <w:shd w:val="clear" w:color="auto" w:fill="auto"/>
            <w:noWrap/>
            <w:vAlign w:val="center"/>
            <w:hideMark/>
          </w:tcPr>
          <w:p w14:paraId="12108F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60615346</w:t>
            </w:r>
          </w:p>
        </w:tc>
        <w:tc>
          <w:tcPr>
            <w:tcW w:w="160" w:type="dxa"/>
            <w:tcBorders>
              <w:top w:val="nil"/>
              <w:left w:val="nil"/>
              <w:bottom w:val="single" w:sz="4" w:space="0" w:color="auto"/>
              <w:right w:val="nil"/>
            </w:tcBorders>
            <w:vAlign w:val="center"/>
          </w:tcPr>
          <w:p w14:paraId="204CA5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7575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LUKAVCI</w:t>
            </w:r>
          </w:p>
        </w:tc>
      </w:tr>
      <w:tr w:rsidR="00072A69" w:rsidRPr="00DC6DF9" w14:paraId="6ABB3C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4872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w:t>
            </w:r>
          </w:p>
        </w:tc>
        <w:tc>
          <w:tcPr>
            <w:tcW w:w="1036" w:type="dxa"/>
            <w:tcBorders>
              <w:top w:val="nil"/>
              <w:left w:val="nil"/>
              <w:bottom w:val="single" w:sz="4" w:space="0" w:color="auto"/>
              <w:right w:val="single" w:sz="4" w:space="0" w:color="auto"/>
            </w:tcBorders>
            <w:shd w:val="clear" w:color="auto" w:fill="auto"/>
            <w:noWrap/>
            <w:vAlign w:val="center"/>
            <w:hideMark/>
          </w:tcPr>
          <w:p w14:paraId="176ADE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5055890000</w:t>
            </w:r>
          </w:p>
        </w:tc>
        <w:tc>
          <w:tcPr>
            <w:tcW w:w="1036" w:type="dxa"/>
            <w:tcBorders>
              <w:top w:val="nil"/>
              <w:left w:val="nil"/>
              <w:bottom w:val="single" w:sz="4" w:space="0" w:color="auto"/>
              <w:right w:val="single" w:sz="4" w:space="0" w:color="auto"/>
            </w:tcBorders>
            <w:shd w:val="clear" w:color="auto" w:fill="auto"/>
            <w:noWrap/>
            <w:vAlign w:val="center"/>
            <w:hideMark/>
          </w:tcPr>
          <w:p w14:paraId="79F41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87163403</w:t>
            </w:r>
          </w:p>
        </w:tc>
        <w:tc>
          <w:tcPr>
            <w:tcW w:w="160" w:type="dxa"/>
            <w:tcBorders>
              <w:top w:val="nil"/>
              <w:left w:val="nil"/>
              <w:bottom w:val="single" w:sz="4" w:space="0" w:color="auto"/>
              <w:right w:val="nil"/>
            </w:tcBorders>
            <w:vAlign w:val="center"/>
          </w:tcPr>
          <w:p w14:paraId="249187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0A43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NINE POKORN GRMOVJE</w:t>
            </w:r>
          </w:p>
        </w:tc>
      </w:tr>
      <w:tr w:rsidR="00072A69" w:rsidRPr="00DC6DF9" w14:paraId="0C7974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01D2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w:t>
            </w:r>
          </w:p>
        </w:tc>
        <w:tc>
          <w:tcPr>
            <w:tcW w:w="1036" w:type="dxa"/>
            <w:tcBorders>
              <w:top w:val="nil"/>
              <w:left w:val="nil"/>
              <w:bottom w:val="single" w:sz="4" w:space="0" w:color="auto"/>
              <w:right w:val="single" w:sz="4" w:space="0" w:color="auto"/>
            </w:tcBorders>
            <w:shd w:val="clear" w:color="auto" w:fill="auto"/>
            <w:noWrap/>
            <w:vAlign w:val="center"/>
            <w:hideMark/>
          </w:tcPr>
          <w:p w14:paraId="5CF2DE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5049571000</w:t>
            </w:r>
          </w:p>
        </w:tc>
        <w:tc>
          <w:tcPr>
            <w:tcW w:w="1036" w:type="dxa"/>
            <w:tcBorders>
              <w:top w:val="nil"/>
              <w:left w:val="nil"/>
              <w:bottom w:val="single" w:sz="4" w:space="0" w:color="auto"/>
              <w:right w:val="single" w:sz="4" w:space="0" w:color="auto"/>
            </w:tcBorders>
            <w:shd w:val="clear" w:color="auto" w:fill="auto"/>
            <w:noWrap/>
            <w:vAlign w:val="center"/>
            <w:hideMark/>
          </w:tcPr>
          <w:p w14:paraId="6C6080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76851184</w:t>
            </w:r>
          </w:p>
        </w:tc>
        <w:tc>
          <w:tcPr>
            <w:tcW w:w="160" w:type="dxa"/>
            <w:tcBorders>
              <w:top w:val="nil"/>
              <w:left w:val="nil"/>
              <w:bottom w:val="single" w:sz="4" w:space="0" w:color="auto"/>
              <w:right w:val="nil"/>
            </w:tcBorders>
            <w:vAlign w:val="center"/>
          </w:tcPr>
          <w:p w14:paraId="4D200FA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059D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OB SAVINJI CELJE</w:t>
            </w:r>
          </w:p>
        </w:tc>
      </w:tr>
      <w:tr w:rsidR="00072A69" w:rsidRPr="00DC6DF9" w14:paraId="4CA485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68C3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w:t>
            </w:r>
          </w:p>
        </w:tc>
        <w:tc>
          <w:tcPr>
            <w:tcW w:w="1036" w:type="dxa"/>
            <w:tcBorders>
              <w:top w:val="nil"/>
              <w:left w:val="nil"/>
              <w:bottom w:val="single" w:sz="4" w:space="0" w:color="auto"/>
              <w:right w:val="single" w:sz="4" w:space="0" w:color="auto"/>
            </w:tcBorders>
            <w:shd w:val="clear" w:color="auto" w:fill="auto"/>
            <w:noWrap/>
            <w:vAlign w:val="center"/>
            <w:hideMark/>
          </w:tcPr>
          <w:p w14:paraId="1030F5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5181895000</w:t>
            </w:r>
          </w:p>
        </w:tc>
        <w:tc>
          <w:tcPr>
            <w:tcW w:w="1036" w:type="dxa"/>
            <w:tcBorders>
              <w:top w:val="nil"/>
              <w:left w:val="nil"/>
              <w:bottom w:val="single" w:sz="4" w:space="0" w:color="auto"/>
              <w:right w:val="single" w:sz="4" w:space="0" w:color="auto"/>
            </w:tcBorders>
            <w:shd w:val="clear" w:color="auto" w:fill="auto"/>
            <w:noWrap/>
            <w:vAlign w:val="center"/>
            <w:hideMark/>
          </w:tcPr>
          <w:p w14:paraId="4145FA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71142649</w:t>
            </w:r>
          </w:p>
        </w:tc>
        <w:tc>
          <w:tcPr>
            <w:tcW w:w="160" w:type="dxa"/>
            <w:tcBorders>
              <w:top w:val="nil"/>
              <w:left w:val="nil"/>
              <w:bottom w:val="single" w:sz="4" w:space="0" w:color="auto"/>
              <w:right w:val="nil"/>
            </w:tcBorders>
            <w:vAlign w:val="center"/>
          </w:tcPr>
          <w:p w14:paraId="34A3F3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D168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PETRA UZARJA</w:t>
            </w:r>
          </w:p>
        </w:tc>
      </w:tr>
      <w:tr w:rsidR="00072A69" w:rsidRPr="00DC6DF9" w14:paraId="01AE55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92D9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w:t>
            </w:r>
          </w:p>
        </w:tc>
        <w:tc>
          <w:tcPr>
            <w:tcW w:w="1036" w:type="dxa"/>
            <w:tcBorders>
              <w:top w:val="nil"/>
              <w:left w:val="nil"/>
              <w:bottom w:val="single" w:sz="4" w:space="0" w:color="auto"/>
              <w:right w:val="single" w:sz="4" w:space="0" w:color="auto"/>
            </w:tcBorders>
            <w:shd w:val="clear" w:color="auto" w:fill="auto"/>
            <w:noWrap/>
            <w:vAlign w:val="center"/>
            <w:hideMark/>
          </w:tcPr>
          <w:p w14:paraId="42AC70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5049644000</w:t>
            </w:r>
          </w:p>
        </w:tc>
        <w:tc>
          <w:tcPr>
            <w:tcW w:w="1036" w:type="dxa"/>
            <w:tcBorders>
              <w:top w:val="nil"/>
              <w:left w:val="nil"/>
              <w:bottom w:val="single" w:sz="4" w:space="0" w:color="auto"/>
              <w:right w:val="single" w:sz="4" w:space="0" w:color="auto"/>
            </w:tcBorders>
            <w:shd w:val="clear" w:color="auto" w:fill="auto"/>
            <w:noWrap/>
            <w:vAlign w:val="center"/>
            <w:hideMark/>
          </w:tcPr>
          <w:p w14:paraId="6C7273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53602200</w:t>
            </w:r>
          </w:p>
        </w:tc>
        <w:tc>
          <w:tcPr>
            <w:tcW w:w="160" w:type="dxa"/>
            <w:tcBorders>
              <w:top w:val="nil"/>
              <w:left w:val="nil"/>
              <w:bottom w:val="single" w:sz="4" w:space="0" w:color="auto"/>
              <w:right w:val="nil"/>
            </w:tcBorders>
            <w:vAlign w:val="center"/>
          </w:tcPr>
          <w:p w14:paraId="7DBB40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AA27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POČITKA MENGEŠ</w:t>
            </w:r>
          </w:p>
        </w:tc>
      </w:tr>
      <w:tr w:rsidR="00072A69" w:rsidRPr="00DC6DF9" w14:paraId="32BC73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055E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w:t>
            </w:r>
          </w:p>
        </w:tc>
        <w:tc>
          <w:tcPr>
            <w:tcW w:w="1036" w:type="dxa"/>
            <w:tcBorders>
              <w:top w:val="nil"/>
              <w:left w:val="nil"/>
              <w:bottom w:val="single" w:sz="4" w:space="0" w:color="auto"/>
              <w:right w:val="single" w:sz="4" w:space="0" w:color="auto"/>
            </w:tcBorders>
            <w:shd w:val="clear" w:color="auto" w:fill="auto"/>
            <w:noWrap/>
            <w:vAlign w:val="center"/>
            <w:hideMark/>
          </w:tcPr>
          <w:p w14:paraId="20FB00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5879752000</w:t>
            </w:r>
          </w:p>
        </w:tc>
        <w:tc>
          <w:tcPr>
            <w:tcW w:w="1036" w:type="dxa"/>
            <w:tcBorders>
              <w:top w:val="nil"/>
              <w:left w:val="nil"/>
              <w:bottom w:val="single" w:sz="4" w:space="0" w:color="auto"/>
              <w:right w:val="single" w:sz="4" w:space="0" w:color="auto"/>
            </w:tcBorders>
            <w:shd w:val="clear" w:color="auto" w:fill="auto"/>
            <w:noWrap/>
            <w:vAlign w:val="center"/>
            <w:hideMark/>
          </w:tcPr>
          <w:p w14:paraId="5851ED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42710588</w:t>
            </w:r>
          </w:p>
        </w:tc>
        <w:tc>
          <w:tcPr>
            <w:tcW w:w="160" w:type="dxa"/>
            <w:tcBorders>
              <w:top w:val="nil"/>
              <w:left w:val="nil"/>
              <w:bottom w:val="single" w:sz="4" w:space="0" w:color="auto"/>
              <w:right w:val="nil"/>
            </w:tcBorders>
            <w:vAlign w:val="center"/>
          </w:tcPr>
          <w:p w14:paraId="5A1243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C702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HRASTNIK</w:t>
            </w:r>
          </w:p>
        </w:tc>
      </w:tr>
      <w:tr w:rsidR="00072A69" w:rsidRPr="00DC6DF9" w14:paraId="0D401A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971C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w:t>
            </w:r>
          </w:p>
        </w:tc>
        <w:tc>
          <w:tcPr>
            <w:tcW w:w="1036" w:type="dxa"/>
            <w:tcBorders>
              <w:top w:val="nil"/>
              <w:left w:val="nil"/>
              <w:bottom w:val="single" w:sz="4" w:space="0" w:color="auto"/>
              <w:right w:val="single" w:sz="4" w:space="0" w:color="auto"/>
            </w:tcBorders>
            <w:shd w:val="clear" w:color="auto" w:fill="auto"/>
            <w:noWrap/>
            <w:vAlign w:val="center"/>
            <w:hideMark/>
          </w:tcPr>
          <w:p w14:paraId="7A39E0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5865948000</w:t>
            </w:r>
          </w:p>
        </w:tc>
        <w:tc>
          <w:tcPr>
            <w:tcW w:w="1036" w:type="dxa"/>
            <w:tcBorders>
              <w:top w:val="nil"/>
              <w:left w:val="nil"/>
              <w:bottom w:val="single" w:sz="4" w:space="0" w:color="auto"/>
              <w:right w:val="single" w:sz="4" w:space="0" w:color="auto"/>
            </w:tcBorders>
            <w:shd w:val="clear" w:color="auto" w:fill="auto"/>
            <w:noWrap/>
            <w:vAlign w:val="center"/>
            <w:hideMark/>
          </w:tcPr>
          <w:p w14:paraId="195580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61758884</w:t>
            </w:r>
          </w:p>
        </w:tc>
        <w:tc>
          <w:tcPr>
            <w:tcW w:w="160" w:type="dxa"/>
            <w:tcBorders>
              <w:top w:val="nil"/>
              <w:left w:val="nil"/>
              <w:bottom w:val="single" w:sz="4" w:space="0" w:color="auto"/>
              <w:right w:val="nil"/>
            </w:tcBorders>
            <w:vAlign w:val="center"/>
          </w:tcPr>
          <w:p w14:paraId="0034A7E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196B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LENDAVA</w:t>
            </w:r>
          </w:p>
        </w:tc>
      </w:tr>
      <w:tr w:rsidR="00072A69" w:rsidRPr="00DC6DF9" w14:paraId="697733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3FC8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141</w:t>
            </w:r>
          </w:p>
        </w:tc>
        <w:tc>
          <w:tcPr>
            <w:tcW w:w="1036" w:type="dxa"/>
            <w:tcBorders>
              <w:top w:val="nil"/>
              <w:left w:val="nil"/>
              <w:bottom w:val="single" w:sz="4" w:space="0" w:color="auto"/>
              <w:right w:val="single" w:sz="4" w:space="0" w:color="auto"/>
            </w:tcBorders>
            <w:shd w:val="clear" w:color="auto" w:fill="auto"/>
            <w:noWrap/>
            <w:vAlign w:val="center"/>
            <w:hideMark/>
          </w:tcPr>
          <w:p w14:paraId="7D0E40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1453823000</w:t>
            </w:r>
          </w:p>
        </w:tc>
        <w:tc>
          <w:tcPr>
            <w:tcW w:w="1036" w:type="dxa"/>
            <w:tcBorders>
              <w:top w:val="nil"/>
              <w:left w:val="nil"/>
              <w:bottom w:val="single" w:sz="4" w:space="0" w:color="auto"/>
              <w:right w:val="single" w:sz="4" w:space="0" w:color="auto"/>
            </w:tcBorders>
            <w:shd w:val="clear" w:color="auto" w:fill="auto"/>
            <w:noWrap/>
            <w:vAlign w:val="center"/>
            <w:hideMark/>
          </w:tcPr>
          <w:p w14:paraId="26D3A0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57359032</w:t>
            </w:r>
          </w:p>
        </w:tc>
        <w:tc>
          <w:tcPr>
            <w:tcW w:w="160" w:type="dxa"/>
            <w:tcBorders>
              <w:top w:val="nil"/>
              <w:left w:val="nil"/>
              <w:bottom w:val="single" w:sz="4" w:space="0" w:color="auto"/>
              <w:right w:val="nil"/>
            </w:tcBorders>
            <w:vAlign w:val="center"/>
          </w:tcPr>
          <w:p w14:paraId="1FCC0F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7E11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LOGATEC</w:t>
            </w:r>
          </w:p>
        </w:tc>
      </w:tr>
      <w:tr w:rsidR="00072A69" w:rsidRPr="00DC6DF9" w14:paraId="6642FA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F2BE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w:t>
            </w:r>
          </w:p>
        </w:tc>
        <w:tc>
          <w:tcPr>
            <w:tcW w:w="1036" w:type="dxa"/>
            <w:tcBorders>
              <w:top w:val="nil"/>
              <w:left w:val="nil"/>
              <w:bottom w:val="single" w:sz="4" w:space="0" w:color="auto"/>
              <w:right w:val="single" w:sz="4" w:space="0" w:color="auto"/>
            </w:tcBorders>
            <w:shd w:val="clear" w:color="auto" w:fill="auto"/>
            <w:noWrap/>
            <w:vAlign w:val="center"/>
            <w:hideMark/>
          </w:tcPr>
          <w:p w14:paraId="278FAC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1602608000</w:t>
            </w:r>
          </w:p>
        </w:tc>
        <w:tc>
          <w:tcPr>
            <w:tcW w:w="1036" w:type="dxa"/>
            <w:tcBorders>
              <w:top w:val="nil"/>
              <w:left w:val="nil"/>
              <w:bottom w:val="single" w:sz="4" w:space="0" w:color="auto"/>
              <w:right w:val="single" w:sz="4" w:space="0" w:color="auto"/>
            </w:tcBorders>
            <w:shd w:val="clear" w:color="auto" w:fill="auto"/>
            <w:noWrap/>
            <w:vAlign w:val="center"/>
            <w:hideMark/>
          </w:tcPr>
          <w:p w14:paraId="4DD68A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79096298</w:t>
            </w:r>
          </w:p>
        </w:tc>
        <w:tc>
          <w:tcPr>
            <w:tcW w:w="160" w:type="dxa"/>
            <w:tcBorders>
              <w:top w:val="nil"/>
              <w:left w:val="nil"/>
              <w:bottom w:val="single" w:sz="4" w:space="0" w:color="auto"/>
              <w:right w:val="nil"/>
            </w:tcBorders>
            <w:vAlign w:val="center"/>
          </w:tcPr>
          <w:p w14:paraId="3A7F72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6330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NA FARI</w:t>
            </w:r>
          </w:p>
        </w:tc>
      </w:tr>
      <w:tr w:rsidR="00072A69" w:rsidRPr="00DC6DF9" w14:paraId="449A51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9ACD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w:t>
            </w:r>
          </w:p>
        </w:tc>
        <w:tc>
          <w:tcPr>
            <w:tcW w:w="1036" w:type="dxa"/>
            <w:tcBorders>
              <w:top w:val="nil"/>
              <w:left w:val="nil"/>
              <w:bottom w:val="single" w:sz="4" w:space="0" w:color="auto"/>
              <w:right w:val="single" w:sz="4" w:space="0" w:color="auto"/>
            </w:tcBorders>
            <w:shd w:val="clear" w:color="auto" w:fill="auto"/>
            <w:noWrap/>
            <w:vAlign w:val="center"/>
            <w:hideMark/>
          </w:tcPr>
          <w:p w14:paraId="77C2E1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5242169000</w:t>
            </w:r>
          </w:p>
        </w:tc>
        <w:tc>
          <w:tcPr>
            <w:tcW w:w="1036" w:type="dxa"/>
            <w:tcBorders>
              <w:top w:val="nil"/>
              <w:left w:val="nil"/>
              <w:bottom w:val="single" w:sz="4" w:space="0" w:color="auto"/>
              <w:right w:val="single" w:sz="4" w:space="0" w:color="auto"/>
            </w:tcBorders>
            <w:shd w:val="clear" w:color="auto" w:fill="auto"/>
            <w:noWrap/>
            <w:vAlign w:val="center"/>
            <w:hideMark/>
          </w:tcPr>
          <w:p w14:paraId="0A4781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89835611</w:t>
            </w:r>
          </w:p>
        </w:tc>
        <w:tc>
          <w:tcPr>
            <w:tcW w:w="160" w:type="dxa"/>
            <w:tcBorders>
              <w:top w:val="nil"/>
              <w:left w:val="nil"/>
              <w:bottom w:val="single" w:sz="4" w:space="0" w:color="auto"/>
              <w:right w:val="nil"/>
            </w:tcBorders>
            <w:vAlign w:val="center"/>
          </w:tcPr>
          <w:p w14:paraId="7443E3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8767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AJDOVŠČINA</w:t>
            </w:r>
          </w:p>
        </w:tc>
      </w:tr>
      <w:tr w:rsidR="00072A69" w:rsidRPr="00DC6DF9" w14:paraId="2EDA989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28DD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w:t>
            </w:r>
          </w:p>
        </w:tc>
        <w:tc>
          <w:tcPr>
            <w:tcW w:w="1036" w:type="dxa"/>
            <w:tcBorders>
              <w:top w:val="nil"/>
              <w:left w:val="nil"/>
              <w:bottom w:val="single" w:sz="4" w:space="0" w:color="auto"/>
              <w:right w:val="single" w:sz="4" w:space="0" w:color="auto"/>
            </w:tcBorders>
            <w:shd w:val="clear" w:color="auto" w:fill="auto"/>
            <w:noWrap/>
            <w:vAlign w:val="center"/>
            <w:hideMark/>
          </w:tcPr>
          <w:p w14:paraId="0DBF98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5274508000</w:t>
            </w:r>
          </w:p>
        </w:tc>
        <w:tc>
          <w:tcPr>
            <w:tcW w:w="1036" w:type="dxa"/>
            <w:tcBorders>
              <w:top w:val="nil"/>
              <w:left w:val="nil"/>
              <w:bottom w:val="single" w:sz="4" w:space="0" w:color="auto"/>
              <w:right w:val="single" w:sz="4" w:space="0" w:color="auto"/>
            </w:tcBorders>
            <w:shd w:val="clear" w:color="auto" w:fill="auto"/>
            <w:noWrap/>
            <w:vAlign w:val="center"/>
            <w:hideMark/>
          </w:tcPr>
          <w:p w14:paraId="0A5A01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54512336</w:t>
            </w:r>
          </w:p>
        </w:tc>
        <w:tc>
          <w:tcPr>
            <w:tcW w:w="160" w:type="dxa"/>
            <w:tcBorders>
              <w:top w:val="nil"/>
              <w:left w:val="nil"/>
              <w:bottom w:val="single" w:sz="4" w:space="0" w:color="auto"/>
              <w:right w:val="nil"/>
            </w:tcBorders>
            <w:vAlign w:val="center"/>
          </w:tcPr>
          <w:p w14:paraId="3A06E9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351E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ČRNOMELJ</w:t>
            </w:r>
          </w:p>
        </w:tc>
      </w:tr>
      <w:tr w:rsidR="00072A69" w:rsidRPr="00DC6DF9" w14:paraId="006429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1DE6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w:t>
            </w:r>
          </w:p>
        </w:tc>
        <w:tc>
          <w:tcPr>
            <w:tcW w:w="1036" w:type="dxa"/>
            <w:tcBorders>
              <w:top w:val="nil"/>
              <w:left w:val="nil"/>
              <w:bottom w:val="single" w:sz="4" w:space="0" w:color="auto"/>
              <w:right w:val="single" w:sz="4" w:space="0" w:color="auto"/>
            </w:tcBorders>
            <w:shd w:val="clear" w:color="auto" w:fill="auto"/>
            <w:noWrap/>
            <w:vAlign w:val="center"/>
            <w:hideMark/>
          </w:tcPr>
          <w:p w14:paraId="7D2095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1827162000</w:t>
            </w:r>
          </w:p>
        </w:tc>
        <w:tc>
          <w:tcPr>
            <w:tcW w:w="1036" w:type="dxa"/>
            <w:tcBorders>
              <w:top w:val="nil"/>
              <w:left w:val="nil"/>
              <w:bottom w:val="single" w:sz="4" w:space="0" w:color="auto"/>
              <w:right w:val="single" w:sz="4" w:space="0" w:color="auto"/>
            </w:tcBorders>
            <w:shd w:val="clear" w:color="auto" w:fill="auto"/>
            <w:noWrap/>
            <w:vAlign w:val="center"/>
            <w:hideMark/>
          </w:tcPr>
          <w:p w14:paraId="66037B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59514116</w:t>
            </w:r>
          </w:p>
        </w:tc>
        <w:tc>
          <w:tcPr>
            <w:tcW w:w="160" w:type="dxa"/>
            <w:tcBorders>
              <w:top w:val="nil"/>
              <w:left w:val="nil"/>
              <w:bottom w:val="single" w:sz="4" w:space="0" w:color="auto"/>
              <w:right w:val="nil"/>
            </w:tcBorders>
            <w:vAlign w:val="center"/>
          </w:tcPr>
          <w:p w14:paraId="2EA4CA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EAAF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FUŽINE</w:t>
            </w:r>
          </w:p>
        </w:tc>
      </w:tr>
      <w:tr w:rsidR="00072A69" w:rsidRPr="00DC6DF9" w14:paraId="1EE368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92E6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w:t>
            </w:r>
          </w:p>
        </w:tc>
        <w:tc>
          <w:tcPr>
            <w:tcW w:w="1036" w:type="dxa"/>
            <w:tcBorders>
              <w:top w:val="nil"/>
              <w:left w:val="nil"/>
              <w:bottom w:val="single" w:sz="4" w:space="0" w:color="auto"/>
              <w:right w:val="single" w:sz="4" w:space="0" w:color="auto"/>
            </w:tcBorders>
            <w:shd w:val="clear" w:color="auto" w:fill="auto"/>
            <w:noWrap/>
            <w:vAlign w:val="center"/>
            <w:hideMark/>
          </w:tcPr>
          <w:p w14:paraId="279B92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5241952000</w:t>
            </w:r>
          </w:p>
        </w:tc>
        <w:tc>
          <w:tcPr>
            <w:tcW w:w="1036" w:type="dxa"/>
            <w:tcBorders>
              <w:top w:val="nil"/>
              <w:left w:val="nil"/>
              <w:bottom w:val="single" w:sz="4" w:space="0" w:color="auto"/>
              <w:right w:val="single" w:sz="4" w:space="0" w:color="auto"/>
            </w:tcBorders>
            <w:shd w:val="clear" w:color="auto" w:fill="auto"/>
            <w:noWrap/>
            <w:vAlign w:val="center"/>
            <w:hideMark/>
          </w:tcPr>
          <w:p w14:paraId="164F64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53318862</w:t>
            </w:r>
          </w:p>
        </w:tc>
        <w:tc>
          <w:tcPr>
            <w:tcW w:w="160" w:type="dxa"/>
            <w:tcBorders>
              <w:top w:val="nil"/>
              <w:left w:val="nil"/>
              <w:bottom w:val="single" w:sz="4" w:space="0" w:color="auto"/>
              <w:right w:val="nil"/>
            </w:tcBorders>
            <w:vAlign w:val="center"/>
          </w:tcPr>
          <w:p w14:paraId="7ECCB1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C021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GROSUPLJE</w:t>
            </w:r>
          </w:p>
        </w:tc>
      </w:tr>
      <w:tr w:rsidR="00072A69" w:rsidRPr="00DC6DF9" w14:paraId="6C4F15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33A9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w:t>
            </w:r>
          </w:p>
        </w:tc>
        <w:tc>
          <w:tcPr>
            <w:tcW w:w="1036" w:type="dxa"/>
            <w:tcBorders>
              <w:top w:val="nil"/>
              <w:left w:val="nil"/>
              <w:bottom w:val="single" w:sz="4" w:space="0" w:color="auto"/>
              <w:right w:val="single" w:sz="4" w:space="0" w:color="auto"/>
            </w:tcBorders>
            <w:shd w:val="clear" w:color="auto" w:fill="auto"/>
            <w:noWrap/>
            <w:vAlign w:val="center"/>
            <w:hideMark/>
          </w:tcPr>
          <w:p w14:paraId="79F239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5500389000</w:t>
            </w:r>
          </w:p>
        </w:tc>
        <w:tc>
          <w:tcPr>
            <w:tcW w:w="1036" w:type="dxa"/>
            <w:tcBorders>
              <w:top w:val="nil"/>
              <w:left w:val="nil"/>
              <w:bottom w:val="single" w:sz="4" w:space="0" w:color="auto"/>
              <w:right w:val="single" w:sz="4" w:space="0" w:color="auto"/>
            </w:tcBorders>
            <w:shd w:val="clear" w:color="auto" w:fill="auto"/>
            <w:noWrap/>
            <w:vAlign w:val="center"/>
            <w:hideMark/>
          </w:tcPr>
          <w:p w14:paraId="5C9C5C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65045238</w:t>
            </w:r>
          </w:p>
        </w:tc>
        <w:tc>
          <w:tcPr>
            <w:tcW w:w="160" w:type="dxa"/>
            <w:tcBorders>
              <w:top w:val="nil"/>
              <w:left w:val="nil"/>
              <w:bottom w:val="single" w:sz="4" w:space="0" w:color="auto"/>
              <w:right w:val="nil"/>
            </w:tcBorders>
            <w:vAlign w:val="center"/>
          </w:tcPr>
          <w:p w14:paraId="758BBD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DF44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ILIRSKA BISTRICA</w:t>
            </w:r>
          </w:p>
        </w:tc>
      </w:tr>
      <w:tr w:rsidR="00072A69" w:rsidRPr="00DC6DF9" w14:paraId="2835E9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072E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w:t>
            </w:r>
          </w:p>
        </w:tc>
        <w:tc>
          <w:tcPr>
            <w:tcW w:w="1036" w:type="dxa"/>
            <w:tcBorders>
              <w:top w:val="nil"/>
              <w:left w:val="nil"/>
              <w:bottom w:val="single" w:sz="4" w:space="0" w:color="auto"/>
              <w:right w:val="single" w:sz="4" w:space="0" w:color="auto"/>
            </w:tcBorders>
            <w:shd w:val="clear" w:color="auto" w:fill="auto"/>
            <w:noWrap/>
            <w:vAlign w:val="center"/>
            <w:hideMark/>
          </w:tcPr>
          <w:p w14:paraId="7B7CD1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5049784000</w:t>
            </w:r>
          </w:p>
        </w:tc>
        <w:tc>
          <w:tcPr>
            <w:tcW w:w="1036" w:type="dxa"/>
            <w:tcBorders>
              <w:top w:val="nil"/>
              <w:left w:val="nil"/>
              <w:bottom w:val="single" w:sz="4" w:space="0" w:color="auto"/>
              <w:right w:val="single" w:sz="4" w:space="0" w:color="auto"/>
            </w:tcBorders>
            <w:shd w:val="clear" w:color="auto" w:fill="auto"/>
            <w:noWrap/>
            <w:vAlign w:val="center"/>
            <w:hideMark/>
          </w:tcPr>
          <w:p w14:paraId="7E7D0B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85433900</w:t>
            </w:r>
          </w:p>
        </w:tc>
        <w:tc>
          <w:tcPr>
            <w:tcW w:w="160" w:type="dxa"/>
            <w:tcBorders>
              <w:top w:val="nil"/>
              <w:left w:val="nil"/>
              <w:bottom w:val="single" w:sz="4" w:space="0" w:color="auto"/>
              <w:right w:val="nil"/>
            </w:tcBorders>
            <w:vAlign w:val="center"/>
          </w:tcPr>
          <w:p w14:paraId="1E2E90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5934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KAMNIK</w:t>
            </w:r>
          </w:p>
        </w:tc>
      </w:tr>
      <w:tr w:rsidR="00072A69" w:rsidRPr="00DC6DF9" w14:paraId="0835EE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3CFF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w:t>
            </w:r>
          </w:p>
        </w:tc>
        <w:tc>
          <w:tcPr>
            <w:tcW w:w="1036" w:type="dxa"/>
            <w:tcBorders>
              <w:top w:val="nil"/>
              <w:left w:val="nil"/>
              <w:bottom w:val="single" w:sz="4" w:space="0" w:color="auto"/>
              <w:right w:val="single" w:sz="4" w:space="0" w:color="auto"/>
            </w:tcBorders>
            <w:shd w:val="clear" w:color="auto" w:fill="auto"/>
            <w:noWrap/>
            <w:vAlign w:val="center"/>
            <w:hideMark/>
          </w:tcPr>
          <w:p w14:paraId="3A240A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5255783000</w:t>
            </w:r>
          </w:p>
        </w:tc>
        <w:tc>
          <w:tcPr>
            <w:tcW w:w="1036" w:type="dxa"/>
            <w:tcBorders>
              <w:top w:val="nil"/>
              <w:left w:val="nil"/>
              <w:bottom w:val="single" w:sz="4" w:space="0" w:color="auto"/>
              <w:right w:val="single" w:sz="4" w:space="0" w:color="auto"/>
            </w:tcBorders>
            <w:shd w:val="clear" w:color="auto" w:fill="auto"/>
            <w:noWrap/>
            <w:vAlign w:val="center"/>
            <w:hideMark/>
          </w:tcPr>
          <w:p w14:paraId="13A93C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44663633</w:t>
            </w:r>
          </w:p>
        </w:tc>
        <w:tc>
          <w:tcPr>
            <w:tcW w:w="160" w:type="dxa"/>
            <w:tcBorders>
              <w:top w:val="nil"/>
              <w:left w:val="nil"/>
              <w:bottom w:val="single" w:sz="4" w:space="0" w:color="auto"/>
              <w:right w:val="nil"/>
            </w:tcBorders>
            <w:vAlign w:val="center"/>
          </w:tcPr>
          <w:p w14:paraId="5E885D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6AB1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KOČEVJE</w:t>
            </w:r>
          </w:p>
        </w:tc>
      </w:tr>
      <w:tr w:rsidR="00072A69" w:rsidRPr="00DC6DF9" w14:paraId="227456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1463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w:t>
            </w:r>
          </w:p>
        </w:tc>
        <w:tc>
          <w:tcPr>
            <w:tcW w:w="1036" w:type="dxa"/>
            <w:tcBorders>
              <w:top w:val="nil"/>
              <w:left w:val="nil"/>
              <w:bottom w:val="single" w:sz="4" w:space="0" w:color="auto"/>
              <w:right w:val="single" w:sz="4" w:space="0" w:color="auto"/>
            </w:tcBorders>
            <w:shd w:val="clear" w:color="auto" w:fill="auto"/>
            <w:noWrap/>
            <w:vAlign w:val="center"/>
            <w:hideMark/>
          </w:tcPr>
          <w:p w14:paraId="613687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5902967000</w:t>
            </w:r>
          </w:p>
        </w:tc>
        <w:tc>
          <w:tcPr>
            <w:tcW w:w="1036" w:type="dxa"/>
            <w:tcBorders>
              <w:top w:val="nil"/>
              <w:left w:val="nil"/>
              <w:bottom w:val="single" w:sz="4" w:space="0" w:color="auto"/>
              <w:right w:val="single" w:sz="4" w:space="0" w:color="auto"/>
            </w:tcBorders>
            <w:shd w:val="clear" w:color="auto" w:fill="auto"/>
            <w:noWrap/>
            <w:vAlign w:val="center"/>
            <w:hideMark/>
          </w:tcPr>
          <w:p w14:paraId="03E85B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81466757</w:t>
            </w:r>
          </w:p>
        </w:tc>
        <w:tc>
          <w:tcPr>
            <w:tcW w:w="160" w:type="dxa"/>
            <w:tcBorders>
              <w:top w:val="nil"/>
              <w:left w:val="nil"/>
              <w:bottom w:val="single" w:sz="4" w:space="0" w:color="auto"/>
              <w:right w:val="nil"/>
            </w:tcBorders>
            <w:vAlign w:val="center"/>
          </w:tcPr>
          <w:p w14:paraId="04089D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8A1C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KRŠKO</w:t>
            </w:r>
          </w:p>
        </w:tc>
      </w:tr>
      <w:tr w:rsidR="00072A69" w:rsidRPr="00DC6DF9" w14:paraId="449DDA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1EE4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w:t>
            </w:r>
          </w:p>
        </w:tc>
        <w:tc>
          <w:tcPr>
            <w:tcW w:w="1036" w:type="dxa"/>
            <w:tcBorders>
              <w:top w:val="nil"/>
              <w:left w:val="nil"/>
              <w:bottom w:val="single" w:sz="4" w:space="0" w:color="auto"/>
              <w:right w:val="single" w:sz="4" w:space="0" w:color="auto"/>
            </w:tcBorders>
            <w:shd w:val="clear" w:color="auto" w:fill="auto"/>
            <w:noWrap/>
            <w:vAlign w:val="center"/>
            <w:hideMark/>
          </w:tcPr>
          <w:p w14:paraId="103840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5159628000</w:t>
            </w:r>
          </w:p>
        </w:tc>
        <w:tc>
          <w:tcPr>
            <w:tcW w:w="1036" w:type="dxa"/>
            <w:tcBorders>
              <w:top w:val="nil"/>
              <w:left w:val="nil"/>
              <w:bottom w:val="single" w:sz="4" w:space="0" w:color="auto"/>
              <w:right w:val="single" w:sz="4" w:space="0" w:color="auto"/>
            </w:tcBorders>
            <w:shd w:val="clear" w:color="auto" w:fill="auto"/>
            <w:noWrap/>
            <w:vAlign w:val="center"/>
            <w:hideMark/>
          </w:tcPr>
          <w:p w14:paraId="591525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18613691</w:t>
            </w:r>
          </w:p>
        </w:tc>
        <w:tc>
          <w:tcPr>
            <w:tcW w:w="160" w:type="dxa"/>
            <w:tcBorders>
              <w:top w:val="nil"/>
              <w:left w:val="nil"/>
              <w:bottom w:val="single" w:sz="4" w:space="0" w:color="auto"/>
              <w:right w:val="nil"/>
            </w:tcBorders>
            <w:vAlign w:val="center"/>
          </w:tcPr>
          <w:p w14:paraId="1B3F24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76B2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LJUBLJANA BEŽIGRAD</w:t>
            </w:r>
          </w:p>
        </w:tc>
      </w:tr>
      <w:tr w:rsidR="00072A69" w:rsidRPr="00DC6DF9" w14:paraId="0F5453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DC4F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w:t>
            </w:r>
          </w:p>
        </w:tc>
        <w:tc>
          <w:tcPr>
            <w:tcW w:w="1036" w:type="dxa"/>
            <w:tcBorders>
              <w:top w:val="nil"/>
              <w:left w:val="nil"/>
              <w:bottom w:val="single" w:sz="4" w:space="0" w:color="auto"/>
              <w:right w:val="single" w:sz="4" w:space="0" w:color="auto"/>
            </w:tcBorders>
            <w:shd w:val="clear" w:color="auto" w:fill="auto"/>
            <w:noWrap/>
            <w:vAlign w:val="center"/>
            <w:hideMark/>
          </w:tcPr>
          <w:p w14:paraId="7CEAB9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5050740000</w:t>
            </w:r>
          </w:p>
        </w:tc>
        <w:tc>
          <w:tcPr>
            <w:tcW w:w="1036" w:type="dxa"/>
            <w:tcBorders>
              <w:top w:val="nil"/>
              <w:left w:val="nil"/>
              <w:bottom w:val="single" w:sz="4" w:space="0" w:color="auto"/>
              <w:right w:val="single" w:sz="4" w:space="0" w:color="auto"/>
            </w:tcBorders>
            <w:shd w:val="clear" w:color="auto" w:fill="auto"/>
            <w:noWrap/>
            <w:vAlign w:val="center"/>
            <w:hideMark/>
          </w:tcPr>
          <w:p w14:paraId="53DD5E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36355992</w:t>
            </w:r>
          </w:p>
        </w:tc>
        <w:tc>
          <w:tcPr>
            <w:tcW w:w="160" w:type="dxa"/>
            <w:tcBorders>
              <w:top w:val="nil"/>
              <w:left w:val="nil"/>
              <w:bottom w:val="single" w:sz="4" w:space="0" w:color="auto"/>
              <w:right w:val="nil"/>
            </w:tcBorders>
            <w:vAlign w:val="center"/>
          </w:tcPr>
          <w:p w14:paraId="6E7FD7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766D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LJUBLJANA VIČ RUDNIK</w:t>
            </w:r>
          </w:p>
        </w:tc>
      </w:tr>
      <w:tr w:rsidR="00072A69" w:rsidRPr="00DC6DF9" w14:paraId="0931E9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1AA4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w:t>
            </w:r>
          </w:p>
        </w:tc>
        <w:tc>
          <w:tcPr>
            <w:tcW w:w="1036" w:type="dxa"/>
            <w:tcBorders>
              <w:top w:val="nil"/>
              <w:left w:val="nil"/>
              <w:bottom w:val="single" w:sz="4" w:space="0" w:color="auto"/>
              <w:right w:val="single" w:sz="4" w:space="0" w:color="auto"/>
            </w:tcBorders>
            <w:shd w:val="clear" w:color="auto" w:fill="auto"/>
            <w:noWrap/>
            <w:vAlign w:val="center"/>
            <w:hideMark/>
          </w:tcPr>
          <w:p w14:paraId="6624E8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5227046000</w:t>
            </w:r>
          </w:p>
        </w:tc>
        <w:tc>
          <w:tcPr>
            <w:tcW w:w="1036" w:type="dxa"/>
            <w:tcBorders>
              <w:top w:val="nil"/>
              <w:left w:val="nil"/>
              <w:bottom w:val="single" w:sz="4" w:space="0" w:color="auto"/>
              <w:right w:val="single" w:sz="4" w:space="0" w:color="auto"/>
            </w:tcBorders>
            <w:shd w:val="clear" w:color="auto" w:fill="auto"/>
            <w:noWrap/>
            <w:vAlign w:val="center"/>
            <w:hideMark/>
          </w:tcPr>
          <w:p w14:paraId="3109FC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61326232</w:t>
            </w:r>
          </w:p>
        </w:tc>
        <w:tc>
          <w:tcPr>
            <w:tcW w:w="160" w:type="dxa"/>
            <w:tcBorders>
              <w:top w:val="nil"/>
              <w:left w:val="nil"/>
              <w:bottom w:val="single" w:sz="4" w:space="0" w:color="auto"/>
              <w:right w:val="nil"/>
            </w:tcBorders>
            <w:vAlign w:val="center"/>
          </w:tcPr>
          <w:p w14:paraId="673749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1C3B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LJUBLJANA-MOSTE-POLJE</w:t>
            </w:r>
          </w:p>
        </w:tc>
      </w:tr>
      <w:tr w:rsidR="00072A69" w:rsidRPr="00DC6DF9" w14:paraId="63F0B5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D1E7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w:t>
            </w:r>
          </w:p>
        </w:tc>
        <w:tc>
          <w:tcPr>
            <w:tcW w:w="1036" w:type="dxa"/>
            <w:tcBorders>
              <w:top w:val="nil"/>
              <w:left w:val="nil"/>
              <w:bottom w:val="single" w:sz="4" w:space="0" w:color="auto"/>
              <w:right w:val="single" w:sz="4" w:space="0" w:color="auto"/>
            </w:tcBorders>
            <w:shd w:val="clear" w:color="auto" w:fill="auto"/>
            <w:noWrap/>
            <w:vAlign w:val="center"/>
            <w:hideMark/>
          </w:tcPr>
          <w:p w14:paraId="41AC0A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5062292000</w:t>
            </w:r>
          </w:p>
        </w:tc>
        <w:tc>
          <w:tcPr>
            <w:tcW w:w="1036" w:type="dxa"/>
            <w:tcBorders>
              <w:top w:val="nil"/>
              <w:left w:val="nil"/>
              <w:bottom w:val="single" w:sz="4" w:space="0" w:color="auto"/>
              <w:right w:val="single" w:sz="4" w:space="0" w:color="auto"/>
            </w:tcBorders>
            <w:shd w:val="clear" w:color="auto" w:fill="auto"/>
            <w:noWrap/>
            <w:vAlign w:val="center"/>
            <w:hideMark/>
          </w:tcPr>
          <w:p w14:paraId="002DBF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55143172</w:t>
            </w:r>
          </w:p>
        </w:tc>
        <w:tc>
          <w:tcPr>
            <w:tcW w:w="160" w:type="dxa"/>
            <w:tcBorders>
              <w:top w:val="nil"/>
              <w:left w:val="nil"/>
              <w:bottom w:val="single" w:sz="4" w:space="0" w:color="auto"/>
              <w:right w:val="nil"/>
            </w:tcBorders>
            <w:vAlign w:val="center"/>
          </w:tcPr>
          <w:p w14:paraId="761D872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D629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LJUBLJANA-ŠIŠKA</w:t>
            </w:r>
          </w:p>
        </w:tc>
      </w:tr>
      <w:tr w:rsidR="00072A69" w:rsidRPr="00DC6DF9" w14:paraId="058257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6466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w:t>
            </w:r>
          </w:p>
        </w:tc>
        <w:tc>
          <w:tcPr>
            <w:tcW w:w="1036" w:type="dxa"/>
            <w:tcBorders>
              <w:top w:val="nil"/>
              <w:left w:val="nil"/>
              <w:bottom w:val="single" w:sz="4" w:space="0" w:color="auto"/>
              <w:right w:val="single" w:sz="4" w:space="0" w:color="auto"/>
            </w:tcBorders>
            <w:shd w:val="clear" w:color="auto" w:fill="auto"/>
            <w:noWrap/>
            <w:vAlign w:val="center"/>
            <w:hideMark/>
          </w:tcPr>
          <w:p w14:paraId="3ABF27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1606689000</w:t>
            </w:r>
          </w:p>
        </w:tc>
        <w:tc>
          <w:tcPr>
            <w:tcW w:w="1036" w:type="dxa"/>
            <w:tcBorders>
              <w:top w:val="nil"/>
              <w:left w:val="nil"/>
              <w:bottom w:val="single" w:sz="4" w:space="0" w:color="auto"/>
              <w:right w:val="single" w:sz="4" w:space="0" w:color="auto"/>
            </w:tcBorders>
            <w:shd w:val="clear" w:color="auto" w:fill="auto"/>
            <w:noWrap/>
            <w:vAlign w:val="center"/>
            <w:hideMark/>
          </w:tcPr>
          <w:p w14:paraId="524F08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30529999</w:t>
            </w:r>
          </w:p>
        </w:tc>
        <w:tc>
          <w:tcPr>
            <w:tcW w:w="160" w:type="dxa"/>
            <w:tcBorders>
              <w:top w:val="nil"/>
              <w:left w:val="nil"/>
              <w:bottom w:val="single" w:sz="4" w:space="0" w:color="auto"/>
              <w:right w:val="nil"/>
            </w:tcBorders>
            <w:vAlign w:val="center"/>
          </w:tcPr>
          <w:p w14:paraId="3D05C2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02DA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LJUTOMER</w:t>
            </w:r>
          </w:p>
        </w:tc>
      </w:tr>
      <w:tr w:rsidR="00072A69" w:rsidRPr="00DC6DF9" w14:paraId="2E0647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5429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w:t>
            </w:r>
          </w:p>
        </w:tc>
        <w:tc>
          <w:tcPr>
            <w:tcW w:w="1036" w:type="dxa"/>
            <w:tcBorders>
              <w:top w:val="nil"/>
              <w:left w:val="nil"/>
              <w:bottom w:val="single" w:sz="4" w:space="0" w:color="auto"/>
              <w:right w:val="single" w:sz="4" w:space="0" w:color="auto"/>
            </w:tcBorders>
            <w:shd w:val="clear" w:color="auto" w:fill="auto"/>
            <w:noWrap/>
            <w:vAlign w:val="center"/>
            <w:hideMark/>
          </w:tcPr>
          <w:p w14:paraId="5BBDA8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5050464000</w:t>
            </w:r>
          </w:p>
        </w:tc>
        <w:tc>
          <w:tcPr>
            <w:tcW w:w="1036" w:type="dxa"/>
            <w:tcBorders>
              <w:top w:val="nil"/>
              <w:left w:val="nil"/>
              <w:bottom w:val="single" w:sz="4" w:space="0" w:color="auto"/>
              <w:right w:val="single" w:sz="4" w:space="0" w:color="auto"/>
            </w:tcBorders>
            <w:shd w:val="clear" w:color="auto" w:fill="auto"/>
            <w:noWrap/>
            <w:vAlign w:val="center"/>
            <w:hideMark/>
          </w:tcPr>
          <w:p w14:paraId="160566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32589948</w:t>
            </w:r>
          </w:p>
        </w:tc>
        <w:tc>
          <w:tcPr>
            <w:tcW w:w="160" w:type="dxa"/>
            <w:tcBorders>
              <w:top w:val="nil"/>
              <w:left w:val="nil"/>
              <w:bottom w:val="single" w:sz="4" w:space="0" w:color="auto"/>
              <w:right w:val="nil"/>
            </w:tcBorders>
            <w:vAlign w:val="center"/>
          </w:tcPr>
          <w:p w14:paraId="6848B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E4C2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METLIKA</w:t>
            </w:r>
          </w:p>
        </w:tc>
      </w:tr>
      <w:tr w:rsidR="00072A69" w:rsidRPr="00DC6DF9" w14:paraId="20B822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E15B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w:t>
            </w:r>
          </w:p>
        </w:tc>
        <w:tc>
          <w:tcPr>
            <w:tcW w:w="1036" w:type="dxa"/>
            <w:tcBorders>
              <w:top w:val="nil"/>
              <w:left w:val="nil"/>
              <w:bottom w:val="single" w:sz="4" w:space="0" w:color="auto"/>
              <w:right w:val="single" w:sz="4" w:space="0" w:color="auto"/>
            </w:tcBorders>
            <w:shd w:val="clear" w:color="auto" w:fill="auto"/>
            <w:noWrap/>
            <w:vAlign w:val="center"/>
            <w:hideMark/>
          </w:tcPr>
          <w:p w14:paraId="7D82EE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5174350000</w:t>
            </w:r>
          </w:p>
        </w:tc>
        <w:tc>
          <w:tcPr>
            <w:tcW w:w="1036" w:type="dxa"/>
            <w:tcBorders>
              <w:top w:val="nil"/>
              <w:left w:val="nil"/>
              <w:bottom w:val="single" w:sz="4" w:space="0" w:color="auto"/>
              <w:right w:val="single" w:sz="4" w:space="0" w:color="auto"/>
            </w:tcBorders>
            <w:shd w:val="clear" w:color="auto" w:fill="auto"/>
            <w:noWrap/>
            <w:vAlign w:val="center"/>
            <w:hideMark/>
          </w:tcPr>
          <w:p w14:paraId="230AEE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15354997</w:t>
            </w:r>
          </w:p>
        </w:tc>
        <w:tc>
          <w:tcPr>
            <w:tcW w:w="160" w:type="dxa"/>
            <w:tcBorders>
              <w:top w:val="nil"/>
              <w:left w:val="nil"/>
              <w:bottom w:val="single" w:sz="4" w:space="0" w:color="auto"/>
              <w:right w:val="nil"/>
            </w:tcBorders>
            <w:vAlign w:val="center"/>
          </w:tcPr>
          <w:p w14:paraId="757C43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46A8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NOVO MESTO</w:t>
            </w:r>
          </w:p>
        </w:tc>
      </w:tr>
      <w:tr w:rsidR="00072A69" w:rsidRPr="00DC6DF9" w14:paraId="795946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0EB9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w:t>
            </w:r>
          </w:p>
        </w:tc>
        <w:tc>
          <w:tcPr>
            <w:tcW w:w="1036" w:type="dxa"/>
            <w:tcBorders>
              <w:top w:val="nil"/>
              <w:left w:val="nil"/>
              <w:bottom w:val="single" w:sz="4" w:space="0" w:color="auto"/>
              <w:right w:val="single" w:sz="4" w:space="0" w:color="auto"/>
            </w:tcBorders>
            <w:shd w:val="clear" w:color="auto" w:fill="auto"/>
            <w:noWrap/>
            <w:vAlign w:val="center"/>
            <w:hideMark/>
          </w:tcPr>
          <w:p w14:paraId="76F1F2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5206758000</w:t>
            </w:r>
          </w:p>
        </w:tc>
        <w:tc>
          <w:tcPr>
            <w:tcW w:w="1036" w:type="dxa"/>
            <w:tcBorders>
              <w:top w:val="nil"/>
              <w:left w:val="nil"/>
              <w:bottom w:val="single" w:sz="4" w:space="0" w:color="auto"/>
              <w:right w:val="single" w:sz="4" w:space="0" w:color="auto"/>
            </w:tcBorders>
            <w:shd w:val="clear" w:color="auto" w:fill="auto"/>
            <w:noWrap/>
            <w:vAlign w:val="center"/>
            <w:hideMark/>
          </w:tcPr>
          <w:p w14:paraId="3AEE18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20806434</w:t>
            </w:r>
          </w:p>
        </w:tc>
        <w:tc>
          <w:tcPr>
            <w:tcW w:w="160" w:type="dxa"/>
            <w:tcBorders>
              <w:top w:val="nil"/>
              <w:left w:val="nil"/>
              <w:bottom w:val="single" w:sz="4" w:space="0" w:color="auto"/>
              <w:right w:val="nil"/>
            </w:tcBorders>
            <w:vAlign w:val="center"/>
          </w:tcPr>
          <w:p w14:paraId="5B1C1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E459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POLDE EBERL-JAMSKI</w:t>
            </w:r>
          </w:p>
        </w:tc>
      </w:tr>
      <w:tr w:rsidR="00072A69" w:rsidRPr="00DC6DF9" w14:paraId="4947638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0327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w:t>
            </w:r>
          </w:p>
        </w:tc>
        <w:tc>
          <w:tcPr>
            <w:tcW w:w="1036" w:type="dxa"/>
            <w:tcBorders>
              <w:top w:val="nil"/>
              <w:left w:val="nil"/>
              <w:bottom w:val="single" w:sz="4" w:space="0" w:color="auto"/>
              <w:right w:val="single" w:sz="4" w:space="0" w:color="auto"/>
            </w:tcBorders>
            <w:shd w:val="clear" w:color="auto" w:fill="auto"/>
            <w:noWrap/>
            <w:vAlign w:val="center"/>
            <w:hideMark/>
          </w:tcPr>
          <w:p w14:paraId="2100CA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5049857000</w:t>
            </w:r>
          </w:p>
        </w:tc>
        <w:tc>
          <w:tcPr>
            <w:tcW w:w="1036" w:type="dxa"/>
            <w:tcBorders>
              <w:top w:val="nil"/>
              <w:left w:val="nil"/>
              <w:bottom w:val="single" w:sz="4" w:space="0" w:color="auto"/>
              <w:right w:val="single" w:sz="4" w:space="0" w:color="auto"/>
            </w:tcBorders>
            <w:shd w:val="clear" w:color="auto" w:fill="auto"/>
            <w:noWrap/>
            <w:vAlign w:val="center"/>
            <w:hideMark/>
          </w:tcPr>
          <w:p w14:paraId="366441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96539275</w:t>
            </w:r>
          </w:p>
        </w:tc>
        <w:tc>
          <w:tcPr>
            <w:tcW w:w="160" w:type="dxa"/>
            <w:tcBorders>
              <w:top w:val="nil"/>
              <w:left w:val="nil"/>
              <w:bottom w:val="single" w:sz="4" w:space="0" w:color="auto"/>
              <w:right w:val="nil"/>
            </w:tcBorders>
            <w:vAlign w:val="center"/>
          </w:tcPr>
          <w:p w14:paraId="3F2ADD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909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PREDDVOR</w:t>
            </w:r>
          </w:p>
        </w:tc>
      </w:tr>
      <w:tr w:rsidR="00072A69" w:rsidRPr="00DC6DF9" w14:paraId="6AC435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C246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w:t>
            </w:r>
          </w:p>
        </w:tc>
        <w:tc>
          <w:tcPr>
            <w:tcW w:w="1036" w:type="dxa"/>
            <w:tcBorders>
              <w:top w:val="nil"/>
              <w:left w:val="nil"/>
              <w:bottom w:val="single" w:sz="4" w:space="0" w:color="auto"/>
              <w:right w:val="single" w:sz="4" w:space="0" w:color="auto"/>
            </w:tcBorders>
            <w:shd w:val="clear" w:color="auto" w:fill="auto"/>
            <w:noWrap/>
            <w:vAlign w:val="center"/>
            <w:hideMark/>
          </w:tcPr>
          <w:p w14:paraId="02054A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1778439000</w:t>
            </w:r>
          </w:p>
        </w:tc>
        <w:tc>
          <w:tcPr>
            <w:tcW w:w="1036" w:type="dxa"/>
            <w:tcBorders>
              <w:top w:val="nil"/>
              <w:left w:val="nil"/>
              <w:bottom w:val="single" w:sz="4" w:space="0" w:color="auto"/>
              <w:right w:val="single" w:sz="4" w:space="0" w:color="auto"/>
            </w:tcBorders>
            <w:shd w:val="clear" w:color="auto" w:fill="auto"/>
            <w:noWrap/>
            <w:vAlign w:val="center"/>
            <w:hideMark/>
          </w:tcPr>
          <w:p w14:paraId="2004B6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27791050</w:t>
            </w:r>
          </w:p>
        </w:tc>
        <w:tc>
          <w:tcPr>
            <w:tcW w:w="160" w:type="dxa"/>
            <w:tcBorders>
              <w:top w:val="nil"/>
              <w:left w:val="nil"/>
              <w:bottom w:val="single" w:sz="4" w:space="0" w:color="auto"/>
              <w:right w:val="nil"/>
            </w:tcBorders>
            <w:vAlign w:val="center"/>
          </w:tcPr>
          <w:p w14:paraId="6FD924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54DD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TEZNO</w:t>
            </w:r>
          </w:p>
        </w:tc>
      </w:tr>
      <w:tr w:rsidR="00072A69" w:rsidRPr="00DC6DF9" w14:paraId="552935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3505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w:t>
            </w:r>
          </w:p>
        </w:tc>
        <w:tc>
          <w:tcPr>
            <w:tcW w:w="1036" w:type="dxa"/>
            <w:tcBorders>
              <w:top w:val="nil"/>
              <w:left w:val="nil"/>
              <w:bottom w:val="single" w:sz="4" w:space="0" w:color="auto"/>
              <w:right w:val="single" w:sz="4" w:space="0" w:color="auto"/>
            </w:tcBorders>
            <w:shd w:val="clear" w:color="auto" w:fill="auto"/>
            <w:noWrap/>
            <w:vAlign w:val="center"/>
            <w:hideMark/>
          </w:tcPr>
          <w:p w14:paraId="011DF3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1392123000</w:t>
            </w:r>
          </w:p>
        </w:tc>
        <w:tc>
          <w:tcPr>
            <w:tcW w:w="1036" w:type="dxa"/>
            <w:tcBorders>
              <w:top w:val="nil"/>
              <w:left w:val="nil"/>
              <w:bottom w:val="single" w:sz="4" w:space="0" w:color="auto"/>
              <w:right w:val="single" w:sz="4" w:space="0" w:color="auto"/>
            </w:tcBorders>
            <w:shd w:val="clear" w:color="auto" w:fill="auto"/>
            <w:noWrap/>
            <w:vAlign w:val="center"/>
            <w:hideMark/>
          </w:tcPr>
          <w:p w14:paraId="7509B1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64948315</w:t>
            </w:r>
          </w:p>
        </w:tc>
        <w:tc>
          <w:tcPr>
            <w:tcW w:w="160" w:type="dxa"/>
            <w:tcBorders>
              <w:top w:val="nil"/>
              <w:left w:val="nil"/>
              <w:bottom w:val="single" w:sz="4" w:space="0" w:color="auto"/>
              <w:right w:val="nil"/>
            </w:tcBorders>
            <w:vAlign w:val="center"/>
          </w:tcPr>
          <w:p w14:paraId="0FDCC8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F3A5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OBČANOV TREBNJE</w:t>
            </w:r>
          </w:p>
        </w:tc>
      </w:tr>
      <w:tr w:rsidR="00072A69" w:rsidRPr="00DC6DF9" w14:paraId="217EC3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E8BA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w:t>
            </w:r>
          </w:p>
        </w:tc>
        <w:tc>
          <w:tcPr>
            <w:tcW w:w="1036" w:type="dxa"/>
            <w:tcBorders>
              <w:top w:val="nil"/>
              <w:left w:val="nil"/>
              <w:bottom w:val="single" w:sz="4" w:space="0" w:color="auto"/>
              <w:right w:val="single" w:sz="4" w:space="0" w:color="auto"/>
            </w:tcBorders>
            <w:shd w:val="clear" w:color="auto" w:fill="auto"/>
            <w:noWrap/>
            <w:vAlign w:val="center"/>
            <w:hideMark/>
          </w:tcPr>
          <w:p w14:paraId="033C87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5050499000</w:t>
            </w:r>
          </w:p>
        </w:tc>
        <w:tc>
          <w:tcPr>
            <w:tcW w:w="1036" w:type="dxa"/>
            <w:tcBorders>
              <w:top w:val="nil"/>
              <w:left w:val="nil"/>
              <w:bottom w:val="single" w:sz="4" w:space="0" w:color="auto"/>
              <w:right w:val="single" w:sz="4" w:space="0" w:color="auto"/>
            </w:tcBorders>
            <w:shd w:val="clear" w:color="auto" w:fill="auto"/>
            <w:noWrap/>
            <w:vAlign w:val="center"/>
            <w:hideMark/>
          </w:tcPr>
          <w:p w14:paraId="44244A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21658196</w:t>
            </w:r>
          </w:p>
        </w:tc>
        <w:tc>
          <w:tcPr>
            <w:tcW w:w="160" w:type="dxa"/>
            <w:tcBorders>
              <w:top w:val="nil"/>
              <w:left w:val="nil"/>
              <w:bottom w:val="single" w:sz="4" w:space="0" w:color="auto"/>
              <w:right w:val="nil"/>
            </w:tcBorders>
            <w:vAlign w:val="center"/>
          </w:tcPr>
          <w:p w14:paraId="3F4410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4AE6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RAKIČAN</w:t>
            </w:r>
          </w:p>
        </w:tc>
      </w:tr>
      <w:tr w:rsidR="00072A69" w:rsidRPr="00DC6DF9" w14:paraId="732311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0E6A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w:t>
            </w:r>
          </w:p>
        </w:tc>
        <w:tc>
          <w:tcPr>
            <w:tcW w:w="1036" w:type="dxa"/>
            <w:tcBorders>
              <w:top w:val="nil"/>
              <w:left w:val="nil"/>
              <w:bottom w:val="single" w:sz="4" w:space="0" w:color="auto"/>
              <w:right w:val="single" w:sz="4" w:space="0" w:color="auto"/>
            </w:tcBorders>
            <w:shd w:val="clear" w:color="auto" w:fill="auto"/>
            <w:noWrap/>
            <w:vAlign w:val="center"/>
            <w:hideMark/>
          </w:tcPr>
          <w:p w14:paraId="1F23E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1306405000</w:t>
            </w:r>
          </w:p>
        </w:tc>
        <w:tc>
          <w:tcPr>
            <w:tcW w:w="1036" w:type="dxa"/>
            <w:tcBorders>
              <w:top w:val="nil"/>
              <w:left w:val="nil"/>
              <w:bottom w:val="single" w:sz="4" w:space="0" w:color="auto"/>
              <w:right w:val="single" w:sz="4" w:space="0" w:color="auto"/>
            </w:tcBorders>
            <w:shd w:val="clear" w:color="auto" w:fill="auto"/>
            <w:noWrap/>
            <w:vAlign w:val="center"/>
            <w:hideMark/>
          </w:tcPr>
          <w:p w14:paraId="3F1924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28235649</w:t>
            </w:r>
          </w:p>
        </w:tc>
        <w:tc>
          <w:tcPr>
            <w:tcW w:w="160" w:type="dxa"/>
            <w:tcBorders>
              <w:top w:val="nil"/>
              <w:left w:val="nil"/>
              <w:bottom w:val="single" w:sz="4" w:space="0" w:color="auto"/>
              <w:right w:val="nil"/>
            </w:tcBorders>
            <w:vAlign w:val="center"/>
          </w:tcPr>
          <w:p w14:paraId="428EF8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E2C1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STAREJŠIH ŠENTJUR</w:t>
            </w:r>
          </w:p>
        </w:tc>
      </w:tr>
      <w:tr w:rsidR="00072A69" w:rsidRPr="00DC6DF9" w14:paraId="7EEA775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64DC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w:t>
            </w:r>
          </w:p>
        </w:tc>
        <w:tc>
          <w:tcPr>
            <w:tcW w:w="1036" w:type="dxa"/>
            <w:tcBorders>
              <w:top w:val="nil"/>
              <w:left w:val="nil"/>
              <w:bottom w:val="single" w:sz="4" w:space="0" w:color="auto"/>
              <w:right w:val="single" w:sz="4" w:space="0" w:color="auto"/>
            </w:tcBorders>
            <w:shd w:val="clear" w:color="auto" w:fill="auto"/>
            <w:noWrap/>
            <w:vAlign w:val="center"/>
            <w:hideMark/>
          </w:tcPr>
          <w:p w14:paraId="6F5939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5049920000</w:t>
            </w:r>
          </w:p>
        </w:tc>
        <w:tc>
          <w:tcPr>
            <w:tcW w:w="1036" w:type="dxa"/>
            <w:tcBorders>
              <w:top w:val="nil"/>
              <w:left w:val="nil"/>
              <w:bottom w:val="single" w:sz="4" w:space="0" w:color="auto"/>
              <w:right w:val="single" w:sz="4" w:space="0" w:color="auto"/>
            </w:tcBorders>
            <w:shd w:val="clear" w:color="auto" w:fill="auto"/>
            <w:noWrap/>
            <w:vAlign w:val="center"/>
            <w:hideMark/>
          </w:tcPr>
          <w:p w14:paraId="4D0C52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95839798</w:t>
            </w:r>
          </w:p>
        </w:tc>
        <w:tc>
          <w:tcPr>
            <w:tcW w:w="160" w:type="dxa"/>
            <w:tcBorders>
              <w:top w:val="nil"/>
              <w:left w:val="nil"/>
              <w:bottom w:val="single" w:sz="4" w:space="0" w:color="auto"/>
              <w:right w:val="nil"/>
            </w:tcBorders>
            <w:vAlign w:val="center"/>
          </w:tcPr>
          <w:p w14:paraId="6CC8EC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28CA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TISJE ŠMARTNO PRI LITIJI</w:t>
            </w:r>
          </w:p>
        </w:tc>
      </w:tr>
      <w:tr w:rsidR="00072A69" w:rsidRPr="00DC6DF9" w14:paraId="5174F4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F1F4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w:t>
            </w:r>
          </w:p>
        </w:tc>
        <w:tc>
          <w:tcPr>
            <w:tcW w:w="1036" w:type="dxa"/>
            <w:tcBorders>
              <w:top w:val="nil"/>
              <w:left w:val="nil"/>
              <w:bottom w:val="single" w:sz="4" w:space="0" w:color="auto"/>
              <w:right w:val="single" w:sz="4" w:space="0" w:color="auto"/>
            </w:tcBorders>
            <w:shd w:val="clear" w:color="auto" w:fill="auto"/>
            <w:noWrap/>
            <w:vAlign w:val="center"/>
            <w:hideMark/>
          </w:tcPr>
          <w:p w14:paraId="743B5B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5051070000</w:t>
            </w:r>
          </w:p>
        </w:tc>
        <w:tc>
          <w:tcPr>
            <w:tcW w:w="1036" w:type="dxa"/>
            <w:tcBorders>
              <w:top w:val="nil"/>
              <w:left w:val="nil"/>
              <w:bottom w:val="single" w:sz="4" w:space="0" w:color="auto"/>
              <w:right w:val="single" w:sz="4" w:space="0" w:color="auto"/>
            </w:tcBorders>
            <w:shd w:val="clear" w:color="auto" w:fill="auto"/>
            <w:noWrap/>
            <w:vAlign w:val="center"/>
            <w:hideMark/>
          </w:tcPr>
          <w:p w14:paraId="243DD5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87980193</w:t>
            </w:r>
          </w:p>
        </w:tc>
        <w:tc>
          <w:tcPr>
            <w:tcW w:w="160" w:type="dxa"/>
            <w:tcBorders>
              <w:top w:val="nil"/>
              <w:left w:val="nil"/>
              <w:bottom w:val="single" w:sz="4" w:space="0" w:color="auto"/>
              <w:right w:val="nil"/>
            </w:tcBorders>
            <w:vAlign w:val="center"/>
          </w:tcPr>
          <w:p w14:paraId="734710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62CD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CENTER TABOR - POLJANE</w:t>
            </w:r>
          </w:p>
        </w:tc>
      </w:tr>
      <w:tr w:rsidR="00072A69" w:rsidRPr="00DC6DF9" w14:paraId="51EA46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D9FD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w:t>
            </w:r>
          </w:p>
        </w:tc>
        <w:tc>
          <w:tcPr>
            <w:tcW w:w="1036" w:type="dxa"/>
            <w:tcBorders>
              <w:top w:val="nil"/>
              <w:left w:val="nil"/>
              <w:bottom w:val="single" w:sz="4" w:space="0" w:color="auto"/>
              <w:right w:val="single" w:sz="4" w:space="0" w:color="auto"/>
            </w:tcBorders>
            <w:shd w:val="clear" w:color="auto" w:fill="auto"/>
            <w:noWrap/>
            <w:vAlign w:val="center"/>
            <w:hideMark/>
          </w:tcPr>
          <w:p w14:paraId="5BE149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5049652000</w:t>
            </w:r>
          </w:p>
        </w:tc>
        <w:tc>
          <w:tcPr>
            <w:tcW w:w="1036" w:type="dxa"/>
            <w:tcBorders>
              <w:top w:val="nil"/>
              <w:left w:val="nil"/>
              <w:bottom w:val="single" w:sz="4" w:space="0" w:color="auto"/>
              <w:right w:val="single" w:sz="4" w:space="0" w:color="auto"/>
            </w:tcBorders>
            <w:shd w:val="clear" w:color="auto" w:fill="auto"/>
            <w:noWrap/>
            <w:vAlign w:val="center"/>
            <w:hideMark/>
          </w:tcPr>
          <w:p w14:paraId="6CD99B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91257107</w:t>
            </w:r>
          </w:p>
        </w:tc>
        <w:tc>
          <w:tcPr>
            <w:tcW w:w="160" w:type="dxa"/>
            <w:tcBorders>
              <w:top w:val="nil"/>
              <w:left w:val="nil"/>
              <w:bottom w:val="single" w:sz="4" w:space="0" w:color="auto"/>
              <w:right w:val="nil"/>
            </w:tcBorders>
            <w:vAlign w:val="center"/>
          </w:tcPr>
          <w:p w14:paraId="733D24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BFA3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DOMŽALE</w:t>
            </w:r>
          </w:p>
        </w:tc>
      </w:tr>
      <w:tr w:rsidR="00072A69" w:rsidRPr="00DC6DF9" w14:paraId="166298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AB0C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w:t>
            </w:r>
          </w:p>
        </w:tc>
        <w:tc>
          <w:tcPr>
            <w:tcW w:w="1036" w:type="dxa"/>
            <w:tcBorders>
              <w:top w:val="nil"/>
              <w:left w:val="nil"/>
              <w:bottom w:val="single" w:sz="4" w:space="0" w:color="auto"/>
              <w:right w:val="single" w:sz="4" w:space="0" w:color="auto"/>
            </w:tcBorders>
            <w:shd w:val="clear" w:color="auto" w:fill="auto"/>
            <w:noWrap/>
            <w:vAlign w:val="center"/>
            <w:hideMark/>
          </w:tcPr>
          <w:p w14:paraId="740C59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5049750000</w:t>
            </w:r>
          </w:p>
        </w:tc>
        <w:tc>
          <w:tcPr>
            <w:tcW w:w="1036" w:type="dxa"/>
            <w:tcBorders>
              <w:top w:val="nil"/>
              <w:left w:val="nil"/>
              <w:bottom w:val="single" w:sz="4" w:space="0" w:color="auto"/>
              <w:right w:val="single" w:sz="4" w:space="0" w:color="auto"/>
            </w:tcBorders>
            <w:shd w:val="clear" w:color="auto" w:fill="auto"/>
            <w:noWrap/>
            <w:vAlign w:val="center"/>
            <w:hideMark/>
          </w:tcPr>
          <w:p w14:paraId="18D847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81288379</w:t>
            </w:r>
          </w:p>
        </w:tc>
        <w:tc>
          <w:tcPr>
            <w:tcW w:w="160" w:type="dxa"/>
            <w:tcBorders>
              <w:top w:val="nil"/>
              <w:left w:val="nil"/>
              <w:bottom w:val="single" w:sz="4" w:space="0" w:color="auto"/>
              <w:right w:val="nil"/>
            </w:tcBorders>
            <w:vAlign w:val="center"/>
          </w:tcPr>
          <w:p w14:paraId="3C49CE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78E1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DR. FRANCETA BERGELJA, JESENICE</w:t>
            </w:r>
          </w:p>
        </w:tc>
      </w:tr>
      <w:tr w:rsidR="00072A69" w:rsidRPr="00DC6DF9" w14:paraId="294C98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8D69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w:t>
            </w:r>
          </w:p>
        </w:tc>
        <w:tc>
          <w:tcPr>
            <w:tcW w:w="1036" w:type="dxa"/>
            <w:tcBorders>
              <w:top w:val="nil"/>
              <w:left w:val="nil"/>
              <w:bottom w:val="single" w:sz="4" w:space="0" w:color="auto"/>
              <w:right w:val="single" w:sz="4" w:space="0" w:color="auto"/>
            </w:tcBorders>
            <w:shd w:val="clear" w:color="auto" w:fill="auto"/>
            <w:noWrap/>
            <w:vAlign w:val="center"/>
            <w:hideMark/>
          </w:tcPr>
          <w:p w14:paraId="4F0DDE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5101859000</w:t>
            </w:r>
          </w:p>
        </w:tc>
        <w:tc>
          <w:tcPr>
            <w:tcW w:w="1036" w:type="dxa"/>
            <w:tcBorders>
              <w:top w:val="nil"/>
              <w:left w:val="nil"/>
              <w:bottom w:val="single" w:sz="4" w:space="0" w:color="auto"/>
              <w:right w:val="single" w:sz="4" w:space="0" w:color="auto"/>
            </w:tcBorders>
            <w:shd w:val="clear" w:color="auto" w:fill="auto"/>
            <w:noWrap/>
            <w:vAlign w:val="center"/>
            <w:hideMark/>
          </w:tcPr>
          <w:p w14:paraId="621631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30739551</w:t>
            </w:r>
          </w:p>
        </w:tc>
        <w:tc>
          <w:tcPr>
            <w:tcW w:w="160" w:type="dxa"/>
            <w:tcBorders>
              <w:top w:val="nil"/>
              <w:left w:val="nil"/>
              <w:bottom w:val="single" w:sz="4" w:space="0" w:color="auto"/>
              <w:right w:val="nil"/>
            </w:tcBorders>
            <w:vAlign w:val="center"/>
          </w:tcPr>
          <w:p w14:paraId="087C7D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E4DF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FRANC SALAMON TRBOVLJE</w:t>
            </w:r>
          </w:p>
        </w:tc>
      </w:tr>
      <w:tr w:rsidR="00072A69" w:rsidRPr="00DC6DF9" w14:paraId="4C022C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8491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w:t>
            </w:r>
          </w:p>
        </w:tc>
        <w:tc>
          <w:tcPr>
            <w:tcW w:w="1036" w:type="dxa"/>
            <w:tcBorders>
              <w:top w:val="nil"/>
              <w:left w:val="nil"/>
              <w:bottom w:val="single" w:sz="4" w:space="0" w:color="auto"/>
              <w:right w:val="single" w:sz="4" w:space="0" w:color="auto"/>
            </w:tcBorders>
            <w:shd w:val="clear" w:color="auto" w:fill="auto"/>
            <w:noWrap/>
            <w:vAlign w:val="center"/>
            <w:hideMark/>
          </w:tcPr>
          <w:p w14:paraId="4ADAD4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5050669000</w:t>
            </w:r>
          </w:p>
        </w:tc>
        <w:tc>
          <w:tcPr>
            <w:tcW w:w="1036" w:type="dxa"/>
            <w:tcBorders>
              <w:top w:val="nil"/>
              <w:left w:val="nil"/>
              <w:bottom w:val="single" w:sz="4" w:space="0" w:color="auto"/>
              <w:right w:val="single" w:sz="4" w:space="0" w:color="auto"/>
            </w:tcBorders>
            <w:shd w:val="clear" w:color="auto" w:fill="auto"/>
            <w:noWrap/>
            <w:vAlign w:val="center"/>
            <w:hideMark/>
          </w:tcPr>
          <w:p w14:paraId="48224F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48982822</w:t>
            </w:r>
          </w:p>
        </w:tc>
        <w:tc>
          <w:tcPr>
            <w:tcW w:w="160" w:type="dxa"/>
            <w:tcBorders>
              <w:top w:val="nil"/>
              <w:left w:val="nil"/>
              <w:bottom w:val="single" w:sz="4" w:space="0" w:color="auto"/>
              <w:right w:val="nil"/>
            </w:tcBorders>
            <w:vAlign w:val="center"/>
          </w:tcPr>
          <w:p w14:paraId="675F46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18D0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IN OSKRBOVANCEV IMPOLJCA</w:t>
            </w:r>
          </w:p>
        </w:tc>
      </w:tr>
      <w:tr w:rsidR="00072A69" w:rsidRPr="00DC6DF9" w14:paraId="469E6A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7467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w:t>
            </w:r>
          </w:p>
        </w:tc>
        <w:tc>
          <w:tcPr>
            <w:tcW w:w="1036" w:type="dxa"/>
            <w:tcBorders>
              <w:top w:val="nil"/>
              <w:left w:val="nil"/>
              <w:bottom w:val="single" w:sz="4" w:space="0" w:color="auto"/>
              <w:right w:val="single" w:sz="4" w:space="0" w:color="auto"/>
            </w:tcBorders>
            <w:shd w:val="clear" w:color="auto" w:fill="auto"/>
            <w:noWrap/>
            <w:vAlign w:val="center"/>
            <w:hideMark/>
          </w:tcPr>
          <w:p w14:paraId="2EA63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5049741000</w:t>
            </w:r>
          </w:p>
        </w:tc>
        <w:tc>
          <w:tcPr>
            <w:tcW w:w="1036" w:type="dxa"/>
            <w:tcBorders>
              <w:top w:val="nil"/>
              <w:left w:val="nil"/>
              <w:bottom w:val="single" w:sz="4" w:space="0" w:color="auto"/>
              <w:right w:val="single" w:sz="4" w:space="0" w:color="auto"/>
            </w:tcBorders>
            <w:shd w:val="clear" w:color="auto" w:fill="auto"/>
            <w:noWrap/>
            <w:vAlign w:val="center"/>
            <w:hideMark/>
          </w:tcPr>
          <w:p w14:paraId="38B324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18512097</w:t>
            </w:r>
          </w:p>
        </w:tc>
        <w:tc>
          <w:tcPr>
            <w:tcW w:w="160" w:type="dxa"/>
            <w:tcBorders>
              <w:top w:val="nil"/>
              <w:left w:val="nil"/>
              <w:bottom w:val="single" w:sz="4" w:space="0" w:color="auto"/>
              <w:right w:val="nil"/>
            </w:tcBorders>
            <w:vAlign w:val="center"/>
          </w:tcPr>
          <w:p w14:paraId="4B9A3E4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5302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IZOLA</w:t>
            </w:r>
          </w:p>
        </w:tc>
      </w:tr>
      <w:tr w:rsidR="00072A69" w:rsidRPr="00DC6DF9" w14:paraId="46D871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7610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w:t>
            </w:r>
          </w:p>
        </w:tc>
        <w:tc>
          <w:tcPr>
            <w:tcW w:w="1036" w:type="dxa"/>
            <w:tcBorders>
              <w:top w:val="nil"/>
              <w:left w:val="nil"/>
              <w:bottom w:val="single" w:sz="4" w:space="0" w:color="auto"/>
              <w:right w:val="single" w:sz="4" w:space="0" w:color="auto"/>
            </w:tcBorders>
            <w:shd w:val="clear" w:color="auto" w:fill="auto"/>
            <w:noWrap/>
            <w:vAlign w:val="center"/>
            <w:hideMark/>
          </w:tcPr>
          <w:p w14:paraId="3A51A6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5051002000</w:t>
            </w:r>
          </w:p>
        </w:tc>
        <w:tc>
          <w:tcPr>
            <w:tcW w:w="1036" w:type="dxa"/>
            <w:tcBorders>
              <w:top w:val="nil"/>
              <w:left w:val="nil"/>
              <w:bottom w:val="single" w:sz="4" w:space="0" w:color="auto"/>
              <w:right w:val="single" w:sz="4" w:space="0" w:color="auto"/>
            </w:tcBorders>
            <w:shd w:val="clear" w:color="auto" w:fill="auto"/>
            <w:noWrap/>
            <w:vAlign w:val="center"/>
            <w:hideMark/>
          </w:tcPr>
          <w:p w14:paraId="696A5A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31802435</w:t>
            </w:r>
          </w:p>
        </w:tc>
        <w:tc>
          <w:tcPr>
            <w:tcW w:w="160" w:type="dxa"/>
            <w:tcBorders>
              <w:top w:val="nil"/>
              <w:left w:val="nil"/>
              <w:bottom w:val="single" w:sz="4" w:space="0" w:color="auto"/>
              <w:right w:val="nil"/>
            </w:tcBorders>
            <w:vAlign w:val="center"/>
          </w:tcPr>
          <w:p w14:paraId="302AFF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C89A0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KRANJ</w:t>
            </w:r>
          </w:p>
        </w:tc>
      </w:tr>
      <w:tr w:rsidR="00072A69" w:rsidRPr="00DC6DF9" w14:paraId="2A2236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781A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w:t>
            </w:r>
          </w:p>
        </w:tc>
        <w:tc>
          <w:tcPr>
            <w:tcW w:w="1036" w:type="dxa"/>
            <w:tcBorders>
              <w:top w:val="nil"/>
              <w:left w:val="nil"/>
              <w:bottom w:val="single" w:sz="4" w:space="0" w:color="auto"/>
              <w:right w:val="single" w:sz="4" w:space="0" w:color="auto"/>
            </w:tcBorders>
            <w:shd w:val="clear" w:color="auto" w:fill="auto"/>
            <w:noWrap/>
            <w:vAlign w:val="center"/>
            <w:hideMark/>
          </w:tcPr>
          <w:p w14:paraId="32A956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5057078000</w:t>
            </w:r>
          </w:p>
        </w:tc>
        <w:tc>
          <w:tcPr>
            <w:tcW w:w="1036" w:type="dxa"/>
            <w:tcBorders>
              <w:top w:val="nil"/>
              <w:left w:val="nil"/>
              <w:bottom w:val="single" w:sz="4" w:space="0" w:color="auto"/>
              <w:right w:val="single" w:sz="4" w:space="0" w:color="auto"/>
            </w:tcBorders>
            <w:shd w:val="clear" w:color="auto" w:fill="auto"/>
            <w:noWrap/>
            <w:vAlign w:val="center"/>
            <w:hideMark/>
          </w:tcPr>
          <w:p w14:paraId="256E5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38590522</w:t>
            </w:r>
          </w:p>
        </w:tc>
        <w:tc>
          <w:tcPr>
            <w:tcW w:w="160" w:type="dxa"/>
            <w:tcBorders>
              <w:top w:val="nil"/>
              <w:left w:val="nil"/>
              <w:bottom w:val="single" w:sz="4" w:space="0" w:color="auto"/>
              <w:right w:val="nil"/>
            </w:tcBorders>
            <w:vAlign w:val="center"/>
          </w:tcPr>
          <w:p w14:paraId="14B655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F1F3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NOVA GORICA</w:t>
            </w:r>
          </w:p>
        </w:tc>
      </w:tr>
      <w:tr w:rsidR="00072A69" w:rsidRPr="00DC6DF9" w14:paraId="6A4D52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A29B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w:t>
            </w:r>
          </w:p>
        </w:tc>
        <w:tc>
          <w:tcPr>
            <w:tcW w:w="1036" w:type="dxa"/>
            <w:tcBorders>
              <w:top w:val="nil"/>
              <w:left w:val="nil"/>
              <w:bottom w:val="single" w:sz="4" w:space="0" w:color="auto"/>
              <w:right w:val="single" w:sz="4" w:space="0" w:color="auto"/>
            </w:tcBorders>
            <w:shd w:val="clear" w:color="auto" w:fill="auto"/>
            <w:noWrap/>
            <w:vAlign w:val="center"/>
            <w:hideMark/>
          </w:tcPr>
          <w:p w14:paraId="6246E3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5050804000</w:t>
            </w:r>
          </w:p>
        </w:tc>
        <w:tc>
          <w:tcPr>
            <w:tcW w:w="1036" w:type="dxa"/>
            <w:tcBorders>
              <w:top w:val="nil"/>
              <w:left w:val="nil"/>
              <w:bottom w:val="single" w:sz="4" w:space="0" w:color="auto"/>
              <w:right w:val="single" w:sz="4" w:space="0" w:color="auto"/>
            </w:tcBorders>
            <w:shd w:val="clear" w:color="auto" w:fill="auto"/>
            <w:noWrap/>
            <w:vAlign w:val="center"/>
            <w:hideMark/>
          </w:tcPr>
          <w:p w14:paraId="549712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90097114</w:t>
            </w:r>
          </w:p>
        </w:tc>
        <w:tc>
          <w:tcPr>
            <w:tcW w:w="160" w:type="dxa"/>
            <w:tcBorders>
              <w:top w:val="nil"/>
              <w:left w:val="nil"/>
              <w:bottom w:val="single" w:sz="4" w:space="0" w:color="auto"/>
              <w:right w:val="nil"/>
            </w:tcBorders>
            <w:vAlign w:val="center"/>
          </w:tcPr>
          <w:p w14:paraId="42BD9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825D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PODBRDO</w:t>
            </w:r>
          </w:p>
        </w:tc>
      </w:tr>
      <w:tr w:rsidR="00072A69" w:rsidRPr="00DC6DF9" w14:paraId="7B242F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6C9B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w:t>
            </w:r>
          </w:p>
        </w:tc>
        <w:tc>
          <w:tcPr>
            <w:tcW w:w="1036" w:type="dxa"/>
            <w:tcBorders>
              <w:top w:val="nil"/>
              <w:left w:val="nil"/>
              <w:bottom w:val="single" w:sz="4" w:space="0" w:color="auto"/>
              <w:right w:val="single" w:sz="4" w:space="0" w:color="auto"/>
            </w:tcBorders>
            <w:shd w:val="clear" w:color="auto" w:fill="auto"/>
            <w:noWrap/>
            <w:vAlign w:val="center"/>
            <w:hideMark/>
          </w:tcPr>
          <w:p w14:paraId="689041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5055903000</w:t>
            </w:r>
          </w:p>
        </w:tc>
        <w:tc>
          <w:tcPr>
            <w:tcW w:w="1036" w:type="dxa"/>
            <w:tcBorders>
              <w:top w:val="nil"/>
              <w:left w:val="nil"/>
              <w:bottom w:val="single" w:sz="4" w:space="0" w:color="auto"/>
              <w:right w:val="single" w:sz="4" w:space="0" w:color="auto"/>
            </w:tcBorders>
            <w:shd w:val="clear" w:color="auto" w:fill="auto"/>
            <w:noWrap/>
            <w:vAlign w:val="center"/>
            <w:hideMark/>
          </w:tcPr>
          <w:p w14:paraId="013396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78494214</w:t>
            </w:r>
          </w:p>
        </w:tc>
        <w:tc>
          <w:tcPr>
            <w:tcW w:w="160" w:type="dxa"/>
            <w:tcBorders>
              <w:top w:val="nil"/>
              <w:left w:val="nil"/>
              <w:bottom w:val="single" w:sz="4" w:space="0" w:color="auto"/>
              <w:right w:val="nil"/>
            </w:tcBorders>
            <w:vAlign w:val="center"/>
          </w:tcPr>
          <w:p w14:paraId="332E4A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E0E0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POLZELA</w:t>
            </w:r>
          </w:p>
        </w:tc>
      </w:tr>
      <w:tr w:rsidR="00072A69" w:rsidRPr="00DC6DF9" w14:paraId="7DF440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32AA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w:t>
            </w:r>
          </w:p>
        </w:tc>
        <w:tc>
          <w:tcPr>
            <w:tcW w:w="1036" w:type="dxa"/>
            <w:tcBorders>
              <w:top w:val="nil"/>
              <w:left w:val="nil"/>
              <w:bottom w:val="single" w:sz="4" w:space="0" w:color="auto"/>
              <w:right w:val="single" w:sz="4" w:space="0" w:color="auto"/>
            </w:tcBorders>
            <w:shd w:val="clear" w:color="auto" w:fill="auto"/>
            <w:noWrap/>
            <w:vAlign w:val="center"/>
            <w:hideMark/>
          </w:tcPr>
          <w:p w14:paraId="50CB73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5050588000</w:t>
            </w:r>
          </w:p>
        </w:tc>
        <w:tc>
          <w:tcPr>
            <w:tcW w:w="1036" w:type="dxa"/>
            <w:tcBorders>
              <w:top w:val="nil"/>
              <w:left w:val="nil"/>
              <w:bottom w:val="single" w:sz="4" w:space="0" w:color="auto"/>
              <w:right w:val="single" w:sz="4" w:space="0" w:color="auto"/>
            </w:tcBorders>
            <w:shd w:val="clear" w:color="auto" w:fill="auto"/>
            <w:noWrap/>
            <w:vAlign w:val="center"/>
            <w:hideMark/>
          </w:tcPr>
          <w:p w14:paraId="280A05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62399101</w:t>
            </w:r>
          </w:p>
        </w:tc>
        <w:tc>
          <w:tcPr>
            <w:tcW w:w="160" w:type="dxa"/>
            <w:tcBorders>
              <w:top w:val="nil"/>
              <w:left w:val="nil"/>
              <w:bottom w:val="single" w:sz="4" w:space="0" w:color="auto"/>
              <w:right w:val="nil"/>
            </w:tcBorders>
            <w:vAlign w:val="center"/>
          </w:tcPr>
          <w:p w14:paraId="2371A9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6F61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POSTOJNA</w:t>
            </w:r>
          </w:p>
        </w:tc>
      </w:tr>
      <w:tr w:rsidR="00072A69" w:rsidRPr="00DC6DF9" w14:paraId="409DA4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5F43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w:t>
            </w:r>
          </w:p>
        </w:tc>
        <w:tc>
          <w:tcPr>
            <w:tcW w:w="1036" w:type="dxa"/>
            <w:tcBorders>
              <w:top w:val="nil"/>
              <w:left w:val="nil"/>
              <w:bottom w:val="single" w:sz="4" w:space="0" w:color="auto"/>
              <w:right w:val="single" w:sz="4" w:space="0" w:color="auto"/>
            </w:tcBorders>
            <w:shd w:val="clear" w:color="auto" w:fill="auto"/>
            <w:noWrap/>
            <w:vAlign w:val="center"/>
            <w:hideMark/>
          </w:tcPr>
          <w:p w14:paraId="47A544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5050618000</w:t>
            </w:r>
          </w:p>
        </w:tc>
        <w:tc>
          <w:tcPr>
            <w:tcW w:w="1036" w:type="dxa"/>
            <w:tcBorders>
              <w:top w:val="nil"/>
              <w:left w:val="nil"/>
              <w:bottom w:val="single" w:sz="4" w:space="0" w:color="auto"/>
              <w:right w:val="single" w:sz="4" w:space="0" w:color="auto"/>
            </w:tcBorders>
            <w:shd w:val="clear" w:color="auto" w:fill="auto"/>
            <w:noWrap/>
            <w:vAlign w:val="center"/>
            <w:hideMark/>
          </w:tcPr>
          <w:p w14:paraId="2A4A5B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83684921</w:t>
            </w:r>
          </w:p>
        </w:tc>
        <w:tc>
          <w:tcPr>
            <w:tcW w:w="160" w:type="dxa"/>
            <w:tcBorders>
              <w:top w:val="nil"/>
              <w:left w:val="nil"/>
              <w:bottom w:val="single" w:sz="4" w:space="0" w:color="auto"/>
              <w:right w:val="nil"/>
            </w:tcBorders>
            <w:vAlign w:val="center"/>
          </w:tcPr>
          <w:p w14:paraId="0193E6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FEA2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PTUJ</w:t>
            </w:r>
          </w:p>
        </w:tc>
      </w:tr>
      <w:tr w:rsidR="00072A69" w:rsidRPr="00DC6DF9" w14:paraId="2B9B84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CECE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w:t>
            </w:r>
          </w:p>
        </w:tc>
        <w:tc>
          <w:tcPr>
            <w:tcW w:w="1036" w:type="dxa"/>
            <w:tcBorders>
              <w:top w:val="nil"/>
              <w:left w:val="nil"/>
              <w:bottom w:val="single" w:sz="4" w:space="0" w:color="auto"/>
              <w:right w:val="single" w:sz="4" w:space="0" w:color="auto"/>
            </w:tcBorders>
            <w:shd w:val="clear" w:color="auto" w:fill="auto"/>
            <w:noWrap/>
            <w:vAlign w:val="center"/>
            <w:hideMark/>
          </w:tcPr>
          <w:p w14:paraId="6AD58F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5050677000</w:t>
            </w:r>
          </w:p>
        </w:tc>
        <w:tc>
          <w:tcPr>
            <w:tcW w:w="1036" w:type="dxa"/>
            <w:tcBorders>
              <w:top w:val="nil"/>
              <w:left w:val="nil"/>
              <w:bottom w:val="single" w:sz="4" w:space="0" w:color="auto"/>
              <w:right w:val="single" w:sz="4" w:space="0" w:color="auto"/>
            </w:tcBorders>
            <w:shd w:val="clear" w:color="auto" w:fill="auto"/>
            <w:noWrap/>
            <w:vAlign w:val="center"/>
            <w:hideMark/>
          </w:tcPr>
          <w:p w14:paraId="1DE52F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58155309</w:t>
            </w:r>
          </w:p>
        </w:tc>
        <w:tc>
          <w:tcPr>
            <w:tcW w:w="160" w:type="dxa"/>
            <w:tcBorders>
              <w:top w:val="nil"/>
              <w:left w:val="nil"/>
              <w:bottom w:val="single" w:sz="4" w:space="0" w:color="auto"/>
              <w:right w:val="nil"/>
            </w:tcBorders>
            <w:vAlign w:val="center"/>
          </w:tcPr>
          <w:p w14:paraId="7C6CF2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9119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SEŽANA</w:t>
            </w:r>
          </w:p>
        </w:tc>
      </w:tr>
      <w:tr w:rsidR="00072A69" w:rsidRPr="00DC6DF9" w14:paraId="3F6A03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48CD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w:t>
            </w:r>
          </w:p>
        </w:tc>
        <w:tc>
          <w:tcPr>
            <w:tcW w:w="1036" w:type="dxa"/>
            <w:tcBorders>
              <w:top w:val="nil"/>
              <w:left w:val="nil"/>
              <w:bottom w:val="single" w:sz="4" w:space="0" w:color="auto"/>
              <w:right w:val="single" w:sz="4" w:space="0" w:color="auto"/>
            </w:tcBorders>
            <w:shd w:val="clear" w:color="auto" w:fill="auto"/>
            <w:noWrap/>
            <w:vAlign w:val="center"/>
            <w:hideMark/>
          </w:tcPr>
          <w:p w14:paraId="6C0726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5055857000</w:t>
            </w:r>
          </w:p>
        </w:tc>
        <w:tc>
          <w:tcPr>
            <w:tcW w:w="1036" w:type="dxa"/>
            <w:tcBorders>
              <w:top w:val="nil"/>
              <w:left w:val="nil"/>
              <w:bottom w:val="single" w:sz="4" w:space="0" w:color="auto"/>
              <w:right w:val="single" w:sz="4" w:space="0" w:color="auto"/>
            </w:tcBorders>
            <w:shd w:val="clear" w:color="auto" w:fill="auto"/>
            <w:noWrap/>
            <w:vAlign w:val="center"/>
            <w:hideMark/>
          </w:tcPr>
          <w:p w14:paraId="695A60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91348030</w:t>
            </w:r>
          </w:p>
        </w:tc>
        <w:tc>
          <w:tcPr>
            <w:tcW w:w="160" w:type="dxa"/>
            <w:tcBorders>
              <w:top w:val="nil"/>
              <w:left w:val="nil"/>
              <w:bottom w:val="single" w:sz="4" w:space="0" w:color="auto"/>
              <w:right w:val="nil"/>
            </w:tcBorders>
            <w:vAlign w:val="center"/>
          </w:tcPr>
          <w:p w14:paraId="4B2918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B045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ŠMARJE PRI JELŠAH</w:t>
            </w:r>
          </w:p>
        </w:tc>
      </w:tr>
      <w:tr w:rsidR="00072A69" w:rsidRPr="00DC6DF9" w14:paraId="0C80C4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2567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w:t>
            </w:r>
          </w:p>
        </w:tc>
        <w:tc>
          <w:tcPr>
            <w:tcW w:w="1036" w:type="dxa"/>
            <w:tcBorders>
              <w:top w:val="nil"/>
              <w:left w:val="nil"/>
              <w:bottom w:val="single" w:sz="4" w:space="0" w:color="auto"/>
              <w:right w:val="single" w:sz="4" w:space="0" w:color="auto"/>
            </w:tcBorders>
            <w:shd w:val="clear" w:color="auto" w:fill="auto"/>
            <w:noWrap/>
            <w:vAlign w:val="center"/>
            <w:hideMark/>
          </w:tcPr>
          <w:p w14:paraId="73073A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5050847000</w:t>
            </w:r>
          </w:p>
        </w:tc>
        <w:tc>
          <w:tcPr>
            <w:tcW w:w="1036" w:type="dxa"/>
            <w:tcBorders>
              <w:top w:val="nil"/>
              <w:left w:val="nil"/>
              <w:bottom w:val="single" w:sz="4" w:space="0" w:color="auto"/>
              <w:right w:val="single" w:sz="4" w:space="0" w:color="auto"/>
            </w:tcBorders>
            <w:shd w:val="clear" w:color="auto" w:fill="auto"/>
            <w:noWrap/>
            <w:vAlign w:val="center"/>
            <w:hideMark/>
          </w:tcPr>
          <w:p w14:paraId="7765CE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81248504</w:t>
            </w:r>
          </w:p>
        </w:tc>
        <w:tc>
          <w:tcPr>
            <w:tcW w:w="160" w:type="dxa"/>
            <w:tcBorders>
              <w:top w:val="nil"/>
              <w:left w:val="nil"/>
              <w:bottom w:val="single" w:sz="4" w:space="0" w:color="auto"/>
              <w:right w:val="nil"/>
            </w:tcBorders>
            <w:vAlign w:val="center"/>
          </w:tcPr>
          <w:p w14:paraId="17C18C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477C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UPOKOJENCEV VRHNIKA</w:t>
            </w:r>
          </w:p>
        </w:tc>
      </w:tr>
      <w:tr w:rsidR="00072A69" w:rsidRPr="00DC6DF9" w14:paraId="2ABEE6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0A8E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w:t>
            </w:r>
          </w:p>
        </w:tc>
        <w:tc>
          <w:tcPr>
            <w:tcW w:w="1036" w:type="dxa"/>
            <w:tcBorders>
              <w:top w:val="nil"/>
              <w:left w:val="nil"/>
              <w:bottom w:val="single" w:sz="4" w:space="0" w:color="auto"/>
              <w:right w:val="single" w:sz="4" w:space="0" w:color="auto"/>
            </w:tcBorders>
            <w:shd w:val="clear" w:color="auto" w:fill="auto"/>
            <w:noWrap/>
            <w:vAlign w:val="center"/>
            <w:hideMark/>
          </w:tcPr>
          <w:p w14:paraId="07179C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5057167000</w:t>
            </w:r>
          </w:p>
        </w:tc>
        <w:tc>
          <w:tcPr>
            <w:tcW w:w="1036" w:type="dxa"/>
            <w:tcBorders>
              <w:top w:val="nil"/>
              <w:left w:val="nil"/>
              <w:bottom w:val="single" w:sz="4" w:space="0" w:color="auto"/>
              <w:right w:val="single" w:sz="4" w:space="0" w:color="auto"/>
            </w:tcBorders>
            <w:shd w:val="clear" w:color="auto" w:fill="auto"/>
            <w:noWrap/>
            <w:vAlign w:val="center"/>
            <w:hideMark/>
          </w:tcPr>
          <w:p w14:paraId="2FD93A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66702895</w:t>
            </w:r>
          </w:p>
        </w:tc>
        <w:tc>
          <w:tcPr>
            <w:tcW w:w="160" w:type="dxa"/>
            <w:tcBorders>
              <w:top w:val="nil"/>
              <w:left w:val="nil"/>
              <w:bottom w:val="single" w:sz="4" w:space="0" w:color="auto"/>
              <w:right w:val="nil"/>
            </w:tcBorders>
            <w:vAlign w:val="center"/>
          </w:tcPr>
          <w:p w14:paraId="3BA9C5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FBD8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DOM ZA VARSTVO ODRASLIH VELENJE</w:t>
            </w:r>
          </w:p>
        </w:tc>
      </w:tr>
      <w:tr w:rsidR="00072A69" w:rsidRPr="00DC6DF9" w14:paraId="3AE984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95F3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w:t>
            </w:r>
          </w:p>
        </w:tc>
        <w:tc>
          <w:tcPr>
            <w:tcW w:w="1036" w:type="dxa"/>
            <w:tcBorders>
              <w:top w:val="nil"/>
              <w:left w:val="nil"/>
              <w:bottom w:val="single" w:sz="4" w:space="0" w:color="auto"/>
              <w:right w:val="single" w:sz="4" w:space="0" w:color="auto"/>
            </w:tcBorders>
            <w:shd w:val="clear" w:color="auto" w:fill="auto"/>
            <w:noWrap/>
            <w:vAlign w:val="center"/>
            <w:hideMark/>
          </w:tcPr>
          <w:p w14:paraId="2BBB06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5044286000</w:t>
            </w:r>
          </w:p>
        </w:tc>
        <w:tc>
          <w:tcPr>
            <w:tcW w:w="1036" w:type="dxa"/>
            <w:tcBorders>
              <w:top w:val="nil"/>
              <w:left w:val="nil"/>
              <w:bottom w:val="single" w:sz="4" w:space="0" w:color="auto"/>
              <w:right w:val="single" w:sz="4" w:space="0" w:color="auto"/>
            </w:tcBorders>
            <w:shd w:val="clear" w:color="auto" w:fill="auto"/>
            <w:noWrap/>
            <w:vAlign w:val="center"/>
            <w:hideMark/>
          </w:tcPr>
          <w:p w14:paraId="40F98E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96254459</w:t>
            </w:r>
          </w:p>
        </w:tc>
        <w:tc>
          <w:tcPr>
            <w:tcW w:w="160" w:type="dxa"/>
            <w:tcBorders>
              <w:top w:val="nil"/>
              <w:left w:val="nil"/>
              <w:bottom w:val="single" w:sz="4" w:space="0" w:color="auto"/>
              <w:right w:val="nil"/>
            </w:tcBorders>
            <w:vAlign w:val="center"/>
          </w:tcPr>
          <w:p w14:paraId="40D3FA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2DCB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DRAVSKE ELEKTRARNE MARIBOR, D. O. O. </w:t>
            </w:r>
          </w:p>
        </w:tc>
      </w:tr>
      <w:tr w:rsidR="00072A69" w:rsidRPr="00DC6DF9" w14:paraId="25022C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8758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w:t>
            </w:r>
          </w:p>
        </w:tc>
        <w:tc>
          <w:tcPr>
            <w:tcW w:w="1036" w:type="dxa"/>
            <w:tcBorders>
              <w:top w:val="nil"/>
              <w:left w:val="nil"/>
              <w:bottom w:val="single" w:sz="4" w:space="0" w:color="auto"/>
              <w:right w:val="single" w:sz="4" w:space="0" w:color="auto"/>
            </w:tcBorders>
            <w:shd w:val="clear" w:color="auto" w:fill="auto"/>
            <w:noWrap/>
            <w:vAlign w:val="center"/>
            <w:hideMark/>
          </w:tcPr>
          <w:p w14:paraId="025FA3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5269652000</w:t>
            </w:r>
          </w:p>
        </w:tc>
        <w:tc>
          <w:tcPr>
            <w:tcW w:w="1036" w:type="dxa"/>
            <w:tcBorders>
              <w:top w:val="nil"/>
              <w:left w:val="nil"/>
              <w:bottom w:val="single" w:sz="4" w:space="0" w:color="auto"/>
              <w:right w:val="single" w:sz="4" w:space="0" w:color="auto"/>
            </w:tcBorders>
            <w:shd w:val="clear" w:color="auto" w:fill="auto"/>
            <w:noWrap/>
            <w:vAlign w:val="center"/>
            <w:hideMark/>
          </w:tcPr>
          <w:p w14:paraId="2A01FA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47991119</w:t>
            </w:r>
          </w:p>
        </w:tc>
        <w:tc>
          <w:tcPr>
            <w:tcW w:w="160" w:type="dxa"/>
            <w:tcBorders>
              <w:top w:val="nil"/>
              <w:left w:val="nil"/>
              <w:bottom w:val="single" w:sz="4" w:space="0" w:color="auto"/>
              <w:right w:val="nil"/>
            </w:tcBorders>
            <w:vAlign w:val="center"/>
          </w:tcPr>
          <w:p w14:paraId="29029E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8387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DRI UPRAVLJANJE INVESTICIJ, D. O. O. </w:t>
            </w:r>
          </w:p>
        </w:tc>
      </w:tr>
      <w:tr w:rsidR="00072A69" w:rsidRPr="00DC6DF9" w14:paraId="5C3A1E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73B9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w:t>
            </w:r>
          </w:p>
        </w:tc>
        <w:tc>
          <w:tcPr>
            <w:tcW w:w="1036" w:type="dxa"/>
            <w:tcBorders>
              <w:top w:val="nil"/>
              <w:left w:val="nil"/>
              <w:bottom w:val="single" w:sz="4" w:space="0" w:color="auto"/>
              <w:right w:val="single" w:sz="4" w:space="0" w:color="auto"/>
            </w:tcBorders>
            <w:shd w:val="clear" w:color="auto" w:fill="auto"/>
            <w:noWrap/>
            <w:vAlign w:val="center"/>
            <w:hideMark/>
          </w:tcPr>
          <w:p w14:paraId="7590BD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5635772000</w:t>
            </w:r>
          </w:p>
        </w:tc>
        <w:tc>
          <w:tcPr>
            <w:tcW w:w="1036" w:type="dxa"/>
            <w:tcBorders>
              <w:top w:val="nil"/>
              <w:left w:val="nil"/>
              <w:bottom w:val="single" w:sz="4" w:space="0" w:color="auto"/>
              <w:right w:val="single" w:sz="4" w:space="0" w:color="auto"/>
            </w:tcBorders>
            <w:shd w:val="clear" w:color="auto" w:fill="auto"/>
            <w:noWrap/>
            <w:vAlign w:val="center"/>
            <w:hideMark/>
          </w:tcPr>
          <w:p w14:paraId="4CC044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22973389</w:t>
            </w:r>
          </w:p>
        </w:tc>
        <w:tc>
          <w:tcPr>
            <w:tcW w:w="160" w:type="dxa"/>
            <w:tcBorders>
              <w:top w:val="nil"/>
              <w:left w:val="nil"/>
              <w:bottom w:val="single" w:sz="4" w:space="0" w:color="auto"/>
              <w:right w:val="nil"/>
            </w:tcBorders>
            <w:vAlign w:val="center"/>
          </w:tcPr>
          <w:p w14:paraId="071E77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D674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DRUGA OSNOVNA ŠOLA SLOVENJ GRADEC</w:t>
            </w:r>
          </w:p>
        </w:tc>
      </w:tr>
      <w:tr w:rsidR="00072A69" w:rsidRPr="00DC6DF9" w14:paraId="013AF2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C309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184</w:t>
            </w:r>
          </w:p>
        </w:tc>
        <w:tc>
          <w:tcPr>
            <w:tcW w:w="1036" w:type="dxa"/>
            <w:tcBorders>
              <w:top w:val="nil"/>
              <w:left w:val="nil"/>
              <w:bottom w:val="single" w:sz="4" w:space="0" w:color="auto"/>
              <w:right w:val="single" w:sz="4" w:space="0" w:color="auto"/>
            </w:tcBorders>
            <w:shd w:val="clear" w:color="auto" w:fill="auto"/>
            <w:noWrap/>
            <w:vAlign w:val="center"/>
            <w:hideMark/>
          </w:tcPr>
          <w:p w14:paraId="214F71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5814251000</w:t>
            </w:r>
          </w:p>
        </w:tc>
        <w:tc>
          <w:tcPr>
            <w:tcW w:w="1036" w:type="dxa"/>
            <w:tcBorders>
              <w:top w:val="nil"/>
              <w:left w:val="nil"/>
              <w:bottom w:val="single" w:sz="4" w:space="0" w:color="auto"/>
              <w:right w:val="single" w:sz="4" w:space="0" w:color="auto"/>
            </w:tcBorders>
            <w:shd w:val="clear" w:color="auto" w:fill="auto"/>
            <w:noWrap/>
            <w:vAlign w:val="center"/>
            <w:hideMark/>
          </w:tcPr>
          <w:p w14:paraId="7FB0D0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92473717</w:t>
            </w:r>
          </w:p>
        </w:tc>
        <w:tc>
          <w:tcPr>
            <w:tcW w:w="160" w:type="dxa"/>
            <w:tcBorders>
              <w:top w:val="nil"/>
              <w:left w:val="nil"/>
              <w:bottom w:val="single" w:sz="4" w:space="0" w:color="auto"/>
              <w:right w:val="nil"/>
            </w:tcBorders>
            <w:vAlign w:val="center"/>
          </w:tcPr>
          <w:p w14:paraId="3D3B6AA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76A2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DRUŽBA ZA AVTOCESTE V REPUBLIKI SLOVENIJI, D. D. </w:t>
            </w:r>
          </w:p>
        </w:tc>
      </w:tr>
      <w:tr w:rsidR="00072A69" w:rsidRPr="00DC6DF9" w14:paraId="6EA0E6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7F7B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w:t>
            </w:r>
          </w:p>
        </w:tc>
        <w:tc>
          <w:tcPr>
            <w:tcW w:w="1036" w:type="dxa"/>
            <w:tcBorders>
              <w:top w:val="nil"/>
              <w:left w:val="nil"/>
              <w:bottom w:val="single" w:sz="4" w:space="0" w:color="auto"/>
              <w:right w:val="single" w:sz="4" w:space="0" w:color="auto"/>
            </w:tcBorders>
            <w:shd w:val="clear" w:color="auto" w:fill="auto"/>
            <w:noWrap/>
            <w:vAlign w:val="center"/>
            <w:hideMark/>
          </w:tcPr>
          <w:p w14:paraId="2EB1CF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6339620000</w:t>
            </w:r>
          </w:p>
        </w:tc>
        <w:tc>
          <w:tcPr>
            <w:tcW w:w="1036" w:type="dxa"/>
            <w:tcBorders>
              <w:top w:val="nil"/>
              <w:left w:val="nil"/>
              <w:bottom w:val="single" w:sz="4" w:space="0" w:color="auto"/>
              <w:right w:val="single" w:sz="4" w:space="0" w:color="auto"/>
            </w:tcBorders>
            <w:shd w:val="clear" w:color="auto" w:fill="auto"/>
            <w:noWrap/>
            <w:vAlign w:val="center"/>
            <w:hideMark/>
          </w:tcPr>
          <w:p w14:paraId="767F57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41251482</w:t>
            </w:r>
          </w:p>
        </w:tc>
        <w:tc>
          <w:tcPr>
            <w:tcW w:w="160" w:type="dxa"/>
            <w:tcBorders>
              <w:top w:val="nil"/>
              <w:left w:val="nil"/>
              <w:bottom w:val="single" w:sz="4" w:space="0" w:color="auto"/>
              <w:right w:val="nil"/>
            </w:tcBorders>
            <w:vAlign w:val="center"/>
          </w:tcPr>
          <w:p w14:paraId="0E4AC9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2683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DRUŽBA ZA UPRAVLJANJE TERJATEV BANK, D. D. </w:t>
            </w:r>
          </w:p>
        </w:tc>
      </w:tr>
      <w:tr w:rsidR="00072A69" w:rsidRPr="00DC6DF9" w14:paraId="13DB7C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AF2C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w:t>
            </w:r>
          </w:p>
        </w:tc>
        <w:tc>
          <w:tcPr>
            <w:tcW w:w="1036" w:type="dxa"/>
            <w:tcBorders>
              <w:top w:val="nil"/>
              <w:left w:val="nil"/>
              <w:bottom w:val="single" w:sz="4" w:space="0" w:color="auto"/>
              <w:right w:val="single" w:sz="4" w:space="0" w:color="auto"/>
            </w:tcBorders>
            <w:shd w:val="clear" w:color="auto" w:fill="auto"/>
            <w:noWrap/>
            <w:vAlign w:val="center"/>
            <w:hideMark/>
          </w:tcPr>
          <w:p w14:paraId="34435F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1332716000</w:t>
            </w:r>
          </w:p>
        </w:tc>
        <w:tc>
          <w:tcPr>
            <w:tcW w:w="1036" w:type="dxa"/>
            <w:tcBorders>
              <w:top w:val="nil"/>
              <w:left w:val="nil"/>
              <w:bottom w:val="single" w:sz="4" w:space="0" w:color="auto"/>
              <w:right w:val="single" w:sz="4" w:space="0" w:color="auto"/>
            </w:tcBorders>
            <w:shd w:val="clear" w:color="auto" w:fill="auto"/>
            <w:noWrap/>
            <w:vAlign w:val="center"/>
            <w:hideMark/>
          </w:tcPr>
          <w:p w14:paraId="17A881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63712857</w:t>
            </w:r>
          </w:p>
        </w:tc>
        <w:tc>
          <w:tcPr>
            <w:tcW w:w="160" w:type="dxa"/>
            <w:tcBorders>
              <w:top w:val="nil"/>
              <w:left w:val="nil"/>
              <w:bottom w:val="single" w:sz="4" w:space="0" w:color="auto"/>
              <w:right w:val="nil"/>
            </w:tcBorders>
            <w:vAlign w:val="center"/>
          </w:tcPr>
          <w:p w14:paraId="367408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6619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DRŽAVNA REVIZIJSKA KOMISIJA ZA REVIZIJO POSTOPKOV ODDAJE JAVNIH NAROČIL</w:t>
            </w:r>
          </w:p>
        </w:tc>
      </w:tr>
      <w:tr w:rsidR="00072A69" w:rsidRPr="00DC6DF9" w14:paraId="1A1D3F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465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w:t>
            </w:r>
          </w:p>
        </w:tc>
        <w:tc>
          <w:tcPr>
            <w:tcW w:w="1036" w:type="dxa"/>
            <w:tcBorders>
              <w:top w:val="nil"/>
              <w:left w:val="nil"/>
              <w:bottom w:val="single" w:sz="4" w:space="0" w:color="auto"/>
              <w:right w:val="single" w:sz="4" w:space="0" w:color="auto"/>
            </w:tcBorders>
            <w:shd w:val="clear" w:color="auto" w:fill="auto"/>
            <w:noWrap/>
            <w:vAlign w:val="center"/>
            <w:hideMark/>
          </w:tcPr>
          <w:p w14:paraId="32AA62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5525098000</w:t>
            </w:r>
          </w:p>
        </w:tc>
        <w:tc>
          <w:tcPr>
            <w:tcW w:w="1036" w:type="dxa"/>
            <w:tcBorders>
              <w:top w:val="nil"/>
              <w:left w:val="nil"/>
              <w:bottom w:val="single" w:sz="4" w:space="0" w:color="auto"/>
              <w:right w:val="single" w:sz="4" w:space="0" w:color="auto"/>
            </w:tcBorders>
            <w:shd w:val="clear" w:color="auto" w:fill="auto"/>
            <w:noWrap/>
            <w:vAlign w:val="center"/>
            <w:hideMark/>
          </w:tcPr>
          <w:p w14:paraId="4D8AD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79826989</w:t>
            </w:r>
          </w:p>
        </w:tc>
        <w:tc>
          <w:tcPr>
            <w:tcW w:w="160" w:type="dxa"/>
            <w:tcBorders>
              <w:top w:val="nil"/>
              <w:left w:val="nil"/>
              <w:bottom w:val="single" w:sz="4" w:space="0" w:color="auto"/>
              <w:right w:val="nil"/>
            </w:tcBorders>
            <w:vAlign w:val="center"/>
          </w:tcPr>
          <w:p w14:paraId="61AA57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F939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DRŽAVNA VOLILNA KOMISIJA</w:t>
            </w:r>
          </w:p>
        </w:tc>
      </w:tr>
      <w:tr w:rsidR="00072A69" w:rsidRPr="00DC6DF9" w14:paraId="63D0E2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0A91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w:t>
            </w:r>
          </w:p>
        </w:tc>
        <w:tc>
          <w:tcPr>
            <w:tcW w:w="1036" w:type="dxa"/>
            <w:tcBorders>
              <w:top w:val="nil"/>
              <w:left w:val="nil"/>
              <w:bottom w:val="single" w:sz="4" w:space="0" w:color="auto"/>
              <w:right w:val="single" w:sz="4" w:space="0" w:color="auto"/>
            </w:tcBorders>
            <w:shd w:val="clear" w:color="auto" w:fill="auto"/>
            <w:noWrap/>
            <w:vAlign w:val="center"/>
            <w:hideMark/>
          </w:tcPr>
          <w:p w14:paraId="038B18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5768063000</w:t>
            </w:r>
          </w:p>
        </w:tc>
        <w:tc>
          <w:tcPr>
            <w:tcW w:w="1036" w:type="dxa"/>
            <w:tcBorders>
              <w:top w:val="nil"/>
              <w:left w:val="nil"/>
              <w:bottom w:val="single" w:sz="4" w:space="0" w:color="auto"/>
              <w:right w:val="single" w:sz="4" w:space="0" w:color="auto"/>
            </w:tcBorders>
            <w:shd w:val="clear" w:color="auto" w:fill="auto"/>
            <w:noWrap/>
            <w:vAlign w:val="center"/>
            <w:hideMark/>
          </w:tcPr>
          <w:p w14:paraId="0A3847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75000270</w:t>
            </w:r>
          </w:p>
        </w:tc>
        <w:tc>
          <w:tcPr>
            <w:tcW w:w="160" w:type="dxa"/>
            <w:tcBorders>
              <w:top w:val="nil"/>
              <w:left w:val="nil"/>
              <w:bottom w:val="single" w:sz="4" w:space="0" w:color="auto"/>
              <w:right w:val="nil"/>
            </w:tcBorders>
            <w:vAlign w:val="center"/>
          </w:tcPr>
          <w:p w14:paraId="2C10B27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9C57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DRŽAVNI IZPITNI CENTER</w:t>
            </w:r>
          </w:p>
        </w:tc>
      </w:tr>
      <w:tr w:rsidR="00072A69" w:rsidRPr="00DC6DF9" w14:paraId="4AFD9EE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85A6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w:t>
            </w:r>
          </w:p>
        </w:tc>
        <w:tc>
          <w:tcPr>
            <w:tcW w:w="1036" w:type="dxa"/>
            <w:tcBorders>
              <w:top w:val="nil"/>
              <w:left w:val="nil"/>
              <w:bottom w:val="single" w:sz="4" w:space="0" w:color="auto"/>
              <w:right w:val="single" w:sz="4" w:space="0" w:color="auto"/>
            </w:tcBorders>
            <w:shd w:val="clear" w:color="auto" w:fill="auto"/>
            <w:noWrap/>
            <w:vAlign w:val="center"/>
            <w:hideMark/>
          </w:tcPr>
          <w:p w14:paraId="256159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5648122000</w:t>
            </w:r>
          </w:p>
        </w:tc>
        <w:tc>
          <w:tcPr>
            <w:tcW w:w="1036" w:type="dxa"/>
            <w:tcBorders>
              <w:top w:val="nil"/>
              <w:left w:val="nil"/>
              <w:bottom w:val="single" w:sz="4" w:space="0" w:color="auto"/>
              <w:right w:val="single" w:sz="4" w:space="0" w:color="auto"/>
            </w:tcBorders>
            <w:shd w:val="clear" w:color="auto" w:fill="auto"/>
            <w:noWrap/>
            <w:vAlign w:val="center"/>
            <w:hideMark/>
          </w:tcPr>
          <w:p w14:paraId="22A596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30558255</w:t>
            </w:r>
          </w:p>
        </w:tc>
        <w:tc>
          <w:tcPr>
            <w:tcW w:w="160" w:type="dxa"/>
            <w:tcBorders>
              <w:top w:val="nil"/>
              <w:left w:val="nil"/>
              <w:bottom w:val="single" w:sz="4" w:space="0" w:color="auto"/>
              <w:right w:val="nil"/>
            </w:tcBorders>
            <w:vAlign w:val="center"/>
          </w:tcPr>
          <w:p w14:paraId="4595AB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D2E7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DRŽAVNI SVET REPUBLIKE SLOVENIJE</w:t>
            </w:r>
          </w:p>
        </w:tc>
      </w:tr>
      <w:tr w:rsidR="00072A69" w:rsidRPr="00DC6DF9" w14:paraId="480DBA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C59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w:t>
            </w:r>
          </w:p>
        </w:tc>
        <w:tc>
          <w:tcPr>
            <w:tcW w:w="1036" w:type="dxa"/>
            <w:tcBorders>
              <w:top w:val="nil"/>
              <w:left w:val="nil"/>
              <w:bottom w:val="single" w:sz="4" w:space="0" w:color="auto"/>
              <w:right w:val="single" w:sz="4" w:space="0" w:color="auto"/>
            </w:tcBorders>
            <w:shd w:val="clear" w:color="auto" w:fill="auto"/>
            <w:noWrap/>
            <w:vAlign w:val="center"/>
            <w:hideMark/>
          </w:tcPr>
          <w:p w14:paraId="7D2E68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5022924000</w:t>
            </w:r>
          </w:p>
        </w:tc>
        <w:tc>
          <w:tcPr>
            <w:tcW w:w="1036" w:type="dxa"/>
            <w:tcBorders>
              <w:top w:val="nil"/>
              <w:left w:val="nil"/>
              <w:bottom w:val="single" w:sz="4" w:space="0" w:color="auto"/>
              <w:right w:val="single" w:sz="4" w:space="0" w:color="auto"/>
            </w:tcBorders>
            <w:shd w:val="clear" w:color="auto" w:fill="auto"/>
            <w:noWrap/>
            <w:vAlign w:val="center"/>
            <w:hideMark/>
          </w:tcPr>
          <w:p w14:paraId="7858F0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21881677</w:t>
            </w:r>
          </w:p>
        </w:tc>
        <w:tc>
          <w:tcPr>
            <w:tcW w:w="160" w:type="dxa"/>
            <w:tcBorders>
              <w:top w:val="nil"/>
              <w:left w:val="nil"/>
              <w:bottom w:val="single" w:sz="4" w:space="0" w:color="auto"/>
              <w:right w:val="nil"/>
            </w:tcBorders>
            <w:vAlign w:val="center"/>
          </w:tcPr>
          <w:p w14:paraId="06FE7F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7B0F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DRŽAVNI ZBOR REPUBLIKE SLOVENIJE</w:t>
            </w:r>
          </w:p>
        </w:tc>
      </w:tr>
      <w:tr w:rsidR="00072A69" w:rsidRPr="00DC6DF9" w14:paraId="7690FB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AEF7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w:t>
            </w:r>
          </w:p>
        </w:tc>
        <w:tc>
          <w:tcPr>
            <w:tcW w:w="1036" w:type="dxa"/>
            <w:tcBorders>
              <w:top w:val="nil"/>
              <w:left w:val="nil"/>
              <w:bottom w:val="single" w:sz="4" w:space="0" w:color="auto"/>
              <w:right w:val="single" w:sz="4" w:space="0" w:color="auto"/>
            </w:tcBorders>
            <w:shd w:val="clear" w:color="auto" w:fill="auto"/>
            <w:noWrap/>
            <w:vAlign w:val="center"/>
            <w:hideMark/>
          </w:tcPr>
          <w:p w14:paraId="40616E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5022797000</w:t>
            </w:r>
          </w:p>
        </w:tc>
        <w:tc>
          <w:tcPr>
            <w:tcW w:w="1036" w:type="dxa"/>
            <w:tcBorders>
              <w:top w:val="nil"/>
              <w:left w:val="nil"/>
              <w:bottom w:val="single" w:sz="4" w:space="0" w:color="auto"/>
              <w:right w:val="single" w:sz="4" w:space="0" w:color="auto"/>
            </w:tcBorders>
            <w:shd w:val="clear" w:color="auto" w:fill="auto"/>
            <w:noWrap/>
            <w:vAlign w:val="center"/>
            <w:hideMark/>
          </w:tcPr>
          <w:p w14:paraId="74E015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88928616</w:t>
            </w:r>
          </w:p>
        </w:tc>
        <w:tc>
          <w:tcPr>
            <w:tcW w:w="160" w:type="dxa"/>
            <w:tcBorders>
              <w:top w:val="nil"/>
              <w:left w:val="nil"/>
              <w:bottom w:val="single" w:sz="4" w:space="0" w:color="auto"/>
              <w:right w:val="nil"/>
            </w:tcBorders>
            <w:vAlign w:val="center"/>
          </w:tcPr>
          <w:p w14:paraId="53A7A4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5435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DRŽAVNO ODVETNIŠTVO REPUBLIKE SLOVENIJE</w:t>
            </w:r>
          </w:p>
        </w:tc>
      </w:tr>
      <w:tr w:rsidR="00072A69" w:rsidRPr="00DC6DF9" w14:paraId="0DE019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0DEE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w:t>
            </w:r>
          </w:p>
        </w:tc>
        <w:tc>
          <w:tcPr>
            <w:tcW w:w="1036" w:type="dxa"/>
            <w:tcBorders>
              <w:top w:val="nil"/>
              <w:left w:val="nil"/>
              <w:bottom w:val="single" w:sz="4" w:space="0" w:color="auto"/>
              <w:right w:val="single" w:sz="4" w:space="0" w:color="auto"/>
            </w:tcBorders>
            <w:shd w:val="clear" w:color="auto" w:fill="auto"/>
            <w:noWrap/>
            <w:vAlign w:val="center"/>
            <w:hideMark/>
          </w:tcPr>
          <w:p w14:paraId="3870DB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2399326000</w:t>
            </w:r>
          </w:p>
        </w:tc>
        <w:tc>
          <w:tcPr>
            <w:tcW w:w="1036" w:type="dxa"/>
            <w:tcBorders>
              <w:top w:val="nil"/>
              <w:left w:val="nil"/>
              <w:bottom w:val="single" w:sz="4" w:space="0" w:color="auto"/>
              <w:right w:val="single" w:sz="4" w:space="0" w:color="auto"/>
            </w:tcBorders>
            <w:shd w:val="clear" w:color="auto" w:fill="auto"/>
            <w:noWrap/>
            <w:vAlign w:val="center"/>
            <w:hideMark/>
          </w:tcPr>
          <w:p w14:paraId="5C908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65930690</w:t>
            </w:r>
          </w:p>
        </w:tc>
        <w:tc>
          <w:tcPr>
            <w:tcW w:w="160" w:type="dxa"/>
            <w:tcBorders>
              <w:top w:val="nil"/>
              <w:left w:val="nil"/>
              <w:bottom w:val="single" w:sz="4" w:space="0" w:color="auto"/>
              <w:right w:val="nil"/>
            </w:tcBorders>
            <w:vAlign w:val="center"/>
          </w:tcPr>
          <w:p w14:paraId="306A80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D1DB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DRŽAVNOTOŽILSKI SVET</w:t>
            </w:r>
          </w:p>
        </w:tc>
      </w:tr>
      <w:tr w:rsidR="00072A69" w:rsidRPr="00DC6DF9" w14:paraId="74E867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4B5B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w:t>
            </w:r>
          </w:p>
        </w:tc>
        <w:tc>
          <w:tcPr>
            <w:tcW w:w="1036" w:type="dxa"/>
            <w:tcBorders>
              <w:top w:val="nil"/>
              <w:left w:val="nil"/>
              <w:bottom w:val="single" w:sz="4" w:space="0" w:color="auto"/>
              <w:right w:val="single" w:sz="4" w:space="0" w:color="auto"/>
            </w:tcBorders>
            <w:shd w:val="clear" w:color="auto" w:fill="auto"/>
            <w:noWrap/>
            <w:vAlign w:val="center"/>
            <w:hideMark/>
          </w:tcPr>
          <w:p w14:paraId="0AF72E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5086078000</w:t>
            </w:r>
          </w:p>
        </w:tc>
        <w:tc>
          <w:tcPr>
            <w:tcW w:w="1036" w:type="dxa"/>
            <w:tcBorders>
              <w:top w:val="nil"/>
              <w:left w:val="nil"/>
              <w:bottom w:val="single" w:sz="4" w:space="0" w:color="auto"/>
              <w:right w:val="single" w:sz="4" w:space="0" w:color="auto"/>
            </w:tcBorders>
            <w:shd w:val="clear" w:color="auto" w:fill="auto"/>
            <w:noWrap/>
            <w:vAlign w:val="center"/>
            <w:hideMark/>
          </w:tcPr>
          <w:p w14:paraId="47C85A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97102318</w:t>
            </w:r>
          </w:p>
        </w:tc>
        <w:tc>
          <w:tcPr>
            <w:tcW w:w="160" w:type="dxa"/>
            <w:tcBorders>
              <w:top w:val="nil"/>
              <w:left w:val="nil"/>
              <w:bottom w:val="single" w:sz="4" w:space="0" w:color="auto"/>
              <w:right w:val="nil"/>
            </w:tcBorders>
            <w:vAlign w:val="center"/>
          </w:tcPr>
          <w:p w14:paraId="6C3F25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8150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DVOJEZIČNA OSNOVNA ŠOLA DOBROVNIK</w:t>
            </w:r>
          </w:p>
        </w:tc>
      </w:tr>
      <w:tr w:rsidR="00072A69" w:rsidRPr="00DC6DF9" w14:paraId="03F403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DE1B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w:t>
            </w:r>
          </w:p>
        </w:tc>
        <w:tc>
          <w:tcPr>
            <w:tcW w:w="1036" w:type="dxa"/>
            <w:tcBorders>
              <w:top w:val="nil"/>
              <w:left w:val="nil"/>
              <w:bottom w:val="single" w:sz="4" w:space="0" w:color="auto"/>
              <w:right w:val="single" w:sz="4" w:space="0" w:color="auto"/>
            </w:tcBorders>
            <w:shd w:val="clear" w:color="auto" w:fill="auto"/>
            <w:noWrap/>
            <w:vAlign w:val="center"/>
            <w:hideMark/>
          </w:tcPr>
          <w:p w14:paraId="6DDAC4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5089735000</w:t>
            </w:r>
          </w:p>
        </w:tc>
        <w:tc>
          <w:tcPr>
            <w:tcW w:w="1036" w:type="dxa"/>
            <w:tcBorders>
              <w:top w:val="nil"/>
              <w:left w:val="nil"/>
              <w:bottom w:val="single" w:sz="4" w:space="0" w:color="auto"/>
              <w:right w:val="single" w:sz="4" w:space="0" w:color="auto"/>
            </w:tcBorders>
            <w:shd w:val="clear" w:color="auto" w:fill="auto"/>
            <w:noWrap/>
            <w:vAlign w:val="center"/>
            <w:hideMark/>
          </w:tcPr>
          <w:p w14:paraId="7CB70D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31391320</w:t>
            </w:r>
          </w:p>
        </w:tc>
        <w:tc>
          <w:tcPr>
            <w:tcW w:w="160" w:type="dxa"/>
            <w:tcBorders>
              <w:top w:val="nil"/>
              <w:left w:val="nil"/>
              <w:bottom w:val="single" w:sz="4" w:space="0" w:color="auto"/>
              <w:right w:val="nil"/>
            </w:tcBorders>
            <w:vAlign w:val="center"/>
          </w:tcPr>
          <w:p w14:paraId="159ABC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4090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DVOJEZIČNA OSNOVNA ŠOLA GENTEROVCI</w:t>
            </w:r>
          </w:p>
        </w:tc>
      </w:tr>
      <w:tr w:rsidR="00072A69" w:rsidRPr="00DC6DF9" w14:paraId="11F270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4085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w:t>
            </w:r>
          </w:p>
        </w:tc>
        <w:tc>
          <w:tcPr>
            <w:tcW w:w="1036" w:type="dxa"/>
            <w:tcBorders>
              <w:top w:val="nil"/>
              <w:left w:val="nil"/>
              <w:bottom w:val="single" w:sz="4" w:space="0" w:color="auto"/>
              <w:right w:val="single" w:sz="4" w:space="0" w:color="auto"/>
            </w:tcBorders>
            <w:shd w:val="clear" w:color="auto" w:fill="auto"/>
            <w:noWrap/>
            <w:vAlign w:val="center"/>
            <w:hideMark/>
          </w:tcPr>
          <w:p w14:paraId="1D4BE5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5089727000</w:t>
            </w:r>
          </w:p>
        </w:tc>
        <w:tc>
          <w:tcPr>
            <w:tcW w:w="1036" w:type="dxa"/>
            <w:tcBorders>
              <w:top w:val="nil"/>
              <w:left w:val="nil"/>
              <w:bottom w:val="single" w:sz="4" w:space="0" w:color="auto"/>
              <w:right w:val="single" w:sz="4" w:space="0" w:color="auto"/>
            </w:tcBorders>
            <w:shd w:val="clear" w:color="auto" w:fill="auto"/>
            <w:noWrap/>
            <w:vAlign w:val="center"/>
            <w:hideMark/>
          </w:tcPr>
          <w:p w14:paraId="03AB0C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50448625</w:t>
            </w:r>
          </w:p>
        </w:tc>
        <w:tc>
          <w:tcPr>
            <w:tcW w:w="160" w:type="dxa"/>
            <w:tcBorders>
              <w:top w:val="nil"/>
              <w:left w:val="nil"/>
              <w:bottom w:val="single" w:sz="4" w:space="0" w:color="auto"/>
              <w:right w:val="nil"/>
            </w:tcBorders>
            <w:vAlign w:val="center"/>
          </w:tcPr>
          <w:p w14:paraId="53FE3F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D83E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DVOJEZIČNA OSNOVNA ŠOLA I LENDAVA</w:t>
            </w:r>
          </w:p>
        </w:tc>
      </w:tr>
      <w:tr w:rsidR="00072A69" w:rsidRPr="00DC6DF9" w14:paraId="0F7906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C627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w:t>
            </w:r>
          </w:p>
        </w:tc>
        <w:tc>
          <w:tcPr>
            <w:tcW w:w="1036" w:type="dxa"/>
            <w:tcBorders>
              <w:top w:val="nil"/>
              <w:left w:val="nil"/>
              <w:bottom w:val="single" w:sz="4" w:space="0" w:color="auto"/>
              <w:right w:val="single" w:sz="4" w:space="0" w:color="auto"/>
            </w:tcBorders>
            <w:shd w:val="clear" w:color="auto" w:fill="auto"/>
            <w:noWrap/>
            <w:vAlign w:val="center"/>
            <w:hideMark/>
          </w:tcPr>
          <w:p w14:paraId="78ECA3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5083338000</w:t>
            </w:r>
          </w:p>
        </w:tc>
        <w:tc>
          <w:tcPr>
            <w:tcW w:w="1036" w:type="dxa"/>
            <w:tcBorders>
              <w:top w:val="nil"/>
              <w:left w:val="nil"/>
              <w:bottom w:val="single" w:sz="4" w:space="0" w:color="auto"/>
              <w:right w:val="single" w:sz="4" w:space="0" w:color="auto"/>
            </w:tcBorders>
            <w:shd w:val="clear" w:color="auto" w:fill="auto"/>
            <w:noWrap/>
            <w:vAlign w:val="center"/>
            <w:hideMark/>
          </w:tcPr>
          <w:p w14:paraId="293F26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72087528</w:t>
            </w:r>
          </w:p>
        </w:tc>
        <w:tc>
          <w:tcPr>
            <w:tcW w:w="160" w:type="dxa"/>
            <w:tcBorders>
              <w:top w:val="nil"/>
              <w:left w:val="nil"/>
              <w:bottom w:val="single" w:sz="4" w:space="0" w:color="auto"/>
              <w:right w:val="nil"/>
            </w:tcBorders>
            <w:vAlign w:val="center"/>
          </w:tcPr>
          <w:p w14:paraId="76A22C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964F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DVOJEZIČNA OSNOVNA ŠOLA II LENDAVA </w:t>
            </w:r>
          </w:p>
        </w:tc>
      </w:tr>
      <w:tr w:rsidR="00072A69" w:rsidRPr="00DC6DF9" w14:paraId="6B41DC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EB61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w:t>
            </w:r>
          </w:p>
        </w:tc>
        <w:tc>
          <w:tcPr>
            <w:tcW w:w="1036" w:type="dxa"/>
            <w:tcBorders>
              <w:top w:val="nil"/>
              <w:left w:val="nil"/>
              <w:bottom w:val="single" w:sz="4" w:space="0" w:color="auto"/>
              <w:right w:val="single" w:sz="4" w:space="0" w:color="auto"/>
            </w:tcBorders>
            <w:shd w:val="clear" w:color="auto" w:fill="auto"/>
            <w:noWrap/>
            <w:vAlign w:val="center"/>
            <w:hideMark/>
          </w:tcPr>
          <w:p w14:paraId="51156B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5243289000</w:t>
            </w:r>
          </w:p>
        </w:tc>
        <w:tc>
          <w:tcPr>
            <w:tcW w:w="1036" w:type="dxa"/>
            <w:tcBorders>
              <w:top w:val="nil"/>
              <w:left w:val="nil"/>
              <w:bottom w:val="single" w:sz="4" w:space="0" w:color="auto"/>
              <w:right w:val="single" w:sz="4" w:space="0" w:color="auto"/>
            </w:tcBorders>
            <w:shd w:val="clear" w:color="auto" w:fill="auto"/>
            <w:noWrap/>
            <w:vAlign w:val="center"/>
            <w:hideMark/>
          </w:tcPr>
          <w:p w14:paraId="3DD7F9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67749925</w:t>
            </w:r>
          </w:p>
        </w:tc>
        <w:tc>
          <w:tcPr>
            <w:tcW w:w="160" w:type="dxa"/>
            <w:tcBorders>
              <w:top w:val="nil"/>
              <w:left w:val="nil"/>
              <w:bottom w:val="single" w:sz="4" w:space="0" w:color="auto"/>
              <w:right w:val="nil"/>
            </w:tcBorders>
            <w:vAlign w:val="center"/>
          </w:tcPr>
          <w:p w14:paraId="2191DCA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CBC4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DVOJEZIČNA OSNOVNA ŠOLA PROSENJAKOVCI</w:t>
            </w:r>
          </w:p>
        </w:tc>
      </w:tr>
      <w:tr w:rsidR="00072A69" w:rsidRPr="00DC6DF9" w14:paraId="207690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BCA5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w:t>
            </w:r>
          </w:p>
        </w:tc>
        <w:tc>
          <w:tcPr>
            <w:tcW w:w="1036" w:type="dxa"/>
            <w:tcBorders>
              <w:top w:val="nil"/>
              <w:left w:val="nil"/>
              <w:bottom w:val="single" w:sz="4" w:space="0" w:color="auto"/>
              <w:right w:val="single" w:sz="4" w:space="0" w:color="auto"/>
            </w:tcBorders>
            <w:shd w:val="clear" w:color="auto" w:fill="auto"/>
            <w:noWrap/>
            <w:vAlign w:val="center"/>
            <w:hideMark/>
          </w:tcPr>
          <w:p w14:paraId="5812F9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5084067000</w:t>
            </w:r>
          </w:p>
        </w:tc>
        <w:tc>
          <w:tcPr>
            <w:tcW w:w="1036" w:type="dxa"/>
            <w:tcBorders>
              <w:top w:val="nil"/>
              <w:left w:val="nil"/>
              <w:bottom w:val="single" w:sz="4" w:space="0" w:color="auto"/>
              <w:right w:val="single" w:sz="4" w:space="0" w:color="auto"/>
            </w:tcBorders>
            <w:shd w:val="clear" w:color="auto" w:fill="auto"/>
            <w:noWrap/>
            <w:vAlign w:val="center"/>
            <w:hideMark/>
          </w:tcPr>
          <w:p w14:paraId="6AF85B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39462692</w:t>
            </w:r>
          </w:p>
        </w:tc>
        <w:tc>
          <w:tcPr>
            <w:tcW w:w="160" w:type="dxa"/>
            <w:tcBorders>
              <w:top w:val="nil"/>
              <w:left w:val="nil"/>
              <w:bottom w:val="single" w:sz="4" w:space="0" w:color="auto"/>
              <w:right w:val="nil"/>
            </w:tcBorders>
            <w:vAlign w:val="center"/>
          </w:tcPr>
          <w:p w14:paraId="54D4D2A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A308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DVOJEZIČNA SREDNJA ŠOLA LENDAVA</w:t>
            </w:r>
          </w:p>
        </w:tc>
      </w:tr>
      <w:tr w:rsidR="00072A69" w:rsidRPr="00DC6DF9" w14:paraId="7D5C80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969B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w:t>
            </w:r>
          </w:p>
        </w:tc>
        <w:tc>
          <w:tcPr>
            <w:tcW w:w="1036" w:type="dxa"/>
            <w:tcBorders>
              <w:top w:val="nil"/>
              <w:left w:val="nil"/>
              <w:bottom w:val="single" w:sz="4" w:space="0" w:color="auto"/>
              <w:right w:val="single" w:sz="4" w:space="0" w:color="auto"/>
            </w:tcBorders>
            <w:shd w:val="clear" w:color="auto" w:fill="auto"/>
            <w:noWrap/>
            <w:vAlign w:val="center"/>
            <w:hideMark/>
          </w:tcPr>
          <w:p w14:paraId="4FE1B7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5854067000</w:t>
            </w:r>
          </w:p>
        </w:tc>
        <w:tc>
          <w:tcPr>
            <w:tcW w:w="1036" w:type="dxa"/>
            <w:tcBorders>
              <w:top w:val="nil"/>
              <w:left w:val="nil"/>
              <w:bottom w:val="single" w:sz="4" w:space="0" w:color="auto"/>
              <w:right w:val="single" w:sz="4" w:space="0" w:color="auto"/>
            </w:tcBorders>
            <w:shd w:val="clear" w:color="auto" w:fill="auto"/>
            <w:noWrap/>
            <w:vAlign w:val="center"/>
            <w:hideMark/>
          </w:tcPr>
          <w:p w14:paraId="214A27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10677798</w:t>
            </w:r>
          </w:p>
        </w:tc>
        <w:tc>
          <w:tcPr>
            <w:tcW w:w="160" w:type="dxa"/>
            <w:tcBorders>
              <w:top w:val="nil"/>
              <w:left w:val="nil"/>
              <w:bottom w:val="single" w:sz="4" w:space="0" w:color="auto"/>
              <w:right w:val="nil"/>
            </w:tcBorders>
            <w:vAlign w:val="center"/>
          </w:tcPr>
          <w:p w14:paraId="34DD56C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5797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 SKLAD, SLOVENSKI OKOLJSKI JAVNI SKLAD</w:t>
            </w:r>
          </w:p>
        </w:tc>
      </w:tr>
      <w:tr w:rsidR="00072A69" w:rsidRPr="00DC6DF9" w14:paraId="07309B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C4A2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w:t>
            </w:r>
          </w:p>
        </w:tc>
        <w:tc>
          <w:tcPr>
            <w:tcW w:w="1036" w:type="dxa"/>
            <w:tcBorders>
              <w:top w:val="nil"/>
              <w:left w:val="nil"/>
              <w:bottom w:val="single" w:sz="4" w:space="0" w:color="auto"/>
              <w:right w:val="single" w:sz="4" w:space="0" w:color="auto"/>
            </w:tcBorders>
            <w:shd w:val="clear" w:color="auto" w:fill="auto"/>
            <w:noWrap/>
            <w:vAlign w:val="center"/>
            <w:hideMark/>
          </w:tcPr>
          <w:p w14:paraId="729D53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1683683000</w:t>
            </w:r>
          </w:p>
        </w:tc>
        <w:tc>
          <w:tcPr>
            <w:tcW w:w="1036" w:type="dxa"/>
            <w:tcBorders>
              <w:top w:val="nil"/>
              <w:left w:val="nil"/>
              <w:bottom w:val="single" w:sz="4" w:space="0" w:color="auto"/>
              <w:right w:val="single" w:sz="4" w:space="0" w:color="auto"/>
            </w:tcBorders>
            <w:shd w:val="clear" w:color="auto" w:fill="auto"/>
            <w:noWrap/>
            <w:vAlign w:val="center"/>
            <w:hideMark/>
          </w:tcPr>
          <w:p w14:paraId="189ABE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90170296</w:t>
            </w:r>
          </w:p>
        </w:tc>
        <w:tc>
          <w:tcPr>
            <w:tcW w:w="160" w:type="dxa"/>
            <w:tcBorders>
              <w:top w:val="nil"/>
              <w:left w:val="nil"/>
              <w:bottom w:val="single" w:sz="4" w:space="0" w:color="auto"/>
              <w:right w:val="nil"/>
            </w:tcBorders>
            <w:vAlign w:val="center"/>
          </w:tcPr>
          <w:p w14:paraId="037EDE0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187A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EKOLOŠKA DRUŽBA, D. O. O.,  ŠENTJERNEJ</w:t>
            </w:r>
          </w:p>
        </w:tc>
      </w:tr>
      <w:tr w:rsidR="00072A69" w:rsidRPr="00DC6DF9" w14:paraId="5D4DDC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C6BF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w:t>
            </w:r>
          </w:p>
        </w:tc>
        <w:tc>
          <w:tcPr>
            <w:tcW w:w="1036" w:type="dxa"/>
            <w:tcBorders>
              <w:top w:val="nil"/>
              <w:left w:val="nil"/>
              <w:bottom w:val="single" w:sz="4" w:space="0" w:color="auto"/>
              <w:right w:val="single" w:sz="4" w:space="0" w:color="auto"/>
            </w:tcBorders>
            <w:shd w:val="clear" w:color="auto" w:fill="auto"/>
            <w:noWrap/>
            <w:vAlign w:val="center"/>
            <w:hideMark/>
          </w:tcPr>
          <w:p w14:paraId="59A58A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5921724000</w:t>
            </w:r>
          </w:p>
        </w:tc>
        <w:tc>
          <w:tcPr>
            <w:tcW w:w="1036" w:type="dxa"/>
            <w:tcBorders>
              <w:top w:val="nil"/>
              <w:left w:val="nil"/>
              <w:bottom w:val="single" w:sz="4" w:space="0" w:color="auto"/>
              <w:right w:val="single" w:sz="4" w:space="0" w:color="auto"/>
            </w:tcBorders>
            <w:shd w:val="clear" w:color="auto" w:fill="auto"/>
            <w:noWrap/>
            <w:vAlign w:val="center"/>
            <w:hideMark/>
          </w:tcPr>
          <w:p w14:paraId="3EB65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95864717</w:t>
            </w:r>
          </w:p>
        </w:tc>
        <w:tc>
          <w:tcPr>
            <w:tcW w:w="160" w:type="dxa"/>
            <w:tcBorders>
              <w:top w:val="nil"/>
              <w:left w:val="nil"/>
              <w:bottom w:val="single" w:sz="4" w:space="0" w:color="auto"/>
              <w:right w:val="nil"/>
            </w:tcBorders>
            <w:vAlign w:val="center"/>
          </w:tcPr>
          <w:p w14:paraId="73B9DE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95E3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EKONOMSKA GIMNAZIJA IN SREDNJA ŠOLA RADOVLJICA</w:t>
            </w:r>
          </w:p>
        </w:tc>
      </w:tr>
      <w:tr w:rsidR="00072A69" w:rsidRPr="00DC6DF9" w14:paraId="1DB8E5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164E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w:t>
            </w:r>
          </w:p>
        </w:tc>
        <w:tc>
          <w:tcPr>
            <w:tcW w:w="1036" w:type="dxa"/>
            <w:tcBorders>
              <w:top w:val="nil"/>
              <w:left w:val="nil"/>
              <w:bottom w:val="single" w:sz="4" w:space="0" w:color="auto"/>
              <w:right w:val="single" w:sz="4" w:space="0" w:color="auto"/>
            </w:tcBorders>
            <w:shd w:val="clear" w:color="auto" w:fill="auto"/>
            <w:noWrap/>
            <w:vAlign w:val="center"/>
            <w:hideMark/>
          </w:tcPr>
          <w:p w14:paraId="65CAA2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1458558000</w:t>
            </w:r>
          </w:p>
        </w:tc>
        <w:tc>
          <w:tcPr>
            <w:tcW w:w="1036" w:type="dxa"/>
            <w:tcBorders>
              <w:top w:val="nil"/>
              <w:left w:val="nil"/>
              <w:bottom w:val="single" w:sz="4" w:space="0" w:color="auto"/>
              <w:right w:val="single" w:sz="4" w:space="0" w:color="auto"/>
            </w:tcBorders>
            <w:shd w:val="clear" w:color="auto" w:fill="auto"/>
            <w:noWrap/>
            <w:vAlign w:val="center"/>
            <w:hideMark/>
          </w:tcPr>
          <w:p w14:paraId="29CAF2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51349728</w:t>
            </w:r>
          </w:p>
        </w:tc>
        <w:tc>
          <w:tcPr>
            <w:tcW w:w="160" w:type="dxa"/>
            <w:tcBorders>
              <w:top w:val="nil"/>
              <w:left w:val="nil"/>
              <w:bottom w:val="single" w:sz="4" w:space="0" w:color="auto"/>
              <w:right w:val="nil"/>
            </w:tcBorders>
            <w:vAlign w:val="center"/>
          </w:tcPr>
          <w:p w14:paraId="69D784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11B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EKONOMSKA IN TRGOVSKA ŠOLA BREŽICE</w:t>
            </w:r>
          </w:p>
        </w:tc>
      </w:tr>
      <w:tr w:rsidR="00072A69" w:rsidRPr="00DC6DF9" w14:paraId="6BED8F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555C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w:t>
            </w:r>
          </w:p>
        </w:tc>
        <w:tc>
          <w:tcPr>
            <w:tcW w:w="1036" w:type="dxa"/>
            <w:tcBorders>
              <w:top w:val="nil"/>
              <w:left w:val="nil"/>
              <w:bottom w:val="single" w:sz="4" w:space="0" w:color="auto"/>
              <w:right w:val="single" w:sz="4" w:space="0" w:color="auto"/>
            </w:tcBorders>
            <w:shd w:val="clear" w:color="auto" w:fill="auto"/>
            <w:noWrap/>
            <w:vAlign w:val="center"/>
            <w:hideMark/>
          </w:tcPr>
          <w:p w14:paraId="3ADD3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6280684000</w:t>
            </w:r>
          </w:p>
        </w:tc>
        <w:tc>
          <w:tcPr>
            <w:tcW w:w="1036" w:type="dxa"/>
            <w:tcBorders>
              <w:top w:val="nil"/>
              <w:left w:val="nil"/>
              <w:bottom w:val="single" w:sz="4" w:space="0" w:color="auto"/>
              <w:right w:val="single" w:sz="4" w:space="0" w:color="auto"/>
            </w:tcBorders>
            <w:shd w:val="clear" w:color="auto" w:fill="auto"/>
            <w:noWrap/>
            <w:vAlign w:val="center"/>
            <w:hideMark/>
          </w:tcPr>
          <w:p w14:paraId="546654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56965346</w:t>
            </w:r>
          </w:p>
        </w:tc>
        <w:tc>
          <w:tcPr>
            <w:tcW w:w="160" w:type="dxa"/>
            <w:tcBorders>
              <w:top w:val="nil"/>
              <w:left w:val="nil"/>
              <w:bottom w:val="single" w:sz="4" w:space="0" w:color="auto"/>
              <w:right w:val="nil"/>
            </w:tcBorders>
            <w:vAlign w:val="center"/>
          </w:tcPr>
          <w:p w14:paraId="74C21C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BA6C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EKONOMSKA ŠOLA CELJE</w:t>
            </w:r>
          </w:p>
        </w:tc>
      </w:tr>
      <w:tr w:rsidR="00072A69" w:rsidRPr="00DC6DF9" w14:paraId="1B364A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A05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w:t>
            </w:r>
          </w:p>
        </w:tc>
        <w:tc>
          <w:tcPr>
            <w:tcW w:w="1036" w:type="dxa"/>
            <w:tcBorders>
              <w:top w:val="nil"/>
              <w:left w:val="nil"/>
              <w:bottom w:val="single" w:sz="4" w:space="0" w:color="auto"/>
              <w:right w:val="single" w:sz="4" w:space="0" w:color="auto"/>
            </w:tcBorders>
            <w:shd w:val="clear" w:color="auto" w:fill="auto"/>
            <w:noWrap/>
            <w:vAlign w:val="center"/>
            <w:hideMark/>
          </w:tcPr>
          <w:p w14:paraId="094D20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5216214000</w:t>
            </w:r>
          </w:p>
        </w:tc>
        <w:tc>
          <w:tcPr>
            <w:tcW w:w="1036" w:type="dxa"/>
            <w:tcBorders>
              <w:top w:val="nil"/>
              <w:left w:val="nil"/>
              <w:bottom w:val="single" w:sz="4" w:space="0" w:color="auto"/>
              <w:right w:val="single" w:sz="4" w:space="0" w:color="auto"/>
            </w:tcBorders>
            <w:shd w:val="clear" w:color="auto" w:fill="auto"/>
            <w:noWrap/>
            <w:vAlign w:val="center"/>
            <w:hideMark/>
          </w:tcPr>
          <w:p w14:paraId="6ED88D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20192533</w:t>
            </w:r>
          </w:p>
        </w:tc>
        <w:tc>
          <w:tcPr>
            <w:tcW w:w="160" w:type="dxa"/>
            <w:tcBorders>
              <w:top w:val="nil"/>
              <w:left w:val="nil"/>
              <w:bottom w:val="single" w:sz="4" w:space="0" w:color="auto"/>
              <w:right w:val="nil"/>
            </w:tcBorders>
            <w:vAlign w:val="center"/>
          </w:tcPr>
          <w:p w14:paraId="04AEE85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1394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EKONOMSKA ŠOLA MURSKA SOBOTA</w:t>
            </w:r>
          </w:p>
        </w:tc>
      </w:tr>
      <w:tr w:rsidR="00072A69" w:rsidRPr="00DC6DF9" w14:paraId="33AD80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D6C3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w:t>
            </w:r>
          </w:p>
        </w:tc>
        <w:tc>
          <w:tcPr>
            <w:tcW w:w="1036" w:type="dxa"/>
            <w:tcBorders>
              <w:top w:val="nil"/>
              <w:left w:val="nil"/>
              <w:bottom w:val="single" w:sz="4" w:space="0" w:color="auto"/>
              <w:right w:val="single" w:sz="4" w:space="0" w:color="auto"/>
            </w:tcBorders>
            <w:shd w:val="clear" w:color="auto" w:fill="auto"/>
            <w:noWrap/>
            <w:vAlign w:val="center"/>
            <w:hideMark/>
          </w:tcPr>
          <w:p w14:paraId="261A2C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5089115000</w:t>
            </w:r>
          </w:p>
        </w:tc>
        <w:tc>
          <w:tcPr>
            <w:tcW w:w="1036" w:type="dxa"/>
            <w:tcBorders>
              <w:top w:val="nil"/>
              <w:left w:val="nil"/>
              <w:bottom w:val="single" w:sz="4" w:space="0" w:color="auto"/>
              <w:right w:val="single" w:sz="4" w:space="0" w:color="auto"/>
            </w:tcBorders>
            <w:shd w:val="clear" w:color="auto" w:fill="auto"/>
            <w:noWrap/>
            <w:vAlign w:val="center"/>
            <w:hideMark/>
          </w:tcPr>
          <w:p w14:paraId="55284B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84477849</w:t>
            </w:r>
          </w:p>
        </w:tc>
        <w:tc>
          <w:tcPr>
            <w:tcW w:w="160" w:type="dxa"/>
            <w:tcBorders>
              <w:top w:val="nil"/>
              <w:left w:val="nil"/>
              <w:bottom w:val="single" w:sz="4" w:space="0" w:color="auto"/>
              <w:right w:val="nil"/>
            </w:tcBorders>
            <w:vAlign w:val="center"/>
          </w:tcPr>
          <w:p w14:paraId="05E987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122F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EKONOMSKA ŠOLA NOVO MESTO</w:t>
            </w:r>
          </w:p>
        </w:tc>
      </w:tr>
      <w:tr w:rsidR="00072A69" w:rsidRPr="00DC6DF9" w14:paraId="2EC77C9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2C6A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w:t>
            </w:r>
          </w:p>
        </w:tc>
        <w:tc>
          <w:tcPr>
            <w:tcW w:w="1036" w:type="dxa"/>
            <w:tcBorders>
              <w:top w:val="nil"/>
              <w:left w:val="nil"/>
              <w:bottom w:val="single" w:sz="4" w:space="0" w:color="auto"/>
              <w:right w:val="single" w:sz="4" w:space="0" w:color="auto"/>
            </w:tcBorders>
            <w:shd w:val="clear" w:color="auto" w:fill="auto"/>
            <w:noWrap/>
            <w:vAlign w:val="center"/>
            <w:hideMark/>
          </w:tcPr>
          <w:p w14:paraId="1CFC55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1953524000</w:t>
            </w:r>
          </w:p>
        </w:tc>
        <w:tc>
          <w:tcPr>
            <w:tcW w:w="1036" w:type="dxa"/>
            <w:tcBorders>
              <w:top w:val="nil"/>
              <w:left w:val="nil"/>
              <w:bottom w:val="single" w:sz="4" w:space="0" w:color="auto"/>
              <w:right w:val="single" w:sz="4" w:space="0" w:color="auto"/>
            </w:tcBorders>
            <w:shd w:val="clear" w:color="auto" w:fill="auto"/>
            <w:noWrap/>
            <w:vAlign w:val="center"/>
            <w:hideMark/>
          </w:tcPr>
          <w:p w14:paraId="176CEC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87430401</w:t>
            </w:r>
          </w:p>
        </w:tc>
        <w:tc>
          <w:tcPr>
            <w:tcW w:w="160" w:type="dxa"/>
            <w:tcBorders>
              <w:top w:val="nil"/>
              <w:left w:val="nil"/>
              <w:bottom w:val="single" w:sz="4" w:space="0" w:color="auto"/>
              <w:right w:val="nil"/>
            </w:tcBorders>
            <w:vAlign w:val="center"/>
          </w:tcPr>
          <w:p w14:paraId="48A6D4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299F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EKO-PARK, D. O. O., LENDAVA</w:t>
            </w:r>
          </w:p>
        </w:tc>
      </w:tr>
      <w:tr w:rsidR="00072A69" w:rsidRPr="00DC6DF9" w14:paraId="1448E5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0419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w:t>
            </w:r>
          </w:p>
        </w:tc>
        <w:tc>
          <w:tcPr>
            <w:tcW w:w="1036" w:type="dxa"/>
            <w:tcBorders>
              <w:top w:val="nil"/>
              <w:left w:val="nil"/>
              <w:bottom w:val="single" w:sz="4" w:space="0" w:color="auto"/>
              <w:right w:val="single" w:sz="4" w:space="0" w:color="auto"/>
            </w:tcBorders>
            <w:shd w:val="clear" w:color="auto" w:fill="auto"/>
            <w:noWrap/>
            <w:vAlign w:val="center"/>
            <w:hideMark/>
          </w:tcPr>
          <w:p w14:paraId="565AEE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5223067000</w:t>
            </w:r>
          </w:p>
        </w:tc>
        <w:tc>
          <w:tcPr>
            <w:tcW w:w="1036" w:type="dxa"/>
            <w:tcBorders>
              <w:top w:val="nil"/>
              <w:left w:val="nil"/>
              <w:bottom w:val="single" w:sz="4" w:space="0" w:color="auto"/>
              <w:right w:val="single" w:sz="4" w:space="0" w:color="auto"/>
            </w:tcBorders>
            <w:shd w:val="clear" w:color="auto" w:fill="auto"/>
            <w:noWrap/>
            <w:vAlign w:val="center"/>
            <w:hideMark/>
          </w:tcPr>
          <w:p w14:paraId="798046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62166859</w:t>
            </w:r>
          </w:p>
        </w:tc>
        <w:tc>
          <w:tcPr>
            <w:tcW w:w="160" w:type="dxa"/>
            <w:tcBorders>
              <w:top w:val="nil"/>
              <w:left w:val="nil"/>
              <w:bottom w:val="single" w:sz="4" w:space="0" w:color="auto"/>
              <w:right w:val="nil"/>
            </w:tcBorders>
            <w:vAlign w:val="center"/>
          </w:tcPr>
          <w:p w14:paraId="490E9AE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597E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ELEKTRO CELJE, D. D. </w:t>
            </w:r>
          </w:p>
        </w:tc>
      </w:tr>
      <w:tr w:rsidR="00072A69" w:rsidRPr="00DC6DF9" w14:paraId="3C90737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AB52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w:t>
            </w:r>
          </w:p>
        </w:tc>
        <w:tc>
          <w:tcPr>
            <w:tcW w:w="1036" w:type="dxa"/>
            <w:tcBorders>
              <w:top w:val="nil"/>
              <w:left w:val="nil"/>
              <w:bottom w:val="single" w:sz="4" w:space="0" w:color="auto"/>
              <w:right w:val="single" w:sz="4" w:space="0" w:color="auto"/>
            </w:tcBorders>
            <w:shd w:val="clear" w:color="auto" w:fill="auto"/>
            <w:noWrap/>
            <w:vAlign w:val="center"/>
            <w:hideMark/>
          </w:tcPr>
          <w:p w14:paraId="068713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5175348000</w:t>
            </w:r>
          </w:p>
        </w:tc>
        <w:tc>
          <w:tcPr>
            <w:tcW w:w="1036" w:type="dxa"/>
            <w:tcBorders>
              <w:top w:val="nil"/>
              <w:left w:val="nil"/>
              <w:bottom w:val="single" w:sz="4" w:space="0" w:color="auto"/>
              <w:right w:val="single" w:sz="4" w:space="0" w:color="auto"/>
            </w:tcBorders>
            <w:shd w:val="clear" w:color="auto" w:fill="auto"/>
            <w:noWrap/>
            <w:vAlign w:val="center"/>
            <w:hideMark/>
          </w:tcPr>
          <w:p w14:paraId="070588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20389264</w:t>
            </w:r>
          </w:p>
        </w:tc>
        <w:tc>
          <w:tcPr>
            <w:tcW w:w="160" w:type="dxa"/>
            <w:tcBorders>
              <w:top w:val="nil"/>
              <w:left w:val="nil"/>
              <w:bottom w:val="single" w:sz="4" w:space="0" w:color="auto"/>
              <w:right w:val="nil"/>
            </w:tcBorders>
            <w:vAlign w:val="center"/>
          </w:tcPr>
          <w:p w14:paraId="7A506C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5226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ELEKTRO GORENJSKA, D. D. </w:t>
            </w:r>
          </w:p>
        </w:tc>
      </w:tr>
      <w:tr w:rsidR="00072A69" w:rsidRPr="00DC6DF9" w14:paraId="2982F0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AB00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w:t>
            </w:r>
          </w:p>
        </w:tc>
        <w:tc>
          <w:tcPr>
            <w:tcW w:w="1036" w:type="dxa"/>
            <w:tcBorders>
              <w:top w:val="nil"/>
              <w:left w:val="nil"/>
              <w:bottom w:val="single" w:sz="4" w:space="0" w:color="auto"/>
              <w:right w:val="single" w:sz="4" w:space="0" w:color="auto"/>
            </w:tcBorders>
            <w:shd w:val="clear" w:color="auto" w:fill="auto"/>
            <w:noWrap/>
            <w:vAlign w:val="center"/>
            <w:hideMark/>
          </w:tcPr>
          <w:p w14:paraId="173AB3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5227992000</w:t>
            </w:r>
          </w:p>
        </w:tc>
        <w:tc>
          <w:tcPr>
            <w:tcW w:w="1036" w:type="dxa"/>
            <w:tcBorders>
              <w:top w:val="nil"/>
              <w:left w:val="nil"/>
              <w:bottom w:val="single" w:sz="4" w:space="0" w:color="auto"/>
              <w:right w:val="single" w:sz="4" w:space="0" w:color="auto"/>
            </w:tcBorders>
            <w:shd w:val="clear" w:color="auto" w:fill="auto"/>
            <w:noWrap/>
            <w:vAlign w:val="center"/>
            <w:hideMark/>
          </w:tcPr>
          <w:p w14:paraId="42041D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49977725</w:t>
            </w:r>
          </w:p>
        </w:tc>
        <w:tc>
          <w:tcPr>
            <w:tcW w:w="160" w:type="dxa"/>
            <w:tcBorders>
              <w:top w:val="nil"/>
              <w:left w:val="nil"/>
              <w:bottom w:val="single" w:sz="4" w:space="0" w:color="auto"/>
              <w:right w:val="nil"/>
            </w:tcBorders>
            <w:vAlign w:val="center"/>
          </w:tcPr>
          <w:p w14:paraId="32DFF0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10F4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ELEKTRO LJUBLJANA, D. D. </w:t>
            </w:r>
          </w:p>
        </w:tc>
      </w:tr>
      <w:tr w:rsidR="00072A69" w:rsidRPr="00DC6DF9" w14:paraId="3DB9F9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62CD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w:t>
            </w:r>
          </w:p>
        </w:tc>
        <w:tc>
          <w:tcPr>
            <w:tcW w:w="1036" w:type="dxa"/>
            <w:tcBorders>
              <w:top w:val="nil"/>
              <w:left w:val="nil"/>
              <w:bottom w:val="single" w:sz="4" w:space="0" w:color="auto"/>
              <w:right w:val="single" w:sz="4" w:space="0" w:color="auto"/>
            </w:tcBorders>
            <w:shd w:val="clear" w:color="auto" w:fill="auto"/>
            <w:noWrap/>
            <w:vAlign w:val="center"/>
            <w:hideMark/>
          </w:tcPr>
          <w:p w14:paraId="2C645A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5231698000</w:t>
            </w:r>
          </w:p>
        </w:tc>
        <w:tc>
          <w:tcPr>
            <w:tcW w:w="1036" w:type="dxa"/>
            <w:tcBorders>
              <w:top w:val="nil"/>
              <w:left w:val="nil"/>
              <w:bottom w:val="single" w:sz="4" w:space="0" w:color="auto"/>
              <w:right w:val="single" w:sz="4" w:space="0" w:color="auto"/>
            </w:tcBorders>
            <w:shd w:val="clear" w:color="auto" w:fill="auto"/>
            <w:noWrap/>
            <w:vAlign w:val="center"/>
            <w:hideMark/>
          </w:tcPr>
          <w:p w14:paraId="210144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46419853</w:t>
            </w:r>
          </w:p>
        </w:tc>
        <w:tc>
          <w:tcPr>
            <w:tcW w:w="160" w:type="dxa"/>
            <w:tcBorders>
              <w:top w:val="nil"/>
              <w:left w:val="nil"/>
              <w:bottom w:val="single" w:sz="4" w:space="0" w:color="auto"/>
              <w:right w:val="nil"/>
            </w:tcBorders>
            <w:vAlign w:val="center"/>
          </w:tcPr>
          <w:p w14:paraId="48AF21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949F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ELEKTRO MARIBOR, D. D. </w:t>
            </w:r>
          </w:p>
        </w:tc>
      </w:tr>
      <w:tr w:rsidR="00072A69" w:rsidRPr="00DC6DF9" w14:paraId="4CFCD6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AA7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w:t>
            </w:r>
          </w:p>
        </w:tc>
        <w:tc>
          <w:tcPr>
            <w:tcW w:w="1036" w:type="dxa"/>
            <w:tcBorders>
              <w:top w:val="nil"/>
              <w:left w:val="nil"/>
              <w:bottom w:val="single" w:sz="4" w:space="0" w:color="auto"/>
              <w:right w:val="single" w:sz="4" w:space="0" w:color="auto"/>
            </w:tcBorders>
            <w:shd w:val="clear" w:color="auto" w:fill="auto"/>
            <w:noWrap/>
            <w:vAlign w:val="center"/>
            <w:hideMark/>
          </w:tcPr>
          <w:p w14:paraId="009779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5229839000</w:t>
            </w:r>
          </w:p>
        </w:tc>
        <w:tc>
          <w:tcPr>
            <w:tcW w:w="1036" w:type="dxa"/>
            <w:tcBorders>
              <w:top w:val="nil"/>
              <w:left w:val="nil"/>
              <w:bottom w:val="single" w:sz="4" w:space="0" w:color="auto"/>
              <w:right w:val="single" w:sz="4" w:space="0" w:color="auto"/>
            </w:tcBorders>
            <w:shd w:val="clear" w:color="auto" w:fill="auto"/>
            <w:noWrap/>
            <w:vAlign w:val="center"/>
            <w:hideMark/>
          </w:tcPr>
          <w:p w14:paraId="4E2F4F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37102656</w:t>
            </w:r>
          </w:p>
        </w:tc>
        <w:tc>
          <w:tcPr>
            <w:tcW w:w="160" w:type="dxa"/>
            <w:tcBorders>
              <w:top w:val="nil"/>
              <w:left w:val="nil"/>
              <w:bottom w:val="single" w:sz="4" w:space="0" w:color="auto"/>
              <w:right w:val="nil"/>
            </w:tcBorders>
            <w:vAlign w:val="center"/>
          </w:tcPr>
          <w:p w14:paraId="0803056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F26A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ELEKTRO PRIMORSKA, D. D. </w:t>
            </w:r>
          </w:p>
        </w:tc>
      </w:tr>
      <w:tr w:rsidR="00072A69" w:rsidRPr="00DC6DF9" w14:paraId="497F98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B4FC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212</w:t>
            </w:r>
          </w:p>
        </w:tc>
        <w:tc>
          <w:tcPr>
            <w:tcW w:w="1036" w:type="dxa"/>
            <w:tcBorders>
              <w:top w:val="nil"/>
              <w:left w:val="nil"/>
              <w:bottom w:val="single" w:sz="4" w:space="0" w:color="auto"/>
              <w:right w:val="single" w:sz="4" w:space="0" w:color="auto"/>
            </w:tcBorders>
            <w:shd w:val="clear" w:color="auto" w:fill="auto"/>
            <w:noWrap/>
            <w:vAlign w:val="center"/>
            <w:hideMark/>
          </w:tcPr>
          <w:p w14:paraId="2C4EF4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5084172000</w:t>
            </w:r>
          </w:p>
        </w:tc>
        <w:tc>
          <w:tcPr>
            <w:tcW w:w="1036" w:type="dxa"/>
            <w:tcBorders>
              <w:top w:val="nil"/>
              <w:left w:val="nil"/>
              <w:bottom w:val="single" w:sz="4" w:space="0" w:color="auto"/>
              <w:right w:val="single" w:sz="4" w:space="0" w:color="auto"/>
            </w:tcBorders>
            <w:shd w:val="clear" w:color="auto" w:fill="auto"/>
            <w:noWrap/>
            <w:vAlign w:val="center"/>
            <w:hideMark/>
          </w:tcPr>
          <w:p w14:paraId="6BF984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83657533</w:t>
            </w:r>
          </w:p>
        </w:tc>
        <w:tc>
          <w:tcPr>
            <w:tcW w:w="160" w:type="dxa"/>
            <w:tcBorders>
              <w:top w:val="nil"/>
              <w:left w:val="nil"/>
              <w:bottom w:val="single" w:sz="4" w:space="0" w:color="auto"/>
              <w:right w:val="nil"/>
            </w:tcBorders>
            <w:vAlign w:val="center"/>
          </w:tcPr>
          <w:p w14:paraId="5E6CCB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C57E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ELEKTROTEHNIŠKO-RAČUNALNIŠKA STROKOVNA ŠOLA IN GIMNAZIJA LJUBLJANA</w:t>
            </w:r>
          </w:p>
        </w:tc>
      </w:tr>
      <w:tr w:rsidR="00072A69" w:rsidRPr="00DC6DF9" w14:paraId="3544EF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0CF9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213</w:t>
            </w:r>
          </w:p>
        </w:tc>
        <w:tc>
          <w:tcPr>
            <w:tcW w:w="1036" w:type="dxa"/>
            <w:tcBorders>
              <w:top w:val="nil"/>
              <w:left w:val="nil"/>
              <w:bottom w:val="single" w:sz="4" w:space="0" w:color="auto"/>
              <w:right w:val="single" w:sz="4" w:space="0" w:color="auto"/>
            </w:tcBorders>
            <w:shd w:val="clear" w:color="auto" w:fill="auto"/>
            <w:noWrap/>
            <w:vAlign w:val="center"/>
            <w:hideMark/>
          </w:tcPr>
          <w:p w14:paraId="6FC5A8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5427223000</w:t>
            </w:r>
          </w:p>
        </w:tc>
        <w:tc>
          <w:tcPr>
            <w:tcW w:w="1036" w:type="dxa"/>
            <w:tcBorders>
              <w:top w:val="nil"/>
              <w:left w:val="nil"/>
              <w:bottom w:val="single" w:sz="4" w:space="0" w:color="auto"/>
              <w:right w:val="single" w:sz="4" w:space="0" w:color="auto"/>
            </w:tcBorders>
            <w:shd w:val="clear" w:color="auto" w:fill="auto"/>
            <w:noWrap/>
            <w:vAlign w:val="center"/>
            <w:hideMark/>
          </w:tcPr>
          <w:p w14:paraId="0CD5EF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20874731</w:t>
            </w:r>
          </w:p>
        </w:tc>
        <w:tc>
          <w:tcPr>
            <w:tcW w:w="160" w:type="dxa"/>
            <w:tcBorders>
              <w:top w:val="nil"/>
              <w:left w:val="nil"/>
              <w:bottom w:val="single" w:sz="4" w:space="0" w:color="auto"/>
              <w:right w:val="nil"/>
            </w:tcBorders>
            <w:vAlign w:val="center"/>
          </w:tcPr>
          <w:p w14:paraId="0643B3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4A58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ELES, D. O. O. </w:t>
            </w:r>
          </w:p>
        </w:tc>
      </w:tr>
      <w:tr w:rsidR="00072A69" w:rsidRPr="00DC6DF9" w14:paraId="5CD68A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976D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w:t>
            </w:r>
          </w:p>
        </w:tc>
        <w:tc>
          <w:tcPr>
            <w:tcW w:w="1036" w:type="dxa"/>
            <w:tcBorders>
              <w:top w:val="nil"/>
              <w:left w:val="nil"/>
              <w:bottom w:val="single" w:sz="4" w:space="0" w:color="auto"/>
              <w:right w:val="single" w:sz="4" w:space="0" w:color="auto"/>
            </w:tcBorders>
            <w:shd w:val="clear" w:color="auto" w:fill="auto"/>
            <w:noWrap/>
            <w:vAlign w:val="center"/>
            <w:hideMark/>
          </w:tcPr>
          <w:p w14:paraId="3C5B57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3664830000</w:t>
            </w:r>
          </w:p>
        </w:tc>
        <w:tc>
          <w:tcPr>
            <w:tcW w:w="1036" w:type="dxa"/>
            <w:tcBorders>
              <w:top w:val="nil"/>
              <w:left w:val="nil"/>
              <w:bottom w:val="single" w:sz="4" w:space="0" w:color="auto"/>
              <w:right w:val="single" w:sz="4" w:space="0" w:color="auto"/>
            </w:tcBorders>
            <w:shd w:val="clear" w:color="auto" w:fill="auto"/>
            <w:noWrap/>
            <w:vAlign w:val="center"/>
            <w:hideMark/>
          </w:tcPr>
          <w:p w14:paraId="17383B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40412989</w:t>
            </w:r>
          </w:p>
        </w:tc>
        <w:tc>
          <w:tcPr>
            <w:tcW w:w="160" w:type="dxa"/>
            <w:tcBorders>
              <w:top w:val="nil"/>
              <w:left w:val="nil"/>
              <w:bottom w:val="single" w:sz="4" w:space="0" w:color="auto"/>
              <w:right w:val="nil"/>
            </w:tcBorders>
            <w:vAlign w:val="center"/>
          </w:tcPr>
          <w:p w14:paraId="634945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06E6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EN - FIST CENTER ODLIČNOSTI</w:t>
            </w:r>
          </w:p>
        </w:tc>
      </w:tr>
      <w:tr w:rsidR="00072A69" w:rsidRPr="00DC6DF9" w14:paraId="1F061A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99F5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215</w:t>
            </w:r>
          </w:p>
        </w:tc>
        <w:tc>
          <w:tcPr>
            <w:tcW w:w="1036" w:type="dxa"/>
            <w:tcBorders>
              <w:top w:val="nil"/>
              <w:left w:val="nil"/>
              <w:bottom w:val="single" w:sz="4" w:space="0" w:color="auto"/>
              <w:right w:val="single" w:sz="4" w:space="0" w:color="auto"/>
            </w:tcBorders>
            <w:shd w:val="clear" w:color="auto" w:fill="auto"/>
            <w:noWrap/>
            <w:vAlign w:val="center"/>
            <w:hideMark/>
          </w:tcPr>
          <w:p w14:paraId="066E4E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5914531000</w:t>
            </w:r>
          </w:p>
        </w:tc>
        <w:tc>
          <w:tcPr>
            <w:tcW w:w="1036" w:type="dxa"/>
            <w:tcBorders>
              <w:top w:val="nil"/>
              <w:left w:val="nil"/>
              <w:bottom w:val="single" w:sz="4" w:space="0" w:color="auto"/>
              <w:right w:val="single" w:sz="4" w:space="0" w:color="auto"/>
            </w:tcBorders>
            <w:shd w:val="clear" w:color="auto" w:fill="auto"/>
            <w:noWrap/>
            <w:vAlign w:val="center"/>
            <w:hideMark/>
          </w:tcPr>
          <w:p w14:paraId="50C2D5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31013180</w:t>
            </w:r>
          </w:p>
        </w:tc>
        <w:tc>
          <w:tcPr>
            <w:tcW w:w="160" w:type="dxa"/>
            <w:tcBorders>
              <w:top w:val="nil"/>
              <w:left w:val="nil"/>
              <w:bottom w:val="single" w:sz="4" w:space="0" w:color="auto"/>
              <w:right w:val="nil"/>
            </w:tcBorders>
            <w:vAlign w:val="center"/>
          </w:tcPr>
          <w:p w14:paraId="5D7FDB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0BF6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ENERGETIKA CELJE, D. O. O. </w:t>
            </w:r>
          </w:p>
        </w:tc>
      </w:tr>
      <w:tr w:rsidR="00072A69" w:rsidRPr="00DC6DF9" w14:paraId="48F1F73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2B49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216</w:t>
            </w:r>
          </w:p>
        </w:tc>
        <w:tc>
          <w:tcPr>
            <w:tcW w:w="1036" w:type="dxa"/>
            <w:tcBorders>
              <w:top w:val="nil"/>
              <w:left w:val="nil"/>
              <w:bottom w:val="single" w:sz="4" w:space="0" w:color="auto"/>
              <w:right w:val="single" w:sz="4" w:space="0" w:color="auto"/>
            </w:tcBorders>
            <w:shd w:val="clear" w:color="auto" w:fill="auto"/>
            <w:noWrap/>
            <w:vAlign w:val="center"/>
            <w:hideMark/>
          </w:tcPr>
          <w:p w14:paraId="3FC28F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5226406000</w:t>
            </w:r>
          </w:p>
        </w:tc>
        <w:tc>
          <w:tcPr>
            <w:tcW w:w="1036" w:type="dxa"/>
            <w:tcBorders>
              <w:top w:val="nil"/>
              <w:left w:val="nil"/>
              <w:bottom w:val="single" w:sz="4" w:space="0" w:color="auto"/>
              <w:right w:val="single" w:sz="4" w:space="0" w:color="auto"/>
            </w:tcBorders>
            <w:shd w:val="clear" w:color="auto" w:fill="auto"/>
            <w:noWrap/>
            <w:vAlign w:val="center"/>
            <w:hideMark/>
          </w:tcPr>
          <w:p w14:paraId="260A25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23034033</w:t>
            </w:r>
          </w:p>
        </w:tc>
        <w:tc>
          <w:tcPr>
            <w:tcW w:w="160" w:type="dxa"/>
            <w:tcBorders>
              <w:top w:val="nil"/>
              <w:left w:val="nil"/>
              <w:bottom w:val="single" w:sz="4" w:space="0" w:color="auto"/>
              <w:right w:val="nil"/>
            </w:tcBorders>
            <w:vAlign w:val="center"/>
          </w:tcPr>
          <w:p w14:paraId="6E424E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C2B6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ENERGETIKA LJUBLJANA, D. O. O. </w:t>
            </w:r>
          </w:p>
        </w:tc>
      </w:tr>
      <w:tr w:rsidR="00072A69" w:rsidRPr="00DC6DF9" w14:paraId="062268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A629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217</w:t>
            </w:r>
          </w:p>
        </w:tc>
        <w:tc>
          <w:tcPr>
            <w:tcW w:w="1036" w:type="dxa"/>
            <w:tcBorders>
              <w:top w:val="nil"/>
              <w:left w:val="nil"/>
              <w:bottom w:val="single" w:sz="4" w:space="0" w:color="auto"/>
              <w:right w:val="single" w:sz="4" w:space="0" w:color="auto"/>
            </w:tcBorders>
            <w:shd w:val="clear" w:color="auto" w:fill="auto"/>
            <w:noWrap/>
            <w:vAlign w:val="center"/>
            <w:hideMark/>
          </w:tcPr>
          <w:p w14:paraId="5287EA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5107199000</w:t>
            </w:r>
          </w:p>
        </w:tc>
        <w:tc>
          <w:tcPr>
            <w:tcW w:w="1036" w:type="dxa"/>
            <w:tcBorders>
              <w:top w:val="nil"/>
              <w:left w:val="nil"/>
              <w:bottom w:val="single" w:sz="4" w:space="0" w:color="auto"/>
              <w:right w:val="single" w:sz="4" w:space="0" w:color="auto"/>
            </w:tcBorders>
            <w:shd w:val="clear" w:color="auto" w:fill="auto"/>
            <w:noWrap/>
            <w:vAlign w:val="center"/>
            <w:hideMark/>
          </w:tcPr>
          <w:p w14:paraId="4334D5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77722922</w:t>
            </w:r>
          </w:p>
        </w:tc>
        <w:tc>
          <w:tcPr>
            <w:tcW w:w="160" w:type="dxa"/>
            <w:tcBorders>
              <w:top w:val="nil"/>
              <w:left w:val="nil"/>
              <w:bottom w:val="single" w:sz="4" w:space="0" w:color="auto"/>
              <w:right w:val="nil"/>
            </w:tcBorders>
            <w:vAlign w:val="center"/>
          </w:tcPr>
          <w:p w14:paraId="5CFEEC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CDD9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ENERGETIKA MARIBOR, D. O. O. </w:t>
            </w:r>
          </w:p>
        </w:tc>
      </w:tr>
      <w:tr w:rsidR="00072A69" w:rsidRPr="00DC6DF9" w14:paraId="3A2312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FCA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218</w:t>
            </w:r>
          </w:p>
        </w:tc>
        <w:tc>
          <w:tcPr>
            <w:tcW w:w="1036" w:type="dxa"/>
            <w:tcBorders>
              <w:top w:val="nil"/>
              <w:left w:val="nil"/>
              <w:bottom w:val="single" w:sz="4" w:space="0" w:color="auto"/>
              <w:right w:val="single" w:sz="4" w:space="0" w:color="auto"/>
            </w:tcBorders>
            <w:shd w:val="clear" w:color="auto" w:fill="auto"/>
            <w:noWrap/>
            <w:vAlign w:val="center"/>
            <w:hideMark/>
          </w:tcPr>
          <w:p w14:paraId="2899F2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2213222000</w:t>
            </w:r>
          </w:p>
        </w:tc>
        <w:tc>
          <w:tcPr>
            <w:tcW w:w="1036" w:type="dxa"/>
            <w:tcBorders>
              <w:top w:val="nil"/>
              <w:left w:val="nil"/>
              <w:bottom w:val="single" w:sz="4" w:space="0" w:color="auto"/>
              <w:right w:val="single" w:sz="4" w:space="0" w:color="auto"/>
            </w:tcBorders>
            <w:shd w:val="clear" w:color="auto" w:fill="auto"/>
            <w:noWrap/>
            <w:vAlign w:val="center"/>
            <w:hideMark/>
          </w:tcPr>
          <w:p w14:paraId="34FCE0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31306543</w:t>
            </w:r>
          </w:p>
        </w:tc>
        <w:tc>
          <w:tcPr>
            <w:tcW w:w="160" w:type="dxa"/>
            <w:tcBorders>
              <w:top w:val="nil"/>
              <w:left w:val="nil"/>
              <w:bottom w:val="single" w:sz="4" w:space="0" w:color="auto"/>
              <w:right w:val="nil"/>
            </w:tcBorders>
            <w:vAlign w:val="center"/>
          </w:tcPr>
          <w:p w14:paraId="6447FC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A201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ENERGETSKA AGENCIJA ZA PODRAVJE - ZAVOD ZA TRAJNOSTNO RABO ENERGIJE</w:t>
            </w:r>
          </w:p>
        </w:tc>
      </w:tr>
      <w:tr w:rsidR="00072A69" w:rsidRPr="00DC6DF9" w14:paraId="60B683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974D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219</w:t>
            </w:r>
          </w:p>
        </w:tc>
        <w:tc>
          <w:tcPr>
            <w:tcW w:w="1036" w:type="dxa"/>
            <w:tcBorders>
              <w:top w:val="nil"/>
              <w:left w:val="nil"/>
              <w:bottom w:val="single" w:sz="4" w:space="0" w:color="auto"/>
              <w:right w:val="single" w:sz="4" w:space="0" w:color="auto"/>
            </w:tcBorders>
            <w:shd w:val="clear" w:color="auto" w:fill="auto"/>
            <w:noWrap/>
            <w:vAlign w:val="center"/>
            <w:hideMark/>
          </w:tcPr>
          <w:p w14:paraId="3D74B2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6335055000</w:t>
            </w:r>
          </w:p>
        </w:tc>
        <w:tc>
          <w:tcPr>
            <w:tcW w:w="1036" w:type="dxa"/>
            <w:tcBorders>
              <w:top w:val="nil"/>
              <w:left w:val="nil"/>
              <w:bottom w:val="single" w:sz="4" w:space="0" w:color="auto"/>
              <w:right w:val="single" w:sz="4" w:space="0" w:color="auto"/>
            </w:tcBorders>
            <w:shd w:val="clear" w:color="auto" w:fill="auto"/>
            <w:noWrap/>
            <w:vAlign w:val="center"/>
            <w:hideMark/>
          </w:tcPr>
          <w:p w14:paraId="40FE7D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91555248</w:t>
            </w:r>
          </w:p>
        </w:tc>
        <w:tc>
          <w:tcPr>
            <w:tcW w:w="160" w:type="dxa"/>
            <w:tcBorders>
              <w:top w:val="nil"/>
              <w:left w:val="nil"/>
              <w:bottom w:val="single" w:sz="4" w:space="0" w:color="auto"/>
              <w:right w:val="nil"/>
            </w:tcBorders>
            <w:vAlign w:val="center"/>
          </w:tcPr>
          <w:p w14:paraId="7E23B6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199D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ENERGIJA IN OKOLJE, D. O. O. </w:t>
            </w:r>
          </w:p>
        </w:tc>
      </w:tr>
      <w:tr w:rsidR="00072A69" w:rsidRPr="00DC6DF9" w14:paraId="6A2D76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D9DE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w:t>
            </w:r>
          </w:p>
        </w:tc>
        <w:tc>
          <w:tcPr>
            <w:tcW w:w="1036" w:type="dxa"/>
            <w:tcBorders>
              <w:top w:val="nil"/>
              <w:left w:val="nil"/>
              <w:bottom w:val="single" w:sz="4" w:space="0" w:color="auto"/>
              <w:right w:val="single" w:sz="4" w:space="0" w:color="auto"/>
            </w:tcBorders>
            <w:shd w:val="clear" w:color="auto" w:fill="auto"/>
            <w:noWrap/>
            <w:vAlign w:val="center"/>
            <w:hideMark/>
          </w:tcPr>
          <w:p w14:paraId="453E6C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6600794000</w:t>
            </w:r>
          </w:p>
        </w:tc>
        <w:tc>
          <w:tcPr>
            <w:tcW w:w="1036" w:type="dxa"/>
            <w:tcBorders>
              <w:top w:val="nil"/>
              <w:left w:val="nil"/>
              <w:bottom w:val="single" w:sz="4" w:space="0" w:color="auto"/>
              <w:right w:val="single" w:sz="4" w:space="0" w:color="auto"/>
            </w:tcBorders>
            <w:shd w:val="clear" w:color="auto" w:fill="auto"/>
            <w:noWrap/>
            <w:vAlign w:val="center"/>
            <w:hideMark/>
          </w:tcPr>
          <w:p w14:paraId="06C8E2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72121858</w:t>
            </w:r>
          </w:p>
        </w:tc>
        <w:tc>
          <w:tcPr>
            <w:tcW w:w="160" w:type="dxa"/>
            <w:tcBorders>
              <w:top w:val="nil"/>
              <w:left w:val="nil"/>
              <w:bottom w:val="single" w:sz="4" w:space="0" w:color="auto"/>
              <w:right w:val="nil"/>
            </w:tcBorders>
            <w:vAlign w:val="center"/>
          </w:tcPr>
          <w:p w14:paraId="639A8E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69F0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ENOS OTE, OSKRBA Z VROČO VODO, D. O. O. </w:t>
            </w:r>
          </w:p>
        </w:tc>
      </w:tr>
      <w:tr w:rsidR="00072A69" w:rsidRPr="00DC6DF9" w14:paraId="515B87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262B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w:t>
            </w:r>
          </w:p>
        </w:tc>
        <w:tc>
          <w:tcPr>
            <w:tcW w:w="1036" w:type="dxa"/>
            <w:tcBorders>
              <w:top w:val="nil"/>
              <w:left w:val="nil"/>
              <w:bottom w:val="single" w:sz="4" w:space="0" w:color="auto"/>
              <w:right w:val="single" w:sz="4" w:space="0" w:color="auto"/>
            </w:tcBorders>
            <w:shd w:val="clear" w:color="auto" w:fill="auto"/>
            <w:noWrap/>
            <w:vAlign w:val="center"/>
            <w:hideMark/>
          </w:tcPr>
          <w:p w14:paraId="6C6E84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5852498000</w:t>
            </w:r>
          </w:p>
        </w:tc>
        <w:tc>
          <w:tcPr>
            <w:tcW w:w="1036" w:type="dxa"/>
            <w:tcBorders>
              <w:top w:val="nil"/>
              <w:left w:val="nil"/>
              <w:bottom w:val="single" w:sz="4" w:space="0" w:color="auto"/>
              <w:right w:val="single" w:sz="4" w:space="0" w:color="auto"/>
            </w:tcBorders>
            <w:shd w:val="clear" w:color="auto" w:fill="auto"/>
            <w:noWrap/>
            <w:vAlign w:val="center"/>
            <w:hideMark/>
          </w:tcPr>
          <w:p w14:paraId="66EF1D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23641738</w:t>
            </w:r>
          </w:p>
        </w:tc>
        <w:tc>
          <w:tcPr>
            <w:tcW w:w="160" w:type="dxa"/>
            <w:tcBorders>
              <w:top w:val="nil"/>
              <w:left w:val="nil"/>
              <w:bottom w:val="single" w:sz="4" w:space="0" w:color="auto"/>
              <w:right w:val="nil"/>
            </w:tcBorders>
            <w:vAlign w:val="center"/>
          </w:tcPr>
          <w:p w14:paraId="7E5A95E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35DC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ENOS, OSKRBA S TOPLO VODO, PARO, ELEKTRIKO IN PLINOM, D. D. </w:t>
            </w:r>
          </w:p>
        </w:tc>
      </w:tr>
      <w:tr w:rsidR="00072A69" w:rsidRPr="00DC6DF9" w14:paraId="024A25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5B0E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222</w:t>
            </w:r>
          </w:p>
        </w:tc>
        <w:tc>
          <w:tcPr>
            <w:tcW w:w="1036" w:type="dxa"/>
            <w:tcBorders>
              <w:top w:val="nil"/>
              <w:left w:val="nil"/>
              <w:bottom w:val="single" w:sz="4" w:space="0" w:color="auto"/>
              <w:right w:val="single" w:sz="4" w:space="0" w:color="auto"/>
            </w:tcBorders>
            <w:shd w:val="clear" w:color="auto" w:fill="auto"/>
            <w:noWrap/>
            <w:vAlign w:val="center"/>
            <w:hideMark/>
          </w:tcPr>
          <w:p w14:paraId="23412E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6726909000</w:t>
            </w:r>
          </w:p>
        </w:tc>
        <w:tc>
          <w:tcPr>
            <w:tcW w:w="1036" w:type="dxa"/>
            <w:tcBorders>
              <w:top w:val="nil"/>
              <w:left w:val="nil"/>
              <w:bottom w:val="single" w:sz="4" w:space="0" w:color="auto"/>
              <w:right w:val="single" w:sz="4" w:space="0" w:color="auto"/>
            </w:tcBorders>
            <w:shd w:val="clear" w:color="auto" w:fill="auto"/>
            <w:noWrap/>
            <w:vAlign w:val="center"/>
            <w:hideMark/>
          </w:tcPr>
          <w:p w14:paraId="16ABD9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40952240</w:t>
            </w:r>
          </w:p>
        </w:tc>
        <w:tc>
          <w:tcPr>
            <w:tcW w:w="160" w:type="dxa"/>
            <w:tcBorders>
              <w:top w:val="nil"/>
              <w:left w:val="nil"/>
              <w:bottom w:val="single" w:sz="4" w:space="0" w:color="auto"/>
              <w:right w:val="nil"/>
            </w:tcBorders>
            <w:vAlign w:val="center"/>
          </w:tcPr>
          <w:p w14:paraId="59D3AF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F2B6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FABCE, LETALSKE STORITVE, D. O. O. </w:t>
            </w:r>
          </w:p>
        </w:tc>
      </w:tr>
      <w:tr w:rsidR="00072A69" w:rsidRPr="00DC6DF9" w14:paraId="4E7095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92A5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223</w:t>
            </w:r>
          </w:p>
        </w:tc>
        <w:tc>
          <w:tcPr>
            <w:tcW w:w="1036" w:type="dxa"/>
            <w:tcBorders>
              <w:top w:val="nil"/>
              <w:left w:val="nil"/>
              <w:bottom w:val="single" w:sz="4" w:space="0" w:color="auto"/>
              <w:right w:val="single" w:sz="4" w:space="0" w:color="auto"/>
            </w:tcBorders>
            <w:shd w:val="clear" w:color="auto" w:fill="auto"/>
            <w:noWrap/>
            <w:vAlign w:val="center"/>
            <w:hideMark/>
          </w:tcPr>
          <w:p w14:paraId="21E8A2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3375650000</w:t>
            </w:r>
          </w:p>
        </w:tc>
        <w:tc>
          <w:tcPr>
            <w:tcW w:w="1036" w:type="dxa"/>
            <w:tcBorders>
              <w:top w:val="nil"/>
              <w:left w:val="nil"/>
              <w:bottom w:val="single" w:sz="4" w:space="0" w:color="auto"/>
              <w:right w:val="single" w:sz="4" w:space="0" w:color="auto"/>
            </w:tcBorders>
            <w:shd w:val="clear" w:color="auto" w:fill="auto"/>
            <w:noWrap/>
            <w:vAlign w:val="center"/>
            <w:hideMark/>
          </w:tcPr>
          <w:p w14:paraId="74B1BB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54608821</w:t>
            </w:r>
          </w:p>
        </w:tc>
        <w:tc>
          <w:tcPr>
            <w:tcW w:w="160" w:type="dxa"/>
            <w:tcBorders>
              <w:top w:val="nil"/>
              <w:left w:val="nil"/>
              <w:bottom w:val="single" w:sz="4" w:space="0" w:color="auto"/>
              <w:right w:val="nil"/>
            </w:tcBorders>
            <w:vAlign w:val="center"/>
          </w:tcPr>
          <w:p w14:paraId="61800A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12A5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FAKULTETA ZA INFORMACIJSKE ŠTUDIJE V NOVEM MESTU</w:t>
            </w:r>
          </w:p>
        </w:tc>
      </w:tr>
      <w:tr w:rsidR="00072A69" w:rsidRPr="00DC6DF9" w14:paraId="2D3B4F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17AD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w:t>
            </w:r>
          </w:p>
        </w:tc>
        <w:tc>
          <w:tcPr>
            <w:tcW w:w="1036" w:type="dxa"/>
            <w:tcBorders>
              <w:top w:val="nil"/>
              <w:left w:val="nil"/>
              <w:bottom w:val="single" w:sz="4" w:space="0" w:color="auto"/>
              <w:right w:val="single" w:sz="4" w:space="0" w:color="auto"/>
            </w:tcBorders>
            <w:shd w:val="clear" w:color="auto" w:fill="auto"/>
            <w:noWrap/>
            <w:vAlign w:val="center"/>
            <w:hideMark/>
          </w:tcPr>
          <w:p w14:paraId="37568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2230526000</w:t>
            </w:r>
          </w:p>
        </w:tc>
        <w:tc>
          <w:tcPr>
            <w:tcW w:w="1036" w:type="dxa"/>
            <w:tcBorders>
              <w:top w:val="nil"/>
              <w:left w:val="nil"/>
              <w:bottom w:val="single" w:sz="4" w:space="0" w:color="auto"/>
              <w:right w:val="single" w:sz="4" w:space="0" w:color="auto"/>
            </w:tcBorders>
            <w:shd w:val="clear" w:color="auto" w:fill="auto"/>
            <w:noWrap/>
            <w:vAlign w:val="center"/>
            <w:hideMark/>
          </w:tcPr>
          <w:p w14:paraId="0E6E61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10636200</w:t>
            </w:r>
          </w:p>
        </w:tc>
        <w:tc>
          <w:tcPr>
            <w:tcW w:w="160" w:type="dxa"/>
            <w:tcBorders>
              <w:top w:val="nil"/>
              <w:left w:val="nil"/>
              <w:bottom w:val="single" w:sz="4" w:space="0" w:color="auto"/>
              <w:right w:val="nil"/>
            </w:tcBorders>
            <w:vAlign w:val="center"/>
          </w:tcPr>
          <w:p w14:paraId="3B9698B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6C8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FAKULTETA ZA UPORABNE DRUŽBENE ŠTUDIJE V NOVI GORICI</w:t>
            </w:r>
          </w:p>
        </w:tc>
      </w:tr>
      <w:tr w:rsidR="00072A69" w:rsidRPr="00DC6DF9" w14:paraId="793E31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6984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w:t>
            </w:r>
          </w:p>
        </w:tc>
        <w:tc>
          <w:tcPr>
            <w:tcW w:w="1036" w:type="dxa"/>
            <w:tcBorders>
              <w:top w:val="nil"/>
              <w:left w:val="nil"/>
              <w:bottom w:val="single" w:sz="4" w:space="0" w:color="auto"/>
              <w:right w:val="single" w:sz="4" w:space="0" w:color="auto"/>
            </w:tcBorders>
            <w:shd w:val="clear" w:color="auto" w:fill="auto"/>
            <w:noWrap/>
            <w:vAlign w:val="center"/>
            <w:hideMark/>
          </w:tcPr>
          <w:p w14:paraId="061CC0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5053277000</w:t>
            </w:r>
          </w:p>
        </w:tc>
        <w:tc>
          <w:tcPr>
            <w:tcW w:w="1036" w:type="dxa"/>
            <w:tcBorders>
              <w:top w:val="nil"/>
              <w:left w:val="nil"/>
              <w:bottom w:val="single" w:sz="4" w:space="0" w:color="auto"/>
              <w:right w:val="single" w:sz="4" w:space="0" w:color="auto"/>
            </w:tcBorders>
            <w:shd w:val="clear" w:color="auto" w:fill="auto"/>
            <w:noWrap/>
            <w:vAlign w:val="center"/>
            <w:hideMark/>
          </w:tcPr>
          <w:p w14:paraId="181D50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74608002</w:t>
            </w:r>
          </w:p>
        </w:tc>
        <w:tc>
          <w:tcPr>
            <w:tcW w:w="160" w:type="dxa"/>
            <w:tcBorders>
              <w:top w:val="nil"/>
              <w:left w:val="nil"/>
              <w:bottom w:val="single" w:sz="4" w:space="0" w:color="auto"/>
              <w:right w:val="nil"/>
            </w:tcBorders>
            <w:vAlign w:val="center"/>
          </w:tcPr>
          <w:p w14:paraId="37A0DC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287C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FESTIVAL LJUBLJANA</w:t>
            </w:r>
          </w:p>
        </w:tc>
      </w:tr>
      <w:tr w:rsidR="00072A69" w:rsidRPr="00DC6DF9" w14:paraId="550D18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0CD2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226</w:t>
            </w:r>
          </w:p>
        </w:tc>
        <w:tc>
          <w:tcPr>
            <w:tcW w:w="1036" w:type="dxa"/>
            <w:tcBorders>
              <w:top w:val="nil"/>
              <w:left w:val="nil"/>
              <w:bottom w:val="single" w:sz="4" w:space="0" w:color="auto"/>
              <w:right w:val="single" w:sz="4" w:space="0" w:color="auto"/>
            </w:tcBorders>
            <w:shd w:val="clear" w:color="auto" w:fill="auto"/>
            <w:noWrap/>
            <w:vAlign w:val="center"/>
            <w:hideMark/>
          </w:tcPr>
          <w:p w14:paraId="20F11D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3305970000</w:t>
            </w:r>
          </w:p>
        </w:tc>
        <w:tc>
          <w:tcPr>
            <w:tcW w:w="1036" w:type="dxa"/>
            <w:tcBorders>
              <w:top w:val="nil"/>
              <w:left w:val="nil"/>
              <w:bottom w:val="single" w:sz="4" w:space="0" w:color="auto"/>
              <w:right w:val="single" w:sz="4" w:space="0" w:color="auto"/>
            </w:tcBorders>
            <w:shd w:val="clear" w:color="auto" w:fill="auto"/>
            <w:noWrap/>
            <w:vAlign w:val="center"/>
            <w:hideMark/>
          </w:tcPr>
          <w:p w14:paraId="5D086D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37531212</w:t>
            </w:r>
          </w:p>
        </w:tc>
        <w:tc>
          <w:tcPr>
            <w:tcW w:w="160" w:type="dxa"/>
            <w:tcBorders>
              <w:top w:val="nil"/>
              <w:left w:val="nil"/>
              <w:bottom w:val="single" w:sz="4" w:space="0" w:color="auto"/>
              <w:right w:val="nil"/>
            </w:tcBorders>
            <w:vAlign w:val="center"/>
          </w:tcPr>
          <w:p w14:paraId="276D77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9C02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FESTIVAL VELENJE</w:t>
            </w:r>
          </w:p>
        </w:tc>
      </w:tr>
      <w:tr w:rsidR="00072A69" w:rsidRPr="00DC6DF9" w14:paraId="761DE2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7B36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227</w:t>
            </w:r>
          </w:p>
        </w:tc>
        <w:tc>
          <w:tcPr>
            <w:tcW w:w="1036" w:type="dxa"/>
            <w:tcBorders>
              <w:top w:val="nil"/>
              <w:left w:val="nil"/>
              <w:bottom w:val="single" w:sz="4" w:space="0" w:color="auto"/>
              <w:right w:val="single" w:sz="4" w:space="0" w:color="auto"/>
            </w:tcBorders>
            <w:shd w:val="clear" w:color="auto" w:fill="auto"/>
            <w:noWrap/>
            <w:vAlign w:val="center"/>
            <w:hideMark/>
          </w:tcPr>
          <w:p w14:paraId="7BE2A6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5848482000</w:t>
            </w:r>
          </w:p>
        </w:tc>
        <w:tc>
          <w:tcPr>
            <w:tcW w:w="1036" w:type="dxa"/>
            <w:tcBorders>
              <w:top w:val="nil"/>
              <w:left w:val="nil"/>
              <w:bottom w:val="single" w:sz="4" w:space="0" w:color="auto"/>
              <w:right w:val="single" w:sz="4" w:space="0" w:color="auto"/>
            </w:tcBorders>
            <w:shd w:val="clear" w:color="auto" w:fill="auto"/>
            <w:noWrap/>
            <w:vAlign w:val="center"/>
            <w:hideMark/>
          </w:tcPr>
          <w:p w14:paraId="41268F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91095042</w:t>
            </w:r>
          </w:p>
        </w:tc>
        <w:tc>
          <w:tcPr>
            <w:tcW w:w="160" w:type="dxa"/>
            <w:tcBorders>
              <w:top w:val="nil"/>
              <w:left w:val="nil"/>
              <w:bottom w:val="single" w:sz="4" w:space="0" w:color="auto"/>
              <w:right w:val="nil"/>
            </w:tcBorders>
            <w:vAlign w:val="center"/>
          </w:tcPr>
          <w:p w14:paraId="7F6CFF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992B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FILMSKI STUDIO VIBA FILM LJUBLJANA</w:t>
            </w:r>
          </w:p>
        </w:tc>
      </w:tr>
      <w:tr w:rsidR="00072A69" w:rsidRPr="00DC6DF9" w14:paraId="1DD8FB2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86A8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228</w:t>
            </w:r>
          </w:p>
        </w:tc>
        <w:tc>
          <w:tcPr>
            <w:tcW w:w="1036" w:type="dxa"/>
            <w:tcBorders>
              <w:top w:val="nil"/>
              <w:left w:val="nil"/>
              <w:bottom w:val="single" w:sz="4" w:space="0" w:color="auto"/>
              <w:right w:val="single" w:sz="4" w:space="0" w:color="auto"/>
            </w:tcBorders>
            <w:shd w:val="clear" w:color="auto" w:fill="auto"/>
            <w:noWrap/>
            <w:vAlign w:val="center"/>
            <w:hideMark/>
          </w:tcPr>
          <w:p w14:paraId="1009A7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2482711000</w:t>
            </w:r>
          </w:p>
        </w:tc>
        <w:tc>
          <w:tcPr>
            <w:tcW w:w="1036" w:type="dxa"/>
            <w:tcBorders>
              <w:top w:val="nil"/>
              <w:left w:val="nil"/>
              <w:bottom w:val="single" w:sz="4" w:space="0" w:color="auto"/>
              <w:right w:val="single" w:sz="4" w:space="0" w:color="auto"/>
            </w:tcBorders>
            <w:shd w:val="clear" w:color="auto" w:fill="auto"/>
            <w:noWrap/>
            <w:vAlign w:val="center"/>
            <w:hideMark/>
          </w:tcPr>
          <w:p w14:paraId="5D5AFD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77695771</w:t>
            </w:r>
          </w:p>
        </w:tc>
        <w:tc>
          <w:tcPr>
            <w:tcW w:w="160" w:type="dxa"/>
            <w:tcBorders>
              <w:top w:val="nil"/>
              <w:left w:val="nil"/>
              <w:bottom w:val="single" w:sz="4" w:space="0" w:color="auto"/>
              <w:right w:val="nil"/>
            </w:tcBorders>
            <w:vAlign w:val="center"/>
          </w:tcPr>
          <w:p w14:paraId="06B1BA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43A9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FINANČNA UPRAVA REPUBLIKE SLOVENIJE</w:t>
            </w:r>
          </w:p>
        </w:tc>
      </w:tr>
      <w:tr w:rsidR="00072A69" w:rsidRPr="00DC6DF9" w14:paraId="3D3126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27B5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229</w:t>
            </w:r>
          </w:p>
        </w:tc>
        <w:tc>
          <w:tcPr>
            <w:tcW w:w="1036" w:type="dxa"/>
            <w:tcBorders>
              <w:top w:val="nil"/>
              <w:left w:val="nil"/>
              <w:bottom w:val="single" w:sz="4" w:space="0" w:color="auto"/>
              <w:right w:val="single" w:sz="4" w:space="0" w:color="auto"/>
            </w:tcBorders>
            <w:shd w:val="clear" w:color="auto" w:fill="auto"/>
            <w:noWrap/>
            <w:vAlign w:val="center"/>
            <w:hideMark/>
          </w:tcPr>
          <w:p w14:paraId="166CA6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2516241000</w:t>
            </w:r>
          </w:p>
        </w:tc>
        <w:tc>
          <w:tcPr>
            <w:tcW w:w="1036" w:type="dxa"/>
            <w:tcBorders>
              <w:top w:val="nil"/>
              <w:left w:val="nil"/>
              <w:bottom w:val="single" w:sz="4" w:space="0" w:color="auto"/>
              <w:right w:val="single" w:sz="4" w:space="0" w:color="auto"/>
            </w:tcBorders>
            <w:shd w:val="clear" w:color="auto" w:fill="auto"/>
            <w:noWrap/>
            <w:vAlign w:val="center"/>
            <w:hideMark/>
          </w:tcPr>
          <w:p w14:paraId="6138C8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15171230</w:t>
            </w:r>
          </w:p>
        </w:tc>
        <w:tc>
          <w:tcPr>
            <w:tcW w:w="160" w:type="dxa"/>
            <w:tcBorders>
              <w:top w:val="nil"/>
              <w:left w:val="nil"/>
              <w:bottom w:val="single" w:sz="4" w:space="0" w:color="auto"/>
              <w:right w:val="nil"/>
            </w:tcBorders>
            <w:vAlign w:val="center"/>
          </w:tcPr>
          <w:p w14:paraId="5A7E7B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42DD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FISKALNI SVET</w:t>
            </w:r>
          </w:p>
        </w:tc>
      </w:tr>
      <w:tr w:rsidR="00072A69" w:rsidRPr="00DC6DF9" w14:paraId="1E4822A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9047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w:t>
            </w:r>
          </w:p>
        </w:tc>
        <w:tc>
          <w:tcPr>
            <w:tcW w:w="1036" w:type="dxa"/>
            <w:tcBorders>
              <w:top w:val="nil"/>
              <w:left w:val="nil"/>
              <w:bottom w:val="single" w:sz="4" w:space="0" w:color="auto"/>
              <w:right w:val="single" w:sz="4" w:space="0" w:color="auto"/>
            </w:tcBorders>
            <w:shd w:val="clear" w:color="auto" w:fill="auto"/>
            <w:noWrap/>
            <w:vAlign w:val="center"/>
            <w:hideMark/>
          </w:tcPr>
          <w:p w14:paraId="372179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5142768000</w:t>
            </w:r>
          </w:p>
        </w:tc>
        <w:tc>
          <w:tcPr>
            <w:tcW w:w="1036" w:type="dxa"/>
            <w:tcBorders>
              <w:top w:val="nil"/>
              <w:left w:val="nil"/>
              <w:bottom w:val="single" w:sz="4" w:space="0" w:color="auto"/>
              <w:right w:val="single" w:sz="4" w:space="0" w:color="auto"/>
            </w:tcBorders>
            <w:shd w:val="clear" w:color="auto" w:fill="auto"/>
            <w:noWrap/>
            <w:vAlign w:val="center"/>
            <w:hideMark/>
          </w:tcPr>
          <w:p w14:paraId="1A3253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12574856</w:t>
            </w:r>
          </w:p>
        </w:tc>
        <w:tc>
          <w:tcPr>
            <w:tcW w:w="160" w:type="dxa"/>
            <w:tcBorders>
              <w:top w:val="nil"/>
              <w:left w:val="nil"/>
              <w:bottom w:val="single" w:sz="4" w:space="0" w:color="auto"/>
              <w:right w:val="nil"/>
            </w:tcBorders>
            <w:vAlign w:val="center"/>
          </w:tcPr>
          <w:p w14:paraId="17CB1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6DD3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FRAPORT SLOVENIJA, UPRAVLJANJE LETALIŠČ, D. O. O. </w:t>
            </w:r>
          </w:p>
        </w:tc>
      </w:tr>
      <w:tr w:rsidR="00072A69" w:rsidRPr="00DC6DF9" w14:paraId="1DBB89E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6524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231</w:t>
            </w:r>
          </w:p>
        </w:tc>
        <w:tc>
          <w:tcPr>
            <w:tcW w:w="1036" w:type="dxa"/>
            <w:tcBorders>
              <w:top w:val="nil"/>
              <w:left w:val="nil"/>
              <w:bottom w:val="single" w:sz="4" w:space="0" w:color="auto"/>
              <w:right w:val="single" w:sz="4" w:space="0" w:color="auto"/>
            </w:tcBorders>
            <w:shd w:val="clear" w:color="auto" w:fill="auto"/>
            <w:noWrap/>
            <w:vAlign w:val="center"/>
            <w:hideMark/>
          </w:tcPr>
          <w:p w14:paraId="53483D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1118366000</w:t>
            </w:r>
          </w:p>
        </w:tc>
        <w:tc>
          <w:tcPr>
            <w:tcW w:w="1036" w:type="dxa"/>
            <w:tcBorders>
              <w:top w:val="nil"/>
              <w:left w:val="nil"/>
              <w:bottom w:val="single" w:sz="4" w:space="0" w:color="auto"/>
              <w:right w:val="single" w:sz="4" w:space="0" w:color="auto"/>
            </w:tcBorders>
            <w:shd w:val="clear" w:color="auto" w:fill="auto"/>
            <w:noWrap/>
            <w:vAlign w:val="center"/>
            <w:hideMark/>
          </w:tcPr>
          <w:p w14:paraId="157C5B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61204935</w:t>
            </w:r>
          </w:p>
        </w:tc>
        <w:tc>
          <w:tcPr>
            <w:tcW w:w="160" w:type="dxa"/>
            <w:tcBorders>
              <w:top w:val="nil"/>
              <w:left w:val="nil"/>
              <w:bottom w:val="single" w:sz="4" w:space="0" w:color="auto"/>
              <w:right w:val="nil"/>
            </w:tcBorders>
            <w:vAlign w:val="center"/>
          </w:tcPr>
          <w:p w14:paraId="5EDF81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684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FUNDACIJA ZA FINANCIRANJE ŠPORTNIH ORGANIZACIJ V REPUBLIKI SLOVENIJI</w:t>
            </w:r>
          </w:p>
        </w:tc>
      </w:tr>
      <w:tr w:rsidR="00072A69" w:rsidRPr="00DC6DF9" w14:paraId="25863E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A622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232</w:t>
            </w:r>
          </w:p>
        </w:tc>
        <w:tc>
          <w:tcPr>
            <w:tcW w:w="1036" w:type="dxa"/>
            <w:tcBorders>
              <w:top w:val="nil"/>
              <w:left w:val="nil"/>
              <w:bottom w:val="single" w:sz="4" w:space="0" w:color="auto"/>
              <w:right w:val="single" w:sz="4" w:space="0" w:color="auto"/>
            </w:tcBorders>
            <w:shd w:val="clear" w:color="auto" w:fill="auto"/>
            <w:noWrap/>
            <w:vAlign w:val="center"/>
            <w:hideMark/>
          </w:tcPr>
          <w:p w14:paraId="06931C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1504592000</w:t>
            </w:r>
          </w:p>
        </w:tc>
        <w:tc>
          <w:tcPr>
            <w:tcW w:w="1036" w:type="dxa"/>
            <w:tcBorders>
              <w:top w:val="nil"/>
              <w:left w:val="nil"/>
              <w:bottom w:val="single" w:sz="4" w:space="0" w:color="auto"/>
              <w:right w:val="single" w:sz="4" w:space="0" w:color="auto"/>
            </w:tcBorders>
            <w:shd w:val="clear" w:color="auto" w:fill="auto"/>
            <w:noWrap/>
            <w:vAlign w:val="center"/>
            <w:hideMark/>
          </w:tcPr>
          <w:p w14:paraId="54C85D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22709495</w:t>
            </w:r>
          </w:p>
        </w:tc>
        <w:tc>
          <w:tcPr>
            <w:tcW w:w="160" w:type="dxa"/>
            <w:tcBorders>
              <w:top w:val="nil"/>
              <w:left w:val="nil"/>
              <w:bottom w:val="single" w:sz="4" w:space="0" w:color="auto"/>
              <w:right w:val="nil"/>
            </w:tcBorders>
            <w:vAlign w:val="center"/>
          </w:tcPr>
          <w:p w14:paraId="25A595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5AE1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FUNDACIJA ZA IZBOLJŠANJE ZAPOSLITVENIH MOŽNOSTI PRIZMA</w:t>
            </w:r>
          </w:p>
        </w:tc>
      </w:tr>
      <w:tr w:rsidR="00072A69" w:rsidRPr="00DC6DF9" w14:paraId="07A579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2AE1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w:t>
            </w:r>
          </w:p>
        </w:tc>
        <w:tc>
          <w:tcPr>
            <w:tcW w:w="1036" w:type="dxa"/>
            <w:tcBorders>
              <w:top w:val="nil"/>
              <w:left w:val="nil"/>
              <w:bottom w:val="single" w:sz="4" w:space="0" w:color="auto"/>
              <w:right w:val="single" w:sz="4" w:space="0" w:color="auto"/>
            </w:tcBorders>
            <w:shd w:val="clear" w:color="auto" w:fill="auto"/>
            <w:noWrap/>
            <w:vAlign w:val="center"/>
            <w:hideMark/>
          </w:tcPr>
          <w:p w14:paraId="4A234F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5007593000</w:t>
            </w:r>
          </w:p>
        </w:tc>
        <w:tc>
          <w:tcPr>
            <w:tcW w:w="1036" w:type="dxa"/>
            <w:tcBorders>
              <w:top w:val="nil"/>
              <w:left w:val="nil"/>
              <w:bottom w:val="single" w:sz="4" w:space="0" w:color="auto"/>
              <w:right w:val="single" w:sz="4" w:space="0" w:color="auto"/>
            </w:tcBorders>
            <w:shd w:val="clear" w:color="auto" w:fill="auto"/>
            <w:noWrap/>
            <w:vAlign w:val="center"/>
            <w:hideMark/>
          </w:tcPr>
          <w:p w14:paraId="47BE14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82533105</w:t>
            </w:r>
          </w:p>
        </w:tc>
        <w:tc>
          <w:tcPr>
            <w:tcW w:w="160" w:type="dxa"/>
            <w:tcBorders>
              <w:top w:val="nil"/>
              <w:left w:val="nil"/>
              <w:bottom w:val="single" w:sz="4" w:space="0" w:color="auto"/>
              <w:right w:val="nil"/>
            </w:tcBorders>
            <w:vAlign w:val="center"/>
          </w:tcPr>
          <w:p w14:paraId="6220D2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4810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GALERIJA BOŽIDAR JAKAC KOSTANJEVICA NA KRKI</w:t>
            </w:r>
          </w:p>
        </w:tc>
      </w:tr>
      <w:tr w:rsidR="00072A69" w:rsidRPr="00DC6DF9" w14:paraId="5FC9D7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3765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234</w:t>
            </w:r>
          </w:p>
        </w:tc>
        <w:tc>
          <w:tcPr>
            <w:tcW w:w="1036" w:type="dxa"/>
            <w:tcBorders>
              <w:top w:val="nil"/>
              <w:left w:val="nil"/>
              <w:bottom w:val="single" w:sz="4" w:space="0" w:color="auto"/>
              <w:right w:val="single" w:sz="4" w:space="0" w:color="auto"/>
            </w:tcBorders>
            <w:shd w:val="clear" w:color="auto" w:fill="auto"/>
            <w:noWrap/>
            <w:vAlign w:val="center"/>
            <w:hideMark/>
          </w:tcPr>
          <w:p w14:paraId="5241E8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5676304000</w:t>
            </w:r>
          </w:p>
        </w:tc>
        <w:tc>
          <w:tcPr>
            <w:tcW w:w="1036" w:type="dxa"/>
            <w:tcBorders>
              <w:top w:val="nil"/>
              <w:left w:val="nil"/>
              <w:bottom w:val="single" w:sz="4" w:space="0" w:color="auto"/>
              <w:right w:val="single" w:sz="4" w:space="0" w:color="auto"/>
            </w:tcBorders>
            <w:shd w:val="clear" w:color="auto" w:fill="auto"/>
            <w:noWrap/>
            <w:vAlign w:val="center"/>
            <w:hideMark/>
          </w:tcPr>
          <w:p w14:paraId="459036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88640485</w:t>
            </w:r>
          </w:p>
        </w:tc>
        <w:tc>
          <w:tcPr>
            <w:tcW w:w="160" w:type="dxa"/>
            <w:tcBorders>
              <w:top w:val="nil"/>
              <w:left w:val="nil"/>
              <w:bottom w:val="single" w:sz="4" w:space="0" w:color="auto"/>
              <w:right w:val="nil"/>
            </w:tcBorders>
            <w:vAlign w:val="center"/>
          </w:tcPr>
          <w:p w14:paraId="4892B38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FF36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GALERIJA MURSKA SOBOTA</w:t>
            </w:r>
          </w:p>
        </w:tc>
      </w:tr>
      <w:tr w:rsidR="00072A69" w:rsidRPr="00DC6DF9" w14:paraId="4AFD11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660B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235</w:t>
            </w:r>
          </w:p>
        </w:tc>
        <w:tc>
          <w:tcPr>
            <w:tcW w:w="1036" w:type="dxa"/>
            <w:tcBorders>
              <w:top w:val="nil"/>
              <w:left w:val="nil"/>
              <w:bottom w:val="single" w:sz="4" w:space="0" w:color="auto"/>
              <w:right w:val="single" w:sz="4" w:space="0" w:color="auto"/>
            </w:tcBorders>
            <w:shd w:val="clear" w:color="auto" w:fill="auto"/>
            <w:noWrap/>
            <w:vAlign w:val="center"/>
            <w:hideMark/>
          </w:tcPr>
          <w:p w14:paraId="2ED632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5241626000</w:t>
            </w:r>
          </w:p>
        </w:tc>
        <w:tc>
          <w:tcPr>
            <w:tcW w:w="1036" w:type="dxa"/>
            <w:tcBorders>
              <w:top w:val="nil"/>
              <w:left w:val="nil"/>
              <w:bottom w:val="single" w:sz="4" w:space="0" w:color="auto"/>
              <w:right w:val="single" w:sz="4" w:space="0" w:color="auto"/>
            </w:tcBorders>
            <w:shd w:val="clear" w:color="auto" w:fill="auto"/>
            <w:noWrap/>
            <w:vAlign w:val="center"/>
            <w:hideMark/>
          </w:tcPr>
          <w:p w14:paraId="6A6147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98576801</w:t>
            </w:r>
          </w:p>
        </w:tc>
        <w:tc>
          <w:tcPr>
            <w:tcW w:w="160" w:type="dxa"/>
            <w:tcBorders>
              <w:top w:val="nil"/>
              <w:left w:val="nil"/>
              <w:bottom w:val="single" w:sz="4" w:space="0" w:color="auto"/>
              <w:right w:val="nil"/>
            </w:tcBorders>
            <w:vAlign w:val="center"/>
          </w:tcPr>
          <w:p w14:paraId="310DFEE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F827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BRIGADA KOPER</w:t>
            </w:r>
          </w:p>
        </w:tc>
      </w:tr>
      <w:tr w:rsidR="00072A69" w:rsidRPr="00DC6DF9" w14:paraId="2AD442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8F88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236</w:t>
            </w:r>
          </w:p>
        </w:tc>
        <w:tc>
          <w:tcPr>
            <w:tcW w:w="1036" w:type="dxa"/>
            <w:tcBorders>
              <w:top w:val="nil"/>
              <w:left w:val="nil"/>
              <w:bottom w:val="single" w:sz="4" w:space="0" w:color="auto"/>
              <w:right w:val="single" w:sz="4" w:space="0" w:color="auto"/>
            </w:tcBorders>
            <w:shd w:val="clear" w:color="auto" w:fill="auto"/>
            <w:noWrap/>
            <w:vAlign w:val="center"/>
            <w:hideMark/>
          </w:tcPr>
          <w:p w14:paraId="426833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5022711000</w:t>
            </w:r>
          </w:p>
        </w:tc>
        <w:tc>
          <w:tcPr>
            <w:tcW w:w="1036" w:type="dxa"/>
            <w:tcBorders>
              <w:top w:val="nil"/>
              <w:left w:val="nil"/>
              <w:bottom w:val="single" w:sz="4" w:space="0" w:color="auto"/>
              <w:right w:val="single" w:sz="4" w:space="0" w:color="auto"/>
            </w:tcBorders>
            <w:shd w:val="clear" w:color="auto" w:fill="auto"/>
            <w:noWrap/>
            <w:vAlign w:val="center"/>
            <w:hideMark/>
          </w:tcPr>
          <w:p w14:paraId="329B69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21654255</w:t>
            </w:r>
          </w:p>
        </w:tc>
        <w:tc>
          <w:tcPr>
            <w:tcW w:w="160" w:type="dxa"/>
            <w:tcBorders>
              <w:top w:val="nil"/>
              <w:left w:val="nil"/>
              <w:bottom w:val="single" w:sz="4" w:space="0" w:color="auto"/>
              <w:right w:val="nil"/>
            </w:tcBorders>
            <w:vAlign w:val="center"/>
          </w:tcPr>
          <w:p w14:paraId="0F398B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9AE8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BRIGADA LJUBLJANA</w:t>
            </w:r>
          </w:p>
        </w:tc>
      </w:tr>
      <w:tr w:rsidR="00072A69" w:rsidRPr="00DC6DF9" w14:paraId="6661B4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07B6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237</w:t>
            </w:r>
          </w:p>
        </w:tc>
        <w:tc>
          <w:tcPr>
            <w:tcW w:w="1036" w:type="dxa"/>
            <w:tcBorders>
              <w:top w:val="nil"/>
              <w:left w:val="nil"/>
              <w:bottom w:val="single" w:sz="4" w:space="0" w:color="auto"/>
              <w:right w:val="single" w:sz="4" w:space="0" w:color="auto"/>
            </w:tcBorders>
            <w:shd w:val="clear" w:color="auto" w:fill="auto"/>
            <w:noWrap/>
            <w:vAlign w:val="center"/>
            <w:hideMark/>
          </w:tcPr>
          <w:p w14:paraId="3EFFF7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5067979000</w:t>
            </w:r>
          </w:p>
        </w:tc>
        <w:tc>
          <w:tcPr>
            <w:tcW w:w="1036" w:type="dxa"/>
            <w:tcBorders>
              <w:top w:val="nil"/>
              <w:left w:val="nil"/>
              <w:bottom w:val="single" w:sz="4" w:space="0" w:color="auto"/>
              <w:right w:val="single" w:sz="4" w:space="0" w:color="auto"/>
            </w:tcBorders>
            <w:shd w:val="clear" w:color="auto" w:fill="auto"/>
            <w:noWrap/>
            <w:vAlign w:val="center"/>
            <w:hideMark/>
          </w:tcPr>
          <w:p w14:paraId="7CC716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23284161</w:t>
            </w:r>
          </w:p>
        </w:tc>
        <w:tc>
          <w:tcPr>
            <w:tcW w:w="160" w:type="dxa"/>
            <w:tcBorders>
              <w:top w:val="nil"/>
              <w:left w:val="nil"/>
              <w:bottom w:val="single" w:sz="4" w:space="0" w:color="auto"/>
              <w:right w:val="nil"/>
            </w:tcBorders>
            <w:vAlign w:val="center"/>
          </w:tcPr>
          <w:p w14:paraId="7CAEC3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800C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BRIGADA MARIBOR</w:t>
            </w:r>
          </w:p>
        </w:tc>
      </w:tr>
      <w:tr w:rsidR="00072A69" w:rsidRPr="00DC6DF9" w14:paraId="39C0DD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5E60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238</w:t>
            </w:r>
          </w:p>
        </w:tc>
        <w:tc>
          <w:tcPr>
            <w:tcW w:w="1036" w:type="dxa"/>
            <w:tcBorders>
              <w:top w:val="nil"/>
              <w:left w:val="nil"/>
              <w:bottom w:val="single" w:sz="4" w:space="0" w:color="auto"/>
              <w:right w:val="single" w:sz="4" w:space="0" w:color="auto"/>
            </w:tcBorders>
            <w:shd w:val="clear" w:color="auto" w:fill="auto"/>
            <w:noWrap/>
            <w:vAlign w:val="center"/>
            <w:hideMark/>
          </w:tcPr>
          <w:p w14:paraId="38BABC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5518741000</w:t>
            </w:r>
          </w:p>
        </w:tc>
        <w:tc>
          <w:tcPr>
            <w:tcW w:w="1036" w:type="dxa"/>
            <w:tcBorders>
              <w:top w:val="nil"/>
              <w:left w:val="nil"/>
              <w:bottom w:val="single" w:sz="4" w:space="0" w:color="auto"/>
              <w:right w:val="single" w:sz="4" w:space="0" w:color="auto"/>
            </w:tcBorders>
            <w:shd w:val="clear" w:color="auto" w:fill="auto"/>
            <w:noWrap/>
            <w:vAlign w:val="center"/>
            <w:hideMark/>
          </w:tcPr>
          <w:p w14:paraId="6ECDDE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92367151</w:t>
            </w:r>
          </w:p>
        </w:tc>
        <w:tc>
          <w:tcPr>
            <w:tcW w:w="160" w:type="dxa"/>
            <w:tcBorders>
              <w:top w:val="nil"/>
              <w:left w:val="nil"/>
              <w:bottom w:val="single" w:sz="4" w:space="0" w:color="auto"/>
              <w:right w:val="nil"/>
            </w:tcBorders>
            <w:vAlign w:val="center"/>
          </w:tcPr>
          <w:p w14:paraId="6AD5E8B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4CBB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ENOTA NOVA GORICA</w:t>
            </w:r>
          </w:p>
        </w:tc>
      </w:tr>
      <w:tr w:rsidR="00072A69" w:rsidRPr="00DC6DF9" w14:paraId="0600FA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FCBC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w:t>
            </w:r>
          </w:p>
        </w:tc>
        <w:tc>
          <w:tcPr>
            <w:tcW w:w="1036" w:type="dxa"/>
            <w:tcBorders>
              <w:top w:val="nil"/>
              <w:left w:val="nil"/>
              <w:bottom w:val="single" w:sz="4" w:space="0" w:color="auto"/>
              <w:right w:val="single" w:sz="4" w:space="0" w:color="auto"/>
            </w:tcBorders>
            <w:shd w:val="clear" w:color="auto" w:fill="auto"/>
            <w:noWrap/>
            <w:vAlign w:val="center"/>
            <w:hideMark/>
          </w:tcPr>
          <w:p w14:paraId="18E3E2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5115698000</w:t>
            </w:r>
          </w:p>
        </w:tc>
        <w:tc>
          <w:tcPr>
            <w:tcW w:w="1036" w:type="dxa"/>
            <w:tcBorders>
              <w:top w:val="nil"/>
              <w:left w:val="nil"/>
              <w:bottom w:val="single" w:sz="4" w:space="0" w:color="auto"/>
              <w:right w:val="single" w:sz="4" w:space="0" w:color="auto"/>
            </w:tcBorders>
            <w:shd w:val="clear" w:color="auto" w:fill="auto"/>
            <w:noWrap/>
            <w:vAlign w:val="center"/>
            <w:hideMark/>
          </w:tcPr>
          <w:p w14:paraId="79756D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35353627</w:t>
            </w:r>
          </w:p>
        </w:tc>
        <w:tc>
          <w:tcPr>
            <w:tcW w:w="160" w:type="dxa"/>
            <w:tcBorders>
              <w:top w:val="nil"/>
              <w:left w:val="nil"/>
              <w:bottom w:val="single" w:sz="4" w:space="0" w:color="auto"/>
              <w:right w:val="nil"/>
            </w:tcBorders>
            <w:vAlign w:val="center"/>
          </w:tcPr>
          <w:p w14:paraId="28F6539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F09E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ZVEZA CELJE</w:t>
            </w:r>
          </w:p>
        </w:tc>
      </w:tr>
      <w:tr w:rsidR="00072A69" w:rsidRPr="00DC6DF9" w14:paraId="60C9995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9891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240</w:t>
            </w:r>
          </w:p>
        </w:tc>
        <w:tc>
          <w:tcPr>
            <w:tcW w:w="1036" w:type="dxa"/>
            <w:tcBorders>
              <w:top w:val="nil"/>
              <w:left w:val="nil"/>
              <w:bottom w:val="single" w:sz="4" w:space="0" w:color="auto"/>
              <w:right w:val="single" w:sz="4" w:space="0" w:color="auto"/>
            </w:tcBorders>
            <w:shd w:val="clear" w:color="auto" w:fill="auto"/>
            <w:noWrap/>
            <w:vAlign w:val="center"/>
            <w:hideMark/>
          </w:tcPr>
          <w:p w14:paraId="6E1B16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5161959000</w:t>
            </w:r>
          </w:p>
        </w:tc>
        <w:tc>
          <w:tcPr>
            <w:tcW w:w="1036" w:type="dxa"/>
            <w:tcBorders>
              <w:top w:val="nil"/>
              <w:left w:val="nil"/>
              <w:bottom w:val="single" w:sz="4" w:space="0" w:color="auto"/>
              <w:right w:val="single" w:sz="4" w:space="0" w:color="auto"/>
            </w:tcBorders>
            <w:shd w:val="clear" w:color="auto" w:fill="auto"/>
            <w:noWrap/>
            <w:vAlign w:val="center"/>
            <w:hideMark/>
          </w:tcPr>
          <w:p w14:paraId="204AC5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31702805</w:t>
            </w:r>
          </w:p>
        </w:tc>
        <w:tc>
          <w:tcPr>
            <w:tcW w:w="160" w:type="dxa"/>
            <w:tcBorders>
              <w:top w:val="nil"/>
              <w:left w:val="nil"/>
              <w:bottom w:val="single" w:sz="4" w:space="0" w:color="auto"/>
              <w:right w:val="nil"/>
            </w:tcBorders>
            <w:vAlign w:val="center"/>
          </w:tcPr>
          <w:p w14:paraId="6F7B5C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8A90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ZVEZA HRASTNIK</w:t>
            </w:r>
          </w:p>
        </w:tc>
      </w:tr>
      <w:tr w:rsidR="00072A69" w:rsidRPr="00DC6DF9" w14:paraId="43DC12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0D53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241</w:t>
            </w:r>
          </w:p>
        </w:tc>
        <w:tc>
          <w:tcPr>
            <w:tcW w:w="1036" w:type="dxa"/>
            <w:tcBorders>
              <w:top w:val="nil"/>
              <w:left w:val="nil"/>
              <w:bottom w:val="single" w:sz="4" w:space="0" w:color="auto"/>
              <w:right w:val="single" w:sz="4" w:space="0" w:color="auto"/>
            </w:tcBorders>
            <w:shd w:val="clear" w:color="auto" w:fill="auto"/>
            <w:noWrap/>
            <w:vAlign w:val="center"/>
            <w:hideMark/>
          </w:tcPr>
          <w:p w14:paraId="673C25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5113334000</w:t>
            </w:r>
          </w:p>
        </w:tc>
        <w:tc>
          <w:tcPr>
            <w:tcW w:w="1036" w:type="dxa"/>
            <w:tcBorders>
              <w:top w:val="nil"/>
              <w:left w:val="nil"/>
              <w:bottom w:val="single" w:sz="4" w:space="0" w:color="auto"/>
              <w:right w:val="single" w:sz="4" w:space="0" w:color="auto"/>
            </w:tcBorders>
            <w:shd w:val="clear" w:color="auto" w:fill="auto"/>
            <w:noWrap/>
            <w:vAlign w:val="center"/>
            <w:hideMark/>
          </w:tcPr>
          <w:p w14:paraId="097AAF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41638476</w:t>
            </w:r>
          </w:p>
        </w:tc>
        <w:tc>
          <w:tcPr>
            <w:tcW w:w="160" w:type="dxa"/>
            <w:tcBorders>
              <w:top w:val="nil"/>
              <w:left w:val="nil"/>
              <w:bottom w:val="single" w:sz="4" w:space="0" w:color="auto"/>
              <w:right w:val="nil"/>
            </w:tcBorders>
            <w:vAlign w:val="center"/>
          </w:tcPr>
          <w:p w14:paraId="42A125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3037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ZVEZA KRŠKO</w:t>
            </w:r>
          </w:p>
        </w:tc>
      </w:tr>
      <w:tr w:rsidR="00072A69" w:rsidRPr="00DC6DF9" w14:paraId="4CA5D7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BC6E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242</w:t>
            </w:r>
          </w:p>
        </w:tc>
        <w:tc>
          <w:tcPr>
            <w:tcW w:w="1036" w:type="dxa"/>
            <w:tcBorders>
              <w:top w:val="nil"/>
              <w:left w:val="nil"/>
              <w:bottom w:val="single" w:sz="4" w:space="0" w:color="auto"/>
              <w:right w:val="single" w:sz="4" w:space="0" w:color="auto"/>
            </w:tcBorders>
            <w:shd w:val="clear" w:color="auto" w:fill="auto"/>
            <w:noWrap/>
            <w:vAlign w:val="center"/>
            <w:hideMark/>
          </w:tcPr>
          <w:p w14:paraId="13DDF7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1142305000</w:t>
            </w:r>
          </w:p>
        </w:tc>
        <w:tc>
          <w:tcPr>
            <w:tcW w:w="1036" w:type="dxa"/>
            <w:tcBorders>
              <w:top w:val="nil"/>
              <w:left w:val="nil"/>
              <w:bottom w:val="single" w:sz="4" w:space="0" w:color="auto"/>
              <w:right w:val="single" w:sz="4" w:space="0" w:color="auto"/>
            </w:tcBorders>
            <w:shd w:val="clear" w:color="auto" w:fill="auto"/>
            <w:noWrap/>
            <w:vAlign w:val="center"/>
            <w:hideMark/>
          </w:tcPr>
          <w:p w14:paraId="4564F0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52122395</w:t>
            </w:r>
          </w:p>
        </w:tc>
        <w:tc>
          <w:tcPr>
            <w:tcW w:w="160" w:type="dxa"/>
            <w:tcBorders>
              <w:top w:val="nil"/>
              <w:left w:val="nil"/>
              <w:bottom w:val="single" w:sz="4" w:space="0" w:color="auto"/>
              <w:right w:val="nil"/>
            </w:tcBorders>
            <w:vAlign w:val="center"/>
          </w:tcPr>
          <w:p w14:paraId="4C5A33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8732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ZVEZA RADOVLJICA</w:t>
            </w:r>
          </w:p>
        </w:tc>
      </w:tr>
      <w:tr w:rsidR="00072A69" w:rsidRPr="00DC6DF9" w14:paraId="71F7779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3B30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243</w:t>
            </w:r>
          </w:p>
        </w:tc>
        <w:tc>
          <w:tcPr>
            <w:tcW w:w="1036" w:type="dxa"/>
            <w:tcBorders>
              <w:top w:val="nil"/>
              <w:left w:val="nil"/>
              <w:bottom w:val="single" w:sz="4" w:space="0" w:color="auto"/>
              <w:right w:val="single" w:sz="4" w:space="0" w:color="auto"/>
            </w:tcBorders>
            <w:shd w:val="clear" w:color="auto" w:fill="auto"/>
            <w:noWrap/>
            <w:vAlign w:val="center"/>
            <w:hideMark/>
          </w:tcPr>
          <w:p w14:paraId="26B725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5147379000</w:t>
            </w:r>
          </w:p>
        </w:tc>
        <w:tc>
          <w:tcPr>
            <w:tcW w:w="1036" w:type="dxa"/>
            <w:tcBorders>
              <w:top w:val="nil"/>
              <w:left w:val="nil"/>
              <w:bottom w:val="single" w:sz="4" w:space="0" w:color="auto"/>
              <w:right w:val="single" w:sz="4" w:space="0" w:color="auto"/>
            </w:tcBorders>
            <w:shd w:val="clear" w:color="auto" w:fill="auto"/>
            <w:noWrap/>
            <w:vAlign w:val="center"/>
            <w:hideMark/>
          </w:tcPr>
          <w:p w14:paraId="5B37AA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63471736</w:t>
            </w:r>
          </w:p>
        </w:tc>
        <w:tc>
          <w:tcPr>
            <w:tcW w:w="160" w:type="dxa"/>
            <w:tcBorders>
              <w:top w:val="nil"/>
              <w:left w:val="nil"/>
              <w:bottom w:val="single" w:sz="4" w:space="0" w:color="auto"/>
              <w:right w:val="nil"/>
            </w:tcBorders>
            <w:vAlign w:val="center"/>
          </w:tcPr>
          <w:p w14:paraId="018864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8283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GASILSKA ZVEZA SLOVENIJE</w:t>
            </w:r>
          </w:p>
        </w:tc>
      </w:tr>
      <w:tr w:rsidR="00072A69" w:rsidRPr="00DC6DF9" w14:paraId="77AAA2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B375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244</w:t>
            </w:r>
          </w:p>
        </w:tc>
        <w:tc>
          <w:tcPr>
            <w:tcW w:w="1036" w:type="dxa"/>
            <w:tcBorders>
              <w:top w:val="nil"/>
              <w:left w:val="nil"/>
              <w:bottom w:val="single" w:sz="4" w:space="0" w:color="auto"/>
              <w:right w:val="single" w:sz="4" w:space="0" w:color="auto"/>
            </w:tcBorders>
            <w:shd w:val="clear" w:color="auto" w:fill="auto"/>
            <w:noWrap/>
            <w:vAlign w:val="center"/>
            <w:hideMark/>
          </w:tcPr>
          <w:p w14:paraId="28BA4D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5835607000</w:t>
            </w:r>
          </w:p>
        </w:tc>
        <w:tc>
          <w:tcPr>
            <w:tcW w:w="1036" w:type="dxa"/>
            <w:tcBorders>
              <w:top w:val="nil"/>
              <w:left w:val="nil"/>
              <w:bottom w:val="single" w:sz="4" w:space="0" w:color="auto"/>
              <w:right w:val="single" w:sz="4" w:space="0" w:color="auto"/>
            </w:tcBorders>
            <w:shd w:val="clear" w:color="auto" w:fill="auto"/>
            <w:noWrap/>
            <w:vAlign w:val="center"/>
            <w:hideMark/>
          </w:tcPr>
          <w:p w14:paraId="0E478A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73597384</w:t>
            </w:r>
          </w:p>
        </w:tc>
        <w:tc>
          <w:tcPr>
            <w:tcW w:w="160" w:type="dxa"/>
            <w:tcBorders>
              <w:top w:val="nil"/>
              <w:left w:val="nil"/>
              <w:bottom w:val="single" w:sz="4" w:space="0" w:color="auto"/>
              <w:right w:val="nil"/>
            </w:tcBorders>
            <w:vAlign w:val="center"/>
          </w:tcPr>
          <w:p w14:paraId="699E6EE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1145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GASILSKI ZAVOD TRBOVLJE</w:t>
            </w:r>
          </w:p>
        </w:tc>
      </w:tr>
      <w:tr w:rsidR="00072A69" w:rsidRPr="00DC6DF9" w14:paraId="7684A4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22A8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245</w:t>
            </w:r>
          </w:p>
        </w:tc>
        <w:tc>
          <w:tcPr>
            <w:tcW w:w="1036" w:type="dxa"/>
            <w:tcBorders>
              <w:top w:val="nil"/>
              <w:left w:val="nil"/>
              <w:bottom w:val="single" w:sz="4" w:space="0" w:color="auto"/>
              <w:right w:val="single" w:sz="4" w:space="0" w:color="auto"/>
            </w:tcBorders>
            <w:shd w:val="clear" w:color="auto" w:fill="auto"/>
            <w:noWrap/>
            <w:vAlign w:val="center"/>
            <w:hideMark/>
          </w:tcPr>
          <w:p w14:paraId="14B133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1657402000</w:t>
            </w:r>
          </w:p>
        </w:tc>
        <w:tc>
          <w:tcPr>
            <w:tcW w:w="1036" w:type="dxa"/>
            <w:tcBorders>
              <w:top w:val="nil"/>
              <w:left w:val="nil"/>
              <w:bottom w:val="single" w:sz="4" w:space="0" w:color="auto"/>
              <w:right w:val="single" w:sz="4" w:space="0" w:color="auto"/>
            </w:tcBorders>
            <w:shd w:val="clear" w:color="auto" w:fill="auto"/>
            <w:noWrap/>
            <w:vAlign w:val="center"/>
            <w:hideMark/>
          </w:tcPr>
          <w:p w14:paraId="6D1F2B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43712037</w:t>
            </w:r>
          </w:p>
        </w:tc>
        <w:tc>
          <w:tcPr>
            <w:tcW w:w="160" w:type="dxa"/>
            <w:tcBorders>
              <w:top w:val="nil"/>
              <w:left w:val="nil"/>
              <w:bottom w:val="single" w:sz="4" w:space="0" w:color="auto"/>
              <w:right w:val="nil"/>
            </w:tcBorders>
            <w:vAlign w:val="center"/>
          </w:tcPr>
          <w:p w14:paraId="5FD1F0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0DF5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GASILSKO-REŠEVALNA SLUŽBA JESENICE</w:t>
            </w:r>
          </w:p>
        </w:tc>
      </w:tr>
      <w:tr w:rsidR="00072A69" w:rsidRPr="00DC6DF9" w14:paraId="74029C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ABAA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246</w:t>
            </w:r>
          </w:p>
        </w:tc>
        <w:tc>
          <w:tcPr>
            <w:tcW w:w="1036" w:type="dxa"/>
            <w:tcBorders>
              <w:top w:val="nil"/>
              <w:left w:val="nil"/>
              <w:bottom w:val="single" w:sz="4" w:space="0" w:color="auto"/>
              <w:right w:val="single" w:sz="4" w:space="0" w:color="auto"/>
            </w:tcBorders>
            <w:shd w:val="clear" w:color="auto" w:fill="auto"/>
            <w:noWrap/>
            <w:vAlign w:val="center"/>
            <w:hideMark/>
          </w:tcPr>
          <w:p w14:paraId="29BA87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5015561000</w:t>
            </w:r>
          </w:p>
        </w:tc>
        <w:tc>
          <w:tcPr>
            <w:tcW w:w="1036" w:type="dxa"/>
            <w:tcBorders>
              <w:top w:val="nil"/>
              <w:left w:val="nil"/>
              <w:bottom w:val="single" w:sz="4" w:space="0" w:color="auto"/>
              <w:right w:val="single" w:sz="4" w:space="0" w:color="auto"/>
            </w:tcBorders>
            <w:shd w:val="clear" w:color="auto" w:fill="auto"/>
            <w:noWrap/>
            <w:vAlign w:val="center"/>
            <w:hideMark/>
          </w:tcPr>
          <w:p w14:paraId="73E9BD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65639642</w:t>
            </w:r>
          </w:p>
        </w:tc>
        <w:tc>
          <w:tcPr>
            <w:tcW w:w="160" w:type="dxa"/>
            <w:tcBorders>
              <w:top w:val="nil"/>
              <w:left w:val="nil"/>
              <w:bottom w:val="single" w:sz="4" w:space="0" w:color="auto"/>
              <w:right w:val="nil"/>
            </w:tcBorders>
            <w:vAlign w:val="center"/>
          </w:tcPr>
          <w:p w14:paraId="6907A4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471B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GASILSKO-REŠEVALNA SLUŽBA KRANJ</w:t>
            </w:r>
          </w:p>
        </w:tc>
      </w:tr>
      <w:tr w:rsidR="00072A69" w:rsidRPr="00DC6DF9" w14:paraId="1B449A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3805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247</w:t>
            </w:r>
          </w:p>
        </w:tc>
        <w:tc>
          <w:tcPr>
            <w:tcW w:w="1036" w:type="dxa"/>
            <w:tcBorders>
              <w:top w:val="nil"/>
              <w:left w:val="nil"/>
              <w:bottom w:val="single" w:sz="4" w:space="0" w:color="auto"/>
              <w:right w:val="single" w:sz="4" w:space="0" w:color="auto"/>
            </w:tcBorders>
            <w:shd w:val="clear" w:color="auto" w:fill="auto"/>
            <w:noWrap/>
            <w:vAlign w:val="center"/>
            <w:hideMark/>
          </w:tcPr>
          <w:p w14:paraId="373F60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5818982000</w:t>
            </w:r>
          </w:p>
        </w:tc>
        <w:tc>
          <w:tcPr>
            <w:tcW w:w="1036" w:type="dxa"/>
            <w:tcBorders>
              <w:top w:val="nil"/>
              <w:left w:val="nil"/>
              <w:bottom w:val="single" w:sz="4" w:space="0" w:color="auto"/>
              <w:right w:val="single" w:sz="4" w:space="0" w:color="auto"/>
            </w:tcBorders>
            <w:shd w:val="clear" w:color="auto" w:fill="auto"/>
            <w:noWrap/>
            <w:vAlign w:val="center"/>
            <w:hideMark/>
          </w:tcPr>
          <w:p w14:paraId="1565B2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30474132</w:t>
            </w:r>
          </w:p>
        </w:tc>
        <w:tc>
          <w:tcPr>
            <w:tcW w:w="160" w:type="dxa"/>
            <w:tcBorders>
              <w:top w:val="nil"/>
              <w:left w:val="nil"/>
              <w:bottom w:val="single" w:sz="4" w:space="0" w:color="auto"/>
              <w:right w:val="nil"/>
            </w:tcBorders>
            <w:vAlign w:val="center"/>
          </w:tcPr>
          <w:p w14:paraId="796B21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DF51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GASILSKO-REŠEVALNI CENTER AJDOVŠČINA</w:t>
            </w:r>
          </w:p>
        </w:tc>
      </w:tr>
      <w:tr w:rsidR="00072A69" w:rsidRPr="00DC6DF9" w14:paraId="31575A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E010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w:t>
            </w:r>
          </w:p>
        </w:tc>
        <w:tc>
          <w:tcPr>
            <w:tcW w:w="1036" w:type="dxa"/>
            <w:tcBorders>
              <w:top w:val="nil"/>
              <w:left w:val="nil"/>
              <w:bottom w:val="single" w:sz="4" w:space="0" w:color="auto"/>
              <w:right w:val="single" w:sz="4" w:space="0" w:color="auto"/>
            </w:tcBorders>
            <w:shd w:val="clear" w:color="auto" w:fill="auto"/>
            <w:noWrap/>
            <w:vAlign w:val="center"/>
            <w:hideMark/>
          </w:tcPr>
          <w:p w14:paraId="7BDA76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5015472000</w:t>
            </w:r>
          </w:p>
        </w:tc>
        <w:tc>
          <w:tcPr>
            <w:tcW w:w="1036" w:type="dxa"/>
            <w:tcBorders>
              <w:top w:val="nil"/>
              <w:left w:val="nil"/>
              <w:bottom w:val="single" w:sz="4" w:space="0" w:color="auto"/>
              <w:right w:val="single" w:sz="4" w:space="0" w:color="auto"/>
            </w:tcBorders>
            <w:shd w:val="clear" w:color="auto" w:fill="auto"/>
            <w:noWrap/>
            <w:vAlign w:val="center"/>
            <w:hideMark/>
          </w:tcPr>
          <w:p w14:paraId="06FC38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41644506</w:t>
            </w:r>
          </w:p>
        </w:tc>
        <w:tc>
          <w:tcPr>
            <w:tcW w:w="160" w:type="dxa"/>
            <w:tcBorders>
              <w:top w:val="nil"/>
              <w:left w:val="nil"/>
              <w:bottom w:val="single" w:sz="4" w:space="0" w:color="auto"/>
              <w:right w:val="nil"/>
            </w:tcBorders>
            <w:vAlign w:val="center"/>
          </w:tcPr>
          <w:p w14:paraId="151A5C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537F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GASILSKO-REŠEVALNI CENTER NOVO MESTO</w:t>
            </w:r>
          </w:p>
        </w:tc>
      </w:tr>
      <w:tr w:rsidR="00072A69" w:rsidRPr="00DC6DF9" w14:paraId="520F0C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371A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249</w:t>
            </w:r>
          </w:p>
        </w:tc>
        <w:tc>
          <w:tcPr>
            <w:tcW w:w="1036" w:type="dxa"/>
            <w:tcBorders>
              <w:top w:val="nil"/>
              <w:left w:val="nil"/>
              <w:bottom w:val="single" w:sz="4" w:space="0" w:color="auto"/>
              <w:right w:val="single" w:sz="4" w:space="0" w:color="auto"/>
            </w:tcBorders>
            <w:shd w:val="clear" w:color="auto" w:fill="auto"/>
            <w:noWrap/>
            <w:vAlign w:val="center"/>
            <w:hideMark/>
          </w:tcPr>
          <w:p w14:paraId="7FEFE1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1646613000</w:t>
            </w:r>
          </w:p>
        </w:tc>
        <w:tc>
          <w:tcPr>
            <w:tcW w:w="1036" w:type="dxa"/>
            <w:tcBorders>
              <w:top w:val="nil"/>
              <w:left w:val="nil"/>
              <w:bottom w:val="single" w:sz="4" w:space="0" w:color="auto"/>
              <w:right w:val="single" w:sz="4" w:space="0" w:color="auto"/>
            </w:tcBorders>
            <w:shd w:val="clear" w:color="auto" w:fill="auto"/>
            <w:noWrap/>
            <w:vAlign w:val="center"/>
            <w:hideMark/>
          </w:tcPr>
          <w:p w14:paraId="30BA52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44454686</w:t>
            </w:r>
          </w:p>
        </w:tc>
        <w:tc>
          <w:tcPr>
            <w:tcW w:w="160" w:type="dxa"/>
            <w:tcBorders>
              <w:top w:val="nil"/>
              <w:left w:val="nil"/>
              <w:bottom w:val="single" w:sz="4" w:space="0" w:color="auto"/>
              <w:right w:val="nil"/>
            </w:tcBorders>
            <w:vAlign w:val="center"/>
          </w:tcPr>
          <w:p w14:paraId="76ED95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8E38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GEN ENERGIJA, D. O. O. </w:t>
            </w:r>
          </w:p>
        </w:tc>
      </w:tr>
      <w:tr w:rsidR="00072A69" w:rsidRPr="00DC6DF9" w14:paraId="074AD3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6F47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250</w:t>
            </w:r>
          </w:p>
        </w:tc>
        <w:tc>
          <w:tcPr>
            <w:tcW w:w="1036" w:type="dxa"/>
            <w:tcBorders>
              <w:top w:val="nil"/>
              <w:left w:val="nil"/>
              <w:bottom w:val="single" w:sz="4" w:space="0" w:color="auto"/>
              <w:right w:val="single" w:sz="4" w:space="0" w:color="auto"/>
            </w:tcBorders>
            <w:shd w:val="clear" w:color="auto" w:fill="auto"/>
            <w:noWrap/>
            <w:vAlign w:val="center"/>
            <w:hideMark/>
          </w:tcPr>
          <w:p w14:paraId="161D63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5816947000</w:t>
            </w:r>
          </w:p>
        </w:tc>
        <w:tc>
          <w:tcPr>
            <w:tcW w:w="1036" w:type="dxa"/>
            <w:tcBorders>
              <w:top w:val="nil"/>
              <w:left w:val="nil"/>
              <w:bottom w:val="single" w:sz="4" w:space="0" w:color="auto"/>
              <w:right w:val="single" w:sz="4" w:space="0" w:color="auto"/>
            </w:tcBorders>
            <w:shd w:val="clear" w:color="auto" w:fill="auto"/>
            <w:noWrap/>
            <w:vAlign w:val="center"/>
            <w:hideMark/>
          </w:tcPr>
          <w:p w14:paraId="006EEF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40520056</w:t>
            </w:r>
          </w:p>
        </w:tc>
        <w:tc>
          <w:tcPr>
            <w:tcW w:w="160" w:type="dxa"/>
            <w:tcBorders>
              <w:top w:val="nil"/>
              <w:left w:val="nil"/>
              <w:bottom w:val="single" w:sz="4" w:space="0" w:color="auto"/>
              <w:right w:val="nil"/>
            </w:tcBorders>
            <w:vAlign w:val="center"/>
          </w:tcPr>
          <w:p w14:paraId="3AD5981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37B5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GENERALNI SEKRETARIAT - SLUŽBA ZA ANALIZE IN RAZVOJ</w:t>
            </w:r>
          </w:p>
        </w:tc>
      </w:tr>
      <w:tr w:rsidR="00072A69" w:rsidRPr="00DC6DF9" w14:paraId="213871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9A51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251</w:t>
            </w:r>
          </w:p>
        </w:tc>
        <w:tc>
          <w:tcPr>
            <w:tcW w:w="1036" w:type="dxa"/>
            <w:tcBorders>
              <w:top w:val="nil"/>
              <w:left w:val="nil"/>
              <w:bottom w:val="single" w:sz="4" w:space="0" w:color="auto"/>
              <w:right w:val="single" w:sz="4" w:space="0" w:color="auto"/>
            </w:tcBorders>
            <w:shd w:val="clear" w:color="auto" w:fill="auto"/>
            <w:noWrap/>
            <w:vAlign w:val="center"/>
            <w:hideMark/>
          </w:tcPr>
          <w:p w14:paraId="272FAB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1590146000</w:t>
            </w:r>
          </w:p>
        </w:tc>
        <w:tc>
          <w:tcPr>
            <w:tcW w:w="1036" w:type="dxa"/>
            <w:tcBorders>
              <w:top w:val="nil"/>
              <w:left w:val="nil"/>
              <w:bottom w:val="single" w:sz="4" w:space="0" w:color="auto"/>
              <w:right w:val="single" w:sz="4" w:space="0" w:color="auto"/>
            </w:tcBorders>
            <w:shd w:val="clear" w:color="auto" w:fill="auto"/>
            <w:noWrap/>
            <w:vAlign w:val="center"/>
            <w:hideMark/>
          </w:tcPr>
          <w:p w14:paraId="6AD839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41332954</w:t>
            </w:r>
          </w:p>
        </w:tc>
        <w:tc>
          <w:tcPr>
            <w:tcW w:w="160" w:type="dxa"/>
            <w:tcBorders>
              <w:top w:val="nil"/>
              <w:left w:val="nil"/>
              <w:bottom w:val="single" w:sz="4" w:space="0" w:color="auto"/>
              <w:right w:val="nil"/>
            </w:tcBorders>
            <w:vAlign w:val="center"/>
          </w:tcPr>
          <w:p w14:paraId="042A455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B224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GENERALNI SEKRETARIAT VLADE REPUBLIKE SLOVENIJE</w:t>
            </w:r>
          </w:p>
        </w:tc>
      </w:tr>
      <w:tr w:rsidR="00072A69" w:rsidRPr="00DC6DF9" w14:paraId="0B50F9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6A0B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252</w:t>
            </w:r>
          </w:p>
        </w:tc>
        <w:tc>
          <w:tcPr>
            <w:tcW w:w="1036" w:type="dxa"/>
            <w:tcBorders>
              <w:top w:val="nil"/>
              <w:left w:val="nil"/>
              <w:bottom w:val="single" w:sz="4" w:space="0" w:color="auto"/>
              <w:right w:val="single" w:sz="4" w:space="0" w:color="auto"/>
            </w:tcBorders>
            <w:shd w:val="clear" w:color="auto" w:fill="auto"/>
            <w:noWrap/>
            <w:vAlign w:val="center"/>
            <w:hideMark/>
          </w:tcPr>
          <w:p w14:paraId="38469F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2482886000</w:t>
            </w:r>
          </w:p>
        </w:tc>
        <w:tc>
          <w:tcPr>
            <w:tcW w:w="1036" w:type="dxa"/>
            <w:tcBorders>
              <w:top w:val="nil"/>
              <w:left w:val="nil"/>
              <w:bottom w:val="single" w:sz="4" w:space="0" w:color="auto"/>
              <w:right w:val="single" w:sz="4" w:space="0" w:color="auto"/>
            </w:tcBorders>
            <w:shd w:val="clear" w:color="auto" w:fill="auto"/>
            <w:noWrap/>
            <w:vAlign w:val="center"/>
            <w:hideMark/>
          </w:tcPr>
          <w:p w14:paraId="086BB2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57410763</w:t>
            </w:r>
          </w:p>
        </w:tc>
        <w:tc>
          <w:tcPr>
            <w:tcW w:w="160" w:type="dxa"/>
            <w:tcBorders>
              <w:top w:val="nil"/>
              <w:left w:val="nil"/>
              <w:bottom w:val="single" w:sz="4" w:space="0" w:color="auto"/>
              <w:right w:val="nil"/>
            </w:tcBorders>
            <w:vAlign w:val="center"/>
          </w:tcPr>
          <w:p w14:paraId="26BB81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72DB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GEODETSKA UPRAVA REPUBLIKE SLOVENIJE</w:t>
            </w:r>
          </w:p>
        </w:tc>
      </w:tr>
      <w:tr w:rsidR="00072A69" w:rsidRPr="00DC6DF9" w14:paraId="230DEB5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9068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253</w:t>
            </w:r>
          </w:p>
        </w:tc>
        <w:tc>
          <w:tcPr>
            <w:tcW w:w="1036" w:type="dxa"/>
            <w:tcBorders>
              <w:top w:val="nil"/>
              <w:left w:val="nil"/>
              <w:bottom w:val="single" w:sz="4" w:space="0" w:color="auto"/>
              <w:right w:val="single" w:sz="4" w:space="0" w:color="auto"/>
            </w:tcBorders>
            <w:shd w:val="clear" w:color="auto" w:fill="auto"/>
            <w:noWrap/>
            <w:vAlign w:val="center"/>
            <w:hideMark/>
          </w:tcPr>
          <w:p w14:paraId="0B0761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5051649000</w:t>
            </w:r>
          </w:p>
        </w:tc>
        <w:tc>
          <w:tcPr>
            <w:tcW w:w="1036" w:type="dxa"/>
            <w:tcBorders>
              <w:top w:val="nil"/>
              <w:left w:val="nil"/>
              <w:bottom w:val="single" w:sz="4" w:space="0" w:color="auto"/>
              <w:right w:val="single" w:sz="4" w:space="0" w:color="auto"/>
            </w:tcBorders>
            <w:shd w:val="clear" w:color="auto" w:fill="auto"/>
            <w:noWrap/>
            <w:vAlign w:val="center"/>
            <w:hideMark/>
          </w:tcPr>
          <w:p w14:paraId="35341A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81498756</w:t>
            </w:r>
          </w:p>
        </w:tc>
        <w:tc>
          <w:tcPr>
            <w:tcW w:w="160" w:type="dxa"/>
            <w:tcBorders>
              <w:top w:val="nil"/>
              <w:left w:val="nil"/>
              <w:bottom w:val="single" w:sz="4" w:space="0" w:color="auto"/>
              <w:right w:val="nil"/>
            </w:tcBorders>
            <w:vAlign w:val="center"/>
          </w:tcPr>
          <w:p w14:paraId="2AF715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04B1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GEODETSKI INŠTITUT SLOVENIJE</w:t>
            </w:r>
          </w:p>
        </w:tc>
      </w:tr>
      <w:tr w:rsidR="00072A69" w:rsidRPr="00DC6DF9" w14:paraId="20FAF6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09E9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254</w:t>
            </w:r>
          </w:p>
        </w:tc>
        <w:tc>
          <w:tcPr>
            <w:tcW w:w="1036" w:type="dxa"/>
            <w:tcBorders>
              <w:top w:val="nil"/>
              <w:left w:val="nil"/>
              <w:bottom w:val="single" w:sz="4" w:space="0" w:color="auto"/>
              <w:right w:val="single" w:sz="4" w:space="0" w:color="auto"/>
            </w:tcBorders>
            <w:shd w:val="clear" w:color="auto" w:fill="auto"/>
            <w:noWrap/>
            <w:vAlign w:val="center"/>
            <w:hideMark/>
          </w:tcPr>
          <w:p w14:paraId="5F4FDA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5051410000</w:t>
            </w:r>
          </w:p>
        </w:tc>
        <w:tc>
          <w:tcPr>
            <w:tcW w:w="1036" w:type="dxa"/>
            <w:tcBorders>
              <w:top w:val="nil"/>
              <w:left w:val="nil"/>
              <w:bottom w:val="single" w:sz="4" w:space="0" w:color="auto"/>
              <w:right w:val="single" w:sz="4" w:space="0" w:color="auto"/>
            </w:tcBorders>
            <w:shd w:val="clear" w:color="auto" w:fill="auto"/>
            <w:noWrap/>
            <w:vAlign w:val="center"/>
            <w:hideMark/>
          </w:tcPr>
          <w:p w14:paraId="1581E6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23064145</w:t>
            </w:r>
          </w:p>
        </w:tc>
        <w:tc>
          <w:tcPr>
            <w:tcW w:w="160" w:type="dxa"/>
            <w:tcBorders>
              <w:top w:val="nil"/>
              <w:left w:val="nil"/>
              <w:bottom w:val="single" w:sz="4" w:space="0" w:color="auto"/>
              <w:right w:val="nil"/>
            </w:tcBorders>
            <w:vAlign w:val="center"/>
          </w:tcPr>
          <w:p w14:paraId="3367B7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E9D0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GEOLOŠKI ZAVOD SLOVENIJE</w:t>
            </w:r>
          </w:p>
        </w:tc>
      </w:tr>
      <w:tr w:rsidR="00072A69" w:rsidRPr="00DC6DF9" w14:paraId="2FABD8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D32E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255</w:t>
            </w:r>
          </w:p>
        </w:tc>
        <w:tc>
          <w:tcPr>
            <w:tcW w:w="1036" w:type="dxa"/>
            <w:tcBorders>
              <w:top w:val="nil"/>
              <w:left w:val="nil"/>
              <w:bottom w:val="single" w:sz="4" w:space="0" w:color="auto"/>
              <w:right w:val="single" w:sz="4" w:space="0" w:color="auto"/>
            </w:tcBorders>
            <w:shd w:val="clear" w:color="auto" w:fill="auto"/>
            <w:noWrap/>
            <w:vAlign w:val="center"/>
            <w:hideMark/>
          </w:tcPr>
          <w:p w14:paraId="7E9A03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5086892000</w:t>
            </w:r>
          </w:p>
        </w:tc>
        <w:tc>
          <w:tcPr>
            <w:tcW w:w="1036" w:type="dxa"/>
            <w:tcBorders>
              <w:top w:val="nil"/>
              <w:left w:val="nil"/>
              <w:bottom w:val="single" w:sz="4" w:space="0" w:color="auto"/>
              <w:right w:val="single" w:sz="4" w:space="0" w:color="auto"/>
            </w:tcBorders>
            <w:shd w:val="clear" w:color="auto" w:fill="auto"/>
            <w:noWrap/>
            <w:vAlign w:val="center"/>
            <w:hideMark/>
          </w:tcPr>
          <w:p w14:paraId="75733C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54783020</w:t>
            </w:r>
          </w:p>
        </w:tc>
        <w:tc>
          <w:tcPr>
            <w:tcW w:w="160" w:type="dxa"/>
            <w:tcBorders>
              <w:top w:val="nil"/>
              <w:left w:val="nil"/>
              <w:bottom w:val="single" w:sz="4" w:space="0" w:color="auto"/>
              <w:right w:val="nil"/>
            </w:tcBorders>
            <w:vAlign w:val="center"/>
          </w:tcPr>
          <w:p w14:paraId="60D55E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850F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ANTONIO SEMA PIRAN</w:t>
            </w:r>
          </w:p>
        </w:tc>
      </w:tr>
      <w:tr w:rsidR="00072A69" w:rsidRPr="00DC6DF9" w14:paraId="2C849A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8E2B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256</w:t>
            </w:r>
          </w:p>
        </w:tc>
        <w:tc>
          <w:tcPr>
            <w:tcW w:w="1036" w:type="dxa"/>
            <w:tcBorders>
              <w:top w:val="nil"/>
              <w:left w:val="nil"/>
              <w:bottom w:val="single" w:sz="4" w:space="0" w:color="auto"/>
              <w:right w:val="single" w:sz="4" w:space="0" w:color="auto"/>
            </w:tcBorders>
            <w:shd w:val="clear" w:color="auto" w:fill="auto"/>
            <w:noWrap/>
            <w:vAlign w:val="center"/>
            <w:hideMark/>
          </w:tcPr>
          <w:p w14:paraId="5F2B51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5083451000</w:t>
            </w:r>
          </w:p>
        </w:tc>
        <w:tc>
          <w:tcPr>
            <w:tcW w:w="1036" w:type="dxa"/>
            <w:tcBorders>
              <w:top w:val="nil"/>
              <w:left w:val="nil"/>
              <w:bottom w:val="single" w:sz="4" w:space="0" w:color="auto"/>
              <w:right w:val="single" w:sz="4" w:space="0" w:color="auto"/>
            </w:tcBorders>
            <w:shd w:val="clear" w:color="auto" w:fill="auto"/>
            <w:noWrap/>
            <w:vAlign w:val="center"/>
            <w:hideMark/>
          </w:tcPr>
          <w:p w14:paraId="1BDD53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64618471</w:t>
            </w:r>
          </w:p>
        </w:tc>
        <w:tc>
          <w:tcPr>
            <w:tcW w:w="160" w:type="dxa"/>
            <w:tcBorders>
              <w:top w:val="nil"/>
              <w:left w:val="nil"/>
              <w:bottom w:val="single" w:sz="4" w:space="0" w:color="auto"/>
              <w:right w:val="nil"/>
            </w:tcBorders>
            <w:vAlign w:val="center"/>
          </w:tcPr>
          <w:p w14:paraId="14D53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D766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BEŽIGRAD</w:t>
            </w:r>
          </w:p>
        </w:tc>
      </w:tr>
      <w:tr w:rsidR="00072A69" w:rsidRPr="00DC6DF9" w14:paraId="5102C1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2B55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257</w:t>
            </w:r>
          </w:p>
        </w:tc>
        <w:tc>
          <w:tcPr>
            <w:tcW w:w="1036" w:type="dxa"/>
            <w:tcBorders>
              <w:top w:val="nil"/>
              <w:left w:val="nil"/>
              <w:bottom w:val="single" w:sz="4" w:space="0" w:color="auto"/>
              <w:right w:val="single" w:sz="4" w:space="0" w:color="auto"/>
            </w:tcBorders>
            <w:shd w:val="clear" w:color="auto" w:fill="auto"/>
            <w:noWrap/>
            <w:vAlign w:val="center"/>
            <w:hideMark/>
          </w:tcPr>
          <w:p w14:paraId="776963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1458540000</w:t>
            </w:r>
          </w:p>
        </w:tc>
        <w:tc>
          <w:tcPr>
            <w:tcW w:w="1036" w:type="dxa"/>
            <w:tcBorders>
              <w:top w:val="nil"/>
              <w:left w:val="nil"/>
              <w:bottom w:val="single" w:sz="4" w:space="0" w:color="auto"/>
              <w:right w:val="single" w:sz="4" w:space="0" w:color="auto"/>
            </w:tcBorders>
            <w:shd w:val="clear" w:color="auto" w:fill="auto"/>
            <w:noWrap/>
            <w:vAlign w:val="center"/>
            <w:hideMark/>
          </w:tcPr>
          <w:p w14:paraId="210F99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42615011</w:t>
            </w:r>
          </w:p>
        </w:tc>
        <w:tc>
          <w:tcPr>
            <w:tcW w:w="160" w:type="dxa"/>
            <w:tcBorders>
              <w:top w:val="nil"/>
              <w:left w:val="nil"/>
              <w:bottom w:val="single" w:sz="4" w:space="0" w:color="auto"/>
              <w:right w:val="nil"/>
            </w:tcBorders>
            <w:vAlign w:val="center"/>
          </w:tcPr>
          <w:p w14:paraId="6E7A2A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C985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BREŽICE</w:t>
            </w:r>
          </w:p>
        </w:tc>
      </w:tr>
      <w:tr w:rsidR="00072A69" w:rsidRPr="00DC6DF9" w14:paraId="4DD68E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D1D3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258</w:t>
            </w:r>
          </w:p>
        </w:tc>
        <w:tc>
          <w:tcPr>
            <w:tcW w:w="1036" w:type="dxa"/>
            <w:tcBorders>
              <w:top w:val="nil"/>
              <w:left w:val="nil"/>
              <w:bottom w:val="single" w:sz="4" w:space="0" w:color="auto"/>
              <w:right w:val="single" w:sz="4" w:space="0" w:color="auto"/>
            </w:tcBorders>
            <w:shd w:val="clear" w:color="auto" w:fill="auto"/>
            <w:noWrap/>
            <w:vAlign w:val="center"/>
            <w:hideMark/>
          </w:tcPr>
          <w:p w14:paraId="19ABC3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5082625000</w:t>
            </w:r>
          </w:p>
        </w:tc>
        <w:tc>
          <w:tcPr>
            <w:tcW w:w="1036" w:type="dxa"/>
            <w:tcBorders>
              <w:top w:val="nil"/>
              <w:left w:val="nil"/>
              <w:bottom w:val="single" w:sz="4" w:space="0" w:color="auto"/>
              <w:right w:val="single" w:sz="4" w:space="0" w:color="auto"/>
            </w:tcBorders>
            <w:shd w:val="clear" w:color="auto" w:fill="auto"/>
            <w:noWrap/>
            <w:vAlign w:val="center"/>
            <w:hideMark/>
          </w:tcPr>
          <w:p w14:paraId="6D6F0B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44240562</w:t>
            </w:r>
          </w:p>
        </w:tc>
        <w:tc>
          <w:tcPr>
            <w:tcW w:w="160" w:type="dxa"/>
            <w:tcBorders>
              <w:top w:val="nil"/>
              <w:left w:val="nil"/>
              <w:bottom w:val="single" w:sz="4" w:space="0" w:color="auto"/>
              <w:right w:val="nil"/>
            </w:tcBorders>
            <w:vAlign w:val="center"/>
          </w:tcPr>
          <w:p w14:paraId="582A5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CA60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CELJE - CENTER</w:t>
            </w:r>
          </w:p>
        </w:tc>
      </w:tr>
      <w:tr w:rsidR="00072A69" w:rsidRPr="00DC6DF9" w14:paraId="182898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1589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259</w:t>
            </w:r>
          </w:p>
        </w:tc>
        <w:tc>
          <w:tcPr>
            <w:tcW w:w="1036" w:type="dxa"/>
            <w:tcBorders>
              <w:top w:val="nil"/>
              <w:left w:val="nil"/>
              <w:bottom w:val="single" w:sz="4" w:space="0" w:color="auto"/>
              <w:right w:val="single" w:sz="4" w:space="0" w:color="auto"/>
            </w:tcBorders>
            <w:shd w:val="clear" w:color="auto" w:fill="auto"/>
            <w:noWrap/>
            <w:vAlign w:val="center"/>
            <w:hideMark/>
          </w:tcPr>
          <w:p w14:paraId="443C83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5084652000</w:t>
            </w:r>
          </w:p>
        </w:tc>
        <w:tc>
          <w:tcPr>
            <w:tcW w:w="1036" w:type="dxa"/>
            <w:tcBorders>
              <w:top w:val="nil"/>
              <w:left w:val="nil"/>
              <w:bottom w:val="single" w:sz="4" w:space="0" w:color="auto"/>
              <w:right w:val="single" w:sz="4" w:space="0" w:color="auto"/>
            </w:tcBorders>
            <w:shd w:val="clear" w:color="auto" w:fill="auto"/>
            <w:noWrap/>
            <w:vAlign w:val="center"/>
            <w:hideMark/>
          </w:tcPr>
          <w:p w14:paraId="608CAA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32934335</w:t>
            </w:r>
          </w:p>
        </w:tc>
        <w:tc>
          <w:tcPr>
            <w:tcW w:w="160" w:type="dxa"/>
            <w:tcBorders>
              <w:top w:val="nil"/>
              <w:left w:val="nil"/>
              <w:bottom w:val="single" w:sz="4" w:space="0" w:color="auto"/>
              <w:right w:val="nil"/>
            </w:tcBorders>
            <w:vAlign w:val="center"/>
          </w:tcPr>
          <w:p w14:paraId="0F6385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0CA5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FRANCA MIKLOŠIČA LJUTOMER</w:t>
            </w:r>
          </w:p>
        </w:tc>
      </w:tr>
      <w:tr w:rsidR="00072A69" w:rsidRPr="00DC6DF9" w14:paraId="1AA543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6D07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260</w:t>
            </w:r>
          </w:p>
        </w:tc>
        <w:tc>
          <w:tcPr>
            <w:tcW w:w="1036" w:type="dxa"/>
            <w:tcBorders>
              <w:top w:val="nil"/>
              <w:left w:val="nil"/>
              <w:bottom w:val="single" w:sz="4" w:space="0" w:color="auto"/>
              <w:right w:val="single" w:sz="4" w:space="0" w:color="auto"/>
            </w:tcBorders>
            <w:shd w:val="clear" w:color="auto" w:fill="auto"/>
            <w:noWrap/>
            <w:vAlign w:val="center"/>
            <w:hideMark/>
          </w:tcPr>
          <w:p w14:paraId="39D070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6286186000</w:t>
            </w:r>
          </w:p>
        </w:tc>
        <w:tc>
          <w:tcPr>
            <w:tcW w:w="1036" w:type="dxa"/>
            <w:tcBorders>
              <w:top w:val="nil"/>
              <w:left w:val="nil"/>
              <w:bottom w:val="single" w:sz="4" w:space="0" w:color="auto"/>
              <w:right w:val="single" w:sz="4" w:space="0" w:color="auto"/>
            </w:tcBorders>
            <w:shd w:val="clear" w:color="auto" w:fill="auto"/>
            <w:noWrap/>
            <w:vAlign w:val="center"/>
            <w:hideMark/>
          </w:tcPr>
          <w:p w14:paraId="0C7CA1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84484047</w:t>
            </w:r>
          </w:p>
        </w:tc>
        <w:tc>
          <w:tcPr>
            <w:tcW w:w="160" w:type="dxa"/>
            <w:tcBorders>
              <w:top w:val="nil"/>
              <w:left w:val="nil"/>
              <w:bottom w:val="single" w:sz="4" w:space="0" w:color="auto"/>
              <w:right w:val="nil"/>
            </w:tcBorders>
            <w:vAlign w:val="center"/>
          </w:tcPr>
          <w:p w14:paraId="245932B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FB2A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FRANCETA PREŠERNA</w:t>
            </w:r>
          </w:p>
        </w:tc>
      </w:tr>
      <w:tr w:rsidR="00072A69" w:rsidRPr="00DC6DF9" w14:paraId="22AD43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1A6C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261</w:t>
            </w:r>
          </w:p>
        </w:tc>
        <w:tc>
          <w:tcPr>
            <w:tcW w:w="1036" w:type="dxa"/>
            <w:tcBorders>
              <w:top w:val="nil"/>
              <w:left w:val="nil"/>
              <w:bottom w:val="single" w:sz="4" w:space="0" w:color="auto"/>
              <w:right w:val="single" w:sz="4" w:space="0" w:color="auto"/>
            </w:tcBorders>
            <w:shd w:val="clear" w:color="auto" w:fill="auto"/>
            <w:noWrap/>
            <w:vAlign w:val="center"/>
            <w:hideMark/>
          </w:tcPr>
          <w:p w14:paraId="7DC9C1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5090202000</w:t>
            </w:r>
          </w:p>
        </w:tc>
        <w:tc>
          <w:tcPr>
            <w:tcW w:w="1036" w:type="dxa"/>
            <w:tcBorders>
              <w:top w:val="nil"/>
              <w:left w:val="nil"/>
              <w:bottom w:val="single" w:sz="4" w:space="0" w:color="auto"/>
              <w:right w:val="single" w:sz="4" w:space="0" w:color="auto"/>
            </w:tcBorders>
            <w:shd w:val="clear" w:color="auto" w:fill="auto"/>
            <w:noWrap/>
            <w:vAlign w:val="center"/>
            <w:hideMark/>
          </w:tcPr>
          <w:p w14:paraId="3FFF49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93274211</w:t>
            </w:r>
          </w:p>
        </w:tc>
        <w:tc>
          <w:tcPr>
            <w:tcW w:w="160" w:type="dxa"/>
            <w:tcBorders>
              <w:top w:val="nil"/>
              <w:left w:val="nil"/>
              <w:bottom w:val="single" w:sz="4" w:space="0" w:color="auto"/>
              <w:right w:val="nil"/>
            </w:tcBorders>
            <w:vAlign w:val="center"/>
          </w:tcPr>
          <w:p w14:paraId="3FA89F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07F0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IN EKONOMSKA SREDNJA ŠOLA TRBOVLJE</w:t>
            </w:r>
          </w:p>
        </w:tc>
      </w:tr>
      <w:tr w:rsidR="00072A69" w:rsidRPr="00DC6DF9" w14:paraId="0038CCB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BFEE3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262</w:t>
            </w:r>
          </w:p>
        </w:tc>
        <w:tc>
          <w:tcPr>
            <w:tcW w:w="1036" w:type="dxa"/>
            <w:tcBorders>
              <w:top w:val="nil"/>
              <w:left w:val="nil"/>
              <w:bottom w:val="single" w:sz="4" w:space="0" w:color="auto"/>
              <w:right w:val="single" w:sz="4" w:space="0" w:color="auto"/>
            </w:tcBorders>
            <w:shd w:val="clear" w:color="auto" w:fill="auto"/>
            <w:noWrap/>
            <w:vAlign w:val="center"/>
            <w:hideMark/>
          </w:tcPr>
          <w:p w14:paraId="2C767A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5085861000</w:t>
            </w:r>
          </w:p>
        </w:tc>
        <w:tc>
          <w:tcPr>
            <w:tcW w:w="1036" w:type="dxa"/>
            <w:tcBorders>
              <w:top w:val="nil"/>
              <w:left w:val="nil"/>
              <w:bottom w:val="single" w:sz="4" w:space="0" w:color="auto"/>
              <w:right w:val="single" w:sz="4" w:space="0" w:color="auto"/>
            </w:tcBorders>
            <w:shd w:val="clear" w:color="auto" w:fill="auto"/>
            <w:noWrap/>
            <w:vAlign w:val="center"/>
            <w:hideMark/>
          </w:tcPr>
          <w:p w14:paraId="5855CF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11732199</w:t>
            </w:r>
          </w:p>
        </w:tc>
        <w:tc>
          <w:tcPr>
            <w:tcW w:w="160" w:type="dxa"/>
            <w:tcBorders>
              <w:top w:val="nil"/>
              <w:left w:val="nil"/>
              <w:bottom w:val="single" w:sz="4" w:space="0" w:color="auto"/>
              <w:right w:val="nil"/>
            </w:tcBorders>
            <w:vAlign w:val="center"/>
          </w:tcPr>
          <w:p w14:paraId="6F0FDE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E347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IN SREDNJA KEMIJSKA ŠOLA RUŠE</w:t>
            </w:r>
          </w:p>
        </w:tc>
      </w:tr>
      <w:tr w:rsidR="00072A69" w:rsidRPr="00DC6DF9" w14:paraId="17A3D5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1141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263</w:t>
            </w:r>
          </w:p>
        </w:tc>
        <w:tc>
          <w:tcPr>
            <w:tcW w:w="1036" w:type="dxa"/>
            <w:tcBorders>
              <w:top w:val="nil"/>
              <w:left w:val="nil"/>
              <w:bottom w:val="single" w:sz="4" w:space="0" w:color="auto"/>
              <w:right w:val="single" w:sz="4" w:space="0" w:color="auto"/>
            </w:tcBorders>
            <w:shd w:val="clear" w:color="auto" w:fill="auto"/>
            <w:noWrap/>
            <w:vAlign w:val="center"/>
            <w:hideMark/>
          </w:tcPr>
          <w:p w14:paraId="170988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6214312000</w:t>
            </w:r>
          </w:p>
        </w:tc>
        <w:tc>
          <w:tcPr>
            <w:tcW w:w="1036" w:type="dxa"/>
            <w:tcBorders>
              <w:top w:val="nil"/>
              <w:left w:val="nil"/>
              <w:bottom w:val="single" w:sz="4" w:space="0" w:color="auto"/>
              <w:right w:val="single" w:sz="4" w:space="0" w:color="auto"/>
            </w:tcBorders>
            <w:shd w:val="clear" w:color="auto" w:fill="auto"/>
            <w:noWrap/>
            <w:vAlign w:val="center"/>
            <w:hideMark/>
          </w:tcPr>
          <w:p w14:paraId="63B3C7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22854509</w:t>
            </w:r>
          </w:p>
        </w:tc>
        <w:tc>
          <w:tcPr>
            <w:tcW w:w="160" w:type="dxa"/>
            <w:tcBorders>
              <w:top w:val="nil"/>
              <w:left w:val="nil"/>
              <w:bottom w:val="single" w:sz="4" w:space="0" w:color="auto"/>
              <w:right w:val="nil"/>
            </w:tcBorders>
            <w:vAlign w:val="center"/>
          </w:tcPr>
          <w:p w14:paraId="02EB60B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E9D5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IN SREDNJA ŠOLA KOČEVJE</w:t>
            </w:r>
          </w:p>
        </w:tc>
      </w:tr>
      <w:tr w:rsidR="00072A69" w:rsidRPr="00DC6DF9" w14:paraId="21BB4D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434C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264</w:t>
            </w:r>
          </w:p>
        </w:tc>
        <w:tc>
          <w:tcPr>
            <w:tcW w:w="1036" w:type="dxa"/>
            <w:tcBorders>
              <w:top w:val="nil"/>
              <w:left w:val="nil"/>
              <w:bottom w:val="single" w:sz="4" w:space="0" w:color="auto"/>
              <w:right w:val="single" w:sz="4" w:space="0" w:color="auto"/>
            </w:tcBorders>
            <w:shd w:val="clear" w:color="auto" w:fill="auto"/>
            <w:noWrap/>
            <w:vAlign w:val="center"/>
            <w:hideMark/>
          </w:tcPr>
          <w:p w14:paraId="47E137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5178924000</w:t>
            </w:r>
          </w:p>
        </w:tc>
        <w:tc>
          <w:tcPr>
            <w:tcW w:w="1036" w:type="dxa"/>
            <w:tcBorders>
              <w:top w:val="nil"/>
              <w:left w:val="nil"/>
              <w:bottom w:val="single" w:sz="4" w:space="0" w:color="auto"/>
              <w:right w:val="single" w:sz="4" w:space="0" w:color="auto"/>
            </w:tcBorders>
            <w:shd w:val="clear" w:color="auto" w:fill="auto"/>
            <w:noWrap/>
            <w:vAlign w:val="center"/>
            <w:hideMark/>
          </w:tcPr>
          <w:p w14:paraId="262A75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27380297</w:t>
            </w:r>
          </w:p>
        </w:tc>
        <w:tc>
          <w:tcPr>
            <w:tcW w:w="160" w:type="dxa"/>
            <w:tcBorders>
              <w:top w:val="nil"/>
              <w:left w:val="nil"/>
              <w:bottom w:val="single" w:sz="4" w:space="0" w:color="auto"/>
              <w:right w:val="nil"/>
            </w:tcBorders>
            <w:vAlign w:val="center"/>
          </w:tcPr>
          <w:p w14:paraId="45E8E0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F93D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IN SREDNJA ŠOLA RUDOLFA MAISTRA KAMNIK</w:t>
            </w:r>
          </w:p>
        </w:tc>
      </w:tr>
      <w:tr w:rsidR="00072A69" w:rsidRPr="00DC6DF9" w14:paraId="7921E2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8A84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265</w:t>
            </w:r>
          </w:p>
        </w:tc>
        <w:tc>
          <w:tcPr>
            <w:tcW w:w="1036" w:type="dxa"/>
            <w:tcBorders>
              <w:top w:val="nil"/>
              <w:left w:val="nil"/>
              <w:bottom w:val="single" w:sz="4" w:space="0" w:color="auto"/>
              <w:right w:val="single" w:sz="4" w:space="0" w:color="auto"/>
            </w:tcBorders>
            <w:shd w:val="clear" w:color="auto" w:fill="auto"/>
            <w:noWrap/>
            <w:vAlign w:val="center"/>
            <w:hideMark/>
          </w:tcPr>
          <w:p w14:paraId="420E59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1214144000</w:t>
            </w:r>
          </w:p>
        </w:tc>
        <w:tc>
          <w:tcPr>
            <w:tcW w:w="1036" w:type="dxa"/>
            <w:tcBorders>
              <w:top w:val="nil"/>
              <w:left w:val="nil"/>
              <w:bottom w:val="single" w:sz="4" w:space="0" w:color="auto"/>
              <w:right w:val="single" w:sz="4" w:space="0" w:color="auto"/>
            </w:tcBorders>
            <w:shd w:val="clear" w:color="auto" w:fill="auto"/>
            <w:noWrap/>
            <w:vAlign w:val="center"/>
            <w:hideMark/>
          </w:tcPr>
          <w:p w14:paraId="3B8D1F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71266909</w:t>
            </w:r>
          </w:p>
        </w:tc>
        <w:tc>
          <w:tcPr>
            <w:tcW w:w="160" w:type="dxa"/>
            <w:tcBorders>
              <w:top w:val="nil"/>
              <w:left w:val="nil"/>
              <w:bottom w:val="single" w:sz="4" w:space="0" w:color="auto"/>
              <w:right w:val="nil"/>
            </w:tcBorders>
            <w:vAlign w:val="center"/>
          </w:tcPr>
          <w:p w14:paraId="2FEC35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DF50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JOŽETA PLEČNIKA LJUBLJANA</w:t>
            </w:r>
          </w:p>
        </w:tc>
      </w:tr>
      <w:tr w:rsidR="00072A69" w:rsidRPr="00DC6DF9" w14:paraId="128449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F93C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266</w:t>
            </w:r>
          </w:p>
        </w:tc>
        <w:tc>
          <w:tcPr>
            <w:tcW w:w="1036" w:type="dxa"/>
            <w:tcBorders>
              <w:top w:val="nil"/>
              <w:left w:val="nil"/>
              <w:bottom w:val="single" w:sz="4" w:space="0" w:color="auto"/>
              <w:right w:val="single" w:sz="4" w:space="0" w:color="auto"/>
            </w:tcBorders>
            <w:shd w:val="clear" w:color="auto" w:fill="auto"/>
            <w:noWrap/>
            <w:vAlign w:val="center"/>
            <w:hideMark/>
          </w:tcPr>
          <w:p w14:paraId="2B95DB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5085969000</w:t>
            </w:r>
          </w:p>
        </w:tc>
        <w:tc>
          <w:tcPr>
            <w:tcW w:w="1036" w:type="dxa"/>
            <w:tcBorders>
              <w:top w:val="nil"/>
              <w:left w:val="nil"/>
              <w:bottom w:val="single" w:sz="4" w:space="0" w:color="auto"/>
              <w:right w:val="single" w:sz="4" w:space="0" w:color="auto"/>
            </w:tcBorders>
            <w:shd w:val="clear" w:color="auto" w:fill="auto"/>
            <w:noWrap/>
            <w:vAlign w:val="center"/>
            <w:hideMark/>
          </w:tcPr>
          <w:p w14:paraId="2F1A25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34857788</w:t>
            </w:r>
          </w:p>
        </w:tc>
        <w:tc>
          <w:tcPr>
            <w:tcW w:w="160" w:type="dxa"/>
            <w:tcBorders>
              <w:top w:val="nil"/>
              <w:left w:val="nil"/>
              <w:bottom w:val="single" w:sz="4" w:space="0" w:color="auto"/>
              <w:right w:val="nil"/>
            </w:tcBorders>
            <w:vAlign w:val="center"/>
          </w:tcPr>
          <w:p w14:paraId="190ACC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5E4B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JURIJA VEGE IDRIJA</w:t>
            </w:r>
          </w:p>
        </w:tc>
      </w:tr>
      <w:tr w:rsidR="00072A69" w:rsidRPr="00DC6DF9" w14:paraId="72F1134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F4E9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267</w:t>
            </w:r>
          </w:p>
        </w:tc>
        <w:tc>
          <w:tcPr>
            <w:tcW w:w="1036" w:type="dxa"/>
            <w:tcBorders>
              <w:top w:val="nil"/>
              <w:left w:val="nil"/>
              <w:bottom w:val="single" w:sz="4" w:space="0" w:color="auto"/>
              <w:right w:val="single" w:sz="4" w:space="0" w:color="auto"/>
            </w:tcBorders>
            <w:shd w:val="clear" w:color="auto" w:fill="auto"/>
            <w:noWrap/>
            <w:vAlign w:val="center"/>
            <w:hideMark/>
          </w:tcPr>
          <w:p w14:paraId="09AAB3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5083869000</w:t>
            </w:r>
          </w:p>
        </w:tc>
        <w:tc>
          <w:tcPr>
            <w:tcW w:w="1036" w:type="dxa"/>
            <w:tcBorders>
              <w:top w:val="nil"/>
              <w:left w:val="nil"/>
              <w:bottom w:val="single" w:sz="4" w:space="0" w:color="auto"/>
              <w:right w:val="single" w:sz="4" w:space="0" w:color="auto"/>
            </w:tcBorders>
            <w:shd w:val="clear" w:color="auto" w:fill="auto"/>
            <w:noWrap/>
            <w:vAlign w:val="center"/>
            <w:hideMark/>
          </w:tcPr>
          <w:p w14:paraId="74A451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61745685</w:t>
            </w:r>
          </w:p>
        </w:tc>
        <w:tc>
          <w:tcPr>
            <w:tcW w:w="160" w:type="dxa"/>
            <w:tcBorders>
              <w:top w:val="nil"/>
              <w:left w:val="nil"/>
              <w:bottom w:val="single" w:sz="4" w:space="0" w:color="auto"/>
              <w:right w:val="nil"/>
            </w:tcBorders>
            <w:vAlign w:val="center"/>
          </w:tcPr>
          <w:p w14:paraId="5EE672F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D45C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GIMNAZIJA KOPER </w:t>
            </w:r>
          </w:p>
        </w:tc>
      </w:tr>
      <w:tr w:rsidR="00072A69" w:rsidRPr="00DC6DF9" w14:paraId="6B2282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7D5F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268</w:t>
            </w:r>
          </w:p>
        </w:tc>
        <w:tc>
          <w:tcPr>
            <w:tcW w:w="1036" w:type="dxa"/>
            <w:tcBorders>
              <w:top w:val="nil"/>
              <w:left w:val="nil"/>
              <w:bottom w:val="single" w:sz="4" w:space="0" w:color="auto"/>
              <w:right w:val="single" w:sz="4" w:space="0" w:color="auto"/>
            </w:tcBorders>
            <w:shd w:val="clear" w:color="auto" w:fill="auto"/>
            <w:noWrap/>
            <w:vAlign w:val="center"/>
            <w:hideMark/>
          </w:tcPr>
          <w:p w14:paraId="55C135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5083923000</w:t>
            </w:r>
          </w:p>
        </w:tc>
        <w:tc>
          <w:tcPr>
            <w:tcW w:w="1036" w:type="dxa"/>
            <w:tcBorders>
              <w:top w:val="nil"/>
              <w:left w:val="nil"/>
              <w:bottom w:val="single" w:sz="4" w:space="0" w:color="auto"/>
              <w:right w:val="single" w:sz="4" w:space="0" w:color="auto"/>
            </w:tcBorders>
            <w:shd w:val="clear" w:color="auto" w:fill="auto"/>
            <w:noWrap/>
            <w:vAlign w:val="center"/>
            <w:hideMark/>
          </w:tcPr>
          <w:p w14:paraId="703415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55313680</w:t>
            </w:r>
          </w:p>
        </w:tc>
        <w:tc>
          <w:tcPr>
            <w:tcW w:w="160" w:type="dxa"/>
            <w:tcBorders>
              <w:top w:val="nil"/>
              <w:left w:val="nil"/>
              <w:bottom w:val="single" w:sz="4" w:space="0" w:color="auto"/>
              <w:right w:val="nil"/>
            </w:tcBorders>
            <w:vAlign w:val="center"/>
          </w:tcPr>
          <w:p w14:paraId="192D3E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C211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KRANJ</w:t>
            </w:r>
          </w:p>
        </w:tc>
      </w:tr>
      <w:tr w:rsidR="00072A69" w:rsidRPr="00DC6DF9" w14:paraId="0C89CB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FF9E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269</w:t>
            </w:r>
          </w:p>
        </w:tc>
        <w:tc>
          <w:tcPr>
            <w:tcW w:w="1036" w:type="dxa"/>
            <w:tcBorders>
              <w:top w:val="nil"/>
              <w:left w:val="nil"/>
              <w:bottom w:val="single" w:sz="4" w:space="0" w:color="auto"/>
              <w:right w:val="single" w:sz="4" w:space="0" w:color="auto"/>
            </w:tcBorders>
            <w:shd w:val="clear" w:color="auto" w:fill="auto"/>
            <w:noWrap/>
            <w:vAlign w:val="center"/>
            <w:hideMark/>
          </w:tcPr>
          <w:p w14:paraId="5A64F4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5084202000</w:t>
            </w:r>
          </w:p>
        </w:tc>
        <w:tc>
          <w:tcPr>
            <w:tcW w:w="1036" w:type="dxa"/>
            <w:tcBorders>
              <w:top w:val="nil"/>
              <w:left w:val="nil"/>
              <w:bottom w:val="single" w:sz="4" w:space="0" w:color="auto"/>
              <w:right w:val="single" w:sz="4" w:space="0" w:color="auto"/>
            </w:tcBorders>
            <w:shd w:val="clear" w:color="auto" w:fill="auto"/>
            <w:noWrap/>
            <w:vAlign w:val="center"/>
            <w:hideMark/>
          </w:tcPr>
          <w:p w14:paraId="6DFB20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24546208</w:t>
            </w:r>
          </w:p>
        </w:tc>
        <w:tc>
          <w:tcPr>
            <w:tcW w:w="160" w:type="dxa"/>
            <w:tcBorders>
              <w:top w:val="nil"/>
              <w:left w:val="nil"/>
              <w:bottom w:val="single" w:sz="4" w:space="0" w:color="auto"/>
              <w:right w:val="nil"/>
            </w:tcBorders>
            <w:vAlign w:val="center"/>
          </w:tcPr>
          <w:p w14:paraId="5616F1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3B8C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LEDINA</w:t>
            </w:r>
          </w:p>
        </w:tc>
      </w:tr>
      <w:tr w:rsidR="00072A69" w:rsidRPr="00DC6DF9" w14:paraId="2E75FB8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523A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270</w:t>
            </w:r>
          </w:p>
        </w:tc>
        <w:tc>
          <w:tcPr>
            <w:tcW w:w="1036" w:type="dxa"/>
            <w:tcBorders>
              <w:top w:val="nil"/>
              <w:left w:val="nil"/>
              <w:bottom w:val="single" w:sz="4" w:space="0" w:color="auto"/>
              <w:right w:val="single" w:sz="4" w:space="0" w:color="auto"/>
            </w:tcBorders>
            <w:shd w:val="clear" w:color="auto" w:fill="auto"/>
            <w:noWrap/>
            <w:vAlign w:val="center"/>
            <w:hideMark/>
          </w:tcPr>
          <w:p w14:paraId="768B26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1201379000</w:t>
            </w:r>
          </w:p>
        </w:tc>
        <w:tc>
          <w:tcPr>
            <w:tcW w:w="1036" w:type="dxa"/>
            <w:tcBorders>
              <w:top w:val="nil"/>
              <w:left w:val="nil"/>
              <w:bottom w:val="single" w:sz="4" w:space="0" w:color="auto"/>
              <w:right w:val="single" w:sz="4" w:space="0" w:color="auto"/>
            </w:tcBorders>
            <w:shd w:val="clear" w:color="auto" w:fill="auto"/>
            <w:noWrap/>
            <w:vAlign w:val="center"/>
            <w:hideMark/>
          </w:tcPr>
          <w:p w14:paraId="534BF6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56971192</w:t>
            </w:r>
          </w:p>
        </w:tc>
        <w:tc>
          <w:tcPr>
            <w:tcW w:w="160" w:type="dxa"/>
            <w:tcBorders>
              <w:top w:val="nil"/>
              <w:left w:val="nil"/>
              <w:bottom w:val="single" w:sz="4" w:space="0" w:color="auto"/>
              <w:right w:val="nil"/>
            </w:tcBorders>
            <w:vAlign w:val="center"/>
          </w:tcPr>
          <w:p w14:paraId="243043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A09B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LITIJA</w:t>
            </w:r>
          </w:p>
        </w:tc>
      </w:tr>
      <w:tr w:rsidR="00072A69" w:rsidRPr="00DC6DF9" w14:paraId="792193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3E7C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271</w:t>
            </w:r>
          </w:p>
        </w:tc>
        <w:tc>
          <w:tcPr>
            <w:tcW w:w="1036" w:type="dxa"/>
            <w:tcBorders>
              <w:top w:val="nil"/>
              <w:left w:val="nil"/>
              <w:bottom w:val="single" w:sz="4" w:space="0" w:color="auto"/>
              <w:right w:val="single" w:sz="4" w:space="0" w:color="auto"/>
            </w:tcBorders>
            <w:shd w:val="clear" w:color="auto" w:fill="auto"/>
            <w:noWrap/>
            <w:vAlign w:val="center"/>
            <w:hideMark/>
          </w:tcPr>
          <w:p w14:paraId="1B2F7F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5084318000</w:t>
            </w:r>
          </w:p>
        </w:tc>
        <w:tc>
          <w:tcPr>
            <w:tcW w:w="1036" w:type="dxa"/>
            <w:tcBorders>
              <w:top w:val="nil"/>
              <w:left w:val="nil"/>
              <w:bottom w:val="single" w:sz="4" w:space="0" w:color="auto"/>
              <w:right w:val="single" w:sz="4" w:space="0" w:color="auto"/>
            </w:tcBorders>
            <w:shd w:val="clear" w:color="auto" w:fill="auto"/>
            <w:noWrap/>
            <w:vAlign w:val="center"/>
            <w:hideMark/>
          </w:tcPr>
          <w:p w14:paraId="08385C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79887520</w:t>
            </w:r>
          </w:p>
        </w:tc>
        <w:tc>
          <w:tcPr>
            <w:tcW w:w="160" w:type="dxa"/>
            <w:tcBorders>
              <w:top w:val="nil"/>
              <w:left w:val="nil"/>
              <w:bottom w:val="single" w:sz="4" w:space="0" w:color="auto"/>
              <w:right w:val="nil"/>
            </w:tcBorders>
            <w:vAlign w:val="center"/>
          </w:tcPr>
          <w:p w14:paraId="754C128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6F0B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MOSTE, LJUBLJANA</w:t>
            </w:r>
          </w:p>
        </w:tc>
      </w:tr>
      <w:tr w:rsidR="00072A69" w:rsidRPr="00DC6DF9" w14:paraId="3A752C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31A4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272</w:t>
            </w:r>
          </w:p>
        </w:tc>
        <w:tc>
          <w:tcPr>
            <w:tcW w:w="1036" w:type="dxa"/>
            <w:tcBorders>
              <w:top w:val="nil"/>
              <w:left w:val="nil"/>
              <w:bottom w:val="single" w:sz="4" w:space="0" w:color="auto"/>
              <w:right w:val="single" w:sz="4" w:space="0" w:color="auto"/>
            </w:tcBorders>
            <w:shd w:val="clear" w:color="auto" w:fill="auto"/>
            <w:noWrap/>
            <w:vAlign w:val="center"/>
            <w:hideMark/>
          </w:tcPr>
          <w:p w14:paraId="439118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5508541000</w:t>
            </w:r>
          </w:p>
        </w:tc>
        <w:tc>
          <w:tcPr>
            <w:tcW w:w="1036" w:type="dxa"/>
            <w:tcBorders>
              <w:top w:val="nil"/>
              <w:left w:val="nil"/>
              <w:bottom w:val="single" w:sz="4" w:space="0" w:color="auto"/>
              <w:right w:val="single" w:sz="4" w:space="0" w:color="auto"/>
            </w:tcBorders>
            <w:shd w:val="clear" w:color="auto" w:fill="auto"/>
            <w:noWrap/>
            <w:vAlign w:val="center"/>
            <w:hideMark/>
          </w:tcPr>
          <w:p w14:paraId="306F52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78559537</w:t>
            </w:r>
          </w:p>
        </w:tc>
        <w:tc>
          <w:tcPr>
            <w:tcW w:w="160" w:type="dxa"/>
            <w:tcBorders>
              <w:top w:val="nil"/>
              <w:left w:val="nil"/>
              <w:bottom w:val="single" w:sz="4" w:space="0" w:color="auto"/>
              <w:right w:val="nil"/>
            </w:tcBorders>
            <w:vAlign w:val="center"/>
          </w:tcPr>
          <w:p w14:paraId="39CAF5A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3FBE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MURSKA SOBOTA</w:t>
            </w:r>
          </w:p>
        </w:tc>
      </w:tr>
      <w:tr w:rsidR="00072A69" w:rsidRPr="00DC6DF9" w14:paraId="31236F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4391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273</w:t>
            </w:r>
          </w:p>
        </w:tc>
        <w:tc>
          <w:tcPr>
            <w:tcW w:w="1036" w:type="dxa"/>
            <w:tcBorders>
              <w:top w:val="nil"/>
              <w:left w:val="nil"/>
              <w:bottom w:val="single" w:sz="4" w:space="0" w:color="auto"/>
              <w:right w:val="single" w:sz="4" w:space="0" w:color="auto"/>
            </w:tcBorders>
            <w:shd w:val="clear" w:color="auto" w:fill="auto"/>
            <w:noWrap/>
            <w:vAlign w:val="center"/>
            <w:hideMark/>
          </w:tcPr>
          <w:p w14:paraId="073A78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5221161000</w:t>
            </w:r>
          </w:p>
        </w:tc>
        <w:tc>
          <w:tcPr>
            <w:tcW w:w="1036" w:type="dxa"/>
            <w:tcBorders>
              <w:top w:val="nil"/>
              <w:left w:val="nil"/>
              <w:bottom w:val="single" w:sz="4" w:space="0" w:color="auto"/>
              <w:right w:val="single" w:sz="4" w:space="0" w:color="auto"/>
            </w:tcBorders>
            <w:shd w:val="clear" w:color="auto" w:fill="auto"/>
            <w:noWrap/>
            <w:vAlign w:val="center"/>
            <w:hideMark/>
          </w:tcPr>
          <w:p w14:paraId="6934FC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71839941</w:t>
            </w:r>
          </w:p>
        </w:tc>
        <w:tc>
          <w:tcPr>
            <w:tcW w:w="160" w:type="dxa"/>
            <w:tcBorders>
              <w:top w:val="nil"/>
              <w:left w:val="nil"/>
              <w:bottom w:val="single" w:sz="4" w:space="0" w:color="auto"/>
              <w:right w:val="nil"/>
            </w:tcBorders>
            <w:vAlign w:val="center"/>
          </w:tcPr>
          <w:p w14:paraId="30BE67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9AB5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NOVA GORICA</w:t>
            </w:r>
          </w:p>
        </w:tc>
      </w:tr>
      <w:tr w:rsidR="00072A69" w:rsidRPr="00DC6DF9" w14:paraId="7D15CC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77A5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274</w:t>
            </w:r>
          </w:p>
        </w:tc>
        <w:tc>
          <w:tcPr>
            <w:tcW w:w="1036" w:type="dxa"/>
            <w:tcBorders>
              <w:top w:val="nil"/>
              <w:left w:val="nil"/>
              <w:bottom w:val="single" w:sz="4" w:space="0" w:color="auto"/>
              <w:right w:val="single" w:sz="4" w:space="0" w:color="auto"/>
            </w:tcBorders>
            <w:shd w:val="clear" w:color="auto" w:fill="auto"/>
            <w:noWrap/>
            <w:vAlign w:val="center"/>
            <w:hideMark/>
          </w:tcPr>
          <w:p w14:paraId="04107E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5089131000</w:t>
            </w:r>
          </w:p>
        </w:tc>
        <w:tc>
          <w:tcPr>
            <w:tcW w:w="1036" w:type="dxa"/>
            <w:tcBorders>
              <w:top w:val="nil"/>
              <w:left w:val="nil"/>
              <w:bottom w:val="single" w:sz="4" w:space="0" w:color="auto"/>
              <w:right w:val="single" w:sz="4" w:space="0" w:color="auto"/>
            </w:tcBorders>
            <w:shd w:val="clear" w:color="auto" w:fill="auto"/>
            <w:noWrap/>
            <w:vAlign w:val="center"/>
            <w:hideMark/>
          </w:tcPr>
          <w:p w14:paraId="07C5CC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77209737</w:t>
            </w:r>
          </w:p>
        </w:tc>
        <w:tc>
          <w:tcPr>
            <w:tcW w:w="160" w:type="dxa"/>
            <w:tcBorders>
              <w:top w:val="nil"/>
              <w:left w:val="nil"/>
              <w:bottom w:val="single" w:sz="4" w:space="0" w:color="auto"/>
              <w:right w:val="nil"/>
            </w:tcBorders>
            <w:vAlign w:val="center"/>
          </w:tcPr>
          <w:p w14:paraId="4A39CB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3291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NOVO MESTO</w:t>
            </w:r>
          </w:p>
        </w:tc>
      </w:tr>
      <w:tr w:rsidR="00072A69" w:rsidRPr="00DC6DF9" w14:paraId="4DBE28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4F5C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275</w:t>
            </w:r>
          </w:p>
        </w:tc>
        <w:tc>
          <w:tcPr>
            <w:tcW w:w="1036" w:type="dxa"/>
            <w:tcBorders>
              <w:top w:val="nil"/>
              <w:left w:val="nil"/>
              <w:bottom w:val="single" w:sz="4" w:space="0" w:color="auto"/>
              <w:right w:val="single" w:sz="4" w:space="0" w:color="auto"/>
            </w:tcBorders>
            <w:shd w:val="clear" w:color="auto" w:fill="auto"/>
            <w:noWrap/>
            <w:vAlign w:val="center"/>
            <w:hideMark/>
          </w:tcPr>
          <w:p w14:paraId="27AD55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1323318000</w:t>
            </w:r>
          </w:p>
        </w:tc>
        <w:tc>
          <w:tcPr>
            <w:tcW w:w="1036" w:type="dxa"/>
            <w:tcBorders>
              <w:top w:val="nil"/>
              <w:left w:val="nil"/>
              <w:bottom w:val="single" w:sz="4" w:space="0" w:color="auto"/>
              <w:right w:val="single" w:sz="4" w:space="0" w:color="auto"/>
            </w:tcBorders>
            <w:shd w:val="clear" w:color="auto" w:fill="auto"/>
            <w:noWrap/>
            <w:vAlign w:val="center"/>
            <w:hideMark/>
          </w:tcPr>
          <w:p w14:paraId="3FA2DD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62536630</w:t>
            </w:r>
          </w:p>
        </w:tc>
        <w:tc>
          <w:tcPr>
            <w:tcW w:w="160" w:type="dxa"/>
            <w:tcBorders>
              <w:top w:val="nil"/>
              <w:left w:val="nil"/>
              <w:bottom w:val="single" w:sz="4" w:space="0" w:color="auto"/>
              <w:right w:val="nil"/>
            </w:tcBorders>
            <w:vAlign w:val="center"/>
          </w:tcPr>
          <w:p w14:paraId="6624FF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6625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ORMOŽ</w:t>
            </w:r>
          </w:p>
        </w:tc>
      </w:tr>
      <w:tr w:rsidR="00072A69" w:rsidRPr="00DC6DF9" w14:paraId="50F639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243A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276</w:t>
            </w:r>
          </w:p>
        </w:tc>
        <w:tc>
          <w:tcPr>
            <w:tcW w:w="1036" w:type="dxa"/>
            <w:tcBorders>
              <w:top w:val="nil"/>
              <w:left w:val="nil"/>
              <w:bottom w:val="single" w:sz="4" w:space="0" w:color="auto"/>
              <w:right w:val="single" w:sz="4" w:space="0" w:color="auto"/>
            </w:tcBorders>
            <w:shd w:val="clear" w:color="auto" w:fill="auto"/>
            <w:noWrap/>
            <w:vAlign w:val="center"/>
            <w:hideMark/>
          </w:tcPr>
          <w:p w14:paraId="6FE6DF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5249619000</w:t>
            </w:r>
          </w:p>
        </w:tc>
        <w:tc>
          <w:tcPr>
            <w:tcW w:w="1036" w:type="dxa"/>
            <w:tcBorders>
              <w:top w:val="nil"/>
              <w:left w:val="nil"/>
              <w:bottom w:val="single" w:sz="4" w:space="0" w:color="auto"/>
              <w:right w:val="single" w:sz="4" w:space="0" w:color="auto"/>
            </w:tcBorders>
            <w:shd w:val="clear" w:color="auto" w:fill="auto"/>
            <w:noWrap/>
            <w:vAlign w:val="center"/>
            <w:hideMark/>
          </w:tcPr>
          <w:p w14:paraId="07137F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79262341</w:t>
            </w:r>
          </w:p>
        </w:tc>
        <w:tc>
          <w:tcPr>
            <w:tcW w:w="160" w:type="dxa"/>
            <w:tcBorders>
              <w:top w:val="nil"/>
              <w:left w:val="nil"/>
              <w:bottom w:val="single" w:sz="4" w:space="0" w:color="auto"/>
              <w:right w:val="nil"/>
            </w:tcBorders>
            <w:vAlign w:val="center"/>
          </w:tcPr>
          <w:p w14:paraId="120A4D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3DE1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POLJANE LJUBLJANA</w:t>
            </w:r>
          </w:p>
        </w:tc>
      </w:tr>
      <w:tr w:rsidR="00072A69" w:rsidRPr="00DC6DF9" w14:paraId="5CF3C0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0F5F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277</w:t>
            </w:r>
          </w:p>
        </w:tc>
        <w:tc>
          <w:tcPr>
            <w:tcW w:w="1036" w:type="dxa"/>
            <w:tcBorders>
              <w:top w:val="nil"/>
              <w:left w:val="nil"/>
              <w:bottom w:val="single" w:sz="4" w:space="0" w:color="auto"/>
              <w:right w:val="single" w:sz="4" w:space="0" w:color="auto"/>
            </w:tcBorders>
            <w:shd w:val="clear" w:color="auto" w:fill="auto"/>
            <w:noWrap/>
            <w:vAlign w:val="center"/>
            <w:hideMark/>
          </w:tcPr>
          <w:p w14:paraId="15DE70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1636855000</w:t>
            </w:r>
          </w:p>
        </w:tc>
        <w:tc>
          <w:tcPr>
            <w:tcW w:w="1036" w:type="dxa"/>
            <w:tcBorders>
              <w:top w:val="nil"/>
              <w:left w:val="nil"/>
              <w:bottom w:val="single" w:sz="4" w:space="0" w:color="auto"/>
              <w:right w:val="single" w:sz="4" w:space="0" w:color="auto"/>
            </w:tcBorders>
            <w:shd w:val="clear" w:color="auto" w:fill="auto"/>
            <w:noWrap/>
            <w:vAlign w:val="center"/>
            <w:hideMark/>
          </w:tcPr>
          <w:p w14:paraId="119224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31808093</w:t>
            </w:r>
          </w:p>
        </w:tc>
        <w:tc>
          <w:tcPr>
            <w:tcW w:w="160" w:type="dxa"/>
            <w:tcBorders>
              <w:top w:val="nil"/>
              <w:left w:val="nil"/>
              <w:bottom w:val="single" w:sz="4" w:space="0" w:color="auto"/>
              <w:right w:val="nil"/>
            </w:tcBorders>
            <w:vAlign w:val="center"/>
          </w:tcPr>
          <w:p w14:paraId="2E93EA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A3FB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PTUJ</w:t>
            </w:r>
          </w:p>
        </w:tc>
      </w:tr>
      <w:tr w:rsidR="00072A69" w:rsidRPr="00DC6DF9" w14:paraId="78D76D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32A3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278</w:t>
            </w:r>
          </w:p>
        </w:tc>
        <w:tc>
          <w:tcPr>
            <w:tcW w:w="1036" w:type="dxa"/>
            <w:tcBorders>
              <w:top w:val="nil"/>
              <w:left w:val="nil"/>
              <w:bottom w:val="single" w:sz="4" w:space="0" w:color="auto"/>
              <w:right w:val="single" w:sz="4" w:space="0" w:color="auto"/>
            </w:tcBorders>
            <w:shd w:val="clear" w:color="auto" w:fill="auto"/>
            <w:noWrap/>
            <w:vAlign w:val="center"/>
            <w:hideMark/>
          </w:tcPr>
          <w:p w14:paraId="47ABE8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5084962000</w:t>
            </w:r>
          </w:p>
        </w:tc>
        <w:tc>
          <w:tcPr>
            <w:tcW w:w="1036" w:type="dxa"/>
            <w:tcBorders>
              <w:top w:val="nil"/>
              <w:left w:val="nil"/>
              <w:bottom w:val="single" w:sz="4" w:space="0" w:color="auto"/>
              <w:right w:val="single" w:sz="4" w:space="0" w:color="auto"/>
            </w:tcBorders>
            <w:shd w:val="clear" w:color="auto" w:fill="auto"/>
            <w:noWrap/>
            <w:vAlign w:val="center"/>
            <w:hideMark/>
          </w:tcPr>
          <w:p w14:paraId="28F971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40605035</w:t>
            </w:r>
          </w:p>
        </w:tc>
        <w:tc>
          <w:tcPr>
            <w:tcW w:w="160" w:type="dxa"/>
            <w:tcBorders>
              <w:top w:val="nil"/>
              <w:left w:val="nil"/>
              <w:bottom w:val="single" w:sz="4" w:space="0" w:color="auto"/>
              <w:right w:val="nil"/>
            </w:tcBorders>
            <w:vAlign w:val="center"/>
          </w:tcPr>
          <w:p w14:paraId="047135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1BF0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ŠENTVID LJUBLJANA</w:t>
            </w:r>
          </w:p>
        </w:tc>
      </w:tr>
      <w:tr w:rsidR="00072A69" w:rsidRPr="00DC6DF9" w14:paraId="242723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A35A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279</w:t>
            </w:r>
          </w:p>
        </w:tc>
        <w:tc>
          <w:tcPr>
            <w:tcW w:w="1036" w:type="dxa"/>
            <w:tcBorders>
              <w:top w:val="nil"/>
              <w:left w:val="nil"/>
              <w:bottom w:val="single" w:sz="4" w:space="0" w:color="auto"/>
              <w:right w:val="single" w:sz="4" w:space="0" w:color="auto"/>
            </w:tcBorders>
            <w:shd w:val="clear" w:color="auto" w:fill="auto"/>
            <w:noWrap/>
            <w:vAlign w:val="center"/>
            <w:hideMark/>
          </w:tcPr>
          <w:p w14:paraId="44D3C7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5671159000</w:t>
            </w:r>
          </w:p>
        </w:tc>
        <w:tc>
          <w:tcPr>
            <w:tcW w:w="1036" w:type="dxa"/>
            <w:tcBorders>
              <w:top w:val="nil"/>
              <w:left w:val="nil"/>
              <w:bottom w:val="single" w:sz="4" w:space="0" w:color="auto"/>
              <w:right w:val="single" w:sz="4" w:space="0" w:color="auto"/>
            </w:tcBorders>
            <w:shd w:val="clear" w:color="auto" w:fill="auto"/>
            <w:noWrap/>
            <w:vAlign w:val="center"/>
            <w:hideMark/>
          </w:tcPr>
          <w:p w14:paraId="0B9496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57801606</w:t>
            </w:r>
          </w:p>
        </w:tc>
        <w:tc>
          <w:tcPr>
            <w:tcW w:w="160" w:type="dxa"/>
            <w:tcBorders>
              <w:top w:val="nil"/>
              <w:left w:val="nil"/>
              <w:bottom w:val="single" w:sz="4" w:space="0" w:color="auto"/>
              <w:right w:val="nil"/>
            </w:tcBorders>
            <w:vAlign w:val="center"/>
          </w:tcPr>
          <w:p w14:paraId="5E6BEF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BDC4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ŠIŠKA</w:t>
            </w:r>
          </w:p>
        </w:tc>
      </w:tr>
      <w:tr w:rsidR="00072A69" w:rsidRPr="00DC6DF9" w14:paraId="2DD888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7BAC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280</w:t>
            </w:r>
          </w:p>
        </w:tc>
        <w:tc>
          <w:tcPr>
            <w:tcW w:w="1036" w:type="dxa"/>
            <w:tcBorders>
              <w:top w:val="nil"/>
              <w:left w:val="nil"/>
              <w:bottom w:val="single" w:sz="4" w:space="0" w:color="auto"/>
              <w:right w:val="single" w:sz="4" w:space="0" w:color="auto"/>
            </w:tcBorders>
            <w:shd w:val="clear" w:color="auto" w:fill="auto"/>
            <w:noWrap/>
            <w:vAlign w:val="center"/>
            <w:hideMark/>
          </w:tcPr>
          <w:p w14:paraId="7FA088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5087864000</w:t>
            </w:r>
          </w:p>
        </w:tc>
        <w:tc>
          <w:tcPr>
            <w:tcW w:w="1036" w:type="dxa"/>
            <w:tcBorders>
              <w:top w:val="nil"/>
              <w:left w:val="nil"/>
              <w:bottom w:val="single" w:sz="4" w:space="0" w:color="auto"/>
              <w:right w:val="single" w:sz="4" w:space="0" w:color="auto"/>
            </w:tcBorders>
            <w:shd w:val="clear" w:color="auto" w:fill="auto"/>
            <w:noWrap/>
            <w:vAlign w:val="center"/>
            <w:hideMark/>
          </w:tcPr>
          <w:p w14:paraId="4C986C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75358247</w:t>
            </w:r>
          </w:p>
        </w:tc>
        <w:tc>
          <w:tcPr>
            <w:tcW w:w="160" w:type="dxa"/>
            <w:tcBorders>
              <w:top w:val="nil"/>
              <w:left w:val="nil"/>
              <w:bottom w:val="single" w:sz="4" w:space="0" w:color="auto"/>
              <w:right w:val="nil"/>
            </w:tcBorders>
            <w:vAlign w:val="center"/>
          </w:tcPr>
          <w:p w14:paraId="0E77DB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2768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ŠKOFJA LOKA</w:t>
            </w:r>
          </w:p>
        </w:tc>
      </w:tr>
      <w:tr w:rsidR="00072A69" w:rsidRPr="00DC6DF9" w14:paraId="6C4FFF9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03B5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281</w:t>
            </w:r>
          </w:p>
        </w:tc>
        <w:tc>
          <w:tcPr>
            <w:tcW w:w="1036" w:type="dxa"/>
            <w:tcBorders>
              <w:top w:val="nil"/>
              <w:left w:val="nil"/>
              <w:bottom w:val="single" w:sz="4" w:space="0" w:color="auto"/>
              <w:right w:val="single" w:sz="4" w:space="0" w:color="auto"/>
            </w:tcBorders>
            <w:shd w:val="clear" w:color="auto" w:fill="auto"/>
            <w:noWrap/>
            <w:vAlign w:val="center"/>
            <w:hideMark/>
          </w:tcPr>
          <w:p w14:paraId="145C71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5272661000</w:t>
            </w:r>
          </w:p>
        </w:tc>
        <w:tc>
          <w:tcPr>
            <w:tcW w:w="1036" w:type="dxa"/>
            <w:tcBorders>
              <w:top w:val="nil"/>
              <w:left w:val="nil"/>
              <w:bottom w:val="single" w:sz="4" w:space="0" w:color="auto"/>
              <w:right w:val="single" w:sz="4" w:space="0" w:color="auto"/>
            </w:tcBorders>
            <w:shd w:val="clear" w:color="auto" w:fill="auto"/>
            <w:noWrap/>
            <w:vAlign w:val="center"/>
            <w:hideMark/>
          </w:tcPr>
          <w:p w14:paraId="396BDD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96796219</w:t>
            </w:r>
          </w:p>
        </w:tc>
        <w:tc>
          <w:tcPr>
            <w:tcW w:w="160" w:type="dxa"/>
            <w:tcBorders>
              <w:top w:val="nil"/>
              <w:left w:val="nil"/>
              <w:bottom w:val="single" w:sz="4" w:space="0" w:color="auto"/>
              <w:right w:val="nil"/>
            </w:tcBorders>
            <w:vAlign w:val="center"/>
          </w:tcPr>
          <w:p w14:paraId="7A1B20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BD90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TOLMIN</w:t>
            </w:r>
          </w:p>
        </w:tc>
      </w:tr>
      <w:tr w:rsidR="00072A69" w:rsidRPr="00DC6DF9" w14:paraId="50BDEF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0DDC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282</w:t>
            </w:r>
          </w:p>
        </w:tc>
        <w:tc>
          <w:tcPr>
            <w:tcW w:w="1036" w:type="dxa"/>
            <w:tcBorders>
              <w:top w:val="nil"/>
              <w:left w:val="nil"/>
              <w:bottom w:val="single" w:sz="4" w:space="0" w:color="auto"/>
              <w:right w:val="single" w:sz="4" w:space="0" w:color="auto"/>
            </w:tcBorders>
            <w:shd w:val="clear" w:color="auto" w:fill="auto"/>
            <w:noWrap/>
            <w:vAlign w:val="center"/>
            <w:hideMark/>
          </w:tcPr>
          <w:p w14:paraId="32D53D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5084563000</w:t>
            </w:r>
          </w:p>
        </w:tc>
        <w:tc>
          <w:tcPr>
            <w:tcW w:w="1036" w:type="dxa"/>
            <w:tcBorders>
              <w:top w:val="nil"/>
              <w:left w:val="nil"/>
              <w:bottom w:val="single" w:sz="4" w:space="0" w:color="auto"/>
              <w:right w:val="single" w:sz="4" w:space="0" w:color="auto"/>
            </w:tcBorders>
            <w:shd w:val="clear" w:color="auto" w:fill="auto"/>
            <w:noWrap/>
            <w:vAlign w:val="center"/>
            <w:hideMark/>
          </w:tcPr>
          <w:p w14:paraId="39B418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54767695</w:t>
            </w:r>
          </w:p>
        </w:tc>
        <w:tc>
          <w:tcPr>
            <w:tcW w:w="160" w:type="dxa"/>
            <w:tcBorders>
              <w:top w:val="nil"/>
              <w:left w:val="nil"/>
              <w:bottom w:val="single" w:sz="4" w:space="0" w:color="auto"/>
              <w:right w:val="nil"/>
            </w:tcBorders>
            <w:vAlign w:val="center"/>
          </w:tcPr>
          <w:p w14:paraId="4D2C8E9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6813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GIMNAZIJA VIČ</w:t>
            </w:r>
          </w:p>
        </w:tc>
      </w:tr>
      <w:tr w:rsidR="00072A69" w:rsidRPr="00DC6DF9" w14:paraId="52FAE97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A45B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283</w:t>
            </w:r>
          </w:p>
        </w:tc>
        <w:tc>
          <w:tcPr>
            <w:tcW w:w="1036" w:type="dxa"/>
            <w:tcBorders>
              <w:top w:val="nil"/>
              <w:left w:val="nil"/>
              <w:bottom w:val="single" w:sz="4" w:space="0" w:color="auto"/>
              <w:right w:val="single" w:sz="4" w:space="0" w:color="auto"/>
            </w:tcBorders>
            <w:shd w:val="clear" w:color="auto" w:fill="auto"/>
            <w:noWrap/>
            <w:vAlign w:val="center"/>
            <w:hideMark/>
          </w:tcPr>
          <w:p w14:paraId="39476B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5083591000</w:t>
            </w:r>
          </w:p>
        </w:tc>
        <w:tc>
          <w:tcPr>
            <w:tcW w:w="1036" w:type="dxa"/>
            <w:tcBorders>
              <w:top w:val="nil"/>
              <w:left w:val="nil"/>
              <w:bottom w:val="single" w:sz="4" w:space="0" w:color="auto"/>
              <w:right w:val="single" w:sz="4" w:space="0" w:color="auto"/>
            </w:tcBorders>
            <w:shd w:val="clear" w:color="auto" w:fill="auto"/>
            <w:noWrap/>
            <w:vAlign w:val="center"/>
            <w:hideMark/>
          </w:tcPr>
          <w:p w14:paraId="03E983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27184188</w:t>
            </w:r>
          </w:p>
        </w:tc>
        <w:tc>
          <w:tcPr>
            <w:tcW w:w="160" w:type="dxa"/>
            <w:tcBorders>
              <w:top w:val="nil"/>
              <w:left w:val="nil"/>
              <w:bottom w:val="single" w:sz="4" w:space="0" w:color="auto"/>
              <w:right w:val="nil"/>
            </w:tcBorders>
            <w:vAlign w:val="center"/>
          </w:tcPr>
          <w:p w14:paraId="305995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D21E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BREŽICE</w:t>
            </w:r>
          </w:p>
        </w:tc>
      </w:tr>
      <w:tr w:rsidR="00072A69" w:rsidRPr="00DC6DF9" w14:paraId="077AD2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DC08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284</w:t>
            </w:r>
          </w:p>
        </w:tc>
        <w:tc>
          <w:tcPr>
            <w:tcW w:w="1036" w:type="dxa"/>
            <w:tcBorders>
              <w:top w:val="nil"/>
              <w:left w:val="nil"/>
              <w:bottom w:val="single" w:sz="4" w:space="0" w:color="auto"/>
              <w:right w:val="single" w:sz="4" w:space="0" w:color="auto"/>
            </w:tcBorders>
            <w:shd w:val="clear" w:color="auto" w:fill="auto"/>
            <w:noWrap/>
            <w:vAlign w:val="center"/>
            <w:hideMark/>
          </w:tcPr>
          <w:p w14:paraId="5A3911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5083630000</w:t>
            </w:r>
          </w:p>
        </w:tc>
        <w:tc>
          <w:tcPr>
            <w:tcW w:w="1036" w:type="dxa"/>
            <w:tcBorders>
              <w:top w:val="nil"/>
              <w:left w:val="nil"/>
              <w:bottom w:val="single" w:sz="4" w:space="0" w:color="auto"/>
              <w:right w:val="single" w:sz="4" w:space="0" w:color="auto"/>
            </w:tcBorders>
            <w:shd w:val="clear" w:color="auto" w:fill="auto"/>
            <w:noWrap/>
            <w:vAlign w:val="center"/>
            <w:hideMark/>
          </w:tcPr>
          <w:p w14:paraId="5A500D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78363209</w:t>
            </w:r>
          </w:p>
        </w:tc>
        <w:tc>
          <w:tcPr>
            <w:tcW w:w="160" w:type="dxa"/>
            <w:tcBorders>
              <w:top w:val="nil"/>
              <w:left w:val="nil"/>
              <w:bottom w:val="single" w:sz="4" w:space="0" w:color="auto"/>
              <w:right w:val="nil"/>
            </w:tcBorders>
            <w:vAlign w:val="center"/>
          </w:tcPr>
          <w:p w14:paraId="4C33B7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1F51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CELJE</w:t>
            </w:r>
          </w:p>
        </w:tc>
      </w:tr>
      <w:tr w:rsidR="00072A69" w:rsidRPr="00DC6DF9" w14:paraId="5211F1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ECD1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285</w:t>
            </w:r>
          </w:p>
        </w:tc>
        <w:tc>
          <w:tcPr>
            <w:tcW w:w="1036" w:type="dxa"/>
            <w:tcBorders>
              <w:top w:val="nil"/>
              <w:left w:val="nil"/>
              <w:bottom w:val="single" w:sz="4" w:space="0" w:color="auto"/>
              <w:right w:val="single" w:sz="4" w:space="0" w:color="auto"/>
            </w:tcBorders>
            <w:shd w:val="clear" w:color="auto" w:fill="auto"/>
            <w:noWrap/>
            <w:vAlign w:val="center"/>
            <w:hideMark/>
          </w:tcPr>
          <w:p w14:paraId="5132D5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5082862000</w:t>
            </w:r>
          </w:p>
        </w:tc>
        <w:tc>
          <w:tcPr>
            <w:tcW w:w="1036" w:type="dxa"/>
            <w:tcBorders>
              <w:top w:val="nil"/>
              <w:left w:val="nil"/>
              <w:bottom w:val="single" w:sz="4" w:space="0" w:color="auto"/>
              <w:right w:val="single" w:sz="4" w:space="0" w:color="auto"/>
            </w:tcBorders>
            <w:shd w:val="clear" w:color="auto" w:fill="auto"/>
            <w:noWrap/>
            <w:vAlign w:val="center"/>
            <w:hideMark/>
          </w:tcPr>
          <w:p w14:paraId="264391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45558264</w:t>
            </w:r>
          </w:p>
        </w:tc>
        <w:tc>
          <w:tcPr>
            <w:tcW w:w="160" w:type="dxa"/>
            <w:tcBorders>
              <w:top w:val="nil"/>
              <w:left w:val="nil"/>
              <w:bottom w:val="single" w:sz="4" w:space="0" w:color="auto"/>
              <w:right w:val="nil"/>
            </w:tcBorders>
            <w:vAlign w:val="center"/>
          </w:tcPr>
          <w:p w14:paraId="092AD1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AC60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DOMŽALE</w:t>
            </w:r>
          </w:p>
        </w:tc>
      </w:tr>
      <w:tr w:rsidR="00072A69" w:rsidRPr="00DC6DF9" w14:paraId="343CE5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62E8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286</w:t>
            </w:r>
          </w:p>
        </w:tc>
        <w:tc>
          <w:tcPr>
            <w:tcW w:w="1036" w:type="dxa"/>
            <w:tcBorders>
              <w:top w:val="nil"/>
              <w:left w:val="nil"/>
              <w:bottom w:val="single" w:sz="4" w:space="0" w:color="auto"/>
              <w:right w:val="single" w:sz="4" w:space="0" w:color="auto"/>
            </w:tcBorders>
            <w:shd w:val="clear" w:color="auto" w:fill="auto"/>
            <w:noWrap/>
            <w:vAlign w:val="center"/>
            <w:hideMark/>
          </w:tcPr>
          <w:p w14:paraId="0E80FB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5088313000</w:t>
            </w:r>
          </w:p>
        </w:tc>
        <w:tc>
          <w:tcPr>
            <w:tcW w:w="1036" w:type="dxa"/>
            <w:tcBorders>
              <w:top w:val="nil"/>
              <w:left w:val="nil"/>
              <w:bottom w:val="single" w:sz="4" w:space="0" w:color="auto"/>
              <w:right w:val="single" w:sz="4" w:space="0" w:color="auto"/>
            </w:tcBorders>
            <w:shd w:val="clear" w:color="auto" w:fill="auto"/>
            <w:noWrap/>
            <w:vAlign w:val="center"/>
            <w:hideMark/>
          </w:tcPr>
          <w:p w14:paraId="053BB0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79789960</w:t>
            </w:r>
          </w:p>
        </w:tc>
        <w:tc>
          <w:tcPr>
            <w:tcW w:w="160" w:type="dxa"/>
            <w:tcBorders>
              <w:top w:val="nil"/>
              <w:left w:val="nil"/>
              <w:bottom w:val="single" w:sz="4" w:space="0" w:color="auto"/>
              <w:right w:val="nil"/>
            </w:tcBorders>
            <w:vAlign w:val="center"/>
          </w:tcPr>
          <w:p w14:paraId="5DE3F9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E20D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FRAN KORUN KOŽELJSKI VELENJE</w:t>
            </w:r>
          </w:p>
        </w:tc>
      </w:tr>
      <w:tr w:rsidR="00072A69" w:rsidRPr="00DC6DF9" w14:paraId="2905A0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4AFB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287</w:t>
            </w:r>
          </w:p>
        </w:tc>
        <w:tc>
          <w:tcPr>
            <w:tcW w:w="1036" w:type="dxa"/>
            <w:tcBorders>
              <w:top w:val="nil"/>
              <w:left w:val="nil"/>
              <w:bottom w:val="single" w:sz="4" w:space="0" w:color="auto"/>
              <w:right w:val="single" w:sz="4" w:space="0" w:color="auto"/>
            </w:tcBorders>
            <w:shd w:val="clear" w:color="auto" w:fill="auto"/>
            <w:noWrap/>
            <w:vAlign w:val="center"/>
            <w:hideMark/>
          </w:tcPr>
          <w:p w14:paraId="1AA1D0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5083702000</w:t>
            </w:r>
          </w:p>
        </w:tc>
        <w:tc>
          <w:tcPr>
            <w:tcW w:w="1036" w:type="dxa"/>
            <w:tcBorders>
              <w:top w:val="nil"/>
              <w:left w:val="nil"/>
              <w:bottom w:val="single" w:sz="4" w:space="0" w:color="auto"/>
              <w:right w:val="single" w:sz="4" w:space="0" w:color="auto"/>
            </w:tcBorders>
            <w:shd w:val="clear" w:color="auto" w:fill="auto"/>
            <w:noWrap/>
            <w:vAlign w:val="center"/>
            <w:hideMark/>
          </w:tcPr>
          <w:p w14:paraId="4CD8F9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96787163</w:t>
            </w:r>
          </w:p>
        </w:tc>
        <w:tc>
          <w:tcPr>
            <w:tcW w:w="160" w:type="dxa"/>
            <w:tcBorders>
              <w:top w:val="nil"/>
              <w:left w:val="nil"/>
              <w:bottom w:val="single" w:sz="4" w:space="0" w:color="auto"/>
              <w:right w:val="nil"/>
            </w:tcBorders>
            <w:vAlign w:val="center"/>
          </w:tcPr>
          <w:p w14:paraId="3AE78D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3D41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FRANA GERBIČA CERKNICA</w:t>
            </w:r>
          </w:p>
        </w:tc>
      </w:tr>
      <w:tr w:rsidR="00072A69" w:rsidRPr="00DC6DF9" w14:paraId="30DA04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EBAE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288</w:t>
            </w:r>
          </w:p>
        </w:tc>
        <w:tc>
          <w:tcPr>
            <w:tcW w:w="1036" w:type="dxa"/>
            <w:tcBorders>
              <w:top w:val="nil"/>
              <w:left w:val="nil"/>
              <w:bottom w:val="single" w:sz="4" w:space="0" w:color="auto"/>
              <w:right w:val="single" w:sz="4" w:space="0" w:color="auto"/>
            </w:tcBorders>
            <w:shd w:val="clear" w:color="auto" w:fill="auto"/>
            <w:noWrap/>
            <w:vAlign w:val="center"/>
            <w:hideMark/>
          </w:tcPr>
          <w:p w14:paraId="0790BB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5090024000</w:t>
            </w:r>
          </w:p>
        </w:tc>
        <w:tc>
          <w:tcPr>
            <w:tcW w:w="1036" w:type="dxa"/>
            <w:tcBorders>
              <w:top w:val="nil"/>
              <w:left w:val="nil"/>
              <w:bottom w:val="single" w:sz="4" w:space="0" w:color="auto"/>
              <w:right w:val="single" w:sz="4" w:space="0" w:color="auto"/>
            </w:tcBorders>
            <w:shd w:val="clear" w:color="auto" w:fill="auto"/>
            <w:noWrap/>
            <w:vAlign w:val="center"/>
            <w:hideMark/>
          </w:tcPr>
          <w:p w14:paraId="5680DC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82488649</w:t>
            </w:r>
          </w:p>
        </w:tc>
        <w:tc>
          <w:tcPr>
            <w:tcW w:w="160" w:type="dxa"/>
            <w:tcBorders>
              <w:top w:val="nil"/>
              <w:left w:val="nil"/>
              <w:bottom w:val="single" w:sz="4" w:space="0" w:color="auto"/>
              <w:right w:val="nil"/>
            </w:tcBorders>
            <w:vAlign w:val="center"/>
          </w:tcPr>
          <w:p w14:paraId="2896C8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8D25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FRANCA ŠTURMA</w:t>
            </w:r>
          </w:p>
        </w:tc>
      </w:tr>
      <w:tr w:rsidR="00072A69" w:rsidRPr="00DC6DF9" w14:paraId="01ACC2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DB3D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289</w:t>
            </w:r>
          </w:p>
        </w:tc>
        <w:tc>
          <w:tcPr>
            <w:tcW w:w="1036" w:type="dxa"/>
            <w:tcBorders>
              <w:top w:val="nil"/>
              <w:left w:val="nil"/>
              <w:bottom w:val="single" w:sz="4" w:space="0" w:color="auto"/>
              <w:right w:val="single" w:sz="4" w:space="0" w:color="auto"/>
            </w:tcBorders>
            <w:shd w:val="clear" w:color="auto" w:fill="auto"/>
            <w:noWrap/>
            <w:vAlign w:val="center"/>
            <w:hideMark/>
          </w:tcPr>
          <w:p w14:paraId="13C871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5083770000</w:t>
            </w:r>
          </w:p>
        </w:tc>
        <w:tc>
          <w:tcPr>
            <w:tcW w:w="1036" w:type="dxa"/>
            <w:tcBorders>
              <w:top w:val="nil"/>
              <w:left w:val="nil"/>
              <w:bottom w:val="single" w:sz="4" w:space="0" w:color="auto"/>
              <w:right w:val="single" w:sz="4" w:space="0" w:color="auto"/>
            </w:tcBorders>
            <w:shd w:val="clear" w:color="auto" w:fill="auto"/>
            <w:noWrap/>
            <w:vAlign w:val="center"/>
            <w:hideMark/>
          </w:tcPr>
          <w:p w14:paraId="0BC655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72010185</w:t>
            </w:r>
          </w:p>
        </w:tc>
        <w:tc>
          <w:tcPr>
            <w:tcW w:w="160" w:type="dxa"/>
            <w:tcBorders>
              <w:top w:val="nil"/>
              <w:left w:val="nil"/>
              <w:bottom w:val="single" w:sz="4" w:space="0" w:color="auto"/>
              <w:right w:val="nil"/>
            </w:tcBorders>
            <w:vAlign w:val="center"/>
          </w:tcPr>
          <w:p w14:paraId="52C16A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11C4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HRASTNIK</w:t>
            </w:r>
          </w:p>
        </w:tc>
      </w:tr>
      <w:tr w:rsidR="00072A69" w:rsidRPr="00DC6DF9" w14:paraId="6AE220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BB5F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290</w:t>
            </w:r>
          </w:p>
        </w:tc>
        <w:tc>
          <w:tcPr>
            <w:tcW w:w="1036" w:type="dxa"/>
            <w:tcBorders>
              <w:top w:val="nil"/>
              <w:left w:val="nil"/>
              <w:bottom w:val="single" w:sz="4" w:space="0" w:color="auto"/>
              <w:right w:val="single" w:sz="4" w:space="0" w:color="auto"/>
            </w:tcBorders>
            <w:shd w:val="clear" w:color="auto" w:fill="auto"/>
            <w:noWrap/>
            <w:vAlign w:val="center"/>
            <w:hideMark/>
          </w:tcPr>
          <w:p w14:paraId="3E3DA1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5082994000</w:t>
            </w:r>
          </w:p>
        </w:tc>
        <w:tc>
          <w:tcPr>
            <w:tcW w:w="1036" w:type="dxa"/>
            <w:tcBorders>
              <w:top w:val="nil"/>
              <w:left w:val="nil"/>
              <w:bottom w:val="single" w:sz="4" w:space="0" w:color="auto"/>
              <w:right w:val="single" w:sz="4" w:space="0" w:color="auto"/>
            </w:tcBorders>
            <w:shd w:val="clear" w:color="auto" w:fill="auto"/>
            <w:noWrap/>
            <w:vAlign w:val="center"/>
            <w:hideMark/>
          </w:tcPr>
          <w:p w14:paraId="5D79D4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31493092</w:t>
            </w:r>
          </w:p>
        </w:tc>
        <w:tc>
          <w:tcPr>
            <w:tcW w:w="160" w:type="dxa"/>
            <w:tcBorders>
              <w:top w:val="nil"/>
              <w:left w:val="nil"/>
              <w:bottom w:val="single" w:sz="4" w:space="0" w:color="auto"/>
              <w:right w:val="nil"/>
            </w:tcBorders>
            <w:vAlign w:val="center"/>
          </w:tcPr>
          <w:p w14:paraId="25D126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B9D3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IDRIJA</w:t>
            </w:r>
          </w:p>
        </w:tc>
      </w:tr>
      <w:tr w:rsidR="00072A69" w:rsidRPr="00DC6DF9" w14:paraId="405725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FBBC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291</w:t>
            </w:r>
          </w:p>
        </w:tc>
        <w:tc>
          <w:tcPr>
            <w:tcW w:w="1036" w:type="dxa"/>
            <w:tcBorders>
              <w:top w:val="nil"/>
              <w:left w:val="nil"/>
              <w:bottom w:val="single" w:sz="4" w:space="0" w:color="auto"/>
              <w:right w:val="single" w:sz="4" w:space="0" w:color="auto"/>
            </w:tcBorders>
            <w:shd w:val="clear" w:color="auto" w:fill="auto"/>
            <w:noWrap/>
            <w:vAlign w:val="center"/>
            <w:hideMark/>
          </w:tcPr>
          <w:p w14:paraId="7786A2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5088674000</w:t>
            </w:r>
          </w:p>
        </w:tc>
        <w:tc>
          <w:tcPr>
            <w:tcW w:w="1036" w:type="dxa"/>
            <w:tcBorders>
              <w:top w:val="nil"/>
              <w:left w:val="nil"/>
              <w:bottom w:val="single" w:sz="4" w:space="0" w:color="auto"/>
              <w:right w:val="single" w:sz="4" w:space="0" w:color="auto"/>
            </w:tcBorders>
            <w:shd w:val="clear" w:color="auto" w:fill="auto"/>
            <w:noWrap/>
            <w:vAlign w:val="center"/>
            <w:hideMark/>
          </w:tcPr>
          <w:p w14:paraId="031B5B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22501576</w:t>
            </w:r>
          </w:p>
        </w:tc>
        <w:tc>
          <w:tcPr>
            <w:tcW w:w="160" w:type="dxa"/>
            <w:tcBorders>
              <w:top w:val="nil"/>
              <w:left w:val="nil"/>
              <w:bottom w:val="single" w:sz="4" w:space="0" w:color="auto"/>
              <w:right w:val="nil"/>
            </w:tcBorders>
            <w:vAlign w:val="center"/>
          </w:tcPr>
          <w:p w14:paraId="4B9BC8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6DFB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ILIRSKA BISTRICA</w:t>
            </w:r>
          </w:p>
        </w:tc>
      </w:tr>
      <w:tr w:rsidR="00072A69" w:rsidRPr="00DC6DF9" w14:paraId="09ECCA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421B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292</w:t>
            </w:r>
          </w:p>
        </w:tc>
        <w:tc>
          <w:tcPr>
            <w:tcW w:w="1036" w:type="dxa"/>
            <w:tcBorders>
              <w:top w:val="nil"/>
              <w:left w:val="nil"/>
              <w:bottom w:val="single" w:sz="4" w:space="0" w:color="auto"/>
              <w:right w:val="single" w:sz="4" w:space="0" w:color="auto"/>
            </w:tcBorders>
            <w:shd w:val="clear" w:color="auto" w:fill="auto"/>
            <w:noWrap/>
            <w:vAlign w:val="center"/>
            <w:hideMark/>
          </w:tcPr>
          <w:p w14:paraId="052259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5083087000</w:t>
            </w:r>
          </w:p>
        </w:tc>
        <w:tc>
          <w:tcPr>
            <w:tcW w:w="1036" w:type="dxa"/>
            <w:tcBorders>
              <w:top w:val="nil"/>
              <w:left w:val="nil"/>
              <w:bottom w:val="single" w:sz="4" w:space="0" w:color="auto"/>
              <w:right w:val="single" w:sz="4" w:space="0" w:color="auto"/>
            </w:tcBorders>
            <w:shd w:val="clear" w:color="auto" w:fill="auto"/>
            <w:noWrap/>
            <w:vAlign w:val="center"/>
            <w:hideMark/>
          </w:tcPr>
          <w:p w14:paraId="11DC9C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85120065</w:t>
            </w:r>
          </w:p>
        </w:tc>
        <w:tc>
          <w:tcPr>
            <w:tcW w:w="160" w:type="dxa"/>
            <w:tcBorders>
              <w:top w:val="nil"/>
              <w:left w:val="nil"/>
              <w:bottom w:val="single" w:sz="4" w:space="0" w:color="auto"/>
              <w:right w:val="nil"/>
            </w:tcBorders>
            <w:vAlign w:val="center"/>
          </w:tcPr>
          <w:p w14:paraId="576C410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0766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KAMNIK</w:t>
            </w:r>
          </w:p>
        </w:tc>
      </w:tr>
      <w:tr w:rsidR="00072A69" w:rsidRPr="00DC6DF9" w14:paraId="7723A2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1F91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293</w:t>
            </w:r>
          </w:p>
        </w:tc>
        <w:tc>
          <w:tcPr>
            <w:tcW w:w="1036" w:type="dxa"/>
            <w:tcBorders>
              <w:top w:val="nil"/>
              <w:left w:val="nil"/>
              <w:bottom w:val="single" w:sz="4" w:space="0" w:color="auto"/>
              <w:right w:val="single" w:sz="4" w:space="0" w:color="auto"/>
            </w:tcBorders>
            <w:shd w:val="clear" w:color="auto" w:fill="auto"/>
            <w:noWrap/>
            <w:vAlign w:val="center"/>
            <w:hideMark/>
          </w:tcPr>
          <w:p w14:paraId="42198D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5087236000</w:t>
            </w:r>
          </w:p>
        </w:tc>
        <w:tc>
          <w:tcPr>
            <w:tcW w:w="1036" w:type="dxa"/>
            <w:tcBorders>
              <w:top w:val="nil"/>
              <w:left w:val="nil"/>
              <w:bottom w:val="single" w:sz="4" w:space="0" w:color="auto"/>
              <w:right w:val="single" w:sz="4" w:space="0" w:color="auto"/>
            </w:tcBorders>
            <w:shd w:val="clear" w:color="auto" w:fill="auto"/>
            <w:noWrap/>
            <w:vAlign w:val="center"/>
            <w:hideMark/>
          </w:tcPr>
          <w:p w14:paraId="695968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83834672</w:t>
            </w:r>
          </w:p>
        </w:tc>
        <w:tc>
          <w:tcPr>
            <w:tcW w:w="160" w:type="dxa"/>
            <w:tcBorders>
              <w:top w:val="nil"/>
              <w:left w:val="nil"/>
              <w:bottom w:val="single" w:sz="4" w:space="0" w:color="auto"/>
              <w:right w:val="nil"/>
            </w:tcBorders>
            <w:vAlign w:val="center"/>
          </w:tcPr>
          <w:p w14:paraId="2603C7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06EF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KAROL PAHOR PTUJ</w:t>
            </w:r>
          </w:p>
        </w:tc>
      </w:tr>
      <w:tr w:rsidR="00072A69" w:rsidRPr="00DC6DF9" w14:paraId="2F7299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0E4B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294</w:t>
            </w:r>
          </w:p>
        </w:tc>
        <w:tc>
          <w:tcPr>
            <w:tcW w:w="1036" w:type="dxa"/>
            <w:tcBorders>
              <w:top w:val="nil"/>
              <w:left w:val="nil"/>
              <w:bottom w:val="single" w:sz="4" w:space="0" w:color="auto"/>
              <w:right w:val="single" w:sz="4" w:space="0" w:color="auto"/>
            </w:tcBorders>
            <w:shd w:val="clear" w:color="auto" w:fill="auto"/>
            <w:noWrap/>
            <w:vAlign w:val="center"/>
            <w:hideMark/>
          </w:tcPr>
          <w:p w14:paraId="1884DC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5083109000</w:t>
            </w:r>
          </w:p>
        </w:tc>
        <w:tc>
          <w:tcPr>
            <w:tcW w:w="1036" w:type="dxa"/>
            <w:tcBorders>
              <w:top w:val="nil"/>
              <w:left w:val="nil"/>
              <w:bottom w:val="single" w:sz="4" w:space="0" w:color="auto"/>
              <w:right w:val="single" w:sz="4" w:space="0" w:color="auto"/>
            </w:tcBorders>
            <w:shd w:val="clear" w:color="auto" w:fill="auto"/>
            <w:noWrap/>
            <w:vAlign w:val="center"/>
            <w:hideMark/>
          </w:tcPr>
          <w:p w14:paraId="3C14CC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99694891</w:t>
            </w:r>
          </w:p>
        </w:tc>
        <w:tc>
          <w:tcPr>
            <w:tcW w:w="160" w:type="dxa"/>
            <w:tcBorders>
              <w:top w:val="nil"/>
              <w:left w:val="nil"/>
              <w:bottom w:val="single" w:sz="4" w:space="0" w:color="auto"/>
              <w:right w:val="nil"/>
            </w:tcBorders>
            <w:vAlign w:val="center"/>
          </w:tcPr>
          <w:p w14:paraId="05055A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73ED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KOČEVJE</w:t>
            </w:r>
          </w:p>
        </w:tc>
      </w:tr>
      <w:tr w:rsidR="00072A69" w:rsidRPr="00DC6DF9" w14:paraId="23265F7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77F3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295</w:t>
            </w:r>
          </w:p>
        </w:tc>
        <w:tc>
          <w:tcPr>
            <w:tcW w:w="1036" w:type="dxa"/>
            <w:tcBorders>
              <w:top w:val="nil"/>
              <w:left w:val="nil"/>
              <w:bottom w:val="single" w:sz="4" w:space="0" w:color="auto"/>
              <w:right w:val="single" w:sz="4" w:space="0" w:color="auto"/>
            </w:tcBorders>
            <w:shd w:val="clear" w:color="auto" w:fill="auto"/>
            <w:noWrap/>
            <w:vAlign w:val="center"/>
            <w:hideMark/>
          </w:tcPr>
          <w:p w14:paraId="46D3EE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5083184000</w:t>
            </w:r>
          </w:p>
        </w:tc>
        <w:tc>
          <w:tcPr>
            <w:tcW w:w="1036" w:type="dxa"/>
            <w:tcBorders>
              <w:top w:val="nil"/>
              <w:left w:val="nil"/>
              <w:bottom w:val="single" w:sz="4" w:space="0" w:color="auto"/>
              <w:right w:val="single" w:sz="4" w:space="0" w:color="auto"/>
            </w:tcBorders>
            <w:shd w:val="clear" w:color="auto" w:fill="auto"/>
            <w:noWrap/>
            <w:vAlign w:val="center"/>
            <w:hideMark/>
          </w:tcPr>
          <w:p w14:paraId="4B8110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63820749</w:t>
            </w:r>
          </w:p>
        </w:tc>
        <w:tc>
          <w:tcPr>
            <w:tcW w:w="160" w:type="dxa"/>
            <w:tcBorders>
              <w:top w:val="nil"/>
              <w:left w:val="nil"/>
              <w:bottom w:val="single" w:sz="4" w:space="0" w:color="auto"/>
              <w:right w:val="nil"/>
            </w:tcBorders>
            <w:vAlign w:val="center"/>
          </w:tcPr>
          <w:p w14:paraId="317220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5572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KOPER</w:t>
            </w:r>
          </w:p>
        </w:tc>
      </w:tr>
      <w:tr w:rsidR="00072A69" w:rsidRPr="00DC6DF9" w14:paraId="66ECC7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2A08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296</w:t>
            </w:r>
          </w:p>
        </w:tc>
        <w:tc>
          <w:tcPr>
            <w:tcW w:w="1036" w:type="dxa"/>
            <w:tcBorders>
              <w:top w:val="nil"/>
              <w:left w:val="nil"/>
              <w:bottom w:val="single" w:sz="4" w:space="0" w:color="auto"/>
              <w:right w:val="single" w:sz="4" w:space="0" w:color="auto"/>
            </w:tcBorders>
            <w:shd w:val="clear" w:color="auto" w:fill="auto"/>
            <w:noWrap/>
            <w:vAlign w:val="center"/>
            <w:hideMark/>
          </w:tcPr>
          <w:p w14:paraId="718733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1193694000</w:t>
            </w:r>
          </w:p>
        </w:tc>
        <w:tc>
          <w:tcPr>
            <w:tcW w:w="1036" w:type="dxa"/>
            <w:tcBorders>
              <w:top w:val="nil"/>
              <w:left w:val="nil"/>
              <w:bottom w:val="single" w:sz="4" w:space="0" w:color="auto"/>
              <w:right w:val="single" w:sz="4" w:space="0" w:color="auto"/>
            </w:tcBorders>
            <w:shd w:val="clear" w:color="auto" w:fill="auto"/>
            <w:noWrap/>
            <w:vAlign w:val="center"/>
            <w:hideMark/>
          </w:tcPr>
          <w:p w14:paraId="6AD860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80508642</w:t>
            </w:r>
          </w:p>
        </w:tc>
        <w:tc>
          <w:tcPr>
            <w:tcW w:w="160" w:type="dxa"/>
            <w:tcBorders>
              <w:top w:val="nil"/>
              <w:left w:val="nil"/>
              <w:bottom w:val="single" w:sz="4" w:space="0" w:color="auto"/>
              <w:right w:val="nil"/>
            </w:tcBorders>
            <w:vAlign w:val="center"/>
          </w:tcPr>
          <w:p w14:paraId="0A0B55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E608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LAŠKO - RADEČE</w:t>
            </w:r>
          </w:p>
        </w:tc>
      </w:tr>
      <w:tr w:rsidR="00072A69" w:rsidRPr="00DC6DF9" w14:paraId="624458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AAFB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297</w:t>
            </w:r>
          </w:p>
        </w:tc>
        <w:tc>
          <w:tcPr>
            <w:tcW w:w="1036" w:type="dxa"/>
            <w:tcBorders>
              <w:top w:val="nil"/>
              <w:left w:val="nil"/>
              <w:bottom w:val="single" w:sz="4" w:space="0" w:color="auto"/>
              <w:right w:val="single" w:sz="4" w:space="0" w:color="auto"/>
            </w:tcBorders>
            <w:shd w:val="clear" w:color="auto" w:fill="auto"/>
            <w:noWrap/>
            <w:vAlign w:val="center"/>
            <w:hideMark/>
          </w:tcPr>
          <w:p w14:paraId="4E8547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5088810000</w:t>
            </w:r>
          </w:p>
        </w:tc>
        <w:tc>
          <w:tcPr>
            <w:tcW w:w="1036" w:type="dxa"/>
            <w:tcBorders>
              <w:top w:val="nil"/>
              <w:left w:val="nil"/>
              <w:bottom w:val="single" w:sz="4" w:space="0" w:color="auto"/>
              <w:right w:val="single" w:sz="4" w:space="0" w:color="auto"/>
            </w:tcBorders>
            <w:shd w:val="clear" w:color="auto" w:fill="auto"/>
            <w:noWrap/>
            <w:vAlign w:val="center"/>
            <w:hideMark/>
          </w:tcPr>
          <w:p w14:paraId="6A087F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29129095</w:t>
            </w:r>
          </w:p>
        </w:tc>
        <w:tc>
          <w:tcPr>
            <w:tcW w:w="160" w:type="dxa"/>
            <w:tcBorders>
              <w:top w:val="nil"/>
              <w:left w:val="nil"/>
              <w:bottom w:val="single" w:sz="4" w:space="0" w:color="auto"/>
              <w:right w:val="nil"/>
            </w:tcBorders>
            <w:vAlign w:val="center"/>
          </w:tcPr>
          <w:p w14:paraId="631C08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86DF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LJUBLJANA VIČ-RUDNIK</w:t>
            </w:r>
          </w:p>
        </w:tc>
      </w:tr>
      <w:tr w:rsidR="00072A69" w:rsidRPr="00DC6DF9" w14:paraId="482660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16F7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298</w:t>
            </w:r>
          </w:p>
        </w:tc>
        <w:tc>
          <w:tcPr>
            <w:tcW w:w="1036" w:type="dxa"/>
            <w:tcBorders>
              <w:top w:val="nil"/>
              <w:left w:val="nil"/>
              <w:bottom w:val="single" w:sz="4" w:space="0" w:color="auto"/>
              <w:right w:val="single" w:sz="4" w:space="0" w:color="auto"/>
            </w:tcBorders>
            <w:shd w:val="clear" w:color="auto" w:fill="auto"/>
            <w:noWrap/>
            <w:vAlign w:val="center"/>
            <w:hideMark/>
          </w:tcPr>
          <w:p w14:paraId="532EDE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5086400000</w:t>
            </w:r>
          </w:p>
        </w:tc>
        <w:tc>
          <w:tcPr>
            <w:tcW w:w="1036" w:type="dxa"/>
            <w:tcBorders>
              <w:top w:val="nil"/>
              <w:left w:val="nil"/>
              <w:bottom w:val="single" w:sz="4" w:space="0" w:color="auto"/>
              <w:right w:val="single" w:sz="4" w:space="0" w:color="auto"/>
            </w:tcBorders>
            <w:shd w:val="clear" w:color="auto" w:fill="auto"/>
            <w:noWrap/>
            <w:vAlign w:val="center"/>
            <w:hideMark/>
          </w:tcPr>
          <w:p w14:paraId="482272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87901706</w:t>
            </w:r>
          </w:p>
        </w:tc>
        <w:tc>
          <w:tcPr>
            <w:tcW w:w="160" w:type="dxa"/>
            <w:tcBorders>
              <w:top w:val="nil"/>
              <w:left w:val="nil"/>
              <w:bottom w:val="single" w:sz="4" w:space="0" w:color="auto"/>
              <w:right w:val="nil"/>
            </w:tcBorders>
            <w:vAlign w:val="center"/>
          </w:tcPr>
          <w:p w14:paraId="6CA028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508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MARJANA KOZINE NOVO MESTO</w:t>
            </w:r>
          </w:p>
        </w:tc>
      </w:tr>
      <w:tr w:rsidR="00072A69" w:rsidRPr="00DC6DF9" w14:paraId="5AAD36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5C39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299</w:t>
            </w:r>
          </w:p>
        </w:tc>
        <w:tc>
          <w:tcPr>
            <w:tcW w:w="1036" w:type="dxa"/>
            <w:tcBorders>
              <w:top w:val="nil"/>
              <w:left w:val="nil"/>
              <w:bottom w:val="single" w:sz="4" w:space="0" w:color="auto"/>
              <w:right w:val="single" w:sz="4" w:space="0" w:color="auto"/>
            </w:tcBorders>
            <w:shd w:val="clear" w:color="auto" w:fill="auto"/>
            <w:noWrap/>
            <w:vAlign w:val="center"/>
            <w:hideMark/>
          </w:tcPr>
          <w:p w14:paraId="041FFA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5085756000</w:t>
            </w:r>
          </w:p>
        </w:tc>
        <w:tc>
          <w:tcPr>
            <w:tcW w:w="1036" w:type="dxa"/>
            <w:tcBorders>
              <w:top w:val="nil"/>
              <w:left w:val="nil"/>
              <w:bottom w:val="single" w:sz="4" w:space="0" w:color="auto"/>
              <w:right w:val="single" w:sz="4" w:space="0" w:color="auto"/>
            </w:tcBorders>
            <w:shd w:val="clear" w:color="auto" w:fill="auto"/>
            <w:noWrap/>
            <w:vAlign w:val="center"/>
            <w:hideMark/>
          </w:tcPr>
          <w:p w14:paraId="59D512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79064540</w:t>
            </w:r>
          </w:p>
        </w:tc>
        <w:tc>
          <w:tcPr>
            <w:tcW w:w="160" w:type="dxa"/>
            <w:tcBorders>
              <w:top w:val="nil"/>
              <w:left w:val="nil"/>
              <w:bottom w:val="single" w:sz="4" w:space="0" w:color="auto"/>
              <w:right w:val="nil"/>
            </w:tcBorders>
            <w:vAlign w:val="center"/>
          </w:tcPr>
          <w:p w14:paraId="5E296E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70A6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MURSKA SOBOTA</w:t>
            </w:r>
          </w:p>
        </w:tc>
      </w:tr>
      <w:tr w:rsidR="00072A69" w:rsidRPr="00DC6DF9" w14:paraId="53C0F9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187D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300</w:t>
            </w:r>
          </w:p>
        </w:tc>
        <w:tc>
          <w:tcPr>
            <w:tcW w:w="1036" w:type="dxa"/>
            <w:tcBorders>
              <w:top w:val="nil"/>
              <w:left w:val="nil"/>
              <w:bottom w:val="single" w:sz="4" w:space="0" w:color="auto"/>
              <w:right w:val="single" w:sz="4" w:space="0" w:color="auto"/>
            </w:tcBorders>
            <w:shd w:val="clear" w:color="auto" w:fill="auto"/>
            <w:noWrap/>
            <w:vAlign w:val="center"/>
            <w:hideMark/>
          </w:tcPr>
          <w:p w14:paraId="409420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5800790000</w:t>
            </w:r>
          </w:p>
        </w:tc>
        <w:tc>
          <w:tcPr>
            <w:tcW w:w="1036" w:type="dxa"/>
            <w:tcBorders>
              <w:top w:val="nil"/>
              <w:left w:val="nil"/>
              <w:bottom w:val="single" w:sz="4" w:space="0" w:color="auto"/>
              <w:right w:val="single" w:sz="4" w:space="0" w:color="auto"/>
            </w:tcBorders>
            <w:shd w:val="clear" w:color="auto" w:fill="auto"/>
            <w:noWrap/>
            <w:vAlign w:val="center"/>
            <w:hideMark/>
          </w:tcPr>
          <w:p w14:paraId="0DBED9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60942991</w:t>
            </w:r>
          </w:p>
        </w:tc>
        <w:tc>
          <w:tcPr>
            <w:tcW w:w="160" w:type="dxa"/>
            <w:tcBorders>
              <w:top w:val="nil"/>
              <w:left w:val="nil"/>
              <w:bottom w:val="single" w:sz="4" w:space="0" w:color="auto"/>
              <w:right w:val="nil"/>
            </w:tcBorders>
            <w:vAlign w:val="center"/>
          </w:tcPr>
          <w:p w14:paraId="6DA1EB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C175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NAZARJE</w:t>
            </w:r>
          </w:p>
        </w:tc>
      </w:tr>
      <w:tr w:rsidR="00072A69" w:rsidRPr="00DC6DF9" w14:paraId="54C8FC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2B00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301</w:t>
            </w:r>
          </w:p>
        </w:tc>
        <w:tc>
          <w:tcPr>
            <w:tcW w:w="1036" w:type="dxa"/>
            <w:tcBorders>
              <w:top w:val="nil"/>
              <w:left w:val="nil"/>
              <w:bottom w:val="single" w:sz="4" w:space="0" w:color="auto"/>
              <w:right w:val="single" w:sz="4" w:space="0" w:color="auto"/>
            </w:tcBorders>
            <w:shd w:val="clear" w:color="auto" w:fill="auto"/>
            <w:noWrap/>
            <w:vAlign w:val="center"/>
            <w:hideMark/>
          </w:tcPr>
          <w:p w14:paraId="65B6B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5086434000</w:t>
            </w:r>
          </w:p>
        </w:tc>
        <w:tc>
          <w:tcPr>
            <w:tcW w:w="1036" w:type="dxa"/>
            <w:tcBorders>
              <w:top w:val="nil"/>
              <w:left w:val="nil"/>
              <w:bottom w:val="single" w:sz="4" w:space="0" w:color="auto"/>
              <w:right w:val="single" w:sz="4" w:space="0" w:color="auto"/>
            </w:tcBorders>
            <w:shd w:val="clear" w:color="auto" w:fill="auto"/>
            <w:noWrap/>
            <w:vAlign w:val="center"/>
            <w:hideMark/>
          </w:tcPr>
          <w:p w14:paraId="2E8CB3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87546698</w:t>
            </w:r>
          </w:p>
        </w:tc>
        <w:tc>
          <w:tcPr>
            <w:tcW w:w="160" w:type="dxa"/>
            <w:tcBorders>
              <w:top w:val="nil"/>
              <w:left w:val="nil"/>
              <w:bottom w:val="single" w:sz="4" w:space="0" w:color="auto"/>
              <w:right w:val="nil"/>
            </w:tcBorders>
            <w:vAlign w:val="center"/>
          </w:tcPr>
          <w:p w14:paraId="66CDCC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18DC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ORMOŽ</w:t>
            </w:r>
          </w:p>
        </w:tc>
      </w:tr>
      <w:tr w:rsidR="00072A69" w:rsidRPr="00DC6DF9" w14:paraId="39F795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9DA5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302</w:t>
            </w:r>
          </w:p>
        </w:tc>
        <w:tc>
          <w:tcPr>
            <w:tcW w:w="1036" w:type="dxa"/>
            <w:tcBorders>
              <w:top w:val="nil"/>
              <w:left w:val="nil"/>
              <w:bottom w:val="single" w:sz="4" w:space="0" w:color="auto"/>
              <w:right w:val="single" w:sz="4" w:space="0" w:color="auto"/>
            </w:tcBorders>
            <w:shd w:val="clear" w:color="auto" w:fill="auto"/>
            <w:noWrap/>
            <w:vAlign w:val="center"/>
            <w:hideMark/>
          </w:tcPr>
          <w:p w14:paraId="63DDBE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5086965000</w:t>
            </w:r>
          </w:p>
        </w:tc>
        <w:tc>
          <w:tcPr>
            <w:tcW w:w="1036" w:type="dxa"/>
            <w:tcBorders>
              <w:top w:val="nil"/>
              <w:left w:val="nil"/>
              <w:bottom w:val="single" w:sz="4" w:space="0" w:color="auto"/>
              <w:right w:val="single" w:sz="4" w:space="0" w:color="auto"/>
            </w:tcBorders>
            <w:shd w:val="clear" w:color="auto" w:fill="auto"/>
            <w:noWrap/>
            <w:vAlign w:val="center"/>
            <w:hideMark/>
          </w:tcPr>
          <w:p w14:paraId="4CD477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82076910</w:t>
            </w:r>
          </w:p>
        </w:tc>
        <w:tc>
          <w:tcPr>
            <w:tcW w:w="160" w:type="dxa"/>
            <w:tcBorders>
              <w:top w:val="nil"/>
              <w:left w:val="nil"/>
              <w:bottom w:val="single" w:sz="4" w:space="0" w:color="auto"/>
              <w:right w:val="nil"/>
            </w:tcBorders>
            <w:vAlign w:val="center"/>
          </w:tcPr>
          <w:p w14:paraId="0E01A5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319A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POSTOJNA</w:t>
            </w:r>
          </w:p>
        </w:tc>
      </w:tr>
      <w:tr w:rsidR="00072A69" w:rsidRPr="00DC6DF9" w14:paraId="3CF493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3583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303</w:t>
            </w:r>
          </w:p>
        </w:tc>
        <w:tc>
          <w:tcPr>
            <w:tcW w:w="1036" w:type="dxa"/>
            <w:tcBorders>
              <w:top w:val="nil"/>
              <w:left w:val="nil"/>
              <w:bottom w:val="single" w:sz="4" w:space="0" w:color="auto"/>
              <w:right w:val="single" w:sz="4" w:space="0" w:color="auto"/>
            </w:tcBorders>
            <w:shd w:val="clear" w:color="auto" w:fill="auto"/>
            <w:noWrap/>
            <w:vAlign w:val="center"/>
            <w:hideMark/>
          </w:tcPr>
          <w:p w14:paraId="221148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5087350000</w:t>
            </w:r>
          </w:p>
        </w:tc>
        <w:tc>
          <w:tcPr>
            <w:tcW w:w="1036" w:type="dxa"/>
            <w:tcBorders>
              <w:top w:val="nil"/>
              <w:left w:val="nil"/>
              <w:bottom w:val="single" w:sz="4" w:space="0" w:color="auto"/>
              <w:right w:val="single" w:sz="4" w:space="0" w:color="auto"/>
            </w:tcBorders>
            <w:shd w:val="clear" w:color="auto" w:fill="auto"/>
            <w:noWrap/>
            <w:vAlign w:val="center"/>
            <w:hideMark/>
          </w:tcPr>
          <w:p w14:paraId="0C256F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28776950</w:t>
            </w:r>
          </w:p>
        </w:tc>
        <w:tc>
          <w:tcPr>
            <w:tcW w:w="160" w:type="dxa"/>
            <w:tcBorders>
              <w:top w:val="nil"/>
              <w:left w:val="nil"/>
              <w:bottom w:val="single" w:sz="4" w:space="0" w:color="auto"/>
              <w:right w:val="nil"/>
            </w:tcBorders>
            <w:vAlign w:val="center"/>
          </w:tcPr>
          <w:p w14:paraId="133AF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ADAD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RADOVLJICA</w:t>
            </w:r>
          </w:p>
        </w:tc>
      </w:tr>
      <w:tr w:rsidR="00072A69" w:rsidRPr="00DC6DF9" w14:paraId="028445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CDDA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304</w:t>
            </w:r>
          </w:p>
        </w:tc>
        <w:tc>
          <w:tcPr>
            <w:tcW w:w="1036" w:type="dxa"/>
            <w:tcBorders>
              <w:top w:val="nil"/>
              <w:left w:val="nil"/>
              <w:bottom w:val="single" w:sz="4" w:space="0" w:color="auto"/>
              <w:right w:val="single" w:sz="4" w:space="0" w:color="auto"/>
            </w:tcBorders>
            <w:shd w:val="clear" w:color="auto" w:fill="auto"/>
            <w:noWrap/>
            <w:vAlign w:val="center"/>
            <w:hideMark/>
          </w:tcPr>
          <w:p w14:paraId="2D4BC1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5089310000</w:t>
            </w:r>
          </w:p>
        </w:tc>
        <w:tc>
          <w:tcPr>
            <w:tcW w:w="1036" w:type="dxa"/>
            <w:tcBorders>
              <w:top w:val="nil"/>
              <w:left w:val="nil"/>
              <w:bottom w:val="single" w:sz="4" w:space="0" w:color="auto"/>
              <w:right w:val="single" w:sz="4" w:space="0" w:color="auto"/>
            </w:tcBorders>
            <w:shd w:val="clear" w:color="auto" w:fill="auto"/>
            <w:noWrap/>
            <w:vAlign w:val="center"/>
            <w:hideMark/>
          </w:tcPr>
          <w:p w14:paraId="4E424F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59083204</w:t>
            </w:r>
          </w:p>
        </w:tc>
        <w:tc>
          <w:tcPr>
            <w:tcW w:w="160" w:type="dxa"/>
            <w:tcBorders>
              <w:top w:val="nil"/>
              <w:left w:val="nil"/>
              <w:bottom w:val="single" w:sz="4" w:space="0" w:color="auto"/>
              <w:right w:val="nil"/>
            </w:tcBorders>
            <w:vAlign w:val="center"/>
          </w:tcPr>
          <w:p w14:paraId="60ED0C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0045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RIBNICA</w:t>
            </w:r>
          </w:p>
        </w:tc>
      </w:tr>
      <w:tr w:rsidR="00072A69" w:rsidRPr="00DC6DF9" w14:paraId="03D10D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5F14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w:t>
            </w:r>
          </w:p>
        </w:tc>
        <w:tc>
          <w:tcPr>
            <w:tcW w:w="1036" w:type="dxa"/>
            <w:tcBorders>
              <w:top w:val="nil"/>
              <w:left w:val="nil"/>
              <w:bottom w:val="single" w:sz="4" w:space="0" w:color="auto"/>
              <w:right w:val="single" w:sz="4" w:space="0" w:color="auto"/>
            </w:tcBorders>
            <w:shd w:val="clear" w:color="auto" w:fill="auto"/>
            <w:noWrap/>
            <w:vAlign w:val="center"/>
            <w:hideMark/>
          </w:tcPr>
          <w:p w14:paraId="05A1BA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5676509000</w:t>
            </w:r>
          </w:p>
        </w:tc>
        <w:tc>
          <w:tcPr>
            <w:tcW w:w="1036" w:type="dxa"/>
            <w:tcBorders>
              <w:top w:val="nil"/>
              <w:left w:val="nil"/>
              <w:bottom w:val="single" w:sz="4" w:space="0" w:color="auto"/>
              <w:right w:val="single" w:sz="4" w:space="0" w:color="auto"/>
            </w:tcBorders>
            <w:shd w:val="clear" w:color="auto" w:fill="auto"/>
            <w:noWrap/>
            <w:vAlign w:val="center"/>
            <w:hideMark/>
          </w:tcPr>
          <w:p w14:paraId="28794C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13973665</w:t>
            </w:r>
          </w:p>
        </w:tc>
        <w:tc>
          <w:tcPr>
            <w:tcW w:w="160" w:type="dxa"/>
            <w:tcBorders>
              <w:top w:val="nil"/>
              <w:left w:val="nil"/>
              <w:bottom w:val="single" w:sz="4" w:space="0" w:color="auto"/>
              <w:right w:val="nil"/>
            </w:tcBorders>
            <w:vAlign w:val="center"/>
          </w:tcPr>
          <w:p w14:paraId="506AB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3491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ROGAŠKA SLATINA</w:t>
            </w:r>
          </w:p>
        </w:tc>
      </w:tr>
      <w:tr w:rsidR="00072A69" w:rsidRPr="00DC6DF9" w14:paraId="4A12FE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F8D3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306</w:t>
            </w:r>
          </w:p>
        </w:tc>
        <w:tc>
          <w:tcPr>
            <w:tcW w:w="1036" w:type="dxa"/>
            <w:tcBorders>
              <w:top w:val="nil"/>
              <w:left w:val="nil"/>
              <w:bottom w:val="single" w:sz="4" w:space="0" w:color="auto"/>
              <w:right w:val="single" w:sz="4" w:space="0" w:color="auto"/>
            </w:tcBorders>
            <w:shd w:val="clear" w:color="auto" w:fill="auto"/>
            <w:noWrap/>
            <w:vAlign w:val="center"/>
            <w:hideMark/>
          </w:tcPr>
          <w:p w14:paraId="35C4EE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1451227000</w:t>
            </w:r>
          </w:p>
        </w:tc>
        <w:tc>
          <w:tcPr>
            <w:tcW w:w="1036" w:type="dxa"/>
            <w:tcBorders>
              <w:top w:val="nil"/>
              <w:left w:val="nil"/>
              <w:bottom w:val="single" w:sz="4" w:space="0" w:color="auto"/>
              <w:right w:val="single" w:sz="4" w:space="0" w:color="auto"/>
            </w:tcBorders>
            <w:shd w:val="clear" w:color="auto" w:fill="auto"/>
            <w:noWrap/>
            <w:vAlign w:val="center"/>
            <w:hideMark/>
          </w:tcPr>
          <w:p w14:paraId="5F06B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61431702</w:t>
            </w:r>
          </w:p>
        </w:tc>
        <w:tc>
          <w:tcPr>
            <w:tcW w:w="160" w:type="dxa"/>
            <w:tcBorders>
              <w:top w:val="nil"/>
              <w:left w:val="nil"/>
              <w:bottom w:val="single" w:sz="4" w:space="0" w:color="auto"/>
              <w:right w:val="nil"/>
            </w:tcBorders>
            <w:vAlign w:val="center"/>
          </w:tcPr>
          <w:p w14:paraId="1EF238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7985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SEVNICA</w:t>
            </w:r>
          </w:p>
        </w:tc>
      </w:tr>
      <w:tr w:rsidR="00072A69" w:rsidRPr="00DC6DF9" w14:paraId="6631F1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A850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307</w:t>
            </w:r>
          </w:p>
        </w:tc>
        <w:tc>
          <w:tcPr>
            <w:tcW w:w="1036" w:type="dxa"/>
            <w:tcBorders>
              <w:top w:val="nil"/>
              <w:left w:val="nil"/>
              <w:bottom w:val="single" w:sz="4" w:space="0" w:color="auto"/>
              <w:right w:val="single" w:sz="4" w:space="0" w:color="auto"/>
            </w:tcBorders>
            <w:shd w:val="clear" w:color="auto" w:fill="auto"/>
            <w:noWrap/>
            <w:vAlign w:val="center"/>
            <w:hideMark/>
          </w:tcPr>
          <w:p w14:paraId="35197F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5210445000</w:t>
            </w:r>
          </w:p>
        </w:tc>
        <w:tc>
          <w:tcPr>
            <w:tcW w:w="1036" w:type="dxa"/>
            <w:tcBorders>
              <w:top w:val="nil"/>
              <w:left w:val="nil"/>
              <w:bottom w:val="single" w:sz="4" w:space="0" w:color="auto"/>
              <w:right w:val="single" w:sz="4" w:space="0" w:color="auto"/>
            </w:tcBorders>
            <w:shd w:val="clear" w:color="auto" w:fill="auto"/>
            <w:noWrap/>
            <w:vAlign w:val="center"/>
            <w:hideMark/>
          </w:tcPr>
          <w:p w14:paraId="2E3B77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23814063</w:t>
            </w:r>
          </w:p>
        </w:tc>
        <w:tc>
          <w:tcPr>
            <w:tcW w:w="160" w:type="dxa"/>
            <w:tcBorders>
              <w:top w:val="nil"/>
              <w:left w:val="nil"/>
              <w:bottom w:val="single" w:sz="4" w:space="0" w:color="auto"/>
              <w:right w:val="nil"/>
            </w:tcBorders>
            <w:vAlign w:val="center"/>
          </w:tcPr>
          <w:p w14:paraId="3A666A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0E1B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SEŽANA</w:t>
            </w:r>
          </w:p>
        </w:tc>
      </w:tr>
      <w:tr w:rsidR="00072A69" w:rsidRPr="00DC6DF9" w14:paraId="2727B9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F7C7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308</w:t>
            </w:r>
          </w:p>
        </w:tc>
        <w:tc>
          <w:tcPr>
            <w:tcW w:w="1036" w:type="dxa"/>
            <w:tcBorders>
              <w:top w:val="nil"/>
              <w:left w:val="nil"/>
              <w:bottom w:val="single" w:sz="4" w:space="0" w:color="auto"/>
              <w:right w:val="single" w:sz="4" w:space="0" w:color="auto"/>
            </w:tcBorders>
            <w:shd w:val="clear" w:color="auto" w:fill="auto"/>
            <w:noWrap/>
            <w:vAlign w:val="center"/>
            <w:hideMark/>
          </w:tcPr>
          <w:p w14:paraId="50B2F0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5007143000</w:t>
            </w:r>
          </w:p>
        </w:tc>
        <w:tc>
          <w:tcPr>
            <w:tcW w:w="1036" w:type="dxa"/>
            <w:tcBorders>
              <w:top w:val="nil"/>
              <w:left w:val="nil"/>
              <w:bottom w:val="single" w:sz="4" w:space="0" w:color="auto"/>
              <w:right w:val="single" w:sz="4" w:space="0" w:color="auto"/>
            </w:tcBorders>
            <w:shd w:val="clear" w:color="auto" w:fill="auto"/>
            <w:noWrap/>
            <w:vAlign w:val="center"/>
            <w:hideMark/>
          </w:tcPr>
          <w:p w14:paraId="7BC871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84058609</w:t>
            </w:r>
          </w:p>
        </w:tc>
        <w:tc>
          <w:tcPr>
            <w:tcW w:w="160" w:type="dxa"/>
            <w:tcBorders>
              <w:top w:val="nil"/>
              <w:left w:val="nil"/>
              <w:bottom w:val="single" w:sz="4" w:space="0" w:color="auto"/>
              <w:right w:val="nil"/>
            </w:tcBorders>
            <w:vAlign w:val="center"/>
          </w:tcPr>
          <w:p w14:paraId="53B3FBC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CEB5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SKLADATELJEV IPAVCEV ŠENTJUR</w:t>
            </w:r>
          </w:p>
        </w:tc>
      </w:tr>
      <w:tr w:rsidR="00072A69" w:rsidRPr="00DC6DF9" w14:paraId="17289B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F78A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309</w:t>
            </w:r>
          </w:p>
        </w:tc>
        <w:tc>
          <w:tcPr>
            <w:tcW w:w="1036" w:type="dxa"/>
            <w:tcBorders>
              <w:top w:val="nil"/>
              <w:left w:val="nil"/>
              <w:bottom w:val="single" w:sz="4" w:space="0" w:color="auto"/>
              <w:right w:val="single" w:sz="4" w:space="0" w:color="auto"/>
            </w:tcBorders>
            <w:shd w:val="clear" w:color="auto" w:fill="auto"/>
            <w:noWrap/>
            <w:vAlign w:val="center"/>
            <w:hideMark/>
          </w:tcPr>
          <w:p w14:paraId="6894AE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5084679000</w:t>
            </w:r>
          </w:p>
        </w:tc>
        <w:tc>
          <w:tcPr>
            <w:tcW w:w="1036" w:type="dxa"/>
            <w:tcBorders>
              <w:top w:val="nil"/>
              <w:left w:val="nil"/>
              <w:bottom w:val="single" w:sz="4" w:space="0" w:color="auto"/>
              <w:right w:val="single" w:sz="4" w:space="0" w:color="auto"/>
            </w:tcBorders>
            <w:shd w:val="clear" w:color="auto" w:fill="auto"/>
            <w:noWrap/>
            <w:vAlign w:val="center"/>
            <w:hideMark/>
          </w:tcPr>
          <w:p w14:paraId="2AFE9C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25923323</w:t>
            </w:r>
          </w:p>
        </w:tc>
        <w:tc>
          <w:tcPr>
            <w:tcW w:w="160" w:type="dxa"/>
            <w:tcBorders>
              <w:top w:val="nil"/>
              <w:left w:val="nil"/>
              <w:bottom w:val="single" w:sz="4" w:space="0" w:color="auto"/>
              <w:right w:val="nil"/>
            </w:tcBorders>
            <w:vAlign w:val="center"/>
          </w:tcPr>
          <w:p w14:paraId="04C429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87C1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SLAVKA OSTERCA LJUTOMER</w:t>
            </w:r>
          </w:p>
        </w:tc>
      </w:tr>
      <w:tr w:rsidR="00072A69" w:rsidRPr="00DC6DF9" w14:paraId="2C3E1C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DC09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310</w:t>
            </w:r>
          </w:p>
        </w:tc>
        <w:tc>
          <w:tcPr>
            <w:tcW w:w="1036" w:type="dxa"/>
            <w:tcBorders>
              <w:top w:val="nil"/>
              <w:left w:val="nil"/>
              <w:bottom w:val="single" w:sz="4" w:space="0" w:color="auto"/>
              <w:right w:val="single" w:sz="4" w:space="0" w:color="auto"/>
            </w:tcBorders>
            <w:shd w:val="clear" w:color="auto" w:fill="auto"/>
            <w:noWrap/>
            <w:vAlign w:val="center"/>
            <w:hideMark/>
          </w:tcPr>
          <w:p w14:paraId="135558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3768210000</w:t>
            </w:r>
          </w:p>
        </w:tc>
        <w:tc>
          <w:tcPr>
            <w:tcW w:w="1036" w:type="dxa"/>
            <w:tcBorders>
              <w:top w:val="nil"/>
              <w:left w:val="nil"/>
              <w:bottom w:val="single" w:sz="4" w:space="0" w:color="auto"/>
              <w:right w:val="single" w:sz="4" w:space="0" w:color="auto"/>
            </w:tcBorders>
            <w:shd w:val="clear" w:color="auto" w:fill="auto"/>
            <w:noWrap/>
            <w:vAlign w:val="center"/>
            <w:hideMark/>
          </w:tcPr>
          <w:p w14:paraId="4C2FFE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96241446</w:t>
            </w:r>
          </w:p>
        </w:tc>
        <w:tc>
          <w:tcPr>
            <w:tcW w:w="160" w:type="dxa"/>
            <w:tcBorders>
              <w:top w:val="nil"/>
              <w:left w:val="nil"/>
              <w:bottom w:val="single" w:sz="4" w:space="0" w:color="auto"/>
              <w:right w:val="nil"/>
            </w:tcBorders>
            <w:vAlign w:val="center"/>
          </w:tcPr>
          <w:p w14:paraId="684C57E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D4F8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SLOVENSKA BISTRICA</w:t>
            </w:r>
          </w:p>
        </w:tc>
      </w:tr>
      <w:tr w:rsidR="00072A69" w:rsidRPr="00DC6DF9" w14:paraId="0C6DDC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CC40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311</w:t>
            </w:r>
          </w:p>
        </w:tc>
        <w:tc>
          <w:tcPr>
            <w:tcW w:w="1036" w:type="dxa"/>
            <w:tcBorders>
              <w:top w:val="nil"/>
              <w:left w:val="nil"/>
              <w:bottom w:val="single" w:sz="4" w:space="0" w:color="auto"/>
              <w:right w:val="single" w:sz="4" w:space="0" w:color="auto"/>
            </w:tcBorders>
            <w:shd w:val="clear" w:color="auto" w:fill="auto"/>
            <w:noWrap/>
            <w:vAlign w:val="center"/>
            <w:hideMark/>
          </w:tcPr>
          <w:p w14:paraId="67C4A1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5087767000</w:t>
            </w:r>
          </w:p>
        </w:tc>
        <w:tc>
          <w:tcPr>
            <w:tcW w:w="1036" w:type="dxa"/>
            <w:tcBorders>
              <w:top w:val="nil"/>
              <w:left w:val="nil"/>
              <w:bottom w:val="single" w:sz="4" w:space="0" w:color="auto"/>
              <w:right w:val="single" w:sz="4" w:space="0" w:color="auto"/>
            </w:tcBorders>
            <w:shd w:val="clear" w:color="auto" w:fill="auto"/>
            <w:noWrap/>
            <w:vAlign w:val="center"/>
            <w:hideMark/>
          </w:tcPr>
          <w:p w14:paraId="7D692D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70401268</w:t>
            </w:r>
          </w:p>
        </w:tc>
        <w:tc>
          <w:tcPr>
            <w:tcW w:w="160" w:type="dxa"/>
            <w:tcBorders>
              <w:top w:val="nil"/>
              <w:left w:val="nil"/>
              <w:bottom w:val="single" w:sz="4" w:space="0" w:color="auto"/>
              <w:right w:val="nil"/>
            </w:tcBorders>
            <w:vAlign w:val="center"/>
          </w:tcPr>
          <w:p w14:paraId="470BBF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CE46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SLOVENSKE KONJICE</w:t>
            </w:r>
          </w:p>
        </w:tc>
      </w:tr>
      <w:tr w:rsidR="00072A69" w:rsidRPr="00DC6DF9" w14:paraId="3842FAE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AE84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312</w:t>
            </w:r>
          </w:p>
        </w:tc>
        <w:tc>
          <w:tcPr>
            <w:tcW w:w="1036" w:type="dxa"/>
            <w:tcBorders>
              <w:top w:val="nil"/>
              <w:left w:val="nil"/>
              <w:bottom w:val="single" w:sz="4" w:space="0" w:color="auto"/>
              <w:right w:val="single" w:sz="4" w:space="0" w:color="auto"/>
            </w:tcBorders>
            <w:shd w:val="clear" w:color="auto" w:fill="auto"/>
            <w:noWrap/>
            <w:vAlign w:val="center"/>
            <w:hideMark/>
          </w:tcPr>
          <w:p w14:paraId="5B11F4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5087899000</w:t>
            </w:r>
          </w:p>
        </w:tc>
        <w:tc>
          <w:tcPr>
            <w:tcW w:w="1036" w:type="dxa"/>
            <w:tcBorders>
              <w:top w:val="nil"/>
              <w:left w:val="nil"/>
              <w:bottom w:val="single" w:sz="4" w:space="0" w:color="auto"/>
              <w:right w:val="single" w:sz="4" w:space="0" w:color="auto"/>
            </w:tcBorders>
            <w:shd w:val="clear" w:color="auto" w:fill="auto"/>
            <w:noWrap/>
            <w:vAlign w:val="center"/>
            <w:hideMark/>
          </w:tcPr>
          <w:p w14:paraId="5AE00A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89665503</w:t>
            </w:r>
          </w:p>
        </w:tc>
        <w:tc>
          <w:tcPr>
            <w:tcW w:w="160" w:type="dxa"/>
            <w:tcBorders>
              <w:top w:val="nil"/>
              <w:left w:val="nil"/>
              <w:bottom w:val="single" w:sz="4" w:space="0" w:color="auto"/>
              <w:right w:val="nil"/>
            </w:tcBorders>
            <w:vAlign w:val="center"/>
          </w:tcPr>
          <w:p w14:paraId="601140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DAE2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ŠKOFJA LOKA</w:t>
            </w:r>
          </w:p>
        </w:tc>
      </w:tr>
      <w:tr w:rsidR="00072A69" w:rsidRPr="00DC6DF9" w14:paraId="406D0C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A00E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313</w:t>
            </w:r>
          </w:p>
        </w:tc>
        <w:tc>
          <w:tcPr>
            <w:tcW w:w="1036" w:type="dxa"/>
            <w:tcBorders>
              <w:top w:val="nil"/>
              <w:left w:val="nil"/>
              <w:bottom w:val="single" w:sz="4" w:space="0" w:color="auto"/>
              <w:right w:val="single" w:sz="4" w:space="0" w:color="auto"/>
            </w:tcBorders>
            <w:shd w:val="clear" w:color="auto" w:fill="auto"/>
            <w:noWrap/>
            <w:vAlign w:val="center"/>
            <w:hideMark/>
          </w:tcPr>
          <w:p w14:paraId="234A50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5690919000</w:t>
            </w:r>
          </w:p>
        </w:tc>
        <w:tc>
          <w:tcPr>
            <w:tcW w:w="1036" w:type="dxa"/>
            <w:tcBorders>
              <w:top w:val="nil"/>
              <w:left w:val="nil"/>
              <w:bottom w:val="single" w:sz="4" w:space="0" w:color="auto"/>
              <w:right w:val="single" w:sz="4" w:space="0" w:color="auto"/>
            </w:tcBorders>
            <w:shd w:val="clear" w:color="auto" w:fill="auto"/>
            <w:noWrap/>
            <w:vAlign w:val="center"/>
            <w:hideMark/>
          </w:tcPr>
          <w:p w14:paraId="74EF6F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23727381</w:t>
            </w:r>
          </w:p>
        </w:tc>
        <w:tc>
          <w:tcPr>
            <w:tcW w:w="160" w:type="dxa"/>
            <w:tcBorders>
              <w:top w:val="nil"/>
              <w:left w:val="nil"/>
              <w:bottom w:val="single" w:sz="4" w:space="0" w:color="auto"/>
              <w:right w:val="nil"/>
            </w:tcBorders>
            <w:vAlign w:val="center"/>
          </w:tcPr>
          <w:p w14:paraId="20909A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8CBE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TOLMIN</w:t>
            </w:r>
          </w:p>
        </w:tc>
      </w:tr>
      <w:tr w:rsidR="00072A69" w:rsidRPr="00DC6DF9" w14:paraId="15539C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7AE3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314</w:t>
            </w:r>
          </w:p>
        </w:tc>
        <w:tc>
          <w:tcPr>
            <w:tcW w:w="1036" w:type="dxa"/>
            <w:tcBorders>
              <w:top w:val="nil"/>
              <w:left w:val="nil"/>
              <w:bottom w:val="single" w:sz="4" w:space="0" w:color="auto"/>
              <w:right w:val="single" w:sz="4" w:space="0" w:color="auto"/>
            </w:tcBorders>
            <w:shd w:val="clear" w:color="auto" w:fill="auto"/>
            <w:noWrap/>
            <w:vAlign w:val="center"/>
            <w:hideMark/>
          </w:tcPr>
          <w:p w14:paraId="2F808F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5088054000</w:t>
            </w:r>
          </w:p>
        </w:tc>
        <w:tc>
          <w:tcPr>
            <w:tcW w:w="1036" w:type="dxa"/>
            <w:tcBorders>
              <w:top w:val="nil"/>
              <w:left w:val="nil"/>
              <w:bottom w:val="single" w:sz="4" w:space="0" w:color="auto"/>
              <w:right w:val="single" w:sz="4" w:space="0" w:color="auto"/>
            </w:tcBorders>
            <w:shd w:val="clear" w:color="auto" w:fill="auto"/>
            <w:noWrap/>
            <w:vAlign w:val="center"/>
            <w:hideMark/>
          </w:tcPr>
          <w:p w14:paraId="72177F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45428271</w:t>
            </w:r>
          </w:p>
        </w:tc>
        <w:tc>
          <w:tcPr>
            <w:tcW w:w="160" w:type="dxa"/>
            <w:tcBorders>
              <w:top w:val="nil"/>
              <w:left w:val="nil"/>
              <w:bottom w:val="single" w:sz="4" w:space="0" w:color="auto"/>
              <w:right w:val="nil"/>
            </w:tcBorders>
            <w:vAlign w:val="center"/>
          </w:tcPr>
          <w:p w14:paraId="0A7F9D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CF3C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GLASBENA ŠOLA TRBOVLJE </w:t>
            </w:r>
            <w:proofErr w:type="spellStart"/>
            <w:r w:rsidRPr="00DC6DF9">
              <w:rPr>
                <w:rFonts w:ascii="Arial" w:eastAsia="Times New Roman" w:hAnsi="Arial" w:cs="Arial"/>
                <w:color w:val="000000"/>
                <w:sz w:val="16"/>
                <w:szCs w:val="16"/>
                <w:lang w:eastAsia="sl-SI"/>
              </w:rPr>
              <w:t>TRBOVLJE</w:t>
            </w:r>
            <w:proofErr w:type="spellEnd"/>
          </w:p>
        </w:tc>
      </w:tr>
      <w:tr w:rsidR="00072A69" w:rsidRPr="00DC6DF9" w14:paraId="79C0305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A33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315</w:t>
            </w:r>
          </w:p>
        </w:tc>
        <w:tc>
          <w:tcPr>
            <w:tcW w:w="1036" w:type="dxa"/>
            <w:tcBorders>
              <w:top w:val="nil"/>
              <w:left w:val="nil"/>
              <w:bottom w:val="single" w:sz="4" w:space="0" w:color="auto"/>
              <w:right w:val="single" w:sz="4" w:space="0" w:color="auto"/>
            </w:tcBorders>
            <w:shd w:val="clear" w:color="auto" w:fill="auto"/>
            <w:noWrap/>
            <w:vAlign w:val="center"/>
            <w:hideMark/>
          </w:tcPr>
          <w:p w14:paraId="66CD47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5796008000</w:t>
            </w:r>
          </w:p>
        </w:tc>
        <w:tc>
          <w:tcPr>
            <w:tcW w:w="1036" w:type="dxa"/>
            <w:tcBorders>
              <w:top w:val="nil"/>
              <w:left w:val="nil"/>
              <w:bottom w:val="single" w:sz="4" w:space="0" w:color="auto"/>
              <w:right w:val="single" w:sz="4" w:space="0" w:color="auto"/>
            </w:tcBorders>
            <w:shd w:val="clear" w:color="auto" w:fill="auto"/>
            <w:noWrap/>
            <w:vAlign w:val="center"/>
            <w:hideMark/>
          </w:tcPr>
          <w:p w14:paraId="6C2F90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85946605</w:t>
            </w:r>
          </w:p>
        </w:tc>
        <w:tc>
          <w:tcPr>
            <w:tcW w:w="160" w:type="dxa"/>
            <w:tcBorders>
              <w:top w:val="nil"/>
              <w:left w:val="nil"/>
              <w:bottom w:val="single" w:sz="4" w:space="0" w:color="auto"/>
              <w:right w:val="nil"/>
            </w:tcBorders>
            <w:vAlign w:val="center"/>
          </w:tcPr>
          <w:p w14:paraId="77BB66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5011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TREBNJE</w:t>
            </w:r>
          </w:p>
        </w:tc>
      </w:tr>
      <w:tr w:rsidR="00072A69" w:rsidRPr="00DC6DF9" w14:paraId="02281C8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0C3D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316</w:t>
            </w:r>
          </w:p>
        </w:tc>
        <w:tc>
          <w:tcPr>
            <w:tcW w:w="1036" w:type="dxa"/>
            <w:tcBorders>
              <w:top w:val="nil"/>
              <w:left w:val="nil"/>
              <w:bottom w:val="single" w:sz="4" w:space="0" w:color="auto"/>
              <w:right w:val="single" w:sz="4" w:space="0" w:color="auto"/>
            </w:tcBorders>
            <w:shd w:val="clear" w:color="auto" w:fill="auto"/>
            <w:noWrap/>
            <w:vAlign w:val="center"/>
            <w:hideMark/>
          </w:tcPr>
          <w:p w14:paraId="39A0FA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5656001000</w:t>
            </w:r>
          </w:p>
        </w:tc>
        <w:tc>
          <w:tcPr>
            <w:tcW w:w="1036" w:type="dxa"/>
            <w:tcBorders>
              <w:top w:val="nil"/>
              <w:left w:val="nil"/>
              <w:bottom w:val="single" w:sz="4" w:space="0" w:color="auto"/>
              <w:right w:val="single" w:sz="4" w:space="0" w:color="auto"/>
            </w:tcBorders>
            <w:shd w:val="clear" w:color="auto" w:fill="auto"/>
            <w:noWrap/>
            <w:vAlign w:val="center"/>
            <w:hideMark/>
          </w:tcPr>
          <w:p w14:paraId="6FA94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92679064</w:t>
            </w:r>
          </w:p>
        </w:tc>
        <w:tc>
          <w:tcPr>
            <w:tcW w:w="160" w:type="dxa"/>
            <w:tcBorders>
              <w:top w:val="nil"/>
              <w:left w:val="nil"/>
              <w:bottom w:val="single" w:sz="4" w:space="0" w:color="auto"/>
              <w:right w:val="nil"/>
            </w:tcBorders>
            <w:vAlign w:val="center"/>
          </w:tcPr>
          <w:p w14:paraId="4D1610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76C9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TRŽIČ</w:t>
            </w:r>
          </w:p>
        </w:tc>
      </w:tr>
      <w:tr w:rsidR="00072A69" w:rsidRPr="00DC6DF9" w14:paraId="2BF7A00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DA5D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317</w:t>
            </w:r>
          </w:p>
        </w:tc>
        <w:tc>
          <w:tcPr>
            <w:tcW w:w="1036" w:type="dxa"/>
            <w:tcBorders>
              <w:top w:val="nil"/>
              <w:left w:val="nil"/>
              <w:bottom w:val="single" w:sz="4" w:space="0" w:color="auto"/>
              <w:right w:val="single" w:sz="4" w:space="0" w:color="auto"/>
            </w:tcBorders>
            <w:shd w:val="clear" w:color="auto" w:fill="auto"/>
            <w:noWrap/>
            <w:vAlign w:val="center"/>
            <w:hideMark/>
          </w:tcPr>
          <w:p w14:paraId="6F497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5082552000</w:t>
            </w:r>
          </w:p>
        </w:tc>
        <w:tc>
          <w:tcPr>
            <w:tcW w:w="1036" w:type="dxa"/>
            <w:tcBorders>
              <w:top w:val="nil"/>
              <w:left w:val="nil"/>
              <w:bottom w:val="single" w:sz="4" w:space="0" w:color="auto"/>
              <w:right w:val="single" w:sz="4" w:space="0" w:color="auto"/>
            </w:tcBorders>
            <w:shd w:val="clear" w:color="auto" w:fill="auto"/>
            <w:noWrap/>
            <w:vAlign w:val="center"/>
            <w:hideMark/>
          </w:tcPr>
          <w:p w14:paraId="70894A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18855202</w:t>
            </w:r>
          </w:p>
        </w:tc>
        <w:tc>
          <w:tcPr>
            <w:tcW w:w="160" w:type="dxa"/>
            <w:tcBorders>
              <w:top w:val="nil"/>
              <w:left w:val="nil"/>
              <w:bottom w:val="single" w:sz="4" w:space="0" w:color="auto"/>
              <w:right w:val="nil"/>
            </w:tcBorders>
            <w:vAlign w:val="center"/>
          </w:tcPr>
          <w:p w14:paraId="5E08A1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296A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VINKA VODOPIVCA AJDOVŠČINA</w:t>
            </w:r>
          </w:p>
        </w:tc>
      </w:tr>
      <w:tr w:rsidR="00072A69" w:rsidRPr="00DC6DF9" w14:paraId="5886A2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C2DA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318</w:t>
            </w:r>
          </w:p>
        </w:tc>
        <w:tc>
          <w:tcPr>
            <w:tcW w:w="1036" w:type="dxa"/>
            <w:tcBorders>
              <w:top w:val="nil"/>
              <w:left w:val="nil"/>
              <w:bottom w:val="single" w:sz="4" w:space="0" w:color="auto"/>
              <w:right w:val="single" w:sz="4" w:space="0" w:color="auto"/>
            </w:tcBorders>
            <w:shd w:val="clear" w:color="auto" w:fill="auto"/>
            <w:noWrap/>
            <w:vAlign w:val="center"/>
            <w:hideMark/>
          </w:tcPr>
          <w:p w14:paraId="2F38BB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5009090000</w:t>
            </w:r>
          </w:p>
        </w:tc>
        <w:tc>
          <w:tcPr>
            <w:tcW w:w="1036" w:type="dxa"/>
            <w:tcBorders>
              <w:top w:val="nil"/>
              <w:left w:val="nil"/>
              <w:bottom w:val="single" w:sz="4" w:space="0" w:color="auto"/>
              <w:right w:val="single" w:sz="4" w:space="0" w:color="auto"/>
            </w:tcBorders>
            <w:shd w:val="clear" w:color="auto" w:fill="auto"/>
            <w:noWrap/>
            <w:vAlign w:val="center"/>
            <w:hideMark/>
          </w:tcPr>
          <w:p w14:paraId="2E80DE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16334213</w:t>
            </w:r>
          </w:p>
        </w:tc>
        <w:tc>
          <w:tcPr>
            <w:tcW w:w="160" w:type="dxa"/>
            <w:tcBorders>
              <w:top w:val="nil"/>
              <w:left w:val="nil"/>
              <w:bottom w:val="single" w:sz="4" w:space="0" w:color="auto"/>
              <w:right w:val="nil"/>
            </w:tcBorders>
            <w:vAlign w:val="center"/>
          </w:tcPr>
          <w:p w14:paraId="20DE13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AD97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VRHNIKA</w:t>
            </w:r>
          </w:p>
        </w:tc>
      </w:tr>
      <w:tr w:rsidR="00072A69" w:rsidRPr="00DC6DF9" w14:paraId="161F429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256C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319</w:t>
            </w:r>
          </w:p>
        </w:tc>
        <w:tc>
          <w:tcPr>
            <w:tcW w:w="1036" w:type="dxa"/>
            <w:tcBorders>
              <w:top w:val="nil"/>
              <w:left w:val="nil"/>
              <w:bottom w:val="single" w:sz="4" w:space="0" w:color="auto"/>
              <w:right w:val="single" w:sz="4" w:space="0" w:color="auto"/>
            </w:tcBorders>
            <w:shd w:val="clear" w:color="auto" w:fill="auto"/>
            <w:noWrap/>
            <w:vAlign w:val="center"/>
            <w:hideMark/>
          </w:tcPr>
          <w:p w14:paraId="76C77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5088437000</w:t>
            </w:r>
          </w:p>
        </w:tc>
        <w:tc>
          <w:tcPr>
            <w:tcW w:w="1036" w:type="dxa"/>
            <w:tcBorders>
              <w:top w:val="nil"/>
              <w:left w:val="nil"/>
              <w:bottom w:val="single" w:sz="4" w:space="0" w:color="auto"/>
              <w:right w:val="single" w:sz="4" w:space="0" w:color="auto"/>
            </w:tcBorders>
            <w:shd w:val="clear" w:color="auto" w:fill="auto"/>
            <w:noWrap/>
            <w:vAlign w:val="center"/>
            <w:hideMark/>
          </w:tcPr>
          <w:p w14:paraId="5E7F53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67004415</w:t>
            </w:r>
          </w:p>
        </w:tc>
        <w:tc>
          <w:tcPr>
            <w:tcW w:w="160" w:type="dxa"/>
            <w:tcBorders>
              <w:top w:val="nil"/>
              <w:left w:val="nil"/>
              <w:bottom w:val="single" w:sz="4" w:space="0" w:color="auto"/>
              <w:right w:val="nil"/>
            </w:tcBorders>
            <w:vAlign w:val="center"/>
          </w:tcPr>
          <w:p w14:paraId="55B85E7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0CFB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GLASBENA ŠOLA ZAGORJE</w:t>
            </w:r>
          </w:p>
        </w:tc>
      </w:tr>
      <w:tr w:rsidR="00072A69" w:rsidRPr="00DC6DF9" w14:paraId="1D47154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4B27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320</w:t>
            </w:r>
          </w:p>
        </w:tc>
        <w:tc>
          <w:tcPr>
            <w:tcW w:w="1036" w:type="dxa"/>
            <w:tcBorders>
              <w:top w:val="nil"/>
              <w:left w:val="nil"/>
              <w:bottom w:val="single" w:sz="4" w:space="0" w:color="auto"/>
              <w:right w:val="single" w:sz="4" w:space="0" w:color="auto"/>
            </w:tcBorders>
            <w:shd w:val="clear" w:color="auto" w:fill="auto"/>
            <w:noWrap/>
            <w:vAlign w:val="center"/>
            <w:hideMark/>
          </w:tcPr>
          <w:p w14:paraId="063ECD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5053838000</w:t>
            </w:r>
          </w:p>
        </w:tc>
        <w:tc>
          <w:tcPr>
            <w:tcW w:w="1036" w:type="dxa"/>
            <w:tcBorders>
              <w:top w:val="nil"/>
              <w:left w:val="nil"/>
              <w:bottom w:val="single" w:sz="4" w:space="0" w:color="auto"/>
              <w:right w:val="single" w:sz="4" w:space="0" w:color="auto"/>
            </w:tcBorders>
            <w:shd w:val="clear" w:color="auto" w:fill="auto"/>
            <w:noWrap/>
            <w:vAlign w:val="center"/>
            <w:hideMark/>
          </w:tcPr>
          <w:p w14:paraId="3259C3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95883312</w:t>
            </w:r>
          </w:p>
        </w:tc>
        <w:tc>
          <w:tcPr>
            <w:tcW w:w="160" w:type="dxa"/>
            <w:tcBorders>
              <w:top w:val="nil"/>
              <w:left w:val="nil"/>
              <w:bottom w:val="single" w:sz="4" w:space="0" w:color="auto"/>
              <w:right w:val="nil"/>
            </w:tcBorders>
            <w:vAlign w:val="center"/>
          </w:tcPr>
          <w:p w14:paraId="38AB07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4B06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GORENJSKE LEKARNE</w:t>
            </w:r>
          </w:p>
        </w:tc>
      </w:tr>
      <w:tr w:rsidR="00072A69" w:rsidRPr="00DC6DF9" w14:paraId="010CE2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083E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321</w:t>
            </w:r>
          </w:p>
        </w:tc>
        <w:tc>
          <w:tcPr>
            <w:tcW w:w="1036" w:type="dxa"/>
            <w:tcBorders>
              <w:top w:val="nil"/>
              <w:left w:val="nil"/>
              <w:bottom w:val="single" w:sz="4" w:space="0" w:color="auto"/>
              <w:right w:val="single" w:sz="4" w:space="0" w:color="auto"/>
            </w:tcBorders>
            <w:shd w:val="clear" w:color="auto" w:fill="auto"/>
            <w:noWrap/>
            <w:vAlign w:val="center"/>
            <w:hideMark/>
          </w:tcPr>
          <w:p w14:paraId="165767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5132045000</w:t>
            </w:r>
          </w:p>
        </w:tc>
        <w:tc>
          <w:tcPr>
            <w:tcW w:w="1036" w:type="dxa"/>
            <w:tcBorders>
              <w:top w:val="nil"/>
              <w:left w:val="nil"/>
              <w:bottom w:val="single" w:sz="4" w:space="0" w:color="auto"/>
              <w:right w:val="single" w:sz="4" w:space="0" w:color="auto"/>
            </w:tcBorders>
            <w:shd w:val="clear" w:color="auto" w:fill="auto"/>
            <w:noWrap/>
            <w:vAlign w:val="center"/>
            <w:hideMark/>
          </w:tcPr>
          <w:p w14:paraId="3222D3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95146911</w:t>
            </w:r>
          </w:p>
        </w:tc>
        <w:tc>
          <w:tcPr>
            <w:tcW w:w="160" w:type="dxa"/>
            <w:tcBorders>
              <w:top w:val="nil"/>
              <w:left w:val="nil"/>
              <w:bottom w:val="single" w:sz="4" w:space="0" w:color="auto"/>
              <w:right w:val="nil"/>
            </w:tcBorders>
            <w:vAlign w:val="center"/>
          </w:tcPr>
          <w:p w14:paraId="7D142B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CFB9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GORENJSKI GLAS, </w:t>
            </w:r>
            <w:r>
              <w:rPr>
                <w:rFonts w:ascii="Arial" w:eastAsia="Times New Roman" w:hAnsi="Arial" w:cs="Arial"/>
                <w:color w:val="000000"/>
                <w:sz w:val="16"/>
                <w:szCs w:val="16"/>
                <w:lang w:eastAsia="sl-SI"/>
              </w:rPr>
              <w:t xml:space="preserve">D. O. O. </w:t>
            </w:r>
          </w:p>
        </w:tc>
      </w:tr>
      <w:tr w:rsidR="00072A69" w:rsidRPr="00DC6DF9" w14:paraId="1CFDF89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4DE7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322</w:t>
            </w:r>
          </w:p>
        </w:tc>
        <w:tc>
          <w:tcPr>
            <w:tcW w:w="1036" w:type="dxa"/>
            <w:tcBorders>
              <w:top w:val="nil"/>
              <w:left w:val="nil"/>
              <w:bottom w:val="single" w:sz="4" w:space="0" w:color="auto"/>
              <w:right w:val="single" w:sz="4" w:space="0" w:color="auto"/>
            </w:tcBorders>
            <w:shd w:val="clear" w:color="auto" w:fill="auto"/>
            <w:noWrap/>
            <w:vAlign w:val="center"/>
            <w:hideMark/>
          </w:tcPr>
          <w:p w14:paraId="55C0F0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5052777000</w:t>
            </w:r>
          </w:p>
        </w:tc>
        <w:tc>
          <w:tcPr>
            <w:tcW w:w="1036" w:type="dxa"/>
            <w:tcBorders>
              <w:top w:val="nil"/>
              <w:left w:val="nil"/>
              <w:bottom w:val="single" w:sz="4" w:space="0" w:color="auto"/>
              <w:right w:val="single" w:sz="4" w:space="0" w:color="auto"/>
            </w:tcBorders>
            <w:shd w:val="clear" w:color="auto" w:fill="auto"/>
            <w:noWrap/>
            <w:vAlign w:val="center"/>
            <w:hideMark/>
          </w:tcPr>
          <w:p w14:paraId="65DCAF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27962547</w:t>
            </w:r>
          </w:p>
        </w:tc>
        <w:tc>
          <w:tcPr>
            <w:tcW w:w="160" w:type="dxa"/>
            <w:tcBorders>
              <w:top w:val="nil"/>
              <w:left w:val="nil"/>
              <w:bottom w:val="single" w:sz="4" w:space="0" w:color="auto"/>
              <w:right w:val="nil"/>
            </w:tcBorders>
            <w:vAlign w:val="center"/>
          </w:tcPr>
          <w:p w14:paraId="5E5303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C2E5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GORIŠKA KNJIŽNICA FRANCETA BEVKA NOVA GORICA</w:t>
            </w:r>
          </w:p>
        </w:tc>
      </w:tr>
      <w:tr w:rsidR="00072A69" w:rsidRPr="00DC6DF9" w14:paraId="045E36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35D4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323</w:t>
            </w:r>
          </w:p>
        </w:tc>
        <w:tc>
          <w:tcPr>
            <w:tcW w:w="1036" w:type="dxa"/>
            <w:tcBorders>
              <w:top w:val="nil"/>
              <w:left w:val="nil"/>
              <w:bottom w:val="single" w:sz="4" w:space="0" w:color="auto"/>
              <w:right w:val="single" w:sz="4" w:space="0" w:color="auto"/>
            </w:tcBorders>
            <w:shd w:val="clear" w:color="auto" w:fill="auto"/>
            <w:noWrap/>
            <w:vAlign w:val="center"/>
            <w:hideMark/>
          </w:tcPr>
          <w:p w14:paraId="6A3290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5054532000</w:t>
            </w:r>
          </w:p>
        </w:tc>
        <w:tc>
          <w:tcPr>
            <w:tcW w:w="1036" w:type="dxa"/>
            <w:tcBorders>
              <w:top w:val="nil"/>
              <w:left w:val="nil"/>
              <w:bottom w:val="single" w:sz="4" w:space="0" w:color="auto"/>
              <w:right w:val="single" w:sz="4" w:space="0" w:color="auto"/>
            </w:tcBorders>
            <w:shd w:val="clear" w:color="auto" w:fill="auto"/>
            <w:noWrap/>
            <w:vAlign w:val="center"/>
            <w:hideMark/>
          </w:tcPr>
          <w:p w14:paraId="30CCFD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35629711</w:t>
            </w:r>
          </w:p>
        </w:tc>
        <w:tc>
          <w:tcPr>
            <w:tcW w:w="160" w:type="dxa"/>
            <w:tcBorders>
              <w:top w:val="nil"/>
              <w:left w:val="nil"/>
              <w:bottom w:val="single" w:sz="4" w:space="0" w:color="auto"/>
              <w:right w:val="nil"/>
            </w:tcBorders>
            <w:vAlign w:val="center"/>
          </w:tcPr>
          <w:p w14:paraId="432D47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13DE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GORIŠKA LEKARNA NOVA GORICA</w:t>
            </w:r>
          </w:p>
        </w:tc>
      </w:tr>
      <w:tr w:rsidR="00072A69" w:rsidRPr="00DC6DF9" w14:paraId="4BADB3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6BF4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324</w:t>
            </w:r>
          </w:p>
        </w:tc>
        <w:tc>
          <w:tcPr>
            <w:tcW w:w="1036" w:type="dxa"/>
            <w:tcBorders>
              <w:top w:val="nil"/>
              <w:left w:val="nil"/>
              <w:bottom w:val="single" w:sz="4" w:space="0" w:color="auto"/>
              <w:right w:val="single" w:sz="4" w:space="0" w:color="auto"/>
            </w:tcBorders>
            <w:shd w:val="clear" w:color="auto" w:fill="auto"/>
            <w:noWrap/>
            <w:vAlign w:val="center"/>
            <w:hideMark/>
          </w:tcPr>
          <w:p w14:paraId="218578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2196719000</w:t>
            </w:r>
          </w:p>
        </w:tc>
        <w:tc>
          <w:tcPr>
            <w:tcW w:w="1036" w:type="dxa"/>
            <w:tcBorders>
              <w:top w:val="nil"/>
              <w:left w:val="nil"/>
              <w:bottom w:val="single" w:sz="4" w:space="0" w:color="auto"/>
              <w:right w:val="single" w:sz="4" w:space="0" w:color="auto"/>
            </w:tcBorders>
            <w:shd w:val="clear" w:color="auto" w:fill="auto"/>
            <w:noWrap/>
            <w:vAlign w:val="center"/>
            <w:hideMark/>
          </w:tcPr>
          <w:p w14:paraId="187A92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78059038</w:t>
            </w:r>
          </w:p>
        </w:tc>
        <w:tc>
          <w:tcPr>
            <w:tcW w:w="160" w:type="dxa"/>
            <w:tcBorders>
              <w:top w:val="nil"/>
              <w:left w:val="nil"/>
              <w:bottom w:val="single" w:sz="4" w:space="0" w:color="auto"/>
              <w:right w:val="nil"/>
            </w:tcBorders>
            <w:vAlign w:val="center"/>
          </w:tcPr>
          <w:p w14:paraId="3159A8E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B166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GORIŠKA LOKALNA ENERGETSKA AGENCIJA, NOVA GORICA</w:t>
            </w:r>
          </w:p>
        </w:tc>
      </w:tr>
      <w:tr w:rsidR="00072A69" w:rsidRPr="00DC6DF9" w14:paraId="141ADC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BD73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325</w:t>
            </w:r>
          </w:p>
        </w:tc>
        <w:tc>
          <w:tcPr>
            <w:tcW w:w="1036" w:type="dxa"/>
            <w:tcBorders>
              <w:top w:val="nil"/>
              <w:left w:val="nil"/>
              <w:bottom w:val="single" w:sz="4" w:space="0" w:color="auto"/>
              <w:right w:val="single" w:sz="4" w:space="0" w:color="auto"/>
            </w:tcBorders>
            <w:shd w:val="clear" w:color="auto" w:fill="auto"/>
            <w:noWrap/>
            <w:vAlign w:val="center"/>
            <w:hideMark/>
          </w:tcPr>
          <w:p w14:paraId="3BFFC5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5052173000</w:t>
            </w:r>
          </w:p>
        </w:tc>
        <w:tc>
          <w:tcPr>
            <w:tcW w:w="1036" w:type="dxa"/>
            <w:tcBorders>
              <w:top w:val="nil"/>
              <w:left w:val="nil"/>
              <w:bottom w:val="single" w:sz="4" w:space="0" w:color="auto"/>
              <w:right w:val="single" w:sz="4" w:space="0" w:color="auto"/>
            </w:tcBorders>
            <w:shd w:val="clear" w:color="auto" w:fill="auto"/>
            <w:noWrap/>
            <w:vAlign w:val="center"/>
            <w:hideMark/>
          </w:tcPr>
          <w:p w14:paraId="5E46A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20443625</w:t>
            </w:r>
          </w:p>
        </w:tc>
        <w:tc>
          <w:tcPr>
            <w:tcW w:w="160" w:type="dxa"/>
            <w:tcBorders>
              <w:top w:val="nil"/>
              <w:left w:val="nil"/>
              <w:bottom w:val="single" w:sz="4" w:space="0" w:color="auto"/>
              <w:right w:val="nil"/>
            </w:tcBorders>
            <w:vAlign w:val="center"/>
          </w:tcPr>
          <w:p w14:paraId="568CD76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30ED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GORIŠKI MUZEJ KROMBERK - NOVA GORICA</w:t>
            </w:r>
          </w:p>
        </w:tc>
      </w:tr>
      <w:tr w:rsidR="00072A69" w:rsidRPr="00DC6DF9" w14:paraId="422599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889A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326</w:t>
            </w:r>
          </w:p>
        </w:tc>
        <w:tc>
          <w:tcPr>
            <w:tcW w:w="1036" w:type="dxa"/>
            <w:tcBorders>
              <w:top w:val="nil"/>
              <w:left w:val="nil"/>
              <w:bottom w:val="single" w:sz="4" w:space="0" w:color="auto"/>
              <w:right w:val="single" w:sz="4" w:space="0" w:color="auto"/>
            </w:tcBorders>
            <w:shd w:val="clear" w:color="auto" w:fill="auto"/>
            <w:noWrap/>
            <w:vAlign w:val="center"/>
            <w:hideMark/>
          </w:tcPr>
          <w:p w14:paraId="448F54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5541255000</w:t>
            </w:r>
          </w:p>
        </w:tc>
        <w:tc>
          <w:tcPr>
            <w:tcW w:w="1036" w:type="dxa"/>
            <w:tcBorders>
              <w:top w:val="nil"/>
              <w:left w:val="nil"/>
              <w:bottom w:val="single" w:sz="4" w:space="0" w:color="auto"/>
              <w:right w:val="single" w:sz="4" w:space="0" w:color="auto"/>
            </w:tcBorders>
            <w:shd w:val="clear" w:color="auto" w:fill="auto"/>
            <w:noWrap/>
            <w:vAlign w:val="center"/>
            <w:hideMark/>
          </w:tcPr>
          <w:p w14:paraId="49B3A1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63347300</w:t>
            </w:r>
          </w:p>
        </w:tc>
        <w:tc>
          <w:tcPr>
            <w:tcW w:w="160" w:type="dxa"/>
            <w:tcBorders>
              <w:top w:val="nil"/>
              <w:left w:val="nil"/>
              <w:bottom w:val="single" w:sz="4" w:space="0" w:color="auto"/>
              <w:right w:val="nil"/>
            </w:tcBorders>
            <w:vAlign w:val="center"/>
          </w:tcPr>
          <w:p w14:paraId="0B4090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F50D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GORNJESAVSKI MUZEJ JESENICE</w:t>
            </w:r>
          </w:p>
        </w:tc>
      </w:tr>
      <w:tr w:rsidR="00072A69" w:rsidRPr="00DC6DF9" w14:paraId="6A3162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89CB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327</w:t>
            </w:r>
          </w:p>
        </w:tc>
        <w:tc>
          <w:tcPr>
            <w:tcW w:w="1036" w:type="dxa"/>
            <w:tcBorders>
              <w:top w:val="nil"/>
              <w:left w:val="nil"/>
              <w:bottom w:val="single" w:sz="4" w:space="0" w:color="auto"/>
              <w:right w:val="single" w:sz="4" w:space="0" w:color="auto"/>
            </w:tcBorders>
            <w:shd w:val="clear" w:color="auto" w:fill="auto"/>
            <w:noWrap/>
            <w:vAlign w:val="center"/>
            <w:hideMark/>
          </w:tcPr>
          <w:p w14:paraId="3C4358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5051673000</w:t>
            </w:r>
          </w:p>
        </w:tc>
        <w:tc>
          <w:tcPr>
            <w:tcW w:w="1036" w:type="dxa"/>
            <w:tcBorders>
              <w:top w:val="nil"/>
              <w:left w:val="nil"/>
              <w:bottom w:val="single" w:sz="4" w:space="0" w:color="auto"/>
              <w:right w:val="single" w:sz="4" w:space="0" w:color="auto"/>
            </w:tcBorders>
            <w:shd w:val="clear" w:color="auto" w:fill="auto"/>
            <w:noWrap/>
            <w:vAlign w:val="center"/>
            <w:hideMark/>
          </w:tcPr>
          <w:p w14:paraId="7EB2B5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37808052</w:t>
            </w:r>
          </w:p>
        </w:tc>
        <w:tc>
          <w:tcPr>
            <w:tcW w:w="160" w:type="dxa"/>
            <w:tcBorders>
              <w:top w:val="nil"/>
              <w:left w:val="nil"/>
              <w:bottom w:val="single" w:sz="4" w:space="0" w:color="auto"/>
              <w:right w:val="nil"/>
            </w:tcBorders>
            <w:vAlign w:val="center"/>
          </w:tcPr>
          <w:p w14:paraId="28DD26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24CF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GOZDARSKI INŠTITUT SLOVENIJE</w:t>
            </w:r>
          </w:p>
        </w:tc>
      </w:tr>
      <w:tr w:rsidR="00072A69" w:rsidRPr="00DC6DF9" w14:paraId="401797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AB74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328</w:t>
            </w:r>
          </w:p>
        </w:tc>
        <w:tc>
          <w:tcPr>
            <w:tcW w:w="1036" w:type="dxa"/>
            <w:tcBorders>
              <w:top w:val="nil"/>
              <w:left w:val="nil"/>
              <w:bottom w:val="single" w:sz="4" w:space="0" w:color="auto"/>
              <w:right w:val="single" w:sz="4" w:space="0" w:color="auto"/>
            </w:tcBorders>
            <w:shd w:val="clear" w:color="auto" w:fill="auto"/>
            <w:noWrap/>
            <w:vAlign w:val="center"/>
            <w:hideMark/>
          </w:tcPr>
          <w:p w14:paraId="63AEDF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6041426000</w:t>
            </w:r>
          </w:p>
        </w:tc>
        <w:tc>
          <w:tcPr>
            <w:tcW w:w="1036" w:type="dxa"/>
            <w:tcBorders>
              <w:top w:val="nil"/>
              <w:left w:val="nil"/>
              <w:bottom w:val="single" w:sz="4" w:space="0" w:color="auto"/>
              <w:right w:val="single" w:sz="4" w:space="0" w:color="auto"/>
            </w:tcBorders>
            <w:shd w:val="clear" w:color="auto" w:fill="auto"/>
            <w:noWrap/>
            <w:vAlign w:val="center"/>
            <w:hideMark/>
          </w:tcPr>
          <w:p w14:paraId="46D291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17124328</w:t>
            </w:r>
          </w:p>
        </w:tc>
        <w:tc>
          <w:tcPr>
            <w:tcW w:w="160" w:type="dxa"/>
            <w:tcBorders>
              <w:top w:val="nil"/>
              <w:left w:val="nil"/>
              <w:bottom w:val="single" w:sz="4" w:space="0" w:color="auto"/>
              <w:right w:val="nil"/>
            </w:tcBorders>
            <w:vAlign w:val="center"/>
          </w:tcPr>
          <w:p w14:paraId="17171B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9235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GRADNJE STARŠE, D. O. O. </w:t>
            </w:r>
          </w:p>
        </w:tc>
      </w:tr>
      <w:tr w:rsidR="00072A69" w:rsidRPr="00DC6DF9" w14:paraId="141804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1CA0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329</w:t>
            </w:r>
          </w:p>
        </w:tc>
        <w:tc>
          <w:tcPr>
            <w:tcW w:w="1036" w:type="dxa"/>
            <w:tcBorders>
              <w:top w:val="nil"/>
              <w:left w:val="nil"/>
              <w:bottom w:val="single" w:sz="4" w:space="0" w:color="auto"/>
              <w:right w:val="single" w:sz="4" w:space="0" w:color="auto"/>
            </w:tcBorders>
            <w:shd w:val="clear" w:color="auto" w:fill="auto"/>
            <w:noWrap/>
            <w:vAlign w:val="center"/>
            <w:hideMark/>
          </w:tcPr>
          <w:p w14:paraId="39500B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5089107000</w:t>
            </w:r>
          </w:p>
        </w:tc>
        <w:tc>
          <w:tcPr>
            <w:tcW w:w="1036" w:type="dxa"/>
            <w:tcBorders>
              <w:top w:val="nil"/>
              <w:left w:val="nil"/>
              <w:bottom w:val="single" w:sz="4" w:space="0" w:color="auto"/>
              <w:right w:val="single" w:sz="4" w:space="0" w:color="auto"/>
            </w:tcBorders>
            <w:shd w:val="clear" w:color="auto" w:fill="auto"/>
            <w:noWrap/>
            <w:vAlign w:val="center"/>
            <w:hideMark/>
          </w:tcPr>
          <w:p w14:paraId="4ECFF2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46571558</w:t>
            </w:r>
          </w:p>
        </w:tc>
        <w:tc>
          <w:tcPr>
            <w:tcW w:w="160" w:type="dxa"/>
            <w:tcBorders>
              <w:top w:val="nil"/>
              <w:left w:val="nil"/>
              <w:bottom w:val="single" w:sz="4" w:space="0" w:color="auto"/>
              <w:right w:val="nil"/>
            </w:tcBorders>
            <w:vAlign w:val="center"/>
          </w:tcPr>
          <w:p w14:paraId="1AA1A4E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3FAE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GRM NOVO MESTO - CENTER BIOTEHNIKE IN TURIZMA</w:t>
            </w:r>
          </w:p>
        </w:tc>
      </w:tr>
      <w:tr w:rsidR="00072A69" w:rsidRPr="00DC6DF9" w14:paraId="155EF22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5F72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330</w:t>
            </w:r>
          </w:p>
        </w:tc>
        <w:tc>
          <w:tcPr>
            <w:tcW w:w="1036" w:type="dxa"/>
            <w:tcBorders>
              <w:top w:val="nil"/>
              <w:left w:val="nil"/>
              <w:bottom w:val="single" w:sz="4" w:space="0" w:color="auto"/>
              <w:right w:val="single" w:sz="4" w:space="0" w:color="auto"/>
            </w:tcBorders>
            <w:shd w:val="clear" w:color="auto" w:fill="auto"/>
            <w:noWrap/>
            <w:vAlign w:val="center"/>
            <w:hideMark/>
          </w:tcPr>
          <w:p w14:paraId="00AD4A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3306763000</w:t>
            </w:r>
          </w:p>
        </w:tc>
        <w:tc>
          <w:tcPr>
            <w:tcW w:w="1036" w:type="dxa"/>
            <w:tcBorders>
              <w:top w:val="nil"/>
              <w:left w:val="nil"/>
              <w:bottom w:val="single" w:sz="4" w:space="0" w:color="auto"/>
              <w:right w:val="single" w:sz="4" w:space="0" w:color="auto"/>
            </w:tcBorders>
            <w:shd w:val="clear" w:color="auto" w:fill="auto"/>
            <w:noWrap/>
            <w:vAlign w:val="center"/>
            <w:hideMark/>
          </w:tcPr>
          <w:p w14:paraId="130267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20274173</w:t>
            </w:r>
          </w:p>
        </w:tc>
        <w:tc>
          <w:tcPr>
            <w:tcW w:w="160" w:type="dxa"/>
            <w:tcBorders>
              <w:top w:val="nil"/>
              <w:left w:val="nil"/>
              <w:bottom w:val="single" w:sz="4" w:space="0" w:color="auto"/>
              <w:right w:val="nil"/>
            </w:tcBorders>
            <w:vAlign w:val="center"/>
          </w:tcPr>
          <w:p w14:paraId="5E382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9619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HIDROELEKTRARNE NA SPODNJI SAVI, D. O. O. </w:t>
            </w:r>
          </w:p>
        </w:tc>
      </w:tr>
      <w:tr w:rsidR="00072A69" w:rsidRPr="00DC6DF9" w14:paraId="48B9BC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7D1B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331</w:t>
            </w:r>
          </w:p>
        </w:tc>
        <w:tc>
          <w:tcPr>
            <w:tcW w:w="1036" w:type="dxa"/>
            <w:tcBorders>
              <w:top w:val="nil"/>
              <w:left w:val="nil"/>
              <w:bottom w:val="single" w:sz="4" w:space="0" w:color="auto"/>
              <w:right w:val="single" w:sz="4" w:space="0" w:color="auto"/>
            </w:tcBorders>
            <w:shd w:val="clear" w:color="auto" w:fill="auto"/>
            <w:noWrap/>
            <w:vAlign w:val="center"/>
            <w:hideMark/>
          </w:tcPr>
          <w:p w14:paraId="3884EF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5025311000</w:t>
            </w:r>
          </w:p>
        </w:tc>
        <w:tc>
          <w:tcPr>
            <w:tcW w:w="1036" w:type="dxa"/>
            <w:tcBorders>
              <w:top w:val="nil"/>
              <w:left w:val="nil"/>
              <w:bottom w:val="single" w:sz="4" w:space="0" w:color="auto"/>
              <w:right w:val="single" w:sz="4" w:space="0" w:color="auto"/>
            </w:tcBorders>
            <w:shd w:val="clear" w:color="auto" w:fill="auto"/>
            <w:noWrap/>
            <w:vAlign w:val="center"/>
            <w:hideMark/>
          </w:tcPr>
          <w:p w14:paraId="5ED40B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72828013</w:t>
            </w:r>
          </w:p>
        </w:tc>
        <w:tc>
          <w:tcPr>
            <w:tcW w:w="160" w:type="dxa"/>
            <w:tcBorders>
              <w:top w:val="nil"/>
              <w:left w:val="nil"/>
              <w:bottom w:val="single" w:sz="4" w:space="0" w:color="auto"/>
              <w:right w:val="nil"/>
            </w:tcBorders>
            <w:vAlign w:val="center"/>
          </w:tcPr>
          <w:p w14:paraId="07BCEF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341F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HOLDING KOBILARNA LIPICA, D. O. O. </w:t>
            </w:r>
          </w:p>
        </w:tc>
      </w:tr>
      <w:tr w:rsidR="00072A69" w:rsidRPr="00DC6DF9" w14:paraId="5E4FB8A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8499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332</w:t>
            </w:r>
          </w:p>
        </w:tc>
        <w:tc>
          <w:tcPr>
            <w:tcW w:w="1036" w:type="dxa"/>
            <w:tcBorders>
              <w:top w:val="nil"/>
              <w:left w:val="nil"/>
              <w:bottom w:val="single" w:sz="4" w:space="0" w:color="auto"/>
              <w:right w:val="single" w:sz="4" w:space="0" w:color="auto"/>
            </w:tcBorders>
            <w:shd w:val="clear" w:color="auto" w:fill="auto"/>
            <w:noWrap/>
            <w:vAlign w:val="center"/>
            <w:hideMark/>
          </w:tcPr>
          <w:p w14:paraId="31F3BA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1662970000</w:t>
            </w:r>
          </w:p>
        </w:tc>
        <w:tc>
          <w:tcPr>
            <w:tcW w:w="1036" w:type="dxa"/>
            <w:tcBorders>
              <w:top w:val="nil"/>
              <w:left w:val="nil"/>
              <w:bottom w:val="single" w:sz="4" w:space="0" w:color="auto"/>
              <w:right w:val="single" w:sz="4" w:space="0" w:color="auto"/>
            </w:tcBorders>
            <w:shd w:val="clear" w:color="auto" w:fill="auto"/>
            <w:noWrap/>
            <w:vAlign w:val="center"/>
            <w:hideMark/>
          </w:tcPr>
          <w:p w14:paraId="6E587B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99666189</w:t>
            </w:r>
          </w:p>
        </w:tc>
        <w:tc>
          <w:tcPr>
            <w:tcW w:w="160" w:type="dxa"/>
            <w:tcBorders>
              <w:top w:val="nil"/>
              <w:left w:val="nil"/>
              <w:bottom w:val="single" w:sz="4" w:space="0" w:color="auto"/>
              <w:right w:val="nil"/>
            </w:tcBorders>
            <w:vAlign w:val="center"/>
          </w:tcPr>
          <w:p w14:paraId="5377B1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ECA3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HOLDING SLOVENSKE ELEKTRARNE D. O. O. </w:t>
            </w:r>
          </w:p>
        </w:tc>
      </w:tr>
      <w:tr w:rsidR="00072A69" w:rsidRPr="00DC6DF9" w14:paraId="0CD0EA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6CB1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333</w:t>
            </w:r>
          </w:p>
        </w:tc>
        <w:tc>
          <w:tcPr>
            <w:tcW w:w="1036" w:type="dxa"/>
            <w:tcBorders>
              <w:top w:val="nil"/>
              <w:left w:val="nil"/>
              <w:bottom w:val="single" w:sz="4" w:space="0" w:color="auto"/>
              <w:right w:val="single" w:sz="4" w:space="0" w:color="auto"/>
            </w:tcBorders>
            <w:shd w:val="clear" w:color="auto" w:fill="auto"/>
            <w:noWrap/>
            <w:vAlign w:val="center"/>
            <w:hideMark/>
          </w:tcPr>
          <w:p w14:paraId="6BEAB6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5035511000</w:t>
            </w:r>
          </w:p>
        </w:tc>
        <w:tc>
          <w:tcPr>
            <w:tcW w:w="1036" w:type="dxa"/>
            <w:tcBorders>
              <w:top w:val="nil"/>
              <w:left w:val="nil"/>
              <w:bottom w:val="single" w:sz="4" w:space="0" w:color="auto"/>
              <w:right w:val="single" w:sz="4" w:space="0" w:color="auto"/>
            </w:tcBorders>
            <w:shd w:val="clear" w:color="auto" w:fill="auto"/>
            <w:noWrap/>
            <w:vAlign w:val="center"/>
            <w:hideMark/>
          </w:tcPr>
          <w:p w14:paraId="267225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68195346</w:t>
            </w:r>
          </w:p>
        </w:tc>
        <w:tc>
          <w:tcPr>
            <w:tcW w:w="160" w:type="dxa"/>
            <w:tcBorders>
              <w:top w:val="nil"/>
              <w:left w:val="nil"/>
              <w:bottom w:val="single" w:sz="4" w:space="0" w:color="auto"/>
              <w:right w:val="nil"/>
            </w:tcBorders>
            <w:vAlign w:val="center"/>
          </w:tcPr>
          <w:p w14:paraId="040D68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733B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HSE - ENERGETSKA DRUŽBA TRBOVLJE D. O. O. </w:t>
            </w:r>
          </w:p>
        </w:tc>
      </w:tr>
      <w:tr w:rsidR="00072A69" w:rsidRPr="00DC6DF9" w14:paraId="669CE7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B07E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334</w:t>
            </w:r>
          </w:p>
        </w:tc>
        <w:tc>
          <w:tcPr>
            <w:tcW w:w="1036" w:type="dxa"/>
            <w:tcBorders>
              <w:top w:val="nil"/>
              <w:left w:val="nil"/>
              <w:bottom w:val="single" w:sz="4" w:space="0" w:color="auto"/>
              <w:right w:val="single" w:sz="4" w:space="0" w:color="auto"/>
            </w:tcBorders>
            <w:shd w:val="clear" w:color="auto" w:fill="auto"/>
            <w:noWrap/>
            <w:vAlign w:val="center"/>
            <w:hideMark/>
          </w:tcPr>
          <w:p w14:paraId="1EFFEB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1574256000</w:t>
            </w:r>
          </w:p>
        </w:tc>
        <w:tc>
          <w:tcPr>
            <w:tcW w:w="1036" w:type="dxa"/>
            <w:tcBorders>
              <w:top w:val="nil"/>
              <w:left w:val="nil"/>
              <w:bottom w:val="single" w:sz="4" w:space="0" w:color="auto"/>
              <w:right w:val="single" w:sz="4" w:space="0" w:color="auto"/>
            </w:tcBorders>
            <w:shd w:val="clear" w:color="auto" w:fill="auto"/>
            <w:noWrap/>
            <w:vAlign w:val="center"/>
            <w:hideMark/>
          </w:tcPr>
          <w:p w14:paraId="5B015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43635750</w:t>
            </w:r>
          </w:p>
        </w:tc>
        <w:tc>
          <w:tcPr>
            <w:tcW w:w="160" w:type="dxa"/>
            <w:tcBorders>
              <w:top w:val="nil"/>
              <w:left w:val="nil"/>
              <w:bottom w:val="single" w:sz="4" w:space="0" w:color="auto"/>
              <w:right w:val="nil"/>
            </w:tcBorders>
            <w:vAlign w:val="center"/>
          </w:tcPr>
          <w:p w14:paraId="5D19F1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536D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HSE INVEST, D. O. O. </w:t>
            </w:r>
          </w:p>
        </w:tc>
      </w:tr>
      <w:tr w:rsidR="00072A69" w:rsidRPr="00DC6DF9" w14:paraId="31F409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5D5F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335</w:t>
            </w:r>
          </w:p>
        </w:tc>
        <w:tc>
          <w:tcPr>
            <w:tcW w:w="1036" w:type="dxa"/>
            <w:tcBorders>
              <w:top w:val="nil"/>
              <w:left w:val="nil"/>
              <w:bottom w:val="single" w:sz="4" w:space="0" w:color="auto"/>
              <w:right w:val="single" w:sz="4" w:space="0" w:color="auto"/>
            </w:tcBorders>
            <w:shd w:val="clear" w:color="auto" w:fill="auto"/>
            <w:noWrap/>
            <w:vAlign w:val="center"/>
            <w:hideMark/>
          </w:tcPr>
          <w:p w14:paraId="152EF7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1470647000</w:t>
            </w:r>
          </w:p>
        </w:tc>
        <w:tc>
          <w:tcPr>
            <w:tcW w:w="1036" w:type="dxa"/>
            <w:tcBorders>
              <w:top w:val="nil"/>
              <w:left w:val="nil"/>
              <w:bottom w:val="single" w:sz="4" w:space="0" w:color="auto"/>
              <w:right w:val="single" w:sz="4" w:space="0" w:color="auto"/>
            </w:tcBorders>
            <w:shd w:val="clear" w:color="auto" w:fill="auto"/>
            <w:noWrap/>
            <w:vAlign w:val="center"/>
            <w:hideMark/>
          </w:tcPr>
          <w:p w14:paraId="45D157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66669413</w:t>
            </w:r>
          </w:p>
        </w:tc>
        <w:tc>
          <w:tcPr>
            <w:tcW w:w="160" w:type="dxa"/>
            <w:tcBorders>
              <w:top w:val="nil"/>
              <w:left w:val="nil"/>
              <w:bottom w:val="single" w:sz="4" w:space="0" w:color="auto"/>
              <w:right w:val="nil"/>
            </w:tcBorders>
            <w:vAlign w:val="center"/>
          </w:tcPr>
          <w:p w14:paraId="0B0E1BA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46CB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HTZ INVALIDSKO PODJETJE, D. O. O. </w:t>
            </w:r>
          </w:p>
        </w:tc>
      </w:tr>
      <w:tr w:rsidR="00072A69" w:rsidRPr="00DC6DF9" w14:paraId="351994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24CE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336</w:t>
            </w:r>
          </w:p>
        </w:tc>
        <w:tc>
          <w:tcPr>
            <w:tcW w:w="1036" w:type="dxa"/>
            <w:tcBorders>
              <w:top w:val="nil"/>
              <w:left w:val="nil"/>
              <w:bottom w:val="single" w:sz="4" w:space="0" w:color="auto"/>
              <w:right w:val="single" w:sz="4" w:space="0" w:color="auto"/>
            </w:tcBorders>
            <w:shd w:val="clear" w:color="auto" w:fill="auto"/>
            <w:noWrap/>
            <w:vAlign w:val="center"/>
            <w:hideMark/>
          </w:tcPr>
          <w:p w14:paraId="71213F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5073251000</w:t>
            </w:r>
          </w:p>
        </w:tc>
        <w:tc>
          <w:tcPr>
            <w:tcW w:w="1036" w:type="dxa"/>
            <w:tcBorders>
              <w:top w:val="nil"/>
              <w:left w:val="nil"/>
              <w:bottom w:val="single" w:sz="4" w:space="0" w:color="auto"/>
              <w:right w:val="single" w:sz="4" w:space="0" w:color="auto"/>
            </w:tcBorders>
            <w:shd w:val="clear" w:color="auto" w:fill="auto"/>
            <w:noWrap/>
            <w:vAlign w:val="center"/>
            <w:hideMark/>
          </w:tcPr>
          <w:p w14:paraId="23962F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50590049</w:t>
            </w:r>
          </w:p>
        </w:tc>
        <w:tc>
          <w:tcPr>
            <w:tcW w:w="160" w:type="dxa"/>
            <w:tcBorders>
              <w:top w:val="nil"/>
              <w:left w:val="nil"/>
              <w:bottom w:val="single" w:sz="4" w:space="0" w:color="auto"/>
              <w:right w:val="nil"/>
            </w:tcBorders>
            <w:vAlign w:val="center"/>
          </w:tcPr>
          <w:p w14:paraId="53A1F6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6E7F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HYDROVOD, D. O. O. </w:t>
            </w:r>
          </w:p>
        </w:tc>
      </w:tr>
      <w:tr w:rsidR="00072A69" w:rsidRPr="00DC6DF9" w14:paraId="0A0BFD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5BA6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337</w:t>
            </w:r>
          </w:p>
        </w:tc>
        <w:tc>
          <w:tcPr>
            <w:tcW w:w="1036" w:type="dxa"/>
            <w:tcBorders>
              <w:top w:val="nil"/>
              <w:left w:val="nil"/>
              <w:bottom w:val="single" w:sz="4" w:space="0" w:color="auto"/>
              <w:right w:val="single" w:sz="4" w:space="0" w:color="auto"/>
            </w:tcBorders>
            <w:shd w:val="clear" w:color="auto" w:fill="auto"/>
            <w:noWrap/>
            <w:vAlign w:val="center"/>
            <w:hideMark/>
          </w:tcPr>
          <w:p w14:paraId="240A2D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5084717000</w:t>
            </w:r>
          </w:p>
        </w:tc>
        <w:tc>
          <w:tcPr>
            <w:tcW w:w="1036" w:type="dxa"/>
            <w:tcBorders>
              <w:top w:val="nil"/>
              <w:left w:val="nil"/>
              <w:bottom w:val="single" w:sz="4" w:space="0" w:color="auto"/>
              <w:right w:val="single" w:sz="4" w:space="0" w:color="auto"/>
            </w:tcBorders>
            <w:shd w:val="clear" w:color="auto" w:fill="auto"/>
            <w:noWrap/>
            <w:vAlign w:val="center"/>
            <w:hideMark/>
          </w:tcPr>
          <w:p w14:paraId="358C00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26398303</w:t>
            </w:r>
          </w:p>
        </w:tc>
        <w:tc>
          <w:tcPr>
            <w:tcW w:w="160" w:type="dxa"/>
            <w:tcBorders>
              <w:top w:val="nil"/>
              <w:left w:val="nil"/>
              <w:bottom w:val="single" w:sz="4" w:space="0" w:color="auto"/>
              <w:right w:val="nil"/>
            </w:tcBorders>
            <w:vAlign w:val="center"/>
          </w:tcPr>
          <w:p w14:paraId="56FCA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F16D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 GIMNAZIJA V CELJU</w:t>
            </w:r>
          </w:p>
        </w:tc>
      </w:tr>
      <w:tr w:rsidR="00072A69" w:rsidRPr="00DC6DF9" w14:paraId="7392C5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0AB0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338</w:t>
            </w:r>
          </w:p>
        </w:tc>
        <w:tc>
          <w:tcPr>
            <w:tcW w:w="1036" w:type="dxa"/>
            <w:tcBorders>
              <w:top w:val="nil"/>
              <w:left w:val="nil"/>
              <w:bottom w:val="single" w:sz="4" w:space="0" w:color="auto"/>
              <w:right w:val="single" w:sz="4" w:space="0" w:color="auto"/>
            </w:tcBorders>
            <w:shd w:val="clear" w:color="auto" w:fill="auto"/>
            <w:noWrap/>
            <w:vAlign w:val="center"/>
            <w:hideMark/>
          </w:tcPr>
          <w:p w14:paraId="7A1F84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5082609000</w:t>
            </w:r>
          </w:p>
        </w:tc>
        <w:tc>
          <w:tcPr>
            <w:tcW w:w="1036" w:type="dxa"/>
            <w:tcBorders>
              <w:top w:val="nil"/>
              <w:left w:val="nil"/>
              <w:bottom w:val="single" w:sz="4" w:space="0" w:color="auto"/>
              <w:right w:val="single" w:sz="4" w:space="0" w:color="auto"/>
            </w:tcBorders>
            <w:shd w:val="clear" w:color="auto" w:fill="auto"/>
            <w:noWrap/>
            <w:vAlign w:val="center"/>
            <w:hideMark/>
          </w:tcPr>
          <w:p w14:paraId="262E6E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90567226</w:t>
            </w:r>
          </w:p>
        </w:tc>
        <w:tc>
          <w:tcPr>
            <w:tcW w:w="160" w:type="dxa"/>
            <w:tcBorders>
              <w:top w:val="nil"/>
              <w:left w:val="nil"/>
              <w:bottom w:val="single" w:sz="4" w:space="0" w:color="auto"/>
              <w:right w:val="nil"/>
            </w:tcBorders>
            <w:vAlign w:val="center"/>
          </w:tcPr>
          <w:p w14:paraId="5E5C54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174A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 OSNOVNA ŠOLA CELJE</w:t>
            </w:r>
          </w:p>
        </w:tc>
      </w:tr>
      <w:tr w:rsidR="00072A69" w:rsidRPr="00DC6DF9" w14:paraId="7188BE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A723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w:t>
            </w:r>
          </w:p>
        </w:tc>
        <w:tc>
          <w:tcPr>
            <w:tcW w:w="1036" w:type="dxa"/>
            <w:tcBorders>
              <w:top w:val="nil"/>
              <w:left w:val="nil"/>
              <w:bottom w:val="single" w:sz="4" w:space="0" w:color="auto"/>
              <w:right w:val="single" w:sz="4" w:space="0" w:color="auto"/>
            </w:tcBorders>
            <w:shd w:val="clear" w:color="auto" w:fill="auto"/>
            <w:noWrap/>
            <w:vAlign w:val="center"/>
            <w:hideMark/>
          </w:tcPr>
          <w:p w14:paraId="07056A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5087953000</w:t>
            </w:r>
          </w:p>
        </w:tc>
        <w:tc>
          <w:tcPr>
            <w:tcW w:w="1036" w:type="dxa"/>
            <w:tcBorders>
              <w:top w:val="nil"/>
              <w:left w:val="nil"/>
              <w:bottom w:val="single" w:sz="4" w:space="0" w:color="auto"/>
              <w:right w:val="single" w:sz="4" w:space="0" w:color="auto"/>
            </w:tcBorders>
            <w:shd w:val="clear" w:color="auto" w:fill="auto"/>
            <w:noWrap/>
            <w:vAlign w:val="center"/>
            <w:hideMark/>
          </w:tcPr>
          <w:p w14:paraId="75DB37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16457617</w:t>
            </w:r>
          </w:p>
        </w:tc>
        <w:tc>
          <w:tcPr>
            <w:tcW w:w="160" w:type="dxa"/>
            <w:tcBorders>
              <w:top w:val="nil"/>
              <w:left w:val="nil"/>
              <w:bottom w:val="single" w:sz="4" w:space="0" w:color="auto"/>
              <w:right w:val="nil"/>
            </w:tcBorders>
            <w:vAlign w:val="center"/>
          </w:tcPr>
          <w:p w14:paraId="75F7DC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E378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 OSNOVNA ŠOLA ROGAŠKA SLATINA</w:t>
            </w:r>
          </w:p>
        </w:tc>
      </w:tr>
      <w:tr w:rsidR="00072A69" w:rsidRPr="00DC6DF9" w14:paraId="675280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EE4A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340</w:t>
            </w:r>
          </w:p>
        </w:tc>
        <w:tc>
          <w:tcPr>
            <w:tcW w:w="1036" w:type="dxa"/>
            <w:tcBorders>
              <w:top w:val="nil"/>
              <w:left w:val="nil"/>
              <w:bottom w:val="single" w:sz="4" w:space="0" w:color="auto"/>
              <w:right w:val="single" w:sz="4" w:space="0" w:color="auto"/>
            </w:tcBorders>
            <w:shd w:val="clear" w:color="auto" w:fill="auto"/>
            <w:noWrap/>
            <w:vAlign w:val="center"/>
            <w:hideMark/>
          </w:tcPr>
          <w:p w14:paraId="41B134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5088534000</w:t>
            </w:r>
          </w:p>
        </w:tc>
        <w:tc>
          <w:tcPr>
            <w:tcW w:w="1036" w:type="dxa"/>
            <w:tcBorders>
              <w:top w:val="nil"/>
              <w:left w:val="nil"/>
              <w:bottom w:val="single" w:sz="4" w:space="0" w:color="auto"/>
              <w:right w:val="single" w:sz="4" w:space="0" w:color="auto"/>
            </w:tcBorders>
            <w:shd w:val="clear" w:color="auto" w:fill="auto"/>
            <w:noWrap/>
            <w:vAlign w:val="center"/>
            <w:hideMark/>
          </w:tcPr>
          <w:p w14:paraId="463775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17565553</w:t>
            </w:r>
          </w:p>
        </w:tc>
        <w:tc>
          <w:tcPr>
            <w:tcW w:w="160" w:type="dxa"/>
            <w:tcBorders>
              <w:top w:val="nil"/>
              <w:left w:val="nil"/>
              <w:bottom w:val="single" w:sz="4" w:space="0" w:color="auto"/>
              <w:right w:val="nil"/>
            </w:tcBorders>
            <w:vAlign w:val="center"/>
          </w:tcPr>
          <w:p w14:paraId="58B203B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4663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 OSNOVNA ŠOLA ŽALEC</w:t>
            </w:r>
          </w:p>
        </w:tc>
      </w:tr>
      <w:tr w:rsidR="00072A69" w:rsidRPr="00DC6DF9" w14:paraId="7F5277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2130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341</w:t>
            </w:r>
          </w:p>
        </w:tc>
        <w:tc>
          <w:tcPr>
            <w:tcW w:w="1036" w:type="dxa"/>
            <w:tcBorders>
              <w:top w:val="nil"/>
              <w:left w:val="nil"/>
              <w:bottom w:val="single" w:sz="4" w:space="0" w:color="auto"/>
              <w:right w:val="single" w:sz="4" w:space="0" w:color="auto"/>
            </w:tcBorders>
            <w:shd w:val="clear" w:color="auto" w:fill="auto"/>
            <w:noWrap/>
            <w:vAlign w:val="center"/>
            <w:hideMark/>
          </w:tcPr>
          <w:p w14:paraId="0B4872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5088917000</w:t>
            </w:r>
          </w:p>
        </w:tc>
        <w:tc>
          <w:tcPr>
            <w:tcW w:w="1036" w:type="dxa"/>
            <w:tcBorders>
              <w:top w:val="nil"/>
              <w:left w:val="nil"/>
              <w:bottom w:val="single" w:sz="4" w:space="0" w:color="auto"/>
              <w:right w:val="single" w:sz="4" w:space="0" w:color="auto"/>
            </w:tcBorders>
            <w:shd w:val="clear" w:color="auto" w:fill="auto"/>
            <w:noWrap/>
            <w:vAlign w:val="center"/>
            <w:hideMark/>
          </w:tcPr>
          <w:p w14:paraId="755C18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62721046</w:t>
            </w:r>
          </w:p>
        </w:tc>
        <w:tc>
          <w:tcPr>
            <w:tcW w:w="160" w:type="dxa"/>
            <w:tcBorders>
              <w:top w:val="nil"/>
              <w:left w:val="nil"/>
              <w:bottom w:val="single" w:sz="4" w:space="0" w:color="auto"/>
              <w:right w:val="nil"/>
            </w:tcBorders>
            <w:vAlign w:val="center"/>
          </w:tcPr>
          <w:p w14:paraId="69267A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27A0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 GIMNAZIJA MARIBOR</w:t>
            </w:r>
          </w:p>
        </w:tc>
      </w:tr>
      <w:tr w:rsidR="00072A69" w:rsidRPr="00DC6DF9" w14:paraId="64F00F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BB8A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342</w:t>
            </w:r>
          </w:p>
        </w:tc>
        <w:tc>
          <w:tcPr>
            <w:tcW w:w="1036" w:type="dxa"/>
            <w:tcBorders>
              <w:top w:val="nil"/>
              <w:left w:val="nil"/>
              <w:bottom w:val="single" w:sz="4" w:space="0" w:color="auto"/>
              <w:right w:val="single" w:sz="4" w:space="0" w:color="auto"/>
            </w:tcBorders>
            <w:shd w:val="clear" w:color="auto" w:fill="auto"/>
            <w:noWrap/>
            <w:vAlign w:val="center"/>
            <w:hideMark/>
          </w:tcPr>
          <w:p w14:paraId="4AC4DE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5082617000</w:t>
            </w:r>
          </w:p>
        </w:tc>
        <w:tc>
          <w:tcPr>
            <w:tcW w:w="1036" w:type="dxa"/>
            <w:tcBorders>
              <w:top w:val="nil"/>
              <w:left w:val="nil"/>
              <w:bottom w:val="single" w:sz="4" w:space="0" w:color="auto"/>
              <w:right w:val="single" w:sz="4" w:space="0" w:color="auto"/>
            </w:tcBorders>
            <w:shd w:val="clear" w:color="auto" w:fill="auto"/>
            <w:noWrap/>
            <w:vAlign w:val="center"/>
            <w:hideMark/>
          </w:tcPr>
          <w:p w14:paraId="7D9C91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18983022</w:t>
            </w:r>
          </w:p>
        </w:tc>
        <w:tc>
          <w:tcPr>
            <w:tcW w:w="160" w:type="dxa"/>
            <w:tcBorders>
              <w:top w:val="nil"/>
              <w:left w:val="nil"/>
              <w:bottom w:val="single" w:sz="4" w:space="0" w:color="auto"/>
              <w:right w:val="nil"/>
            </w:tcBorders>
            <w:vAlign w:val="center"/>
          </w:tcPr>
          <w:p w14:paraId="7A79BC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3680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 OSNOVNA ŠOLA CELJE</w:t>
            </w:r>
          </w:p>
        </w:tc>
      </w:tr>
      <w:tr w:rsidR="00072A69" w:rsidRPr="00DC6DF9" w14:paraId="4BCC4E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8AAC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343</w:t>
            </w:r>
          </w:p>
        </w:tc>
        <w:tc>
          <w:tcPr>
            <w:tcW w:w="1036" w:type="dxa"/>
            <w:tcBorders>
              <w:top w:val="nil"/>
              <w:left w:val="nil"/>
              <w:bottom w:val="single" w:sz="4" w:space="0" w:color="auto"/>
              <w:right w:val="single" w:sz="4" w:space="0" w:color="auto"/>
            </w:tcBorders>
            <w:shd w:val="clear" w:color="auto" w:fill="auto"/>
            <w:noWrap/>
            <w:vAlign w:val="center"/>
            <w:hideMark/>
          </w:tcPr>
          <w:p w14:paraId="2B0DF6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5278945000</w:t>
            </w:r>
          </w:p>
        </w:tc>
        <w:tc>
          <w:tcPr>
            <w:tcW w:w="1036" w:type="dxa"/>
            <w:tcBorders>
              <w:top w:val="nil"/>
              <w:left w:val="nil"/>
              <w:bottom w:val="single" w:sz="4" w:space="0" w:color="auto"/>
              <w:right w:val="single" w:sz="4" w:space="0" w:color="auto"/>
            </w:tcBorders>
            <w:shd w:val="clear" w:color="auto" w:fill="auto"/>
            <w:noWrap/>
            <w:vAlign w:val="center"/>
            <w:hideMark/>
          </w:tcPr>
          <w:p w14:paraId="51B4A9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60425571</w:t>
            </w:r>
          </w:p>
        </w:tc>
        <w:tc>
          <w:tcPr>
            <w:tcW w:w="160" w:type="dxa"/>
            <w:tcBorders>
              <w:top w:val="nil"/>
              <w:left w:val="nil"/>
              <w:bottom w:val="single" w:sz="4" w:space="0" w:color="auto"/>
              <w:right w:val="nil"/>
            </w:tcBorders>
            <w:vAlign w:val="center"/>
          </w:tcPr>
          <w:p w14:paraId="1AC5C9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DDE5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 OSNOVNA ŠOLA ROGAŠKA SLATINA</w:t>
            </w:r>
          </w:p>
        </w:tc>
      </w:tr>
      <w:tr w:rsidR="00072A69" w:rsidRPr="00DC6DF9" w14:paraId="76A367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E31A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344</w:t>
            </w:r>
          </w:p>
        </w:tc>
        <w:tc>
          <w:tcPr>
            <w:tcW w:w="1036" w:type="dxa"/>
            <w:tcBorders>
              <w:top w:val="nil"/>
              <w:left w:val="nil"/>
              <w:bottom w:val="single" w:sz="4" w:space="0" w:color="auto"/>
              <w:right w:val="single" w:sz="4" w:space="0" w:color="auto"/>
            </w:tcBorders>
            <w:shd w:val="clear" w:color="auto" w:fill="auto"/>
            <w:noWrap/>
            <w:vAlign w:val="center"/>
            <w:hideMark/>
          </w:tcPr>
          <w:p w14:paraId="5E875E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5088542000</w:t>
            </w:r>
          </w:p>
        </w:tc>
        <w:tc>
          <w:tcPr>
            <w:tcW w:w="1036" w:type="dxa"/>
            <w:tcBorders>
              <w:top w:val="nil"/>
              <w:left w:val="nil"/>
              <w:bottom w:val="single" w:sz="4" w:space="0" w:color="auto"/>
              <w:right w:val="single" w:sz="4" w:space="0" w:color="auto"/>
            </w:tcBorders>
            <w:shd w:val="clear" w:color="auto" w:fill="auto"/>
            <w:noWrap/>
            <w:vAlign w:val="center"/>
            <w:hideMark/>
          </w:tcPr>
          <w:p w14:paraId="0A43E0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62175815</w:t>
            </w:r>
          </w:p>
        </w:tc>
        <w:tc>
          <w:tcPr>
            <w:tcW w:w="160" w:type="dxa"/>
            <w:tcBorders>
              <w:top w:val="nil"/>
              <w:left w:val="nil"/>
              <w:bottom w:val="single" w:sz="4" w:space="0" w:color="auto"/>
              <w:right w:val="nil"/>
            </w:tcBorders>
            <w:vAlign w:val="center"/>
          </w:tcPr>
          <w:p w14:paraId="6916E9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053A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 OSNOVNA ŠOLA ŽALEC</w:t>
            </w:r>
          </w:p>
        </w:tc>
      </w:tr>
      <w:tr w:rsidR="00072A69" w:rsidRPr="00DC6DF9" w14:paraId="7426A1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D96D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345</w:t>
            </w:r>
          </w:p>
        </w:tc>
        <w:tc>
          <w:tcPr>
            <w:tcW w:w="1036" w:type="dxa"/>
            <w:tcBorders>
              <w:top w:val="nil"/>
              <w:left w:val="nil"/>
              <w:bottom w:val="single" w:sz="4" w:space="0" w:color="auto"/>
              <w:right w:val="single" w:sz="4" w:space="0" w:color="auto"/>
            </w:tcBorders>
            <w:shd w:val="clear" w:color="auto" w:fill="auto"/>
            <w:noWrap/>
            <w:vAlign w:val="center"/>
            <w:hideMark/>
          </w:tcPr>
          <w:p w14:paraId="314661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5081297000</w:t>
            </w:r>
          </w:p>
        </w:tc>
        <w:tc>
          <w:tcPr>
            <w:tcW w:w="1036" w:type="dxa"/>
            <w:tcBorders>
              <w:top w:val="nil"/>
              <w:left w:val="nil"/>
              <w:bottom w:val="single" w:sz="4" w:space="0" w:color="auto"/>
              <w:right w:val="single" w:sz="4" w:space="0" w:color="auto"/>
            </w:tcBorders>
            <w:shd w:val="clear" w:color="auto" w:fill="auto"/>
            <w:noWrap/>
            <w:vAlign w:val="center"/>
            <w:hideMark/>
          </w:tcPr>
          <w:p w14:paraId="7412AE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86876651</w:t>
            </w:r>
          </w:p>
        </w:tc>
        <w:tc>
          <w:tcPr>
            <w:tcW w:w="160" w:type="dxa"/>
            <w:tcBorders>
              <w:top w:val="nil"/>
              <w:left w:val="nil"/>
              <w:bottom w:val="single" w:sz="4" w:space="0" w:color="auto"/>
              <w:right w:val="nil"/>
            </w:tcBorders>
            <w:vAlign w:val="center"/>
          </w:tcPr>
          <w:p w14:paraId="0BB058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44C4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III. GIMNAZIJA MARIBOR</w:t>
            </w:r>
          </w:p>
        </w:tc>
      </w:tr>
      <w:tr w:rsidR="00072A69" w:rsidRPr="00DC6DF9" w14:paraId="4048B9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1C08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346</w:t>
            </w:r>
          </w:p>
        </w:tc>
        <w:tc>
          <w:tcPr>
            <w:tcW w:w="1036" w:type="dxa"/>
            <w:tcBorders>
              <w:top w:val="nil"/>
              <w:left w:val="nil"/>
              <w:bottom w:val="single" w:sz="4" w:space="0" w:color="auto"/>
              <w:right w:val="single" w:sz="4" w:space="0" w:color="auto"/>
            </w:tcBorders>
            <w:shd w:val="clear" w:color="auto" w:fill="auto"/>
            <w:noWrap/>
            <w:vAlign w:val="center"/>
            <w:hideMark/>
          </w:tcPr>
          <w:p w14:paraId="13729A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5083613000</w:t>
            </w:r>
          </w:p>
        </w:tc>
        <w:tc>
          <w:tcPr>
            <w:tcW w:w="1036" w:type="dxa"/>
            <w:tcBorders>
              <w:top w:val="nil"/>
              <w:left w:val="nil"/>
              <w:bottom w:val="single" w:sz="4" w:space="0" w:color="auto"/>
              <w:right w:val="single" w:sz="4" w:space="0" w:color="auto"/>
            </w:tcBorders>
            <w:shd w:val="clear" w:color="auto" w:fill="auto"/>
            <w:noWrap/>
            <w:vAlign w:val="center"/>
            <w:hideMark/>
          </w:tcPr>
          <w:p w14:paraId="2E9A95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48097535</w:t>
            </w:r>
          </w:p>
        </w:tc>
        <w:tc>
          <w:tcPr>
            <w:tcW w:w="160" w:type="dxa"/>
            <w:tcBorders>
              <w:top w:val="nil"/>
              <w:left w:val="nil"/>
              <w:bottom w:val="single" w:sz="4" w:space="0" w:color="auto"/>
              <w:right w:val="nil"/>
            </w:tcBorders>
            <w:vAlign w:val="center"/>
          </w:tcPr>
          <w:p w14:paraId="7B7368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74E3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III. OSNOVNA ŠOLA CELJE</w:t>
            </w:r>
          </w:p>
        </w:tc>
      </w:tr>
      <w:tr w:rsidR="00072A69" w:rsidRPr="00DC6DF9" w14:paraId="01249E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F51A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347</w:t>
            </w:r>
          </w:p>
        </w:tc>
        <w:tc>
          <w:tcPr>
            <w:tcW w:w="1036" w:type="dxa"/>
            <w:tcBorders>
              <w:top w:val="nil"/>
              <w:left w:val="nil"/>
              <w:bottom w:val="single" w:sz="4" w:space="0" w:color="auto"/>
              <w:right w:val="single" w:sz="4" w:space="0" w:color="auto"/>
            </w:tcBorders>
            <w:shd w:val="clear" w:color="auto" w:fill="auto"/>
            <w:noWrap/>
            <w:vAlign w:val="center"/>
            <w:hideMark/>
          </w:tcPr>
          <w:p w14:paraId="160416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5087961000</w:t>
            </w:r>
          </w:p>
        </w:tc>
        <w:tc>
          <w:tcPr>
            <w:tcW w:w="1036" w:type="dxa"/>
            <w:tcBorders>
              <w:top w:val="nil"/>
              <w:left w:val="nil"/>
              <w:bottom w:val="single" w:sz="4" w:space="0" w:color="auto"/>
              <w:right w:val="single" w:sz="4" w:space="0" w:color="auto"/>
            </w:tcBorders>
            <w:shd w:val="clear" w:color="auto" w:fill="auto"/>
            <w:noWrap/>
            <w:vAlign w:val="center"/>
            <w:hideMark/>
          </w:tcPr>
          <w:p w14:paraId="35EA8C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49830082</w:t>
            </w:r>
          </w:p>
        </w:tc>
        <w:tc>
          <w:tcPr>
            <w:tcW w:w="160" w:type="dxa"/>
            <w:tcBorders>
              <w:top w:val="nil"/>
              <w:left w:val="nil"/>
              <w:bottom w:val="single" w:sz="4" w:space="0" w:color="auto"/>
              <w:right w:val="nil"/>
            </w:tcBorders>
            <w:vAlign w:val="center"/>
          </w:tcPr>
          <w:p w14:paraId="0229BE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8180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III. OSNOVNA ŠOLA ROGAŠKA SLATINA</w:t>
            </w:r>
          </w:p>
        </w:tc>
      </w:tr>
      <w:tr w:rsidR="00072A69" w:rsidRPr="00DC6DF9" w14:paraId="5B82C4E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F408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348</w:t>
            </w:r>
          </w:p>
        </w:tc>
        <w:tc>
          <w:tcPr>
            <w:tcW w:w="1036" w:type="dxa"/>
            <w:tcBorders>
              <w:top w:val="nil"/>
              <w:left w:val="nil"/>
              <w:bottom w:val="single" w:sz="4" w:space="0" w:color="auto"/>
              <w:right w:val="single" w:sz="4" w:space="0" w:color="auto"/>
            </w:tcBorders>
            <w:shd w:val="clear" w:color="auto" w:fill="auto"/>
            <w:noWrap/>
            <w:vAlign w:val="center"/>
            <w:hideMark/>
          </w:tcPr>
          <w:p w14:paraId="50EAB6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1867571000</w:t>
            </w:r>
          </w:p>
        </w:tc>
        <w:tc>
          <w:tcPr>
            <w:tcW w:w="1036" w:type="dxa"/>
            <w:tcBorders>
              <w:top w:val="nil"/>
              <w:left w:val="nil"/>
              <w:bottom w:val="single" w:sz="4" w:space="0" w:color="auto"/>
              <w:right w:val="single" w:sz="4" w:space="0" w:color="auto"/>
            </w:tcBorders>
            <w:shd w:val="clear" w:color="auto" w:fill="auto"/>
            <w:noWrap/>
            <w:vAlign w:val="center"/>
            <w:hideMark/>
          </w:tcPr>
          <w:p w14:paraId="5762D1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89502868</w:t>
            </w:r>
          </w:p>
        </w:tc>
        <w:tc>
          <w:tcPr>
            <w:tcW w:w="160" w:type="dxa"/>
            <w:tcBorders>
              <w:top w:val="nil"/>
              <w:left w:val="nil"/>
              <w:bottom w:val="single" w:sz="4" w:space="0" w:color="auto"/>
              <w:right w:val="nil"/>
            </w:tcBorders>
            <w:vAlign w:val="center"/>
          </w:tcPr>
          <w:p w14:paraId="04FE5D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5972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INFORMACIJSKI POOBLAŠČENEC</w:t>
            </w:r>
          </w:p>
        </w:tc>
      </w:tr>
      <w:tr w:rsidR="00072A69" w:rsidRPr="00DC6DF9" w14:paraId="593CCF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C865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349</w:t>
            </w:r>
          </w:p>
        </w:tc>
        <w:tc>
          <w:tcPr>
            <w:tcW w:w="1036" w:type="dxa"/>
            <w:tcBorders>
              <w:top w:val="nil"/>
              <w:left w:val="nil"/>
              <w:bottom w:val="single" w:sz="4" w:space="0" w:color="auto"/>
              <w:right w:val="single" w:sz="4" w:space="0" w:color="auto"/>
            </w:tcBorders>
            <w:shd w:val="clear" w:color="auto" w:fill="auto"/>
            <w:noWrap/>
            <w:vAlign w:val="center"/>
            <w:hideMark/>
          </w:tcPr>
          <w:p w14:paraId="1CEF7C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5259363000</w:t>
            </w:r>
          </w:p>
        </w:tc>
        <w:tc>
          <w:tcPr>
            <w:tcW w:w="1036" w:type="dxa"/>
            <w:tcBorders>
              <w:top w:val="nil"/>
              <w:left w:val="nil"/>
              <w:bottom w:val="single" w:sz="4" w:space="0" w:color="auto"/>
              <w:right w:val="single" w:sz="4" w:space="0" w:color="auto"/>
            </w:tcBorders>
            <w:shd w:val="clear" w:color="auto" w:fill="auto"/>
            <w:noWrap/>
            <w:vAlign w:val="center"/>
            <w:hideMark/>
          </w:tcPr>
          <w:p w14:paraId="2A7C78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70666130</w:t>
            </w:r>
          </w:p>
        </w:tc>
        <w:tc>
          <w:tcPr>
            <w:tcW w:w="160" w:type="dxa"/>
            <w:tcBorders>
              <w:top w:val="nil"/>
              <w:left w:val="nil"/>
              <w:bottom w:val="single" w:sz="4" w:space="0" w:color="auto"/>
              <w:right w:val="nil"/>
            </w:tcBorders>
            <w:vAlign w:val="center"/>
          </w:tcPr>
          <w:p w14:paraId="0428E8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7024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INFORMATIKA, D. D. </w:t>
            </w:r>
          </w:p>
        </w:tc>
      </w:tr>
      <w:tr w:rsidR="00072A69" w:rsidRPr="00DC6DF9" w14:paraId="2F479B6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E4DD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350</w:t>
            </w:r>
          </w:p>
        </w:tc>
        <w:tc>
          <w:tcPr>
            <w:tcW w:w="1036" w:type="dxa"/>
            <w:tcBorders>
              <w:top w:val="nil"/>
              <w:left w:val="nil"/>
              <w:bottom w:val="single" w:sz="4" w:space="0" w:color="auto"/>
              <w:right w:val="single" w:sz="4" w:space="0" w:color="auto"/>
            </w:tcBorders>
            <w:shd w:val="clear" w:color="auto" w:fill="auto"/>
            <w:noWrap/>
            <w:vAlign w:val="center"/>
            <w:hideMark/>
          </w:tcPr>
          <w:p w14:paraId="4316E2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1946510000</w:t>
            </w:r>
          </w:p>
        </w:tc>
        <w:tc>
          <w:tcPr>
            <w:tcW w:w="1036" w:type="dxa"/>
            <w:tcBorders>
              <w:top w:val="nil"/>
              <w:left w:val="nil"/>
              <w:bottom w:val="single" w:sz="4" w:space="0" w:color="auto"/>
              <w:right w:val="single" w:sz="4" w:space="0" w:color="auto"/>
            </w:tcBorders>
            <w:shd w:val="clear" w:color="auto" w:fill="auto"/>
            <w:noWrap/>
            <w:vAlign w:val="center"/>
            <w:hideMark/>
          </w:tcPr>
          <w:p w14:paraId="5FF446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60617357</w:t>
            </w:r>
          </w:p>
        </w:tc>
        <w:tc>
          <w:tcPr>
            <w:tcW w:w="160" w:type="dxa"/>
            <w:tcBorders>
              <w:top w:val="nil"/>
              <w:left w:val="nil"/>
              <w:bottom w:val="single" w:sz="4" w:space="0" w:color="auto"/>
              <w:right w:val="nil"/>
            </w:tcBorders>
            <w:vAlign w:val="center"/>
          </w:tcPr>
          <w:p w14:paraId="3947C5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6D75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INFRA, D. O. O. </w:t>
            </w:r>
          </w:p>
        </w:tc>
      </w:tr>
      <w:tr w:rsidR="00072A69" w:rsidRPr="00DC6DF9" w14:paraId="1D80AF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2285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351</w:t>
            </w:r>
          </w:p>
        </w:tc>
        <w:tc>
          <w:tcPr>
            <w:tcW w:w="1036" w:type="dxa"/>
            <w:tcBorders>
              <w:top w:val="nil"/>
              <w:left w:val="nil"/>
              <w:bottom w:val="single" w:sz="4" w:space="0" w:color="auto"/>
              <w:right w:val="single" w:sz="4" w:space="0" w:color="auto"/>
            </w:tcBorders>
            <w:shd w:val="clear" w:color="auto" w:fill="auto"/>
            <w:noWrap/>
            <w:vAlign w:val="center"/>
            <w:hideMark/>
          </w:tcPr>
          <w:p w14:paraId="6C78D3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1525638000</w:t>
            </w:r>
          </w:p>
        </w:tc>
        <w:tc>
          <w:tcPr>
            <w:tcW w:w="1036" w:type="dxa"/>
            <w:tcBorders>
              <w:top w:val="nil"/>
              <w:left w:val="nil"/>
              <w:bottom w:val="single" w:sz="4" w:space="0" w:color="auto"/>
              <w:right w:val="single" w:sz="4" w:space="0" w:color="auto"/>
            </w:tcBorders>
            <w:shd w:val="clear" w:color="auto" w:fill="auto"/>
            <w:noWrap/>
            <w:vAlign w:val="center"/>
            <w:hideMark/>
          </w:tcPr>
          <w:p w14:paraId="7253DF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87091712</w:t>
            </w:r>
          </w:p>
        </w:tc>
        <w:tc>
          <w:tcPr>
            <w:tcW w:w="160" w:type="dxa"/>
            <w:tcBorders>
              <w:top w:val="nil"/>
              <w:left w:val="nil"/>
              <w:bottom w:val="single" w:sz="4" w:space="0" w:color="auto"/>
              <w:right w:val="nil"/>
            </w:tcBorders>
            <w:vAlign w:val="center"/>
          </w:tcPr>
          <w:p w14:paraId="16C088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3398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INFRASTRUKTURA BLED, D. O. O. </w:t>
            </w:r>
          </w:p>
        </w:tc>
      </w:tr>
      <w:tr w:rsidR="00072A69" w:rsidRPr="00DC6DF9" w14:paraId="536A20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CA2A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352</w:t>
            </w:r>
          </w:p>
        </w:tc>
        <w:tc>
          <w:tcPr>
            <w:tcW w:w="1036" w:type="dxa"/>
            <w:tcBorders>
              <w:top w:val="nil"/>
              <w:left w:val="nil"/>
              <w:bottom w:val="single" w:sz="4" w:space="0" w:color="auto"/>
              <w:right w:val="single" w:sz="4" w:space="0" w:color="auto"/>
            </w:tcBorders>
            <w:shd w:val="clear" w:color="auto" w:fill="auto"/>
            <w:noWrap/>
            <w:vAlign w:val="center"/>
            <w:hideMark/>
          </w:tcPr>
          <w:p w14:paraId="22D5D0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7233817000</w:t>
            </w:r>
          </w:p>
        </w:tc>
        <w:tc>
          <w:tcPr>
            <w:tcW w:w="1036" w:type="dxa"/>
            <w:tcBorders>
              <w:top w:val="nil"/>
              <w:left w:val="nil"/>
              <w:bottom w:val="single" w:sz="4" w:space="0" w:color="auto"/>
              <w:right w:val="single" w:sz="4" w:space="0" w:color="auto"/>
            </w:tcBorders>
            <w:shd w:val="clear" w:color="auto" w:fill="auto"/>
            <w:noWrap/>
            <w:vAlign w:val="center"/>
            <w:hideMark/>
          </w:tcPr>
          <w:p w14:paraId="7FABA7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65332547</w:t>
            </w:r>
          </w:p>
        </w:tc>
        <w:tc>
          <w:tcPr>
            <w:tcW w:w="160" w:type="dxa"/>
            <w:tcBorders>
              <w:top w:val="nil"/>
              <w:left w:val="nil"/>
              <w:bottom w:val="single" w:sz="4" w:space="0" w:color="auto"/>
              <w:right w:val="nil"/>
            </w:tcBorders>
            <w:vAlign w:val="center"/>
          </w:tcPr>
          <w:p w14:paraId="773533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0D7C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INNORENEW COE</w:t>
            </w:r>
          </w:p>
        </w:tc>
      </w:tr>
      <w:tr w:rsidR="00072A69" w:rsidRPr="00DC6DF9" w14:paraId="34618E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6272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w:t>
            </w:r>
          </w:p>
        </w:tc>
        <w:tc>
          <w:tcPr>
            <w:tcW w:w="1036" w:type="dxa"/>
            <w:tcBorders>
              <w:top w:val="nil"/>
              <w:left w:val="nil"/>
              <w:bottom w:val="single" w:sz="4" w:space="0" w:color="auto"/>
              <w:right w:val="single" w:sz="4" w:space="0" w:color="auto"/>
            </w:tcBorders>
            <w:shd w:val="clear" w:color="auto" w:fill="auto"/>
            <w:noWrap/>
            <w:vAlign w:val="center"/>
            <w:hideMark/>
          </w:tcPr>
          <w:p w14:paraId="40C45D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5258880000</w:t>
            </w:r>
          </w:p>
        </w:tc>
        <w:tc>
          <w:tcPr>
            <w:tcW w:w="1036" w:type="dxa"/>
            <w:tcBorders>
              <w:top w:val="nil"/>
              <w:left w:val="nil"/>
              <w:bottom w:val="single" w:sz="4" w:space="0" w:color="auto"/>
              <w:right w:val="single" w:sz="4" w:space="0" w:color="auto"/>
            </w:tcBorders>
            <w:shd w:val="clear" w:color="auto" w:fill="auto"/>
            <w:noWrap/>
            <w:vAlign w:val="center"/>
            <w:hideMark/>
          </w:tcPr>
          <w:p w14:paraId="4834A6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98148486</w:t>
            </w:r>
          </w:p>
        </w:tc>
        <w:tc>
          <w:tcPr>
            <w:tcW w:w="160" w:type="dxa"/>
            <w:tcBorders>
              <w:top w:val="nil"/>
              <w:left w:val="nil"/>
              <w:bottom w:val="single" w:sz="4" w:space="0" w:color="auto"/>
              <w:right w:val="nil"/>
            </w:tcBorders>
            <w:vAlign w:val="center"/>
          </w:tcPr>
          <w:p w14:paraId="26DDD6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7451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INSTITUT INFORMACIJSKIH ZNANOSTI</w:t>
            </w:r>
          </w:p>
        </w:tc>
      </w:tr>
      <w:tr w:rsidR="00072A69" w:rsidRPr="00DC6DF9" w14:paraId="1EDE82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9E4C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354</w:t>
            </w:r>
          </w:p>
        </w:tc>
        <w:tc>
          <w:tcPr>
            <w:tcW w:w="1036" w:type="dxa"/>
            <w:tcBorders>
              <w:top w:val="nil"/>
              <w:left w:val="nil"/>
              <w:bottom w:val="single" w:sz="4" w:space="0" w:color="auto"/>
              <w:right w:val="single" w:sz="4" w:space="0" w:color="auto"/>
            </w:tcBorders>
            <w:shd w:val="clear" w:color="auto" w:fill="auto"/>
            <w:noWrap/>
            <w:vAlign w:val="center"/>
            <w:hideMark/>
          </w:tcPr>
          <w:p w14:paraId="5CE08A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5051606000</w:t>
            </w:r>
          </w:p>
        </w:tc>
        <w:tc>
          <w:tcPr>
            <w:tcW w:w="1036" w:type="dxa"/>
            <w:tcBorders>
              <w:top w:val="nil"/>
              <w:left w:val="nil"/>
              <w:bottom w:val="single" w:sz="4" w:space="0" w:color="auto"/>
              <w:right w:val="single" w:sz="4" w:space="0" w:color="auto"/>
            </w:tcBorders>
            <w:shd w:val="clear" w:color="auto" w:fill="auto"/>
            <w:noWrap/>
            <w:vAlign w:val="center"/>
            <w:hideMark/>
          </w:tcPr>
          <w:p w14:paraId="2D1DA5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55560822</w:t>
            </w:r>
          </w:p>
        </w:tc>
        <w:tc>
          <w:tcPr>
            <w:tcW w:w="160" w:type="dxa"/>
            <w:tcBorders>
              <w:top w:val="nil"/>
              <w:left w:val="nil"/>
              <w:bottom w:val="single" w:sz="4" w:space="0" w:color="auto"/>
              <w:right w:val="nil"/>
            </w:tcBorders>
            <w:vAlign w:val="center"/>
          </w:tcPr>
          <w:p w14:paraId="655BC08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F707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INSTITUT JOŽEF STEFAN</w:t>
            </w:r>
          </w:p>
        </w:tc>
      </w:tr>
      <w:tr w:rsidR="00072A69" w:rsidRPr="00DC6DF9" w14:paraId="422D6C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52E7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355</w:t>
            </w:r>
          </w:p>
        </w:tc>
        <w:tc>
          <w:tcPr>
            <w:tcW w:w="1036" w:type="dxa"/>
            <w:tcBorders>
              <w:top w:val="nil"/>
              <w:left w:val="nil"/>
              <w:bottom w:val="single" w:sz="4" w:space="0" w:color="auto"/>
              <w:right w:val="single" w:sz="4" w:space="0" w:color="auto"/>
            </w:tcBorders>
            <w:shd w:val="clear" w:color="auto" w:fill="auto"/>
            <w:noWrap/>
            <w:vAlign w:val="center"/>
            <w:hideMark/>
          </w:tcPr>
          <w:p w14:paraId="5C7E01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2399288000</w:t>
            </w:r>
          </w:p>
        </w:tc>
        <w:tc>
          <w:tcPr>
            <w:tcW w:w="1036" w:type="dxa"/>
            <w:tcBorders>
              <w:top w:val="nil"/>
              <w:left w:val="nil"/>
              <w:bottom w:val="single" w:sz="4" w:space="0" w:color="auto"/>
              <w:right w:val="single" w:sz="4" w:space="0" w:color="auto"/>
            </w:tcBorders>
            <w:shd w:val="clear" w:color="auto" w:fill="auto"/>
            <w:noWrap/>
            <w:vAlign w:val="center"/>
            <w:hideMark/>
          </w:tcPr>
          <w:p w14:paraId="68FE0D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75141051</w:t>
            </w:r>
          </w:p>
        </w:tc>
        <w:tc>
          <w:tcPr>
            <w:tcW w:w="160" w:type="dxa"/>
            <w:tcBorders>
              <w:top w:val="nil"/>
              <w:left w:val="nil"/>
              <w:bottom w:val="single" w:sz="4" w:space="0" w:color="auto"/>
              <w:right w:val="nil"/>
            </w:tcBorders>
            <w:vAlign w:val="center"/>
          </w:tcPr>
          <w:p w14:paraId="7546AE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A7A9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INŠPEKTORAT REPUBLIKE SLOVENIJE ZA INFRASTRUKTURO</w:t>
            </w:r>
          </w:p>
        </w:tc>
      </w:tr>
      <w:tr w:rsidR="00072A69" w:rsidRPr="00DC6DF9" w14:paraId="6D3250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AE91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356</w:t>
            </w:r>
          </w:p>
        </w:tc>
        <w:tc>
          <w:tcPr>
            <w:tcW w:w="1036" w:type="dxa"/>
            <w:tcBorders>
              <w:top w:val="nil"/>
              <w:left w:val="nil"/>
              <w:bottom w:val="single" w:sz="4" w:space="0" w:color="auto"/>
              <w:right w:val="single" w:sz="4" w:space="0" w:color="auto"/>
            </w:tcBorders>
            <w:shd w:val="clear" w:color="auto" w:fill="auto"/>
            <w:noWrap/>
            <w:vAlign w:val="center"/>
            <w:hideMark/>
          </w:tcPr>
          <w:p w14:paraId="3B154E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2399261000</w:t>
            </w:r>
          </w:p>
        </w:tc>
        <w:tc>
          <w:tcPr>
            <w:tcW w:w="1036" w:type="dxa"/>
            <w:tcBorders>
              <w:top w:val="nil"/>
              <w:left w:val="nil"/>
              <w:bottom w:val="single" w:sz="4" w:space="0" w:color="auto"/>
              <w:right w:val="single" w:sz="4" w:space="0" w:color="auto"/>
            </w:tcBorders>
            <w:shd w:val="clear" w:color="auto" w:fill="auto"/>
            <w:noWrap/>
            <w:vAlign w:val="center"/>
            <w:hideMark/>
          </w:tcPr>
          <w:p w14:paraId="3B7B6C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17924430</w:t>
            </w:r>
          </w:p>
        </w:tc>
        <w:tc>
          <w:tcPr>
            <w:tcW w:w="160" w:type="dxa"/>
            <w:tcBorders>
              <w:top w:val="nil"/>
              <w:left w:val="nil"/>
              <w:bottom w:val="single" w:sz="4" w:space="0" w:color="auto"/>
              <w:right w:val="nil"/>
            </w:tcBorders>
            <w:vAlign w:val="center"/>
          </w:tcPr>
          <w:p w14:paraId="08ED07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34D0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INŠPEKTORAT REPUBLIKE SLOVENIJE ZA KMETIJSTVO, GOZDARSTVO, LOVSTVO IN RIBIŠTVO</w:t>
            </w:r>
          </w:p>
        </w:tc>
      </w:tr>
      <w:tr w:rsidR="00072A69" w:rsidRPr="00DC6DF9" w14:paraId="0D2792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38A2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357</w:t>
            </w:r>
          </w:p>
        </w:tc>
        <w:tc>
          <w:tcPr>
            <w:tcW w:w="1036" w:type="dxa"/>
            <w:tcBorders>
              <w:top w:val="nil"/>
              <w:left w:val="nil"/>
              <w:bottom w:val="single" w:sz="4" w:space="0" w:color="auto"/>
              <w:right w:val="single" w:sz="4" w:space="0" w:color="auto"/>
            </w:tcBorders>
            <w:shd w:val="clear" w:color="auto" w:fill="auto"/>
            <w:noWrap/>
            <w:vAlign w:val="center"/>
            <w:hideMark/>
          </w:tcPr>
          <w:p w14:paraId="1DB968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2399377000</w:t>
            </w:r>
          </w:p>
        </w:tc>
        <w:tc>
          <w:tcPr>
            <w:tcW w:w="1036" w:type="dxa"/>
            <w:tcBorders>
              <w:top w:val="nil"/>
              <w:left w:val="nil"/>
              <w:bottom w:val="single" w:sz="4" w:space="0" w:color="auto"/>
              <w:right w:val="single" w:sz="4" w:space="0" w:color="auto"/>
            </w:tcBorders>
            <w:shd w:val="clear" w:color="auto" w:fill="auto"/>
            <w:noWrap/>
            <w:vAlign w:val="center"/>
            <w:hideMark/>
          </w:tcPr>
          <w:p w14:paraId="6CF968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41159101</w:t>
            </w:r>
          </w:p>
        </w:tc>
        <w:tc>
          <w:tcPr>
            <w:tcW w:w="160" w:type="dxa"/>
            <w:tcBorders>
              <w:top w:val="nil"/>
              <w:left w:val="nil"/>
              <w:bottom w:val="single" w:sz="4" w:space="0" w:color="auto"/>
              <w:right w:val="nil"/>
            </w:tcBorders>
            <w:vAlign w:val="center"/>
          </w:tcPr>
          <w:p w14:paraId="371EDB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CCCE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INŠPEKTORAT REPUBLIKE SLOVENIJE ZA KULTURO IN MEDIJE</w:t>
            </w:r>
          </w:p>
        </w:tc>
      </w:tr>
      <w:tr w:rsidR="00072A69" w:rsidRPr="00DC6DF9" w14:paraId="772DC9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3B73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358</w:t>
            </w:r>
          </w:p>
        </w:tc>
        <w:tc>
          <w:tcPr>
            <w:tcW w:w="1036" w:type="dxa"/>
            <w:tcBorders>
              <w:top w:val="nil"/>
              <w:left w:val="nil"/>
              <w:bottom w:val="single" w:sz="4" w:space="0" w:color="auto"/>
              <w:right w:val="single" w:sz="4" w:space="0" w:color="auto"/>
            </w:tcBorders>
            <w:shd w:val="clear" w:color="auto" w:fill="auto"/>
            <w:noWrap/>
            <w:vAlign w:val="center"/>
            <w:hideMark/>
          </w:tcPr>
          <w:p w14:paraId="7DC5D9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1902407000</w:t>
            </w:r>
          </w:p>
        </w:tc>
        <w:tc>
          <w:tcPr>
            <w:tcW w:w="1036" w:type="dxa"/>
            <w:tcBorders>
              <w:top w:val="nil"/>
              <w:left w:val="nil"/>
              <w:bottom w:val="single" w:sz="4" w:space="0" w:color="auto"/>
              <w:right w:val="single" w:sz="4" w:space="0" w:color="auto"/>
            </w:tcBorders>
            <w:shd w:val="clear" w:color="auto" w:fill="auto"/>
            <w:noWrap/>
            <w:vAlign w:val="center"/>
            <w:hideMark/>
          </w:tcPr>
          <w:p w14:paraId="2A483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37990608</w:t>
            </w:r>
          </w:p>
        </w:tc>
        <w:tc>
          <w:tcPr>
            <w:tcW w:w="160" w:type="dxa"/>
            <w:tcBorders>
              <w:top w:val="nil"/>
              <w:left w:val="nil"/>
              <w:bottom w:val="single" w:sz="4" w:space="0" w:color="auto"/>
              <w:right w:val="nil"/>
            </w:tcBorders>
            <w:vAlign w:val="center"/>
          </w:tcPr>
          <w:p w14:paraId="30602D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BFA5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INŠPEKTORAT REPUBLIKE SLOVENIJE ZA NOTRANJE ZADEVE</w:t>
            </w:r>
          </w:p>
        </w:tc>
      </w:tr>
      <w:tr w:rsidR="00072A69" w:rsidRPr="00DC6DF9" w14:paraId="0AB4DD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9686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359</w:t>
            </w:r>
          </w:p>
        </w:tc>
        <w:tc>
          <w:tcPr>
            <w:tcW w:w="1036" w:type="dxa"/>
            <w:tcBorders>
              <w:top w:val="nil"/>
              <w:left w:val="nil"/>
              <w:bottom w:val="single" w:sz="4" w:space="0" w:color="auto"/>
              <w:right w:val="single" w:sz="4" w:space="0" w:color="auto"/>
            </w:tcBorders>
            <w:shd w:val="clear" w:color="auto" w:fill="auto"/>
            <w:noWrap/>
            <w:vAlign w:val="center"/>
            <w:hideMark/>
          </w:tcPr>
          <w:p w14:paraId="53BEB6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2482894000</w:t>
            </w:r>
          </w:p>
        </w:tc>
        <w:tc>
          <w:tcPr>
            <w:tcW w:w="1036" w:type="dxa"/>
            <w:tcBorders>
              <w:top w:val="nil"/>
              <w:left w:val="nil"/>
              <w:bottom w:val="single" w:sz="4" w:space="0" w:color="auto"/>
              <w:right w:val="single" w:sz="4" w:space="0" w:color="auto"/>
            </w:tcBorders>
            <w:shd w:val="clear" w:color="auto" w:fill="auto"/>
            <w:noWrap/>
            <w:vAlign w:val="center"/>
            <w:hideMark/>
          </w:tcPr>
          <w:p w14:paraId="566842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46975268</w:t>
            </w:r>
          </w:p>
        </w:tc>
        <w:tc>
          <w:tcPr>
            <w:tcW w:w="160" w:type="dxa"/>
            <w:tcBorders>
              <w:top w:val="nil"/>
              <w:left w:val="nil"/>
              <w:bottom w:val="single" w:sz="4" w:space="0" w:color="auto"/>
              <w:right w:val="nil"/>
            </w:tcBorders>
            <w:vAlign w:val="center"/>
          </w:tcPr>
          <w:p w14:paraId="78DBFF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E0BC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INŠPEKTORAT REPUBLIKE SLOVENIJE ZA OKOLJE IN PROSTOR</w:t>
            </w:r>
          </w:p>
        </w:tc>
      </w:tr>
      <w:tr w:rsidR="00072A69" w:rsidRPr="00DC6DF9" w14:paraId="00566D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A423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w:t>
            </w:r>
          </w:p>
        </w:tc>
        <w:tc>
          <w:tcPr>
            <w:tcW w:w="1036" w:type="dxa"/>
            <w:tcBorders>
              <w:top w:val="nil"/>
              <w:left w:val="nil"/>
              <w:bottom w:val="single" w:sz="4" w:space="0" w:color="auto"/>
              <w:right w:val="single" w:sz="4" w:space="0" w:color="auto"/>
            </w:tcBorders>
            <w:shd w:val="clear" w:color="auto" w:fill="auto"/>
            <w:noWrap/>
            <w:vAlign w:val="center"/>
            <w:hideMark/>
          </w:tcPr>
          <w:p w14:paraId="4EF743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5875102000</w:t>
            </w:r>
          </w:p>
        </w:tc>
        <w:tc>
          <w:tcPr>
            <w:tcW w:w="1036" w:type="dxa"/>
            <w:tcBorders>
              <w:top w:val="nil"/>
              <w:left w:val="nil"/>
              <w:bottom w:val="single" w:sz="4" w:space="0" w:color="auto"/>
              <w:right w:val="single" w:sz="4" w:space="0" w:color="auto"/>
            </w:tcBorders>
            <w:shd w:val="clear" w:color="auto" w:fill="auto"/>
            <w:noWrap/>
            <w:vAlign w:val="center"/>
            <w:hideMark/>
          </w:tcPr>
          <w:p w14:paraId="7EE4B2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25672061</w:t>
            </w:r>
          </w:p>
        </w:tc>
        <w:tc>
          <w:tcPr>
            <w:tcW w:w="160" w:type="dxa"/>
            <w:tcBorders>
              <w:top w:val="nil"/>
              <w:left w:val="nil"/>
              <w:bottom w:val="single" w:sz="4" w:space="0" w:color="auto"/>
              <w:right w:val="nil"/>
            </w:tcBorders>
            <w:vAlign w:val="center"/>
          </w:tcPr>
          <w:p w14:paraId="26AB68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C609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INŠPEKTORAT REPUBLIKE SLOVENIJE ZA ŠOLSTVO IN ŠPORT</w:t>
            </w:r>
          </w:p>
        </w:tc>
      </w:tr>
      <w:tr w:rsidR="00072A69" w:rsidRPr="00DC6DF9" w14:paraId="766C69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A81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361</w:t>
            </w:r>
          </w:p>
        </w:tc>
        <w:tc>
          <w:tcPr>
            <w:tcW w:w="1036" w:type="dxa"/>
            <w:tcBorders>
              <w:top w:val="nil"/>
              <w:left w:val="nil"/>
              <w:bottom w:val="single" w:sz="4" w:space="0" w:color="auto"/>
              <w:right w:val="single" w:sz="4" w:space="0" w:color="auto"/>
            </w:tcBorders>
            <w:shd w:val="clear" w:color="auto" w:fill="auto"/>
            <w:noWrap/>
            <w:vAlign w:val="center"/>
            <w:hideMark/>
          </w:tcPr>
          <w:p w14:paraId="613387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5966604000</w:t>
            </w:r>
          </w:p>
        </w:tc>
        <w:tc>
          <w:tcPr>
            <w:tcW w:w="1036" w:type="dxa"/>
            <w:tcBorders>
              <w:top w:val="nil"/>
              <w:left w:val="nil"/>
              <w:bottom w:val="single" w:sz="4" w:space="0" w:color="auto"/>
              <w:right w:val="single" w:sz="4" w:space="0" w:color="auto"/>
            </w:tcBorders>
            <w:shd w:val="clear" w:color="auto" w:fill="auto"/>
            <w:noWrap/>
            <w:vAlign w:val="center"/>
            <w:hideMark/>
          </w:tcPr>
          <w:p w14:paraId="10D749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13936409</w:t>
            </w:r>
          </w:p>
        </w:tc>
        <w:tc>
          <w:tcPr>
            <w:tcW w:w="160" w:type="dxa"/>
            <w:tcBorders>
              <w:top w:val="nil"/>
              <w:left w:val="nil"/>
              <w:bottom w:val="single" w:sz="4" w:space="0" w:color="auto"/>
              <w:right w:val="nil"/>
            </w:tcBorders>
            <w:vAlign w:val="center"/>
          </w:tcPr>
          <w:p w14:paraId="2E35A8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9822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REPUBLIKE SLOVENIJE ZA SOCIALNO VARSTVO</w:t>
            </w:r>
          </w:p>
        </w:tc>
      </w:tr>
      <w:tr w:rsidR="00072A69" w:rsidRPr="00DC6DF9" w14:paraId="128176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1A90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362</w:t>
            </w:r>
          </w:p>
        </w:tc>
        <w:tc>
          <w:tcPr>
            <w:tcW w:w="1036" w:type="dxa"/>
            <w:tcBorders>
              <w:top w:val="nil"/>
              <w:left w:val="nil"/>
              <w:bottom w:val="single" w:sz="4" w:space="0" w:color="auto"/>
              <w:right w:val="single" w:sz="4" w:space="0" w:color="auto"/>
            </w:tcBorders>
            <w:shd w:val="clear" w:color="auto" w:fill="auto"/>
            <w:noWrap/>
            <w:vAlign w:val="center"/>
            <w:hideMark/>
          </w:tcPr>
          <w:p w14:paraId="6E1BF5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1279084000</w:t>
            </w:r>
          </w:p>
        </w:tc>
        <w:tc>
          <w:tcPr>
            <w:tcW w:w="1036" w:type="dxa"/>
            <w:tcBorders>
              <w:top w:val="nil"/>
              <w:left w:val="nil"/>
              <w:bottom w:val="single" w:sz="4" w:space="0" w:color="auto"/>
              <w:right w:val="single" w:sz="4" w:space="0" w:color="auto"/>
            </w:tcBorders>
            <w:shd w:val="clear" w:color="auto" w:fill="auto"/>
            <w:noWrap/>
            <w:vAlign w:val="center"/>
            <w:hideMark/>
          </w:tcPr>
          <w:p w14:paraId="41B4BF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15237591</w:t>
            </w:r>
          </w:p>
        </w:tc>
        <w:tc>
          <w:tcPr>
            <w:tcW w:w="160" w:type="dxa"/>
            <w:tcBorders>
              <w:top w:val="nil"/>
              <w:left w:val="nil"/>
              <w:bottom w:val="single" w:sz="4" w:space="0" w:color="auto"/>
              <w:right w:val="nil"/>
            </w:tcBorders>
            <w:vAlign w:val="center"/>
          </w:tcPr>
          <w:p w14:paraId="4E2D5B9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201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INŠTITUT UNIVERZE V LJUBLJANI FAKULTETE ZA GRADBENIŠTVO IN GEODEZIJO, D. O. O. </w:t>
            </w:r>
          </w:p>
        </w:tc>
      </w:tr>
      <w:tr w:rsidR="00072A69" w:rsidRPr="00DC6DF9" w14:paraId="512235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AD71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w:t>
            </w:r>
          </w:p>
        </w:tc>
        <w:tc>
          <w:tcPr>
            <w:tcW w:w="1036" w:type="dxa"/>
            <w:tcBorders>
              <w:top w:val="nil"/>
              <w:left w:val="nil"/>
              <w:bottom w:val="single" w:sz="4" w:space="0" w:color="auto"/>
              <w:right w:val="single" w:sz="4" w:space="0" w:color="auto"/>
            </w:tcBorders>
            <w:shd w:val="clear" w:color="auto" w:fill="auto"/>
            <w:noWrap/>
            <w:vAlign w:val="center"/>
            <w:hideMark/>
          </w:tcPr>
          <w:p w14:paraId="17E59F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5051681000</w:t>
            </w:r>
          </w:p>
        </w:tc>
        <w:tc>
          <w:tcPr>
            <w:tcW w:w="1036" w:type="dxa"/>
            <w:tcBorders>
              <w:top w:val="nil"/>
              <w:left w:val="nil"/>
              <w:bottom w:val="single" w:sz="4" w:space="0" w:color="auto"/>
              <w:right w:val="single" w:sz="4" w:space="0" w:color="auto"/>
            </w:tcBorders>
            <w:shd w:val="clear" w:color="auto" w:fill="auto"/>
            <w:noWrap/>
            <w:vAlign w:val="center"/>
            <w:hideMark/>
          </w:tcPr>
          <w:p w14:paraId="5F1EBB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28572955</w:t>
            </w:r>
          </w:p>
        </w:tc>
        <w:tc>
          <w:tcPr>
            <w:tcW w:w="160" w:type="dxa"/>
            <w:tcBorders>
              <w:top w:val="nil"/>
              <w:left w:val="nil"/>
              <w:bottom w:val="single" w:sz="4" w:space="0" w:color="auto"/>
              <w:right w:val="nil"/>
            </w:tcBorders>
            <w:vAlign w:val="center"/>
          </w:tcPr>
          <w:p w14:paraId="3911B0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AC75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CELULOZO IN PAPIR</w:t>
            </w:r>
          </w:p>
        </w:tc>
      </w:tr>
      <w:tr w:rsidR="00072A69" w:rsidRPr="00DC6DF9" w14:paraId="1DB097C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6025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364</w:t>
            </w:r>
          </w:p>
        </w:tc>
        <w:tc>
          <w:tcPr>
            <w:tcW w:w="1036" w:type="dxa"/>
            <w:tcBorders>
              <w:top w:val="nil"/>
              <w:left w:val="nil"/>
              <w:bottom w:val="single" w:sz="4" w:space="0" w:color="auto"/>
              <w:right w:val="single" w:sz="4" w:space="0" w:color="auto"/>
            </w:tcBorders>
            <w:shd w:val="clear" w:color="auto" w:fill="auto"/>
            <w:noWrap/>
            <w:vAlign w:val="center"/>
            <w:hideMark/>
          </w:tcPr>
          <w:p w14:paraId="0B829A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5051690000</w:t>
            </w:r>
          </w:p>
        </w:tc>
        <w:tc>
          <w:tcPr>
            <w:tcW w:w="1036" w:type="dxa"/>
            <w:tcBorders>
              <w:top w:val="nil"/>
              <w:left w:val="nil"/>
              <w:bottom w:val="single" w:sz="4" w:space="0" w:color="auto"/>
              <w:right w:val="single" w:sz="4" w:space="0" w:color="auto"/>
            </w:tcBorders>
            <w:shd w:val="clear" w:color="auto" w:fill="auto"/>
            <w:noWrap/>
            <w:vAlign w:val="center"/>
            <w:hideMark/>
          </w:tcPr>
          <w:p w14:paraId="2C7EBE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81438818</w:t>
            </w:r>
          </w:p>
        </w:tc>
        <w:tc>
          <w:tcPr>
            <w:tcW w:w="160" w:type="dxa"/>
            <w:tcBorders>
              <w:top w:val="nil"/>
              <w:left w:val="nil"/>
              <w:bottom w:val="single" w:sz="4" w:space="0" w:color="auto"/>
              <w:right w:val="nil"/>
            </w:tcBorders>
            <w:vAlign w:val="center"/>
          </w:tcPr>
          <w:p w14:paraId="15717C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B682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EKONOMSKA RAZISKOVANJA, LJUBLJANA</w:t>
            </w:r>
          </w:p>
        </w:tc>
      </w:tr>
      <w:tr w:rsidR="00072A69" w:rsidRPr="00DC6DF9" w14:paraId="510555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BBEA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365</w:t>
            </w:r>
          </w:p>
        </w:tc>
        <w:tc>
          <w:tcPr>
            <w:tcW w:w="1036" w:type="dxa"/>
            <w:tcBorders>
              <w:top w:val="nil"/>
              <w:left w:val="nil"/>
              <w:bottom w:val="single" w:sz="4" w:space="0" w:color="auto"/>
              <w:right w:val="single" w:sz="4" w:space="0" w:color="auto"/>
            </w:tcBorders>
            <w:shd w:val="clear" w:color="auto" w:fill="auto"/>
            <w:noWrap/>
            <w:vAlign w:val="center"/>
            <w:hideMark/>
          </w:tcPr>
          <w:p w14:paraId="361F89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5885434000</w:t>
            </w:r>
          </w:p>
        </w:tc>
        <w:tc>
          <w:tcPr>
            <w:tcW w:w="1036" w:type="dxa"/>
            <w:tcBorders>
              <w:top w:val="nil"/>
              <w:left w:val="nil"/>
              <w:bottom w:val="single" w:sz="4" w:space="0" w:color="auto"/>
              <w:right w:val="single" w:sz="4" w:space="0" w:color="auto"/>
            </w:tcBorders>
            <w:shd w:val="clear" w:color="auto" w:fill="auto"/>
            <w:noWrap/>
            <w:vAlign w:val="center"/>
            <w:hideMark/>
          </w:tcPr>
          <w:p w14:paraId="72EC3B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93860668</w:t>
            </w:r>
          </w:p>
        </w:tc>
        <w:tc>
          <w:tcPr>
            <w:tcW w:w="160" w:type="dxa"/>
            <w:tcBorders>
              <w:top w:val="nil"/>
              <w:left w:val="nil"/>
              <w:bottom w:val="single" w:sz="4" w:space="0" w:color="auto"/>
              <w:right w:val="nil"/>
            </w:tcBorders>
            <w:vAlign w:val="center"/>
          </w:tcPr>
          <w:p w14:paraId="6BB6DC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27DA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HIDRAVLIČNE RAZISKAVE, LJUBLJANA</w:t>
            </w:r>
          </w:p>
        </w:tc>
      </w:tr>
      <w:tr w:rsidR="00072A69" w:rsidRPr="00DC6DF9" w14:paraId="25A98D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A3DB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w:t>
            </w:r>
          </w:p>
        </w:tc>
        <w:tc>
          <w:tcPr>
            <w:tcW w:w="1036" w:type="dxa"/>
            <w:tcBorders>
              <w:top w:val="nil"/>
              <w:left w:val="nil"/>
              <w:bottom w:val="single" w:sz="4" w:space="0" w:color="auto"/>
              <w:right w:val="single" w:sz="4" w:space="0" w:color="auto"/>
            </w:tcBorders>
            <w:shd w:val="clear" w:color="auto" w:fill="auto"/>
            <w:noWrap/>
            <w:vAlign w:val="center"/>
            <w:hideMark/>
          </w:tcPr>
          <w:p w14:paraId="2D167B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5051762000</w:t>
            </w:r>
          </w:p>
        </w:tc>
        <w:tc>
          <w:tcPr>
            <w:tcW w:w="1036" w:type="dxa"/>
            <w:tcBorders>
              <w:top w:val="nil"/>
              <w:left w:val="nil"/>
              <w:bottom w:val="single" w:sz="4" w:space="0" w:color="auto"/>
              <w:right w:val="single" w:sz="4" w:space="0" w:color="auto"/>
            </w:tcBorders>
            <w:shd w:val="clear" w:color="auto" w:fill="auto"/>
            <w:noWrap/>
            <w:vAlign w:val="center"/>
            <w:hideMark/>
          </w:tcPr>
          <w:p w14:paraId="528DB7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93987161</w:t>
            </w:r>
          </w:p>
        </w:tc>
        <w:tc>
          <w:tcPr>
            <w:tcW w:w="160" w:type="dxa"/>
            <w:tcBorders>
              <w:top w:val="nil"/>
              <w:left w:val="nil"/>
              <w:bottom w:val="single" w:sz="4" w:space="0" w:color="auto"/>
              <w:right w:val="nil"/>
            </w:tcBorders>
            <w:vAlign w:val="center"/>
          </w:tcPr>
          <w:p w14:paraId="21CBFBD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89C7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HMELJARSTVO IN PIVOVARSTVO SLOVENIJE</w:t>
            </w:r>
          </w:p>
        </w:tc>
      </w:tr>
      <w:tr w:rsidR="00072A69" w:rsidRPr="00DC6DF9" w14:paraId="7E3448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B807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367</w:t>
            </w:r>
          </w:p>
        </w:tc>
        <w:tc>
          <w:tcPr>
            <w:tcW w:w="1036" w:type="dxa"/>
            <w:tcBorders>
              <w:top w:val="nil"/>
              <w:left w:val="nil"/>
              <w:bottom w:val="single" w:sz="4" w:space="0" w:color="auto"/>
              <w:right w:val="single" w:sz="4" w:space="0" w:color="auto"/>
            </w:tcBorders>
            <w:shd w:val="clear" w:color="auto" w:fill="auto"/>
            <w:noWrap/>
            <w:vAlign w:val="center"/>
            <w:hideMark/>
          </w:tcPr>
          <w:p w14:paraId="52F3AB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5051622000</w:t>
            </w:r>
          </w:p>
        </w:tc>
        <w:tc>
          <w:tcPr>
            <w:tcW w:w="1036" w:type="dxa"/>
            <w:tcBorders>
              <w:top w:val="nil"/>
              <w:left w:val="nil"/>
              <w:bottom w:val="single" w:sz="4" w:space="0" w:color="auto"/>
              <w:right w:val="single" w:sz="4" w:space="0" w:color="auto"/>
            </w:tcBorders>
            <w:shd w:val="clear" w:color="auto" w:fill="auto"/>
            <w:noWrap/>
            <w:vAlign w:val="center"/>
            <w:hideMark/>
          </w:tcPr>
          <w:p w14:paraId="690670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19230052</w:t>
            </w:r>
          </w:p>
        </w:tc>
        <w:tc>
          <w:tcPr>
            <w:tcW w:w="160" w:type="dxa"/>
            <w:tcBorders>
              <w:top w:val="nil"/>
              <w:left w:val="nil"/>
              <w:bottom w:val="single" w:sz="4" w:space="0" w:color="auto"/>
              <w:right w:val="nil"/>
            </w:tcBorders>
            <w:vAlign w:val="center"/>
          </w:tcPr>
          <w:p w14:paraId="370BC2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2BBE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KOVINSKE MATERIALE IN TEHNOLOGIJE</w:t>
            </w:r>
          </w:p>
        </w:tc>
      </w:tr>
      <w:tr w:rsidR="00072A69" w:rsidRPr="00DC6DF9" w14:paraId="53C1A34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D753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368</w:t>
            </w:r>
          </w:p>
        </w:tc>
        <w:tc>
          <w:tcPr>
            <w:tcW w:w="1036" w:type="dxa"/>
            <w:tcBorders>
              <w:top w:val="nil"/>
              <w:left w:val="nil"/>
              <w:bottom w:val="single" w:sz="4" w:space="0" w:color="auto"/>
              <w:right w:val="single" w:sz="4" w:space="0" w:color="auto"/>
            </w:tcBorders>
            <w:shd w:val="clear" w:color="auto" w:fill="auto"/>
            <w:noWrap/>
            <w:vAlign w:val="center"/>
            <w:hideMark/>
          </w:tcPr>
          <w:p w14:paraId="7DBA85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5051517000</w:t>
            </w:r>
          </w:p>
        </w:tc>
        <w:tc>
          <w:tcPr>
            <w:tcW w:w="1036" w:type="dxa"/>
            <w:tcBorders>
              <w:top w:val="nil"/>
              <w:left w:val="nil"/>
              <w:bottom w:val="single" w:sz="4" w:space="0" w:color="auto"/>
              <w:right w:val="single" w:sz="4" w:space="0" w:color="auto"/>
            </w:tcBorders>
            <w:shd w:val="clear" w:color="auto" w:fill="auto"/>
            <w:noWrap/>
            <w:vAlign w:val="center"/>
            <w:hideMark/>
          </w:tcPr>
          <w:p w14:paraId="7797F6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48643769</w:t>
            </w:r>
          </w:p>
        </w:tc>
        <w:tc>
          <w:tcPr>
            <w:tcW w:w="160" w:type="dxa"/>
            <w:tcBorders>
              <w:top w:val="nil"/>
              <w:left w:val="nil"/>
              <w:bottom w:val="single" w:sz="4" w:space="0" w:color="auto"/>
              <w:right w:val="nil"/>
            </w:tcBorders>
            <w:vAlign w:val="center"/>
          </w:tcPr>
          <w:p w14:paraId="1BC9CA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6B2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NARODNOSTNA VPRAŠANJA</w:t>
            </w:r>
          </w:p>
        </w:tc>
      </w:tr>
      <w:tr w:rsidR="00072A69" w:rsidRPr="00DC6DF9" w14:paraId="6FA7D0D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A194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369</w:t>
            </w:r>
          </w:p>
        </w:tc>
        <w:tc>
          <w:tcPr>
            <w:tcW w:w="1036" w:type="dxa"/>
            <w:tcBorders>
              <w:top w:val="nil"/>
              <w:left w:val="nil"/>
              <w:bottom w:val="single" w:sz="4" w:space="0" w:color="auto"/>
              <w:right w:val="single" w:sz="4" w:space="0" w:color="auto"/>
            </w:tcBorders>
            <w:shd w:val="clear" w:color="auto" w:fill="auto"/>
            <w:noWrap/>
            <w:vAlign w:val="center"/>
            <w:hideMark/>
          </w:tcPr>
          <w:p w14:paraId="3FD2F3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5057116000</w:t>
            </w:r>
          </w:p>
        </w:tc>
        <w:tc>
          <w:tcPr>
            <w:tcW w:w="1036" w:type="dxa"/>
            <w:tcBorders>
              <w:top w:val="nil"/>
              <w:left w:val="nil"/>
              <w:bottom w:val="single" w:sz="4" w:space="0" w:color="auto"/>
              <w:right w:val="single" w:sz="4" w:space="0" w:color="auto"/>
            </w:tcBorders>
            <w:shd w:val="clear" w:color="auto" w:fill="auto"/>
            <w:noWrap/>
            <w:vAlign w:val="center"/>
            <w:hideMark/>
          </w:tcPr>
          <w:p w14:paraId="1AD8C4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43695990</w:t>
            </w:r>
          </w:p>
        </w:tc>
        <w:tc>
          <w:tcPr>
            <w:tcW w:w="160" w:type="dxa"/>
            <w:tcBorders>
              <w:top w:val="nil"/>
              <w:left w:val="nil"/>
              <w:bottom w:val="single" w:sz="4" w:space="0" w:color="auto"/>
              <w:right w:val="nil"/>
            </w:tcBorders>
            <w:vAlign w:val="center"/>
          </w:tcPr>
          <w:p w14:paraId="08FCDC6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9F91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NOVEJŠO ZGODOVINO</w:t>
            </w:r>
          </w:p>
        </w:tc>
      </w:tr>
      <w:tr w:rsidR="00072A69" w:rsidRPr="00DC6DF9" w14:paraId="3C88DA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038A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370</w:t>
            </w:r>
          </w:p>
        </w:tc>
        <w:tc>
          <w:tcPr>
            <w:tcW w:w="1036" w:type="dxa"/>
            <w:tcBorders>
              <w:top w:val="nil"/>
              <w:left w:val="nil"/>
              <w:bottom w:val="single" w:sz="4" w:space="0" w:color="auto"/>
              <w:right w:val="single" w:sz="4" w:space="0" w:color="auto"/>
            </w:tcBorders>
            <w:shd w:val="clear" w:color="auto" w:fill="auto"/>
            <w:noWrap/>
            <w:vAlign w:val="center"/>
            <w:hideMark/>
          </w:tcPr>
          <w:p w14:paraId="66DC3B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5055253000</w:t>
            </w:r>
          </w:p>
        </w:tc>
        <w:tc>
          <w:tcPr>
            <w:tcW w:w="1036" w:type="dxa"/>
            <w:tcBorders>
              <w:top w:val="nil"/>
              <w:left w:val="nil"/>
              <w:bottom w:val="single" w:sz="4" w:space="0" w:color="auto"/>
              <w:right w:val="single" w:sz="4" w:space="0" w:color="auto"/>
            </w:tcBorders>
            <w:shd w:val="clear" w:color="auto" w:fill="auto"/>
            <w:noWrap/>
            <w:vAlign w:val="center"/>
            <w:hideMark/>
          </w:tcPr>
          <w:p w14:paraId="29E488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97072842</w:t>
            </w:r>
          </w:p>
        </w:tc>
        <w:tc>
          <w:tcPr>
            <w:tcW w:w="160" w:type="dxa"/>
            <w:tcBorders>
              <w:top w:val="nil"/>
              <w:left w:val="nil"/>
              <w:bottom w:val="single" w:sz="4" w:space="0" w:color="auto"/>
              <w:right w:val="nil"/>
            </w:tcBorders>
            <w:vAlign w:val="center"/>
          </w:tcPr>
          <w:p w14:paraId="3F4DDF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765A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INŠTITUT ZA VODE REPUBLIKE SLOVENIJE</w:t>
            </w:r>
          </w:p>
        </w:tc>
      </w:tr>
      <w:tr w:rsidR="00072A69" w:rsidRPr="00DC6DF9" w14:paraId="7ADF0A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458A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371</w:t>
            </w:r>
          </w:p>
        </w:tc>
        <w:tc>
          <w:tcPr>
            <w:tcW w:w="1036" w:type="dxa"/>
            <w:tcBorders>
              <w:top w:val="nil"/>
              <w:left w:val="nil"/>
              <w:bottom w:val="single" w:sz="4" w:space="0" w:color="auto"/>
              <w:right w:val="single" w:sz="4" w:space="0" w:color="auto"/>
            </w:tcBorders>
            <w:shd w:val="clear" w:color="auto" w:fill="auto"/>
            <w:noWrap/>
            <w:vAlign w:val="center"/>
            <w:hideMark/>
          </w:tcPr>
          <w:p w14:paraId="2BF170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5082633000</w:t>
            </w:r>
          </w:p>
        </w:tc>
        <w:tc>
          <w:tcPr>
            <w:tcW w:w="1036" w:type="dxa"/>
            <w:tcBorders>
              <w:top w:val="nil"/>
              <w:left w:val="nil"/>
              <w:bottom w:val="single" w:sz="4" w:space="0" w:color="auto"/>
              <w:right w:val="single" w:sz="4" w:space="0" w:color="auto"/>
            </w:tcBorders>
            <w:shd w:val="clear" w:color="auto" w:fill="auto"/>
            <w:noWrap/>
            <w:vAlign w:val="center"/>
            <w:hideMark/>
          </w:tcPr>
          <w:p w14:paraId="687DD2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82175420</w:t>
            </w:r>
          </w:p>
        </w:tc>
        <w:tc>
          <w:tcPr>
            <w:tcW w:w="160" w:type="dxa"/>
            <w:tcBorders>
              <w:top w:val="nil"/>
              <w:left w:val="nil"/>
              <w:bottom w:val="single" w:sz="4" w:space="0" w:color="auto"/>
              <w:right w:val="nil"/>
            </w:tcBorders>
            <w:vAlign w:val="center"/>
          </w:tcPr>
          <w:p w14:paraId="3DFE97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035B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IV. OSNOVNA ŠOLA CELJE</w:t>
            </w:r>
          </w:p>
        </w:tc>
      </w:tr>
      <w:tr w:rsidR="00072A69" w:rsidRPr="00DC6DF9" w14:paraId="49A9CD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926B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372</w:t>
            </w:r>
          </w:p>
        </w:tc>
        <w:tc>
          <w:tcPr>
            <w:tcW w:w="1036" w:type="dxa"/>
            <w:tcBorders>
              <w:top w:val="nil"/>
              <w:left w:val="nil"/>
              <w:bottom w:val="single" w:sz="4" w:space="0" w:color="auto"/>
              <w:right w:val="single" w:sz="4" w:space="0" w:color="auto"/>
            </w:tcBorders>
            <w:shd w:val="clear" w:color="auto" w:fill="auto"/>
            <w:noWrap/>
            <w:vAlign w:val="center"/>
            <w:hideMark/>
          </w:tcPr>
          <w:p w14:paraId="6144E6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3394930000</w:t>
            </w:r>
          </w:p>
        </w:tc>
        <w:tc>
          <w:tcPr>
            <w:tcW w:w="1036" w:type="dxa"/>
            <w:tcBorders>
              <w:top w:val="nil"/>
              <w:left w:val="nil"/>
              <w:bottom w:val="single" w:sz="4" w:space="0" w:color="auto"/>
              <w:right w:val="single" w:sz="4" w:space="0" w:color="auto"/>
            </w:tcBorders>
            <w:shd w:val="clear" w:color="auto" w:fill="auto"/>
            <w:noWrap/>
            <w:vAlign w:val="center"/>
            <w:hideMark/>
          </w:tcPr>
          <w:p w14:paraId="2B5276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10607838</w:t>
            </w:r>
          </w:p>
        </w:tc>
        <w:tc>
          <w:tcPr>
            <w:tcW w:w="160" w:type="dxa"/>
            <w:tcBorders>
              <w:top w:val="nil"/>
              <w:left w:val="nil"/>
              <w:bottom w:val="single" w:sz="4" w:space="0" w:color="auto"/>
              <w:right w:val="nil"/>
            </w:tcBorders>
            <w:vAlign w:val="center"/>
          </w:tcPr>
          <w:p w14:paraId="1586DC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B50C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IZOBRAŽEVALNI CENTER GEOSS, D. O. O. </w:t>
            </w:r>
          </w:p>
        </w:tc>
      </w:tr>
      <w:tr w:rsidR="00072A69" w:rsidRPr="00DC6DF9" w14:paraId="2CA8A0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34A1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373</w:t>
            </w:r>
          </w:p>
        </w:tc>
        <w:tc>
          <w:tcPr>
            <w:tcW w:w="1036" w:type="dxa"/>
            <w:tcBorders>
              <w:top w:val="nil"/>
              <w:left w:val="nil"/>
              <w:bottom w:val="single" w:sz="4" w:space="0" w:color="auto"/>
              <w:right w:val="single" w:sz="4" w:space="0" w:color="auto"/>
            </w:tcBorders>
            <w:shd w:val="clear" w:color="auto" w:fill="auto"/>
            <w:noWrap/>
            <w:vAlign w:val="center"/>
            <w:hideMark/>
          </w:tcPr>
          <w:p w14:paraId="082AC9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5085438000</w:t>
            </w:r>
          </w:p>
        </w:tc>
        <w:tc>
          <w:tcPr>
            <w:tcW w:w="1036" w:type="dxa"/>
            <w:tcBorders>
              <w:top w:val="nil"/>
              <w:left w:val="nil"/>
              <w:bottom w:val="single" w:sz="4" w:space="0" w:color="auto"/>
              <w:right w:val="single" w:sz="4" w:space="0" w:color="auto"/>
            </w:tcBorders>
            <w:shd w:val="clear" w:color="auto" w:fill="auto"/>
            <w:noWrap/>
            <w:vAlign w:val="center"/>
            <w:hideMark/>
          </w:tcPr>
          <w:p w14:paraId="6C74BC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63009820</w:t>
            </w:r>
          </w:p>
        </w:tc>
        <w:tc>
          <w:tcPr>
            <w:tcW w:w="160" w:type="dxa"/>
            <w:tcBorders>
              <w:top w:val="nil"/>
              <w:left w:val="nil"/>
              <w:bottom w:val="single" w:sz="4" w:space="0" w:color="auto"/>
              <w:right w:val="nil"/>
            </w:tcBorders>
            <w:vAlign w:val="center"/>
          </w:tcPr>
          <w:p w14:paraId="555F56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92D2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IZOBRAŽEVALNI CENTER PIRAMIDA MARIBOR</w:t>
            </w:r>
          </w:p>
        </w:tc>
      </w:tr>
      <w:tr w:rsidR="00072A69" w:rsidRPr="00DC6DF9" w14:paraId="6F966CB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2E62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374</w:t>
            </w:r>
          </w:p>
        </w:tc>
        <w:tc>
          <w:tcPr>
            <w:tcW w:w="1036" w:type="dxa"/>
            <w:tcBorders>
              <w:top w:val="nil"/>
              <w:left w:val="nil"/>
              <w:bottom w:val="single" w:sz="4" w:space="0" w:color="auto"/>
              <w:right w:val="single" w:sz="4" w:space="0" w:color="auto"/>
            </w:tcBorders>
            <w:shd w:val="clear" w:color="auto" w:fill="auto"/>
            <w:noWrap/>
            <w:vAlign w:val="center"/>
            <w:hideMark/>
          </w:tcPr>
          <w:p w14:paraId="7A8D0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5141672000</w:t>
            </w:r>
          </w:p>
        </w:tc>
        <w:tc>
          <w:tcPr>
            <w:tcW w:w="1036" w:type="dxa"/>
            <w:tcBorders>
              <w:top w:val="nil"/>
              <w:left w:val="nil"/>
              <w:bottom w:val="single" w:sz="4" w:space="0" w:color="auto"/>
              <w:right w:val="single" w:sz="4" w:space="0" w:color="auto"/>
            </w:tcBorders>
            <w:shd w:val="clear" w:color="auto" w:fill="auto"/>
            <w:noWrap/>
            <w:vAlign w:val="center"/>
            <w:hideMark/>
          </w:tcPr>
          <w:p w14:paraId="0F8450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28913922</w:t>
            </w:r>
          </w:p>
        </w:tc>
        <w:tc>
          <w:tcPr>
            <w:tcW w:w="160" w:type="dxa"/>
            <w:tcBorders>
              <w:top w:val="nil"/>
              <w:left w:val="nil"/>
              <w:bottom w:val="single" w:sz="4" w:space="0" w:color="auto"/>
              <w:right w:val="nil"/>
            </w:tcBorders>
            <w:vAlign w:val="center"/>
          </w:tcPr>
          <w:p w14:paraId="6209B48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6054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JAMARSKA ZVEZA SLOVENIJE</w:t>
            </w:r>
          </w:p>
        </w:tc>
      </w:tr>
      <w:tr w:rsidR="00072A69" w:rsidRPr="00DC6DF9" w14:paraId="3FDDBB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D5AD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375</w:t>
            </w:r>
          </w:p>
        </w:tc>
        <w:tc>
          <w:tcPr>
            <w:tcW w:w="1036" w:type="dxa"/>
            <w:tcBorders>
              <w:top w:val="nil"/>
              <w:left w:val="nil"/>
              <w:bottom w:val="single" w:sz="4" w:space="0" w:color="auto"/>
              <w:right w:val="single" w:sz="4" w:space="0" w:color="auto"/>
            </w:tcBorders>
            <w:shd w:val="clear" w:color="auto" w:fill="auto"/>
            <w:noWrap/>
            <w:vAlign w:val="center"/>
            <w:hideMark/>
          </w:tcPr>
          <w:p w14:paraId="387B6A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6283519000</w:t>
            </w:r>
          </w:p>
        </w:tc>
        <w:tc>
          <w:tcPr>
            <w:tcW w:w="1036" w:type="dxa"/>
            <w:tcBorders>
              <w:top w:val="nil"/>
              <w:left w:val="nil"/>
              <w:bottom w:val="single" w:sz="4" w:space="0" w:color="auto"/>
              <w:right w:val="single" w:sz="4" w:space="0" w:color="auto"/>
            </w:tcBorders>
            <w:shd w:val="clear" w:color="auto" w:fill="auto"/>
            <w:noWrap/>
            <w:vAlign w:val="center"/>
            <w:hideMark/>
          </w:tcPr>
          <w:p w14:paraId="71AABB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97712663</w:t>
            </w:r>
          </w:p>
        </w:tc>
        <w:tc>
          <w:tcPr>
            <w:tcW w:w="160" w:type="dxa"/>
            <w:tcBorders>
              <w:top w:val="nil"/>
              <w:left w:val="nil"/>
              <w:bottom w:val="single" w:sz="4" w:space="0" w:color="auto"/>
              <w:right w:val="nil"/>
            </w:tcBorders>
            <w:vAlign w:val="center"/>
          </w:tcPr>
          <w:p w14:paraId="3DF3BCE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A1E5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REPUBLIKE SLOVENIJE ZA SPODBUJANJE PODJETNIŠTVA, INTERNACIONALIZACIJE, TUJIH INVESTICIJ IN TEHNOLOGIJE</w:t>
            </w:r>
          </w:p>
        </w:tc>
      </w:tr>
      <w:tr w:rsidR="00072A69" w:rsidRPr="00DC6DF9" w14:paraId="3CB792D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6F27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376</w:t>
            </w:r>
          </w:p>
        </w:tc>
        <w:tc>
          <w:tcPr>
            <w:tcW w:w="1036" w:type="dxa"/>
            <w:tcBorders>
              <w:top w:val="nil"/>
              <w:left w:val="nil"/>
              <w:bottom w:val="single" w:sz="4" w:space="0" w:color="auto"/>
              <w:right w:val="single" w:sz="4" w:space="0" w:color="auto"/>
            </w:tcBorders>
            <w:shd w:val="clear" w:color="auto" w:fill="auto"/>
            <w:noWrap/>
            <w:vAlign w:val="center"/>
            <w:hideMark/>
          </w:tcPr>
          <w:p w14:paraId="1B3D83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6889859000</w:t>
            </w:r>
          </w:p>
        </w:tc>
        <w:tc>
          <w:tcPr>
            <w:tcW w:w="1036" w:type="dxa"/>
            <w:tcBorders>
              <w:top w:val="nil"/>
              <w:left w:val="nil"/>
              <w:bottom w:val="single" w:sz="4" w:space="0" w:color="auto"/>
              <w:right w:val="single" w:sz="4" w:space="0" w:color="auto"/>
            </w:tcBorders>
            <w:shd w:val="clear" w:color="auto" w:fill="auto"/>
            <w:noWrap/>
            <w:vAlign w:val="center"/>
            <w:hideMark/>
          </w:tcPr>
          <w:p w14:paraId="21F4E1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93477902</w:t>
            </w:r>
          </w:p>
        </w:tc>
        <w:tc>
          <w:tcPr>
            <w:tcW w:w="160" w:type="dxa"/>
            <w:tcBorders>
              <w:top w:val="nil"/>
              <w:left w:val="nil"/>
              <w:bottom w:val="single" w:sz="4" w:space="0" w:color="auto"/>
              <w:right w:val="nil"/>
            </w:tcBorders>
            <w:vAlign w:val="center"/>
          </w:tcPr>
          <w:p w14:paraId="4A78E9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A8FB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REPUBLIKE SLOVENIJE ZA TRŽENJE IN PROMOCIJO TURIZMA</w:t>
            </w:r>
          </w:p>
        </w:tc>
      </w:tr>
      <w:tr w:rsidR="00072A69" w:rsidRPr="00DC6DF9" w14:paraId="0918C0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89C2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377</w:t>
            </w:r>
          </w:p>
        </w:tc>
        <w:tc>
          <w:tcPr>
            <w:tcW w:w="1036" w:type="dxa"/>
            <w:tcBorders>
              <w:top w:val="nil"/>
              <w:left w:val="nil"/>
              <w:bottom w:val="single" w:sz="4" w:space="0" w:color="auto"/>
              <w:right w:val="single" w:sz="4" w:space="0" w:color="auto"/>
            </w:tcBorders>
            <w:shd w:val="clear" w:color="auto" w:fill="auto"/>
            <w:noWrap/>
            <w:vAlign w:val="center"/>
            <w:hideMark/>
          </w:tcPr>
          <w:p w14:paraId="64EF45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3788164000</w:t>
            </w:r>
          </w:p>
        </w:tc>
        <w:tc>
          <w:tcPr>
            <w:tcW w:w="1036" w:type="dxa"/>
            <w:tcBorders>
              <w:top w:val="nil"/>
              <w:left w:val="nil"/>
              <w:bottom w:val="single" w:sz="4" w:space="0" w:color="auto"/>
              <w:right w:val="single" w:sz="4" w:space="0" w:color="auto"/>
            </w:tcBorders>
            <w:shd w:val="clear" w:color="auto" w:fill="auto"/>
            <w:noWrap/>
            <w:vAlign w:val="center"/>
            <w:hideMark/>
          </w:tcPr>
          <w:p w14:paraId="4A496D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23272856</w:t>
            </w:r>
          </w:p>
        </w:tc>
        <w:tc>
          <w:tcPr>
            <w:tcW w:w="160" w:type="dxa"/>
            <w:tcBorders>
              <w:top w:val="nil"/>
              <w:left w:val="nil"/>
              <w:bottom w:val="single" w:sz="4" w:space="0" w:color="auto"/>
              <w:right w:val="nil"/>
            </w:tcBorders>
            <w:vAlign w:val="center"/>
          </w:tcPr>
          <w:p w14:paraId="7DED59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8E24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REPUBLIKE SLOVENIJE ZA VARNOST PROMETA</w:t>
            </w:r>
          </w:p>
        </w:tc>
      </w:tr>
      <w:tr w:rsidR="00072A69" w:rsidRPr="00DC6DF9" w14:paraId="02609F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9A99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378</w:t>
            </w:r>
          </w:p>
        </w:tc>
        <w:tc>
          <w:tcPr>
            <w:tcW w:w="1036" w:type="dxa"/>
            <w:tcBorders>
              <w:top w:val="nil"/>
              <w:left w:val="nil"/>
              <w:bottom w:val="single" w:sz="4" w:space="0" w:color="auto"/>
              <w:right w:val="single" w:sz="4" w:space="0" w:color="auto"/>
            </w:tcBorders>
            <w:shd w:val="clear" w:color="auto" w:fill="auto"/>
            <w:noWrap/>
            <w:vAlign w:val="center"/>
            <w:hideMark/>
          </w:tcPr>
          <w:p w14:paraId="670521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6280757000</w:t>
            </w:r>
          </w:p>
        </w:tc>
        <w:tc>
          <w:tcPr>
            <w:tcW w:w="1036" w:type="dxa"/>
            <w:tcBorders>
              <w:top w:val="nil"/>
              <w:left w:val="nil"/>
              <w:bottom w:val="single" w:sz="4" w:space="0" w:color="auto"/>
              <w:right w:val="single" w:sz="4" w:space="0" w:color="auto"/>
            </w:tcBorders>
            <w:shd w:val="clear" w:color="auto" w:fill="auto"/>
            <w:noWrap/>
            <w:vAlign w:val="center"/>
            <w:hideMark/>
          </w:tcPr>
          <w:p w14:paraId="4AE09F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17283035</w:t>
            </w:r>
          </w:p>
        </w:tc>
        <w:tc>
          <w:tcPr>
            <w:tcW w:w="160" w:type="dxa"/>
            <w:tcBorders>
              <w:top w:val="nil"/>
              <w:left w:val="nil"/>
              <w:bottom w:val="single" w:sz="4" w:space="0" w:color="auto"/>
              <w:right w:val="nil"/>
            </w:tcBorders>
            <w:vAlign w:val="center"/>
          </w:tcPr>
          <w:p w14:paraId="2640B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C493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REPUBLIKE SLOVENIJE ZA VARSTVO KONKURENCE</w:t>
            </w:r>
          </w:p>
        </w:tc>
      </w:tr>
      <w:tr w:rsidR="00072A69" w:rsidRPr="00DC6DF9" w14:paraId="2512F8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DFF9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379</w:t>
            </w:r>
          </w:p>
        </w:tc>
        <w:tc>
          <w:tcPr>
            <w:tcW w:w="1036" w:type="dxa"/>
            <w:tcBorders>
              <w:top w:val="nil"/>
              <w:left w:val="nil"/>
              <w:bottom w:val="single" w:sz="4" w:space="0" w:color="auto"/>
              <w:right w:val="single" w:sz="4" w:space="0" w:color="auto"/>
            </w:tcBorders>
            <w:shd w:val="clear" w:color="auto" w:fill="auto"/>
            <w:noWrap/>
            <w:vAlign w:val="center"/>
            <w:hideMark/>
          </w:tcPr>
          <w:p w14:paraId="5E6CF4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2256584000</w:t>
            </w:r>
          </w:p>
        </w:tc>
        <w:tc>
          <w:tcPr>
            <w:tcW w:w="1036" w:type="dxa"/>
            <w:tcBorders>
              <w:top w:val="nil"/>
              <w:left w:val="nil"/>
              <w:bottom w:val="single" w:sz="4" w:space="0" w:color="auto"/>
              <w:right w:val="single" w:sz="4" w:space="0" w:color="auto"/>
            </w:tcBorders>
            <w:shd w:val="clear" w:color="auto" w:fill="auto"/>
            <w:noWrap/>
            <w:vAlign w:val="center"/>
            <w:hideMark/>
          </w:tcPr>
          <w:p w14:paraId="14F222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24862185</w:t>
            </w:r>
          </w:p>
        </w:tc>
        <w:tc>
          <w:tcPr>
            <w:tcW w:w="160" w:type="dxa"/>
            <w:tcBorders>
              <w:top w:val="nil"/>
              <w:left w:val="nil"/>
              <w:bottom w:val="single" w:sz="4" w:space="0" w:color="auto"/>
              <w:right w:val="nil"/>
            </w:tcBorders>
            <w:vAlign w:val="center"/>
          </w:tcPr>
          <w:p w14:paraId="281CAA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BEB4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REPUBLIKE SLOVENIJE ZA ZDRAVILA IN MEDICINSKE PRIPOMOČKE</w:t>
            </w:r>
          </w:p>
        </w:tc>
      </w:tr>
      <w:tr w:rsidR="00072A69" w:rsidRPr="00DC6DF9" w14:paraId="6C9ED1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D4B5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380</w:t>
            </w:r>
          </w:p>
        </w:tc>
        <w:tc>
          <w:tcPr>
            <w:tcW w:w="1036" w:type="dxa"/>
            <w:tcBorders>
              <w:top w:val="nil"/>
              <w:left w:val="nil"/>
              <w:bottom w:val="single" w:sz="4" w:space="0" w:color="auto"/>
              <w:right w:val="single" w:sz="4" w:space="0" w:color="auto"/>
            </w:tcBorders>
            <w:shd w:val="clear" w:color="auto" w:fill="auto"/>
            <w:noWrap/>
            <w:vAlign w:val="center"/>
            <w:hideMark/>
          </w:tcPr>
          <w:p w14:paraId="724779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3933083000</w:t>
            </w:r>
          </w:p>
        </w:tc>
        <w:tc>
          <w:tcPr>
            <w:tcW w:w="1036" w:type="dxa"/>
            <w:tcBorders>
              <w:top w:val="nil"/>
              <w:left w:val="nil"/>
              <w:bottom w:val="single" w:sz="4" w:space="0" w:color="auto"/>
              <w:right w:val="single" w:sz="4" w:space="0" w:color="auto"/>
            </w:tcBorders>
            <w:shd w:val="clear" w:color="auto" w:fill="auto"/>
            <w:noWrap/>
            <w:vAlign w:val="center"/>
            <w:hideMark/>
          </w:tcPr>
          <w:p w14:paraId="3B1322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62730436</w:t>
            </w:r>
          </w:p>
        </w:tc>
        <w:tc>
          <w:tcPr>
            <w:tcW w:w="160" w:type="dxa"/>
            <w:tcBorders>
              <w:top w:val="nil"/>
              <w:left w:val="nil"/>
              <w:bottom w:val="single" w:sz="4" w:space="0" w:color="auto"/>
              <w:right w:val="nil"/>
            </w:tcBorders>
            <w:vAlign w:val="center"/>
          </w:tcPr>
          <w:p w14:paraId="681AE9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746D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ZA CIVILNO LETALSTVO REPUBLIKE SLOVENIJE</w:t>
            </w:r>
          </w:p>
        </w:tc>
      </w:tr>
      <w:tr w:rsidR="00072A69" w:rsidRPr="00DC6DF9" w14:paraId="1379450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C764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381</w:t>
            </w:r>
          </w:p>
        </w:tc>
        <w:tc>
          <w:tcPr>
            <w:tcW w:w="1036" w:type="dxa"/>
            <w:tcBorders>
              <w:top w:val="nil"/>
              <w:left w:val="nil"/>
              <w:bottom w:val="single" w:sz="4" w:space="0" w:color="auto"/>
              <w:right w:val="single" w:sz="4" w:space="0" w:color="auto"/>
            </w:tcBorders>
            <w:shd w:val="clear" w:color="auto" w:fill="auto"/>
            <w:noWrap/>
            <w:vAlign w:val="center"/>
            <w:hideMark/>
          </w:tcPr>
          <w:p w14:paraId="336EF3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3367622000</w:t>
            </w:r>
          </w:p>
        </w:tc>
        <w:tc>
          <w:tcPr>
            <w:tcW w:w="1036" w:type="dxa"/>
            <w:tcBorders>
              <w:top w:val="nil"/>
              <w:left w:val="nil"/>
              <w:bottom w:val="single" w:sz="4" w:space="0" w:color="auto"/>
              <w:right w:val="single" w:sz="4" w:space="0" w:color="auto"/>
            </w:tcBorders>
            <w:shd w:val="clear" w:color="auto" w:fill="auto"/>
            <w:noWrap/>
            <w:vAlign w:val="center"/>
            <w:hideMark/>
          </w:tcPr>
          <w:p w14:paraId="42872D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68569203</w:t>
            </w:r>
          </w:p>
        </w:tc>
        <w:tc>
          <w:tcPr>
            <w:tcW w:w="160" w:type="dxa"/>
            <w:tcBorders>
              <w:top w:val="nil"/>
              <w:left w:val="nil"/>
              <w:bottom w:val="single" w:sz="4" w:space="0" w:color="auto"/>
              <w:right w:val="nil"/>
            </w:tcBorders>
            <w:vAlign w:val="center"/>
          </w:tcPr>
          <w:p w14:paraId="56D954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888C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ZA KNJIGO REPUBLIKE SLOVENIJE</w:t>
            </w:r>
          </w:p>
        </w:tc>
      </w:tr>
      <w:tr w:rsidR="00072A69" w:rsidRPr="00DC6DF9" w14:paraId="15802E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58CA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382</w:t>
            </w:r>
          </w:p>
        </w:tc>
        <w:tc>
          <w:tcPr>
            <w:tcW w:w="1036" w:type="dxa"/>
            <w:tcBorders>
              <w:top w:val="nil"/>
              <w:left w:val="nil"/>
              <w:bottom w:val="single" w:sz="4" w:space="0" w:color="auto"/>
              <w:right w:val="single" w:sz="4" w:space="0" w:color="auto"/>
            </w:tcBorders>
            <w:shd w:val="clear" w:color="auto" w:fill="auto"/>
            <w:noWrap/>
            <w:vAlign w:val="center"/>
            <w:hideMark/>
          </w:tcPr>
          <w:p w14:paraId="1F7062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1937286000</w:t>
            </w:r>
          </w:p>
        </w:tc>
        <w:tc>
          <w:tcPr>
            <w:tcW w:w="1036" w:type="dxa"/>
            <w:tcBorders>
              <w:top w:val="nil"/>
              <w:left w:val="nil"/>
              <w:bottom w:val="single" w:sz="4" w:space="0" w:color="auto"/>
              <w:right w:val="single" w:sz="4" w:space="0" w:color="auto"/>
            </w:tcBorders>
            <w:shd w:val="clear" w:color="auto" w:fill="auto"/>
            <w:noWrap/>
            <w:vAlign w:val="center"/>
            <w:hideMark/>
          </w:tcPr>
          <w:p w14:paraId="3588DF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88431452</w:t>
            </w:r>
          </w:p>
        </w:tc>
        <w:tc>
          <w:tcPr>
            <w:tcW w:w="160" w:type="dxa"/>
            <w:tcBorders>
              <w:top w:val="nil"/>
              <w:left w:val="nil"/>
              <w:bottom w:val="single" w:sz="4" w:space="0" w:color="auto"/>
              <w:right w:val="nil"/>
            </w:tcBorders>
            <w:vAlign w:val="center"/>
          </w:tcPr>
          <w:p w14:paraId="5EE5A3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C2FD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ZA RAZISKOVALNO DEJAVNOST REPUBLIKE SLOVENIJE</w:t>
            </w:r>
          </w:p>
        </w:tc>
      </w:tr>
      <w:tr w:rsidR="00072A69" w:rsidRPr="00DC6DF9" w14:paraId="080959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90A5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383</w:t>
            </w:r>
          </w:p>
        </w:tc>
        <w:tc>
          <w:tcPr>
            <w:tcW w:w="1036" w:type="dxa"/>
            <w:tcBorders>
              <w:top w:val="nil"/>
              <w:left w:val="nil"/>
              <w:bottom w:val="single" w:sz="4" w:space="0" w:color="auto"/>
              <w:right w:val="single" w:sz="4" w:space="0" w:color="auto"/>
            </w:tcBorders>
            <w:shd w:val="clear" w:color="auto" w:fill="auto"/>
            <w:noWrap/>
            <w:vAlign w:val="center"/>
            <w:hideMark/>
          </w:tcPr>
          <w:p w14:paraId="552DB5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1834452000</w:t>
            </w:r>
          </w:p>
        </w:tc>
        <w:tc>
          <w:tcPr>
            <w:tcW w:w="1036" w:type="dxa"/>
            <w:tcBorders>
              <w:top w:val="nil"/>
              <w:left w:val="nil"/>
              <w:bottom w:val="single" w:sz="4" w:space="0" w:color="auto"/>
              <w:right w:val="single" w:sz="4" w:space="0" w:color="auto"/>
            </w:tcBorders>
            <w:shd w:val="clear" w:color="auto" w:fill="auto"/>
            <w:noWrap/>
            <w:vAlign w:val="center"/>
            <w:hideMark/>
          </w:tcPr>
          <w:p w14:paraId="55A15D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19339496</w:t>
            </w:r>
          </w:p>
        </w:tc>
        <w:tc>
          <w:tcPr>
            <w:tcW w:w="160" w:type="dxa"/>
            <w:tcBorders>
              <w:top w:val="nil"/>
              <w:left w:val="nil"/>
              <w:bottom w:val="single" w:sz="4" w:space="0" w:color="auto"/>
              <w:right w:val="nil"/>
            </w:tcBorders>
            <w:vAlign w:val="center"/>
          </w:tcPr>
          <w:p w14:paraId="2A9211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B558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JAVNA AGENCIJA ZA ŽELEZNIŠKI PROMET REPUBLIKE SLOVENIJE</w:t>
            </w:r>
          </w:p>
        </w:tc>
      </w:tr>
      <w:tr w:rsidR="00072A69" w:rsidRPr="00DC6DF9" w14:paraId="757C25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C66F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384</w:t>
            </w:r>
          </w:p>
        </w:tc>
        <w:tc>
          <w:tcPr>
            <w:tcW w:w="1036" w:type="dxa"/>
            <w:tcBorders>
              <w:top w:val="nil"/>
              <w:left w:val="nil"/>
              <w:bottom w:val="single" w:sz="4" w:space="0" w:color="auto"/>
              <w:right w:val="single" w:sz="4" w:space="0" w:color="auto"/>
            </w:tcBorders>
            <w:shd w:val="clear" w:color="auto" w:fill="auto"/>
            <w:noWrap/>
            <w:vAlign w:val="center"/>
            <w:hideMark/>
          </w:tcPr>
          <w:p w14:paraId="7CB90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3441890000</w:t>
            </w:r>
          </w:p>
        </w:tc>
        <w:tc>
          <w:tcPr>
            <w:tcW w:w="1036" w:type="dxa"/>
            <w:tcBorders>
              <w:top w:val="nil"/>
              <w:left w:val="nil"/>
              <w:bottom w:val="single" w:sz="4" w:space="0" w:color="auto"/>
              <w:right w:val="single" w:sz="4" w:space="0" w:color="auto"/>
            </w:tcBorders>
            <w:shd w:val="clear" w:color="auto" w:fill="auto"/>
            <w:noWrap/>
            <w:vAlign w:val="center"/>
            <w:hideMark/>
          </w:tcPr>
          <w:p w14:paraId="617A11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92851525</w:t>
            </w:r>
          </w:p>
        </w:tc>
        <w:tc>
          <w:tcPr>
            <w:tcW w:w="160" w:type="dxa"/>
            <w:tcBorders>
              <w:top w:val="nil"/>
              <w:left w:val="nil"/>
              <w:bottom w:val="single" w:sz="4" w:space="0" w:color="auto"/>
              <w:right w:val="nil"/>
            </w:tcBorders>
            <w:vAlign w:val="center"/>
          </w:tcPr>
          <w:p w14:paraId="22F23C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0C85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JAVNE SLUŽBE PTUJ, D. O. O. </w:t>
            </w:r>
          </w:p>
        </w:tc>
      </w:tr>
      <w:tr w:rsidR="00072A69" w:rsidRPr="00DC6DF9" w14:paraId="6065A4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AEF8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385</w:t>
            </w:r>
          </w:p>
        </w:tc>
        <w:tc>
          <w:tcPr>
            <w:tcW w:w="1036" w:type="dxa"/>
            <w:tcBorders>
              <w:top w:val="nil"/>
              <w:left w:val="nil"/>
              <w:bottom w:val="single" w:sz="4" w:space="0" w:color="auto"/>
              <w:right w:val="single" w:sz="4" w:space="0" w:color="auto"/>
            </w:tcBorders>
            <w:shd w:val="clear" w:color="auto" w:fill="auto"/>
            <w:noWrap/>
            <w:vAlign w:val="center"/>
            <w:hideMark/>
          </w:tcPr>
          <w:p w14:paraId="71899D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6785867000</w:t>
            </w:r>
          </w:p>
        </w:tc>
        <w:tc>
          <w:tcPr>
            <w:tcW w:w="1036" w:type="dxa"/>
            <w:tcBorders>
              <w:top w:val="nil"/>
              <w:left w:val="nil"/>
              <w:bottom w:val="single" w:sz="4" w:space="0" w:color="auto"/>
              <w:right w:val="single" w:sz="4" w:space="0" w:color="auto"/>
            </w:tcBorders>
            <w:shd w:val="clear" w:color="auto" w:fill="auto"/>
            <w:noWrap/>
            <w:vAlign w:val="center"/>
            <w:hideMark/>
          </w:tcPr>
          <w:p w14:paraId="47611B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74107879</w:t>
            </w:r>
          </w:p>
        </w:tc>
        <w:tc>
          <w:tcPr>
            <w:tcW w:w="160" w:type="dxa"/>
            <w:tcBorders>
              <w:top w:val="nil"/>
              <w:left w:val="nil"/>
              <w:bottom w:val="single" w:sz="4" w:space="0" w:color="auto"/>
              <w:right w:val="nil"/>
            </w:tcBorders>
            <w:vAlign w:val="center"/>
          </w:tcPr>
          <w:p w14:paraId="735794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D841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GOSPODARSKI ZAVOD RINKA</w:t>
            </w:r>
          </w:p>
        </w:tc>
      </w:tr>
      <w:tr w:rsidR="00072A69" w:rsidRPr="00DC6DF9" w14:paraId="4D371C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5230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386</w:t>
            </w:r>
          </w:p>
        </w:tc>
        <w:tc>
          <w:tcPr>
            <w:tcW w:w="1036" w:type="dxa"/>
            <w:tcBorders>
              <w:top w:val="nil"/>
              <w:left w:val="nil"/>
              <w:bottom w:val="single" w:sz="4" w:space="0" w:color="auto"/>
              <w:right w:val="single" w:sz="4" w:space="0" w:color="auto"/>
            </w:tcBorders>
            <w:shd w:val="clear" w:color="auto" w:fill="auto"/>
            <w:noWrap/>
            <w:vAlign w:val="center"/>
            <w:hideMark/>
          </w:tcPr>
          <w:p w14:paraId="0A2A09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5860199000</w:t>
            </w:r>
          </w:p>
        </w:tc>
        <w:tc>
          <w:tcPr>
            <w:tcW w:w="1036" w:type="dxa"/>
            <w:tcBorders>
              <w:top w:val="nil"/>
              <w:left w:val="nil"/>
              <w:bottom w:val="single" w:sz="4" w:space="0" w:color="auto"/>
              <w:right w:val="single" w:sz="4" w:space="0" w:color="auto"/>
            </w:tcBorders>
            <w:shd w:val="clear" w:color="auto" w:fill="auto"/>
            <w:noWrap/>
            <w:vAlign w:val="center"/>
            <w:hideMark/>
          </w:tcPr>
          <w:p w14:paraId="09ADAF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57209294</w:t>
            </w:r>
          </w:p>
        </w:tc>
        <w:tc>
          <w:tcPr>
            <w:tcW w:w="160" w:type="dxa"/>
            <w:tcBorders>
              <w:top w:val="nil"/>
              <w:left w:val="nil"/>
              <w:bottom w:val="single" w:sz="4" w:space="0" w:color="auto"/>
              <w:right w:val="nil"/>
            </w:tcBorders>
            <w:vAlign w:val="center"/>
          </w:tcPr>
          <w:p w14:paraId="672DD50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5287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JAVNI HOLDING LJUBLJANA, D. O. O. </w:t>
            </w:r>
          </w:p>
        </w:tc>
      </w:tr>
      <w:tr w:rsidR="00072A69" w:rsidRPr="00DC6DF9" w14:paraId="1A7F8A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5880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387</w:t>
            </w:r>
          </w:p>
        </w:tc>
        <w:tc>
          <w:tcPr>
            <w:tcW w:w="1036" w:type="dxa"/>
            <w:tcBorders>
              <w:top w:val="nil"/>
              <w:left w:val="nil"/>
              <w:bottom w:val="single" w:sz="4" w:space="0" w:color="auto"/>
              <w:right w:val="single" w:sz="4" w:space="0" w:color="auto"/>
            </w:tcBorders>
            <w:shd w:val="clear" w:color="auto" w:fill="auto"/>
            <w:noWrap/>
            <w:vAlign w:val="center"/>
            <w:hideMark/>
          </w:tcPr>
          <w:p w14:paraId="1C493F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5805295000</w:t>
            </w:r>
          </w:p>
        </w:tc>
        <w:tc>
          <w:tcPr>
            <w:tcW w:w="1036" w:type="dxa"/>
            <w:tcBorders>
              <w:top w:val="nil"/>
              <w:left w:val="nil"/>
              <w:bottom w:val="single" w:sz="4" w:space="0" w:color="auto"/>
              <w:right w:val="single" w:sz="4" w:space="0" w:color="auto"/>
            </w:tcBorders>
            <w:shd w:val="clear" w:color="auto" w:fill="auto"/>
            <w:noWrap/>
            <w:vAlign w:val="center"/>
            <w:hideMark/>
          </w:tcPr>
          <w:p w14:paraId="410E33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21002266</w:t>
            </w:r>
          </w:p>
        </w:tc>
        <w:tc>
          <w:tcPr>
            <w:tcW w:w="160" w:type="dxa"/>
            <w:tcBorders>
              <w:top w:val="nil"/>
              <w:left w:val="nil"/>
              <w:bottom w:val="single" w:sz="4" w:space="0" w:color="auto"/>
              <w:right w:val="nil"/>
            </w:tcBorders>
            <w:vAlign w:val="center"/>
          </w:tcPr>
          <w:p w14:paraId="58E54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A4A5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MEDOBČINSKI STANOVANJSKI SKLAD MARIBOR</w:t>
            </w:r>
          </w:p>
        </w:tc>
      </w:tr>
      <w:tr w:rsidR="00072A69" w:rsidRPr="00DC6DF9" w14:paraId="5FCA0D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E41E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388</w:t>
            </w:r>
          </w:p>
        </w:tc>
        <w:tc>
          <w:tcPr>
            <w:tcW w:w="1036" w:type="dxa"/>
            <w:tcBorders>
              <w:top w:val="nil"/>
              <w:left w:val="nil"/>
              <w:bottom w:val="single" w:sz="4" w:space="0" w:color="auto"/>
              <w:right w:val="single" w:sz="4" w:space="0" w:color="auto"/>
            </w:tcBorders>
            <w:shd w:val="clear" w:color="auto" w:fill="auto"/>
            <w:noWrap/>
            <w:vAlign w:val="center"/>
            <w:hideMark/>
          </w:tcPr>
          <w:p w14:paraId="2F83A1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5628849000</w:t>
            </w:r>
          </w:p>
        </w:tc>
        <w:tc>
          <w:tcPr>
            <w:tcW w:w="1036" w:type="dxa"/>
            <w:tcBorders>
              <w:top w:val="nil"/>
              <w:left w:val="nil"/>
              <w:bottom w:val="single" w:sz="4" w:space="0" w:color="auto"/>
              <w:right w:val="single" w:sz="4" w:space="0" w:color="auto"/>
            </w:tcBorders>
            <w:shd w:val="clear" w:color="auto" w:fill="auto"/>
            <w:noWrap/>
            <w:vAlign w:val="center"/>
            <w:hideMark/>
          </w:tcPr>
          <w:p w14:paraId="67C71F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23614803</w:t>
            </w:r>
          </w:p>
        </w:tc>
        <w:tc>
          <w:tcPr>
            <w:tcW w:w="160" w:type="dxa"/>
            <w:tcBorders>
              <w:top w:val="nil"/>
              <w:left w:val="nil"/>
              <w:bottom w:val="single" w:sz="4" w:space="0" w:color="auto"/>
              <w:right w:val="nil"/>
            </w:tcBorders>
            <w:vAlign w:val="center"/>
          </w:tcPr>
          <w:p w14:paraId="5D013A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2A7B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SKLAD MALEGA GOSPODARSTVA GORIŠKE</w:t>
            </w:r>
          </w:p>
        </w:tc>
      </w:tr>
      <w:tr w:rsidR="00072A69" w:rsidRPr="00DC6DF9" w14:paraId="2FC822E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6CF6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389</w:t>
            </w:r>
          </w:p>
        </w:tc>
        <w:tc>
          <w:tcPr>
            <w:tcW w:w="1036" w:type="dxa"/>
            <w:tcBorders>
              <w:top w:val="nil"/>
              <w:left w:val="nil"/>
              <w:bottom w:val="single" w:sz="4" w:space="0" w:color="auto"/>
              <w:right w:val="single" w:sz="4" w:space="0" w:color="auto"/>
            </w:tcBorders>
            <w:shd w:val="clear" w:color="auto" w:fill="auto"/>
            <w:noWrap/>
            <w:vAlign w:val="center"/>
            <w:hideMark/>
          </w:tcPr>
          <w:p w14:paraId="2048AA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1233661000</w:t>
            </w:r>
          </w:p>
        </w:tc>
        <w:tc>
          <w:tcPr>
            <w:tcW w:w="1036" w:type="dxa"/>
            <w:tcBorders>
              <w:top w:val="nil"/>
              <w:left w:val="nil"/>
              <w:bottom w:val="single" w:sz="4" w:space="0" w:color="auto"/>
              <w:right w:val="single" w:sz="4" w:space="0" w:color="auto"/>
            </w:tcBorders>
            <w:shd w:val="clear" w:color="auto" w:fill="auto"/>
            <w:noWrap/>
            <w:vAlign w:val="center"/>
            <w:hideMark/>
          </w:tcPr>
          <w:p w14:paraId="1EC86F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62905902</w:t>
            </w:r>
          </w:p>
        </w:tc>
        <w:tc>
          <w:tcPr>
            <w:tcW w:w="160" w:type="dxa"/>
            <w:tcBorders>
              <w:top w:val="nil"/>
              <w:left w:val="nil"/>
              <w:bottom w:val="single" w:sz="4" w:space="0" w:color="auto"/>
              <w:right w:val="nil"/>
            </w:tcBorders>
            <w:vAlign w:val="center"/>
          </w:tcPr>
          <w:p w14:paraId="0A6AC5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16D3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SKLAD REPUBLIKE SLOVENIJE ZA KULTURNE DEJAVNOSTI</w:t>
            </w:r>
          </w:p>
        </w:tc>
      </w:tr>
      <w:tr w:rsidR="00072A69" w:rsidRPr="00DC6DF9" w14:paraId="4A4532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F00A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390</w:t>
            </w:r>
          </w:p>
        </w:tc>
        <w:tc>
          <w:tcPr>
            <w:tcW w:w="1036" w:type="dxa"/>
            <w:tcBorders>
              <w:top w:val="nil"/>
              <w:left w:val="nil"/>
              <w:bottom w:val="single" w:sz="4" w:space="0" w:color="auto"/>
              <w:right w:val="single" w:sz="4" w:space="0" w:color="auto"/>
            </w:tcBorders>
            <w:shd w:val="clear" w:color="auto" w:fill="auto"/>
            <w:noWrap/>
            <w:vAlign w:val="center"/>
            <w:hideMark/>
          </w:tcPr>
          <w:p w14:paraId="32CBEF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5523362000</w:t>
            </w:r>
          </w:p>
        </w:tc>
        <w:tc>
          <w:tcPr>
            <w:tcW w:w="1036" w:type="dxa"/>
            <w:tcBorders>
              <w:top w:val="nil"/>
              <w:left w:val="nil"/>
              <w:bottom w:val="single" w:sz="4" w:space="0" w:color="auto"/>
              <w:right w:val="single" w:sz="4" w:space="0" w:color="auto"/>
            </w:tcBorders>
            <w:shd w:val="clear" w:color="auto" w:fill="auto"/>
            <w:noWrap/>
            <w:vAlign w:val="center"/>
            <w:hideMark/>
          </w:tcPr>
          <w:p w14:paraId="54AB2D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58045473</w:t>
            </w:r>
          </w:p>
        </w:tc>
        <w:tc>
          <w:tcPr>
            <w:tcW w:w="160" w:type="dxa"/>
            <w:tcBorders>
              <w:top w:val="nil"/>
              <w:left w:val="nil"/>
              <w:bottom w:val="single" w:sz="4" w:space="0" w:color="auto"/>
              <w:right w:val="nil"/>
            </w:tcBorders>
            <w:vAlign w:val="center"/>
          </w:tcPr>
          <w:p w14:paraId="45FEB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BF9F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SKLAD REPUBLIKE SLOVENIJE ZA PODJETNIŠTVO</w:t>
            </w:r>
          </w:p>
        </w:tc>
      </w:tr>
      <w:tr w:rsidR="00072A69" w:rsidRPr="00DC6DF9" w14:paraId="0BCE8E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BD98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391</w:t>
            </w:r>
          </w:p>
        </w:tc>
        <w:tc>
          <w:tcPr>
            <w:tcW w:w="1036" w:type="dxa"/>
            <w:tcBorders>
              <w:top w:val="nil"/>
              <w:left w:val="nil"/>
              <w:bottom w:val="single" w:sz="4" w:space="0" w:color="auto"/>
              <w:right w:val="single" w:sz="4" w:space="0" w:color="auto"/>
            </w:tcBorders>
            <w:shd w:val="clear" w:color="auto" w:fill="auto"/>
            <w:noWrap/>
            <w:vAlign w:val="center"/>
            <w:hideMark/>
          </w:tcPr>
          <w:p w14:paraId="13A1EA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5940117000</w:t>
            </w:r>
          </w:p>
        </w:tc>
        <w:tc>
          <w:tcPr>
            <w:tcW w:w="1036" w:type="dxa"/>
            <w:tcBorders>
              <w:top w:val="nil"/>
              <w:left w:val="nil"/>
              <w:bottom w:val="single" w:sz="4" w:space="0" w:color="auto"/>
              <w:right w:val="single" w:sz="4" w:space="0" w:color="auto"/>
            </w:tcBorders>
            <w:shd w:val="clear" w:color="auto" w:fill="auto"/>
            <w:noWrap/>
            <w:vAlign w:val="center"/>
            <w:hideMark/>
          </w:tcPr>
          <w:p w14:paraId="45A1FE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92466834</w:t>
            </w:r>
          </w:p>
        </w:tc>
        <w:tc>
          <w:tcPr>
            <w:tcW w:w="160" w:type="dxa"/>
            <w:tcBorders>
              <w:top w:val="nil"/>
              <w:left w:val="nil"/>
              <w:bottom w:val="single" w:sz="4" w:space="0" w:color="auto"/>
              <w:right w:val="nil"/>
            </w:tcBorders>
            <w:vAlign w:val="center"/>
          </w:tcPr>
          <w:p w14:paraId="72B0C7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EE52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SKLAD REPUBLIKE SLOVENIJE ZA REGIONALNI RAZVOJ IN RAZVOJ PODEŽELJA</w:t>
            </w:r>
          </w:p>
        </w:tc>
      </w:tr>
      <w:tr w:rsidR="00072A69" w:rsidRPr="00DC6DF9" w14:paraId="6E8EAB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36B2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392</w:t>
            </w:r>
          </w:p>
        </w:tc>
        <w:tc>
          <w:tcPr>
            <w:tcW w:w="1036" w:type="dxa"/>
            <w:tcBorders>
              <w:top w:val="nil"/>
              <w:left w:val="nil"/>
              <w:bottom w:val="single" w:sz="4" w:space="0" w:color="auto"/>
              <w:right w:val="single" w:sz="4" w:space="0" w:color="auto"/>
            </w:tcBorders>
            <w:shd w:val="clear" w:color="auto" w:fill="auto"/>
            <w:noWrap/>
            <w:vAlign w:val="center"/>
            <w:hideMark/>
          </w:tcPr>
          <w:p w14:paraId="635FAA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5839114000</w:t>
            </w:r>
          </w:p>
        </w:tc>
        <w:tc>
          <w:tcPr>
            <w:tcW w:w="1036" w:type="dxa"/>
            <w:tcBorders>
              <w:top w:val="nil"/>
              <w:left w:val="nil"/>
              <w:bottom w:val="single" w:sz="4" w:space="0" w:color="auto"/>
              <w:right w:val="single" w:sz="4" w:space="0" w:color="auto"/>
            </w:tcBorders>
            <w:shd w:val="clear" w:color="auto" w:fill="auto"/>
            <w:noWrap/>
            <w:vAlign w:val="center"/>
            <w:hideMark/>
          </w:tcPr>
          <w:p w14:paraId="682E52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30762553</w:t>
            </w:r>
          </w:p>
        </w:tc>
        <w:tc>
          <w:tcPr>
            <w:tcW w:w="160" w:type="dxa"/>
            <w:tcBorders>
              <w:top w:val="nil"/>
              <w:left w:val="nil"/>
              <w:bottom w:val="single" w:sz="4" w:space="0" w:color="auto"/>
              <w:right w:val="nil"/>
            </w:tcBorders>
            <w:vAlign w:val="center"/>
          </w:tcPr>
          <w:p w14:paraId="541D2A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005A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STANOVANJSKI SKLAD MESTNE OBČINE KOPER</w:t>
            </w:r>
          </w:p>
        </w:tc>
      </w:tr>
      <w:tr w:rsidR="00072A69" w:rsidRPr="00DC6DF9" w14:paraId="4FBAD8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6010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393</w:t>
            </w:r>
          </w:p>
        </w:tc>
        <w:tc>
          <w:tcPr>
            <w:tcW w:w="1036" w:type="dxa"/>
            <w:tcBorders>
              <w:top w:val="nil"/>
              <w:left w:val="nil"/>
              <w:bottom w:val="single" w:sz="4" w:space="0" w:color="auto"/>
              <w:right w:val="single" w:sz="4" w:space="0" w:color="auto"/>
            </w:tcBorders>
            <w:shd w:val="clear" w:color="auto" w:fill="auto"/>
            <w:noWrap/>
            <w:vAlign w:val="center"/>
            <w:hideMark/>
          </w:tcPr>
          <w:p w14:paraId="6A626B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1719572000</w:t>
            </w:r>
          </w:p>
        </w:tc>
        <w:tc>
          <w:tcPr>
            <w:tcW w:w="1036" w:type="dxa"/>
            <w:tcBorders>
              <w:top w:val="nil"/>
              <w:left w:val="nil"/>
              <w:bottom w:val="single" w:sz="4" w:space="0" w:color="auto"/>
              <w:right w:val="single" w:sz="4" w:space="0" w:color="auto"/>
            </w:tcBorders>
            <w:shd w:val="clear" w:color="auto" w:fill="auto"/>
            <w:noWrap/>
            <w:vAlign w:val="center"/>
            <w:hideMark/>
          </w:tcPr>
          <w:p w14:paraId="5CBE3C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41717031</w:t>
            </w:r>
          </w:p>
        </w:tc>
        <w:tc>
          <w:tcPr>
            <w:tcW w:w="160" w:type="dxa"/>
            <w:tcBorders>
              <w:top w:val="nil"/>
              <w:left w:val="nil"/>
              <w:bottom w:val="single" w:sz="4" w:space="0" w:color="auto"/>
              <w:right w:val="nil"/>
            </w:tcBorders>
            <w:vAlign w:val="center"/>
          </w:tcPr>
          <w:p w14:paraId="093653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3712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STANOVANJSKI SKLAD MESTNE OBČINE LJUBLJANA</w:t>
            </w:r>
          </w:p>
        </w:tc>
      </w:tr>
      <w:tr w:rsidR="00072A69" w:rsidRPr="00DC6DF9" w14:paraId="41BA28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0517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394</w:t>
            </w:r>
          </w:p>
        </w:tc>
        <w:tc>
          <w:tcPr>
            <w:tcW w:w="1036" w:type="dxa"/>
            <w:tcBorders>
              <w:top w:val="nil"/>
              <w:left w:val="nil"/>
              <w:bottom w:val="single" w:sz="4" w:space="0" w:color="auto"/>
              <w:right w:val="single" w:sz="4" w:space="0" w:color="auto"/>
            </w:tcBorders>
            <w:shd w:val="clear" w:color="auto" w:fill="auto"/>
            <w:noWrap/>
            <w:vAlign w:val="center"/>
            <w:hideMark/>
          </w:tcPr>
          <w:p w14:paraId="34740B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5929512000</w:t>
            </w:r>
          </w:p>
        </w:tc>
        <w:tc>
          <w:tcPr>
            <w:tcW w:w="1036" w:type="dxa"/>
            <w:tcBorders>
              <w:top w:val="nil"/>
              <w:left w:val="nil"/>
              <w:bottom w:val="single" w:sz="4" w:space="0" w:color="auto"/>
              <w:right w:val="single" w:sz="4" w:space="0" w:color="auto"/>
            </w:tcBorders>
            <w:shd w:val="clear" w:color="auto" w:fill="auto"/>
            <w:noWrap/>
            <w:vAlign w:val="center"/>
            <w:hideMark/>
          </w:tcPr>
          <w:p w14:paraId="62F8B1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69687943</w:t>
            </w:r>
          </w:p>
        </w:tc>
        <w:tc>
          <w:tcPr>
            <w:tcW w:w="160" w:type="dxa"/>
            <w:tcBorders>
              <w:top w:val="nil"/>
              <w:left w:val="nil"/>
              <w:bottom w:val="single" w:sz="4" w:space="0" w:color="auto"/>
              <w:right w:val="nil"/>
            </w:tcBorders>
            <w:vAlign w:val="center"/>
          </w:tcPr>
          <w:p w14:paraId="79C5D6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BA28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STANOVANJSKI SKLAD MESTNE OBČINE MURSKA SOBOTA</w:t>
            </w:r>
          </w:p>
        </w:tc>
      </w:tr>
      <w:tr w:rsidR="00072A69" w:rsidRPr="00DC6DF9" w14:paraId="154497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A49C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395</w:t>
            </w:r>
          </w:p>
        </w:tc>
        <w:tc>
          <w:tcPr>
            <w:tcW w:w="1036" w:type="dxa"/>
            <w:tcBorders>
              <w:top w:val="nil"/>
              <w:left w:val="nil"/>
              <w:bottom w:val="single" w:sz="4" w:space="0" w:color="auto"/>
              <w:right w:val="single" w:sz="4" w:space="0" w:color="auto"/>
            </w:tcBorders>
            <w:shd w:val="clear" w:color="auto" w:fill="auto"/>
            <w:noWrap/>
            <w:vAlign w:val="center"/>
            <w:hideMark/>
          </w:tcPr>
          <w:p w14:paraId="4F146C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1198459000</w:t>
            </w:r>
          </w:p>
        </w:tc>
        <w:tc>
          <w:tcPr>
            <w:tcW w:w="1036" w:type="dxa"/>
            <w:tcBorders>
              <w:top w:val="nil"/>
              <w:left w:val="nil"/>
              <w:bottom w:val="single" w:sz="4" w:space="0" w:color="auto"/>
              <w:right w:val="single" w:sz="4" w:space="0" w:color="auto"/>
            </w:tcBorders>
            <w:shd w:val="clear" w:color="auto" w:fill="auto"/>
            <w:noWrap/>
            <w:vAlign w:val="center"/>
            <w:hideMark/>
          </w:tcPr>
          <w:p w14:paraId="5D957B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86279670</w:t>
            </w:r>
          </w:p>
        </w:tc>
        <w:tc>
          <w:tcPr>
            <w:tcW w:w="160" w:type="dxa"/>
            <w:tcBorders>
              <w:top w:val="nil"/>
              <w:left w:val="nil"/>
              <w:bottom w:val="single" w:sz="4" w:space="0" w:color="auto"/>
              <w:right w:val="nil"/>
            </w:tcBorders>
            <w:vAlign w:val="center"/>
          </w:tcPr>
          <w:p w14:paraId="4AA31C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9997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ŠTIPENDIJSKI, RAZVOJNI, INVALIDSKI IN PREŽIVNINSKI SKLAD REPUBLIKE SLOVENIJE</w:t>
            </w:r>
          </w:p>
        </w:tc>
      </w:tr>
      <w:tr w:rsidR="00072A69" w:rsidRPr="00DC6DF9" w14:paraId="4E3706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6A6D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396</w:t>
            </w:r>
          </w:p>
        </w:tc>
        <w:tc>
          <w:tcPr>
            <w:tcW w:w="1036" w:type="dxa"/>
            <w:tcBorders>
              <w:top w:val="nil"/>
              <w:left w:val="nil"/>
              <w:bottom w:val="single" w:sz="4" w:space="0" w:color="auto"/>
              <w:right w:val="single" w:sz="4" w:space="0" w:color="auto"/>
            </w:tcBorders>
            <w:shd w:val="clear" w:color="auto" w:fill="auto"/>
            <w:noWrap/>
            <w:vAlign w:val="center"/>
            <w:hideMark/>
          </w:tcPr>
          <w:p w14:paraId="24EE20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5171008000</w:t>
            </w:r>
          </w:p>
        </w:tc>
        <w:tc>
          <w:tcPr>
            <w:tcW w:w="1036" w:type="dxa"/>
            <w:tcBorders>
              <w:top w:val="nil"/>
              <w:left w:val="nil"/>
              <w:bottom w:val="single" w:sz="4" w:space="0" w:color="auto"/>
              <w:right w:val="single" w:sz="4" w:space="0" w:color="auto"/>
            </w:tcBorders>
            <w:shd w:val="clear" w:color="auto" w:fill="auto"/>
            <w:vAlign w:val="center"/>
            <w:hideMark/>
          </w:tcPr>
          <w:p w14:paraId="5E671F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71818065</w:t>
            </w:r>
          </w:p>
        </w:tc>
        <w:tc>
          <w:tcPr>
            <w:tcW w:w="160" w:type="dxa"/>
            <w:tcBorders>
              <w:top w:val="nil"/>
              <w:left w:val="nil"/>
              <w:bottom w:val="single" w:sz="4" w:space="0" w:color="auto"/>
              <w:right w:val="nil"/>
            </w:tcBorders>
            <w:vAlign w:val="center"/>
          </w:tcPr>
          <w:p w14:paraId="3520F50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4C64B3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VZGOJNO-IZOBRAŽEVALNI ZAVOD MOZIRJE</w:t>
            </w:r>
          </w:p>
        </w:tc>
      </w:tr>
      <w:tr w:rsidR="00072A69" w:rsidRPr="00DC6DF9" w14:paraId="6A2754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02DB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397</w:t>
            </w:r>
          </w:p>
        </w:tc>
        <w:tc>
          <w:tcPr>
            <w:tcW w:w="1036" w:type="dxa"/>
            <w:tcBorders>
              <w:top w:val="nil"/>
              <w:left w:val="nil"/>
              <w:bottom w:val="single" w:sz="4" w:space="0" w:color="auto"/>
              <w:right w:val="single" w:sz="4" w:space="0" w:color="auto"/>
            </w:tcBorders>
            <w:shd w:val="clear" w:color="auto" w:fill="auto"/>
            <w:noWrap/>
            <w:vAlign w:val="center"/>
            <w:hideMark/>
          </w:tcPr>
          <w:p w14:paraId="789DA2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5052017000</w:t>
            </w:r>
          </w:p>
        </w:tc>
        <w:tc>
          <w:tcPr>
            <w:tcW w:w="1036" w:type="dxa"/>
            <w:tcBorders>
              <w:top w:val="nil"/>
              <w:left w:val="nil"/>
              <w:bottom w:val="single" w:sz="4" w:space="0" w:color="auto"/>
              <w:right w:val="single" w:sz="4" w:space="0" w:color="auto"/>
            </w:tcBorders>
            <w:shd w:val="clear" w:color="auto" w:fill="auto"/>
            <w:noWrap/>
            <w:vAlign w:val="center"/>
            <w:hideMark/>
          </w:tcPr>
          <w:p w14:paraId="52826C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19354266</w:t>
            </w:r>
          </w:p>
        </w:tc>
        <w:tc>
          <w:tcPr>
            <w:tcW w:w="160" w:type="dxa"/>
            <w:tcBorders>
              <w:top w:val="nil"/>
              <w:left w:val="nil"/>
              <w:bottom w:val="single" w:sz="4" w:space="0" w:color="auto"/>
              <w:right w:val="nil"/>
            </w:tcBorders>
            <w:vAlign w:val="center"/>
          </w:tcPr>
          <w:p w14:paraId="707BB6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0634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CENE ŠTUPAR - CENTER ZA IZOBRAŽEVANJE LJUBLJANA</w:t>
            </w:r>
          </w:p>
        </w:tc>
      </w:tr>
      <w:tr w:rsidR="00072A69" w:rsidRPr="00DC6DF9" w14:paraId="6780E4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CEBA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398</w:t>
            </w:r>
          </w:p>
        </w:tc>
        <w:tc>
          <w:tcPr>
            <w:tcW w:w="1036" w:type="dxa"/>
            <w:tcBorders>
              <w:top w:val="nil"/>
              <w:left w:val="nil"/>
              <w:bottom w:val="single" w:sz="4" w:space="0" w:color="auto"/>
              <w:right w:val="single" w:sz="4" w:space="0" w:color="auto"/>
            </w:tcBorders>
            <w:shd w:val="clear" w:color="auto" w:fill="auto"/>
            <w:noWrap/>
            <w:vAlign w:val="center"/>
            <w:hideMark/>
          </w:tcPr>
          <w:p w14:paraId="72D0D3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1423215000</w:t>
            </w:r>
          </w:p>
        </w:tc>
        <w:tc>
          <w:tcPr>
            <w:tcW w:w="1036" w:type="dxa"/>
            <w:tcBorders>
              <w:top w:val="nil"/>
              <w:left w:val="nil"/>
              <w:bottom w:val="single" w:sz="4" w:space="0" w:color="auto"/>
              <w:right w:val="single" w:sz="4" w:space="0" w:color="auto"/>
            </w:tcBorders>
            <w:shd w:val="clear" w:color="auto" w:fill="auto"/>
            <w:noWrap/>
            <w:vAlign w:val="center"/>
            <w:hideMark/>
          </w:tcPr>
          <w:p w14:paraId="503DCC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45991413</w:t>
            </w:r>
          </w:p>
        </w:tc>
        <w:tc>
          <w:tcPr>
            <w:tcW w:w="160" w:type="dxa"/>
            <w:tcBorders>
              <w:top w:val="nil"/>
              <w:left w:val="nil"/>
              <w:bottom w:val="single" w:sz="4" w:space="0" w:color="auto"/>
              <w:right w:val="nil"/>
            </w:tcBorders>
            <w:vAlign w:val="center"/>
          </w:tcPr>
          <w:p w14:paraId="6DE10A4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54C1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REPUBLIKE SLOVENIJE ZA VARSTVO KULTURNE DEDIŠČINE</w:t>
            </w:r>
          </w:p>
        </w:tc>
      </w:tr>
      <w:tr w:rsidR="00072A69" w:rsidRPr="00DC6DF9" w14:paraId="146779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DD1F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399</w:t>
            </w:r>
          </w:p>
        </w:tc>
        <w:tc>
          <w:tcPr>
            <w:tcW w:w="1036" w:type="dxa"/>
            <w:tcBorders>
              <w:top w:val="nil"/>
              <w:left w:val="nil"/>
              <w:bottom w:val="single" w:sz="4" w:space="0" w:color="auto"/>
              <w:right w:val="single" w:sz="4" w:space="0" w:color="auto"/>
            </w:tcBorders>
            <w:shd w:val="clear" w:color="auto" w:fill="auto"/>
            <w:noWrap/>
            <w:vAlign w:val="center"/>
            <w:hideMark/>
          </w:tcPr>
          <w:p w14:paraId="7C0542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1775405000</w:t>
            </w:r>
          </w:p>
        </w:tc>
        <w:tc>
          <w:tcPr>
            <w:tcW w:w="1036" w:type="dxa"/>
            <w:tcBorders>
              <w:top w:val="nil"/>
              <w:left w:val="nil"/>
              <w:bottom w:val="single" w:sz="4" w:space="0" w:color="auto"/>
              <w:right w:val="single" w:sz="4" w:space="0" w:color="auto"/>
            </w:tcBorders>
            <w:shd w:val="clear" w:color="auto" w:fill="auto"/>
            <w:noWrap/>
            <w:vAlign w:val="center"/>
            <w:hideMark/>
          </w:tcPr>
          <w:p w14:paraId="70D052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80447414</w:t>
            </w:r>
          </w:p>
        </w:tc>
        <w:tc>
          <w:tcPr>
            <w:tcW w:w="160" w:type="dxa"/>
            <w:tcBorders>
              <w:top w:val="nil"/>
              <w:left w:val="nil"/>
              <w:bottom w:val="single" w:sz="4" w:space="0" w:color="auto"/>
              <w:right w:val="nil"/>
            </w:tcBorders>
            <w:vAlign w:val="center"/>
          </w:tcPr>
          <w:p w14:paraId="02F76C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0589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SOCIO</w:t>
            </w:r>
          </w:p>
        </w:tc>
      </w:tr>
      <w:tr w:rsidR="00072A69" w:rsidRPr="00DC6DF9" w14:paraId="101F0A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BEB2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400</w:t>
            </w:r>
          </w:p>
        </w:tc>
        <w:tc>
          <w:tcPr>
            <w:tcW w:w="1036" w:type="dxa"/>
            <w:tcBorders>
              <w:top w:val="nil"/>
              <w:left w:val="nil"/>
              <w:bottom w:val="single" w:sz="4" w:space="0" w:color="auto"/>
              <w:right w:val="single" w:sz="4" w:space="0" w:color="auto"/>
            </w:tcBorders>
            <w:shd w:val="clear" w:color="auto" w:fill="auto"/>
            <w:noWrap/>
            <w:vAlign w:val="center"/>
            <w:hideMark/>
          </w:tcPr>
          <w:p w14:paraId="0EDB53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6301819000</w:t>
            </w:r>
          </w:p>
        </w:tc>
        <w:tc>
          <w:tcPr>
            <w:tcW w:w="1036" w:type="dxa"/>
            <w:tcBorders>
              <w:top w:val="nil"/>
              <w:left w:val="nil"/>
              <w:bottom w:val="single" w:sz="4" w:space="0" w:color="auto"/>
              <w:right w:val="single" w:sz="4" w:space="0" w:color="auto"/>
            </w:tcBorders>
            <w:shd w:val="clear" w:color="auto" w:fill="auto"/>
            <w:noWrap/>
            <w:vAlign w:val="center"/>
            <w:hideMark/>
          </w:tcPr>
          <w:p w14:paraId="0F25DF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13109154</w:t>
            </w:r>
          </w:p>
        </w:tc>
        <w:tc>
          <w:tcPr>
            <w:tcW w:w="160" w:type="dxa"/>
            <w:tcBorders>
              <w:top w:val="nil"/>
              <w:left w:val="nil"/>
              <w:bottom w:val="single" w:sz="4" w:space="0" w:color="auto"/>
              <w:right w:val="nil"/>
            </w:tcBorders>
            <w:vAlign w:val="center"/>
          </w:tcPr>
          <w:p w14:paraId="3B0E4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116A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KULTURO, MLADINO IN ŠPORT LITIJA</w:t>
            </w:r>
          </w:p>
        </w:tc>
      </w:tr>
      <w:tr w:rsidR="00072A69" w:rsidRPr="00DC6DF9" w14:paraId="2134B8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F33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401</w:t>
            </w:r>
          </w:p>
        </w:tc>
        <w:tc>
          <w:tcPr>
            <w:tcW w:w="1036" w:type="dxa"/>
            <w:tcBorders>
              <w:top w:val="nil"/>
              <w:left w:val="nil"/>
              <w:bottom w:val="single" w:sz="4" w:space="0" w:color="auto"/>
              <w:right w:val="single" w:sz="4" w:space="0" w:color="auto"/>
            </w:tcBorders>
            <w:shd w:val="clear" w:color="auto" w:fill="auto"/>
            <w:noWrap/>
            <w:vAlign w:val="center"/>
            <w:hideMark/>
          </w:tcPr>
          <w:p w14:paraId="3A8C6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1569805000</w:t>
            </w:r>
          </w:p>
        </w:tc>
        <w:tc>
          <w:tcPr>
            <w:tcW w:w="1036" w:type="dxa"/>
            <w:tcBorders>
              <w:top w:val="nil"/>
              <w:left w:val="nil"/>
              <w:bottom w:val="single" w:sz="4" w:space="0" w:color="auto"/>
              <w:right w:val="single" w:sz="4" w:space="0" w:color="auto"/>
            </w:tcBorders>
            <w:shd w:val="clear" w:color="auto" w:fill="auto"/>
            <w:noWrap/>
            <w:vAlign w:val="center"/>
            <w:hideMark/>
          </w:tcPr>
          <w:p w14:paraId="3840E2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84120312</w:t>
            </w:r>
          </w:p>
        </w:tc>
        <w:tc>
          <w:tcPr>
            <w:tcW w:w="160" w:type="dxa"/>
            <w:tcBorders>
              <w:top w:val="nil"/>
              <w:left w:val="nil"/>
              <w:bottom w:val="single" w:sz="4" w:space="0" w:color="auto"/>
              <w:right w:val="nil"/>
            </w:tcBorders>
            <w:vAlign w:val="center"/>
          </w:tcPr>
          <w:p w14:paraId="2C315F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397B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KULTURO, TURIZEM IN RAZVOJ OBČINE ROGATEC</w:t>
            </w:r>
          </w:p>
        </w:tc>
      </w:tr>
      <w:tr w:rsidR="00072A69" w:rsidRPr="00DC6DF9" w14:paraId="3AE759A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9B37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402</w:t>
            </w:r>
          </w:p>
        </w:tc>
        <w:tc>
          <w:tcPr>
            <w:tcW w:w="1036" w:type="dxa"/>
            <w:tcBorders>
              <w:top w:val="nil"/>
              <w:left w:val="nil"/>
              <w:bottom w:val="single" w:sz="4" w:space="0" w:color="auto"/>
              <w:right w:val="single" w:sz="4" w:space="0" w:color="auto"/>
            </w:tcBorders>
            <w:shd w:val="clear" w:color="auto" w:fill="auto"/>
            <w:noWrap/>
            <w:vAlign w:val="center"/>
            <w:hideMark/>
          </w:tcPr>
          <w:p w14:paraId="23BF3C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5640237000</w:t>
            </w:r>
          </w:p>
        </w:tc>
        <w:tc>
          <w:tcPr>
            <w:tcW w:w="1036" w:type="dxa"/>
            <w:tcBorders>
              <w:top w:val="nil"/>
              <w:left w:val="nil"/>
              <w:bottom w:val="single" w:sz="4" w:space="0" w:color="auto"/>
              <w:right w:val="single" w:sz="4" w:space="0" w:color="auto"/>
            </w:tcBorders>
            <w:shd w:val="clear" w:color="auto" w:fill="auto"/>
            <w:noWrap/>
            <w:vAlign w:val="center"/>
            <w:hideMark/>
          </w:tcPr>
          <w:p w14:paraId="7A849E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23313285</w:t>
            </w:r>
          </w:p>
        </w:tc>
        <w:tc>
          <w:tcPr>
            <w:tcW w:w="160" w:type="dxa"/>
            <w:tcBorders>
              <w:top w:val="nil"/>
              <w:left w:val="nil"/>
              <w:bottom w:val="single" w:sz="4" w:space="0" w:color="auto"/>
              <w:right w:val="nil"/>
            </w:tcBorders>
            <w:vAlign w:val="center"/>
          </w:tcPr>
          <w:p w14:paraId="4CB655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F299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OPRAVLJANJE SPREMLJAJOČIH DEJAVNOSTI VZGOJE IN IZOBRAŽEVANJA MURSKA SOBOTA</w:t>
            </w:r>
          </w:p>
        </w:tc>
      </w:tr>
      <w:tr w:rsidR="00072A69" w:rsidRPr="00DC6DF9" w14:paraId="6CC8CEB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6716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403</w:t>
            </w:r>
          </w:p>
        </w:tc>
        <w:tc>
          <w:tcPr>
            <w:tcW w:w="1036" w:type="dxa"/>
            <w:tcBorders>
              <w:top w:val="nil"/>
              <w:left w:val="nil"/>
              <w:bottom w:val="single" w:sz="4" w:space="0" w:color="auto"/>
              <w:right w:val="single" w:sz="4" w:space="0" w:color="auto"/>
            </w:tcBorders>
            <w:shd w:val="clear" w:color="auto" w:fill="auto"/>
            <w:noWrap/>
            <w:vAlign w:val="center"/>
            <w:hideMark/>
          </w:tcPr>
          <w:p w14:paraId="05E202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1870998000</w:t>
            </w:r>
          </w:p>
        </w:tc>
        <w:tc>
          <w:tcPr>
            <w:tcW w:w="1036" w:type="dxa"/>
            <w:tcBorders>
              <w:top w:val="nil"/>
              <w:left w:val="nil"/>
              <w:bottom w:val="single" w:sz="4" w:space="0" w:color="auto"/>
              <w:right w:val="single" w:sz="4" w:space="0" w:color="auto"/>
            </w:tcBorders>
            <w:shd w:val="clear" w:color="auto" w:fill="auto"/>
            <w:noWrap/>
            <w:vAlign w:val="center"/>
            <w:hideMark/>
          </w:tcPr>
          <w:p w14:paraId="4A96F2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43277675</w:t>
            </w:r>
          </w:p>
        </w:tc>
        <w:tc>
          <w:tcPr>
            <w:tcW w:w="160" w:type="dxa"/>
            <w:tcBorders>
              <w:top w:val="nil"/>
              <w:left w:val="nil"/>
              <w:bottom w:val="single" w:sz="4" w:space="0" w:color="auto"/>
              <w:right w:val="nil"/>
            </w:tcBorders>
            <w:vAlign w:val="center"/>
          </w:tcPr>
          <w:p w14:paraId="1BEC6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C55E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ŠPORT MESTNE OBČINE KOPER</w:t>
            </w:r>
          </w:p>
        </w:tc>
      </w:tr>
      <w:tr w:rsidR="00072A69" w:rsidRPr="00DC6DF9" w14:paraId="4B8240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AF22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404</w:t>
            </w:r>
          </w:p>
        </w:tc>
        <w:tc>
          <w:tcPr>
            <w:tcW w:w="1036" w:type="dxa"/>
            <w:tcBorders>
              <w:top w:val="nil"/>
              <w:left w:val="nil"/>
              <w:bottom w:val="single" w:sz="4" w:space="0" w:color="auto"/>
              <w:right w:val="single" w:sz="4" w:space="0" w:color="auto"/>
            </w:tcBorders>
            <w:shd w:val="clear" w:color="auto" w:fill="auto"/>
            <w:noWrap/>
            <w:vAlign w:val="center"/>
            <w:hideMark/>
          </w:tcPr>
          <w:p w14:paraId="4FCFBC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5987261000</w:t>
            </w:r>
          </w:p>
        </w:tc>
        <w:tc>
          <w:tcPr>
            <w:tcW w:w="1036" w:type="dxa"/>
            <w:tcBorders>
              <w:top w:val="nil"/>
              <w:left w:val="nil"/>
              <w:bottom w:val="single" w:sz="4" w:space="0" w:color="auto"/>
              <w:right w:val="single" w:sz="4" w:space="0" w:color="auto"/>
            </w:tcBorders>
            <w:shd w:val="clear" w:color="auto" w:fill="auto"/>
            <w:noWrap/>
            <w:vAlign w:val="center"/>
            <w:hideMark/>
          </w:tcPr>
          <w:p w14:paraId="6F85F2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19123426</w:t>
            </w:r>
          </w:p>
        </w:tc>
        <w:tc>
          <w:tcPr>
            <w:tcW w:w="160" w:type="dxa"/>
            <w:tcBorders>
              <w:top w:val="nil"/>
              <w:left w:val="nil"/>
              <w:bottom w:val="single" w:sz="4" w:space="0" w:color="auto"/>
              <w:right w:val="nil"/>
            </w:tcBorders>
            <w:vAlign w:val="center"/>
          </w:tcPr>
          <w:p w14:paraId="00A274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48D0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ŠPORT NOVA GORICA</w:t>
            </w:r>
          </w:p>
        </w:tc>
      </w:tr>
      <w:tr w:rsidR="00072A69" w:rsidRPr="00DC6DF9" w14:paraId="50894E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EC72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405</w:t>
            </w:r>
          </w:p>
        </w:tc>
        <w:tc>
          <w:tcPr>
            <w:tcW w:w="1036" w:type="dxa"/>
            <w:tcBorders>
              <w:top w:val="nil"/>
              <w:left w:val="nil"/>
              <w:bottom w:val="single" w:sz="4" w:space="0" w:color="auto"/>
              <w:right w:val="single" w:sz="4" w:space="0" w:color="auto"/>
            </w:tcBorders>
            <w:shd w:val="clear" w:color="auto" w:fill="auto"/>
            <w:noWrap/>
            <w:vAlign w:val="center"/>
            <w:hideMark/>
          </w:tcPr>
          <w:p w14:paraId="2FFDDB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1306359000</w:t>
            </w:r>
          </w:p>
        </w:tc>
        <w:tc>
          <w:tcPr>
            <w:tcW w:w="1036" w:type="dxa"/>
            <w:tcBorders>
              <w:top w:val="nil"/>
              <w:left w:val="nil"/>
              <w:bottom w:val="single" w:sz="4" w:space="0" w:color="auto"/>
              <w:right w:val="single" w:sz="4" w:space="0" w:color="auto"/>
            </w:tcBorders>
            <w:shd w:val="clear" w:color="auto" w:fill="auto"/>
            <w:noWrap/>
            <w:vAlign w:val="center"/>
            <w:hideMark/>
          </w:tcPr>
          <w:p w14:paraId="38CFF9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74108549</w:t>
            </w:r>
          </w:p>
        </w:tc>
        <w:tc>
          <w:tcPr>
            <w:tcW w:w="160" w:type="dxa"/>
            <w:tcBorders>
              <w:top w:val="nil"/>
              <w:left w:val="nil"/>
              <w:bottom w:val="single" w:sz="4" w:space="0" w:color="auto"/>
              <w:right w:val="nil"/>
            </w:tcBorders>
            <w:vAlign w:val="center"/>
          </w:tcPr>
          <w:p w14:paraId="1DB648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04B4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ŠPORT SLOV. BISTRICA</w:t>
            </w:r>
          </w:p>
        </w:tc>
      </w:tr>
      <w:tr w:rsidR="00072A69" w:rsidRPr="00DC6DF9" w14:paraId="4CEA96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9FD1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406</w:t>
            </w:r>
          </w:p>
        </w:tc>
        <w:tc>
          <w:tcPr>
            <w:tcW w:w="1036" w:type="dxa"/>
            <w:tcBorders>
              <w:top w:val="nil"/>
              <w:left w:val="nil"/>
              <w:bottom w:val="single" w:sz="4" w:space="0" w:color="auto"/>
              <w:right w:val="single" w:sz="4" w:space="0" w:color="auto"/>
            </w:tcBorders>
            <w:shd w:val="clear" w:color="auto" w:fill="auto"/>
            <w:noWrap/>
            <w:vAlign w:val="center"/>
            <w:hideMark/>
          </w:tcPr>
          <w:p w14:paraId="144377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7260300000</w:t>
            </w:r>
          </w:p>
        </w:tc>
        <w:tc>
          <w:tcPr>
            <w:tcW w:w="1036" w:type="dxa"/>
            <w:tcBorders>
              <w:top w:val="nil"/>
              <w:left w:val="nil"/>
              <w:bottom w:val="single" w:sz="4" w:space="0" w:color="auto"/>
              <w:right w:val="single" w:sz="4" w:space="0" w:color="auto"/>
            </w:tcBorders>
            <w:shd w:val="clear" w:color="auto" w:fill="auto"/>
            <w:noWrap/>
            <w:vAlign w:val="center"/>
            <w:hideMark/>
          </w:tcPr>
          <w:p w14:paraId="7B44F1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15230627</w:t>
            </w:r>
          </w:p>
        </w:tc>
        <w:tc>
          <w:tcPr>
            <w:tcW w:w="160" w:type="dxa"/>
            <w:tcBorders>
              <w:top w:val="nil"/>
              <w:left w:val="nil"/>
              <w:bottom w:val="single" w:sz="4" w:space="0" w:color="auto"/>
              <w:right w:val="nil"/>
            </w:tcBorders>
            <w:vAlign w:val="center"/>
          </w:tcPr>
          <w:p w14:paraId="1F0413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73F0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TURIZEM DOLINA SOČE</w:t>
            </w:r>
          </w:p>
        </w:tc>
      </w:tr>
      <w:tr w:rsidR="00072A69" w:rsidRPr="00DC6DF9" w14:paraId="67B07D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A57A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407</w:t>
            </w:r>
          </w:p>
        </w:tc>
        <w:tc>
          <w:tcPr>
            <w:tcW w:w="1036" w:type="dxa"/>
            <w:tcBorders>
              <w:top w:val="nil"/>
              <w:left w:val="nil"/>
              <w:bottom w:val="single" w:sz="4" w:space="0" w:color="auto"/>
              <w:right w:val="single" w:sz="4" w:space="0" w:color="auto"/>
            </w:tcBorders>
            <w:shd w:val="clear" w:color="auto" w:fill="auto"/>
            <w:noWrap/>
            <w:vAlign w:val="center"/>
            <w:hideMark/>
          </w:tcPr>
          <w:p w14:paraId="0D4F95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7040245000</w:t>
            </w:r>
          </w:p>
        </w:tc>
        <w:tc>
          <w:tcPr>
            <w:tcW w:w="1036" w:type="dxa"/>
            <w:tcBorders>
              <w:top w:val="nil"/>
              <w:left w:val="nil"/>
              <w:bottom w:val="single" w:sz="4" w:space="0" w:color="auto"/>
              <w:right w:val="single" w:sz="4" w:space="0" w:color="auto"/>
            </w:tcBorders>
            <w:shd w:val="clear" w:color="auto" w:fill="auto"/>
            <w:noWrap/>
            <w:vAlign w:val="center"/>
            <w:hideMark/>
          </w:tcPr>
          <w:p w14:paraId="412589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87736586</w:t>
            </w:r>
          </w:p>
        </w:tc>
        <w:tc>
          <w:tcPr>
            <w:tcW w:w="160" w:type="dxa"/>
            <w:tcBorders>
              <w:top w:val="nil"/>
              <w:left w:val="nil"/>
              <w:bottom w:val="single" w:sz="4" w:space="0" w:color="auto"/>
              <w:right w:val="nil"/>
            </w:tcBorders>
            <w:vAlign w:val="center"/>
          </w:tcPr>
          <w:p w14:paraId="5823CD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9037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TURIZEM PTUJ</w:t>
            </w:r>
          </w:p>
        </w:tc>
      </w:tr>
      <w:tr w:rsidR="00072A69" w:rsidRPr="00DC6DF9" w14:paraId="256F8D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D54B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408</w:t>
            </w:r>
          </w:p>
        </w:tc>
        <w:tc>
          <w:tcPr>
            <w:tcW w:w="1036" w:type="dxa"/>
            <w:tcBorders>
              <w:top w:val="nil"/>
              <w:left w:val="nil"/>
              <w:bottom w:val="single" w:sz="4" w:space="0" w:color="auto"/>
              <w:right w:val="single" w:sz="4" w:space="0" w:color="auto"/>
            </w:tcBorders>
            <w:shd w:val="clear" w:color="auto" w:fill="auto"/>
            <w:noWrap/>
            <w:vAlign w:val="center"/>
            <w:hideMark/>
          </w:tcPr>
          <w:p w14:paraId="29BB67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3597121000</w:t>
            </w:r>
          </w:p>
        </w:tc>
        <w:tc>
          <w:tcPr>
            <w:tcW w:w="1036" w:type="dxa"/>
            <w:tcBorders>
              <w:top w:val="nil"/>
              <w:left w:val="nil"/>
              <w:bottom w:val="single" w:sz="4" w:space="0" w:color="auto"/>
              <w:right w:val="single" w:sz="4" w:space="0" w:color="auto"/>
            </w:tcBorders>
            <w:shd w:val="clear" w:color="auto" w:fill="auto"/>
            <w:noWrap/>
            <w:vAlign w:val="center"/>
            <w:hideMark/>
          </w:tcPr>
          <w:p w14:paraId="1571BD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54340306</w:t>
            </w:r>
          </w:p>
        </w:tc>
        <w:tc>
          <w:tcPr>
            <w:tcW w:w="160" w:type="dxa"/>
            <w:tcBorders>
              <w:top w:val="nil"/>
              <w:left w:val="nil"/>
              <w:bottom w:val="single" w:sz="4" w:space="0" w:color="auto"/>
              <w:right w:val="nil"/>
            </w:tcBorders>
            <w:vAlign w:val="center"/>
          </w:tcPr>
          <w:p w14:paraId="476E93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1053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TURIZEM, ŠPORT IN KULTURO DOBRNA</w:t>
            </w:r>
          </w:p>
        </w:tc>
      </w:tr>
      <w:tr w:rsidR="00072A69" w:rsidRPr="00DC6DF9" w14:paraId="741AC6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9DC7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409</w:t>
            </w:r>
          </w:p>
        </w:tc>
        <w:tc>
          <w:tcPr>
            <w:tcW w:w="1036" w:type="dxa"/>
            <w:tcBorders>
              <w:top w:val="nil"/>
              <w:left w:val="nil"/>
              <w:bottom w:val="single" w:sz="4" w:space="0" w:color="auto"/>
              <w:right w:val="single" w:sz="4" w:space="0" w:color="auto"/>
            </w:tcBorders>
            <w:shd w:val="clear" w:color="auto" w:fill="auto"/>
            <w:noWrap/>
            <w:vAlign w:val="center"/>
            <w:hideMark/>
          </w:tcPr>
          <w:p w14:paraId="16FB88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3391817000</w:t>
            </w:r>
          </w:p>
        </w:tc>
        <w:tc>
          <w:tcPr>
            <w:tcW w:w="1036" w:type="dxa"/>
            <w:tcBorders>
              <w:top w:val="nil"/>
              <w:left w:val="nil"/>
              <w:bottom w:val="single" w:sz="4" w:space="0" w:color="auto"/>
              <w:right w:val="single" w:sz="4" w:space="0" w:color="auto"/>
            </w:tcBorders>
            <w:shd w:val="clear" w:color="auto" w:fill="auto"/>
            <w:noWrap/>
            <w:vAlign w:val="center"/>
            <w:hideMark/>
          </w:tcPr>
          <w:p w14:paraId="4A9DC7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83975071</w:t>
            </w:r>
          </w:p>
        </w:tc>
        <w:tc>
          <w:tcPr>
            <w:tcW w:w="160" w:type="dxa"/>
            <w:tcBorders>
              <w:top w:val="nil"/>
              <w:left w:val="nil"/>
              <w:bottom w:val="single" w:sz="4" w:space="0" w:color="auto"/>
              <w:right w:val="nil"/>
            </w:tcBorders>
            <w:vAlign w:val="center"/>
          </w:tcPr>
          <w:p w14:paraId="21F6005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7712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TURIZEM, ŠPORT, MLADINSKE IN SOCIALNE PROGRAME SPOTUR SLOVENJ GRADEC</w:t>
            </w:r>
          </w:p>
        </w:tc>
      </w:tr>
      <w:tr w:rsidR="00072A69" w:rsidRPr="00DC6DF9" w14:paraId="43EAD7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2FBB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410</w:t>
            </w:r>
          </w:p>
        </w:tc>
        <w:tc>
          <w:tcPr>
            <w:tcW w:w="1036" w:type="dxa"/>
            <w:tcBorders>
              <w:top w:val="nil"/>
              <w:left w:val="nil"/>
              <w:bottom w:val="single" w:sz="4" w:space="0" w:color="auto"/>
              <w:right w:val="single" w:sz="4" w:space="0" w:color="auto"/>
            </w:tcBorders>
            <w:shd w:val="clear" w:color="auto" w:fill="auto"/>
            <w:noWrap/>
            <w:vAlign w:val="center"/>
            <w:hideMark/>
          </w:tcPr>
          <w:p w14:paraId="3C4948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6461921000</w:t>
            </w:r>
          </w:p>
        </w:tc>
        <w:tc>
          <w:tcPr>
            <w:tcW w:w="1036" w:type="dxa"/>
            <w:tcBorders>
              <w:top w:val="nil"/>
              <w:left w:val="nil"/>
              <w:bottom w:val="single" w:sz="4" w:space="0" w:color="auto"/>
              <w:right w:val="single" w:sz="4" w:space="0" w:color="auto"/>
            </w:tcBorders>
            <w:shd w:val="clear" w:color="auto" w:fill="auto"/>
            <w:noWrap/>
            <w:vAlign w:val="center"/>
            <w:hideMark/>
          </w:tcPr>
          <w:p w14:paraId="62616D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37502808</w:t>
            </w:r>
          </w:p>
        </w:tc>
        <w:tc>
          <w:tcPr>
            <w:tcW w:w="160" w:type="dxa"/>
            <w:tcBorders>
              <w:top w:val="nil"/>
              <w:left w:val="nil"/>
              <w:bottom w:val="single" w:sz="4" w:space="0" w:color="auto"/>
              <w:right w:val="nil"/>
            </w:tcBorders>
            <w:vAlign w:val="center"/>
          </w:tcPr>
          <w:p w14:paraId="4EA4AC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732F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JAVNI ZAVOD ZA UPRAVLJANJE DEDIŠČINE IN TURIZEM PIVKA</w:t>
            </w:r>
          </w:p>
        </w:tc>
      </w:tr>
      <w:tr w:rsidR="00072A69" w:rsidRPr="00DC6DF9" w14:paraId="1C6568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47B5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411</w:t>
            </w:r>
          </w:p>
        </w:tc>
        <w:tc>
          <w:tcPr>
            <w:tcW w:w="1036" w:type="dxa"/>
            <w:tcBorders>
              <w:top w:val="nil"/>
              <w:left w:val="nil"/>
              <w:bottom w:val="single" w:sz="4" w:space="0" w:color="auto"/>
              <w:right w:val="single" w:sz="4" w:space="0" w:color="auto"/>
            </w:tcBorders>
            <w:shd w:val="clear" w:color="auto" w:fill="auto"/>
            <w:noWrap/>
            <w:vAlign w:val="center"/>
            <w:hideMark/>
          </w:tcPr>
          <w:p w14:paraId="10FE81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5945151000</w:t>
            </w:r>
          </w:p>
        </w:tc>
        <w:tc>
          <w:tcPr>
            <w:tcW w:w="1036" w:type="dxa"/>
            <w:tcBorders>
              <w:top w:val="nil"/>
              <w:left w:val="nil"/>
              <w:bottom w:val="single" w:sz="4" w:space="0" w:color="auto"/>
              <w:right w:val="single" w:sz="4" w:space="0" w:color="auto"/>
            </w:tcBorders>
            <w:shd w:val="clear" w:color="auto" w:fill="auto"/>
            <w:noWrap/>
            <w:vAlign w:val="center"/>
            <w:hideMark/>
          </w:tcPr>
          <w:p w14:paraId="0EC652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22513434</w:t>
            </w:r>
          </w:p>
        </w:tc>
        <w:tc>
          <w:tcPr>
            <w:tcW w:w="160" w:type="dxa"/>
            <w:tcBorders>
              <w:top w:val="nil"/>
              <w:left w:val="nil"/>
              <w:bottom w:val="single" w:sz="4" w:space="0" w:color="auto"/>
              <w:right w:val="nil"/>
            </w:tcBorders>
            <w:vAlign w:val="center"/>
          </w:tcPr>
          <w:p w14:paraId="694534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F447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BREZOVICA, D. O. O. </w:t>
            </w:r>
          </w:p>
        </w:tc>
      </w:tr>
      <w:tr w:rsidR="00072A69" w:rsidRPr="00DC6DF9" w14:paraId="0A26F0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756D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412</w:t>
            </w:r>
          </w:p>
        </w:tc>
        <w:tc>
          <w:tcPr>
            <w:tcW w:w="1036" w:type="dxa"/>
            <w:tcBorders>
              <w:top w:val="nil"/>
              <w:left w:val="nil"/>
              <w:bottom w:val="single" w:sz="4" w:space="0" w:color="auto"/>
              <w:right w:val="single" w:sz="4" w:space="0" w:color="auto"/>
            </w:tcBorders>
            <w:shd w:val="clear" w:color="auto" w:fill="auto"/>
            <w:noWrap/>
            <w:vAlign w:val="center"/>
            <w:hideMark/>
          </w:tcPr>
          <w:p w14:paraId="28FF91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5213258000</w:t>
            </w:r>
          </w:p>
        </w:tc>
        <w:tc>
          <w:tcPr>
            <w:tcW w:w="1036" w:type="dxa"/>
            <w:tcBorders>
              <w:top w:val="nil"/>
              <w:left w:val="nil"/>
              <w:bottom w:val="single" w:sz="4" w:space="0" w:color="auto"/>
              <w:right w:val="single" w:sz="4" w:space="0" w:color="auto"/>
            </w:tcBorders>
            <w:shd w:val="clear" w:color="auto" w:fill="auto"/>
            <w:noWrap/>
            <w:vAlign w:val="center"/>
            <w:hideMark/>
          </w:tcPr>
          <w:p w14:paraId="6F836A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72013257</w:t>
            </w:r>
          </w:p>
        </w:tc>
        <w:tc>
          <w:tcPr>
            <w:tcW w:w="160" w:type="dxa"/>
            <w:tcBorders>
              <w:top w:val="nil"/>
              <w:left w:val="nil"/>
              <w:bottom w:val="single" w:sz="4" w:space="0" w:color="auto"/>
              <w:right w:val="nil"/>
            </w:tcBorders>
            <w:vAlign w:val="center"/>
          </w:tcPr>
          <w:p w14:paraId="1FA2C1E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F5B4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DRAVOGRAD, D. O. O. </w:t>
            </w:r>
          </w:p>
        </w:tc>
      </w:tr>
      <w:tr w:rsidR="00072A69" w:rsidRPr="00DC6DF9" w14:paraId="7D325A6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F09C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413</w:t>
            </w:r>
          </w:p>
        </w:tc>
        <w:tc>
          <w:tcPr>
            <w:tcW w:w="1036" w:type="dxa"/>
            <w:tcBorders>
              <w:top w:val="nil"/>
              <w:left w:val="nil"/>
              <w:bottom w:val="single" w:sz="4" w:space="0" w:color="auto"/>
              <w:right w:val="single" w:sz="4" w:space="0" w:color="auto"/>
            </w:tcBorders>
            <w:shd w:val="clear" w:color="auto" w:fill="auto"/>
            <w:noWrap/>
            <w:vAlign w:val="center"/>
            <w:hideMark/>
          </w:tcPr>
          <w:p w14:paraId="33ACCA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5144574000</w:t>
            </w:r>
          </w:p>
        </w:tc>
        <w:tc>
          <w:tcPr>
            <w:tcW w:w="1036" w:type="dxa"/>
            <w:tcBorders>
              <w:top w:val="nil"/>
              <w:left w:val="nil"/>
              <w:bottom w:val="single" w:sz="4" w:space="0" w:color="auto"/>
              <w:right w:val="single" w:sz="4" w:space="0" w:color="auto"/>
            </w:tcBorders>
            <w:shd w:val="clear" w:color="auto" w:fill="auto"/>
            <w:noWrap/>
            <w:vAlign w:val="center"/>
            <w:hideMark/>
          </w:tcPr>
          <w:p w14:paraId="06D4E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65119037</w:t>
            </w:r>
          </w:p>
        </w:tc>
        <w:tc>
          <w:tcPr>
            <w:tcW w:w="160" w:type="dxa"/>
            <w:tcBorders>
              <w:top w:val="nil"/>
              <w:left w:val="nil"/>
              <w:bottom w:val="single" w:sz="4" w:space="0" w:color="auto"/>
              <w:right w:val="nil"/>
            </w:tcBorders>
            <w:vAlign w:val="center"/>
          </w:tcPr>
          <w:p w14:paraId="2FC900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2771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GROSUPLJE, D. O. O. </w:t>
            </w:r>
          </w:p>
        </w:tc>
      </w:tr>
      <w:tr w:rsidR="00072A69" w:rsidRPr="00DC6DF9" w14:paraId="02DD75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C333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414</w:t>
            </w:r>
          </w:p>
        </w:tc>
        <w:tc>
          <w:tcPr>
            <w:tcW w:w="1036" w:type="dxa"/>
            <w:tcBorders>
              <w:top w:val="nil"/>
              <w:left w:val="nil"/>
              <w:bottom w:val="single" w:sz="4" w:space="0" w:color="auto"/>
              <w:right w:val="single" w:sz="4" w:space="0" w:color="auto"/>
            </w:tcBorders>
            <w:shd w:val="clear" w:color="auto" w:fill="auto"/>
            <w:noWrap/>
            <w:vAlign w:val="center"/>
            <w:hideMark/>
          </w:tcPr>
          <w:p w14:paraId="4EAB02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5067804000</w:t>
            </w:r>
          </w:p>
        </w:tc>
        <w:tc>
          <w:tcPr>
            <w:tcW w:w="1036" w:type="dxa"/>
            <w:tcBorders>
              <w:top w:val="nil"/>
              <w:left w:val="nil"/>
              <w:bottom w:val="single" w:sz="4" w:space="0" w:color="auto"/>
              <w:right w:val="single" w:sz="4" w:space="0" w:color="auto"/>
            </w:tcBorders>
            <w:shd w:val="clear" w:color="auto" w:fill="auto"/>
            <w:noWrap/>
            <w:vAlign w:val="center"/>
            <w:hideMark/>
          </w:tcPr>
          <w:p w14:paraId="119D22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10626271</w:t>
            </w:r>
          </w:p>
        </w:tc>
        <w:tc>
          <w:tcPr>
            <w:tcW w:w="160" w:type="dxa"/>
            <w:tcBorders>
              <w:top w:val="nil"/>
              <w:left w:val="nil"/>
              <w:bottom w:val="single" w:sz="4" w:space="0" w:color="auto"/>
              <w:right w:val="nil"/>
            </w:tcBorders>
            <w:vAlign w:val="center"/>
          </w:tcPr>
          <w:p w14:paraId="5450F71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2350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KOMUNALA KOČEVJE, D. O. O. </w:t>
            </w:r>
          </w:p>
        </w:tc>
      </w:tr>
      <w:tr w:rsidR="00072A69" w:rsidRPr="00DC6DF9" w14:paraId="26EB28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FAE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415</w:t>
            </w:r>
          </w:p>
        </w:tc>
        <w:tc>
          <w:tcPr>
            <w:tcW w:w="1036" w:type="dxa"/>
            <w:tcBorders>
              <w:top w:val="nil"/>
              <w:left w:val="nil"/>
              <w:bottom w:val="single" w:sz="4" w:space="0" w:color="auto"/>
              <w:right w:val="single" w:sz="4" w:space="0" w:color="auto"/>
            </w:tcBorders>
            <w:shd w:val="clear" w:color="auto" w:fill="auto"/>
            <w:noWrap/>
            <w:vAlign w:val="center"/>
            <w:hideMark/>
          </w:tcPr>
          <w:p w14:paraId="28D791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5068053000</w:t>
            </w:r>
          </w:p>
        </w:tc>
        <w:tc>
          <w:tcPr>
            <w:tcW w:w="1036" w:type="dxa"/>
            <w:tcBorders>
              <w:top w:val="nil"/>
              <w:left w:val="nil"/>
              <w:bottom w:val="single" w:sz="4" w:space="0" w:color="auto"/>
              <w:right w:val="single" w:sz="4" w:space="0" w:color="auto"/>
            </w:tcBorders>
            <w:shd w:val="clear" w:color="auto" w:fill="auto"/>
            <w:noWrap/>
            <w:vAlign w:val="center"/>
            <w:hideMark/>
          </w:tcPr>
          <w:p w14:paraId="7102DC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81322496</w:t>
            </w:r>
          </w:p>
        </w:tc>
        <w:tc>
          <w:tcPr>
            <w:tcW w:w="160" w:type="dxa"/>
            <w:tcBorders>
              <w:top w:val="nil"/>
              <w:left w:val="nil"/>
              <w:bottom w:val="single" w:sz="4" w:space="0" w:color="auto"/>
              <w:right w:val="nil"/>
            </w:tcBorders>
            <w:vAlign w:val="center"/>
          </w:tcPr>
          <w:p w14:paraId="15BF0D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732F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KOMUNALA RIBNICA, D. O. O. </w:t>
            </w:r>
          </w:p>
        </w:tc>
      </w:tr>
      <w:tr w:rsidR="00072A69" w:rsidRPr="00DC6DF9" w14:paraId="704E199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6B09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w:t>
            </w:r>
          </w:p>
        </w:tc>
        <w:tc>
          <w:tcPr>
            <w:tcW w:w="1036" w:type="dxa"/>
            <w:tcBorders>
              <w:top w:val="nil"/>
              <w:left w:val="nil"/>
              <w:bottom w:val="single" w:sz="4" w:space="0" w:color="auto"/>
              <w:right w:val="single" w:sz="4" w:space="0" w:color="auto"/>
            </w:tcBorders>
            <w:shd w:val="clear" w:color="auto" w:fill="auto"/>
            <w:noWrap/>
            <w:vAlign w:val="center"/>
            <w:hideMark/>
          </w:tcPr>
          <w:p w14:paraId="7353A5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5102103000</w:t>
            </w:r>
          </w:p>
        </w:tc>
        <w:tc>
          <w:tcPr>
            <w:tcW w:w="1036" w:type="dxa"/>
            <w:tcBorders>
              <w:top w:val="nil"/>
              <w:left w:val="nil"/>
              <w:bottom w:val="single" w:sz="4" w:space="0" w:color="auto"/>
              <w:right w:val="single" w:sz="4" w:space="0" w:color="auto"/>
            </w:tcBorders>
            <w:shd w:val="clear" w:color="auto" w:fill="auto"/>
            <w:noWrap/>
            <w:vAlign w:val="center"/>
            <w:hideMark/>
          </w:tcPr>
          <w:p w14:paraId="6B04FD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23002107</w:t>
            </w:r>
          </w:p>
        </w:tc>
        <w:tc>
          <w:tcPr>
            <w:tcW w:w="160" w:type="dxa"/>
            <w:tcBorders>
              <w:top w:val="nil"/>
              <w:left w:val="nil"/>
              <w:bottom w:val="single" w:sz="4" w:space="0" w:color="auto"/>
              <w:right w:val="nil"/>
            </w:tcBorders>
            <w:vAlign w:val="center"/>
          </w:tcPr>
          <w:p w14:paraId="3972A2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C7AD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LOG, D. O. O. </w:t>
            </w:r>
          </w:p>
        </w:tc>
      </w:tr>
      <w:tr w:rsidR="00072A69" w:rsidRPr="00DC6DF9" w14:paraId="0A1983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3959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417</w:t>
            </w:r>
          </w:p>
        </w:tc>
        <w:tc>
          <w:tcPr>
            <w:tcW w:w="1036" w:type="dxa"/>
            <w:tcBorders>
              <w:top w:val="nil"/>
              <w:left w:val="nil"/>
              <w:bottom w:val="single" w:sz="4" w:space="0" w:color="auto"/>
              <w:right w:val="single" w:sz="4" w:space="0" w:color="auto"/>
            </w:tcBorders>
            <w:shd w:val="clear" w:color="auto" w:fill="auto"/>
            <w:noWrap/>
            <w:vAlign w:val="center"/>
            <w:hideMark/>
          </w:tcPr>
          <w:p w14:paraId="563314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5227739000</w:t>
            </w:r>
          </w:p>
        </w:tc>
        <w:tc>
          <w:tcPr>
            <w:tcW w:w="1036" w:type="dxa"/>
            <w:tcBorders>
              <w:top w:val="nil"/>
              <w:left w:val="nil"/>
              <w:bottom w:val="single" w:sz="4" w:space="0" w:color="auto"/>
              <w:right w:val="single" w:sz="4" w:space="0" w:color="auto"/>
            </w:tcBorders>
            <w:shd w:val="clear" w:color="auto" w:fill="auto"/>
            <w:noWrap/>
            <w:vAlign w:val="center"/>
            <w:hideMark/>
          </w:tcPr>
          <w:p w14:paraId="00AFD2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54471656</w:t>
            </w:r>
          </w:p>
        </w:tc>
        <w:tc>
          <w:tcPr>
            <w:tcW w:w="160" w:type="dxa"/>
            <w:tcBorders>
              <w:top w:val="nil"/>
              <w:left w:val="nil"/>
              <w:bottom w:val="single" w:sz="4" w:space="0" w:color="auto"/>
              <w:right w:val="nil"/>
            </w:tcBorders>
            <w:vAlign w:val="center"/>
          </w:tcPr>
          <w:p w14:paraId="7437067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0111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PRODNIK, D. O. O. </w:t>
            </w:r>
          </w:p>
        </w:tc>
      </w:tr>
      <w:tr w:rsidR="00072A69" w:rsidRPr="00DC6DF9" w14:paraId="7882CD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DFF7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418</w:t>
            </w:r>
          </w:p>
        </w:tc>
        <w:tc>
          <w:tcPr>
            <w:tcW w:w="1036" w:type="dxa"/>
            <w:tcBorders>
              <w:top w:val="nil"/>
              <w:left w:val="nil"/>
              <w:bottom w:val="single" w:sz="4" w:space="0" w:color="auto"/>
              <w:right w:val="single" w:sz="4" w:space="0" w:color="auto"/>
            </w:tcBorders>
            <w:shd w:val="clear" w:color="auto" w:fill="auto"/>
            <w:noWrap/>
            <w:vAlign w:val="center"/>
            <w:hideMark/>
          </w:tcPr>
          <w:p w14:paraId="1E20F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7197187000</w:t>
            </w:r>
          </w:p>
        </w:tc>
        <w:tc>
          <w:tcPr>
            <w:tcW w:w="1036" w:type="dxa"/>
            <w:tcBorders>
              <w:top w:val="nil"/>
              <w:left w:val="nil"/>
              <w:bottom w:val="single" w:sz="4" w:space="0" w:color="auto"/>
              <w:right w:val="single" w:sz="4" w:space="0" w:color="auto"/>
            </w:tcBorders>
            <w:shd w:val="clear" w:color="auto" w:fill="auto"/>
            <w:noWrap/>
            <w:vAlign w:val="center"/>
            <w:hideMark/>
          </w:tcPr>
          <w:p w14:paraId="72B0C8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20356846</w:t>
            </w:r>
          </w:p>
        </w:tc>
        <w:tc>
          <w:tcPr>
            <w:tcW w:w="160" w:type="dxa"/>
            <w:tcBorders>
              <w:top w:val="nil"/>
              <w:left w:val="nil"/>
              <w:bottom w:val="single" w:sz="4" w:space="0" w:color="auto"/>
              <w:right w:val="nil"/>
            </w:tcBorders>
            <w:vAlign w:val="center"/>
          </w:tcPr>
          <w:p w14:paraId="0310D9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7195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RAVNE NA KOROŠKEM, D. O. O. </w:t>
            </w:r>
          </w:p>
        </w:tc>
      </w:tr>
      <w:tr w:rsidR="00072A69" w:rsidRPr="00DC6DF9" w14:paraId="32ABA0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1CA1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419</w:t>
            </w:r>
          </w:p>
        </w:tc>
        <w:tc>
          <w:tcPr>
            <w:tcW w:w="1036" w:type="dxa"/>
            <w:tcBorders>
              <w:top w:val="nil"/>
              <w:left w:val="nil"/>
              <w:bottom w:val="single" w:sz="4" w:space="0" w:color="auto"/>
              <w:right w:val="single" w:sz="4" w:space="0" w:color="auto"/>
            </w:tcBorders>
            <w:shd w:val="clear" w:color="auto" w:fill="auto"/>
            <w:noWrap/>
            <w:vAlign w:val="center"/>
            <w:hideMark/>
          </w:tcPr>
          <w:p w14:paraId="5E719D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5068126000</w:t>
            </w:r>
          </w:p>
        </w:tc>
        <w:tc>
          <w:tcPr>
            <w:tcW w:w="1036" w:type="dxa"/>
            <w:tcBorders>
              <w:top w:val="nil"/>
              <w:left w:val="nil"/>
              <w:bottom w:val="single" w:sz="4" w:space="0" w:color="auto"/>
              <w:right w:val="single" w:sz="4" w:space="0" w:color="auto"/>
            </w:tcBorders>
            <w:shd w:val="clear" w:color="auto" w:fill="auto"/>
            <w:noWrap/>
            <w:vAlign w:val="center"/>
            <w:hideMark/>
          </w:tcPr>
          <w:p w14:paraId="47C6E0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85452360</w:t>
            </w:r>
          </w:p>
        </w:tc>
        <w:tc>
          <w:tcPr>
            <w:tcW w:w="160" w:type="dxa"/>
            <w:tcBorders>
              <w:top w:val="nil"/>
              <w:left w:val="nil"/>
              <w:bottom w:val="single" w:sz="4" w:space="0" w:color="auto"/>
              <w:right w:val="nil"/>
            </w:tcBorders>
            <w:vAlign w:val="center"/>
          </w:tcPr>
          <w:p w14:paraId="339DB1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ABD8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SLOVENSKE KONJICE, D. O. O.  </w:t>
            </w:r>
          </w:p>
        </w:tc>
      </w:tr>
      <w:tr w:rsidR="00072A69" w:rsidRPr="00DC6DF9" w14:paraId="3A1DAF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3FF9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420</w:t>
            </w:r>
          </w:p>
        </w:tc>
        <w:tc>
          <w:tcPr>
            <w:tcW w:w="1036" w:type="dxa"/>
            <w:tcBorders>
              <w:top w:val="nil"/>
              <w:left w:val="nil"/>
              <w:bottom w:val="single" w:sz="4" w:space="0" w:color="auto"/>
              <w:right w:val="single" w:sz="4" w:space="0" w:color="auto"/>
            </w:tcBorders>
            <w:shd w:val="clear" w:color="auto" w:fill="auto"/>
            <w:noWrap/>
            <w:vAlign w:val="center"/>
            <w:hideMark/>
          </w:tcPr>
          <w:p w14:paraId="1A533F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5068134000</w:t>
            </w:r>
          </w:p>
        </w:tc>
        <w:tc>
          <w:tcPr>
            <w:tcW w:w="1036" w:type="dxa"/>
            <w:tcBorders>
              <w:top w:val="nil"/>
              <w:left w:val="nil"/>
              <w:bottom w:val="single" w:sz="4" w:space="0" w:color="auto"/>
              <w:right w:val="single" w:sz="4" w:space="0" w:color="auto"/>
            </w:tcBorders>
            <w:shd w:val="clear" w:color="auto" w:fill="auto"/>
            <w:noWrap/>
            <w:vAlign w:val="center"/>
            <w:hideMark/>
          </w:tcPr>
          <w:p w14:paraId="06AA6F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94086362</w:t>
            </w:r>
          </w:p>
        </w:tc>
        <w:tc>
          <w:tcPr>
            <w:tcW w:w="160" w:type="dxa"/>
            <w:tcBorders>
              <w:top w:val="nil"/>
              <w:left w:val="nil"/>
              <w:bottom w:val="single" w:sz="4" w:space="0" w:color="auto"/>
              <w:right w:val="nil"/>
            </w:tcBorders>
            <w:vAlign w:val="center"/>
          </w:tcPr>
          <w:p w14:paraId="538BBF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4A07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KOMUNALNO PODJETJE ŽALEC, D. O. O. </w:t>
            </w:r>
          </w:p>
        </w:tc>
      </w:tr>
      <w:tr w:rsidR="00072A69" w:rsidRPr="00DC6DF9" w14:paraId="10EA41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E8CD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w:t>
            </w:r>
          </w:p>
        </w:tc>
        <w:tc>
          <w:tcPr>
            <w:tcW w:w="1036" w:type="dxa"/>
            <w:tcBorders>
              <w:top w:val="nil"/>
              <w:left w:val="nil"/>
              <w:bottom w:val="single" w:sz="4" w:space="0" w:color="auto"/>
              <w:right w:val="single" w:sz="4" w:space="0" w:color="auto"/>
            </w:tcBorders>
            <w:shd w:val="clear" w:color="auto" w:fill="auto"/>
            <w:noWrap/>
            <w:vAlign w:val="center"/>
            <w:hideMark/>
          </w:tcPr>
          <w:p w14:paraId="412338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5067782000</w:t>
            </w:r>
          </w:p>
        </w:tc>
        <w:tc>
          <w:tcPr>
            <w:tcW w:w="1036" w:type="dxa"/>
            <w:tcBorders>
              <w:top w:val="nil"/>
              <w:left w:val="nil"/>
              <w:bottom w:val="single" w:sz="4" w:space="0" w:color="auto"/>
              <w:right w:val="single" w:sz="4" w:space="0" w:color="auto"/>
            </w:tcBorders>
            <w:shd w:val="clear" w:color="auto" w:fill="auto"/>
            <w:noWrap/>
            <w:vAlign w:val="center"/>
            <w:hideMark/>
          </w:tcPr>
          <w:p w14:paraId="7F3968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25717715</w:t>
            </w:r>
          </w:p>
        </w:tc>
        <w:tc>
          <w:tcPr>
            <w:tcW w:w="160" w:type="dxa"/>
            <w:tcBorders>
              <w:top w:val="nil"/>
              <w:left w:val="nil"/>
              <w:bottom w:val="single" w:sz="4" w:space="0" w:color="auto"/>
              <w:right w:val="nil"/>
            </w:tcBorders>
            <w:vAlign w:val="center"/>
          </w:tcPr>
          <w:p w14:paraId="586BA0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0723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JAVNO PODJETJE - AZIENDA PUBLICA RIŽANSKI VODOVOD KOPER D. O. O.  - S.R.L.</w:t>
            </w:r>
          </w:p>
        </w:tc>
      </w:tr>
      <w:tr w:rsidR="00072A69" w:rsidRPr="00DC6DF9" w14:paraId="104B74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E4FD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422</w:t>
            </w:r>
          </w:p>
        </w:tc>
        <w:tc>
          <w:tcPr>
            <w:tcW w:w="1036" w:type="dxa"/>
            <w:tcBorders>
              <w:top w:val="nil"/>
              <w:left w:val="nil"/>
              <w:bottom w:val="single" w:sz="4" w:space="0" w:color="auto"/>
              <w:right w:val="single" w:sz="4" w:space="0" w:color="auto"/>
            </w:tcBorders>
            <w:shd w:val="clear" w:color="auto" w:fill="auto"/>
            <w:noWrap/>
            <w:vAlign w:val="center"/>
            <w:hideMark/>
          </w:tcPr>
          <w:p w14:paraId="3CD953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1306383000</w:t>
            </w:r>
          </w:p>
        </w:tc>
        <w:tc>
          <w:tcPr>
            <w:tcW w:w="1036" w:type="dxa"/>
            <w:tcBorders>
              <w:top w:val="nil"/>
              <w:left w:val="nil"/>
              <w:bottom w:val="single" w:sz="4" w:space="0" w:color="auto"/>
              <w:right w:val="single" w:sz="4" w:space="0" w:color="auto"/>
            </w:tcBorders>
            <w:shd w:val="clear" w:color="auto" w:fill="auto"/>
            <w:noWrap/>
            <w:vAlign w:val="center"/>
            <w:hideMark/>
          </w:tcPr>
          <w:p w14:paraId="7853C0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13079425</w:t>
            </w:r>
          </w:p>
        </w:tc>
        <w:tc>
          <w:tcPr>
            <w:tcW w:w="160" w:type="dxa"/>
            <w:tcBorders>
              <w:top w:val="nil"/>
              <w:left w:val="nil"/>
              <w:bottom w:val="single" w:sz="4" w:space="0" w:color="auto"/>
              <w:right w:val="nil"/>
            </w:tcBorders>
            <w:vAlign w:val="center"/>
          </w:tcPr>
          <w:p w14:paraId="401C84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107B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PODJETJE ZA GOSPODARJENJE S STAVBNIMI ZEMLJIŠČI, D. O. O. </w:t>
            </w:r>
          </w:p>
        </w:tc>
      </w:tr>
      <w:tr w:rsidR="00072A69" w:rsidRPr="00DC6DF9" w14:paraId="60A6EA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B135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423</w:t>
            </w:r>
          </w:p>
        </w:tc>
        <w:tc>
          <w:tcPr>
            <w:tcW w:w="1036" w:type="dxa"/>
            <w:tcBorders>
              <w:top w:val="nil"/>
              <w:left w:val="nil"/>
              <w:bottom w:val="single" w:sz="4" w:space="0" w:color="auto"/>
              <w:right w:val="single" w:sz="4" w:space="0" w:color="auto"/>
            </w:tcBorders>
            <w:shd w:val="clear" w:color="auto" w:fill="auto"/>
            <w:noWrap/>
            <w:vAlign w:val="center"/>
            <w:hideMark/>
          </w:tcPr>
          <w:p w14:paraId="5E6224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5111501000</w:t>
            </w:r>
          </w:p>
        </w:tc>
        <w:tc>
          <w:tcPr>
            <w:tcW w:w="1036" w:type="dxa"/>
            <w:tcBorders>
              <w:top w:val="nil"/>
              <w:left w:val="nil"/>
              <w:bottom w:val="single" w:sz="4" w:space="0" w:color="auto"/>
              <w:right w:val="single" w:sz="4" w:space="0" w:color="auto"/>
            </w:tcBorders>
            <w:shd w:val="clear" w:color="auto" w:fill="auto"/>
            <w:noWrap/>
            <w:vAlign w:val="center"/>
            <w:hideMark/>
          </w:tcPr>
          <w:p w14:paraId="763117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43438806</w:t>
            </w:r>
          </w:p>
        </w:tc>
        <w:tc>
          <w:tcPr>
            <w:tcW w:w="160" w:type="dxa"/>
            <w:tcBorders>
              <w:top w:val="nil"/>
              <w:left w:val="nil"/>
              <w:bottom w:val="single" w:sz="4" w:space="0" w:color="auto"/>
              <w:right w:val="nil"/>
            </w:tcBorders>
            <w:vAlign w:val="center"/>
          </w:tcPr>
          <w:p w14:paraId="54647E0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4323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PODJETJE ZA KOMUNALNE STORITVE ROGAŠKA SLATINA, D. O. O. </w:t>
            </w:r>
          </w:p>
        </w:tc>
      </w:tr>
      <w:tr w:rsidR="00072A69" w:rsidRPr="00DC6DF9" w14:paraId="428214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7378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424</w:t>
            </w:r>
          </w:p>
        </w:tc>
        <w:tc>
          <w:tcPr>
            <w:tcW w:w="1036" w:type="dxa"/>
            <w:tcBorders>
              <w:top w:val="nil"/>
              <w:left w:val="nil"/>
              <w:bottom w:val="single" w:sz="4" w:space="0" w:color="auto"/>
              <w:right w:val="single" w:sz="4" w:space="0" w:color="auto"/>
            </w:tcBorders>
            <w:shd w:val="clear" w:color="auto" w:fill="auto"/>
            <w:noWrap/>
            <w:vAlign w:val="center"/>
            <w:hideMark/>
          </w:tcPr>
          <w:p w14:paraId="2ED436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3992071000</w:t>
            </w:r>
          </w:p>
        </w:tc>
        <w:tc>
          <w:tcPr>
            <w:tcW w:w="1036" w:type="dxa"/>
            <w:tcBorders>
              <w:top w:val="nil"/>
              <w:left w:val="nil"/>
              <w:bottom w:val="single" w:sz="4" w:space="0" w:color="auto"/>
              <w:right w:val="single" w:sz="4" w:space="0" w:color="auto"/>
            </w:tcBorders>
            <w:shd w:val="clear" w:color="auto" w:fill="auto"/>
            <w:noWrap/>
            <w:vAlign w:val="center"/>
            <w:hideMark/>
          </w:tcPr>
          <w:p w14:paraId="1E2A3C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92859976</w:t>
            </w:r>
          </w:p>
        </w:tc>
        <w:tc>
          <w:tcPr>
            <w:tcW w:w="160" w:type="dxa"/>
            <w:tcBorders>
              <w:top w:val="nil"/>
              <w:left w:val="nil"/>
              <w:bottom w:val="single" w:sz="4" w:space="0" w:color="auto"/>
              <w:right w:val="nil"/>
            </w:tcBorders>
            <w:vAlign w:val="center"/>
          </w:tcPr>
          <w:p w14:paraId="5567B7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E962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PODJETJE ZA MESTNI POTNIŠKI PROMET MARPROM, D. O. O. </w:t>
            </w:r>
          </w:p>
        </w:tc>
      </w:tr>
      <w:tr w:rsidR="00072A69" w:rsidRPr="00DC6DF9" w14:paraId="6ED50A0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5260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425</w:t>
            </w:r>
          </w:p>
        </w:tc>
        <w:tc>
          <w:tcPr>
            <w:tcW w:w="1036" w:type="dxa"/>
            <w:tcBorders>
              <w:top w:val="nil"/>
              <w:left w:val="nil"/>
              <w:bottom w:val="single" w:sz="4" w:space="0" w:color="auto"/>
              <w:right w:val="single" w:sz="4" w:space="0" w:color="auto"/>
            </w:tcBorders>
            <w:shd w:val="clear" w:color="auto" w:fill="auto"/>
            <w:noWrap/>
            <w:vAlign w:val="center"/>
            <w:hideMark/>
          </w:tcPr>
          <w:p w14:paraId="5A4A69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8025584000</w:t>
            </w:r>
          </w:p>
        </w:tc>
        <w:tc>
          <w:tcPr>
            <w:tcW w:w="1036" w:type="dxa"/>
            <w:tcBorders>
              <w:top w:val="nil"/>
              <w:left w:val="nil"/>
              <w:bottom w:val="single" w:sz="4" w:space="0" w:color="auto"/>
              <w:right w:val="single" w:sz="4" w:space="0" w:color="auto"/>
            </w:tcBorders>
            <w:shd w:val="clear" w:color="auto" w:fill="auto"/>
            <w:noWrap/>
            <w:vAlign w:val="center"/>
            <w:hideMark/>
          </w:tcPr>
          <w:p w14:paraId="73C111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62890034</w:t>
            </w:r>
          </w:p>
        </w:tc>
        <w:tc>
          <w:tcPr>
            <w:tcW w:w="160" w:type="dxa"/>
            <w:tcBorders>
              <w:top w:val="nil"/>
              <w:left w:val="nil"/>
              <w:bottom w:val="single" w:sz="4" w:space="0" w:color="auto"/>
              <w:right w:val="nil"/>
            </w:tcBorders>
            <w:vAlign w:val="center"/>
          </w:tcPr>
          <w:p w14:paraId="50D3F6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9BEC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JAVNO PODJETJE ZA PROIZVODNJO IN DOBAVO TOPLOTNE ENERGIJE DEJMAN, D. O. O. </w:t>
            </w:r>
          </w:p>
        </w:tc>
      </w:tr>
      <w:tr w:rsidR="00072A69" w:rsidRPr="00DC6DF9" w14:paraId="3D2FDF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EEE8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426</w:t>
            </w:r>
          </w:p>
        </w:tc>
        <w:tc>
          <w:tcPr>
            <w:tcW w:w="1036" w:type="dxa"/>
            <w:tcBorders>
              <w:top w:val="nil"/>
              <w:left w:val="nil"/>
              <w:bottom w:val="single" w:sz="4" w:space="0" w:color="auto"/>
              <w:right w:val="single" w:sz="4" w:space="0" w:color="auto"/>
            </w:tcBorders>
            <w:shd w:val="clear" w:color="auto" w:fill="auto"/>
            <w:noWrap/>
            <w:vAlign w:val="center"/>
            <w:hideMark/>
          </w:tcPr>
          <w:p w14:paraId="515243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5072255000</w:t>
            </w:r>
          </w:p>
        </w:tc>
        <w:tc>
          <w:tcPr>
            <w:tcW w:w="1036" w:type="dxa"/>
            <w:tcBorders>
              <w:top w:val="nil"/>
              <w:left w:val="nil"/>
              <w:bottom w:val="single" w:sz="4" w:space="0" w:color="auto"/>
              <w:right w:val="single" w:sz="4" w:space="0" w:color="auto"/>
            </w:tcBorders>
            <w:shd w:val="clear" w:color="auto" w:fill="auto"/>
            <w:noWrap/>
            <w:vAlign w:val="center"/>
            <w:hideMark/>
          </w:tcPr>
          <w:p w14:paraId="5C004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32375204</w:t>
            </w:r>
          </w:p>
        </w:tc>
        <w:tc>
          <w:tcPr>
            <w:tcW w:w="160" w:type="dxa"/>
            <w:tcBorders>
              <w:top w:val="nil"/>
              <w:left w:val="nil"/>
              <w:bottom w:val="single" w:sz="4" w:space="0" w:color="auto"/>
              <w:right w:val="nil"/>
            </w:tcBorders>
            <w:vAlign w:val="center"/>
          </w:tcPr>
          <w:p w14:paraId="1302C2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F8A7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JAVNO PODJETJE–AZIENDA PUBBLICA MARJETICA KOPER, D. O. O. -S.R.L.</w:t>
            </w:r>
          </w:p>
        </w:tc>
      </w:tr>
      <w:tr w:rsidR="00072A69" w:rsidRPr="00DC6DF9" w14:paraId="04300B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9FD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427</w:t>
            </w:r>
          </w:p>
        </w:tc>
        <w:tc>
          <w:tcPr>
            <w:tcW w:w="1036" w:type="dxa"/>
            <w:tcBorders>
              <w:top w:val="nil"/>
              <w:left w:val="nil"/>
              <w:bottom w:val="single" w:sz="4" w:space="0" w:color="auto"/>
              <w:right w:val="single" w:sz="4" w:space="0" w:color="auto"/>
            </w:tcBorders>
            <w:shd w:val="clear" w:color="auto" w:fill="auto"/>
            <w:noWrap/>
            <w:vAlign w:val="center"/>
            <w:hideMark/>
          </w:tcPr>
          <w:p w14:paraId="3F733C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5926823000</w:t>
            </w:r>
          </w:p>
        </w:tc>
        <w:tc>
          <w:tcPr>
            <w:tcW w:w="1036" w:type="dxa"/>
            <w:tcBorders>
              <w:top w:val="nil"/>
              <w:left w:val="nil"/>
              <w:bottom w:val="single" w:sz="4" w:space="0" w:color="auto"/>
              <w:right w:val="single" w:sz="4" w:space="0" w:color="auto"/>
            </w:tcBorders>
            <w:shd w:val="clear" w:color="auto" w:fill="auto"/>
            <w:noWrap/>
            <w:vAlign w:val="center"/>
            <w:hideMark/>
          </w:tcPr>
          <w:p w14:paraId="42D4A4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67496717</w:t>
            </w:r>
          </w:p>
        </w:tc>
        <w:tc>
          <w:tcPr>
            <w:tcW w:w="160" w:type="dxa"/>
            <w:tcBorders>
              <w:top w:val="nil"/>
              <w:left w:val="nil"/>
              <w:bottom w:val="single" w:sz="4" w:space="0" w:color="auto"/>
              <w:right w:val="nil"/>
            </w:tcBorders>
            <w:vAlign w:val="center"/>
          </w:tcPr>
          <w:p w14:paraId="72B7CF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A0CE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JEKO, D. O. O. </w:t>
            </w:r>
          </w:p>
        </w:tc>
      </w:tr>
      <w:tr w:rsidR="00072A69" w:rsidRPr="00DC6DF9" w14:paraId="5D9D37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391B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428</w:t>
            </w:r>
          </w:p>
        </w:tc>
        <w:tc>
          <w:tcPr>
            <w:tcW w:w="1036" w:type="dxa"/>
            <w:tcBorders>
              <w:top w:val="nil"/>
              <w:left w:val="nil"/>
              <w:bottom w:val="single" w:sz="4" w:space="0" w:color="auto"/>
              <w:right w:val="single" w:sz="4" w:space="0" w:color="auto"/>
            </w:tcBorders>
            <w:shd w:val="clear" w:color="auto" w:fill="auto"/>
            <w:noWrap/>
            <w:vAlign w:val="center"/>
            <w:hideMark/>
          </w:tcPr>
          <w:p w14:paraId="23E6F5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5466016000</w:t>
            </w:r>
          </w:p>
        </w:tc>
        <w:tc>
          <w:tcPr>
            <w:tcW w:w="1036" w:type="dxa"/>
            <w:tcBorders>
              <w:top w:val="nil"/>
              <w:left w:val="nil"/>
              <w:bottom w:val="single" w:sz="4" w:space="0" w:color="auto"/>
              <w:right w:val="single" w:sz="4" w:space="0" w:color="auto"/>
            </w:tcBorders>
            <w:shd w:val="clear" w:color="auto" w:fill="auto"/>
            <w:noWrap/>
            <w:vAlign w:val="center"/>
            <w:hideMark/>
          </w:tcPr>
          <w:p w14:paraId="6E6A66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54691877</w:t>
            </w:r>
          </w:p>
        </w:tc>
        <w:tc>
          <w:tcPr>
            <w:tcW w:w="160" w:type="dxa"/>
            <w:tcBorders>
              <w:top w:val="nil"/>
              <w:left w:val="nil"/>
              <w:bottom w:val="single" w:sz="4" w:space="0" w:color="auto"/>
              <w:right w:val="nil"/>
            </w:tcBorders>
            <w:vAlign w:val="center"/>
          </w:tcPr>
          <w:p w14:paraId="02F87D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F777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JKP ŠENTJUR, D. O. O. </w:t>
            </w:r>
          </w:p>
        </w:tc>
      </w:tr>
      <w:tr w:rsidR="00072A69" w:rsidRPr="00DC6DF9" w14:paraId="150BBE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5709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429</w:t>
            </w:r>
          </w:p>
        </w:tc>
        <w:tc>
          <w:tcPr>
            <w:tcW w:w="1036" w:type="dxa"/>
            <w:tcBorders>
              <w:top w:val="nil"/>
              <w:left w:val="nil"/>
              <w:bottom w:val="single" w:sz="4" w:space="0" w:color="auto"/>
              <w:right w:val="single" w:sz="4" w:space="0" w:color="auto"/>
            </w:tcBorders>
            <w:shd w:val="clear" w:color="auto" w:fill="auto"/>
            <w:noWrap/>
            <w:vAlign w:val="center"/>
            <w:hideMark/>
          </w:tcPr>
          <w:p w14:paraId="6D1B25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5084032000</w:t>
            </w:r>
          </w:p>
        </w:tc>
        <w:tc>
          <w:tcPr>
            <w:tcW w:w="1036" w:type="dxa"/>
            <w:tcBorders>
              <w:top w:val="nil"/>
              <w:left w:val="nil"/>
              <w:bottom w:val="single" w:sz="4" w:space="0" w:color="auto"/>
              <w:right w:val="single" w:sz="4" w:space="0" w:color="auto"/>
            </w:tcBorders>
            <w:shd w:val="clear" w:color="auto" w:fill="auto"/>
            <w:noWrap/>
            <w:vAlign w:val="center"/>
            <w:hideMark/>
          </w:tcPr>
          <w:p w14:paraId="4567C4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83252517</w:t>
            </w:r>
          </w:p>
        </w:tc>
        <w:tc>
          <w:tcPr>
            <w:tcW w:w="160" w:type="dxa"/>
            <w:tcBorders>
              <w:top w:val="nil"/>
              <w:left w:val="nil"/>
              <w:bottom w:val="single" w:sz="4" w:space="0" w:color="auto"/>
              <w:right w:val="nil"/>
            </w:tcBorders>
            <w:vAlign w:val="center"/>
          </w:tcPr>
          <w:p w14:paraId="38FC590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F124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JOSNOVNA ŠOLA BENEDIKT</w:t>
            </w:r>
          </w:p>
        </w:tc>
      </w:tr>
      <w:tr w:rsidR="00072A69" w:rsidRPr="00DC6DF9" w14:paraId="78EA16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8C84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430</w:t>
            </w:r>
          </w:p>
        </w:tc>
        <w:tc>
          <w:tcPr>
            <w:tcW w:w="1036" w:type="dxa"/>
            <w:tcBorders>
              <w:top w:val="nil"/>
              <w:left w:val="nil"/>
              <w:bottom w:val="single" w:sz="4" w:space="0" w:color="auto"/>
              <w:right w:val="single" w:sz="4" w:space="0" w:color="auto"/>
            </w:tcBorders>
            <w:shd w:val="clear" w:color="auto" w:fill="auto"/>
            <w:noWrap/>
            <w:vAlign w:val="center"/>
            <w:hideMark/>
          </w:tcPr>
          <w:p w14:paraId="6FD2FA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5241839000</w:t>
            </w:r>
          </w:p>
        </w:tc>
        <w:tc>
          <w:tcPr>
            <w:tcW w:w="1036" w:type="dxa"/>
            <w:tcBorders>
              <w:top w:val="nil"/>
              <w:left w:val="nil"/>
              <w:bottom w:val="single" w:sz="4" w:space="0" w:color="auto"/>
              <w:right w:val="single" w:sz="4" w:space="0" w:color="auto"/>
            </w:tcBorders>
            <w:shd w:val="clear" w:color="auto" w:fill="auto"/>
            <w:noWrap/>
            <w:vAlign w:val="center"/>
            <w:hideMark/>
          </w:tcPr>
          <w:p w14:paraId="0BF0C5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67640656</w:t>
            </w:r>
          </w:p>
        </w:tc>
        <w:tc>
          <w:tcPr>
            <w:tcW w:w="160" w:type="dxa"/>
            <w:tcBorders>
              <w:top w:val="nil"/>
              <w:left w:val="nil"/>
              <w:bottom w:val="single" w:sz="4" w:space="0" w:color="auto"/>
              <w:right w:val="nil"/>
            </w:tcBorders>
            <w:vAlign w:val="center"/>
          </w:tcPr>
          <w:p w14:paraId="2EE852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BD5E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KABINET PREDSEDNIKA VLADE REPUBLIKE SLOVENIJE</w:t>
            </w:r>
          </w:p>
        </w:tc>
      </w:tr>
      <w:tr w:rsidR="00072A69" w:rsidRPr="00DC6DF9" w14:paraId="403C692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6CBE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431</w:t>
            </w:r>
          </w:p>
        </w:tc>
        <w:tc>
          <w:tcPr>
            <w:tcW w:w="1036" w:type="dxa"/>
            <w:tcBorders>
              <w:top w:val="nil"/>
              <w:left w:val="nil"/>
              <w:bottom w:val="single" w:sz="4" w:space="0" w:color="auto"/>
              <w:right w:val="single" w:sz="4" w:space="0" w:color="auto"/>
            </w:tcBorders>
            <w:shd w:val="clear" w:color="auto" w:fill="auto"/>
            <w:noWrap/>
            <w:vAlign w:val="center"/>
            <w:hideMark/>
          </w:tcPr>
          <w:p w14:paraId="31C4E0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5986010000</w:t>
            </w:r>
          </w:p>
        </w:tc>
        <w:tc>
          <w:tcPr>
            <w:tcW w:w="1036" w:type="dxa"/>
            <w:tcBorders>
              <w:top w:val="nil"/>
              <w:left w:val="nil"/>
              <w:bottom w:val="single" w:sz="4" w:space="0" w:color="auto"/>
              <w:right w:val="single" w:sz="4" w:space="0" w:color="auto"/>
            </w:tcBorders>
            <w:shd w:val="clear" w:color="auto" w:fill="auto"/>
            <w:noWrap/>
            <w:vAlign w:val="center"/>
            <w:hideMark/>
          </w:tcPr>
          <w:p w14:paraId="68D25E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59093927</w:t>
            </w:r>
          </w:p>
        </w:tc>
        <w:tc>
          <w:tcPr>
            <w:tcW w:w="160" w:type="dxa"/>
            <w:tcBorders>
              <w:top w:val="nil"/>
              <w:left w:val="nil"/>
              <w:bottom w:val="single" w:sz="4" w:space="0" w:color="auto"/>
              <w:right w:val="nil"/>
            </w:tcBorders>
            <w:vAlign w:val="center"/>
          </w:tcPr>
          <w:p w14:paraId="69909E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2771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KAPITALSKA DRUŽBA POKOJNINSKEGA IN INVALIDSKEGA ZAVAROVANJA, D. D. </w:t>
            </w:r>
          </w:p>
        </w:tc>
      </w:tr>
      <w:tr w:rsidR="00072A69" w:rsidRPr="00DC6DF9" w14:paraId="09FFDCE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9B77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432</w:t>
            </w:r>
          </w:p>
        </w:tc>
        <w:tc>
          <w:tcPr>
            <w:tcW w:w="1036" w:type="dxa"/>
            <w:tcBorders>
              <w:top w:val="nil"/>
              <w:left w:val="nil"/>
              <w:bottom w:val="single" w:sz="4" w:space="0" w:color="auto"/>
              <w:right w:val="single" w:sz="4" w:space="0" w:color="auto"/>
            </w:tcBorders>
            <w:shd w:val="clear" w:color="auto" w:fill="auto"/>
            <w:noWrap/>
            <w:vAlign w:val="center"/>
            <w:hideMark/>
          </w:tcPr>
          <w:p w14:paraId="2F55A3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5051592000</w:t>
            </w:r>
          </w:p>
        </w:tc>
        <w:tc>
          <w:tcPr>
            <w:tcW w:w="1036" w:type="dxa"/>
            <w:tcBorders>
              <w:top w:val="nil"/>
              <w:left w:val="nil"/>
              <w:bottom w:val="single" w:sz="4" w:space="0" w:color="auto"/>
              <w:right w:val="single" w:sz="4" w:space="0" w:color="auto"/>
            </w:tcBorders>
            <w:shd w:val="clear" w:color="auto" w:fill="auto"/>
            <w:noWrap/>
            <w:vAlign w:val="center"/>
            <w:hideMark/>
          </w:tcPr>
          <w:p w14:paraId="037254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33840890</w:t>
            </w:r>
          </w:p>
        </w:tc>
        <w:tc>
          <w:tcPr>
            <w:tcW w:w="160" w:type="dxa"/>
            <w:tcBorders>
              <w:top w:val="nil"/>
              <w:left w:val="nil"/>
              <w:bottom w:val="single" w:sz="4" w:space="0" w:color="auto"/>
              <w:right w:val="nil"/>
            </w:tcBorders>
            <w:vAlign w:val="center"/>
          </w:tcPr>
          <w:p w14:paraId="5423F2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0EB9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KEMIJSKI INŠTITUT</w:t>
            </w:r>
          </w:p>
        </w:tc>
      </w:tr>
      <w:tr w:rsidR="00072A69" w:rsidRPr="00DC6DF9" w14:paraId="0DADC7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C9F3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433</w:t>
            </w:r>
          </w:p>
        </w:tc>
        <w:tc>
          <w:tcPr>
            <w:tcW w:w="1036" w:type="dxa"/>
            <w:tcBorders>
              <w:top w:val="nil"/>
              <w:left w:val="nil"/>
              <w:bottom w:val="single" w:sz="4" w:space="0" w:color="auto"/>
              <w:right w:val="single" w:sz="4" w:space="0" w:color="auto"/>
            </w:tcBorders>
            <w:shd w:val="clear" w:color="auto" w:fill="auto"/>
            <w:noWrap/>
            <w:vAlign w:val="center"/>
            <w:hideMark/>
          </w:tcPr>
          <w:p w14:paraId="598474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3345548000</w:t>
            </w:r>
          </w:p>
        </w:tc>
        <w:tc>
          <w:tcPr>
            <w:tcW w:w="1036" w:type="dxa"/>
            <w:tcBorders>
              <w:top w:val="nil"/>
              <w:left w:val="nil"/>
              <w:bottom w:val="single" w:sz="4" w:space="0" w:color="auto"/>
              <w:right w:val="single" w:sz="4" w:space="0" w:color="auto"/>
            </w:tcBorders>
            <w:shd w:val="clear" w:color="auto" w:fill="auto"/>
            <w:noWrap/>
            <w:vAlign w:val="center"/>
            <w:hideMark/>
          </w:tcPr>
          <w:p w14:paraId="4971EE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12753173</w:t>
            </w:r>
          </w:p>
        </w:tc>
        <w:tc>
          <w:tcPr>
            <w:tcW w:w="160" w:type="dxa"/>
            <w:tcBorders>
              <w:top w:val="nil"/>
              <w:left w:val="nil"/>
              <w:bottom w:val="single" w:sz="4" w:space="0" w:color="auto"/>
              <w:right w:val="nil"/>
            </w:tcBorders>
            <w:vAlign w:val="center"/>
          </w:tcPr>
          <w:p w14:paraId="32DF49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036E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KINODVOR</w:t>
            </w:r>
          </w:p>
        </w:tc>
      </w:tr>
      <w:tr w:rsidR="00072A69" w:rsidRPr="00DC6DF9" w14:paraId="3C0ACE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C821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434</w:t>
            </w:r>
          </w:p>
        </w:tc>
        <w:tc>
          <w:tcPr>
            <w:tcW w:w="1036" w:type="dxa"/>
            <w:tcBorders>
              <w:top w:val="nil"/>
              <w:left w:val="nil"/>
              <w:bottom w:val="single" w:sz="4" w:space="0" w:color="auto"/>
              <w:right w:val="single" w:sz="4" w:space="0" w:color="auto"/>
            </w:tcBorders>
            <w:shd w:val="clear" w:color="auto" w:fill="auto"/>
            <w:noWrap/>
            <w:vAlign w:val="center"/>
            <w:hideMark/>
          </w:tcPr>
          <w:p w14:paraId="3EB426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5055431000</w:t>
            </w:r>
          </w:p>
        </w:tc>
        <w:tc>
          <w:tcPr>
            <w:tcW w:w="1036" w:type="dxa"/>
            <w:tcBorders>
              <w:top w:val="nil"/>
              <w:left w:val="nil"/>
              <w:bottom w:val="single" w:sz="4" w:space="0" w:color="auto"/>
              <w:right w:val="single" w:sz="4" w:space="0" w:color="auto"/>
            </w:tcBorders>
            <w:shd w:val="clear" w:color="auto" w:fill="auto"/>
            <w:noWrap/>
            <w:vAlign w:val="center"/>
            <w:hideMark/>
          </w:tcPr>
          <w:p w14:paraId="20278E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23887729</w:t>
            </w:r>
          </w:p>
        </w:tc>
        <w:tc>
          <w:tcPr>
            <w:tcW w:w="160" w:type="dxa"/>
            <w:tcBorders>
              <w:top w:val="nil"/>
              <w:left w:val="nil"/>
              <w:bottom w:val="single" w:sz="4" w:space="0" w:color="auto"/>
              <w:right w:val="nil"/>
            </w:tcBorders>
            <w:vAlign w:val="center"/>
          </w:tcPr>
          <w:p w14:paraId="289E9EB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3B0A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KMETIJSKI INŠTITUT SLOVENIJE</w:t>
            </w:r>
          </w:p>
        </w:tc>
      </w:tr>
      <w:tr w:rsidR="00072A69" w:rsidRPr="00DC6DF9" w14:paraId="7CAFE7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B185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435</w:t>
            </w:r>
          </w:p>
        </w:tc>
        <w:tc>
          <w:tcPr>
            <w:tcW w:w="1036" w:type="dxa"/>
            <w:tcBorders>
              <w:top w:val="nil"/>
              <w:left w:val="nil"/>
              <w:bottom w:val="single" w:sz="4" w:space="0" w:color="auto"/>
              <w:right w:val="single" w:sz="4" w:space="0" w:color="auto"/>
            </w:tcBorders>
            <w:shd w:val="clear" w:color="auto" w:fill="auto"/>
            <w:noWrap/>
            <w:vAlign w:val="center"/>
            <w:hideMark/>
          </w:tcPr>
          <w:p w14:paraId="065CA3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1332848000</w:t>
            </w:r>
          </w:p>
        </w:tc>
        <w:tc>
          <w:tcPr>
            <w:tcW w:w="1036" w:type="dxa"/>
            <w:tcBorders>
              <w:top w:val="nil"/>
              <w:left w:val="nil"/>
              <w:bottom w:val="single" w:sz="4" w:space="0" w:color="auto"/>
              <w:right w:val="single" w:sz="4" w:space="0" w:color="auto"/>
            </w:tcBorders>
            <w:shd w:val="clear" w:color="auto" w:fill="auto"/>
            <w:noWrap/>
            <w:vAlign w:val="center"/>
            <w:hideMark/>
          </w:tcPr>
          <w:p w14:paraId="2AE6F7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47075406</w:t>
            </w:r>
          </w:p>
        </w:tc>
        <w:tc>
          <w:tcPr>
            <w:tcW w:w="160" w:type="dxa"/>
            <w:tcBorders>
              <w:top w:val="nil"/>
              <w:left w:val="nil"/>
              <w:bottom w:val="single" w:sz="4" w:space="0" w:color="auto"/>
              <w:right w:val="nil"/>
            </w:tcBorders>
            <w:vAlign w:val="center"/>
          </w:tcPr>
          <w:p w14:paraId="79A7EC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196E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GOZDARSKA ZBORNICA SLOVENIJE</w:t>
            </w:r>
          </w:p>
        </w:tc>
      </w:tr>
      <w:tr w:rsidR="00072A69" w:rsidRPr="00DC6DF9" w14:paraId="78CCFA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498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w:t>
            </w:r>
          </w:p>
        </w:tc>
        <w:tc>
          <w:tcPr>
            <w:tcW w:w="1036" w:type="dxa"/>
            <w:tcBorders>
              <w:top w:val="nil"/>
              <w:left w:val="nil"/>
              <w:bottom w:val="single" w:sz="4" w:space="0" w:color="auto"/>
              <w:right w:val="single" w:sz="4" w:space="0" w:color="auto"/>
            </w:tcBorders>
            <w:shd w:val="clear" w:color="auto" w:fill="auto"/>
            <w:noWrap/>
            <w:vAlign w:val="center"/>
            <w:hideMark/>
          </w:tcPr>
          <w:p w14:paraId="362F19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5254655000</w:t>
            </w:r>
          </w:p>
        </w:tc>
        <w:tc>
          <w:tcPr>
            <w:tcW w:w="1036" w:type="dxa"/>
            <w:tcBorders>
              <w:top w:val="nil"/>
              <w:left w:val="nil"/>
              <w:bottom w:val="single" w:sz="4" w:space="0" w:color="auto"/>
              <w:right w:val="single" w:sz="4" w:space="0" w:color="auto"/>
            </w:tcBorders>
            <w:shd w:val="clear" w:color="auto" w:fill="auto"/>
            <w:noWrap/>
            <w:vAlign w:val="center"/>
            <w:hideMark/>
          </w:tcPr>
          <w:p w14:paraId="47F237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13468308</w:t>
            </w:r>
          </w:p>
        </w:tc>
        <w:tc>
          <w:tcPr>
            <w:tcW w:w="160" w:type="dxa"/>
            <w:tcBorders>
              <w:top w:val="nil"/>
              <w:left w:val="nil"/>
              <w:bottom w:val="single" w:sz="4" w:space="0" w:color="auto"/>
              <w:right w:val="nil"/>
            </w:tcBorders>
            <w:vAlign w:val="center"/>
          </w:tcPr>
          <w:p w14:paraId="3258ED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9720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CELJE</w:t>
            </w:r>
          </w:p>
        </w:tc>
      </w:tr>
      <w:tr w:rsidR="00072A69" w:rsidRPr="00DC6DF9" w14:paraId="2B9728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BB19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437</w:t>
            </w:r>
          </w:p>
        </w:tc>
        <w:tc>
          <w:tcPr>
            <w:tcW w:w="1036" w:type="dxa"/>
            <w:tcBorders>
              <w:top w:val="nil"/>
              <w:left w:val="nil"/>
              <w:bottom w:val="single" w:sz="4" w:space="0" w:color="auto"/>
              <w:right w:val="single" w:sz="4" w:space="0" w:color="auto"/>
            </w:tcBorders>
            <w:shd w:val="clear" w:color="auto" w:fill="auto"/>
            <w:noWrap/>
            <w:vAlign w:val="center"/>
            <w:hideMark/>
          </w:tcPr>
          <w:p w14:paraId="26E010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5151074000</w:t>
            </w:r>
          </w:p>
        </w:tc>
        <w:tc>
          <w:tcPr>
            <w:tcW w:w="1036" w:type="dxa"/>
            <w:tcBorders>
              <w:top w:val="nil"/>
              <w:left w:val="nil"/>
              <w:bottom w:val="single" w:sz="4" w:space="0" w:color="auto"/>
              <w:right w:val="single" w:sz="4" w:space="0" w:color="auto"/>
            </w:tcBorders>
            <w:shd w:val="clear" w:color="auto" w:fill="auto"/>
            <w:noWrap/>
            <w:vAlign w:val="center"/>
            <w:hideMark/>
          </w:tcPr>
          <w:p w14:paraId="7CED28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91502543</w:t>
            </w:r>
          </w:p>
        </w:tc>
        <w:tc>
          <w:tcPr>
            <w:tcW w:w="160" w:type="dxa"/>
            <w:tcBorders>
              <w:top w:val="nil"/>
              <w:left w:val="nil"/>
              <w:bottom w:val="single" w:sz="4" w:space="0" w:color="auto"/>
              <w:right w:val="nil"/>
            </w:tcBorders>
            <w:vAlign w:val="center"/>
          </w:tcPr>
          <w:p w14:paraId="3140138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3AFA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KRANJ</w:t>
            </w:r>
          </w:p>
        </w:tc>
      </w:tr>
      <w:tr w:rsidR="00072A69" w:rsidRPr="00DC6DF9" w14:paraId="1302166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EA38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438</w:t>
            </w:r>
          </w:p>
        </w:tc>
        <w:tc>
          <w:tcPr>
            <w:tcW w:w="1036" w:type="dxa"/>
            <w:tcBorders>
              <w:top w:val="nil"/>
              <w:left w:val="nil"/>
              <w:bottom w:val="single" w:sz="4" w:space="0" w:color="auto"/>
              <w:right w:val="single" w:sz="4" w:space="0" w:color="auto"/>
            </w:tcBorders>
            <w:shd w:val="clear" w:color="auto" w:fill="auto"/>
            <w:noWrap/>
            <w:vAlign w:val="center"/>
            <w:hideMark/>
          </w:tcPr>
          <w:p w14:paraId="14847D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5129770000</w:t>
            </w:r>
          </w:p>
        </w:tc>
        <w:tc>
          <w:tcPr>
            <w:tcW w:w="1036" w:type="dxa"/>
            <w:tcBorders>
              <w:top w:val="nil"/>
              <w:left w:val="nil"/>
              <w:bottom w:val="single" w:sz="4" w:space="0" w:color="auto"/>
              <w:right w:val="single" w:sz="4" w:space="0" w:color="auto"/>
            </w:tcBorders>
            <w:shd w:val="clear" w:color="auto" w:fill="auto"/>
            <w:noWrap/>
            <w:vAlign w:val="center"/>
            <w:hideMark/>
          </w:tcPr>
          <w:p w14:paraId="39DAFC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88840620</w:t>
            </w:r>
          </w:p>
        </w:tc>
        <w:tc>
          <w:tcPr>
            <w:tcW w:w="160" w:type="dxa"/>
            <w:tcBorders>
              <w:top w:val="nil"/>
              <w:left w:val="nil"/>
              <w:bottom w:val="single" w:sz="4" w:space="0" w:color="auto"/>
              <w:right w:val="nil"/>
            </w:tcBorders>
            <w:vAlign w:val="center"/>
          </w:tcPr>
          <w:p w14:paraId="21079C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047B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LJUBLJANA</w:t>
            </w:r>
          </w:p>
        </w:tc>
      </w:tr>
      <w:tr w:rsidR="00072A69" w:rsidRPr="00DC6DF9" w14:paraId="162453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21EC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439</w:t>
            </w:r>
          </w:p>
        </w:tc>
        <w:tc>
          <w:tcPr>
            <w:tcW w:w="1036" w:type="dxa"/>
            <w:tcBorders>
              <w:top w:val="nil"/>
              <w:left w:val="nil"/>
              <w:bottom w:val="single" w:sz="4" w:space="0" w:color="auto"/>
              <w:right w:val="single" w:sz="4" w:space="0" w:color="auto"/>
            </w:tcBorders>
            <w:shd w:val="clear" w:color="auto" w:fill="auto"/>
            <w:noWrap/>
            <w:vAlign w:val="center"/>
            <w:hideMark/>
          </w:tcPr>
          <w:p w14:paraId="7A6A3E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5129877000</w:t>
            </w:r>
          </w:p>
        </w:tc>
        <w:tc>
          <w:tcPr>
            <w:tcW w:w="1036" w:type="dxa"/>
            <w:tcBorders>
              <w:top w:val="nil"/>
              <w:left w:val="nil"/>
              <w:bottom w:val="single" w:sz="4" w:space="0" w:color="auto"/>
              <w:right w:val="single" w:sz="4" w:space="0" w:color="auto"/>
            </w:tcBorders>
            <w:shd w:val="clear" w:color="auto" w:fill="auto"/>
            <w:noWrap/>
            <w:vAlign w:val="center"/>
            <w:hideMark/>
          </w:tcPr>
          <w:p w14:paraId="58DAD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64054233</w:t>
            </w:r>
          </w:p>
        </w:tc>
        <w:tc>
          <w:tcPr>
            <w:tcW w:w="160" w:type="dxa"/>
            <w:tcBorders>
              <w:top w:val="nil"/>
              <w:left w:val="nil"/>
              <w:bottom w:val="single" w:sz="4" w:space="0" w:color="auto"/>
              <w:right w:val="nil"/>
            </w:tcBorders>
            <w:vAlign w:val="center"/>
          </w:tcPr>
          <w:p w14:paraId="5E20E9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9C31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MARIBOR</w:t>
            </w:r>
          </w:p>
        </w:tc>
      </w:tr>
      <w:tr w:rsidR="00072A69" w:rsidRPr="00DC6DF9" w14:paraId="23DBF2A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B621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440</w:t>
            </w:r>
          </w:p>
        </w:tc>
        <w:tc>
          <w:tcPr>
            <w:tcW w:w="1036" w:type="dxa"/>
            <w:tcBorders>
              <w:top w:val="nil"/>
              <w:left w:val="nil"/>
              <w:bottom w:val="single" w:sz="4" w:space="0" w:color="auto"/>
              <w:right w:val="single" w:sz="4" w:space="0" w:color="auto"/>
            </w:tcBorders>
            <w:shd w:val="clear" w:color="auto" w:fill="auto"/>
            <w:noWrap/>
            <w:vAlign w:val="center"/>
            <w:hideMark/>
          </w:tcPr>
          <w:p w14:paraId="083854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5129940000</w:t>
            </w:r>
          </w:p>
        </w:tc>
        <w:tc>
          <w:tcPr>
            <w:tcW w:w="1036" w:type="dxa"/>
            <w:tcBorders>
              <w:top w:val="nil"/>
              <w:left w:val="nil"/>
              <w:bottom w:val="single" w:sz="4" w:space="0" w:color="auto"/>
              <w:right w:val="single" w:sz="4" w:space="0" w:color="auto"/>
            </w:tcBorders>
            <w:shd w:val="clear" w:color="auto" w:fill="auto"/>
            <w:noWrap/>
            <w:vAlign w:val="center"/>
            <w:hideMark/>
          </w:tcPr>
          <w:p w14:paraId="740AD4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69697205</w:t>
            </w:r>
          </w:p>
        </w:tc>
        <w:tc>
          <w:tcPr>
            <w:tcW w:w="160" w:type="dxa"/>
            <w:tcBorders>
              <w:top w:val="nil"/>
              <w:left w:val="nil"/>
              <w:bottom w:val="single" w:sz="4" w:space="0" w:color="auto"/>
              <w:right w:val="nil"/>
            </w:tcBorders>
            <w:vAlign w:val="center"/>
          </w:tcPr>
          <w:p w14:paraId="5E99415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6C0A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MURSKA SOBOTA</w:t>
            </w:r>
          </w:p>
        </w:tc>
      </w:tr>
      <w:tr w:rsidR="00072A69" w:rsidRPr="00DC6DF9" w14:paraId="6F18AFC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F880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441</w:t>
            </w:r>
          </w:p>
        </w:tc>
        <w:tc>
          <w:tcPr>
            <w:tcW w:w="1036" w:type="dxa"/>
            <w:tcBorders>
              <w:top w:val="nil"/>
              <w:left w:val="nil"/>
              <w:bottom w:val="single" w:sz="4" w:space="0" w:color="auto"/>
              <w:right w:val="single" w:sz="4" w:space="0" w:color="auto"/>
            </w:tcBorders>
            <w:shd w:val="clear" w:color="auto" w:fill="auto"/>
            <w:noWrap/>
            <w:vAlign w:val="center"/>
            <w:hideMark/>
          </w:tcPr>
          <w:p w14:paraId="2365AE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5051754000</w:t>
            </w:r>
          </w:p>
        </w:tc>
        <w:tc>
          <w:tcPr>
            <w:tcW w:w="1036" w:type="dxa"/>
            <w:tcBorders>
              <w:top w:val="nil"/>
              <w:left w:val="nil"/>
              <w:bottom w:val="single" w:sz="4" w:space="0" w:color="auto"/>
              <w:right w:val="single" w:sz="4" w:space="0" w:color="auto"/>
            </w:tcBorders>
            <w:shd w:val="clear" w:color="auto" w:fill="auto"/>
            <w:noWrap/>
            <w:vAlign w:val="center"/>
            <w:hideMark/>
          </w:tcPr>
          <w:p w14:paraId="0EEADA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19169884</w:t>
            </w:r>
          </w:p>
        </w:tc>
        <w:tc>
          <w:tcPr>
            <w:tcW w:w="160" w:type="dxa"/>
            <w:tcBorders>
              <w:top w:val="nil"/>
              <w:left w:val="nil"/>
              <w:bottom w:val="single" w:sz="4" w:space="0" w:color="auto"/>
              <w:right w:val="nil"/>
            </w:tcBorders>
            <w:vAlign w:val="center"/>
          </w:tcPr>
          <w:p w14:paraId="62DF37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6CC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NOVA GORICA</w:t>
            </w:r>
          </w:p>
        </w:tc>
      </w:tr>
      <w:tr w:rsidR="00072A69" w:rsidRPr="00DC6DF9" w14:paraId="0AB7A0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1CD6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w:t>
            </w:r>
          </w:p>
        </w:tc>
        <w:tc>
          <w:tcPr>
            <w:tcW w:w="1036" w:type="dxa"/>
            <w:tcBorders>
              <w:top w:val="nil"/>
              <w:left w:val="nil"/>
              <w:bottom w:val="single" w:sz="4" w:space="0" w:color="auto"/>
              <w:right w:val="single" w:sz="4" w:space="0" w:color="auto"/>
            </w:tcBorders>
            <w:shd w:val="clear" w:color="auto" w:fill="auto"/>
            <w:noWrap/>
            <w:vAlign w:val="center"/>
            <w:hideMark/>
          </w:tcPr>
          <w:p w14:paraId="6A5788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5095859000</w:t>
            </w:r>
          </w:p>
        </w:tc>
        <w:tc>
          <w:tcPr>
            <w:tcW w:w="1036" w:type="dxa"/>
            <w:tcBorders>
              <w:top w:val="nil"/>
              <w:left w:val="nil"/>
              <w:bottom w:val="single" w:sz="4" w:space="0" w:color="auto"/>
              <w:right w:val="single" w:sz="4" w:space="0" w:color="auto"/>
            </w:tcBorders>
            <w:shd w:val="clear" w:color="auto" w:fill="auto"/>
            <w:noWrap/>
            <w:vAlign w:val="center"/>
            <w:hideMark/>
          </w:tcPr>
          <w:p w14:paraId="3B0DCF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62299964</w:t>
            </w:r>
          </w:p>
        </w:tc>
        <w:tc>
          <w:tcPr>
            <w:tcW w:w="160" w:type="dxa"/>
            <w:tcBorders>
              <w:top w:val="nil"/>
              <w:left w:val="nil"/>
              <w:bottom w:val="single" w:sz="4" w:space="0" w:color="auto"/>
              <w:right w:val="nil"/>
            </w:tcBorders>
            <w:vAlign w:val="center"/>
          </w:tcPr>
          <w:p w14:paraId="1BE9AA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388E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KMETIJSKO GOZDARSKI ZAVOD PTUJ</w:t>
            </w:r>
          </w:p>
        </w:tc>
      </w:tr>
      <w:tr w:rsidR="00072A69" w:rsidRPr="00DC6DF9" w14:paraId="7767C1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83CD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443</w:t>
            </w:r>
          </w:p>
        </w:tc>
        <w:tc>
          <w:tcPr>
            <w:tcW w:w="1036" w:type="dxa"/>
            <w:tcBorders>
              <w:top w:val="nil"/>
              <w:left w:val="nil"/>
              <w:bottom w:val="single" w:sz="4" w:space="0" w:color="auto"/>
              <w:right w:val="single" w:sz="4" w:space="0" w:color="auto"/>
            </w:tcBorders>
            <w:shd w:val="clear" w:color="auto" w:fill="auto"/>
            <w:noWrap/>
            <w:vAlign w:val="center"/>
            <w:hideMark/>
          </w:tcPr>
          <w:p w14:paraId="786598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5932165000</w:t>
            </w:r>
          </w:p>
        </w:tc>
        <w:tc>
          <w:tcPr>
            <w:tcW w:w="1036" w:type="dxa"/>
            <w:tcBorders>
              <w:top w:val="nil"/>
              <w:left w:val="nil"/>
              <w:bottom w:val="single" w:sz="4" w:space="0" w:color="auto"/>
              <w:right w:val="single" w:sz="4" w:space="0" w:color="auto"/>
            </w:tcBorders>
            <w:shd w:val="clear" w:color="auto" w:fill="auto"/>
            <w:noWrap/>
            <w:vAlign w:val="center"/>
            <w:hideMark/>
          </w:tcPr>
          <w:p w14:paraId="6C86B3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85563943</w:t>
            </w:r>
          </w:p>
        </w:tc>
        <w:tc>
          <w:tcPr>
            <w:tcW w:w="160" w:type="dxa"/>
            <w:tcBorders>
              <w:top w:val="nil"/>
              <w:left w:val="nil"/>
              <w:bottom w:val="single" w:sz="4" w:space="0" w:color="auto"/>
              <w:right w:val="nil"/>
            </w:tcBorders>
            <w:vAlign w:val="center"/>
          </w:tcPr>
          <w:p w14:paraId="06A665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9997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 KULTURNI CENTER LENDAVA</w:t>
            </w:r>
          </w:p>
        </w:tc>
      </w:tr>
      <w:tr w:rsidR="00072A69" w:rsidRPr="00DC6DF9" w14:paraId="27B7D7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6B1B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w:t>
            </w:r>
          </w:p>
        </w:tc>
        <w:tc>
          <w:tcPr>
            <w:tcW w:w="1036" w:type="dxa"/>
            <w:tcBorders>
              <w:top w:val="nil"/>
              <w:left w:val="nil"/>
              <w:bottom w:val="single" w:sz="4" w:space="0" w:color="auto"/>
              <w:right w:val="single" w:sz="4" w:space="0" w:color="auto"/>
            </w:tcBorders>
            <w:shd w:val="clear" w:color="auto" w:fill="auto"/>
            <w:noWrap/>
            <w:vAlign w:val="center"/>
            <w:hideMark/>
          </w:tcPr>
          <w:p w14:paraId="4217D3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1787063000</w:t>
            </w:r>
          </w:p>
        </w:tc>
        <w:tc>
          <w:tcPr>
            <w:tcW w:w="1036" w:type="dxa"/>
            <w:tcBorders>
              <w:top w:val="nil"/>
              <w:left w:val="nil"/>
              <w:bottom w:val="single" w:sz="4" w:space="0" w:color="auto"/>
              <w:right w:val="single" w:sz="4" w:space="0" w:color="auto"/>
            </w:tcBorders>
            <w:shd w:val="clear" w:color="auto" w:fill="auto"/>
            <w:noWrap/>
            <w:vAlign w:val="center"/>
            <w:hideMark/>
          </w:tcPr>
          <w:p w14:paraId="2706CD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36778885</w:t>
            </w:r>
          </w:p>
        </w:tc>
        <w:tc>
          <w:tcPr>
            <w:tcW w:w="160" w:type="dxa"/>
            <w:tcBorders>
              <w:top w:val="nil"/>
              <w:left w:val="nil"/>
              <w:bottom w:val="single" w:sz="4" w:space="0" w:color="auto"/>
              <w:right w:val="nil"/>
            </w:tcBorders>
            <w:vAlign w:val="center"/>
          </w:tcPr>
          <w:p w14:paraId="4B0BE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656A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ANTONA SOVRETA HRASTNIK</w:t>
            </w:r>
          </w:p>
        </w:tc>
      </w:tr>
      <w:tr w:rsidR="00072A69" w:rsidRPr="00DC6DF9" w14:paraId="355598F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D850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445</w:t>
            </w:r>
          </w:p>
        </w:tc>
        <w:tc>
          <w:tcPr>
            <w:tcW w:w="1036" w:type="dxa"/>
            <w:tcBorders>
              <w:top w:val="nil"/>
              <w:left w:val="nil"/>
              <w:bottom w:val="single" w:sz="4" w:space="0" w:color="auto"/>
              <w:right w:val="single" w:sz="4" w:space="0" w:color="auto"/>
            </w:tcBorders>
            <w:shd w:val="clear" w:color="auto" w:fill="auto"/>
            <w:noWrap/>
            <w:vAlign w:val="center"/>
            <w:hideMark/>
          </w:tcPr>
          <w:p w14:paraId="4F9303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5055644000</w:t>
            </w:r>
          </w:p>
        </w:tc>
        <w:tc>
          <w:tcPr>
            <w:tcW w:w="1036" w:type="dxa"/>
            <w:tcBorders>
              <w:top w:val="nil"/>
              <w:left w:val="nil"/>
              <w:bottom w:val="single" w:sz="4" w:space="0" w:color="auto"/>
              <w:right w:val="single" w:sz="4" w:space="0" w:color="auto"/>
            </w:tcBorders>
            <w:shd w:val="clear" w:color="auto" w:fill="auto"/>
            <w:noWrap/>
            <w:vAlign w:val="center"/>
            <w:hideMark/>
          </w:tcPr>
          <w:p w14:paraId="55ECAB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55424970</w:t>
            </w:r>
          </w:p>
        </w:tc>
        <w:tc>
          <w:tcPr>
            <w:tcW w:w="160" w:type="dxa"/>
            <w:tcBorders>
              <w:top w:val="nil"/>
              <w:left w:val="nil"/>
              <w:bottom w:val="single" w:sz="4" w:space="0" w:color="auto"/>
              <w:right w:val="nil"/>
            </w:tcBorders>
            <w:vAlign w:val="center"/>
          </w:tcPr>
          <w:p w14:paraId="737E76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8A4A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ANTONA TOMAŽA LINHARTA RADOVLJICA</w:t>
            </w:r>
          </w:p>
        </w:tc>
      </w:tr>
      <w:tr w:rsidR="00072A69" w:rsidRPr="00DC6DF9" w14:paraId="043EC3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D997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446</w:t>
            </w:r>
          </w:p>
        </w:tc>
        <w:tc>
          <w:tcPr>
            <w:tcW w:w="1036" w:type="dxa"/>
            <w:tcBorders>
              <w:top w:val="nil"/>
              <w:left w:val="nil"/>
              <w:bottom w:val="single" w:sz="4" w:space="0" w:color="auto"/>
              <w:right w:val="single" w:sz="4" w:space="0" w:color="auto"/>
            </w:tcBorders>
            <w:shd w:val="clear" w:color="auto" w:fill="auto"/>
            <w:noWrap/>
            <w:vAlign w:val="center"/>
            <w:hideMark/>
          </w:tcPr>
          <w:p w14:paraId="498ECD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5052297000</w:t>
            </w:r>
          </w:p>
        </w:tc>
        <w:tc>
          <w:tcPr>
            <w:tcW w:w="1036" w:type="dxa"/>
            <w:tcBorders>
              <w:top w:val="nil"/>
              <w:left w:val="nil"/>
              <w:bottom w:val="single" w:sz="4" w:space="0" w:color="auto"/>
              <w:right w:val="single" w:sz="4" w:space="0" w:color="auto"/>
            </w:tcBorders>
            <w:shd w:val="clear" w:color="auto" w:fill="auto"/>
            <w:noWrap/>
            <w:vAlign w:val="center"/>
            <w:hideMark/>
          </w:tcPr>
          <w:p w14:paraId="06734C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97818739</w:t>
            </w:r>
          </w:p>
        </w:tc>
        <w:tc>
          <w:tcPr>
            <w:tcW w:w="160" w:type="dxa"/>
            <w:tcBorders>
              <w:top w:val="nil"/>
              <w:left w:val="nil"/>
              <w:bottom w:val="single" w:sz="4" w:space="0" w:color="auto"/>
              <w:right w:val="nil"/>
            </w:tcBorders>
            <w:vAlign w:val="center"/>
          </w:tcPr>
          <w:p w14:paraId="1053D1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A418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BENA ZUPANČIČA POSTOJNA</w:t>
            </w:r>
          </w:p>
        </w:tc>
      </w:tr>
      <w:tr w:rsidR="00072A69" w:rsidRPr="00DC6DF9" w14:paraId="2DCD6E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EAFF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447</w:t>
            </w:r>
          </w:p>
        </w:tc>
        <w:tc>
          <w:tcPr>
            <w:tcW w:w="1036" w:type="dxa"/>
            <w:tcBorders>
              <w:top w:val="nil"/>
              <w:left w:val="nil"/>
              <w:bottom w:val="single" w:sz="4" w:space="0" w:color="auto"/>
              <w:right w:val="single" w:sz="4" w:space="0" w:color="auto"/>
            </w:tcBorders>
            <w:shd w:val="clear" w:color="auto" w:fill="auto"/>
            <w:noWrap/>
            <w:vAlign w:val="center"/>
            <w:hideMark/>
          </w:tcPr>
          <w:p w14:paraId="3051B0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5665094000</w:t>
            </w:r>
          </w:p>
        </w:tc>
        <w:tc>
          <w:tcPr>
            <w:tcW w:w="1036" w:type="dxa"/>
            <w:tcBorders>
              <w:top w:val="nil"/>
              <w:left w:val="nil"/>
              <w:bottom w:val="single" w:sz="4" w:space="0" w:color="auto"/>
              <w:right w:val="single" w:sz="4" w:space="0" w:color="auto"/>
            </w:tcBorders>
            <w:shd w:val="clear" w:color="auto" w:fill="auto"/>
            <w:noWrap/>
            <w:vAlign w:val="center"/>
            <w:hideMark/>
          </w:tcPr>
          <w:p w14:paraId="48F965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60519690</w:t>
            </w:r>
          </w:p>
        </w:tc>
        <w:tc>
          <w:tcPr>
            <w:tcW w:w="160" w:type="dxa"/>
            <w:tcBorders>
              <w:top w:val="nil"/>
              <w:left w:val="nil"/>
              <w:bottom w:val="single" w:sz="4" w:space="0" w:color="auto"/>
              <w:right w:val="nil"/>
            </w:tcBorders>
            <w:vAlign w:val="center"/>
          </w:tcPr>
          <w:p w14:paraId="22C300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E7B9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BREŽICE</w:t>
            </w:r>
          </w:p>
        </w:tc>
      </w:tr>
      <w:tr w:rsidR="00072A69" w:rsidRPr="00DC6DF9" w14:paraId="44F269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1F06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448</w:t>
            </w:r>
          </w:p>
        </w:tc>
        <w:tc>
          <w:tcPr>
            <w:tcW w:w="1036" w:type="dxa"/>
            <w:tcBorders>
              <w:top w:val="nil"/>
              <w:left w:val="nil"/>
              <w:bottom w:val="single" w:sz="4" w:space="0" w:color="auto"/>
              <w:right w:val="single" w:sz="4" w:space="0" w:color="auto"/>
            </w:tcBorders>
            <w:shd w:val="clear" w:color="auto" w:fill="auto"/>
            <w:noWrap/>
            <w:vAlign w:val="center"/>
            <w:hideMark/>
          </w:tcPr>
          <w:p w14:paraId="6A40D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5052980000</w:t>
            </w:r>
          </w:p>
        </w:tc>
        <w:tc>
          <w:tcPr>
            <w:tcW w:w="1036" w:type="dxa"/>
            <w:tcBorders>
              <w:top w:val="nil"/>
              <w:left w:val="nil"/>
              <w:bottom w:val="single" w:sz="4" w:space="0" w:color="auto"/>
              <w:right w:val="single" w:sz="4" w:space="0" w:color="auto"/>
            </w:tcBorders>
            <w:shd w:val="clear" w:color="auto" w:fill="auto"/>
            <w:noWrap/>
            <w:vAlign w:val="center"/>
            <w:hideMark/>
          </w:tcPr>
          <w:p w14:paraId="539F96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94679479</w:t>
            </w:r>
          </w:p>
        </w:tc>
        <w:tc>
          <w:tcPr>
            <w:tcW w:w="160" w:type="dxa"/>
            <w:tcBorders>
              <w:top w:val="nil"/>
              <w:left w:val="nil"/>
              <w:bottom w:val="single" w:sz="4" w:space="0" w:color="auto"/>
              <w:right w:val="nil"/>
            </w:tcBorders>
            <w:vAlign w:val="center"/>
          </w:tcPr>
          <w:p w14:paraId="2C7050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CD7A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CIRILA KOSMAČA TOLMIN</w:t>
            </w:r>
          </w:p>
        </w:tc>
      </w:tr>
      <w:tr w:rsidR="00072A69" w:rsidRPr="00DC6DF9" w14:paraId="04277A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B63C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449</w:t>
            </w:r>
          </w:p>
        </w:tc>
        <w:tc>
          <w:tcPr>
            <w:tcW w:w="1036" w:type="dxa"/>
            <w:tcBorders>
              <w:top w:val="nil"/>
              <w:left w:val="nil"/>
              <w:bottom w:val="single" w:sz="4" w:space="0" w:color="auto"/>
              <w:right w:val="single" w:sz="4" w:space="0" w:color="auto"/>
            </w:tcBorders>
            <w:shd w:val="clear" w:color="auto" w:fill="auto"/>
            <w:noWrap/>
            <w:vAlign w:val="center"/>
            <w:hideMark/>
          </w:tcPr>
          <w:p w14:paraId="4439B7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1924559000</w:t>
            </w:r>
          </w:p>
        </w:tc>
        <w:tc>
          <w:tcPr>
            <w:tcW w:w="1036" w:type="dxa"/>
            <w:tcBorders>
              <w:top w:val="nil"/>
              <w:left w:val="nil"/>
              <w:bottom w:val="single" w:sz="4" w:space="0" w:color="auto"/>
              <w:right w:val="single" w:sz="4" w:space="0" w:color="auto"/>
            </w:tcBorders>
            <w:shd w:val="clear" w:color="auto" w:fill="auto"/>
            <w:noWrap/>
            <w:vAlign w:val="center"/>
            <w:hideMark/>
          </w:tcPr>
          <w:p w14:paraId="755024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86832751</w:t>
            </w:r>
          </w:p>
        </w:tc>
        <w:tc>
          <w:tcPr>
            <w:tcW w:w="160" w:type="dxa"/>
            <w:tcBorders>
              <w:top w:val="nil"/>
              <w:left w:val="nil"/>
              <w:bottom w:val="single" w:sz="4" w:space="0" w:color="auto"/>
              <w:right w:val="nil"/>
            </w:tcBorders>
            <w:vAlign w:val="center"/>
          </w:tcPr>
          <w:p w14:paraId="1E85F2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C192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ČRNOMELJ</w:t>
            </w:r>
          </w:p>
        </w:tc>
      </w:tr>
      <w:tr w:rsidR="00072A69" w:rsidRPr="00DC6DF9" w14:paraId="66A126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8649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450</w:t>
            </w:r>
          </w:p>
        </w:tc>
        <w:tc>
          <w:tcPr>
            <w:tcW w:w="1036" w:type="dxa"/>
            <w:tcBorders>
              <w:top w:val="nil"/>
              <w:left w:val="nil"/>
              <w:bottom w:val="single" w:sz="4" w:space="0" w:color="auto"/>
              <w:right w:val="single" w:sz="4" w:space="0" w:color="auto"/>
            </w:tcBorders>
            <w:shd w:val="clear" w:color="auto" w:fill="auto"/>
            <w:noWrap/>
            <w:vAlign w:val="center"/>
            <w:hideMark/>
          </w:tcPr>
          <w:p w14:paraId="2FBA5A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5269849000</w:t>
            </w:r>
          </w:p>
        </w:tc>
        <w:tc>
          <w:tcPr>
            <w:tcW w:w="1036" w:type="dxa"/>
            <w:tcBorders>
              <w:top w:val="nil"/>
              <w:left w:val="nil"/>
              <w:bottom w:val="single" w:sz="4" w:space="0" w:color="auto"/>
              <w:right w:val="single" w:sz="4" w:space="0" w:color="auto"/>
            </w:tcBorders>
            <w:shd w:val="clear" w:color="auto" w:fill="auto"/>
            <w:noWrap/>
            <w:vAlign w:val="center"/>
            <w:hideMark/>
          </w:tcPr>
          <w:p w14:paraId="1B3433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79466591</w:t>
            </w:r>
          </w:p>
        </w:tc>
        <w:tc>
          <w:tcPr>
            <w:tcW w:w="160" w:type="dxa"/>
            <w:tcBorders>
              <w:top w:val="nil"/>
              <w:left w:val="nil"/>
              <w:bottom w:val="single" w:sz="4" w:space="0" w:color="auto"/>
              <w:right w:val="nil"/>
            </w:tcBorders>
            <w:vAlign w:val="center"/>
          </w:tcPr>
          <w:p w14:paraId="3C9CFB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656A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DOMŽALE</w:t>
            </w:r>
          </w:p>
        </w:tc>
      </w:tr>
      <w:tr w:rsidR="00072A69" w:rsidRPr="00DC6DF9" w14:paraId="242F89E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441B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451</w:t>
            </w:r>
          </w:p>
        </w:tc>
        <w:tc>
          <w:tcPr>
            <w:tcW w:w="1036" w:type="dxa"/>
            <w:tcBorders>
              <w:top w:val="nil"/>
              <w:left w:val="nil"/>
              <w:bottom w:val="single" w:sz="4" w:space="0" w:color="auto"/>
              <w:right w:val="single" w:sz="4" w:space="0" w:color="auto"/>
            </w:tcBorders>
            <w:shd w:val="clear" w:color="auto" w:fill="auto"/>
            <w:noWrap/>
            <w:vAlign w:val="center"/>
            <w:hideMark/>
          </w:tcPr>
          <w:p w14:paraId="02DE9E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1451120000</w:t>
            </w:r>
          </w:p>
        </w:tc>
        <w:tc>
          <w:tcPr>
            <w:tcW w:w="1036" w:type="dxa"/>
            <w:tcBorders>
              <w:top w:val="nil"/>
              <w:left w:val="nil"/>
              <w:bottom w:val="single" w:sz="4" w:space="0" w:color="auto"/>
              <w:right w:val="single" w:sz="4" w:space="0" w:color="auto"/>
            </w:tcBorders>
            <w:shd w:val="clear" w:color="auto" w:fill="auto"/>
            <w:noWrap/>
            <w:vAlign w:val="center"/>
            <w:hideMark/>
          </w:tcPr>
          <w:p w14:paraId="316E32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93811403</w:t>
            </w:r>
          </w:p>
        </w:tc>
        <w:tc>
          <w:tcPr>
            <w:tcW w:w="160" w:type="dxa"/>
            <w:tcBorders>
              <w:top w:val="nil"/>
              <w:left w:val="nil"/>
              <w:bottom w:val="single" w:sz="4" w:space="0" w:color="auto"/>
              <w:right w:val="nil"/>
            </w:tcBorders>
            <w:vAlign w:val="center"/>
          </w:tcPr>
          <w:p w14:paraId="6B9319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54E0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DR. TONETA PRETNARJA</w:t>
            </w:r>
          </w:p>
        </w:tc>
      </w:tr>
      <w:tr w:rsidR="00072A69" w:rsidRPr="00DC6DF9" w14:paraId="6DA8E6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C94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452</w:t>
            </w:r>
          </w:p>
        </w:tc>
        <w:tc>
          <w:tcPr>
            <w:tcW w:w="1036" w:type="dxa"/>
            <w:tcBorders>
              <w:top w:val="nil"/>
              <w:left w:val="nil"/>
              <w:bottom w:val="single" w:sz="4" w:space="0" w:color="auto"/>
              <w:right w:val="single" w:sz="4" w:space="0" w:color="auto"/>
            </w:tcBorders>
            <w:shd w:val="clear" w:color="auto" w:fill="auto"/>
            <w:noWrap/>
            <w:vAlign w:val="center"/>
            <w:hideMark/>
          </w:tcPr>
          <w:p w14:paraId="1A567C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1273957000</w:t>
            </w:r>
          </w:p>
        </w:tc>
        <w:tc>
          <w:tcPr>
            <w:tcW w:w="1036" w:type="dxa"/>
            <w:tcBorders>
              <w:top w:val="nil"/>
              <w:left w:val="nil"/>
              <w:bottom w:val="single" w:sz="4" w:space="0" w:color="auto"/>
              <w:right w:val="single" w:sz="4" w:space="0" w:color="auto"/>
            </w:tcBorders>
            <w:shd w:val="clear" w:color="auto" w:fill="auto"/>
            <w:noWrap/>
            <w:vAlign w:val="center"/>
            <w:hideMark/>
          </w:tcPr>
          <w:p w14:paraId="02F71B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74525344</w:t>
            </w:r>
          </w:p>
        </w:tc>
        <w:tc>
          <w:tcPr>
            <w:tcW w:w="160" w:type="dxa"/>
            <w:tcBorders>
              <w:top w:val="nil"/>
              <w:left w:val="nil"/>
              <w:bottom w:val="single" w:sz="4" w:space="0" w:color="auto"/>
              <w:right w:val="nil"/>
            </w:tcBorders>
            <w:vAlign w:val="center"/>
          </w:tcPr>
          <w:p w14:paraId="5CE40B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9EC9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DRAVOGRAD</w:t>
            </w:r>
          </w:p>
        </w:tc>
      </w:tr>
      <w:tr w:rsidR="00072A69" w:rsidRPr="00DC6DF9" w14:paraId="1D6D8C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A24F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453</w:t>
            </w:r>
          </w:p>
        </w:tc>
        <w:tc>
          <w:tcPr>
            <w:tcW w:w="1036" w:type="dxa"/>
            <w:tcBorders>
              <w:top w:val="nil"/>
              <w:left w:val="nil"/>
              <w:bottom w:val="single" w:sz="4" w:space="0" w:color="auto"/>
              <w:right w:val="single" w:sz="4" w:space="0" w:color="auto"/>
            </w:tcBorders>
            <w:shd w:val="clear" w:color="auto" w:fill="auto"/>
            <w:noWrap/>
            <w:vAlign w:val="center"/>
            <w:hideMark/>
          </w:tcPr>
          <w:p w14:paraId="04DB25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5627460000</w:t>
            </w:r>
          </w:p>
        </w:tc>
        <w:tc>
          <w:tcPr>
            <w:tcW w:w="1036" w:type="dxa"/>
            <w:tcBorders>
              <w:top w:val="nil"/>
              <w:left w:val="nil"/>
              <w:bottom w:val="single" w:sz="4" w:space="0" w:color="auto"/>
              <w:right w:val="single" w:sz="4" w:space="0" w:color="auto"/>
            </w:tcBorders>
            <w:shd w:val="clear" w:color="auto" w:fill="auto"/>
            <w:noWrap/>
            <w:vAlign w:val="center"/>
            <w:hideMark/>
          </w:tcPr>
          <w:p w14:paraId="663DD0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88074412</w:t>
            </w:r>
          </w:p>
        </w:tc>
        <w:tc>
          <w:tcPr>
            <w:tcW w:w="160" w:type="dxa"/>
            <w:tcBorders>
              <w:top w:val="nil"/>
              <w:left w:val="nil"/>
              <w:bottom w:val="single" w:sz="4" w:space="0" w:color="auto"/>
              <w:right w:val="nil"/>
            </w:tcBorders>
            <w:vAlign w:val="center"/>
          </w:tcPr>
          <w:p w14:paraId="6C6EAC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DE0B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FRANCA KSAVRA MEŠKA ORMOŽ</w:t>
            </w:r>
          </w:p>
        </w:tc>
      </w:tr>
      <w:tr w:rsidR="00072A69" w:rsidRPr="00DC6DF9" w14:paraId="0E75D3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A347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454</w:t>
            </w:r>
          </w:p>
        </w:tc>
        <w:tc>
          <w:tcPr>
            <w:tcW w:w="1036" w:type="dxa"/>
            <w:tcBorders>
              <w:top w:val="nil"/>
              <w:left w:val="nil"/>
              <w:bottom w:val="single" w:sz="4" w:space="0" w:color="auto"/>
              <w:right w:val="single" w:sz="4" w:space="0" w:color="auto"/>
            </w:tcBorders>
            <w:shd w:val="clear" w:color="auto" w:fill="auto"/>
            <w:noWrap/>
            <w:vAlign w:val="center"/>
            <w:hideMark/>
          </w:tcPr>
          <w:p w14:paraId="28F75B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5543452000</w:t>
            </w:r>
          </w:p>
        </w:tc>
        <w:tc>
          <w:tcPr>
            <w:tcW w:w="1036" w:type="dxa"/>
            <w:tcBorders>
              <w:top w:val="nil"/>
              <w:left w:val="nil"/>
              <w:bottom w:val="single" w:sz="4" w:space="0" w:color="auto"/>
              <w:right w:val="single" w:sz="4" w:space="0" w:color="auto"/>
            </w:tcBorders>
            <w:shd w:val="clear" w:color="auto" w:fill="auto"/>
            <w:noWrap/>
            <w:vAlign w:val="center"/>
            <w:hideMark/>
          </w:tcPr>
          <w:p w14:paraId="348A1E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20620586</w:t>
            </w:r>
          </w:p>
        </w:tc>
        <w:tc>
          <w:tcPr>
            <w:tcW w:w="160" w:type="dxa"/>
            <w:tcBorders>
              <w:top w:val="nil"/>
              <w:left w:val="nil"/>
              <w:bottom w:val="single" w:sz="4" w:space="0" w:color="auto"/>
              <w:right w:val="nil"/>
            </w:tcBorders>
            <w:vAlign w:val="center"/>
          </w:tcPr>
          <w:p w14:paraId="31B33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E962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FRANCETA BALANTIČA KAMNIK</w:t>
            </w:r>
          </w:p>
        </w:tc>
      </w:tr>
      <w:tr w:rsidR="00072A69" w:rsidRPr="00DC6DF9" w14:paraId="23F248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51C5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455</w:t>
            </w:r>
          </w:p>
        </w:tc>
        <w:tc>
          <w:tcPr>
            <w:tcW w:w="1036" w:type="dxa"/>
            <w:tcBorders>
              <w:top w:val="nil"/>
              <w:left w:val="nil"/>
              <w:bottom w:val="single" w:sz="4" w:space="0" w:color="auto"/>
              <w:right w:val="single" w:sz="4" w:space="0" w:color="auto"/>
            </w:tcBorders>
            <w:shd w:val="clear" w:color="auto" w:fill="auto"/>
            <w:noWrap/>
            <w:vAlign w:val="center"/>
            <w:hideMark/>
          </w:tcPr>
          <w:p w14:paraId="311C76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5052483000</w:t>
            </w:r>
          </w:p>
        </w:tc>
        <w:tc>
          <w:tcPr>
            <w:tcW w:w="1036" w:type="dxa"/>
            <w:tcBorders>
              <w:top w:val="nil"/>
              <w:left w:val="nil"/>
              <w:bottom w:val="single" w:sz="4" w:space="0" w:color="auto"/>
              <w:right w:val="single" w:sz="4" w:space="0" w:color="auto"/>
            </w:tcBorders>
            <w:shd w:val="clear" w:color="auto" w:fill="auto"/>
            <w:noWrap/>
            <w:vAlign w:val="center"/>
            <w:hideMark/>
          </w:tcPr>
          <w:p w14:paraId="2BEF4A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25411306</w:t>
            </w:r>
          </w:p>
        </w:tc>
        <w:tc>
          <w:tcPr>
            <w:tcW w:w="160" w:type="dxa"/>
            <w:tcBorders>
              <w:top w:val="nil"/>
              <w:left w:val="nil"/>
              <w:bottom w:val="single" w:sz="4" w:space="0" w:color="auto"/>
              <w:right w:val="nil"/>
            </w:tcBorders>
            <w:vAlign w:val="center"/>
          </w:tcPr>
          <w:p w14:paraId="160572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1432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GORNJA RADGONA</w:t>
            </w:r>
          </w:p>
        </w:tc>
      </w:tr>
      <w:tr w:rsidR="00072A69" w:rsidRPr="00DC6DF9" w14:paraId="4F508C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DEA0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456</w:t>
            </w:r>
          </w:p>
        </w:tc>
        <w:tc>
          <w:tcPr>
            <w:tcW w:w="1036" w:type="dxa"/>
            <w:tcBorders>
              <w:top w:val="nil"/>
              <w:left w:val="nil"/>
              <w:bottom w:val="single" w:sz="4" w:space="0" w:color="auto"/>
              <w:right w:val="single" w:sz="4" w:space="0" w:color="auto"/>
            </w:tcBorders>
            <w:shd w:val="clear" w:color="auto" w:fill="auto"/>
            <w:noWrap/>
            <w:vAlign w:val="center"/>
            <w:hideMark/>
          </w:tcPr>
          <w:p w14:paraId="17CEC6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5052815000</w:t>
            </w:r>
          </w:p>
        </w:tc>
        <w:tc>
          <w:tcPr>
            <w:tcW w:w="1036" w:type="dxa"/>
            <w:tcBorders>
              <w:top w:val="nil"/>
              <w:left w:val="nil"/>
              <w:bottom w:val="single" w:sz="4" w:space="0" w:color="auto"/>
              <w:right w:val="single" w:sz="4" w:space="0" w:color="auto"/>
            </w:tcBorders>
            <w:shd w:val="clear" w:color="auto" w:fill="auto"/>
            <w:noWrap/>
            <w:vAlign w:val="center"/>
            <w:hideMark/>
          </w:tcPr>
          <w:p w14:paraId="72A148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75749319</w:t>
            </w:r>
          </w:p>
        </w:tc>
        <w:tc>
          <w:tcPr>
            <w:tcW w:w="160" w:type="dxa"/>
            <w:tcBorders>
              <w:top w:val="nil"/>
              <w:left w:val="nil"/>
              <w:bottom w:val="single" w:sz="4" w:space="0" w:color="auto"/>
              <w:right w:val="nil"/>
            </w:tcBorders>
            <w:vAlign w:val="center"/>
          </w:tcPr>
          <w:p w14:paraId="3061A5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19BC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IVANA POTRČA PTUJ</w:t>
            </w:r>
          </w:p>
        </w:tc>
      </w:tr>
      <w:tr w:rsidR="00072A69" w:rsidRPr="00DC6DF9" w14:paraId="47CF9D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29F5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457</w:t>
            </w:r>
          </w:p>
        </w:tc>
        <w:tc>
          <w:tcPr>
            <w:tcW w:w="1036" w:type="dxa"/>
            <w:tcBorders>
              <w:top w:val="nil"/>
              <w:left w:val="nil"/>
              <w:bottom w:val="single" w:sz="4" w:space="0" w:color="auto"/>
              <w:right w:val="single" w:sz="4" w:space="0" w:color="auto"/>
            </w:tcBorders>
            <w:shd w:val="clear" w:color="auto" w:fill="auto"/>
            <w:noWrap/>
            <w:vAlign w:val="center"/>
            <w:hideMark/>
          </w:tcPr>
          <w:p w14:paraId="44CC0A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5052963000</w:t>
            </w:r>
          </w:p>
        </w:tc>
        <w:tc>
          <w:tcPr>
            <w:tcW w:w="1036" w:type="dxa"/>
            <w:tcBorders>
              <w:top w:val="nil"/>
              <w:left w:val="nil"/>
              <w:bottom w:val="single" w:sz="4" w:space="0" w:color="auto"/>
              <w:right w:val="single" w:sz="4" w:space="0" w:color="auto"/>
            </w:tcBorders>
            <w:shd w:val="clear" w:color="auto" w:fill="auto"/>
            <w:noWrap/>
            <w:vAlign w:val="center"/>
            <w:hideMark/>
          </w:tcPr>
          <w:p w14:paraId="62C6E0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27048870</w:t>
            </w:r>
          </w:p>
        </w:tc>
        <w:tc>
          <w:tcPr>
            <w:tcW w:w="160" w:type="dxa"/>
            <w:tcBorders>
              <w:top w:val="nil"/>
              <w:left w:val="nil"/>
              <w:bottom w:val="single" w:sz="4" w:space="0" w:color="auto"/>
              <w:right w:val="nil"/>
            </w:tcBorders>
            <w:vAlign w:val="center"/>
          </w:tcPr>
          <w:p w14:paraId="028FC4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62C2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IVANA TAVČARJA ŠKOFJA LOKA</w:t>
            </w:r>
          </w:p>
        </w:tc>
      </w:tr>
      <w:tr w:rsidR="00072A69" w:rsidRPr="00DC6DF9" w14:paraId="1BED91D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D0B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458</w:t>
            </w:r>
          </w:p>
        </w:tc>
        <w:tc>
          <w:tcPr>
            <w:tcW w:w="1036" w:type="dxa"/>
            <w:tcBorders>
              <w:top w:val="nil"/>
              <w:left w:val="nil"/>
              <w:bottom w:val="single" w:sz="4" w:space="0" w:color="auto"/>
              <w:right w:val="single" w:sz="4" w:space="0" w:color="auto"/>
            </w:tcBorders>
            <w:shd w:val="clear" w:color="auto" w:fill="auto"/>
            <w:noWrap/>
            <w:vAlign w:val="center"/>
            <w:hideMark/>
          </w:tcPr>
          <w:p w14:paraId="1B06D8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5818508000</w:t>
            </w:r>
          </w:p>
        </w:tc>
        <w:tc>
          <w:tcPr>
            <w:tcW w:w="1036" w:type="dxa"/>
            <w:tcBorders>
              <w:top w:val="nil"/>
              <w:left w:val="nil"/>
              <w:bottom w:val="single" w:sz="4" w:space="0" w:color="auto"/>
              <w:right w:val="single" w:sz="4" w:space="0" w:color="auto"/>
            </w:tcBorders>
            <w:shd w:val="clear" w:color="auto" w:fill="auto"/>
            <w:noWrap/>
            <w:vAlign w:val="center"/>
            <w:hideMark/>
          </w:tcPr>
          <w:p w14:paraId="70AD7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44918160</w:t>
            </w:r>
          </w:p>
        </w:tc>
        <w:tc>
          <w:tcPr>
            <w:tcW w:w="160" w:type="dxa"/>
            <w:tcBorders>
              <w:top w:val="nil"/>
              <w:left w:val="nil"/>
              <w:bottom w:val="single" w:sz="4" w:space="0" w:color="auto"/>
              <w:right w:val="nil"/>
            </w:tcBorders>
            <w:vAlign w:val="center"/>
          </w:tcPr>
          <w:p w14:paraId="491D2F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B9F4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JOŽETA UDOVIČA CERKNICA</w:t>
            </w:r>
          </w:p>
        </w:tc>
      </w:tr>
      <w:tr w:rsidR="00072A69" w:rsidRPr="00DC6DF9" w14:paraId="0B1D99A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0056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459</w:t>
            </w:r>
          </w:p>
        </w:tc>
        <w:tc>
          <w:tcPr>
            <w:tcW w:w="1036" w:type="dxa"/>
            <w:tcBorders>
              <w:top w:val="nil"/>
              <w:left w:val="nil"/>
              <w:bottom w:val="single" w:sz="4" w:space="0" w:color="auto"/>
              <w:right w:val="single" w:sz="4" w:space="0" w:color="auto"/>
            </w:tcBorders>
            <w:shd w:val="clear" w:color="auto" w:fill="auto"/>
            <w:noWrap/>
            <w:vAlign w:val="center"/>
            <w:hideMark/>
          </w:tcPr>
          <w:p w14:paraId="1BFD50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5518164000</w:t>
            </w:r>
          </w:p>
        </w:tc>
        <w:tc>
          <w:tcPr>
            <w:tcW w:w="1036" w:type="dxa"/>
            <w:tcBorders>
              <w:top w:val="nil"/>
              <w:left w:val="nil"/>
              <w:bottom w:val="single" w:sz="4" w:space="0" w:color="auto"/>
              <w:right w:val="single" w:sz="4" w:space="0" w:color="auto"/>
            </w:tcBorders>
            <w:shd w:val="clear" w:color="auto" w:fill="auto"/>
            <w:noWrap/>
            <w:vAlign w:val="center"/>
            <w:hideMark/>
          </w:tcPr>
          <w:p w14:paraId="5FF7B3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60703067</w:t>
            </w:r>
          </w:p>
        </w:tc>
        <w:tc>
          <w:tcPr>
            <w:tcW w:w="160" w:type="dxa"/>
            <w:tcBorders>
              <w:top w:val="nil"/>
              <w:left w:val="nil"/>
              <w:bottom w:val="single" w:sz="4" w:space="0" w:color="auto"/>
              <w:right w:val="nil"/>
            </w:tcBorders>
            <w:vAlign w:val="center"/>
          </w:tcPr>
          <w:p w14:paraId="3CAEAB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ED21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KSAVERJA MEŠKA SLOVENJ GRADEC</w:t>
            </w:r>
          </w:p>
        </w:tc>
      </w:tr>
      <w:tr w:rsidR="00072A69" w:rsidRPr="00DC6DF9" w14:paraId="5DDAD36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9C76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460</w:t>
            </w:r>
          </w:p>
        </w:tc>
        <w:tc>
          <w:tcPr>
            <w:tcW w:w="1036" w:type="dxa"/>
            <w:tcBorders>
              <w:top w:val="nil"/>
              <w:left w:val="nil"/>
              <w:bottom w:val="single" w:sz="4" w:space="0" w:color="auto"/>
              <w:right w:val="single" w:sz="4" w:space="0" w:color="auto"/>
            </w:tcBorders>
            <w:shd w:val="clear" w:color="auto" w:fill="auto"/>
            <w:noWrap/>
            <w:vAlign w:val="center"/>
            <w:hideMark/>
          </w:tcPr>
          <w:p w14:paraId="52718C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5966949000</w:t>
            </w:r>
          </w:p>
        </w:tc>
        <w:tc>
          <w:tcPr>
            <w:tcW w:w="1036" w:type="dxa"/>
            <w:tcBorders>
              <w:top w:val="nil"/>
              <w:left w:val="nil"/>
              <w:bottom w:val="single" w:sz="4" w:space="0" w:color="auto"/>
              <w:right w:val="single" w:sz="4" w:space="0" w:color="auto"/>
            </w:tcBorders>
            <w:shd w:val="clear" w:color="auto" w:fill="auto"/>
            <w:noWrap/>
            <w:vAlign w:val="center"/>
            <w:hideMark/>
          </w:tcPr>
          <w:p w14:paraId="692BEC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72905689</w:t>
            </w:r>
          </w:p>
        </w:tc>
        <w:tc>
          <w:tcPr>
            <w:tcW w:w="160" w:type="dxa"/>
            <w:tcBorders>
              <w:top w:val="nil"/>
              <w:left w:val="nil"/>
              <w:bottom w:val="single" w:sz="4" w:space="0" w:color="auto"/>
              <w:right w:val="nil"/>
            </w:tcBorders>
            <w:vAlign w:val="center"/>
          </w:tcPr>
          <w:p w14:paraId="552A39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DFF5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LAŠKO</w:t>
            </w:r>
          </w:p>
        </w:tc>
      </w:tr>
      <w:tr w:rsidR="00072A69" w:rsidRPr="00DC6DF9" w14:paraId="47CA6C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EDA3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461</w:t>
            </w:r>
          </w:p>
        </w:tc>
        <w:tc>
          <w:tcPr>
            <w:tcW w:w="1036" w:type="dxa"/>
            <w:tcBorders>
              <w:top w:val="nil"/>
              <w:left w:val="nil"/>
              <w:bottom w:val="single" w:sz="4" w:space="0" w:color="auto"/>
              <w:right w:val="single" w:sz="4" w:space="0" w:color="auto"/>
            </w:tcBorders>
            <w:shd w:val="clear" w:color="auto" w:fill="auto"/>
            <w:noWrap/>
            <w:vAlign w:val="center"/>
            <w:hideMark/>
          </w:tcPr>
          <w:p w14:paraId="6DA5B0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1917269000</w:t>
            </w:r>
          </w:p>
        </w:tc>
        <w:tc>
          <w:tcPr>
            <w:tcW w:w="1036" w:type="dxa"/>
            <w:tcBorders>
              <w:top w:val="nil"/>
              <w:left w:val="nil"/>
              <w:bottom w:val="single" w:sz="4" w:space="0" w:color="auto"/>
              <w:right w:val="single" w:sz="4" w:space="0" w:color="auto"/>
            </w:tcBorders>
            <w:shd w:val="clear" w:color="auto" w:fill="auto"/>
            <w:noWrap/>
            <w:vAlign w:val="center"/>
            <w:hideMark/>
          </w:tcPr>
          <w:p w14:paraId="086955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16672500</w:t>
            </w:r>
          </w:p>
        </w:tc>
        <w:tc>
          <w:tcPr>
            <w:tcW w:w="160" w:type="dxa"/>
            <w:tcBorders>
              <w:top w:val="nil"/>
              <w:left w:val="nil"/>
              <w:bottom w:val="single" w:sz="4" w:space="0" w:color="auto"/>
              <w:right w:val="nil"/>
            </w:tcBorders>
            <w:vAlign w:val="center"/>
          </w:tcPr>
          <w:p w14:paraId="4BF4E1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8E3D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LITIJA</w:t>
            </w:r>
          </w:p>
        </w:tc>
      </w:tr>
      <w:tr w:rsidR="00072A69" w:rsidRPr="00DC6DF9" w14:paraId="371107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A5E0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462</w:t>
            </w:r>
          </w:p>
        </w:tc>
        <w:tc>
          <w:tcPr>
            <w:tcW w:w="1036" w:type="dxa"/>
            <w:tcBorders>
              <w:top w:val="nil"/>
              <w:left w:val="nil"/>
              <w:bottom w:val="single" w:sz="4" w:space="0" w:color="auto"/>
              <w:right w:val="single" w:sz="4" w:space="0" w:color="auto"/>
            </w:tcBorders>
            <w:shd w:val="clear" w:color="auto" w:fill="auto"/>
            <w:noWrap/>
            <w:vAlign w:val="center"/>
            <w:hideMark/>
          </w:tcPr>
          <w:p w14:paraId="659CD8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3517608000</w:t>
            </w:r>
          </w:p>
        </w:tc>
        <w:tc>
          <w:tcPr>
            <w:tcW w:w="1036" w:type="dxa"/>
            <w:tcBorders>
              <w:top w:val="nil"/>
              <w:left w:val="nil"/>
              <w:bottom w:val="single" w:sz="4" w:space="0" w:color="auto"/>
              <w:right w:val="single" w:sz="4" w:space="0" w:color="auto"/>
            </w:tcBorders>
            <w:shd w:val="clear" w:color="auto" w:fill="auto"/>
            <w:noWrap/>
            <w:vAlign w:val="center"/>
            <w:hideMark/>
          </w:tcPr>
          <w:p w14:paraId="4D20FD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68239459</w:t>
            </w:r>
          </w:p>
        </w:tc>
        <w:tc>
          <w:tcPr>
            <w:tcW w:w="160" w:type="dxa"/>
            <w:tcBorders>
              <w:top w:val="nil"/>
              <w:left w:val="nil"/>
              <w:bottom w:val="single" w:sz="4" w:space="0" w:color="auto"/>
              <w:right w:val="nil"/>
            </w:tcBorders>
            <w:vAlign w:val="center"/>
          </w:tcPr>
          <w:p w14:paraId="05A026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E7CF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MEDVODE</w:t>
            </w:r>
          </w:p>
        </w:tc>
      </w:tr>
      <w:tr w:rsidR="00072A69" w:rsidRPr="00DC6DF9" w14:paraId="4C2EEB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5D29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463</w:t>
            </w:r>
          </w:p>
        </w:tc>
        <w:tc>
          <w:tcPr>
            <w:tcW w:w="1036" w:type="dxa"/>
            <w:tcBorders>
              <w:top w:val="nil"/>
              <w:left w:val="nil"/>
              <w:bottom w:val="single" w:sz="4" w:space="0" w:color="auto"/>
              <w:right w:val="single" w:sz="4" w:space="0" w:color="auto"/>
            </w:tcBorders>
            <w:shd w:val="clear" w:color="auto" w:fill="auto"/>
            <w:noWrap/>
            <w:vAlign w:val="center"/>
            <w:hideMark/>
          </w:tcPr>
          <w:p w14:paraId="4819D1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5052220000</w:t>
            </w:r>
          </w:p>
        </w:tc>
        <w:tc>
          <w:tcPr>
            <w:tcW w:w="1036" w:type="dxa"/>
            <w:tcBorders>
              <w:top w:val="nil"/>
              <w:left w:val="nil"/>
              <w:bottom w:val="single" w:sz="4" w:space="0" w:color="auto"/>
              <w:right w:val="single" w:sz="4" w:space="0" w:color="auto"/>
            </w:tcBorders>
            <w:shd w:val="clear" w:color="auto" w:fill="auto"/>
            <w:noWrap/>
            <w:vAlign w:val="center"/>
            <w:hideMark/>
          </w:tcPr>
          <w:p w14:paraId="2173CE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17928095</w:t>
            </w:r>
          </w:p>
        </w:tc>
        <w:tc>
          <w:tcPr>
            <w:tcW w:w="160" w:type="dxa"/>
            <w:tcBorders>
              <w:top w:val="nil"/>
              <w:left w:val="nil"/>
              <w:bottom w:val="single" w:sz="4" w:space="0" w:color="auto"/>
              <w:right w:val="nil"/>
            </w:tcBorders>
            <w:vAlign w:val="center"/>
          </w:tcPr>
          <w:p w14:paraId="72D669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A612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MIRANA JARCA NOVO MESTO</w:t>
            </w:r>
          </w:p>
        </w:tc>
      </w:tr>
      <w:tr w:rsidR="00072A69" w:rsidRPr="00DC6DF9" w14:paraId="690217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17E0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464</w:t>
            </w:r>
          </w:p>
        </w:tc>
        <w:tc>
          <w:tcPr>
            <w:tcW w:w="1036" w:type="dxa"/>
            <w:tcBorders>
              <w:top w:val="nil"/>
              <w:left w:val="nil"/>
              <w:bottom w:val="single" w:sz="4" w:space="0" w:color="auto"/>
              <w:right w:val="single" w:sz="4" w:space="0" w:color="auto"/>
            </w:tcBorders>
            <w:shd w:val="clear" w:color="auto" w:fill="auto"/>
            <w:noWrap/>
            <w:vAlign w:val="center"/>
            <w:hideMark/>
          </w:tcPr>
          <w:p w14:paraId="121D91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1909738000</w:t>
            </w:r>
          </w:p>
        </w:tc>
        <w:tc>
          <w:tcPr>
            <w:tcW w:w="1036" w:type="dxa"/>
            <w:tcBorders>
              <w:top w:val="nil"/>
              <w:left w:val="nil"/>
              <w:bottom w:val="single" w:sz="4" w:space="0" w:color="auto"/>
              <w:right w:val="single" w:sz="4" w:space="0" w:color="auto"/>
            </w:tcBorders>
            <w:shd w:val="clear" w:color="auto" w:fill="auto"/>
            <w:noWrap/>
            <w:vAlign w:val="center"/>
            <w:hideMark/>
          </w:tcPr>
          <w:p w14:paraId="137084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77168232</w:t>
            </w:r>
          </w:p>
        </w:tc>
        <w:tc>
          <w:tcPr>
            <w:tcW w:w="160" w:type="dxa"/>
            <w:tcBorders>
              <w:top w:val="nil"/>
              <w:left w:val="nil"/>
              <w:bottom w:val="single" w:sz="4" w:space="0" w:color="auto"/>
              <w:right w:val="nil"/>
            </w:tcBorders>
            <w:vAlign w:val="center"/>
          </w:tcPr>
          <w:p w14:paraId="5E89A1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F66E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PAVLA GOLIE TREBNJE</w:t>
            </w:r>
          </w:p>
        </w:tc>
      </w:tr>
      <w:tr w:rsidR="00072A69" w:rsidRPr="00DC6DF9" w14:paraId="74733F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3F27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465</w:t>
            </w:r>
          </w:p>
        </w:tc>
        <w:tc>
          <w:tcPr>
            <w:tcW w:w="1036" w:type="dxa"/>
            <w:tcBorders>
              <w:top w:val="nil"/>
              <w:left w:val="nil"/>
              <w:bottom w:val="single" w:sz="4" w:space="0" w:color="auto"/>
              <w:right w:val="single" w:sz="4" w:space="0" w:color="auto"/>
            </w:tcBorders>
            <w:shd w:val="clear" w:color="auto" w:fill="auto"/>
            <w:noWrap/>
            <w:vAlign w:val="center"/>
            <w:hideMark/>
          </w:tcPr>
          <w:p w14:paraId="61DF49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5814197000</w:t>
            </w:r>
          </w:p>
        </w:tc>
        <w:tc>
          <w:tcPr>
            <w:tcW w:w="1036" w:type="dxa"/>
            <w:tcBorders>
              <w:top w:val="nil"/>
              <w:left w:val="nil"/>
              <w:bottom w:val="single" w:sz="4" w:space="0" w:color="auto"/>
              <w:right w:val="single" w:sz="4" w:space="0" w:color="auto"/>
            </w:tcBorders>
            <w:shd w:val="clear" w:color="auto" w:fill="auto"/>
            <w:noWrap/>
            <w:vAlign w:val="center"/>
            <w:hideMark/>
          </w:tcPr>
          <w:p w14:paraId="4E1314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81782268</w:t>
            </w:r>
          </w:p>
        </w:tc>
        <w:tc>
          <w:tcPr>
            <w:tcW w:w="160" w:type="dxa"/>
            <w:tcBorders>
              <w:top w:val="nil"/>
              <w:left w:val="nil"/>
              <w:bottom w:val="single" w:sz="4" w:space="0" w:color="auto"/>
              <w:right w:val="nil"/>
            </w:tcBorders>
            <w:vAlign w:val="center"/>
          </w:tcPr>
          <w:p w14:paraId="4D0B44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5463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RADLJE OB DRAVI</w:t>
            </w:r>
          </w:p>
        </w:tc>
      </w:tr>
      <w:tr w:rsidR="00072A69" w:rsidRPr="00DC6DF9" w14:paraId="34633E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5D6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466</w:t>
            </w:r>
          </w:p>
        </w:tc>
        <w:tc>
          <w:tcPr>
            <w:tcW w:w="1036" w:type="dxa"/>
            <w:tcBorders>
              <w:top w:val="nil"/>
              <w:left w:val="nil"/>
              <w:bottom w:val="single" w:sz="4" w:space="0" w:color="auto"/>
              <w:right w:val="single" w:sz="4" w:space="0" w:color="auto"/>
            </w:tcBorders>
            <w:shd w:val="clear" w:color="auto" w:fill="auto"/>
            <w:noWrap/>
            <w:vAlign w:val="center"/>
            <w:hideMark/>
          </w:tcPr>
          <w:p w14:paraId="0DDCA8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1847104000</w:t>
            </w:r>
          </w:p>
        </w:tc>
        <w:tc>
          <w:tcPr>
            <w:tcW w:w="1036" w:type="dxa"/>
            <w:tcBorders>
              <w:top w:val="nil"/>
              <w:left w:val="nil"/>
              <w:bottom w:val="single" w:sz="4" w:space="0" w:color="auto"/>
              <w:right w:val="single" w:sz="4" w:space="0" w:color="auto"/>
            </w:tcBorders>
            <w:shd w:val="clear" w:color="auto" w:fill="auto"/>
            <w:noWrap/>
            <w:vAlign w:val="center"/>
            <w:hideMark/>
          </w:tcPr>
          <w:p w14:paraId="65304C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44173121</w:t>
            </w:r>
          </w:p>
        </w:tc>
        <w:tc>
          <w:tcPr>
            <w:tcW w:w="160" w:type="dxa"/>
            <w:tcBorders>
              <w:top w:val="nil"/>
              <w:left w:val="nil"/>
              <w:bottom w:val="single" w:sz="4" w:space="0" w:color="auto"/>
              <w:right w:val="nil"/>
            </w:tcBorders>
            <w:vAlign w:val="center"/>
          </w:tcPr>
          <w:p w14:paraId="09036B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3CF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ROGAŠKA SLATINA</w:t>
            </w:r>
          </w:p>
        </w:tc>
      </w:tr>
      <w:tr w:rsidR="00072A69" w:rsidRPr="00DC6DF9" w14:paraId="66AA21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58BB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467</w:t>
            </w:r>
          </w:p>
        </w:tc>
        <w:tc>
          <w:tcPr>
            <w:tcW w:w="1036" w:type="dxa"/>
            <w:tcBorders>
              <w:top w:val="nil"/>
              <w:left w:val="nil"/>
              <w:bottom w:val="single" w:sz="4" w:space="0" w:color="auto"/>
              <w:right w:val="single" w:sz="4" w:space="0" w:color="auto"/>
            </w:tcBorders>
            <w:shd w:val="clear" w:color="auto" w:fill="auto"/>
            <w:noWrap/>
            <w:vAlign w:val="center"/>
            <w:hideMark/>
          </w:tcPr>
          <w:p w14:paraId="0D22CB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1614436000</w:t>
            </w:r>
          </w:p>
        </w:tc>
        <w:tc>
          <w:tcPr>
            <w:tcW w:w="1036" w:type="dxa"/>
            <w:tcBorders>
              <w:top w:val="nil"/>
              <w:left w:val="nil"/>
              <w:bottom w:val="single" w:sz="4" w:space="0" w:color="auto"/>
              <w:right w:val="single" w:sz="4" w:space="0" w:color="auto"/>
            </w:tcBorders>
            <w:shd w:val="clear" w:color="auto" w:fill="auto"/>
            <w:noWrap/>
            <w:vAlign w:val="center"/>
            <w:hideMark/>
          </w:tcPr>
          <w:p w14:paraId="0AF180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68502460</w:t>
            </w:r>
          </w:p>
        </w:tc>
        <w:tc>
          <w:tcPr>
            <w:tcW w:w="160" w:type="dxa"/>
            <w:tcBorders>
              <w:top w:val="nil"/>
              <w:left w:val="nil"/>
              <w:bottom w:val="single" w:sz="4" w:space="0" w:color="auto"/>
              <w:right w:val="nil"/>
            </w:tcBorders>
            <w:vAlign w:val="center"/>
          </w:tcPr>
          <w:p w14:paraId="6DCDCAE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EDFA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SEVNICA</w:t>
            </w:r>
          </w:p>
        </w:tc>
      </w:tr>
      <w:tr w:rsidR="00072A69" w:rsidRPr="00DC6DF9" w14:paraId="1A723E5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C26E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468</w:t>
            </w:r>
          </w:p>
        </w:tc>
        <w:tc>
          <w:tcPr>
            <w:tcW w:w="1036" w:type="dxa"/>
            <w:tcBorders>
              <w:top w:val="nil"/>
              <w:left w:val="nil"/>
              <w:bottom w:val="single" w:sz="4" w:space="0" w:color="auto"/>
              <w:right w:val="single" w:sz="4" w:space="0" w:color="auto"/>
            </w:tcBorders>
            <w:shd w:val="clear" w:color="auto" w:fill="auto"/>
            <w:noWrap/>
            <w:vAlign w:val="center"/>
            <w:hideMark/>
          </w:tcPr>
          <w:p w14:paraId="691128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1803794000</w:t>
            </w:r>
          </w:p>
        </w:tc>
        <w:tc>
          <w:tcPr>
            <w:tcW w:w="1036" w:type="dxa"/>
            <w:tcBorders>
              <w:top w:val="nil"/>
              <w:left w:val="nil"/>
              <w:bottom w:val="single" w:sz="4" w:space="0" w:color="auto"/>
              <w:right w:val="single" w:sz="4" w:space="0" w:color="auto"/>
            </w:tcBorders>
            <w:shd w:val="clear" w:color="auto" w:fill="auto"/>
            <w:noWrap/>
            <w:vAlign w:val="center"/>
            <w:hideMark/>
          </w:tcPr>
          <w:p w14:paraId="5246BA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61028797</w:t>
            </w:r>
          </w:p>
        </w:tc>
        <w:tc>
          <w:tcPr>
            <w:tcW w:w="160" w:type="dxa"/>
            <w:tcBorders>
              <w:top w:val="nil"/>
              <w:left w:val="nil"/>
              <w:bottom w:val="single" w:sz="4" w:space="0" w:color="auto"/>
              <w:right w:val="nil"/>
            </w:tcBorders>
            <w:vAlign w:val="center"/>
          </w:tcPr>
          <w:p w14:paraId="7E5A64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D3F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ŠMARJE PRI JELŠAH</w:t>
            </w:r>
          </w:p>
        </w:tc>
      </w:tr>
      <w:tr w:rsidR="00072A69" w:rsidRPr="00DC6DF9" w14:paraId="525E954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CDFB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469</w:t>
            </w:r>
          </w:p>
        </w:tc>
        <w:tc>
          <w:tcPr>
            <w:tcW w:w="1036" w:type="dxa"/>
            <w:tcBorders>
              <w:top w:val="nil"/>
              <w:left w:val="nil"/>
              <w:bottom w:val="single" w:sz="4" w:space="0" w:color="auto"/>
              <w:right w:val="single" w:sz="4" w:space="0" w:color="auto"/>
            </w:tcBorders>
            <w:shd w:val="clear" w:color="auto" w:fill="auto"/>
            <w:noWrap/>
            <w:vAlign w:val="center"/>
            <w:hideMark/>
          </w:tcPr>
          <w:p w14:paraId="1828CA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5052378000</w:t>
            </w:r>
          </w:p>
        </w:tc>
        <w:tc>
          <w:tcPr>
            <w:tcW w:w="1036" w:type="dxa"/>
            <w:tcBorders>
              <w:top w:val="nil"/>
              <w:left w:val="nil"/>
              <w:bottom w:val="single" w:sz="4" w:space="0" w:color="auto"/>
              <w:right w:val="single" w:sz="4" w:space="0" w:color="auto"/>
            </w:tcBorders>
            <w:shd w:val="clear" w:color="auto" w:fill="auto"/>
            <w:noWrap/>
            <w:vAlign w:val="center"/>
            <w:hideMark/>
          </w:tcPr>
          <w:p w14:paraId="6FEBA2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15673073</w:t>
            </w:r>
          </w:p>
        </w:tc>
        <w:tc>
          <w:tcPr>
            <w:tcW w:w="160" w:type="dxa"/>
            <w:tcBorders>
              <w:top w:val="nil"/>
              <w:left w:val="nil"/>
              <w:bottom w:val="single" w:sz="4" w:space="0" w:color="auto"/>
              <w:right w:val="nil"/>
            </w:tcBorders>
            <w:vAlign w:val="center"/>
          </w:tcPr>
          <w:p w14:paraId="3DBF30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AEE3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TONETA SELIŠKARJA TRBOVLJE</w:t>
            </w:r>
          </w:p>
        </w:tc>
      </w:tr>
      <w:tr w:rsidR="00072A69" w:rsidRPr="00DC6DF9" w14:paraId="02CCD3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911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470</w:t>
            </w:r>
          </w:p>
        </w:tc>
        <w:tc>
          <w:tcPr>
            <w:tcW w:w="1036" w:type="dxa"/>
            <w:tcBorders>
              <w:top w:val="nil"/>
              <w:left w:val="nil"/>
              <w:bottom w:val="single" w:sz="4" w:space="0" w:color="auto"/>
              <w:right w:val="single" w:sz="4" w:space="0" w:color="auto"/>
            </w:tcBorders>
            <w:shd w:val="clear" w:color="auto" w:fill="auto"/>
            <w:noWrap/>
            <w:vAlign w:val="center"/>
            <w:hideMark/>
          </w:tcPr>
          <w:p w14:paraId="0546B2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1899597000</w:t>
            </w:r>
          </w:p>
        </w:tc>
        <w:tc>
          <w:tcPr>
            <w:tcW w:w="1036" w:type="dxa"/>
            <w:tcBorders>
              <w:top w:val="nil"/>
              <w:left w:val="nil"/>
              <w:bottom w:val="single" w:sz="4" w:space="0" w:color="auto"/>
              <w:right w:val="single" w:sz="4" w:space="0" w:color="auto"/>
            </w:tcBorders>
            <w:shd w:val="clear" w:color="auto" w:fill="auto"/>
            <w:noWrap/>
            <w:vAlign w:val="center"/>
            <w:hideMark/>
          </w:tcPr>
          <w:p w14:paraId="044BEE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17617138</w:t>
            </w:r>
          </w:p>
        </w:tc>
        <w:tc>
          <w:tcPr>
            <w:tcW w:w="160" w:type="dxa"/>
            <w:tcBorders>
              <w:top w:val="nil"/>
              <w:left w:val="nil"/>
              <w:bottom w:val="single" w:sz="4" w:space="0" w:color="auto"/>
              <w:right w:val="nil"/>
            </w:tcBorders>
            <w:vAlign w:val="center"/>
          </w:tcPr>
          <w:p w14:paraId="7011C5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D3F7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KNJIŽNICA VELENJE</w:t>
            </w:r>
          </w:p>
        </w:tc>
      </w:tr>
      <w:tr w:rsidR="00072A69" w:rsidRPr="00DC6DF9" w14:paraId="39770C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E962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471</w:t>
            </w:r>
          </w:p>
        </w:tc>
        <w:tc>
          <w:tcPr>
            <w:tcW w:w="1036" w:type="dxa"/>
            <w:tcBorders>
              <w:top w:val="nil"/>
              <w:left w:val="nil"/>
              <w:bottom w:val="single" w:sz="4" w:space="0" w:color="auto"/>
              <w:right w:val="single" w:sz="4" w:space="0" w:color="auto"/>
            </w:tcBorders>
            <w:shd w:val="clear" w:color="auto" w:fill="auto"/>
            <w:noWrap/>
            <w:vAlign w:val="center"/>
            <w:hideMark/>
          </w:tcPr>
          <w:p w14:paraId="4264CF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6086381000</w:t>
            </w:r>
          </w:p>
        </w:tc>
        <w:tc>
          <w:tcPr>
            <w:tcW w:w="1036" w:type="dxa"/>
            <w:tcBorders>
              <w:top w:val="nil"/>
              <w:left w:val="nil"/>
              <w:bottom w:val="single" w:sz="4" w:space="0" w:color="auto"/>
              <w:right w:val="single" w:sz="4" w:space="0" w:color="auto"/>
            </w:tcBorders>
            <w:shd w:val="clear" w:color="auto" w:fill="auto"/>
            <w:noWrap/>
            <w:vAlign w:val="center"/>
            <w:hideMark/>
          </w:tcPr>
          <w:p w14:paraId="30847B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94050198</w:t>
            </w:r>
          </w:p>
        </w:tc>
        <w:tc>
          <w:tcPr>
            <w:tcW w:w="160" w:type="dxa"/>
            <w:tcBorders>
              <w:top w:val="nil"/>
              <w:left w:val="nil"/>
              <w:bottom w:val="single" w:sz="4" w:space="0" w:color="auto"/>
              <w:right w:val="nil"/>
            </w:tcBorders>
            <w:vAlign w:val="center"/>
          </w:tcPr>
          <w:p w14:paraId="6582A3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B83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KOCEROD, D. O. O. </w:t>
            </w:r>
          </w:p>
        </w:tc>
      </w:tr>
      <w:tr w:rsidR="00072A69" w:rsidRPr="00DC6DF9" w14:paraId="24361C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2F31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472</w:t>
            </w:r>
          </w:p>
        </w:tc>
        <w:tc>
          <w:tcPr>
            <w:tcW w:w="1036" w:type="dxa"/>
            <w:tcBorders>
              <w:top w:val="nil"/>
              <w:left w:val="nil"/>
              <w:bottom w:val="single" w:sz="4" w:space="0" w:color="auto"/>
              <w:right w:val="single" w:sz="4" w:space="0" w:color="auto"/>
            </w:tcBorders>
            <w:shd w:val="clear" w:color="auto" w:fill="auto"/>
            <w:noWrap/>
            <w:vAlign w:val="center"/>
            <w:hideMark/>
          </w:tcPr>
          <w:p w14:paraId="588CD8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6812694000</w:t>
            </w:r>
          </w:p>
        </w:tc>
        <w:tc>
          <w:tcPr>
            <w:tcW w:w="1036" w:type="dxa"/>
            <w:tcBorders>
              <w:top w:val="nil"/>
              <w:left w:val="nil"/>
              <w:bottom w:val="single" w:sz="4" w:space="0" w:color="auto"/>
              <w:right w:val="single" w:sz="4" w:space="0" w:color="auto"/>
            </w:tcBorders>
            <w:shd w:val="clear" w:color="auto" w:fill="auto"/>
            <w:noWrap/>
            <w:vAlign w:val="center"/>
            <w:hideMark/>
          </w:tcPr>
          <w:p w14:paraId="2E4B03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13197797</w:t>
            </w:r>
          </w:p>
        </w:tc>
        <w:tc>
          <w:tcPr>
            <w:tcW w:w="160" w:type="dxa"/>
            <w:tcBorders>
              <w:top w:val="nil"/>
              <w:left w:val="nil"/>
              <w:bottom w:val="single" w:sz="4" w:space="0" w:color="auto"/>
              <w:right w:val="nil"/>
            </w:tcBorders>
            <w:vAlign w:val="center"/>
          </w:tcPr>
          <w:p w14:paraId="0EDDF6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34AF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KOČEVSKI LES, D. O. O. </w:t>
            </w:r>
          </w:p>
        </w:tc>
      </w:tr>
      <w:tr w:rsidR="00072A69" w:rsidRPr="00DC6DF9" w14:paraId="171B339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F8D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473</w:t>
            </w:r>
          </w:p>
        </w:tc>
        <w:tc>
          <w:tcPr>
            <w:tcW w:w="1036" w:type="dxa"/>
            <w:tcBorders>
              <w:top w:val="nil"/>
              <w:left w:val="nil"/>
              <w:bottom w:val="single" w:sz="4" w:space="0" w:color="auto"/>
              <w:right w:val="single" w:sz="4" w:space="0" w:color="auto"/>
            </w:tcBorders>
            <w:shd w:val="clear" w:color="auto" w:fill="auto"/>
            <w:noWrap/>
            <w:vAlign w:val="center"/>
            <w:hideMark/>
          </w:tcPr>
          <w:p w14:paraId="47CB12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7086458000</w:t>
            </w:r>
          </w:p>
        </w:tc>
        <w:tc>
          <w:tcPr>
            <w:tcW w:w="1036" w:type="dxa"/>
            <w:tcBorders>
              <w:top w:val="nil"/>
              <w:left w:val="nil"/>
              <w:bottom w:val="single" w:sz="4" w:space="0" w:color="auto"/>
              <w:right w:val="single" w:sz="4" w:space="0" w:color="auto"/>
            </w:tcBorders>
            <w:shd w:val="clear" w:color="auto" w:fill="auto"/>
            <w:noWrap/>
            <w:vAlign w:val="center"/>
            <w:hideMark/>
          </w:tcPr>
          <w:p w14:paraId="549A7E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16173597</w:t>
            </w:r>
          </w:p>
        </w:tc>
        <w:tc>
          <w:tcPr>
            <w:tcW w:w="160" w:type="dxa"/>
            <w:tcBorders>
              <w:top w:val="nil"/>
              <w:left w:val="nil"/>
              <w:bottom w:val="single" w:sz="4" w:space="0" w:color="auto"/>
              <w:right w:val="nil"/>
            </w:tcBorders>
            <w:vAlign w:val="center"/>
          </w:tcPr>
          <w:p w14:paraId="45E67F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B349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KOMENSKI KRAS</w:t>
            </w:r>
          </w:p>
        </w:tc>
      </w:tr>
      <w:tr w:rsidR="00072A69" w:rsidRPr="00DC6DF9" w14:paraId="3BDCCB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9827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w:t>
            </w:r>
          </w:p>
        </w:tc>
        <w:tc>
          <w:tcPr>
            <w:tcW w:w="1036" w:type="dxa"/>
            <w:tcBorders>
              <w:top w:val="nil"/>
              <w:left w:val="nil"/>
              <w:bottom w:val="single" w:sz="4" w:space="0" w:color="auto"/>
              <w:right w:val="single" w:sz="4" w:space="0" w:color="auto"/>
            </w:tcBorders>
            <w:shd w:val="clear" w:color="auto" w:fill="auto"/>
            <w:noWrap/>
            <w:vAlign w:val="center"/>
            <w:hideMark/>
          </w:tcPr>
          <w:p w14:paraId="2D385F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2015609000</w:t>
            </w:r>
          </w:p>
        </w:tc>
        <w:tc>
          <w:tcPr>
            <w:tcW w:w="1036" w:type="dxa"/>
            <w:tcBorders>
              <w:top w:val="nil"/>
              <w:left w:val="nil"/>
              <w:bottom w:val="single" w:sz="4" w:space="0" w:color="auto"/>
              <w:right w:val="single" w:sz="4" w:space="0" w:color="auto"/>
            </w:tcBorders>
            <w:shd w:val="clear" w:color="auto" w:fill="auto"/>
            <w:noWrap/>
            <w:vAlign w:val="center"/>
            <w:hideMark/>
          </w:tcPr>
          <w:p w14:paraId="66C266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21739609</w:t>
            </w:r>
          </w:p>
        </w:tc>
        <w:tc>
          <w:tcPr>
            <w:tcW w:w="160" w:type="dxa"/>
            <w:tcBorders>
              <w:top w:val="nil"/>
              <w:left w:val="nil"/>
              <w:bottom w:val="single" w:sz="4" w:space="0" w:color="auto"/>
              <w:right w:val="nil"/>
            </w:tcBorders>
            <w:vAlign w:val="center"/>
          </w:tcPr>
          <w:p w14:paraId="4AE6AF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F082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KOMISIJA ZA PREPREČEVANJE KORUPCIJE</w:t>
            </w:r>
          </w:p>
        </w:tc>
      </w:tr>
      <w:tr w:rsidR="00072A69" w:rsidRPr="00DC6DF9" w14:paraId="355458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7E30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475</w:t>
            </w:r>
          </w:p>
        </w:tc>
        <w:tc>
          <w:tcPr>
            <w:tcW w:w="1036" w:type="dxa"/>
            <w:tcBorders>
              <w:top w:val="nil"/>
              <w:left w:val="nil"/>
              <w:bottom w:val="single" w:sz="4" w:space="0" w:color="auto"/>
              <w:right w:val="single" w:sz="4" w:space="0" w:color="auto"/>
            </w:tcBorders>
            <w:shd w:val="clear" w:color="auto" w:fill="auto"/>
            <w:noWrap/>
            <w:vAlign w:val="center"/>
            <w:hideMark/>
          </w:tcPr>
          <w:p w14:paraId="241FD5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6069185000</w:t>
            </w:r>
          </w:p>
        </w:tc>
        <w:tc>
          <w:tcPr>
            <w:tcW w:w="1036" w:type="dxa"/>
            <w:tcBorders>
              <w:top w:val="nil"/>
              <w:left w:val="nil"/>
              <w:bottom w:val="single" w:sz="4" w:space="0" w:color="auto"/>
              <w:right w:val="single" w:sz="4" w:space="0" w:color="auto"/>
            </w:tcBorders>
            <w:shd w:val="clear" w:color="auto" w:fill="auto"/>
            <w:noWrap/>
            <w:vAlign w:val="center"/>
            <w:hideMark/>
          </w:tcPr>
          <w:p w14:paraId="744564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21101906</w:t>
            </w:r>
          </w:p>
        </w:tc>
        <w:tc>
          <w:tcPr>
            <w:tcW w:w="160" w:type="dxa"/>
            <w:tcBorders>
              <w:top w:val="nil"/>
              <w:left w:val="nil"/>
              <w:bottom w:val="single" w:sz="4" w:space="0" w:color="auto"/>
              <w:right w:val="nil"/>
            </w:tcBorders>
            <w:vAlign w:val="center"/>
          </w:tcPr>
          <w:p w14:paraId="251C12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EF3F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BREŽICE, D. O. O. </w:t>
            </w:r>
          </w:p>
        </w:tc>
      </w:tr>
      <w:tr w:rsidR="00072A69" w:rsidRPr="00DC6DF9" w14:paraId="7A5AD9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DEBB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476</w:t>
            </w:r>
          </w:p>
        </w:tc>
        <w:tc>
          <w:tcPr>
            <w:tcW w:w="1036" w:type="dxa"/>
            <w:tcBorders>
              <w:top w:val="nil"/>
              <w:left w:val="nil"/>
              <w:bottom w:val="single" w:sz="4" w:space="0" w:color="auto"/>
              <w:right w:val="single" w:sz="4" w:space="0" w:color="auto"/>
            </w:tcBorders>
            <w:shd w:val="clear" w:color="auto" w:fill="auto"/>
            <w:noWrap/>
            <w:vAlign w:val="center"/>
            <w:hideMark/>
          </w:tcPr>
          <w:p w14:paraId="1EBB16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5067758000</w:t>
            </w:r>
          </w:p>
        </w:tc>
        <w:tc>
          <w:tcPr>
            <w:tcW w:w="1036" w:type="dxa"/>
            <w:tcBorders>
              <w:top w:val="nil"/>
              <w:left w:val="nil"/>
              <w:bottom w:val="single" w:sz="4" w:space="0" w:color="auto"/>
              <w:right w:val="single" w:sz="4" w:space="0" w:color="auto"/>
            </w:tcBorders>
            <w:shd w:val="clear" w:color="auto" w:fill="auto"/>
            <w:noWrap/>
            <w:vAlign w:val="center"/>
            <w:hideMark/>
          </w:tcPr>
          <w:p w14:paraId="0A5918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77038037</w:t>
            </w:r>
          </w:p>
        </w:tc>
        <w:tc>
          <w:tcPr>
            <w:tcW w:w="160" w:type="dxa"/>
            <w:tcBorders>
              <w:top w:val="nil"/>
              <w:left w:val="nil"/>
              <w:bottom w:val="single" w:sz="4" w:space="0" w:color="auto"/>
              <w:right w:val="nil"/>
            </w:tcBorders>
            <w:vAlign w:val="center"/>
          </w:tcPr>
          <w:p w14:paraId="16FEDE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A36B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KOMUNALA CERKNICA, D. O. O.</w:t>
            </w:r>
          </w:p>
        </w:tc>
      </w:tr>
      <w:tr w:rsidR="00072A69" w:rsidRPr="00DC6DF9" w14:paraId="49B1882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645E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477</w:t>
            </w:r>
          </w:p>
        </w:tc>
        <w:tc>
          <w:tcPr>
            <w:tcW w:w="1036" w:type="dxa"/>
            <w:tcBorders>
              <w:top w:val="nil"/>
              <w:left w:val="nil"/>
              <w:bottom w:val="single" w:sz="4" w:space="0" w:color="auto"/>
              <w:right w:val="single" w:sz="4" w:space="0" w:color="auto"/>
            </w:tcBorders>
            <w:shd w:val="clear" w:color="auto" w:fill="auto"/>
            <w:noWrap/>
            <w:vAlign w:val="center"/>
            <w:hideMark/>
          </w:tcPr>
          <w:p w14:paraId="4796D4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5062403000</w:t>
            </w:r>
          </w:p>
        </w:tc>
        <w:tc>
          <w:tcPr>
            <w:tcW w:w="1036" w:type="dxa"/>
            <w:tcBorders>
              <w:top w:val="nil"/>
              <w:left w:val="nil"/>
              <w:bottom w:val="single" w:sz="4" w:space="0" w:color="auto"/>
              <w:right w:val="single" w:sz="4" w:space="0" w:color="auto"/>
            </w:tcBorders>
            <w:shd w:val="clear" w:color="auto" w:fill="auto"/>
            <w:noWrap/>
            <w:vAlign w:val="center"/>
            <w:hideMark/>
          </w:tcPr>
          <w:p w14:paraId="006C3B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66111889</w:t>
            </w:r>
          </w:p>
        </w:tc>
        <w:tc>
          <w:tcPr>
            <w:tcW w:w="160" w:type="dxa"/>
            <w:tcBorders>
              <w:top w:val="nil"/>
              <w:left w:val="nil"/>
              <w:bottom w:val="single" w:sz="4" w:space="0" w:color="auto"/>
              <w:right w:val="nil"/>
            </w:tcBorders>
            <w:vAlign w:val="center"/>
          </w:tcPr>
          <w:p w14:paraId="533F7C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9D9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ČRNOMELJ, D. O. O. </w:t>
            </w:r>
          </w:p>
        </w:tc>
      </w:tr>
      <w:tr w:rsidR="00072A69" w:rsidRPr="00DC6DF9" w14:paraId="4B4A76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C23C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478</w:t>
            </w:r>
          </w:p>
        </w:tc>
        <w:tc>
          <w:tcPr>
            <w:tcW w:w="1036" w:type="dxa"/>
            <w:tcBorders>
              <w:top w:val="nil"/>
              <w:left w:val="nil"/>
              <w:bottom w:val="single" w:sz="4" w:space="0" w:color="auto"/>
              <w:right w:val="single" w:sz="4" w:space="0" w:color="auto"/>
            </w:tcBorders>
            <w:shd w:val="clear" w:color="auto" w:fill="auto"/>
            <w:noWrap/>
            <w:vAlign w:val="center"/>
            <w:hideMark/>
          </w:tcPr>
          <w:p w14:paraId="48899B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5144647000</w:t>
            </w:r>
          </w:p>
        </w:tc>
        <w:tc>
          <w:tcPr>
            <w:tcW w:w="1036" w:type="dxa"/>
            <w:tcBorders>
              <w:top w:val="nil"/>
              <w:left w:val="nil"/>
              <w:bottom w:val="single" w:sz="4" w:space="0" w:color="auto"/>
              <w:right w:val="single" w:sz="4" w:space="0" w:color="auto"/>
            </w:tcBorders>
            <w:shd w:val="clear" w:color="auto" w:fill="auto"/>
            <w:noWrap/>
            <w:vAlign w:val="center"/>
            <w:hideMark/>
          </w:tcPr>
          <w:p w14:paraId="62250B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13286218</w:t>
            </w:r>
          </w:p>
        </w:tc>
        <w:tc>
          <w:tcPr>
            <w:tcW w:w="160" w:type="dxa"/>
            <w:tcBorders>
              <w:top w:val="nil"/>
              <w:left w:val="nil"/>
              <w:bottom w:val="single" w:sz="4" w:space="0" w:color="auto"/>
              <w:right w:val="nil"/>
            </w:tcBorders>
            <w:vAlign w:val="center"/>
          </w:tcPr>
          <w:p w14:paraId="42275E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6ACD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IDRIJA, D. O. O. </w:t>
            </w:r>
          </w:p>
        </w:tc>
      </w:tr>
      <w:tr w:rsidR="00072A69" w:rsidRPr="00DC6DF9" w14:paraId="088BEA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B488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479</w:t>
            </w:r>
          </w:p>
        </w:tc>
        <w:tc>
          <w:tcPr>
            <w:tcW w:w="1036" w:type="dxa"/>
            <w:tcBorders>
              <w:top w:val="nil"/>
              <w:left w:val="nil"/>
              <w:bottom w:val="single" w:sz="4" w:space="0" w:color="auto"/>
              <w:right w:val="single" w:sz="4" w:space="0" w:color="auto"/>
            </w:tcBorders>
            <w:shd w:val="clear" w:color="auto" w:fill="auto"/>
            <w:noWrap/>
            <w:vAlign w:val="center"/>
            <w:hideMark/>
          </w:tcPr>
          <w:p w14:paraId="62EB23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5016100000</w:t>
            </w:r>
          </w:p>
        </w:tc>
        <w:tc>
          <w:tcPr>
            <w:tcW w:w="1036" w:type="dxa"/>
            <w:tcBorders>
              <w:top w:val="nil"/>
              <w:left w:val="nil"/>
              <w:bottom w:val="single" w:sz="4" w:space="0" w:color="auto"/>
              <w:right w:val="single" w:sz="4" w:space="0" w:color="auto"/>
            </w:tcBorders>
            <w:shd w:val="clear" w:color="auto" w:fill="auto"/>
            <w:noWrap/>
            <w:vAlign w:val="center"/>
            <w:hideMark/>
          </w:tcPr>
          <w:p w14:paraId="71C054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37819127</w:t>
            </w:r>
          </w:p>
        </w:tc>
        <w:tc>
          <w:tcPr>
            <w:tcW w:w="160" w:type="dxa"/>
            <w:tcBorders>
              <w:top w:val="nil"/>
              <w:left w:val="nil"/>
              <w:bottom w:val="single" w:sz="4" w:space="0" w:color="auto"/>
              <w:right w:val="nil"/>
            </w:tcBorders>
            <w:vAlign w:val="center"/>
          </w:tcPr>
          <w:p w14:paraId="7A7C9F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0D3A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ILIRSKA BISTRICA, D. O. O. </w:t>
            </w:r>
          </w:p>
        </w:tc>
      </w:tr>
      <w:tr w:rsidR="00072A69" w:rsidRPr="00DC6DF9" w14:paraId="431D57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A82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480</w:t>
            </w:r>
          </w:p>
        </w:tc>
        <w:tc>
          <w:tcPr>
            <w:tcW w:w="1036" w:type="dxa"/>
            <w:tcBorders>
              <w:top w:val="nil"/>
              <w:left w:val="nil"/>
              <w:bottom w:val="single" w:sz="4" w:space="0" w:color="auto"/>
              <w:right w:val="single" w:sz="4" w:space="0" w:color="auto"/>
            </w:tcBorders>
            <w:shd w:val="clear" w:color="auto" w:fill="auto"/>
            <w:noWrap/>
            <w:vAlign w:val="center"/>
            <w:hideMark/>
          </w:tcPr>
          <w:p w14:paraId="20BFB1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5156858000</w:t>
            </w:r>
          </w:p>
        </w:tc>
        <w:tc>
          <w:tcPr>
            <w:tcW w:w="1036" w:type="dxa"/>
            <w:tcBorders>
              <w:top w:val="nil"/>
              <w:left w:val="nil"/>
              <w:bottom w:val="single" w:sz="4" w:space="0" w:color="auto"/>
              <w:right w:val="single" w:sz="4" w:space="0" w:color="auto"/>
            </w:tcBorders>
            <w:shd w:val="clear" w:color="auto" w:fill="auto"/>
            <w:noWrap/>
            <w:vAlign w:val="center"/>
            <w:hideMark/>
          </w:tcPr>
          <w:p w14:paraId="74FC9E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70981515</w:t>
            </w:r>
          </w:p>
        </w:tc>
        <w:tc>
          <w:tcPr>
            <w:tcW w:w="160" w:type="dxa"/>
            <w:tcBorders>
              <w:top w:val="nil"/>
              <w:left w:val="nil"/>
              <w:bottom w:val="single" w:sz="4" w:space="0" w:color="auto"/>
              <w:right w:val="nil"/>
            </w:tcBorders>
            <w:vAlign w:val="center"/>
          </w:tcPr>
          <w:p w14:paraId="1A68ED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68F2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IZOLA, D. O. O.  </w:t>
            </w:r>
          </w:p>
        </w:tc>
      </w:tr>
      <w:tr w:rsidR="00072A69" w:rsidRPr="00DC6DF9" w14:paraId="7F6387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AC9A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481</w:t>
            </w:r>
          </w:p>
        </w:tc>
        <w:tc>
          <w:tcPr>
            <w:tcW w:w="1036" w:type="dxa"/>
            <w:tcBorders>
              <w:top w:val="nil"/>
              <w:left w:val="nil"/>
              <w:bottom w:val="single" w:sz="4" w:space="0" w:color="auto"/>
              <w:right w:val="single" w:sz="4" w:space="0" w:color="auto"/>
            </w:tcBorders>
            <w:shd w:val="clear" w:color="auto" w:fill="auto"/>
            <w:noWrap/>
            <w:vAlign w:val="center"/>
            <w:hideMark/>
          </w:tcPr>
          <w:p w14:paraId="13BA3C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5067731000</w:t>
            </w:r>
          </w:p>
        </w:tc>
        <w:tc>
          <w:tcPr>
            <w:tcW w:w="1036" w:type="dxa"/>
            <w:tcBorders>
              <w:top w:val="nil"/>
              <w:left w:val="nil"/>
              <w:bottom w:val="single" w:sz="4" w:space="0" w:color="auto"/>
              <w:right w:val="single" w:sz="4" w:space="0" w:color="auto"/>
            </w:tcBorders>
            <w:shd w:val="clear" w:color="auto" w:fill="auto"/>
            <w:noWrap/>
            <w:vAlign w:val="center"/>
            <w:hideMark/>
          </w:tcPr>
          <w:p w14:paraId="6AA459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72495421</w:t>
            </w:r>
          </w:p>
        </w:tc>
        <w:tc>
          <w:tcPr>
            <w:tcW w:w="160" w:type="dxa"/>
            <w:tcBorders>
              <w:top w:val="nil"/>
              <w:left w:val="nil"/>
              <w:bottom w:val="single" w:sz="4" w:space="0" w:color="auto"/>
              <w:right w:val="nil"/>
            </w:tcBorders>
            <w:vAlign w:val="center"/>
          </w:tcPr>
          <w:p w14:paraId="3DF930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C569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KRANJ, D. O. O. </w:t>
            </w:r>
          </w:p>
        </w:tc>
      </w:tr>
      <w:tr w:rsidR="00072A69" w:rsidRPr="00DC6DF9" w14:paraId="2DF1D9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45BB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482</w:t>
            </w:r>
          </w:p>
        </w:tc>
        <w:tc>
          <w:tcPr>
            <w:tcW w:w="1036" w:type="dxa"/>
            <w:tcBorders>
              <w:top w:val="nil"/>
              <w:left w:val="nil"/>
              <w:bottom w:val="single" w:sz="4" w:space="0" w:color="auto"/>
              <w:right w:val="single" w:sz="4" w:space="0" w:color="auto"/>
            </w:tcBorders>
            <w:shd w:val="clear" w:color="auto" w:fill="auto"/>
            <w:noWrap/>
            <w:vAlign w:val="center"/>
            <w:hideMark/>
          </w:tcPr>
          <w:p w14:paraId="16410F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5918375000</w:t>
            </w:r>
          </w:p>
        </w:tc>
        <w:tc>
          <w:tcPr>
            <w:tcW w:w="1036" w:type="dxa"/>
            <w:tcBorders>
              <w:top w:val="nil"/>
              <w:left w:val="nil"/>
              <w:bottom w:val="single" w:sz="4" w:space="0" w:color="auto"/>
              <w:right w:val="single" w:sz="4" w:space="0" w:color="auto"/>
            </w:tcBorders>
            <w:shd w:val="clear" w:color="auto" w:fill="auto"/>
            <w:noWrap/>
            <w:vAlign w:val="center"/>
            <w:hideMark/>
          </w:tcPr>
          <w:p w14:paraId="5906A9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43632319</w:t>
            </w:r>
          </w:p>
        </w:tc>
        <w:tc>
          <w:tcPr>
            <w:tcW w:w="160" w:type="dxa"/>
            <w:tcBorders>
              <w:top w:val="nil"/>
              <w:left w:val="nil"/>
              <w:bottom w:val="single" w:sz="4" w:space="0" w:color="auto"/>
              <w:right w:val="nil"/>
            </w:tcBorders>
            <w:vAlign w:val="center"/>
          </w:tcPr>
          <w:p w14:paraId="6FA417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371A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KRANJSKA GORA, D. O. O. </w:t>
            </w:r>
          </w:p>
        </w:tc>
      </w:tr>
      <w:tr w:rsidR="00072A69" w:rsidRPr="00DC6DF9" w14:paraId="5CEA82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236D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483</w:t>
            </w:r>
          </w:p>
        </w:tc>
        <w:tc>
          <w:tcPr>
            <w:tcW w:w="1036" w:type="dxa"/>
            <w:tcBorders>
              <w:top w:val="nil"/>
              <w:left w:val="nil"/>
              <w:bottom w:val="single" w:sz="4" w:space="0" w:color="auto"/>
              <w:right w:val="single" w:sz="4" w:space="0" w:color="auto"/>
            </w:tcBorders>
            <w:shd w:val="clear" w:color="auto" w:fill="auto"/>
            <w:noWrap/>
            <w:vAlign w:val="center"/>
            <w:hideMark/>
          </w:tcPr>
          <w:p w14:paraId="142CAF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5255317000</w:t>
            </w:r>
          </w:p>
        </w:tc>
        <w:tc>
          <w:tcPr>
            <w:tcW w:w="1036" w:type="dxa"/>
            <w:tcBorders>
              <w:top w:val="nil"/>
              <w:left w:val="nil"/>
              <w:bottom w:val="single" w:sz="4" w:space="0" w:color="auto"/>
              <w:right w:val="single" w:sz="4" w:space="0" w:color="auto"/>
            </w:tcBorders>
            <w:shd w:val="clear" w:color="auto" w:fill="auto"/>
            <w:noWrap/>
            <w:vAlign w:val="center"/>
            <w:hideMark/>
          </w:tcPr>
          <w:p w14:paraId="114D00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48279242</w:t>
            </w:r>
          </w:p>
        </w:tc>
        <w:tc>
          <w:tcPr>
            <w:tcW w:w="160" w:type="dxa"/>
            <w:tcBorders>
              <w:top w:val="nil"/>
              <w:left w:val="nil"/>
              <w:bottom w:val="single" w:sz="4" w:space="0" w:color="auto"/>
              <w:right w:val="nil"/>
            </w:tcBorders>
            <w:vAlign w:val="center"/>
          </w:tcPr>
          <w:p w14:paraId="520E64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3FA0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LAŠKO, D. O. O. </w:t>
            </w:r>
          </w:p>
        </w:tc>
      </w:tr>
      <w:tr w:rsidR="00072A69" w:rsidRPr="00DC6DF9" w14:paraId="549D6B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97D3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484</w:t>
            </w:r>
          </w:p>
        </w:tc>
        <w:tc>
          <w:tcPr>
            <w:tcW w:w="1036" w:type="dxa"/>
            <w:tcBorders>
              <w:top w:val="nil"/>
              <w:left w:val="nil"/>
              <w:bottom w:val="single" w:sz="4" w:space="0" w:color="auto"/>
              <w:right w:val="single" w:sz="4" w:space="0" w:color="auto"/>
            </w:tcBorders>
            <w:shd w:val="clear" w:color="auto" w:fill="auto"/>
            <w:noWrap/>
            <w:vAlign w:val="center"/>
            <w:hideMark/>
          </w:tcPr>
          <w:p w14:paraId="7A8C16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5157064000</w:t>
            </w:r>
          </w:p>
        </w:tc>
        <w:tc>
          <w:tcPr>
            <w:tcW w:w="1036" w:type="dxa"/>
            <w:tcBorders>
              <w:top w:val="nil"/>
              <w:left w:val="nil"/>
              <w:bottom w:val="single" w:sz="4" w:space="0" w:color="auto"/>
              <w:right w:val="single" w:sz="4" w:space="0" w:color="auto"/>
            </w:tcBorders>
            <w:shd w:val="clear" w:color="auto" w:fill="auto"/>
            <w:noWrap/>
            <w:vAlign w:val="center"/>
            <w:hideMark/>
          </w:tcPr>
          <w:p w14:paraId="6B46E6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38241528</w:t>
            </w:r>
          </w:p>
        </w:tc>
        <w:tc>
          <w:tcPr>
            <w:tcW w:w="160" w:type="dxa"/>
            <w:tcBorders>
              <w:top w:val="nil"/>
              <w:left w:val="nil"/>
              <w:bottom w:val="single" w:sz="4" w:space="0" w:color="auto"/>
              <w:right w:val="nil"/>
            </w:tcBorders>
            <w:vAlign w:val="center"/>
          </w:tcPr>
          <w:p w14:paraId="19FB9A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6A14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METLIKA, D. O. O. </w:t>
            </w:r>
          </w:p>
        </w:tc>
      </w:tr>
      <w:tr w:rsidR="00072A69" w:rsidRPr="00DC6DF9" w14:paraId="218D6D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2AC9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485</w:t>
            </w:r>
          </w:p>
        </w:tc>
        <w:tc>
          <w:tcPr>
            <w:tcW w:w="1036" w:type="dxa"/>
            <w:tcBorders>
              <w:top w:val="nil"/>
              <w:left w:val="nil"/>
              <w:bottom w:val="single" w:sz="4" w:space="0" w:color="auto"/>
              <w:right w:val="single" w:sz="4" w:space="0" w:color="auto"/>
            </w:tcBorders>
            <w:shd w:val="clear" w:color="auto" w:fill="auto"/>
            <w:noWrap/>
            <w:vAlign w:val="center"/>
            <w:hideMark/>
          </w:tcPr>
          <w:p w14:paraId="2276CF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5221897000</w:t>
            </w:r>
          </w:p>
        </w:tc>
        <w:tc>
          <w:tcPr>
            <w:tcW w:w="1036" w:type="dxa"/>
            <w:tcBorders>
              <w:top w:val="nil"/>
              <w:left w:val="nil"/>
              <w:bottom w:val="single" w:sz="4" w:space="0" w:color="auto"/>
              <w:right w:val="single" w:sz="4" w:space="0" w:color="auto"/>
            </w:tcBorders>
            <w:shd w:val="clear" w:color="auto" w:fill="auto"/>
            <w:noWrap/>
            <w:vAlign w:val="center"/>
            <w:hideMark/>
          </w:tcPr>
          <w:p w14:paraId="42F8A2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25344650</w:t>
            </w:r>
          </w:p>
        </w:tc>
        <w:tc>
          <w:tcPr>
            <w:tcW w:w="160" w:type="dxa"/>
            <w:tcBorders>
              <w:top w:val="nil"/>
              <w:left w:val="nil"/>
              <w:bottom w:val="single" w:sz="4" w:space="0" w:color="auto"/>
              <w:right w:val="nil"/>
            </w:tcBorders>
            <w:vAlign w:val="center"/>
          </w:tcPr>
          <w:p w14:paraId="576D15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DBCE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MOZIRJE, D. O. O.  </w:t>
            </w:r>
          </w:p>
        </w:tc>
      </w:tr>
      <w:tr w:rsidR="00072A69" w:rsidRPr="00DC6DF9" w14:paraId="6FB346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B723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486</w:t>
            </w:r>
          </w:p>
        </w:tc>
        <w:tc>
          <w:tcPr>
            <w:tcW w:w="1036" w:type="dxa"/>
            <w:tcBorders>
              <w:top w:val="nil"/>
              <w:left w:val="nil"/>
              <w:bottom w:val="single" w:sz="4" w:space="0" w:color="auto"/>
              <w:right w:val="single" w:sz="4" w:space="0" w:color="auto"/>
            </w:tcBorders>
            <w:shd w:val="clear" w:color="auto" w:fill="auto"/>
            <w:noWrap/>
            <w:vAlign w:val="center"/>
            <w:hideMark/>
          </w:tcPr>
          <w:p w14:paraId="11DFA8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5067936000</w:t>
            </w:r>
          </w:p>
        </w:tc>
        <w:tc>
          <w:tcPr>
            <w:tcW w:w="1036" w:type="dxa"/>
            <w:tcBorders>
              <w:top w:val="nil"/>
              <w:left w:val="nil"/>
              <w:bottom w:val="single" w:sz="4" w:space="0" w:color="auto"/>
              <w:right w:val="single" w:sz="4" w:space="0" w:color="auto"/>
            </w:tcBorders>
            <w:shd w:val="clear" w:color="auto" w:fill="auto"/>
            <w:noWrap/>
            <w:vAlign w:val="center"/>
            <w:hideMark/>
          </w:tcPr>
          <w:p w14:paraId="4C50AA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61364576</w:t>
            </w:r>
          </w:p>
        </w:tc>
        <w:tc>
          <w:tcPr>
            <w:tcW w:w="160" w:type="dxa"/>
            <w:tcBorders>
              <w:top w:val="nil"/>
              <w:left w:val="nil"/>
              <w:bottom w:val="single" w:sz="4" w:space="0" w:color="auto"/>
              <w:right w:val="nil"/>
            </w:tcBorders>
            <w:vAlign w:val="center"/>
          </w:tcPr>
          <w:p w14:paraId="4DAB61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B9DF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MURSKA SOBOTA, D. O. O. </w:t>
            </w:r>
          </w:p>
        </w:tc>
      </w:tr>
      <w:tr w:rsidR="00072A69" w:rsidRPr="00DC6DF9" w14:paraId="1A8478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A804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487</w:t>
            </w:r>
          </w:p>
        </w:tc>
        <w:tc>
          <w:tcPr>
            <w:tcW w:w="1036" w:type="dxa"/>
            <w:tcBorders>
              <w:top w:val="nil"/>
              <w:left w:val="nil"/>
              <w:bottom w:val="single" w:sz="4" w:space="0" w:color="auto"/>
              <w:right w:val="single" w:sz="4" w:space="0" w:color="auto"/>
            </w:tcBorders>
            <w:shd w:val="clear" w:color="auto" w:fill="auto"/>
            <w:noWrap/>
            <w:vAlign w:val="center"/>
            <w:hideMark/>
          </w:tcPr>
          <w:p w14:paraId="07B2D7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5073120000</w:t>
            </w:r>
          </w:p>
        </w:tc>
        <w:tc>
          <w:tcPr>
            <w:tcW w:w="1036" w:type="dxa"/>
            <w:tcBorders>
              <w:top w:val="nil"/>
              <w:left w:val="nil"/>
              <w:bottom w:val="single" w:sz="4" w:space="0" w:color="auto"/>
              <w:right w:val="single" w:sz="4" w:space="0" w:color="auto"/>
            </w:tcBorders>
            <w:shd w:val="clear" w:color="auto" w:fill="auto"/>
            <w:noWrap/>
            <w:vAlign w:val="center"/>
            <w:hideMark/>
          </w:tcPr>
          <w:p w14:paraId="72F1EE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13503766</w:t>
            </w:r>
          </w:p>
        </w:tc>
        <w:tc>
          <w:tcPr>
            <w:tcW w:w="160" w:type="dxa"/>
            <w:tcBorders>
              <w:top w:val="nil"/>
              <w:left w:val="nil"/>
              <w:bottom w:val="single" w:sz="4" w:space="0" w:color="auto"/>
              <w:right w:val="nil"/>
            </w:tcBorders>
            <w:vAlign w:val="center"/>
          </w:tcPr>
          <w:p w14:paraId="4656EB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891F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NOVO MESTO, D. O. O. </w:t>
            </w:r>
          </w:p>
        </w:tc>
      </w:tr>
      <w:tr w:rsidR="00072A69" w:rsidRPr="00DC6DF9" w14:paraId="554653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1AC6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488</w:t>
            </w:r>
          </w:p>
        </w:tc>
        <w:tc>
          <w:tcPr>
            <w:tcW w:w="1036" w:type="dxa"/>
            <w:tcBorders>
              <w:top w:val="nil"/>
              <w:left w:val="nil"/>
              <w:bottom w:val="single" w:sz="4" w:space="0" w:color="auto"/>
              <w:right w:val="single" w:sz="4" w:space="0" w:color="auto"/>
            </w:tcBorders>
            <w:shd w:val="clear" w:color="auto" w:fill="auto"/>
            <w:noWrap/>
            <w:vAlign w:val="center"/>
            <w:hideMark/>
          </w:tcPr>
          <w:p w14:paraId="094F7C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5475988000</w:t>
            </w:r>
          </w:p>
        </w:tc>
        <w:tc>
          <w:tcPr>
            <w:tcW w:w="1036" w:type="dxa"/>
            <w:tcBorders>
              <w:top w:val="nil"/>
              <w:left w:val="nil"/>
              <w:bottom w:val="single" w:sz="4" w:space="0" w:color="auto"/>
              <w:right w:val="single" w:sz="4" w:space="0" w:color="auto"/>
            </w:tcBorders>
            <w:shd w:val="clear" w:color="auto" w:fill="auto"/>
            <w:noWrap/>
            <w:vAlign w:val="center"/>
            <w:hideMark/>
          </w:tcPr>
          <w:p w14:paraId="495D5A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30080070</w:t>
            </w:r>
          </w:p>
        </w:tc>
        <w:tc>
          <w:tcPr>
            <w:tcW w:w="160" w:type="dxa"/>
            <w:tcBorders>
              <w:top w:val="nil"/>
              <w:left w:val="nil"/>
              <w:bottom w:val="single" w:sz="4" w:space="0" w:color="auto"/>
              <w:right w:val="nil"/>
            </w:tcBorders>
            <w:vAlign w:val="center"/>
          </w:tcPr>
          <w:p w14:paraId="1D6C22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6C7E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RADEČE, D. O. O. </w:t>
            </w:r>
          </w:p>
        </w:tc>
      </w:tr>
      <w:tr w:rsidR="00072A69" w:rsidRPr="00DC6DF9" w14:paraId="7FE02E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EFDD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489</w:t>
            </w:r>
          </w:p>
        </w:tc>
        <w:tc>
          <w:tcPr>
            <w:tcW w:w="1036" w:type="dxa"/>
            <w:tcBorders>
              <w:top w:val="nil"/>
              <w:left w:val="nil"/>
              <w:bottom w:val="single" w:sz="4" w:space="0" w:color="auto"/>
              <w:right w:val="single" w:sz="4" w:space="0" w:color="auto"/>
            </w:tcBorders>
            <w:shd w:val="clear" w:color="auto" w:fill="auto"/>
            <w:noWrap/>
            <w:vAlign w:val="center"/>
            <w:hideMark/>
          </w:tcPr>
          <w:p w14:paraId="5E07A5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5063485000</w:t>
            </w:r>
          </w:p>
        </w:tc>
        <w:tc>
          <w:tcPr>
            <w:tcW w:w="1036" w:type="dxa"/>
            <w:tcBorders>
              <w:top w:val="nil"/>
              <w:left w:val="nil"/>
              <w:bottom w:val="single" w:sz="4" w:space="0" w:color="auto"/>
              <w:right w:val="single" w:sz="4" w:space="0" w:color="auto"/>
            </w:tcBorders>
            <w:shd w:val="clear" w:color="auto" w:fill="auto"/>
            <w:noWrap/>
            <w:vAlign w:val="center"/>
            <w:hideMark/>
          </w:tcPr>
          <w:p w14:paraId="667598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98605275</w:t>
            </w:r>
          </w:p>
        </w:tc>
        <w:tc>
          <w:tcPr>
            <w:tcW w:w="160" w:type="dxa"/>
            <w:tcBorders>
              <w:top w:val="nil"/>
              <w:left w:val="nil"/>
              <w:bottom w:val="single" w:sz="4" w:space="0" w:color="auto"/>
              <w:right w:val="nil"/>
            </w:tcBorders>
            <w:vAlign w:val="center"/>
          </w:tcPr>
          <w:p w14:paraId="48745F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7A8F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RADOVLJICA, D. O. O. </w:t>
            </w:r>
          </w:p>
        </w:tc>
      </w:tr>
      <w:tr w:rsidR="00072A69" w:rsidRPr="00DC6DF9" w14:paraId="07C6C3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59D2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490</w:t>
            </w:r>
          </w:p>
        </w:tc>
        <w:tc>
          <w:tcPr>
            <w:tcW w:w="1036" w:type="dxa"/>
            <w:tcBorders>
              <w:top w:val="nil"/>
              <w:left w:val="nil"/>
              <w:bottom w:val="single" w:sz="4" w:space="0" w:color="auto"/>
              <w:right w:val="single" w:sz="4" w:space="0" w:color="auto"/>
            </w:tcBorders>
            <w:shd w:val="clear" w:color="auto" w:fill="auto"/>
            <w:noWrap/>
            <w:vAlign w:val="center"/>
            <w:hideMark/>
          </w:tcPr>
          <w:p w14:paraId="4EEBFB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5068088000</w:t>
            </w:r>
          </w:p>
        </w:tc>
        <w:tc>
          <w:tcPr>
            <w:tcW w:w="1036" w:type="dxa"/>
            <w:tcBorders>
              <w:top w:val="nil"/>
              <w:left w:val="nil"/>
              <w:bottom w:val="single" w:sz="4" w:space="0" w:color="auto"/>
              <w:right w:val="single" w:sz="4" w:space="0" w:color="auto"/>
            </w:tcBorders>
            <w:shd w:val="clear" w:color="auto" w:fill="auto"/>
            <w:noWrap/>
            <w:vAlign w:val="center"/>
            <w:hideMark/>
          </w:tcPr>
          <w:p w14:paraId="4E09B5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90581121</w:t>
            </w:r>
          </w:p>
        </w:tc>
        <w:tc>
          <w:tcPr>
            <w:tcW w:w="160" w:type="dxa"/>
            <w:tcBorders>
              <w:top w:val="nil"/>
              <w:left w:val="nil"/>
              <w:bottom w:val="single" w:sz="4" w:space="0" w:color="auto"/>
              <w:right w:val="nil"/>
            </w:tcBorders>
            <w:vAlign w:val="center"/>
          </w:tcPr>
          <w:p w14:paraId="659227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F54E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SEVNICA, D. O. O. </w:t>
            </w:r>
          </w:p>
        </w:tc>
      </w:tr>
      <w:tr w:rsidR="00072A69" w:rsidRPr="00DC6DF9" w14:paraId="780BE3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598E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491</w:t>
            </w:r>
          </w:p>
        </w:tc>
        <w:tc>
          <w:tcPr>
            <w:tcW w:w="1036" w:type="dxa"/>
            <w:tcBorders>
              <w:top w:val="nil"/>
              <w:left w:val="nil"/>
              <w:bottom w:val="single" w:sz="4" w:space="0" w:color="auto"/>
              <w:right w:val="single" w:sz="4" w:space="0" w:color="auto"/>
            </w:tcBorders>
            <w:shd w:val="clear" w:color="auto" w:fill="auto"/>
            <w:noWrap/>
            <w:vAlign w:val="center"/>
            <w:hideMark/>
          </w:tcPr>
          <w:p w14:paraId="59B27F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5072107000</w:t>
            </w:r>
          </w:p>
        </w:tc>
        <w:tc>
          <w:tcPr>
            <w:tcW w:w="1036" w:type="dxa"/>
            <w:tcBorders>
              <w:top w:val="nil"/>
              <w:left w:val="nil"/>
              <w:bottom w:val="single" w:sz="4" w:space="0" w:color="auto"/>
              <w:right w:val="single" w:sz="4" w:space="0" w:color="auto"/>
            </w:tcBorders>
            <w:shd w:val="clear" w:color="auto" w:fill="auto"/>
            <w:noWrap/>
            <w:vAlign w:val="center"/>
            <w:hideMark/>
          </w:tcPr>
          <w:p w14:paraId="2FBFB9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53440978</w:t>
            </w:r>
          </w:p>
        </w:tc>
        <w:tc>
          <w:tcPr>
            <w:tcW w:w="160" w:type="dxa"/>
            <w:tcBorders>
              <w:top w:val="nil"/>
              <w:left w:val="nil"/>
              <w:bottom w:val="single" w:sz="4" w:space="0" w:color="auto"/>
              <w:right w:val="nil"/>
            </w:tcBorders>
            <w:vAlign w:val="center"/>
          </w:tcPr>
          <w:p w14:paraId="694DCF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18D0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SLOVENJ GRADEC, D. O. O. </w:t>
            </w:r>
          </w:p>
        </w:tc>
      </w:tr>
      <w:tr w:rsidR="00072A69" w:rsidRPr="00DC6DF9" w14:paraId="56FD99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26A2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492</w:t>
            </w:r>
          </w:p>
        </w:tc>
        <w:tc>
          <w:tcPr>
            <w:tcW w:w="1036" w:type="dxa"/>
            <w:tcBorders>
              <w:top w:val="nil"/>
              <w:left w:val="nil"/>
              <w:bottom w:val="single" w:sz="4" w:space="0" w:color="auto"/>
              <w:right w:val="single" w:sz="4" w:space="0" w:color="auto"/>
            </w:tcBorders>
            <w:shd w:val="clear" w:color="auto" w:fill="auto"/>
            <w:noWrap/>
            <w:vAlign w:val="center"/>
            <w:hideMark/>
          </w:tcPr>
          <w:p w14:paraId="143793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5073162000</w:t>
            </w:r>
          </w:p>
        </w:tc>
        <w:tc>
          <w:tcPr>
            <w:tcW w:w="1036" w:type="dxa"/>
            <w:tcBorders>
              <w:top w:val="nil"/>
              <w:left w:val="nil"/>
              <w:bottom w:val="single" w:sz="4" w:space="0" w:color="auto"/>
              <w:right w:val="single" w:sz="4" w:space="0" w:color="auto"/>
            </w:tcBorders>
            <w:shd w:val="clear" w:color="auto" w:fill="auto"/>
            <w:noWrap/>
            <w:vAlign w:val="center"/>
            <w:hideMark/>
          </w:tcPr>
          <w:p w14:paraId="3334CF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32621213</w:t>
            </w:r>
          </w:p>
        </w:tc>
        <w:tc>
          <w:tcPr>
            <w:tcW w:w="160" w:type="dxa"/>
            <w:tcBorders>
              <w:top w:val="nil"/>
              <w:left w:val="nil"/>
              <w:bottom w:val="single" w:sz="4" w:space="0" w:color="auto"/>
              <w:right w:val="nil"/>
            </w:tcBorders>
            <w:vAlign w:val="center"/>
          </w:tcPr>
          <w:p w14:paraId="0BF777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B893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SLOVENSKA BISTRICA, D. O. O. </w:t>
            </w:r>
          </w:p>
        </w:tc>
      </w:tr>
      <w:tr w:rsidR="00072A69" w:rsidRPr="00DC6DF9" w14:paraId="6212F86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E9B9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493</w:t>
            </w:r>
          </w:p>
        </w:tc>
        <w:tc>
          <w:tcPr>
            <w:tcW w:w="1036" w:type="dxa"/>
            <w:tcBorders>
              <w:top w:val="nil"/>
              <w:left w:val="nil"/>
              <w:bottom w:val="single" w:sz="4" w:space="0" w:color="auto"/>
              <w:right w:val="single" w:sz="4" w:space="0" w:color="auto"/>
            </w:tcBorders>
            <w:shd w:val="clear" w:color="auto" w:fill="auto"/>
            <w:noWrap/>
            <w:vAlign w:val="center"/>
            <w:hideMark/>
          </w:tcPr>
          <w:p w14:paraId="7689A3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5077532000</w:t>
            </w:r>
          </w:p>
        </w:tc>
        <w:tc>
          <w:tcPr>
            <w:tcW w:w="1036" w:type="dxa"/>
            <w:tcBorders>
              <w:top w:val="nil"/>
              <w:left w:val="nil"/>
              <w:bottom w:val="single" w:sz="4" w:space="0" w:color="auto"/>
              <w:right w:val="single" w:sz="4" w:space="0" w:color="auto"/>
            </w:tcBorders>
            <w:shd w:val="clear" w:color="auto" w:fill="auto"/>
            <w:noWrap/>
            <w:vAlign w:val="center"/>
            <w:hideMark/>
          </w:tcPr>
          <w:p w14:paraId="194977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97143499</w:t>
            </w:r>
          </w:p>
        </w:tc>
        <w:tc>
          <w:tcPr>
            <w:tcW w:w="160" w:type="dxa"/>
            <w:tcBorders>
              <w:top w:val="nil"/>
              <w:left w:val="nil"/>
              <w:bottom w:val="single" w:sz="4" w:space="0" w:color="auto"/>
              <w:right w:val="nil"/>
            </w:tcBorders>
            <w:vAlign w:val="center"/>
          </w:tcPr>
          <w:p w14:paraId="328B25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24CE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TOLMIN, D. O. O. </w:t>
            </w:r>
          </w:p>
        </w:tc>
      </w:tr>
      <w:tr w:rsidR="00072A69" w:rsidRPr="00DC6DF9" w14:paraId="3BB9A4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D0D4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494</w:t>
            </w:r>
          </w:p>
        </w:tc>
        <w:tc>
          <w:tcPr>
            <w:tcW w:w="1036" w:type="dxa"/>
            <w:tcBorders>
              <w:top w:val="nil"/>
              <w:left w:val="nil"/>
              <w:bottom w:val="single" w:sz="4" w:space="0" w:color="auto"/>
              <w:right w:val="single" w:sz="4" w:space="0" w:color="auto"/>
            </w:tcBorders>
            <w:shd w:val="clear" w:color="auto" w:fill="auto"/>
            <w:noWrap/>
            <w:vAlign w:val="center"/>
            <w:hideMark/>
          </w:tcPr>
          <w:p w14:paraId="426C4C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5015731000</w:t>
            </w:r>
          </w:p>
        </w:tc>
        <w:tc>
          <w:tcPr>
            <w:tcW w:w="1036" w:type="dxa"/>
            <w:tcBorders>
              <w:top w:val="nil"/>
              <w:left w:val="nil"/>
              <w:bottom w:val="single" w:sz="4" w:space="0" w:color="auto"/>
              <w:right w:val="single" w:sz="4" w:space="0" w:color="auto"/>
            </w:tcBorders>
            <w:shd w:val="clear" w:color="auto" w:fill="auto"/>
            <w:noWrap/>
            <w:vAlign w:val="center"/>
            <w:hideMark/>
          </w:tcPr>
          <w:p w14:paraId="4FB191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40870057</w:t>
            </w:r>
          </w:p>
        </w:tc>
        <w:tc>
          <w:tcPr>
            <w:tcW w:w="160" w:type="dxa"/>
            <w:tcBorders>
              <w:top w:val="nil"/>
              <w:left w:val="nil"/>
              <w:bottom w:val="single" w:sz="4" w:space="0" w:color="auto"/>
              <w:right w:val="nil"/>
            </w:tcBorders>
            <w:vAlign w:val="center"/>
          </w:tcPr>
          <w:p w14:paraId="6A359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40A2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TRBOVLJE, D. O. O. </w:t>
            </w:r>
          </w:p>
        </w:tc>
      </w:tr>
      <w:tr w:rsidR="00072A69" w:rsidRPr="00DC6DF9" w14:paraId="67B7D1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E854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495</w:t>
            </w:r>
          </w:p>
        </w:tc>
        <w:tc>
          <w:tcPr>
            <w:tcW w:w="1036" w:type="dxa"/>
            <w:tcBorders>
              <w:top w:val="nil"/>
              <w:left w:val="nil"/>
              <w:bottom w:val="single" w:sz="4" w:space="0" w:color="auto"/>
              <w:right w:val="single" w:sz="4" w:space="0" w:color="auto"/>
            </w:tcBorders>
            <w:shd w:val="clear" w:color="auto" w:fill="auto"/>
            <w:noWrap/>
            <w:vAlign w:val="center"/>
            <w:hideMark/>
          </w:tcPr>
          <w:p w14:paraId="7B0962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5243858000</w:t>
            </w:r>
          </w:p>
        </w:tc>
        <w:tc>
          <w:tcPr>
            <w:tcW w:w="1036" w:type="dxa"/>
            <w:tcBorders>
              <w:top w:val="nil"/>
              <w:left w:val="nil"/>
              <w:bottom w:val="single" w:sz="4" w:space="0" w:color="auto"/>
              <w:right w:val="single" w:sz="4" w:space="0" w:color="auto"/>
            </w:tcBorders>
            <w:shd w:val="clear" w:color="auto" w:fill="auto"/>
            <w:noWrap/>
            <w:vAlign w:val="center"/>
            <w:hideMark/>
          </w:tcPr>
          <w:p w14:paraId="321F82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96907436</w:t>
            </w:r>
          </w:p>
        </w:tc>
        <w:tc>
          <w:tcPr>
            <w:tcW w:w="160" w:type="dxa"/>
            <w:tcBorders>
              <w:top w:val="nil"/>
              <w:left w:val="nil"/>
              <w:bottom w:val="single" w:sz="4" w:space="0" w:color="auto"/>
              <w:right w:val="nil"/>
            </w:tcBorders>
            <w:vAlign w:val="center"/>
          </w:tcPr>
          <w:p w14:paraId="7DE20F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8545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TREBNJE, D. O. O. </w:t>
            </w:r>
          </w:p>
        </w:tc>
      </w:tr>
      <w:tr w:rsidR="00072A69" w:rsidRPr="00DC6DF9" w14:paraId="18C2A2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F989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496</w:t>
            </w:r>
          </w:p>
        </w:tc>
        <w:tc>
          <w:tcPr>
            <w:tcW w:w="1036" w:type="dxa"/>
            <w:tcBorders>
              <w:top w:val="nil"/>
              <w:left w:val="nil"/>
              <w:bottom w:val="single" w:sz="4" w:space="0" w:color="auto"/>
              <w:right w:val="single" w:sz="4" w:space="0" w:color="auto"/>
            </w:tcBorders>
            <w:shd w:val="clear" w:color="auto" w:fill="auto"/>
            <w:noWrap/>
            <w:vAlign w:val="center"/>
            <w:hideMark/>
          </w:tcPr>
          <w:p w14:paraId="2D1846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5145023000</w:t>
            </w:r>
          </w:p>
        </w:tc>
        <w:tc>
          <w:tcPr>
            <w:tcW w:w="1036" w:type="dxa"/>
            <w:tcBorders>
              <w:top w:val="nil"/>
              <w:left w:val="nil"/>
              <w:bottom w:val="single" w:sz="4" w:space="0" w:color="auto"/>
              <w:right w:val="single" w:sz="4" w:space="0" w:color="auto"/>
            </w:tcBorders>
            <w:shd w:val="clear" w:color="auto" w:fill="auto"/>
            <w:noWrap/>
            <w:vAlign w:val="center"/>
            <w:hideMark/>
          </w:tcPr>
          <w:p w14:paraId="175564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45105138</w:t>
            </w:r>
          </w:p>
        </w:tc>
        <w:tc>
          <w:tcPr>
            <w:tcW w:w="160" w:type="dxa"/>
            <w:tcBorders>
              <w:top w:val="nil"/>
              <w:left w:val="nil"/>
              <w:bottom w:val="single" w:sz="4" w:space="0" w:color="auto"/>
              <w:right w:val="nil"/>
            </w:tcBorders>
            <w:vAlign w:val="center"/>
          </w:tcPr>
          <w:p w14:paraId="41FAB8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78D6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TRŽIČ, D. O. O. </w:t>
            </w:r>
          </w:p>
        </w:tc>
      </w:tr>
      <w:tr w:rsidR="00072A69" w:rsidRPr="00DC6DF9" w14:paraId="10322FB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EDDB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497</w:t>
            </w:r>
          </w:p>
        </w:tc>
        <w:tc>
          <w:tcPr>
            <w:tcW w:w="1036" w:type="dxa"/>
            <w:tcBorders>
              <w:top w:val="nil"/>
              <w:left w:val="nil"/>
              <w:bottom w:val="single" w:sz="4" w:space="0" w:color="auto"/>
              <w:right w:val="single" w:sz="4" w:space="0" w:color="auto"/>
            </w:tcBorders>
            <w:shd w:val="clear" w:color="auto" w:fill="auto"/>
            <w:noWrap/>
            <w:vAlign w:val="center"/>
            <w:hideMark/>
          </w:tcPr>
          <w:p w14:paraId="290BF0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2135655000</w:t>
            </w:r>
          </w:p>
        </w:tc>
        <w:tc>
          <w:tcPr>
            <w:tcW w:w="1036" w:type="dxa"/>
            <w:tcBorders>
              <w:top w:val="nil"/>
              <w:left w:val="nil"/>
              <w:bottom w:val="single" w:sz="4" w:space="0" w:color="auto"/>
              <w:right w:val="single" w:sz="4" w:space="0" w:color="auto"/>
            </w:tcBorders>
            <w:shd w:val="clear" w:color="auto" w:fill="auto"/>
            <w:noWrap/>
            <w:vAlign w:val="center"/>
            <w:hideMark/>
          </w:tcPr>
          <w:p w14:paraId="4A25E1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85158640</w:t>
            </w:r>
          </w:p>
        </w:tc>
        <w:tc>
          <w:tcPr>
            <w:tcW w:w="160" w:type="dxa"/>
            <w:tcBorders>
              <w:top w:val="nil"/>
              <w:left w:val="nil"/>
              <w:bottom w:val="single" w:sz="4" w:space="0" w:color="auto"/>
              <w:right w:val="nil"/>
            </w:tcBorders>
            <w:vAlign w:val="center"/>
          </w:tcPr>
          <w:p w14:paraId="2A582A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6E79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KOMUNALA VODICE, D. O. O. </w:t>
            </w:r>
          </w:p>
        </w:tc>
      </w:tr>
      <w:tr w:rsidR="00072A69" w:rsidRPr="00DC6DF9" w14:paraId="2FCEDF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5E28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498</w:t>
            </w:r>
          </w:p>
        </w:tc>
        <w:tc>
          <w:tcPr>
            <w:tcW w:w="1036" w:type="dxa"/>
            <w:tcBorders>
              <w:top w:val="nil"/>
              <w:left w:val="nil"/>
              <w:bottom w:val="single" w:sz="4" w:space="0" w:color="auto"/>
              <w:right w:val="single" w:sz="4" w:space="0" w:color="auto"/>
            </w:tcBorders>
            <w:shd w:val="clear" w:color="auto" w:fill="auto"/>
            <w:noWrap/>
            <w:vAlign w:val="center"/>
            <w:hideMark/>
          </w:tcPr>
          <w:p w14:paraId="67418B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5231787000</w:t>
            </w:r>
          </w:p>
        </w:tc>
        <w:tc>
          <w:tcPr>
            <w:tcW w:w="1036" w:type="dxa"/>
            <w:tcBorders>
              <w:top w:val="nil"/>
              <w:left w:val="nil"/>
              <w:bottom w:val="single" w:sz="4" w:space="0" w:color="auto"/>
              <w:right w:val="single" w:sz="4" w:space="0" w:color="auto"/>
            </w:tcBorders>
            <w:shd w:val="clear" w:color="auto" w:fill="auto"/>
            <w:noWrap/>
            <w:vAlign w:val="center"/>
            <w:hideMark/>
          </w:tcPr>
          <w:p w14:paraId="587E82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71747761</w:t>
            </w:r>
          </w:p>
        </w:tc>
        <w:tc>
          <w:tcPr>
            <w:tcW w:w="160" w:type="dxa"/>
            <w:tcBorders>
              <w:top w:val="nil"/>
              <w:left w:val="nil"/>
              <w:bottom w:val="single" w:sz="4" w:space="0" w:color="auto"/>
              <w:right w:val="nil"/>
            </w:tcBorders>
            <w:vAlign w:val="center"/>
          </w:tcPr>
          <w:p w14:paraId="0855BA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DC5C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KOMUNALNA ENERGETIKA NOVA GORICA, D. O. O. </w:t>
            </w:r>
          </w:p>
        </w:tc>
      </w:tr>
      <w:tr w:rsidR="00072A69" w:rsidRPr="00DC6DF9" w14:paraId="0BFD44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69BA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499</w:t>
            </w:r>
          </w:p>
        </w:tc>
        <w:tc>
          <w:tcPr>
            <w:tcW w:w="1036" w:type="dxa"/>
            <w:tcBorders>
              <w:top w:val="nil"/>
              <w:left w:val="nil"/>
              <w:bottom w:val="single" w:sz="4" w:space="0" w:color="auto"/>
              <w:right w:val="single" w:sz="4" w:space="0" w:color="auto"/>
            </w:tcBorders>
            <w:shd w:val="clear" w:color="auto" w:fill="auto"/>
            <w:noWrap/>
            <w:vAlign w:val="center"/>
            <w:hideMark/>
          </w:tcPr>
          <w:p w14:paraId="29345C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5144728000</w:t>
            </w:r>
          </w:p>
        </w:tc>
        <w:tc>
          <w:tcPr>
            <w:tcW w:w="1036" w:type="dxa"/>
            <w:tcBorders>
              <w:top w:val="nil"/>
              <w:left w:val="nil"/>
              <w:bottom w:val="single" w:sz="4" w:space="0" w:color="auto"/>
              <w:right w:val="single" w:sz="4" w:space="0" w:color="auto"/>
            </w:tcBorders>
            <w:shd w:val="clear" w:color="auto" w:fill="auto"/>
            <w:noWrap/>
            <w:vAlign w:val="center"/>
            <w:hideMark/>
          </w:tcPr>
          <w:p w14:paraId="58C9BA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16477448</w:t>
            </w:r>
          </w:p>
        </w:tc>
        <w:tc>
          <w:tcPr>
            <w:tcW w:w="160" w:type="dxa"/>
            <w:tcBorders>
              <w:top w:val="nil"/>
              <w:left w:val="nil"/>
              <w:bottom w:val="single" w:sz="4" w:space="0" w:color="auto"/>
              <w:right w:val="nil"/>
            </w:tcBorders>
            <w:vAlign w:val="center"/>
          </w:tcPr>
          <w:p w14:paraId="4E04AD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848C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 STANOVANJSKO PODJETJE HRASTNIK, D. D. </w:t>
            </w:r>
          </w:p>
        </w:tc>
      </w:tr>
      <w:tr w:rsidR="00072A69" w:rsidRPr="00DC6DF9" w14:paraId="75F159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29BB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w:t>
            </w:r>
          </w:p>
        </w:tc>
        <w:tc>
          <w:tcPr>
            <w:tcW w:w="1036" w:type="dxa"/>
            <w:tcBorders>
              <w:top w:val="nil"/>
              <w:left w:val="nil"/>
              <w:bottom w:val="single" w:sz="4" w:space="0" w:color="auto"/>
              <w:right w:val="single" w:sz="4" w:space="0" w:color="auto"/>
            </w:tcBorders>
            <w:shd w:val="clear" w:color="auto" w:fill="auto"/>
            <w:noWrap/>
            <w:vAlign w:val="center"/>
            <w:hideMark/>
          </w:tcPr>
          <w:p w14:paraId="720786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5827558000</w:t>
            </w:r>
          </w:p>
        </w:tc>
        <w:tc>
          <w:tcPr>
            <w:tcW w:w="1036" w:type="dxa"/>
            <w:tcBorders>
              <w:top w:val="nil"/>
              <w:left w:val="nil"/>
              <w:bottom w:val="single" w:sz="4" w:space="0" w:color="auto"/>
              <w:right w:val="single" w:sz="4" w:space="0" w:color="auto"/>
            </w:tcBorders>
            <w:shd w:val="clear" w:color="auto" w:fill="auto"/>
            <w:noWrap/>
            <w:vAlign w:val="center"/>
            <w:hideMark/>
          </w:tcPr>
          <w:p w14:paraId="25C1E6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88743926</w:t>
            </w:r>
          </w:p>
        </w:tc>
        <w:tc>
          <w:tcPr>
            <w:tcW w:w="160" w:type="dxa"/>
            <w:tcBorders>
              <w:top w:val="nil"/>
              <w:left w:val="nil"/>
              <w:bottom w:val="single" w:sz="4" w:space="0" w:color="auto"/>
              <w:right w:val="nil"/>
            </w:tcBorders>
            <w:vAlign w:val="center"/>
          </w:tcPr>
          <w:p w14:paraId="1AB4B2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3128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PODJETJE LOGATEC, D. O. O. </w:t>
            </w:r>
          </w:p>
        </w:tc>
      </w:tr>
      <w:tr w:rsidR="00072A69" w:rsidRPr="00DC6DF9" w14:paraId="0AB410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F2EF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w:t>
            </w:r>
          </w:p>
        </w:tc>
        <w:tc>
          <w:tcPr>
            <w:tcW w:w="1036" w:type="dxa"/>
            <w:tcBorders>
              <w:top w:val="nil"/>
              <w:left w:val="nil"/>
              <w:bottom w:val="single" w:sz="4" w:space="0" w:color="auto"/>
              <w:right w:val="single" w:sz="4" w:space="0" w:color="auto"/>
            </w:tcBorders>
            <w:shd w:val="clear" w:color="auto" w:fill="auto"/>
            <w:noWrap/>
            <w:vAlign w:val="center"/>
            <w:hideMark/>
          </w:tcPr>
          <w:p w14:paraId="70DC5F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5015812000</w:t>
            </w:r>
          </w:p>
        </w:tc>
        <w:tc>
          <w:tcPr>
            <w:tcW w:w="1036" w:type="dxa"/>
            <w:tcBorders>
              <w:top w:val="nil"/>
              <w:left w:val="nil"/>
              <w:bottom w:val="single" w:sz="4" w:space="0" w:color="auto"/>
              <w:right w:val="single" w:sz="4" w:space="0" w:color="auto"/>
            </w:tcBorders>
            <w:shd w:val="clear" w:color="auto" w:fill="auto"/>
            <w:noWrap/>
            <w:vAlign w:val="center"/>
            <w:hideMark/>
          </w:tcPr>
          <w:p w14:paraId="51474C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98491881</w:t>
            </w:r>
          </w:p>
        </w:tc>
        <w:tc>
          <w:tcPr>
            <w:tcW w:w="160" w:type="dxa"/>
            <w:tcBorders>
              <w:top w:val="nil"/>
              <w:left w:val="nil"/>
              <w:bottom w:val="single" w:sz="4" w:space="0" w:color="auto"/>
              <w:right w:val="nil"/>
            </w:tcBorders>
            <w:vAlign w:val="center"/>
          </w:tcPr>
          <w:p w14:paraId="3749A0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B116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PODJETJE NOVA GORICA, D. D. </w:t>
            </w:r>
          </w:p>
        </w:tc>
      </w:tr>
      <w:tr w:rsidR="00072A69" w:rsidRPr="00DC6DF9" w14:paraId="34F99D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F958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w:t>
            </w:r>
          </w:p>
        </w:tc>
        <w:tc>
          <w:tcPr>
            <w:tcW w:w="1036" w:type="dxa"/>
            <w:tcBorders>
              <w:top w:val="nil"/>
              <w:left w:val="nil"/>
              <w:bottom w:val="single" w:sz="4" w:space="0" w:color="auto"/>
              <w:right w:val="single" w:sz="4" w:space="0" w:color="auto"/>
            </w:tcBorders>
            <w:shd w:val="clear" w:color="auto" w:fill="auto"/>
            <w:noWrap/>
            <w:vAlign w:val="center"/>
            <w:hideMark/>
          </w:tcPr>
          <w:p w14:paraId="50BDF2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5073049000</w:t>
            </w:r>
          </w:p>
        </w:tc>
        <w:tc>
          <w:tcPr>
            <w:tcW w:w="1036" w:type="dxa"/>
            <w:tcBorders>
              <w:top w:val="nil"/>
              <w:left w:val="nil"/>
              <w:bottom w:val="single" w:sz="4" w:space="0" w:color="auto"/>
              <w:right w:val="single" w:sz="4" w:space="0" w:color="auto"/>
            </w:tcBorders>
            <w:shd w:val="clear" w:color="auto" w:fill="auto"/>
            <w:noWrap/>
            <w:vAlign w:val="center"/>
            <w:hideMark/>
          </w:tcPr>
          <w:p w14:paraId="220F88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66338441</w:t>
            </w:r>
          </w:p>
        </w:tc>
        <w:tc>
          <w:tcPr>
            <w:tcW w:w="160" w:type="dxa"/>
            <w:tcBorders>
              <w:top w:val="nil"/>
              <w:left w:val="nil"/>
              <w:bottom w:val="single" w:sz="4" w:space="0" w:color="auto"/>
              <w:right w:val="nil"/>
            </w:tcBorders>
            <w:vAlign w:val="center"/>
          </w:tcPr>
          <w:p w14:paraId="48E26F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D0DE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PODJETJE ORMOŽ, D. O. O. </w:t>
            </w:r>
          </w:p>
        </w:tc>
      </w:tr>
      <w:tr w:rsidR="00072A69" w:rsidRPr="00DC6DF9" w14:paraId="0383EB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2C8C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w:t>
            </w:r>
          </w:p>
        </w:tc>
        <w:tc>
          <w:tcPr>
            <w:tcW w:w="1036" w:type="dxa"/>
            <w:tcBorders>
              <w:top w:val="nil"/>
              <w:left w:val="nil"/>
              <w:bottom w:val="single" w:sz="4" w:space="0" w:color="auto"/>
              <w:right w:val="single" w:sz="4" w:space="0" w:color="auto"/>
            </w:tcBorders>
            <w:shd w:val="clear" w:color="auto" w:fill="auto"/>
            <w:noWrap/>
            <w:vAlign w:val="center"/>
            <w:hideMark/>
          </w:tcPr>
          <w:p w14:paraId="331036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5321387000</w:t>
            </w:r>
          </w:p>
        </w:tc>
        <w:tc>
          <w:tcPr>
            <w:tcW w:w="1036" w:type="dxa"/>
            <w:tcBorders>
              <w:top w:val="nil"/>
              <w:left w:val="nil"/>
              <w:bottom w:val="single" w:sz="4" w:space="0" w:color="auto"/>
              <w:right w:val="single" w:sz="4" w:space="0" w:color="auto"/>
            </w:tcBorders>
            <w:shd w:val="clear" w:color="auto" w:fill="auto"/>
            <w:noWrap/>
            <w:vAlign w:val="center"/>
            <w:hideMark/>
          </w:tcPr>
          <w:p w14:paraId="1000F6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65735676</w:t>
            </w:r>
          </w:p>
        </w:tc>
        <w:tc>
          <w:tcPr>
            <w:tcW w:w="160" w:type="dxa"/>
            <w:tcBorders>
              <w:top w:val="nil"/>
              <w:left w:val="nil"/>
              <w:bottom w:val="single" w:sz="4" w:space="0" w:color="auto"/>
              <w:right w:val="nil"/>
            </w:tcBorders>
            <w:vAlign w:val="center"/>
          </w:tcPr>
          <w:p w14:paraId="100713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82B5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PODJETJE PTUJ, D. D. </w:t>
            </w:r>
          </w:p>
        </w:tc>
      </w:tr>
      <w:tr w:rsidR="00072A69" w:rsidRPr="00DC6DF9" w14:paraId="6D4308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EEA2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w:t>
            </w:r>
          </w:p>
        </w:tc>
        <w:tc>
          <w:tcPr>
            <w:tcW w:w="1036" w:type="dxa"/>
            <w:tcBorders>
              <w:top w:val="nil"/>
              <w:left w:val="nil"/>
              <w:bottom w:val="single" w:sz="4" w:space="0" w:color="auto"/>
              <w:right w:val="single" w:sz="4" w:space="0" w:color="auto"/>
            </w:tcBorders>
            <w:shd w:val="clear" w:color="auto" w:fill="auto"/>
            <w:noWrap/>
            <w:vAlign w:val="center"/>
            <w:hideMark/>
          </w:tcPr>
          <w:p w14:paraId="3BE99F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5222109000</w:t>
            </w:r>
          </w:p>
        </w:tc>
        <w:tc>
          <w:tcPr>
            <w:tcW w:w="1036" w:type="dxa"/>
            <w:tcBorders>
              <w:top w:val="nil"/>
              <w:left w:val="nil"/>
              <w:bottom w:val="single" w:sz="4" w:space="0" w:color="auto"/>
              <w:right w:val="single" w:sz="4" w:space="0" w:color="auto"/>
            </w:tcBorders>
            <w:shd w:val="clear" w:color="auto" w:fill="auto"/>
            <w:noWrap/>
            <w:vAlign w:val="center"/>
            <w:hideMark/>
          </w:tcPr>
          <w:p w14:paraId="0C9C58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55713998</w:t>
            </w:r>
          </w:p>
        </w:tc>
        <w:tc>
          <w:tcPr>
            <w:tcW w:w="160" w:type="dxa"/>
            <w:tcBorders>
              <w:top w:val="nil"/>
              <w:left w:val="nil"/>
              <w:bottom w:val="single" w:sz="4" w:space="0" w:color="auto"/>
              <w:right w:val="nil"/>
            </w:tcBorders>
            <w:vAlign w:val="center"/>
          </w:tcPr>
          <w:p w14:paraId="64F6F94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C6A8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KOMUNALNO PODJETJE VELENJE, D.O.O</w:t>
            </w:r>
          </w:p>
        </w:tc>
      </w:tr>
      <w:tr w:rsidR="00072A69" w:rsidRPr="00DC6DF9" w14:paraId="0D7955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A0CA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w:t>
            </w:r>
          </w:p>
        </w:tc>
        <w:tc>
          <w:tcPr>
            <w:tcW w:w="1036" w:type="dxa"/>
            <w:tcBorders>
              <w:top w:val="nil"/>
              <w:left w:val="nil"/>
              <w:bottom w:val="single" w:sz="4" w:space="0" w:color="auto"/>
              <w:right w:val="single" w:sz="4" w:space="0" w:color="auto"/>
            </w:tcBorders>
            <w:shd w:val="clear" w:color="auto" w:fill="auto"/>
            <w:noWrap/>
            <w:vAlign w:val="center"/>
            <w:hideMark/>
          </w:tcPr>
          <w:p w14:paraId="1680D5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5015707000</w:t>
            </w:r>
          </w:p>
        </w:tc>
        <w:tc>
          <w:tcPr>
            <w:tcW w:w="1036" w:type="dxa"/>
            <w:tcBorders>
              <w:top w:val="nil"/>
              <w:left w:val="nil"/>
              <w:bottom w:val="single" w:sz="4" w:space="0" w:color="auto"/>
              <w:right w:val="single" w:sz="4" w:space="0" w:color="auto"/>
            </w:tcBorders>
            <w:shd w:val="clear" w:color="auto" w:fill="auto"/>
            <w:noWrap/>
            <w:vAlign w:val="center"/>
            <w:hideMark/>
          </w:tcPr>
          <w:p w14:paraId="678DC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75879611</w:t>
            </w:r>
          </w:p>
        </w:tc>
        <w:tc>
          <w:tcPr>
            <w:tcW w:w="160" w:type="dxa"/>
            <w:tcBorders>
              <w:top w:val="nil"/>
              <w:left w:val="nil"/>
              <w:bottom w:val="single" w:sz="4" w:space="0" w:color="auto"/>
              <w:right w:val="nil"/>
            </w:tcBorders>
            <w:vAlign w:val="center"/>
          </w:tcPr>
          <w:p w14:paraId="44DE0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B9A1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PODJETJE VRHNIKA, D. O. O. </w:t>
            </w:r>
          </w:p>
        </w:tc>
      </w:tr>
      <w:tr w:rsidR="00072A69" w:rsidRPr="00DC6DF9" w14:paraId="10F795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C697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w:t>
            </w:r>
          </w:p>
        </w:tc>
        <w:tc>
          <w:tcPr>
            <w:tcW w:w="1036" w:type="dxa"/>
            <w:tcBorders>
              <w:top w:val="nil"/>
              <w:left w:val="nil"/>
              <w:bottom w:val="single" w:sz="4" w:space="0" w:color="auto"/>
              <w:right w:val="single" w:sz="4" w:space="0" w:color="auto"/>
            </w:tcBorders>
            <w:shd w:val="clear" w:color="auto" w:fill="auto"/>
            <w:noWrap/>
            <w:vAlign w:val="center"/>
            <w:hideMark/>
          </w:tcPr>
          <w:p w14:paraId="17BFA9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5210461000</w:t>
            </w:r>
          </w:p>
        </w:tc>
        <w:tc>
          <w:tcPr>
            <w:tcW w:w="1036" w:type="dxa"/>
            <w:tcBorders>
              <w:top w:val="nil"/>
              <w:left w:val="nil"/>
              <w:bottom w:val="single" w:sz="4" w:space="0" w:color="auto"/>
              <w:right w:val="single" w:sz="4" w:space="0" w:color="auto"/>
            </w:tcBorders>
            <w:shd w:val="clear" w:color="auto" w:fill="auto"/>
            <w:noWrap/>
            <w:vAlign w:val="center"/>
            <w:hideMark/>
          </w:tcPr>
          <w:p w14:paraId="2ECA1F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68647336</w:t>
            </w:r>
          </w:p>
        </w:tc>
        <w:tc>
          <w:tcPr>
            <w:tcW w:w="160" w:type="dxa"/>
            <w:tcBorders>
              <w:top w:val="nil"/>
              <w:left w:val="nil"/>
              <w:bottom w:val="single" w:sz="4" w:space="0" w:color="auto"/>
              <w:right w:val="nil"/>
            </w:tcBorders>
            <w:vAlign w:val="center"/>
          </w:tcPr>
          <w:p w14:paraId="1B1928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34A0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KOMUNALNO STANOVANJSKA DRUŽBA AJDOVŠČINA, D. O. O.</w:t>
            </w:r>
          </w:p>
        </w:tc>
      </w:tr>
      <w:tr w:rsidR="00072A69" w:rsidRPr="00DC6DF9" w14:paraId="157BDC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3B9B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w:t>
            </w:r>
          </w:p>
        </w:tc>
        <w:tc>
          <w:tcPr>
            <w:tcW w:w="1036" w:type="dxa"/>
            <w:tcBorders>
              <w:top w:val="nil"/>
              <w:left w:val="nil"/>
              <w:bottom w:val="single" w:sz="4" w:space="0" w:color="auto"/>
              <w:right w:val="single" w:sz="4" w:space="0" w:color="auto"/>
            </w:tcBorders>
            <w:shd w:val="clear" w:color="auto" w:fill="auto"/>
            <w:noWrap/>
            <w:vAlign w:val="center"/>
            <w:hideMark/>
          </w:tcPr>
          <w:p w14:paraId="5AC145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5112141000</w:t>
            </w:r>
          </w:p>
        </w:tc>
        <w:tc>
          <w:tcPr>
            <w:tcW w:w="1036" w:type="dxa"/>
            <w:tcBorders>
              <w:top w:val="nil"/>
              <w:left w:val="nil"/>
              <w:bottom w:val="single" w:sz="4" w:space="0" w:color="auto"/>
              <w:right w:val="single" w:sz="4" w:space="0" w:color="auto"/>
            </w:tcBorders>
            <w:shd w:val="clear" w:color="auto" w:fill="auto"/>
            <w:noWrap/>
            <w:vAlign w:val="center"/>
            <w:hideMark/>
          </w:tcPr>
          <w:p w14:paraId="438E04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84245956</w:t>
            </w:r>
          </w:p>
        </w:tc>
        <w:tc>
          <w:tcPr>
            <w:tcW w:w="160" w:type="dxa"/>
            <w:tcBorders>
              <w:top w:val="nil"/>
              <w:left w:val="nil"/>
              <w:bottom w:val="single" w:sz="4" w:space="0" w:color="auto"/>
              <w:right w:val="nil"/>
            </w:tcBorders>
            <w:vAlign w:val="center"/>
          </w:tcPr>
          <w:p w14:paraId="3A432F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9281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KOMUNALNO STANOVANJSKO PODJETJE LITIJA, D. O. O. </w:t>
            </w:r>
          </w:p>
        </w:tc>
      </w:tr>
      <w:tr w:rsidR="00072A69" w:rsidRPr="00DC6DF9" w14:paraId="16461C2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C369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w:t>
            </w:r>
          </w:p>
        </w:tc>
        <w:tc>
          <w:tcPr>
            <w:tcW w:w="1036" w:type="dxa"/>
            <w:tcBorders>
              <w:top w:val="nil"/>
              <w:left w:val="nil"/>
              <w:bottom w:val="single" w:sz="4" w:space="0" w:color="auto"/>
              <w:right w:val="single" w:sz="4" w:space="0" w:color="auto"/>
            </w:tcBorders>
            <w:shd w:val="clear" w:color="auto" w:fill="auto"/>
            <w:noWrap/>
            <w:vAlign w:val="center"/>
            <w:hideMark/>
          </w:tcPr>
          <w:p w14:paraId="22A9DC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5110246000</w:t>
            </w:r>
          </w:p>
        </w:tc>
        <w:tc>
          <w:tcPr>
            <w:tcW w:w="1036" w:type="dxa"/>
            <w:tcBorders>
              <w:top w:val="nil"/>
              <w:left w:val="nil"/>
              <w:bottom w:val="single" w:sz="4" w:space="0" w:color="auto"/>
              <w:right w:val="single" w:sz="4" w:space="0" w:color="auto"/>
            </w:tcBorders>
            <w:shd w:val="clear" w:color="auto" w:fill="auto"/>
            <w:noWrap/>
            <w:vAlign w:val="center"/>
            <w:hideMark/>
          </w:tcPr>
          <w:p w14:paraId="698C27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48190675</w:t>
            </w:r>
          </w:p>
        </w:tc>
        <w:tc>
          <w:tcPr>
            <w:tcW w:w="160" w:type="dxa"/>
            <w:tcBorders>
              <w:top w:val="nil"/>
              <w:left w:val="nil"/>
              <w:bottom w:val="single" w:sz="4" w:space="0" w:color="auto"/>
              <w:right w:val="nil"/>
            </w:tcBorders>
            <w:vAlign w:val="center"/>
          </w:tcPr>
          <w:p w14:paraId="40E042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6831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KONSERVATORIJ ZA GLASBO IN BALET MARIBOR</w:t>
            </w:r>
          </w:p>
        </w:tc>
      </w:tr>
      <w:tr w:rsidR="00072A69" w:rsidRPr="00DC6DF9" w14:paraId="3F23A7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B3C6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w:t>
            </w:r>
          </w:p>
        </w:tc>
        <w:tc>
          <w:tcPr>
            <w:tcW w:w="1036" w:type="dxa"/>
            <w:tcBorders>
              <w:top w:val="nil"/>
              <w:left w:val="nil"/>
              <w:bottom w:val="single" w:sz="4" w:space="0" w:color="auto"/>
              <w:right w:val="single" w:sz="4" w:space="0" w:color="auto"/>
            </w:tcBorders>
            <w:shd w:val="clear" w:color="auto" w:fill="auto"/>
            <w:noWrap/>
            <w:vAlign w:val="center"/>
            <w:hideMark/>
          </w:tcPr>
          <w:p w14:paraId="7DE1B2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1913301000</w:t>
            </w:r>
          </w:p>
        </w:tc>
        <w:tc>
          <w:tcPr>
            <w:tcW w:w="1036" w:type="dxa"/>
            <w:tcBorders>
              <w:top w:val="nil"/>
              <w:left w:val="nil"/>
              <w:bottom w:val="single" w:sz="4" w:space="0" w:color="auto"/>
              <w:right w:val="single" w:sz="4" w:space="0" w:color="auto"/>
            </w:tcBorders>
            <w:shd w:val="clear" w:color="auto" w:fill="auto"/>
            <w:noWrap/>
            <w:vAlign w:val="center"/>
            <w:hideMark/>
          </w:tcPr>
          <w:p w14:paraId="5687EA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18930492</w:t>
            </w:r>
          </w:p>
        </w:tc>
        <w:tc>
          <w:tcPr>
            <w:tcW w:w="160" w:type="dxa"/>
            <w:tcBorders>
              <w:top w:val="nil"/>
              <w:left w:val="nil"/>
              <w:bottom w:val="single" w:sz="4" w:space="0" w:color="auto"/>
              <w:right w:val="nil"/>
            </w:tcBorders>
            <w:vAlign w:val="center"/>
          </w:tcPr>
          <w:p w14:paraId="3740D7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A7F3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KONTROLA ZRAČNEGA PROMETA SLOVENIJE, D. O. O. </w:t>
            </w:r>
          </w:p>
        </w:tc>
      </w:tr>
      <w:tr w:rsidR="00072A69" w:rsidRPr="00DC6DF9" w14:paraId="27A8138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EF86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w:t>
            </w:r>
          </w:p>
        </w:tc>
        <w:tc>
          <w:tcPr>
            <w:tcW w:w="1036" w:type="dxa"/>
            <w:tcBorders>
              <w:top w:val="nil"/>
              <w:left w:val="nil"/>
              <w:bottom w:val="single" w:sz="4" w:space="0" w:color="auto"/>
              <w:right w:val="single" w:sz="4" w:space="0" w:color="auto"/>
            </w:tcBorders>
            <w:shd w:val="clear" w:color="auto" w:fill="auto"/>
            <w:noWrap/>
            <w:vAlign w:val="center"/>
            <w:hideMark/>
          </w:tcPr>
          <w:p w14:paraId="610F3D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5518156000</w:t>
            </w:r>
          </w:p>
        </w:tc>
        <w:tc>
          <w:tcPr>
            <w:tcW w:w="1036" w:type="dxa"/>
            <w:tcBorders>
              <w:top w:val="nil"/>
              <w:left w:val="nil"/>
              <w:bottom w:val="single" w:sz="4" w:space="0" w:color="auto"/>
              <w:right w:val="single" w:sz="4" w:space="0" w:color="auto"/>
            </w:tcBorders>
            <w:shd w:val="clear" w:color="auto" w:fill="auto"/>
            <w:noWrap/>
            <w:vAlign w:val="center"/>
            <w:hideMark/>
          </w:tcPr>
          <w:p w14:paraId="20C83A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55926215</w:t>
            </w:r>
          </w:p>
        </w:tc>
        <w:tc>
          <w:tcPr>
            <w:tcW w:w="160" w:type="dxa"/>
            <w:tcBorders>
              <w:top w:val="nil"/>
              <w:left w:val="nil"/>
              <w:bottom w:val="single" w:sz="4" w:space="0" w:color="auto"/>
              <w:right w:val="nil"/>
            </w:tcBorders>
            <w:vAlign w:val="center"/>
          </w:tcPr>
          <w:p w14:paraId="3C6F21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6083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KOROŠKA GALERIJA LIKOVNIH UMETNOSTI</w:t>
            </w:r>
          </w:p>
        </w:tc>
      </w:tr>
      <w:tr w:rsidR="00072A69" w:rsidRPr="00DC6DF9" w14:paraId="4CE065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013A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w:t>
            </w:r>
          </w:p>
        </w:tc>
        <w:tc>
          <w:tcPr>
            <w:tcW w:w="1036" w:type="dxa"/>
            <w:tcBorders>
              <w:top w:val="nil"/>
              <w:left w:val="nil"/>
              <w:bottom w:val="single" w:sz="4" w:space="0" w:color="auto"/>
              <w:right w:val="single" w:sz="4" w:space="0" w:color="auto"/>
            </w:tcBorders>
            <w:shd w:val="clear" w:color="auto" w:fill="auto"/>
            <w:noWrap/>
            <w:vAlign w:val="center"/>
            <w:hideMark/>
          </w:tcPr>
          <w:p w14:paraId="28338C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5055709000</w:t>
            </w:r>
          </w:p>
        </w:tc>
        <w:tc>
          <w:tcPr>
            <w:tcW w:w="1036" w:type="dxa"/>
            <w:tcBorders>
              <w:top w:val="nil"/>
              <w:left w:val="nil"/>
              <w:bottom w:val="single" w:sz="4" w:space="0" w:color="auto"/>
              <w:right w:val="single" w:sz="4" w:space="0" w:color="auto"/>
            </w:tcBorders>
            <w:shd w:val="clear" w:color="auto" w:fill="auto"/>
            <w:noWrap/>
            <w:vAlign w:val="center"/>
            <w:hideMark/>
          </w:tcPr>
          <w:p w14:paraId="5C9A67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40712974</w:t>
            </w:r>
          </w:p>
        </w:tc>
        <w:tc>
          <w:tcPr>
            <w:tcW w:w="160" w:type="dxa"/>
            <w:tcBorders>
              <w:top w:val="nil"/>
              <w:left w:val="nil"/>
              <w:bottom w:val="single" w:sz="4" w:space="0" w:color="auto"/>
              <w:right w:val="nil"/>
            </w:tcBorders>
            <w:vAlign w:val="center"/>
          </w:tcPr>
          <w:p w14:paraId="2A7C9B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779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KOROŠKA LEKARNA</w:t>
            </w:r>
          </w:p>
        </w:tc>
      </w:tr>
      <w:tr w:rsidR="00072A69" w:rsidRPr="00DC6DF9" w14:paraId="5A98B8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AB4A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w:t>
            </w:r>
          </w:p>
        </w:tc>
        <w:tc>
          <w:tcPr>
            <w:tcW w:w="1036" w:type="dxa"/>
            <w:tcBorders>
              <w:top w:val="nil"/>
              <w:left w:val="nil"/>
              <w:bottom w:val="single" w:sz="4" w:space="0" w:color="auto"/>
              <w:right w:val="single" w:sz="4" w:space="0" w:color="auto"/>
            </w:tcBorders>
            <w:shd w:val="clear" w:color="auto" w:fill="auto"/>
            <w:noWrap/>
            <w:vAlign w:val="center"/>
            <w:hideMark/>
          </w:tcPr>
          <w:p w14:paraId="614FC7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5052866000</w:t>
            </w:r>
          </w:p>
        </w:tc>
        <w:tc>
          <w:tcPr>
            <w:tcW w:w="1036" w:type="dxa"/>
            <w:tcBorders>
              <w:top w:val="nil"/>
              <w:left w:val="nil"/>
              <w:bottom w:val="single" w:sz="4" w:space="0" w:color="auto"/>
              <w:right w:val="single" w:sz="4" w:space="0" w:color="auto"/>
            </w:tcBorders>
            <w:shd w:val="clear" w:color="auto" w:fill="auto"/>
            <w:noWrap/>
            <w:vAlign w:val="center"/>
            <w:hideMark/>
          </w:tcPr>
          <w:p w14:paraId="4C989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75081814</w:t>
            </w:r>
          </w:p>
        </w:tc>
        <w:tc>
          <w:tcPr>
            <w:tcW w:w="160" w:type="dxa"/>
            <w:tcBorders>
              <w:top w:val="nil"/>
              <w:left w:val="nil"/>
              <w:bottom w:val="single" w:sz="4" w:space="0" w:color="auto"/>
              <w:right w:val="nil"/>
            </w:tcBorders>
            <w:vAlign w:val="center"/>
          </w:tcPr>
          <w:p w14:paraId="149D40D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CE5B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KOROŠKA OSREDNJA KNJIŽNICA DR. FRANCA SUŠNIKA RAVNE NA KOROŠKEM</w:t>
            </w:r>
          </w:p>
        </w:tc>
      </w:tr>
      <w:tr w:rsidR="00072A69" w:rsidRPr="00DC6DF9" w14:paraId="3D266B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E17A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w:t>
            </w:r>
          </w:p>
        </w:tc>
        <w:tc>
          <w:tcPr>
            <w:tcW w:w="1036" w:type="dxa"/>
            <w:tcBorders>
              <w:top w:val="nil"/>
              <w:left w:val="nil"/>
              <w:bottom w:val="single" w:sz="4" w:space="0" w:color="auto"/>
              <w:right w:val="single" w:sz="4" w:space="0" w:color="auto"/>
            </w:tcBorders>
            <w:shd w:val="clear" w:color="auto" w:fill="auto"/>
            <w:noWrap/>
            <w:vAlign w:val="center"/>
            <w:hideMark/>
          </w:tcPr>
          <w:p w14:paraId="7826F3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5049679000</w:t>
            </w:r>
          </w:p>
        </w:tc>
        <w:tc>
          <w:tcPr>
            <w:tcW w:w="1036" w:type="dxa"/>
            <w:tcBorders>
              <w:top w:val="nil"/>
              <w:left w:val="nil"/>
              <w:bottom w:val="single" w:sz="4" w:space="0" w:color="auto"/>
              <w:right w:val="single" w:sz="4" w:space="0" w:color="auto"/>
            </w:tcBorders>
            <w:shd w:val="clear" w:color="auto" w:fill="auto"/>
            <w:noWrap/>
            <w:vAlign w:val="center"/>
            <w:hideMark/>
          </w:tcPr>
          <w:p w14:paraId="095EEA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66420385</w:t>
            </w:r>
          </w:p>
        </w:tc>
        <w:tc>
          <w:tcPr>
            <w:tcW w:w="160" w:type="dxa"/>
            <w:tcBorders>
              <w:top w:val="nil"/>
              <w:left w:val="nil"/>
              <w:bottom w:val="single" w:sz="4" w:space="0" w:color="auto"/>
              <w:right w:val="nil"/>
            </w:tcBorders>
            <w:vAlign w:val="center"/>
          </w:tcPr>
          <w:p w14:paraId="196166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B75A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KOROŠKI DOM STAROSTNIKOV</w:t>
            </w:r>
          </w:p>
        </w:tc>
      </w:tr>
      <w:tr w:rsidR="00072A69" w:rsidRPr="00DC6DF9" w14:paraId="0E7B33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F491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w:t>
            </w:r>
          </w:p>
        </w:tc>
        <w:tc>
          <w:tcPr>
            <w:tcW w:w="1036" w:type="dxa"/>
            <w:tcBorders>
              <w:top w:val="nil"/>
              <w:left w:val="nil"/>
              <w:bottom w:val="single" w:sz="4" w:space="0" w:color="auto"/>
              <w:right w:val="single" w:sz="4" w:space="0" w:color="auto"/>
            </w:tcBorders>
            <w:shd w:val="clear" w:color="auto" w:fill="auto"/>
            <w:noWrap/>
            <w:vAlign w:val="center"/>
            <w:hideMark/>
          </w:tcPr>
          <w:p w14:paraId="1283ED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5867886000</w:t>
            </w:r>
          </w:p>
        </w:tc>
        <w:tc>
          <w:tcPr>
            <w:tcW w:w="1036" w:type="dxa"/>
            <w:tcBorders>
              <w:top w:val="nil"/>
              <w:left w:val="nil"/>
              <w:bottom w:val="single" w:sz="4" w:space="0" w:color="auto"/>
              <w:right w:val="single" w:sz="4" w:space="0" w:color="auto"/>
            </w:tcBorders>
            <w:shd w:val="clear" w:color="auto" w:fill="auto"/>
            <w:noWrap/>
            <w:vAlign w:val="center"/>
            <w:hideMark/>
          </w:tcPr>
          <w:p w14:paraId="6A4AD9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41943732</w:t>
            </w:r>
          </w:p>
        </w:tc>
        <w:tc>
          <w:tcPr>
            <w:tcW w:w="160" w:type="dxa"/>
            <w:tcBorders>
              <w:top w:val="nil"/>
              <w:left w:val="nil"/>
              <w:bottom w:val="single" w:sz="4" w:space="0" w:color="auto"/>
              <w:right w:val="nil"/>
            </w:tcBorders>
            <w:vAlign w:val="center"/>
          </w:tcPr>
          <w:p w14:paraId="548196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843F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KOROŠKI GASILSKI ZAVOD</w:t>
            </w:r>
          </w:p>
        </w:tc>
      </w:tr>
      <w:tr w:rsidR="00072A69" w:rsidRPr="00DC6DF9" w14:paraId="11492C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81BF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w:t>
            </w:r>
          </w:p>
        </w:tc>
        <w:tc>
          <w:tcPr>
            <w:tcW w:w="1036" w:type="dxa"/>
            <w:tcBorders>
              <w:top w:val="nil"/>
              <w:left w:val="nil"/>
              <w:bottom w:val="single" w:sz="4" w:space="0" w:color="auto"/>
              <w:right w:val="single" w:sz="4" w:space="0" w:color="auto"/>
            </w:tcBorders>
            <w:shd w:val="clear" w:color="auto" w:fill="auto"/>
            <w:noWrap/>
            <w:vAlign w:val="center"/>
            <w:hideMark/>
          </w:tcPr>
          <w:p w14:paraId="37A1B0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1782681000</w:t>
            </w:r>
          </w:p>
        </w:tc>
        <w:tc>
          <w:tcPr>
            <w:tcW w:w="1036" w:type="dxa"/>
            <w:tcBorders>
              <w:top w:val="nil"/>
              <w:left w:val="nil"/>
              <w:bottom w:val="single" w:sz="4" w:space="0" w:color="auto"/>
              <w:right w:val="single" w:sz="4" w:space="0" w:color="auto"/>
            </w:tcBorders>
            <w:shd w:val="clear" w:color="auto" w:fill="auto"/>
            <w:noWrap/>
            <w:vAlign w:val="center"/>
            <w:hideMark/>
          </w:tcPr>
          <w:p w14:paraId="510E20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36339954</w:t>
            </w:r>
          </w:p>
        </w:tc>
        <w:tc>
          <w:tcPr>
            <w:tcW w:w="160" w:type="dxa"/>
            <w:tcBorders>
              <w:top w:val="nil"/>
              <w:left w:val="nil"/>
              <w:bottom w:val="single" w:sz="4" w:space="0" w:color="auto"/>
              <w:right w:val="nil"/>
            </w:tcBorders>
            <w:vAlign w:val="center"/>
          </w:tcPr>
          <w:p w14:paraId="260F75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2750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KOROŠKI POKRAJINSKI MUZEJ</w:t>
            </w:r>
          </w:p>
        </w:tc>
      </w:tr>
      <w:tr w:rsidR="00072A69" w:rsidRPr="00DC6DF9" w14:paraId="332151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2CB7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w:t>
            </w:r>
          </w:p>
        </w:tc>
        <w:tc>
          <w:tcPr>
            <w:tcW w:w="1036" w:type="dxa"/>
            <w:tcBorders>
              <w:top w:val="nil"/>
              <w:left w:val="nil"/>
              <w:bottom w:val="single" w:sz="4" w:space="0" w:color="auto"/>
              <w:right w:val="single" w:sz="4" w:space="0" w:color="auto"/>
            </w:tcBorders>
            <w:shd w:val="clear" w:color="auto" w:fill="auto"/>
            <w:noWrap/>
            <w:vAlign w:val="center"/>
            <w:hideMark/>
          </w:tcPr>
          <w:p w14:paraId="318311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5515513000</w:t>
            </w:r>
          </w:p>
        </w:tc>
        <w:tc>
          <w:tcPr>
            <w:tcW w:w="1036" w:type="dxa"/>
            <w:tcBorders>
              <w:top w:val="nil"/>
              <w:left w:val="nil"/>
              <w:bottom w:val="single" w:sz="4" w:space="0" w:color="auto"/>
              <w:right w:val="single" w:sz="4" w:space="0" w:color="auto"/>
            </w:tcBorders>
            <w:shd w:val="clear" w:color="auto" w:fill="auto"/>
            <w:noWrap/>
            <w:vAlign w:val="center"/>
            <w:hideMark/>
          </w:tcPr>
          <w:p w14:paraId="0C4F97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92762778</w:t>
            </w:r>
          </w:p>
        </w:tc>
        <w:tc>
          <w:tcPr>
            <w:tcW w:w="160" w:type="dxa"/>
            <w:tcBorders>
              <w:top w:val="nil"/>
              <w:left w:val="nil"/>
              <w:bottom w:val="single" w:sz="4" w:space="0" w:color="auto"/>
              <w:right w:val="nil"/>
            </w:tcBorders>
            <w:vAlign w:val="center"/>
          </w:tcPr>
          <w:p w14:paraId="64731C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1E29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KOSOVELOV DOM SEŽANA</w:t>
            </w:r>
          </w:p>
        </w:tc>
      </w:tr>
      <w:tr w:rsidR="00072A69" w:rsidRPr="00DC6DF9" w14:paraId="12A096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32CA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w:t>
            </w:r>
          </w:p>
        </w:tc>
        <w:tc>
          <w:tcPr>
            <w:tcW w:w="1036" w:type="dxa"/>
            <w:tcBorders>
              <w:top w:val="nil"/>
              <w:left w:val="nil"/>
              <w:bottom w:val="single" w:sz="4" w:space="0" w:color="auto"/>
              <w:right w:val="single" w:sz="4" w:space="0" w:color="auto"/>
            </w:tcBorders>
            <w:shd w:val="clear" w:color="auto" w:fill="auto"/>
            <w:noWrap/>
            <w:vAlign w:val="center"/>
            <w:hideMark/>
          </w:tcPr>
          <w:p w14:paraId="5791D3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5015367000</w:t>
            </w:r>
          </w:p>
        </w:tc>
        <w:tc>
          <w:tcPr>
            <w:tcW w:w="1036" w:type="dxa"/>
            <w:tcBorders>
              <w:top w:val="nil"/>
              <w:left w:val="nil"/>
              <w:bottom w:val="single" w:sz="4" w:space="0" w:color="auto"/>
              <w:right w:val="single" w:sz="4" w:space="0" w:color="auto"/>
            </w:tcBorders>
            <w:shd w:val="clear" w:color="auto" w:fill="auto"/>
            <w:noWrap/>
            <w:vAlign w:val="center"/>
            <w:hideMark/>
          </w:tcPr>
          <w:p w14:paraId="105E34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17322057</w:t>
            </w:r>
          </w:p>
        </w:tc>
        <w:tc>
          <w:tcPr>
            <w:tcW w:w="160" w:type="dxa"/>
            <w:tcBorders>
              <w:top w:val="nil"/>
              <w:left w:val="nil"/>
              <w:bottom w:val="single" w:sz="4" w:space="0" w:color="auto"/>
              <w:right w:val="nil"/>
            </w:tcBorders>
            <w:vAlign w:val="center"/>
          </w:tcPr>
          <w:p w14:paraId="091752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B64C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KOVOD POSTOJNA, D. O. O. </w:t>
            </w:r>
          </w:p>
        </w:tc>
      </w:tr>
      <w:tr w:rsidR="00072A69" w:rsidRPr="00DC6DF9" w14:paraId="483498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B2C1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w:t>
            </w:r>
          </w:p>
        </w:tc>
        <w:tc>
          <w:tcPr>
            <w:tcW w:w="1036" w:type="dxa"/>
            <w:tcBorders>
              <w:top w:val="nil"/>
              <w:left w:val="nil"/>
              <w:bottom w:val="single" w:sz="4" w:space="0" w:color="auto"/>
              <w:right w:val="single" w:sz="4" w:space="0" w:color="auto"/>
            </w:tcBorders>
            <w:shd w:val="clear" w:color="auto" w:fill="auto"/>
            <w:noWrap/>
            <w:vAlign w:val="center"/>
            <w:hideMark/>
          </w:tcPr>
          <w:p w14:paraId="25B112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5243220000</w:t>
            </w:r>
          </w:p>
        </w:tc>
        <w:tc>
          <w:tcPr>
            <w:tcW w:w="1036" w:type="dxa"/>
            <w:tcBorders>
              <w:top w:val="nil"/>
              <w:left w:val="nil"/>
              <w:bottom w:val="single" w:sz="4" w:space="0" w:color="auto"/>
              <w:right w:val="single" w:sz="4" w:space="0" w:color="auto"/>
            </w:tcBorders>
            <w:shd w:val="clear" w:color="auto" w:fill="auto"/>
            <w:noWrap/>
            <w:vAlign w:val="center"/>
            <w:hideMark/>
          </w:tcPr>
          <w:p w14:paraId="15154E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10104135</w:t>
            </w:r>
          </w:p>
        </w:tc>
        <w:tc>
          <w:tcPr>
            <w:tcW w:w="160" w:type="dxa"/>
            <w:tcBorders>
              <w:top w:val="nil"/>
              <w:left w:val="nil"/>
              <w:bottom w:val="single" w:sz="4" w:space="0" w:color="auto"/>
              <w:right w:val="nil"/>
            </w:tcBorders>
            <w:vAlign w:val="center"/>
          </w:tcPr>
          <w:p w14:paraId="6D727C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2D12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KOZJANSKI PARK</w:t>
            </w:r>
          </w:p>
        </w:tc>
      </w:tr>
      <w:tr w:rsidR="00072A69" w:rsidRPr="00DC6DF9" w14:paraId="21019C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C0D2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w:t>
            </w:r>
          </w:p>
        </w:tc>
        <w:tc>
          <w:tcPr>
            <w:tcW w:w="1036" w:type="dxa"/>
            <w:tcBorders>
              <w:top w:val="nil"/>
              <w:left w:val="nil"/>
              <w:bottom w:val="single" w:sz="4" w:space="0" w:color="auto"/>
              <w:right w:val="single" w:sz="4" w:space="0" w:color="auto"/>
            </w:tcBorders>
            <w:shd w:val="clear" w:color="auto" w:fill="auto"/>
            <w:noWrap/>
            <w:vAlign w:val="center"/>
            <w:hideMark/>
          </w:tcPr>
          <w:p w14:paraId="14553B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5015405000</w:t>
            </w:r>
          </w:p>
        </w:tc>
        <w:tc>
          <w:tcPr>
            <w:tcW w:w="1036" w:type="dxa"/>
            <w:tcBorders>
              <w:top w:val="nil"/>
              <w:left w:val="nil"/>
              <w:bottom w:val="single" w:sz="4" w:space="0" w:color="auto"/>
              <w:right w:val="single" w:sz="4" w:space="0" w:color="auto"/>
            </w:tcBorders>
            <w:shd w:val="clear" w:color="auto" w:fill="auto"/>
            <w:noWrap/>
            <w:vAlign w:val="center"/>
            <w:hideMark/>
          </w:tcPr>
          <w:p w14:paraId="24DA3A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30209889</w:t>
            </w:r>
          </w:p>
        </w:tc>
        <w:tc>
          <w:tcPr>
            <w:tcW w:w="160" w:type="dxa"/>
            <w:tcBorders>
              <w:top w:val="nil"/>
              <w:left w:val="nil"/>
              <w:bottom w:val="single" w:sz="4" w:space="0" w:color="auto"/>
              <w:right w:val="nil"/>
            </w:tcBorders>
            <w:vAlign w:val="center"/>
          </w:tcPr>
          <w:p w14:paraId="62F6EC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CD53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KPL,  D. O. O. </w:t>
            </w:r>
          </w:p>
        </w:tc>
      </w:tr>
      <w:tr w:rsidR="00072A69" w:rsidRPr="00DC6DF9" w14:paraId="04CA3A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D7C0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w:t>
            </w:r>
          </w:p>
        </w:tc>
        <w:tc>
          <w:tcPr>
            <w:tcW w:w="1036" w:type="dxa"/>
            <w:tcBorders>
              <w:top w:val="nil"/>
              <w:left w:val="nil"/>
              <w:bottom w:val="single" w:sz="4" w:space="0" w:color="auto"/>
              <w:right w:val="single" w:sz="4" w:space="0" w:color="auto"/>
            </w:tcBorders>
            <w:shd w:val="clear" w:color="auto" w:fill="auto"/>
            <w:noWrap/>
            <w:vAlign w:val="center"/>
            <w:hideMark/>
          </w:tcPr>
          <w:p w14:paraId="5112E4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5026610000</w:t>
            </w:r>
          </w:p>
        </w:tc>
        <w:tc>
          <w:tcPr>
            <w:tcW w:w="1036" w:type="dxa"/>
            <w:tcBorders>
              <w:top w:val="nil"/>
              <w:left w:val="nil"/>
              <w:bottom w:val="single" w:sz="4" w:space="0" w:color="auto"/>
              <w:right w:val="single" w:sz="4" w:space="0" w:color="auto"/>
            </w:tcBorders>
            <w:shd w:val="clear" w:color="auto" w:fill="auto"/>
            <w:noWrap/>
            <w:vAlign w:val="center"/>
            <w:hideMark/>
          </w:tcPr>
          <w:p w14:paraId="5CD8C1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37952226</w:t>
            </w:r>
          </w:p>
        </w:tc>
        <w:tc>
          <w:tcPr>
            <w:tcW w:w="160" w:type="dxa"/>
            <w:tcBorders>
              <w:top w:val="nil"/>
              <w:left w:val="nil"/>
              <w:bottom w:val="single" w:sz="4" w:space="0" w:color="auto"/>
              <w:right w:val="nil"/>
            </w:tcBorders>
            <w:vAlign w:val="center"/>
          </w:tcPr>
          <w:p w14:paraId="02752E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935F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AJDOVŠČINA</w:t>
            </w:r>
          </w:p>
        </w:tc>
      </w:tr>
      <w:tr w:rsidR="00072A69" w:rsidRPr="00DC6DF9" w14:paraId="324F57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3AE7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w:t>
            </w:r>
          </w:p>
        </w:tc>
        <w:tc>
          <w:tcPr>
            <w:tcW w:w="1036" w:type="dxa"/>
            <w:tcBorders>
              <w:top w:val="nil"/>
              <w:left w:val="nil"/>
              <w:bottom w:val="single" w:sz="4" w:space="0" w:color="auto"/>
              <w:right w:val="single" w:sz="4" w:space="0" w:color="auto"/>
            </w:tcBorders>
            <w:shd w:val="clear" w:color="auto" w:fill="auto"/>
            <w:noWrap/>
            <w:vAlign w:val="center"/>
            <w:hideMark/>
          </w:tcPr>
          <w:p w14:paraId="37CF16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5181615000</w:t>
            </w:r>
          </w:p>
        </w:tc>
        <w:tc>
          <w:tcPr>
            <w:tcW w:w="1036" w:type="dxa"/>
            <w:tcBorders>
              <w:top w:val="nil"/>
              <w:left w:val="nil"/>
              <w:bottom w:val="single" w:sz="4" w:space="0" w:color="auto"/>
              <w:right w:val="single" w:sz="4" w:space="0" w:color="auto"/>
            </w:tcBorders>
            <w:shd w:val="clear" w:color="auto" w:fill="auto"/>
            <w:noWrap/>
            <w:vAlign w:val="center"/>
            <w:hideMark/>
          </w:tcPr>
          <w:p w14:paraId="1E947F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91149177</w:t>
            </w:r>
          </w:p>
        </w:tc>
        <w:tc>
          <w:tcPr>
            <w:tcW w:w="160" w:type="dxa"/>
            <w:tcBorders>
              <w:top w:val="nil"/>
              <w:left w:val="nil"/>
              <w:bottom w:val="single" w:sz="4" w:space="0" w:color="auto"/>
              <w:right w:val="nil"/>
            </w:tcBorders>
            <w:vAlign w:val="center"/>
          </w:tcPr>
          <w:p w14:paraId="41FC3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5D6D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ALFONZ ŠARH</w:t>
            </w:r>
          </w:p>
        </w:tc>
      </w:tr>
      <w:tr w:rsidR="00072A69" w:rsidRPr="00DC6DF9" w14:paraId="70AAAD6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E8DF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w:t>
            </w:r>
          </w:p>
        </w:tc>
        <w:tc>
          <w:tcPr>
            <w:tcW w:w="1036" w:type="dxa"/>
            <w:tcBorders>
              <w:top w:val="nil"/>
              <w:left w:val="nil"/>
              <w:bottom w:val="single" w:sz="4" w:space="0" w:color="auto"/>
              <w:right w:val="single" w:sz="4" w:space="0" w:color="auto"/>
            </w:tcBorders>
            <w:shd w:val="clear" w:color="auto" w:fill="auto"/>
            <w:noWrap/>
            <w:vAlign w:val="center"/>
            <w:hideMark/>
          </w:tcPr>
          <w:p w14:paraId="08D873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5016681000</w:t>
            </w:r>
          </w:p>
        </w:tc>
        <w:tc>
          <w:tcPr>
            <w:tcW w:w="1036" w:type="dxa"/>
            <w:tcBorders>
              <w:top w:val="nil"/>
              <w:left w:val="nil"/>
              <w:bottom w:val="single" w:sz="4" w:space="0" w:color="auto"/>
              <w:right w:val="single" w:sz="4" w:space="0" w:color="auto"/>
            </w:tcBorders>
            <w:shd w:val="clear" w:color="auto" w:fill="auto"/>
            <w:noWrap/>
            <w:vAlign w:val="center"/>
            <w:hideMark/>
          </w:tcPr>
          <w:p w14:paraId="72E4A4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84063700</w:t>
            </w:r>
          </w:p>
        </w:tc>
        <w:tc>
          <w:tcPr>
            <w:tcW w:w="160" w:type="dxa"/>
            <w:tcBorders>
              <w:top w:val="nil"/>
              <w:left w:val="nil"/>
              <w:bottom w:val="single" w:sz="4" w:space="0" w:color="auto"/>
              <w:right w:val="nil"/>
            </w:tcBorders>
            <w:vAlign w:val="center"/>
          </w:tcPr>
          <w:p w14:paraId="488640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6EBF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ARTIČE</w:t>
            </w:r>
          </w:p>
        </w:tc>
      </w:tr>
      <w:tr w:rsidR="00072A69" w:rsidRPr="00DC6DF9" w14:paraId="65B806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CAE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w:t>
            </w:r>
          </w:p>
        </w:tc>
        <w:tc>
          <w:tcPr>
            <w:tcW w:w="1036" w:type="dxa"/>
            <w:tcBorders>
              <w:top w:val="nil"/>
              <w:left w:val="nil"/>
              <w:bottom w:val="single" w:sz="4" w:space="0" w:color="auto"/>
              <w:right w:val="single" w:sz="4" w:space="0" w:color="auto"/>
            </w:tcBorders>
            <w:shd w:val="clear" w:color="auto" w:fill="auto"/>
            <w:noWrap/>
            <w:vAlign w:val="center"/>
            <w:hideMark/>
          </w:tcPr>
          <w:p w14:paraId="28B33A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5031745000</w:t>
            </w:r>
          </w:p>
        </w:tc>
        <w:tc>
          <w:tcPr>
            <w:tcW w:w="1036" w:type="dxa"/>
            <w:tcBorders>
              <w:top w:val="nil"/>
              <w:left w:val="nil"/>
              <w:bottom w:val="single" w:sz="4" w:space="0" w:color="auto"/>
              <w:right w:val="single" w:sz="4" w:space="0" w:color="auto"/>
            </w:tcBorders>
            <w:shd w:val="clear" w:color="auto" w:fill="auto"/>
            <w:noWrap/>
            <w:vAlign w:val="center"/>
            <w:hideMark/>
          </w:tcPr>
          <w:p w14:paraId="7EC60A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96968265</w:t>
            </w:r>
          </w:p>
        </w:tc>
        <w:tc>
          <w:tcPr>
            <w:tcW w:w="160" w:type="dxa"/>
            <w:tcBorders>
              <w:top w:val="nil"/>
              <w:left w:val="nil"/>
              <w:bottom w:val="single" w:sz="4" w:space="0" w:color="auto"/>
              <w:right w:val="nil"/>
            </w:tcBorders>
            <w:vAlign w:val="center"/>
          </w:tcPr>
          <w:p w14:paraId="0E8B5A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0C9B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BANJŠICE</w:t>
            </w:r>
          </w:p>
        </w:tc>
      </w:tr>
      <w:tr w:rsidR="00072A69" w:rsidRPr="00DC6DF9" w14:paraId="633D41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D4A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w:t>
            </w:r>
          </w:p>
        </w:tc>
        <w:tc>
          <w:tcPr>
            <w:tcW w:w="1036" w:type="dxa"/>
            <w:tcBorders>
              <w:top w:val="nil"/>
              <w:left w:val="nil"/>
              <w:bottom w:val="single" w:sz="4" w:space="0" w:color="auto"/>
              <w:right w:val="single" w:sz="4" w:space="0" w:color="auto"/>
            </w:tcBorders>
            <w:shd w:val="clear" w:color="auto" w:fill="auto"/>
            <w:noWrap/>
            <w:vAlign w:val="center"/>
            <w:hideMark/>
          </w:tcPr>
          <w:p w14:paraId="7D382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5016525000</w:t>
            </w:r>
          </w:p>
        </w:tc>
        <w:tc>
          <w:tcPr>
            <w:tcW w:w="1036" w:type="dxa"/>
            <w:tcBorders>
              <w:top w:val="nil"/>
              <w:left w:val="nil"/>
              <w:bottom w:val="single" w:sz="4" w:space="0" w:color="auto"/>
              <w:right w:val="single" w:sz="4" w:space="0" w:color="auto"/>
            </w:tcBorders>
            <w:shd w:val="clear" w:color="auto" w:fill="auto"/>
            <w:noWrap/>
            <w:vAlign w:val="center"/>
            <w:hideMark/>
          </w:tcPr>
          <w:p w14:paraId="6F0BA6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85007188</w:t>
            </w:r>
          </w:p>
        </w:tc>
        <w:tc>
          <w:tcPr>
            <w:tcW w:w="160" w:type="dxa"/>
            <w:tcBorders>
              <w:top w:val="nil"/>
              <w:left w:val="nil"/>
              <w:bottom w:val="single" w:sz="4" w:space="0" w:color="auto"/>
              <w:right w:val="nil"/>
            </w:tcBorders>
            <w:vAlign w:val="center"/>
          </w:tcPr>
          <w:p w14:paraId="2CFBD8E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BC9F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BATUJE</w:t>
            </w:r>
          </w:p>
        </w:tc>
      </w:tr>
      <w:tr w:rsidR="00072A69" w:rsidRPr="00DC6DF9" w14:paraId="2B0F02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119B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w:t>
            </w:r>
          </w:p>
        </w:tc>
        <w:tc>
          <w:tcPr>
            <w:tcW w:w="1036" w:type="dxa"/>
            <w:tcBorders>
              <w:top w:val="nil"/>
              <w:left w:val="nil"/>
              <w:bottom w:val="single" w:sz="4" w:space="0" w:color="auto"/>
              <w:right w:val="single" w:sz="4" w:space="0" w:color="auto"/>
            </w:tcBorders>
            <w:shd w:val="clear" w:color="auto" w:fill="auto"/>
            <w:noWrap/>
            <w:vAlign w:val="center"/>
            <w:hideMark/>
          </w:tcPr>
          <w:p w14:paraId="7E83A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5028493000</w:t>
            </w:r>
          </w:p>
        </w:tc>
        <w:tc>
          <w:tcPr>
            <w:tcW w:w="1036" w:type="dxa"/>
            <w:tcBorders>
              <w:top w:val="nil"/>
              <w:left w:val="nil"/>
              <w:bottom w:val="single" w:sz="4" w:space="0" w:color="auto"/>
              <w:right w:val="single" w:sz="4" w:space="0" w:color="auto"/>
            </w:tcBorders>
            <w:shd w:val="clear" w:color="auto" w:fill="auto"/>
            <w:noWrap/>
            <w:vAlign w:val="center"/>
            <w:hideMark/>
          </w:tcPr>
          <w:p w14:paraId="1AC53E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17000653</w:t>
            </w:r>
          </w:p>
        </w:tc>
        <w:tc>
          <w:tcPr>
            <w:tcW w:w="160" w:type="dxa"/>
            <w:tcBorders>
              <w:top w:val="nil"/>
              <w:left w:val="nil"/>
              <w:bottom w:val="single" w:sz="4" w:space="0" w:color="auto"/>
              <w:right w:val="nil"/>
            </w:tcBorders>
            <w:vAlign w:val="center"/>
          </w:tcPr>
          <w:p w14:paraId="1BFC37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FC4C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BERTOKI</w:t>
            </w:r>
          </w:p>
        </w:tc>
      </w:tr>
      <w:tr w:rsidR="00072A69" w:rsidRPr="00DC6DF9" w14:paraId="33BAB1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E546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526</w:t>
            </w:r>
          </w:p>
        </w:tc>
        <w:tc>
          <w:tcPr>
            <w:tcW w:w="1036" w:type="dxa"/>
            <w:tcBorders>
              <w:top w:val="nil"/>
              <w:left w:val="nil"/>
              <w:bottom w:val="single" w:sz="4" w:space="0" w:color="auto"/>
              <w:right w:val="single" w:sz="4" w:space="0" w:color="auto"/>
            </w:tcBorders>
            <w:shd w:val="clear" w:color="auto" w:fill="auto"/>
            <w:noWrap/>
            <w:vAlign w:val="center"/>
            <w:hideMark/>
          </w:tcPr>
          <w:p w14:paraId="6BC930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5027047000</w:t>
            </w:r>
          </w:p>
        </w:tc>
        <w:tc>
          <w:tcPr>
            <w:tcW w:w="1036" w:type="dxa"/>
            <w:tcBorders>
              <w:top w:val="nil"/>
              <w:left w:val="nil"/>
              <w:bottom w:val="single" w:sz="4" w:space="0" w:color="auto"/>
              <w:right w:val="single" w:sz="4" w:space="0" w:color="auto"/>
            </w:tcBorders>
            <w:shd w:val="clear" w:color="auto" w:fill="auto"/>
            <w:noWrap/>
            <w:vAlign w:val="center"/>
            <w:hideMark/>
          </w:tcPr>
          <w:p w14:paraId="20485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45701725</w:t>
            </w:r>
          </w:p>
        </w:tc>
        <w:tc>
          <w:tcPr>
            <w:tcW w:w="160" w:type="dxa"/>
            <w:tcBorders>
              <w:top w:val="nil"/>
              <w:left w:val="nil"/>
              <w:bottom w:val="single" w:sz="4" w:space="0" w:color="auto"/>
              <w:right w:val="nil"/>
            </w:tcBorders>
            <w:vAlign w:val="center"/>
          </w:tcPr>
          <w:p w14:paraId="11C3D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EA47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BESNICA</w:t>
            </w:r>
          </w:p>
        </w:tc>
      </w:tr>
      <w:tr w:rsidR="00072A69" w:rsidRPr="00DC6DF9" w14:paraId="6521E9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38F9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w:t>
            </w:r>
          </w:p>
        </w:tc>
        <w:tc>
          <w:tcPr>
            <w:tcW w:w="1036" w:type="dxa"/>
            <w:tcBorders>
              <w:top w:val="nil"/>
              <w:left w:val="nil"/>
              <w:bottom w:val="single" w:sz="4" w:space="0" w:color="auto"/>
              <w:right w:val="single" w:sz="4" w:space="0" w:color="auto"/>
            </w:tcBorders>
            <w:shd w:val="clear" w:color="auto" w:fill="auto"/>
            <w:noWrap/>
            <w:vAlign w:val="center"/>
            <w:hideMark/>
          </w:tcPr>
          <w:p w14:paraId="50B781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5032822000</w:t>
            </w:r>
          </w:p>
        </w:tc>
        <w:tc>
          <w:tcPr>
            <w:tcW w:w="1036" w:type="dxa"/>
            <w:tcBorders>
              <w:top w:val="nil"/>
              <w:left w:val="nil"/>
              <w:bottom w:val="single" w:sz="4" w:space="0" w:color="auto"/>
              <w:right w:val="single" w:sz="4" w:space="0" w:color="auto"/>
            </w:tcBorders>
            <w:shd w:val="clear" w:color="auto" w:fill="auto"/>
            <w:noWrap/>
            <w:vAlign w:val="center"/>
            <w:hideMark/>
          </w:tcPr>
          <w:p w14:paraId="2AF794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85608955</w:t>
            </w:r>
          </w:p>
        </w:tc>
        <w:tc>
          <w:tcPr>
            <w:tcW w:w="160" w:type="dxa"/>
            <w:tcBorders>
              <w:top w:val="nil"/>
              <w:left w:val="nil"/>
              <w:bottom w:val="single" w:sz="4" w:space="0" w:color="auto"/>
              <w:right w:val="nil"/>
            </w:tcBorders>
            <w:vAlign w:val="center"/>
          </w:tcPr>
          <w:p w14:paraId="770069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D630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BEZINA</w:t>
            </w:r>
          </w:p>
        </w:tc>
      </w:tr>
      <w:tr w:rsidR="00072A69" w:rsidRPr="00DC6DF9" w14:paraId="5C3A7C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F91F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528</w:t>
            </w:r>
          </w:p>
        </w:tc>
        <w:tc>
          <w:tcPr>
            <w:tcW w:w="1036" w:type="dxa"/>
            <w:tcBorders>
              <w:top w:val="nil"/>
              <w:left w:val="nil"/>
              <w:bottom w:val="single" w:sz="4" w:space="0" w:color="auto"/>
              <w:right w:val="single" w:sz="4" w:space="0" w:color="auto"/>
            </w:tcBorders>
            <w:shd w:val="clear" w:color="auto" w:fill="auto"/>
            <w:noWrap/>
            <w:vAlign w:val="center"/>
            <w:hideMark/>
          </w:tcPr>
          <w:p w14:paraId="502FF3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5029198000</w:t>
            </w:r>
          </w:p>
        </w:tc>
        <w:tc>
          <w:tcPr>
            <w:tcW w:w="1036" w:type="dxa"/>
            <w:tcBorders>
              <w:top w:val="nil"/>
              <w:left w:val="nil"/>
              <w:bottom w:val="single" w:sz="4" w:space="0" w:color="auto"/>
              <w:right w:val="single" w:sz="4" w:space="0" w:color="auto"/>
            </w:tcBorders>
            <w:shd w:val="clear" w:color="auto" w:fill="auto"/>
            <w:noWrap/>
            <w:vAlign w:val="center"/>
            <w:hideMark/>
          </w:tcPr>
          <w:p w14:paraId="5A9E34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36606758</w:t>
            </w:r>
          </w:p>
        </w:tc>
        <w:tc>
          <w:tcPr>
            <w:tcW w:w="160" w:type="dxa"/>
            <w:tcBorders>
              <w:top w:val="nil"/>
              <w:left w:val="nil"/>
              <w:bottom w:val="single" w:sz="4" w:space="0" w:color="auto"/>
              <w:right w:val="nil"/>
            </w:tcBorders>
            <w:vAlign w:val="center"/>
          </w:tcPr>
          <w:p w14:paraId="024CE2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AA8E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BIRČNA VAS</w:t>
            </w:r>
          </w:p>
        </w:tc>
      </w:tr>
      <w:tr w:rsidR="00072A69" w:rsidRPr="00DC6DF9" w14:paraId="235DAF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B9FB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529</w:t>
            </w:r>
          </w:p>
        </w:tc>
        <w:tc>
          <w:tcPr>
            <w:tcW w:w="1036" w:type="dxa"/>
            <w:tcBorders>
              <w:top w:val="nil"/>
              <w:left w:val="nil"/>
              <w:bottom w:val="single" w:sz="4" w:space="0" w:color="auto"/>
              <w:right w:val="single" w:sz="4" w:space="0" w:color="auto"/>
            </w:tcBorders>
            <w:shd w:val="clear" w:color="auto" w:fill="auto"/>
            <w:noWrap/>
            <w:vAlign w:val="center"/>
            <w:hideMark/>
          </w:tcPr>
          <w:p w14:paraId="5BFBB9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5031397000</w:t>
            </w:r>
          </w:p>
        </w:tc>
        <w:tc>
          <w:tcPr>
            <w:tcW w:w="1036" w:type="dxa"/>
            <w:tcBorders>
              <w:top w:val="nil"/>
              <w:left w:val="nil"/>
              <w:bottom w:val="single" w:sz="4" w:space="0" w:color="auto"/>
              <w:right w:val="single" w:sz="4" w:space="0" w:color="auto"/>
            </w:tcBorders>
            <w:shd w:val="clear" w:color="auto" w:fill="auto"/>
            <w:noWrap/>
            <w:vAlign w:val="center"/>
            <w:hideMark/>
          </w:tcPr>
          <w:p w14:paraId="63150C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36178110</w:t>
            </w:r>
          </w:p>
        </w:tc>
        <w:tc>
          <w:tcPr>
            <w:tcW w:w="160" w:type="dxa"/>
            <w:tcBorders>
              <w:top w:val="nil"/>
              <w:left w:val="nil"/>
              <w:bottom w:val="single" w:sz="4" w:space="0" w:color="auto"/>
              <w:right w:val="nil"/>
            </w:tcBorders>
            <w:vAlign w:val="center"/>
          </w:tcPr>
          <w:p w14:paraId="3987A8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6074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BITNJE</w:t>
            </w:r>
          </w:p>
        </w:tc>
      </w:tr>
      <w:tr w:rsidR="00072A69" w:rsidRPr="00DC6DF9" w14:paraId="4C1D0D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2CB5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530</w:t>
            </w:r>
          </w:p>
        </w:tc>
        <w:tc>
          <w:tcPr>
            <w:tcW w:w="1036" w:type="dxa"/>
            <w:tcBorders>
              <w:top w:val="nil"/>
              <w:left w:val="nil"/>
              <w:bottom w:val="single" w:sz="4" w:space="0" w:color="auto"/>
              <w:right w:val="single" w:sz="4" w:space="0" w:color="auto"/>
            </w:tcBorders>
            <w:shd w:val="clear" w:color="auto" w:fill="auto"/>
            <w:noWrap/>
            <w:vAlign w:val="center"/>
            <w:hideMark/>
          </w:tcPr>
          <w:p w14:paraId="3A43FA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5019516000</w:t>
            </w:r>
          </w:p>
        </w:tc>
        <w:tc>
          <w:tcPr>
            <w:tcW w:w="1036" w:type="dxa"/>
            <w:tcBorders>
              <w:top w:val="nil"/>
              <w:left w:val="nil"/>
              <w:bottom w:val="single" w:sz="4" w:space="0" w:color="auto"/>
              <w:right w:val="single" w:sz="4" w:space="0" w:color="auto"/>
            </w:tcBorders>
            <w:shd w:val="clear" w:color="auto" w:fill="auto"/>
            <w:noWrap/>
            <w:vAlign w:val="center"/>
            <w:hideMark/>
          </w:tcPr>
          <w:p w14:paraId="5CE29D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89126793</w:t>
            </w:r>
          </w:p>
        </w:tc>
        <w:tc>
          <w:tcPr>
            <w:tcW w:w="160" w:type="dxa"/>
            <w:tcBorders>
              <w:top w:val="nil"/>
              <w:left w:val="nil"/>
              <w:bottom w:val="single" w:sz="4" w:space="0" w:color="auto"/>
              <w:right w:val="nil"/>
            </w:tcBorders>
            <w:vAlign w:val="center"/>
          </w:tcPr>
          <w:p w14:paraId="7CB1736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A49C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BIZELJSKO</w:t>
            </w:r>
          </w:p>
        </w:tc>
      </w:tr>
      <w:tr w:rsidR="00072A69" w:rsidRPr="00DC6DF9" w14:paraId="7B2809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8E17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531</w:t>
            </w:r>
          </w:p>
        </w:tc>
        <w:tc>
          <w:tcPr>
            <w:tcW w:w="1036" w:type="dxa"/>
            <w:tcBorders>
              <w:top w:val="nil"/>
              <w:left w:val="nil"/>
              <w:bottom w:val="single" w:sz="4" w:space="0" w:color="auto"/>
              <w:right w:val="single" w:sz="4" w:space="0" w:color="auto"/>
            </w:tcBorders>
            <w:shd w:val="clear" w:color="auto" w:fill="auto"/>
            <w:noWrap/>
            <w:vAlign w:val="center"/>
            <w:hideMark/>
          </w:tcPr>
          <w:p w14:paraId="131B6E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5032440000</w:t>
            </w:r>
          </w:p>
        </w:tc>
        <w:tc>
          <w:tcPr>
            <w:tcW w:w="1036" w:type="dxa"/>
            <w:tcBorders>
              <w:top w:val="nil"/>
              <w:left w:val="nil"/>
              <w:bottom w:val="single" w:sz="4" w:space="0" w:color="auto"/>
              <w:right w:val="single" w:sz="4" w:space="0" w:color="auto"/>
            </w:tcBorders>
            <w:shd w:val="clear" w:color="auto" w:fill="auto"/>
            <w:noWrap/>
            <w:vAlign w:val="center"/>
            <w:hideMark/>
          </w:tcPr>
          <w:p w14:paraId="1E5C2F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41550757</w:t>
            </w:r>
          </w:p>
        </w:tc>
        <w:tc>
          <w:tcPr>
            <w:tcW w:w="160" w:type="dxa"/>
            <w:tcBorders>
              <w:top w:val="nil"/>
              <w:left w:val="nil"/>
              <w:bottom w:val="single" w:sz="4" w:space="0" w:color="auto"/>
              <w:right w:val="nil"/>
            </w:tcBorders>
            <w:vAlign w:val="center"/>
          </w:tcPr>
          <w:p w14:paraId="51A24FB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DA13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BLAGOVNA</w:t>
            </w:r>
          </w:p>
        </w:tc>
      </w:tr>
      <w:tr w:rsidR="00072A69" w:rsidRPr="00DC6DF9" w14:paraId="6505A12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032E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532</w:t>
            </w:r>
          </w:p>
        </w:tc>
        <w:tc>
          <w:tcPr>
            <w:tcW w:w="1036" w:type="dxa"/>
            <w:tcBorders>
              <w:top w:val="nil"/>
              <w:left w:val="nil"/>
              <w:bottom w:val="single" w:sz="4" w:space="0" w:color="auto"/>
              <w:right w:val="single" w:sz="4" w:space="0" w:color="auto"/>
            </w:tcBorders>
            <w:shd w:val="clear" w:color="auto" w:fill="auto"/>
            <w:noWrap/>
            <w:vAlign w:val="center"/>
            <w:hideMark/>
          </w:tcPr>
          <w:p w14:paraId="771FB5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5020778000</w:t>
            </w:r>
          </w:p>
        </w:tc>
        <w:tc>
          <w:tcPr>
            <w:tcW w:w="1036" w:type="dxa"/>
            <w:tcBorders>
              <w:top w:val="nil"/>
              <w:left w:val="nil"/>
              <w:bottom w:val="single" w:sz="4" w:space="0" w:color="auto"/>
              <w:right w:val="single" w:sz="4" w:space="0" w:color="auto"/>
            </w:tcBorders>
            <w:shd w:val="clear" w:color="auto" w:fill="auto"/>
            <w:noWrap/>
            <w:vAlign w:val="center"/>
            <w:hideMark/>
          </w:tcPr>
          <w:p w14:paraId="168D08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91548705</w:t>
            </w:r>
          </w:p>
        </w:tc>
        <w:tc>
          <w:tcPr>
            <w:tcW w:w="160" w:type="dxa"/>
            <w:tcBorders>
              <w:top w:val="nil"/>
              <w:left w:val="nil"/>
              <w:bottom w:val="single" w:sz="4" w:space="0" w:color="auto"/>
              <w:right w:val="nil"/>
            </w:tcBorders>
            <w:vAlign w:val="center"/>
          </w:tcPr>
          <w:p w14:paraId="3B91D09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FC66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BLANCA</w:t>
            </w:r>
          </w:p>
        </w:tc>
      </w:tr>
      <w:tr w:rsidR="00072A69" w:rsidRPr="00DC6DF9" w14:paraId="204A80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038C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533</w:t>
            </w:r>
          </w:p>
        </w:tc>
        <w:tc>
          <w:tcPr>
            <w:tcW w:w="1036" w:type="dxa"/>
            <w:tcBorders>
              <w:top w:val="nil"/>
              <w:left w:val="nil"/>
              <w:bottom w:val="single" w:sz="4" w:space="0" w:color="auto"/>
              <w:right w:val="single" w:sz="4" w:space="0" w:color="auto"/>
            </w:tcBorders>
            <w:shd w:val="clear" w:color="auto" w:fill="auto"/>
            <w:noWrap/>
            <w:vAlign w:val="center"/>
            <w:hideMark/>
          </w:tcPr>
          <w:p w14:paraId="37202A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5030129000</w:t>
            </w:r>
          </w:p>
        </w:tc>
        <w:tc>
          <w:tcPr>
            <w:tcW w:w="1036" w:type="dxa"/>
            <w:tcBorders>
              <w:top w:val="nil"/>
              <w:left w:val="nil"/>
              <w:bottom w:val="single" w:sz="4" w:space="0" w:color="auto"/>
              <w:right w:val="single" w:sz="4" w:space="0" w:color="auto"/>
            </w:tcBorders>
            <w:shd w:val="clear" w:color="auto" w:fill="auto"/>
            <w:noWrap/>
            <w:vAlign w:val="center"/>
            <w:hideMark/>
          </w:tcPr>
          <w:p w14:paraId="681247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74521152</w:t>
            </w:r>
          </w:p>
        </w:tc>
        <w:tc>
          <w:tcPr>
            <w:tcW w:w="160" w:type="dxa"/>
            <w:tcBorders>
              <w:top w:val="nil"/>
              <w:left w:val="nil"/>
              <w:bottom w:val="single" w:sz="4" w:space="0" w:color="auto"/>
              <w:right w:val="nil"/>
            </w:tcBorders>
            <w:vAlign w:val="center"/>
          </w:tcPr>
          <w:p w14:paraId="20444D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62B1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BORŠT</w:t>
            </w:r>
          </w:p>
        </w:tc>
      </w:tr>
      <w:tr w:rsidR="00072A69" w:rsidRPr="00DC6DF9" w14:paraId="05F746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2AAF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534</w:t>
            </w:r>
          </w:p>
        </w:tc>
        <w:tc>
          <w:tcPr>
            <w:tcW w:w="1036" w:type="dxa"/>
            <w:tcBorders>
              <w:top w:val="nil"/>
              <w:left w:val="nil"/>
              <w:bottom w:val="single" w:sz="4" w:space="0" w:color="auto"/>
              <w:right w:val="single" w:sz="4" w:space="0" w:color="auto"/>
            </w:tcBorders>
            <w:shd w:val="clear" w:color="auto" w:fill="auto"/>
            <w:noWrap/>
            <w:vAlign w:val="center"/>
            <w:hideMark/>
          </w:tcPr>
          <w:p w14:paraId="319E5A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5018803000</w:t>
            </w:r>
          </w:p>
        </w:tc>
        <w:tc>
          <w:tcPr>
            <w:tcW w:w="1036" w:type="dxa"/>
            <w:tcBorders>
              <w:top w:val="nil"/>
              <w:left w:val="nil"/>
              <w:bottom w:val="single" w:sz="4" w:space="0" w:color="auto"/>
              <w:right w:val="single" w:sz="4" w:space="0" w:color="auto"/>
            </w:tcBorders>
            <w:shd w:val="clear" w:color="auto" w:fill="auto"/>
            <w:noWrap/>
            <w:vAlign w:val="center"/>
            <w:hideMark/>
          </w:tcPr>
          <w:p w14:paraId="230A0C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59543019</w:t>
            </w:r>
          </w:p>
        </w:tc>
        <w:tc>
          <w:tcPr>
            <w:tcW w:w="160" w:type="dxa"/>
            <w:tcBorders>
              <w:top w:val="nil"/>
              <w:left w:val="nil"/>
              <w:bottom w:val="single" w:sz="4" w:space="0" w:color="auto"/>
              <w:right w:val="nil"/>
            </w:tcBorders>
            <w:vAlign w:val="center"/>
          </w:tcPr>
          <w:p w14:paraId="53868AD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891B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BOŠTANJ</w:t>
            </w:r>
          </w:p>
        </w:tc>
      </w:tr>
      <w:tr w:rsidR="00072A69" w:rsidRPr="00DC6DF9" w14:paraId="55C7696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57FB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535</w:t>
            </w:r>
          </w:p>
        </w:tc>
        <w:tc>
          <w:tcPr>
            <w:tcW w:w="1036" w:type="dxa"/>
            <w:tcBorders>
              <w:top w:val="nil"/>
              <w:left w:val="nil"/>
              <w:bottom w:val="single" w:sz="4" w:space="0" w:color="auto"/>
              <w:right w:val="single" w:sz="4" w:space="0" w:color="auto"/>
            </w:tcBorders>
            <w:shd w:val="clear" w:color="auto" w:fill="auto"/>
            <w:noWrap/>
            <w:vAlign w:val="center"/>
            <w:hideMark/>
          </w:tcPr>
          <w:p w14:paraId="1C568D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5017181000</w:t>
            </w:r>
          </w:p>
        </w:tc>
        <w:tc>
          <w:tcPr>
            <w:tcW w:w="1036" w:type="dxa"/>
            <w:tcBorders>
              <w:top w:val="nil"/>
              <w:left w:val="nil"/>
              <w:bottom w:val="single" w:sz="4" w:space="0" w:color="auto"/>
              <w:right w:val="single" w:sz="4" w:space="0" w:color="auto"/>
            </w:tcBorders>
            <w:shd w:val="clear" w:color="auto" w:fill="auto"/>
            <w:noWrap/>
            <w:vAlign w:val="center"/>
            <w:hideMark/>
          </w:tcPr>
          <w:p w14:paraId="3F7A55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30284058</w:t>
            </w:r>
          </w:p>
        </w:tc>
        <w:tc>
          <w:tcPr>
            <w:tcW w:w="160" w:type="dxa"/>
            <w:tcBorders>
              <w:top w:val="nil"/>
              <w:left w:val="nil"/>
              <w:bottom w:val="single" w:sz="4" w:space="0" w:color="auto"/>
              <w:right w:val="nil"/>
            </w:tcBorders>
            <w:vAlign w:val="center"/>
          </w:tcPr>
          <w:p w14:paraId="533476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B30B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BRANIK</w:t>
            </w:r>
          </w:p>
        </w:tc>
      </w:tr>
      <w:tr w:rsidR="00072A69" w:rsidRPr="00DC6DF9" w14:paraId="74B805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22F8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536</w:t>
            </w:r>
          </w:p>
        </w:tc>
        <w:tc>
          <w:tcPr>
            <w:tcW w:w="1036" w:type="dxa"/>
            <w:tcBorders>
              <w:top w:val="nil"/>
              <w:left w:val="nil"/>
              <w:bottom w:val="single" w:sz="4" w:space="0" w:color="auto"/>
              <w:right w:val="single" w:sz="4" w:space="0" w:color="auto"/>
            </w:tcBorders>
            <w:shd w:val="clear" w:color="auto" w:fill="auto"/>
            <w:noWrap/>
            <w:vAlign w:val="center"/>
            <w:hideMark/>
          </w:tcPr>
          <w:p w14:paraId="7E9777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5020042000</w:t>
            </w:r>
          </w:p>
        </w:tc>
        <w:tc>
          <w:tcPr>
            <w:tcW w:w="1036" w:type="dxa"/>
            <w:tcBorders>
              <w:top w:val="nil"/>
              <w:left w:val="nil"/>
              <w:bottom w:val="single" w:sz="4" w:space="0" w:color="auto"/>
              <w:right w:val="single" w:sz="4" w:space="0" w:color="auto"/>
            </w:tcBorders>
            <w:shd w:val="clear" w:color="auto" w:fill="auto"/>
            <w:noWrap/>
            <w:vAlign w:val="center"/>
            <w:hideMark/>
          </w:tcPr>
          <w:p w14:paraId="13CEF5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18569803</w:t>
            </w:r>
          </w:p>
        </w:tc>
        <w:tc>
          <w:tcPr>
            <w:tcW w:w="160" w:type="dxa"/>
            <w:tcBorders>
              <w:top w:val="nil"/>
              <w:left w:val="nil"/>
              <w:bottom w:val="single" w:sz="4" w:space="0" w:color="auto"/>
              <w:right w:val="nil"/>
            </w:tcBorders>
            <w:vAlign w:val="center"/>
          </w:tcPr>
          <w:p w14:paraId="059A33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B2E2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BRESTANICA</w:t>
            </w:r>
          </w:p>
        </w:tc>
      </w:tr>
      <w:tr w:rsidR="00072A69" w:rsidRPr="00DC6DF9" w14:paraId="6C6081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B5C9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537</w:t>
            </w:r>
          </w:p>
        </w:tc>
        <w:tc>
          <w:tcPr>
            <w:tcW w:w="1036" w:type="dxa"/>
            <w:tcBorders>
              <w:top w:val="nil"/>
              <w:left w:val="nil"/>
              <w:bottom w:val="single" w:sz="4" w:space="0" w:color="auto"/>
              <w:right w:val="single" w:sz="4" w:space="0" w:color="auto"/>
            </w:tcBorders>
            <w:shd w:val="clear" w:color="auto" w:fill="auto"/>
            <w:noWrap/>
            <w:vAlign w:val="center"/>
            <w:hideMark/>
          </w:tcPr>
          <w:p w14:paraId="22FEDF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5016584000</w:t>
            </w:r>
          </w:p>
        </w:tc>
        <w:tc>
          <w:tcPr>
            <w:tcW w:w="1036" w:type="dxa"/>
            <w:tcBorders>
              <w:top w:val="nil"/>
              <w:left w:val="nil"/>
              <w:bottom w:val="single" w:sz="4" w:space="0" w:color="auto"/>
              <w:right w:val="single" w:sz="4" w:space="0" w:color="auto"/>
            </w:tcBorders>
            <w:shd w:val="clear" w:color="auto" w:fill="auto"/>
            <w:noWrap/>
            <w:vAlign w:val="center"/>
            <w:hideMark/>
          </w:tcPr>
          <w:p w14:paraId="26D21D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44480873</w:t>
            </w:r>
          </w:p>
        </w:tc>
        <w:tc>
          <w:tcPr>
            <w:tcW w:w="160" w:type="dxa"/>
            <w:tcBorders>
              <w:top w:val="nil"/>
              <w:left w:val="nil"/>
              <w:bottom w:val="single" w:sz="4" w:space="0" w:color="auto"/>
              <w:right w:val="nil"/>
            </w:tcBorders>
            <w:vAlign w:val="center"/>
          </w:tcPr>
          <w:p w14:paraId="65B721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9085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BREŽICE</w:t>
            </w:r>
          </w:p>
        </w:tc>
      </w:tr>
      <w:tr w:rsidR="00072A69" w:rsidRPr="00DC6DF9" w14:paraId="224F928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5177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538</w:t>
            </w:r>
          </w:p>
        </w:tc>
        <w:tc>
          <w:tcPr>
            <w:tcW w:w="1036" w:type="dxa"/>
            <w:tcBorders>
              <w:top w:val="nil"/>
              <w:left w:val="nil"/>
              <w:bottom w:val="single" w:sz="4" w:space="0" w:color="auto"/>
              <w:right w:val="single" w:sz="4" w:space="0" w:color="auto"/>
            </w:tcBorders>
            <w:shd w:val="clear" w:color="auto" w:fill="auto"/>
            <w:noWrap/>
            <w:vAlign w:val="center"/>
            <w:hideMark/>
          </w:tcPr>
          <w:p w14:paraId="495E97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5016533000</w:t>
            </w:r>
          </w:p>
        </w:tc>
        <w:tc>
          <w:tcPr>
            <w:tcW w:w="1036" w:type="dxa"/>
            <w:tcBorders>
              <w:top w:val="nil"/>
              <w:left w:val="nil"/>
              <w:bottom w:val="single" w:sz="4" w:space="0" w:color="auto"/>
              <w:right w:val="single" w:sz="4" w:space="0" w:color="auto"/>
            </w:tcBorders>
            <w:shd w:val="clear" w:color="auto" w:fill="auto"/>
            <w:noWrap/>
            <w:vAlign w:val="center"/>
            <w:hideMark/>
          </w:tcPr>
          <w:p w14:paraId="4CF008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36001139</w:t>
            </w:r>
          </w:p>
        </w:tc>
        <w:tc>
          <w:tcPr>
            <w:tcW w:w="160" w:type="dxa"/>
            <w:tcBorders>
              <w:top w:val="nil"/>
              <w:left w:val="nil"/>
              <w:bottom w:val="single" w:sz="4" w:space="0" w:color="auto"/>
              <w:right w:val="nil"/>
            </w:tcBorders>
            <w:vAlign w:val="center"/>
          </w:tcPr>
          <w:p w14:paraId="2F70AA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40D5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BRJE</w:t>
            </w:r>
          </w:p>
        </w:tc>
      </w:tr>
      <w:tr w:rsidR="00072A69" w:rsidRPr="00DC6DF9" w14:paraId="314B75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B4D1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539</w:t>
            </w:r>
          </w:p>
        </w:tc>
        <w:tc>
          <w:tcPr>
            <w:tcW w:w="1036" w:type="dxa"/>
            <w:tcBorders>
              <w:top w:val="nil"/>
              <w:left w:val="nil"/>
              <w:bottom w:val="single" w:sz="4" w:space="0" w:color="auto"/>
              <w:right w:val="single" w:sz="4" w:space="0" w:color="auto"/>
            </w:tcBorders>
            <w:shd w:val="clear" w:color="auto" w:fill="auto"/>
            <w:noWrap/>
            <w:vAlign w:val="center"/>
            <w:hideMark/>
          </w:tcPr>
          <w:p w14:paraId="70E0BA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5009243000</w:t>
            </w:r>
          </w:p>
        </w:tc>
        <w:tc>
          <w:tcPr>
            <w:tcW w:w="1036" w:type="dxa"/>
            <w:tcBorders>
              <w:top w:val="nil"/>
              <w:left w:val="nil"/>
              <w:bottom w:val="single" w:sz="4" w:space="0" w:color="auto"/>
              <w:right w:val="single" w:sz="4" w:space="0" w:color="auto"/>
            </w:tcBorders>
            <w:shd w:val="clear" w:color="auto" w:fill="auto"/>
            <w:noWrap/>
            <w:vAlign w:val="center"/>
            <w:hideMark/>
          </w:tcPr>
          <w:p w14:paraId="786D04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44692897</w:t>
            </w:r>
          </w:p>
        </w:tc>
        <w:tc>
          <w:tcPr>
            <w:tcW w:w="160" w:type="dxa"/>
            <w:tcBorders>
              <w:top w:val="nil"/>
              <w:left w:val="nil"/>
              <w:bottom w:val="single" w:sz="4" w:space="0" w:color="auto"/>
              <w:right w:val="nil"/>
            </w:tcBorders>
            <w:vAlign w:val="center"/>
          </w:tcPr>
          <w:p w14:paraId="095F05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5DC4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BRŠLJIN NOVO MESTO</w:t>
            </w:r>
          </w:p>
        </w:tc>
      </w:tr>
      <w:tr w:rsidR="00072A69" w:rsidRPr="00DC6DF9" w14:paraId="479F81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E2B7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540</w:t>
            </w:r>
          </w:p>
        </w:tc>
        <w:tc>
          <w:tcPr>
            <w:tcW w:w="1036" w:type="dxa"/>
            <w:tcBorders>
              <w:top w:val="nil"/>
              <w:left w:val="nil"/>
              <w:bottom w:val="single" w:sz="4" w:space="0" w:color="auto"/>
              <w:right w:val="single" w:sz="4" w:space="0" w:color="auto"/>
            </w:tcBorders>
            <w:shd w:val="clear" w:color="auto" w:fill="auto"/>
            <w:noWrap/>
            <w:vAlign w:val="center"/>
            <w:hideMark/>
          </w:tcPr>
          <w:p w14:paraId="329DB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5018285000</w:t>
            </w:r>
          </w:p>
        </w:tc>
        <w:tc>
          <w:tcPr>
            <w:tcW w:w="1036" w:type="dxa"/>
            <w:tcBorders>
              <w:top w:val="nil"/>
              <w:left w:val="nil"/>
              <w:bottom w:val="single" w:sz="4" w:space="0" w:color="auto"/>
              <w:right w:val="single" w:sz="4" w:space="0" w:color="auto"/>
            </w:tcBorders>
            <w:shd w:val="clear" w:color="auto" w:fill="auto"/>
            <w:noWrap/>
            <w:vAlign w:val="center"/>
            <w:hideMark/>
          </w:tcPr>
          <w:p w14:paraId="66CD0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91508681</w:t>
            </w:r>
          </w:p>
        </w:tc>
        <w:tc>
          <w:tcPr>
            <w:tcW w:w="160" w:type="dxa"/>
            <w:tcBorders>
              <w:top w:val="nil"/>
              <w:left w:val="nil"/>
              <w:bottom w:val="single" w:sz="4" w:space="0" w:color="auto"/>
              <w:right w:val="nil"/>
            </w:tcBorders>
            <w:vAlign w:val="center"/>
          </w:tcPr>
          <w:p w14:paraId="6303F6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1D78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BUČNA VAS</w:t>
            </w:r>
          </w:p>
        </w:tc>
      </w:tr>
      <w:tr w:rsidR="00072A69" w:rsidRPr="00DC6DF9" w14:paraId="374892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36B1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541</w:t>
            </w:r>
          </w:p>
        </w:tc>
        <w:tc>
          <w:tcPr>
            <w:tcW w:w="1036" w:type="dxa"/>
            <w:tcBorders>
              <w:top w:val="nil"/>
              <w:left w:val="nil"/>
              <w:bottom w:val="single" w:sz="4" w:space="0" w:color="auto"/>
              <w:right w:val="single" w:sz="4" w:space="0" w:color="auto"/>
            </w:tcBorders>
            <w:shd w:val="clear" w:color="auto" w:fill="auto"/>
            <w:noWrap/>
            <w:vAlign w:val="center"/>
            <w:hideMark/>
          </w:tcPr>
          <w:p w14:paraId="46511F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5028132000</w:t>
            </w:r>
          </w:p>
        </w:tc>
        <w:tc>
          <w:tcPr>
            <w:tcW w:w="1036" w:type="dxa"/>
            <w:tcBorders>
              <w:top w:val="nil"/>
              <w:left w:val="nil"/>
              <w:bottom w:val="single" w:sz="4" w:space="0" w:color="auto"/>
              <w:right w:val="single" w:sz="4" w:space="0" w:color="auto"/>
            </w:tcBorders>
            <w:shd w:val="clear" w:color="auto" w:fill="auto"/>
            <w:noWrap/>
            <w:vAlign w:val="center"/>
            <w:hideMark/>
          </w:tcPr>
          <w:p w14:paraId="312049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37070541</w:t>
            </w:r>
          </w:p>
        </w:tc>
        <w:tc>
          <w:tcPr>
            <w:tcW w:w="160" w:type="dxa"/>
            <w:tcBorders>
              <w:top w:val="nil"/>
              <w:left w:val="nil"/>
              <w:bottom w:val="single" w:sz="4" w:space="0" w:color="auto"/>
              <w:right w:val="nil"/>
            </w:tcBorders>
            <w:vAlign w:val="center"/>
          </w:tcPr>
          <w:p w14:paraId="3EBFEE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1FE9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BUDANJE</w:t>
            </w:r>
          </w:p>
        </w:tc>
      </w:tr>
      <w:tr w:rsidR="00072A69" w:rsidRPr="00DC6DF9" w14:paraId="30BB5F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29A3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542</w:t>
            </w:r>
          </w:p>
        </w:tc>
        <w:tc>
          <w:tcPr>
            <w:tcW w:w="1036" w:type="dxa"/>
            <w:tcBorders>
              <w:top w:val="nil"/>
              <w:left w:val="nil"/>
              <w:bottom w:val="single" w:sz="4" w:space="0" w:color="auto"/>
              <w:right w:val="single" w:sz="4" w:space="0" w:color="auto"/>
            </w:tcBorders>
            <w:shd w:val="clear" w:color="auto" w:fill="auto"/>
            <w:noWrap/>
            <w:vAlign w:val="center"/>
            <w:hideMark/>
          </w:tcPr>
          <w:p w14:paraId="367FAA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5026954000</w:t>
            </w:r>
          </w:p>
        </w:tc>
        <w:tc>
          <w:tcPr>
            <w:tcW w:w="1036" w:type="dxa"/>
            <w:tcBorders>
              <w:top w:val="nil"/>
              <w:left w:val="nil"/>
              <w:bottom w:val="single" w:sz="4" w:space="0" w:color="auto"/>
              <w:right w:val="single" w:sz="4" w:space="0" w:color="auto"/>
            </w:tcBorders>
            <w:shd w:val="clear" w:color="auto" w:fill="auto"/>
            <w:noWrap/>
            <w:vAlign w:val="center"/>
            <w:hideMark/>
          </w:tcPr>
          <w:p w14:paraId="5AAE75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88667383</w:t>
            </w:r>
          </w:p>
        </w:tc>
        <w:tc>
          <w:tcPr>
            <w:tcW w:w="160" w:type="dxa"/>
            <w:tcBorders>
              <w:top w:val="nil"/>
              <w:left w:val="nil"/>
              <w:bottom w:val="single" w:sz="4" w:space="0" w:color="auto"/>
              <w:right w:val="nil"/>
            </w:tcBorders>
            <w:vAlign w:val="center"/>
          </w:tcPr>
          <w:p w14:paraId="71EBF91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BF0F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CENTER</w:t>
            </w:r>
          </w:p>
        </w:tc>
      </w:tr>
      <w:tr w:rsidR="00072A69" w:rsidRPr="00DC6DF9" w14:paraId="6D009D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5C0E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543</w:t>
            </w:r>
          </w:p>
        </w:tc>
        <w:tc>
          <w:tcPr>
            <w:tcW w:w="1036" w:type="dxa"/>
            <w:tcBorders>
              <w:top w:val="nil"/>
              <w:left w:val="nil"/>
              <w:bottom w:val="single" w:sz="4" w:space="0" w:color="auto"/>
              <w:right w:val="single" w:sz="4" w:space="0" w:color="auto"/>
            </w:tcBorders>
            <w:shd w:val="clear" w:color="auto" w:fill="auto"/>
            <w:noWrap/>
            <w:vAlign w:val="center"/>
            <w:hideMark/>
          </w:tcPr>
          <w:p w14:paraId="29A7BA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5016690000</w:t>
            </w:r>
          </w:p>
        </w:tc>
        <w:tc>
          <w:tcPr>
            <w:tcW w:w="1036" w:type="dxa"/>
            <w:tcBorders>
              <w:top w:val="nil"/>
              <w:left w:val="nil"/>
              <w:bottom w:val="single" w:sz="4" w:space="0" w:color="auto"/>
              <w:right w:val="single" w:sz="4" w:space="0" w:color="auto"/>
            </w:tcBorders>
            <w:shd w:val="clear" w:color="auto" w:fill="auto"/>
            <w:noWrap/>
            <w:vAlign w:val="center"/>
            <w:hideMark/>
          </w:tcPr>
          <w:p w14:paraId="229B40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35740183</w:t>
            </w:r>
          </w:p>
        </w:tc>
        <w:tc>
          <w:tcPr>
            <w:tcW w:w="160" w:type="dxa"/>
            <w:tcBorders>
              <w:top w:val="nil"/>
              <w:left w:val="nil"/>
              <w:bottom w:val="single" w:sz="4" w:space="0" w:color="auto"/>
              <w:right w:val="nil"/>
            </w:tcBorders>
            <w:vAlign w:val="center"/>
          </w:tcPr>
          <w:p w14:paraId="390EEBC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77DA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CERKLJE OB KRKI</w:t>
            </w:r>
          </w:p>
        </w:tc>
      </w:tr>
      <w:tr w:rsidR="00072A69" w:rsidRPr="00DC6DF9" w14:paraId="1A9D86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9C1D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544</w:t>
            </w:r>
          </w:p>
        </w:tc>
        <w:tc>
          <w:tcPr>
            <w:tcW w:w="1036" w:type="dxa"/>
            <w:tcBorders>
              <w:top w:val="nil"/>
              <w:left w:val="nil"/>
              <w:bottom w:val="single" w:sz="4" w:space="0" w:color="auto"/>
              <w:right w:val="single" w:sz="4" w:space="0" w:color="auto"/>
            </w:tcBorders>
            <w:shd w:val="clear" w:color="auto" w:fill="auto"/>
            <w:noWrap/>
            <w:vAlign w:val="center"/>
            <w:hideMark/>
          </w:tcPr>
          <w:p w14:paraId="3F2E0F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5484430000</w:t>
            </w:r>
          </w:p>
        </w:tc>
        <w:tc>
          <w:tcPr>
            <w:tcW w:w="1036" w:type="dxa"/>
            <w:tcBorders>
              <w:top w:val="nil"/>
              <w:left w:val="nil"/>
              <w:bottom w:val="single" w:sz="4" w:space="0" w:color="auto"/>
              <w:right w:val="single" w:sz="4" w:space="0" w:color="auto"/>
            </w:tcBorders>
            <w:shd w:val="clear" w:color="auto" w:fill="auto"/>
            <w:noWrap/>
            <w:vAlign w:val="center"/>
            <w:hideMark/>
          </w:tcPr>
          <w:p w14:paraId="651225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24078506</w:t>
            </w:r>
          </w:p>
        </w:tc>
        <w:tc>
          <w:tcPr>
            <w:tcW w:w="160" w:type="dxa"/>
            <w:tcBorders>
              <w:top w:val="nil"/>
              <w:left w:val="nil"/>
              <w:bottom w:val="single" w:sz="4" w:space="0" w:color="auto"/>
              <w:right w:val="nil"/>
            </w:tcBorders>
            <w:vAlign w:val="center"/>
          </w:tcPr>
          <w:p w14:paraId="0447EB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15BA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CESTA</w:t>
            </w:r>
          </w:p>
        </w:tc>
      </w:tr>
      <w:tr w:rsidR="00072A69" w:rsidRPr="00DC6DF9" w14:paraId="2E5C73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509C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545</w:t>
            </w:r>
          </w:p>
        </w:tc>
        <w:tc>
          <w:tcPr>
            <w:tcW w:w="1036" w:type="dxa"/>
            <w:tcBorders>
              <w:top w:val="nil"/>
              <w:left w:val="nil"/>
              <w:bottom w:val="single" w:sz="4" w:space="0" w:color="auto"/>
              <w:right w:val="single" w:sz="4" w:space="0" w:color="auto"/>
            </w:tcBorders>
            <w:shd w:val="clear" w:color="auto" w:fill="auto"/>
            <w:noWrap/>
            <w:vAlign w:val="center"/>
            <w:hideMark/>
          </w:tcPr>
          <w:p w14:paraId="37867B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5028060000</w:t>
            </w:r>
          </w:p>
        </w:tc>
        <w:tc>
          <w:tcPr>
            <w:tcW w:w="1036" w:type="dxa"/>
            <w:tcBorders>
              <w:top w:val="nil"/>
              <w:left w:val="nil"/>
              <w:bottom w:val="single" w:sz="4" w:space="0" w:color="auto"/>
              <w:right w:val="single" w:sz="4" w:space="0" w:color="auto"/>
            </w:tcBorders>
            <w:shd w:val="clear" w:color="auto" w:fill="auto"/>
            <w:noWrap/>
            <w:vAlign w:val="center"/>
            <w:hideMark/>
          </w:tcPr>
          <w:p w14:paraId="3D2D24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30904854</w:t>
            </w:r>
          </w:p>
        </w:tc>
        <w:tc>
          <w:tcPr>
            <w:tcW w:w="160" w:type="dxa"/>
            <w:tcBorders>
              <w:top w:val="nil"/>
              <w:left w:val="nil"/>
              <w:bottom w:val="single" w:sz="4" w:space="0" w:color="auto"/>
              <w:right w:val="nil"/>
            </w:tcBorders>
            <w:vAlign w:val="center"/>
          </w:tcPr>
          <w:p w14:paraId="07E3175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026E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COL</w:t>
            </w:r>
          </w:p>
        </w:tc>
      </w:tr>
      <w:tr w:rsidR="00072A69" w:rsidRPr="00DC6DF9" w14:paraId="0AAD5E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CFBB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w:t>
            </w:r>
          </w:p>
        </w:tc>
        <w:tc>
          <w:tcPr>
            <w:tcW w:w="1036" w:type="dxa"/>
            <w:tcBorders>
              <w:top w:val="nil"/>
              <w:left w:val="nil"/>
              <w:bottom w:val="single" w:sz="4" w:space="0" w:color="auto"/>
              <w:right w:val="single" w:sz="4" w:space="0" w:color="auto"/>
            </w:tcBorders>
            <w:shd w:val="clear" w:color="auto" w:fill="auto"/>
            <w:noWrap/>
            <w:vAlign w:val="center"/>
            <w:hideMark/>
          </w:tcPr>
          <w:p w14:paraId="5B5BC1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5031788000</w:t>
            </w:r>
          </w:p>
        </w:tc>
        <w:tc>
          <w:tcPr>
            <w:tcW w:w="1036" w:type="dxa"/>
            <w:tcBorders>
              <w:top w:val="nil"/>
              <w:left w:val="nil"/>
              <w:bottom w:val="single" w:sz="4" w:space="0" w:color="auto"/>
              <w:right w:val="single" w:sz="4" w:space="0" w:color="auto"/>
            </w:tcBorders>
            <w:shd w:val="clear" w:color="auto" w:fill="auto"/>
            <w:noWrap/>
            <w:vAlign w:val="center"/>
            <w:hideMark/>
          </w:tcPr>
          <w:p w14:paraId="6A1D45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58106081</w:t>
            </w:r>
          </w:p>
        </w:tc>
        <w:tc>
          <w:tcPr>
            <w:tcW w:w="160" w:type="dxa"/>
            <w:tcBorders>
              <w:top w:val="nil"/>
              <w:left w:val="nil"/>
              <w:bottom w:val="single" w:sz="4" w:space="0" w:color="auto"/>
              <w:right w:val="nil"/>
            </w:tcBorders>
            <w:vAlign w:val="center"/>
          </w:tcPr>
          <w:p w14:paraId="0001C0F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5555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ČEPOVAN</w:t>
            </w:r>
          </w:p>
        </w:tc>
      </w:tr>
      <w:tr w:rsidR="00072A69" w:rsidRPr="00DC6DF9" w14:paraId="415CC2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221A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w:t>
            </w:r>
          </w:p>
        </w:tc>
        <w:tc>
          <w:tcPr>
            <w:tcW w:w="1036" w:type="dxa"/>
            <w:tcBorders>
              <w:top w:val="nil"/>
              <w:left w:val="nil"/>
              <w:bottom w:val="single" w:sz="4" w:space="0" w:color="auto"/>
              <w:right w:val="single" w:sz="4" w:space="0" w:color="auto"/>
            </w:tcBorders>
            <w:shd w:val="clear" w:color="auto" w:fill="auto"/>
            <w:noWrap/>
            <w:vAlign w:val="center"/>
            <w:hideMark/>
          </w:tcPr>
          <w:p w14:paraId="0F6368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1750917000</w:t>
            </w:r>
          </w:p>
        </w:tc>
        <w:tc>
          <w:tcPr>
            <w:tcW w:w="1036" w:type="dxa"/>
            <w:tcBorders>
              <w:top w:val="nil"/>
              <w:left w:val="nil"/>
              <w:bottom w:val="single" w:sz="4" w:space="0" w:color="auto"/>
              <w:right w:val="single" w:sz="4" w:space="0" w:color="auto"/>
            </w:tcBorders>
            <w:shd w:val="clear" w:color="auto" w:fill="auto"/>
            <w:noWrap/>
            <w:vAlign w:val="center"/>
            <w:hideMark/>
          </w:tcPr>
          <w:p w14:paraId="739D85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29540461</w:t>
            </w:r>
          </w:p>
        </w:tc>
        <w:tc>
          <w:tcPr>
            <w:tcW w:w="160" w:type="dxa"/>
            <w:tcBorders>
              <w:top w:val="nil"/>
              <w:left w:val="nil"/>
              <w:bottom w:val="single" w:sz="4" w:space="0" w:color="auto"/>
              <w:right w:val="nil"/>
            </w:tcBorders>
            <w:vAlign w:val="center"/>
          </w:tcPr>
          <w:p w14:paraId="7D1110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B4E9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ČERNELAVCI</w:t>
            </w:r>
          </w:p>
        </w:tc>
      </w:tr>
      <w:tr w:rsidR="00072A69" w:rsidRPr="00DC6DF9" w14:paraId="090496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AB20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548</w:t>
            </w:r>
          </w:p>
        </w:tc>
        <w:tc>
          <w:tcPr>
            <w:tcW w:w="1036" w:type="dxa"/>
            <w:tcBorders>
              <w:top w:val="nil"/>
              <w:left w:val="nil"/>
              <w:bottom w:val="single" w:sz="4" w:space="0" w:color="auto"/>
              <w:right w:val="single" w:sz="4" w:space="0" w:color="auto"/>
            </w:tcBorders>
            <w:shd w:val="clear" w:color="auto" w:fill="auto"/>
            <w:noWrap/>
            <w:vAlign w:val="center"/>
            <w:hideMark/>
          </w:tcPr>
          <w:p w14:paraId="260D6D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5020875000</w:t>
            </w:r>
          </w:p>
        </w:tc>
        <w:tc>
          <w:tcPr>
            <w:tcW w:w="1036" w:type="dxa"/>
            <w:tcBorders>
              <w:top w:val="nil"/>
              <w:left w:val="nil"/>
              <w:bottom w:val="single" w:sz="4" w:space="0" w:color="auto"/>
              <w:right w:val="single" w:sz="4" w:space="0" w:color="auto"/>
            </w:tcBorders>
            <w:shd w:val="clear" w:color="auto" w:fill="auto"/>
            <w:noWrap/>
            <w:vAlign w:val="center"/>
            <w:hideMark/>
          </w:tcPr>
          <w:p w14:paraId="6C3E5A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29406498</w:t>
            </w:r>
          </w:p>
        </w:tc>
        <w:tc>
          <w:tcPr>
            <w:tcW w:w="160" w:type="dxa"/>
            <w:tcBorders>
              <w:top w:val="nil"/>
              <w:left w:val="nil"/>
              <w:bottom w:val="single" w:sz="4" w:space="0" w:color="auto"/>
              <w:right w:val="nil"/>
            </w:tcBorders>
            <w:vAlign w:val="center"/>
          </w:tcPr>
          <w:p w14:paraId="2F2514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9A5D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ČREŠNJEVEC</w:t>
            </w:r>
          </w:p>
        </w:tc>
      </w:tr>
      <w:tr w:rsidR="00072A69" w:rsidRPr="00DC6DF9" w14:paraId="21FB20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211F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549</w:t>
            </w:r>
          </w:p>
        </w:tc>
        <w:tc>
          <w:tcPr>
            <w:tcW w:w="1036" w:type="dxa"/>
            <w:tcBorders>
              <w:top w:val="nil"/>
              <w:left w:val="nil"/>
              <w:bottom w:val="single" w:sz="4" w:space="0" w:color="auto"/>
              <w:right w:val="single" w:sz="4" w:space="0" w:color="auto"/>
            </w:tcBorders>
            <w:shd w:val="clear" w:color="auto" w:fill="auto"/>
            <w:noWrap/>
            <w:vAlign w:val="center"/>
            <w:hideMark/>
          </w:tcPr>
          <w:p w14:paraId="61BFAF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5030749000</w:t>
            </w:r>
          </w:p>
        </w:tc>
        <w:tc>
          <w:tcPr>
            <w:tcW w:w="1036" w:type="dxa"/>
            <w:tcBorders>
              <w:top w:val="nil"/>
              <w:left w:val="nil"/>
              <w:bottom w:val="single" w:sz="4" w:space="0" w:color="auto"/>
              <w:right w:val="single" w:sz="4" w:space="0" w:color="auto"/>
            </w:tcBorders>
            <w:shd w:val="clear" w:color="auto" w:fill="auto"/>
            <w:noWrap/>
            <w:vAlign w:val="center"/>
            <w:hideMark/>
          </w:tcPr>
          <w:p w14:paraId="11C27A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99782669</w:t>
            </w:r>
          </w:p>
        </w:tc>
        <w:tc>
          <w:tcPr>
            <w:tcW w:w="160" w:type="dxa"/>
            <w:tcBorders>
              <w:top w:val="nil"/>
              <w:left w:val="nil"/>
              <w:bottom w:val="single" w:sz="4" w:space="0" w:color="auto"/>
              <w:right w:val="nil"/>
            </w:tcBorders>
            <w:vAlign w:val="center"/>
          </w:tcPr>
          <w:p w14:paraId="6CEA07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2DED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ČRNIČE</w:t>
            </w:r>
          </w:p>
        </w:tc>
      </w:tr>
      <w:tr w:rsidR="00072A69" w:rsidRPr="00DC6DF9" w14:paraId="463D58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218D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w:t>
            </w:r>
          </w:p>
        </w:tc>
        <w:tc>
          <w:tcPr>
            <w:tcW w:w="1036" w:type="dxa"/>
            <w:tcBorders>
              <w:top w:val="nil"/>
              <w:left w:val="nil"/>
              <w:bottom w:val="single" w:sz="4" w:space="0" w:color="auto"/>
              <w:right w:val="single" w:sz="4" w:space="0" w:color="auto"/>
            </w:tcBorders>
            <w:shd w:val="clear" w:color="auto" w:fill="auto"/>
            <w:noWrap/>
            <w:vAlign w:val="center"/>
            <w:hideMark/>
          </w:tcPr>
          <w:p w14:paraId="342FDD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5030862000</w:t>
            </w:r>
          </w:p>
        </w:tc>
        <w:tc>
          <w:tcPr>
            <w:tcW w:w="1036" w:type="dxa"/>
            <w:tcBorders>
              <w:top w:val="nil"/>
              <w:left w:val="nil"/>
              <w:bottom w:val="single" w:sz="4" w:space="0" w:color="auto"/>
              <w:right w:val="single" w:sz="4" w:space="0" w:color="auto"/>
            </w:tcBorders>
            <w:shd w:val="clear" w:color="auto" w:fill="auto"/>
            <w:noWrap/>
            <w:vAlign w:val="center"/>
            <w:hideMark/>
          </w:tcPr>
          <w:p w14:paraId="2B484E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87697840</w:t>
            </w:r>
          </w:p>
        </w:tc>
        <w:tc>
          <w:tcPr>
            <w:tcW w:w="160" w:type="dxa"/>
            <w:tcBorders>
              <w:top w:val="nil"/>
              <w:left w:val="nil"/>
              <w:bottom w:val="single" w:sz="4" w:space="0" w:color="auto"/>
              <w:right w:val="nil"/>
            </w:tcBorders>
            <w:vAlign w:val="center"/>
          </w:tcPr>
          <w:p w14:paraId="100A75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C3988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DOBOVA</w:t>
            </w:r>
          </w:p>
        </w:tc>
      </w:tr>
      <w:tr w:rsidR="00072A69" w:rsidRPr="00DC6DF9" w14:paraId="314931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8A1E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w:t>
            </w:r>
          </w:p>
        </w:tc>
        <w:tc>
          <w:tcPr>
            <w:tcW w:w="1036" w:type="dxa"/>
            <w:tcBorders>
              <w:top w:val="nil"/>
              <w:left w:val="nil"/>
              <w:bottom w:val="single" w:sz="4" w:space="0" w:color="auto"/>
              <w:right w:val="single" w:sz="4" w:space="0" w:color="auto"/>
            </w:tcBorders>
            <w:shd w:val="clear" w:color="auto" w:fill="auto"/>
            <w:noWrap/>
            <w:vAlign w:val="center"/>
            <w:hideMark/>
          </w:tcPr>
          <w:p w14:paraId="5FCA4F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5032873000</w:t>
            </w:r>
          </w:p>
        </w:tc>
        <w:tc>
          <w:tcPr>
            <w:tcW w:w="1036" w:type="dxa"/>
            <w:tcBorders>
              <w:top w:val="nil"/>
              <w:left w:val="nil"/>
              <w:bottom w:val="single" w:sz="4" w:space="0" w:color="auto"/>
              <w:right w:val="single" w:sz="4" w:space="0" w:color="auto"/>
            </w:tcBorders>
            <w:shd w:val="clear" w:color="auto" w:fill="auto"/>
            <w:noWrap/>
            <w:vAlign w:val="center"/>
            <w:hideMark/>
          </w:tcPr>
          <w:p w14:paraId="6F4FC1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63196115</w:t>
            </w:r>
          </w:p>
        </w:tc>
        <w:tc>
          <w:tcPr>
            <w:tcW w:w="160" w:type="dxa"/>
            <w:tcBorders>
              <w:top w:val="nil"/>
              <w:left w:val="nil"/>
              <w:bottom w:val="single" w:sz="4" w:space="0" w:color="auto"/>
              <w:right w:val="nil"/>
            </w:tcBorders>
            <w:vAlign w:val="center"/>
          </w:tcPr>
          <w:p w14:paraId="61B708B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D5AC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DOBRAVA - GABROVLJE</w:t>
            </w:r>
          </w:p>
        </w:tc>
      </w:tr>
      <w:tr w:rsidR="00072A69" w:rsidRPr="00DC6DF9" w14:paraId="21BF59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FB0A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w:t>
            </w:r>
          </w:p>
        </w:tc>
        <w:tc>
          <w:tcPr>
            <w:tcW w:w="1036" w:type="dxa"/>
            <w:tcBorders>
              <w:top w:val="nil"/>
              <w:left w:val="nil"/>
              <w:bottom w:val="single" w:sz="4" w:space="0" w:color="auto"/>
              <w:right w:val="single" w:sz="4" w:space="0" w:color="auto"/>
            </w:tcBorders>
            <w:shd w:val="clear" w:color="auto" w:fill="auto"/>
            <w:noWrap/>
            <w:vAlign w:val="center"/>
            <w:hideMark/>
          </w:tcPr>
          <w:p w14:paraId="3CD394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5016673000</w:t>
            </w:r>
          </w:p>
        </w:tc>
        <w:tc>
          <w:tcPr>
            <w:tcW w:w="1036" w:type="dxa"/>
            <w:tcBorders>
              <w:top w:val="nil"/>
              <w:left w:val="nil"/>
              <w:bottom w:val="single" w:sz="4" w:space="0" w:color="auto"/>
              <w:right w:val="single" w:sz="4" w:space="0" w:color="auto"/>
            </w:tcBorders>
            <w:shd w:val="clear" w:color="auto" w:fill="auto"/>
            <w:noWrap/>
            <w:vAlign w:val="center"/>
            <w:hideMark/>
          </w:tcPr>
          <w:p w14:paraId="1BE202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65351452</w:t>
            </w:r>
          </w:p>
        </w:tc>
        <w:tc>
          <w:tcPr>
            <w:tcW w:w="160" w:type="dxa"/>
            <w:tcBorders>
              <w:top w:val="nil"/>
              <w:left w:val="nil"/>
              <w:bottom w:val="single" w:sz="4" w:space="0" w:color="auto"/>
              <w:right w:val="nil"/>
            </w:tcBorders>
            <w:vAlign w:val="center"/>
          </w:tcPr>
          <w:p w14:paraId="488864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9622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DOBRAVLJE</w:t>
            </w:r>
          </w:p>
        </w:tc>
      </w:tr>
      <w:tr w:rsidR="00072A69" w:rsidRPr="00DC6DF9" w14:paraId="0B6E8D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D25C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w:t>
            </w:r>
          </w:p>
        </w:tc>
        <w:tc>
          <w:tcPr>
            <w:tcW w:w="1036" w:type="dxa"/>
            <w:tcBorders>
              <w:top w:val="nil"/>
              <w:left w:val="nil"/>
              <w:bottom w:val="single" w:sz="4" w:space="0" w:color="auto"/>
              <w:right w:val="single" w:sz="4" w:space="0" w:color="auto"/>
            </w:tcBorders>
            <w:shd w:val="clear" w:color="auto" w:fill="auto"/>
            <w:noWrap/>
            <w:vAlign w:val="center"/>
            <w:hideMark/>
          </w:tcPr>
          <w:p w14:paraId="55263B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5029937000</w:t>
            </w:r>
          </w:p>
        </w:tc>
        <w:tc>
          <w:tcPr>
            <w:tcW w:w="1036" w:type="dxa"/>
            <w:tcBorders>
              <w:top w:val="nil"/>
              <w:left w:val="nil"/>
              <w:bottom w:val="single" w:sz="4" w:space="0" w:color="auto"/>
              <w:right w:val="single" w:sz="4" w:space="0" w:color="auto"/>
            </w:tcBorders>
            <w:shd w:val="clear" w:color="auto" w:fill="auto"/>
            <w:noWrap/>
            <w:vAlign w:val="center"/>
            <w:hideMark/>
          </w:tcPr>
          <w:p w14:paraId="36BDF1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99101254</w:t>
            </w:r>
          </w:p>
        </w:tc>
        <w:tc>
          <w:tcPr>
            <w:tcW w:w="160" w:type="dxa"/>
            <w:tcBorders>
              <w:top w:val="nil"/>
              <w:left w:val="nil"/>
              <w:bottom w:val="single" w:sz="4" w:space="0" w:color="auto"/>
              <w:right w:val="nil"/>
            </w:tcBorders>
            <w:vAlign w:val="center"/>
          </w:tcPr>
          <w:p w14:paraId="2FF351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91E0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DOBROVA PRI LJUBLJANI</w:t>
            </w:r>
          </w:p>
        </w:tc>
      </w:tr>
      <w:tr w:rsidR="00072A69" w:rsidRPr="00DC6DF9" w14:paraId="165E711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3B65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w:t>
            </w:r>
          </w:p>
        </w:tc>
        <w:tc>
          <w:tcPr>
            <w:tcW w:w="1036" w:type="dxa"/>
            <w:tcBorders>
              <w:top w:val="nil"/>
              <w:left w:val="nil"/>
              <w:bottom w:val="single" w:sz="4" w:space="0" w:color="auto"/>
              <w:right w:val="single" w:sz="4" w:space="0" w:color="auto"/>
            </w:tcBorders>
            <w:shd w:val="clear" w:color="auto" w:fill="auto"/>
            <w:noWrap/>
            <w:vAlign w:val="center"/>
            <w:hideMark/>
          </w:tcPr>
          <w:p w14:paraId="20A912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5915350000</w:t>
            </w:r>
          </w:p>
        </w:tc>
        <w:tc>
          <w:tcPr>
            <w:tcW w:w="1036" w:type="dxa"/>
            <w:tcBorders>
              <w:top w:val="nil"/>
              <w:left w:val="nil"/>
              <w:bottom w:val="single" w:sz="4" w:space="0" w:color="auto"/>
              <w:right w:val="single" w:sz="4" w:space="0" w:color="auto"/>
            </w:tcBorders>
            <w:shd w:val="clear" w:color="auto" w:fill="auto"/>
            <w:noWrap/>
            <w:vAlign w:val="center"/>
            <w:hideMark/>
          </w:tcPr>
          <w:p w14:paraId="11445E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55790712</w:t>
            </w:r>
          </w:p>
        </w:tc>
        <w:tc>
          <w:tcPr>
            <w:tcW w:w="160" w:type="dxa"/>
            <w:tcBorders>
              <w:top w:val="nil"/>
              <w:left w:val="nil"/>
              <w:bottom w:val="single" w:sz="4" w:space="0" w:color="auto"/>
              <w:right w:val="nil"/>
            </w:tcBorders>
            <w:vAlign w:val="center"/>
          </w:tcPr>
          <w:p w14:paraId="06EA4E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D779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DOBROVLJE</w:t>
            </w:r>
          </w:p>
        </w:tc>
      </w:tr>
      <w:tr w:rsidR="00072A69" w:rsidRPr="00DC6DF9" w14:paraId="081134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2422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w:t>
            </w:r>
          </w:p>
        </w:tc>
        <w:tc>
          <w:tcPr>
            <w:tcW w:w="1036" w:type="dxa"/>
            <w:tcBorders>
              <w:top w:val="nil"/>
              <w:left w:val="nil"/>
              <w:bottom w:val="single" w:sz="4" w:space="0" w:color="auto"/>
              <w:right w:val="single" w:sz="4" w:space="0" w:color="auto"/>
            </w:tcBorders>
            <w:shd w:val="clear" w:color="auto" w:fill="auto"/>
            <w:noWrap/>
            <w:vAlign w:val="center"/>
            <w:hideMark/>
          </w:tcPr>
          <w:p w14:paraId="4553BC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5026938000</w:t>
            </w:r>
          </w:p>
        </w:tc>
        <w:tc>
          <w:tcPr>
            <w:tcW w:w="1036" w:type="dxa"/>
            <w:tcBorders>
              <w:top w:val="nil"/>
              <w:left w:val="nil"/>
              <w:bottom w:val="single" w:sz="4" w:space="0" w:color="auto"/>
              <w:right w:val="single" w:sz="4" w:space="0" w:color="auto"/>
            </w:tcBorders>
            <w:shd w:val="clear" w:color="auto" w:fill="auto"/>
            <w:noWrap/>
            <w:vAlign w:val="center"/>
            <w:hideMark/>
          </w:tcPr>
          <w:p w14:paraId="387D64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75139553</w:t>
            </w:r>
          </w:p>
        </w:tc>
        <w:tc>
          <w:tcPr>
            <w:tcW w:w="160" w:type="dxa"/>
            <w:tcBorders>
              <w:top w:val="nil"/>
              <w:left w:val="nil"/>
              <w:bottom w:val="single" w:sz="4" w:space="0" w:color="auto"/>
              <w:right w:val="nil"/>
            </w:tcBorders>
            <w:vAlign w:val="center"/>
          </w:tcPr>
          <w:p w14:paraId="3D7AC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56F5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DOLENJA VAS</w:t>
            </w:r>
          </w:p>
        </w:tc>
      </w:tr>
      <w:tr w:rsidR="00072A69" w:rsidRPr="00DC6DF9" w14:paraId="6315BA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04DE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556</w:t>
            </w:r>
          </w:p>
        </w:tc>
        <w:tc>
          <w:tcPr>
            <w:tcW w:w="1036" w:type="dxa"/>
            <w:tcBorders>
              <w:top w:val="nil"/>
              <w:left w:val="nil"/>
              <w:bottom w:val="single" w:sz="4" w:space="0" w:color="auto"/>
              <w:right w:val="single" w:sz="4" w:space="0" w:color="auto"/>
            </w:tcBorders>
            <w:shd w:val="clear" w:color="auto" w:fill="auto"/>
            <w:noWrap/>
            <w:vAlign w:val="center"/>
            <w:hideMark/>
          </w:tcPr>
          <w:p w14:paraId="30C7BB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2283034000</w:t>
            </w:r>
          </w:p>
        </w:tc>
        <w:tc>
          <w:tcPr>
            <w:tcW w:w="1036" w:type="dxa"/>
            <w:tcBorders>
              <w:top w:val="nil"/>
              <w:left w:val="nil"/>
              <w:bottom w:val="single" w:sz="4" w:space="0" w:color="auto"/>
              <w:right w:val="single" w:sz="4" w:space="0" w:color="auto"/>
            </w:tcBorders>
            <w:shd w:val="clear" w:color="auto" w:fill="auto"/>
            <w:noWrap/>
            <w:vAlign w:val="center"/>
            <w:hideMark/>
          </w:tcPr>
          <w:p w14:paraId="796432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52550931</w:t>
            </w:r>
          </w:p>
        </w:tc>
        <w:tc>
          <w:tcPr>
            <w:tcW w:w="160" w:type="dxa"/>
            <w:tcBorders>
              <w:top w:val="nil"/>
              <w:left w:val="nil"/>
              <w:bottom w:val="single" w:sz="4" w:space="0" w:color="auto"/>
              <w:right w:val="nil"/>
            </w:tcBorders>
            <w:vAlign w:val="center"/>
          </w:tcPr>
          <w:p w14:paraId="13F89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1E8D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DOLGA GORA</w:t>
            </w:r>
          </w:p>
        </w:tc>
      </w:tr>
      <w:tr w:rsidR="00072A69" w:rsidRPr="00DC6DF9" w14:paraId="1D2B38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A2D8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w:t>
            </w:r>
          </w:p>
        </w:tc>
        <w:tc>
          <w:tcPr>
            <w:tcW w:w="1036" w:type="dxa"/>
            <w:tcBorders>
              <w:top w:val="nil"/>
              <w:left w:val="nil"/>
              <w:bottom w:val="single" w:sz="4" w:space="0" w:color="auto"/>
              <w:right w:val="single" w:sz="4" w:space="0" w:color="auto"/>
            </w:tcBorders>
            <w:shd w:val="clear" w:color="auto" w:fill="auto"/>
            <w:noWrap/>
            <w:vAlign w:val="center"/>
            <w:hideMark/>
          </w:tcPr>
          <w:p w14:paraId="29562E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5021332000</w:t>
            </w:r>
          </w:p>
        </w:tc>
        <w:tc>
          <w:tcPr>
            <w:tcW w:w="1036" w:type="dxa"/>
            <w:tcBorders>
              <w:top w:val="nil"/>
              <w:left w:val="nil"/>
              <w:bottom w:val="single" w:sz="4" w:space="0" w:color="auto"/>
              <w:right w:val="single" w:sz="4" w:space="0" w:color="auto"/>
            </w:tcBorders>
            <w:shd w:val="clear" w:color="auto" w:fill="auto"/>
            <w:noWrap/>
            <w:vAlign w:val="center"/>
            <w:hideMark/>
          </w:tcPr>
          <w:p w14:paraId="6A3E3C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49398750</w:t>
            </w:r>
          </w:p>
        </w:tc>
        <w:tc>
          <w:tcPr>
            <w:tcW w:w="160" w:type="dxa"/>
            <w:tcBorders>
              <w:top w:val="nil"/>
              <w:left w:val="nil"/>
              <w:bottom w:val="single" w:sz="4" w:space="0" w:color="auto"/>
              <w:right w:val="nil"/>
            </w:tcBorders>
            <w:vAlign w:val="center"/>
          </w:tcPr>
          <w:p w14:paraId="70A1A8E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D93D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DOLGA POLJANA</w:t>
            </w:r>
          </w:p>
        </w:tc>
      </w:tr>
      <w:tr w:rsidR="00072A69" w:rsidRPr="00DC6DF9" w14:paraId="5C8633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2DCA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558</w:t>
            </w:r>
          </w:p>
        </w:tc>
        <w:tc>
          <w:tcPr>
            <w:tcW w:w="1036" w:type="dxa"/>
            <w:tcBorders>
              <w:top w:val="nil"/>
              <w:left w:val="nil"/>
              <w:bottom w:val="single" w:sz="4" w:space="0" w:color="auto"/>
              <w:right w:val="single" w:sz="4" w:space="0" w:color="auto"/>
            </w:tcBorders>
            <w:shd w:val="clear" w:color="auto" w:fill="auto"/>
            <w:noWrap/>
            <w:vAlign w:val="center"/>
            <w:hideMark/>
          </w:tcPr>
          <w:p w14:paraId="5DADA2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2482916000</w:t>
            </w:r>
          </w:p>
        </w:tc>
        <w:tc>
          <w:tcPr>
            <w:tcW w:w="1036" w:type="dxa"/>
            <w:tcBorders>
              <w:top w:val="nil"/>
              <w:left w:val="nil"/>
              <w:bottom w:val="single" w:sz="4" w:space="0" w:color="auto"/>
              <w:right w:val="single" w:sz="4" w:space="0" w:color="auto"/>
            </w:tcBorders>
            <w:shd w:val="clear" w:color="auto" w:fill="auto"/>
            <w:noWrap/>
            <w:vAlign w:val="center"/>
            <w:hideMark/>
          </w:tcPr>
          <w:p w14:paraId="693654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79207260</w:t>
            </w:r>
          </w:p>
        </w:tc>
        <w:tc>
          <w:tcPr>
            <w:tcW w:w="160" w:type="dxa"/>
            <w:tcBorders>
              <w:top w:val="nil"/>
              <w:left w:val="nil"/>
              <w:bottom w:val="single" w:sz="4" w:space="0" w:color="auto"/>
              <w:right w:val="nil"/>
            </w:tcBorders>
            <w:vAlign w:val="center"/>
          </w:tcPr>
          <w:p w14:paraId="644D13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E35D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DOLNJE BREZOVO</w:t>
            </w:r>
          </w:p>
        </w:tc>
      </w:tr>
      <w:tr w:rsidR="00072A69" w:rsidRPr="00DC6DF9" w14:paraId="777528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8557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559</w:t>
            </w:r>
          </w:p>
        </w:tc>
        <w:tc>
          <w:tcPr>
            <w:tcW w:w="1036" w:type="dxa"/>
            <w:tcBorders>
              <w:top w:val="nil"/>
              <w:left w:val="nil"/>
              <w:bottom w:val="single" w:sz="4" w:space="0" w:color="auto"/>
              <w:right w:val="single" w:sz="4" w:space="0" w:color="auto"/>
            </w:tcBorders>
            <w:shd w:val="clear" w:color="auto" w:fill="auto"/>
            <w:noWrap/>
            <w:vAlign w:val="center"/>
            <w:hideMark/>
          </w:tcPr>
          <w:p w14:paraId="4D8B62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5020522000</w:t>
            </w:r>
          </w:p>
        </w:tc>
        <w:tc>
          <w:tcPr>
            <w:tcW w:w="1036" w:type="dxa"/>
            <w:tcBorders>
              <w:top w:val="nil"/>
              <w:left w:val="nil"/>
              <w:bottom w:val="single" w:sz="4" w:space="0" w:color="auto"/>
              <w:right w:val="single" w:sz="4" w:space="0" w:color="auto"/>
            </w:tcBorders>
            <w:shd w:val="clear" w:color="auto" w:fill="auto"/>
            <w:noWrap/>
            <w:vAlign w:val="center"/>
            <w:hideMark/>
          </w:tcPr>
          <w:p w14:paraId="7754CA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42550599</w:t>
            </w:r>
          </w:p>
        </w:tc>
        <w:tc>
          <w:tcPr>
            <w:tcW w:w="160" w:type="dxa"/>
            <w:tcBorders>
              <w:top w:val="nil"/>
              <w:left w:val="nil"/>
              <w:bottom w:val="single" w:sz="4" w:space="0" w:color="auto"/>
              <w:right w:val="nil"/>
            </w:tcBorders>
            <w:vAlign w:val="center"/>
          </w:tcPr>
          <w:p w14:paraId="0AE4D50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CDA6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DORNBERK</w:t>
            </w:r>
          </w:p>
        </w:tc>
      </w:tr>
      <w:tr w:rsidR="00072A69" w:rsidRPr="00DC6DF9" w14:paraId="0A13A0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977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560</w:t>
            </w:r>
          </w:p>
        </w:tc>
        <w:tc>
          <w:tcPr>
            <w:tcW w:w="1036" w:type="dxa"/>
            <w:tcBorders>
              <w:top w:val="nil"/>
              <w:left w:val="nil"/>
              <w:bottom w:val="single" w:sz="4" w:space="0" w:color="auto"/>
              <w:right w:val="single" w:sz="4" w:space="0" w:color="auto"/>
            </w:tcBorders>
            <w:shd w:val="clear" w:color="auto" w:fill="auto"/>
            <w:noWrap/>
            <w:vAlign w:val="center"/>
            <w:hideMark/>
          </w:tcPr>
          <w:p w14:paraId="20B771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5181631000</w:t>
            </w:r>
          </w:p>
        </w:tc>
        <w:tc>
          <w:tcPr>
            <w:tcW w:w="1036" w:type="dxa"/>
            <w:tcBorders>
              <w:top w:val="nil"/>
              <w:left w:val="nil"/>
              <w:bottom w:val="single" w:sz="4" w:space="0" w:color="auto"/>
              <w:right w:val="single" w:sz="4" w:space="0" w:color="auto"/>
            </w:tcBorders>
            <w:shd w:val="clear" w:color="auto" w:fill="auto"/>
            <w:noWrap/>
            <w:vAlign w:val="center"/>
            <w:hideMark/>
          </w:tcPr>
          <w:p w14:paraId="3891A3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84222697</w:t>
            </w:r>
          </w:p>
        </w:tc>
        <w:tc>
          <w:tcPr>
            <w:tcW w:w="160" w:type="dxa"/>
            <w:tcBorders>
              <w:top w:val="nil"/>
              <w:left w:val="nil"/>
              <w:bottom w:val="single" w:sz="4" w:space="0" w:color="auto"/>
              <w:right w:val="nil"/>
            </w:tcBorders>
            <w:vAlign w:val="center"/>
          </w:tcPr>
          <w:p w14:paraId="4638D1F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DCB4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DR. JAGODIČ</w:t>
            </w:r>
          </w:p>
        </w:tc>
      </w:tr>
      <w:tr w:rsidR="00072A69" w:rsidRPr="00DC6DF9" w14:paraId="42F413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F9D3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w:t>
            </w:r>
          </w:p>
        </w:tc>
        <w:tc>
          <w:tcPr>
            <w:tcW w:w="1036" w:type="dxa"/>
            <w:tcBorders>
              <w:top w:val="nil"/>
              <w:left w:val="nil"/>
              <w:bottom w:val="single" w:sz="4" w:space="0" w:color="auto"/>
              <w:right w:val="single" w:sz="4" w:space="0" w:color="auto"/>
            </w:tcBorders>
            <w:shd w:val="clear" w:color="auto" w:fill="auto"/>
            <w:noWrap/>
            <w:vAlign w:val="center"/>
            <w:hideMark/>
          </w:tcPr>
          <w:p w14:paraId="6437EA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5020930000</w:t>
            </w:r>
          </w:p>
        </w:tc>
        <w:tc>
          <w:tcPr>
            <w:tcW w:w="1036" w:type="dxa"/>
            <w:tcBorders>
              <w:top w:val="nil"/>
              <w:left w:val="nil"/>
              <w:bottom w:val="single" w:sz="4" w:space="0" w:color="auto"/>
              <w:right w:val="single" w:sz="4" w:space="0" w:color="auto"/>
            </w:tcBorders>
            <w:shd w:val="clear" w:color="auto" w:fill="auto"/>
            <w:noWrap/>
            <w:vAlign w:val="center"/>
            <w:hideMark/>
          </w:tcPr>
          <w:p w14:paraId="502C20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34302719</w:t>
            </w:r>
          </w:p>
        </w:tc>
        <w:tc>
          <w:tcPr>
            <w:tcW w:w="160" w:type="dxa"/>
            <w:tcBorders>
              <w:top w:val="nil"/>
              <w:left w:val="nil"/>
              <w:bottom w:val="single" w:sz="4" w:space="0" w:color="auto"/>
              <w:right w:val="nil"/>
            </w:tcBorders>
            <w:vAlign w:val="center"/>
          </w:tcPr>
          <w:p w14:paraId="47F0F6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3193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DRAMLJE</w:t>
            </w:r>
          </w:p>
        </w:tc>
      </w:tr>
      <w:tr w:rsidR="00072A69" w:rsidRPr="00DC6DF9" w14:paraId="605A21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AD4C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w:t>
            </w:r>
          </w:p>
        </w:tc>
        <w:tc>
          <w:tcPr>
            <w:tcW w:w="1036" w:type="dxa"/>
            <w:tcBorders>
              <w:top w:val="nil"/>
              <w:left w:val="nil"/>
              <w:bottom w:val="single" w:sz="4" w:space="0" w:color="auto"/>
              <w:right w:val="single" w:sz="4" w:space="0" w:color="auto"/>
            </w:tcBorders>
            <w:shd w:val="clear" w:color="auto" w:fill="auto"/>
            <w:noWrap/>
            <w:vAlign w:val="center"/>
            <w:hideMark/>
          </w:tcPr>
          <w:p w14:paraId="1B4BA7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5021740000</w:t>
            </w:r>
          </w:p>
        </w:tc>
        <w:tc>
          <w:tcPr>
            <w:tcW w:w="1036" w:type="dxa"/>
            <w:tcBorders>
              <w:top w:val="nil"/>
              <w:left w:val="nil"/>
              <w:bottom w:val="single" w:sz="4" w:space="0" w:color="auto"/>
              <w:right w:val="single" w:sz="4" w:space="0" w:color="auto"/>
            </w:tcBorders>
            <w:shd w:val="clear" w:color="auto" w:fill="auto"/>
            <w:noWrap/>
            <w:vAlign w:val="center"/>
            <w:hideMark/>
          </w:tcPr>
          <w:p w14:paraId="4068A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74509730</w:t>
            </w:r>
          </w:p>
        </w:tc>
        <w:tc>
          <w:tcPr>
            <w:tcW w:w="160" w:type="dxa"/>
            <w:tcBorders>
              <w:top w:val="nil"/>
              <w:left w:val="nil"/>
              <w:bottom w:val="single" w:sz="4" w:space="0" w:color="auto"/>
              <w:right w:val="nil"/>
            </w:tcBorders>
            <w:vAlign w:val="center"/>
          </w:tcPr>
          <w:p w14:paraId="08FDD3F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BA40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DRAŽA VAS</w:t>
            </w:r>
          </w:p>
        </w:tc>
      </w:tr>
      <w:tr w:rsidR="00072A69" w:rsidRPr="00DC6DF9" w14:paraId="7699E4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C74E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w:t>
            </w:r>
          </w:p>
        </w:tc>
        <w:tc>
          <w:tcPr>
            <w:tcW w:w="1036" w:type="dxa"/>
            <w:tcBorders>
              <w:top w:val="nil"/>
              <w:left w:val="nil"/>
              <w:bottom w:val="single" w:sz="4" w:space="0" w:color="auto"/>
              <w:right w:val="single" w:sz="4" w:space="0" w:color="auto"/>
            </w:tcBorders>
            <w:shd w:val="clear" w:color="auto" w:fill="auto"/>
            <w:noWrap/>
            <w:vAlign w:val="center"/>
            <w:hideMark/>
          </w:tcPr>
          <w:p w14:paraId="052080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5016541000</w:t>
            </w:r>
          </w:p>
        </w:tc>
        <w:tc>
          <w:tcPr>
            <w:tcW w:w="1036" w:type="dxa"/>
            <w:tcBorders>
              <w:top w:val="nil"/>
              <w:left w:val="nil"/>
              <w:bottom w:val="single" w:sz="4" w:space="0" w:color="auto"/>
              <w:right w:val="single" w:sz="4" w:space="0" w:color="auto"/>
            </w:tcBorders>
            <w:shd w:val="clear" w:color="auto" w:fill="auto"/>
            <w:noWrap/>
            <w:vAlign w:val="center"/>
            <w:hideMark/>
          </w:tcPr>
          <w:p w14:paraId="4AE345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75781514</w:t>
            </w:r>
          </w:p>
        </w:tc>
        <w:tc>
          <w:tcPr>
            <w:tcW w:w="160" w:type="dxa"/>
            <w:tcBorders>
              <w:top w:val="nil"/>
              <w:left w:val="nil"/>
              <w:bottom w:val="single" w:sz="4" w:space="0" w:color="auto"/>
              <w:right w:val="nil"/>
            </w:tcBorders>
            <w:vAlign w:val="center"/>
          </w:tcPr>
          <w:p w14:paraId="0BF5B2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D572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GABERJE</w:t>
            </w:r>
          </w:p>
        </w:tc>
      </w:tr>
      <w:tr w:rsidR="00072A69" w:rsidRPr="00DC6DF9" w14:paraId="088794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DEB2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w:t>
            </w:r>
          </w:p>
        </w:tc>
        <w:tc>
          <w:tcPr>
            <w:tcW w:w="1036" w:type="dxa"/>
            <w:tcBorders>
              <w:top w:val="nil"/>
              <w:left w:val="nil"/>
              <w:bottom w:val="single" w:sz="4" w:space="0" w:color="auto"/>
              <w:right w:val="single" w:sz="4" w:space="0" w:color="auto"/>
            </w:tcBorders>
            <w:shd w:val="clear" w:color="auto" w:fill="auto"/>
            <w:noWrap/>
            <w:vAlign w:val="center"/>
            <w:hideMark/>
          </w:tcPr>
          <w:p w14:paraId="627B49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5019508000</w:t>
            </w:r>
          </w:p>
        </w:tc>
        <w:tc>
          <w:tcPr>
            <w:tcW w:w="1036" w:type="dxa"/>
            <w:tcBorders>
              <w:top w:val="nil"/>
              <w:left w:val="nil"/>
              <w:bottom w:val="single" w:sz="4" w:space="0" w:color="auto"/>
              <w:right w:val="single" w:sz="4" w:space="0" w:color="auto"/>
            </w:tcBorders>
            <w:shd w:val="clear" w:color="auto" w:fill="auto"/>
            <w:noWrap/>
            <w:vAlign w:val="center"/>
            <w:hideMark/>
          </w:tcPr>
          <w:p w14:paraId="2EADB2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82731489</w:t>
            </w:r>
          </w:p>
        </w:tc>
        <w:tc>
          <w:tcPr>
            <w:tcW w:w="160" w:type="dxa"/>
            <w:tcBorders>
              <w:top w:val="nil"/>
              <w:left w:val="nil"/>
              <w:bottom w:val="single" w:sz="4" w:space="0" w:color="auto"/>
              <w:right w:val="nil"/>
            </w:tcBorders>
            <w:vAlign w:val="center"/>
          </w:tcPr>
          <w:p w14:paraId="589F85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DCED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GLOBOKO</w:t>
            </w:r>
          </w:p>
        </w:tc>
      </w:tr>
      <w:tr w:rsidR="00072A69" w:rsidRPr="00DC6DF9" w14:paraId="57BF9C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5A1A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565</w:t>
            </w:r>
          </w:p>
        </w:tc>
        <w:tc>
          <w:tcPr>
            <w:tcW w:w="1036" w:type="dxa"/>
            <w:tcBorders>
              <w:top w:val="nil"/>
              <w:left w:val="nil"/>
              <w:bottom w:val="single" w:sz="4" w:space="0" w:color="auto"/>
              <w:right w:val="single" w:sz="4" w:space="0" w:color="auto"/>
            </w:tcBorders>
            <w:shd w:val="clear" w:color="auto" w:fill="auto"/>
            <w:noWrap/>
            <w:vAlign w:val="center"/>
            <w:hideMark/>
          </w:tcPr>
          <w:p w14:paraId="1FACB7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5019494000</w:t>
            </w:r>
          </w:p>
        </w:tc>
        <w:tc>
          <w:tcPr>
            <w:tcW w:w="1036" w:type="dxa"/>
            <w:tcBorders>
              <w:top w:val="nil"/>
              <w:left w:val="nil"/>
              <w:bottom w:val="single" w:sz="4" w:space="0" w:color="auto"/>
              <w:right w:val="single" w:sz="4" w:space="0" w:color="auto"/>
            </w:tcBorders>
            <w:shd w:val="clear" w:color="auto" w:fill="auto"/>
            <w:noWrap/>
            <w:vAlign w:val="center"/>
            <w:hideMark/>
          </w:tcPr>
          <w:p w14:paraId="3FF560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38348985</w:t>
            </w:r>
          </w:p>
        </w:tc>
        <w:tc>
          <w:tcPr>
            <w:tcW w:w="160" w:type="dxa"/>
            <w:tcBorders>
              <w:top w:val="nil"/>
              <w:left w:val="nil"/>
              <w:bottom w:val="single" w:sz="4" w:space="0" w:color="auto"/>
              <w:right w:val="nil"/>
            </w:tcBorders>
            <w:vAlign w:val="center"/>
          </w:tcPr>
          <w:p w14:paraId="439638D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0EE6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GOJAČE MALOVŠE</w:t>
            </w:r>
          </w:p>
        </w:tc>
      </w:tr>
      <w:tr w:rsidR="00072A69" w:rsidRPr="00DC6DF9" w14:paraId="0141F4E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E95D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566</w:t>
            </w:r>
          </w:p>
        </w:tc>
        <w:tc>
          <w:tcPr>
            <w:tcW w:w="1036" w:type="dxa"/>
            <w:tcBorders>
              <w:top w:val="nil"/>
              <w:left w:val="nil"/>
              <w:bottom w:val="single" w:sz="4" w:space="0" w:color="auto"/>
              <w:right w:val="single" w:sz="4" w:space="0" w:color="auto"/>
            </w:tcBorders>
            <w:shd w:val="clear" w:color="auto" w:fill="auto"/>
            <w:noWrap/>
            <w:vAlign w:val="center"/>
            <w:hideMark/>
          </w:tcPr>
          <w:p w14:paraId="4FA77A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5030366000</w:t>
            </w:r>
          </w:p>
        </w:tc>
        <w:tc>
          <w:tcPr>
            <w:tcW w:w="1036" w:type="dxa"/>
            <w:tcBorders>
              <w:top w:val="nil"/>
              <w:left w:val="nil"/>
              <w:bottom w:val="single" w:sz="4" w:space="0" w:color="auto"/>
              <w:right w:val="single" w:sz="4" w:space="0" w:color="auto"/>
            </w:tcBorders>
            <w:shd w:val="clear" w:color="auto" w:fill="auto"/>
            <w:noWrap/>
            <w:vAlign w:val="center"/>
            <w:hideMark/>
          </w:tcPr>
          <w:p w14:paraId="67186E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71748768</w:t>
            </w:r>
          </w:p>
        </w:tc>
        <w:tc>
          <w:tcPr>
            <w:tcW w:w="160" w:type="dxa"/>
            <w:tcBorders>
              <w:top w:val="nil"/>
              <w:left w:val="nil"/>
              <w:bottom w:val="single" w:sz="4" w:space="0" w:color="auto"/>
              <w:right w:val="nil"/>
            </w:tcBorders>
            <w:vAlign w:val="center"/>
          </w:tcPr>
          <w:p w14:paraId="2F4849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4175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GORA</w:t>
            </w:r>
          </w:p>
        </w:tc>
      </w:tr>
      <w:tr w:rsidR="00072A69" w:rsidRPr="00DC6DF9" w14:paraId="0E3C7B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5CAE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w:t>
            </w:r>
          </w:p>
        </w:tc>
        <w:tc>
          <w:tcPr>
            <w:tcW w:w="1036" w:type="dxa"/>
            <w:tcBorders>
              <w:top w:val="nil"/>
              <w:left w:val="nil"/>
              <w:bottom w:val="single" w:sz="4" w:space="0" w:color="auto"/>
              <w:right w:val="single" w:sz="4" w:space="0" w:color="auto"/>
            </w:tcBorders>
            <w:shd w:val="clear" w:color="auto" w:fill="auto"/>
            <w:noWrap/>
            <w:vAlign w:val="center"/>
            <w:hideMark/>
          </w:tcPr>
          <w:p w14:paraId="308E87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5030072000</w:t>
            </w:r>
          </w:p>
        </w:tc>
        <w:tc>
          <w:tcPr>
            <w:tcW w:w="1036" w:type="dxa"/>
            <w:tcBorders>
              <w:top w:val="nil"/>
              <w:left w:val="nil"/>
              <w:bottom w:val="single" w:sz="4" w:space="0" w:color="auto"/>
              <w:right w:val="single" w:sz="4" w:space="0" w:color="auto"/>
            </w:tcBorders>
            <w:shd w:val="clear" w:color="auto" w:fill="auto"/>
            <w:noWrap/>
            <w:vAlign w:val="center"/>
            <w:hideMark/>
          </w:tcPr>
          <w:p w14:paraId="66F041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49679554</w:t>
            </w:r>
          </w:p>
        </w:tc>
        <w:tc>
          <w:tcPr>
            <w:tcW w:w="160" w:type="dxa"/>
            <w:tcBorders>
              <w:top w:val="nil"/>
              <w:left w:val="nil"/>
              <w:bottom w:val="single" w:sz="4" w:space="0" w:color="auto"/>
              <w:right w:val="nil"/>
            </w:tcBorders>
            <w:vAlign w:val="center"/>
          </w:tcPr>
          <w:p w14:paraId="29FDED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804D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GORENJE</w:t>
            </w:r>
          </w:p>
        </w:tc>
      </w:tr>
      <w:tr w:rsidR="00072A69" w:rsidRPr="00DC6DF9" w14:paraId="3F1A30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5474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w:t>
            </w:r>
          </w:p>
        </w:tc>
        <w:tc>
          <w:tcPr>
            <w:tcW w:w="1036" w:type="dxa"/>
            <w:tcBorders>
              <w:top w:val="nil"/>
              <w:left w:val="nil"/>
              <w:bottom w:val="single" w:sz="4" w:space="0" w:color="auto"/>
              <w:right w:val="single" w:sz="4" w:space="0" w:color="auto"/>
            </w:tcBorders>
            <w:shd w:val="clear" w:color="auto" w:fill="auto"/>
            <w:noWrap/>
            <w:vAlign w:val="center"/>
            <w:hideMark/>
          </w:tcPr>
          <w:p w14:paraId="5FFF65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5027632000</w:t>
            </w:r>
          </w:p>
        </w:tc>
        <w:tc>
          <w:tcPr>
            <w:tcW w:w="1036" w:type="dxa"/>
            <w:tcBorders>
              <w:top w:val="nil"/>
              <w:left w:val="nil"/>
              <w:bottom w:val="single" w:sz="4" w:space="0" w:color="auto"/>
              <w:right w:val="single" w:sz="4" w:space="0" w:color="auto"/>
            </w:tcBorders>
            <w:shd w:val="clear" w:color="auto" w:fill="auto"/>
            <w:noWrap/>
            <w:vAlign w:val="center"/>
            <w:hideMark/>
          </w:tcPr>
          <w:p w14:paraId="63D56A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80209815</w:t>
            </w:r>
          </w:p>
        </w:tc>
        <w:tc>
          <w:tcPr>
            <w:tcW w:w="160" w:type="dxa"/>
            <w:tcBorders>
              <w:top w:val="nil"/>
              <w:left w:val="nil"/>
              <w:bottom w:val="single" w:sz="4" w:space="0" w:color="auto"/>
              <w:right w:val="nil"/>
            </w:tcBorders>
            <w:vAlign w:val="center"/>
          </w:tcPr>
          <w:p w14:paraId="0D5D36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F989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GORICA PRI SLIVNICI</w:t>
            </w:r>
          </w:p>
        </w:tc>
      </w:tr>
      <w:tr w:rsidR="00072A69" w:rsidRPr="00DC6DF9" w14:paraId="48078C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B637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569</w:t>
            </w:r>
          </w:p>
        </w:tc>
        <w:tc>
          <w:tcPr>
            <w:tcW w:w="1036" w:type="dxa"/>
            <w:tcBorders>
              <w:top w:val="nil"/>
              <w:left w:val="nil"/>
              <w:bottom w:val="single" w:sz="4" w:space="0" w:color="auto"/>
              <w:right w:val="single" w:sz="4" w:space="0" w:color="auto"/>
            </w:tcBorders>
            <w:shd w:val="clear" w:color="auto" w:fill="auto"/>
            <w:noWrap/>
            <w:vAlign w:val="center"/>
            <w:hideMark/>
          </w:tcPr>
          <w:p w14:paraId="6B73D3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5020549000</w:t>
            </w:r>
          </w:p>
        </w:tc>
        <w:tc>
          <w:tcPr>
            <w:tcW w:w="1036" w:type="dxa"/>
            <w:tcBorders>
              <w:top w:val="nil"/>
              <w:left w:val="nil"/>
              <w:bottom w:val="single" w:sz="4" w:space="0" w:color="auto"/>
              <w:right w:val="single" w:sz="4" w:space="0" w:color="auto"/>
            </w:tcBorders>
            <w:shd w:val="clear" w:color="auto" w:fill="auto"/>
            <w:noWrap/>
            <w:vAlign w:val="center"/>
            <w:hideMark/>
          </w:tcPr>
          <w:p w14:paraId="558C33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74722085</w:t>
            </w:r>
          </w:p>
        </w:tc>
        <w:tc>
          <w:tcPr>
            <w:tcW w:w="160" w:type="dxa"/>
            <w:tcBorders>
              <w:top w:val="nil"/>
              <w:left w:val="nil"/>
              <w:bottom w:val="single" w:sz="4" w:space="0" w:color="auto"/>
              <w:right w:val="nil"/>
            </w:tcBorders>
            <w:vAlign w:val="center"/>
          </w:tcPr>
          <w:p w14:paraId="7E9C6F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66AC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GRGAR</w:t>
            </w:r>
          </w:p>
        </w:tc>
      </w:tr>
      <w:tr w:rsidR="00072A69" w:rsidRPr="00DC6DF9" w14:paraId="1DC1DF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9976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w:t>
            </w:r>
          </w:p>
        </w:tc>
        <w:tc>
          <w:tcPr>
            <w:tcW w:w="1036" w:type="dxa"/>
            <w:tcBorders>
              <w:top w:val="nil"/>
              <w:left w:val="nil"/>
              <w:bottom w:val="single" w:sz="4" w:space="0" w:color="auto"/>
              <w:right w:val="single" w:sz="4" w:space="0" w:color="auto"/>
            </w:tcBorders>
            <w:shd w:val="clear" w:color="auto" w:fill="auto"/>
            <w:noWrap/>
            <w:vAlign w:val="center"/>
            <w:hideMark/>
          </w:tcPr>
          <w:p w14:paraId="6E6443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5032156000</w:t>
            </w:r>
          </w:p>
        </w:tc>
        <w:tc>
          <w:tcPr>
            <w:tcW w:w="1036" w:type="dxa"/>
            <w:tcBorders>
              <w:top w:val="nil"/>
              <w:left w:val="nil"/>
              <w:bottom w:val="single" w:sz="4" w:space="0" w:color="auto"/>
              <w:right w:val="single" w:sz="4" w:space="0" w:color="auto"/>
            </w:tcBorders>
            <w:shd w:val="clear" w:color="auto" w:fill="auto"/>
            <w:noWrap/>
            <w:vAlign w:val="center"/>
            <w:hideMark/>
          </w:tcPr>
          <w:p w14:paraId="176F09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89109996</w:t>
            </w:r>
          </w:p>
        </w:tc>
        <w:tc>
          <w:tcPr>
            <w:tcW w:w="160" w:type="dxa"/>
            <w:tcBorders>
              <w:top w:val="nil"/>
              <w:left w:val="nil"/>
              <w:bottom w:val="single" w:sz="4" w:space="0" w:color="auto"/>
              <w:right w:val="nil"/>
            </w:tcBorders>
            <w:vAlign w:val="center"/>
          </w:tcPr>
          <w:p w14:paraId="19BFB6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D58E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GRGARSKE RAVNE-BATE</w:t>
            </w:r>
          </w:p>
        </w:tc>
      </w:tr>
      <w:tr w:rsidR="00072A69" w:rsidRPr="00DC6DF9" w14:paraId="46A00A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A9A5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w:t>
            </w:r>
          </w:p>
        </w:tc>
        <w:tc>
          <w:tcPr>
            <w:tcW w:w="1036" w:type="dxa"/>
            <w:tcBorders>
              <w:top w:val="nil"/>
              <w:left w:val="nil"/>
              <w:bottom w:val="single" w:sz="4" w:space="0" w:color="auto"/>
              <w:right w:val="single" w:sz="4" w:space="0" w:color="auto"/>
            </w:tcBorders>
            <w:shd w:val="clear" w:color="auto" w:fill="auto"/>
            <w:noWrap/>
            <w:vAlign w:val="center"/>
            <w:hideMark/>
          </w:tcPr>
          <w:p w14:paraId="544A55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2254891000</w:t>
            </w:r>
          </w:p>
        </w:tc>
        <w:tc>
          <w:tcPr>
            <w:tcW w:w="1036" w:type="dxa"/>
            <w:tcBorders>
              <w:top w:val="nil"/>
              <w:left w:val="nil"/>
              <w:bottom w:val="single" w:sz="4" w:space="0" w:color="auto"/>
              <w:right w:val="single" w:sz="4" w:space="0" w:color="auto"/>
            </w:tcBorders>
            <w:shd w:val="clear" w:color="auto" w:fill="auto"/>
            <w:noWrap/>
            <w:vAlign w:val="center"/>
            <w:hideMark/>
          </w:tcPr>
          <w:p w14:paraId="42CB94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34185909</w:t>
            </w:r>
          </w:p>
        </w:tc>
        <w:tc>
          <w:tcPr>
            <w:tcW w:w="160" w:type="dxa"/>
            <w:tcBorders>
              <w:top w:val="nil"/>
              <w:left w:val="nil"/>
              <w:bottom w:val="single" w:sz="4" w:space="0" w:color="auto"/>
              <w:right w:val="nil"/>
            </w:tcBorders>
            <w:vAlign w:val="center"/>
          </w:tcPr>
          <w:p w14:paraId="1702A3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3621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GROBELNO</w:t>
            </w:r>
          </w:p>
        </w:tc>
      </w:tr>
      <w:tr w:rsidR="00072A69" w:rsidRPr="00DC6DF9" w14:paraId="5E980B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ADA1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w:t>
            </w:r>
          </w:p>
        </w:tc>
        <w:tc>
          <w:tcPr>
            <w:tcW w:w="1036" w:type="dxa"/>
            <w:tcBorders>
              <w:top w:val="nil"/>
              <w:left w:val="nil"/>
              <w:bottom w:val="single" w:sz="4" w:space="0" w:color="auto"/>
              <w:right w:val="single" w:sz="4" w:space="0" w:color="auto"/>
            </w:tcBorders>
            <w:shd w:val="clear" w:color="auto" w:fill="auto"/>
            <w:noWrap/>
            <w:vAlign w:val="center"/>
            <w:hideMark/>
          </w:tcPr>
          <w:p w14:paraId="14273D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1738011000</w:t>
            </w:r>
          </w:p>
        </w:tc>
        <w:tc>
          <w:tcPr>
            <w:tcW w:w="1036" w:type="dxa"/>
            <w:tcBorders>
              <w:top w:val="nil"/>
              <w:left w:val="nil"/>
              <w:bottom w:val="single" w:sz="4" w:space="0" w:color="auto"/>
              <w:right w:val="single" w:sz="4" w:space="0" w:color="auto"/>
            </w:tcBorders>
            <w:shd w:val="clear" w:color="auto" w:fill="auto"/>
            <w:noWrap/>
            <w:vAlign w:val="center"/>
            <w:hideMark/>
          </w:tcPr>
          <w:p w14:paraId="40679E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32806647</w:t>
            </w:r>
          </w:p>
        </w:tc>
        <w:tc>
          <w:tcPr>
            <w:tcW w:w="160" w:type="dxa"/>
            <w:tcBorders>
              <w:top w:val="nil"/>
              <w:left w:val="nil"/>
              <w:bottom w:val="single" w:sz="4" w:space="0" w:color="auto"/>
              <w:right w:val="nil"/>
            </w:tcBorders>
            <w:vAlign w:val="center"/>
          </w:tcPr>
          <w:p w14:paraId="623DFA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BE1E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HRASTJE</w:t>
            </w:r>
          </w:p>
        </w:tc>
      </w:tr>
      <w:tr w:rsidR="00072A69" w:rsidRPr="00DC6DF9" w14:paraId="7C5E35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0E2E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573</w:t>
            </w:r>
          </w:p>
        </w:tc>
        <w:tc>
          <w:tcPr>
            <w:tcW w:w="1036" w:type="dxa"/>
            <w:tcBorders>
              <w:top w:val="nil"/>
              <w:left w:val="nil"/>
              <w:bottom w:val="single" w:sz="4" w:space="0" w:color="auto"/>
              <w:right w:val="single" w:sz="4" w:space="0" w:color="auto"/>
            </w:tcBorders>
            <w:shd w:val="clear" w:color="auto" w:fill="auto"/>
            <w:noWrap/>
            <w:vAlign w:val="center"/>
            <w:hideMark/>
          </w:tcPr>
          <w:p w14:paraId="5D1A05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5019974000</w:t>
            </w:r>
          </w:p>
        </w:tc>
        <w:tc>
          <w:tcPr>
            <w:tcW w:w="1036" w:type="dxa"/>
            <w:tcBorders>
              <w:top w:val="nil"/>
              <w:left w:val="nil"/>
              <w:bottom w:val="single" w:sz="4" w:space="0" w:color="auto"/>
              <w:right w:val="single" w:sz="4" w:space="0" w:color="auto"/>
            </w:tcBorders>
            <w:shd w:val="clear" w:color="auto" w:fill="auto"/>
            <w:noWrap/>
            <w:vAlign w:val="center"/>
            <w:hideMark/>
          </w:tcPr>
          <w:p w14:paraId="4A4041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29608775</w:t>
            </w:r>
          </w:p>
        </w:tc>
        <w:tc>
          <w:tcPr>
            <w:tcW w:w="160" w:type="dxa"/>
            <w:tcBorders>
              <w:top w:val="nil"/>
              <w:left w:val="nil"/>
              <w:bottom w:val="single" w:sz="4" w:space="0" w:color="auto"/>
              <w:right w:val="nil"/>
            </w:tcBorders>
            <w:vAlign w:val="center"/>
          </w:tcPr>
          <w:p w14:paraId="1E0E4E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E925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HRVATINI</w:t>
            </w:r>
          </w:p>
        </w:tc>
      </w:tr>
      <w:tr w:rsidR="00072A69" w:rsidRPr="00DC6DF9" w14:paraId="7B89F8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2BBB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574</w:t>
            </w:r>
          </w:p>
        </w:tc>
        <w:tc>
          <w:tcPr>
            <w:tcW w:w="1036" w:type="dxa"/>
            <w:tcBorders>
              <w:top w:val="nil"/>
              <w:left w:val="nil"/>
              <w:bottom w:val="single" w:sz="4" w:space="0" w:color="auto"/>
              <w:right w:val="single" w:sz="4" w:space="0" w:color="auto"/>
            </w:tcBorders>
            <w:shd w:val="clear" w:color="auto" w:fill="auto"/>
            <w:noWrap/>
            <w:vAlign w:val="center"/>
            <w:hideMark/>
          </w:tcPr>
          <w:p w14:paraId="39D510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5181607000</w:t>
            </w:r>
          </w:p>
        </w:tc>
        <w:tc>
          <w:tcPr>
            <w:tcW w:w="1036" w:type="dxa"/>
            <w:tcBorders>
              <w:top w:val="nil"/>
              <w:left w:val="nil"/>
              <w:bottom w:val="single" w:sz="4" w:space="0" w:color="auto"/>
              <w:right w:val="single" w:sz="4" w:space="0" w:color="auto"/>
            </w:tcBorders>
            <w:shd w:val="clear" w:color="auto" w:fill="auto"/>
            <w:noWrap/>
            <w:vAlign w:val="center"/>
            <w:hideMark/>
          </w:tcPr>
          <w:p w14:paraId="3DF40C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41585372</w:t>
            </w:r>
          </w:p>
        </w:tc>
        <w:tc>
          <w:tcPr>
            <w:tcW w:w="160" w:type="dxa"/>
            <w:tcBorders>
              <w:top w:val="nil"/>
              <w:left w:val="nil"/>
              <w:bottom w:val="single" w:sz="4" w:space="0" w:color="auto"/>
              <w:right w:val="nil"/>
            </w:tcBorders>
            <w:vAlign w:val="center"/>
          </w:tcPr>
          <w:p w14:paraId="569369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2FF9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IMPOL</w:t>
            </w:r>
          </w:p>
        </w:tc>
      </w:tr>
      <w:tr w:rsidR="00072A69" w:rsidRPr="00DC6DF9" w14:paraId="4F1E3C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16D4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w:t>
            </w:r>
          </w:p>
        </w:tc>
        <w:tc>
          <w:tcPr>
            <w:tcW w:w="1036" w:type="dxa"/>
            <w:tcBorders>
              <w:top w:val="nil"/>
              <w:left w:val="nil"/>
              <w:bottom w:val="single" w:sz="4" w:space="0" w:color="auto"/>
              <w:right w:val="single" w:sz="4" w:space="0" w:color="auto"/>
            </w:tcBorders>
            <w:shd w:val="clear" w:color="auto" w:fill="auto"/>
            <w:noWrap/>
            <w:vAlign w:val="center"/>
            <w:hideMark/>
          </w:tcPr>
          <w:p w14:paraId="41DB6F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5020697000</w:t>
            </w:r>
          </w:p>
        </w:tc>
        <w:tc>
          <w:tcPr>
            <w:tcW w:w="1036" w:type="dxa"/>
            <w:tcBorders>
              <w:top w:val="nil"/>
              <w:left w:val="nil"/>
              <w:bottom w:val="single" w:sz="4" w:space="0" w:color="auto"/>
              <w:right w:val="single" w:sz="4" w:space="0" w:color="auto"/>
            </w:tcBorders>
            <w:shd w:val="clear" w:color="auto" w:fill="auto"/>
            <w:noWrap/>
            <w:vAlign w:val="center"/>
            <w:hideMark/>
          </w:tcPr>
          <w:p w14:paraId="1A5B1A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87735750</w:t>
            </w:r>
          </w:p>
        </w:tc>
        <w:tc>
          <w:tcPr>
            <w:tcW w:w="160" w:type="dxa"/>
            <w:tcBorders>
              <w:top w:val="nil"/>
              <w:left w:val="nil"/>
              <w:bottom w:val="single" w:sz="4" w:space="0" w:color="auto"/>
              <w:right w:val="nil"/>
            </w:tcBorders>
            <w:vAlign w:val="center"/>
          </w:tcPr>
          <w:p w14:paraId="3418577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E062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IVANJKOVCI</w:t>
            </w:r>
          </w:p>
        </w:tc>
      </w:tr>
      <w:tr w:rsidR="00072A69" w:rsidRPr="00DC6DF9" w14:paraId="55C9F64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105C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576</w:t>
            </w:r>
          </w:p>
        </w:tc>
        <w:tc>
          <w:tcPr>
            <w:tcW w:w="1036" w:type="dxa"/>
            <w:tcBorders>
              <w:top w:val="nil"/>
              <w:left w:val="nil"/>
              <w:bottom w:val="single" w:sz="4" w:space="0" w:color="auto"/>
              <w:right w:val="single" w:sz="4" w:space="0" w:color="auto"/>
            </w:tcBorders>
            <w:shd w:val="clear" w:color="auto" w:fill="auto"/>
            <w:noWrap/>
            <w:vAlign w:val="center"/>
            <w:hideMark/>
          </w:tcPr>
          <w:p w14:paraId="4CA6FE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5028655000</w:t>
            </w:r>
          </w:p>
        </w:tc>
        <w:tc>
          <w:tcPr>
            <w:tcW w:w="1036" w:type="dxa"/>
            <w:tcBorders>
              <w:top w:val="nil"/>
              <w:left w:val="nil"/>
              <w:bottom w:val="single" w:sz="4" w:space="0" w:color="auto"/>
              <w:right w:val="single" w:sz="4" w:space="0" w:color="auto"/>
            </w:tcBorders>
            <w:shd w:val="clear" w:color="auto" w:fill="auto"/>
            <w:noWrap/>
            <w:vAlign w:val="center"/>
            <w:hideMark/>
          </w:tcPr>
          <w:p w14:paraId="3D8B3B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60720212</w:t>
            </w:r>
          </w:p>
        </w:tc>
        <w:tc>
          <w:tcPr>
            <w:tcW w:w="160" w:type="dxa"/>
            <w:tcBorders>
              <w:top w:val="nil"/>
              <w:left w:val="nil"/>
              <w:bottom w:val="single" w:sz="4" w:space="0" w:color="auto"/>
              <w:right w:val="nil"/>
            </w:tcBorders>
            <w:vAlign w:val="center"/>
          </w:tcPr>
          <w:p w14:paraId="217561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3315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JESENICE NA DOLENJSKEM</w:t>
            </w:r>
          </w:p>
        </w:tc>
      </w:tr>
      <w:tr w:rsidR="00072A69" w:rsidRPr="00DC6DF9" w14:paraId="4A48DB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F9C9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w:t>
            </w:r>
          </w:p>
        </w:tc>
        <w:tc>
          <w:tcPr>
            <w:tcW w:w="1036" w:type="dxa"/>
            <w:tcBorders>
              <w:top w:val="nil"/>
              <w:left w:val="nil"/>
              <w:bottom w:val="single" w:sz="4" w:space="0" w:color="auto"/>
              <w:right w:val="single" w:sz="4" w:space="0" w:color="auto"/>
            </w:tcBorders>
            <w:shd w:val="clear" w:color="auto" w:fill="auto"/>
            <w:noWrap/>
            <w:vAlign w:val="center"/>
            <w:hideMark/>
          </w:tcPr>
          <w:p w14:paraId="6CA2C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5030323000</w:t>
            </w:r>
          </w:p>
        </w:tc>
        <w:tc>
          <w:tcPr>
            <w:tcW w:w="1036" w:type="dxa"/>
            <w:tcBorders>
              <w:top w:val="nil"/>
              <w:left w:val="nil"/>
              <w:bottom w:val="single" w:sz="4" w:space="0" w:color="auto"/>
              <w:right w:val="single" w:sz="4" w:space="0" w:color="auto"/>
            </w:tcBorders>
            <w:shd w:val="clear" w:color="auto" w:fill="auto"/>
            <w:noWrap/>
            <w:vAlign w:val="center"/>
            <w:hideMark/>
          </w:tcPr>
          <w:p w14:paraId="3BD004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23554282</w:t>
            </w:r>
          </w:p>
        </w:tc>
        <w:tc>
          <w:tcPr>
            <w:tcW w:w="160" w:type="dxa"/>
            <w:tcBorders>
              <w:top w:val="nil"/>
              <w:left w:val="nil"/>
              <w:bottom w:val="single" w:sz="4" w:space="0" w:color="auto"/>
              <w:right w:val="nil"/>
            </w:tcBorders>
            <w:vAlign w:val="center"/>
          </w:tcPr>
          <w:p w14:paraId="363D638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2108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JOŠT</w:t>
            </w:r>
          </w:p>
        </w:tc>
      </w:tr>
      <w:tr w:rsidR="00072A69" w:rsidRPr="00DC6DF9" w14:paraId="58ECD9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0945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578</w:t>
            </w:r>
          </w:p>
        </w:tc>
        <w:tc>
          <w:tcPr>
            <w:tcW w:w="1036" w:type="dxa"/>
            <w:tcBorders>
              <w:top w:val="nil"/>
              <w:left w:val="nil"/>
              <w:bottom w:val="single" w:sz="4" w:space="0" w:color="auto"/>
              <w:right w:val="single" w:sz="4" w:space="0" w:color="auto"/>
            </w:tcBorders>
            <w:shd w:val="clear" w:color="auto" w:fill="auto"/>
            <w:noWrap/>
            <w:vAlign w:val="center"/>
            <w:hideMark/>
          </w:tcPr>
          <w:p w14:paraId="46AA62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5020948000</w:t>
            </w:r>
          </w:p>
        </w:tc>
        <w:tc>
          <w:tcPr>
            <w:tcW w:w="1036" w:type="dxa"/>
            <w:tcBorders>
              <w:top w:val="nil"/>
              <w:left w:val="nil"/>
              <w:bottom w:val="single" w:sz="4" w:space="0" w:color="auto"/>
              <w:right w:val="single" w:sz="4" w:space="0" w:color="auto"/>
            </w:tcBorders>
            <w:shd w:val="clear" w:color="auto" w:fill="auto"/>
            <w:noWrap/>
            <w:vAlign w:val="center"/>
            <w:hideMark/>
          </w:tcPr>
          <w:p w14:paraId="117EA4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96646691</w:t>
            </w:r>
          </w:p>
        </w:tc>
        <w:tc>
          <w:tcPr>
            <w:tcW w:w="160" w:type="dxa"/>
            <w:tcBorders>
              <w:top w:val="nil"/>
              <w:left w:val="nil"/>
              <w:bottom w:val="single" w:sz="4" w:space="0" w:color="auto"/>
              <w:right w:val="nil"/>
            </w:tcBorders>
            <w:vAlign w:val="center"/>
          </w:tcPr>
          <w:p w14:paraId="426FBD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BB71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KALOBJE</w:t>
            </w:r>
          </w:p>
        </w:tc>
      </w:tr>
      <w:tr w:rsidR="00072A69" w:rsidRPr="00DC6DF9" w14:paraId="730DF1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6BDA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579</w:t>
            </w:r>
          </w:p>
        </w:tc>
        <w:tc>
          <w:tcPr>
            <w:tcW w:w="1036" w:type="dxa"/>
            <w:tcBorders>
              <w:top w:val="nil"/>
              <w:left w:val="nil"/>
              <w:bottom w:val="single" w:sz="4" w:space="0" w:color="auto"/>
              <w:right w:val="single" w:sz="4" w:space="0" w:color="auto"/>
            </w:tcBorders>
            <w:shd w:val="clear" w:color="auto" w:fill="auto"/>
            <w:noWrap/>
            <w:vAlign w:val="center"/>
            <w:hideMark/>
          </w:tcPr>
          <w:p w14:paraId="71ADEC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5028027000</w:t>
            </w:r>
          </w:p>
        </w:tc>
        <w:tc>
          <w:tcPr>
            <w:tcW w:w="1036" w:type="dxa"/>
            <w:tcBorders>
              <w:top w:val="nil"/>
              <w:left w:val="nil"/>
              <w:bottom w:val="single" w:sz="4" w:space="0" w:color="auto"/>
              <w:right w:val="single" w:sz="4" w:space="0" w:color="auto"/>
            </w:tcBorders>
            <w:shd w:val="clear" w:color="auto" w:fill="auto"/>
            <w:noWrap/>
            <w:vAlign w:val="center"/>
            <w:hideMark/>
          </w:tcPr>
          <w:p w14:paraId="385AEC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64560422</w:t>
            </w:r>
          </w:p>
        </w:tc>
        <w:tc>
          <w:tcPr>
            <w:tcW w:w="160" w:type="dxa"/>
            <w:tcBorders>
              <w:top w:val="nil"/>
              <w:left w:val="nil"/>
              <w:bottom w:val="single" w:sz="4" w:space="0" w:color="auto"/>
              <w:right w:val="nil"/>
            </w:tcBorders>
            <w:vAlign w:val="center"/>
          </w:tcPr>
          <w:p w14:paraId="131D637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7CC7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KAMNJE-POTOČE</w:t>
            </w:r>
          </w:p>
        </w:tc>
      </w:tr>
      <w:tr w:rsidR="00072A69" w:rsidRPr="00DC6DF9" w14:paraId="593CDE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FCC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w:t>
            </w:r>
          </w:p>
        </w:tc>
        <w:tc>
          <w:tcPr>
            <w:tcW w:w="1036" w:type="dxa"/>
            <w:tcBorders>
              <w:top w:val="nil"/>
              <w:left w:val="nil"/>
              <w:bottom w:val="single" w:sz="4" w:space="0" w:color="auto"/>
              <w:right w:val="single" w:sz="4" w:space="0" w:color="auto"/>
            </w:tcBorders>
            <w:shd w:val="clear" w:color="auto" w:fill="auto"/>
            <w:noWrap/>
            <w:vAlign w:val="center"/>
            <w:hideMark/>
          </w:tcPr>
          <w:p w14:paraId="1558A0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5029309000</w:t>
            </w:r>
          </w:p>
        </w:tc>
        <w:tc>
          <w:tcPr>
            <w:tcW w:w="1036" w:type="dxa"/>
            <w:tcBorders>
              <w:top w:val="nil"/>
              <w:left w:val="nil"/>
              <w:bottom w:val="single" w:sz="4" w:space="0" w:color="auto"/>
              <w:right w:val="single" w:sz="4" w:space="0" w:color="auto"/>
            </w:tcBorders>
            <w:shd w:val="clear" w:color="auto" w:fill="auto"/>
            <w:noWrap/>
            <w:vAlign w:val="center"/>
            <w:hideMark/>
          </w:tcPr>
          <w:p w14:paraId="041BB8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46446451</w:t>
            </w:r>
          </w:p>
        </w:tc>
        <w:tc>
          <w:tcPr>
            <w:tcW w:w="160" w:type="dxa"/>
            <w:tcBorders>
              <w:top w:val="nil"/>
              <w:left w:val="nil"/>
              <w:bottom w:val="single" w:sz="4" w:space="0" w:color="auto"/>
              <w:right w:val="nil"/>
            </w:tcBorders>
            <w:vAlign w:val="center"/>
          </w:tcPr>
          <w:p w14:paraId="367DE1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51BF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KAPELE</w:t>
            </w:r>
          </w:p>
        </w:tc>
      </w:tr>
      <w:tr w:rsidR="00072A69" w:rsidRPr="00DC6DF9" w14:paraId="310345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20B6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w:t>
            </w:r>
          </w:p>
        </w:tc>
        <w:tc>
          <w:tcPr>
            <w:tcW w:w="1036" w:type="dxa"/>
            <w:tcBorders>
              <w:top w:val="nil"/>
              <w:left w:val="nil"/>
              <w:bottom w:val="single" w:sz="4" w:space="0" w:color="auto"/>
              <w:right w:val="single" w:sz="4" w:space="0" w:color="auto"/>
            </w:tcBorders>
            <w:shd w:val="clear" w:color="auto" w:fill="auto"/>
            <w:noWrap/>
            <w:vAlign w:val="center"/>
            <w:hideMark/>
          </w:tcPr>
          <w:p w14:paraId="750820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5020883000</w:t>
            </w:r>
          </w:p>
        </w:tc>
        <w:tc>
          <w:tcPr>
            <w:tcW w:w="1036" w:type="dxa"/>
            <w:tcBorders>
              <w:top w:val="nil"/>
              <w:left w:val="nil"/>
              <w:bottom w:val="single" w:sz="4" w:space="0" w:color="auto"/>
              <w:right w:val="single" w:sz="4" w:space="0" w:color="auto"/>
            </w:tcBorders>
            <w:shd w:val="clear" w:color="auto" w:fill="auto"/>
            <w:noWrap/>
            <w:vAlign w:val="center"/>
            <w:hideMark/>
          </w:tcPr>
          <w:p w14:paraId="53DE5F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60915331</w:t>
            </w:r>
          </w:p>
        </w:tc>
        <w:tc>
          <w:tcPr>
            <w:tcW w:w="160" w:type="dxa"/>
            <w:tcBorders>
              <w:top w:val="nil"/>
              <w:left w:val="nil"/>
              <w:bottom w:val="single" w:sz="4" w:space="0" w:color="auto"/>
              <w:right w:val="nil"/>
            </w:tcBorders>
            <w:vAlign w:val="center"/>
          </w:tcPr>
          <w:p w14:paraId="14F5A5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D15D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KEBELJ</w:t>
            </w:r>
          </w:p>
        </w:tc>
      </w:tr>
      <w:tr w:rsidR="00072A69" w:rsidRPr="00DC6DF9" w14:paraId="3C4577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9424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w:t>
            </w:r>
          </w:p>
        </w:tc>
        <w:tc>
          <w:tcPr>
            <w:tcW w:w="1036" w:type="dxa"/>
            <w:tcBorders>
              <w:top w:val="nil"/>
              <w:left w:val="nil"/>
              <w:bottom w:val="single" w:sz="4" w:space="0" w:color="auto"/>
              <w:right w:val="single" w:sz="4" w:space="0" w:color="auto"/>
            </w:tcBorders>
            <w:shd w:val="clear" w:color="auto" w:fill="auto"/>
            <w:noWrap/>
            <w:vAlign w:val="center"/>
            <w:hideMark/>
          </w:tcPr>
          <w:p w14:paraId="7F44A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5030773000</w:t>
            </w:r>
          </w:p>
        </w:tc>
        <w:tc>
          <w:tcPr>
            <w:tcW w:w="1036" w:type="dxa"/>
            <w:tcBorders>
              <w:top w:val="nil"/>
              <w:left w:val="nil"/>
              <w:bottom w:val="single" w:sz="4" w:space="0" w:color="auto"/>
              <w:right w:val="single" w:sz="4" w:space="0" w:color="auto"/>
            </w:tcBorders>
            <w:shd w:val="clear" w:color="auto" w:fill="auto"/>
            <w:noWrap/>
            <w:vAlign w:val="center"/>
            <w:hideMark/>
          </w:tcPr>
          <w:p w14:paraId="070B01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16131185</w:t>
            </w:r>
          </w:p>
        </w:tc>
        <w:tc>
          <w:tcPr>
            <w:tcW w:w="160" w:type="dxa"/>
            <w:tcBorders>
              <w:top w:val="nil"/>
              <w:left w:val="nil"/>
              <w:bottom w:val="single" w:sz="4" w:space="0" w:color="auto"/>
              <w:right w:val="nil"/>
            </w:tcBorders>
            <w:vAlign w:val="center"/>
          </w:tcPr>
          <w:p w14:paraId="4C4D3C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2303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KNEŽA</w:t>
            </w:r>
          </w:p>
        </w:tc>
      </w:tr>
      <w:tr w:rsidR="00072A69" w:rsidRPr="00DC6DF9" w14:paraId="73EC76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12E6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583</w:t>
            </w:r>
          </w:p>
        </w:tc>
        <w:tc>
          <w:tcPr>
            <w:tcW w:w="1036" w:type="dxa"/>
            <w:tcBorders>
              <w:top w:val="nil"/>
              <w:left w:val="nil"/>
              <w:bottom w:val="single" w:sz="4" w:space="0" w:color="auto"/>
              <w:right w:val="single" w:sz="4" w:space="0" w:color="auto"/>
            </w:tcBorders>
            <w:shd w:val="clear" w:color="auto" w:fill="auto"/>
            <w:noWrap/>
            <w:vAlign w:val="center"/>
            <w:hideMark/>
          </w:tcPr>
          <w:p w14:paraId="002DC1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5021677000</w:t>
            </w:r>
          </w:p>
        </w:tc>
        <w:tc>
          <w:tcPr>
            <w:tcW w:w="1036" w:type="dxa"/>
            <w:tcBorders>
              <w:top w:val="nil"/>
              <w:left w:val="nil"/>
              <w:bottom w:val="single" w:sz="4" w:space="0" w:color="auto"/>
              <w:right w:val="single" w:sz="4" w:space="0" w:color="auto"/>
            </w:tcBorders>
            <w:shd w:val="clear" w:color="auto" w:fill="auto"/>
            <w:noWrap/>
            <w:vAlign w:val="center"/>
            <w:hideMark/>
          </w:tcPr>
          <w:p w14:paraId="7672D7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61866512</w:t>
            </w:r>
          </w:p>
        </w:tc>
        <w:tc>
          <w:tcPr>
            <w:tcW w:w="160" w:type="dxa"/>
            <w:tcBorders>
              <w:top w:val="nil"/>
              <w:left w:val="nil"/>
              <w:bottom w:val="single" w:sz="4" w:space="0" w:color="auto"/>
              <w:right w:val="nil"/>
            </w:tcBorders>
            <w:vAlign w:val="center"/>
          </w:tcPr>
          <w:p w14:paraId="2ED1C7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F0E0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KOG</w:t>
            </w:r>
          </w:p>
        </w:tc>
      </w:tr>
      <w:tr w:rsidR="00072A69" w:rsidRPr="00DC6DF9" w14:paraId="42C21E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8EEE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584</w:t>
            </w:r>
          </w:p>
        </w:tc>
        <w:tc>
          <w:tcPr>
            <w:tcW w:w="1036" w:type="dxa"/>
            <w:tcBorders>
              <w:top w:val="nil"/>
              <w:left w:val="nil"/>
              <w:bottom w:val="single" w:sz="4" w:space="0" w:color="auto"/>
              <w:right w:val="single" w:sz="4" w:space="0" w:color="auto"/>
            </w:tcBorders>
            <w:shd w:val="clear" w:color="auto" w:fill="auto"/>
            <w:noWrap/>
            <w:vAlign w:val="center"/>
            <w:hideMark/>
          </w:tcPr>
          <w:p w14:paraId="7356F4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5018978000</w:t>
            </w:r>
          </w:p>
        </w:tc>
        <w:tc>
          <w:tcPr>
            <w:tcW w:w="1036" w:type="dxa"/>
            <w:tcBorders>
              <w:top w:val="nil"/>
              <w:left w:val="nil"/>
              <w:bottom w:val="single" w:sz="4" w:space="0" w:color="auto"/>
              <w:right w:val="single" w:sz="4" w:space="0" w:color="auto"/>
            </w:tcBorders>
            <w:shd w:val="clear" w:color="auto" w:fill="auto"/>
            <w:noWrap/>
            <w:vAlign w:val="center"/>
            <w:hideMark/>
          </w:tcPr>
          <w:p w14:paraId="69E618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41179994</w:t>
            </w:r>
          </w:p>
        </w:tc>
        <w:tc>
          <w:tcPr>
            <w:tcW w:w="160" w:type="dxa"/>
            <w:tcBorders>
              <w:top w:val="nil"/>
              <w:left w:val="nil"/>
              <w:bottom w:val="single" w:sz="4" w:space="0" w:color="auto"/>
              <w:right w:val="nil"/>
            </w:tcBorders>
            <w:vAlign w:val="center"/>
          </w:tcPr>
          <w:p w14:paraId="3B3DC5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DB9A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KONJIŠKA VAS</w:t>
            </w:r>
          </w:p>
        </w:tc>
      </w:tr>
      <w:tr w:rsidR="00072A69" w:rsidRPr="00DC6DF9" w14:paraId="7351E4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0D69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w:t>
            </w:r>
          </w:p>
        </w:tc>
        <w:tc>
          <w:tcPr>
            <w:tcW w:w="1036" w:type="dxa"/>
            <w:tcBorders>
              <w:top w:val="nil"/>
              <w:left w:val="nil"/>
              <w:bottom w:val="single" w:sz="4" w:space="0" w:color="auto"/>
              <w:right w:val="single" w:sz="4" w:space="0" w:color="auto"/>
            </w:tcBorders>
            <w:shd w:val="clear" w:color="auto" w:fill="auto"/>
            <w:noWrap/>
            <w:vAlign w:val="center"/>
            <w:hideMark/>
          </w:tcPr>
          <w:p w14:paraId="198B13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5028531000</w:t>
            </w:r>
          </w:p>
        </w:tc>
        <w:tc>
          <w:tcPr>
            <w:tcW w:w="1036" w:type="dxa"/>
            <w:tcBorders>
              <w:top w:val="nil"/>
              <w:left w:val="nil"/>
              <w:bottom w:val="single" w:sz="4" w:space="0" w:color="auto"/>
              <w:right w:val="single" w:sz="4" w:space="0" w:color="auto"/>
            </w:tcBorders>
            <w:shd w:val="clear" w:color="auto" w:fill="auto"/>
            <w:noWrap/>
            <w:vAlign w:val="center"/>
            <w:hideMark/>
          </w:tcPr>
          <w:p w14:paraId="0774A3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65518888</w:t>
            </w:r>
          </w:p>
        </w:tc>
        <w:tc>
          <w:tcPr>
            <w:tcW w:w="160" w:type="dxa"/>
            <w:tcBorders>
              <w:top w:val="nil"/>
              <w:left w:val="nil"/>
              <w:bottom w:val="single" w:sz="4" w:space="0" w:color="auto"/>
              <w:right w:val="nil"/>
            </w:tcBorders>
            <w:vAlign w:val="center"/>
          </w:tcPr>
          <w:p w14:paraId="20B3FE9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3BC0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KOPER-SEMEDELA</w:t>
            </w:r>
          </w:p>
        </w:tc>
      </w:tr>
      <w:tr w:rsidR="00072A69" w:rsidRPr="00DC6DF9" w14:paraId="647703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C8FF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w:t>
            </w:r>
          </w:p>
        </w:tc>
        <w:tc>
          <w:tcPr>
            <w:tcW w:w="1036" w:type="dxa"/>
            <w:tcBorders>
              <w:top w:val="nil"/>
              <w:left w:val="nil"/>
              <w:bottom w:val="single" w:sz="4" w:space="0" w:color="auto"/>
              <w:right w:val="single" w:sz="4" w:space="0" w:color="auto"/>
            </w:tcBorders>
            <w:shd w:val="clear" w:color="auto" w:fill="auto"/>
            <w:noWrap/>
            <w:vAlign w:val="center"/>
            <w:hideMark/>
          </w:tcPr>
          <w:p w14:paraId="64FD53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5250099000</w:t>
            </w:r>
          </w:p>
        </w:tc>
        <w:tc>
          <w:tcPr>
            <w:tcW w:w="1036" w:type="dxa"/>
            <w:tcBorders>
              <w:top w:val="nil"/>
              <w:left w:val="nil"/>
              <w:bottom w:val="single" w:sz="4" w:space="0" w:color="auto"/>
              <w:right w:val="single" w:sz="4" w:space="0" w:color="auto"/>
            </w:tcBorders>
            <w:shd w:val="clear" w:color="auto" w:fill="auto"/>
            <w:noWrap/>
            <w:vAlign w:val="center"/>
            <w:hideMark/>
          </w:tcPr>
          <w:p w14:paraId="65704C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46094091</w:t>
            </w:r>
          </w:p>
        </w:tc>
        <w:tc>
          <w:tcPr>
            <w:tcW w:w="160" w:type="dxa"/>
            <w:tcBorders>
              <w:top w:val="nil"/>
              <w:left w:val="nil"/>
              <w:bottom w:val="single" w:sz="4" w:space="0" w:color="auto"/>
              <w:right w:val="nil"/>
            </w:tcBorders>
            <w:vAlign w:val="center"/>
          </w:tcPr>
          <w:p w14:paraId="2025E5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D8E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KOPER-ZA GRADOM</w:t>
            </w:r>
          </w:p>
        </w:tc>
      </w:tr>
      <w:tr w:rsidR="00072A69" w:rsidRPr="00DC6DF9" w14:paraId="49597A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C656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w:t>
            </w:r>
          </w:p>
        </w:tc>
        <w:tc>
          <w:tcPr>
            <w:tcW w:w="1036" w:type="dxa"/>
            <w:tcBorders>
              <w:top w:val="nil"/>
              <w:left w:val="nil"/>
              <w:bottom w:val="single" w:sz="4" w:space="0" w:color="auto"/>
              <w:right w:val="single" w:sz="4" w:space="0" w:color="auto"/>
            </w:tcBorders>
            <w:shd w:val="clear" w:color="auto" w:fill="auto"/>
            <w:noWrap/>
            <w:vAlign w:val="center"/>
            <w:hideMark/>
          </w:tcPr>
          <w:p w14:paraId="07E4AE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5027055000</w:t>
            </w:r>
          </w:p>
        </w:tc>
        <w:tc>
          <w:tcPr>
            <w:tcW w:w="1036" w:type="dxa"/>
            <w:tcBorders>
              <w:top w:val="nil"/>
              <w:left w:val="nil"/>
              <w:bottom w:val="single" w:sz="4" w:space="0" w:color="auto"/>
              <w:right w:val="single" w:sz="4" w:space="0" w:color="auto"/>
            </w:tcBorders>
            <w:shd w:val="clear" w:color="auto" w:fill="auto"/>
            <w:noWrap/>
            <w:vAlign w:val="center"/>
            <w:hideMark/>
          </w:tcPr>
          <w:p w14:paraId="6B0645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77308093</w:t>
            </w:r>
          </w:p>
        </w:tc>
        <w:tc>
          <w:tcPr>
            <w:tcW w:w="160" w:type="dxa"/>
            <w:tcBorders>
              <w:top w:val="nil"/>
              <w:left w:val="nil"/>
              <w:bottom w:val="single" w:sz="4" w:space="0" w:color="auto"/>
              <w:right w:val="nil"/>
            </w:tcBorders>
            <w:vAlign w:val="center"/>
          </w:tcPr>
          <w:p w14:paraId="6AAAEE8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8CDF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KOPRIVNICA</w:t>
            </w:r>
          </w:p>
        </w:tc>
      </w:tr>
      <w:tr w:rsidR="00072A69" w:rsidRPr="00DC6DF9" w14:paraId="70101C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B164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w:t>
            </w:r>
          </w:p>
        </w:tc>
        <w:tc>
          <w:tcPr>
            <w:tcW w:w="1036" w:type="dxa"/>
            <w:tcBorders>
              <w:top w:val="nil"/>
              <w:left w:val="nil"/>
              <w:bottom w:val="single" w:sz="4" w:space="0" w:color="auto"/>
              <w:right w:val="single" w:sz="4" w:space="0" w:color="auto"/>
            </w:tcBorders>
            <w:shd w:val="clear" w:color="auto" w:fill="auto"/>
            <w:noWrap/>
            <w:vAlign w:val="center"/>
            <w:hideMark/>
          </w:tcPr>
          <w:p w14:paraId="187971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5030102000</w:t>
            </w:r>
          </w:p>
        </w:tc>
        <w:tc>
          <w:tcPr>
            <w:tcW w:w="1036" w:type="dxa"/>
            <w:tcBorders>
              <w:top w:val="nil"/>
              <w:left w:val="nil"/>
              <w:bottom w:val="single" w:sz="4" w:space="0" w:color="auto"/>
              <w:right w:val="single" w:sz="4" w:space="0" w:color="auto"/>
            </w:tcBorders>
            <w:shd w:val="clear" w:color="auto" w:fill="auto"/>
            <w:noWrap/>
            <w:vAlign w:val="center"/>
            <w:hideMark/>
          </w:tcPr>
          <w:p w14:paraId="05FB65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76214753</w:t>
            </w:r>
          </w:p>
        </w:tc>
        <w:tc>
          <w:tcPr>
            <w:tcW w:w="160" w:type="dxa"/>
            <w:tcBorders>
              <w:top w:val="nil"/>
              <w:left w:val="nil"/>
              <w:bottom w:val="single" w:sz="4" w:space="0" w:color="auto"/>
              <w:right w:val="nil"/>
            </w:tcBorders>
            <w:vAlign w:val="center"/>
          </w:tcPr>
          <w:p w14:paraId="18707AA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1ED6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KRIŽE</w:t>
            </w:r>
          </w:p>
        </w:tc>
      </w:tr>
      <w:tr w:rsidR="00072A69" w:rsidRPr="00DC6DF9" w14:paraId="017BE1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1663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589</w:t>
            </w:r>
          </w:p>
        </w:tc>
        <w:tc>
          <w:tcPr>
            <w:tcW w:w="1036" w:type="dxa"/>
            <w:tcBorders>
              <w:top w:val="nil"/>
              <w:left w:val="nil"/>
              <w:bottom w:val="single" w:sz="4" w:space="0" w:color="auto"/>
              <w:right w:val="single" w:sz="4" w:space="0" w:color="auto"/>
            </w:tcBorders>
            <w:shd w:val="clear" w:color="auto" w:fill="auto"/>
            <w:noWrap/>
            <w:vAlign w:val="center"/>
            <w:hideMark/>
          </w:tcPr>
          <w:p w14:paraId="3704A3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5018811000</w:t>
            </w:r>
          </w:p>
        </w:tc>
        <w:tc>
          <w:tcPr>
            <w:tcW w:w="1036" w:type="dxa"/>
            <w:tcBorders>
              <w:top w:val="nil"/>
              <w:left w:val="nil"/>
              <w:bottom w:val="single" w:sz="4" w:space="0" w:color="auto"/>
              <w:right w:val="single" w:sz="4" w:space="0" w:color="auto"/>
            </w:tcBorders>
            <w:shd w:val="clear" w:color="auto" w:fill="auto"/>
            <w:noWrap/>
            <w:vAlign w:val="center"/>
            <w:hideMark/>
          </w:tcPr>
          <w:p w14:paraId="47FFC5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45552479</w:t>
            </w:r>
          </w:p>
        </w:tc>
        <w:tc>
          <w:tcPr>
            <w:tcW w:w="160" w:type="dxa"/>
            <w:tcBorders>
              <w:top w:val="nil"/>
              <w:left w:val="nil"/>
              <w:bottom w:val="single" w:sz="4" w:space="0" w:color="auto"/>
              <w:right w:val="nil"/>
            </w:tcBorders>
            <w:vAlign w:val="center"/>
          </w:tcPr>
          <w:p w14:paraId="3A41EA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D6B8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KRMELJ</w:t>
            </w:r>
          </w:p>
        </w:tc>
      </w:tr>
      <w:tr w:rsidR="00072A69" w:rsidRPr="00DC6DF9" w14:paraId="05DD31E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80BD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w:t>
            </w:r>
          </w:p>
        </w:tc>
        <w:tc>
          <w:tcPr>
            <w:tcW w:w="1036" w:type="dxa"/>
            <w:tcBorders>
              <w:top w:val="nil"/>
              <w:left w:val="nil"/>
              <w:bottom w:val="single" w:sz="4" w:space="0" w:color="auto"/>
              <w:right w:val="single" w:sz="4" w:space="0" w:color="auto"/>
            </w:tcBorders>
            <w:shd w:val="clear" w:color="auto" w:fill="auto"/>
            <w:noWrap/>
            <w:vAlign w:val="center"/>
            <w:hideMark/>
          </w:tcPr>
          <w:p w14:paraId="4DE4F5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5032296000</w:t>
            </w:r>
          </w:p>
        </w:tc>
        <w:tc>
          <w:tcPr>
            <w:tcW w:w="1036" w:type="dxa"/>
            <w:tcBorders>
              <w:top w:val="nil"/>
              <w:left w:val="nil"/>
              <w:bottom w:val="single" w:sz="4" w:space="0" w:color="auto"/>
              <w:right w:val="single" w:sz="4" w:space="0" w:color="auto"/>
            </w:tcBorders>
            <w:shd w:val="clear" w:color="auto" w:fill="auto"/>
            <w:noWrap/>
            <w:vAlign w:val="center"/>
            <w:hideMark/>
          </w:tcPr>
          <w:p w14:paraId="63AD28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85713619</w:t>
            </w:r>
          </w:p>
        </w:tc>
        <w:tc>
          <w:tcPr>
            <w:tcW w:w="160" w:type="dxa"/>
            <w:tcBorders>
              <w:top w:val="nil"/>
              <w:left w:val="nil"/>
              <w:bottom w:val="single" w:sz="4" w:space="0" w:color="auto"/>
              <w:right w:val="nil"/>
            </w:tcBorders>
            <w:vAlign w:val="center"/>
          </w:tcPr>
          <w:p w14:paraId="04E4A79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FE6E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KROG</w:t>
            </w:r>
          </w:p>
        </w:tc>
      </w:tr>
      <w:tr w:rsidR="00072A69" w:rsidRPr="00DC6DF9" w14:paraId="4919B4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CFC9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w:t>
            </w:r>
          </w:p>
        </w:tc>
        <w:tc>
          <w:tcPr>
            <w:tcW w:w="1036" w:type="dxa"/>
            <w:tcBorders>
              <w:top w:val="nil"/>
              <w:left w:val="nil"/>
              <w:bottom w:val="single" w:sz="4" w:space="0" w:color="auto"/>
              <w:right w:val="single" w:sz="4" w:space="0" w:color="auto"/>
            </w:tcBorders>
            <w:shd w:val="clear" w:color="auto" w:fill="auto"/>
            <w:noWrap/>
            <w:vAlign w:val="center"/>
            <w:hideMark/>
          </w:tcPr>
          <w:p w14:paraId="6B74EC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5018234000</w:t>
            </w:r>
          </w:p>
        </w:tc>
        <w:tc>
          <w:tcPr>
            <w:tcW w:w="1036" w:type="dxa"/>
            <w:tcBorders>
              <w:top w:val="nil"/>
              <w:left w:val="nil"/>
              <w:bottom w:val="single" w:sz="4" w:space="0" w:color="auto"/>
              <w:right w:val="single" w:sz="4" w:space="0" w:color="auto"/>
            </w:tcBorders>
            <w:shd w:val="clear" w:color="auto" w:fill="auto"/>
            <w:noWrap/>
            <w:vAlign w:val="center"/>
            <w:hideMark/>
          </w:tcPr>
          <w:p w14:paraId="7FABBE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91634202</w:t>
            </w:r>
          </w:p>
        </w:tc>
        <w:tc>
          <w:tcPr>
            <w:tcW w:w="160" w:type="dxa"/>
            <w:tcBorders>
              <w:top w:val="nil"/>
              <w:left w:val="nil"/>
              <w:bottom w:val="single" w:sz="4" w:space="0" w:color="auto"/>
              <w:right w:val="nil"/>
            </w:tcBorders>
            <w:vAlign w:val="center"/>
          </w:tcPr>
          <w:p w14:paraId="7AC916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624C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KROMBERK - LOKE</w:t>
            </w:r>
          </w:p>
        </w:tc>
      </w:tr>
      <w:tr w:rsidR="00072A69" w:rsidRPr="00DC6DF9" w14:paraId="0F79E0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24FB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w:t>
            </w:r>
          </w:p>
        </w:tc>
        <w:tc>
          <w:tcPr>
            <w:tcW w:w="1036" w:type="dxa"/>
            <w:tcBorders>
              <w:top w:val="nil"/>
              <w:left w:val="nil"/>
              <w:bottom w:val="single" w:sz="4" w:space="0" w:color="auto"/>
              <w:right w:val="single" w:sz="4" w:space="0" w:color="auto"/>
            </w:tcBorders>
            <w:shd w:val="clear" w:color="auto" w:fill="auto"/>
            <w:noWrap/>
            <w:vAlign w:val="center"/>
            <w:hideMark/>
          </w:tcPr>
          <w:p w14:paraId="77C6C3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5185858000</w:t>
            </w:r>
          </w:p>
        </w:tc>
        <w:tc>
          <w:tcPr>
            <w:tcW w:w="1036" w:type="dxa"/>
            <w:tcBorders>
              <w:top w:val="nil"/>
              <w:left w:val="nil"/>
              <w:bottom w:val="single" w:sz="4" w:space="0" w:color="auto"/>
              <w:right w:val="single" w:sz="4" w:space="0" w:color="auto"/>
            </w:tcBorders>
            <w:shd w:val="clear" w:color="auto" w:fill="auto"/>
            <w:noWrap/>
            <w:vAlign w:val="center"/>
            <w:hideMark/>
          </w:tcPr>
          <w:p w14:paraId="1F3B61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54065151</w:t>
            </w:r>
          </w:p>
        </w:tc>
        <w:tc>
          <w:tcPr>
            <w:tcW w:w="160" w:type="dxa"/>
            <w:tcBorders>
              <w:top w:val="nil"/>
              <w:left w:val="nil"/>
              <w:bottom w:val="single" w:sz="4" w:space="0" w:color="auto"/>
              <w:right w:val="nil"/>
            </w:tcBorders>
            <w:vAlign w:val="center"/>
          </w:tcPr>
          <w:p w14:paraId="4412B4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9808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KRŠKO POLJE</w:t>
            </w:r>
          </w:p>
        </w:tc>
      </w:tr>
      <w:tr w:rsidR="00072A69" w:rsidRPr="00DC6DF9" w14:paraId="4A0D85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B0B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593</w:t>
            </w:r>
          </w:p>
        </w:tc>
        <w:tc>
          <w:tcPr>
            <w:tcW w:w="1036" w:type="dxa"/>
            <w:tcBorders>
              <w:top w:val="nil"/>
              <w:left w:val="nil"/>
              <w:bottom w:val="single" w:sz="4" w:space="0" w:color="auto"/>
              <w:right w:val="single" w:sz="4" w:space="0" w:color="auto"/>
            </w:tcBorders>
            <w:shd w:val="clear" w:color="auto" w:fill="auto"/>
            <w:noWrap/>
            <w:vAlign w:val="center"/>
            <w:hideMark/>
          </w:tcPr>
          <w:p w14:paraId="0469AD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1750925000</w:t>
            </w:r>
          </w:p>
        </w:tc>
        <w:tc>
          <w:tcPr>
            <w:tcW w:w="1036" w:type="dxa"/>
            <w:tcBorders>
              <w:top w:val="nil"/>
              <w:left w:val="nil"/>
              <w:bottom w:val="single" w:sz="4" w:space="0" w:color="auto"/>
              <w:right w:val="single" w:sz="4" w:space="0" w:color="auto"/>
            </w:tcBorders>
            <w:shd w:val="clear" w:color="auto" w:fill="auto"/>
            <w:noWrap/>
            <w:vAlign w:val="center"/>
            <w:hideMark/>
          </w:tcPr>
          <w:p w14:paraId="652F1A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94361231</w:t>
            </w:r>
          </w:p>
        </w:tc>
        <w:tc>
          <w:tcPr>
            <w:tcW w:w="160" w:type="dxa"/>
            <w:tcBorders>
              <w:top w:val="nil"/>
              <w:left w:val="nil"/>
              <w:bottom w:val="single" w:sz="4" w:space="0" w:color="auto"/>
              <w:right w:val="nil"/>
            </w:tcBorders>
            <w:vAlign w:val="center"/>
          </w:tcPr>
          <w:p w14:paraId="5B0703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3011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KUPŠINCI</w:t>
            </w:r>
          </w:p>
        </w:tc>
      </w:tr>
      <w:tr w:rsidR="00072A69" w:rsidRPr="00DC6DF9" w14:paraId="0EACA7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C4F5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w:t>
            </w:r>
          </w:p>
        </w:tc>
        <w:tc>
          <w:tcPr>
            <w:tcW w:w="1036" w:type="dxa"/>
            <w:tcBorders>
              <w:top w:val="nil"/>
              <w:left w:val="nil"/>
              <w:bottom w:val="single" w:sz="4" w:space="0" w:color="auto"/>
              <w:right w:val="single" w:sz="4" w:space="0" w:color="auto"/>
            </w:tcBorders>
            <w:shd w:val="clear" w:color="auto" w:fill="auto"/>
            <w:noWrap/>
            <w:vAlign w:val="center"/>
            <w:hideMark/>
          </w:tcPr>
          <w:p w14:paraId="36186F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5020891000</w:t>
            </w:r>
          </w:p>
        </w:tc>
        <w:tc>
          <w:tcPr>
            <w:tcW w:w="1036" w:type="dxa"/>
            <w:tcBorders>
              <w:top w:val="nil"/>
              <w:left w:val="nil"/>
              <w:bottom w:val="single" w:sz="4" w:space="0" w:color="auto"/>
              <w:right w:val="single" w:sz="4" w:space="0" w:color="auto"/>
            </w:tcBorders>
            <w:shd w:val="clear" w:color="auto" w:fill="auto"/>
            <w:noWrap/>
            <w:vAlign w:val="center"/>
            <w:hideMark/>
          </w:tcPr>
          <w:p w14:paraId="62823F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46631569</w:t>
            </w:r>
          </w:p>
        </w:tc>
        <w:tc>
          <w:tcPr>
            <w:tcW w:w="160" w:type="dxa"/>
            <w:tcBorders>
              <w:top w:val="nil"/>
              <w:left w:val="nil"/>
              <w:bottom w:val="single" w:sz="4" w:space="0" w:color="auto"/>
              <w:right w:val="nil"/>
            </w:tcBorders>
            <w:vAlign w:val="center"/>
          </w:tcPr>
          <w:p w14:paraId="39CA2B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F485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LAPORJE</w:t>
            </w:r>
          </w:p>
        </w:tc>
      </w:tr>
      <w:tr w:rsidR="00072A69" w:rsidRPr="00DC6DF9" w14:paraId="368213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92C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w:t>
            </w:r>
          </w:p>
        </w:tc>
        <w:tc>
          <w:tcPr>
            <w:tcW w:w="1036" w:type="dxa"/>
            <w:tcBorders>
              <w:top w:val="nil"/>
              <w:left w:val="nil"/>
              <w:bottom w:val="single" w:sz="4" w:space="0" w:color="auto"/>
              <w:right w:val="single" w:sz="4" w:space="0" w:color="auto"/>
            </w:tcBorders>
            <w:shd w:val="clear" w:color="auto" w:fill="auto"/>
            <w:noWrap/>
            <w:vAlign w:val="center"/>
            <w:hideMark/>
          </w:tcPr>
          <w:p w14:paraId="69A4C1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5006708000</w:t>
            </w:r>
          </w:p>
        </w:tc>
        <w:tc>
          <w:tcPr>
            <w:tcW w:w="1036" w:type="dxa"/>
            <w:tcBorders>
              <w:top w:val="nil"/>
              <w:left w:val="nil"/>
              <w:bottom w:val="single" w:sz="4" w:space="0" w:color="auto"/>
              <w:right w:val="single" w:sz="4" w:space="0" w:color="auto"/>
            </w:tcBorders>
            <w:shd w:val="clear" w:color="auto" w:fill="auto"/>
            <w:noWrap/>
            <w:vAlign w:val="center"/>
            <w:hideMark/>
          </w:tcPr>
          <w:p w14:paraId="7090A8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55373372</w:t>
            </w:r>
          </w:p>
        </w:tc>
        <w:tc>
          <w:tcPr>
            <w:tcW w:w="160" w:type="dxa"/>
            <w:tcBorders>
              <w:top w:val="nil"/>
              <w:left w:val="nil"/>
              <w:bottom w:val="single" w:sz="4" w:space="0" w:color="auto"/>
              <w:right w:val="nil"/>
            </w:tcBorders>
            <w:vAlign w:val="center"/>
          </w:tcPr>
          <w:p w14:paraId="788C285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F419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LESKOVEC - STARI LOG</w:t>
            </w:r>
          </w:p>
        </w:tc>
      </w:tr>
      <w:tr w:rsidR="00072A69" w:rsidRPr="00DC6DF9" w14:paraId="3B3CF2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386E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w:t>
            </w:r>
          </w:p>
        </w:tc>
        <w:tc>
          <w:tcPr>
            <w:tcW w:w="1036" w:type="dxa"/>
            <w:tcBorders>
              <w:top w:val="nil"/>
              <w:left w:val="nil"/>
              <w:bottom w:val="single" w:sz="4" w:space="0" w:color="auto"/>
              <w:right w:val="single" w:sz="4" w:space="0" w:color="auto"/>
            </w:tcBorders>
            <w:shd w:val="clear" w:color="auto" w:fill="auto"/>
            <w:noWrap/>
            <w:vAlign w:val="center"/>
            <w:hideMark/>
          </w:tcPr>
          <w:p w14:paraId="0B0210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5028744000</w:t>
            </w:r>
          </w:p>
        </w:tc>
        <w:tc>
          <w:tcPr>
            <w:tcW w:w="1036" w:type="dxa"/>
            <w:tcBorders>
              <w:top w:val="nil"/>
              <w:left w:val="nil"/>
              <w:bottom w:val="single" w:sz="4" w:space="0" w:color="auto"/>
              <w:right w:val="single" w:sz="4" w:space="0" w:color="auto"/>
            </w:tcBorders>
            <w:shd w:val="clear" w:color="auto" w:fill="auto"/>
            <w:noWrap/>
            <w:vAlign w:val="center"/>
            <w:hideMark/>
          </w:tcPr>
          <w:p w14:paraId="694ED7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54809444</w:t>
            </w:r>
          </w:p>
        </w:tc>
        <w:tc>
          <w:tcPr>
            <w:tcW w:w="160" w:type="dxa"/>
            <w:tcBorders>
              <w:top w:val="nil"/>
              <w:left w:val="nil"/>
              <w:bottom w:val="single" w:sz="4" w:space="0" w:color="auto"/>
              <w:right w:val="nil"/>
            </w:tcBorders>
            <w:vAlign w:val="center"/>
          </w:tcPr>
          <w:p w14:paraId="10A611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F140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LESKOVEC PRI KRŠKEM</w:t>
            </w:r>
          </w:p>
        </w:tc>
      </w:tr>
      <w:tr w:rsidR="00072A69" w:rsidRPr="00DC6DF9" w14:paraId="0587A8D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1E2D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597</w:t>
            </w:r>
          </w:p>
        </w:tc>
        <w:tc>
          <w:tcPr>
            <w:tcW w:w="1036" w:type="dxa"/>
            <w:tcBorders>
              <w:top w:val="nil"/>
              <w:left w:val="nil"/>
              <w:bottom w:val="single" w:sz="4" w:space="0" w:color="auto"/>
              <w:right w:val="single" w:sz="4" w:space="0" w:color="auto"/>
            </w:tcBorders>
            <w:shd w:val="clear" w:color="auto" w:fill="auto"/>
            <w:noWrap/>
            <w:vAlign w:val="center"/>
            <w:hideMark/>
          </w:tcPr>
          <w:p w14:paraId="1CB991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5020913000</w:t>
            </w:r>
          </w:p>
        </w:tc>
        <w:tc>
          <w:tcPr>
            <w:tcW w:w="1036" w:type="dxa"/>
            <w:tcBorders>
              <w:top w:val="nil"/>
              <w:left w:val="nil"/>
              <w:bottom w:val="single" w:sz="4" w:space="0" w:color="auto"/>
              <w:right w:val="single" w:sz="4" w:space="0" w:color="auto"/>
            </w:tcBorders>
            <w:shd w:val="clear" w:color="auto" w:fill="auto"/>
            <w:noWrap/>
            <w:vAlign w:val="center"/>
            <w:hideMark/>
          </w:tcPr>
          <w:p w14:paraId="15FE02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19775172</w:t>
            </w:r>
          </w:p>
        </w:tc>
        <w:tc>
          <w:tcPr>
            <w:tcW w:w="160" w:type="dxa"/>
            <w:tcBorders>
              <w:top w:val="nil"/>
              <w:left w:val="nil"/>
              <w:bottom w:val="single" w:sz="4" w:space="0" w:color="auto"/>
              <w:right w:val="nil"/>
            </w:tcBorders>
            <w:vAlign w:val="center"/>
          </w:tcPr>
          <w:p w14:paraId="4CAD08B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3536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LOČE</w:t>
            </w:r>
          </w:p>
        </w:tc>
      </w:tr>
      <w:tr w:rsidR="00072A69" w:rsidRPr="00DC6DF9" w14:paraId="1DB967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6401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w:t>
            </w:r>
          </w:p>
        </w:tc>
        <w:tc>
          <w:tcPr>
            <w:tcW w:w="1036" w:type="dxa"/>
            <w:tcBorders>
              <w:top w:val="nil"/>
              <w:left w:val="nil"/>
              <w:bottom w:val="single" w:sz="4" w:space="0" w:color="auto"/>
              <w:right w:val="single" w:sz="4" w:space="0" w:color="auto"/>
            </w:tcBorders>
            <w:shd w:val="clear" w:color="auto" w:fill="auto"/>
            <w:noWrap/>
            <w:vAlign w:val="center"/>
            <w:hideMark/>
          </w:tcPr>
          <w:p w14:paraId="578E6F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5020794000</w:t>
            </w:r>
          </w:p>
        </w:tc>
        <w:tc>
          <w:tcPr>
            <w:tcW w:w="1036" w:type="dxa"/>
            <w:tcBorders>
              <w:top w:val="nil"/>
              <w:left w:val="nil"/>
              <w:bottom w:val="single" w:sz="4" w:space="0" w:color="auto"/>
              <w:right w:val="single" w:sz="4" w:space="0" w:color="auto"/>
            </w:tcBorders>
            <w:shd w:val="clear" w:color="auto" w:fill="auto"/>
            <w:noWrap/>
            <w:vAlign w:val="center"/>
            <w:hideMark/>
          </w:tcPr>
          <w:p w14:paraId="0E4BB1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59522259</w:t>
            </w:r>
          </w:p>
        </w:tc>
        <w:tc>
          <w:tcPr>
            <w:tcW w:w="160" w:type="dxa"/>
            <w:tcBorders>
              <w:top w:val="nil"/>
              <w:left w:val="nil"/>
              <w:bottom w:val="single" w:sz="4" w:space="0" w:color="auto"/>
              <w:right w:val="nil"/>
            </w:tcBorders>
            <w:vAlign w:val="center"/>
          </w:tcPr>
          <w:p w14:paraId="08E7E59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5E8F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LOKA PRI ZIDANEM MOSTU</w:t>
            </w:r>
          </w:p>
        </w:tc>
      </w:tr>
      <w:tr w:rsidR="00072A69" w:rsidRPr="00DC6DF9" w14:paraId="37EFC1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C8AE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w:t>
            </w:r>
          </w:p>
        </w:tc>
        <w:tc>
          <w:tcPr>
            <w:tcW w:w="1036" w:type="dxa"/>
            <w:tcBorders>
              <w:top w:val="nil"/>
              <w:left w:val="nil"/>
              <w:bottom w:val="single" w:sz="4" w:space="0" w:color="auto"/>
              <w:right w:val="single" w:sz="4" w:space="0" w:color="auto"/>
            </w:tcBorders>
            <w:shd w:val="clear" w:color="auto" w:fill="auto"/>
            <w:noWrap/>
            <w:vAlign w:val="center"/>
            <w:hideMark/>
          </w:tcPr>
          <w:p w14:paraId="69CCF5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5020956000</w:t>
            </w:r>
          </w:p>
        </w:tc>
        <w:tc>
          <w:tcPr>
            <w:tcW w:w="1036" w:type="dxa"/>
            <w:tcBorders>
              <w:top w:val="nil"/>
              <w:left w:val="nil"/>
              <w:bottom w:val="single" w:sz="4" w:space="0" w:color="auto"/>
              <w:right w:val="single" w:sz="4" w:space="0" w:color="auto"/>
            </w:tcBorders>
            <w:shd w:val="clear" w:color="auto" w:fill="auto"/>
            <w:noWrap/>
            <w:vAlign w:val="center"/>
            <w:hideMark/>
          </w:tcPr>
          <w:p w14:paraId="76EEC9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19695624</w:t>
            </w:r>
          </w:p>
        </w:tc>
        <w:tc>
          <w:tcPr>
            <w:tcW w:w="160" w:type="dxa"/>
            <w:tcBorders>
              <w:top w:val="nil"/>
              <w:left w:val="nil"/>
              <w:bottom w:val="single" w:sz="4" w:space="0" w:color="auto"/>
              <w:right w:val="nil"/>
            </w:tcBorders>
            <w:vAlign w:val="center"/>
          </w:tcPr>
          <w:p w14:paraId="41AAB6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224C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LOKA PRI ŽUSMU</w:t>
            </w:r>
          </w:p>
        </w:tc>
      </w:tr>
      <w:tr w:rsidR="00072A69" w:rsidRPr="00DC6DF9" w14:paraId="232EA6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E7CB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600</w:t>
            </w:r>
          </w:p>
        </w:tc>
        <w:tc>
          <w:tcPr>
            <w:tcW w:w="1036" w:type="dxa"/>
            <w:tcBorders>
              <w:top w:val="nil"/>
              <w:left w:val="nil"/>
              <w:bottom w:val="single" w:sz="4" w:space="0" w:color="auto"/>
              <w:right w:val="single" w:sz="4" w:space="0" w:color="auto"/>
            </w:tcBorders>
            <w:shd w:val="clear" w:color="auto" w:fill="auto"/>
            <w:noWrap/>
            <w:vAlign w:val="center"/>
            <w:hideMark/>
          </w:tcPr>
          <w:p w14:paraId="6E6A1F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5026652000</w:t>
            </w:r>
          </w:p>
        </w:tc>
        <w:tc>
          <w:tcPr>
            <w:tcW w:w="1036" w:type="dxa"/>
            <w:tcBorders>
              <w:top w:val="nil"/>
              <w:left w:val="nil"/>
              <w:bottom w:val="single" w:sz="4" w:space="0" w:color="auto"/>
              <w:right w:val="single" w:sz="4" w:space="0" w:color="auto"/>
            </w:tcBorders>
            <w:shd w:val="clear" w:color="auto" w:fill="auto"/>
            <w:noWrap/>
            <w:vAlign w:val="center"/>
            <w:hideMark/>
          </w:tcPr>
          <w:p w14:paraId="783C5E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94202613</w:t>
            </w:r>
          </w:p>
        </w:tc>
        <w:tc>
          <w:tcPr>
            <w:tcW w:w="160" w:type="dxa"/>
            <w:tcBorders>
              <w:top w:val="nil"/>
              <w:left w:val="nil"/>
              <w:bottom w:val="single" w:sz="4" w:space="0" w:color="auto"/>
              <w:right w:val="nil"/>
            </w:tcBorders>
            <w:vAlign w:val="center"/>
          </w:tcPr>
          <w:p w14:paraId="3F0A75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4348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LOKAVEC</w:t>
            </w:r>
          </w:p>
        </w:tc>
      </w:tr>
      <w:tr w:rsidR="00072A69" w:rsidRPr="00DC6DF9" w14:paraId="2C1B78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A36B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601</w:t>
            </w:r>
          </w:p>
        </w:tc>
        <w:tc>
          <w:tcPr>
            <w:tcW w:w="1036" w:type="dxa"/>
            <w:tcBorders>
              <w:top w:val="nil"/>
              <w:left w:val="nil"/>
              <w:bottom w:val="single" w:sz="4" w:space="0" w:color="auto"/>
              <w:right w:val="single" w:sz="4" w:space="0" w:color="auto"/>
            </w:tcBorders>
            <w:shd w:val="clear" w:color="auto" w:fill="auto"/>
            <w:noWrap/>
            <w:vAlign w:val="center"/>
            <w:hideMark/>
          </w:tcPr>
          <w:p w14:paraId="4B5D00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5027560000</w:t>
            </w:r>
          </w:p>
        </w:tc>
        <w:tc>
          <w:tcPr>
            <w:tcW w:w="1036" w:type="dxa"/>
            <w:tcBorders>
              <w:top w:val="nil"/>
              <w:left w:val="nil"/>
              <w:bottom w:val="single" w:sz="4" w:space="0" w:color="auto"/>
              <w:right w:val="single" w:sz="4" w:space="0" w:color="auto"/>
            </w:tcBorders>
            <w:shd w:val="clear" w:color="auto" w:fill="auto"/>
            <w:noWrap/>
            <w:vAlign w:val="center"/>
            <w:hideMark/>
          </w:tcPr>
          <w:p w14:paraId="49DAA9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45231273</w:t>
            </w:r>
          </w:p>
        </w:tc>
        <w:tc>
          <w:tcPr>
            <w:tcW w:w="160" w:type="dxa"/>
            <w:tcBorders>
              <w:top w:val="nil"/>
              <w:left w:val="nil"/>
              <w:bottom w:val="single" w:sz="4" w:space="0" w:color="auto"/>
              <w:right w:val="nil"/>
            </w:tcBorders>
            <w:vAlign w:val="center"/>
          </w:tcPr>
          <w:p w14:paraId="649491B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A62D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LOKOVEC</w:t>
            </w:r>
          </w:p>
        </w:tc>
      </w:tr>
      <w:tr w:rsidR="00072A69" w:rsidRPr="00DC6DF9" w14:paraId="7DB31E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F0A7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602</w:t>
            </w:r>
          </w:p>
        </w:tc>
        <w:tc>
          <w:tcPr>
            <w:tcW w:w="1036" w:type="dxa"/>
            <w:tcBorders>
              <w:top w:val="nil"/>
              <w:left w:val="nil"/>
              <w:bottom w:val="single" w:sz="4" w:space="0" w:color="auto"/>
              <w:right w:val="single" w:sz="4" w:space="0" w:color="auto"/>
            </w:tcBorders>
            <w:shd w:val="clear" w:color="auto" w:fill="auto"/>
            <w:noWrap/>
            <w:vAlign w:val="center"/>
            <w:hideMark/>
          </w:tcPr>
          <w:p w14:paraId="0F5913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5020565000</w:t>
            </w:r>
          </w:p>
        </w:tc>
        <w:tc>
          <w:tcPr>
            <w:tcW w:w="1036" w:type="dxa"/>
            <w:tcBorders>
              <w:top w:val="nil"/>
              <w:left w:val="nil"/>
              <w:bottom w:val="single" w:sz="4" w:space="0" w:color="auto"/>
              <w:right w:val="single" w:sz="4" w:space="0" w:color="auto"/>
            </w:tcBorders>
            <w:shd w:val="clear" w:color="auto" w:fill="auto"/>
            <w:noWrap/>
            <w:vAlign w:val="center"/>
            <w:hideMark/>
          </w:tcPr>
          <w:p w14:paraId="6754E8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28673107</w:t>
            </w:r>
          </w:p>
        </w:tc>
        <w:tc>
          <w:tcPr>
            <w:tcW w:w="160" w:type="dxa"/>
            <w:tcBorders>
              <w:top w:val="nil"/>
              <w:left w:val="nil"/>
              <w:bottom w:val="single" w:sz="4" w:space="0" w:color="auto"/>
              <w:right w:val="nil"/>
            </w:tcBorders>
            <w:vAlign w:val="center"/>
          </w:tcPr>
          <w:p w14:paraId="3F5FE57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F352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LOKVE - LAZNA</w:t>
            </w:r>
          </w:p>
        </w:tc>
      </w:tr>
      <w:tr w:rsidR="00072A69" w:rsidRPr="00DC6DF9" w14:paraId="643316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A9CD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603</w:t>
            </w:r>
          </w:p>
        </w:tc>
        <w:tc>
          <w:tcPr>
            <w:tcW w:w="1036" w:type="dxa"/>
            <w:tcBorders>
              <w:top w:val="nil"/>
              <w:left w:val="nil"/>
              <w:bottom w:val="single" w:sz="4" w:space="0" w:color="auto"/>
              <w:right w:val="single" w:sz="4" w:space="0" w:color="auto"/>
            </w:tcBorders>
            <w:shd w:val="clear" w:color="auto" w:fill="auto"/>
            <w:noWrap/>
            <w:vAlign w:val="center"/>
            <w:hideMark/>
          </w:tcPr>
          <w:p w14:paraId="1C4E61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5032288000</w:t>
            </w:r>
          </w:p>
        </w:tc>
        <w:tc>
          <w:tcPr>
            <w:tcW w:w="1036" w:type="dxa"/>
            <w:tcBorders>
              <w:top w:val="nil"/>
              <w:left w:val="nil"/>
              <w:bottom w:val="single" w:sz="4" w:space="0" w:color="auto"/>
              <w:right w:val="single" w:sz="4" w:space="0" w:color="auto"/>
            </w:tcBorders>
            <w:shd w:val="clear" w:color="auto" w:fill="auto"/>
            <w:noWrap/>
            <w:vAlign w:val="center"/>
            <w:hideMark/>
          </w:tcPr>
          <w:p w14:paraId="060CD7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12428159</w:t>
            </w:r>
          </w:p>
        </w:tc>
        <w:tc>
          <w:tcPr>
            <w:tcW w:w="160" w:type="dxa"/>
            <w:tcBorders>
              <w:top w:val="nil"/>
              <w:left w:val="nil"/>
              <w:bottom w:val="single" w:sz="4" w:space="0" w:color="auto"/>
              <w:right w:val="nil"/>
            </w:tcBorders>
            <w:vAlign w:val="center"/>
          </w:tcPr>
          <w:p w14:paraId="35A4609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1AC6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MALI SLATNIK</w:t>
            </w:r>
          </w:p>
        </w:tc>
      </w:tr>
      <w:tr w:rsidR="00072A69" w:rsidRPr="00DC6DF9" w14:paraId="26A189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FCB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604</w:t>
            </w:r>
          </w:p>
        </w:tc>
        <w:tc>
          <w:tcPr>
            <w:tcW w:w="1036" w:type="dxa"/>
            <w:tcBorders>
              <w:top w:val="nil"/>
              <w:left w:val="nil"/>
              <w:bottom w:val="single" w:sz="4" w:space="0" w:color="auto"/>
              <w:right w:val="single" w:sz="4" w:space="0" w:color="auto"/>
            </w:tcBorders>
            <w:shd w:val="clear" w:color="auto" w:fill="auto"/>
            <w:noWrap/>
            <w:vAlign w:val="center"/>
            <w:hideMark/>
          </w:tcPr>
          <w:p w14:paraId="790A83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5031494000</w:t>
            </w:r>
          </w:p>
        </w:tc>
        <w:tc>
          <w:tcPr>
            <w:tcW w:w="1036" w:type="dxa"/>
            <w:tcBorders>
              <w:top w:val="nil"/>
              <w:left w:val="nil"/>
              <w:bottom w:val="single" w:sz="4" w:space="0" w:color="auto"/>
              <w:right w:val="single" w:sz="4" w:space="0" w:color="auto"/>
            </w:tcBorders>
            <w:shd w:val="clear" w:color="auto" w:fill="auto"/>
            <w:noWrap/>
            <w:vAlign w:val="center"/>
            <w:hideMark/>
          </w:tcPr>
          <w:p w14:paraId="2373A0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90880994</w:t>
            </w:r>
          </w:p>
        </w:tc>
        <w:tc>
          <w:tcPr>
            <w:tcW w:w="160" w:type="dxa"/>
            <w:tcBorders>
              <w:top w:val="nil"/>
              <w:left w:val="nil"/>
              <w:bottom w:val="single" w:sz="4" w:space="0" w:color="auto"/>
              <w:right w:val="nil"/>
            </w:tcBorders>
            <w:vAlign w:val="center"/>
          </w:tcPr>
          <w:p w14:paraId="25DDFE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8558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MAREZIGE</w:t>
            </w:r>
          </w:p>
        </w:tc>
      </w:tr>
      <w:tr w:rsidR="00072A69" w:rsidRPr="00DC6DF9" w14:paraId="195B5B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232E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605</w:t>
            </w:r>
          </w:p>
        </w:tc>
        <w:tc>
          <w:tcPr>
            <w:tcW w:w="1036" w:type="dxa"/>
            <w:tcBorders>
              <w:top w:val="nil"/>
              <w:left w:val="nil"/>
              <w:bottom w:val="single" w:sz="4" w:space="0" w:color="auto"/>
              <w:right w:val="single" w:sz="4" w:space="0" w:color="auto"/>
            </w:tcBorders>
            <w:shd w:val="clear" w:color="auto" w:fill="auto"/>
            <w:noWrap/>
            <w:vAlign w:val="center"/>
            <w:hideMark/>
          </w:tcPr>
          <w:p w14:paraId="46C000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5020069000</w:t>
            </w:r>
          </w:p>
        </w:tc>
        <w:tc>
          <w:tcPr>
            <w:tcW w:w="1036" w:type="dxa"/>
            <w:tcBorders>
              <w:top w:val="nil"/>
              <w:left w:val="nil"/>
              <w:bottom w:val="single" w:sz="4" w:space="0" w:color="auto"/>
              <w:right w:val="single" w:sz="4" w:space="0" w:color="auto"/>
            </w:tcBorders>
            <w:shd w:val="clear" w:color="auto" w:fill="auto"/>
            <w:noWrap/>
            <w:vAlign w:val="center"/>
            <w:hideMark/>
          </w:tcPr>
          <w:p w14:paraId="4ED088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31120679</w:t>
            </w:r>
          </w:p>
        </w:tc>
        <w:tc>
          <w:tcPr>
            <w:tcW w:w="160" w:type="dxa"/>
            <w:tcBorders>
              <w:top w:val="nil"/>
              <w:left w:val="nil"/>
              <w:bottom w:val="single" w:sz="4" w:space="0" w:color="auto"/>
              <w:right w:val="nil"/>
            </w:tcBorders>
            <w:vAlign w:val="center"/>
          </w:tcPr>
          <w:p w14:paraId="310C23F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CD70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MESTA KRŠKO</w:t>
            </w:r>
          </w:p>
        </w:tc>
      </w:tr>
      <w:tr w:rsidR="00072A69" w:rsidRPr="00DC6DF9" w14:paraId="5F299AD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CE2E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606</w:t>
            </w:r>
          </w:p>
        </w:tc>
        <w:tc>
          <w:tcPr>
            <w:tcW w:w="1036" w:type="dxa"/>
            <w:tcBorders>
              <w:top w:val="nil"/>
              <w:left w:val="nil"/>
              <w:bottom w:val="single" w:sz="4" w:space="0" w:color="auto"/>
              <w:right w:val="single" w:sz="4" w:space="0" w:color="auto"/>
            </w:tcBorders>
            <w:shd w:val="clear" w:color="auto" w:fill="auto"/>
            <w:noWrap/>
            <w:vAlign w:val="center"/>
            <w:hideMark/>
          </w:tcPr>
          <w:p w14:paraId="60E715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5018323000</w:t>
            </w:r>
          </w:p>
        </w:tc>
        <w:tc>
          <w:tcPr>
            <w:tcW w:w="1036" w:type="dxa"/>
            <w:tcBorders>
              <w:top w:val="nil"/>
              <w:left w:val="nil"/>
              <w:bottom w:val="single" w:sz="4" w:space="0" w:color="auto"/>
              <w:right w:val="single" w:sz="4" w:space="0" w:color="auto"/>
            </w:tcBorders>
            <w:shd w:val="clear" w:color="auto" w:fill="auto"/>
            <w:noWrap/>
            <w:vAlign w:val="center"/>
            <w:hideMark/>
          </w:tcPr>
          <w:p w14:paraId="1C23D5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14828499</w:t>
            </w:r>
          </w:p>
        </w:tc>
        <w:tc>
          <w:tcPr>
            <w:tcW w:w="160" w:type="dxa"/>
            <w:tcBorders>
              <w:top w:val="nil"/>
              <w:left w:val="nil"/>
              <w:bottom w:val="single" w:sz="4" w:space="0" w:color="auto"/>
              <w:right w:val="nil"/>
            </w:tcBorders>
            <w:vAlign w:val="center"/>
          </w:tcPr>
          <w:p w14:paraId="25B544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1BAF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MIKLAVŽ PRI ORMOŽU</w:t>
            </w:r>
          </w:p>
        </w:tc>
      </w:tr>
      <w:tr w:rsidR="00072A69" w:rsidRPr="00DC6DF9" w14:paraId="779E52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2631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607</w:t>
            </w:r>
          </w:p>
        </w:tc>
        <w:tc>
          <w:tcPr>
            <w:tcW w:w="1036" w:type="dxa"/>
            <w:tcBorders>
              <w:top w:val="nil"/>
              <w:left w:val="nil"/>
              <w:bottom w:val="single" w:sz="4" w:space="0" w:color="auto"/>
              <w:right w:val="single" w:sz="4" w:space="0" w:color="auto"/>
            </w:tcBorders>
            <w:shd w:val="clear" w:color="auto" w:fill="auto"/>
            <w:noWrap/>
            <w:vAlign w:val="center"/>
            <w:hideMark/>
          </w:tcPr>
          <w:p w14:paraId="063D3E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5906946000</w:t>
            </w:r>
          </w:p>
        </w:tc>
        <w:tc>
          <w:tcPr>
            <w:tcW w:w="1036" w:type="dxa"/>
            <w:tcBorders>
              <w:top w:val="nil"/>
              <w:left w:val="nil"/>
              <w:bottom w:val="single" w:sz="4" w:space="0" w:color="auto"/>
              <w:right w:val="single" w:sz="4" w:space="0" w:color="auto"/>
            </w:tcBorders>
            <w:shd w:val="clear" w:color="auto" w:fill="auto"/>
            <w:noWrap/>
            <w:vAlign w:val="center"/>
            <w:hideMark/>
          </w:tcPr>
          <w:p w14:paraId="768D8F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17018315</w:t>
            </w:r>
          </w:p>
        </w:tc>
        <w:tc>
          <w:tcPr>
            <w:tcW w:w="160" w:type="dxa"/>
            <w:tcBorders>
              <w:top w:val="nil"/>
              <w:left w:val="nil"/>
              <w:bottom w:val="single" w:sz="4" w:space="0" w:color="auto"/>
              <w:right w:val="nil"/>
            </w:tcBorders>
            <w:vAlign w:val="center"/>
          </w:tcPr>
          <w:p w14:paraId="2FCFEA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50DF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NEMČAVCI</w:t>
            </w:r>
          </w:p>
        </w:tc>
      </w:tr>
      <w:tr w:rsidR="00072A69" w:rsidRPr="00DC6DF9" w14:paraId="6C9D0C6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C892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608</w:t>
            </w:r>
          </w:p>
        </w:tc>
        <w:tc>
          <w:tcPr>
            <w:tcW w:w="1036" w:type="dxa"/>
            <w:tcBorders>
              <w:top w:val="nil"/>
              <w:left w:val="nil"/>
              <w:bottom w:val="single" w:sz="4" w:space="0" w:color="auto"/>
              <w:right w:val="single" w:sz="4" w:space="0" w:color="auto"/>
            </w:tcBorders>
            <w:shd w:val="clear" w:color="auto" w:fill="auto"/>
            <w:noWrap/>
            <w:vAlign w:val="center"/>
            <w:hideMark/>
          </w:tcPr>
          <w:p w14:paraId="1C9E29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5365775000</w:t>
            </w:r>
          </w:p>
        </w:tc>
        <w:tc>
          <w:tcPr>
            <w:tcW w:w="1036" w:type="dxa"/>
            <w:tcBorders>
              <w:top w:val="nil"/>
              <w:left w:val="nil"/>
              <w:bottom w:val="single" w:sz="4" w:space="0" w:color="auto"/>
              <w:right w:val="single" w:sz="4" w:space="0" w:color="auto"/>
            </w:tcBorders>
            <w:shd w:val="clear" w:color="auto" w:fill="auto"/>
            <w:noWrap/>
            <w:vAlign w:val="center"/>
            <w:hideMark/>
          </w:tcPr>
          <w:p w14:paraId="7A983A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84832541</w:t>
            </w:r>
          </w:p>
        </w:tc>
        <w:tc>
          <w:tcPr>
            <w:tcW w:w="160" w:type="dxa"/>
            <w:tcBorders>
              <w:top w:val="nil"/>
              <w:left w:val="nil"/>
              <w:bottom w:val="single" w:sz="4" w:space="0" w:color="auto"/>
              <w:right w:val="nil"/>
            </w:tcBorders>
            <w:vAlign w:val="center"/>
          </w:tcPr>
          <w:p w14:paraId="3D0ADA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6408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NOVA GORICA</w:t>
            </w:r>
          </w:p>
        </w:tc>
      </w:tr>
      <w:tr w:rsidR="00072A69" w:rsidRPr="00DC6DF9" w14:paraId="6B3B64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F2FD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609</w:t>
            </w:r>
          </w:p>
        </w:tc>
        <w:tc>
          <w:tcPr>
            <w:tcW w:w="1036" w:type="dxa"/>
            <w:tcBorders>
              <w:top w:val="nil"/>
              <w:left w:val="nil"/>
              <w:bottom w:val="single" w:sz="4" w:space="0" w:color="auto"/>
              <w:right w:val="single" w:sz="4" w:space="0" w:color="auto"/>
            </w:tcBorders>
            <w:shd w:val="clear" w:color="auto" w:fill="auto"/>
            <w:noWrap/>
            <w:vAlign w:val="center"/>
            <w:hideMark/>
          </w:tcPr>
          <w:p w14:paraId="07ED54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5020000000</w:t>
            </w:r>
          </w:p>
        </w:tc>
        <w:tc>
          <w:tcPr>
            <w:tcW w:w="1036" w:type="dxa"/>
            <w:tcBorders>
              <w:top w:val="nil"/>
              <w:left w:val="nil"/>
              <w:bottom w:val="single" w:sz="4" w:space="0" w:color="auto"/>
              <w:right w:val="single" w:sz="4" w:space="0" w:color="auto"/>
            </w:tcBorders>
            <w:shd w:val="clear" w:color="auto" w:fill="auto"/>
            <w:noWrap/>
            <w:vAlign w:val="center"/>
            <w:hideMark/>
          </w:tcPr>
          <w:p w14:paraId="36DD51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25403885</w:t>
            </w:r>
          </w:p>
        </w:tc>
        <w:tc>
          <w:tcPr>
            <w:tcW w:w="160" w:type="dxa"/>
            <w:tcBorders>
              <w:top w:val="nil"/>
              <w:left w:val="nil"/>
              <w:bottom w:val="single" w:sz="4" w:space="0" w:color="auto"/>
              <w:right w:val="nil"/>
            </w:tcBorders>
            <w:vAlign w:val="center"/>
          </w:tcPr>
          <w:p w14:paraId="638C1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BD46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OREHEK-DRULOVKA</w:t>
            </w:r>
          </w:p>
        </w:tc>
      </w:tr>
      <w:tr w:rsidR="00072A69" w:rsidRPr="00DC6DF9" w14:paraId="610F24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98D3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610</w:t>
            </w:r>
          </w:p>
        </w:tc>
        <w:tc>
          <w:tcPr>
            <w:tcW w:w="1036" w:type="dxa"/>
            <w:tcBorders>
              <w:top w:val="nil"/>
              <w:left w:val="nil"/>
              <w:bottom w:val="single" w:sz="4" w:space="0" w:color="auto"/>
              <w:right w:val="single" w:sz="4" w:space="0" w:color="auto"/>
            </w:tcBorders>
            <w:shd w:val="clear" w:color="auto" w:fill="auto"/>
            <w:noWrap/>
            <w:vAlign w:val="center"/>
            <w:hideMark/>
          </w:tcPr>
          <w:p w14:paraId="6204A9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5031770000</w:t>
            </w:r>
          </w:p>
        </w:tc>
        <w:tc>
          <w:tcPr>
            <w:tcW w:w="1036" w:type="dxa"/>
            <w:tcBorders>
              <w:top w:val="nil"/>
              <w:left w:val="nil"/>
              <w:bottom w:val="single" w:sz="4" w:space="0" w:color="auto"/>
              <w:right w:val="single" w:sz="4" w:space="0" w:color="auto"/>
            </w:tcBorders>
            <w:shd w:val="clear" w:color="auto" w:fill="auto"/>
            <w:noWrap/>
            <w:vAlign w:val="center"/>
            <w:hideMark/>
          </w:tcPr>
          <w:p w14:paraId="67D4CF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52506347</w:t>
            </w:r>
          </w:p>
        </w:tc>
        <w:tc>
          <w:tcPr>
            <w:tcW w:w="160" w:type="dxa"/>
            <w:tcBorders>
              <w:top w:val="nil"/>
              <w:left w:val="nil"/>
              <w:bottom w:val="single" w:sz="4" w:space="0" w:color="auto"/>
              <w:right w:val="nil"/>
            </w:tcBorders>
            <w:vAlign w:val="center"/>
          </w:tcPr>
          <w:p w14:paraId="6A1EB6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4EB1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ORMOŽ</w:t>
            </w:r>
          </w:p>
        </w:tc>
      </w:tr>
      <w:tr w:rsidR="00072A69" w:rsidRPr="00DC6DF9" w14:paraId="050DD3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F945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611</w:t>
            </w:r>
          </w:p>
        </w:tc>
        <w:tc>
          <w:tcPr>
            <w:tcW w:w="1036" w:type="dxa"/>
            <w:tcBorders>
              <w:top w:val="nil"/>
              <w:left w:val="nil"/>
              <w:bottom w:val="single" w:sz="4" w:space="0" w:color="auto"/>
              <w:right w:val="single" w:sz="4" w:space="0" w:color="auto"/>
            </w:tcBorders>
            <w:shd w:val="clear" w:color="auto" w:fill="auto"/>
            <w:noWrap/>
            <w:vAlign w:val="center"/>
            <w:hideMark/>
          </w:tcPr>
          <w:p w14:paraId="21E3A6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5020581000</w:t>
            </w:r>
          </w:p>
        </w:tc>
        <w:tc>
          <w:tcPr>
            <w:tcW w:w="1036" w:type="dxa"/>
            <w:tcBorders>
              <w:top w:val="nil"/>
              <w:left w:val="nil"/>
              <w:bottom w:val="single" w:sz="4" w:space="0" w:color="auto"/>
              <w:right w:val="single" w:sz="4" w:space="0" w:color="auto"/>
            </w:tcBorders>
            <w:shd w:val="clear" w:color="auto" w:fill="auto"/>
            <w:noWrap/>
            <w:vAlign w:val="center"/>
            <w:hideMark/>
          </w:tcPr>
          <w:p w14:paraId="358144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19273614</w:t>
            </w:r>
          </w:p>
        </w:tc>
        <w:tc>
          <w:tcPr>
            <w:tcW w:w="160" w:type="dxa"/>
            <w:tcBorders>
              <w:top w:val="nil"/>
              <w:left w:val="nil"/>
              <w:bottom w:val="single" w:sz="4" w:space="0" w:color="auto"/>
              <w:right w:val="nil"/>
            </w:tcBorders>
            <w:vAlign w:val="center"/>
          </w:tcPr>
          <w:p w14:paraId="3B3C54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9076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OSEK-VITOVLJE</w:t>
            </w:r>
          </w:p>
        </w:tc>
      </w:tr>
      <w:tr w:rsidR="00072A69" w:rsidRPr="00DC6DF9" w14:paraId="136ED5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8220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612</w:t>
            </w:r>
          </w:p>
        </w:tc>
        <w:tc>
          <w:tcPr>
            <w:tcW w:w="1036" w:type="dxa"/>
            <w:tcBorders>
              <w:top w:val="nil"/>
              <w:left w:val="nil"/>
              <w:bottom w:val="single" w:sz="4" w:space="0" w:color="auto"/>
              <w:right w:val="single" w:sz="4" w:space="0" w:color="auto"/>
            </w:tcBorders>
            <w:shd w:val="clear" w:color="auto" w:fill="auto"/>
            <w:noWrap/>
            <w:vAlign w:val="center"/>
            <w:hideMark/>
          </w:tcPr>
          <w:p w14:paraId="613347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5016550000</w:t>
            </w:r>
          </w:p>
        </w:tc>
        <w:tc>
          <w:tcPr>
            <w:tcW w:w="1036" w:type="dxa"/>
            <w:tcBorders>
              <w:top w:val="nil"/>
              <w:left w:val="nil"/>
              <w:bottom w:val="single" w:sz="4" w:space="0" w:color="auto"/>
              <w:right w:val="single" w:sz="4" w:space="0" w:color="auto"/>
            </w:tcBorders>
            <w:shd w:val="clear" w:color="auto" w:fill="auto"/>
            <w:noWrap/>
            <w:vAlign w:val="center"/>
            <w:hideMark/>
          </w:tcPr>
          <w:p w14:paraId="075660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34882294</w:t>
            </w:r>
          </w:p>
        </w:tc>
        <w:tc>
          <w:tcPr>
            <w:tcW w:w="160" w:type="dxa"/>
            <w:tcBorders>
              <w:top w:val="nil"/>
              <w:left w:val="nil"/>
              <w:bottom w:val="single" w:sz="4" w:space="0" w:color="auto"/>
              <w:right w:val="nil"/>
            </w:tcBorders>
            <w:vAlign w:val="center"/>
          </w:tcPr>
          <w:p w14:paraId="17AE13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1EC4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OTLICA-KOVK</w:t>
            </w:r>
          </w:p>
        </w:tc>
      </w:tr>
      <w:tr w:rsidR="00072A69" w:rsidRPr="00DC6DF9" w14:paraId="52508F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FFF6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613</w:t>
            </w:r>
          </w:p>
        </w:tc>
        <w:tc>
          <w:tcPr>
            <w:tcW w:w="1036" w:type="dxa"/>
            <w:tcBorders>
              <w:top w:val="nil"/>
              <w:left w:val="nil"/>
              <w:bottom w:val="single" w:sz="4" w:space="0" w:color="auto"/>
              <w:right w:val="single" w:sz="4" w:space="0" w:color="auto"/>
            </w:tcBorders>
            <w:shd w:val="clear" w:color="auto" w:fill="auto"/>
            <w:noWrap/>
            <w:vAlign w:val="center"/>
            <w:hideMark/>
          </w:tcPr>
          <w:p w14:paraId="7F9880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5020654000</w:t>
            </w:r>
          </w:p>
        </w:tc>
        <w:tc>
          <w:tcPr>
            <w:tcW w:w="1036" w:type="dxa"/>
            <w:tcBorders>
              <w:top w:val="nil"/>
              <w:left w:val="nil"/>
              <w:bottom w:val="single" w:sz="4" w:space="0" w:color="auto"/>
              <w:right w:val="single" w:sz="4" w:space="0" w:color="auto"/>
            </w:tcBorders>
            <w:shd w:val="clear" w:color="auto" w:fill="auto"/>
            <w:noWrap/>
            <w:vAlign w:val="center"/>
            <w:hideMark/>
          </w:tcPr>
          <w:p w14:paraId="188E2A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17322294</w:t>
            </w:r>
          </w:p>
        </w:tc>
        <w:tc>
          <w:tcPr>
            <w:tcW w:w="160" w:type="dxa"/>
            <w:tcBorders>
              <w:top w:val="nil"/>
              <w:left w:val="nil"/>
              <w:bottom w:val="single" w:sz="4" w:space="0" w:color="auto"/>
              <w:right w:val="nil"/>
            </w:tcBorders>
            <w:vAlign w:val="center"/>
          </w:tcPr>
          <w:p w14:paraId="2105D6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FA24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OTOČEC</w:t>
            </w:r>
          </w:p>
        </w:tc>
      </w:tr>
      <w:tr w:rsidR="00072A69" w:rsidRPr="00DC6DF9" w14:paraId="4BD1DF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A755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614</w:t>
            </w:r>
          </w:p>
        </w:tc>
        <w:tc>
          <w:tcPr>
            <w:tcW w:w="1036" w:type="dxa"/>
            <w:tcBorders>
              <w:top w:val="nil"/>
              <w:left w:val="nil"/>
              <w:bottom w:val="single" w:sz="4" w:space="0" w:color="auto"/>
              <w:right w:val="single" w:sz="4" w:space="0" w:color="auto"/>
            </w:tcBorders>
            <w:shd w:val="clear" w:color="auto" w:fill="auto"/>
            <w:noWrap/>
            <w:vAlign w:val="center"/>
            <w:hideMark/>
          </w:tcPr>
          <w:p w14:paraId="697A66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5032075000</w:t>
            </w:r>
          </w:p>
        </w:tc>
        <w:tc>
          <w:tcPr>
            <w:tcW w:w="1036" w:type="dxa"/>
            <w:tcBorders>
              <w:top w:val="nil"/>
              <w:left w:val="nil"/>
              <w:bottom w:val="single" w:sz="4" w:space="0" w:color="auto"/>
              <w:right w:val="single" w:sz="4" w:space="0" w:color="auto"/>
            </w:tcBorders>
            <w:shd w:val="clear" w:color="auto" w:fill="auto"/>
            <w:noWrap/>
            <w:vAlign w:val="center"/>
            <w:hideMark/>
          </w:tcPr>
          <w:p w14:paraId="17BDF2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64762963</w:t>
            </w:r>
          </w:p>
        </w:tc>
        <w:tc>
          <w:tcPr>
            <w:tcW w:w="160" w:type="dxa"/>
            <w:tcBorders>
              <w:top w:val="nil"/>
              <w:left w:val="nil"/>
              <w:bottom w:val="single" w:sz="4" w:space="0" w:color="auto"/>
              <w:right w:val="nil"/>
            </w:tcBorders>
            <w:vAlign w:val="center"/>
          </w:tcPr>
          <w:p w14:paraId="6D02EA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D8B6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OZELJAN - ŠMIHEL</w:t>
            </w:r>
          </w:p>
        </w:tc>
      </w:tr>
      <w:tr w:rsidR="00072A69" w:rsidRPr="00DC6DF9" w14:paraId="020C7C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8B18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w:t>
            </w:r>
          </w:p>
        </w:tc>
        <w:tc>
          <w:tcPr>
            <w:tcW w:w="1036" w:type="dxa"/>
            <w:tcBorders>
              <w:top w:val="nil"/>
              <w:left w:val="nil"/>
              <w:bottom w:val="single" w:sz="4" w:space="0" w:color="auto"/>
              <w:right w:val="single" w:sz="4" w:space="0" w:color="auto"/>
            </w:tcBorders>
            <w:shd w:val="clear" w:color="auto" w:fill="auto"/>
            <w:noWrap/>
            <w:vAlign w:val="center"/>
            <w:hideMark/>
          </w:tcPr>
          <w:p w14:paraId="6C48D7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1747789000</w:t>
            </w:r>
          </w:p>
        </w:tc>
        <w:tc>
          <w:tcPr>
            <w:tcW w:w="1036" w:type="dxa"/>
            <w:tcBorders>
              <w:top w:val="nil"/>
              <w:left w:val="nil"/>
              <w:bottom w:val="single" w:sz="4" w:space="0" w:color="auto"/>
              <w:right w:val="single" w:sz="4" w:space="0" w:color="auto"/>
            </w:tcBorders>
            <w:shd w:val="clear" w:color="auto" w:fill="auto"/>
            <w:noWrap/>
            <w:vAlign w:val="center"/>
            <w:hideMark/>
          </w:tcPr>
          <w:p w14:paraId="41821B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15579034</w:t>
            </w:r>
          </w:p>
        </w:tc>
        <w:tc>
          <w:tcPr>
            <w:tcW w:w="160" w:type="dxa"/>
            <w:tcBorders>
              <w:top w:val="nil"/>
              <w:left w:val="nil"/>
              <w:bottom w:val="single" w:sz="4" w:space="0" w:color="auto"/>
              <w:right w:val="nil"/>
            </w:tcBorders>
            <w:vAlign w:val="center"/>
          </w:tcPr>
          <w:p w14:paraId="376CCBF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D874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PEČICE</w:t>
            </w:r>
          </w:p>
        </w:tc>
      </w:tr>
      <w:tr w:rsidR="00072A69" w:rsidRPr="00DC6DF9" w14:paraId="1D0F7C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207A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616</w:t>
            </w:r>
          </w:p>
        </w:tc>
        <w:tc>
          <w:tcPr>
            <w:tcW w:w="1036" w:type="dxa"/>
            <w:tcBorders>
              <w:top w:val="nil"/>
              <w:left w:val="nil"/>
              <w:bottom w:val="single" w:sz="4" w:space="0" w:color="auto"/>
              <w:right w:val="single" w:sz="4" w:space="0" w:color="auto"/>
            </w:tcBorders>
            <w:shd w:val="clear" w:color="auto" w:fill="auto"/>
            <w:noWrap/>
            <w:vAlign w:val="center"/>
            <w:hideMark/>
          </w:tcPr>
          <w:p w14:paraId="5D156A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5016703000</w:t>
            </w:r>
          </w:p>
        </w:tc>
        <w:tc>
          <w:tcPr>
            <w:tcW w:w="1036" w:type="dxa"/>
            <w:tcBorders>
              <w:top w:val="nil"/>
              <w:left w:val="nil"/>
              <w:bottom w:val="single" w:sz="4" w:space="0" w:color="auto"/>
              <w:right w:val="single" w:sz="4" w:space="0" w:color="auto"/>
            </w:tcBorders>
            <w:shd w:val="clear" w:color="auto" w:fill="auto"/>
            <w:noWrap/>
            <w:vAlign w:val="center"/>
            <w:hideMark/>
          </w:tcPr>
          <w:p w14:paraId="19A518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83404279</w:t>
            </w:r>
          </w:p>
        </w:tc>
        <w:tc>
          <w:tcPr>
            <w:tcW w:w="160" w:type="dxa"/>
            <w:tcBorders>
              <w:top w:val="nil"/>
              <w:left w:val="nil"/>
              <w:bottom w:val="single" w:sz="4" w:space="0" w:color="auto"/>
              <w:right w:val="nil"/>
            </w:tcBorders>
            <w:vAlign w:val="center"/>
          </w:tcPr>
          <w:p w14:paraId="6D9E8E8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CFCD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PIŠECE</w:t>
            </w:r>
          </w:p>
        </w:tc>
      </w:tr>
      <w:tr w:rsidR="00072A69" w:rsidRPr="00DC6DF9" w14:paraId="608EDB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175A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617</w:t>
            </w:r>
          </w:p>
        </w:tc>
        <w:tc>
          <w:tcPr>
            <w:tcW w:w="1036" w:type="dxa"/>
            <w:tcBorders>
              <w:top w:val="nil"/>
              <w:left w:val="nil"/>
              <w:bottom w:val="single" w:sz="4" w:space="0" w:color="auto"/>
              <w:right w:val="single" w:sz="4" w:space="0" w:color="auto"/>
            </w:tcBorders>
            <w:shd w:val="clear" w:color="auto" w:fill="auto"/>
            <w:noWrap/>
            <w:vAlign w:val="center"/>
            <w:hideMark/>
          </w:tcPr>
          <w:p w14:paraId="78E5FE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5027896000</w:t>
            </w:r>
          </w:p>
        </w:tc>
        <w:tc>
          <w:tcPr>
            <w:tcW w:w="1036" w:type="dxa"/>
            <w:tcBorders>
              <w:top w:val="nil"/>
              <w:left w:val="nil"/>
              <w:bottom w:val="single" w:sz="4" w:space="0" w:color="auto"/>
              <w:right w:val="single" w:sz="4" w:space="0" w:color="auto"/>
            </w:tcBorders>
            <w:shd w:val="clear" w:color="auto" w:fill="auto"/>
            <w:noWrap/>
            <w:vAlign w:val="center"/>
            <w:hideMark/>
          </w:tcPr>
          <w:p w14:paraId="2A61A9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99288486</w:t>
            </w:r>
          </w:p>
        </w:tc>
        <w:tc>
          <w:tcPr>
            <w:tcW w:w="160" w:type="dxa"/>
            <w:tcBorders>
              <w:top w:val="nil"/>
              <w:left w:val="nil"/>
              <w:bottom w:val="single" w:sz="4" w:space="0" w:color="auto"/>
              <w:right w:val="nil"/>
            </w:tcBorders>
            <w:vAlign w:val="center"/>
          </w:tcPr>
          <w:p w14:paraId="7FA314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5A7D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PLANINA</w:t>
            </w:r>
          </w:p>
        </w:tc>
      </w:tr>
      <w:tr w:rsidR="00072A69" w:rsidRPr="00DC6DF9" w14:paraId="774793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77F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618</w:t>
            </w:r>
          </w:p>
        </w:tc>
        <w:tc>
          <w:tcPr>
            <w:tcW w:w="1036" w:type="dxa"/>
            <w:tcBorders>
              <w:top w:val="nil"/>
              <w:left w:val="nil"/>
              <w:bottom w:val="single" w:sz="4" w:space="0" w:color="auto"/>
              <w:right w:val="single" w:sz="4" w:space="0" w:color="auto"/>
            </w:tcBorders>
            <w:shd w:val="clear" w:color="auto" w:fill="auto"/>
            <w:noWrap/>
            <w:vAlign w:val="center"/>
            <w:hideMark/>
          </w:tcPr>
          <w:p w14:paraId="0C6DCD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5019036000</w:t>
            </w:r>
          </w:p>
        </w:tc>
        <w:tc>
          <w:tcPr>
            <w:tcW w:w="1036" w:type="dxa"/>
            <w:tcBorders>
              <w:top w:val="nil"/>
              <w:left w:val="nil"/>
              <w:bottom w:val="single" w:sz="4" w:space="0" w:color="auto"/>
              <w:right w:val="single" w:sz="4" w:space="0" w:color="auto"/>
            </w:tcBorders>
            <w:shd w:val="clear" w:color="auto" w:fill="auto"/>
            <w:noWrap/>
            <w:vAlign w:val="center"/>
            <w:hideMark/>
          </w:tcPr>
          <w:p w14:paraId="6B69FD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23936436</w:t>
            </w:r>
          </w:p>
        </w:tc>
        <w:tc>
          <w:tcPr>
            <w:tcW w:w="160" w:type="dxa"/>
            <w:tcBorders>
              <w:top w:val="nil"/>
              <w:left w:val="nil"/>
              <w:bottom w:val="single" w:sz="4" w:space="0" w:color="auto"/>
              <w:right w:val="nil"/>
            </w:tcBorders>
            <w:vAlign w:val="center"/>
          </w:tcPr>
          <w:p w14:paraId="5C2591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4196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PLANINA PRI SEVNICI</w:t>
            </w:r>
          </w:p>
        </w:tc>
      </w:tr>
      <w:tr w:rsidR="00072A69" w:rsidRPr="00DC6DF9" w14:paraId="5D5004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EBF5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619</w:t>
            </w:r>
          </w:p>
        </w:tc>
        <w:tc>
          <w:tcPr>
            <w:tcW w:w="1036" w:type="dxa"/>
            <w:tcBorders>
              <w:top w:val="nil"/>
              <w:left w:val="nil"/>
              <w:bottom w:val="single" w:sz="4" w:space="0" w:color="auto"/>
              <w:right w:val="single" w:sz="4" w:space="0" w:color="auto"/>
            </w:tcBorders>
            <w:shd w:val="clear" w:color="auto" w:fill="auto"/>
            <w:noWrap/>
            <w:vAlign w:val="center"/>
            <w:hideMark/>
          </w:tcPr>
          <w:p w14:paraId="6A299C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5017203000</w:t>
            </w:r>
          </w:p>
        </w:tc>
        <w:tc>
          <w:tcPr>
            <w:tcW w:w="1036" w:type="dxa"/>
            <w:tcBorders>
              <w:top w:val="nil"/>
              <w:left w:val="nil"/>
              <w:bottom w:val="single" w:sz="4" w:space="0" w:color="auto"/>
              <w:right w:val="single" w:sz="4" w:space="0" w:color="auto"/>
            </w:tcBorders>
            <w:shd w:val="clear" w:color="auto" w:fill="auto"/>
            <w:noWrap/>
            <w:vAlign w:val="center"/>
            <w:hideMark/>
          </w:tcPr>
          <w:p w14:paraId="595F52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42416566</w:t>
            </w:r>
          </w:p>
        </w:tc>
        <w:tc>
          <w:tcPr>
            <w:tcW w:w="160" w:type="dxa"/>
            <w:tcBorders>
              <w:top w:val="nil"/>
              <w:left w:val="nil"/>
              <w:bottom w:val="single" w:sz="4" w:space="0" w:color="auto"/>
              <w:right w:val="nil"/>
            </w:tcBorders>
            <w:vAlign w:val="center"/>
          </w:tcPr>
          <w:p w14:paraId="38F3A2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BFE2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POBEGI-ČEŽARJI</w:t>
            </w:r>
          </w:p>
        </w:tc>
      </w:tr>
      <w:tr w:rsidR="00072A69" w:rsidRPr="00DC6DF9" w14:paraId="5F744C6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C500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620</w:t>
            </w:r>
          </w:p>
        </w:tc>
        <w:tc>
          <w:tcPr>
            <w:tcW w:w="1036" w:type="dxa"/>
            <w:tcBorders>
              <w:top w:val="nil"/>
              <w:left w:val="nil"/>
              <w:bottom w:val="single" w:sz="4" w:space="0" w:color="auto"/>
              <w:right w:val="single" w:sz="4" w:space="0" w:color="auto"/>
            </w:tcBorders>
            <w:shd w:val="clear" w:color="auto" w:fill="auto"/>
            <w:noWrap/>
            <w:vAlign w:val="center"/>
            <w:hideMark/>
          </w:tcPr>
          <w:p w14:paraId="5DB464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5028787000</w:t>
            </w:r>
          </w:p>
        </w:tc>
        <w:tc>
          <w:tcPr>
            <w:tcW w:w="1036" w:type="dxa"/>
            <w:tcBorders>
              <w:top w:val="nil"/>
              <w:left w:val="nil"/>
              <w:bottom w:val="single" w:sz="4" w:space="0" w:color="auto"/>
              <w:right w:val="single" w:sz="4" w:space="0" w:color="auto"/>
            </w:tcBorders>
            <w:shd w:val="clear" w:color="auto" w:fill="auto"/>
            <w:noWrap/>
            <w:vAlign w:val="center"/>
            <w:hideMark/>
          </w:tcPr>
          <w:p w14:paraId="6C7857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71175482</w:t>
            </w:r>
          </w:p>
        </w:tc>
        <w:tc>
          <w:tcPr>
            <w:tcW w:w="160" w:type="dxa"/>
            <w:tcBorders>
              <w:top w:val="nil"/>
              <w:left w:val="nil"/>
              <w:bottom w:val="single" w:sz="4" w:space="0" w:color="auto"/>
              <w:right w:val="nil"/>
            </w:tcBorders>
            <w:vAlign w:val="center"/>
          </w:tcPr>
          <w:p w14:paraId="5FAE9F5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2304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PODBOČJE</w:t>
            </w:r>
          </w:p>
        </w:tc>
      </w:tr>
      <w:tr w:rsidR="00072A69" w:rsidRPr="00DC6DF9" w14:paraId="00FCB8A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A4F2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621</w:t>
            </w:r>
          </w:p>
        </w:tc>
        <w:tc>
          <w:tcPr>
            <w:tcW w:w="1036" w:type="dxa"/>
            <w:tcBorders>
              <w:top w:val="nil"/>
              <w:left w:val="nil"/>
              <w:bottom w:val="single" w:sz="4" w:space="0" w:color="auto"/>
              <w:right w:val="single" w:sz="4" w:space="0" w:color="auto"/>
            </w:tcBorders>
            <w:shd w:val="clear" w:color="auto" w:fill="auto"/>
            <w:noWrap/>
            <w:vAlign w:val="center"/>
            <w:hideMark/>
          </w:tcPr>
          <w:p w14:paraId="51F9D5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5018340000</w:t>
            </w:r>
          </w:p>
        </w:tc>
        <w:tc>
          <w:tcPr>
            <w:tcW w:w="1036" w:type="dxa"/>
            <w:tcBorders>
              <w:top w:val="nil"/>
              <w:left w:val="nil"/>
              <w:bottom w:val="single" w:sz="4" w:space="0" w:color="auto"/>
              <w:right w:val="single" w:sz="4" w:space="0" w:color="auto"/>
            </w:tcBorders>
            <w:shd w:val="clear" w:color="auto" w:fill="auto"/>
            <w:noWrap/>
            <w:vAlign w:val="center"/>
            <w:hideMark/>
          </w:tcPr>
          <w:p w14:paraId="788DE2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59091274</w:t>
            </w:r>
          </w:p>
        </w:tc>
        <w:tc>
          <w:tcPr>
            <w:tcW w:w="160" w:type="dxa"/>
            <w:tcBorders>
              <w:top w:val="nil"/>
              <w:left w:val="nil"/>
              <w:bottom w:val="single" w:sz="4" w:space="0" w:color="auto"/>
              <w:right w:val="nil"/>
            </w:tcBorders>
            <w:vAlign w:val="center"/>
          </w:tcPr>
          <w:p w14:paraId="76403E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AF9B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PODGORCI</w:t>
            </w:r>
          </w:p>
        </w:tc>
      </w:tr>
      <w:tr w:rsidR="00072A69" w:rsidRPr="00DC6DF9" w14:paraId="1CC183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456A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622</w:t>
            </w:r>
          </w:p>
        </w:tc>
        <w:tc>
          <w:tcPr>
            <w:tcW w:w="1036" w:type="dxa"/>
            <w:tcBorders>
              <w:top w:val="nil"/>
              <w:left w:val="nil"/>
              <w:bottom w:val="single" w:sz="4" w:space="0" w:color="auto"/>
              <w:right w:val="single" w:sz="4" w:space="0" w:color="auto"/>
            </w:tcBorders>
            <w:shd w:val="clear" w:color="auto" w:fill="auto"/>
            <w:noWrap/>
            <w:vAlign w:val="center"/>
            <w:hideMark/>
          </w:tcPr>
          <w:p w14:paraId="541211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5032326000</w:t>
            </w:r>
          </w:p>
        </w:tc>
        <w:tc>
          <w:tcPr>
            <w:tcW w:w="1036" w:type="dxa"/>
            <w:tcBorders>
              <w:top w:val="nil"/>
              <w:left w:val="nil"/>
              <w:bottom w:val="single" w:sz="4" w:space="0" w:color="auto"/>
              <w:right w:val="single" w:sz="4" w:space="0" w:color="auto"/>
            </w:tcBorders>
            <w:shd w:val="clear" w:color="auto" w:fill="auto"/>
            <w:noWrap/>
            <w:vAlign w:val="center"/>
            <w:hideMark/>
          </w:tcPr>
          <w:p w14:paraId="543FD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19491751</w:t>
            </w:r>
          </w:p>
        </w:tc>
        <w:tc>
          <w:tcPr>
            <w:tcW w:w="160" w:type="dxa"/>
            <w:tcBorders>
              <w:top w:val="nil"/>
              <w:left w:val="nil"/>
              <w:bottom w:val="single" w:sz="4" w:space="0" w:color="auto"/>
              <w:right w:val="nil"/>
            </w:tcBorders>
            <w:vAlign w:val="center"/>
          </w:tcPr>
          <w:p w14:paraId="2F8A03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BB69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PODGRAD</w:t>
            </w:r>
          </w:p>
        </w:tc>
      </w:tr>
      <w:tr w:rsidR="00072A69" w:rsidRPr="00DC6DF9" w14:paraId="519AFA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E1C1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623</w:t>
            </w:r>
          </w:p>
        </w:tc>
        <w:tc>
          <w:tcPr>
            <w:tcW w:w="1036" w:type="dxa"/>
            <w:tcBorders>
              <w:top w:val="nil"/>
              <w:left w:val="nil"/>
              <w:bottom w:val="single" w:sz="4" w:space="0" w:color="auto"/>
              <w:right w:val="single" w:sz="4" w:space="0" w:color="auto"/>
            </w:tcBorders>
            <w:shd w:val="clear" w:color="auto" w:fill="auto"/>
            <w:noWrap/>
            <w:vAlign w:val="center"/>
            <w:hideMark/>
          </w:tcPr>
          <w:p w14:paraId="5DDB34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5016568000</w:t>
            </w:r>
          </w:p>
        </w:tc>
        <w:tc>
          <w:tcPr>
            <w:tcW w:w="1036" w:type="dxa"/>
            <w:tcBorders>
              <w:top w:val="nil"/>
              <w:left w:val="nil"/>
              <w:bottom w:val="single" w:sz="4" w:space="0" w:color="auto"/>
              <w:right w:val="single" w:sz="4" w:space="0" w:color="auto"/>
            </w:tcBorders>
            <w:shd w:val="clear" w:color="auto" w:fill="auto"/>
            <w:noWrap/>
            <w:vAlign w:val="center"/>
            <w:hideMark/>
          </w:tcPr>
          <w:p w14:paraId="3D8ABF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45820651</w:t>
            </w:r>
          </w:p>
        </w:tc>
        <w:tc>
          <w:tcPr>
            <w:tcW w:w="160" w:type="dxa"/>
            <w:tcBorders>
              <w:top w:val="nil"/>
              <w:left w:val="nil"/>
              <w:bottom w:val="single" w:sz="4" w:space="0" w:color="auto"/>
              <w:right w:val="nil"/>
            </w:tcBorders>
            <w:vAlign w:val="center"/>
          </w:tcPr>
          <w:p w14:paraId="0EF34C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C43E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PODKRAJ</w:t>
            </w:r>
          </w:p>
        </w:tc>
      </w:tr>
      <w:tr w:rsidR="00072A69" w:rsidRPr="00DC6DF9" w14:paraId="253C7E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82BE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624</w:t>
            </w:r>
          </w:p>
        </w:tc>
        <w:tc>
          <w:tcPr>
            <w:tcW w:w="1036" w:type="dxa"/>
            <w:tcBorders>
              <w:top w:val="nil"/>
              <w:left w:val="nil"/>
              <w:bottom w:val="single" w:sz="4" w:space="0" w:color="auto"/>
              <w:right w:val="single" w:sz="4" w:space="0" w:color="auto"/>
            </w:tcBorders>
            <w:shd w:val="clear" w:color="auto" w:fill="auto"/>
            <w:noWrap/>
            <w:vAlign w:val="center"/>
            <w:hideMark/>
          </w:tcPr>
          <w:p w14:paraId="4FCAD8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5181623000</w:t>
            </w:r>
          </w:p>
        </w:tc>
        <w:tc>
          <w:tcPr>
            <w:tcW w:w="1036" w:type="dxa"/>
            <w:tcBorders>
              <w:top w:val="nil"/>
              <w:left w:val="nil"/>
              <w:bottom w:val="single" w:sz="4" w:space="0" w:color="auto"/>
              <w:right w:val="single" w:sz="4" w:space="0" w:color="auto"/>
            </w:tcBorders>
            <w:shd w:val="clear" w:color="auto" w:fill="auto"/>
            <w:noWrap/>
            <w:vAlign w:val="center"/>
            <w:hideMark/>
          </w:tcPr>
          <w:p w14:paraId="33ECFC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38720582</w:t>
            </w:r>
          </w:p>
        </w:tc>
        <w:tc>
          <w:tcPr>
            <w:tcW w:w="160" w:type="dxa"/>
            <w:tcBorders>
              <w:top w:val="nil"/>
              <w:left w:val="nil"/>
              <w:bottom w:val="single" w:sz="4" w:space="0" w:color="auto"/>
              <w:right w:val="nil"/>
            </w:tcBorders>
            <w:vAlign w:val="center"/>
          </w:tcPr>
          <w:p w14:paraId="259ECE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6E94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POHORSKI ODRED</w:t>
            </w:r>
          </w:p>
        </w:tc>
      </w:tr>
      <w:tr w:rsidR="00072A69" w:rsidRPr="00DC6DF9" w14:paraId="62E45E4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CDF2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625</w:t>
            </w:r>
          </w:p>
        </w:tc>
        <w:tc>
          <w:tcPr>
            <w:tcW w:w="1036" w:type="dxa"/>
            <w:tcBorders>
              <w:top w:val="nil"/>
              <w:left w:val="nil"/>
              <w:bottom w:val="single" w:sz="4" w:space="0" w:color="auto"/>
              <w:right w:val="single" w:sz="4" w:space="0" w:color="auto"/>
            </w:tcBorders>
            <w:shd w:val="clear" w:color="auto" w:fill="auto"/>
            <w:noWrap/>
            <w:vAlign w:val="center"/>
            <w:hideMark/>
          </w:tcPr>
          <w:p w14:paraId="23E0F2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1750933000</w:t>
            </w:r>
          </w:p>
        </w:tc>
        <w:tc>
          <w:tcPr>
            <w:tcW w:w="1036" w:type="dxa"/>
            <w:tcBorders>
              <w:top w:val="nil"/>
              <w:left w:val="nil"/>
              <w:bottom w:val="single" w:sz="4" w:space="0" w:color="auto"/>
              <w:right w:val="single" w:sz="4" w:space="0" w:color="auto"/>
            </w:tcBorders>
            <w:shd w:val="clear" w:color="auto" w:fill="auto"/>
            <w:noWrap/>
            <w:vAlign w:val="center"/>
            <w:hideMark/>
          </w:tcPr>
          <w:p w14:paraId="07CAFD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19814658</w:t>
            </w:r>
          </w:p>
        </w:tc>
        <w:tc>
          <w:tcPr>
            <w:tcW w:w="160" w:type="dxa"/>
            <w:tcBorders>
              <w:top w:val="nil"/>
              <w:left w:val="nil"/>
              <w:bottom w:val="single" w:sz="4" w:space="0" w:color="auto"/>
              <w:right w:val="nil"/>
            </w:tcBorders>
            <w:vAlign w:val="center"/>
          </w:tcPr>
          <w:p w14:paraId="1162DD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D5F3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POLANA</w:t>
            </w:r>
          </w:p>
        </w:tc>
      </w:tr>
      <w:tr w:rsidR="00072A69" w:rsidRPr="00DC6DF9" w14:paraId="480968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0129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626</w:t>
            </w:r>
          </w:p>
        </w:tc>
        <w:tc>
          <w:tcPr>
            <w:tcW w:w="1036" w:type="dxa"/>
            <w:tcBorders>
              <w:top w:val="nil"/>
              <w:left w:val="nil"/>
              <w:bottom w:val="single" w:sz="4" w:space="0" w:color="auto"/>
              <w:right w:val="single" w:sz="4" w:space="0" w:color="auto"/>
            </w:tcBorders>
            <w:shd w:val="clear" w:color="auto" w:fill="auto"/>
            <w:noWrap/>
            <w:vAlign w:val="center"/>
            <w:hideMark/>
          </w:tcPr>
          <w:p w14:paraId="3DA1E2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5030170000</w:t>
            </w:r>
          </w:p>
        </w:tc>
        <w:tc>
          <w:tcPr>
            <w:tcW w:w="1036" w:type="dxa"/>
            <w:tcBorders>
              <w:top w:val="nil"/>
              <w:left w:val="nil"/>
              <w:bottom w:val="single" w:sz="4" w:space="0" w:color="auto"/>
              <w:right w:val="single" w:sz="4" w:space="0" w:color="auto"/>
            </w:tcBorders>
            <w:shd w:val="clear" w:color="auto" w:fill="auto"/>
            <w:noWrap/>
            <w:vAlign w:val="center"/>
            <w:hideMark/>
          </w:tcPr>
          <w:p w14:paraId="067467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61988332</w:t>
            </w:r>
          </w:p>
        </w:tc>
        <w:tc>
          <w:tcPr>
            <w:tcW w:w="160" w:type="dxa"/>
            <w:tcBorders>
              <w:top w:val="nil"/>
              <w:left w:val="nil"/>
              <w:bottom w:val="single" w:sz="4" w:space="0" w:color="auto"/>
              <w:right w:val="nil"/>
            </w:tcBorders>
            <w:vAlign w:val="center"/>
          </w:tcPr>
          <w:p w14:paraId="3AAB53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A5C8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POLENE</w:t>
            </w:r>
          </w:p>
        </w:tc>
      </w:tr>
      <w:tr w:rsidR="00072A69" w:rsidRPr="00DC6DF9" w14:paraId="72831C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FA27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w:t>
            </w:r>
          </w:p>
        </w:tc>
        <w:tc>
          <w:tcPr>
            <w:tcW w:w="1036" w:type="dxa"/>
            <w:tcBorders>
              <w:top w:val="nil"/>
              <w:left w:val="nil"/>
              <w:bottom w:val="single" w:sz="4" w:space="0" w:color="auto"/>
              <w:right w:val="single" w:sz="4" w:space="0" w:color="auto"/>
            </w:tcBorders>
            <w:shd w:val="clear" w:color="auto" w:fill="auto"/>
            <w:noWrap/>
            <w:vAlign w:val="center"/>
            <w:hideMark/>
          </w:tcPr>
          <w:p w14:paraId="36C28F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5101891000</w:t>
            </w:r>
          </w:p>
        </w:tc>
        <w:tc>
          <w:tcPr>
            <w:tcW w:w="1036" w:type="dxa"/>
            <w:tcBorders>
              <w:top w:val="nil"/>
              <w:left w:val="nil"/>
              <w:bottom w:val="single" w:sz="4" w:space="0" w:color="auto"/>
              <w:right w:val="single" w:sz="4" w:space="0" w:color="auto"/>
            </w:tcBorders>
            <w:shd w:val="clear" w:color="auto" w:fill="auto"/>
            <w:noWrap/>
            <w:vAlign w:val="center"/>
            <w:hideMark/>
          </w:tcPr>
          <w:p w14:paraId="60F63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22005994</w:t>
            </w:r>
          </w:p>
        </w:tc>
        <w:tc>
          <w:tcPr>
            <w:tcW w:w="160" w:type="dxa"/>
            <w:tcBorders>
              <w:top w:val="nil"/>
              <w:left w:val="nil"/>
              <w:bottom w:val="single" w:sz="4" w:space="0" w:color="auto"/>
              <w:right w:val="nil"/>
            </w:tcBorders>
            <w:vAlign w:val="center"/>
          </w:tcPr>
          <w:p w14:paraId="60097BD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E176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POLJANSKA DOLINA OB KOLPI</w:t>
            </w:r>
          </w:p>
        </w:tc>
      </w:tr>
      <w:tr w:rsidR="00072A69" w:rsidRPr="00DC6DF9" w14:paraId="77BD10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EDB4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w:t>
            </w:r>
          </w:p>
        </w:tc>
        <w:tc>
          <w:tcPr>
            <w:tcW w:w="1036" w:type="dxa"/>
            <w:tcBorders>
              <w:top w:val="nil"/>
              <w:left w:val="nil"/>
              <w:bottom w:val="single" w:sz="4" w:space="0" w:color="auto"/>
              <w:right w:val="single" w:sz="4" w:space="0" w:color="auto"/>
            </w:tcBorders>
            <w:shd w:val="clear" w:color="auto" w:fill="auto"/>
            <w:noWrap/>
            <w:vAlign w:val="center"/>
            <w:hideMark/>
          </w:tcPr>
          <w:p w14:paraId="7C2A3B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5019044000</w:t>
            </w:r>
          </w:p>
        </w:tc>
        <w:tc>
          <w:tcPr>
            <w:tcW w:w="1036" w:type="dxa"/>
            <w:tcBorders>
              <w:top w:val="nil"/>
              <w:left w:val="nil"/>
              <w:bottom w:val="single" w:sz="4" w:space="0" w:color="auto"/>
              <w:right w:val="single" w:sz="4" w:space="0" w:color="auto"/>
            </w:tcBorders>
            <w:shd w:val="clear" w:color="auto" w:fill="auto"/>
            <w:noWrap/>
            <w:vAlign w:val="center"/>
            <w:hideMark/>
          </w:tcPr>
          <w:p w14:paraId="7B29FB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43883320</w:t>
            </w:r>
          </w:p>
        </w:tc>
        <w:tc>
          <w:tcPr>
            <w:tcW w:w="160" w:type="dxa"/>
            <w:tcBorders>
              <w:top w:val="nil"/>
              <w:left w:val="nil"/>
              <w:bottom w:val="single" w:sz="4" w:space="0" w:color="auto"/>
              <w:right w:val="nil"/>
            </w:tcBorders>
            <w:vAlign w:val="center"/>
          </w:tcPr>
          <w:p w14:paraId="149330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B945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PONIKVA</w:t>
            </w:r>
          </w:p>
        </w:tc>
      </w:tr>
      <w:tr w:rsidR="00072A69" w:rsidRPr="00DC6DF9" w14:paraId="0927C7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2B48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629</w:t>
            </w:r>
          </w:p>
        </w:tc>
        <w:tc>
          <w:tcPr>
            <w:tcW w:w="1036" w:type="dxa"/>
            <w:tcBorders>
              <w:top w:val="nil"/>
              <w:left w:val="nil"/>
              <w:bottom w:val="single" w:sz="4" w:space="0" w:color="auto"/>
              <w:right w:val="single" w:sz="4" w:space="0" w:color="auto"/>
            </w:tcBorders>
            <w:shd w:val="clear" w:color="auto" w:fill="auto"/>
            <w:noWrap/>
            <w:vAlign w:val="center"/>
            <w:hideMark/>
          </w:tcPr>
          <w:p w14:paraId="3681F9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5021731000</w:t>
            </w:r>
          </w:p>
        </w:tc>
        <w:tc>
          <w:tcPr>
            <w:tcW w:w="1036" w:type="dxa"/>
            <w:tcBorders>
              <w:top w:val="nil"/>
              <w:left w:val="nil"/>
              <w:bottom w:val="single" w:sz="4" w:space="0" w:color="auto"/>
              <w:right w:val="single" w:sz="4" w:space="0" w:color="auto"/>
            </w:tcBorders>
            <w:shd w:val="clear" w:color="auto" w:fill="auto"/>
            <w:noWrap/>
            <w:vAlign w:val="center"/>
            <w:hideMark/>
          </w:tcPr>
          <w:p w14:paraId="334DBE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69765502</w:t>
            </w:r>
          </w:p>
        </w:tc>
        <w:tc>
          <w:tcPr>
            <w:tcW w:w="160" w:type="dxa"/>
            <w:tcBorders>
              <w:top w:val="nil"/>
              <w:left w:val="nil"/>
              <w:bottom w:val="single" w:sz="4" w:space="0" w:color="auto"/>
              <w:right w:val="nil"/>
            </w:tcBorders>
            <w:vAlign w:val="center"/>
          </w:tcPr>
          <w:p w14:paraId="48A173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CA1F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PRAGERSKO - GAJ</w:t>
            </w:r>
          </w:p>
        </w:tc>
      </w:tr>
      <w:tr w:rsidR="00072A69" w:rsidRPr="00DC6DF9" w14:paraId="5C79CF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25C3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630</w:t>
            </w:r>
          </w:p>
        </w:tc>
        <w:tc>
          <w:tcPr>
            <w:tcW w:w="1036" w:type="dxa"/>
            <w:tcBorders>
              <w:top w:val="nil"/>
              <w:left w:val="nil"/>
              <w:bottom w:val="single" w:sz="4" w:space="0" w:color="auto"/>
              <w:right w:val="single" w:sz="4" w:space="0" w:color="auto"/>
            </w:tcBorders>
            <w:shd w:val="clear" w:color="auto" w:fill="auto"/>
            <w:noWrap/>
            <w:vAlign w:val="center"/>
            <w:hideMark/>
          </w:tcPr>
          <w:p w14:paraId="01D071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5030269000</w:t>
            </w:r>
          </w:p>
        </w:tc>
        <w:tc>
          <w:tcPr>
            <w:tcW w:w="1036" w:type="dxa"/>
            <w:tcBorders>
              <w:top w:val="nil"/>
              <w:left w:val="nil"/>
              <w:bottom w:val="single" w:sz="4" w:space="0" w:color="auto"/>
              <w:right w:val="single" w:sz="4" w:space="0" w:color="auto"/>
            </w:tcBorders>
            <w:shd w:val="clear" w:color="auto" w:fill="auto"/>
            <w:noWrap/>
            <w:vAlign w:val="center"/>
            <w:hideMark/>
          </w:tcPr>
          <w:p w14:paraId="34A126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68789670</w:t>
            </w:r>
          </w:p>
        </w:tc>
        <w:tc>
          <w:tcPr>
            <w:tcW w:w="160" w:type="dxa"/>
            <w:tcBorders>
              <w:top w:val="nil"/>
              <w:left w:val="nil"/>
              <w:bottom w:val="single" w:sz="4" w:space="0" w:color="auto"/>
              <w:right w:val="nil"/>
            </w:tcBorders>
            <w:vAlign w:val="center"/>
          </w:tcPr>
          <w:p w14:paraId="2559AA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ED5F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PREČNA</w:t>
            </w:r>
          </w:p>
        </w:tc>
      </w:tr>
      <w:tr w:rsidR="00072A69" w:rsidRPr="00DC6DF9" w14:paraId="2C70E1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143D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631</w:t>
            </w:r>
          </w:p>
        </w:tc>
        <w:tc>
          <w:tcPr>
            <w:tcW w:w="1036" w:type="dxa"/>
            <w:tcBorders>
              <w:top w:val="nil"/>
              <w:left w:val="nil"/>
              <w:bottom w:val="single" w:sz="4" w:space="0" w:color="auto"/>
              <w:right w:val="single" w:sz="4" w:space="0" w:color="auto"/>
            </w:tcBorders>
            <w:shd w:val="clear" w:color="auto" w:fill="auto"/>
            <w:noWrap/>
            <w:vAlign w:val="center"/>
            <w:hideMark/>
          </w:tcPr>
          <w:p w14:paraId="4B8A61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5019451000</w:t>
            </w:r>
          </w:p>
        </w:tc>
        <w:tc>
          <w:tcPr>
            <w:tcW w:w="1036" w:type="dxa"/>
            <w:tcBorders>
              <w:top w:val="nil"/>
              <w:left w:val="nil"/>
              <w:bottom w:val="single" w:sz="4" w:space="0" w:color="auto"/>
              <w:right w:val="single" w:sz="4" w:space="0" w:color="auto"/>
            </w:tcBorders>
            <w:shd w:val="clear" w:color="auto" w:fill="auto"/>
            <w:noWrap/>
            <w:vAlign w:val="center"/>
            <w:hideMark/>
          </w:tcPr>
          <w:p w14:paraId="16CE4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47469056</w:t>
            </w:r>
          </w:p>
        </w:tc>
        <w:tc>
          <w:tcPr>
            <w:tcW w:w="160" w:type="dxa"/>
            <w:tcBorders>
              <w:top w:val="nil"/>
              <w:left w:val="nil"/>
              <w:bottom w:val="single" w:sz="4" w:space="0" w:color="auto"/>
              <w:right w:val="nil"/>
            </w:tcBorders>
            <w:vAlign w:val="center"/>
          </w:tcPr>
          <w:p w14:paraId="01AC45A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F9A6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PREDMEJA</w:t>
            </w:r>
          </w:p>
        </w:tc>
      </w:tr>
      <w:tr w:rsidR="00072A69" w:rsidRPr="00DC6DF9" w14:paraId="781D69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8FC1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632</w:t>
            </w:r>
          </w:p>
        </w:tc>
        <w:tc>
          <w:tcPr>
            <w:tcW w:w="1036" w:type="dxa"/>
            <w:tcBorders>
              <w:top w:val="nil"/>
              <w:left w:val="nil"/>
              <w:bottom w:val="single" w:sz="4" w:space="0" w:color="auto"/>
              <w:right w:val="single" w:sz="4" w:space="0" w:color="auto"/>
            </w:tcBorders>
            <w:shd w:val="clear" w:color="auto" w:fill="auto"/>
            <w:noWrap/>
            <w:vAlign w:val="center"/>
            <w:hideMark/>
          </w:tcPr>
          <w:p w14:paraId="02EC44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5031192000</w:t>
            </w:r>
          </w:p>
        </w:tc>
        <w:tc>
          <w:tcPr>
            <w:tcW w:w="1036" w:type="dxa"/>
            <w:tcBorders>
              <w:top w:val="nil"/>
              <w:left w:val="nil"/>
              <w:bottom w:val="single" w:sz="4" w:space="0" w:color="auto"/>
              <w:right w:val="single" w:sz="4" w:space="0" w:color="auto"/>
            </w:tcBorders>
            <w:shd w:val="clear" w:color="auto" w:fill="auto"/>
            <w:noWrap/>
            <w:vAlign w:val="center"/>
            <w:hideMark/>
          </w:tcPr>
          <w:p w14:paraId="3D1CA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40810062</w:t>
            </w:r>
          </w:p>
        </w:tc>
        <w:tc>
          <w:tcPr>
            <w:tcW w:w="160" w:type="dxa"/>
            <w:tcBorders>
              <w:top w:val="nil"/>
              <w:left w:val="nil"/>
              <w:bottom w:val="single" w:sz="4" w:space="0" w:color="auto"/>
              <w:right w:val="nil"/>
            </w:tcBorders>
            <w:vAlign w:val="center"/>
          </w:tcPr>
          <w:p w14:paraId="0E5A24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2D9E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PREDOSLJE</w:t>
            </w:r>
          </w:p>
        </w:tc>
      </w:tr>
      <w:tr w:rsidR="00072A69" w:rsidRPr="00DC6DF9" w14:paraId="6099E6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6802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w:t>
            </w:r>
          </w:p>
        </w:tc>
        <w:tc>
          <w:tcPr>
            <w:tcW w:w="1036" w:type="dxa"/>
            <w:tcBorders>
              <w:top w:val="nil"/>
              <w:left w:val="nil"/>
              <w:bottom w:val="single" w:sz="4" w:space="0" w:color="auto"/>
              <w:right w:val="single" w:sz="4" w:space="0" w:color="auto"/>
            </w:tcBorders>
            <w:shd w:val="clear" w:color="auto" w:fill="auto"/>
            <w:noWrap/>
            <w:vAlign w:val="center"/>
            <w:hideMark/>
          </w:tcPr>
          <w:p w14:paraId="002911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5020964000</w:t>
            </w:r>
          </w:p>
        </w:tc>
        <w:tc>
          <w:tcPr>
            <w:tcW w:w="1036" w:type="dxa"/>
            <w:tcBorders>
              <w:top w:val="nil"/>
              <w:left w:val="nil"/>
              <w:bottom w:val="single" w:sz="4" w:space="0" w:color="auto"/>
              <w:right w:val="single" w:sz="4" w:space="0" w:color="auto"/>
            </w:tcBorders>
            <w:shd w:val="clear" w:color="auto" w:fill="auto"/>
            <w:noWrap/>
            <w:vAlign w:val="center"/>
            <w:hideMark/>
          </w:tcPr>
          <w:p w14:paraId="4287C3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75020190</w:t>
            </w:r>
          </w:p>
        </w:tc>
        <w:tc>
          <w:tcPr>
            <w:tcW w:w="160" w:type="dxa"/>
            <w:tcBorders>
              <w:top w:val="nil"/>
              <w:left w:val="nil"/>
              <w:bottom w:val="single" w:sz="4" w:space="0" w:color="auto"/>
              <w:right w:val="nil"/>
            </w:tcBorders>
            <w:vAlign w:val="center"/>
          </w:tcPr>
          <w:p w14:paraId="6D5D49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E349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PREVORJE</w:t>
            </w:r>
          </w:p>
        </w:tc>
      </w:tr>
      <w:tr w:rsidR="00072A69" w:rsidRPr="00DC6DF9" w14:paraId="0B1457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1EE9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634</w:t>
            </w:r>
          </w:p>
        </w:tc>
        <w:tc>
          <w:tcPr>
            <w:tcW w:w="1036" w:type="dxa"/>
            <w:tcBorders>
              <w:top w:val="nil"/>
              <w:left w:val="nil"/>
              <w:bottom w:val="single" w:sz="4" w:space="0" w:color="auto"/>
              <w:right w:val="single" w:sz="4" w:space="0" w:color="auto"/>
            </w:tcBorders>
            <w:shd w:val="clear" w:color="auto" w:fill="auto"/>
            <w:noWrap/>
            <w:vAlign w:val="center"/>
            <w:hideMark/>
          </w:tcPr>
          <w:p w14:paraId="3BF513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5032466000</w:t>
            </w:r>
          </w:p>
        </w:tc>
        <w:tc>
          <w:tcPr>
            <w:tcW w:w="1036" w:type="dxa"/>
            <w:tcBorders>
              <w:top w:val="nil"/>
              <w:left w:val="nil"/>
              <w:bottom w:val="single" w:sz="4" w:space="0" w:color="auto"/>
              <w:right w:val="single" w:sz="4" w:space="0" w:color="auto"/>
            </w:tcBorders>
            <w:shd w:val="clear" w:color="auto" w:fill="auto"/>
            <w:noWrap/>
            <w:vAlign w:val="center"/>
            <w:hideMark/>
          </w:tcPr>
          <w:p w14:paraId="43FA5C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76077292</w:t>
            </w:r>
          </w:p>
        </w:tc>
        <w:tc>
          <w:tcPr>
            <w:tcW w:w="160" w:type="dxa"/>
            <w:tcBorders>
              <w:top w:val="nil"/>
              <w:left w:val="nil"/>
              <w:bottom w:val="single" w:sz="4" w:space="0" w:color="auto"/>
              <w:right w:val="nil"/>
            </w:tcBorders>
            <w:vAlign w:val="center"/>
          </w:tcPr>
          <w:p w14:paraId="76BBD1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6E5D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PRIMOŽ</w:t>
            </w:r>
          </w:p>
        </w:tc>
      </w:tr>
      <w:tr w:rsidR="00072A69" w:rsidRPr="00DC6DF9" w14:paraId="7A611B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7C36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635</w:t>
            </w:r>
          </w:p>
        </w:tc>
        <w:tc>
          <w:tcPr>
            <w:tcW w:w="1036" w:type="dxa"/>
            <w:tcBorders>
              <w:top w:val="nil"/>
              <w:left w:val="nil"/>
              <w:bottom w:val="single" w:sz="4" w:space="0" w:color="auto"/>
              <w:right w:val="single" w:sz="4" w:space="0" w:color="auto"/>
            </w:tcBorders>
            <w:shd w:val="clear" w:color="auto" w:fill="auto"/>
            <w:noWrap/>
            <w:vAlign w:val="center"/>
            <w:hideMark/>
          </w:tcPr>
          <w:p w14:paraId="06340B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5032113000</w:t>
            </w:r>
          </w:p>
        </w:tc>
        <w:tc>
          <w:tcPr>
            <w:tcW w:w="1036" w:type="dxa"/>
            <w:tcBorders>
              <w:top w:val="nil"/>
              <w:left w:val="nil"/>
              <w:bottom w:val="single" w:sz="4" w:space="0" w:color="auto"/>
              <w:right w:val="single" w:sz="4" w:space="0" w:color="auto"/>
            </w:tcBorders>
            <w:shd w:val="clear" w:color="auto" w:fill="auto"/>
            <w:noWrap/>
            <w:vAlign w:val="center"/>
            <w:hideMark/>
          </w:tcPr>
          <w:p w14:paraId="15975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13725378</w:t>
            </w:r>
          </w:p>
        </w:tc>
        <w:tc>
          <w:tcPr>
            <w:tcW w:w="160" w:type="dxa"/>
            <w:tcBorders>
              <w:top w:val="nil"/>
              <w:left w:val="nil"/>
              <w:bottom w:val="single" w:sz="4" w:space="0" w:color="auto"/>
              <w:right w:val="nil"/>
            </w:tcBorders>
            <w:vAlign w:val="center"/>
          </w:tcPr>
          <w:p w14:paraId="6A45843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EF17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PRVAČINA</w:t>
            </w:r>
          </w:p>
        </w:tc>
      </w:tr>
      <w:tr w:rsidR="00072A69" w:rsidRPr="00DC6DF9" w14:paraId="1012683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5AF6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636</w:t>
            </w:r>
          </w:p>
        </w:tc>
        <w:tc>
          <w:tcPr>
            <w:tcW w:w="1036" w:type="dxa"/>
            <w:tcBorders>
              <w:top w:val="nil"/>
              <w:left w:val="nil"/>
              <w:bottom w:val="single" w:sz="4" w:space="0" w:color="auto"/>
              <w:right w:val="single" w:sz="4" w:space="0" w:color="auto"/>
            </w:tcBorders>
            <w:shd w:val="clear" w:color="auto" w:fill="auto"/>
            <w:noWrap/>
            <w:vAlign w:val="center"/>
            <w:hideMark/>
          </w:tcPr>
          <w:p w14:paraId="0EA84A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5030234000</w:t>
            </w:r>
          </w:p>
        </w:tc>
        <w:tc>
          <w:tcPr>
            <w:tcW w:w="1036" w:type="dxa"/>
            <w:tcBorders>
              <w:top w:val="nil"/>
              <w:left w:val="nil"/>
              <w:bottom w:val="single" w:sz="4" w:space="0" w:color="auto"/>
              <w:right w:val="single" w:sz="4" w:space="0" w:color="auto"/>
            </w:tcBorders>
            <w:shd w:val="clear" w:color="auto" w:fill="auto"/>
            <w:noWrap/>
            <w:vAlign w:val="center"/>
            <w:hideMark/>
          </w:tcPr>
          <w:p w14:paraId="6949AD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81992149</w:t>
            </w:r>
          </w:p>
        </w:tc>
        <w:tc>
          <w:tcPr>
            <w:tcW w:w="160" w:type="dxa"/>
            <w:tcBorders>
              <w:top w:val="nil"/>
              <w:left w:val="nil"/>
              <w:bottom w:val="single" w:sz="4" w:space="0" w:color="auto"/>
              <w:right w:val="nil"/>
            </w:tcBorders>
            <w:vAlign w:val="center"/>
          </w:tcPr>
          <w:p w14:paraId="4AA149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81A1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RAKA</w:t>
            </w:r>
          </w:p>
        </w:tc>
      </w:tr>
      <w:tr w:rsidR="00072A69" w:rsidRPr="00DC6DF9" w14:paraId="7026BA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35BA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637</w:t>
            </w:r>
          </w:p>
        </w:tc>
        <w:tc>
          <w:tcPr>
            <w:tcW w:w="1036" w:type="dxa"/>
            <w:tcBorders>
              <w:top w:val="nil"/>
              <w:left w:val="nil"/>
              <w:bottom w:val="single" w:sz="4" w:space="0" w:color="auto"/>
              <w:right w:val="single" w:sz="4" w:space="0" w:color="auto"/>
            </w:tcBorders>
            <w:shd w:val="clear" w:color="auto" w:fill="auto"/>
            <w:noWrap/>
            <w:vAlign w:val="center"/>
            <w:hideMark/>
          </w:tcPr>
          <w:p w14:paraId="015052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5033004000</w:t>
            </w:r>
          </w:p>
        </w:tc>
        <w:tc>
          <w:tcPr>
            <w:tcW w:w="1036" w:type="dxa"/>
            <w:tcBorders>
              <w:top w:val="nil"/>
              <w:left w:val="nil"/>
              <w:bottom w:val="single" w:sz="4" w:space="0" w:color="auto"/>
              <w:right w:val="single" w:sz="4" w:space="0" w:color="auto"/>
            </w:tcBorders>
            <w:shd w:val="clear" w:color="auto" w:fill="auto"/>
            <w:noWrap/>
            <w:vAlign w:val="center"/>
            <w:hideMark/>
          </w:tcPr>
          <w:p w14:paraId="0185CB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56330456</w:t>
            </w:r>
          </w:p>
        </w:tc>
        <w:tc>
          <w:tcPr>
            <w:tcW w:w="160" w:type="dxa"/>
            <w:tcBorders>
              <w:top w:val="nil"/>
              <w:left w:val="nil"/>
              <w:bottom w:val="single" w:sz="4" w:space="0" w:color="auto"/>
              <w:right w:val="nil"/>
            </w:tcBorders>
            <w:vAlign w:val="center"/>
          </w:tcPr>
          <w:p w14:paraId="04CBBB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E87D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RAKITOVEC</w:t>
            </w:r>
          </w:p>
        </w:tc>
      </w:tr>
      <w:tr w:rsidR="00072A69" w:rsidRPr="00DC6DF9" w14:paraId="7A74D5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BAA9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638</w:t>
            </w:r>
          </w:p>
        </w:tc>
        <w:tc>
          <w:tcPr>
            <w:tcW w:w="1036" w:type="dxa"/>
            <w:tcBorders>
              <w:top w:val="nil"/>
              <w:left w:val="nil"/>
              <w:bottom w:val="single" w:sz="4" w:space="0" w:color="auto"/>
              <w:right w:val="single" w:sz="4" w:space="0" w:color="auto"/>
            </w:tcBorders>
            <w:shd w:val="clear" w:color="auto" w:fill="auto"/>
            <w:noWrap/>
            <w:vAlign w:val="center"/>
            <w:hideMark/>
          </w:tcPr>
          <w:p w14:paraId="4BFCFE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5027454000</w:t>
            </w:r>
          </w:p>
        </w:tc>
        <w:tc>
          <w:tcPr>
            <w:tcW w:w="1036" w:type="dxa"/>
            <w:tcBorders>
              <w:top w:val="nil"/>
              <w:left w:val="nil"/>
              <w:bottom w:val="single" w:sz="4" w:space="0" w:color="auto"/>
              <w:right w:val="single" w:sz="4" w:space="0" w:color="auto"/>
            </w:tcBorders>
            <w:shd w:val="clear" w:color="auto" w:fill="auto"/>
            <w:noWrap/>
            <w:vAlign w:val="center"/>
            <w:hideMark/>
          </w:tcPr>
          <w:p w14:paraId="43C801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30275601</w:t>
            </w:r>
          </w:p>
        </w:tc>
        <w:tc>
          <w:tcPr>
            <w:tcW w:w="160" w:type="dxa"/>
            <w:tcBorders>
              <w:top w:val="nil"/>
              <w:left w:val="nil"/>
              <w:bottom w:val="single" w:sz="4" w:space="0" w:color="auto"/>
              <w:right w:val="nil"/>
            </w:tcBorders>
            <w:vAlign w:val="center"/>
          </w:tcPr>
          <w:p w14:paraId="6AFD9E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C805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RAVNICA</w:t>
            </w:r>
          </w:p>
        </w:tc>
      </w:tr>
      <w:tr w:rsidR="00072A69" w:rsidRPr="00DC6DF9" w14:paraId="14A4BE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3701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639</w:t>
            </w:r>
          </w:p>
        </w:tc>
        <w:tc>
          <w:tcPr>
            <w:tcW w:w="1036" w:type="dxa"/>
            <w:tcBorders>
              <w:top w:val="nil"/>
              <w:left w:val="nil"/>
              <w:bottom w:val="single" w:sz="4" w:space="0" w:color="auto"/>
              <w:right w:val="single" w:sz="4" w:space="0" w:color="auto"/>
            </w:tcBorders>
            <w:shd w:val="clear" w:color="auto" w:fill="auto"/>
            <w:noWrap/>
            <w:vAlign w:val="center"/>
            <w:hideMark/>
          </w:tcPr>
          <w:p w14:paraId="2C4D04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5032903000</w:t>
            </w:r>
          </w:p>
        </w:tc>
        <w:tc>
          <w:tcPr>
            <w:tcW w:w="1036" w:type="dxa"/>
            <w:tcBorders>
              <w:top w:val="nil"/>
              <w:left w:val="nil"/>
              <w:bottom w:val="single" w:sz="4" w:space="0" w:color="auto"/>
              <w:right w:val="single" w:sz="4" w:space="0" w:color="auto"/>
            </w:tcBorders>
            <w:shd w:val="clear" w:color="auto" w:fill="auto"/>
            <w:noWrap/>
            <w:vAlign w:val="center"/>
            <w:hideMark/>
          </w:tcPr>
          <w:p w14:paraId="21AA7D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80387233</w:t>
            </w:r>
          </w:p>
        </w:tc>
        <w:tc>
          <w:tcPr>
            <w:tcW w:w="160" w:type="dxa"/>
            <w:tcBorders>
              <w:top w:val="nil"/>
              <w:left w:val="nil"/>
              <w:bottom w:val="single" w:sz="4" w:space="0" w:color="auto"/>
              <w:right w:val="nil"/>
            </w:tcBorders>
            <w:vAlign w:val="center"/>
          </w:tcPr>
          <w:p w14:paraId="24A133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528A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RESNIK</w:t>
            </w:r>
          </w:p>
        </w:tc>
      </w:tr>
      <w:tr w:rsidR="00072A69" w:rsidRPr="00DC6DF9" w14:paraId="4925F2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2E47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640</w:t>
            </w:r>
          </w:p>
        </w:tc>
        <w:tc>
          <w:tcPr>
            <w:tcW w:w="1036" w:type="dxa"/>
            <w:tcBorders>
              <w:top w:val="nil"/>
              <w:left w:val="nil"/>
              <w:bottom w:val="single" w:sz="4" w:space="0" w:color="auto"/>
              <w:right w:val="single" w:sz="4" w:space="0" w:color="auto"/>
            </w:tcBorders>
            <w:shd w:val="clear" w:color="auto" w:fill="auto"/>
            <w:noWrap/>
            <w:vAlign w:val="center"/>
            <w:hideMark/>
          </w:tcPr>
          <w:p w14:paraId="7D6FD5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5020611000</w:t>
            </w:r>
          </w:p>
        </w:tc>
        <w:tc>
          <w:tcPr>
            <w:tcW w:w="1036" w:type="dxa"/>
            <w:tcBorders>
              <w:top w:val="nil"/>
              <w:left w:val="nil"/>
              <w:bottom w:val="single" w:sz="4" w:space="0" w:color="auto"/>
              <w:right w:val="single" w:sz="4" w:space="0" w:color="auto"/>
            </w:tcBorders>
            <w:shd w:val="clear" w:color="auto" w:fill="auto"/>
            <w:noWrap/>
            <w:vAlign w:val="center"/>
            <w:hideMark/>
          </w:tcPr>
          <w:p w14:paraId="465361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26849267</w:t>
            </w:r>
          </w:p>
        </w:tc>
        <w:tc>
          <w:tcPr>
            <w:tcW w:w="160" w:type="dxa"/>
            <w:tcBorders>
              <w:top w:val="nil"/>
              <w:left w:val="nil"/>
              <w:bottom w:val="single" w:sz="4" w:space="0" w:color="auto"/>
              <w:right w:val="nil"/>
            </w:tcBorders>
            <w:vAlign w:val="center"/>
          </w:tcPr>
          <w:p w14:paraId="07D3CA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FE19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ROŽNA DOLINA</w:t>
            </w:r>
          </w:p>
        </w:tc>
      </w:tr>
      <w:tr w:rsidR="00072A69" w:rsidRPr="00DC6DF9" w14:paraId="51564D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DDF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641</w:t>
            </w:r>
          </w:p>
        </w:tc>
        <w:tc>
          <w:tcPr>
            <w:tcW w:w="1036" w:type="dxa"/>
            <w:tcBorders>
              <w:top w:val="nil"/>
              <w:left w:val="nil"/>
              <w:bottom w:val="single" w:sz="4" w:space="0" w:color="auto"/>
              <w:right w:val="single" w:sz="4" w:space="0" w:color="auto"/>
            </w:tcBorders>
            <w:shd w:val="clear" w:color="auto" w:fill="auto"/>
            <w:noWrap/>
            <w:vAlign w:val="center"/>
            <w:hideMark/>
          </w:tcPr>
          <w:p w14:paraId="10E4D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5022088000</w:t>
            </w:r>
          </w:p>
        </w:tc>
        <w:tc>
          <w:tcPr>
            <w:tcW w:w="1036" w:type="dxa"/>
            <w:tcBorders>
              <w:top w:val="nil"/>
              <w:left w:val="nil"/>
              <w:bottom w:val="single" w:sz="4" w:space="0" w:color="auto"/>
              <w:right w:val="single" w:sz="4" w:space="0" w:color="auto"/>
            </w:tcBorders>
            <w:shd w:val="clear" w:color="auto" w:fill="auto"/>
            <w:noWrap/>
            <w:vAlign w:val="center"/>
            <w:hideMark/>
          </w:tcPr>
          <w:p w14:paraId="368407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69405972</w:t>
            </w:r>
          </w:p>
        </w:tc>
        <w:tc>
          <w:tcPr>
            <w:tcW w:w="160" w:type="dxa"/>
            <w:tcBorders>
              <w:top w:val="nil"/>
              <w:left w:val="nil"/>
              <w:bottom w:val="single" w:sz="4" w:space="0" w:color="auto"/>
              <w:right w:val="nil"/>
            </w:tcBorders>
            <w:vAlign w:val="center"/>
          </w:tcPr>
          <w:p w14:paraId="022B3E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0E58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ROŽNO PRESLADOL</w:t>
            </w:r>
          </w:p>
        </w:tc>
      </w:tr>
      <w:tr w:rsidR="00072A69" w:rsidRPr="00DC6DF9" w14:paraId="6813C1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ED4A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642</w:t>
            </w:r>
          </w:p>
        </w:tc>
        <w:tc>
          <w:tcPr>
            <w:tcW w:w="1036" w:type="dxa"/>
            <w:tcBorders>
              <w:top w:val="nil"/>
              <w:left w:val="nil"/>
              <w:bottom w:val="single" w:sz="4" w:space="0" w:color="auto"/>
              <w:right w:val="single" w:sz="4" w:space="0" w:color="auto"/>
            </w:tcBorders>
            <w:shd w:val="clear" w:color="auto" w:fill="auto"/>
            <w:noWrap/>
            <w:vAlign w:val="center"/>
            <w:hideMark/>
          </w:tcPr>
          <w:p w14:paraId="085198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2215535000</w:t>
            </w:r>
          </w:p>
        </w:tc>
        <w:tc>
          <w:tcPr>
            <w:tcW w:w="1036" w:type="dxa"/>
            <w:tcBorders>
              <w:top w:val="nil"/>
              <w:left w:val="nil"/>
              <w:bottom w:val="single" w:sz="4" w:space="0" w:color="auto"/>
              <w:right w:val="single" w:sz="4" w:space="0" w:color="auto"/>
            </w:tcBorders>
            <w:shd w:val="clear" w:color="auto" w:fill="auto"/>
            <w:noWrap/>
            <w:vAlign w:val="center"/>
            <w:hideMark/>
          </w:tcPr>
          <w:p w14:paraId="3D5A16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78729084</w:t>
            </w:r>
          </w:p>
        </w:tc>
        <w:tc>
          <w:tcPr>
            <w:tcW w:w="160" w:type="dxa"/>
            <w:tcBorders>
              <w:top w:val="nil"/>
              <w:left w:val="nil"/>
              <w:bottom w:val="single" w:sz="4" w:space="0" w:color="auto"/>
              <w:right w:val="nil"/>
            </w:tcBorders>
            <w:vAlign w:val="center"/>
          </w:tcPr>
          <w:p w14:paraId="442608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0DD7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SATAHOVCI</w:t>
            </w:r>
          </w:p>
        </w:tc>
      </w:tr>
      <w:tr w:rsidR="00072A69" w:rsidRPr="00DC6DF9" w14:paraId="190697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EA6D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643</w:t>
            </w:r>
          </w:p>
        </w:tc>
        <w:tc>
          <w:tcPr>
            <w:tcW w:w="1036" w:type="dxa"/>
            <w:tcBorders>
              <w:top w:val="nil"/>
              <w:left w:val="nil"/>
              <w:bottom w:val="single" w:sz="4" w:space="0" w:color="auto"/>
              <w:right w:val="single" w:sz="4" w:space="0" w:color="auto"/>
            </w:tcBorders>
            <w:shd w:val="clear" w:color="auto" w:fill="auto"/>
            <w:noWrap/>
            <w:vAlign w:val="center"/>
            <w:hideMark/>
          </w:tcPr>
          <w:p w14:paraId="3489EE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5026709000</w:t>
            </w:r>
          </w:p>
        </w:tc>
        <w:tc>
          <w:tcPr>
            <w:tcW w:w="1036" w:type="dxa"/>
            <w:tcBorders>
              <w:top w:val="nil"/>
              <w:left w:val="nil"/>
              <w:bottom w:val="single" w:sz="4" w:space="0" w:color="auto"/>
              <w:right w:val="single" w:sz="4" w:space="0" w:color="auto"/>
            </w:tcBorders>
            <w:shd w:val="clear" w:color="auto" w:fill="auto"/>
            <w:noWrap/>
            <w:vAlign w:val="center"/>
            <w:hideMark/>
          </w:tcPr>
          <w:p w14:paraId="2A9381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19267843</w:t>
            </w:r>
          </w:p>
        </w:tc>
        <w:tc>
          <w:tcPr>
            <w:tcW w:w="160" w:type="dxa"/>
            <w:tcBorders>
              <w:top w:val="nil"/>
              <w:left w:val="nil"/>
              <w:bottom w:val="single" w:sz="4" w:space="0" w:color="auto"/>
              <w:right w:val="nil"/>
            </w:tcBorders>
            <w:vAlign w:val="center"/>
          </w:tcPr>
          <w:p w14:paraId="77DD14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6281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SELO</w:t>
            </w:r>
          </w:p>
        </w:tc>
      </w:tr>
      <w:tr w:rsidR="00072A69" w:rsidRPr="00DC6DF9" w14:paraId="372441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E262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644</w:t>
            </w:r>
          </w:p>
        </w:tc>
        <w:tc>
          <w:tcPr>
            <w:tcW w:w="1036" w:type="dxa"/>
            <w:tcBorders>
              <w:top w:val="nil"/>
              <w:left w:val="nil"/>
              <w:bottom w:val="single" w:sz="4" w:space="0" w:color="auto"/>
              <w:right w:val="single" w:sz="4" w:space="0" w:color="auto"/>
            </w:tcBorders>
            <w:shd w:val="clear" w:color="auto" w:fill="auto"/>
            <w:noWrap/>
            <w:vAlign w:val="center"/>
            <w:hideMark/>
          </w:tcPr>
          <w:p w14:paraId="03DA67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5031486000</w:t>
            </w:r>
          </w:p>
        </w:tc>
        <w:tc>
          <w:tcPr>
            <w:tcW w:w="1036" w:type="dxa"/>
            <w:tcBorders>
              <w:top w:val="nil"/>
              <w:left w:val="nil"/>
              <w:bottom w:val="single" w:sz="4" w:space="0" w:color="auto"/>
              <w:right w:val="single" w:sz="4" w:space="0" w:color="auto"/>
            </w:tcBorders>
            <w:shd w:val="clear" w:color="auto" w:fill="auto"/>
            <w:noWrap/>
            <w:vAlign w:val="center"/>
            <w:hideMark/>
          </w:tcPr>
          <w:p w14:paraId="6CC51E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82991065</w:t>
            </w:r>
          </w:p>
        </w:tc>
        <w:tc>
          <w:tcPr>
            <w:tcW w:w="160" w:type="dxa"/>
            <w:tcBorders>
              <w:top w:val="nil"/>
              <w:left w:val="nil"/>
              <w:bottom w:val="single" w:sz="4" w:space="0" w:color="auto"/>
              <w:right w:val="nil"/>
            </w:tcBorders>
            <w:vAlign w:val="center"/>
          </w:tcPr>
          <w:p w14:paraId="612F8D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4CD8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SENOVO</w:t>
            </w:r>
          </w:p>
        </w:tc>
      </w:tr>
      <w:tr w:rsidR="00072A69" w:rsidRPr="00DC6DF9" w14:paraId="366622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FC24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645</w:t>
            </w:r>
          </w:p>
        </w:tc>
        <w:tc>
          <w:tcPr>
            <w:tcW w:w="1036" w:type="dxa"/>
            <w:tcBorders>
              <w:top w:val="nil"/>
              <w:left w:val="nil"/>
              <w:bottom w:val="single" w:sz="4" w:space="0" w:color="auto"/>
              <w:right w:val="single" w:sz="4" w:space="0" w:color="auto"/>
            </w:tcBorders>
            <w:shd w:val="clear" w:color="auto" w:fill="auto"/>
            <w:noWrap/>
            <w:vAlign w:val="center"/>
            <w:hideMark/>
          </w:tcPr>
          <w:p w14:paraId="581F2D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5178916000</w:t>
            </w:r>
          </w:p>
        </w:tc>
        <w:tc>
          <w:tcPr>
            <w:tcW w:w="1036" w:type="dxa"/>
            <w:tcBorders>
              <w:top w:val="nil"/>
              <w:left w:val="nil"/>
              <w:bottom w:val="single" w:sz="4" w:space="0" w:color="auto"/>
              <w:right w:val="single" w:sz="4" w:space="0" w:color="auto"/>
            </w:tcBorders>
            <w:shd w:val="clear" w:color="auto" w:fill="auto"/>
            <w:noWrap/>
            <w:vAlign w:val="center"/>
            <w:hideMark/>
          </w:tcPr>
          <w:p w14:paraId="3F25DF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95752315</w:t>
            </w:r>
          </w:p>
        </w:tc>
        <w:tc>
          <w:tcPr>
            <w:tcW w:w="160" w:type="dxa"/>
            <w:tcBorders>
              <w:top w:val="nil"/>
              <w:left w:val="nil"/>
              <w:bottom w:val="single" w:sz="4" w:space="0" w:color="auto"/>
              <w:right w:val="nil"/>
            </w:tcBorders>
            <w:vAlign w:val="center"/>
          </w:tcPr>
          <w:p w14:paraId="2AFB97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E182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SENUŠE</w:t>
            </w:r>
          </w:p>
        </w:tc>
      </w:tr>
      <w:tr w:rsidR="00072A69" w:rsidRPr="00DC6DF9" w14:paraId="7F8A0D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5081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646</w:t>
            </w:r>
          </w:p>
        </w:tc>
        <w:tc>
          <w:tcPr>
            <w:tcW w:w="1036" w:type="dxa"/>
            <w:tcBorders>
              <w:top w:val="nil"/>
              <w:left w:val="nil"/>
              <w:bottom w:val="single" w:sz="4" w:space="0" w:color="auto"/>
              <w:right w:val="single" w:sz="4" w:space="0" w:color="auto"/>
            </w:tcBorders>
            <w:shd w:val="clear" w:color="auto" w:fill="auto"/>
            <w:noWrap/>
            <w:vAlign w:val="center"/>
            <w:hideMark/>
          </w:tcPr>
          <w:p w14:paraId="3690BC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5018838000</w:t>
            </w:r>
          </w:p>
        </w:tc>
        <w:tc>
          <w:tcPr>
            <w:tcW w:w="1036" w:type="dxa"/>
            <w:tcBorders>
              <w:top w:val="nil"/>
              <w:left w:val="nil"/>
              <w:bottom w:val="single" w:sz="4" w:space="0" w:color="auto"/>
              <w:right w:val="single" w:sz="4" w:space="0" w:color="auto"/>
            </w:tcBorders>
            <w:shd w:val="clear" w:color="auto" w:fill="auto"/>
            <w:noWrap/>
            <w:vAlign w:val="center"/>
            <w:hideMark/>
          </w:tcPr>
          <w:p w14:paraId="6998FC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65049373</w:t>
            </w:r>
          </w:p>
        </w:tc>
        <w:tc>
          <w:tcPr>
            <w:tcW w:w="160" w:type="dxa"/>
            <w:tcBorders>
              <w:top w:val="nil"/>
              <w:left w:val="nil"/>
              <w:bottom w:val="single" w:sz="4" w:space="0" w:color="auto"/>
              <w:right w:val="nil"/>
            </w:tcBorders>
            <w:vAlign w:val="center"/>
          </w:tcPr>
          <w:p w14:paraId="2D21A4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A448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SEVNICA</w:t>
            </w:r>
          </w:p>
        </w:tc>
      </w:tr>
      <w:tr w:rsidR="00072A69" w:rsidRPr="00DC6DF9" w14:paraId="3A5BCD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3CB0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647</w:t>
            </w:r>
          </w:p>
        </w:tc>
        <w:tc>
          <w:tcPr>
            <w:tcW w:w="1036" w:type="dxa"/>
            <w:tcBorders>
              <w:top w:val="nil"/>
              <w:left w:val="nil"/>
              <w:bottom w:val="single" w:sz="4" w:space="0" w:color="auto"/>
              <w:right w:val="single" w:sz="4" w:space="0" w:color="auto"/>
            </w:tcBorders>
            <w:shd w:val="clear" w:color="auto" w:fill="auto"/>
            <w:noWrap/>
            <w:vAlign w:val="center"/>
            <w:hideMark/>
          </w:tcPr>
          <w:p w14:paraId="295746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5032946000</w:t>
            </w:r>
          </w:p>
        </w:tc>
        <w:tc>
          <w:tcPr>
            <w:tcW w:w="1036" w:type="dxa"/>
            <w:tcBorders>
              <w:top w:val="nil"/>
              <w:left w:val="nil"/>
              <w:bottom w:val="single" w:sz="4" w:space="0" w:color="auto"/>
              <w:right w:val="single" w:sz="4" w:space="0" w:color="auto"/>
            </w:tcBorders>
            <w:shd w:val="clear" w:color="auto" w:fill="auto"/>
            <w:noWrap/>
            <w:vAlign w:val="center"/>
            <w:hideMark/>
          </w:tcPr>
          <w:p w14:paraId="1427F0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15985687</w:t>
            </w:r>
          </w:p>
        </w:tc>
        <w:tc>
          <w:tcPr>
            <w:tcW w:w="160" w:type="dxa"/>
            <w:tcBorders>
              <w:top w:val="nil"/>
              <w:left w:val="nil"/>
              <w:bottom w:val="single" w:sz="4" w:space="0" w:color="auto"/>
              <w:right w:val="nil"/>
            </w:tcBorders>
            <w:vAlign w:val="center"/>
          </w:tcPr>
          <w:p w14:paraId="5B4D3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3BCE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SKOMARJE</w:t>
            </w:r>
          </w:p>
        </w:tc>
      </w:tr>
      <w:tr w:rsidR="00072A69" w:rsidRPr="00DC6DF9" w14:paraId="6D33DB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E90F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648</w:t>
            </w:r>
          </w:p>
        </w:tc>
        <w:tc>
          <w:tcPr>
            <w:tcW w:w="1036" w:type="dxa"/>
            <w:tcBorders>
              <w:top w:val="nil"/>
              <w:left w:val="nil"/>
              <w:bottom w:val="single" w:sz="4" w:space="0" w:color="auto"/>
              <w:right w:val="single" w:sz="4" w:space="0" w:color="auto"/>
            </w:tcBorders>
            <w:shd w:val="clear" w:color="auto" w:fill="auto"/>
            <w:noWrap/>
            <w:vAlign w:val="center"/>
            <w:hideMark/>
          </w:tcPr>
          <w:p w14:paraId="7E0A88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5026741000</w:t>
            </w:r>
          </w:p>
        </w:tc>
        <w:tc>
          <w:tcPr>
            <w:tcW w:w="1036" w:type="dxa"/>
            <w:tcBorders>
              <w:top w:val="nil"/>
              <w:left w:val="nil"/>
              <w:bottom w:val="single" w:sz="4" w:space="0" w:color="auto"/>
              <w:right w:val="single" w:sz="4" w:space="0" w:color="auto"/>
            </w:tcBorders>
            <w:shd w:val="clear" w:color="auto" w:fill="auto"/>
            <w:noWrap/>
            <w:vAlign w:val="center"/>
            <w:hideMark/>
          </w:tcPr>
          <w:p w14:paraId="752E38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57597197</w:t>
            </w:r>
          </w:p>
        </w:tc>
        <w:tc>
          <w:tcPr>
            <w:tcW w:w="160" w:type="dxa"/>
            <w:tcBorders>
              <w:top w:val="nil"/>
              <w:left w:val="nil"/>
              <w:bottom w:val="single" w:sz="4" w:space="0" w:color="auto"/>
              <w:right w:val="nil"/>
            </w:tcBorders>
            <w:vAlign w:val="center"/>
          </w:tcPr>
          <w:p w14:paraId="092AF0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46E1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SKRILJE</w:t>
            </w:r>
          </w:p>
        </w:tc>
      </w:tr>
      <w:tr w:rsidR="00072A69" w:rsidRPr="00DC6DF9" w14:paraId="740177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72F7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649</w:t>
            </w:r>
          </w:p>
        </w:tc>
        <w:tc>
          <w:tcPr>
            <w:tcW w:w="1036" w:type="dxa"/>
            <w:tcBorders>
              <w:top w:val="nil"/>
              <w:left w:val="nil"/>
              <w:bottom w:val="single" w:sz="4" w:space="0" w:color="auto"/>
              <w:right w:val="single" w:sz="4" w:space="0" w:color="auto"/>
            </w:tcBorders>
            <w:shd w:val="clear" w:color="auto" w:fill="auto"/>
            <w:noWrap/>
            <w:vAlign w:val="center"/>
            <w:hideMark/>
          </w:tcPr>
          <w:p w14:paraId="4A942B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5018986000</w:t>
            </w:r>
          </w:p>
        </w:tc>
        <w:tc>
          <w:tcPr>
            <w:tcW w:w="1036" w:type="dxa"/>
            <w:tcBorders>
              <w:top w:val="nil"/>
              <w:left w:val="nil"/>
              <w:bottom w:val="single" w:sz="4" w:space="0" w:color="auto"/>
              <w:right w:val="single" w:sz="4" w:space="0" w:color="auto"/>
            </w:tcBorders>
            <w:shd w:val="clear" w:color="auto" w:fill="auto"/>
            <w:noWrap/>
            <w:vAlign w:val="center"/>
            <w:hideMark/>
          </w:tcPr>
          <w:p w14:paraId="314AE3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33171262</w:t>
            </w:r>
          </w:p>
        </w:tc>
        <w:tc>
          <w:tcPr>
            <w:tcW w:w="160" w:type="dxa"/>
            <w:tcBorders>
              <w:top w:val="nil"/>
              <w:left w:val="nil"/>
              <w:bottom w:val="single" w:sz="4" w:space="0" w:color="auto"/>
              <w:right w:val="nil"/>
            </w:tcBorders>
            <w:vAlign w:val="center"/>
          </w:tcPr>
          <w:p w14:paraId="2116DA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BA23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SLOVENSKE KONJICE</w:t>
            </w:r>
          </w:p>
        </w:tc>
      </w:tr>
      <w:tr w:rsidR="00072A69" w:rsidRPr="00DC6DF9" w14:paraId="3378470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5C8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650</w:t>
            </w:r>
          </w:p>
        </w:tc>
        <w:tc>
          <w:tcPr>
            <w:tcW w:w="1036" w:type="dxa"/>
            <w:tcBorders>
              <w:top w:val="nil"/>
              <w:left w:val="nil"/>
              <w:bottom w:val="single" w:sz="4" w:space="0" w:color="auto"/>
              <w:right w:val="single" w:sz="4" w:space="0" w:color="auto"/>
            </w:tcBorders>
            <w:shd w:val="clear" w:color="auto" w:fill="auto"/>
            <w:noWrap/>
            <w:vAlign w:val="center"/>
            <w:hideMark/>
          </w:tcPr>
          <w:p w14:paraId="32FEC3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5030218000</w:t>
            </w:r>
          </w:p>
        </w:tc>
        <w:tc>
          <w:tcPr>
            <w:tcW w:w="1036" w:type="dxa"/>
            <w:tcBorders>
              <w:top w:val="nil"/>
              <w:left w:val="nil"/>
              <w:bottom w:val="single" w:sz="4" w:space="0" w:color="auto"/>
              <w:right w:val="single" w:sz="4" w:space="0" w:color="auto"/>
            </w:tcBorders>
            <w:shd w:val="clear" w:color="auto" w:fill="auto"/>
            <w:noWrap/>
            <w:vAlign w:val="center"/>
            <w:hideMark/>
          </w:tcPr>
          <w:p w14:paraId="72923F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66802156</w:t>
            </w:r>
          </w:p>
        </w:tc>
        <w:tc>
          <w:tcPr>
            <w:tcW w:w="160" w:type="dxa"/>
            <w:tcBorders>
              <w:top w:val="nil"/>
              <w:left w:val="nil"/>
              <w:bottom w:val="single" w:sz="4" w:space="0" w:color="auto"/>
              <w:right w:val="nil"/>
            </w:tcBorders>
            <w:vAlign w:val="center"/>
          </w:tcPr>
          <w:p w14:paraId="6FA1E8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520A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SOJEK-KAMNA GORA</w:t>
            </w:r>
          </w:p>
        </w:tc>
      </w:tr>
      <w:tr w:rsidR="00072A69" w:rsidRPr="00DC6DF9" w14:paraId="196F79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4AE4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651</w:t>
            </w:r>
          </w:p>
        </w:tc>
        <w:tc>
          <w:tcPr>
            <w:tcW w:w="1036" w:type="dxa"/>
            <w:tcBorders>
              <w:top w:val="nil"/>
              <w:left w:val="nil"/>
              <w:bottom w:val="single" w:sz="4" w:space="0" w:color="auto"/>
              <w:right w:val="single" w:sz="4" w:space="0" w:color="auto"/>
            </w:tcBorders>
            <w:shd w:val="clear" w:color="auto" w:fill="auto"/>
            <w:noWrap/>
            <w:vAlign w:val="center"/>
            <w:hideMark/>
          </w:tcPr>
          <w:p w14:paraId="5C38DB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5030188000</w:t>
            </w:r>
          </w:p>
        </w:tc>
        <w:tc>
          <w:tcPr>
            <w:tcW w:w="1036" w:type="dxa"/>
            <w:tcBorders>
              <w:top w:val="nil"/>
              <w:left w:val="nil"/>
              <w:bottom w:val="single" w:sz="4" w:space="0" w:color="auto"/>
              <w:right w:val="single" w:sz="4" w:space="0" w:color="auto"/>
            </w:tcBorders>
            <w:shd w:val="clear" w:color="auto" w:fill="auto"/>
            <w:noWrap/>
            <w:vAlign w:val="center"/>
            <w:hideMark/>
          </w:tcPr>
          <w:p w14:paraId="0C4F52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56544146</w:t>
            </w:r>
          </w:p>
        </w:tc>
        <w:tc>
          <w:tcPr>
            <w:tcW w:w="160" w:type="dxa"/>
            <w:tcBorders>
              <w:top w:val="nil"/>
              <w:left w:val="nil"/>
              <w:bottom w:val="single" w:sz="4" w:space="0" w:color="auto"/>
              <w:right w:val="nil"/>
            </w:tcBorders>
            <w:vAlign w:val="center"/>
          </w:tcPr>
          <w:p w14:paraId="5A11B2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F858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SOLKAN NOVA GORICA</w:t>
            </w:r>
          </w:p>
        </w:tc>
      </w:tr>
      <w:tr w:rsidR="00072A69" w:rsidRPr="00DC6DF9" w14:paraId="3CE3EC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A2B4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652</w:t>
            </w:r>
          </w:p>
        </w:tc>
        <w:tc>
          <w:tcPr>
            <w:tcW w:w="1036" w:type="dxa"/>
            <w:tcBorders>
              <w:top w:val="nil"/>
              <w:left w:val="nil"/>
              <w:bottom w:val="single" w:sz="4" w:space="0" w:color="auto"/>
              <w:right w:val="single" w:sz="4" w:space="0" w:color="auto"/>
            </w:tcBorders>
            <w:shd w:val="clear" w:color="auto" w:fill="auto"/>
            <w:noWrap/>
            <w:vAlign w:val="center"/>
            <w:hideMark/>
          </w:tcPr>
          <w:p w14:paraId="50F857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5032717000</w:t>
            </w:r>
          </w:p>
        </w:tc>
        <w:tc>
          <w:tcPr>
            <w:tcW w:w="1036" w:type="dxa"/>
            <w:tcBorders>
              <w:top w:val="nil"/>
              <w:left w:val="nil"/>
              <w:bottom w:val="single" w:sz="4" w:space="0" w:color="auto"/>
              <w:right w:val="single" w:sz="4" w:space="0" w:color="auto"/>
            </w:tcBorders>
            <w:shd w:val="clear" w:color="auto" w:fill="auto"/>
            <w:noWrap/>
            <w:vAlign w:val="center"/>
            <w:hideMark/>
          </w:tcPr>
          <w:p w14:paraId="624D79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79362532</w:t>
            </w:r>
          </w:p>
        </w:tc>
        <w:tc>
          <w:tcPr>
            <w:tcW w:w="160" w:type="dxa"/>
            <w:tcBorders>
              <w:top w:val="nil"/>
              <w:left w:val="nil"/>
              <w:bottom w:val="single" w:sz="4" w:space="0" w:color="auto"/>
              <w:right w:val="nil"/>
            </w:tcBorders>
            <w:vAlign w:val="center"/>
          </w:tcPr>
          <w:p w14:paraId="5138A4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057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SPODNJA POLSKAVA</w:t>
            </w:r>
          </w:p>
        </w:tc>
      </w:tr>
      <w:tr w:rsidR="00072A69" w:rsidRPr="00DC6DF9" w14:paraId="7DBEE1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E83B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653</w:t>
            </w:r>
          </w:p>
        </w:tc>
        <w:tc>
          <w:tcPr>
            <w:tcW w:w="1036" w:type="dxa"/>
            <w:tcBorders>
              <w:top w:val="nil"/>
              <w:left w:val="nil"/>
              <w:bottom w:val="single" w:sz="4" w:space="0" w:color="auto"/>
              <w:right w:val="single" w:sz="4" w:space="0" w:color="auto"/>
            </w:tcBorders>
            <w:shd w:val="clear" w:color="auto" w:fill="auto"/>
            <w:noWrap/>
            <w:vAlign w:val="center"/>
            <w:hideMark/>
          </w:tcPr>
          <w:p w14:paraId="7E4F31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5030137000</w:t>
            </w:r>
          </w:p>
        </w:tc>
        <w:tc>
          <w:tcPr>
            <w:tcW w:w="1036" w:type="dxa"/>
            <w:tcBorders>
              <w:top w:val="nil"/>
              <w:left w:val="nil"/>
              <w:bottom w:val="single" w:sz="4" w:space="0" w:color="auto"/>
              <w:right w:val="single" w:sz="4" w:space="0" w:color="auto"/>
            </w:tcBorders>
            <w:shd w:val="clear" w:color="auto" w:fill="auto"/>
            <w:noWrap/>
            <w:vAlign w:val="center"/>
            <w:hideMark/>
          </w:tcPr>
          <w:p w14:paraId="3F1811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63053497</w:t>
            </w:r>
          </w:p>
        </w:tc>
        <w:tc>
          <w:tcPr>
            <w:tcW w:w="160" w:type="dxa"/>
            <w:tcBorders>
              <w:top w:val="nil"/>
              <w:left w:val="nil"/>
              <w:bottom w:val="single" w:sz="4" w:space="0" w:color="auto"/>
              <w:right w:val="nil"/>
            </w:tcBorders>
            <w:vAlign w:val="center"/>
          </w:tcPr>
          <w:p w14:paraId="1976D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52A6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SPODNJE GRUŠOVJE</w:t>
            </w:r>
          </w:p>
        </w:tc>
      </w:tr>
      <w:tr w:rsidR="00072A69" w:rsidRPr="00DC6DF9" w14:paraId="11FE10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E35F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654</w:t>
            </w:r>
          </w:p>
        </w:tc>
        <w:tc>
          <w:tcPr>
            <w:tcW w:w="1036" w:type="dxa"/>
            <w:tcBorders>
              <w:top w:val="nil"/>
              <w:left w:val="nil"/>
              <w:bottom w:val="single" w:sz="4" w:space="0" w:color="auto"/>
              <w:right w:val="single" w:sz="4" w:space="0" w:color="auto"/>
            </w:tcBorders>
            <w:shd w:val="clear" w:color="auto" w:fill="auto"/>
            <w:noWrap/>
            <w:vAlign w:val="center"/>
            <w:hideMark/>
          </w:tcPr>
          <w:p w14:paraId="13C3F0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2330717000</w:t>
            </w:r>
          </w:p>
        </w:tc>
        <w:tc>
          <w:tcPr>
            <w:tcW w:w="1036" w:type="dxa"/>
            <w:tcBorders>
              <w:top w:val="nil"/>
              <w:left w:val="nil"/>
              <w:bottom w:val="single" w:sz="4" w:space="0" w:color="auto"/>
              <w:right w:val="single" w:sz="4" w:space="0" w:color="auto"/>
            </w:tcBorders>
            <w:shd w:val="clear" w:color="auto" w:fill="auto"/>
            <w:noWrap/>
            <w:vAlign w:val="center"/>
            <w:hideMark/>
          </w:tcPr>
          <w:p w14:paraId="5EDB8A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54676878</w:t>
            </w:r>
          </w:p>
        </w:tc>
        <w:tc>
          <w:tcPr>
            <w:tcW w:w="160" w:type="dxa"/>
            <w:tcBorders>
              <w:top w:val="nil"/>
              <w:left w:val="nil"/>
              <w:bottom w:val="single" w:sz="4" w:space="0" w:color="auto"/>
              <w:right w:val="nil"/>
            </w:tcBorders>
            <w:vAlign w:val="center"/>
          </w:tcPr>
          <w:p w14:paraId="275151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A690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SPODNJI STARI GRAD - SPODNJA LIBNA</w:t>
            </w:r>
          </w:p>
        </w:tc>
      </w:tr>
      <w:tr w:rsidR="00072A69" w:rsidRPr="00DC6DF9" w14:paraId="739047F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BDF7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655</w:t>
            </w:r>
          </w:p>
        </w:tc>
        <w:tc>
          <w:tcPr>
            <w:tcW w:w="1036" w:type="dxa"/>
            <w:tcBorders>
              <w:top w:val="nil"/>
              <w:left w:val="nil"/>
              <w:bottom w:val="single" w:sz="4" w:space="0" w:color="auto"/>
              <w:right w:val="single" w:sz="4" w:space="0" w:color="auto"/>
            </w:tcBorders>
            <w:shd w:val="clear" w:color="auto" w:fill="auto"/>
            <w:noWrap/>
            <w:vAlign w:val="center"/>
            <w:hideMark/>
          </w:tcPr>
          <w:p w14:paraId="44C887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5016606000</w:t>
            </w:r>
          </w:p>
        </w:tc>
        <w:tc>
          <w:tcPr>
            <w:tcW w:w="1036" w:type="dxa"/>
            <w:tcBorders>
              <w:top w:val="nil"/>
              <w:left w:val="nil"/>
              <w:bottom w:val="single" w:sz="4" w:space="0" w:color="auto"/>
              <w:right w:val="single" w:sz="4" w:space="0" w:color="auto"/>
            </w:tcBorders>
            <w:shd w:val="clear" w:color="auto" w:fill="auto"/>
            <w:noWrap/>
            <w:vAlign w:val="center"/>
            <w:hideMark/>
          </w:tcPr>
          <w:p w14:paraId="5C08E0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40932109</w:t>
            </w:r>
          </w:p>
        </w:tc>
        <w:tc>
          <w:tcPr>
            <w:tcW w:w="160" w:type="dxa"/>
            <w:tcBorders>
              <w:top w:val="nil"/>
              <w:left w:val="nil"/>
              <w:bottom w:val="single" w:sz="4" w:space="0" w:color="auto"/>
              <w:right w:val="nil"/>
            </w:tcBorders>
            <w:vAlign w:val="center"/>
          </w:tcPr>
          <w:p w14:paraId="5BA1BE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16DF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SROMLJE</w:t>
            </w:r>
          </w:p>
        </w:tc>
      </w:tr>
      <w:tr w:rsidR="00072A69" w:rsidRPr="00DC6DF9" w14:paraId="4DBE09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24BC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656</w:t>
            </w:r>
          </w:p>
        </w:tc>
        <w:tc>
          <w:tcPr>
            <w:tcW w:w="1036" w:type="dxa"/>
            <w:tcBorders>
              <w:top w:val="nil"/>
              <w:left w:val="nil"/>
              <w:bottom w:val="single" w:sz="4" w:space="0" w:color="auto"/>
              <w:right w:val="single" w:sz="4" w:space="0" w:color="auto"/>
            </w:tcBorders>
            <w:shd w:val="clear" w:color="auto" w:fill="auto"/>
            <w:noWrap/>
            <w:vAlign w:val="center"/>
            <w:hideMark/>
          </w:tcPr>
          <w:p w14:paraId="7967D1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5030781000</w:t>
            </w:r>
          </w:p>
        </w:tc>
        <w:tc>
          <w:tcPr>
            <w:tcW w:w="1036" w:type="dxa"/>
            <w:tcBorders>
              <w:top w:val="nil"/>
              <w:left w:val="nil"/>
              <w:bottom w:val="single" w:sz="4" w:space="0" w:color="auto"/>
              <w:right w:val="single" w:sz="4" w:space="0" w:color="auto"/>
            </w:tcBorders>
            <w:shd w:val="clear" w:color="auto" w:fill="auto"/>
            <w:noWrap/>
            <w:vAlign w:val="center"/>
            <w:hideMark/>
          </w:tcPr>
          <w:p w14:paraId="1EEC71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50623346</w:t>
            </w:r>
          </w:p>
        </w:tc>
        <w:tc>
          <w:tcPr>
            <w:tcW w:w="160" w:type="dxa"/>
            <w:tcBorders>
              <w:top w:val="nil"/>
              <w:left w:val="nil"/>
              <w:bottom w:val="single" w:sz="4" w:space="0" w:color="auto"/>
              <w:right w:val="nil"/>
            </w:tcBorders>
            <w:vAlign w:val="center"/>
          </w:tcPr>
          <w:p w14:paraId="6FCDCD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544A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STOMAŽ</w:t>
            </w:r>
          </w:p>
        </w:tc>
      </w:tr>
      <w:tr w:rsidR="00072A69" w:rsidRPr="00DC6DF9" w14:paraId="4D14E9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7A7A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657</w:t>
            </w:r>
          </w:p>
        </w:tc>
        <w:tc>
          <w:tcPr>
            <w:tcW w:w="1036" w:type="dxa"/>
            <w:tcBorders>
              <w:top w:val="nil"/>
              <w:left w:val="nil"/>
              <w:bottom w:val="single" w:sz="4" w:space="0" w:color="auto"/>
              <w:right w:val="single" w:sz="4" w:space="0" w:color="auto"/>
            </w:tcBorders>
            <w:shd w:val="clear" w:color="auto" w:fill="auto"/>
            <w:noWrap/>
            <w:vAlign w:val="center"/>
            <w:hideMark/>
          </w:tcPr>
          <w:p w14:paraId="0BACC8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5018994000</w:t>
            </w:r>
          </w:p>
        </w:tc>
        <w:tc>
          <w:tcPr>
            <w:tcW w:w="1036" w:type="dxa"/>
            <w:tcBorders>
              <w:top w:val="nil"/>
              <w:left w:val="nil"/>
              <w:bottom w:val="single" w:sz="4" w:space="0" w:color="auto"/>
              <w:right w:val="single" w:sz="4" w:space="0" w:color="auto"/>
            </w:tcBorders>
            <w:shd w:val="clear" w:color="auto" w:fill="auto"/>
            <w:noWrap/>
            <w:vAlign w:val="center"/>
            <w:hideMark/>
          </w:tcPr>
          <w:p w14:paraId="7E89B9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85348180</w:t>
            </w:r>
          </w:p>
        </w:tc>
        <w:tc>
          <w:tcPr>
            <w:tcW w:w="160" w:type="dxa"/>
            <w:tcBorders>
              <w:top w:val="nil"/>
              <w:left w:val="nil"/>
              <w:bottom w:val="single" w:sz="4" w:space="0" w:color="auto"/>
              <w:right w:val="nil"/>
            </w:tcBorders>
            <w:vAlign w:val="center"/>
          </w:tcPr>
          <w:p w14:paraId="04A217B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73DD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STRANICE</w:t>
            </w:r>
          </w:p>
        </w:tc>
      </w:tr>
      <w:tr w:rsidR="00072A69" w:rsidRPr="00DC6DF9" w14:paraId="49980F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57FD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658</w:t>
            </w:r>
          </w:p>
        </w:tc>
        <w:tc>
          <w:tcPr>
            <w:tcW w:w="1036" w:type="dxa"/>
            <w:tcBorders>
              <w:top w:val="nil"/>
              <w:left w:val="nil"/>
              <w:bottom w:val="single" w:sz="4" w:space="0" w:color="auto"/>
              <w:right w:val="single" w:sz="4" w:space="0" w:color="auto"/>
            </w:tcBorders>
            <w:shd w:val="clear" w:color="auto" w:fill="auto"/>
            <w:noWrap/>
            <w:vAlign w:val="center"/>
            <w:hideMark/>
          </w:tcPr>
          <w:p w14:paraId="68A161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5029139000</w:t>
            </w:r>
          </w:p>
        </w:tc>
        <w:tc>
          <w:tcPr>
            <w:tcW w:w="1036" w:type="dxa"/>
            <w:tcBorders>
              <w:top w:val="nil"/>
              <w:left w:val="nil"/>
              <w:bottom w:val="single" w:sz="4" w:space="0" w:color="auto"/>
              <w:right w:val="single" w:sz="4" w:space="0" w:color="auto"/>
            </w:tcBorders>
            <w:shd w:val="clear" w:color="auto" w:fill="auto"/>
            <w:noWrap/>
            <w:vAlign w:val="center"/>
            <w:hideMark/>
          </w:tcPr>
          <w:p w14:paraId="1221EE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93451091</w:t>
            </w:r>
          </w:p>
        </w:tc>
        <w:tc>
          <w:tcPr>
            <w:tcW w:w="160" w:type="dxa"/>
            <w:tcBorders>
              <w:top w:val="nil"/>
              <w:left w:val="nil"/>
              <w:bottom w:val="single" w:sz="4" w:space="0" w:color="auto"/>
              <w:right w:val="nil"/>
            </w:tcBorders>
            <w:vAlign w:val="center"/>
          </w:tcPr>
          <w:p w14:paraId="3ABFE9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7DD6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STRAŽIŠČE</w:t>
            </w:r>
          </w:p>
        </w:tc>
      </w:tr>
      <w:tr w:rsidR="00072A69" w:rsidRPr="00DC6DF9" w14:paraId="0E15A8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9E58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659</w:t>
            </w:r>
          </w:p>
        </w:tc>
        <w:tc>
          <w:tcPr>
            <w:tcW w:w="1036" w:type="dxa"/>
            <w:tcBorders>
              <w:top w:val="nil"/>
              <w:left w:val="nil"/>
              <w:bottom w:val="single" w:sz="4" w:space="0" w:color="auto"/>
              <w:right w:val="single" w:sz="4" w:space="0" w:color="auto"/>
            </w:tcBorders>
            <w:shd w:val="clear" w:color="auto" w:fill="auto"/>
            <w:noWrap/>
            <w:vAlign w:val="center"/>
            <w:hideMark/>
          </w:tcPr>
          <w:p w14:paraId="7AACB1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5027705000</w:t>
            </w:r>
          </w:p>
        </w:tc>
        <w:tc>
          <w:tcPr>
            <w:tcW w:w="1036" w:type="dxa"/>
            <w:tcBorders>
              <w:top w:val="nil"/>
              <w:left w:val="nil"/>
              <w:bottom w:val="single" w:sz="4" w:space="0" w:color="auto"/>
              <w:right w:val="single" w:sz="4" w:space="0" w:color="auto"/>
            </w:tcBorders>
            <w:shd w:val="clear" w:color="auto" w:fill="auto"/>
            <w:noWrap/>
            <w:vAlign w:val="center"/>
            <w:hideMark/>
          </w:tcPr>
          <w:p w14:paraId="4E2F8B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98259806</w:t>
            </w:r>
          </w:p>
        </w:tc>
        <w:tc>
          <w:tcPr>
            <w:tcW w:w="160" w:type="dxa"/>
            <w:tcBorders>
              <w:top w:val="nil"/>
              <w:left w:val="nil"/>
              <w:bottom w:val="single" w:sz="4" w:space="0" w:color="auto"/>
              <w:right w:val="nil"/>
            </w:tcBorders>
            <w:vAlign w:val="center"/>
          </w:tcPr>
          <w:p w14:paraId="1105AE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1155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STUDENEC</w:t>
            </w:r>
          </w:p>
        </w:tc>
      </w:tr>
      <w:tr w:rsidR="00072A69" w:rsidRPr="00DC6DF9" w14:paraId="772F09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F439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660</w:t>
            </w:r>
          </w:p>
        </w:tc>
        <w:tc>
          <w:tcPr>
            <w:tcW w:w="1036" w:type="dxa"/>
            <w:tcBorders>
              <w:top w:val="nil"/>
              <w:left w:val="nil"/>
              <w:bottom w:val="single" w:sz="4" w:space="0" w:color="auto"/>
              <w:right w:val="single" w:sz="4" w:space="0" w:color="auto"/>
            </w:tcBorders>
            <w:shd w:val="clear" w:color="auto" w:fill="auto"/>
            <w:noWrap/>
            <w:vAlign w:val="center"/>
            <w:hideMark/>
          </w:tcPr>
          <w:p w14:paraId="0754A8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5018960000</w:t>
            </w:r>
          </w:p>
        </w:tc>
        <w:tc>
          <w:tcPr>
            <w:tcW w:w="1036" w:type="dxa"/>
            <w:tcBorders>
              <w:top w:val="nil"/>
              <w:left w:val="nil"/>
              <w:bottom w:val="single" w:sz="4" w:space="0" w:color="auto"/>
              <w:right w:val="single" w:sz="4" w:space="0" w:color="auto"/>
            </w:tcBorders>
            <w:shd w:val="clear" w:color="auto" w:fill="auto"/>
            <w:noWrap/>
            <w:vAlign w:val="center"/>
            <w:hideMark/>
          </w:tcPr>
          <w:p w14:paraId="55DE0C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16702760</w:t>
            </w:r>
          </w:p>
        </w:tc>
        <w:tc>
          <w:tcPr>
            <w:tcW w:w="160" w:type="dxa"/>
            <w:tcBorders>
              <w:top w:val="nil"/>
              <w:left w:val="nil"/>
              <w:bottom w:val="single" w:sz="4" w:space="0" w:color="auto"/>
              <w:right w:val="nil"/>
            </w:tcBorders>
            <w:vAlign w:val="center"/>
          </w:tcPr>
          <w:p w14:paraId="42968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F6F5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SVETI JERNEJ</w:t>
            </w:r>
          </w:p>
        </w:tc>
      </w:tr>
      <w:tr w:rsidR="00072A69" w:rsidRPr="00DC6DF9" w14:paraId="07AB5A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821B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661</w:t>
            </w:r>
          </w:p>
        </w:tc>
        <w:tc>
          <w:tcPr>
            <w:tcW w:w="1036" w:type="dxa"/>
            <w:tcBorders>
              <w:top w:val="nil"/>
              <w:left w:val="nil"/>
              <w:bottom w:val="single" w:sz="4" w:space="0" w:color="auto"/>
              <w:right w:val="single" w:sz="4" w:space="0" w:color="auto"/>
            </w:tcBorders>
            <w:shd w:val="clear" w:color="auto" w:fill="auto"/>
            <w:noWrap/>
            <w:vAlign w:val="center"/>
            <w:hideMark/>
          </w:tcPr>
          <w:p w14:paraId="34692C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5030226000</w:t>
            </w:r>
          </w:p>
        </w:tc>
        <w:tc>
          <w:tcPr>
            <w:tcW w:w="1036" w:type="dxa"/>
            <w:tcBorders>
              <w:top w:val="nil"/>
              <w:left w:val="nil"/>
              <w:bottom w:val="single" w:sz="4" w:space="0" w:color="auto"/>
              <w:right w:val="single" w:sz="4" w:space="0" w:color="auto"/>
            </w:tcBorders>
            <w:shd w:val="clear" w:color="auto" w:fill="auto"/>
            <w:noWrap/>
            <w:vAlign w:val="center"/>
            <w:hideMark/>
          </w:tcPr>
          <w:p w14:paraId="41E775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35829532</w:t>
            </w:r>
          </w:p>
        </w:tc>
        <w:tc>
          <w:tcPr>
            <w:tcW w:w="160" w:type="dxa"/>
            <w:tcBorders>
              <w:top w:val="nil"/>
              <w:left w:val="nil"/>
              <w:bottom w:val="single" w:sz="4" w:space="0" w:color="auto"/>
              <w:right w:val="nil"/>
            </w:tcBorders>
            <w:vAlign w:val="center"/>
          </w:tcPr>
          <w:p w14:paraId="678A29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73CD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ŠEMPAS</w:t>
            </w:r>
          </w:p>
        </w:tc>
      </w:tr>
      <w:tr w:rsidR="00072A69" w:rsidRPr="00DC6DF9" w14:paraId="310A46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BF04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662</w:t>
            </w:r>
          </w:p>
        </w:tc>
        <w:tc>
          <w:tcPr>
            <w:tcW w:w="1036" w:type="dxa"/>
            <w:tcBorders>
              <w:top w:val="nil"/>
              <w:left w:val="nil"/>
              <w:bottom w:val="single" w:sz="4" w:space="0" w:color="auto"/>
              <w:right w:val="single" w:sz="4" w:space="0" w:color="auto"/>
            </w:tcBorders>
            <w:shd w:val="clear" w:color="auto" w:fill="auto"/>
            <w:noWrap/>
            <w:vAlign w:val="center"/>
            <w:hideMark/>
          </w:tcPr>
          <w:p w14:paraId="622C1F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5018820000</w:t>
            </w:r>
          </w:p>
        </w:tc>
        <w:tc>
          <w:tcPr>
            <w:tcW w:w="1036" w:type="dxa"/>
            <w:tcBorders>
              <w:top w:val="nil"/>
              <w:left w:val="nil"/>
              <w:bottom w:val="single" w:sz="4" w:space="0" w:color="auto"/>
              <w:right w:val="single" w:sz="4" w:space="0" w:color="auto"/>
            </w:tcBorders>
            <w:shd w:val="clear" w:color="auto" w:fill="auto"/>
            <w:noWrap/>
            <w:vAlign w:val="center"/>
            <w:hideMark/>
          </w:tcPr>
          <w:p w14:paraId="51AE6A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77562054</w:t>
            </w:r>
          </w:p>
        </w:tc>
        <w:tc>
          <w:tcPr>
            <w:tcW w:w="160" w:type="dxa"/>
            <w:tcBorders>
              <w:top w:val="nil"/>
              <w:left w:val="nil"/>
              <w:bottom w:val="single" w:sz="4" w:space="0" w:color="auto"/>
              <w:right w:val="nil"/>
            </w:tcBorders>
            <w:vAlign w:val="center"/>
          </w:tcPr>
          <w:p w14:paraId="2B3FCF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04B1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ŠENTJANŽ</w:t>
            </w:r>
          </w:p>
        </w:tc>
      </w:tr>
      <w:tr w:rsidR="00072A69" w:rsidRPr="00DC6DF9" w14:paraId="3B1E43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3E73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663</w:t>
            </w:r>
          </w:p>
        </w:tc>
        <w:tc>
          <w:tcPr>
            <w:tcW w:w="1036" w:type="dxa"/>
            <w:tcBorders>
              <w:top w:val="nil"/>
              <w:left w:val="nil"/>
              <w:bottom w:val="single" w:sz="4" w:space="0" w:color="auto"/>
              <w:right w:val="single" w:sz="4" w:space="0" w:color="auto"/>
            </w:tcBorders>
            <w:shd w:val="clear" w:color="auto" w:fill="auto"/>
            <w:noWrap/>
            <w:vAlign w:val="center"/>
            <w:hideMark/>
          </w:tcPr>
          <w:p w14:paraId="60E617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2254875000</w:t>
            </w:r>
          </w:p>
        </w:tc>
        <w:tc>
          <w:tcPr>
            <w:tcW w:w="1036" w:type="dxa"/>
            <w:tcBorders>
              <w:top w:val="nil"/>
              <w:left w:val="nil"/>
              <w:bottom w:val="single" w:sz="4" w:space="0" w:color="auto"/>
              <w:right w:val="single" w:sz="4" w:space="0" w:color="auto"/>
            </w:tcBorders>
            <w:shd w:val="clear" w:color="auto" w:fill="auto"/>
            <w:noWrap/>
            <w:vAlign w:val="center"/>
            <w:hideMark/>
          </w:tcPr>
          <w:p w14:paraId="762D6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49737058</w:t>
            </w:r>
          </w:p>
        </w:tc>
        <w:tc>
          <w:tcPr>
            <w:tcW w:w="160" w:type="dxa"/>
            <w:tcBorders>
              <w:top w:val="nil"/>
              <w:left w:val="nil"/>
              <w:bottom w:val="single" w:sz="4" w:space="0" w:color="auto"/>
              <w:right w:val="nil"/>
            </w:tcBorders>
            <w:vAlign w:val="center"/>
          </w:tcPr>
          <w:p w14:paraId="474097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EE61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ŠENTJUR - RIFNIK</w:t>
            </w:r>
          </w:p>
        </w:tc>
      </w:tr>
      <w:tr w:rsidR="00072A69" w:rsidRPr="00DC6DF9" w14:paraId="3ED2AA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1C48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664</w:t>
            </w:r>
          </w:p>
        </w:tc>
        <w:tc>
          <w:tcPr>
            <w:tcW w:w="1036" w:type="dxa"/>
            <w:tcBorders>
              <w:top w:val="nil"/>
              <w:left w:val="nil"/>
              <w:bottom w:val="single" w:sz="4" w:space="0" w:color="auto"/>
              <w:right w:val="single" w:sz="4" w:space="0" w:color="auto"/>
            </w:tcBorders>
            <w:shd w:val="clear" w:color="auto" w:fill="auto"/>
            <w:noWrap/>
            <w:vAlign w:val="center"/>
            <w:hideMark/>
          </w:tcPr>
          <w:p w14:paraId="3F208E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5030919000</w:t>
            </w:r>
          </w:p>
        </w:tc>
        <w:tc>
          <w:tcPr>
            <w:tcW w:w="1036" w:type="dxa"/>
            <w:tcBorders>
              <w:top w:val="nil"/>
              <w:left w:val="nil"/>
              <w:bottom w:val="single" w:sz="4" w:space="0" w:color="auto"/>
              <w:right w:val="single" w:sz="4" w:space="0" w:color="auto"/>
            </w:tcBorders>
            <w:shd w:val="clear" w:color="auto" w:fill="auto"/>
            <w:noWrap/>
            <w:vAlign w:val="center"/>
            <w:hideMark/>
          </w:tcPr>
          <w:p w14:paraId="5F19C5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43806414</w:t>
            </w:r>
          </w:p>
        </w:tc>
        <w:tc>
          <w:tcPr>
            <w:tcW w:w="160" w:type="dxa"/>
            <w:tcBorders>
              <w:top w:val="nil"/>
              <w:left w:val="nil"/>
              <w:bottom w:val="single" w:sz="4" w:space="0" w:color="auto"/>
              <w:right w:val="nil"/>
            </w:tcBorders>
            <w:vAlign w:val="center"/>
          </w:tcPr>
          <w:p w14:paraId="7AB66C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6CC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ŠENTLENART</w:t>
            </w:r>
          </w:p>
        </w:tc>
      </w:tr>
      <w:tr w:rsidR="00072A69" w:rsidRPr="00DC6DF9" w14:paraId="2E263E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F4F5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665</w:t>
            </w:r>
          </w:p>
        </w:tc>
        <w:tc>
          <w:tcPr>
            <w:tcW w:w="1036" w:type="dxa"/>
            <w:tcBorders>
              <w:top w:val="nil"/>
              <w:left w:val="nil"/>
              <w:bottom w:val="single" w:sz="4" w:space="0" w:color="auto"/>
              <w:right w:val="single" w:sz="4" w:space="0" w:color="auto"/>
            </w:tcBorders>
            <w:shd w:val="clear" w:color="auto" w:fill="auto"/>
            <w:noWrap/>
            <w:vAlign w:val="center"/>
            <w:hideMark/>
          </w:tcPr>
          <w:p w14:paraId="7A82FA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5026997000</w:t>
            </w:r>
          </w:p>
        </w:tc>
        <w:tc>
          <w:tcPr>
            <w:tcW w:w="1036" w:type="dxa"/>
            <w:tcBorders>
              <w:top w:val="nil"/>
              <w:left w:val="nil"/>
              <w:bottom w:val="single" w:sz="4" w:space="0" w:color="auto"/>
              <w:right w:val="single" w:sz="4" w:space="0" w:color="auto"/>
            </w:tcBorders>
            <w:shd w:val="clear" w:color="auto" w:fill="auto"/>
            <w:noWrap/>
            <w:vAlign w:val="center"/>
            <w:hideMark/>
          </w:tcPr>
          <w:p w14:paraId="0DDFEA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78947235</w:t>
            </w:r>
          </w:p>
        </w:tc>
        <w:tc>
          <w:tcPr>
            <w:tcW w:w="160" w:type="dxa"/>
            <w:tcBorders>
              <w:top w:val="nil"/>
              <w:left w:val="nil"/>
              <w:bottom w:val="single" w:sz="4" w:space="0" w:color="auto"/>
              <w:right w:val="nil"/>
            </w:tcBorders>
            <w:vAlign w:val="center"/>
          </w:tcPr>
          <w:p w14:paraId="622F2D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01E1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ŠKOFIJE</w:t>
            </w:r>
          </w:p>
        </w:tc>
      </w:tr>
      <w:tr w:rsidR="00072A69" w:rsidRPr="00DC6DF9" w14:paraId="30018A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273F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666</w:t>
            </w:r>
          </w:p>
        </w:tc>
        <w:tc>
          <w:tcPr>
            <w:tcW w:w="1036" w:type="dxa"/>
            <w:tcBorders>
              <w:top w:val="nil"/>
              <w:left w:val="nil"/>
              <w:bottom w:val="single" w:sz="4" w:space="0" w:color="auto"/>
              <w:right w:val="single" w:sz="4" w:space="0" w:color="auto"/>
            </w:tcBorders>
            <w:shd w:val="clear" w:color="auto" w:fill="auto"/>
            <w:noWrap/>
            <w:vAlign w:val="center"/>
            <w:hideMark/>
          </w:tcPr>
          <w:p w14:paraId="58C5B0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5027853000</w:t>
            </w:r>
          </w:p>
        </w:tc>
        <w:tc>
          <w:tcPr>
            <w:tcW w:w="1036" w:type="dxa"/>
            <w:tcBorders>
              <w:top w:val="nil"/>
              <w:left w:val="nil"/>
              <w:bottom w:val="single" w:sz="4" w:space="0" w:color="auto"/>
              <w:right w:val="single" w:sz="4" w:space="0" w:color="auto"/>
            </w:tcBorders>
            <w:shd w:val="clear" w:color="auto" w:fill="auto"/>
            <w:noWrap/>
            <w:vAlign w:val="center"/>
            <w:hideMark/>
          </w:tcPr>
          <w:p w14:paraId="330EDD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29490642</w:t>
            </w:r>
          </w:p>
        </w:tc>
        <w:tc>
          <w:tcPr>
            <w:tcW w:w="160" w:type="dxa"/>
            <w:tcBorders>
              <w:top w:val="nil"/>
              <w:left w:val="nil"/>
              <w:bottom w:val="single" w:sz="4" w:space="0" w:color="auto"/>
              <w:right w:val="nil"/>
            </w:tcBorders>
            <w:vAlign w:val="center"/>
          </w:tcPr>
          <w:p w14:paraId="5C4FB5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F37C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ŠMARJE</w:t>
            </w:r>
          </w:p>
        </w:tc>
      </w:tr>
      <w:tr w:rsidR="00072A69" w:rsidRPr="00DC6DF9" w14:paraId="3A6A3A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36B1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667</w:t>
            </w:r>
          </w:p>
        </w:tc>
        <w:tc>
          <w:tcPr>
            <w:tcW w:w="1036" w:type="dxa"/>
            <w:tcBorders>
              <w:top w:val="nil"/>
              <w:left w:val="nil"/>
              <w:bottom w:val="single" w:sz="4" w:space="0" w:color="auto"/>
              <w:right w:val="single" w:sz="4" w:space="0" w:color="auto"/>
            </w:tcBorders>
            <w:shd w:val="clear" w:color="auto" w:fill="auto"/>
            <w:noWrap/>
            <w:vAlign w:val="center"/>
            <w:hideMark/>
          </w:tcPr>
          <w:p w14:paraId="3B48B7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5018943000</w:t>
            </w:r>
          </w:p>
        </w:tc>
        <w:tc>
          <w:tcPr>
            <w:tcW w:w="1036" w:type="dxa"/>
            <w:tcBorders>
              <w:top w:val="nil"/>
              <w:left w:val="nil"/>
              <w:bottom w:val="single" w:sz="4" w:space="0" w:color="auto"/>
              <w:right w:val="single" w:sz="4" w:space="0" w:color="auto"/>
            </w:tcBorders>
            <w:shd w:val="clear" w:color="auto" w:fill="auto"/>
            <w:noWrap/>
            <w:vAlign w:val="center"/>
            <w:hideMark/>
          </w:tcPr>
          <w:p w14:paraId="6FB04B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96595124</w:t>
            </w:r>
          </w:p>
        </w:tc>
        <w:tc>
          <w:tcPr>
            <w:tcW w:w="160" w:type="dxa"/>
            <w:tcBorders>
              <w:top w:val="nil"/>
              <w:left w:val="nil"/>
              <w:bottom w:val="single" w:sz="4" w:space="0" w:color="auto"/>
              <w:right w:val="nil"/>
            </w:tcBorders>
            <w:vAlign w:val="center"/>
          </w:tcPr>
          <w:p w14:paraId="5951F9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EB6A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ŠMARTNO NA POHORJU</w:t>
            </w:r>
          </w:p>
        </w:tc>
      </w:tr>
      <w:tr w:rsidR="00072A69" w:rsidRPr="00DC6DF9" w14:paraId="79F7637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509E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668</w:t>
            </w:r>
          </w:p>
        </w:tc>
        <w:tc>
          <w:tcPr>
            <w:tcW w:w="1036" w:type="dxa"/>
            <w:tcBorders>
              <w:top w:val="nil"/>
              <w:left w:val="nil"/>
              <w:bottom w:val="single" w:sz="4" w:space="0" w:color="auto"/>
              <w:right w:val="single" w:sz="4" w:space="0" w:color="auto"/>
            </w:tcBorders>
            <w:shd w:val="clear" w:color="auto" w:fill="auto"/>
            <w:noWrap/>
            <w:vAlign w:val="center"/>
            <w:hideMark/>
          </w:tcPr>
          <w:p w14:paraId="67DD56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5032997000</w:t>
            </w:r>
          </w:p>
        </w:tc>
        <w:tc>
          <w:tcPr>
            <w:tcW w:w="1036" w:type="dxa"/>
            <w:tcBorders>
              <w:top w:val="nil"/>
              <w:left w:val="nil"/>
              <w:bottom w:val="single" w:sz="4" w:space="0" w:color="auto"/>
              <w:right w:val="single" w:sz="4" w:space="0" w:color="auto"/>
            </w:tcBorders>
            <w:shd w:val="clear" w:color="auto" w:fill="auto"/>
            <w:noWrap/>
            <w:vAlign w:val="center"/>
            <w:hideMark/>
          </w:tcPr>
          <w:p w14:paraId="31555A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22006885</w:t>
            </w:r>
          </w:p>
        </w:tc>
        <w:tc>
          <w:tcPr>
            <w:tcW w:w="160" w:type="dxa"/>
            <w:tcBorders>
              <w:top w:val="nil"/>
              <w:left w:val="nil"/>
              <w:bottom w:val="single" w:sz="4" w:space="0" w:color="auto"/>
              <w:right w:val="nil"/>
            </w:tcBorders>
            <w:vAlign w:val="center"/>
          </w:tcPr>
          <w:p w14:paraId="326B1E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82AB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ŠPITALIČ</w:t>
            </w:r>
          </w:p>
        </w:tc>
      </w:tr>
      <w:tr w:rsidR="00072A69" w:rsidRPr="00DC6DF9" w14:paraId="01DC27B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B0AC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669</w:t>
            </w:r>
          </w:p>
        </w:tc>
        <w:tc>
          <w:tcPr>
            <w:tcW w:w="1036" w:type="dxa"/>
            <w:tcBorders>
              <w:top w:val="nil"/>
              <w:left w:val="nil"/>
              <w:bottom w:val="single" w:sz="4" w:space="0" w:color="auto"/>
              <w:right w:val="single" w:sz="4" w:space="0" w:color="auto"/>
            </w:tcBorders>
            <w:shd w:val="clear" w:color="auto" w:fill="auto"/>
            <w:noWrap/>
            <w:vAlign w:val="center"/>
            <w:hideMark/>
          </w:tcPr>
          <w:p w14:paraId="6EC40E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5027713000</w:t>
            </w:r>
          </w:p>
        </w:tc>
        <w:tc>
          <w:tcPr>
            <w:tcW w:w="1036" w:type="dxa"/>
            <w:tcBorders>
              <w:top w:val="nil"/>
              <w:left w:val="nil"/>
              <w:bottom w:val="single" w:sz="4" w:space="0" w:color="auto"/>
              <w:right w:val="single" w:sz="4" w:space="0" w:color="auto"/>
            </w:tcBorders>
            <w:shd w:val="clear" w:color="auto" w:fill="auto"/>
            <w:noWrap/>
            <w:vAlign w:val="center"/>
            <w:hideMark/>
          </w:tcPr>
          <w:p w14:paraId="72602C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92088287</w:t>
            </w:r>
          </w:p>
        </w:tc>
        <w:tc>
          <w:tcPr>
            <w:tcW w:w="160" w:type="dxa"/>
            <w:tcBorders>
              <w:top w:val="nil"/>
              <w:left w:val="nil"/>
              <w:bottom w:val="single" w:sz="4" w:space="0" w:color="auto"/>
              <w:right w:val="nil"/>
            </w:tcBorders>
            <w:vAlign w:val="center"/>
          </w:tcPr>
          <w:p w14:paraId="6E9D38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9B53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TEPANJE</w:t>
            </w:r>
          </w:p>
        </w:tc>
      </w:tr>
      <w:tr w:rsidR="00072A69" w:rsidRPr="00DC6DF9" w14:paraId="7AB806C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EB29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670</w:t>
            </w:r>
          </w:p>
        </w:tc>
        <w:tc>
          <w:tcPr>
            <w:tcW w:w="1036" w:type="dxa"/>
            <w:tcBorders>
              <w:top w:val="nil"/>
              <w:left w:val="nil"/>
              <w:bottom w:val="single" w:sz="4" w:space="0" w:color="auto"/>
              <w:right w:val="single" w:sz="4" w:space="0" w:color="auto"/>
            </w:tcBorders>
            <w:shd w:val="clear" w:color="auto" w:fill="auto"/>
            <w:noWrap/>
            <w:vAlign w:val="center"/>
            <w:hideMark/>
          </w:tcPr>
          <w:p w14:paraId="5992FF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5032741000</w:t>
            </w:r>
          </w:p>
        </w:tc>
        <w:tc>
          <w:tcPr>
            <w:tcW w:w="1036" w:type="dxa"/>
            <w:tcBorders>
              <w:top w:val="nil"/>
              <w:left w:val="nil"/>
              <w:bottom w:val="single" w:sz="4" w:space="0" w:color="auto"/>
              <w:right w:val="single" w:sz="4" w:space="0" w:color="auto"/>
            </w:tcBorders>
            <w:shd w:val="clear" w:color="auto" w:fill="auto"/>
            <w:noWrap/>
            <w:vAlign w:val="center"/>
            <w:hideMark/>
          </w:tcPr>
          <w:p w14:paraId="774F04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72074698</w:t>
            </w:r>
          </w:p>
        </w:tc>
        <w:tc>
          <w:tcPr>
            <w:tcW w:w="160" w:type="dxa"/>
            <w:tcBorders>
              <w:top w:val="nil"/>
              <w:left w:val="nil"/>
              <w:bottom w:val="single" w:sz="4" w:space="0" w:color="auto"/>
              <w:right w:val="nil"/>
            </w:tcBorders>
            <w:vAlign w:val="center"/>
          </w:tcPr>
          <w:p w14:paraId="2D6372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2021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TINJE</w:t>
            </w:r>
          </w:p>
        </w:tc>
      </w:tr>
      <w:tr w:rsidR="00072A69" w:rsidRPr="00DC6DF9" w14:paraId="47CE34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E96E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671</w:t>
            </w:r>
          </w:p>
        </w:tc>
        <w:tc>
          <w:tcPr>
            <w:tcW w:w="1036" w:type="dxa"/>
            <w:tcBorders>
              <w:top w:val="nil"/>
              <w:left w:val="nil"/>
              <w:bottom w:val="single" w:sz="4" w:space="0" w:color="auto"/>
              <w:right w:val="single" w:sz="4" w:space="0" w:color="auto"/>
            </w:tcBorders>
            <w:shd w:val="clear" w:color="auto" w:fill="auto"/>
            <w:noWrap/>
            <w:vAlign w:val="center"/>
            <w:hideMark/>
          </w:tcPr>
          <w:p w14:paraId="16465B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5020620000</w:t>
            </w:r>
          </w:p>
        </w:tc>
        <w:tc>
          <w:tcPr>
            <w:tcW w:w="1036" w:type="dxa"/>
            <w:tcBorders>
              <w:top w:val="nil"/>
              <w:left w:val="nil"/>
              <w:bottom w:val="single" w:sz="4" w:space="0" w:color="auto"/>
              <w:right w:val="single" w:sz="4" w:space="0" w:color="auto"/>
            </w:tcBorders>
            <w:shd w:val="clear" w:color="auto" w:fill="auto"/>
            <w:noWrap/>
            <w:vAlign w:val="center"/>
            <w:hideMark/>
          </w:tcPr>
          <w:p w14:paraId="243B9E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97310476</w:t>
            </w:r>
          </w:p>
        </w:tc>
        <w:tc>
          <w:tcPr>
            <w:tcW w:w="160" w:type="dxa"/>
            <w:tcBorders>
              <w:top w:val="nil"/>
              <w:left w:val="nil"/>
              <w:bottom w:val="single" w:sz="4" w:space="0" w:color="auto"/>
              <w:right w:val="nil"/>
            </w:tcBorders>
            <w:vAlign w:val="center"/>
          </w:tcPr>
          <w:p w14:paraId="1E45758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BB0C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TRNOVO</w:t>
            </w:r>
          </w:p>
        </w:tc>
      </w:tr>
      <w:tr w:rsidR="00072A69" w:rsidRPr="00DC6DF9" w14:paraId="75DCF7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C601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672</w:t>
            </w:r>
          </w:p>
        </w:tc>
        <w:tc>
          <w:tcPr>
            <w:tcW w:w="1036" w:type="dxa"/>
            <w:tcBorders>
              <w:top w:val="nil"/>
              <w:left w:val="nil"/>
              <w:bottom w:val="single" w:sz="4" w:space="0" w:color="auto"/>
              <w:right w:val="single" w:sz="4" w:space="0" w:color="auto"/>
            </w:tcBorders>
            <w:shd w:val="clear" w:color="auto" w:fill="auto"/>
            <w:noWrap/>
            <w:vAlign w:val="center"/>
            <w:hideMark/>
          </w:tcPr>
          <w:p w14:paraId="633EB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5029643000</w:t>
            </w:r>
          </w:p>
        </w:tc>
        <w:tc>
          <w:tcPr>
            <w:tcW w:w="1036" w:type="dxa"/>
            <w:tcBorders>
              <w:top w:val="nil"/>
              <w:left w:val="nil"/>
              <w:bottom w:val="single" w:sz="4" w:space="0" w:color="auto"/>
              <w:right w:val="single" w:sz="4" w:space="0" w:color="auto"/>
            </w:tcBorders>
            <w:shd w:val="clear" w:color="auto" w:fill="auto"/>
            <w:noWrap/>
            <w:vAlign w:val="center"/>
            <w:hideMark/>
          </w:tcPr>
          <w:p w14:paraId="7719C7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73437280</w:t>
            </w:r>
          </w:p>
        </w:tc>
        <w:tc>
          <w:tcPr>
            <w:tcW w:w="160" w:type="dxa"/>
            <w:tcBorders>
              <w:top w:val="nil"/>
              <w:left w:val="nil"/>
              <w:bottom w:val="single" w:sz="4" w:space="0" w:color="auto"/>
              <w:right w:val="nil"/>
            </w:tcBorders>
            <w:vAlign w:val="center"/>
          </w:tcPr>
          <w:p w14:paraId="32F863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008A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TRŽIŠČE</w:t>
            </w:r>
          </w:p>
        </w:tc>
      </w:tr>
      <w:tr w:rsidR="00072A69" w:rsidRPr="00DC6DF9" w14:paraId="5F28F4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0B71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673</w:t>
            </w:r>
          </w:p>
        </w:tc>
        <w:tc>
          <w:tcPr>
            <w:tcW w:w="1036" w:type="dxa"/>
            <w:tcBorders>
              <w:top w:val="nil"/>
              <w:left w:val="nil"/>
              <w:bottom w:val="single" w:sz="4" w:space="0" w:color="auto"/>
              <w:right w:val="single" w:sz="4" w:space="0" w:color="auto"/>
            </w:tcBorders>
            <w:shd w:val="clear" w:color="auto" w:fill="auto"/>
            <w:noWrap/>
            <w:vAlign w:val="center"/>
            <w:hideMark/>
          </w:tcPr>
          <w:p w14:paraId="070A27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5031737000</w:t>
            </w:r>
          </w:p>
        </w:tc>
        <w:tc>
          <w:tcPr>
            <w:tcW w:w="1036" w:type="dxa"/>
            <w:tcBorders>
              <w:top w:val="nil"/>
              <w:left w:val="nil"/>
              <w:bottom w:val="single" w:sz="4" w:space="0" w:color="auto"/>
              <w:right w:val="single" w:sz="4" w:space="0" w:color="auto"/>
            </w:tcBorders>
            <w:shd w:val="clear" w:color="auto" w:fill="auto"/>
            <w:noWrap/>
            <w:vAlign w:val="center"/>
            <w:hideMark/>
          </w:tcPr>
          <w:p w14:paraId="2B8EC4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27450902</w:t>
            </w:r>
          </w:p>
        </w:tc>
        <w:tc>
          <w:tcPr>
            <w:tcW w:w="160" w:type="dxa"/>
            <w:tcBorders>
              <w:top w:val="nil"/>
              <w:left w:val="nil"/>
              <w:bottom w:val="single" w:sz="4" w:space="0" w:color="auto"/>
              <w:right w:val="nil"/>
            </w:tcBorders>
            <w:vAlign w:val="center"/>
          </w:tcPr>
          <w:p w14:paraId="1F233D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F5BB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URŠNA SELA</w:t>
            </w:r>
          </w:p>
        </w:tc>
      </w:tr>
      <w:tr w:rsidR="00072A69" w:rsidRPr="00DC6DF9" w14:paraId="4AFAFA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462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674</w:t>
            </w:r>
          </w:p>
        </w:tc>
        <w:tc>
          <w:tcPr>
            <w:tcW w:w="1036" w:type="dxa"/>
            <w:tcBorders>
              <w:top w:val="nil"/>
              <w:left w:val="nil"/>
              <w:bottom w:val="single" w:sz="4" w:space="0" w:color="auto"/>
              <w:right w:val="single" w:sz="4" w:space="0" w:color="auto"/>
            </w:tcBorders>
            <w:shd w:val="clear" w:color="auto" w:fill="auto"/>
            <w:noWrap/>
            <w:vAlign w:val="center"/>
            <w:hideMark/>
          </w:tcPr>
          <w:p w14:paraId="3B4DB3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5027802000</w:t>
            </w:r>
          </w:p>
        </w:tc>
        <w:tc>
          <w:tcPr>
            <w:tcW w:w="1036" w:type="dxa"/>
            <w:tcBorders>
              <w:top w:val="nil"/>
              <w:left w:val="nil"/>
              <w:bottom w:val="single" w:sz="4" w:space="0" w:color="auto"/>
              <w:right w:val="single" w:sz="4" w:space="0" w:color="auto"/>
            </w:tcBorders>
            <w:shd w:val="clear" w:color="auto" w:fill="auto"/>
            <w:noWrap/>
            <w:vAlign w:val="center"/>
            <w:hideMark/>
          </w:tcPr>
          <w:p w14:paraId="2EF36B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23798904</w:t>
            </w:r>
          </w:p>
        </w:tc>
        <w:tc>
          <w:tcPr>
            <w:tcW w:w="160" w:type="dxa"/>
            <w:tcBorders>
              <w:top w:val="nil"/>
              <w:left w:val="nil"/>
              <w:bottom w:val="single" w:sz="4" w:space="0" w:color="auto"/>
              <w:right w:val="nil"/>
            </w:tcBorders>
            <w:vAlign w:val="center"/>
          </w:tcPr>
          <w:p w14:paraId="4B60FAE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8608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USTJE</w:t>
            </w:r>
          </w:p>
        </w:tc>
      </w:tr>
      <w:tr w:rsidR="00072A69" w:rsidRPr="00DC6DF9" w14:paraId="5A4266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5795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675</w:t>
            </w:r>
          </w:p>
        </w:tc>
        <w:tc>
          <w:tcPr>
            <w:tcW w:w="1036" w:type="dxa"/>
            <w:tcBorders>
              <w:top w:val="nil"/>
              <w:left w:val="nil"/>
              <w:bottom w:val="single" w:sz="4" w:space="0" w:color="auto"/>
              <w:right w:val="single" w:sz="4" w:space="0" w:color="auto"/>
            </w:tcBorders>
            <w:shd w:val="clear" w:color="auto" w:fill="auto"/>
            <w:noWrap/>
            <w:vAlign w:val="center"/>
            <w:hideMark/>
          </w:tcPr>
          <w:p w14:paraId="5014BB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5031532000</w:t>
            </w:r>
          </w:p>
        </w:tc>
        <w:tc>
          <w:tcPr>
            <w:tcW w:w="1036" w:type="dxa"/>
            <w:tcBorders>
              <w:top w:val="nil"/>
              <w:left w:val="nil"/>
              <w:bottom w:val="single" w:sz="4" w:space="0" w:color="auto"/>
              <w:right w:val="single" w:sz="4" w:space="0" w:color="auto"/>
            </w:tcBorders>
            <w:shd w:val="clear" w:color="auto" w:fill="auto"/>
            <w:noWrap/>
            <w:vAlign w:val="center"/>
            <w:hideMark/>
          </w:tcPr>
          <w:p w14:paraId="466522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37837516</w:t>
            </w:r>
          </w:p>
        </w:tc>
        <w:tc>
          <w:tcPr>
            <w:tcW w:w="160" w:type="dxa"/>
            <w:tcBorders>
              <w:top w:val="nil"/>
              <w:left w:val="nil"/>
              <w:bottom w:val="single" w:sz="4" w:space="0" w:color="auto"/>
              <w:right w:val="nil"/>
            </w:tcBorders>
            <w:vAlign w:val="center"/>
          </w:tcPr>
          <w:p w14:paraId="30FA8C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E495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VANGANEL</w:t>
            </w:r>
          </w:p>
        </w:tc>
      </w:tr>
      <w:tr w:rsidR="00072A69" w:rsidRPr="00DC6DF9" w14:paraId="2521E1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6131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676</w:t>
            </w:r>
          </w:p>
        </w:tc>
        <w:tc>
          <w:tcPr>
            <w:tcW w:w="1036" w:type="dxa"/>
            <w:tcBorders>
              <w:top w:val="nil"/>
              <w:left w:val="nil"/>
              <w:bottom w:val="single" w:sz="4" w:space="0" w:color="auto"/>
              <w:right w:val="single" w:sz="4" w:space="0" w:color="auto"/>
            </w:tcBorders>
            <w:shd w:val="clear" w:color="auto" w:fill="auto"/>
            <w:noWrap/>
            <w:vAlign w:val="center"/>
            <w:hideMark/>
          </w:tcPr>
          <w:p w14:paraId="6BC53D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5019532000</w:t>
            </w:r>
          </w:p>
        </w:tc>
        <w:tc>
          <w:tcPr>
            <w:tcW w:w="1036" w:type="dxa"/>
            <w:tcBorders>
              <w:top w:val="nil"/>
              <w:left w:val="nil"/>
              <w:bottom w:val="single" w:sz="4" w:space="0" w:color="auto"/>
              <w:right w:val="single" w:sz="4" w:space="0" w:color="auto"/>
            </w:tcBorders>
            <w:shd w:val="clear" w:color="auto" w:fill="auto"/>
            <w:noWrap/>
            <w:vAlign w:val="center"/>
            <w:hideMark/>
          </w:tcPr>
          <w:p w14:paraId="08D02B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83067876</w:t>
            </w:r>
          </w:p>
        </w:tc>
        <w:tc>
          <w:tcPr>
            <w:tcW w:w="160" w:type="dxa"/>
            <w:tcBorders>
              <w:top w:val="nil"/>
              <w:left w:val="nil"/>
              <w:bottom w:val="single" w:sz="4" w:space="0" w:color="auto"/>
              <w:right w:val="nil"/>
            </w:tcBorders>
            <w:vAlign w:val="center"/>
          </w:tcPr>
          <w:p w14:paraId="3510346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B7A4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VELIKA DOLINA</w:t>
            </w:r>
          </w:p>
        </w:tc>
      </w:tr>
      <w:tr w:rsidR="00072A69" w:rsidRPr="00DC6DF9" w14:paraId="721B3E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D14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677</w:t>
            </w:r>
          </w:p>
        </w:tc>
        <w:tc>
          <w:tcPr>
            <w:tcW w:w="1036" w:type="dxa"/>
            <w:tcBorders>
              <w:top w:val="nil"/>
              <w:left w:val="nil"/>
              <w:bottom w:val="single" w:sz="4" w:space="0" w:color="auto"/>
              <w:right w:val="single" w:sz="4" w:space="0" w:color="auto"/>
            </w:tcBorders>
            <w:shd w:val="clear" w:color="auto" w:fill="auto"/>
            <w:noWrap/>
            <w:vAlign w:val="center"/>
            <w:hideMark/>
          </w:tcPr>
          <w:p w14:paraId="3997DF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5029350000</w:t>
            </w:r>
          </w:p>
        </w:tc>
        <w:tc>
          <w:tcPr>
            <w:tcW w:w="1036" w:type="dxa"/>
            <w:tcBorders>
              <w:top w:val="nil"/>
              <w:left w:val="nil"/>
              <w:bottom w:val="single" w:sz="4" w:space="0" w:color="auto"/>
              <w:right w:val="single" w:sz="4" w:space="0" w:color="auto"/>
            </w:tcBorders>
            <w:shd w:val="clear" w:color="auto" w:fill="auto"/>
            <w:noWrap/>
            <w:vAlign w:val="center"/>
            <w:hideMark/>
          </w:tcPr>
          <w:p w14:paraId="126CEE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77531540</w:t>
            </w:r>
          </w:p>
        </w:tc>
        <w:tc>
          <w:tcPr>
            <w:tcW w:w="160" w:type="dxa"/>
            <w:tcBorders>
              <w:top w:val="nil"/>
              <w:left w:val="nil"/>
              <w:bottom w:val="single" w:sz="4" w:space="0" w:color="auto"/>
              <w:right w:val="nil"/>
            </w:tcBorders>
            <w:vAlign w:val="center"/>
          </w:tcPr>
          <w:p w14:paraId="77FA17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6948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VELIKA NEDELJA</w:t>
            </w:r>
          </w:p>
        </w:tc>
      </w:tr>
      <w:tr w:rsidR="00072A69" w:rsidRPr="00DC6DF9" w14:paraId="27F0F9E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447C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678</w:t>
            </w:r>
          </w:p>
        </w:tc>
        <w:tc>
          <w:tcPr>
            <w:tcW w:w="1036" w:type="dxa"/>
            <w:tcBorders>
              <w:top w:val="nil"/>
              <w:left w:val="nil"/>
              <w:bottom w:val="single" w:sz="4" w:space="0" w:color="auto"/>
              <w:right w:val="single" w:sz="4" w:space="0" w:color="auto"/>
            </w:tcBorders>
            <w:shd w:val="clear" w:color="auto" w:fill="auto"/>
            <w:noWrap/>
            <w:vAlign w:val="center"/>
            <w:hideMark/>
          </w:tcPr>
          <w:p w14:paraId="505934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5028477000</w:t>
            </w:r>
          </w:p>
        </w:tc>
        <w:tc>
          <w:tcPr>
            <w:tcW w:w="1036" w:type="dxa"/>
            <w:tcBorders>
              <w:top w:val="nil"/>
              <w:left w:val="nil"/>
              <w:bottom w:val="single" w:sz="4" w:space="0" w:color="auto"/>
              <w:right w:val="single" w:sz="4" w:space="0" w:color="auto"/>
            </w:tcBorders>
            <w:shd w:val="clear" w:color="auto" w:fill="auto"/>
            <w:noWrap/>
            <w:vAlign w:val="center"/>
            <w:hideMark/>
          </w:tcPr>
          <w:p w14:paraId="094105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91286336</w:t>
            </w:r>
          </w:p>
        </w:tc>
        <w:tc>
          <w:tcPr>
            <w:tcW w:w="160" w:type="dxa"/>
            <w:tcBorders>
              <w:top w:val="nil"/>
              <w:left w:val="nil"/>
              <w:bottom w:val="single" w:sz="4" w:space="0" w:color="auto"/>
              <w:right w:val="nil"/>
            </w:tcBorders>
            <w:vAlign w:val="center"/>
          </w:tcPr>
          <w:p w14:paraId="1E78D2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23E4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VELIKE ŽABLJE</w:t>
            </w:r>
          </w:p>
        </w:tc>
      </w:tr>
      <w:tr w:rsidR="00072A69" w:rsidRPr="00DC6DF9" w14:paraId="58366E6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AEEB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679</w:t>
            </w:r>
          </w:p>
        </w:tc>
        <w:tc>
          <w:tcPr>
            <w:tcW w:w="1036" w:type="dxa"/>
            <w:tcBorders>
              <w:top w:val="nil"/>
              <w:left w:val="nil"/>
              <w:bottom w:val="single" w:sz="4" w:space="0" w:color="auto"/>
              <w:right w:val="single" w:sz="4" w:space="0" w:color="auto"/>
            </w:tcBorders>
            <w:shd w:val="clear" w:color="auto" w:fill="auto"/>
            <w:noWrap/>
            <w:vAlign w:val="center"/>
            <w:hideMark/>
          </w:tcPr>
          <w:p w14:paraId="6B99FB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5185521000</w:t>
            </w:r>
          </w:p>
        </w:tc>
        <w:tc>
          <w:tcPr>
            <w:tcW w:w="1036" w:type="dxa"/>
            <w:tcBorders>
              <w:top w:val="nil"/>
              <w:left w:val="nil"/>
              <w:bottom w:val="single" w:sz="4" w:space="0" w:color="auto"/>
              <w:right w:val="single" w:sz="4" w:space="0" w:color="auto"/>
            </w:tcBorders>
            <w:shd w:val="clear" w:color="auto" w:fill="auto"/>
            <w:noWrap/>
            <w:vAlign w:val="center"/>
            <w:hideMark/>
          </w:tcPr>
          <w:p w14:paraId="0D5650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17135974</w:t>
            </w:r>
          </w:p>
        </w:tc>
        <w:tc>
          <w:tcPr>
            <w:tcW w:w="160" w:type="dxa"/>
            <w:tcBorders>
              <w:top w:val="nil"/>
              <w:left w:val="nil"/>
              <w:bottom w:val="single" w:sz="4" w:space="0" w:color="auto"/>
              <w:right w:val="nil"/>
            </w:tcBorders>
            <w:vAlign w:val="center"/>
          </w:tcPr>
          <w:p w14:paraId="434C24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11E2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VELIKI PODLOG</w:t>
            </w:r>
          </w:p>
        </w:tc>
      </w:tr>
      <w:tr w:rsidR="00072A69" w:rsidRPr="00DC6DF9" w14:paraId="59C6DC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36F5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680</w:t>
            </w:r>
          </w:p>
        </w:tc>
        <w:tc>
          <w:tcPr>
            <w:tcW w:w="1036" w:type="dxa"/>
            <w:tcBorders>
              <w:top w:val="nil"/>
              <w:left w:val="nil"/>
              <w:bottom w:val="single" w:sz="4" w:space="0" w:color="auto"/>
              <w:right w:val="single" w:sz="4" w:space="0" w:color="auto"/>
            </w:tcBorders>
            <w:shd w:val="clear" w:color="auto" w:fill="auto"/>
            <w:noWrap/>
            <w:vAlign w:val="center"/>
            <w:hideMark/>
          </w:tcPr>
          <w:p w14:paraId="46773E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5020077000</w:t>
            </w:r>
          </w:p>
        </w:tc>
        <w:tc>
          <w:tcPr>
            <w:tcW w:w="1036" w:type="dxa"/>
            <w:tcBorders>
              <w:top w:val="nil"/>
              <w:left w:val="nil"/>
              <w:bottom w:val="single" w:sz="4" w:space="0" w:color="auto"/>
              <w:right w:val="single" w:sz="4" w:space="0" w:color="auto"/>
            </w:tcBorders>
            <w:shd w:val="clear" w:color="auto" w:fill="auto"/>
            <w:noWrap/>
            <w:vAlign w:val="center"/>
            <w:hideMark/>
          </w:tcPr>
          <w:p w14:paraId="679251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69465690</w:t>
            </w:r>
          </w:p>
        </w:tc>
        <w:tc>
          <w:tcPr>
            <w:tcW w:w="160" w:type="dxa"/>
            <w:tcBorders>
              <w:top w:val="nil"/>
              <w:left w:val="nil"/>
              <w:bottom w:val="single" w:sz="4" w:space="0" w:color="auto"/>
              <w:right w:val="nil"/>
            </w:tcBorders>
            <w:vAlign w:val="center"/>
          </w:tcPr>
          <w:p w14:paraId="73544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F05A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VELIKI TRN</w:t>
            </w:r>
          </w:p>
        </w:tc>
      </w:tr>
      <w:tr w:rsidR="00072A69" w:rsidRPr="00DC6DF9" w14:paraId="019DD8D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050D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681</w:t>
            </w:r>
          </w:p>
        </w:tc>
        <w:tc>
          <w:tcPr>
            <w:tcW w:w="1036" w:type="dxa"/>
            <w:tcBorders>
              <w:top w:val="nil"/>
              <w:left w:val="nil"/>
              <w:bottom w:val="single" w:sz="4" w:space="0" w:color="auto"/>
              <w:right w:val="single" w:sz="4" w:space="0" w:color="auto"/>
            </w:tcBorders>
            <w:shd w:val="clear" w:color="auto" w:fill="auto"/>
            <w:noWrap/>
            <w:vAlign w:val="center"/>
            <w:hideMark/>
          </w:tcPr>
          <w:p w14:paraId="05E344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1750941000</w:t>
            </w:r>
          </w:p>
        </w:tc>
        <w:tc>
          <w:tcPr>
            <w:tcW w:w="1036" w:type="dxa"/>
            <w:tcBorders>
              <w:top w:val="nil"/>
              <w:left w:val="nil"/>
              <w:bottom w:val="single" w:sz="4" w:space="0" w:color="auto"/>
              <w:right w:val="single" w:sz="4" w:space="0" w:color="auto"/>
            </w:tcBorders>
            <w:shd w:val="clear" w:color="auto" w:fill="auto"/>
            <w:noWrap/>
            <w:vAlign w:val="center"/>
            <w:hideMark/>
          </w:tcPr>
          <w:p w14:paraId="7AD0AF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36571482</w:t>
            </w:r>
          </w:p>
        </w:tc>
        <w:tc>
          <w:tcPr>
            <w:tcW w:w="160" w:type="dxa"/>
            <w:tcBorders>
              <w:top w:val="nil"/>
              <w:left w:val="nil"/>
              <w:bottom w:val="single" w:sz="4" w:space="0" w:color="auto"/>
              <w:right w:val="nil"/>
            </w:tcBorders>
            <w:vAlign w:val="center"/>
          </w:tcPr>
          <w:p w14:paraId="32E3B50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A3F9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VEŠČICA</w:t>
            </w:r>
          </w:p>
        </w:tc>
      </w:tr>
      <w:tr w:rsidR="00072A69" w:rsidRPr="00DC6DF9" w14:paraId="1E0D6C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9408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682</w:t>
            </w:r>
          </w:p>
        </w:tc>
        <w:tc>
          <w:tcPr>
            <w:tcW w:w="1036" w:type="dxa"/>
            <w:tcBorders>
              <w:top w:val="nil"/>
              <w:left w:val="nil"/>
              <w:bottom w:val="single" w:sz="4" w:space="0" w:color="auto"/>
              <w:right w:val="single" w:sz="4" w:space="0" w:color="auto"/>
            </w:tcBorders>
            <w:shd w:val="clear" w:color="auto" w:fill="auto"/>
            <w:noWrap/>
            <w:vAlign w:val="center"/>
            <w:hideMark/>
          </w:tcPr>
          <w:p w14:paraId="0D26F9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5032377000</w:t>
            </w:r>
          </w:p>
        </w:tc>
        <w:tc>
          <w:tcPr>
            <w:tcW w:w="1036" w:type="dxa"/>
            <w:tcBorders>
              <w:top w:val="nil"/>
              <w:left w:val="nil"/>
              <w:bottom w:val="single" w:sz="4" w:space="0" w:color="auto"/>
              <w:right w:val="single" w:sz="4" w:space="0" w:color="auto"/>
            </w:tcBorders>
            <w:shd w:val="clear" w:color="auto" w:fill="auto"/>
            <w:noWrap/>
            <w:vAlign w:val="center"/>
            <w:hideMark/>
          </w:tcPr>
          <w:p w14:paraId="2B3649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16663527</w:t>
            </w:r>
          </w:p>
        </w:tc>
        <w:tc>
          <w:tcPr>
            <w:tcW w:w="160" w:type="dxa"/>
            <w:tcBorders>
              <w:top w:val="nil"/>
              <w:left w:val="nil"/>
              <w:bottom w:val="single" w:sz="4" w:space="0" w:color="auto"/>
              <w:right w:val="nil"/>
            </w:tcBorders>
            <w:vAlign w:val="center"/>
          </w:tcPr>
          <w:p w14:paraId="5CB4BC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A918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VEŠENIK - BRDO</w:t>
            </w:r>
          </w:p>
        </w:tc>
      </w:tr>
      <w:tr w:rsidR="00072A69" w:rsidRPr="00DC6DF9" w14:paraId="774698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0129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683</w:t>
            </w:r>
          </w:p>
        </w:tc>
        <w:tc>
          <w:tcPr>
            <w:tcW w:w="1036" w:type="dxa"/>
            <w:tcBorders>
              <w:top w:val="nil"/>
              <w:left w:val="nil"/>
              <w:bottom w:val="single" w:sz="4" w:space="0" w:color="auto"/>
              <w:right w:val="single" w:sz="4" w:space="0" w:color="auto"/>
            </w:tcBorders>
            <w:shd w:val="clear" w:color="auto" w:fill="auto"/>
            <w:noWrap/>
            <w:vAlign w:val="center"/>
            <w:hideMark/>
          </w:tcPr>
          <w:p w14:paraId="3BB451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5019478000</w:t>
            </w:r>
          </w:p>
        </w:tc>
        <w:tc>
          <w:tcPr>
            <w:tcW w:w="1036" w:type="dxa"/>
            <w:tcBorders>
              <w:top w:val="nil"/>
              <w:left w:val="nil"/>
              <w:bottom w:val="single" w:sz="4" w:space="0" w:color="auto"/>
              <w:right w:val="single" w:sz="4" w:space="0" w:color="auto"/>
            </w:tcBorders>
            <w:shd w:val="clear" w:color="auto" w:fill="auto"/>
            <w:noWrap/>
            <w:vAlign w:val="center"/>
            <w:hideMark/>
          </w:tcPr>
          <w:p w14:paraId="0FB155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44218117</w:t>
            </w:r>
          </w:p>
        </w:tc>
        <w:tc>
          <w:tcPr>
            <w:tcW w:w="160" w:type="dxa"/>
            <w:tcBorders>
              <w:top w:val="nil"/>
              <w:left w:val="nil"/>
              <w:bottom w:val="single" w:sz="4" w:space="0" w:color="auto"/>
              <w:right w:val="nil"/>
            </w:tcBorders>
            <w:vAlign w:val="center"/>
          </w:tcPr>
          <w:p w14:paraId="212C909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B2CB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VIPAVSKI KRIŽ</w:t>
            </w:r>
          </w:p>
        </w:tc>
      </w:tr>
      <w:tr w:rsidR="00072A69" w:rsidRPr="00DC6DF9" w14:paraId="06ACF0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43C0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684</w:t>
            </w:r>
          </w:p>
        </w:tc>
        <w:tc>
          <w:tcPr>
            <w:tcW w:w="1036" w:type="dxa"/>
            <w:tcBorders>
              <w:top w:val="nil"/>
              <w:left w:val="nil"/>
              <w:bottom w:val="single" w:sz="4" w:space="0" w:color="auto"/>
              <w:right w:val="single" w:sz="4" w:space="0" w:color="auto"/>
            </w:tcBorders>
            <w:shd w:val="clear" w:color="auto" w:fill="auto"/>
            <w:noWrap/>
            <w:vAlign w:val="center"/>
            <w:hideMark/>
          </w:tcPr>
          <w:p w14:paraId="44380F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5017262000</w:t>
            </w:r>
          </w:p>
        </w:tc>
        <w:tc>
          <w:tcPr>
            <w:tcW w:w="1036" w:type="dxa"/>
            <w:tcBorders>
              <w:top w:val="nil"/>
              <w:left w:val="nil"/>
              <w:bottom w:val="single" w:sz="4" w:space="0" w:color="auto"/>
              <w:right w:val="single" w:sz="4" w:space="0" w:color="auto"/>
            </w:tcBorders>
            <w:shd w:val="clear" w:color="auto" w:fill="auto"/>
            <w:noWrap/>
            <w:vAlign w:val="center"/>
            <w:hideMark/>
          </w:tcPr>
          <w:p w14:paraId="35C0E9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73099236</w:t>
            </w:r>
          </w:p>
        </w:tc>
        <w:tc>
          <w:tcPr>
            <w:tcW w:w="160" w:type="dxa"/>
            <w:tcBorders>
              <w:top w:val="nil"/>
              <w:left w:val="nil"/>
              <w:bottom w:val="single" w:sz="4" w:space="0" w:color="auto"/>
              <w:right w:val="nil"/>
            </w:tcBorders>
            <w:vAlign w:val="center"/>
          </w:tcPr>
          <w:p w14:paraId="44C323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40B6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VODOVODNI STOLP</w:t>
            </w:r>
          </w:p>
        </w:tc>
      </w:tr>
      <w:tr w:rsidR="00072A69" w:rsidRPr="00DC6DF9" w14:paraId="3F15F6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9FB0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685</w:t>
            </w:r>
          </w:p>
        </w:tc>
        <w:tc>
          <w:tcPr>
            <w:tcW w:w="1036" w:type="dxa"/>
            <w:tcBorders>
              <w:top w:val="nil"/>
              <w:left w:val="nil"/>
              <w:bottom w:val="single" w:sz="4" w:space="0" w:color="auto"/>
              <w:right w:val="single" w:sz="4" w:space="0" w:color="auto"/>
            </w:tcBorders>
            <w:shd w:val="clear" w:color="auto" w:fill="auto"/>
            <w:noWrap/>
            <w:vAlign w:val="center"/>
            <w:hideMark/>
          </w:tcPr>
          <w:p w14:paraId="10490D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2254883000</w:t>
            </w:r>
          </w:p>
        </w:tc>
        <w:tc>
          <w:tcPr>
            <w:tcW w:w="1036" w:type="dxa"/>
            <w:tcBorders>
              <w:top w:val="nil"/>
              <w:left w:val="nil"/>
              <w:bottom w:val="single" w:sz="4" w:space="0" w:color="auto"/>
              <w:right w:val="single" w:sz="4" w:space="0" w:color="auto"/>
            </w:tcBorders>
            <w:shd w:val="clear" w:color="auto" w:fill="auto"/>
            <w:noWrap/>
            <w:vAlign w:val="center"/>
            <w:hideMark/>
          </w:tcPr>
          <w:p w14:paraId="5D91F3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99133121</w:t>
            </w:r>
          </w:p>
        </w:tc>
        <w:tc>
          <w:tcPr>
            <w:tcW w:w="160" w:type="dxa"/>
            <w:tcBorders>
              <w:top w:val="nil"/>
              <w:left w:val="nil"/>
              <w:bottom w:val="single" w:sz="4" w:space="0" w:color="auto"/>
              <w:right w:val="nil"/>
            </w:tcBorders>
            <w:vAlign w:val="center"/>
          </w:tcPr>
          <w:p w14:paraId="43461C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B342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VRBNO - PODGRAD</w:t>
            </w:r>
          </w:p>
        </w:tc>
      </w:tr>
      <w:tr w:rsidR="00072A69" w:rsidRPr="00DC6DF9" w14:paraId="02E0CA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9CA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686</w:t>
            </w:r>
          </w:p>
        </w:tc>
        <w:tc>
          <w:tcPr>
            <w:tcW w:w="1036" w:type="dxa"/>
            <w:tcBorders>
              <w:top w:val="nil"/>
              <w:left w:val="nil"/>
              <w:bottom w:val="single" w:sz="4" w:space="0" w:color="auto"/>
              <w:right w:val="single" w:sz="4" w:space="0" w:color="auto"/>
            </w:tcBorders>
            <w:shd w:val="clear" w:color="auto" w:fill="auto"/>
            <w:noWrap/>
            <w:vAlign w:val="center"/>
            <w:hideMark/>
          </w:tcPr>
          <w:p w14:paraId="3DB762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5181640000</w:t>
            </w:r>
          </w:p>
        </w:tc>
        <w:tc>
          <w:tcPr>
            <w:tcW w:w="1036" w:type="dxa"/>
            <w:tcBorders>
              <w:top w:val="nil"/>
              <w:left w:val="nil"/>
              <w:bottom w:val="single" w:sz="4" w:space="0" w:color="auto"/>
              <w:right w:val="single" w:sz="4" w:space="0" w:color="auto"/>
            </w:tcBorders>
            <w:shd w:val="clear" w:color="auto" w:fill="auto"/>
            <w:noWrap/>
            <w:vAlign w:val="center"/>
            <w:hideMark/>
          </w:tcPr>
          <w:p w14:paraId="3F404D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48180840</w:t>
            </w:r>
          </w:p>
        </w:tc>
        <w:tc>
          <w:tcPr>
            <w:tcW w:w="160" w:type="dxa"/>
            <w:tcBorders>
              <w:top w:val="nil"/>
              <w:left w:val="nil"/>
              <w:bottom w:val="single" w:sz="4" w:space="0" w:color="auto"/>
              <w:right w:val="nil"/>
            </w:tcBorders>
            <w:vAlign w:val="center"/>
          </w:tcPr>
          <w:p w14:paraId="20EACA3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5CBD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VRHOLE-PRELOGE</w:t>
            </w:r>
          </w:p>
        </w:tc>
      </w:tr>
      <w:tr w:rsidR="00072A69" w:rsidRPr="00DC6DF9" w14:paraId="695A9D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B429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687</w:t>
            </w:r>
          </w:p>
        </w:tc>
        <w:tc>
          <w:tcPr>
            <w:tcW w:w="1036" w:type="dxa"/>
            <w:tcBorders>
              <w:top w:val="nil"/>
              <w:left w:val="nil"/>
              <w:bottom w:val="single" w:sz="4" w:space="0" w:color="auto"/>
              <w:right w:val="single" w:sz="4" w:space="0" w:color="auto"/>
            </w:tcBorders>
            <w:shd w:val="clear" w:color="auto" w:fill="auto"/>
            <w:noWrap/>
            <w:vAlign w:val="center"/>
            <w:hideMark/>
          </w:tcPr>
          <w:p w14:paraId="0EB8E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5026733000</w:t>
            </w:r>
          </w:p>
        </w:tc>
        <w:tc>
          <w:tcPr>
            <w:tcW w:w="1036" w:type="dxa"/>
            <w:tcBorders>
              <w:top w:val="nil"/>
              <w:left w:val="nil"/>
              <w:bottom w:val="single" w:sz="4" w:space="0" w:color="auto"/>
              <w:right w:val="single" w:sz="4" w:space="0" w:color="auto"/>
            </w:tcBorders>
            <w:shd w:val="clear" w:color="auto" w:fill="auto"/>
            <w:noWrap/>
            <w:vAlign w:val="center"/>
            <w:hideMark/>
          </w:tcPr>
          <w:p w14:paraId="660FDD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11032278</w:t>
            </w:r>
          </w:p>
        </w:tc>
        <w:tc>
          <w:tcPr>
            <w:tcW w:w="160" w:type="dxa"/>
            <w:tcBorders>
              <w:top w:val="nil"/>
              <w:left w:val="nil"/>
              <w:bottom w:val="single" w:sz="4" w:space="0" w:color="auto"/>
              <w:right w:val="nil"/>
            </w:tcBorders>
            <w:vAlign w:val="center"/>
          </w:tcPr>
          <w:p w14:paraId="09B954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DEA4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VRTOVIN</w:t>
            </w:r>
          </w:p>
        </w:tc>
      </w:tr>
      <w:tr w:rsidR="00072A69" w:rsidRPr="00DC6DF9" w14:paraId="56268F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5E8B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688</w:t>
            </w:r>
          </w:p>
        </w:tc>
        <w:tc>
          <w:tcPr>
            <w:tcW w:w="1036" w:type="dxa"/>
            <w:tcBorders>
              <w:top w:val="nil"/>
              <w:left w:val="nil"/>
              <w:bottom w:val="single" w:sz="4" w:space="0" w:color="auto"/>
              <w:right w:val="single" w:sz="4" w:space="0" w:color="auto"/>
            </w:tcBorders>
            <w:shd w:val="clear" w:color="auto" w:fill="auto"/>
            <w:noWrap/>
            <w:vAlign w:val="center"/>
            <w:hideMark/>
          </w:tcPr>
          <w:p w14:paraId="4A0DF4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5020808000</w:t>
            </w:r>
          </w:p>
        </w:tc>
        <w:tc>
          <w:tcPr>
            <w:tcW w:w="1036" w:type="dxa"/>
            <w:tcBorders>
              <w:top w:val="nil"/>
              <w:left w:val="nil"/>
              <w:bottom w:val="single" w:sz="4" w:space="0" w:color="auto"/>
              <w:right w:val="single" w:sz="4" w:space="0" w:color="auto"/>
            </w:tcBorders>
            <w:shd w:val="clear" w:color="auto" w:fill="auto"/>
            <w:noWrap/>
            <w:vAlign w:val="center"/>
            <w:hideMark/>
          </w:tcPr>
          <w:p w14:paraId="147219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88731391</w:t>
            </w:r>
          </w:p>
        </w:tc>
        <w:tc>
          <w:tcPr>
            <w:tcW w:w="160" w:type="dxa"/>
            <w:tcBorders>
              <w:top w:val="nil"/>
              <w:left w:val="nil"/>
              <w:bottom w:val="single" w:sz="4" w:space="0" w:color="auto"/>
              <w:right w:val="nil"/>
            </w:tcBorders>
            <w:vAlign w:val="center"/>
          </w:tcPr>
          <w:p w14:paraId="784CEB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0112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ZABUKOVJE</w:t>
            </w:r>
          </w:p>
        </w:tc>
      </w:tr>
      <w:tr w:rsidR="00072A69" w:rsidRPr="00DC6DF9" w14:paraId="40A96E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4E73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689</w:t>
            </w:r>
          </w:p>
        </w:tc>
        <w:tc>
          <w:tcPr>
            <w:tcW w:w="1036" w:type="dxa"/>
            <w:tcBorders>
              <w:top w:val="nil"/>
              <w:left w:val="nil"/>
              <w:bottom w:val="single" w:sz="4" w:space="0" w:color="auto"/>
              <w:right w:val="single" w:sz="4" w:space="0" w:color="auto"/>
            </w:tcBorders>
            <w:shd w:val="clear" w:color="auto" w:fill="auto"/>
            <w:noWrap/>
            <w:vAlign w:val="center"/>
            <w:hideMark/>
          </w:tcPr>
          <w:p w14:paraId="7CB104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5028647000</w:t>
            </w:r>
          </w:p>
        </w:tc>
        <w:tc>
          <w:tcPr>
            <w:tcW w:w="1036" w:type="dxa"/>
            <w:tcBorders>
              <w:top w:val="nil"/>
              <w:left w:val="nil"/>
              <w:bottom w:val="single" w:sz="4" w:space="0" w:color="auto"/>
              <w:right w:val="single" w:sz="4" w:space="0" w:color="auto"/>
            </w:tcBorders>
            <w:shd w:val="clear" w:color="auto" w:fill="auto"/>
            <w:noWrap/>
            <w:vAlign w:val="center"/>
            <w:hideMark/>
          </w:tcPr>
          <w:p w14:paraId="2E152B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87567644</w:t>
            </w:r>
          </w:p>
        </w:tc>
        <w:tc>
          <w:tcPr>
            <w:tcW w:w="160" w:type="dxa"/>
            <w:tcBorders>
              <w:top w:val="nil"/>
              <w:left w:val="nil"/>
              <w:bottom w:val="single" w:sz="4" w:space="0" w:color="auto"/>
              <w:right w:val="nil"/>
            </w:tcBorders>
            <w:vAlign w:val="center"/>
          </w:tcPr>
          <w:p w14:paraId="7D3AEE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E0BC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ZAKOT-BUKOŠEK-TRNJE</w:t>
            </w:r>
          </w:p>
        </w:tc>
      </w:tr>
      <w:tr w:rsidR="00072A69" w:rsidRPr="00DC6DF9" w14:paraId="4C3CFC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0E5F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690</w:t>
            </w:r>
          </w:p>
        </w:tc>
        <w:tc>
          <w:tcPr>
            <w:tcW w:w="1036" w:type="dxa"/>
            <w:tcBorders>
              <w:top w:val="nil"/>
              <w:left w:val="nil"/>
              <w:bottom w:val="single" w:sz="4" w:space="0" w:color="auto"/>
              <w:right w:val="single" w:sz="4" w:space="0" w:color="auto"/>
            </w:tcBorders>
            <w:shd w:val="clear" w:color="auto" w:fill="auto"/>
            <w:noWrap/>
            <w:vAlign w:val="center"/>
            <w:hideMark/>
          </w:tcPr>
          <w:p w14:paraId="2562AA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5019001000</w:t>
            </w:r>
          </w:p>
        </w:tc>
        <w:tc>
          <w:tcPr>
            <w:tcW w:w="1036" w:type="dxa"/>
            <w:tcBorders>
              <w:top w:val="nil"/>
              <w:left w:val="nil"/>
              <w:bottom w:val="single" w:sz="4" w:space="0" w:color="auto"/>
              <w:right w:val="single" w:sz="4" w:space="0" w:color="auto"/>
            </w:tcBorders>
            <w:shd w:val="clear" w:color="auto" w:fill="auto"/>
            <w:noWrap/>
            <w:vAlign w:val="center"/>
            <w:hideMark/>
          </w:tcPr>
          <w:p w14:paraId="552782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85574805</w:t>
            </w:r>
          </w:p>
        </w:tc>
        <w:tc>
          <w:tcPr>
            <w:tcW w:w="160" w:type="dxa"/>
            <w:tcBorders>
              <w:top w:val="nil"/>
              <w:left w:val="nil"/>
              <w:bottom w:val="single" w:sz="4" w:space="0" w:color="auto"/>
              <w:right w:val="nil"/>
            </w:tcBorders>
            <w:vAlign w:val="center"/>
          </w:tcPr>
          <w:p w14:paraId="67CECF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ED93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ZBELOVO</w:t>
            </w:r>
          </w:p>
        </w:tc>
      </w:tr>
      <w:tr w:rsidR="00072A69" w:rsidRPr="00DC6DF9" w14:paraId="1B70FB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A562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691</w:t>
            </w:r>
          </w:p>
        </w:tc>
        <w:tc>
          <w:tcPr>
            <w:tcW w:w="1036" w:type="dxa"/>
            <w:tcBorders>
              <w:top w:val="nil"/>
              <w:left w:val="nil"/>
              <w:bottom w:val="single" w:sz="4" w:space="0" w:color="auto"/>
              <w:right w:val="single" w:sz="4" w:space="0" w:color="auto"/>
            </w:tcBorders>
            <w:shd w:val="clear" w:color="auto" w:fill="auto"/>
            <w:noWrap/>
            <w:vAlign w:val="center"/>
            <w:hideMark/>
          </w:tcPr>
          <w:p w14:paraId="15C117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5031567000</w:t>
            </w:r>
          </w:p>
        </w:tc>
        <w:tc>
          <w:tcPr>
            <w:tcW w:w="1036" w:type="dxa"/>
            <w:tcBorders>
              <w:top w:val="nil"/>
              <w:left w:val="nil"/>
              <w:bottom w:val="single" w:sz="4" w:space="0" w:color="auto"/>
              <w:right w:val="single" w:sz="4" w:space="0" w:color="auto"/>
            </w:tcBorders>
            <w:shd w:val="clear" w:color="auto" w:fill="auto"/>
            <w:noWrap/>
            <w:vAlign w:val="center"/>
            <w:hideMark/>
          </w:tcPr>
          <w:p w14:paraId="2BBBEA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23380144</w:t>
            </w:r>
          </w:p>
        </w:tc>
        <w:tc>
          <w:tcPr>
            <w:tcW w:w="160" w:type="dxa"/>
            <w:tcBorders>
              <w:top w:val="nil"/>
              <w:left w:val="nil"/>
              <w:bottom w:val="single" w:sz="4" w:space="0" w:color="auto"/>
              <w:right w:val="nil"/>
            </w:tcBorders>
            <w:vAlign w:val="center"/>
          </w:tcPr>
          <w:p w14:paraId="631FD2B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E49D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ZDOLE</w:t>
            </w:r>
          </w:p>
        </w:tc>
      </w:tr>
      <w:tr w:rsidR="00072A69" w:rsidRPr="00DC6DF9" w14:paraId="51EA7F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65F0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692</w:t>
            </w:r>
          </w:p>
        </w:tc>
        <w:tc>
          <w:tcPr>
            <w:tcW w:w="1036" w:type="dxa"/>
            <w:tcBorders>
              <w:top w:val="nil"/>
              <w:left w:val="nil"/>
              <w:bottom w:val="single" w:sz="4" w:space="0" w:color="auto"/>
              <w:right w:val="single" w:sz="4" w:space="0" w:color="auto"/>
            </w:tcBorders>
            <w:shd w:val="clear" w:color="auto" w:fill="auto"/>
            <w:noWrap/>
            <w:vAlign w:val="center"/>
            <w:hideMark/>
          </w:tcPr>
          <w:p w14:paraId="59D584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5032407000</w:t>
            </w:r>
          </w:p>
        </w:tc>
        <w:tc>
          <w:tcPr>
            <w:tcW w:w="1036" w:type="dxa"/>
            <w:tcBorders>
              <w:top w:val="nil"/>
              <w:left w:val="nil"/>
              <w:bottom w:val="single" w:sz="4" w:space="0" w:color="auto"/>
              <w:right w:val="single" w:sz="4" w:space="0" w:color="auto"/>
            </w:tcBorders>
            <w:shd w:val="clear" w:color="auto" w:fill="auto"/>
            <w:noWrap/>
            <w:vAlign w:val="center"/>
            <w:hideMark/>
          </w:tcPr>
          <w:p w14:paraId="6F597E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33990611</w:t>
            </w:r>
          </w:p>
        </w:tc>
        <w:tc>
          <w:tcPr>
            <w:tcW w:w="160" w:type="dxa"/>
            <w:tcBorders>
              <w:top w:val="nil"/>
              <w:left w:val="nil"/>
              <w:bottom w:val="single" w:sz="4" w:space="0" w:color="auto"/>
              <w:right w:val="nil"/>
            </w:tcBorders>
            <w:vAlign w:val="center"/>
          </w:tcPr>
          <w:p w14:paraId="5768C82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D2AA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ZEČE</w:t>
            </w:r>
          </w:p>
        </w:tc>
      </w:tr>
      <w:tr w:rsidR="00072A69" w:rsidRPr="00DC6DF9" w14:paraId="78C48D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17CA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693</w:t>
            </w:r>
          </w:p>
        </w:tc>
        <w:tc>
          <w:tcPr>
            <w:tcW w:w="1036" w:type="dxa"/>
            <w:tcBorders>
              <w:top w:val="nil"/>
              <w:left w:val="nil"/>
              <w:bottom w:val="single" w:sz="4" w:space="0" w:color="auto"/>
              <w:right w:val="single" w:sz="4" w:space="0" w:color="auto"/>
            </w:tcBorders>
            <w:shd w:val="clear" w:color="auto" w:fill="auto"/>
            <w:noWrap/>
            <w:vAlign w:val="center"/>
            <w:hideMark/>
          </w:tcPr>
          <w:p w14:paraId="27B873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5018951000</w:t>
            </w:r>
          </w:p>
        </w:tc>
        <w:tc>
          <w:tcPr>
            <w:tcW w:w="1036" w:type="dxa"/>
            <w:tcBorders>
              <w:top w:val="nil"/>
              <w:left w:val="nil"/>
              <w:bottom w:val="single" w:sz="4" w:space="0" w:color="auto"/>
              <w:right w:val="single" w:sz="4" w:space="0" w:color="auto"/>
            </w:tcBorders>
            <w:shd w:val="clear" w:color="auto" w:fill="auto"/>
            <w:noWrap/>
            <w:vAlign w:val="center"/>
            <w:hideMark/>
          </w:tcPr>
          <w:p w14:paraId="6A26FC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32175302</w:t>
            </w:r>
          </w:p>
        </w:tc>
        <w:tc>
          <w:tcPr>
            <w:tcW w:w="160" w:type="dxa"/>
            <w:tcBorders>
              <w:top w:val="nil"/>
              <w:left w:val="nil"/>
              <w:bottom w:val="single" w:sz="4" w:space="0" w:color="auto"/>
              <w:right w:val="nil"/>
            </w:tcBorders>
            <w:vAlign w:val="center"/>
          </w:tcPr>
          <w:p w14:paraId="74C02F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F609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ZGORNJA LOŽNICA</w:t>
            </w:r>
          </w:p>
        </w:tc>
      </w:tr>
      <w:tr w:rsidR="00072A69" w:rsidRPr="00DC6DF9" w14:paraId="438BFF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7870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694</w:t>
            </w:r>
          </w:p>
        </w:tc>
        <w:tc>
          <w:tcPr>
            <w:tcW w:w="1036" w:type="dxa"/>
            <w:tcBorders>
              <w:top w:val="nil"/>
              <w:left w:val="nil"/>
              <w:bottom w:val="single" w:sz="4" w:space="0" w:color="auto"/>
              <w:right w:val="single" w:sz="4" w:space="0" w:color="auto"/>
            </w:tcBorders>
            <w:shd w:val="clear" w:color="auto" w:fill="auto"/>
            <w:noWrap/>
            <w:vAlign w:val="center"/>
            <w:hideMark/>
          </w:tcPr>
          <w:p w14:paraId="5285D9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5020905000</w:t>
            </w:r>
          </w:p>
        </w:tc>
        <w:tc>
          <w:tcPr>
            <w:tcW w:w="1036" w:type="dxa"/>
            <w:tcBorders>
              <w:top w:val="nil"/>
              <w:left w:val="nil"/>
              <w:bottom w:val="single" w:sz="4" w:space="0" w:color="auto"/>
              <w:right w:val="single" w:sz="4" w:space="0" w:color="auto"/>
            </w:tcBorders>
            <w:shd w:val="clear" w:color="auto" w:fill="auto"/>
            <w:noWrap/>
            <w:vAlign w:val="center"/>
            <w:hideMark/>
          </w:tcPr>
          <w:p w14:paraId="73E5D9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42311993</w:t>
            </w:r>
          </w:p>
        </w:tc>
        <w:tc>
          <w:tcPr>
            <w:tcW w:w="160" w:type="dxa"/>
            <w:tcBorders>
              <w:top w:val="nil"/>
              <w:left w:val="nil"/>
              <w:bottom w:val="single" w:sz="4" w:space="0" w:color="auto"/>
              <w:right w:val="nil"/>
            </w:tcBorders>
            <w:vAlign w:val="center"/>
          </w:tcPr>
          <w:p w14:paraId="53D5689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1AAD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ZGORNJA POLSKAVA</w:t>
            </w:r>
          </w:p>
        </w:tc>
      </w:tr>
      <w:tr w:rsidR="00072A69" w:rsidRPr="00DC6DF9" w14:paraId="22DAE4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D1D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695</w:t>
            </w:r>
          </w:p>
        </w:tc>
        <w:tc>
          <w:tcPr>
            <w:tcW w:w="1036" w:type="dxa"/>
            <w:tcBorders>
              <w:top w:val="nil"/>
              <w:left w:val="nil"/>
              <w:bottom w:val="single" w:sz="4" w:space="0" w:color="auto"/>
              <w:right w:val="single" w:sz="4" w:space="0" w:color="auto"/>
            </w:tcBorders>
            <w:shd w:val="clear" w:color="auto" w:fill="auto"/>
            <w:noWrap/>
            <w:vAlign w:val="center"/>
            <w:hideMark/>
          </w:tcPr>
          <w:p w14:paraId="48C99B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5017289000</w:t>
            </w:r>
          </w:p>
        </w:tc>
        <w:tc>
          <w:tcPr>
            <w:tcW w:w="1036" w:type="dxa"/>
            <w:tcBorders>
              <w:top w:val="nil"/>
              <w:left w:val="nil"/>
              <w:bottom w:val="single" w:sz="4" w:space="0" w:color="auto"/>
              <w:right w:val="single" w:sz="4" w:space="0" w:color="auto"/>
            </w:tcBorders>
            <w:shd w:val="clear" w:color="auto" w:fill="auto"/>
            <w:noWrap/>
            <w:vAlign w:val="center"/>
            <w:hideMark/>
          </w:tcPr>
          <w:p w14:paraId="794D69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94363951</w:t>
            </w:r>
          </w:p>
        </w:tc>
        <w:tc>
          <w:tcPr>
            <w:tcW w:w="160" w:type="dxa"/>
            <w:tcBorders>
              <w:top w:val="nil"/>
              <w:left w:val="nil"/>
              <w:bottom w:val="single" w:sz="4" w:space="0" w:color="auto"/>
              <w:right w:val="nil"/>
            </w:tcBorders>
            <w:vAlign w:val="center"/>
          </w:tcPr>
          <w:p w14:paraId="29E1E7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845C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ZLATO POLJE</w:t>
            </w:r>
          </w:p>
        </w:tc>
      </w:tr>
      <w:tr w:rsidR="00072A69" w:rsidRPr="00DC6DF9" w14:paraId="0A5C0C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710B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696</w:t>
            </w:r>
          </w:p>
        </w:tc>
        <w:tc>
          <w:tcPr>
            <w:tcW w:w="1036" w:type="dxa"/>
            <w:tcBorders>
              <w:top w:val="nil"/>
              <w:left w:val="nil"/>
              <w:bottom w:val="single" w:sz="4" w:space="0" w:color="auto"/>
              <w:right w:val="single" w:sz="4" w:space="0" w:color="auto"/>
            </w:tcBorders>
            <w:shd w:val="clear" w:color="auto" w:fill="auto"/>
            <w:noWrap/>
            <w:vAlign w:val="center"/>
            <w:hideMark/>
          </w:tcPr>
          <w:p w14:paraId="05DDEB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5019010000</w:t>
            </w:r>
          </w:p>
        </w:tc>
        <w:tc>
          <w:tcPr>
            <w:tcW w:w="1036" w:type="dxa"/>
            <w:tcBorders>
              <w:top w:val="nil"/>
              <w:left w:val="nil"/>
              <w:bottom w:val="single" w:sz="4" w:space="0" w:color="auto"/>
              <w:right w:val="single" w:sz="4" w:space="0" w:color="auto"/>
            </w:tcBorders>
            <w:shd w:val="clear" w:color="auto" w:fill="auto"/>
            <w:noWrap/>
            <w:vAlign w:val="center"/>
            <w:hideMark/>
          </w:tcPr>
          <w:p w14:paraId="2DA5F9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37492799</w:t>
            </w:r>
          </w:p>
        </w:tc>
        <w:tc>
          <w:tcPr>
            <w:tcW w:w="160" w:type="dxa"/>
            <w:tcBorders>
              <w:top w:val="nil"/>
              <w:left w:val="nil"/>
              <w:bottom w:val="single" w:sz="4" w:space="0" w:color="auto"/>
              <w:right w:val="nil"/>
            </w:tcBorders>
            <w:vAlign w:val="center"/>
          </w:tcPr>
          <w:p w14:paraId="5368286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E3E1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ZREČE</w:t>
            </w:r>
          </w:p>
        </w:tc>
      </w:tr>
      <w:tr w:rsidR="00072A69" w:rsidRPr="00DC6DF9" w14:paraId="6FE21C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4B61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697</w:t>
            </w:r>
          </w:p>
        </w:tc>
        <w:tc>
          <w:tcPr>
            <w:tcW w:w="1036" w:type="dxa"/>
            <w:tcBorders>
              <w:top w:val="nil"/>
              <w:left w:val="nil"/>
              <w:bottom w:val="single" w:sz="4" w:space="0" w:color="auto"/>
              <w:right w:val="single" w:sz="4" w:space="0" w:color="auto"/>
            </w:tcBorders>
            <w:shd w:val="clear" w:color="auto" w:fill="auto"/>
            <w:noWrap/>
            <w:vAlign w:val="center"/>
            <w:hideMark/>
          </w:tcPr>
          <w:p w14:paraId="4EF8A3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5028663000</w:t>
            </w:r>
          </w:p>
        </w:tc>
        <w:tc>
          <w:tcPr>
            <w:tcW w:w="1036" w:type="dxa"/>
            <w:tcBorders>
              <w:top w:val="nil"/>
              <w:left w:val="nil"/>
              <w:bottom w:val="single" w:sz="4" w:space="0" w:color="auto"/>
              <w:right w:val="single" w:sz="4" w:space="0" w:color="auto"/>
            </w:tcBorders>
            <w:shd w:val="clear" w:color="auto" w:fill="auto"/>
            <w:noWrap/>
            <w:vAlign w:val="center"/>
            <w:hideMark/>
          </w:tcPr>
          <w:p w14:paraId="33A74B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68344384</w:t>
            </w:r>
          </w:p>
        </w:tc>
        <w:tc>
          <w:tcPr>
            <w:tcW w:w="160" w:type="dxa"/>
            <w:tcBorders>
              <w:top w:val="nil"/>
              <w:left w:val="nil"/>
              <w:bottom w:val="single" w:sz="4" w:space="0" w:color="auto"/>
              <w:right w:val="nil"/>
            </w:tcBorders>
            <w:vAlign w:val="center"/>
          </w:tcPr>
          <w:p w14:paraId="341AF4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2BC9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ŽABNICA</w:t>
            </w:r>
          </w:p>
        </w:tc>
      </w:tr>
      <w:tr w:rsidR="00072A69" w:rsidRPr="00DC6DF9" w14:paraId="6CDE7A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5BB3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698</w:t>
            </w:r>
          </w:p>
        </w:tc>
        <w:tc>
          <w:tcPr>
            <w:tcW w:w="1036" w:type="dxa"/>
            <w:tcBorders>
              <w:top w:val="nil"/>
              <w:left w:val="nil"/>
              <w:bottom w:val="single" w:sz="4" w:space="0" w:color="auto"/>
              <w:right w:val="single" w:sz="4" w:space="0" w:color="auto"/>
            </w:tcBorders>
            <w:shd w:val="clear" w:color="auto" w:fill="auto"/>
            <w:noWrap/>
            <w:vAlign w:val="center"/>
            <w:hideMark/>
          </w:tcPr>
          <w:p w14:paraId="68FF7B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5030820000</w:t>
            </w:r>
          </w:p>
        </w:tc>
        <w:tc>
          <w:tcPr>
            <w:tcW w:w="1036" w:type="dxa"/>
            <w:tcBorders>
              <w:top w:val="nil"/>
              <w:left w:val="nil"/>
              <w:bottom w:val="single" w:sz="4" w:space="0" w:color="auto"/>
              <w:right w:val="single" w:sz="4" w:space="0" w:color="auto"/>
            </w:tcBorders>
            <w:shd w:val="clear" w:color="auto" w:fill="auto"/>
            <w:noWrap/>
            <w:vAlign w:val="center"/>
            <w:hideMark/>
          </w:tcPr>
          <w:p w14:paraId="2C3281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80713980</w:t>
            </w:r>
          </w:p>
        </w:tc>
        <w:tc>
          <w:tcPr>
            <w:tcW w:w="160" w:type="dxa"/>
            <w:tcBorders>
              <w:top w:val="nil"/>
              <w:left w:val="nil"/>
              <w:bottom w:val="single" w:sz="4" w:space="0" w:color="auto"/>
              <w:right w:val="nil"/>
            </w:tcBorders>
            <w:vAlign w:val="center"/>
          </w:tcPr>
          <w:p w14:paraId="28905A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D9A6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ŽAPUŽE</w:t>
            </w:r>
          </w:p>
        </w:tc>
      </w:tr>
      <w:tr w:rsidR="00072A69" w:rsidRPr="00DC6DF9" w14:paraId="3F6B7E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0892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699</w:t>
            </w:r>
          </w:p>
        </w:tc>
        <w:tc>
          <w:tcPr>
            <w:tcW w:w="1036" w:type="dxa"/>
            <w:tcBorders>
              <w:top w:val="nil"/>
              <w:left w:val="nil"/>
              <w:bottom w:val="single" w:sz="4" w:space="0" w:color="auto"/>
              <w:right w:val="single" w:sz="4" w:space="0" w:color="auto"/>
            </w:tcBorders>
            <w:shd w:val="clear" w:color="auto" w:fill="auto"/>
            <w:noWrap/>
            <w:vAlign w:val="center"/>
            <w:hideMark/>
          </w:tcPr>
          <w:p w14:paraId="19E66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5021758000</w:t>
            </w:r>
          </w:p>
        </w:tc>
        <w:tc>
          <w:tcPr>
            <w:tcW w:w="1036" w:type="dxa"/>
            <w:tcBorders>
              <w:top w:val="nil"/>
              <w:left w:val="nil"/>
              <w:bottom w:val="single" w:sz="4" w:space="0" w:color="auto"/>
              <w:right w:val="single" w:sz="4" w:space="0" w:color="auto"/>
            </w:tcBorders>
            <w:shd w:val="clear" w:color="auto" w:fill="auto"/>
            <w:noWrap/>
            <w:vAlign w:val="center"/>
            <w:hideMark/>
          </w:tcPr>
          <w:p w14:paraId="3720FF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15689271</w:t>
            </w:r>
          </w:p>
        </w:tc>
        <w:tc>
          <w:tcPr>
            <w:tcW w:w="160" w:type="dxa"/>
            <w:tcBorders>
              <w:top w:val="nil"/>
              <w:left w:val="nil"/>
              <w:bottom w:val="single" w:sz="4" w:space="0" w:color="auto"/>
              <w:right w:val="nil"/>
            </w:tcBorders>
            <w:vAlign w:val="center"/>
          </w:tcPr>
          <w:p w14:paraId="07FE22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7CD7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KRAJEVNA SKUPNOST ŽIČE</w:t>
            </w:r>
          </w:p>
        </w:tc>
      </w:tr>
      <w:tr w:rsidR="00072A69" w:rsidRPr="00DC6DF9" w14:paraId="0616CD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DE60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700</w:t>
            </w:r>
          </w:p>
        </w:tc>
        <w:tc>
          <w:tcPr>
            <w:tcW w:w="1036" w:type="dxa"/>
            <w:tcBorders>
              <w:top w:val="nil"/>
              <w:left w:val="nil"/>
              <w:bottom w:val="single" w:sz="4" w:space="0" w:color="auto"/>
              <w:right w:val="single" w:sz="4" w:space="0" w:color="auto"/>
            </w:tcBorders>
            <w:shd w:val="clear" w:color="auto" w:fill="auto"/>
            <w:noWrap/>
            <w:vAlign w:val="center"/>
            <w:hideMark/>
          </w:tcPr>
          <w:p w14:paraId="031803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1930621000</w:t>
            </w:r>
          </w:p>
        </w:tc>
        <w:tc>
          <w:tcPr>
            <w:tcW w:w="1036" w:type="dxa"/>
            <w:tcBorders>
              <w:top w:val="nil"/>
              <w:left w:val="nil"/>
              <w:bottom w:val="single" w:sz="4" w:space="0" w:color="auto"/>
              <w:right w:val="single" w:sz="4" w:space="0" w:color="auto"/>
            </w:tcBorders>
            <w:shd w:val="clear" w:color="auto" w:fill="auto"/>
            <w:noWrap/>
            <w:vAlign w:val="center"/>
            <w:hideMark/>
          </w:tcPr>
          <w:p w14:paraId="4B448C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84837730</w:t>
            </w:r>
          </w:p>
        </w:tc>
        <w:tc>
          <w:tcPr>
            <w:tcW w:w="160" w:type="dxa"/>
            <w:tcBorders>
              <w:top w:val="nil"/>
              <w:left w:val="nil"/>
              <w:bottom w:val="single" w:sz="4" w:space="0" w:color="auto"/>
              <w:right w:val="nil"/>
            </w:tcBorders>
            <w:vAlign w:val="center"/>
          </w:tcPr>
          <w:p w14:paraId="1FC4575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56FC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KRAJINSKI PARK GORIČKO</w:t>
            </w:r>
          </w:p>
        </w:tc>
      </w:tr>
      <w:tr w:rsidR="00072A69" w:rsidRPr="00DC6DF9" w14:paraId="55B6BE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E418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701</w:t>
            </w:r>
          </w:p>
        </w:tc>
        <w:tc>
          <w:tcPr>
            <w:tcW w:w="1036" w:type="dxa"/>
            <w:tcBorders>
              <w:top w:val="nil"/>
              <w:left w:val="nil"/>
              <w:bottom w:val="single" w:sz="4" w:space="0" w:color="auto"/>
              <w:right w:val="single" w:sz="4" w:space="0" w:color="auto"/>
            </w:tcBorders>
            <w:shd w:val="clear" w:color="auto" w:fill="auto"/>
            <w:noWrap/>
            <w:vAlign w:val="center"/>
            <w:hideMark/>
          </w:tcPr>
          <w:p w14:paraId="508943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3630242000</w:t>
            </w:r>
          </w:p>
        </w:tc>
        <w:tc>
          <w:tcPr>
            <w:tcW w:w="1036" w:type="dxa"/>
            <w:tcBorders>
              <w:top w:val="nil"/>
              <w:left w:val="nil"/>
              <w:bottom w:val="single" w:sz="4" w:space="0" w:color="auto"/>
              <w:right w:val="single" w:sz="4" w:space="0" w:color="auto"/>
            </w:tcBorders>
            <w:shd w:val="clear" w:color="auto" w:fill="auto"/>
            <w:noWrap/>
            <w:vAlign w:val="center"/>
            <w:hideMark/>
          </w:tcPr>
          <w:p w14:paraId="3CEC40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82828130</w:t>
            </w:r>
          </w:p>
        </w:tc>
        <w:tc>
          <w:tcPr>
            <w:tcW w:w="160" w:type="dxa"/>
            <w:tcBorders>
              <w:top w:val="nil"/>
              <w:left w:val="nil"/>
              <w:bottom w:val="single" w:sz="4" w:space="0" w:color="auto"/>
              <w:right w:val="nil"/>
            </w:tcBorders>
            <w:vAlign w:val="center"/>
          </w:tcPr>
          <w:p w14:paraId="4E7181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7474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KRAJINSKI PARK LJUBLJANSKO BARJE</w:t>
            </w:r>
          </w:p>
        </w:tc>
      </w:tr>
      <w:tr w:rsidR="00072A69" w:rsidRPr="00DC6DF9" w14:paraId="251EFB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B35D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702</w:t>
            </w:r>
          </w:p>
        </w:tc>
        <w:tc>
          <w:tcPr>
            <w:tcW w:w="1036" w:type="dxa"/>
            <w:tcBorders>
              <w:top w:val="nil"/>
              <w:left w:val="nil"/>
              <w:bottom w:val="single" w:sz="4" w:space="0" w:color="auto"/>
              <w:right w:val="single" w:sz="4" w:space="0" w:color="auto"/>
            </w:tcBorders>
            <w:shd w:val="clear" w:color="auto" w:fill="auto"/>
            <w:noWrap/>
            <w:vAlign w:val="center"/>
            <w:hideMark/>
          </w:tcPr>
          <w:p w14:paraId="221C4F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3452085000</w:t>
            </w:r>
          </w:p>
        </w:tc>
        <w:tc>
          <w:tcPr>
            <w:tcW w:w="1036" w:type="dxa"/>
            <w:tcBorders>
              <w:top w:val="nil"/>
              <w:left w:val="nil"/>
              <w:bottom w:val="single" w:sz="4" w:space="0" w:color="auto"/>
              <w:right w:val="single" w:sz="4" w:space="0" w:color="auto"/>
            </w:tcBorders>
            <w:shd w:val="clear" w:color="auto" w:fill="auto"/>
            <w:noWrap/>
            <w:vAlign w:val="center"/>
            <w:hideMark/>
          </w:tcPr>
          <w:p w14:paraId="332EEC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33414009</w:t>
            </w:r>
          </w:p>
        </w:tc>
        <w:tc>
          <w:tcPr>
            <w:tcW w:w="160" w:type="dxa"/>
            <w:tcBorders>
              <w:top w:val="nil"/>
              <w:left w:val="nil"/>
              <w:bottom w:val="single" w:sz="4" w:space="0" w:color="auto"/>
              <w:right w:val="nil"/>
            </w:tcBorders>
            <w:vAlign w:val="center"/>
          </w:tcPr>
          <w:p w14:paraId="2A3B7E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7D18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KRAJINSKI PARK STRUNJAN</w:t>
            </w:r>
          </w:p>
        </w:tc>
      </w:tr>
      <w:tr w:rsidR="00072A69" w:rsidRPr="00DC6DF9" w14:paraId="45AA74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9583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703</w:t>
            </w:r>
          </w:p>
        </w:tc>
        <w:tc>
          <w:tcPr>
            <w:tcW w:w="1036" w:type="dxa"/>
            <w:tcBorders>
              <w:top w:val="nil"/>
              <w:left w:val="nil"/>
              <w:bottom w:val="single" w:sz="4" w:space="0" w:color="auto"/>
              <w:right w:val="single" w:sz="4" w:space="0" w:color="auto"/>
            </w:tcBorders>
            <w:shd w:val="clear" w:color="auto" w:fill="auto"/>
            <w:noWrap/>
            <w:vAlign w:val="center"/>
            <w:hideMark/>
          </w:tcPr>
          <w:p w14:paraId="72DCBD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5049849000</w:t>
            </w:r>
          </w:p>
        </w:tc>
        <w:tc>
          <w:tcPr>
            <w:tcW w:w="1036" w:type="dxa"/>
            <w:tcBorders>
              <w:top w:val="nil"/>
              <w:left w:val="nil"/>
              <w:bottom w:val="single" w:sz="4" w:space="0" w:color="auto"/>
              <w:right w:val="single" w:sz="4" w:space="0" w:color="auto"/>
            </w:tcBorders>
            <w:shd w:val="clear" w:color="auto" w:fill="auto"/>
            <w:noWrap/>
            <w:vAlign w:val="center"/>
            <w:hideMark/>
          </w:tcPr>
          <w:p w14:paraId="194DA6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42191297</w:t>
            </w:r>
          </w:p>
        </w:tc>
        <w:tc>
          <w:tcPr>
            <w:tcW w:w="160" w:type="dxa"/>
            <w:tcBorders>
              <w:top w:val="nil"/>
              <w:left w:val="nil"/>
              <w:bottom w:val="single" w:sz="4" w:space="0" w:color="auto"/>
              <w:right w:val="nil"/>
            </w:tcBorders>
            <w:vAlign w:val="center"/>
          </w:tcPr>
          <w:p w14:paraId="52EA93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2013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KRANJSKI VRTCI</w:t>
            </w:r>
          </w:p>
        </w:tc>
      </w:tr>
      <w:tr w:rsidR="00072A69" w:rsidRPr="00DC6DF9" w14:paraId="093589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4BB0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704</w:t>
            </w:r>
          </w:p>
        </w:tc>
        <w:tc>
          <w:tcPr>
            <w:tcW w:w="1036" w:type="dxa"/>
            <w:tcBorders>
              <w:top w:val="nil"/>
              <w:left w:val="nil"/>
              <w:bottom w:val="single" w:sz="4" w:space="0" w:color="auto"/>
              <w:right w:val="single" w:sz="4" w:space="0" w:color="auto"/>
            </w:tcBorders>
            <w:shd w:val="clear" w:color="auto" w:fill="auto"/>
            <w:noWrap/>
            <w:vAlign w:val="center"/>
            <w:hideMark/>
          </w:tcPr>
          <w:p w14:paraId="6DC1BE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1227564000</w:t>
            </w:r>
          </w:p>
        </w:tc>
        <w:tc>
          <w:tcPr>
            <w:tcW w:w="1036" w:type="dxa"/>
            <w:tcBorders>
              <w:top w:val="nil"/>
              <w:left w:val="nil"/>
              <w:bottom w:val="single" w:sz="4" w:space="0" w:color="auto"/>
              <w:right w:val="single" w:sz="4" w:space="0" w:color="auto"/>
            </w:tcBorders>
            <w:shd w:val="clear" w:color="auto" w:fill="auto"/>
            <w:noWrap/>
            <w:vAlign w:val="center"/>
            <w:hideMark/>
          </w:tcPr>
          <w:p w14:paraId="3CA52A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26167832</w:t>
            </w:r>
          </w:p>
        </w:tc>
        <w:tc>
          <w:tcPr>
            <w:tcW w:w="160" w:type="dxa"/>
            <w:tcBorders>
              <w:top w:val="nil"/>
              <w:left w:val="nil"/>
              <w:bottom w:val="single" w:sz="4" w:space="0" w:color="auto"/>
              <w:right w:val="nil"/>
            </w:tcBorders>
            <w:vAlign w:val="center"/>
          </w:tcPr>
          <w:p w14:paraId="2754B8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3E4D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KRAŠKE LEKARNE ILIRSKA BISTRICA</w:t>
            </w:r>
          </w:p>
        </w:tc>
      </w:tr>
      <w:tr w:rsidR="00072A69" w:rsidRPr="00DC6DF9" w14:paraId="1D9D6E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EDEB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705</w:t>
            </w:r>
          </w:p>
        </w:tc>
        <w:tc>
          <w:tcPr>
            <w:tcW w:w="1036" w:type="dxa"/>
            <w:tcBorders>
              <w:top w:val="nil"/>
              <w:left w:val="nil"/>
              <w:bottom w:val="single" w:sz="4" w:space="0" w:color="auto"/>
              <w:right w:val="single" w:sz="4" w:space="0" w:color="auto"/>
            </w:tcBorders>
            <w:shd w:val="clear" w:color="auto" w:fill="auto"/>
            <w:noWrap/>
            <w:vAlign w:val="center"/>
            <w:hideMark/>
          </w:tcPr>
          <w:p w14:paraId="737D3E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5072999000</w:t>
            </w:r>
          </w:p>
        </w:tc>
        <w:tc>
          <w:tcPr>
            <w:tcW w:w="1036" w:type="dxa"/>
            <w:tcBorders>
              <w:top w:val="nil"/>
              <w:left w:val="nil"/>
              <w:bottom w:val="single" w:sz="4" w:space="0" w:color="auto"/>
              <w:right w:val="single" w:sz="4" w:space="0" w:color="auto"/>
            </w:tcBorders>
            <w:shd w:val="clear" w:color="auto" w:fill="auto"/>
            <w:noWrap/>
            <w:vAlign w:val="center"/>
            <w:hideMark/>
          </w:tcPr>
          <w:p w14:paraId="26CE7C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89997271</w:t>
            </w:r>
          </w:p>
        </w:tc>
        <w:tc>
          <w:tcPr>
            <w:tcW w:w="160" w:type="dxa"/>
            <w:tcBorders>
              <w:top w:val="nil"/>
              <w:left w:val="nil"/>
              <w:bottom w:val="single" w:sz="4" w:space="0" w:color="auto"/>
              <w:right w:val="nil"/>
            </w:tcBorders>
            <w:vAlign w:val="center"/>
          </w:tcPr>
          <w:p w14:paraId="5A99B0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1EE7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KRAŠKI VODOVOD SEŽANA, D. O. O. </w:t>
            </w:r>
          </w:p>
        </w:tc>
      </w:tr>
      <w:tr w:rsidR="00072A69" w:rsidRPr="00DC6DF9" w14:paraId="16F58A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9523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706</w:t>
            </w:r>
          </w:p>
        </w:tc>
        <w:tc>
          <w:tcPr>
            <w:tcW w:w="1036" w:type="dxa"/>
            <w:tcBorders>
              <w:top w:val="nil"/>
              <w:left w:val="nil"/>
              <w:bottom w:val="single" w:sz="4" w:space="0" w:color="auto"/>
              <w:right w:val="single" w:sz="4" w:space="0" w:color="auto"/>
            </w:tcBorders>
            <w:shd w:val="clear" w:color="auto" w:fill="auto"/>
            <w:noWrap/>
            <w:vAlign w:val="center"/>
            <w:hideMark/>
          </w:tcPr>
          <w:p w14:paraId="637BDE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1263099000</w:t>
            </w:r>
          </w:p>
        </w:tc>
        <w:tc>
          <w:tcPr>
            <w:tcW w:w="1036" w:type="dxa"/>
            <w:tcBorders>
              <w:top w:val="nil"/>
              <w:left w:val="nil"/>
              <w:bottom w:val="single" w:sz="4" w:space="0" w:color="auto"/>
              <w:right w:val="single" w:sz="4" w:space="0" w:color="auto"/>
            </w:tcBorders>
            <w:shd w:val="clear" w:color="auto" w:fill="auto"/>
            <w:noWrap/>
            <w:vAlign w:val="center"/>
            <w:hideMark/>
          </w:tcPr>
          <w:p w14:paraId="22266F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46606831</w:t>
            </w:r>
          </w:p>
        </w:tc>
        <w:tc>
          <w:tcPr>
            <w:tcW w:w="160" w:type="dxa"/>
            <w:tcBorders>
              <w:top w:val="nil"/>
              <w:left w:val="nil"/>
              <w:bottom w:val="single" w:sz="4" w:space="0" w:color="auto"/>
              <w:right w:val="nil"/>
            </w:tcBorders>
            <w:vAlign w:val="center"/>
          </w:tcPr>
          <w:p w14:paraId="377FD3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D7B2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KULTURNI DOM FRANCA BERNIKA DOMŽALE</w:t>
            </w:r>
          </w:p>
        </w:tc>
      </w:tr>
      <w:tr w:rsidR="00072A69" w:rsidRPr="00DC6DF9" w14:paraId="36DFAD5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D89F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707</w:t>
            </w:r>
          </w:p>
        </w:tc>
        <w:tc>
          <w:tcPr>
            <w:tcW w:w="1036" w:type="dxa"/>
            <w:tcBorders>
              <w:top w:val="nil"/>
              <w:left w:val="nil"/>
              <w:bottom w:val="single" w:sz="4" w:space="0" w:color="auto"/>
              <w:right w:val="single" w:sz="4" w:space="0" w:color="auto"/>
            </w:tcBorders>
            <w:shd w:val="clear" w:color="auto" w:fill="auto"/>
            <w:noWrap/>
            <w:vAlign w:val="center"/>
            <w:hideMark/>
          </w:tcPr>
          <w:p w14:paraId="65716A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5096944000</w:t>
            </w:r>
          </w:p>
        </w:tc>
        <w:tc>
          <w:tcPr>
            <w:tcW w:w="1036" w:type="dxa"/>
            <w:tcBorders>
              <w:top w:val="nil"/>
              <w:left w:val="nil"/>
              <w:bottom w:val="single" w:sz="4" w:space="0" w:color="auto"/>
              <w:right w:val="single" w:sz="4" w:space="0" w:color="auto"/>
            </w:tcBorders>
            <w:shd w:val="clear" w:color="auto" w:fill="auto"/>
            <w:noWrap/>
            <w:vAlign w:val="center"/>
            <w:hideMark/>
          </w:tcPr>
          <w:p w14:paraId="4B00A6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30027110</w:t>
            </w:r>
          </w:p>
        </w:tc>
        <w:tc>
          <w:tcPr>
            <w:tcW w:w="160" w:type="dxa"/>
            <w:tcBorders>
              <w:top w:val="nil"/>
              <w:left w:val="nil"/>
              <w:bottom w:val="single" w:sz="4" w:space="0" w:color="auto"/>
              <w:right w:val="nil"/>
            </w:tcBorders>
            <w:vAlign w:val="center"/>
          </w:tcPr>
          <w:p w14:paraId="73120F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F101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KULTURNI DOM KRŠKO</w:t>
            </w:r>
          </w:p>
        </w:tc>
      </w:tr>
      <w:tr w:rsidR="00072A69" w:rsidRPr="00DC6DF9" w14:paraId="0428EE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0959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708</w:t>
            </w:r>
          </w:p>
        </w:tc>
        <w:tc>
          <w:tcPr>
            <w:tcW w:w="1036" w:type="dxa"/>
            <w:tcBorders>
              <w:top w:val="nil"/>
              <w:left w:val="nil"/>
              <w:bottom w:val="single" w:sz="4" w:space="0" w:color="auto"/>
              <w:right w:val="single" w:sz="4" w:space="0" w:color="auto"/>
            </w:tcBorders>
            <w:shd w:val="clear" w:color="auto" w:fill="auto"/>
            <w:noWrap/>
            <w:vAlign w:val="center"/>
            <w:hideMark/>
          </w:tcPr>
          <w:p w14:paraId="07C57D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5182638000</w:t>
            </w:r>
          </w:p>
        </w:tc>
        <w:tc>
          <w:tcPr>
            <w:tcW w:w="1036" w:type="dxa"/>
            <w:tcBorders>
              <w:top w:val="nil"/>
              <w:left w:val="nil"/>
              <w:bottom w:val="single" w:sz="4" w:space="0" w:color="auto"/>
              <w:right w:val="single" w:sz="4" w:space="0" w:color="auto"/>
            </w:tcBorders>
            <w:shd w:val="clear" w:color="auto" w:fill="auto"/>
            <w:noWrap/>
            <w:vAlign w:val="center"/>
            <w:hideMark/>
          </w:tcPr>
          <w:p w14:paraId="3E68EA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21034249</w:t>
            </w:r>
          </w:p>
        </w:tc>
        <w:tc>
          <w:tcPr>
            <w:tcW w:w="160" w:type="dxa"/>
            <w:tcBorders>
              <w:top w:val="nil"/>
              <w:left w:val="nil"/>
              <w:bottom w:val="single" w:sz="4" w:space="0" w:color="auto"/>
              <w:right w:val="nil"/>
            </w:tcBorders>
            <w:vAlign w:val="center"/>
          </w:tcPr>
          <w:p w14:paraId="59F45E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E50C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KULTURNI DOM NOVA GORICA</w:t>
            </w:r>
          </w:p>
        </w:tc>
      </w:tr>
      <w:tr w:rsidR="00072A69" w:rsidRPr="00DC6DF9" w14:paraId="477FCE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5C83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w:t>
            </w:r>
          </w:p>
        </w:tc>
        <w:tc>
          <w:tcPr>
            <w:tcW w:w="1036" w:type="dxa"/>
            <w:tcBorders>
              <w:top w:val="nil"/>
              <w:left w:val="nil"/>
              <w:bottom w:val="single" w:sz="4" w:space="0" w:color="auto"/>
              <w:right w:val="single" w:sz="4" w:space="0" w:color="auto"/>
            </w:tcBorders>
            <w:shd w:val="clear" w:color="auto" w:fill="auto"/>
            <w:noWrap/>
            <w:vAlign w:val="center"/>
            <w:hideMark/>
          </w:tcPr>
          <w:p w14:paraId="453F35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5566355000</w:t>
            </w:r>
          </w:p>
        </w:tc>
        <w:tc>
          <w:tcPr>
            <w:tcW w:w="1036" w:type="dxa"/>
            <w:tcBorders>
              <w:top w:val="nil"/>
              <w:left w:val="nil"/>
              <w:bottom w:val="single" w:sz="4" w:space="0" w:color="auto"/>
              <w:right w:val="single" w:sz="4" w:space="0" w:color="auto"/>
            </w:tcBorders>
            <w:shd w:val="clear" w:color="auto" w:fill="auto"/>
            <w:noWrap/>
            <w:vAlign w:val="center"/>
            <w:hideMark/>
          </w:tcPr>
          <w:p w14:paraId="24E244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10417443</w:t>
            </w:r>
          </w:p>
        </w:tc>
        <w:tc>
          <w:tcPr>
            <w:tcW w:w="160" w:type="dxa"/>
            <w:tcBorders>
              <w:top w:val="nil"/>
              <w:left w:val="nil"/>
              <w:bottom w:val="single" w:sz="4" w:space="0" w:color="auto"/>
              <w:right w:val="nil"/>
            </w:tcBorders>
            <w:vAlign w:val="center"/>
          </w:tcPr>
          <w:p w14:paraId="17661A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08E6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KULTURNI DOM SLOVENJ GRADEC</w:t>
            </w:r>
          </w:p>
        </w:tc>
      </w:tr>
      <w:tr w:rsidR="00072A69" w:rsidRPr="00DC6DF9" w14:paraId="39E9DB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3477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710</w:t>
            </w:r>
          </w:p>
        </w:tc>
        <w:tc>
          <w:tcPr>
            <w:tcW w:w="1036" w:type="dxa"/>
            <w:tcBorders>
              <w:top w:val="nil"/>
              <w:left w:val="nil"/>
              <w:bottom w:val="single" w:sz="4" w:space="0" w:color="auto"/>
              <w:right w:val="single" w:sz="4" w:space="0" w:color="auto"/>
            </w:tcBorders>
            <w:shd w:val="clear" w:color="auto" w:fill="auto"/>
            <w:noWrap/>
            <w:vAlign w:val="center"/>
            <w:hideMark/>
          </w:tcPr>
          <w:p w14:paraId="30D987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5279127000</w:t>
            </w:r>
          </w:p>
        </w:tc>
        <w:tc>
          <w:tcPr>
            <w:tcW w:w="1036" w:type="dxa"/>
            <w:tcBorders>
              <w:top w:val="nil"/>
              <w:left w:val="nil"/>
              <w:bottom w:val="single" w:sz="4" w:space="0" w:color="auto"/>
              <w:right w:val="single" w:sz="4" w:space="0" w:color="auto"/>
            </w:tcBorders>
            <w:shd w:val="clear" w:color="auto" w:fill="auto"/>
            <w:noWrap/>
            <w:vAlign w:val="center"/>
            <w:hideMark/>
          </w:tcPr>
          <w:p w14:paraId="2430FC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24278564</w:t>
            </w:r>
          </w:p>
        </w:tc>
        <w:tc>
          <w:tcPr>
            <w:tcW w:w="160" w:type="dxa"/>
            <w:tcBorders>
              <w:top w:val="nil"/>
              <w:left w:val="nil"/>
              <w:bottom w:val="single" w:sz="4" w:space="0" w:color="auto"/>
              <w:right w:val="nil"/>
            </w:tcBorders>
            <w:vAlign w:val="center"/>
          </w:tcPr>
          <w:p w14:paraId="06570FB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019C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KULTURNI, KONGRESNI IN PROMOCIJSKI CENTER AVDITORIJ PORTOROŽ</w:t>
            </w:r>
          </w:p>
        </w:tc>
      </w:tr>
      <w:tr w:rsidR="00072A69" w:rsidRPr="00DC6DF9" w14:paraId="25D9E2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9705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711</w:t>
            </w:r>
          </w:p>
        </w:tc>
        <w:tc>
          <w:tcPr>
            <w:tcW w:w="1036" w:type="dxa"/>
            <w:tcBorders>
              <w:top w:val="nil"/>
              <w:left w:val="nil"/>
              <w:bottom w:val="single" w:sz="4" w:space="0" w:color="auto"/>
              <w:right w:val="single" w:sz="4" w:space="0" w:color="auto"/>
            </w:tcBorders>
            <w:shd w:val="clear" w:color="auto" w:fill="auto"/>
            <w:noWrap/>
            <w:vAlign w:val="center"/>
            <w:hideMark/>
          </w:tcPr>
          <w:p w14:paraId="4BB75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5650437000</w:t>
            </w:r>
          </w:p>
        </w:tc>
        <w:tc>
          <w:tcPr>
            <w:tcW w:w="1036" w:type="dxa"/>
            <w:tcBorders>
              <w:top w:val="nil"/>
              <w:left w:val="nil"/>
              <w:bottom w:val="single" w:sz="4" w:space="0" w:color="auto"/>
              <w:right w:val="single" w:sz="4" w:space="0" w:color="auto"/>
            </w:tcBorders>
            <w:shd w:val="clear" w:color="auto" w:fill="auto"/>
            <w:noWrap/>
            <w:vAlign w:val="center"/>
            <w:hideMark/>
          </w:tcPr>
          <w:p w14:paraId="53C33C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24909165</w:t>
            </w:r>
          </w:p>
        </w:tc>
        <w:tc>
          <w:tcPr>
            <w:tcW w:w="160" w:type="dxa"/>
            <w:tcBorders>
              <w:top w:val="nil"/>
              <w:left w:val="nil"/>
              <w:bottom w:val="single" w:sz="4" w:space="0" w:color="auto"/>
              <w:right w:val="nil"/>
            </w:tcBorders>
            <w:vAlign w:val="center"/>
          </w:tcPr>
          <w:p w14:paraId="03F762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7DB6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KULTURNO PRIREDITVENI CENTER NARODNI DOM MARIBOR</w:t>
            </w:r>
          </w:p>
        </w:tc>
      </w:tr>
      <w:tr w:rsidR="00072A69" w:rsidRPr="00DC6DF9" w14:paraId="47ED97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C422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712</w:t>
            </w:r>
          </w:p>
        </w:tc>
        <w:tc>
          <w:tcPr>
            <w:tcW w:w="1036" w:type="dxa"/>
            <w:tcBorders>
              <w:top w:val="nil"/>
              <w:left w:val="nil"/>
              <w:bottom w:val="single" w:sz="4" w:space="0" w:color="auto"/>
              <w:right w:val="single" w:sz="4" w:space="0" w:color="auto"/>
            </w:tcBorders>
            <w:shd w:val="clear" w:color="auto" w:fill="auto"/>
            <w:noWrap/>
            <w:vAlign w:val="center"/>
            <w:hideMark/>
          </w:tcPr>
          <w:p w14:paraId="2971B8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5186609000</w:t>
            </w:r>
          </w:p>
        </w:tc>
        <w:tc>
          <w:tcPr>
            <w:tcW w:w="1036" w:type="dxa"/>
            <w:tcBorders>
              <w:top w:val="nil"/>
              <w:left w:val="nil"/>
              <w:bottom w:val="single" w:sz="4" w:space="0" w:color="auto"/>
              <w:right w:val="single" w:sz="4" w:space="0" w:color="auto"/>
            </w:tcBorders>
            <w:shd w:val="clear" w:color="auto" w:fill="auto"/>
            <w:noWrap/>
            <w:vAlign w:val="center"/>
            <w:hideMark/>
          </w:tcPr>
          <w:p w14:paraId="0AC2FF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44537069</w:t>
            </w:r>
          </w:p>
        </w:tc>
        <w:tc>
          <w:tcPr>
            <w:tcW w:w="160" w:type="dxa"/>
            <w:tcBorders>
              <w:top w:val="nil"/>
              <w:left w:val="nil"/>
              <w:bottom w:val="single" w:sz="4" w:space="0" w:color="auto"/>
              <w:right w:val="nil"/>
            </w:tcBorders>
            <w:vAlign w:val="center"/>
          </w:tcPr>
          <w:p w14:paraId="75C338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5CB0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KULTURNO REKREACIJSKI CENTER HRASTNIK</w:t>
            </w:r>
          </w:p>
        </w:tc>
      </w:tr>
      <w:tr w:rsidR="00072A69" w:rsidRPr="00DC6DF9" w14:paraId="04CBCE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CC27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713</w:t>
            </w:r>
          </w:p>
        </w:tc>
        <w:tc>
          <w:tcPr>
            <w:tcW w:w="1036" w:type="dxa"/>
            <w:tcBorders>
              <w:top w:val="nil"/>
              <w:left w:val="nil"/>
              <w:bottom w:val="single" w:sz="4" w:space="0" w:color="auto"/>
              <w:right w:val="single" w:sz="4" w:space="0" w:color="auto"/>
            </w:tcBorders>
            <w:shd w:val="clear" w:color="auto" w:fill="auto"/>
            <w:noWrap/>
            <w:vAlign w:val="center"/>
            <w:hideMark/>
          </w:tcPr>
          <w:p w14:paraId="330DA6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5055849000</w:t>
            </w:r>
          </w:p>
        </w:tc>
        <w:tc>
          <w:tcPr>
            <w:tcW w:w="1036" w:type="dxa"/>
            <w:tcBorders>
              <w:top w:val="nil"/>
              <w:left w:val="nil"/>
              <w:bottom w:val="single" w:sz="4" w:space="0" w:color="auto"/>
              <w:right w:val="single" w:sz="4" w:space="0" w:color="auto"/>
            </w:tcBorders>
            <w:shd w:val="clear" w:color="auto" w:fill="auto"/>
            <w:noWrap/>
            <w:vAlign w:val="center"/>
            <w:hideMark/>
          </w:tcPr>
          <w:p w14:paraId="2DC86F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71668454</w:t>
            </w:r>
          </w:p>
        </w:tc>
        <w:tc>
          <w:tcPr>
            <w:tcW w:w="160" w:type="dxa"/>
            <w:tcBorders>
              <w:top w:val="nil"/>
              <w:left w:val="nil"/>
              <w:bottom w:val="single" w:sz="4" w:space="0" w:color="auto"/>
              <w:right w:val="nil"/>
            </w:tcBorders>
            <w:vAlign w:val="center"/>
          </w:tcPr>
          <w:p w14:paraId="7D7674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72D7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LAMBRECHTOV DOM, SLOVENSKE KONJICE</w:t>
            </w:r>
          </w:p>
        </w:tc>
      </w:tr>
      <w:tr w:rsidR="00072A69" w:rsidRPr="00DC6DF9" w14:paraId="70D9192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AD62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714</w:t>
            </w:r>
          </w:p>
        </w:tc>
        <w:tc>
          <w:tcPr>
            <w:tcW w:w="1036" w:type="dxa"/>
            <w:tcBorders>
              <w:top w:val="nil"/>
              <w:left w:val="nil"/>
              <w:bottom w:val="single" w:sz="4" w:space="0" w:color="auto"/>
              <w:right w:val="single" w:sz="4" w:space="0" w:color="auto"/>
            </w:tcBorders>
            <w:shd w:val="clear" w:color="auto" w:fill="auto"/>
            <w:noWrap/>
            <w:vAlign w:val="center"/>
            <w:hideMark/>
          </w:tcPr>
          <w:p w14:paraId="2BB81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1434276000</w:t>
            </w:r>
          </w:p>
        </w:tc>
        <w:tc>
          <w:tcPr>
            <w:tcW w:w="1036" w:type="dxa"/>
            <w:tcBorders>
              <w:top w:val="nil"/>
              <w:left w:val="nil"/>
              <w:bottom w:val="single" w:sz="4" w:space="0" w:color="auto"/>
              <w:right w:val="single" w:sz="4" w:space="0" w:color="auto"/>
            </w:tcBorders>
            <w:shd w:val="clear" w:color="auto" w:fill="auto"/>
            <w:noWrap/>
            <w:vAlign w:val="center"/>
            <w:hideMark/>
          </w:tcPr>
          <w:p w14:paraId="4FE44D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16935870</w:t>
            </w:r>
          </w:p>
        </w:tc>
        <w:tc>
          <w:tcPr>
            <w:tcW w:w="160" w:type="dxa"/>
            <w:tcBorders>
              <w:top w:val="nil"/>
              <w:left w:val="nil"/>
              <w:bottom w:val="single" w:sz="4" w:space="0" w:color="auto"/>
              <w:right w:val="nil"/>
            </w:tcBorders>
            <w:vAlign w:val="center"/>
          </w:tcPr>
          <w:p w14:paraId="047520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7C8A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LAVRIČEVA KNJIŽNICA AJDOVŠČINA</w:t>
            </w:r>
          </w:p>
        </w:tc>
      </w:tr>
      <w:tr w:rsidR="00072A69" w:rsidRPr="00DC6DF9" w14:paraId="553507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A6B4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715</w:t>
            </w:r>
          </w:p>
        </w:tc>
        <w:tc>
          <w:tcPr>
            <w:tcW w:w="1036" w:type="dxa"/>
            <w:tcBorders>
              <w:top w:val="nil"/>
              <w:left w:val="nil"/>
              <w:bottom w:val="single" w:sz="4" w:space="0" w:color="auto"/>
              <w:right w:val="single" w:sz="4" w:space="0" w:color="auto"/>
            </w:tcBorders>
            <w:shd w:val="clear" w:color="auto" w:fill="auto"/>
            <w:noWrap/>
            <w:vAlign w:val="center"/>
            <w:hideMark/>
          </w:tcPr>
          <w:p w14:paraId="3D72E8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5053498000</w:t>
            </w:r>
          </w:p>
        </w:tc>
        <w:tc>
          <w:tcPr>
            <w:tcW w:w="1036" w:type="dxa"/>
            <w:tcBorders>
              <w:top w:val="nil"/>
              <w:left w:val="nil"/>
              <w:bottom w:val="single" w:sz="4" w:space="0" w:color="auto"/>
              <w:right w:val="single" w:sz="4" w:space="0" w:color="auto"/>
            </w:tcBorders>
            <w:shd w:val="clear" w:color="auto" w:fill="auto"/>
            <w:noWrap/>
            <w:vAlign w:val="center"/>
            <w:hideMark/>
          </w:tcPr>
          <w:p w14:paraId="7C5AC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71037519</w:t>
            </w:r>
          </w:p>
        </w:tc>
        <w:tc>
          <w:tcPr>
            <w:tcW w:w="160" w:type="dxa"/>
            <w:tcBorders>
              <w:top w:val="nil"/>
              <w:left w:val="nil"/>
              <w:bottom w:val="single" w:sz="4" w:space="0" w:color="auto"/>
              <w:right w:val="nil"/>
            </w:tcBorders>
            <w:vAlign w:val="center"/>
          </w:tcPr>
          <w:p w14:paraId="411E8D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2226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AJDOVŠČINA</w:t>
            </w:r>
          </w:p>
        </w:tc>
      </w:tr>
      <w:tr w:rsidR="00072A69" w:rsidRPr="00DC6DF9" w14:paraId="61A5F9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6C1B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w:t>
            </w:r>
          </w:p>
        </w:tc>
        <w:tc>
          <w:tcPr>
            <w:tcW w:w="1036" w:type="dxa"/>
            <w:tcBorders>
              <w:top w:val="nil"/>
              <w:left w:val="nil"/>
              <w:bottom w:val="single" w:sz="4" w:space="0" w:color="auto"/>
              <w:right w:val="single" w:sz="4" w:space="0" w:color="auto"/>
            </w:tcBorders>
            <w:shd w:val="clear" w:color="auto" w:fill="auto"/>
            <w:noWrap/>
            <w:vAlign w:val="center"/>
            <w:hideMark/>
          </w:tcPr>
          <w:p w14:paraId="44734A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5053510000</w:t>
            </w:r>
          </w:p>
        </w:tc>
        <w:tc>
          <w:tcPr>
            <w:tcW w:w="1036" w:type="dxa"/>
            <w:tcBorders>
              <w:top w:val="nil"/>
              <w:left w:val="nil"/>
              <w:bottom w:val="single" w:sz="4" w:space="0" w:color="auto"/>
              <w:right w:val="single" w:sz="4" w:space="0" w:color="auto"/>
            </w:tcBorders>
            <w:shd w:val="clear" w:color="auto" w:fill="auto"/>
            <w:noWrap/>
            <w:vAlign w:val="center"/>
            <w:hideMark/>
          </w:tcPr>
          <w:p w14:paraId="15FC53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68123302</w:t>
            </w:r>
          </w:p>
        </w:tc>
        <w:tc>
          <w:tcPr>
            <w:tcW w:w="160" w:type="dxa"/>
            <w:tcBorders>
              <w:top w:val="nil"/>
              <w:left w:val="nil"/>
              <w:bottom w:val="single" w:sz="4" w:space="0" w:color="auto"/>
              <w:right w:val="nil"/>
            </w:tcBorders>
            <w:vAlign w:val="center"/>
          </w:tcPr>
          <w:p w14:paraId="0C159BC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05E8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BREŽICE</w:t>
            </w:r>
          </w:p>
        </w:tc>
      </w:tr>
      <w:tr w:rsidR="00072A69" w:rsidRPr="00DC6DF9" w14:paraId="005FB2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6FC4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717</w:t>
            </w:r>
          </w:p>
        </w:tc>
        <w:tc>
          <w:tcPr>
            <w:tcW w:w="1036" w:type="dxa"/>
            <w:tcBorders>
              <w:top w:val="nil"/>
              <w:left w:val="nil"/>
              <w:bottom w:val="single" w:sz="4" w:space="0" w:color="auto"/>
              <w:right w:val="single" w:sz="4" w:space="0" w:color="auto"/>
            </w:tcBorders>
            <w:shd w:val="clear" w:color="auto" w:fill="auto"/>
            <w:noWrap/>
            <w:vAlign w:val="center"/>
            <w:hideMark/>
          </w:tcPr>
          <w:p w14:paraId="55CC1F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5053749000</w:t>
            </w:r>
          </w:p>
        </w:tc>
        <w:tc>
          <w:tcPr>
            <w:tcW w:w="1036" w:type="dxa"/>
            <w:tcBorders>
              <w:top w:val="nil"/>
              <w:left w:val="nil"/>
              <w:bottom w:val="single" w:sz="4" w:space="0" w:color="auto"/>
              <w:right w:val="single" w:sz="4" w:space="0" w:color="auto"/>
            </w:tcBorders>
            <w:shd w:val="clear" w:color="auto" w:fill="auto"/>
            <w:noWrap/>
            <w:vAlign w:val="center"/>
            <w:hideMark/>
          </w:tcPr>
          <w:p w14:paraId="12EB53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26345137</w:t>
            </w:r>
          </w:p>
        </w:tc>
        <w:tc>
          <w:tcPr>
            <w:tcW w:w="160" w:type="dxa"/>
            <w:tcBorders>
              <w:top w:val="nil"/>
              <w:left w:val="nil"/>
              <w:bottom w:val="single" w:sz="4" w:space="0" w:color="auto"/>
              <w:right w:val="nil"/>
            </w:tcBorders>
            <w:vAlign w:val="center"/>
          </w:tcPr>
          <w:p w14:paraId="68F809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8787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KOČEVJE</w:t>
            </w:r>
          </w:p>
        </w:tc>
      </w:tr>
      <w:tr w:rsidR="00072A69" w:rsidRPr="00DC6DF9" w14:paraId="29C9DD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5864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718</w:t>
            </w:r>
          </w:p>
        </w:tc>
        <w:tc>
          <w:tcPr>
            <w:tcW w:w="1036" w:type="dxa"/>
            <w:tcBorders>
              <w:top w:val="nil"/>
              <w:left w:val="nil"/>
              <w:bottom w:val="single" w:sz="4" w:space="0" w:color="auto"/>
              <w:right w:val="single" w:sz="4" w:space="0" w:color="auto"/>
            </w:tcBorders>
            <w:shd w:val="clear" w:color="auto" w:fill="auto"/>
            <w:noWrap/>
            <w:vAlign w:val="center"/>
            <w:hideMark/>
          </w:tcPr>
          <w:p w14:paraId="440743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5053846000</w:t>
            </w:r>
          </w:p>
        </w:tc>
        <w:tc>
          <w:tcPr>
            <w:tcW w:w="1036" w:type="dxa"/>
            <w:tcBorders>
              <w:top w:val="nil"/>
              <w:left w:val="nil"/>
              <w:bottom w:val="single" w:sz="4" w:space="0" w:color="auto"/>
              <w:right w:val="single" w:sz="4" w:space="0" w:color="auto"/>
            </w:tcBorders>
            <w:shd w:val="clear" w:color="auto" w:fill="auto"/>
            <w:noWrap/>
            <w:vAlign w:val="center"/>
            <w:hideMark/>
          </w:tcPr>
          <w:p w14:paraId="65B650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35510277</w:t>
            </w:r>
          </w:p>
        </w:tc>
        <w:tc>
          <w:tcPr>
            <w:tcW w:w="160" w:type="dxa"/>
            <w:tcBorders>
              <w:top w:val="nil"/>
              <w:left w:val="nil"/>
              <w:bottom w:val="single" w:sz="4" w:space="0" w:color="auto"/>
              <w:right w:val="nil"/>
            </w:tcBorders>
            <w:vAlign w:val="center"/>
          </w:tcPr>
          <w:p w14:paraId="1E3F3D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348B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KRŠKO</w:t>
            </w:r>
          </w:p>
        </w:tc>
      </w:tr>
      <w:tr w:rsidR="00072A69" w:rsidRPr="00DC6DF9" w14:paraId="09EE74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3815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719</w:t>
            </w:r>
          </w:p>
        </w:tc>
        <w:tc>
          <w:tcPr>
            <w:tcW w:w="1036" w:type="dxa"/>
            <w:tcBorders>
              <w:top w:val="nil"/>
              <w:left w:val="nil"/>
              <w:bottom w:val="single" w:sz="4" w:space="0" w:color="auto"/>
              <w:right w:val="single" w:sz="4" w:space="0" w:color="auto"/>
            </w:tcBorders>
            <w:shd w:val="clear" w:color="auto" w:fill="auto"/>
            <w:noWrap/>
            <w:vAlign w:val="center"/>
            <w:hideMark/>
          </w:tcPr>
          <w:p w14:paraId="42ACAB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5053986000</w:t>
            </w:r>
          </w:p>
        </w:tc>
        <w:tc>
          <w:tcPr>
            <w:tcW w:w="1036" w:type="dxa"/>
            <w:tcBorders>
              <w:top w:val="nil"/>
              <w:left w:val="nil"/>
              <w:bottom w:val="single" w:sz="4" w:space="0" w:color="auto"/>
              <w:right w:val="single" w:sz="4" w:space="0" w:color="auto"/>
            </w:tcBorders>
            <w:shd w:val="clear" w:color="auto" w:fill="auto"/>
            <w:noWrap/>
            <w:vAlign w:val="center"/>
            <w:hideMark/>
          </w:tcPr>
          <w:p w14:paraId="7533F9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49894595</w:t>
            </w:r>
          </w:p>
        </w:tc>
        <w:tc>
          <w:tcPr>
            <w:tcW w:w="160" w:type="dxa"/>
            <w:tcBorders>
              <w:top w:val="nil"/>
              <w:left w:val="nil"/>
              <w:bottom w:val="single" w:sz="4" w:space="0" w:color="auto"/>
              <w:right w:val="nil"/>
            </w:tcBorders>
            <w:vAlign w:val="center"/>
          </w:tcPr>
          <w:p w14:paraId="65E7E4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468F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LJUBLJANA</w:t>
            </w:r>
          </w:p>
        </w:tc>
      </w:tr>
      <w:tr w:rsidR="00072A69" w:rsidRPr="00DC6DF9" w14:paraId="2D47A2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0A82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w:t>
            </w:r>
          </w:p>
        </w:tc>
        <w:tc>
          <w:tcPr>
            <w:tcW w:w="1036" w:type="dxa"/>
            <w:tcBorders>
              <w:top w:val="nil"/>
              <w:left w:val="nil"/>
              <w:bottom w:val="single" w:sz="4" w:space="0" w:color="auto"/>
              <w:right w:val="single" w:sz="4" w:space="0" w:color="auto"/>
            </w:tcBorders>
            <w:shd w:val="clear" w:color="auto" w:fill="auto"/>
            <w:noWrap/>
            <w:vAlign w:val="center"/>
            <w:hideMark/>
          </w:tcPr>
          <w:p w14:paraId="5A3571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5691150000</w:t>
            </w:r>
          </w:p>
        </w:tc>
        <w:tc>
          <w:tcPr>
            <w:tcW w:w="1036" w:type="dxa"/>
            <w:tcBorders>
              <w:top w:val="nil"/>
              <w:left w:val="nil"/>
              <w:bottom w:val="single" w:sz="4" w:space="0" w:color="auto"/>
              <w:right w:val="single" w:sz="4" w:space="0" w:color="auto"/>
            </w:tcBorders>
            <w:shd w:val="clear" w:color="auto" w:fill="auto"/>
            <w:noWrap/>
            <w:vAlign w:val="center"/>
            <w:hideMark/>
          </w:tcPr>
          <w:p w14:paraId="4F5132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99876469</w:t>
            </w:r>
          </w:p>
        </w:tc>
        <w:tc>
          <w:tcPr>
            <w:tcW w:w="160" w:type="dxa"/>
            <w:tcBorders>
              <w:top w:val="nil"/>
              <w:left w:val="nil"/>
              <w:bottom w:val="single" w:sz="4" w:space="0" w:color="auto"/>
              <w:right w:val="nil"/>
            </w:tcBorders>
            <w:vAlign w:val="center"/>
          </w:tcPr>
          <w:p w14:paraId="79118F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C6A8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ORMOŽ</w:t>
            </w:r>
          </w:p>
        </w:tc>
      </w:tr>
      <w:tr w:rsidR="00072A69" w:rsidRPr="00DC6DF9" w14:paraId="2077BAA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3238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w:t>
            </w:r>
          </w:p>
        </w:tc>
        <w:tc>
          <w:tcPr>
            <w:tcW w:w="1036" w:type="dxa"/>
            <w:tcBorders>
              <w:top w:val="nil"/>
              <w:left w:val="nil"/>
              <w:bottom w:val="single" w:sz="4" w:space="0" w:color="auto"/>
              <w:right w:val="single" w:sz="4" w:space="0" w:color="auto"/>
            </w:tcBorders>
            <w:shd w:val="clear" w:color="auto" w:fill="auto"/>
            <w:noWrap/>
            <w:vAlign w:val="center"/>
            <w:hideMark/>
          </w:tcPr>
          <w:p w14:paraId="11B740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5753309000</w:t>
            </w:r>
          </w:p>
        </w:tc>
        <w:tc>
          <w:tcPr>
            <w:tcW w:w="1036" w:type="dxa"/>
            <w:tcBorders>
              <w:top w:val="nil"/>
              <w:left w:val="nil"/>
              <w:bottom w:val="single" w:sz="4" w:space="0" w:color="auto"/>
              <w:right w:val="single" w:sz="4" w:space="0" w:color="auto"/>
            </w:tcBorders>
            <w:shd w:val="clear" w:color="auto" w:fill="auto"/>
            <w:noWrap/>
            <w:vAlign w:val="center"/>
            <w:hideMark/>
          </w:tcPr>
          <w:p w14:paraId="3E256A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85953075</w:t>
            </w:r>
          </w:p>
        </w:tc>
        <w:tc>
          <w:tcPr>
            <w:tcW w:w="160" w:type="dxa"/>
            <w:tcBorders>
              <w:top w:val="nil"/>
              <w:left w:val="nil"/>
              <w:bottom w:val="single" w:sz="4" w:space="0" w:color="auto"/>
              <w:right w:val="nil"/>
            </w:tcBorders>
            <w:vAlign w:val="center"/>
          </w:tcPr>
          <w:p w14:paraId="3C64D9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E919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RIBNICA</w:t>
            </w:r>
          </w:p>
        </w:tc>
      </w:tr>
      <w:tr w:rsidR="00072A69" w:rsidRPr="00DC6DF9" w14:paraId="58C10D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4144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722</w:t>
            </w:r>
          </w:p>
        </w:tc>
        <w:tc>
          <w:tcPr>
            <w:tcW w:w="1036" w:type="dxa"/>
            <w:tcBorders>
              <w:top w:val="nil"/>
              <w:left w:val="nil"/>
              <w:bottom w:val="single" w:sz="4" w:space="0" w:color="auto"/>
              <w:right w:val="single" w:sz="4" w:space="0" w:color="auto"/>
            </w:tcBorders>
            <w:shd w:val="clear" w:color="auto" w:fill="auto"/>
            <w:noWrap/>
            <w:vAlign w:val="center"/>
            <w:hideMark/>
          </w:tcPr>
          <w:p w14:paraId="5EFA6B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5054931000</w:t>
            </w:r>
          </w:p>
        </w:tc>
        <w:tc>
          <w:tcPr>
            <w:tcW w:w="1036" w:type="dxa"/>
            <w:tcBorders>
              <w:top w:val="nil"/>
              <w:left w:val="nil"/>
              <w:bottom w:val="single" w:sz="4" w:space="0" w:color="auto"/>
              <w:right w:val="single" w:sz="4" w:space="0" w:color="auto"/>
            </w:tcBorders>
            <w:shd w:val="clear" w:color="auto" w:fill="auto"/>
            <w:noWrap/>
            <w:vAlign w:val="center"/>
            <w:hideMark/>
          </w:tcPr>
          <w:p w14:paraId="480982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58996974</w:t>
            </w:r>
          </w:p>
        </w:tc>
        <w:tc>
          <w:tcPr>
            <w:tcW w:w="160" w:type="dxa"/>
            <w:tcBorders>
              <w:top w:val="nil"/>
              <w:left w:val="nil"/>
              <w:bottom w:val="single" w:sz="4" w:space="0" w:color="auto"/>
              <w:right w:val="nil"/>
            </w:tcBorders>
            <w:vAlign w:val="center"/>
          </w:tcPr>
          <w:p w14:paraId="2FCE71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DD95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SEVNICA</w:t>
            </w:r>
          </w:p>
        </w:tc>
      </w:tr>
      <w:tr w:rsidR="00072A69" w:rsidRPr="00DC6DF9" w14:paraId="2856FB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38C8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723</w:t>
            </w:r>
          </w:p>
        </w:tc>
        <w:tc>
          <w:tcPr>
            <w:tcW w:w="1036" w:type="dxa"/>
            <w:tcBorders>
              <w:top w:val="nil"/>
              <w:left w:val="nil"/>
              <w:bottom w:val="single" w:sz="4" w:space="0" w:color="auto"/>
              <w:right w:val="single" w:sz="4" w:space="0" w:color="auto"/>
            </w:tcBorders>
            <w:shd w:val="clear" w:color="auto" w:fill="auto"/>
            <w:noWrap/>
            <w:vAlign w:val="center"/>
            <w:hideMark/>
          </w:tcPr>
          <w:p w14:paraId="7A70C3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5054966000</w:t>
            </w:r>
          </w:p>
        </w:tc>
        <w:tc>
          <w:tcPr>
            <w:tcW w:w="1036" w:type="dxa"/>
            <w:tcBorders>
              <w:top w:val="nil"/>
              <w:left w:val="nil"/>
              <w:bottom w:val="single" w:sz="4" w:space="0" w:color="auto"/>
              <w:right w:val="single" w:sz="4" w:space="0" w:color="auto"/>
            </w:tcBorders>
            <w:shd w:val="clear" w:color="auto" w:fill="auto"/>
            <w:noWrap/>
            <w:vAlign w:val="center"/>
            <w:hideMark/>
          </w:tcPr>
          <w:p w14:paraId="52FE2A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84301171</w:t>
            </w:r>
          </w:p>
        </w:tc>
        <w:tc>
          <w:tcPr>
            <w:tcW w:w="160" w:type="dxa"/>
            <w:tcBorders>
              <w:top w:val="nil"/>
              <w:left w:val="nil"/>
              <w:bottom w:val="single" w:sz="4" w:space="0" w:color="auto"/>
              <w:right w:val="nil"/>
            </w:tcBorders>
            <w:vAlign w:val="center"/>
          </w:tcPr>
          <w:p w14:paraId="7BB884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B344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SLOVENSKA BISTRICA</w:t>
            </w:r>
          </w:p>
        </w:tc>
      </w:tr>
      <w:tr w:rsidR="00072A69" w:rsidRPr="00DC6DF9" w14:paraId="6DE3D13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E8F5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724</w:t>
            </w:r>
          </w:p>
        </w:tc>
        <w:tc>
          <w:tcPr>
            <w:tcW w:w="1036" w:type="dxa"/>
            <w:tcBorders>
              <w:top w:val="nil"/>
              <w:left w:val="nil"/>
              <w:bottom w:val="single" w:sz="4" w:space="0" w:color="auto"/>
              <w:right w:val="single" w:sz="4" w:space="0" w:color="auto"/>
            </w:tcBorders>
            <w:shd w:val="clear" w:color="auto" w:fill="auto"/>
            <w:noWrap/>
            <w:vAlign w:val="center"/>
            <w:hideMark/>
          </w:tcPr>
          <w:p w14:paraId="230C5A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5820405000</w:t>
            </w:r>
          </w:p>
        </w:tc>
        <w:tc>
          <w:tcPr>
            <w:tcW w:w="1036" w:type="dxa"/>
            <w:tcBorders>
              <w:top w:val="nil"/>
              <w:left w:val="nil"/>
              <w:bottom w:val="single" w:sz="4" w:space="0" w:color="auto"/>
              <w:right w:val="single" w:sz="4" w:space="0" w:color="auto"/>
            </w:tcBorders>
            <w:shd w:val="clear" w:color="auto" w:fill="auto"/>
            <w:noWrap/>
            <w:vAlign w:val="center"/>
            <w:hideMark/>
          </w:tcPr>
          <w:p w14:paraId="2BEB00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81195826</w:t>
            </w:r>
          </w:p>
        </w:tc>
        <w:tc>
          <w:tcPr>
            <w:tcW w:w="160" w:type="dxa"/>
            <w:tcBorders>
              <w:top w:val="nil"/>
              <w:left w:val="nil"/>
              <w:bottom w:val="single" w:sz="4" w:space="0" w:color="auto"/>
              <w:right w:val="nil"/>
            </w:tcBorders>
            <w:vAlign w:val="center"/>
          </w:tcPr>
          <w:p w14:paraId="716DD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0DC2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LEKARNA VELENJE</w:t>
            </w:r>
          </w:p>
        </w:tc>
      </w:tr>
      <w:tr w:rsidR="00072A69" w:rsidRPr="00DC6DF9" w14:paraId="500046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DE5B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725</w:t>
            </w:r>
          </w:p>
        </w:tc>
        <w:tc>
          <w:tcPr>
            <w:tcW w:w="1036" w:type="dxa"/>
            <w:tcBorders>
              <w:top w:val="nil"/>
              <w:left w:val="nil"/>
              <w:bottom w:val="single" w:sz="4" w:space="0" w:color="auto"/>
              <w:right w:val="single" w:sz="4" w:space="0" w:color="auto"/>
            </w:tcBorders>
            <w:shd w:val="clear" w:color="auto" w:fill="auto"/>
            <w:noWrap/>
            <w:vAlign w:val="center"/>
            <w:hideMark/>
          </w:tcPr>
          <w:p w14:paraId="087AC7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5054800000</w:t>
            </w:r>
          </w:p>
        </w:tc>
        <w:tc>
          <w:tcPr>
            <w:tcW w:w="1036" w:type="dxa"/>
            <w:tcBorders>
              <w:top w:val="nil"/>
              <w:left w:val="nil"/>
              <w:bottom w:val="single" w:sz="4" w:space="0" w:color="auto"/>
              <w:right w:val="single" w:sz="4" w:space="0" w:color="auto"/>
            </w:tcBorders>
            <w:shd w:val="clear" w:color="auto" w:fill="auto"/>
            <w:noWrap/>
            <w:vAlign w:val="center"/>
            <w:hideMark/>
          </w:tcPr>
          <w:p w14:paraId="694C2E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21691223</w:t>
            </w:r>
          </w:p>
        </w:tc>
        <w:tc>
          <w:tcPr>
            <w:tcW w:w="160" w:type="dxa"/>
            <w:tcBorders>
              <w:top w:val="nil"/>
              <w:left w:val="nil"/>
              <w:bottom w:val="single" w:sz="4" w:space="0" w:color="auto"/>
              <w:right w:val="nil"/>
            </w:tcBorders>
            <w:vAlign w:val="center"/>
          </w:tcPr>
          <w:p w14:paraId="2A9A934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11C6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LEKARNE PTUJ</w:t>
            </w:r>
          </w:p>
        </w:tc>
      </w:tr>
      <w:tr w:rsidR="00072A69" w:rsidRPr="00DC6DF9" w14:paraId="039DD9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979A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726</w:t>
            </w:r>
          </w:p>
        </w:tc>
        <w:tc>
          <w:tcPr>
            <w:tcW w:w="1036" w:type="dxa"/>
            <w:tcBorders>
              <w:top w:val="nil"/>
              <w:left w:val="nil"/>
              <w:bottom w:val="single" w:sz="4" w:space="0" w:color="auto"/>
              <w:right w:val="single" w:sz="4" w:space="0" w:color="auto"/>
            </w:tcBorders>
            <w:shd w:val="clear" w:color="auto" w:fill="auto"/>
            <w:noWrap/>
            <w:vAlign w:val="center"/>
            <w:hideMark/>
          </w:tcPr>
          <w:p w14:paraId="140376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5053897000</w:t>
            </w:r>
          </w:p>
        </w:tc>
        <w:tc>
          <w:tcPr>
            <w:tcW w:w="1036" w:type="dxa"/>
            <w:tcBorders>
              <w:top w:val="nil"/>
              <w:left w:val="nil"/>
              <w:bottom w:val="single" w:sz="4" w:space="0" w:color="auto"/>
              <w:right w:val="single" w:sz="4" w:space="0" w:color="auto"/>
            </w:tcBorders>
            <w:shd w:val="clear" w:color="auto" w:fill="auto"/>
            <w:noWrap/>
            <w:vAlign w:val="center"/>
            <w:hideMark/>
          </w:tcPr>
          <w:p w14:paraId="63E64D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32009933</w:t>
            </w:r>
          </w:p>
        </w:tc>
        <w:tc>
          <w:tcPr>
            <w:tcW w:w="160" w:type="dxa"/>
            <w:tcBorders>
              <w:top w:val="nil"/>
              <w:left w:val="nil"/>
              <w:bottom w:val="single" w:sz="4" w:space="0" w:color="auto"/>
              <w:right w:val="nil"/>
            </w:tcBorders>
            <w:vAlign w:val="center"/>
          </w:tcPr>
          <w:p w14:paraId="152D17B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F38E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LEKARNIŠKA ZBORNICA SLOVENIJE</w:t>
            </w:r>
          </w:p>
        </w:tc>
      </w:tr>
      <w:tr w:rsidR="00072A69" w:rsidRPr="00DC6DF9" w14:paraId="165E60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B572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727</w:t>
            </w:r>
          </w:p>
        </w:tc>
        <w:tc>
          <w:tcPr>
            <w:tcW w:w="1036" w:type="dxa"/>
            <w:tcBorders>
              <w:top w:val="nil"/>
              <w:left w:val="nil"/>
              <w:bottom w:val="single" w:sz="4" w:space="0" w:color="auto"/>
              <w:right w:val="single" w:sz="4" w:space="0" w:color="auto"/>
            </w:tcBorders>
            <w:shd w:val="clear" w:color="auto" w:fill="auto"/>
            <w:noWrap/>
            <w:vAlign w:val="center"/>
            <w:hideMark/>
          </w:tcPr>
          <w:p w14:paraId="20F3CD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5607906000</w:t>
            </w:r>
          </w:p>
        </w:tc>
        <w:tc>
          <w:tcPr>
            <w:tcW w:w="1036" w:type="dxa"/>
            <w:tcBorders>
              <w:top w:val="nil"/>
              <w:left w:val="nil"/>
              <w:bottom w:val="single" w:sz="4" w:space="0" w:color="auto"/>
              <w:right w:val="single" w:sz="4" w:space="0" w:color="auto"/>
            </w:tcBorders>
            <w:shd w:val="clear" w:color="auto" w:fill="auto"/>
            <w:noWrap/>
            <w:vAlign w:val="center"/>
            <w:hideMark/>
          </w:tcPr>
          <w:p w14:paraId="443134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50652613</w:t>
            </w:r>
          </w:p>
        </w:tc>
        <w:tc>
          <w:tcPr>
            <w:tcW w:w="160" w:type="dxa"/>
            <w:tcBorders>
              <w:top w:val="nil"/>
              <w:left w:val="nil"/>
              <w:bottom w:val="single" w:sz="4" w:space="0" w:color="auto"/>
              <w:right w:val="nil"/>
            </w:tcBorders>
            <w:vAlign w:val="center"/>
          </w:tcPr>
          <w:p w14:paraId="2EBFAB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1658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LJUBLJANSKA PARKIRIŠČA IN TRŽNICE, D. O. O. </w:t>
            </w:r>
          </w:p>
        </w:tc>
      </w:tr>
      <w:tr w:rsidR="00072A69" w:rsidRPr="00DC6DF9" w14:paraId="1D4D43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B477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728</w:t>
            </w:r>
          </w:p>
        </w:tc>
        <w:tc>
          <w:tcPr>
            <w:tcW w:w="1036" w:type="dxa"/>
            <w:tcBorders>
              <w:top w:val="nil"/>
              <w:left w:val="nil"/>
              <w:bottom w:val="single" w:sz="4" w:space="0" w:color="auto"/>
              <w:right w:val="single" w:sz="4" w:space="0" w:color="auto"/>
            </w:tcBorders>
            <w:shd w:val="clear" w:color="auto" w:fill="auto"/>
            <w:noWrap/>
            <w:vAlign w:val="center"/>
            <w:hideMark/>
          </w:tcPr>
          <w:p w14:paraId="4F4A30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3887359000</w:t>
            </w:r>
          </w:p>
        </w:tc>
        <w:tc>
          <w:tcPr>
            <w:tcW w:w="1036" w:type="dxa"/>
            <w:tcBorders>
              <w:top w:val="nil"/>
              <w:left w:val="nil"/>
              <w:bottom w:val="single" w:sz="4" w:space="0" w:color="auto"/>
              <w:right w:val="single" w:sz="4" w:space="0" w:color="auto"/>
            </w:tcBorders>
            <w:shd w:val="clear" w:color="auto" w:fill="auto"/>
            <w:noWrap/>
            <w:vAlign w:val="center"/>
            <w:hideMark/>
          </w:tcPr>
          <w:p w14:paraId="6C31D6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82858632</w:t>
            </w:r>
          </w:p>
        </w:tc>
        <w:tc>
          <w:tcPr>
            <w:tcW w:w="160" w:type="dxa"/>
            <w:tcBorders>
              <w:top w:val="nil"/>
              <w:left w:val="nil"/>
              <w:bottom w:val="single" w:sz="4" w:space="0" w:color="auto"/>
              <w:right w:val="nil"/>
            </w:tcBorders>
            <w:vAlign w:val="center"/>
          </w:tcPr>
          <w:p w14:paraId="4F0604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D9A9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LJUBLJANSKI GRAD</w:t>
            </w:r>
          </w:p>
        </w:tc>
      </w:tr>
      <w:tr w:rsidR="00072A69" w:rsidRPr="00DC6DF9" w14:paraId="1AEAB43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133B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729</w:t>
            </w:r>
          </w:p>
        </w:tc>
        <w:tc>
          <w:tcPr>
            <w:tcW w:w="1036" w:type="dxa"/>
            <w:tcBorders>
              <w:top w:val="nil"/>
              <w:left w:val="nil"/>
              <w:bottom w:val="single" w:sz="4" w:space="0" w:color="auto"/>
              <w:right w:val="single" w:sz="4" w:space="0" w:color="auto"/>
            </w:tcBorders>
            <w:shd w:val="clear" w:color="auto" w:fill="auto"/>
            <w:noWrap/>
            <w:vAlign w:val="center"/>
            <w:hideMark/>
          </w:tcPr>
          <w:p w14:paraId="54EF79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5222966000</w:t>
            </w:r>
          </w:p>
        </w:tc>
        <w:tc>
          <w:tcPr>
            <w:tcW w:w="1036" w:type="dxa"/>
            <w:tcBorders>
              <w:top w:val="nil"/>
              <w:left w:val="nil"/>
              <w:bottom w:val="single" w:sz="4" w:space="0" w:color="auto"/>
              <w:right w:val="single" w:sz="4" w:space="0" w:color="auto"/>
            </w:tcBorders>
            <w:shd w:val="clear" w:color="auto" w:fill="auto"/>
            <w:noWrap/>
            <w:vAlign w:val="center"/>
            <w:hideMark/>
          </w:tcPr>
          <w:p w14:paraId="02039B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66742790</w:t>
            </w:r>
          </w:p>
        </w:tc>
        <w:tc>
          <w:tcPr>
            <w:tcW w:w="160" w:type="dxa"/>
            <w:tcBorders>
              <w:top w:val="nil"/>
              <w:left w:val="nil"/>
              <w:bottom w:val="single" w:sz="4" w:space="0" w:color="auto"/>
              <w:right w:val="nil"/>
            </w:tcBorders>
            <w:vAlign w:val="center"/>
          </w:tcPr>
          <w:p w14:paraId="5F7CC4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7E5E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LJUBLJANSKI POTNIŠKI PROMET, D. O. O. </w:t>
            </w:r>
          </w:p>
        </w:tc>
      </w:tr>
      <w:tr w:rsidR="00072A69" w:rsidRPr="00DC6DF9" w14:paraId="733937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10BB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w:t>
            </w:r>
          </w:p>
        </w:tc>
        <w:tc>
          <w:tcPr>
            <w:tcW w:w="1036" w:type="dxa"/>
            <w:tcBorders>
              <w:top w:val="nil"/>
              <w:left w:val="nil"/>
              <w:bottom w:val="single" w:sz="4" w:space="0" w:color="auto"/>
              <w:right w:val="single" w:sz="4" w:space="0" w:color="auto"/>
            </w:tcBorders>
            <w:shd w:val="clear" w:color="auto" w:fill="auto"/>
            <w:noWrap/>
            <w:vAlign w:val="center"/>
            <w:hideMark/>
          </w:tcPr>
          <w:p w14:paraId="51F92A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5617413000</w:t>
            </w:r>
          </w:p>
        </w:tc>
        <w:tc>
          <w:tcPr>
            <w:tcW w:w="1036" w:type="dxa"/>
            <w:tcBorders>
              <w:top w:val="nil"/>
              <w:left w:val="nil"/>
              <w:bottom w:val="single" w:sz="4" w:space="0" w:color="auto"/>
              <w:right w:val="single" w:sz="4" w:space="0" w:color="auto"/>
            </w:tcBorders>
            <w:shd w:val="clear" w:color="auto" w:fill="auto"/>
            <w:noWrap/>
            <w:vAlign w:val="center"/>
            <w:hideMark/>
          </w:tcPr>
          <w:p w14:paraId="5EEFCF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74652613</w:t>
            </w:r>
          </w:p>
        </w:tc>
        <w:tc>
          <w:tcPr>
            <w:tcW w:w="160" w:type="dxa"/>
            <w:tcBorders>
              <w:top w:val="nil"/>
              <w:left w:val="nil"/>
              <w:bottom w:val="single" w:sz="4" w:space="0" w:color="auto"/>
              <w:right w:val="nil"/>
            </w:tcBorders>
            <w:vAlign w:val="center"/>
          </w:tcPr>
          <w:p w14:paraId="310053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86D2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KNJIŽNICA METLIKA</w:t>
            </w:r>
          </w:p>
        </w:tc>
      </w:tr>
      <w:tr w:rsidR="00072A69" w:rsidRPr="00DC6DF9" w14:paraId="3B31AA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1E83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731</w:t>
            </w:r>
          </w:p>
        </w:tc>
        <w:tc>
          <w:tcPr>
            <w:tcW w:w="1036" w:type="dxa"/>
            <w:tcBorders>
              <w:top w:val="nil"/>
              <w:left w:val="nil"/>
              <w:bottom w:val="single" w:sz="4" w:space="0" w:color="auto"/>
              <w:right w:val="single" w:sz="4" w:space="0" w:color="auto"/>
            </w:tcBorders>
            <w:shd w:val="clear" w:color="auto" w:fill="auto"/>
            <w:noWrap/>
            <w:vAlign w:val="center"/>
            <w:hideMark/>
          </w:tcPr>
          <w:p w14:paraId="2E9ED9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1434233000</w:t>
            </w:r>
          </w:p>
        </w:tc>
        <w:tc>
          <w:tcPr>
            <w:tcW w:w="1036" w:type="dxa"/>
            <w:tcBorders>
              <w:top w:val="nil"/>
              <w:left w:val="nil"/>
              <w:bottom w:val="single" w:sz="4" w:space="0" w:color="auto"/>
              <w:right w:val="single" w:sz="4" w:space="0" w:color="auto"/>
            </w:tcBorders>
            <w:shd w:val="clear" w:color="auto" w:fill="auto"/>
            <w:noWrap/>
            <w:vAlign w:val="center"/>
            <w:hideMark/>
          </w:tcPr>
          <w:p w14:paraId="1EFD03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88942767</w:t>
            </w:r>
          </w:p>
        </w:tc>
        <w:tc>
          <w:tcPr>
            <w:tcW w:w="160" w:type="dxa"/>
            <w:tcBorders>
              <w:top w:val="nil"/>
              <w:left w:val="nil"/>
              <w:bottom w:val="single" w:sz="4" w:space="0" w:color="auto"/>
              <w:right w:val="nil"/>
            </w:tcBorders>
            <w:vAlign w:val="center"/>
          </w:tcPr>
          <w:p w14:paraId="6B73CC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82DB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AJDOVŠČINA</w:t>
            </w:r>
          </w:p>
        </w:tc>
      </w:tr>
      <w:tr w:rsidR="00072A69" w:rsidRPr="00DC6DF9" w14:paraId="17A3553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5D3A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732</w:t>
            </w:r>
          </w:p>
        </w:tc>
        <w:tc>
          <w:tcPr>
            <w:tcW w:w="1036" w:type="dxa"/>
            <w:tcBorders>
              <w:top w:val="nil"/>
              <w:left w:val="nil"/>
              <w:bottom w:val="single" w:sz="4" w:space="0" w:color="auto"/>
              <w:right w:val="single" w:sz="4" w:space="0" w:color="auto"/>
            </w:tcBorders>
            <w:shd w:val="clear" w:color="auto" w:fill="auto"/>
            <w:noWrap/>
            <w:vAlign w:val="center"/>
            <w:hideMark/>
          </w:tcPr>
          <w:p w14:paraId="429A5E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5051827000</w:t>
            </w:r>
          </w:p>
        </w:tc>
        <w:tc>
          <w:tcPr>
            <w:tcW w:w="1036" w:type="dxa"/>
            <w:tcBorders>
              <w:top w:val="nil"/>
              <w:left w:val="nil"/>
              <w:bottom w:val="single" w:sz="4" w:space="0" w:color="auto"/>
              <w:right w:val="single" w:sz="4" w:space="0" w:color="auto"/>
            </w:tcBorders>
            <w:shd w:val="clear" w:color="auto" w:fill="auto"/>
            <w:noWrap/>
            <w:vAlign w:val="center"/>
            <w:hideMark/>
          </w:tcPr>
          <w:p w14:paraId="371D98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59445181</w:t>
            </w:r>
          </w:p>
        </w:tc>
        <w:tc>
          <w:tcPr>
            <w:tcW w:w="160" w:type="dxa"/>
            <w:tcBorders>
              <w:top w:val="nil"/>
              <w:left w:val="nil"/>
              <w:bottom w:val="single" w:sz="4" w:space="0" w:color="auto"/>
              <w:right w:val="nil"/>
            </w:tcBorders>
            <w:vAlign w:val="center"/>
          </w:tcPr>
          <w:p w14:paraId="056416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D2F8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CELJE</w:t>
            </w:r>
          </w:p>
        </w:tc>
      </w:tr>
      <w:tr w:rsidR="00072A69" w:rsidRPr="00DC6DF9" w14:paraId="40805F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09DC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733</w:t>
            </w:r>
          </w:p>
        </w:tc>
        <w:tc>
          <w:tcPr>
            <w:tcW w:w="1036" w:type="dxa"/>
            <w:tcBorders>
              <w:top w:val="nil"/>
              <w:left w:val="nil"/>
              <w:bottom w:val="single" w:sz="4" w:space="0" w:color="auto"/>
              <w:right w:val="single" w:sz="4" w:space="0" w:color="auto"/>
            </w:tcBorders>
            <w:shd w:val="clear" w:color="auto" w:fill="auto"/>
            <w:noWrap/>
            <w:vAlign w:val="center"/>
            <w:hideMark/>
          </w:tcPr>
          <w:p w14:paraId="455559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5086582000</w:t>
            </w:r>
          </w:p>
        </w:tc>
        <w:tc>
          <w:tcPr>
            <w:tcW w:w="1036" w:type="dxa"/>
            <w:tcBorders>
              <w:top w:val="nil"/>
              <w:left w:val="nil"/>
              <w:bottom w:val="single" w:sz="4" w:space="0" w:color="auto"/>
              <w:right w:val="single" w:sz="4" w:space="0" w:color="auto"/>
            </w:tcBorders>
            <w:shd w:val="clear" w:color="auto" w:fill="auto"/>
            <w:noWrap/>
            <w:vAlign w:val="center"/>
            <w:hideMark/>
          </w:tcPr>
          <w:p w14:paraId="7650BF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63033755</w:t>
            </w:r>
          </w:p>
        </w:tc>
        <w:tc>
          <w:tcPr>
            <w:tcW w:w="160" w:type="dxa"/>
            <w:tcBorders>
              <w:top w:val="nil"/>
              <w:left w:val="nil"/>
              <w:bottom w:val="single" w:sz="4" w:space="0" w:color="auto"/>
              <w:right w:val="nil"/>
            </w:tcBorders>
            <w:vAlign w:val="center"/>
          </w:tcPr>
          <w:p w14:paraId="12E10F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0AE8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JESENICE</w:t>
            </w:r>
          </w:p>
        </w:tc>
      </w:tr>
      <w:tr w:rsidR="00072A69" w:rsidRPr="00DC6DF9" w14:paraId="2B3391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DD4C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734</w:t>
            </w:r>
          </w:p>
        </w:tc>
        <w:tc>
          <w:tcPr>
            <w:tcW w:w="1036" w:type="dxa"/>
            <w:tcBorders>
              <w:top w:val="nil"/>
              <w:left w:val="nil"/>
              <w:bottom w:val="single" w:sz="4" w:space="0" w:color="auto"/>
              <w:right w:val="single" w:sz="4" w:space="0" w:color="auto"/>
            </w:tcBorders>
            <w:shd w:val="clear" w:color="auto" w:fill="auto"/>
            <w:noWrap/>
            <w:vAlign w:val="center"/>
            <w:hideMark/>
          </w:tcPr>
          <w:p w14:paraId="1FC14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5052513000</w:t>
            </w:r>
          </w:p>
        </w:tc>
        <w:tc>
          <w:tcPr>
            <w:tcW w:w="1036" w:type="dxa"/>
            <w:tcBorders>
              <w:top w:val="nil"/>
              <w:left w:val="nil"/>
              <w:bottom w:val="single" w:sz="4" w:space="0" w:color="auto"/>
              <w:right w:val="single" w:sz="4" w:space="0" w:color="auto"/>
            </w:tcBorders>
            <w:shd w:val="clear" w:color="auto" w:fill="auto"/>
            <w:noWrap/>
            <w:vAlign w:val="center"/>
            <w:hideMark/>
          </w:tcPr>
          <w:p w14:paraId="55C2E1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57553718</w:t>
            </w:r>
          </w:p>
        </w:tc>
        <w:tc>
          <w:tcPr>
            <w:tcW w:w="160" w:type="dxa"/>
            <w:tcBorders>
              <w:top w:val="nil"/>
              <w:left w:val="nil"/>
              <w:bottom w:val="single" w:sz="4" w:space="0" w:color="auto"/>
              <w:right w:val="nil"/>
            </w:tcBorders>
            <w:vAlign w:val="center"/>
          </w:tcPr>
          <w:p w14:paraId="305B563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0789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KOČEVJE</w:t>
            </w:r>
          </w:p>
        </w:tc>
      </w:tr>
      <w:tr w:rsidR="00072A69" w:rsidRPr="00DC6DF9" w14:paraId="56E47AB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6A6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735</w:t>
            </w:r>
          </w:p>
        </w:tc>
        <w:tc>
          <w:tcPr>
            <w:tcW w:w="1036" w:type="dxa"/>
            <w:tcBorders>
              <w:top w:val="nil"/>
              <w:left w:val="nil"/>
              <w:bottom w:val="single" w:sz="4" w:space="0" w:color="auto"/>
              <w:right w:val="single" w:sz="4" w:space="0" w:color="auto"/>
            </w:tcBorders>
            <w:shd w:val="clear" w:color="auto" w:fill="auto"/>
            <w:noWrap/>
            <w:vAlign w:val="center"/>
            <w:hideMark/>
          </w:tcPr>
          <w:p w14:paraId="302424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5051983000</w:t>
            </w:r>
          </w:p>
        </w:tc>
        <w:tc>
          <w:tcPr>
            <w:tcW w:w="1036" w:type="dxa"/>
            <w:tcBorders>
              <w:top w:val="nil"/>
              <w:left w:val="nil"/>
              <w:bottom w:val="single" w:sz="4" w:space="0" w:color="auto"/>
              <w:right w:val="single" w:sz="4" w:space="0" w:color="auto"/>
            </w:tcBorders>
            <w:shd w:val="clear" w:color="auto" w:fill="auto"/>
            <w:noWrap/>
            <w:vAlign w:val="center"/>
            <w:hideMark/>
          </w:tcPr>
          <w:p w14:paraId="759D59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87043726</w:t>
            </w:r>
          </w:p>
        </w:tc>
        <w:tc>
          <w:tcPr>
            <w:tcW w:w="160" w:type="dxa"/>
            <w:tcBorders>
              <w:top w:val="nil"/>
              <w:left w:val="nil"/>
              <w:bottom w:val="single" w:sz="4" w:space="0" w:color="auto"/>
              <w:right w:val="nil"/>
            </w:tcBorders>
            <w:vAlign w:val="center"/>
          </w:tcPr>
          <w:p w14:paraId="308EB5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D9C8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KRANJ</w:t>
            </w:r>
          </w:p>
        </w:tc>
      </w:tr>
      <w:tr w:rsidR="00072A69" w:rsidRPr="00DC6DF9" w14:paraId="60D9BA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44D0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736</w:t>
            </w:r>
          </w:p>
        </w:tc>
        <w:tc>
          <w:tcPr>
            <w:tcW w:w="1036" w:type="dxa"/>
            <w:tcBorders>
              <w:top w:val="nil"/>
              <w:left w:val="nil"/>
              <w:bottom w:val="single" w:sz="4" w:space="0" w:color="auto"/>
              <w:right w:val="single" w:sz="4" w:space="0" w:color="auto"/>
            </w:tcBorders>
            <w:shd w:val="clear" w:color="auto" w:fill="auto"/>
            <w:noWrap/>
            <w:vAlign w:val="center"/>
            <w:hideMark/>
          </w:tcPr>
          <w:p w14:paraId="6905F2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5052572000</w:t>
            </w:r>
          </w:p>
        </w:tc>
        <w:tc>
          <w:tcPr>
            <w:tcW w:w="1036" w:type="dxa"/>
            <w:tcBorders>
              <w:top w:val="nil"/>
              <w:left w:val="nil"/>
              <w:bottom w:val="single" w:sz="4" w:space="0" w:color="auto"/>
              <w:right w:val="single" w:sz="4" w:space="0" w:color="auto"/>
            </w:tcBorders>
            <w:shd w:val="clear" w:color="auto" w:fill="auto"/>
            <w:noWrap/>
            <w:vAlign w:val="center"/>
            <w:hideMark/>
          </w:tcPr>
          <w:p w14:paraId="2429BD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70618704</w:t>
            </w:r>
          </w:p>
        </w:tc>
        <w:tc>
          <w:tcPr>
            <w:tcW w:w="160" w:type="dxa"/>
            <w:tcBorders>
              <w:top w:val="nil"/>
              <w:left w:val="nil"/>
              <w:bottom w:val="single" w:sz="4" w:space="0" w:color="auto"/>
              <w:right w:val="nil"/>
            </w:tcBorders>
            <w:vAlign w:val="center"/>
          </w:tcPr>
          <w:p w14:paraId="7045D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564D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LENDAVA</w:t>
            </w:r>
          </w:p>
        </w:tc>
      </w:tr>
      <w:tr w:rsidR="00072A69" w:rsidRPr="00DC6DF9" w14:paraId="60216B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D9DC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737</w:t>
            </w:r>
          </w:p>
        </w:tc>
        <w:tc>
          <w:tcPr>
            <w:tcW w:w="1036" w:type="dxa"/>
            <w:tcBorders>
              <w:top w:val="nil"/>
              <w:left w:val="nil"/>
              <w:bottom w:val="single" w:sz="4" w:space="0" w:color="auto"/>
              <w:right w:val="single" w:sz="4" w:space="0" w:color="auto"/>
            </w:tcBorders>
            <w:shd w:val="clear" w:color="auto" w:fill="auto"/>
            <w:noWrap/>
            <w:vAlign w:val="center"/>
            <w:hideMark/>
          </w:tcPr>
          <w:p w14:paraId="0FE45A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5052181000</w:t>
            </w:r>
          </w:p>
        </w:tc>
        <w:tc>
          <w:tcPr>
            <w:tcW w:w="1036" w:type="dxa"/>
            <w:tcBorders>
              <w:top w:val="nil"/>
              <w:left w:val="nil"/>
              <w:bottom w:val="single" w:sz="4" w:space="0" w:color="auto"/>
              <w:right w:val="single" w:sz="4" w:space="0" w:color="auto"/>
            </w:tcBorders>
            <w:shd w:val="clear" w:color="auto" w:fill="auto"/>
            <w:noWrap/>
            <w:vAlign w:val="center"/>
            <w:hideMark/>
          </w:tcPr>
          <w:p w14:paraId="466518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44944209</w:t>
            </w:r>
          </w:p>
        </w:tc>
        <w:tc>
          <w:tcPr>
            <w:tcW w:w="160" w:type="dxa"/>
            <w:tcBorders>
              <w:top w:val="nil"/>
              <w:left w:val="nil"/>
              <w:bottom w:val="single" w:sz="4" w:space="0" w:color="auto"/>
              <w:right w:val="nil"/>
            </w:tcBorders>
            <w:vAlign w:val="center"/>
          </w:tcPr>
          <w:p w14:paraId="2F5CE1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475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NOVA GORICA</w:t>
            </w:r>
          </w:p>
        </w:tc>
      </w:tr>
      <w:tr w:rsidR="00072A69" w:rsidRPr="00DC6DF9" w14:paraId="2FC220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36E1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738</w:t>
            </w:r>
          </w:p>
        </w:tc>
        <w:tc>
          <w:tcPr>
            <w:tcW w:w="1036" w:type="dxa"/>
            <w:tcBorders>
              <w:top w:val="nil"/>
              <w:left w:val="nil"/>
              <w:bottom w:val="single" w:sz="4" w:space="0" w:color="auto"/>
              <w:right w:val="single" w:sz="4" w:space="0" w:color="auto"/>
            </w:tcBorders>
            <w:shd w:val="clear" w:color="auto" w:fill="auto"/>
            <w:noWrap/>
            <w:vAlign w:val="center"/>
            <w:hideMark/>
          </w:tcPr>
          <w:p w14:paraId="3D6C59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5053234000</w:t>
            </w:r>
          </w:p>
        </w:tc>
        <w:tc>
          <w:tcPr>
            <w:tcW w:w="1036" w:type="dxa"/>
            <w:tcBorders>
              <w:top w:val="nil"/>
              <w:left w:val="nil"/>
              <w:bottom w:val="single" w:sz="4" w:space="0" w:color="auto"/>
              <w:right w:val="single" w:sz="4" w:space="0" w:color="auto"/>
            </w:tcBorders>
            <w:shd w:val="clear" w:color="auto" w:fill="auto"/>
            <w:noWrap/>
            <w:vAlign w:val="center"/>
            <w:hideMark/>
          </w:tcPr>
          <w:p w14:paraId="00A8AF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78774047</w:t>
            </w:r>
          </w:p>
        </w:tc>
        <w:tc>
          <w:tcPr>
            <w:tcW w:w="160" w:type="dxa"/>
            <w:tcBorders>
              <w:top w:val="nil"/>
              <w:left w:val="nil"/>
              <w:bottom w:val="single" w:sz="4" w:space="0" w:color="auto"/>
              <w:right w:val="nil"/>
            </w:tcBorders>
            <w:vAlign w:val="center"/>
          </w:tcPr>
          <w:p w14:paraId="6265D8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3BF8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RAVNE NA KOROŠKEM</w:t>
            </w:r>
          </w:p>
        </w:tc>
      </w:tr>
      <w:tr w:rsidR="00072A69" w:rsidRPr="00DC6DF9" w14:paraId="29E19BB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6CB2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739</w:t>
            </w:r>
          </w:p>
        </w:tc>
        <w:tc>
          <w:tcPr>
            <w:tcW w:w="1036" w:type="dxa"/>
            <w:tcBorders>
              <w:top w:val="nil"/>
              <w:left w:val="nil"/>
              <w:bottom w:val="single" w:sz="4" w:space="0" w:color="auto"/>
              <w:right w:val="single" w:sz="4" w:space="0" w:color="auto"/>
            </w:tcBorders>
            <w:shd w:val="clear" w:color="auto" w:fill="auto"/>
            <w:noWrap/>
            <w:vAlign w:val="center"/>
            <w:hideMark/>
          </w:tcPr>
          <w:p w14:paraId="75F7FD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5052947000</w:t>
            </w:r>
          </w:p>
        </w:tc>
        <w:tc>
          <w:tcPr>
            <w:tcW w:w="1036" w:type="dxa"/>
            <w:tcBorders>
              <w:top w:val="nil"/>
              <w:left w:val="nil"/>
              <w:bottom w:val="single" w:sz="4" w:space="0" w:color="auto"/>
              <w:right w:val="single" w:sz="4" w:space="0" w:color="auto"/>
            </w:tcBorders>
            <w:shd w:val="clear" w:color="auto" w:fill="auto"/>
            <w:noWrap/>
            <w:vAlign w:val="center"/>
            <w:hideMark/>
          </w:tcPr>
          <w:p w14:paraId="45C53B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55710263</w:t>
            </w:r>
          </w:p>
        </w:tc>
        <w:tc>
          <w:tcPr>
            <w:tcW w:w="160" w:type="dxa"/>
            <w:tcBorders>
              <w:top w:val="nil"/>
              <w:left w:val="nil"/>
              <w:bottom w:val="single" w:sz="4" w:space="0" w:color="auto"/>
              <w:right w:val="nil"/>
            </w:tcBorders>
            <w:vAlign w:val="center"/>
          </w:tcPr>
          <w:p w14:paraId="3A77E9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3629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ŠKOFJA LOKA</w:t>
            </w:r>
          </w:p>
        </w:tc>
      </w:tr>
      <w:tr w:rsidR="00072A69" w:rsidRPr="00DC6DF9" w14:paraId="5AC7AD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1F7B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740</w:t>
            </w:r>
          </w:p>
        </w:tc>
        <w:tc>
          <w:tcPr>
            <w:tcW w:w="1036" w:type="dxa"/>
            <w:tcBorders>
              <w:top w:val="nil"/>
              <w:left w:val="nil"/>
              <w:bottom w:val="single" w:sz="4" w:space="0" w:color="auto"/>
              <w:right w:val="single" w:sz="4" w:space="0" w:color="auto"/>
            </w:tcBorders>
            <w:shd w:val="clear" w:color="auto" w:fill="auto"/>
            <w:noWrap/>
            <w:vAlign w:val="center"/>
            <w:hideMark/>
          </w:tcPr>
          <w:p w14:paraId="05BF49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1451073000</w:t>
            </w:r>
          </w:p>
        </w:tc>
        <w:tc>
          <w:tcPr>
            <w:tcW w:w="1036" w:type="dxa"/>
            <w:tcBorders>
              <w:top w:val="nil"/>
              <w:left w:val="nil"/>
              <w:bottom w:val="single" w:sz="4" w:space="0" w:color="auto"/>
              <w:right w:val="single" w:sz="4" w:space="0" w:color="auto"/>
            </w:tcBorders>
            <w:shd w:val="clear" w:color="auto" w:fill="auto"/>
            <w:noWrap/>
            <w:vAlign w:val="center"/>
            <w:hideMark/>
          </w:tcPr>
          <w:p w14:paraId="168124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52994643</w:t>
            </w:r>
          </w:p>
        </w:tc>
        <w:tc>
          <w:tcPr>
            <w:tcW w:w="160" w:type="dxa"/>
            <w:tcBorders>
              <w:top w:val="nil"/>
              <w:left w:val="nil"/>
              <w:bottom w:val="single" w:sz="4" w:space="0" w:color="auto"/>
              <w:right w:val="nil"/>
            </w:tcBorders>
            <w:vAlign w:val="center"/>
          </w:tcPr>
          <w:p w14:paraId="73673F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E9EA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TRŽIČ</w:t>
            </w:r>
          </w:p>
        </w:tc>
      </w:tr>
      <w:tr w:rsidR="00072A69" w:rsidRPr="00DC6DF9" w14:paraId="79051F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61C7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741</w:t>
            </w:r>
          </w:p>
        </w:tc>
        <w:tc>
          <w:tcPr>
            <w:tcW w:w="1036" w:type="dxa"/>
            <w:tcBorders>
              <w:top w:val="nil"/>
              <w:left w:val="nil"/>
              <w:bottom w:val="single" w:sz="4" w:space="0" w:color="auto"/>
              <w:right w:val="single" w:sz="4" w:space="0" w:color="auto"/>
            </w:tcBorders>
            <w:shd w:val="clear" w:color="auto" w:fill="auto"/>
            <w:noWrap/>
            <w:vAlign w:val="center"/>
            <w:hideMark/>
          </w:tcPr>
          <w:p w14:paraId="771DA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5052971000</w:t>
            </w:r>
          </w:p>
        </w:tc>
        <w:tc>
          <w:tcPr>
            <w:tcW w:w="1036" w:type="dxa"/>
            <w:tcBorders>
              <w:top w:val="nil"/>
              <w:left w:val="nil"/>
              <w:bottom w:val="single" w:sz="4" w:space="0" w:color="auto"/>
              <w:right w:val="single" w:sz="4" w:space="0" w:color="auto"/>
            </w:tcBorders>
            <w:shd w:val="clear" w:color="auto" w:fill="auto"/>
            <w:noWrap/>
            <w:vAlign w:val="center"/>
            <w:hideMark/>
          </w:tcPr>
          <w:p w14:paraId="4707C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55131603</w:t>
            </w:r>
          </w:p>
        </w:tc>
        <w:tc>
          <w:tcPr>
            <w:tcW w:w="160" w:type="dxa"/>
            <w:tcBorders>
              <w:top w:val="nil"/>
              <w:left w:val="nil"/>
              <w:bottom w:val="single" w:sz="4" w:space="0" w:color="auto"/>
              <w:right w:val="nil"/>
            </w:tcBorders>
            <w:vAlign w:val="center"/>
          </w:tcPr>
          <w:p w14:paraId="10DB92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9D56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LJUDSKA UNIVERZA, ZAVOD ZA IZOBRAŽEVANJE IN KULTURO, ROGAŠKA SLATINA</w:t>
            </w:r>
          </w:p>
        </w:tc>
      </w:tr>
      <w:tr w:rsidR="00072A69" w:rsidRPr="00DC6DF9" w14:paraId="402659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A360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742</w:t>
            </w:r>
          </w:p>
        </w:tc>
        <w:tc>
          <w:tcPr>
            <w:tcW w:w="1036" w:type="dxa"/>
            <w:tcBorders>
              <w:top w:val="nil"/>
              <w:left w:val="nil"/>
              <w:bottom w:val="single" w:sz="4" w:space="0" w:color="auto"/>
              <w:right w:val="single" w:sz="4" w:space="0" w:color="auto"/>
            </w:tcBorders>
            <w:shd w:val="clear" w:color="auto" w:fill="auto"/>
            <w:noWrap/>
            <w:vAlign w:val="center"/>
            <w:hideMark/>
          </w:tcPr>
          <w:p w14:paraId="1AC1E5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3531333000</w:t>
            </w:r>
          </w:p>
        </w:tc>
        <w:tc>
          <w:tcPr>
            <w:tcW w:w="1036" w:type="dxa"/>
            <w:tcBorders>
              <w:top w:val="nil"/>
              <w:left w:val="nil"/>
              <w:bottom w:val="single" w:sz="4" w:space="0" w:color="auto"/>
              <w:right w:val="single" w:sz="4" w:space="0" w:color="auto"/>
            </w:tcBorders>
            <w:shd w:val="clear" w:color="auto" w:fill="auto"/>
            <w:noWrap/>
            <w:vAlign w:val="center"/>
            <w:hideMark/>
          </w:tcPr>
          <w:p w14:paraId="1B85D9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83738975</w:t>
            </w:r>
          </w:p>
        </w:tc>
        <w:tc>
          <w:tcPr>
            <w:tcW w:w="160" w:type="dxa"/>
            <w:tcBorders>
              <w:top w:val="nil"/>
              <w:left w:val="nil"/>
              <w:bottom w:val="single" w:sz="4" w:space="0" w:color="auto"/>
              <w:right w:val="nil"/>
            </w:tcBorders>
            <w:vAlign w:val="center"/>
          </w:tcPr>
          <w:p w14:paraId="78FE24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BE1B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LOKALNA ENERGETSKA AGENCIJA GORENJSKE</w:t>
            </w:r>
          </w:p>
        </w:tc>
      </w:tr>
      <w:tr w:rsidR="00072A69" w:rsidRPr="00DC6DF9" w14:paraId="153B0F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3ECC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743</w:t>
            </w:r>
          </w:p>
        </w:tc>
        <w:tc>
          <w:tcPr>
            <w:tcW w:w="1036" w:type="dxa"/>
            <w:tcBorders>
              <w:top w:val="nil"/>
              <w:left w:val="nil"/>
              <w:bottom w:val="single" w:sz="4" w:space="0" w:color="auto"/>
              <w:right w:val="single" w:sz="4" w:space="0" w:color="auto"/>
            </w:tcBorders>
            <w:shd w:val="clear" w:color="auto" w:fill="auto"/>
            <w:noWrap/>
            <w:vAlign w:val="center"/>
            <w:hideMark/>
          </w:tcPr>
          <w:p w14:paraId="7629E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5075556000</w:t>
            </w:r>
          </w:p>
        </w:tc>
        <w:tc>
          <w:tcPr>
            <w:tcW w:w="1036" w:type="dxa"/>
            <w:tcBorders>
              <w:top w:val="nil"/>
              <w:left w:val="nil"/>
              <w:bottom w:val="single" w:sz="4" w:space="0" w:color="auto"/>
              <w:right w:val="single" w:sz="4" w:space="0" w:color="auto"/>
            </w:tcBorders>
            <w:shd w:val="clear" w:color="auto" w:fill="auto"/>
            <w:noWrap/>
            <w:vAlign w:val="center"/>
            <w:hideMark/>
          </w:tcPr>
          <w:p w14:paraId="3F8A4E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93098448</w:t>
            </w:r>
          </w:p>
        </w:tc>
        <w:tc>
          <w:tcPr>
            <w:tcW w:w="160" w:type="dxa"/>
            <w:tcBorders>
              <w:top w:val="nil"/>
              <w:left w:val="nil"/>
              <w:bottom w:val="single" w:sz="4" w:space="0" w:color="auto"/>
              <w:right w:val="nil"/>
            </w:tcBorders>
            <w:vAlign w:val="center"/>
          </w:tcPr>
          <w:p w14:paraId="3800E5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706E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LOŠKA KOMUNALA, D. D. , ŠKOFJA LOKA</w:t>
            </w:r>
          </w:p>
        </w:tc>
      </w:tr>
      <w:tr w:rsidR="00072A69" w:rsidRPr="00DC6DF9" w14:paraId="2E4F060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C09B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744</w:t>
            </w:r>
          </w:p>
        </w:tc>
        <w:tc>
          <w:tcPr>
            <w:tcW w:w="1036" w:type="dxa"/>
            <w:tcBorders>
              <w:top w:val="nil"/>
              <w:left w:val="nil"/>
              <w:bottom w:val="single" w:sz="4" w:space="0" w:color="auto"/>
              <w:right w:val="single" w:sz="4" w:space="0" w:color="auto"/>
            </w:tcBorders>
            <w:shd w:val="clear" w:color="auto" w:fill="auto"/>
            <w:noWrap/>
            <w:vAlign w:val="center"/>
            <w:hideMark/>
          </w:tcPr>
          <w:p w14:paraId="19265C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5052955000</w:t>
            </w:r>
          </w:p>
        </w:tc>
        <w:tc>
          <w:tcPr>
            <w:tcW w:w="1036" w:type="dxa"/>
            <w:tcBorders>
              <w:top w:val="nil"/>
              <w:left w:val="nil"/>
              <w:bottom w:val="single" w:sz="4" w:space="0" w:color="auto"/>
              <w:right w:val="single" w:sz="4" w:space="0" w:color="auto"/>
            </w:tcBorders>
            <w:shd w:val="clear" w:color="auto" w:fill="auto"/>
            <w:noWrap/>
            <w:vAlign w:val="center"/>
            <w:hideMark/>
          </w:tcPr>
          <w:p w14:paraId="6FABB7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27805476</w:t>
            </w:r>
          </w:p>
        </w:tc>
        <w:tc>
          <w:tcPr>
            <w:tcW w:w="160" w:type="dxa"/>
            <w:tcBorders>
              <w:top w:val="nil"/>
              <w:left w:val="nil"/>
              <w:bottom w:val="single" w:sz="4" w:space="0" w:color="auto"/>
              <w:right w:val="nil"/>
            </w:tcBorders>
            <w:vAlign w:val="center"/>
          </w:tcPr>
          <w:p w14:paraId="29B0E1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C2EE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LOŠKI MUZEJ ŠKOFJA LOKA</w:t>
            </w:r>
          </w:p>
        </w:tc>
      </w:tr>
      <w:tr w:rsidR="00072A69" w:rsidRPr="00DC6DF9" w14:paraId="7872A9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A754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745</w:t>
            </w:r>
          </w:p>
        </w:tc>
        <w:tc>
          <w:tcPr>
            <w:tcW w:w="1036" w:type="dxa"/>
            <w:tcBorders>
              <w:top w:val="nil"/>
              <w:left w:val="nil"/>
              <w:bottom w:val="single" w:sz="4" w:space="0" w:color="auto"/>
              <w:right w:val="single" w:sz="4" w:space="0" w:color="auto"/>
            </w:tcBorders>
            <w:shd w:val="clear" w:color="auto" w:fill="auto"/>
            <w:noWrap/>
            <w:vAlign w:val="center"/>
            <w:hideMark/>
          </w:tcPr>
          <w:p w14:paraId="36626D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5144353000</w:t>
            </w:r>
          </w:p>
        </w:tc>
        <w:tc>
          <w:tcPr>
            <w:tcW w:w="1036" w:type="dxa"/>
            <w:tcBorders>
              <w:top w:val="nil"/>
              <w:left w:val="nil"/>
              <w:bottom w:val="single" w:sz="4" w:space="0" w:color="auto"/>
              <w:right w:val="single" w:sz="4" w:space="0" w:color="auto"/>
            </w:tcBorders>
            <w:shd w:val="clear" w:color="auto" w:fill="auto"/>
            <w:noWrap/>
            <w:vAlign w:val="center"/>
            <w:hideMark/>
          </w:tcPr>
          <w:p w14:paraId="791272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89190033</w:t>
            </w:r>
          </w:p>
        </w:tc>
        <w:tc>
          <w:tcPr>
            <w:tcW w:w="160" w:type="dxa"/>
            <w:tcBorders>
              <w:top w:val="nil"/>
              <w:left w:val="nil"/>
              <w:bottom w:val="single" w:sz="4" w:space="0" w:color="auto"/>
              <w:right w:val="nil"/>
            </w:tcBorders>
            <w:vAlign w:val="center"/>
          </w:tcPr>
          <w:p w14:paraId="53C05B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83B2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LUKA KOPER, D. D. </w:t>
            </w:r>
          </w:p>
        </w:tc>
      </w:tr>
      <w:tr w:rsidR="00072A69" w:rsidRPr="00DC6DF9" w14:paraId="6626F4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E8D0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746</w:t>
            </w:r>
          </w:p>
        </w:tc>
        <w:tc>
          <w:tcPr>
            <w:tcW w:w="1036" w:type="dxa"/>
            <w:tcBorders>
              <w:top w:val="nil"/>
              <w:left w:val="nil"/>
              <w:bottom w:val="single" w:sz="4" w:space="0" w:color="auto"/>
              <w:right w:val="single" w:sz="4" w:space="0" w:color="auto"/>
            </w:tcBorders>
            <w:shd w:val="clear" w:color="auto" w:fill="auto"/>
            <w:noWrap/>
            <w:vAlign w:val="center"/>
            <w:hideMark/>
          </w:tcPr>
          <w:p w14:paraId="3B880D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5056756000</w:t>
            </w:r>
          </w:p>
        </w:tc>
        <w:tc>
          <w:tcPr>
            <w:tcW w:w="1036" w:type="dxa"/>
            <w:tcBorders>
              <w:top w:val="nil"/>
              <w:left w:val="nil"/>
              <w:bottom w:val="single" w:sz="4" w:space="0" w:color="auto"/>
              <w:right w:val="single" w:sz="4" w:space="0" w:color="auto"/>
            </w:tcBorders>
            <w:shd w:val="clear" w:color="auto" w:fill="auto"/>
            <w:noWrap/>
            <w:vAlign w:val="center"/>
            <w:hideMark/>
          </w:tcPr>
          <w:p w14:paraId="6D73BF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87016362</w:t>
            </w:r>
          </w:p>
        </w:tc>
        <w:tc>
          <w:tcPr>
            <w:tcW w:w="160" w:type="dxa"/>
            <w:tcBorders>
              <w:top w:val="nil"/>
              <w:left w:val="nil"/>
              <w:bottom w:val="single" w:sz="4" w:space="0" w:color="auto"/>
              <w:right w:val="nil"/>
            </w:tcBorders>
            <w:vAlign w:val="center"/>
          </w:tcPr>
          <w:p w14:paraId="0C8B70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5C90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LUTKOVNO GLEDALIŠČE LJUBLJANA</w:t>
            </w:r>
          </w:p>
        </w:tc>
      </w:tr>
      <w:tr w:rsidR="00072A69" w:rsidRPr="00DC6DF9" w14:paraId="4D25384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710B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747</w:t>
            </w:r>
          </w:p>
        </w:tc>
        <w:tc>
          <w:tcPr>
            <w:tcW w:w="1036" w:type="dxa"/>
            <w:tcBorders>
              <w:top w:val="nil"/>
              <w:left w:val="nil"/>
              <w:bottom w:val="single" w:sz="4" w:space="0" w:color="auto"/>
              <w:right w:val="single" w:sz="4" w:space="0" w:color="auto"/>
            </w:tcBorders>
            <w:shd w:val="clear" w:color="auto" w:fill="auto"/>
            <w:noWrap/>
            <w:vAlign w:val="center"/>
            <w:hideMark/>
          </w:tcPr>
          <w:p w14:paraId="2EC89D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5103959000</w:t>
            </w:r>
          </w:p>
        </w:tc>
        <w:tc>
          <w:tcPr>
            <w:tcW w:w="1036" w:type="dxa"/>
            <w:tcBorders>
              <w:top w:val="nil"/>
              <w:left w:val="nil"/>
              <w:bottom w:val="single" w:sz="4" w:space="0" w:color="auto"/>
              <w:right w:val="single" w:sz="4" w:space="0" w:color="auto"/>
            </w:tcBorders>
            <w:shd w:val="clear" w:color="auto" w:fill="auto"/>
            <w:noWrap/>
            <w:vAlign w:val="center"/>
            <w:hideMark/>
          </w:tcPr>
          <w:p w14:paraId="614DBF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39815480</w:t>
            </w:r>
          </w:p>
        </w:tc>
        <w:tc>
          <w:tcPr>
            <w:tcW w:w="160" w:type="dxa"/>
            <w:tcBorders>
              <w:top w:val="nil"/>
              <w:left w:val="nil"/>
              <w:bottom w:val="single" w:sz="4" w:space="0" w:color="auto"/>
              <w:right w:val="nil"/>
            </w:tcBorders>
            <w:vAlign w:val="center"/>
          </w:tcPr>
          <w:p w14:paraId="7EBACF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AEBA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LUTKOVNO GLEDALIŠČE MARIBOR</w:t>
            </w:r>
          </w:p>
        </w:tc>
      </w:tr>
      <w:tr w:rsidR="00072A69" w:rsidRPr="00DC6DF9" w14:paraId="4B92852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EDD4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748</w:t>
            </w:r>
          </w:p>
        </w:tc>
        <w:tc>
          <w:tcPr>
            <w:tcW w:w="1036" w:type="dxa"/>
            <w:tcBorders>
              <w:top w:val="nil"/>
              <w:left w:val="nil"/>
              <w:bottom w:val="single" w:sz="4" w:space="0" w:color="auto"/>
              <w:right w:val="single" w:sz="4" w:space="0" w:color="auto"/>
            </w:tcBorders>
            <w:shd w:val="clear" w:color="auto" w:fill="auto"/>
            <w:noWrap/>
            <w:vAlign w:val="center"/>
            <w:hideMark/>
          </w:tcPr>
          <w:p w14:paraId="69F122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1365797000</w:t>
            </w:r>
          </w:p>
        </w:tc>
        <w:tc>
          <w:tcPr>
            <w:tcW w:w="1036" w:type="dxa"/>
            <w:tcBorders>
              <w:top w:val="nil"/>
              <w:left w:val="nil"/>
              <w:bottom w:val="single" w:sz="4" w:space="0" w:color="auto"/>
              <w:right w:val="single" w:sz="4" w:space="0" w:color="auto"/>
            </w:tcBorders>
            <w:shd w:val="clear" w:color="auto" w:fill="auto"/>
            <w:noWrap/>
            <w:vAlign w:val="center"/>
            <w:hideMark/>
          </w:tcPr>
          <w:p w14:paraId="62BA01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61075566</w:t>
            </w:r>
          </w:p>
        </w:tc>
        <w:tc>
          <w:tcPr>
            <w:tcW w:w="160" w:type="dxa"/>
            <w:tcBorders>
              <w:top w:val="nil"/>
              <w:left w:val="nil"/>
              <w:bottom w:val="single" w:sz="4" w:space="0" w:color="auto"/>
              <w:right w:val="nil"/>
            </w:tcBorders>
            <w:vAlign w:val="center"/>
          </w:tcPr>
          <w:p w14:paraId="14DE389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2CBE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MADŽARSKA NARODNA SAMOUPRAVNA SKUPNOST OBČINE ŠALOVCI</w:t>
            </w:r>
          </w:p>
        </w:tc>
      </w:tr>
      <w:tr w:rsidR="00072A69" w:rsidRPr="00DC6DF9" w14:paraId="6C1B6FB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0B51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749</w:t>
            </w:r>
          </w:p>
        </w:tc>
        <w:tc>
          <w:tcPr>
            <w:tcW w:w="1036" w:type="dxa"/>
            <w:tcBorders>
              <w:top w:val="nil"/>
              <w:left w:val="nil"/>
              <w:bottom w:val="single" w:sz="4" w:space="0" w:color="auto"/>
              <w:right w:val="single" w:sz="4" w:space="0" w:color="auto"/>
            </w:tcBorders>
            <w:shd w:val="clear" w:color="auto" w:fill="auto"/>
            <w:noWrap/>
            <w:vAlign w:val="center"/>
            <w:hideMark/>
          </w:tcPr>
          <w:p w14:paraId="004C4D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1411411000</w:t>
            </w:r>
          </w:p>
        </w:tc>
        <w:tc>
          <w:tcPr>
            <w:tcW w:w="1036" w:type="dxa"/>
            <w:tcBorders>
              <w:top w:val="nil"/>
              <w:left w:val="nil"/>
              <w:bottom w:val="single" w:sz="4" w:space="0" w:color="auto"/>
              <w:right w:val="single" w:sz="4" w:space="0" w:color="auto"/>
            </w:tcBorders>
            <w:shd w:val="clear" w:color="auto" w:fill="auto"/>
            <w:noWrap/>
            <w:vAlign w:val="center"/>
            <w:hideMark/>
          </w:tcPr>
          <w:p w14:paraId="0A451E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27018628</w:t>
            </w:r>
          </w:p>
        </w:tc>
        <w:tc>
          <w:tcPr>
            <w:tcW w:w="160" w:type="dxa"/>
            <w:tcBorders>
              <w:top w:val="nil"/>
              <w:left w:val="nil"/>
              <w:bottom w:val="single" w:sz="4" w:space="0" w:color="auto"/>
              <w:right w:val="nil"/>
            </w:tcBorders>
            <w:vAlign w:val="center"/>
          </w:tcPr>
          <w:p w14:paraId="18B11F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1BD0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MADŽARSKA SAMOUPRAVNA NARODNA SKUPNOST OBČINE DOBROVNIK</w:t>
            </w:r>
          </w:p>
        </w:tc>
      </w:tr>
      <w:tr w:rsidR="00072A69" w:rsidRPr="00DC6DF9" w14:paraId="2E895C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99CF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750</w:t>
            </w:r>
          </w:p>
        </w:tc>
        <w:tc>
          <w:tcPr>
            <w:tcW w:w="1036" w:type="dxa"/>
            <w:tcBorders>
              <w:top w:val="nil"/>
              <w:left w:val="nil"/>
              <w:bottom w:val="single" w:sz="4" w:space="0" w:color="auto"/>
              <w:right w:val="single" w:sz="4" w:space="0" w:color="auto"/>
            </w:tcBorders>
            <w:shd w:val="clear" w:color="auto" w:fill="auto"/>
            <w:noWrap/>
            <w:vAlign w:val="center"/>
            <w:hideMark/>
          </w:tcPr>
          <w:p w14:paraId="6EB9F3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5055636000</w:t>
            </w:r>
          </w:p>
        </w:tc>
        <w:tc>
          <w:tcPr>
            <w:tcW w:w="1036" w:type="dxa"/>
            <w:tcBorders>
              <w:top w:val="nil"/>
              <w:left w:val="nil"/>
              <w:bottom w:val="single" w:sz="4" w:space="0" w:color="auto"/>
              <w:right w:val="single" w:sz="4" w:space="0" w:color="auto"/>
            </w:tcBorders>
            <w:shd w:val="clear" w:color="auto" w:fill="auto"/>
            <w:noWrap/>
            <w:vAlign w:val="center"/>
            <w:hideMark/>
          </w:tcPr>
          <w:p w14:paraId="6EB047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99698722</w:t>
            </w:r>
          </w:p>
        </w:tc>
        <w:tc>
          <w:tcPr>
            <w:tcW w:w="160" w:type="dxa"/>
            <w:tcBorders>
              <w:top w:val="nil"/>
              <w:left w:val="nil"/>
              <w:bottom w:val="single" w:sz="4" w:space="0" w:color="auto"/>
              <w:right w:val="nil"/>
            </w:tcBorders>
            <w:vAlign w:val="center"/>
          </w:tcPr>
          <w:p w14:paraId="7BA180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CCA2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MARIBORSKA KNJIŽNICA</w:t>
            </w:r>
          </w:p>
        </w:tc>
      </w:tr>
      <w:tr w:rsidR="00072A69" w:rsidRPr="00DC6DF9" w14:paraId="27696E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9D48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751</w:t>
            </w:r>
          </w:p>
        </w:tc>
        <w:tc>
          <w:tcPr>
            <w:tcW w:w="1036" w:type="dxa"/>
            <w:tcBorders>
              <w:top w:val="nil"/>
              <w:left w:val="nil"/>
              <w:bottom w:val="single" w:sz="4" w:space="0" w:color="auto"/>
              <w:right w:val="single" w:sz="4" w:space="0" w:color="auto"/>
            </w:tcBorders>
            <w:shd w:val="clear" w:color="auto" w:fill="auto"/>
            <w:noWrap/>
            <w:vAlign w:val="center"/>
            <w:hideMark/>
          </w:tcPr>
          <w:p w14:paraId="3AE5A3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5778336000</w:t>
            </w:r>
          </w:p>
        </w:tc>
        <w:tc>
          <w:tcPr>
            <w:tcW w:w="1036" w:type="dxa"/>
            <w:tcBorders>
              <w:top w:val="nil"/>
              <w:left w:val="nil"/>
              <w:bottom w:val="single" w:sz="4" w:space="0" w:color="auto"/>
              <w:right w:val="single" w:sz="4" w:space="0" w:color="auto"/>
            </w:tcBorders>
            <w:shd w:val="clear" w:color="auto" w:fill="auto"/>
            <w:noWrap/>
            <w:vAlign w:val="center"/>
            <w:hideMark/>
          </w:tcPr>
          <w:p w14:paraId="16AE4F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33925950</w:t>
            </w:r>
          </w:p>
        </w:tc>
        <w:tc>
          <w:tcPr>
            <w:tcW w:w="160" w:type="dxa"/>
            <w:tcBorders>
              <w:top w:val="nil"/>
              <w:left w:val="nil"/>
              <w:bottom w:val="single" w:sz="4" w:space="0" w:color="auto"/>
              <w:right w:val="nil"/>
            </w:tcBorders>
            <w:vAlign w:val="center"/>
          </w:tcPr>
          <w:p w14:paraId="382100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2069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MARIBORSKA RAZVOJNA AGENCIJA, P. O.</w:t>
            </w:r>
          </w:p>
        </w:tc>
      </w:tr>
      <w:tr w:rsidR="00072A69" w:rsidRPr="00DC6DF9" w14:paraId="5403C2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CEAE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752</w:t>
            </w:r>
          </w:p>
        </w:tc>
        <w:tc>
          <w:tcPr>
            <w:tcW w:w="1036" w:type="dxa"/>
            <w:tcBorders>
              <w:top w:val="nil"/>
              <w:left w:val="nil"/>
              <w:bottom w:val="single" w:sz="4" w:space="0" w:color="auto"/>
              <w:right w:val="single" w:sz="4" w:space="0" w:color="auto"/>
            </w:tcBorders>
            <w:shd w:val="clear" w:color="auto" w:fill="auto"/>
            <w:noWrap/>
            <w:vAlign w:val="center"/>
            <w:hideMark/>
          </w:tcPr>
          <w:p w14:paraId="1E06C1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5054419000</w:t>
            </w:r>
          </w:p>
        </w:tc>
        <w:tc>
          <w:tcPr>
            <w:tcW w:w="1036" w:type="dxa"/>
            <w:tcBorders>
              <w:top w:val="nil"/>
              <w:left w:val="nil"/>
              <w:bottom w:val="single" w:sz="4" w:space="0" w:color="auto"/>
              <w:right w:val="single" w:sz="4" w:space="0" w:color="auto"/>
            </w:tcBorders>
            <w:shd w:val="clear" w:color="auto" w:fill="auto"/>
            <w:noWrap/>
            <w:vAlign w:val="center"/>
            <w:hideMark/>
          </w:tcPr>
          <w:p w14:paraId="042F8C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30129915</w:t>
            </w:r>
          </w:p>
        </w:tc>
        <w:tc>
          <w:tcPr>
            <w:tcW w:w="160" w:type="dxa"/>
            <w:tcBorders>
              <w:top w:val="nil"/>
              <w:left w:val="nil"/>
              <w:bottom w:val="single" w:sz="4" w:space="0" w:color="auto"/>
              <w:right w:val="nil"/>
            </w:tcBorders>
            <w:vAlign w:val="center"/>
          </w:tcPr>
          <w:p w14:paraId="2F3E95E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087F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MARIBORSKE LEKARNE MARIBOR</w:t>
            </w:r>
          </w:p>
        </w:tc>
      </w:tr>
      <w:tr w:rsidR="00072A69" w:rsidRPr="00DC6DF9" w14:paraId="1EC11E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3C46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753</w:t>
            </w:r>
          </w:p>
        </w:tc>
        <w:tc>
          <w:tcPr>
            <w:tcW w:w="1036" w:type="dxa"/>
            <w:tcBorders>
              <w:top w:val="nil"/>
              <w:left w:val="nil"/>
              <w:bottom w:val="single" w:sz="4" w:space="0" w:color="auto"/>
              <w:right w:val="single" w:sz="4" w:space="0" w:color="auto"/>
            </w:tcBorders>
            <w:shd w:val="clear" w:color="auto" w:fill="auto"/>
            <w:noWrap/>
            <w:vAlign w:val="center"/>
            <w:hideMark/>
          </w:tcPr>
          <w:p w14:paraId="36596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5067880000</w:t>
            </w:r>
          </w:p>
        </w:tc>
        <w:tc>
          <w:tcPr>
            <w:tcW w:w="1036" w:type="dxa"/>
            <w:tcBorders>
              <w:top w:val="nil"/>
              <w:left w:val="nil"/>
              <w:bottom w:val="single" w:sz="4" w:space="0" w:color="auto"/>
              <w:right w:val="single" w:sz="4" w:space="0" w:color="auto"/>
            </w:tcBorders>
            <w:shd w:val="clear" w:color="auto" w:fill="auto"/>
            <w:noWrap/>
            <w:vAlign w:val="center"/>
            <w:hideMark/>
          </w:tcPr>
          <w:p w14:paraId="1FC686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68041527</w:t>
            </w:r>
          </w:p>
        </w:tc>
        <w:tc>
          <w:tcPr>
            <w:tcW w:w="160" w:type="dxa"/>
            <w:tcBorders>
              <w:top w:val="nil"/>
              <w:left w:val="nil"/>
              <w:bottom w:val="single" w:sz="4" w:space="0" w:color="auto"/>
              <w:right w:val="nil"/>
            </w:tcBorders>
            <w:vAlign w:val="center"/>
          </w:tcPr>
          <w:p w14:paraId="1E1EAE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0DCE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MARIBORSKI VODOVOD, D. D. </w:t>
            </w:r>
          </w:p>
        </w:tc>
      </w:tr>
      <w:tr w:rsidR="00072A69" w:rsidRPr="00DC6DF9" w14:paraId="2A46C0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B42A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754</w:t>
            </w:r>
          </w:p>
        </w:tc>
        <w:tc>
          <w:tcPr>
            <w:tcW w:w="1036" w:type="dxa"/>
            <w:tcBorders>
              <w:top w:val="nil"/>
              <w:left w:val="nil"/>
              <w:bottom w:val="single" w:sz="4" w:space="0" w:color="auto"/>
              <w:right w:val="single" w:sz="4" w:space="0" w:color="auto"/>
            </w:tcBorders>
            <w:shd w:val="clear" w:color="auto" w:fill="auto"/>
            <w:noWrap/>
            <w:vAlign w:val="center"/>
            <w:hideMark/>
          </w:tcPr>
          <w:p w14:paraId="27C378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5269903000</w:t>
            </w:r>
          </w:p>
        </w:tc>
        <w:tc>
          <w:tcPr>
            <w:tcW w:w="1036" w:type="dxa"/>
            <w:tcBorders>
              <w:top w:val="nil"/>
              <w:left w:val="nil"/>
              <w:bottom w:val="single" w:sz="4" w:space="0" w:color="auto"/>
              <w:right w:val="single" w:sz="4" w:space="0" w:color="auto"/>
            </w:tcBorders>
            <w:shd w:val="clear" w:color="auto" w:fill="auto"/>
            <w:noWrap/>
            <w:vAlign w:val="center"/>
            <w:hideMark/>
          </w:tcPr>
          <w:p w14:paraId="10FE83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39110079</w:t>
            </w:r>
          </w:p>
        </w:tc>
        <w:tc>
          <w:tcPr>
            <w:tcW w:w="160" w:type="dxa"/>
            <w:tcBorders>
              <w:top w:val="nil"/>
              <w:left w:val="nil"/>
              <w:bottom w:val="single" w:sz="4" w:space="0" w:color="auto"/>
              <w:right w:val="nil"/>
            </w:tcBorders>
            <w:vAlign w:val="center"/>
          </w:tcPr>
          <w:p w14:paraId="0F00F7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143B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MEDNARODNI GRAFIČNI LIKOVNI CENTER</w:t>
            </w:r>
          </w:p>
        </w:tc>
      </w:tr>
      <w:tr w:rsidR="00072A69" w:rsidRPr="00DC6DF9" w14:paraId="2F6203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427C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755</w:t>
            </w:r>
          </w:p>
        </w:tc>
        <w:tc>
          <w:tcPr>
            <w:tcW w:w="1036" w:type="dxa"/>
            <w:tcBorders>
              <w:top w:val="nil"/>
              <w:left w:val="nil"/>
              <w:bottom w:val="single" w:sz="4" w:space="0" w:color="auto"/>
              <w:right w:val="single" w:sz="4" w:space="0" w:color="auto"/>
            </w:tcBorders>
            <w:shd w:val="clear" w:color="auto" w:fill="auto"/>
            <w:noWrap/>
            <w:vAlign w:val="center"/>
            <w:hideMark/>
          </w:tcPr>
          <w:p w14:paraId="4CAA5D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1708520000</w:t>
            </w:r>
          </w:p>
        </w:tc>
        <w:tc>
          <w:tcPr>
            <w:tcW w:w="1036" w:type="dxa"/>
            <w:tcBorders>
              <w:top w:val="nil"/>
              <w:left w:val="nil"/>
              <w:bottom w:val="single" w:sz="4" w:space="0" w:color="auto"/>
              <w:right w:val="single" w:sz="4" w:space="0" w:color="auto"/>
            </w:tcBorders>
            <w:shd w:val="clear" w:color="auto" w:fill="auto"/>
            <w:noWrap/>
            <w:vAlign w:val="center"/>
            <w:hideMark/>
          </w:tcPr>
          <w:p w14:paraId="3EE1E1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41123506</w:t>
            </w:r>
          </w:p>
        </w:tc>
        <w:tc>
          <w:tcPr>
            <w:tcW w:w="160" w:type="dxa"/>
            <w:tcBorders>
              <w:top w:val="nil"/>
              <w:left w:val="nil"/>
              <w:bottom w:val="single" w:sz="4" w:space="0" w:color="auto"/>
              <w:right w:val="nil"/>
            </w:tcBorders>
            <w:vAlign w:val="center"/>
          </w:tcPr>
          <w:p w14:paraId="7A9C8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0E1C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MEDOBČINSKA SPLOŠNA KNJIŽNICA ŽALEC</w:t>
            </w:r>
          </w:p>
        </w:tc>
      </w:tr>
      <w:tr w:rsidR="00072A69" w:rsidRPr="00DC6DF9" w14:paraId="07B890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1A2F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756</w:t>
            </w:r>
          </w:p>
        </w:tc>
        <w:tc>
          <w:tcPr>
            <w:tcW w:w="1036" w:type="dxa"/>
            <w:tcBorders>
              <w:top w:val="nil"/>
              <w:left w:val="nil"/>
              <w:bottom w:val="single" w:sz="4" w:space="0" w:color="auto"/>
              <w:right w:val="single" w:sz="4" w:space="0" w:color="auto"/>
            </w:tcBorders>
            <w:shd w:val="clear" w:color="auto" w:fill="auto"/>
            <w:noWrap/>
            <w:vAlign w:val="center"/>
            <w:hideMark/>
          </w:tcPr>
          <w:p w14:paraId="2D9F2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2482509000</w:t>
            </w:r>
          </w:p>
        </w:tc>
        <w:tc>
          <w:tcPr>
            <w:tcW w:w="1036" w:type="dxa"/>
            <w:tcBorders>
              <w:top w:val="nil"/>
              <w:left w:val="nil"/>
              <w:bottom w:val="single" w:sz="4" w:space="0" w:color="auto"/>
              <w:right w:val="single" w:sz="4" w:space="0" w:color="auto"/>
            </w:tcBorders>
            <w:shd w:val="clear" w:color="auto" w:fill="auto"/>
            <w:noWrap/>
            <w:vAlign w:val="center"/>
            <w:hideMark/>
          </w:tcPr>
          <w:p w14:paraId="4EA297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28733673</w:t>
            </w:r>
          </w:p>
        </w:tc>
        <w:tc>
          <w:tcPr>
            <w:tcW w:w="160" w:type="dxa"/>
            <w:tcBorders>
              <w:top w:val="nil"/>
              <w:left w:val="nil"/>
              <w:bottom w:val="single" w:sz="4" w:space="0" w:color="auto"/>
              <w:right w:val="nil"/>
            </w:tcBorders>
            <w:vAlign w:val="center"/>
          </w:tcPr>
          <w:p w14:paraId="4E8E21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A897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MEDOBČINSKA UPRAVA OBČIN BOVEC, KOBARID, TOLMIN IN KANAL OB SOČI</w:t>
            </w:r>
          </w:p>
        </w:tc>
      </w:tr>
      <w:tr w:rsidR="00072A69" w:rsidRPr="00DC6DF9" w14:paraId="26FA25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957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757</w:t>
            </w:r>
          </w:p>
        </w:tc>
        <w:tc>
          <w:tcPr>
            <w:tcW w:w="1036" w:type="dxa"/>
            <w:tcBorders>
              <w:top w:val="nil"/>
              <w:left w:val="nil"/>
              <w:bottom w:val="single" w:sz="4" w:space="0" w:color="auto"/>
              <w:right w:val="single" w:sz="4" w:space="0" w:color="auto"/>
            </w:tcBorders>
            <w:shd w:val="clear" w:color="auto" w:fill="auto"/>
            <w:noWrap/>
            <w:vAlign w:val="center"/>
            <w:hideMark/>
          </w:tcPr>
          <w:p w14:paraId="5823A8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5095417000</w:t>
            </w:r>
          </w:p>
        </w:tc>
        <w:tc>
          <w:tcPr>
            <w:tcW w:w="1036" w:type="dxa"/>
            <w:tcBorders>
              <w:top w:val="nil"/>
              <w:left w:val="nil"/>
              <w:bottom w:val="single" w:sz="4" w:space="0" w:color="auto"/>
              <w:right w:val="single" w:sz="4" w:space="0" w:color="auto"/>
            </w:tcBorders>
            <w:shd w:val="clear" w:color="auto" w:fill="auto"/>
            <w:noWrap/>
            <w:vAlign w:val="center"/>
            <w:hideMark/>
          </w:tcPr>
          <w:p w14:paraId="6B0AF8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92474519</w:t>
            </w:r>
          </w:p>
        </w:tc>
        <w:tc>
          <w:tcPr>
            <w:tcW w:w="160" w:type="dxa"/>
            <w:tcBorders>
              <w:top w:val="nil"/>
              <w:left w:val="nil"/>
              <w:bottom w:val="single" w:sz="4" w:space="0" w:color="auto"/>
              <w:right w:val="nil"/>
            </w:tcBorders>
            <w:vAlign w:val="center"/>
          </w:tcPr>
          <w:p w14:paraId="1EE91F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6D2A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MEDOBČINSKI MUZEJ KAMNIK</w:t>
            </w:r>
          </w:p>
        </w:tc>
      </w:tr>
      <w:tr w:rsidR="00072A69" w:rsidRPr="00DC6DF9" w14:paraId="53C5D8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8ADE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w:t>
            </w:r>
          </w:p>
        </w:tc>
        <w:tc>
          <w:tcPr>
            <w:tcW w:w="1036" w:type="dxa"/>
            <w:tcBorders>
              <w:top w:val="nil"/>
              <w:left w:val="nil"/>
              <w:bottom w:val="single" w:sz="4" w:space="0" w:color="auto"/>
              <w:right w:val="single" w:sz="4" w:space="0" w:color="auto"/>
            </w:tcBorders>
            <w:shd w:val="clear" w:color="auto" w:fill="auto"/>
            <w:noWrap/>
            <w:vAlign w:val="center"/>
            <w:hideMark/>
          </w:tcPr>
          <w:p w14:paraId="1B9830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8180431000</w:t>
            </w:r>
          </w:p>
        </w:tc>
        <w:tc>
          <w:tcPr>
            <w:tcW w:w="1036" w:type="dxa"/>
            <w:tcBorders>
              <w:top w:val="nil"/>
              <w:left w:val="nil"/>
              <w:bottom w:val="single" w:sz="4" w:space="0" w:color="auto"/>
              <w:right w:val="single" w:sz="4" w:space="0" w:color="auto"/>
            </w:tcBorders>
            <w:shd w:val="clear" w:color="auto" w:fill="auto"/>
            <w:noWrap/>
            <w:vAlign w:val="center"/>
            <w:hideMark/>
          </w:tcPr>
          <w:p w14:paraId="3893F8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19359713</w:t>
            </w:r>
          </w:p>
        </w:tc>
        <w:tc>
          <w:tcPr>
            <w:tcW w:w="160" w:type="dxa"/>
            <w:tcBorders>
              <w:top w:val="nil"/>
              <w:left w:val="nil"/>
              <w:bottom w:val="single" w:sz="4" w:space="0" w:color="auto"/>
              <w:right w:val="nil"/>
            </w:tcBorders>
            <w:vAlign w:val="center"/>
          </w:tcPr>
          <w:p w14:paraId="1FB5935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E1AD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MEKINJSKI SAMOSTAN</w:t>
            </w:r>
          </w:p>
        </w:tc>
      </w:tr>
      <w:tr w:rsidR="00072A69" w:rsidRPr="00DC6DF9" w14:paraId="3B21A7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022F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759</w:t>
            </w:r>
          </w:p>
        </w:tc>
        <w:tc>
          <w:tcPr>
            <w:tcW w:w="1036" w:type="dxa"/>
            <w:tcBorders>
              <w:top w:val="nil"/>
              <w:left w:val="nil"/>
              <w:bottom w:val="single" w:sz="4" w:space="0" w:color="auto"/>
              <w:right w:val="single" w:sz="4" w:space="0" w:color="auto"/>
            </w:tcBorders>
            <w:shd w:val="clear" w:color="auto" w:fill="auto"/>
            <w:noWrap/>
            <w:vAlign w:val="center"/>
            <w:hideMark/>
          </w:tcPr>
          <w:p w14:paraId="36E716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5559723000</w:t>
            </w:r>
          </w:p>
        </w:tc>
        <w:tc>
          <w:tcPr>
            <w:tcW w:w="1036" w:type="dxa"/>
            <w:tcBorders>
              <w:top w:val="nil"/>
              <w:left w:val="nil"/>
              <w:bottom w:val="single" w:sz="4" w:space="0" w:color="auto"/>
              <w:right w:val="single" w:sz="4" w:space="0" w:color="auto"/>
            </w:tcBorders>
            <w:shd w:val="clear" w:color="auto" w:fill="auto"/>
            <w:noWrap/>
            <w:vAlign w:val="center"/>
            <w:hideMark/>
          </w:tcPr>
          <w:p w14:paraId="5A639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65477405</w:t>
            </w:r>
          </w:p>
        </w:tc>
        <w:tc>
          <w:tcPr>
            <w:tcW w:w="160" w:type="dxa"/>
            <w:tcBorders>
              <w:top w:val="nil"/>
              <w:left w:val="nil"/>
              <w:bottom w:val="single" w:sz="4" w:space="0" w:color="auto"/>
              <w:right w:val="nil"/>
            </w:tcBorders>
            <w:vAlign w:val="center"/>
          </w:tcPr>
          <w:p w14:paraId="3ABECC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BDA9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KNJIŽNICA GROSUPLJE</w:t>
            </w:r>
          </w:p>
        </w:tc>
      </w:tr>
      <w:tr w:rsidR="00072A69" w:rsidRPr="00DC6DF9" w14:paraId="67B8ED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344D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760</w:t>
            </w:r>
          </w:p>
        </w:tc>
        <w:tc>
          <w:tcPr>
            <w:tcW w:w="1036" w:type="dxa"/>
            <w:tcBorders>
              <w:top w:val="nil"/>
              <w:left w:val="nil"/>
              <w:bottom w:val="single" w:sz="4" w:space="0" w:color="auto"/>
              <w:right w:val="single" w:sz="4" w:space="0" w:color="auto"/>
            </w:tcBorders>
            <w:shd w:val="clear" w:color="auto" w:fill="auto"/>
            <w:noWrap/>
            <w:vAlign w:val="center"/>
            <w:hideMark/>
          </w:tcPr>
          <w:p w14:paraId="129C39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5055474000</w:t>
            </w:r>
          </w:p>
        </w:tc>
        <w:tc>
          <w:tcPr>
            <w:tcW w:w="1036" w:type="dxa"/>
            <w:tcBorders>
              <w:top w:val="nil"/>
              <w:left w:val="nil"/>
              <w:bottom w:val="single" w:sz="4" w:space="0" w:color="auto"/>
              <w:right w:val="single" w:sz="4" w:space="0" w:color="auto"/>
            </w:tcBorders>
            <w:shd w:val="clear" w:color="auto" w:fill="auto"/>
            <w:noWrap/>
            <w:vAlign w:val="center"/>
            <w:hideMark/>
          </w:tcPr>
          <w:p w14:paraId="0E654C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56698798</w:t>
            </w:r>
          </w:p>
        </w:tc>
        <w:tc>
          <w:tcPr>
            <w:tcW w:w="160" w:type="dxa"/>
            <w:tcBorders>
              <w:top w:val="nil"/>
              <w:left w:val="nil"/>
              <w:bottom w:val="single" w:sz="4" w:space="0" w:color="auto"/>
              <w:right w:val="nil"/>
            </w:tcBorders>
            <w:vAlign w:val="center"/>
          </w:tcPr>
          <w:p w14:paraId="5F3D22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6E26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KNJIŽNICA IN ČITALNICA IDRIJA</w:t>
            </w:r>
          </w:p>
        </w:tc>
      </w:tr>
      <w:tr w:rsidR="00072A69" w:rsidRPr="00DC6DF9" w14:paraId="3F3D29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6D75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761</w:t>
            </w:r>
          </w:p>
        </w:tc>
        <w:tc>
          <w:tcPr>
            <w:tcW w:w="1036" w:type="dxa"/>
            <w:tcBorders>
              <w:top w:val="nil"/>
              <w:left w:val="nil"/>
              <w:bottom w:val="single" w:sz="4" w:space="0" w:color="auto"/>
              <w:right w:val="single" w:sz="4" w:space="0" w:color="auto"/>
            </w:tcBorders>
            <w:shd w:val="clear" w:color="auto" w:fill="auto"/>
            <w:noWrap/>
            <w:vAlign w:val="center"/>
            <w:hideMark/>
          </w:tcPr>
          <w:p w14:paraId="4E4C6A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5051878000</w:t>
            </w:r>
          </w:p>
        </w:tc>
        <w:tc>
          <w:tcPr>
            <w:tcW w:w="1036" w:type="dxa"/>
            <w:tcBorders>
              <w:top w:val="nil"/>
              <w:left w:val="nil"/>
              <w:bottom w:val="single" w:sz="4" w:space="0" w:color="auto"/>
              <w:right w:val="single" w:sz="4" w:space="0" w:color="auto"/>
            </w:tcBorders>
            <w:shd w:val="clear" w:color="auto" w:fill="auto"/>
            <w:noWrap/>
            <w:vAlign w:val="center"/>
            <w:hideMark/>
          </w:tcPr>
          <w:p w14:paraId="6498B9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54747503</w:t>
            </w:r>
          </w:p>
        </w:tc>
        <w:tc>
          <w:tcPr>
            <w:tcW w:w="160" w:type="dxa"/>
            <w:tcBorders>
              <w:top w:val="nil"/>
              <w:left w:val="nil"/>
              <w:bottom w:val="single" w:sz="4" w:space="0" w:color="auto"/>
              <w:right w:val="nil"/>
            </w:tcBorders>
            <w:vAlign w:val="center"/>
          </w:tcPr>
          <w:p w14:paraId="520C073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7EA2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KNJIŽNICA IZOLA</w:t>
            </w:r>
          </w:p>
        </w:tc>
      </w:tr>
      <w:tr w:rsidR="00072A69" w:rsidRPr="00DC6DF9" w14:paraId="7DC821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7E3C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762</w:t>
            </w:r>
          </w:p>
        </w:tc>
        <w:tc>
          <w:tcPr>
            <w:tcW w:w="1036" w:type="dxa"/>
            <w:tcBorders>
              <w:top w:val="nil"/>
              <w:left w:val="nil"/>
              <w:bottom w:val="single" w:sz="4" w:space="0" w:color="auto"/>
              <w:right w:val="single" w:sz="4" w:space="0" w:color="auto"/>
            </w:tcBorders>
            <w:shd w:val="clear" w:color="auto" w:fill="auto"/>
            <w:noWrap/>
            <w:vAlign w:val="center"/>
            <w:hideMark/>
          </w:tcPr>
          <w:p w14:paraId="0DD24E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5052556000</w:t>
            </w:r>
          </w:p>
        </w:tc>
        <w:tc>
          <w:tcPr>
            <w:tcW w:w="1036" w:type="dxa"/>
            <w:tcBorders>
              <w:top w:val="nil"/>
              <w:left w:val="nil"/>
              <w:bottom w:val="single" w:sz="4" w:space="0" w:color="auto"/>
              <w:right w:val="single" w:sz="4" w:space="0" w:color="auto"/>
            </w:tcBorders>
            <w:shd w:val="clear" w:color="auto" w:fill="auto"/>
            <w:noWrap/>
            <w:vAlign w:val="center"/>
            <w:hideMark/>
          </w:tcPr>
          <w:p w14:paraId="58243D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51239523</w:t>
            </w:r>
          </w:p>
        </w:tc>
        <w:tc>
          <w:tcPr>
            <w:tcW w:w="160" w:type="dxa"/>
            <w:tcBorders>
              <w:top w:val="nil"/>
              <w:left w:val="nil"/>
              <w:bottom w:val="single" w:sz="4" w:space="0" w:color="auto"/>
              <w:right w:val="nil"/>
            </w:tcBorders>
            <w:vAlign w:val="center"/>
          </w:tcPr>
          <w:p w14:paraId="015337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8A1E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KNJIŽNICA KRANJ</w:t>
            </w:r>
          </w:p>
        </w:tc>
      </w:tr>
      <w:tr w:rsidR="00072A69" w:rsidRPr="00DC6DF9" w14:paraId="72592A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C58F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763</w:t>
            </w:r>
          </w:p>
        </w:tc>
        <w:tc>
          <w:tcPr>
            <w:tcW w:w="1036" w:type="dxa"/>
            <w:tcBorders>
              <w:top w:val="nil"/>
              <w:left w:val="nil"/>
              <w:bottom w:val="single" w:sz="4" w:space="0" w:color="auto"/>
              <w:right w:val="single" w:sz="4" w:space="0" w:color="auto"/>
            </w:tcBorders>
            <w:shd w:val="clear" w:color="auto" w:fill="auto"/>
            <w:noWrap/>
            <w:vAlign w:val="center"/>
            <w:hideMark/>
          </w:tcPr>
          <w:p w14:paraId="130C42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3336905000</w:t>
            </w:r>
          </w:p>
        </w:tc>
        <w:tc>
          <w:tcPr>
            <w:tcW w:w="1036" w:type="dxa"/>
            <w:tcBorders>
              <w:top w:val="nil"/>
              <w:left w:val="nil"/>
              <w:bottom w:val="single" w:sz="4" w:space="0" w:color="auto"/>
              <w:right w:val="single" w:sz="4" w:space="0" w:color="auto"/>
            </w:tcBorders>
            <w:shd w:val="clear" w:color="auto" w:fill="auto"/>
            <w:noWrap/>
            <w:vAlign w:val="center"/>
            <w:hideMark/>
          </w:tcPr>
          <w:p w14:paraId="58595A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62825844</w:t>
            </w:r>
          </w:p>
        </w:tc>
        <w:tc>
          <w:tcPr>
            <w:tcW w:w="160" w:type="dxa"/>
            <w:tcBorders>
              <w:top w:val="nil"/>
              <w:left w:val="nil"/>
              <w:bottom w:val="single" w:sz="4" w:space="0" w:color="auto"/>
              <w:right w:val="nil"/>
            </w:tcBorders>
            <w:vAlign w:val="center"/>
          </w:tcPr>
          <w:p w14:paraId="7704C8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82EA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KNJIŽNICA LJUBLJANA</w:t>
            </w:r>
          </w:p>
        </w:tc>
      </w:tr>
      <w:tr w:rsidR="00072A69" w:rsidRPr="00DC6DF9" w14:paraId="0AD470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B957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764</w:t>
            </w:r>
          </w:p>
        </w:tc>
        <w:tc>
          <w:tcPr>
            <w:tcW w:w="1036" w:type="dxa"/>
            <w:tcBorders>
              <w:top w:val="nil"/>
              <w:left w:val="nil"/>
              <w:bottom w:val="single" w:sz="4" w:space="0" w:color="auto"/>
              <w:right w:val="single" w:sz="4" w:space="0" w:color="auto"/>
            </w:tcBorders>
            <w:shd w:val="clear" w:color="auto" w:fill="auto"/>
            <w:noWrap/>
            <w:vAlign w:val="center"/>
            <w:hideMark/>
          </w:tcPr>
          <w:p w14:paraId="1E5D5B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5021057000</w:t>
            </w:r>
          </w:p>
        </w:tc>
        <w:tc>
          <w:tcPr>
            <w:tcW w:w="1036" w:type="dxa"/>
            <w:tcBorders>
              <w:top w:val="nil"/>
              <w:left w:val="nil"/>
              <w:bottom w:val="single" w:sz="4" w:space="0" w:color="auto"/>
              <w:right w:val="single" w:sz="4" w:space="0" w:color="auto"/>
            </w:tcBorders>
            <w:shd w:val="clear" w:color="auto" w:fill="auto"/>
            <w:noWrap/>
            <w:vAlign w:val="center"/>
            <w:hideMark/>
          </w:tcPr>
          <w:p w14:paraId="7E95C7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97226564</w:t>
            </w:r>
          </w:p>
        </w:tc>
        <w:tc>
          <w:tcPr>
            <w:tcW w:w="160" w:type="dxa"/>
            <w:tcBorders>
              <w:top w:val="nil"/>
              <w:left w:val="nil"/>
              <w:bottom w:val="single" w:sz="4" w:space="0" w:color="auto"/>
              <w:right w:val="nil"/>
            </w:tcBorders>
            <w:vAlign w:val="center"/>
          </w:tcPr>
          <w:p w14:paraId="531A9D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0DAD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KRAJEVNA SKUPNOST ROGAŠKA SLATINA</w:t>
            </w:r>
          </w:p>
        </w:tc>
      </w:tr>
      <w:tr w:rsidR="00072A69" w:rsidRPr="00DC6DF9" w14:paraId="254B7C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E6D7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765</w:t>
            </w:r>
          </w:p>
        </w:tc>
        <w:tc>
          <w:tcPr>
            <w:tcW w:w="1036" w:type="dxa"/>
            <w:tcBorders>
              <w:top w:val="nil"/>
              <w:left w:val="nil"/>
              <w:bottom w:val="single" w:sz="4" w:space="0" w:color="auto"/>
              <w:right w:val="single" w:sz="4" w:space="0" w:color="auto"/>
            </w:tcBorders>
            <w:shd w:val="clear" w:color="auto" w:fill="auto"/>
            <w:noWrap/>
            <w:vAlign w:val="center"/>
            <w:hideMark/>
          </w:tcPr>
          <w:p w14:paraId="3CE558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5880360000</w:t>
            </w:r>
          </w:p>
        </w:tc>
        <w:tc>
          <w:tcPr>
            <w:tcW w:w="1036" w:type="dxa"/>
            <w:tcBorders>
              <w:top w:val="nil"/>
              <w:left w:val="nil"/>
              <w:bottom w:val="single" w:sz="4" w:space="0" w:color="auto"/>
              <w:right w:val="single" w:sz="4" w:space="0" w:color="auto"/>
            </w:tcBorders>
            <w:shd w:val="clear" w:color="auto" w:fill="auto"/>
            <w:noWrap/>
            <w:vAlign w:val="center"/>
            <w:hideMark/>
          </w:tcPr>
          <w:p w14:paraId="458710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56012390</w:t>
            </w:r>
          </w:p>
        </w:tc>
        <w:tc>
          <w:tcPr>
            <w:tcW w:w="160" w:type="dxa"/>
            <w:tcBorders>
              <w:top w:val="nil"/>
              <w:left w:val="nil"/>
              <w:bottom w:val="single" w:sz="4" w:space="0" w:color="auto"/>
              <w:right w:val="nil"/>
            </w:tcBorders>
            <w:vAlign w:val="center"/>
          </w:tcPr>
          <w:p w14:paraId="6981A4F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A16F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CELJE</w:t>
            </w:r>
          </w:p>
        </w:tc>
      </w:tr>
      <w:tr w:rsidR="00072A69" w:rsidRPr="00DC6DF9" w14:paraId="41ABE4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F79A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766</w:t>
            </w:r>
          </w:p>
        </w:tc>
        <w:tc>
          <w:tcPr>
            <w:tcW w:w="1036" w:type="dxa"/>
            <w:tcBorders>
              <w:top w:val="nil"/>
              <w:left w:val="nil"/>
              <w:bottom w:val="single" w:sz="4" w:space="0" w:color="auto"/>
              <w:right w:val="single" w:sz="4" w:space="0" w:color="auto"/>
            </w:tcBorders>
            <w:shd w:val="clear" w:color="auto" w:fill="auto"/>
            <w:noWrap/>
            <w:vAlign w:val="center"/>
            <w:hideMark/>
          </w:tcPr>
          <w:p w14:paraId="44F3C9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5874424000</w:t>
            </w:r>
          </w:p>
        </w:tc>
        <w:tc>
          <w:tcPr>
            <w:tcW w:w="1036" w:type="dxa"/>
            <w:tcBorders>
              <w:top w:val="nil"/>
              <w:left w:val="nil"/>
              <w:bottom w:val="single" w:sz="4" w:space="0" w:color="auto"/>
              <w:right w:val="single" w:sz="4" w:space="0" w:color="auto"/>
            </w:tcBorders>
            <w:shd w:val="clear" w:color="auto" w:fill="auto"/>
            <w:noWrap/>
            <w:vAlign w:val="center"/>
            <w:hideMark/>
          </w:tcPr>
          <w:p w14:paraId="5796BF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40016803</w:t>
            </w:r>
          </w:p>
        </w:tc>
        <w:tc>
          <w:tcPr>
            <w:tcW w:w="160" w:type="dxa"/>
            <w:tcBorders>
              <w:top w:val="nil"/>
              <w:left w:val="nil"/>
              <w:bottom w:val="single" w:sz="4" w:space="0" w:color="auto"/>
              <w:right w:val="nil"/>
            </w:tcBorders>
            <w:vAlign w:val="center"/>
          </w:tcPr>
          <w:p w14:paraId="4D3F430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FAAC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KOPER</w:t>
            </w:r>
          </w:p>
        </w:tc>
      </w:tr>
      <w:tr w:rsidR="00072A69" w:rsidRPr="00DC6DF9" w14:paraId="496AFF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7978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767</w:t>
            </w:r>
          </w:p>
        </w:tc>
        <w:tc>
          <w:tcPr>
            <w:tcW w:w="1036" w:type="dxa"/>
            <w:tcBorders>
              <w:top w:val="nil"/>
              <w:left w:val="nil"/>
              <w:bottom w:val="single" w:sz="4" w:space="0" w:color="auto"/>
              <w:right w:val="single" w:sz="4" w:space="0" w:color="auto"/>
            </w:tcBorders>
            <w:shd w:val="clear" w:color="auto" w:fill="auto"/>
            <w:noWrap/>
            <w:vAlign w:val="center"/>
            <w:hideMark/>
          </w:tcPr>
          <w:p w14:paraId="2118D5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5874653000</w:t>
            </w:r>
          </w:p>
        </w:tc>
        <w:tc>
          <w:tcPr>
            <w:tcW w:w="1036" w:type="dxa"/>
            <w:tcBorders>
              <w:top w:val="nil"/>
              <w:left w:val="nil"/>
              <w:bottom w:val="single" w:sz="4" w:space="0" w:color="auto"/>
              <w:right w:val="single" w:sz="4" w:space="0" w:color="auto"/>
            </w:tcBorders>
            <w:shd w:val="clear" w:color="auto" w:fill="auto"/>
            <w:noWrap/>
            <w:vAlign w:val="center"/>
            <w:hideMark/>
          </w:tcPr>
          <w:p w14:paraId="50C570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55789935</w:t>
            </w:r>
          </w:p>
        </w:tc>
        <w:tc>
          <w:tcPr>
            <w:tcW w:w="160" w:type="dxa"/>
            <w:tcBorders>
              <w:top w:val="nil"/>
              <w:left w:val="nil"/>
              <w:bottom w:val="single" w:sz="4" w:space="0" w:color="auto"/>
              <w:right w:val="nil"/>
            </w:tcBorders>
            <w:vAlign w:val="center"/>
          </w:tcPr>
          <w:p w14:paraId="4182FFC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9BCF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KRANJ</w:t>
            </w:r>
          </w:p>
        </w:tc>
      </w:tr>
      <w:tr w:rsidR="00072A69" w:rsidRPr="00DC6DF9" w14:paraId="06CE3B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E719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768</w:t>
            </w:r>
          </w:p>
        </w:tc>
        <w:tc>
          <w:tcPr>
            <w:tcW w:w="1036" w:type="dxa"/>
            <w:tcBorders>
              <w:top w:val="nil"/>
              <w:left w:val="nil"/>
              <w:bottom w:val="single" w:sz="4" w:space="0" w:color="auto"/>
              <w:right w:val="single" w:sz="4" w:space="0" w:color="auto"/>
            </w:tcBorders>
            <w:shd w:val="clear" w:color="auto" w:fill="auto"/>
            <w:noWrap/>
            <w:vAlign w:val="center"/>
            <w:hideMark/>
          </w:tcPr>
          <w:p w14:paraId="44CE1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5874025000</w:t>
            </w:r>
          </w:p>
        </w:tc>
        <w:tc>
          <w:tcPr>
            <w:tcW w:w="1036" w:type="dxa"/>
            <w:tcBorders>
              <w:top w:val="nil"/>
              <w:left w:val="nil"/>
              <w:bottom w:val="single" w:sz="4" w:space="0" w:color="auto"/>
              <w:right w:val="single" w:sz="4" w:space="0" w:color="auto"/>
            </w:tcBorders>
            <w:shd w:val="clear" w:color="auto" w:fill="auto"/>
            <w:noWrap/>
            <w:vAlign w:val="center"/>
            <w:hideMark/>
          </w:tcPr>
          <w:p w14:paraId="309530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67593321</w:t>
            </w:r>
          </w:p>
        </w:tc>
        <w:tc>
          <w:tcPr>
            <w:tcW w:w="160" w:type="dxa"/>
            <w:tcBorders>
              <w:top w:val="nil"/>
              <w:left w:val="nil"/>
              <w:bottom w:val="single" w:sz="4" w:space="0" w:color="auto"/>
              <w:right w:val="nil"/>
            </w:tcBorders>
            <w:vAlign w:val="center"/>
          </w:tcPr>
          <w:p w14:paraId="6670197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8EEA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LJUBLJANA</w:t>
            </w:r>
          </w:p>
        </w:tc>
      </w:tr>
      <w:tr w:rsidR="00072A69" w:rsidRPr="00DC6DF9" w14:paraId="0CE9BE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D533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769</w:t>
            </w:r>
          </w:p>
        </w:tc>
        <w:tc>
          <w:tcPr>
            <w:tcW w:w="1036" w:type="dxa"/>
            <w:tcBorders>
              <w:top w:val="nil"/>
              <w:left w:val="nil"/>
              <w:bottom w:val="single" w:sz="4" w:space="0" w:color="auto"/>
              <w:right w:val="single" w:sz="4" w:space="0" w:color="auto"/>
            </w:tcBorders>
            <w:shd w:val="clear" w:color="auto" w:fill="auto"/>
            <w:noWrap/>
            <w:vAlign w:val="center"/>
            <w:hideMark/>
          </w:tcPr>
          <w:p w14:paraId="7E1BBC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5883369000</w:t>
            </w:r>
          </w:p>
        </w:tc>
        <w:tc>
          <w:tcPr>
            <w:tcW w:w="1036" w:type="dxa"/>
            <w:tcBorders>
              <w:top w:val="nil"/>
              <w:left w:val="nil"/>
              <w:bottom w:val="single" w:sz="4" w:space="0" w:color="auto"/>
              <w:right w:val="single" w:sz="4" w:space="0" w:color="auto"/>
            </w:tcBorders>
            <w:shd w:val="clear" w:color="auto" w:fill="auto"/>
            <w:noWrap/>
            <w:vAlign w:val="center"/>
            <w:hideMark/>
          </w:tcPr>
          <w:p w14:paraId="092D6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12709590</w:t>
            </w:r>
          </w:p>
        </w:tc>
        <w:tc>
          <w:tcPr>
            <w:tcW w:w="160" w:type="dxa"/>
            <w:tcBorders>
              <w:top w:val="nil"/>
              <w:left w:val="nil"/>
              <w:bottom w:val="single" w:sz="4" w:space="0" w:color="auto"/>
              <w:right w:val="nil"/>
            </w:tcBorders>
            <w:vAlign w:val="center"/>
          </w:tcPr>
          <w:p w14:paraId="2D17F6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4FBB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MARIBOR</w:t>
            </w:r>
          </w:p>
        </w:tc>
      </w:tr>
      <w:tr w:rsidR="00072A69" w:rsidRPr="00DC6DF9" w14:paraId="2BA9C5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33A1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770</w:t>
            </w:r>
          </w:p>
        </w:tc>
        <w:tc>
          <w:tcPr>
            <w:tcW w:w="1036" w:type="dxa"/>
            <w:tcBorders>
              <w:top w:val="nil"/>
              <w:left w:val="nil"/>
              <w:bottom w:val="single" w:sz="4" w:space="0" w:color="auto"/>
              <w:right w:val="single" w:sz="4" w:space="0" w:color="auto"/>
            </w:tcBorders>
            <w:shd w:val="clear" w:color="auto" w:fill="auto"/>
            <w:noWrap/>
            <w:vAlign w:val="center"/>
            <w:hideMark/>
          </w:tcPr>
          <w:p w14:paraId="1DC08F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5883172000</w:t>
            </w:r>
          </w:p>
        </w:tc>
        <w:tc>
          <w:tcPr>
            <w:tcW w:w="1036" w:type="dxa"/>
            <w:tcBorders>
              <w:top w:val="nil"/>
              <w:left w:val="nil"/>
              <w:bottom w:val="single" w:sz="4" w:space="0" w:color="auto"/>
              <w:right w:val="single" w:sz="4" w:space="0" w:color="auto"/>
            </w:tcBorders>
            <w:shd w:val="clear" w:color="auto" w:fill="auto"/>
            <w:noWrap/>
            <w:vAlign w:val="center"/>
            <w:hideMark/>
          </w:tcPr>
          <w:p w14:paraId="7F60EE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32339828</w:t>
            </w:r>
          </w:p>
        </w:tc>
        <w:tc>
          <w:tcPr>
            <w:tcW w:w="160" w:type="dxa"/>
            <w:tcBorders>
              <w:top w:val="nil"/>
              <w:left w:val="nil"/>
              <w:bottom w:val="single" w:sz="4" w:space="0" w:color="auto"/>
              <w:right w:val="nil"/>
            </w:tcBorders>
            <w:vAlign w:val="center"/>
          </w:tcPr>
          <w:p w14:paraId="44BB94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3A03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MURSKA SOBOTA</w:t>
            </w:r>
          </w:p>
        </w:tc>
      </w:tr>
      <w:tr w:rsidR="00072A69" w:rsidRPr="00DC6DF9" w14:paraId="15D722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07B8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771</w:t>
            </w:r>
          </w:p>
        </w:tc>
        <w:tc>
          <w:tcPr>
            <w:tcW w:w="1036" w:type="dxa"/>
            <w:tcBorders>
              <w:top w:val="nil"/>
              <w:left w:val="nil"/>
              <w:bottom w:val="single" w:sz="4" w:space="0" w:color="auto"/>
              <w:right w:val="single" w:sz="4" w:space="0" w:color="auto"/>
            </w:tcBorders>
            <w:shd w:val="clear" w:color="auto" w:fill="auto"/>
            <w:noWrap/>
            <w:vAlign w:val="center"/>
            <w:hideMark/>
          </w:tcPr>
          <w:p w14:paraId="6237E8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5881773000</w:t>
            </w:r>
          </w:p>
        </w:tc>
        <w:tc>
          <w:tcPr>
            <w:tcW w:w="1036" w:type="dxa"/>
            <w:tcBorders>
              <w:top w:val="nil"/>
              <w:left w:val="nil"/>
              <w:bottom w:val="single" w:sz="4" w:space="0" w:color="auto"/>
              <w:right w:val="single" w:sz="4" w:space="0" w:color="auto"/>
            </w:tcBorders>
            <w:shd w:val="clear" w:color="auto" w:fill="auto"/>
            <w:noWrap/>
            <w:vAlign w:val="center"/>
            <w:hideMark/>
          </w:tcPr>
          <w:p w14:paraId="15D8A8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53055730</w:t>
            </w:r>
          </w:p>
        </w:tc>
        <w:tc>
          <w:tcPr>
            <w:tcW w:w="160" w:type="dxa"/>
            <w:tcBorders>
              <w:top w:val="nil"/>
              <w:left w:val="nil"/>
              <w:bottom w:val="single" w:sz="4" w:space="0" w:color="auto"/>
              <w:right w:val="nil"/>
            </w:tcBorders>
            <w:vAlign w:val="center"/>
          </w:tcPr>
          <w:p w14:paraId="33C9A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3A9E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NOVA GORICA</w:t>
            </w:r>
          </w:p>
        </w:tc>
      </w:tr>
      <w:tr w:rsidR="00072A69" w:rsidRPr="00DC6DF9" w14:paraId="0F41A5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5EC2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772</w:t>
            </w:r>
          </w:p>
        </w:tc>
        <w:tc>
          <w:tcPr>
            <w:tcW w:w="1036" w:type="dxa"/>
            <w:tcBorders>
              <w:top w:val="nil"/>
              <w:left w:val="nil"/>
              <w:bottom w:val="single" w:sz="4" w:space="0" w:color="auto"/>
              <w:right w:val="single" w:sz="4" w:space="0" w:color="auto"/>
            </w:tcBorders>
            <w:shd w:val="clear" w:color="auto" w:fill="auto"/>
            <w:noWrap/>
            <w:vAlign w:val="center"/>
            <w:hideMark/>
          </w:tcPr>
          <w:p w14:paraId="435892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5883288000</w:t>
            </w:r>
          </w:p>
        </w:tc>
        <w:tc>
          <w:tcPr>
            <w:tcW w:w="1036" w:type="dxa"/>
            <w:tcBorders>
              <w:top w:val="nil"/>
              <w:left w:val="nil"/>
              <w:bottom w:val="single" w:sz="4" w:space="0" w:color="auto"/>
              <w:right w:val="single" w:sz="4" w:space="0" w:color="auto"/>
            </w:tcBorders>
            <w:shd w:val="clear" w:color="auto" w:fill="auto"/>
            <w:noWrap/>
            <w:vAlign w:val="center"/>
            <w:hideMark/>
          </w:tcPr>
          <w:p w14:paraId="380858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48768111</w:t>
            </w:r>
          </w:p>
        </w:tc>
        <w:tc>
          <w:tcPr>
            <w:tcW w:w="160" w:type="dxa"/>
            <w:tcBorders>
              <w:top w:val="nil"/>
              <w:left w:val="nil"/>
              <w:bottom w:val="single" w:sz="4" w:space="0" w:color="auto"/>
              <w:right w:val="nil"/>
            </w:tcBorders>
            <w:vAlign w:val="center"/>
          </w:tcPr>
          <w:p w14:paraId="333F88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51FC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NOVO MESTO</w:t>
            </w:r>
          </w:p>
        </w:tc>
      </w:tr>
      <w:tr w:rsidR="00072A69" w:rsidRPr="00DC6DF9" w14:paraId="59EB95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6E45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773</w:t>
            </w:r>
          </w:p>
        </w:tc>
        <w:tc>
          <w:tcPr>
            <w:tcW w:w="1036" w:type="dxa"/>
            <w:tcBorders>
              <w:top w:val="nil"/>
              <w:left w:val="nil"/>
              <w:bottom w:val="single" w:sz="4" w:space="0" w:color="auto"/>
              <w:right w:val="single" w:sz="4" w:space="0" w:color="auto"/>
            </w:tcBorders>
            <w:shd w:val="clear" w:color="auto" w:fill="auto"/>
            <w:noWrap/>
            <w:vAlign w:val="center"/>
            <w:hideMark/>
          </w:tcPr>
          <w:p w14:paraId="757B54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5883598000</w:t>
            </w:r>
          </w:p>
        </w:tc>
        <w:tc>
          <w:tcPr>
            <w:tcW w:w="1036" w:type="dxa"/>
            <w:tcBorders>
              <w:top w:val="nil"/>
              <w:left w:val="nil"/>
              <w:bottom w:val="single" w:sz="4" w:space="0" w:color="auto"/>
              <w:right w:val="single" w:sz="4" w:space="0" w:color="auto"/>
            </w:tcBorders>
            <w:shd w:val="clear" w:color="auto" w:fill="auto"/>
            <w:noWrap/>
            <w:vAlign w:val="center"/>
            <w:hideMark/>
          </w:tcPr>
          <w:p w14:paraId="1773FF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85675237</w:t>
            </w:r>
          </w:p>
        </w:tc>
        <w:tc>
          <w:tcPr>
            <w:tcW w:w="160" w:type="dxa"/>
            <w:tcBorders>
              <w:top w:val="nil"/>
              <w:left w:val="nil"/>
              <w:bottom w:val="single" w:sz="4" w:space="0" w:color="auto"/>
              <w:right w:val="nil"/>
            </w:tcBorders>
            <w:vAlign w:val="center"/>
          </w:tcPr>
          <w:p w14:paraId="581F86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7906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PTUJ</w:t>
            </w:r>
          </w:p>
        </w:tc>
      </w:tr>
      <w:tr w:rsidR="00072A69" w:rsidRPr="00DC6DF9" w14:paraId="08E8CF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DD72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774</w:t>
            </w:r>
          </w:p>
        </w:tc>
        <w:tc>
          <w:tcPr>
            <w:tcW w:w="1036" w:type="dxa"/>
            <w:tcBorders>
              <w:top w:val="nil"/>
              <w:left w:val="nil"/>
              <w:bottom w:val="single" w:sz="4" w:space="0" w:color="auto"/>
              <w:right w:val="single" w:sz="4" w:space="0" w:color="auto"/>
            </w:tcBorders>
            <w:shd w:val="clear" w:color="auto" w:fill="auto"/>
            <w:noWrap/>
            <w:vAlign w:val="center"/>
            <w:hideMark/>
          </w:tcPr>
          <w:p w14:paraId="73749F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5883903000</w:t>
            </w:r>
          </w:p>
        </w:tc>
        <w:tc>
          <w:tcPr>
            <w:tcW w:w="1036" w:type="dxa"/>
            <w:tcBorders>
              <w:top w:val="nil"/>
              <w:left w:val="nil"/>
              <w:bottom w:val="single" w:sz="4" w:space="0" w:color="auto"/>
              <w:right w:val="single" w:sz="4" w:space="0" w:color="auto"/>
            </w:tcBorders>
            <w:shd w:val="clear" w:color="auto" w:fill="auto"/>
            <w:noWrap/>
            <w:vAlign w:val="center"/>
            <w:hideMark/>
          </w:tcPr>
          <w:p w14:paraId="5C26F9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92076912</w:t>
            </w:r>
          </w:p>
        </w:tc>
        <w:tc>
          <w:tcPr>
            <w:tcW w:w="160" w:type="dxa"/>
            <w:tcBorders>
              <w:top w:val="nil"/>
              <w:left w:val="nil"/>
              <w:bottom w:val="single" w:sz="4" w:space="0" w:color="auto"/>
              <w:right w:val="nil"/>
            </w:tcBorders>
            <w:vAlign w:val="center"/>
          </w:tcPr>
          <w:p w14:paraId="5E32C7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14FA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SLOVENJ GRADEC</w:t>
            </w:r>
          </w:p>
        </w:tc>
      </w:tr>
      <w:tr w:rsidR="00072A69" w:rsidRPr="00DC6DF9" w14:paraId="31BE31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7F35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775</w:t>
            </w:r>
          </w:p>
        </w:tc>
        <w:tc>
          <w:tcPr>
            <w:tcW w:w="1036" w:type="dxa"/>
            <w:tcBorders>
              <w:top w:val="nil"/>
              <w:left w:val="nil"/>
              <w:bottom w:val="single" w:sz="4" w:space="0" w:color="auto"/>
              <w:right w:val="single" w:sz="4" w:space="0" w:color="auto"/>
            </w:tcBorders>
            <w:shd w:val="clear" w:color="auto" w:fill="auto"/>
            <w:noWrap/>
            <w:vAlign w:val="center"/>
            <w:hideMark/>
          </w:tcPr>
          <w:p w14:paraId="392923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5884268000</w:t>
            </w:r>
          </w:p>
        </w:tc>
        <w:tc>
          <w:tcPr>
            <w:tcW w:w="1036" w:type="dxa"/>
            <w:tcBorders>
              <w:top w:val="nil"/>
              <w:left w:val="nil"/>
              <w:bottom w:val="single" w:sz="4" w:space="0" w:color="auto"/>
              <w:right w:val="single" w:sz="4" w:space="0" w:color="auto"/>
            </w:tcBorders>
            <w:shd w:val="clear" w:color="auto" w:fill="auto"/>
            <w:noWrap/>
            <w:vAlign w:val="center"/>
            <w:hideMark/>
          </w:tcPr>
          <w:p w14:paraId="7A429E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49082884</w:t>
            </w:r>
          </w:p>
        </w:tc>
        <w:tc>
          <w:tcPr>
            <w:tcW w:w="160" w:type="dxa"/>
            <w:tcBorders>
              <w:top w:val="nil"/>
              <w:left w:val="nil"/>
              <w:bottom w:val="single" w:sz="4" w:space="0" w:color="auto"/>
              <w:right w:val="nil"/>
            </w:tcBorders>
            <w:vAlign w:val="center"/>
          </w:tcPr>
          <w:p w14:paraId="68B5D19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36F7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OBČINA VELENJE</w:t>
            </w:r>
          </w:p>
        </w:tc>
      </w:tr>
      <w:tr w:rsidR="00072A69" w:rsidRPr="00DC6DF9" w14:paraId="2CD82F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75BB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776</w:t>
            </w:r>
          </w:p>
        </w:tc>
        <w:tc>
          <w:tcPr>
            <w:tcW w:w="1036" w:type="dxa"/>
            <w:tcBorders>
              <w:top w:val="nil"/>
              <w:left w:val="nil"/>
              <w:bottom w:val="single" w:sz="4" w:space="0" w:color="auto"/>
              <w:right w:val="single" w:sz="4" w:space="0" w:color="auto"/>
            </w:tcBorders>
            <w:shd w:val="clear" w:color="auto" w:fill="auto"/>
            <w:noWrap/>
            <w:vAlign w:val="center"/>
            <w:hideMark/>
          </w:tcPr>
          <w:p w14:paraId="07B736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5021766000</w:t>
            </w:r>
          </w:p>
        </w:tc>
        <w:tc>
          <w:tcPr>
            <w:tcW w:w="1036" w:type="dxa"/>
            <w:tcBorders>
              <w:top w:val="nil"/>
              <w:left w:val="nil"/>
              <w:bottom w:val="single" w:sz="4" w:space="0" w:color="auto"/>
              <w:right w:val="single" w:sz="4" w:space="0" w:color="auto"/>
            </w:tcBorders>
            <w:shd w:val="clear" w:color="auto" w:fill="auto"/>
            <w:noWrap/>
            <w:vAlign w:val="center"/>
            <w:hideMark/>
          </w:tcPr>
          <w:p w14:paraId="1AC52A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64636313</w:t>
            </w:r>
          </w:p>
        </w:tc>
        <w:tc>
          <w:tcPr>
            <w:tcW w:w="160" w:type="dxa"/>
            <w:tcBorders>
              <w:top w:val="nil"/>
              <w:left w:val="nil"/>
              <w:bottom w:val="single" w:sz="4" w:space="0" w:color="auto"/>
              <w:right w:val="nil"/>
            </w:tcBorders>
            <w:vAlign w:val="center"/>
          </w:tcPr>
          <w:p w14:paraId="1905F3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5570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MESTNA SKUPNOST ŠENTJUR</w:t>
            </w:r>
          </w:p>
        </w:tc>
      </w:tr>
      <w:tr w:rsidR="00072A69" w:rsidRPr="00DC6DF9" w14:paraId="6594CA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A3DB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777</w:t>
            </w:r>
          </w:p>
        </w:tc>
        <w:tc>
          <w:tcPr>
            <w:tcW w:w="1036" w:type="dxa"/>
            <w:tcBorders>
              <w:top w:val="nil"/>
              <w:left w:val="nil"/>
              <w:bottom w:val="single" w:sz="4" w:space="0" w:color="auto"/>
              <w:right w:val="single" w:sz="4" w:space="0" w:color="auto"/>
            </w:tcBorders>
            <w:shd w:val="clear" w:color="auto" w:fill="auto"/>
            <w:noWrap/>
            <w:vAlign w:val="center"/>
            <w:hideMark/>
          </w:tcPr>
          <w:p w14:paraId="352C9E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5053722000</w:t>
            </w:r>
          </w:p>
        </w:tc>
        <w:tc>
          <w:tcPr>
            <w:tcW w:w="1036" w:type="dxa"/>
            <w:tcBorders>
              <w:top w:val="nil"/>
              <w:left w:val="nil"/>
              <w:bottom w:val="single" w:sz="4" w:space="0" w:color="auto"/>
              <w:right w:val="single" w:sz="4" w:space="0" w:color="auto"/>
            </w:tcBorders>
            <w:shd w:val="clear" w:color="auto" w:fill="auto"/>
            <w:noWrap/>
            <w:vAlign w:val="center"/>
            <w:hideMark/>
          </w:tcPr>
          <w:p w14:paraId="0BC6A2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98654322</w:t>
            </w:r>
          </w:p>
        </w:tc>
        <w:tc>
          <w:tcPr>
            <w:tcW w:w="160" w:type="dxa"/>
            <w:tcBorders>
              <w:top w:val="nil"/>
              <w:left w:val="nil"/>
              <w:bottom w:val="single" w:sz="4" w:space="0" w:color="auto"/>
              <w:right w:val="nil"/>
            </w:tcBorders>
            <w:vAlign w:val="center"/>
          </w:tcPr>
          <w:p w14:paraId="5E59A4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0C5E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MESTNE LEKARNE</w:t>
            </w:r>
          </w:p>
        </w:tc>
      </w:tr>
      <w:tr w:rsidR="00072A69" w:rsidRPr="00DC6DF9" w14:paraId="6DBC60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2870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778</w:t>
            </w:r>
          </w:p>
        </w:tc>
        <w:tc>
          <w:tcPr>
            <w:tcW w:w="1036" w:type="dxa"/>
            <w:tcBorders>
              <w:top w:val="nil"/>
              <w:left w:val="nil"/>
              <w:bottom w:val="single" w:sz="4" w:space="0" w:color="auto"/>
              <w:right w:val="single" w:sz="4" w:space="0" w:color="auto"/>
            </w:tcBorders>
            <w:shd w:val="clear" w:color="auto" w:fill="auto"/>
            <w:noWrap/>
            <w:vAlign w:val="center"/>
            <w:hideMark/>
          </w:tcPr>
          <w:p w14:paraId="62608D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1580515000</w:t>
            </w:r>
          </w:p>
        </w:tc>
        <w:tc>
          <w:tcPr>
            <w:tcW w:w="1036" w:type="dxa"/>
            <w:tcBorders>
              <w:top w:val="nil"/>
              <w:left w:val="nil"/>
              <w:bottom w:val="single" w:sz="4" w:space="0" w:color="auto"/>
              <w:right w:val="single" w:sz="4" w:space="0" w:color="auto"/>
            </w:tcBorders>
            <w:shd w:val="clear" w:color="auto" w:fill="auto"/>
            <w:noWrap/>
            <w:vAlign w:val="center"/>
            <w:hideMark/>
          </w:tcPr>
          <w:p w14:paraId="2D16BB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69962529</w:t>
            </w:r>
          </w:p>
        </w:tc>
        <w:tc>
          <w:tcPr>
            <w:tcW w:w="160" w:type="dxa"/>
            <w:tcBorders>
              <w:top w:val="nil"/>
              <w:left w:val="nil"/>
              <w:bottom w:val="single" w:sz="4" w:space="0" w:color="auto"/>
              <w:right w:val="nil"/>
            </w:tcBorders>
            <w:vAlign w:val="center"/>
          </w:tcPr>
          <w:p w14:paraId="5C1EE2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D33C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MESTNE STORITVE, D. O. O. , NOVA GORICA</w:t>
            </w:r>
          </w:p>
        </w:tc>
      </w:tr>
      <w:tr w:rsidR="00072A69" w:rsidRPr="00DC6DF9" w14:paraId="035D6E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BD16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779</w:t>
            </w:r>
          </w:p>
        </w:tc>
        <w:tc>
          <w:tcPr>
            <w:tcW w:w="1036" w:type="dxa"/>
            <w:tcBorders>
              <w:top w:val="nil"/>
              <w:left w:val="nil"/>
              <w:bottom w:val="single" w:sz="4" w:space="0" w:color="auto"/>
              <w:right w:val="single" w:sz="4" w:space="0" w:color="auto"/>
            </w:tcBorders>
            <w:shd w:val="clear" w:color="auto" w:fill="auto"/>
            <w:noWrap/>
            <w:vAlign w:val="center"/>
            <w:hideMark/>
          </w:tcPr>
          <w:p w14:paraId="6722A4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5055741000</w:t>
            </w:r>
          </w:p>
        </w:tc>
        <w:tc>
          <w:tcPr>
            <w:tcW w:w="1036" w:type="dxa"/>
            <w:tcBorders>
              <w:top w:val="nil"/>
              <w:left w:val="nil"/>
              <w:bottom w:val="single" w:sz="4" w:space="0" w:color="auto"/>
              <w:right w:val="single" w:sz="4" w:space="0" w:color="auto"/>
            </w:tcBorders>
            <w:shd w:val="clear" w:color="auto" w:fill="auto"/>
            <w:noWrap/>
            <w:vAlign w:val="center"/>
            <w:hideMark/>
          </w:tcPr>
          <w:p w14:paraId="370BC8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72695439</w:t>
            </w:r>
          </w:p>
        </w:tc>
        <w:tc>
          <w:tcPr>
            <w:tcW w:w="160" w:type="dxa"/>
            <w:tcBorders>
              <w:top w:val="nil"/>
              <w:left w:val="nil"/>
              <w:bottom w:val="single" w:sz="4" w:space="0" w:color="auto"/>
              <w:right w:val="nil"/>
            </w:tcBorders>
            <w:vAlign w:val="center"/>
          </w:tcPr>
          <w:p w14:paraId="5A116F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DDF7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MESTNI MUZEJ IDRIJA</w:t>
            </w:r>
          </w:p>
        </w:tc>
      </w:tr>
      <w:tr w:rsidR="00072A69" w:rsidRPr="00DC6DF9" w14:paraId="17D571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7147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780</w:t>
            </w:r>
          </w:p>
        </w:tc>
        <w:tc>
          <w:tcPr>
            <w:tcW w:w="1036" w:type="dxa"/>
            <w:tcBorders>
              <w:top w:val="nil"/>
              <w:left w:val="nil"/>
              <w:bottom w:val="single" w:sz="4" w:space="0" w:color="auto"/>
              <w:right w:val="single" w:sz="4" w:space="0" w:color="auto"/>
            </w:tcBorders>
            <w:shd w:val="clear" w:color="auto" w:fill="auto"/>
            <w:noWrap/>
            <w:vAlign w:val="center"/>
            <w:hideMark/>
          </w:tcPr>
          <w:p w14:paraId="3EE32B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5053161000</w:t>
            </w:r>
          </w:p>
        </w:tc>
        <w:tc>
          <w:tcPr>
            <w:tcW w:w="1036" w:type="dxa"/>
            <w:tcBorders>
              <w:top w:val="nil"/>
              <w:left w:val="nil"/>
              <w:bottom w:val="single" w:sz="4" w:space="0" w:color="auto"/>
              <w:right w:val="single" w:sz="4" w:space="0" w:color="auto"/>
            </w:tcBorders>
            <w:shd w:val="clear" w:color="auto" w:fill="auto"/>
            <w:noWrap/>
            <w:vAlign w:val="center"/>
            <w:hideMark/>
          </w:tcPr>
          <w:p w14:paraId="2C18B8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77805526</w:t>
            </w:r>
          </w:p>
        </w:tc>
        <w:tc>
          <w:tcPr>
            <w:tcW w:w="160" w:type="dxa"/>
            <w:tcBorders>
              <w:top w:val="nil"/>
              <w:left w:val="nil"/>
              <w:bottom w:val="single" w:sz="4" w:space="0" w:color="auto"/>
              <w:right w:val="nil"/>
            </w:tcBorders>
            <w:vAlign w:val="center"/>
          </w:tcPr>
          <w:p w14:paraId="4B57CB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33C9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MESTNO GLEDALIŠČE LJUBLJANSKO</w:t>
            </w:r>
          </w:p>
        </w:tc>
      </w:tr>
      <w:tr w:rsidR="00072A69" w:rsidRPr="00DC6DF9" w14:paraId="271816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7963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781</w:t>
            </w:r>
          </w:p>
        </w:tc>
        <w:tc>
          <w:tcPr>
            <w:tcW w:w="1036" w:type="dxa"/>
            <w:tcBorders>
              <w:top w:val="nil"/>
              <w:left w:val="nil"/>
              <w:bottom w:val="single" w:sz="4" w:space="0" w:color="auto"/>
              <w:right w:val="single" w:sz="4" w:space="0" w:color="auto"/>
            </w:tcBorders>
            <w:shd w:val="clear" w:color="auto" w:fill="auto"/>
            <w:noWrap/>
            <w:vAlign w:val="center"/>
            <w:hideMark/>
          </w:tcPr>
          <w:p w14:paraId="35DE04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5022860000</w:t>
            </w:r>
          </w:p>
        </w:tc>
        <w:tc>
          <w:tcPr>
            <w:tcW w:w="1036" w:type="dxa"/>
            <w:tcBorders>
              <w:top w:val="nil"/>
              <w:left w:val="nil"/>
              <w:bottom w:val="single" w:sz="4" w:space="0" w:color="auto"/>
              <w:right w:val="single" w:sz="4" w:space="0" w:color="auto"/>
            </w:tcBorders>
            <w:shd w:val="clear" w:color="auto" w:fill="auto"/>
            <w:noWrap/>
            <w:vAlign w:val="center"/>
            <w:hideMark/>
          </w:tcPr>
          <w:p w14:paraId="2156A5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76953475</w:t>
            </w:r>
          </w:p>
        </w:tc>
        <w:tc>
          <w:tcPr>
            <w:tcW w:w="160" w:type="dxa"/>
            <w:tcBorders>
              <w:top w:val="nil"/>
              <w:left w:val="nil"/>
              <w:bottom w:val="single" w:sz="4" w:space="0" w:color="auto"/>
              <w:right w:val="nil"/>
            </w:tcBorders>
            <w:vAlign w:val="center"/>
          </w:tcPr>
          <w:p w14:paraId="142968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8D19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DELO, DRUŽINO, SOCIALNE ZADEVE IN ENAKE MOŽNOSTI</w:t>
            </w:r>
          </w:p>
        </w:tc>
      </w:tr>
      <w:tr w:rsidR="00072A69" w:rsidRPr="00DC6DF9" w14:paraId="4953C8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360F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782</w:t>
            </w:r>
          </w:p>
        </w:tc>
        <w:tc>
          <w:tcPr>
            <w:tcW w:w="1036" w:type="dxa"/>
            <w:tcBorders>
              <w:top w:val="nil"/>
              <w:left w:val="nil"/>
              <w:bottom w:val="single" w:sz="4" w:space="0" w:color="auto"/>
              <w:right w:val="single" w:sz="4" w:space="0" w:color="auto"/>
            </w:tcBorders>
            <w:shd w:val="clear" w:color="auto" w:fill="auto"/>
            <w:noWrap/>
            <w:vAlign w:val="center"/>
            <w:hideMark/>
          </w:tcPr>
          <w:p w14:paraId="4EF4A8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5028256000</w:t>
            </w:r>
          </w:p>
        </w:tc>
        <w:tc>
          <w:tcPr>
            <w:tcW w:w="1036" w:type="dxa"/>
            <w:tcBorders>
              <w:top w:val="nil"/>
              <w:left w:val="nil"/>
              <w:bottom w:val="single" w:sz="4" w:space="0" w:color="auto"/>
              <w:right w:val="single" w:sz="4" w:space="0" w:color="auto"/>
            </w:tcBorders>
            <w:shd w:val="clear" w:color="auto" w:fill="auto"/>
            <w:noWrap/>
            <w:vAlign w:val="center"/>
            <w:hideMark/>
          </w:tcPr>
          <w:p w14:paraId="1AF025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23348887</w:t>
            </w:r>
          </w:p>
        </w:tc>
        <w:tc>
          <w:tcPr>
            <w:tcW w:w="160" w:type="dxa"/>
            <w:tcBorders>
              <w:top w:val="nil"/>
              <w:left w:val="nil"/>
              <w:bottom w:val="single" w:sz="4" w:space="0" w:color="auto"/>
              <w:right w:val="nil"/>
            </w:tcBorders>
            <w:vAlign w:val="center"/>
          </w:tcPr>
          <w:p w14:paraId="09CAC1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68CB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FINANCE</w:t>
            </w:r>
          </w:p>
        </w:tc>
      </w:tr>
      <w:tr w:rsidR="00072A69" w:rsidRPr="00DC6DF9" w14:paraId="7AFE6A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4404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783</w:t>
            </w:r>
          </w:p>
        </w:tc>
        <w:tc>
          <w:tcPr>
            <w:tcW w:w="1036" w:type="dxa"/>
            <w:tcBorders>
              <w:top w:val="nil"/>
              <w:left w:val="nil"/>
              <w:bottom w:val="single" w:sz="4" w:space="0" w:color="auto"/>
              <w:right w:val="single" w:sz="4" w:space="0" w:color="auto"/>
            </w:tcBorders>
            <w:shd w:val="clear" w:color="auto" w:fill="auto"/>
            <w:noWrap/>
            <w:vAlign w:val="center"/>
            <w:hideMark/>
          </w:tcPr>
          <w:p w14:paraId="025D53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2399245000</w:t>
            </w:r>
          </w:p>
        </w:tc>
        <w:tc>
          <w:tcPr>
            <w:tcW w:w="1036" w:type="dxa"/>
            <w:tcBorders>
              <w:top w:val="nil"/>
              <w:left w:val="nil"/>
              <w:bottom w:val="single" w:sz="4" w:space="0" w:color="auto"/>
              <w:right w:val="single" w:sz="4" w:space="0" w:color="auto"/>
            </w:tcBorders>
            <w:shd w:val="clear" w:color="auto" w:fill="auto"/>
            <w:noWrap/>
            <w:vAlign w:val="center"/>
            <w:hideMark/>
          </w:tcPr>
          <w:p w14:paraId="51526B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43159290</w:t>
            </w:r>
          </w:p>
        </w:tc>
        <w:tc>
          <w:tcPr>
            <w:tcW w:w="160" w:type="dxa"/>
            <w:tcBorders>
              <w:top w:val="nil"/>
              <w:left w:val="nil"/>
              <w:bottom w:val="single" w:sz="4" w:space="0" w:color="auto"/>
              <w:right w:val="nil"/>
            </w:tcBorders>
            <w:vAlign w:val="center"/>
          </w:tcPr>
          <w:p w14:paraId="61FC5B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3BEC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GOSPODARSKI RAZVOJ IN TEHNOLOGIJO</w:t>
            </w:r>
          </w:p>
        </w:tc>
      </w:tr>
      <w:tr w:rsidR="00072A69" w:rsidRPr="00DC6DF9" w14:paraId="3395A6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4ED8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784</w:t>
            </w:r>
          </w:p>
        </w:tc>
        <w:tc>
          <w:tcPr>
            <w:tcW w:w="1036" w:type="dxa"/>
            <w:tcBorders>
              <w:top w:val="nil"/>
              <w:left w:val="nil"/>
              <w:bottom w:val="single" w:sz="4" w:space="0" w:color="auto"/>
              <w:right w:val="single" w:sz="4" w:space="0" w:color="auto"/>
            </w:tcBorders>
            <w:shd w:val="clear" w:color="auto" w:fill="auto"/>
            <w:noWrap/>
            <w:vAlign w:val="center"/>
            <w:hideMark/>
          </w:tcPr>
          <w:p w14:paraId="24DAFA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2399270000</w:t>
            </w:r>
          </w:p>
        </w:tc>
        <w:tc>
          <w:tcPr>
            <w:tcW w:w="1036" w:type="dxa"/>
            <w:tcBorders>
              <w:top w:val="nil"/>
              <w:left w:val="nil"/>
              <w:bottom w:val="single" w:sz="4" w:space="0" w:color="auto"/>
              <w:right w:val="single" w:sz="4" w:space="0" w:color="auto"/>
            </w:tcBorders>
            <w:shd w:val="clear" w:color="auto" w:fill="auto"/>
            <w:noWrap/>
            <w:vAlign w:val="center"/>
            <w:hideMark/>
          </w:tcPr>
          <w:p w14:paraId="7FDA2C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25967061</w:t>
            </w:r>
          </w:p>
        </w:tc>
        <w:tc>
          <w:tcPr>
            <w:tcW w:w="160" w:type="dxa"/>
            <w:tcBorders>
              <w:top w:val="nil"/>
              <w:left w:val="nil"/>
              <w:bottom w:val="single" w:sz="4" w:space="0" w:color="auto"/>
              <w:right w:val="nil"/>
            </w:tcBorders>
            <w:vAlign w:val="center"/>
          </w:tcPr>
          <w:p w14:paraId="6FEAC7E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03B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INFRASTRUKTURO</w:t>
            </w:r>
          </w:p>
        </w:tc>
      </w:tr>
      <w:tr w:rsidR="00072A69" w:rsidRPr="00DC6DF9" w14:paraId="786330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2B44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785</w:t>
            </w:r>
          </w:p>
        </w:tc>
        <w:tc>
          <w:tcPr>
            <w:tcW w:w="1036" w:type="dxa"/>
            <w:tcBorders>
              <w:top w:val="nil"/>
              <w:left w:val="nil"/>
              <w:bottom w:val="single" w:sz="4" w:space="0" w:color="auto"/>
              <w:right w:val="single" w:sz="4" w:space="0" w:color="auto"/>
            </w:tcBorders>
            <w:shd w:val="clear" w:color="auto" w:fill="auto"/>
            <w:noWrap/>
            <w:vAlign w:val="center"/>
            <w:hideMark/>
          </w:tcPr>
          <w:p w14:paraId="09E755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2399300000</w:t>
            </w:r>
          </w:p>
        </w:tc>
        <w:tc>
          <w:tcPr>
            <w:tcW w:w="1036" w:type="dxa"/>
            <w:tcBorders>
              <w:top w:val="nil"/>
              <w:left w:val="nil"/>
              <w:bottom w:val="single" w:sz="4" w:space="0" w:color="auto"/>
              <w:right w:val="single" w:sz="4" w:space="0" w:color="auto"/>
            </w:tcBorders>
            <w:shd w:val="clear" w:color="auto" w:fill="auto"/>
            <w:noWrap/>
            <w:vAlign w:val="center"/>
            <w:hideMark/>
          </w:tcPr>
          <w:p w14:paraId="0AD726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14246821</w:t>
            </w:r>
          </w:p>
        </w:tc>
        <w:tc>
          <w:tcPr>
            <w:tcW w:w="160" w:type="dxa"/>
            <w:tcBorders>
              <w:top w:val="nil"/>
              <w:left w:val="nil"/>
              <w:bottom w:val="single" w:sz="4" w:space="0" w:color="auto"/>
              <w:right w:val="nil"/>
            </w:tcBorders>
            <w:vAlign w:val="center"/>
          </w:tcPr>
          <w:p w14:paraId="7AFD52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4565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IZOBRAŽEVANJE, ZNANOST IN ŠPORT</w:t>
            </w:r>
          </w:p>
        </w:tc>
      </w:tr>
      <w:tr w:rsidR="00072A69" w:rsidRPr="00DC6DF9" w14:paraId="511961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4A5E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786</w:t>
            </w:r>
          </w:p>
        </w:tc>
        <w:tc>
          <w:tcPr>
            <w:tcW w:w="1036" w:type="dxa"/>
            <w:tcBorders>
              <w:top w:val="nil"/>
              <w:left w:val="nil"/>
              <w:bottom w:val="single" w:sz="4" w:space="0" w:color="auto"/>
              <w:right w:val="single" w:sz="4" w:space="0" w:color="auto"/>
            </w:tcBorders>
            <w:shd w:val="clear" w:color="auto" w:fill="auto"/>
            <w:noWrap/>
            <w:vAlign w:val="center"/>
            <w:hideMark/>
          </w:tcPr>
          <w:p w14:paraId="101FCB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2482762000</w:t>
            </w:r>
          </w:p>
        </w:tc>
        <w:tc>
          <w:tcPr>
            <w:tcW w:w="1036" w:type="dxa"/>
            <w:tcBorders>
              <w:top w:val="nil"/>
              <w:left w:val="nil"/>
              <w:bottom w:val="single" w:sz="4" w:space="0" w:color="auto"/>
              <w:right w:val="single" w:sz="4" w:space="0" w:color="auto"/>
            </w:tcBorders>
            <w:shd w:val="clear" w:color="auto" w:fill="auto"/>
            <w:noWrap/>
            <w:vAlign w:val="center"/>
            <w:hideMark/>
          </w:tcPr>
          <w:p w14:paraId="2EE0EC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91838983</w:t>
            </w:r>
          </w:p>
        </w:tc>
        <w:tc>
          <w:tcPr>
            <w:tcW w:w="160" w:type="dxa"/>
            <w:tcBorders>
              <w:top w:val="nil"/>
              <w:left w:val="nil"/>
              <w:bottom w:val="single" w:sz="4" w:space="0" w:color="auto"/>
              <w:right w:val="nil"/>
            </w:tcBorders>
            <w:vAlign w:val="center"/>
          </w:tcPr>
          <w:p w14:paraId="05D2F5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16F7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JAVNO UPRAVO</w:t>
            </w:r>
          </w:p>
        </w:tc>
      </w:tr>
      <w:tr w:rsidR="00072A69" w:rsidRPr="00DC6DF9" w14:paraId="7E359C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D12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787</w:t>
            </w:r>
          </w:p>
        </w:tc>
        <w:tc>
          <w:tcPr>
            <w:tcW w:w="1036" w:type="dxa"/>
            <w:tcBorders>
              <w:top w:val="nil"/>
              <w:left w:val="nil"/>
              <w:bottom w:val="single" w:sz="4" w:space="0" w:color="auto"/>
              <w:right w:val="single" w:sz="4" w:space="0" w:color="auto"/>
            </w:tcBorders>
            <w:shd w:val="clear" w:color="auto" w:fill="auto"/>
            <w:noWrap/>
            <w:vAlign w:val="center"/>
            <w:hideMark/>
          </w:tcPr>
          <w:p w14:paraId="5423F1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2399253000</w:t>
            </w:r>
          </w:p>
        </w:tc>
        <w:tc>
          <w:tcPr>
            <w:tcW w:w="1036" w:type="dxa"/>
            <w:tcBorders>
              <w:top w:val="nil"/>
              <w:left w:val="nil"/>
              <w:bottom w:val="single" w:sz="4" w:space="0" w:color="auto"/>
              <w:right w:val="single" w:sz="4" w:space="0" w:color="auto"/>
            </w:tcBorders>
            <w:shd w:val="clear" w:color="auto" w:fill="auto"/>
            <w:noWrap/>
            <w:vAlign w:val="center"/>
            <w:hideMark/>
          </w:tcPr>
          <w:p w14:paraId="01FCD6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31162991</w:t>
            </w:r>
          </w:p>
        </w:tc>
        <w:tc>
          <w:tcPr>
            <w:tcW w:w="160" w:type="dxa"/>
            <w:tcBorders>
              <w:top w:val="nil"/>
              <w:left w:val="nil"/>
              <w:bottom w:val="single" w:sz="4" w:space="0" w:color="auto"/>
              <w:right w:val="nil"/>
            </w:tcBorders>
            <w:vAlign w:val="center"/>
          </w:tcPr>
          <w:p w14:paraId="5BC51C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E89F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KMETIJSTVO, GOZDARSTVO IN PREHRANO</w:t>
            </w:r>
          </w:p>
        </w:tc>
      </w:tr>
      <w:tr w:rsidR="00072A69" w:rsidRPr="00DC6DF9" w14:paraId="063682E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BB26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788</w:t>
            </w:r>
          </w:p>
        </w:tc>
        <w:tc>
          <w:tcPr>
            <w:tcW w:w="1036" w:type="dxa"/>
            <w:tcBorders>
              <w:top w:val="nil"/>
              <w:left w:val="nil"/>
              <w:bottom w:val="single" w:sz="4" w:space="0" w:color="auto"/>
              <w:right w:val="single" w:sz="4" w:space="0" w:color="auto"/>
            </w:tcBorders>
            <w:shd w:val="clear" w:color="auto" w:fill="auto"/>
            <w:noWrap/>
            <w:vAlign w:val="center"/>
            <w:hideMark/>
          </w:tcPr>
          <w:p w14:paraId="4BC28F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2399342000</w:t>
            </w:r>
          </w:p>
        </w:tc>
        <w:tc>
          <w:tcPr>
            <w:tcW w:w="1036" w:type="dxa"/>
            <w:tcBorders>
              <w:top w:val="nil"/>
              <w:left w:val="nil"/>
              <w:bottom w:val="single" w:sz="4" w:space="0" w:color="auto"/>
              <w:right w:val="single" w:sz="4" w:space="0" w:color="auto"/>
            </w:tcBorders>
            <w:shd w:val="clear" w:color="auto" w:fill="auto"/>
            <w:noWrap/>
            <w:vAlign w:val="center"/>
            <w:hideMark/>
          </w:tcPr>
          <w:p w14:paraId="01FD20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70949417</w:t>
            </w:r>
          </w:p>
        </w:tc>
        <w:tc>
          <w:tcPr>
            <w:tcW w:w="160" w:type="dxa"/>
            <w:tcBorders>
              <w:top w:val="nil"/>
              <w:left w:val="nil"/>
              <w:bottom w:val="single" w:sz="4" w:space="0" w:color="auto"/>
              <w:right w:val="nil"/>
            </w:tcBorders>
            <w:vAlign w:val="center"/>
          </w:tcPr>
          <w:p w14:paraId="66CDE6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1DC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KULTURO</w:t>
            </w:r>
          </w:p>
        </w:tc>
      </w:tr>
      <w:tr w:rsidR="00072A69" w:rsidRPr="00DC6DF9" w14:paraId="08EBF9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488D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789</w:t>
            </w:r>
          </w:p>
        </w:tc>
        <w:tc>
          <w:tcPr>
            <w:tcW w:w="1036" w:type="dxa"/>
            <w:tcBorders>
              <w:top w:val="nil"/>
              <w:left w:val="nil"/>
              <w:bottom w:val="single" w:sz="4" w:space="0" w:color="auto"/>
              <w:right w:val="single" w:sz="4" w:space="0" w:color="auto"/>
            </w:tcBorders>
            <w:shd w:val="clear" w:color="auto" w:fill="auto"/>
            <w:noWrap/>
            <w:vAlign w:val="center"/>
            <w:hideMark/>
          </w:tcPr>
          <w:p w14:paraId="1E6330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5030200000</w:t>
            </w:r>
          </w:p>
        </w:tc>
        <w:tc>
          <w:tcPr>
            <w:tcW w:w="1036" w:type="dxa"/>
            <w:tcBorders>
              <w:top w:val="nil"/>
              <w:left w:val="nil"/>
              <w:bottom w:val="single" w:sz="4" w:space="0" w:color="auto"/>
              <w:right w:val="single" w:sz="4" w:space="0" w:color="auto"/>
            </w:tcBorders>
            <w:shd w:val="clear" w:color="auto" w:fill="auto"/>
            <w:noWrap/>
            <w:vAlign w:val="center"/>
            <w:hideMark/>
          </w:tcPr>
          <w:p w14:paraId="5E3551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52817652</w:t>
            </w:r>
          </w:p>
        </w:tc>
        <w:tc>
          <w:tcPr>
            <w:tcW w:w="160" w:type="dxa"/>
            <w:tcBorders>
              <w:top w:val="nil"/>
              <w:left w:val="nil"/>
              <w:bottom w:val="single" w:sz="4" w:space="0" w:color="auto"/>
              <w:right w:val="nil"/>
            </w:tcBorders>
            <w:vAlign w:val="center"/>
          </w:tcPr>
          <w:p w14:paraId="3E7E01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199E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NOTRANJE ZADEVE</w:t>
            </w:r>
          </w:p>
        </w:tc>
      </w:tr>
      <w:tr w:rsidR="00072A69" w:rsidRPr="00DC6DF9" w14:paraId="612857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BF39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w:t>
            </w:r>
          </w:p>
        </w:tc>
        <w:tc>
          <w:tcPr>
            <w:tcW w:w="1036" w:type="dxa"/>
            <w:tcBorders>
              <w:top w:val="nil"/>
              <w:left w:val="nil"/>
              <w:bottom w:val="single" w:sz="4" w:space="0" w:color="auto"/>
              <w:right w:val="single" w:sz="4" w:space="0" w:color="auto"/>
            </w:tcBorders>
            <w:shd w:val="clear" w:color="auto" w:fill="auto"/>
            <w:noWrap/>
            <w:vAlign w:val="center"/>
            <w:hideMark/>
          </w:tcPr>
          <w:p w14:paraId="45FF6E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5268923000</w:t>
            </w:r>
          </w:p>
        </w:tc>
        <w:tc>
          <w:tcPr>
            <w:tcW w:w="1036" w:type="dxa"/>
            <w:tcBorders>
              <w:top w:val="nil"/>
              <w:left w:val="nil"/>
              <w:bottom w:val="single" w:sz="4" w:space="0" w:color="auto"/>
              <w:right w:val="single" w:sz="4" w:space="0" w:color="auto"/>
            </w:tcBorders>
            <w:shd w:val="clear" w:color="auto" w:fill="auto"/>
            <w:noWrap/>
            <w:vAlign w:val="center"/>
            <w:hideMark/>
          </w:tcPr>
          <w:p w14:paraId="73461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47978457</w:t>
            </w:r>
          </w:p>
        </w:tc>
        <w:tc>
          <w:tcPr>
            <w:tcW w:w="160" w:type="dxa"/>
            <w:tcBorders>
              <w:top w:val="nil"/>
              <w:left w:val="nil"/>
              <w:bottom w:val="single" w:sz="4" w:space="0" w:color="auto"/>
              <w:right w:val="nil"/>
            </w:tcBorders>
            <w:vAlign w:val="center"/>
          </w:tcPr>
          <w:p w14:paraId="635F3C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A49D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OBRAMBO REPUBLIKE SLOVENIJE</w:t>
            </w:r>
          </w:p>
        </w:tc>
      </w:tr>
      <w:tr w:rsidR="00072A69" w:rsidRPr="00DC6DF9" w14:paraId="5DCACF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ABFA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791</w:t>
            </w:r>
          </w:p>
        </w:tc>
        <w:tc>
          <w:tcPr>
            <w:tcW w:w="1036" w:type="dxa"/>
            <w:tcBorders>
              <w:top w:val="nil"/>
              <w:left w:val="nil"/>
              <w:bottom w:val="single" w:sz="4" w:space="0" w:color="auto"/>
              <w:right w:val="single" w:sz="4" w:space="0" w:color="auto"/>
            </w:tcBorders>
            <w:shd w:val="clear" w:color="auto" w:fill="auto"/>
            <w:noWrap/>
            <w:vAlign w:val="center"/>
            <w:hideMark/>
          </w:tcPr>
          <w:p w14:paraId="57BC96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2482789000</w:t>
            </w:r>
          </w:p>
        </w:tc>
        <w:tc>
          <w:tcPr>
            <w:tcW w:w="1036" w:type="dxa"/>
            <w:tcBorders>
              <w:top w:val="nil"/>
              <w:left w:val="nil"/>
              <w:bottom w:val="single" w:sz="4" w:space="0" w:color="auto"/>
              <w:right w:val="single" w:sz="4" w:space="0" w:color="auto"/>
            </w:tcBorders>
            <w:shd w:val="clear" w:color="auto" w:fill="auto"/>
            <w:noWrap/>
            <w:vAlign w:val="center"/>
            <w:hideMark/>
          </w:tcPr>
          <w:p w14:paraId="78ECCD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55058515</w:t>
            </w:r>
          </w:p>
        </w:tc>
        <w:tc>
          <w:tcPr>
            <w:tcW w:w="160" w:type="dxa"/>
            <w:tcBorders>
              <w:top w:val="nil"/>
              <w:left w:val="nil"/>
              <w:bottom w:val="single" w:sz="4" w:space="0" w:color="auto"/>
              <w:right w:val="nil"/>
            </w:tcBorders>
            <w:vAlign w:val="center"/>
          </w:tcPr>
          <w:p w14:paraId="2F8534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2941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OKOLJE IN PROSTOR</w:t>
            </w:r>
          </w:p>
        </w:tc>
      </w:tr>
      <w:tr w:rsidR="00072A69" w:rsidRPr="00DC6DF9" w14:paraId="4A21F1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7A55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792</w:t>
            </w:r>
          </w:p>
        </w:tc>
        <w:tc>
          <w:tcPr>
            <w:tcW w:w="1036" w:type="dxa"/>
            <w:tcBorders>
              <w:top w:val="nil"/>
              <w:left w:val="nil"/>
              <w:bottom w:val="single" w:sz="4" w:space="0" w:color="auto"/>
              <w:right w:val="single" w:sz="4" w:space="0" w:color="auto"/>
            </w:tcBorders>
            <w:shd w:val="clear" w:color="auto" w:fill="auto"/>
            <w:noWrap/>
            <w:vAlign w:val="center"/>
            <w:hideMark/>
          </w:tcPr>
          <w:p w14:paraId="18254D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2399237000</w:t>
            </w:r>
          </w:p>
        </w:tc>
        <w:tc>
          <w:tcPr>
            <w:tcW w:w="1036" w:type="dxa"/>
            <w:tcBorders>
              <w:top w:val="nil"/>
              <w:left w:val="nil"/>
              <w:bottom w:val="single" w:sz="4" w:space="0" w:color="auto"/>
              <w:right w:val="single" w:sz="4" w:space="0" w:color="auto"/>
            </w:tcBorders>
            <w:shd w:val="clear" w:color="auto" w:fill="auto"/>
            <w:noWrap/>
            <w:vAlign w:val="center"/>
            <w:hideMark/>
          </w:tcPr>
          <w:p w14:paraId="6A2175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32179090</w:t>
            </w:r>
          </w:p>
        </w:tc>
        <w:tc>
          <w:tcPr>
            <w:tcW w:w="160" w:type="dxa"/>
            <w:tcBorders>
              <w:top w:val="nil"/>
              <w:left w:val="nil"/>
              <w:bottom w:val="single" w:sz="4" w:space="0" w:color="auto"/>
              <w:right w:val="nil"/>
            </w:tcBorders>
            <w:vAlign w:val="center"/>
          </w:tcPr>
          <w:p w14:paraId="20AB946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685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PRAVOSODJE</w:t>
            </w:r>
          </w:p>
        </w:tc>
      </w:tr>
      <w:tr w:rsidR="00072A69" w:rsidRPr="00DC6DF9" w14:paraId="44F6B1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426C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793</w:t>
            </w:r>
          </w:p>
        </w:tc>
        <w:tc>
          <w:tcPr>
            <w:tcW w:w="1036" w:type="dxa"/>
            <w:tcBorders>
              <w:top w:val="nil"/>
              <w:left w:val="nil"/>
              <w:bottom w:val="single" w:sz="4" w:space="0" w:color="auto"/>
              <w:right w:val="single" w:sz="4" w:space="0" w:color="auto"/>
            </w:tcBorders>
            <w:shd w:val="clear" w:color="auto" w:fill="auto"/>
            <w:noWrap/>
            <w:vAlign w:val="center"/>
            <w:hideMark/>
          </w:tcPr>
          <w:p w14:paraId="765573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5030544000</w:t>
            </w:r>
          </w:p>
        </w:tc>
        <w:tc>
          <w:tcPr>
            <w:tcW w:w="1036" w:type="dxa"/>
            <w:tcBorders>
              <w:top w:val="nil"/>
              <w:left w:val="nil"/>
              <w:bottom w:val="single" w:sz="4" w:space="0" w:color="auto"/>
              <w:right w:val="single" w:sz="4" w:space="0" w:color="auto"/>
            </w:tcBorders>
            <w:shd w:val="clear" w:color="auto" w:fill="auto"/>
            <w:noWrap/>
            <w:vAlign w:val="center"/>
            <w:hideMark/>
          </w:tcPr>
          <w:p w14:paraId="473827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96395265</w:t>
            </w:r>
          </w:p>
        </w:tc>
        <w:tc>
          <w:tcPr>
            <w:tcW w:w="160" w:type="dxa"/>
            <w:tcBorders>
              <w:top w:val="nil"/>
              <w:left w:val="nil"/>
              <w:bottom w:val="single" w:sz="4" w:space="0" w:color="auto"/>
              <w:right w:val="nil"/>
            </w:tcBorders>
            <w:vAlign w:val="center"/>
          </w:tcPr>
          <w:p w14:paraId="505CD6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ACD1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ZDRAVJE</w:t>
            </w:r>
          </w:p>
        </w:tc>
      </w:tr>
      <w:tr w:rsidR="00072A69" w:rsidRPr="00DC6DF9" w14:paraId="04008F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0FC8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794</w:t>
            </w:r>
          </w:p>
        </w:tc>
        <w:tc>
          <w:tcPr>
            <w:tcW w:w="1036" w:type="dxa"/>
            <w:tcBorders>
              <w:top w:val="nil"/>
              <w:left w:val="nil"/>
              <w:bottom w:val="single" w:sz="4" w:space="0" w:color="auto"/>
              <w:right w:val="single" w:sz="4" w:space="0" w:color="auto"/>
            </w:tcBorders>
            <w:shd w:val="clear" w:color="auto" w:fill="auto"/>
            <w:noWrap/>
            <w:vAlign w:val="center"/>
            <w:hideMark/>
          </w:tcPr>
          <w:p w14:paraId="437E99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5186722000</w:t>
            </w:r>
          </w:p>
        </w:tc>
        <w:tc>
          <w:tcPr>
            <w:tcW w:w="1036" w:type="dxa"/>
            <w:tcBorders>
              <w:top w:val="nil"/>
              <w:left w:val="nil"/>
              <w:bottom w:val="single" w:sz="4" w:space="0" w:color="auto"/>
              <w:right w:val="single" w:sz="4" w:space="0" w:color="auto"/>
            </w:tcBorders>
            <w:shd w:val="clear" w:color="auto" w:fill="auto"/>
            <w:noWrap/>
            <w:vAlign w:val="center"/>
            <w:hideMark/>
          </w:tcPr>
          <w:p w14:paraId="6ADB22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96258420</w:t>
            </w:r>
          </w:p>
        </w:tc>
        <w:tc>
          <w:tcPr>
            <w:tcW w:w="160" w:type="dxa"/>
            <w:tcBorders>
              <w:top w:val="nil"/>
              <w:left w:val="nil"/>
              <w:bottom w:val="single" w:sz="4" w:space="0" w:color="auto"/>
              <w:right w:val="nil"/>
            </w:tcBorders>
            <w:vAlign w:val="center"/>
          </w:tcPr>
          <w:p w14:paraId="73C649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FEDA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MINISTRSTVO ZA ZUNANJE ZADEVE</w:t>
            </w:r>
          </w:p>
        </w:tc>
      </w:tr>
      <w:tr w:rsidR="00072A69" w:rsidRPr="00DC6DF9" w14:paraId="48BAEF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9E31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795</w:t>
            </w:r>
          </w:p>
        </w:tc>
        <w:tc>
          <w:tcPr>
            <w:tcW w:w="1036" w:type="dxa"/>
            <w:tcBorders>
              <w:top w:val="nil"/>
              <w:left w:val="nil"/>
              <w:bottom w:val="single" w:sz="4" w:space="0" w:color="auto"/>
              <w:right w:val="single" w:sz="4" w:space="0" w:color="auto"/>
            </w:tcBorders>
            <w:shd w:val="clear" w:color="auto" w:fill="auto"/>
            <w:noWrap/>
            <w:vAlign w:val="center"/>
            <w:hideMark/>
          </w:tcPr>
          <w:p w14:paraId="63CE2F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3630099000</w:t>
            </w:r>
          </w:p>
        </w:tc>
        <w:tc>
          <w:tcPr>
            <w:tcW w:w="1036" w:type="dxa"/>
            <w:tcBorders>
              <w:top w:val="nil"/>
              <w:left w:val="nil"/>
              <w:bottom w:val="single" w:sz="4" w:space="0" w:color="auto"/>
              <w:right w:val="single" w:sz="4" w:space="0" w:color="auto"/>
            </w:tcBorders>
            <w:shd w:val="clear" w:color="auto" w:fill="auto"/>
            <w:noWrap/>
            <w:vAlign w:val="center"/>
            <w:hideMark/>
          </w:tcPr>
          <w:p w14:paraId="780D7D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13480855</w:t>
            </w:r>
          </w:p>
        </w:tc>
        <w:tc>
          <w:tcPr>
            <w:tcW w:w="160" w:type="dxa"/>
            <w:tcBorders>
              <w:top w:val="nil"/>
              <w:left w:val="nil"/>
              <w:bottom w:val="single" w:sz="4" w:space="0" w:color="auto"/>
              <w:right w:val="nil"/>
            </w:tcBorders>
            <w:vAlign w:val="center"/>
          </w:tcPr>
          <w:p w14:paraId="389F2A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1F66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MLADI ZMAJI</w:t>
            </w:r>
          </w:p>
        </w:tc>
      </w:tr>
      <w:tr w:rsidR="00072A69" w:rsidRPr="00DC6DF9" w14:paraId="2B68C3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8F57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796</w:t>
            </w:r>
          </w:p>
        </w:tc>
        <w:tc>
          <w:tcPr>
            <w:tcW w:w="1036" w:type="dxa"/>
            <w:tcBorders>
              <w:top w:val="nil"/>
              <w:left w:val="nil"/>
              <w:bottom w:val="single" w:sz="4" w:space="0" w:color="auto"/>
              <w:right w:val="single" w:sz="4" w:space="0" w:color="auto"/>
            </w:tcBorders>
            <w:shd w:val="clear" w:color="auto" w:fill="auto"/>
            <w:noWrap/>
            <w:vAlign w:val="center"/>
            <w:hideMark/>
          </w:tcPr>
          <w:p w14:paraId="042D1C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1574680000</w:t>
            </w:r>
          </w:p>
        </w:tc>
        <w:tc>
          <w:tcPr>
            <w:tcW w:w="1036" w:type="dxa"/>
            <w:tcBorders>
              <w:top w:val="nil"/>
              <w:left w:val="nil"/>
              <w:bottom w:val="single" w:sz="4" w:space="0" w:color="auto"/>
              <w:right w:val="single" w:sz="4" w:space="0" w:color="auto"/>
            </w:tcBorders>
            <w:shd w:val="clear" w:color="auto" w:fill="auto"/>
            <w:noWrap/>
            <w:vAlign w:val="center"/>
            <w:hideMark/>
          </w:tcPr>
          <w:p w14:paraId="51BD82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95488952</w:t>
            </w:r>
          </w:p>
        </w:tc>
        <w:tc>
          <w:tcPr>
            <w:tcW w:w="160" w:type="dxa"/>
            <w:tcBorders>
              <w:top w:val="nil"/>
              <w:left w:val="nil"/>
              <w:bottom w:val="single" w:sz="4" w:space="0" w:color="auto"/>
              <w:right w:val="nil"/>
            </w:tcBorders>
            <w:vAlign w:val="center"/>
          </w:tcPr>
          <w:p w14:paraId="6E4A26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BC49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MLADINSKI CENTER TRBOVLJE</w:t>
            </w:r>
          </w:p>
        </w:tc>
      </w:tr>
      <w:tr w:rsidR="00072A69" w:rsidRPr="00DC6DF9" w14:paraId="47BC81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1541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797</w:t>
            </w:r>
          </w:p>
        </w:tc>
        <w:tc>
          <w:tcPr>
            <w:tcW w:w="1036" w:type="dxa"/>
            <w:tcBorders>
              <w:top w:val="nil"/>
              <w:left w:val="nil"/>
              <w:bottom w:val="single" w:sz="4" w:space="0" w:color="auto"/>
              <w:right w:val="single" w:sz="4" w:space="0" w:color="auto"/>
            </w:tcBorders>
            <w:shd w:val="clear" w:color="auto" w:fill="auto"/>
            <w:noWrap/>
            <w:vAlign w:val="center"/>
            <w:hideMark/>
          </w:tcPr>
          <w:p w14:paraId="636DCB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5057051000</w:t>
            </w:r>
          </w:p>
        </w:tc>
        <w:tc>
          <w:tcPr>
            <w:tcW w:w="1036" w:type="dxa"/>
            <w:tcBorders>
              <w:top w:val="nil"/>
              <w:left w:val="nil"/>
              <w:bottom w:val="single" w:sz="4" w:space="0" w:color="auto"/>
              <w:right w:val="single" w:sz="4" w:space="0" w:color="auto"/>
            </w:tcBorders>
            <w:shd w:val="clear" w:color="auto" w:fill="auto"/>
            <w:noWrap/>
            <w:vAlign w:val="center"/>
            <w:hideMark/>
          </w:tcPr>
          <w:p w14:paraId="0632E1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69161682</w:t>
            </w:r>
          </w:p>
        </w:tc>
        <w:tc>
          <w:tcPr>
            <w:tcW w:w="160" w:type="dxa"/>
            <w:tcBorders>
              <w:top w:val="nil"/>
              <w:left w:val="nil"/>
              <w:bottom w:val="single" w:sz="4" w:space="0" w:color="auto"/>
              <w:right w:val="nil"/>
            </w:tcBorders>
            <w:vAlign w:val="center"/>
          </w:tcPr>
          <w:p w14:paraId="68FD4F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DA3F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MLADINSKI DOM MALČI BELIČEVE LJUBLJANA</w:t>
            </w:r>
          </w:p>
        </w:tc>
      </w:tr>
      <w:tr w:rsidR="00072A69" w:rsidRPr="00DC6DF9" w14:paraId="1681A5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C42B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798</w:t>
            </w:r>
          </w:p>
        </w:tc>
        <w:tc>
          <w:tcPr>
            <w:tcW w:w="1036" w:type="dxa"/>
            <w:tcBorders>
              <w:top w:val="nil"/>
              <w:left w:val="nil"/>
              <w:bottom w:val="single" w:sz="4" w:space="0" w:color="auto"/>
              <w:right w:val="single" w:sz="4" w:space="0" w:color="auto"/>
            </w:tcBorders>
            <w:shd w:val="clear" w:color="auto" w:fill="auto"/>
            <w:noWrap/>
            <w:vAlign w:val="center"/>
            <w:hideMark/>
          </w:tcPr>
          <w:p w14:paraId="71D664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5986435000</w:t>
            </w:r>
          </w:p>
        </w:tc>
        <w:tc>
          <w:tcPr>
            <w:tcW w:w="1036" w:type="dxa"/>
            <w:tcBorders>
              <w:top w:val="nil"/>
              <w:left w:val="nil"/>
              <w:bottom w:val="single" w:sz="4" w:space="0" w:color="auto"/>
              <w:right w:val="single" w:sz="4" w:space="0" w:color="auto"/>
            </w:tcBorders>
            <w:shd w:val="clear" w:color="auto" w:fill="auto"/>
            <w:noWrap/>
            <w:vAlign w:val="center"/>
            <w:hideMark/>
          </w:tcPr>
          <w:p w14:paraId="48E841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78192072</w:t>
            </w:r>
          </w:p>
        </w:tc>
        <w:tc>
          <w:tcPr>
            <w:tcW w:w="160" w:type="dxa"/>
            <w:tcBorders>
              <w:top w:val="nil"/>
              <w:left w:val="nil"/>
              <w:bottom w:val="single" w:sz="4" w:space="0" w:color="auto"/>
              <w:right w:val="nil"/>
            </w:tcBorders>
            <w:vAlign w:val="center"/>
          </w:tcPr>
          <w:p w14:paraId="11250B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4015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MLADINSKI INFORMATIVNI IN KULTURNI KLUB MURSKA SOBOTA</w:t>
            </w:r>
          </w:p>
        </w:tc>
      </w:tr>
      <w:tr w:rsidR="00072A69" w:rsidRPr="00DC6DF9" w14:paraId="668FFA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B02E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799</w:t>
            </w:r>
          </w:p>
        </w:tc>
        <w:tc>
          <w:tcPr>
            <w:tcW w:w="1036" w:type="dxa"/>
            <w:tcBorders>
              <w:top w:val="nil"/>
              <w:left w:val="nil"/>
              <w:bottom w:val="single" w:sz="4" w:space="0" w:color="auto"/>
              <w:right w:val="single" w:sz="4" w:space="0" w:color="auto"/>
            </w:tcBorders>
            <w:shd w:val="clear" w:color="auto" w:fill="auto"/>
            <w:noWrap/>
            <w:vAlign w:val="center"/>
            <w:hideMark/>
          </w:tcPr>
          <w:p w14:paraId="2FF9A9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5821371000</w:t>
            </w:r>
          </w:p>
        </w:tc>
        <w:tc>
          <w:tcPr>
            <w:tcW w:w="1036" w:type="dxa"/>
            <w:tcBorders>
              <w:top w:val="nil"/>
              <w:left w:val="nil"/>
              <w:bottom w:val="single" w:sz="4" w:space="0" w:color="auto"/>
              <w:right w:val="single" w:sz="4" w:space="0" w:color="auto"/>
            </w:tcBorders>
            <w:shd w:val="clear" w:color="auto" w:fill="auto"/>
            <w:noWrap/>
            <w:vAlign w:val="center"/>
            <w:hideMark/>
          </w:tcPr>
          <w:p w14:paraId="17E024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32972822</w:t>
            </w:r>
          </w:p>
        </w:tc>
        <w:tc>
          <w:tcPr>
            <w:tcW w:w="160" w:type="dxa"/>
            <w:tcBorders>
              <w:top w:val="nil"/>
              <w:left w:val="nil"/>
              <w:bottom w:val="single" w:sz="4" w:space="0" w:color="auto"/>
              <w:right w:val="nil"/>
            </w:tcBorders>
            <w:vAlign w:val="center"/>
          </w:tcPr>
          <w:p w14:paraId="0CDF21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05DA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MLADINSKI KULTURNI CENTER MARIBOR</w:t>
            </w:r>
          </w:p>
        </w:tc>
      </w:tr>
      <w:tr w:rsidR="00072A69" w:rsidRPr="00DC6DF9" w14:paraId="6571AA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8D51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800</w:t>
            </w:r>
          </w:p>
        </w:tc>
        <w:tc>
          <w:tcPr>
            <w:tcW w:w="1036" w:type="dxa"/>
            <w:tcBorders>
              <w:top w:val="nil"/>
              <w:left w:val="nil"/>
              <w:bottom w:val="single" w:sz="4" w:space="0" w:color="auto"/>
              <w:right w:val="single" w:sz="4" w:space="0" w:color="auto"/>
            </w:tcBorders>
            <w:shd w:val="clear" w:color="auto" w:fill="auto"/>
            <w:noWrap/>
            <w:vAlign w:val="center"/>
            <w:hideMark/>
          </w:tcPr>
          <w:p w14:paraId="147EF1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5273943000</w:t>
            </w:r>
          </w:p>
        </w:tc>
        <w:tc>
          <w:tcPr>
            <w:tcW w:w="1036" w:type="dxa"/>
            <w:tcBorders>
              <w:top w:val="nil"/>
              <w:left w:val="nil"/>
              <w:bottom w:val="single" w:sz="4" w:space="0" w:color="auto"/>
              <w:right w:val="single" w:sz="4" w:space="0" w:color="auto"/>
            </w:tcBorders>
            <w:shd w:val="clear" w:color="auto" w:fill="auto"/>
            <w:noWrap/>
            <w:vAlign w:val="center"/>
            <w:hideMark/>
          </w:tcPr>
          <w:p w14:paraId="651411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28277678</w:t>
            </w:r>
          </w:p>
        </w:tc>
        <w:tc>
          <w:tcPr>
            <w:tcW w:w="160" w:type="dxa"/>
            <w:tcBorders>
              <w:top w:val="nil"/>
              <w:left w:val="nil"/>
              <w:bottom w:val="single" w:sz="4" w:space="0" w:color="auto"/>
              <w:right w:val="nil"/>
            </w:tcBorders>
            <w:vAlign w:val="center"/>
          </w:tcPr>
          <w:p w14:paraId="4DF128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A239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MLADINSKO KLIMATSKO ZDRAVILIŠČE RAKITNA</w:t>
            </w:r>
          </w:p>
        </w:tc>
      </w:tr>
      <w:tr w:rsidR="00072A69" w:rsidRPr="00DC6DF9" w14:paraId="3BD2E4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AEEF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801</w:t>
            </w:r>
          </w:p>
        </w:tc>
        <w:tc>
          <w:tcPr>
            <w:tcW w:w="1036" w:type="dxa"/>
            <w:tcBorders>
              <w:top w:val="nil"/>
              <w:left w:val="nil"/>
              <w:bottom w:val="single" w:sz="4" w:space="0" w:color="auto"/>
              <w:right w:val="single" w:sz="4" w:space="0" w:color="auto"/>
            </w:tcBorders>
            <w:shd w:val="clear" w:color="auto" w:fill="auto"/>
            <w:noWrap/>
            <w:vAlign w:val="center"/>
            <w:hideMark/>
          </w:tcPr>
          <w:p w14:paraId="562D4E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1970321000</w:t>
            </w:r>
          </w:p>
        </w:tc>
        <w:tc>
          <w:tcPr>
            <w:tcW w:w="1036" w:type="dxa"/>
            <w:tcBorders>
              <w:top w:val="nil"/>
              <w:left w:val="nil"/>
              <w:bottom w:val="single" w:sz="4" w:space="0" w:color="auto"/>
              <w:right w:val="single" w:sz="4" w:space="0" w:color="auto"/>
            </w:tcBorders>
            <w:shd w:val="clear" w:color="auto" w:fill="auto"/>
            <w:noWrap/>
            <w:vAlign w:val="center"/>
            <w:hideMark/>
          </w:tcPr>
          <w:p w14:paraId="231689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80310974</w:t>
            </w:r>
          </w:p>
        </w:tc>
        <w:tc>
          <w:tcPr>
            <w:tcW w:w="160" w:type="dxa"/>
            <w:tcBorders>
              <w:top w:val="nil"/>
              <w:left w:val="nil"/>
              <w:bottom w:val="single" w:sz="4" w:space="0" w:color="auto"/>
              <w:right w:val="nil"/>
            </w:tcBorders>
            <w:vAlign w:val="center"/>
          </w:tcPr>
          <w:p w14:paraId="329B627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1E4F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MOJA ENERGIJA, D. O. O. </w:t>
            </w:r>
          </w:p>
        </w:tc>
      </w:tr>
      <w:tr w:rsidR="00072A69" w:rsidRPr="00DC6DF9" w14:paraId="66243B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9C85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802</w:t>
            </w:r>
          </w:p>
        </w:tc>
        <w:tc>
          <w:tcPr>
            <w:tcW w:w="1036" w:type="dxa"/>
            <w:tcBorders>
              <w:top w:val="nil"/>
              <w:left w:val="nil"/>
              <w:bottom w:val="single" w:sz="4" w:space="0" w:color="auto"/>
              <w:right w:val="single" w:sz="4" w:space="0" w:color="auto"/>
            </w:tcBorders>
            <w:shd w:val="clear" w:color="auto" w:fill="auto"/>
            <w:noWrap/>
            <w:vAlign w:val="center"/>
            <w:hideMark/>
          </w:tcPr>
          <w:p w14:paraId="23B7EE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3716139000</w:t>
            </w:r>
          </w:p>
        </w:tc>
        <w:tc>
          <w:tcPr>
            <w:tcW w:w="1036" w:type="dxa"/>
            <w:tcBorders>
              <w:top w:val="nil"/>
              <w:left w:val="nil"/>
              <w:bottom w:val="single" w:sz="4" w:space="0" w:color="auto"/>
              <w:right w:val="single" w:sz="4" w:space="0" w:color="auto"/>
            </w:tcBorders>
            <w:shd w:val="clear" w:color="auto" w:fill="auto"/>
            <w:noWrap/>
            <w:vAlign w:val="center"/>
            <w:hideMark/>
          </w:tcPr>
          <w:p w14:paraId="6242DC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48164887</w:t>
            </w:r>
          </w:p>
        </w:tc>
        <w:tc>
          <w:tcPr>
            <w:tcW w:w="160" w:type="dxa"/>
            <w:tcBorders>
              <w:top w:val="nil"/>
              <w:left w:val="nil"/>
              <w:bottom w:val="single" w:sz="4" w:space="0" w:color="auto"/>
              <w:right w:val="nil"/>
            </w:tcBorders>
            <w:vAlign w:val="center"/>
          </w:tcPr>
          <w:p w14:paraId="3A124C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0627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MULTIMEDIJSKI CENTER VIZIJA, D. O. O.  - S.R.L.</w:t>
            </w:r>
          </w:p>
        </w:tc>
      </w:tr>
      <w:tr w:rsidR="00072A69" w:rsidRPr="00DC6DF9" w14:paraId="1729F0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17C7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803</w:t>
            </w:r>
          </w:p>
        </w:tc>
        <w:tc>
          <w:tcPr>
            <w:tcW w:w="1036" w:type="dxa"/>
            <w:tcBorders>
              <w:top w:val="nil"/>
              <w:left w:val="nil"/>
              <w:bottom w:val="single" w:sz="4" w:space="0" w:color="auto"/>
              <w:right w:val="single" w:sz="4" w:space="0" w:color="auto"/>
            </w:tcBorders>
            <w:shd w:val="clear" w:color="auto" w:fill="auto"/>
            <w:noWrap/>
            <w:vAlign w:val="center"/>
            <w:hideMark/>
          </w:tcPr>
          <w:p w14:paraId="064A55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3454428000</w:t>
            </w:r>
          </w:p>
        </w:tc>
        <w:tc>
          <w:tcPr>
            <w:tcW w:w="1036" w:type="dxa"/>
            <w:tcBorders>
              <w:top w:val="nil"/>
              <w:left w:val="nil"/>
              <w:bottom w:val="single" w:sz="4" w:space="0" w:color="auto"/>
              <w:right w:val="single" w:sz="4" w:space="0" w:color="auto"/>
            </w:tcBorders>
            <w:shd w:val="clear" w:color="auto" w:fill="auto"/>
            <w:noWrap/>
            <w:vAlign w:val="center"/>
            <w:hideMark/>
          </w:tcPr>
          <w:p w14:paraId="6CCA4B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48922366</w:t>
            </w:r>
          </w:p>
        </w:tc>
        <w:tc>
          <w:tcPr>
            <w:tcW w:w="160" w:type="dxa"/>
            <w:tcBorders>
              <w:top w:val="nil"/>
              <w:left w:val="nil"/>
              <w:bottom w:val="single" w:sz="4" w:space="0" w:color="auto"/>
              <w:right w:val="nil"/>
            </w:tcBorders>
            <w:vAlign w:val="center"/>
          </w:tcPr>
          <w:p w14:paraId="27C31A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D3EC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 IN GALERIJE MESTA LJUBLJANE</w:t>
            </w:r>
          </w:p>
        </w:tc>
      </w:tr>
      <w:tr w:rsidR="00072A69" w:rsidRPr="00DC6DF9" w14:paraId="77B515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03C1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804</w:t>
            </w:r>
          </w:p>
        </w:tc>
        <w:tc>
          <w:tcPr>
            <w:tcW w:w="1036" w:type="dxa"/>
            <w:tcBorders>
              <w:top w:val="nil"/>
              <w:left w:val="nil"/>
              <w:bottom w:val="single" w:sz="4" w:space="0" w:color="auto"/>
              <w:right w:val="single" w:sz="4" w:space="0" w:color="auto"/>
            </w:tcBorders>
            <w:shd w:val="clear" w:color="auto" w:fill="auto"/>
            <w:noWrap/>
            <w:vAlign w:val="center"/>
            <w:hideMark/>
          </w:tcPr>
          <w:p w14:paraId="0E2108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5052718000</w:t>
            </w:r>
          </w:p>
        </w:tc>
        <w:tc>
          <w:tcPr>
            <w:tcW w:w="1036" w:type="dxa"/>
            <w:tcBorders>
              <w:top w:val="nil"/>
              <w:left w:val="nil"/>
              <w:bottom w:val="single" w:sz="4" w:space="0" w:color="auto"/>
              <w:right w:val="single" w:sz="4" w:space="0" w:color="auto"/>
            </w:tcBorders>
            <w:shd w:val="clear" w:color="auto" w:fill="auto"/>
            <w:noWrap/>
            <w:vAlign w:val="center"/>
            <w:hideMark/>
          </w:tcPr>
          <w:p w14:paraId="2455F1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56772637</w:t>
            </w:r>
          </w:p>
        </w:tc>
        <w:tc>
          <w:tcPr>
            <w:tcW w:w="160" w:type="dxa"/>
            <w:tcBorders>
              <w:top w:val="nil"/>
              <w:left w:val="nil"/>
              <w:bottom w:val="single" w:sz="4" w:space="0" w:color="auto"/>
              <w:right w:val="nil"/>
            </w:tcBorders>
            <w:vAlign w:val="center"/>
          </w:tcPr>
          <w:p w14:paraId="101E4E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A937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 NARODNE OSVOBODITVE MARIBOR</w:t>
            </w:r>
          </w:p>
        </w:tc>
      </w:tr>
      <w:tr w:rsidR="00072A69" w:rsidRPr="00DC6DF9" w14:paraId="2B64289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F57D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805</w:t>
            </w:r>
          </w:p>
        </w:tc>
        <w:tc>
          <w:tcPr>
            <w:tcW w:w="1036" w:type="dxa"/>
            <w:tcBorders>
              <w:top w:val="nil"/>
              <w:left w:val="nil"/>
              <w:bottom w:val="single" w:sz="4" w:space="0" w:color="auto"/>
              <w:right w:val="single" w:sz="4" w:space="0" w:color="auto"/>
            </w:tcBorders>
            <w:shd w:val="clear" w:color="auto" w:fill="auto"/>
            <w:noWrap/>
            <w:vAlign w:val="center"/>
            <w:hideMark/>
          </w:tcPr>
          <w:p w14:paraId="7CE5E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5051843000</w:t>
            </w:r>
          </w:p>
        </w:tc>
        <w:tc>
          <w:tcPr>
            <w:tcW w:w="1036" w:type="dxa"/>
            <w:tcBorders>
              <w:top w:val="nil"/>
              <w:left w:val="nil"/>
              <w:bottom w:val="single" w:sz="4" w:space="0" w:color="auto"/>
              <w:right w:val="single" w:sz="4" w:space="0" w:color="auto"/>
            </w:tcBorders>
            <w:shd w:val="clear" w:color="auto" w:fill="auto"/>
            <w:noWrap/>
            <w:vAlign w:val="center"/>
            <w:hideMark/>
          </w:tcPr>
          <w:p w14:paraId="1A471B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55651151</w:t>
            </w:r>
          </w:p>
        </w:tc>
        <w:tc>
          <w:tcPr>
            <w:tcW w:w="160" w:type="dxa"/>
            <w:tcBorders>
              <w:top w:val="nil"/>
              <w:left w:val="nil"/>
              <w:bottom w:val="single" w:sz="4" w:space="0" w:color="auto"/>
              <w:right w:val="nil"/>
            </w:tcBorders>
            <w:vAlign w:val="center"/>
          </w:tcPr>
          <w:p w14:paraId="34EDD5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1302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 NOVEJŠE ZGODOVINE CELJE</w:t>
            </w:r>
          </w:p>
        </w:tc>
      </w:tr>
      <w:tr w:rsidR="00072A69" w:rsidRPr="00DC6DF9" w14:paraId="0447D4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7547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806</w:t>
            </w:r>
          </w:p>
        </w:tc>
        <w:tc>
          <w:tcPr>
            <w:tcW w:w="1036" w:type="dxa"/>
            <w:tcBorders>
              <w:top w:val="nil"/>
              <w:left w:val="nil"/>
              <w:bottom w:val="single" w:sz="4" w:space="0" w:color="auto"/>
              <w:right w:val="single" w:sz="4" w:space="0" w:color="auto"/>
            </w:tcBorders>
            <w:shd w:val="clear" w:color="auto" w:fill="auto"/>
            <w:noWrap/>
            <w:vAlign w:val="center"/>
            <w:hideMark/>
          </w:tcPr>
          <w:p w14:paraId="7A375C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5052084000</w:t>
            </w:r>
          </w:p>
        </w:tc>
        <w:tc>
          <w:tcPr>
            <w:tcW w:w="1036" w:type="dxa"/>
            <w:tcBorders>
              <w:top w:val="nil"/>
              <w:left w:val="nil"/>
              <w:bottom w:val="single" w:sz="4" w:space="0" w:color="auto"/>
              <w:right w:val="single" w:sz="4" w:space="0" w:color="auto"/>
            </w:tcBorders>
            <w:shd w:val="clear" w:color="auto" w:fill="auto"/>
            <w:noWrap/>
            <w:vAlign w:val="center"/>
            <w:hideMark/>
          </w:tcPr>
          <w:p w14:paraId="38D2C0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80093213</w:t>
            </w:r>
          </w:p>
        </w:tc>
        <w:tc>
          <w:tcPr>
            <w:tcW w:w="160" w:type="dxa"/>
            <w:tcBorders>
              <w:top w:val="nil"/>
              <w:left w:val="nil"/>
              <w:bottom w:val="single" w:sz="4" w:space="0" w:color="auto"/>
              <w:right w:val="nil"/>
            </w:tcBorders>
            <w:vAlign w:val="center"/>
          </w:tcPr>
          <w:p w14:paraId="08282D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6E23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 NOVEJŠE ZGODOVINE SLOVENIJE</w:t>
            </w:r>
          </w:p>
        </w:tc>
      </w:tr>
      <w:tr w:rsidR="00072A69" w:rsidRPr="00DC6DF9" w14:paraId="20B747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B9C9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807</w:t>
            </w:r>
          </w:p>
        </w:tc>
        <w:tc>
          <w:tcPr>
            <w:tcW w:w="1036" w:type="dxa"/>
            <w:tcBorders>
              <w:top w:val="nil"/>
              <w:left w:val="nil"/>
              <w:bottom w:val="single" w:sz="4" w:space="0" w:color="auto"/>
              <w:right w:val="single" w:sz="4" w:space="0" w:color="auto"/>
            </w:tcBorders>
            <w:shd w:val="clear" w:color="auto" w:fill="auto"/>
            <w:noWrap/>
            <w:vAlign w:val="center"/>
            <w:hideMark/>
          </w:tcPr>
          <w:p w14:paraId="3C7148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1899546000</w:t>
            </w:r>
          </w:p>
        </w:tc>
        <w:tc>
          <w:tcPr>
            <w:tcW w:w="1036" w:type="dxa"/>
            <w:tcBorders>
              <w:top w:val="nil"/>
              <w:left w:val="nil"/>
              <w:bottom w:val="single" w:sz="4" w:space="0" w:color="auto"/>
              <w:right w:val="single" w:sz="4" w:space="0" w:color="auto"/>
            </w:tcBorders>
            <w:shd w:val="clear" w:color="auto" w:fill="auto"/>
            <w:noWrap/>
            <w:vAlign w:val="center"/>
            <w:hideMark/>
          </w:tcPr>
          <w:p w14:paraId="60EC5C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38527383</w:t>
            </w:r>
          </w:p>
        </w:tc>
        <w:tc>
          <w:tcPr>
            <w:tcW w:w="160" w:type="dxa"/>
            <w:tcBorders>
              <w:top w:val="nil"/>
              <w:left w:val="nil"/>
              <w:bottom w:val="single" w:sz="4" w:space="0" w:color="auto"/>
              <w:right w:val="nil"/>
            </w:tcBorders>
            <w:vAlign w:val="center"/>
          </w:tcPr>
          <w:p w14:paraId="669A9B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5D77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 VELENJE</w:t>
            </w:r>
          </w:p>
        </w:tc>
      </w:tr>
      <w:tr w:rsidR="00072A69" w:rsidRPr="00DC6DF9" w14:paraId="3B4BE66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40B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808</w:t>
            </w:r>
          </w:p>
        </w:tc>
        <w:tc>
          <w:tcPr>
            <w:tcW w:w="1036" w:type="dxa"/>
            <w:tcBorders>
              <w:top w:val="nil"/>
              <w:left w:val="nil"/>
              <w:bottom w:val="single" w:sz="4" w:space="0" w:color="auto"/>
              <w:right w:val="single" w:sz="4" w:space="0" w:color="auto"/>
            </w:tcBorders>
            <w:shd w:val="clear" w:color="auto" w:fill="auto"/>
            <w:noWrap/>
            <w:vAlign w:val="center"/>
            <w:hideMark/>
          </w:tcPr>
          <w:p w14:paraId="79124F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5052106000</w:t>
            </w:r>
          </w:p>
        </w:tc>
        <w:tc>
          <w:tcPr>
            <w:tcW w:w="1036" w:type="dxa"/>
            <w:tcBorders>
              <w:top w:val="nil"/>
              <w:left w:val="nil"/>
              <w:bottom w:val="single" w:sz="4" w:space="0" w:color="auto"/>
              <w:right w:val="single" w:sz="4" w:space="0" w:color="auto"/>
            </w:tcBorders>
            <w:shd w:val="clear" w:color="auto" w:fill="auto"/>
            <w:noWrap/>
            <w:vAlign w:val="center"/>
            <w:hideMark/>
          </w:tcPr>
          <w:p w14:paraId="4E925E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14219468</w:t>
            </w:r>
          </w:p>
        </w:tc>
        <w:tc>
          <w:tcPr>
            <w:tcW w:w="160" w:type="dxa"/>
            <w:tcBorders>
              <w:top w:val="nil"/>
              <w:left w:val="nil"/>
              <w:bottom w:val="single" w:sz="4" w:space="0" w:color="auto"/>
              <w:right w:val="nil"/>
            </w:tcBorders>
            <w:vAlign w:val="center"/>
          </w:tcPr>
          <w:p w14:paraId="603839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024C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 ZA ARHITEKTURO IN OBLIKOVANJE</w:t>
            </w:r>
          </w:p>
        </w:tc>
      </w:tr>
      <w:tr w:rsidR="00072A69" w:rsidRPr="00DC6DF9" w14:paraId="3A2EA8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D293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809</w:t>
            </w:r>
          </w:p>
        </w:tc>
        <w:tc>
          <w:tcPr>
            <w:tcW w:w="1036" w:type="dxa"/>
            <w:tcBorders>
              <w:top w:val="nil"/>
              <w:left w:val="nil"/>
              <w:bottom w:val="single" w:sz="4" w:space="0" w:color="auto"/>
              <w:right w:val="single" w:sz="4" w:space="0" w:color="auto"/>
            </w:tcBorders>
            <w:shd w:val="clear" w:color="auto" w:fill="auto"/>
            <w:noWrap/>
            <w:vAlign w:val="center"/>
            <w:hideMark/>
          </w:tcPr>
          <w:p w14:paraId="4E69A5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5052840000</w:t>
            </w:r>
          </w:p>
        </w:tc>
        <w:tc>
          <w:tcPr>
            <w:tcW w:w="1036" w:type="dxa"/>
            <w:tcBorders>
              <w:top w:val="nil"/>
              <w:left w:val="nil"/>
              <w:bottom w:val="single" w:sz="4" w:space="0" w:color="auto"/>
              <w:right w:val="single" w:sz="4" w:space="0" w:color="auto"/>
            </w:tcBorders>
            <w:shd w:val="clear" w:color="auto" w:fill="auto"/>
            <w:noWrap/>
            <w:vAlign w:val="center"/>
            <w:hideMark/>
          </w:tcPr>
          <w:p w14:paraId="46101E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37713922</w:t>
            </w:r>
          </w:p>
        </w:tc>
        <w:tc>
          <w:tcPr>
            <w:tcW w:w="160" w:type="dxa"/>
            <w:tcBorders>
              <w:top w:val="nil"/>
              <w:left w:val="nil"/>
              <w:bottom w:val="single" w:sz="4" w:space="0" w:color="auto"/>
              <w:right w:val="nil"/>
            </w:tcBorders>
            <w:vAlign w:val="center"/>
          </w:tcPr>
          <w:p w14:paraId="737CD7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768D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MUZEJI RADOVLJIŠKE OBČINE</w:t>
            </w:r>
          </w:p>
        </w:tc>
      </w:tr>
      <w:tr w:rsidR="00072A69" w:rsidRPr="00DC6DF9" w14:paraId="365BDB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14E1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810</w:t>
            </w:r>
          </w:p>
        </w:tc>
        <w:tc>
          <w:tcPr>
            <w:tcW w:w="1036" w:type="dxa"/>
            <w:tcBorders>
              <w:top w:val="nil"/>
              <w:left w:val="nil"/>
              <w:bottom w:val="single" w:sz="4" w:space="0" w:color="auto"/>
              <w:right w:val="single" w:sz="4" w:space="0" w:color="auto"/>
            </w:tcBorders>
            <w:shd w:val="clear" w:color="auto" w:fill="auto"/>
            <w:noWrap/>
            <w:vAlign w:val="center"/>
            <w:hideMark/>
          </w:tcPr>
          <w:p w14:paraId="5B1F8A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3705480000</w:t>
            </w:r>
          </w:p>
        </w:tc>
        <w:tc>
          <w:tcPr>
            <w:tcW w:w="1036" w:type="dxa"/>
            <w:tcBorders>
              <w:top w:val="nil"/>
              <w:left w:val="nil"/>
              <w:bottom w:val="single" w:sz="4" w:space="0" w:color="auto"/>
              <w:right w:val="single" w:sz="4" w:space="0" w:color="auto"/>
            </w:tcBorders>
            <w:shd w:val="clear" w:color="auto" w:fill="auto"/>
            <w:noWrap/>
            <w:vAlign w:val="center"/>
            <w:hideMark/>
          </w:tcPr>
          <w:p w14:paraId="6413AA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13496140</w:t>
            </w:r>
          </w:p>
        </w:tc>
        <w:tc>
          <w:tcPr>
            <w:tcW w:w="160" w:type="dxa"/>
            <w:tcBorders>
              <w:top w:val="nil"/>
              <w:left w:val="nil"/>
              <w:bottom w:val="single" w:sz="4" w:space="0" w:color="auto"/>
              <w:right w:val="nil"/>
            </w:tcBorders>
            <w:vAlign w:val="center"/>
          </w:tcPr>
          <w:p w14:paraId="61792C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B4E2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NACIONALNA AGENCIJA REPUBLIKE SLOVENIJE ZA KAKOVOST V VISOKEM ŠOLSTVU</w:t>
            </w:r>
          </w:p>
        </w:tc>
      </w:tr>
      <w:tr w:rsidR="00072A69" w:rsidRPr="00DC6DF9" w14:paraId="6E3CC2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F24B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811</w:t>
            </w:r>
          </w:p>
        </w:tc>
        <w:tc>
          <w:tcPr>
            <w:tcW w:w="1036" w:type="dxa"/>
            <w:tcBorders>
              <w:top w:val="nil"/>
              <w:left w:val="nil"/>
              <w:bottom w:val="single" w:sz="4" w:space="0" w:color="auto"/>
              <w:right w:val="single" w:sz="4" w:space="0" w:color="auto"/>
            </w:tcBorders>
            <w:shd w:val="clear" w:color="auto" w:fill="auto"/>
            <w:noWrap/>
            <w:vAlign w:val="center"/>
            <w:hideMark/>
          </w:tcPr>
          <w:p w14:paraId="76404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5055784000</w:t>
            </w:r>
          </w:p>
        </w:tc>
        <w:tc>
          <w:tcPr>
            <w:tcW w:w="1036" w:type="dxa"/>
            <w:tcBorders>
              <w:top w:val="nil"/>
              <w:left w:val="nil"/>
              <w:bottom w:val="single" w:sz="4" w:space="0" w:color="auto"/>
              <w:right w:val="single" w:sz="4" w:space="0" w:color="auto"/>
            </w:tcBorders>
            <w:shd w:val="clear" w:color="auto" w:fill="auto"/>
            <w:noWrap/>
            <w:vAlign w:val="center"/>
            <w:hideMark/>
          </w:tcPr>
          <w:p w14:paraId="1C208E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83534784</w:t>
            </w:r>
          </w:p>
        </w:tc>
        <w:tc>
          <w:tcPr>
            <w:tcW w:w="160" w:type="dxa"/>
            <w:tcBorders>
              <w:top w:val="nil"/>
              <w:left w:val="nil"/>
              <w:bottom w:val="single" w:sz="4" w:space="0" w:color="auto"/>
              <w:right w:val="nil"/>
            </w:tcBorders>
            <w:vAlign w:val="center"/>
          </w:tcPr>
          <w:p w14:paraId="27FB11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CC6B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NACIONALNI INŠTITUT ZA BIOLOGIJO</w:t>
            </w:r>
          </w:p>
        </w:tc>
      </w:tr>
      <w:tr w:rsidR="00072A69" w:rsidRPr="00DC6DF9" w14:paraId="73DF07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1113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812</w:t>
            </w:r>
          </w:p>
        </w:tc>
        <w:tc>
          <w:tcPr>
            <w:tcW w:w="1036" w:type="dxa"/>
            <w:tcBorders>
              <w:top w:val="nil"/>
              <w:left w:val="nil"/>
              <w:bottom w:val="single" w:sz="4" w:space="0" w:color="auto"/>
              <w:right w:val="single" w:sz="4" w:space="0" w:color="auto"/>
            </w:tcBorders>
            <w:shd w:val="clear" w:color="auto" w:fill="auto"/>
            <w:noWrap/>
            <w:vAlign w:val="center"/>
            <w:hideMark/>
          </w:tcPr>
          <w:p w14:paraId="2633E8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6462642000</w:t>
            </w:r>
          </w:p>
        </w:tc>
        <w:tc>
          <w:tcPr>
            <w:tcW w:w="1036" w:type="dxa"/>
            <w:tcBorders>
              <w:top w:val="nil"/>
              <w:left w:val="nil"/>
              <w:bottom w:val="single" w:sz="4" w:space="0" w:color="auto"/>
              <w:right w:val="single" w:sz="4" w:space="0" w:color="auto"/>
            </w:tcBorders>
            <w:shd w:val="clear" w:color="auto" w:fill="auto"/>
            <w:noWrap/>
            <w:vAlign w:val="center"/>
            <w:hideMark/>
          </w:tcPr>
          <w:p w14:paraId="30738F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44724535</w:t>
            </w:r>
          </w:p>
        </w:tc>
        <w:tc>
          <w:tcPr>
            <w:tcW w:w="160" w:type="dxa"/>
            <w:tcBorders>
              <w:top w:val="nil"/>
              <w:left w:val="nil"/>
              <w:bottom w:val="single" w:sz="4" w:space="0" w:color="auto"/>
              <w:right w:val="nil"/>
            </w:tcBorders>
            <w:vAlign w:val="center"/>
          </w:tcPr>
          <w:p w14:paraId="5C5E4F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09B1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NACIONALNI INŠTITUT ZA JAVNO ZDRAVJE</w:t>
            </w:r>
          </w:p>
        </w:tc>
      </w:tr>
      <w:tr w:rsidR="00072A69" w:rsidRPr="00DC6DF9" w14:paraId="4A15D6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1E79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813</w:t>
            </w:r>
          </w:p>
        </w:tc>
        <w:tc>
          <w:tcPr>
            <w:tcW w:w="1036" w:type="dxa"/>
            <w:tcBorders>
              <w:top w:val="nil"/>
              <w:left w:val="nil"/>
              <w:bottom w:val="single" w:sz="4" w:space="0" w:color="auto"/>
              <w:right w:val="single" w:sz="4" w:space="0" w:color="auto"/>
            </w:tcBorders>
            <w:shd w:val="clear" w:color="auto" w:fill="auto"/>
            <w:noWrap/>
            <w:vAlign w:val="center"/>
            <w:hideMark/>
          </w:tcPr>
          <w:p w14:paraId="022DE6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6489087000</w:t>
            </w:r>
          </w:p>
        </w:tc>
        <w:tc>
          <w:tcPr>
            <w:tcW w:w="1036" w:type="dxa"/>
            <w:tcBorders>
              <w:top w:val="nil"/>
              <w:left w:val="nil"/>
              <w:bottom w:val="single" w:sz="4" w:space="0" w:color="auto"/>
              <w:right w:val="single" w:sz="4" w:space="0" w:color="auto"/>
            </w:tcBorders>
            <w:shd w:val="clear" w:color="auto" w:fill="auto"/>
            <w:noWrap/>
            <w:vAlign w:val="center"/>
            <w:hideMark/>
          </w:tcPr>
          <w:p w14:paraId="35E890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19651295</w:t>
            </w:r>
          </w:p>
        </w:tc>
        <w:tc>
          <w:tcPr>
            <w:tcW w:w="160" w:type="dxa"/>
            <w:tcBorders>
              <w:top w:val="nil"/>
              <w:left w:val="nil"/>
              <w:bottom w:val="single" w:sz="4" w:space="0" w:color="auto"/>
              <w:right w:val="nil"/>
            </w:tcBorders>
            <w:vAlign w:val="center"/>
          </w:tcPr>
          <w:p w14:paraId="360CD1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CC3B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NACIONALNI LABORATORIJ ZA ZDRAVJE, OKOLJE IN HRANO</w:t>
            </w:r>
          </w:p>
        </w:tc>
      </w:tr>
      <w:tr w:rsidR="00072A69" w:rsidRPr="00DC6DF9" w14:paraId="470483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DD9D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814</w:t>
            </w:r>
          </w:p>
        </w:tc>
        <w:tc>
          <w:tcPr>
            <w:tcW w:w="1036" w:type="dxa"/>
            <w:tcBorders>
              <w:top w:val="nil"/>
              <w:left w:val="nil"/>
              <w:bottom w:val="single" w:sz="4" w:space="0" w:color="auto"/>
              <w:right w:val="single" w:sz="4" w:space="0" w:color="auto"/>
            </w:tcBorders>
            <w:shd w:val="clear" w:color="auto" w:fill="auto"/>
            <w:noWrap/>
            <w:vAlign w:val="center"/>
            <w:hideMark/>
          </w:tcPr>
          <w:p w14:paraId="4AFCD2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5052076000</w:t>
            </w:r>
          </w:p>
        </w:tc>
        <w:tc>
          <w:tcPr>
            <w:tcW w:w="1036" w:type="dxa"/>
            <w:tcBorders>
              <w:top w:val="nil"/>
              <w:left w:val="nil"/>
              <w:bottom w:val="single" w:sz="4" w:space="0" w:color="auto"/>
              <w:right w:val="single" w:sz="4" w:space="0" w:color="auto"/>
            </w:tcBorders>
            <w:shd w:val="clear" w:color="auto" w:fill="auto"/>
            <w:noWrap/>
            <w:vAlign w:val="center"/>
            <w:hideMark/>
          </w:tcPr>
          <w:p w14:paraId="602F64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38676770</w:t>
            </w:r>
          </w:p>
        </w:tc>
        <w:tc>
          <w:tcPr>
            <w:tcW w:w="160" w:type="dxa"/>
            <w:tcBorders>
              <w:top w:val="nil"/>
              <w:left w:val="nil"/>
              <w:bottom w:val="single" w:sz="4" w:space="0" w:color="auto"/>
              <w:right w:val="nil"/>
            </w:tcBorders>
            <w:vAlign w:val="center"/>
          </w:tcPr>
          <w:p w14:paraId="15210A2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901F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NARODNA GALERIJA</w:t>
            </w:r>
          </w:p>
        </w:tc>
      </w:tr>
      <w:tr w:rsidR="00072A69" w:rsidRPr="00DC6DF9" w14:paraId="54D886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45F0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815</w:t>
            </w:r>
          </w:p>
        </w:tc>
        <w:tc>
          <w:tcPr>
            <w:tcW w:w="1036" w:type="dxa"/>
            <w:tcBorders>
              <w:top w:val="nil"/>
              <w:left w:val="nil"/>
              <w:bottom w:val="single" w:sz="4" w:space="0" w:color="auto"/>
              <w:right w:val="single" w:sz="4" w:space="0" w:color="auto"/>
            </w:tcBorders>
            <w:shd w:val="clear" w:color="auto" w:fill="auto"/>
            <w:noWrap/>
            <w:vAlign w:val="center"/>
            <w:hideMark/>
          </w:tcPr>
          <w:p w14:paraId="7D1A75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5056730000</w:t>
            </w:r>
          </w:p>
        </w:tc>
        <w:tc>
          <w:tcPr>
            <w:tcW w:w="1036" w:type="dxa"/>
            <w:tcBorders>
              <w:top w:val="nil"/>
              <w:left w:val="nil"/>
              <w:bottom w:val="single" w:sz="4" w:space="0" w:color="auto"/>
              <w:right w:val="single" w:sz="4" w:space="0" w:color="auto"/>
            </w:tcBorders>
            <w:shd w:val="clear" w:color="auto" w:fill="auto"/>
            <w:noWrap/>
            <w:vAlign w:val="center"/>
            <w:hideMark/>
          </w:tcPr>
          <w:p w14:paraId="7B0C94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79713513</w:t>
            </w:r>
          </w:p>
        </w:tc>
        <w:tc>
          <w:tcPr>
            <w:tcW w:w="160" w:type="dxa"/>
            <w:tcBorders>
              <w:top w:val="nil"/>
              <w:left w:val="nil"/>
              <w:bottom w:val="single" w:sz="4" w:space="0" w:color="auto"/>
              <w:right w:val="nil"/>
            </w:tcBorders>
            <w:vAlign w:val="center"/>
          </w:tcPr>
          <w:p w14:paraId="2CA2776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CADE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NARODNA IN UNIVERZITETNA KNJIŽNICA</w:t>
            </w:r>
          </w:p>
        </w:tc>
      </w:tr>
      <w:tr w:rsidR="00072A69" w:rsidRPr="00DC6DF9" w14:paraId="355E5F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BDA3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816</w:t>
            </w:r>
          </w:p>
        </w:tc>
        <w:tc>
          <w:tcPr>
            <w:tcW w:w="1036" w:type="dxa"/>
            <w:tcBorders>
              <w:top w:val="nil"/>
              <w:left w:val="nil"/>
              <w:bottom w:val="single" w:sz="4" w:space="0" w:color="auto"/>
              <w:right w:val="single" w:sz="4" w:space="0" w:color="auto"/>
            </w:tcBorders>
            <w:shd w:val="clear" w:color="auto" w:fill="auto"/>
            <w:noWrap/>
            <w:vAlign w:val="center"/>
            <w:hideMark/>
          </w:tcPr>
          <w:p w14:paraId="334541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5055482000</w:t>
            </w:r>
          </w:p>
        </w:tc>
        <w:tc>
          <w:tcPr>
            <w:tcW w:w="1036" w:type="dxa"/>
            <w:tcBorders>
              <w:top w:val="nil"/>
              <w:left w:val="nil"/>
              <w:bottom w:val="single" w:sz="4" w:space="0" w:color="auto"/>
              <w:right w:val="single" w:sz="4" w:space="0" w:color="auto"/>
            </w:tcBorders>
            <w:shd w:val="clear" w:color="auto" w:fill="auto"/>
            <w:noWrap/>
            <w:vAlign w:val="center"/>
            <w:hideMark/>
          </w:tcPr>
          <w:p w14:paraId="02F1F6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70031568</w:t>
            </w:r>
          </w:p>
        </w:tc>
        <w:tc>
          <w:tcPr>
            <w:tcW w:w="160" w:type="dxa"/>
            <w:tcBorders>
              <w:top w:val="nil"/>
              <w:left w:val="nil"/>
              <w:bottom w:val="single" w:sz="4" w:space="0" w:color="auto"/>
              <w:right w:val="nil"/>
            </w:tcBorders>
            <w:vAlign w:val="center"/>
          </w:tcPr>
          <w:p w14:paraId="178D52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A2BD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NARODNI MUZEJ SLOVENIJE</w:t>
            </w:r>
          </w:p>
        </w:tc>
      </w:tr>
      <w:tr w:rsidR="00072A69" w:rsidRPr="00DC6DF9" w14:paraId="4F4AAF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80E4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817</w:t>
            </w:r>
          </w:p>
        </w:tc>
        <w:tc>
          <w:tcPr>
            <w:tcW w:w="1036" w:type="dxa"/>
            <w:tcBorders>
              <w:top w:val="nil"/>
              <w:left w:val="nil"/>
              <w:bottom w:val="single" w:sz="4" w:space="0" w:color="auto"/>
              <w:right w:val="single" w:sz="4" w:space="0" w:color="auto"/>
            </w:tcBorders>
            <w:shd w:val="clear" w:color="auto" w:fill="auto"/>
            <w:noWrap/>
            <w:vAlign w:val="center"/>
            <w:hideMark/>
          </w:tcPr>
          <w:p w14:paraId="6BC014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1468952000</w:t>
            </w:r>
          </w:p>
        </w:tc>
        <w:tc>
          <w:tcPr>
            <w:tcW w:w="1036" w:type="dxa"/>
            <w:tcBorders>
              <w:top w:val="nil"/>
              <w:left w:val="nil"/>
              <w:bottom w:val="single" w:sz="4" w:space="0" w:color="auto"/>
              <w:right w:val="single" w:sz="4" w:space="0" w:color="auto"/>
            </w:tcBorders>
            <w:shd w:val="clear" w:color="auto" w:fill="auto"/>
            <w:noWrap/>
            <w:vAlign w:val="center"/>
            <w:hideMark/>
          </w:tcPr>
          <w:p w14:paraId="42E262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36092215</w:t>
            </w:r>
          </w:p>
        </w:tc>
        <w:tc>
          <w:tcPr>
            <w:tcW w:w="160" w:type="dxa"/>
            <w:tcBorders>
              <w:top w:val="nil"/>
              <w:left w:val="nil"/>
              <w:bottom w:val="single" w:sz="4" w:space="0" w:color="auto"/>
              <w:right w:val="nil"/>
            </w:tcBorders>
            <w:vAlign w:val="center"/>
          </w:tcPr>
          <w:p w14:paraId="01EDCE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2401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NEPREMIČNINE CELJE, D. O. O. </w:t>
            </w:r>
          </w:p>
        </w:tc>
      </w:tr>
      <w:tr w:rsidR="00072A69" w:rsidRPr="00DC6DF9" w14:paraId="2C1D96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2A01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818</w:t>
            </w:r>
          </w:p>
        </w:tc>
        <w:tc>
          <w:tcPr>
            <w:tcW w:w="1036" w:type="dxa"/>
            <w:tcBorders>
              <w:top w:val="nil"/>
              <w:left w:val="nil"/>
              <w:bottom w:val="single" w:sz="4" w:space="0" w:color="auto"/>
              <w:right w:val="single" w:sz="4" w:space="0" w:color="auto"/>
            </w:tcBorders>
            <w:shd w:val="clear" w:color="auto" w:fill="auto"/>
            <w:noWrap/>
            <w:vAlign w:val="center"/>
            <w:hideMark/>
          </w:tcPr>
          <w:p w14:paraId="09920A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5066310000</w:t>
            </w:r>
          </w:p>
        </w:tc>
        <w:tc>
          <w:tcPr>
            <w:tcW w:w="1036" w:type="dxa"/>
            <w:tcBorders>
              <w:top w:val="nil"/>
              <w:left w:val="nil"/>
              <w:bottom w:val="single" w:sz="4" w:space="0" w:color="auto"/>
              <w:right w:val="single" w:sz="4" w:space="0" w:color="auto"/>
            </w:tcBorders>
            <w:shd w:val="clear" w:color="auto" w:fill="auto"/>
            <w:noWrap/>
            <w:vAlign w:val="center"/>
            <w:hideMark/>
          </w:tcPr>
          <w:p w14:paraId="42B905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71083715</w:t>
            </w:r>
          </w:p>
        </w:tc>
        <w:tc>
          <w:tcPr>
            <w:tcW w:w="160" w:type="dxa"/>
            <w:tcBorders>
              <w:top w:val="nil"/>
              <w:left w:val="nil"/>
              <w:bottom w:val="single" w:sz="4" w:space="0" w:color="auto"/>
              <w:right w:val="nil"/>
            </w:tcBorders>
            <w:vAlign w:val="center"/>
          </w:tcPr>
          <w:p w14:paraId="4F271B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4EC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NIGRAD, D. D. </w:t>
            </w:r>
          </w:p>
        </w:tc>
      </w:tr>
      <w:tr w:rsidR="00072A69" w:rsidRPr="00DC6DF9" w14:paraId="4DF63A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314A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819</w:t>
            </w:r>
          </w:p>
        </w:tc>
        <w:tc>
          <w:tcPr>
            <w:tcW w:w="1036" w:type="dxa"/>
            <w:tcBorders>
              <w:top w:val="nil"/>
              <w:left w:val="nil"/>
              <w:bottom w:val="single" w:sz="4" w:space="0" w:color="auto"/>
              <w:right w:val="single" w:sz="4" w:space="0" w:color="auto"/>
            </w:tcBorders>
            <w:shd w:val="clear" w:color="auto" w:fill="auto"/>
            <w:noWrap/>
            <w:vAlign w:val="center"/>
            <w:hideMark/>
          </w:tcPr>
          <w:p w14:paraId="2C0A46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1840193000</w:t>
            </w:r>
          </w:p>
        </w:tc>
        <w:tc>
          <w:tcPr>
            <w:tcW w:w="1036" w:type="dxa"/>
            <w:tcBorders>
              <w:top w:val="nil"/>
              <w:left w:val="nil"/>
              <w:bottom w:val="single" w:sz="4" w:space="0" w:color="auto"/>
              <w:right w:val="single" w:sz="4" w:space="0" w:color="auto"/>
            </w:tcBorders>
            <w:shd w:val="clear" w:color="auto" w:fill="auto"/>
            <w:noWrap/>
            <w:vAlign w:val="center"/>
            <w:hideMark/>
          </w:tcPr>
          <w:p w14:paraId="213803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86615181</w:t>
            </w:r>
          </w:p>
        </w:tc>
        <w:tc>
          <w:tcPr>
            <w:tcW w:w="160" w:type="dxa"/>
            <w:tcBorders>
              <w:top w:val="nil"/>
              <w:left w:val="nil"/>
              <w:bottom w:val="single" w:sz="4" w:space="0" w:color="auto"/>
              <w:right w:val="nil"/>
            </w:tcBorders>
            <w:vAlign w:val="center"/>
          </w:tcPr>
          <w:p w14:paraId="7CE7D49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D4AC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NOTRANJSKI REGIJSKI PARK</w:t>
            </w:r>
          </w:p>
        </w:tc>
      </w:tr>
      <w:tr w:rsidR="00072A69" w:rsidRPr="00DC6DF9" w14:paraId="73A71A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4117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820</w:t>
            </w:r>
          </w:p>
        </w:tc>
        <w:tc>
          <w:tcPr>
            <w:tcW w:w="1036" w:type="dxa"/>
            <w:tcBorders>
              <w:top w:val="nil"/>
              <w:left w:val="nil"/>
              <w:bottom w:val="single" w:sz="4" w:space="0" w:color="auto"/>
              <w:right w:val="single" w:sz="4" w:space="0" w:color="auto"/>
            </w:tcBorders>
            <w:shd w:val="clear" w:color="auto" w:fill="auto"/>
            <w:noWrap/>
            <w:vAlign w:val="center"/>
            <w:hideMark/>
          </w:tcPr>
          <w:p w14:paraId="2E3560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5034345000</w:t>
            </w:r>
          </w:p>
        </w:tc>
        <w:tc>
          <w:tcPr>
            <w:tcW w:w="1036" w:type="dxa"/>
            <w:tcBorders>
              <w:top w:val="nil"/>
              <w:left w:val="nil"/>
              <w:bottom w:val="single" w:sz="4" w:space="0" w:color="auto"/>
              <w:right w:val="single" w:sz="4" w:space="0" w:color="auto"/>
            </w:tcBorders>
            <w:shd w:val="clear" w:color="auto" w:fill="auto"/>
            <w:noWrap/>
            <w:vAlign w:val="center"/>
            <w:hideMark/>
          </w:tcPr>
          <w:p w14:paraId="50C4BC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61082597</w:t>
            </w:r>
          </w:p>
        </w:tc>
        <w:tc>
          <w:tcPr>
            <w:tcW w:w="160" w:type="dxa"/>
            <w:tcBorders>
              <w:top w:val="nil"/>
              <w:left w:val="nil"/>
              <w:bottom w:val="single" w:sz="4" w:space="0" w:color="auto"/>
              <w:right w:val="nil"/>
            </w:tcBorders>
            <w:vAlign w:val="center"/>
          </w:tcPr>
          <w:p w14:paraId="267075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6423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NUKLEARNA ELEKTRARNA KRŠKO, D. O. O. </w:t>
            </w:r>
          </w:p>
        </w:tc>
      </w:tr>
      <w:tr w:rsidR="00072A69" w:rsidRPr="00DC6DF9" w14:paraId="6E03CE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A977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821</w:t>
            </w:r>
          </w:p>
        </w:tc>
        <w:tc>
          <w:tcPr>
            <w:tcW w:w="1036" w:type="dxa"/>
            <w:tcBorders>
              <w:top w:val="nil"/>
              <w:left w:val="nil"/>
              <w:bottom w:val="single" w:sz="4" w:space="0" w:color="auto"/>
              <w:right w:val="single" w:sz="4" w:space="0" w:color="auto"/>
            </w:tcBorders>
            <w:shd w:val="clear" w:color="auto" w:fill="auto"/>
            <w:noWrap/>
            <w:vAlign w:val="center"/>
            <w:hideMark/>
          </w:tcPr>
          <w:p w14:paraId="3C5A87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5062187000</w:t>
            </w:r>
          </w:p>
        </w:tc>
        <w:tc>
          <w:tcPr>
            <w:tcW w:w="1036" w:type="dxa"/>
            <w:tcBorders>
              <w:top w:val="nil"/>
              <w:left w:val="nil"/>
              <w:bottom w:val="single" w:sz="4" w:space="0" w:color="auto"/>
              <w:right w:val="single" w:sz="4" w:space="0" w:color="auto"/>
            </w:tcBorders>
            <w:shd w:val="clear" w:color="auto" w:fill="auto"/>
            <w:noWrap/>
            <w:vAlign w:val="center"/>
            <w:hideMark/>
          </w:tcPr>
          <w:p w14:paraId="78027D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74632507</w:t>
            </w:r>
          </w:p>
        </w:tc>
        <w:tc>
          <w:tcPr>
            <w:tcW w:w="160" w:type="dxa"/>
            <w:tcBorders>
              <w:top w:val="nil"/>
              <w:left w:val="nil"/>
              <w:bottom w:val="single" w:sz="4" w:space="0" w:color="auto"/>
              <w:right w:val="nil"/>
            </w:tcBorders>
            <w:vAlign w:val="center"/>
          </w:tcPr>
          <w:p w14:paraId="128947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9BC5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OBALNA GASILSKA ZVEZA KOPER</w:t>
            </w:r>
          </w:p>
        </w:tc>
      </w:tr>
      <w:tr w:rsidR="00072A69" w:rsidRPr="00DC6DF9" w14:paraId="5E7222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0BD1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822</w:t>
            </w:r>
          </w:p>
        </w:tc>
        <w:tc>
          <w:tcPr>
            <w:tcW w:w="1036" w:type="dxa"/>
            <w:tcBorders>
              <w:top w:val="nil"/>
              <w:left w:val="nil"/>
              <w:bottom w:val="single" w:sz="4" w:space="0" w:color="auto"/>
              <w:right w:val="single" w:sz="4" w:space="0" w:color="auto"/>
            </w:tcBorders>
            <w:shd w:val="clear" w:color="auto" w:fill="auto"/>
            <w:noWrap/>
            <w:vAlign w:val="center"/>
            <w:hideMark/>
          </w:tcPr>
          <w:p w14:paraId="17639A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5009227000</w:t>
            </w:r>
          </w:p>
        </w:tc>
        <w:tc>
          <w:tcPr>
            <w:tcW w:w="1036" w:type="dxa"/>
            <w:tcBorders>
              <w:top w:val="nil"/>
              <w:left w:val="nil"/>
              <w:bottom w:val="single" w:sz="4" w:space="0" w:color="auto"/>
              <w:right w:val="single" w:sz="4" w:space="0" w:color="auto"/>
            </w:tcBorders>
            <w:shd w:val="clear" w:color="auto" w:fill="auto"/>
            <w:noWrap/>
            <w:vAlign w:val="center"/>
            <w:hideMark/>
          </w:tcPr>
          <w:p w14:paraId="633128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62740997</w:t>
            </w:r>
          </w:p>
        </w:tc>
        <w:tc>
          <w:tcPr>
            <w:tcW w:w="160" w:type="dxa"/>
            <w:tcBorders>
              <w:top w:val="nil"/>
              <w:left w:val="nil"/>
              <w:bottom w:val="single" w:sz="4" w:space="0" w:color="auto"/>
              <w:right w:val="nil"/>
            </w:tcBorders>
            <w:vAlign w:val="center"/>
          </w:tcPr>
          <w:p w14:paraId="6FFAE1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B4BA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OBALNA SAMOUPRAVNA SKUPNOST ITALIJANSKE NARODNOSTI</w:t>
            </w:r>
          </w:p>
        </w:tc>
      </w:tr>
      <w:tr w:rsidR="00072A69" w:rsidRPr="00DC6DF9" w14:paraId="7025BE9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9239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823</w:t>
            </w:r>
          </w:p>
        </w:tc>
        <w:tc>
          <w:tcPr>
            <w:tcW w:w="1036" w:type="dxa"/>
            <w:tcBorders>
              <w:top w:val="nil"/>
              <w:left w:val="nil"/>
              <w:bottom w:val="single" w:sz="4" w:space="0" w:color="auto"/>
              <w:right w:val="single" w:sz="4" w:space="0" w:color="auto"/>
            </w:tcBorders>
            <w:shd w:val="clear" w:color="auto" w:fill="auto"/>
            <w:noWrap/>
            <w:vAlign w:val="center"/>
            <w:hideMark/>
          </w:tcPr>
          <w:p w14:paraId="13A27A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5053781000</w:t>
            </w:r>
          </w:p>
        </w:tc>
        <w:tc>
          <w:tcPr>
            <w:tcW w:w="1036" w:type="dxa"/>
            <w:tcBorders>
              <w:top w:val="nil"/>
              <w:left w:val="nil"/>
              <w:bottom w:val="single" w:sz="4" w:space="0" w:color="auto"/>
              <w:right w:val="single" w:sz="4" w:space="0" w:color="auto"/>
            </w:tcBorders>
            <w:shd w:val="clear" w:color="auto" w:fill="auto"/>
            <w:noWrap/>
            <w:vAlign w:val="center"/>
            <w:hideMark/>
          </w:tcPr>
          <w:p w14:paraId="5B3949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21706468</w:t>
            </w:r>
          </w:p>
        </w:tc>
        <w:tc>
          <w:tcPr>
            <w:tcW w:w="160" w:type="dxa"/>
            <w:tcBorders>
              <w:top w:val="nil"/>
              <w:left w:val="nil"/>
              <w:bottom w:val="single" w:sz="4" w:space="0" w:color="auto"/>
              <w:right w:val="nil"/>
            </w:tcBorders>
            <w:vAlign w:val="center"/>
          </w:tcPr>
          <w:p w14:paraId="3FC313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C25A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OBALNE LEKARNE KOPER</w:t>
            </w:r>
          </w:p>
        </w:tc>
      </w:tr>
      <w:tr w:rsidR="00072A69" w:rsidRPr="00DC6DF9" w14:paraId="68AD6F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0E4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824</w:t>
            </w:r>
          </w:p>
        </w:tc>
        <w:tc>
          <w:tcPr>
            <w:tcW w:w="1036" w:type="dxa"/>
            <w:tcBorders>
              <w:top w:val="nil"/>
              <w:left w:val="nil"/>
              <w:bottom w:val="single" w:sz="4" w:space="0" w:color="auto"/>
              <w:right w:val="single" w:sz="4" w:space="0" w:color="auto"/>
            </w:tcBorders>
            <w:shd w:val="clear" w:color="auto" w:fill="auto"/>
            <w:noWrap/>
            <w:vAlign w:val="center"/>
            <w:hideMark/>
          </w:tcPr>
          <w:p w14:paraId="050A10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5198917000</w:t>
            </w:r>
          </w:p>
        </w:tc>
        <w:tc>
          <w:tcPr>
            <w:tcW w:w="1036" w:type="dxa"/>
            <w:tcBorders>
              <w:top w:val="nil"/>
              <w:left w:val="nil"/>
              <w:bottom w:val="single" w:sz="4" w:space="0" w:color="auto"/>
              <w:right w:val="single" w:sz="4" w:space="0" w:color="auto"/>
            </w:tcBorders>
            <w:shd w:val="clear" w:color="auto" w:fill="auto"/>
            <w:noWrap/>
            <w:vAlign w:val="center"/>
            <w:hideMark/>
          </w:tcPr>
          <w:p w14:paraId="6E299A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57138664</w:t>
            </w:r>
          </w:p>
        </w:tc>
        <w:tc>
          <w:tcPr>
            <w:tcW w:w="160" w:type="dxa"/>
            <w:tcBorders>
              <w:top w:val="nil"/>
              <w:left w:val="nil"/>
              <w:bottom w:val="single" w:sz="4" w:space="0" w:color="auto"/>
              <w:right w:val="nil"/>
            </w:tcBorders>
            <w:vAlign w:val="center"/>
          </w:tcPr>
          <w:p w14:paraId="4D194A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43C3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OBALNI DOM UPOKOJENCEV KOPER</w:t>
            </w:r>
          </w:p>
        </w:tc>
      </w:tr>
      <w:tr w:rsidR="00072A69" w:rsidRPr="00DC6DF9" w14:paraId="3089C1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9233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825</w:t>
            </w:r>
          </w:p>
        </w:tc>
        <w:tc>
          <w:tcPr>
            <w:tcW w:w="1036" w:type="dxa"/>
            <w:tcBorders>
              <w:top w:val="nil"/>
              <w:left w:val="nil"/>
              <w:bottom w:val="single" w:sz="4" w:space="0" w:color="auto"/>
              <w:right w:val="single" w:sz="4" w:space="0" w:color="auto"/>
            </w:tcBorders>
            <w:shd w:val="clear" w:color="auto" w:fill="auto"/>
            <w:noWrap/>
            <w:vAlign w:val="center"/>
            <w:hideMark/>
          </w:tcPr>
          <w:p w14:paraId="63CBF7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5879914000</w:t>
            </w:r>
          </w:p>
        </w:tc>
        <w:tc>
          <w:tcPr>
            <w:tcW w:w="1036" w:type="dxa"/>
            <w:tcBorders>
              <w:top w:val="nil"/>
              <w:left w:val="nil"/>
              <w:bottom w:val="single" w:sz="4" w:space="0" w:color="auto"/>
              <w:right w:val="single" w:sz="4" w:space="0" w:color="auto"/>
            </w:tcBorders>
            <w:shd w:val="clear" w:color="auto" w:fill="auto"/>
            <w:noWrap/>
            <w:vAlign w:val="center"/>
            <w:hideMark/>
          </w:tcPr>
          <w:p w14:paraId="22F027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51533251</w:t>
            </w:r>
          </w:p>
        </w:tc>
        <w:tc>
          <w:tcPr>
            <w:tcW w:w="160" w:type="dxa"/>
            <w:tcBorders>
              <w:top w:val="nil"/>
              <w:left w:val="nil"/>
              <w:bottom w:val="single" w:sz="4" w:space="0" w:color="auto"/>
              <w:right w:val="nil"/>
            </w:tcBorders>
            <w:vAlign w:val="center"/>
          </w:tcPr>
          <w:p w14:paraId="722695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3CCC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AJDOVŠČINA</w:t>
            </w:r>
          </w:p>
        </w:tc>
      </w:tr>
      <w:tr w:rsidR="00072A69" w:rsidRPr="00DC6DF9" w14:paraId="350CB5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CB23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826</w:t>
            </w:r>
          </w:p>
        </w:tc>
        <w:tc>
          <w:tcPr>
            <w:tcW w:w="1036" w:type="dxa"/>
            <w:tcBorders>
              <w:top w:val="nil"/>
              <w:left w:val="nil"/>
              <w:bottom w:val="single" w:sz="4" w:space="0" w:color="auto"/>
              <w:right w:val="single" w:sz="4" w:space="0" w:color="auto"/>
            </w:tcBorders>
            <w:shd w:val="clear" w:color="auto" w:fill="auto"/>
            <w:noWrap/>
            <w:vAlign w:val="center"/>
            <w:hideMark/>
          </w:tcPr>
          <w:p w14:paraId="1F2C8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2482851000</w:t>
            </w:r>
          </w:p>
        </w:tc>
        <w:tc>
          <w:tcPr>
            <w:tcW w:w="1036" w:type="dxa"/>
            <w:tcBorders>
              <w:top w:val="nil"/>
              <w:left w:val="nil"/>
              <w:bottom w:val="single" w:sz="4" w:space="0" w:color="auto"/>
              <w:right w:val="single" w:sz="4" w:space="0" w:color="auto"/>
            </w:tcBorders>
            <w:shd w:val="clear" w:color="auto" w:fill="auto"/>
            <w:noWrap/>
            <w:vAlign w:val="center"/>
            <w:hideMark/>
          </w:tcPr>
          <w:p w14:paraId="0AB3B6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71620176</w:t>
            </w:r>
          </w:p>
        </w:tc>
        <w:tc>
          <w:tcPr>
            <w:tcW w:w="160" w:type="dxa"/>
            <w:tcBorders>
              <w:top w:val="nil"/>
              <w:left w:val="nil"/>
              <w:bottom w:val="single" w:sz="4" w:space="0" w:color="auto"/>
              <w:right w:val="nil"/>
            </w:tcBorders>
            <w:vAlign w:val="center"/>
          </w:tcPr>
          <w:p w14:paraId="2B737D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AB77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ANKARAN</w:t>
            </w:r>
          </w:p>
        </w:tc>
      </w:tr>
      <w:tr w:rsidR="00072A69" w:rsidRPr="00DC6DF9" w14:paraId="1978B8E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93BC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827</w:t>
            </w:r>
          </w:p>
        </w:tc>
        <w:tc>
          <w:tcPr>
            <w:tcW w:w="1036" w:type="dxa"/>
            <w:tcBorders>
              <w:top w:val="nil"/>
              <w:left w:val="nil"/>
              <w:bottom w:val="single" w:sz="4" w:space="0" w:color="auto"/>
              <w:right w:val="single" w:sz="4" w:space="0" w:color="auto"/>
            </w:tcBorders>
            <w:shd w:val="clear" w:color="auto" w:fill="auto"/>
            <w:noWrap/>
            <w:vAlign w:val="center"/>
            <w:hideMark/>
          </w:tcPr>
          <w:p w14:paraId="15B0E5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2215632000</w:t>
            </w:r>
          </w:p>
        </w:tc>
        <w:tc>
          <w:tcPr>
            <w:tcW w:w="1036" w:type="dxa"/>
            <w:tcBorders>
              <w:top w:val="nil"/>
              <w:left w:val="nil"/>
              <w:bottom w:val="single" w:sz="4" w:space="0" w:color="auto"/>
              <w:right w:val="single" w:sz="4" w:space="0" w:color="auto"/>
            </w:tcBorders>
            <w:shd w:val="clear" w:color="auto" w:fill="auto"/>
            <w:noWrap/>
            <w:vAlign w:val="center"/>
            <w:hideMark/>
          </w:tcPr>
          <w:p w14:paraId="3E5CD2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91194652</w:t>
            </w:r>
          </w:p>
        </w:tc>
        <w:tc>
          <w:tcPr>
            <w:tcW w:w="160" w:type="dxa"/>
            <w:tcBorders>
              <w:top w:val="nil"/>
              <w:left w:val="nil"/>
              <w:bottom w:val="single" w:sz="4" w:space="0" w:color="auto"/>
              <w:right w:val="nil"/>
            </w:tcBorders>
            <w:vAlign w:val="center"/>
          </w:tcPr>
          <w:p w14:paraId="0A0409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E223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APAČE</w:t>
            </w:r>
          </w:p>
        </w:tc>
      </w:tr>
      <w:tr w:rsidR="00072A69" w:rsidRPr="00DC6DF9" w14:paraId="274EDA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5A09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828</w:t>
            </w:r>
          </w:p>
        </w:tc>
        <w:tc>
          <w:tcPr>
            <w:tcW w:w="1036" w:type="dxa"/>
            <w:tcBorders>
              <w:top w:val="nil"/>
              <w:left w:val="nil"/>
              <w:bottom w:val="single" w:sz="4" w:space="0" w:color="auto"/>
              <w:right w:val="single" w:sz="4" w:space="0" w:color="auto"/>
            </w:tcBorders>
            <w:shd w:val="clear" w:color="auto" w:fill="auto"/>
            <w:noWrap/>
            <w:vAlign w:val="center"/>
            <w:hideMark/>
          </w:tcPr>
          <w:p w14:paraId="642770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5883016000</w:t>
            </w:r>
          </w:p>
        </w:tc>
        <w:tc>
          <w:tcPr>
            <w:tcW w:w="1036" w:type="dxa"/>
            <w:tcBorders>
              <w:top w:val="nil"/>
              <w:left w:val="nil"/>
              <w:bottom w:val="single" w:sz="4" w:space="0" w:color="auto"/>
              <w:right w:val="single" w:sz="4" w:space="0" w:color="auto"/>
            </w:tcBorders>
            <w:shd w:val="clear" w:color="auto" w:fill="auto"/>
            <w:noWrap/>
            <w:vAlign w:val="center"/>
            <w:hideMark/>
          </w:tcPr>
          <w:p w14:paraId="5816FE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39587282</w:t>
            </w:r>
          </w:p>
        </w:tc>
        <w:tc>
          <w:tcPr>
            <w:tcW w:w="160" w:type="dxa"/>
            <w:tcBorders>
              <w:top w:val="nil"/>
              <w:left w:val="nil"/>
              <w:bottom w:val="single" w:sz="4" w:space="0" w:color="auto"/>
              <w:right w:val="nil"/>
            </w:tcBorders>
            <w:vAlign w:val="center"/>
          </w:tcPr>
          <w:p w14:paraId="053C2B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7082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BELTINCI</w:t>
            </w:r>
          </w:p>
        </w:tc>
      </w:tr>
      <w:tr w:rsidR="00072A69" w:rsidRPr="00DC6DF9" w14:paraId="470DDE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1FA1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829</w:t>
            </w:r>
          </w:p>
        </w:tc>
        <w:tc>
          <w:tcPr>
            <w:tcW w:w="1036" w:type="dxa"/>
            <w:tcBorders>
              <w:top w:val="nil"/>
              <w:left w:val="nil"/>
              <w:bottom w:val="single" w:sz="4" w:space="0" w:color="auto"/>
              <w:right w:val="single" w:sz="4" w:space="0" w:color="auto"/>
            </w:tcBorders>
            <w:shd w:val="clear" w:color="auto" w:fill="auto"/>
            <w:noWrap/>
            <w:vAlign w:val="center"/>
            <w:hideMark/>
          </w:tcPr>
          <w:p w14:paraId="33792F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1332139000</w:t>
            </w:r>
          </w:p>
        </w:tc>
        <w:tc>
          <w:tcPr>
            <w:tcW w:w="1036" w:type="dxa"/>
            <w:tcBorders>
              <w:top w:val="nil"/>
              <w:left w:val="nil"/>
              <w:bottom w:val="single" w:sz="4" w:space="0" w:color="auto"/>
              <w:right w:val="single" w:sz="4" w:space="0" w:color="auto"/>
            </w:tcBorders>
            <w:shd w:val="clear" w:color="auto" w:fill="auto"/>
            <w:noWrap/>
            <w:vAlign w:val="center"/>
            <w:hideMark/>
          </w:tcPr>
          <w:p w14:paraId="4B1C23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77399935</w:t>
            </w:r>
          </w:p>
        </w:tc>
        <w:tc>
          <w:tcPr>
            <w:tcW w:w="160" w:type="dxa"/>
            <w:tcBorders>
              <w:top w:val="nil"/>
              <w:left w:val="nil"/>
              <w:bottom w:val="single" w:sz="4" w:space="0" w:color="auto"/>
              <w:right w:val="nil"/>
            </w:tcBorders>
            <w:vAlign w:val="center"/>
          </w:tcPr>
          <w:p w14:paraId="117DC4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DC86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BENEDIKT</w:t>
            </w:r>
          </w:p>
        </w:tc>
      </w:tr>
      <w:tr w:rsidR="00072A69" w:rsidRPr="00DC6DF9" w14:paraId="4FD5EE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191F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830</w:t>
            </w:r>
          </w:p>
        </w:tc>
        <w:tc>
          <w:tcPr>
            <w:tcW w:w="1036" w:type="dxa"/>
            <w:tcBorders>
              <w:top w:val="nil"/>
              <w:left w:val="nil"/>
              <w:bottom w:val="single" w:sz="4" w:space="0" w:color="auto"/>
              <w:right w:val="single" w:sz="4" w:space="0" w:color="auto"/>
            </w:tcBorders>
            <w:shd w:val="clear" w:color="auto" w:fill="auto"/>
            <w:noWrap/>
            <w:vAlign w:val="center"/>
            <w:hideMark/>
          </w:tcPr>
          <w:p w14:paraId="30D6AF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1357450000</w:t>
            </w:r>
          </w:p>
        </w:tc>
        <w:tc>
          <w:tcPr>
            <w:tcW w:w="1036" w:type="dxa"/>
            <w:tcBorders>
              <w:top w:val="nil"/>
              <w:left w:val="nil"/>
              <w:bottom w:val="single" w:sz="4" w:space="0" w:color="auto"/>
              <w:right w:val="single" w:sz="4" w:space="0" w:color="auto"/>
            </w:tcBorders>
            <w:shd w:val="clear" w:color="auto" w:fill="auto"/>
            <w:noWrap/>
            <w:vAlign w:val="center"/>
            <w:hideMark/>
          </w:tcPr>
          <w:p w14:paraId="3713B4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22562605</w:t>
            </w:r>
          </w:p>
        </w:tc>
        <w:tc>
          <w:tcPr>
            <w:tcW w:w="160" w:type="dxa"/>
            <w:tcBorders>
              <w:top w:val="nil"/>
              <w:left w:val="nil"/>
              <w:bottom w:val="single" w:sz="4" w:space="0" w:color="auto"/>
              <w:right w:val="nil"/>
            </w:tcBorders>
            <w:vAlign w:val="center"/>
          </w:tcPr>
          <w:p w14:paraId="0A1365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2677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BISTRICA OB SOTLI</w:t>
            </w:r>
          </w:p>
        </w:tc>
      </w:tr>
      <w:tr w:rsidR="00072A69" w:rsidRPr="00DC6DF9" w14:paraId="520787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30D9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831</w:t>
            </w:r>
          </w:p>
        </w:tc>
        <w:tc>
          <w:tcPr>
            <w:tcW w:w="1036" w:type="dxa"/>
            <w:tcBorders>
              <w:top w:val="nil"/>
              <w:left w:val="nil"/>
              <w:bottom w:val="single" w:sz="4" w:space="0" w:color="auto"/>
              <w:right w:val="single" w:sz="4" w:space="0" w:color="auto"/>
            </w:tcBorders>
            <w:shd w:val="clear" w:color="auto" w:fill="auto"/>
            <w:noWrap/>
            <w:vAlign w:val="center"/>
            <w:hideMark/>
          </w:tcPr>
          <w:p w14:paraId="360A63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5883539000</w:t>
            </w:r>
          </w:p>
        </w:tc>
        <w:tc>
          <w:tcPr>
            <w:tcW w:w="1036" w:type="dxa"/>
            <w:tcBorders>
              <w:top w:val="nil"/>
              <w:left w:val="nil"/>
              <w:bottom w:val="single" w:sz="4" w:space="0" w:color="auto"/>
              <w:right w:val="single" w:sz="4" w:space="0" w:color="auto"/>
            </w:tcBorders>
            <w:shd w:val="clear" w:color="auto" w:fill="auto"/>
            <w:noWrap/>
            <w:vAlign w:val="center"/>
            <w:hideMark/>
          </w:tcPr>
          <w:p w14:paraId="4789D9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75845687</w:t>
            </w:r>
          </w:p>
        </w:tc>
        <w:tc>
          <w:tcPr>
            <w:tcW w:w="160" w:type="dxa"/>
            <w:tcBorders>
              <w:top w:val="nil"/>
              <w:left w:val="nil"/>
              <w:bottom w:val="single" w:sz="4" w:space="0" w:color="auto"/>
              <w:right w:val="nil"/>
            </w:tcBorders>
            <w:vAlign w:val="center"/>
          </w:tcPr>
          <w:p w14:paraId="0E73A9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2B9B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BLED</w:t>
            </w:r>
          </w:p>
        </w:tc>
      </w:tr>
      <w:tr w:rsidR="00072A69" w:rsidRPr="00DC6DF9" w14:paraId="76E6BF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F118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832</w:t>
            </w:r>
          </w:p>
        </w:tc>
        <w:tc>
          <w:tcPr>
            <w:tcW w:w="1036" w:type="dxa"/>
            <w:tcBorders>
              <w:top w:val="nil"/>
              <w:left w:val="nil"/>
              <w:bottom w:val="single" w:sz="4" w:space="0" w:color="auto"/>
              <w:right w:val="single" w:sz="4" w:space="0" w:color="auto"/>
            </w:tcBorders>
            <w:shd w:val="clear" w:color="auto" w:fill="auto"/>
            <w:noWrap/>
            <w:vAlign w:val="center"/>
            <w:hideMark/>
          </w:tcPr>
          <w:p w14:paraId="0D4CFC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1358456000</w:t>
            </w:r>
          </w:p>
        </w:tc>
        <w:tc>
          <w:tcPr>
            <w:tcW w:w="1036" w:type="dxa"/>
            <w:tcBorders>
              <w:top w:val="nil"/>
              <w:left w:val="nil"/>
              <w:bottom w:val="single" w:sz="4" w:space="0" w:color="auto"/>
              <w:right w:val="single" w:sz="4" w:space="0" w:color="auto"/>
            </w:tcBorders>
            <w:shd w:val="clear" w:color="auto" w:fill="auto"/>
            <w:noWrap/>
            <w:vAlign w:val="center"/>
            <w:hideMark/>
          </w:tcPr>
          <w:p w14:paraId="5D84FE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47254629</w:t>
            </w:r>
          </w:p>
        </w:tc>
        <w:tc>
          <w:tcPr>
            <w:tcW w:w="160" w:type="dxa"/>
            <w:tcBorders>
              <w:top w:val="nil"/>
              <w:left w:val="nil"/>
              <w:bottom w:val="single" w:sz="4" w:space="0" w:color="auto"/>
              <w:right w:val="nil"/>
            </w:tcBorders>
            <w:vAlign w:val="center"/>
          </w:tcPr>
          <w:p w14:paraId="521947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CFD9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BLOKE</w:t>
            </w:r>
          </w:p>
        </w:tc>
      </w:tr>
      <w:tr w:rsidR="00072A69" w:rsidRPr="00DC6DF9" w14:paraId="64937B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53D3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833</w:t>
            </w:r>
          </w:p>
        </w:tc>
        <w:tc>
          <w:tcPr>
            <w:tcW w:w="1036" w:type="dxa"/>
            <w:tcBorders>
              <w:top w:val="nil"/>
              <w:left w:val="nil"/>
              <w:bottom w:val="single" w:sz="4" w:space="0" w:color="auto"/>
              <w:right w:val="single" w:sz="4" w:space="0" w:color="auto"/>
            </w:tcBorders>
            <w:shd w:val="clear" w:color="auto" w:fill="auto"/>
            <w:noWrap/>
            <w:vAlign w:val="center"/>
            <w:hideMark/>
          </w:tcPr>
          <w:p w14:paraId="63EC2B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5883415000</w:t>
            </w:r>
          </w:p>
        </w:tc>
        <w:tc>
          <w:tcPr>
            <w:tcW w:w="1036" w:type="dxa"/>
            <w:tcBorders>
              <w:top w:val="nil"/>
              <w:left w:val="nil"/>
              <w:bottom w:val="single" w:sz="4" w:space="0" w:color="auto"/>
              <w:right w:val="single" w:sz="4" w:space="0" w:color="auto"/>
            </w:tcBorders>
            <w:shd w:val="clear" w:color="auto" w:fill="auto"/>
            <w:noWrap/>
            <w:vAlign w:val="center"/>
            <w:hideMark/>
          </w:tcPr>
          <w:p w14:paraId="76403D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43302904</w:t>
            </w:r>
          </w:p>
        </w:tc>
        <w:tc>
          <w:tcPr>
            <w:tcW w:w="160" w:type="dxa"/>
            <w:tcBorders>
              <w:top w:val="nil"/>
              <w:left w:val="nil"/>
              <w:bottom w:val="single" w:sz="4" w:space="0" w:color="auto"/>
              <w:right w:val="nil"/>
            </w:tcBorders>
            <w:vAlign w:val="center"/>
          </w:tcPr>
          <w:p w14:paraId="19824D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D6AC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BOHINJ</w:t>
            </w:r>
          </w:p>
        </w:tc>
      </w:tr>
      <w:tr w:rsidR="00072A69" w:rsidRPr="00DC6DF9" w14:paraId="062D47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F915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834</w:t>
            </w:r>
          </w:p>
        </w:tc>
        <w:tc>
          <w:tcPr>
            <w:tcW w:w="1036" w:type="dxa"/>
            <w:tcBorders>
              <w:top w:val="nil"/>
              <w:left w:val="nil"/>
              <w:bottom w:val="single" w:sz="4" w:space="0" w:color="auto"/>
              <w:right w:val="single" w:sz="4" w:space="0" w:color="auto"/>
            </w:tcBorders>
            <w:shd w:val="clear" w:color="auto" w:fill="auto"/>
            <w:noWrap/>
            <w:vAlign w:val="center"/>
            <w:hideMark/>
          </w:tcPr>
          <w:p w14:paraId="56CA85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5883393000</w:t>
            </w:r>
          </w:p>
        </w:tc>
        <w:tc>
          <w:tcPr>
            <w:tcW w:w="1036" w:type="dxa"/>
            <w:tcBorders>
              <w:top w:val="nil"/>
              <w:left w:val="nil"/>
              <w:bottom w:val="single" w:sz="4" w:space="0" w:color="auto"/>
              <w:right w:val="single" w:sz="4" w:space="0" w:color="auto"/>
            </w:tcBorders>
            <w:shd w:val="clear" w:color="auto" w:fill="auto"/>
            <w:noWrap/>
            <w:vAlign w:val="center"/>
            <w:hideMark/>
          </w:tcPr>
          <w:p w14:paraId="326F80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94882134</w:t>
            </w:r>
          </w:p>
        </w:tc>
        <w:tc>
          <w:tcPr>
            <w:tcW w:w="160" w:type="dxa"/>
            <w:tcBorders>
              <w:top w:val="nil"/>
              <w:left w:val="nil"/>
              <w:bottom w:val="single" w:sz="4" w:space="0" w:color="auto"/>
              <w:right w:val="nil"/>
            </w:tcBorders>
            <w:vAlign w:val="center"/>
          </w:tcPr>
          <w:p w14:paraId="7AA1668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E7DD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BOROVNICA</w:t>
            </w:r>
          </w:p>
        </w:tc>
      </w:tr>
      <w:tr w:rsidR="00072A69" w:rsidRPr="00DC6DF9" w14:paraId="5755D4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1F71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835</w:t>
            </w:r>
          </w:p>
        </w:tc>
        <w:tc>
          <w:tcPr>
            <w:tcW w:w="1036" w:type="dxa"/>
            <w:tcBorders>
              <w:top w:val="nil"/>
              <w:left w:val="nil"/>
              <w:bottom w:val="single" w:sz="4" w:space="0" w:color="auto"/>
              <w:right w:val="single" w:sz="4" w:space="0" w:color="auto"/>
            </w:tcBorders>
            <w:shd w:val="clear" w:color="auto" w:fill="auto"/>
            <w:noWrap/>
            <w:vAlign w:val="center"/>
            <w:hideMark/>
          </w:tcPr>
          <w:p w14:paraId="5B5A9D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5881498000</w:t>
            </w:r>
          </w:p>
        </w:tc>
        <w:tc>
          <w:tcPr>
            <w:tcW w:w="1036" w:type="dxa"/>
            <w:tcBorders>
              <w:top w:val="nil"/>
              <w:left w:val="nil"/>
              <w:bottom w:val="single" w:sz="4" w:space="0" w:color="auto"/>
              <w:right w:val="single" w:sz="4" w:space="0" w:color="auto"/>
            </w:tcBorders>
            <w:shd w:val="clear" w:color="auto" w:fill="auto"/>
            <w:noWrap/>
            <w:vAlign w:val="center"/>
            <w:hideMark/>
          </w:tcPr>
          <w:p w14:paraId="3E4D82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36828866</w:t>
            </w:r>
          </w:p>
        </w:tc>
        <w:tc>
          <w:tcPr>
            <w:tcW w:w="160" w:type="dxa"/>
            <w:tcBorders>
              <w:top w:val="nil"/>
              <w:left w:val="nil"/>
              <w:bottom w:val="single" w:sz="4" w:space="0" w:color="auto"/>
              <w:right w:val="nil"/>
            </w:tcBorders>
            <w:vAlign w:val="center"/>
          </w:tcPr>
          <w:p w14:paraId="3EA55A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8BD4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BOVEC</w:t>
            </w:r>
          </w:p>
        </w:tc>
      </w:tr>
      <w:tr w:rsidR="00072A69" w:rsidRPr="00DC6DF9" w14:paraId="243B1D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C501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836</w:t>
            </w:r>
          </w:p>
        </w:tc>
        <w:tc>
          <w:tcPr>
            <w:tcW w:w="1036" w:type="dxa"/>
            <w:tcBorders>
              <w:top w:val="nil"/>
              <w:left w:val="nil"/>
              <w:bottom w:val="single" w:sz="4" w:space="0" w:color="auto"/>
              <w:right w:val="single" w:sz="4" w:space="0" w:color="auto"/>
            </w:tcBorders>
            <w:shd w:val="clear" w:color="auto" w:fill="auto"/>
            <w:noWrap/>
            <w:vAlign w:val="center"/>
            <w:hideMark/>
          </w:tcPr>
          <w:p w14:paraId="2ADDE3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1357557000</w:t>
            </w:r>
          </w:p>
        </w:tc>
        <w:tc>
          <w:tcPr>
            <w:tcW w:w="1036" w:type="dxa"/>
            <w:tcBorders>
              <w:top w:val="nil"/>
              <w:left w:val="nil"/>
              <w:bottom w:val="single" w:sz="4" w:space="0" w:color="auto"/>
              <w:right w:val="single" w:sz="4" w:space="0" w:color="auto"/>
            </w:tcBorders>
            <w:shd w:val="clear" w:color="auto" w:fill="auto"/>
            <w:noWrap/>
            <w:vAlign w:val="center"/>
            <w:hideMark/>
          </w:tcPr>
          <w:p w14:paraId="1D6F57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49877445</w:t>
            </w:r>
          </w:p>
        </w:tc>
        <w:tc>
          <w:tcPr>
            <w:tcW w:w="160" w:type="dxa"/>
            <w:tcBorders>
              <w:top w:val="nil"/>
              <w:left w:val="nil"/>
              <w:bottom w:val="single" w:sz="4" w:space="0" w:color="auto"/>
              <w:right w:val="nil"/>
            </w:tcBorders>
            <w:vAlign w:val="center"/>
          </w:tcPr>
          <w:p w14:paraId="53756F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4940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BRASLOVČE</w:t>
            </w:r>
          </w:p>
        </w:tc>
      </w:tr>
      <w:tr w:rsidR="00072A69" w:rsidRPr="00DC6DF9" w14:paraId="3A7140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E887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837</w:t>
            </w:r>
          </w:p>
        </w:tc>
        <w:tc>
          <w:tcPr>
            <w:tcW w:w="1036" w:type="dxa"/>
            <w:tcBorders>
              <w:top w:val="nil"/>
              <w:left w:val="nil"/>
              <w:bottom w:val="single" w:sz="4" w:space="0" w:color="auto"/>
              <w:right w:val="single" w:sz="4" w:space="0" w:color="auto"/>
            </w:tcBorders>
            <w:shd w:val="clear" w:color="auto" w:fill="auto"/>
            <w:noWrap/>
            <w:vAlign w:val="center"/>
            <w:hideMark/>
          </w:tcPr>
          <w:p w14:paraId="159100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5881781000</w:t>
            </w:r>
          </w:p>
        </w:tc>
        <w:tc>
          <w:tcPr>
            <w:tcW w:w="1036" w:type="dxa"/>
            <w:tcBorders>
              <w:top w:val="nil"/>
              <w:left w:val="nil"/>
              <w:bottom w:val="single" w:sz="4" w:space="0" w:color="auto"/>
              <w:right w:val="single" w:sz="4" w:space="0" w:color="auto"/>
            </w:tcBorders>
            <w:shd w:val="clear" w:color="auto" w:fill="auto"/>
            <w:noWrap/>
            <w:vAlign w:val="center"/>
            <w:hideMark/>
          </w:tcPr>
          <w:p w14:paraId="76C23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58633391</w:t>
            </w:r>
          </w:p>
        </w:tc>
        <w:tc>
          <w:tcPr>
            <w:tcW w:w="160" w:type="dxa"/>
            <w:tcBorders>
              <w:top w:val="nil"/>
              <w:left w:val="nil"/>
              <w:bottom w:val="single" w:sz="4" w:space="0" w:color="auto"/>
              <w:right w:val="nil"/>
            </w:tcBorders>
            <w:vAlign w:val="center"/>
          </w:tcPr>
          <w:p w14:paraId="136B53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628A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BRDA</w:t>
            </w:r>
          </w:p>
        </w:tc>
      </w:tr>
      <w:tr w:rsidR="00072A69" w:rsidRPr="00DC6DF9" w14:paraId="472CD6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C98E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838</w:t>
            </w:r>
          </w:p>
        </w:tc>
        <w:tc>
          <w:tcPr>
            <w:tcW w:w="1036" w:type="dxa"/>
            <w:tcBorders>
              <w:top w:val="nil"/>
              <w:left w:val="nil"/>
              <w:bottom w:val="single" w:sz="4" w:space="0" w:color="auto"/>
              <w:right w:val="single" w:sz="4" w:space="0" w:color="auto"/>
            </w:tcBorders>
            <w:shd w:val="clear" w:color="auto" w:fill="auto"/>
            <w:noWrap/>
            <w:vAlign w:val="center"/>
            <w:hideMark/>
          </w:tcPr>
          <w:p w14:paraId="405D29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5874971000</w:t>
            </w:r>
          </w:p>
        </w:tc>
        <w:tc>
          <w:tcPr>
            <w:tcW w:w="1036" w:type="dxa"/>
            <w:tcBorders>
              <w:top w:val="nil"/>
              <w:left w:val="nil"/>
              <w:bottom w:val="single" w:sz="4" w:space="0" w:color="auto"/>
              <w:right w:val="single" w:sz="4" w:space="0" w:color="auto"/>
            </w:tcBorders>
            <w:shd w:val="clear" w:color="auto" w:fill="auto"/>
            <w:noWrap/>
            <w:vAlign w:val="center"/>
            <w:hideMark/>
          </w:tcPr>
          <w:p w14:paraId="5111CE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10773703</w:t>
            </w:r>
          </w:p>
        </w:tc>
        <w:tc>
          <w:tcPr>
            <w:tcW w:w="160" w:type="dxa"/>
            <w:tcBorders>
              <w:top w:val="nil"/>
              <w:left w:val="nil"/>
              <w:bottom w:val="single" w:sz="4" w:space="0" w:color="auto"/>
              <w:right w:val="nil"/>
            </w:tcBorders>
            <w:vAlign w:val="center"/>
          </w:tcPr>
          <w:p w14:paraId="332F41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0147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BREZOVICA</w:t>
            </w:r>
          </w:p>
        </w:tc>
      </w:tr>
      <w:tr w:rsidR="00072A69" w:rsidRPr="00DC6DF9" w14:paraId="558E48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2127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839</w:t>
            </w:r>
          </w:p>
        </w:tc>
        <w:tc>
          <w:tcPr>
            <w:tcW w:w="1036" w:type="dxa"/>
            <w:tcBorders>
              <w:top w:val="nil"/>
              <w:left w:val="nil"/>
              <w:bottom w:val="single" w:sz="4" w:space="0" w:color="auto"/>
              <w:right w:val="single" w:sz="4" w:space="0" w:color="auto"/>
            </w:tcBorders>
            <w:shd w:val="clear" w:color="auto" w:fill="auto"/>
            <w:noWrap/>
            <w:vAlign w:val="center"/>
            <w:hideMark/>
          </w:tcPr>
          <w:p w14:paraId="78E712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5880173000</w:t>
            </w:r>
          </w:p>
        </w:tc>
        <w:tc>
          <w:tcPr>
            <w:tcW w:w="1036" w:type="dxa"/>
            <w:tcBorders>
              <w:top w:val="nil"/>
              <w:left w:val="nil"/>
              <w:bottom w:val="single" w:sz="4" w:space="0" w:color="auto"/>
              <w:right w:val="single" w:sz="4" w:space="0" w:color="auto"/>
            </w:tcBorders>
            <w:shd w:val="clear" w:color="auto" w:fill="auto"/>
            <w:noWrap/>
            <w:vAlign w:val="center"/>
            <w:hideMark/>
          </w:tcPr>
          <w:p w14:paraId="53B6E5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34944745</w:t>
            </w:r>
          </w:p>
        </w:tc>
        <w:tc>
          <w:tcPr>
            <w:tcW w:w="160" w:type="dxa"/>
            <w:tcBorders>
              <w:top w:val="nil"/>
              <w:left w:val="nil"/>
              <w:bottom w:val="single" w:sz="4" w:space="0" w:color="auto"/>
              <w:right w:val="nil"/>
            </w:tcBorders>
            <w:vAlign w:val="center"/>
          </w:tcPr>
          <w:p w14:paraId="2A84AB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AB88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BREŽICE</w:t>
            </w:r>
          </w:p>
        </w:tc>
      </w:tr>
      <w:tr w:rsidR="00072A69" w:rsidRPr="00DC6DF9" w14:paraId="148342D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7062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840</w:t>
            </w:r>
          </w:p>
        </w:tc>
        <w:tc>
          <w:tcPr>
            <w:tcW w:w="1036" w:type="dxa"/>
            <w:tcBorders>
              <w:top w:val="nil"/>
              <w:left w:val="nil"/>
              <w:bottom w:val="single" w:sz="4" w:space="0" w:color="auto"/>
              <w:right w:val="single" w:sz="4" w:space="0" w:color="auto"/>
            </w:tcBorders>
            <w:shd w:val="clear" w:color="auto" w:fill="auto"/>
            <w:noWrap/>
            <w:vAlign w:val="center"/>
            <w:hideMark/>
          </w:tcPr>
          <w:p w14:paraId="4871B3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1365789000</w:t>
            </w:r>
          </w:p>
        </w:tc>
        <w:tc>
          <w:tcPr>
            <w:tcW w:w="1036" w:type="dxa"/>
            <w:tcBorders>
              <w:top w:val="nil"/>
              <w:left w:val="nil"/>
              <w:bottom w:val="single" w:sz="4" w:space="0" w:color="auto"/>
              <w:right w:val="single" w:sz="4" w:space="0" w:color="auto"/>
            </w:tcBorders>
            <w:shd w:val="clear" w:color="auto" w:fill="auto"/>
            <w:noWrap/>
            <w:vAlign w:val="center"/>
            <w:hideMark/>
          </w:tcPr>
          <w:p w14:paraId="4CED02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96320923</w:t>
            </w:r>
          </w:p>
        </w:tc>
        <w:tc>
          <w:tcPr>
            <w:tcW w:w="160" w:type="dxa"/>
            <w:tcBorders>
              <w:top w:val="nil"/>
              <w:left w:val="nil"/>
              <w:bottom w:val="single" w:sz="4" w:space="0" w:color="auto"/>
              <w:right w:val="nil"/>
            </w:tcBorders>
            <w:vAlign w:val="center"/>
          </w:tcPr>
          <w:p w14:paraId="3B850FB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B889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CANKOVA</w:t>
            </w:r>
          </w:p>
        </w:tc>
      </w:tr>
      <w:tr w:rsidR="00072A69" w:rsidRPr="00DC6DF9" w14:paraId="27F313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A81B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841</w:t>
            </w:r>
          </w:p>
        </w:tc>
        <w:tc>
          <w:tcPr>
            <w:tcW w:w="1036" w:type="dxa"/>
            <w:tcBorders>
              <w:top w:val="nil"/>
              <w:left w:val="nil"/>
              <w:bottom w:val="single" w:sz="4" w:space="0" w:color="auto"/>
              <w:right w:val="single" w:sz="4" w:space="0" w:color="auto"/>
            </w:tcBorders>
            <w:shd w:val="clear" w:color="auto" w:fill="auto"/>
            <w:noWrap/>
            <w:vAlign w:val="center"/>
            <w:hideMark/>
          </w:tcPr>
          <w:p w14:paraId="6E4638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5874670000</w:t>
            </w:r>
          </w:p>
        </w:tc>
        <w:tc>
          <w:tcPr>
            <w:tcW w:w="1036" w:type="dxa"/>
            <w:tcBorders>
              <w:top w:val="nil"/>
              <w:left w:val="nil"/>
              <w:bottom w:val="single" w:sz="4" w:space="0" w:color="auto"/>
              <w:right w:val="single" w:sz="4" w:space="0" w:color="auto"/>
            </w:tcBorders>
            <w:shd w:val="clear" w:color="auto" w:fill="auto"/>
            <w:noWrap/>
            <w:vAlign w:val="center"/>
            <w:hideMark/>
          </w:tcPr>
          <w:p w14:paraId="17021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14251086</w:t>
            </w:r>
          </w:p>
        </w:tc>
        <w:tc>
          <w:tcPr>
            <w:tcW w:w="160" w:type="dxa"/>
            <w:tcBorders>
              <w:top w:val="nil"/>
              <w:left w:val="nil"/>
              <w:bottom w:val="single" w:sz="4" w:space="0" w:color="auto"/>
              <w:right w:val="nil"/>
            </w:tcBorders>
            <w:vAlign w:val="center"/>
          </w:tcPr>
          <w:p w14:paraId="470B92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0B56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CERKLJE NA GORENJSKEM</w:t>
            </w:r>
          </w:p>
        </w:tc>
      </w:tr>
      <w:tr w:rsidR="00072A69" w:rsidRPr="00DC6DF9" w14:paraId="75C0C3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4FC4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842</w:t>
            </w:r>
          </w:p>
        </w:tc>
        <w:tc>
          <w:tcPr>
            <w:tcW w:w="1036" w:type="dxa"/>
            <w:tcBorders>
              <w:top w:val="nil"/>
              <w:left w:val="nil"/>
              <w:bottom w:val="single" w:sz="4" w:space="0" w:color="auto"/>
              <w:right w:val="single" w:sz="4" w:space="0" w:color="auto"/>
            </w:tcBorders>
            <w:shd w:val="clear" w:color="auto" w:fill="auto"/>
            <w:noWrap/>
            <w:vAlign w:val="center"/>
            <w:hideMark/>
          </w:tcPr>
          <w:p w14:paraId="16243B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5880157000</w:t>
            </w:r>
          </w:p>
        </w:tc>
        <w:tc>
          <w:tcPr>
            <w:tcW w:w="1036" w:type="dxa"/>
            <w:tcBorders>
              <w:top w:val="nil"/>
              <w:left w:val="nil"/>
              <w:bottom w:val="single" w:sz="4" w:space="0" w:color="auto"/>
              <w:right w:val="single" w:sz="4" w:space="0" w:color="auto"/>
            </w:tcBorders>
            <w:shd w:val="clear" w:color="auto" w:fill="auto"/>
            <w:noWrap/>
            <w:vAlign w:val="center"/>
            <w:hideMark/>
          </w:tcPr>
          <w:p w14:paraId="06FED3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72799595</w:t>
            </w:r>
          </w:p>
        </w:tc>
        <w:tc>
          <w:tcPr>
            <w:tcW w:w="160" w:type="dxa"/>
            <w:tcBorders>
              <w:top w:val="nil"/>
              <w:left w:val="nil"/>
              <w:bottom w:val="single" w:sz="4" w:space="0" w:color="auto"/>
              <w:right w:val="nil"/>
            </w:tcBorders>
            <w:vAlign w:val="center"/>
          </w:tcPr>
          <w:p w14:paraId="78FB87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92FB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CERKNICA</w:t>
            </w:r>
          </w:p>
        </w:tc>
      </w:tr>
      <w:tr w:rsidR="00072A69" w:rsidRPr="00DC6DF9" w14:paraId="6686D0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067A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843</w:t>
            </w:r>
          </w:p>
        </w:tc>
        <w:tc>
          <w:tcPr>
            <w:tcW w:w="1036" w:type="dxa"/>
            <w:tcBorders>
              <w:top w:val="nil"/>
              <w:left w:val="nil"/>
              <w:bottom w:val="single" w:sz="4" w:space="0" w:color="auto"/>
              <w:right w:val="single" w:sz="4" w:space="0" w:color="auto"/>
            </w:tcBorders>
            <w:shd w:val="clear" w:color="auto" w:fill="auto"/>
            <w:noWrap/>
            <w:vAlign w:val="center"/>
            <w:hideMark/>
          </w:tcPr>
          <w:p w14:paraId="3689BE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5880076000</w:t>
            </w:r>
          </w:p>
        </w:tc>
        <w:tc>
          <w:tcPr>
            <w:tcW w:w="1036" w:type="dxa"/>
            <w:tcBorders>
              <w:top w:val="nil"/>
              <w:left w:val="nil"/>
              <w:bottom w:val="single" w:sz="4" w:space="0" w:color="auto"/>
              <w:right w:val="single" w:sz="4" w:space="0" w:color="auto"/>
            </w:tcBorders>
            <w:shd w:val="clear" w:color="auto" w:fill="auto"/>
            <w:noWrap/>
            <w:vAlign w:val="center"/>
            <w:hideMark/>
          </w:tcPr>
          <w:p w14:paraId="5D5B50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54677696</w:t>
            </w:r>
          </w:p>
        </w:tc>
        <w:tc>
          <w:tcPr>
            <w:tcW w:w="160" w:type="dxa"/>
            <w:tcBorders>
              <w:top w:val="nil"/>
              <w:left w:val="nil"/>
              <w:bottom w:val="single" w:sz="4" w:space="0" w:color="auto"/>
              <w:right w:val="nil"/>
            </w:tcBorders>
            <w:vAlign w:val="center"/>
          </w:tcPr>
          <w:p w14:paraId="13342C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93C2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CERKNO</w:t>
            </w:r>
          </w:p>
        </w:tc>
      </w:tr>
      <w:tr w:rsidR="00072A69" w:rsidRPr="00DC6DF9" w14:paraId="25FF134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FD39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844</w:t>
            </w:r>
          </w:p>
        </w:tc>
        <w:tc>
          <w:tcPr>
            <w:tcW w:w="1036" w:type="dxa"/>
            <w:tcBorders>
              <w:top w:val="nil"/>
              <w:left w:val="nil"/>
              <w:bottom w:val="single" w:sz="4" w:space="0" w:color="auto"/>
              <w:right w:val="single" w:sz="4" w:space="0" w:color="auto"/>
            </w:tcBorders>
            <w:shd w:val="clear" w:color="auto" w:fill="auto"/>
            <w:noWrap/>
            <w:vAlign w:val="center"/>
            <w:hideMark/>
          </w:tcPr>
          <w:p w14:paraId="7991CF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1332066000</w:t>
            </w:r>
          </w:p>
        </w:tc>
        <w:tc>
          <w:tcPr>
            <w:tcW w:w="1036" w:type="dxa"/>
            <w:tcBorders>
              <w:top w:val="nil"/>
              <w:left w:val="nil"/>
              <w:bottom w:val="single" w:sz="4" w:space="0" w:color="auto"/>
              <w:right w:val="single" w:sz="4" w:space="0" w:color="auto"/>
            </w:tcBorders>
            <w:shd w:val="clear" w:color="auto" w:fill="auto"/>
            <w:noWrap/>
            <w:vAlign w:val="center"/>
            <w:hideMark/>
          </w:tcPr>
          <w:p w14:paraId="69D778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78110475</w:t>
            </w:r>
          </w:p>
        </w:tc>
        <w:tc>
          <w:tcPr>
            <w:tcW w:w="160" w:type="dxa"/>
            <w:tcBorders>
              <w:top w:val="nil"/>
              <w:left w:val="nil"/>
              <w:bottom w:val="single" w:sz="4" w:space="0" w:color="auto"/>
              <w:right w:val="nil"/>
            </w:tcBorders>
            <w:vAlign w:val="center"/>
          </w:tcPr>
          <w:p w14:paraId="0A32FFA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877E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CERKVENJAK</w:t>
            </w:r>
          </w:p>
        </w:tc>
      </w:tr>
      <w:tr w:rsidR="00072A69" w:rsidRPr="00DC6DF9" w14:paraId="376090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9464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845</w:t>
            </w:r>
          </w:p>
        </w:tc>
        <w:tc>
          <w:tcPr>
            <w:tcW w:w="1036" w:type="dxa"/>
            <w:tcBorders>
              <w:top w:val="nil"/>
              <w:left w:val="nil"/>
              <w:bottom w:val="single" w:sz="4" w:space="0" w:color="auto"/>
              <w:right w:val="single" w:sz="4" w:space="0" w:color="auto"/>
            </w:tcBorders>
            <w:shd w:val="clear" w:color="auto" w:fill="auto"/>
            <w:noWrap/>
            <w:vAlign w:val="center"/>
            <w:hideMark/>
          </w:tcPr>
          <w:p w14:paraId="68D553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2242770000</w:t>
            </w:r>
          </w:p>
        </w:tc>
        <w:tc>
          <w:tcPr>
            <w:tcW w:w="1036" w:type="dxa"/>
            <w:tcBorders>
              <w:top w:val="nil"/>
              <w:left w:val="nil"/>
              <w:bottom w:val="single" w:sz="4" w:space="0" w:color="auto"/>
              <w:right w:val="single" w:sz="4" w:space="0" w:color="auto"/>
            </w:tcBorders>
            <w:shd w:val="clear" w:color="auto" w:fill="auto"/>
            <w:noWrap/>
            <w:vAlign w:val="center"/>
            <w:hideMark/>
          </w:tcPr>
          <w:p w14:paraId="5AED1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52739813</w:t>
            </w:r>
          </w:p>
        </w:tc>
        <w:tc>
          <w:tcPr>
            <w:tcW w:w="160" w:type="dxa"/>
            <w:tcBorders>
              <w:top w:val="nil"/>
              <w:left w:val="nil"/>
              <w:bottom w:val="single" w:sz="4" w:space="0" w:color="auto"/>
              <w:right w:val="nil"/>
            </w:tcBorders>
            <w:vAlign w:val="center"/>
          </w:tcPr>
          <w:p w14:paraId="540366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7C44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CIRKULANE</w:t>
            </w:r>
          </w:p>
        </w:tc>
      </w:tr>
      <w:tr w:rsidR="00072A69" w:rsidRPr="00DC6DF9" w14:paraId="055E55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A1CA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846</w:t>
            </w:r>
          </w:p>
        </w:tc>
        <w:tc>
          <w:tcPr>
            <w:tcW w:w="1036" w:type="dxa"/>
            <w:tcBorders>
              <w:top w:val="nil"/>
              <w:left w:val="nil"/>
              <w:bottom w:val="single" w:sz="4" w:space="0" w:color="auto"/>
              <w:right w:val="single" w:sz="4" w:space="0" w:color="auto"/>
            </w:tcBorders>
            <w:shd w:val="clear" w:color="auto" w:fill="auto"/>
            <w:noWrap/>
            <w:vAlign w:val="center"/>
            <w:hideMark/>
          </w:tcPr>
          <w:p w14:paraId="6FF27D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5874726000</w:t>
            </w:r>
          </w:p>
        </w:tc>
        <w:tc>
          <w:tcPr>
            <w:tcW w:w="1036" w:type="dxa"/>
            <w:tcBorders>
              <w:top w:val="nil"/>
              <w:left w:val="nil"/>
              <w:bottom w:val="single" w:sz="4" w:space="0" w:color="auto"/>
              <w:right w:val="single" w:sz="4" w:space="0" w:color="auto"/>
            </w:tcBorders>
            <w:shd w:val="clear" w:color="auto" w:fill="auto"/>
            <w:noWrap/>
            <w:vAlign w:val="center"/>
            <w:hideMark/>
          </w:tcPr>
          <w:p w14:paraId="44C19E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23656484</w:t>
            </w:r>
          </w:p>
        </w:tc>
        <w:tc>
          <w:tcPr>
            <w:tcW w:w="160" w:type="dxa"/>
            <w:tcBorders>
              <w:top w:val="nil"/>
              <w:left w:val="nil"/>
              <w:bottom w:val="single" w:sz="4" w:space="0" w:color="auto"/>
              <w:right w:val="nil"/>
            </w:tcBorders>
            <w:vAlign w:val="center"/>
          </w:tcPr>
          <w:p w14:paraId="52F221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FE06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ČRENŠOVCI</w:t>
            </w:r>
          </w:p>
        </w:tc>
      </w:tr>
      <w:tr w:rsidR="00072A69" w:rsidRPr="00DC6DF9" w14:paraId="4D0EB6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0C71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847</w:t>
            </w:r>
          </w:p>
        </w:tc>
        <w:tc>
          <w:tcPr>
            <w:tcW w:w="1036" w:type="dxa"/>
            <w:tcBorders>
              <w:top w:val="nil"/>
              <w:left w:val="nil"/>
              <w:bottom w:val="single" w:sz="4" w:space="0" w:color="auto"/>
              <w:right w:val="single" w:sz="4" w:space="0" w:color="auto"/>
            </w:tcBorders>
            <w:shd w:val="clear" w:color="auto" w:fill="auto"/>
            <w:noWrap/>
            <w:vAlign w:val="center"/>
            <w:hideMark/>
          </w:tcPr>
          <w:p w14:paraId="6B71EC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5883679000</w:t>
            </w:r>
          </w:p>
        </w:tc>
        <w:tc>
          <w:tcPr>
            <w:tcW w:w="1036" w:type="dxa"/>
            <w:tcBorders>
              <w:top w:val="nil"/>
              <w:left w:val="nil"/>
              <w:bottom w:val="single" w:sz="4" w:space="0" w:color="auto"/>
              <w:right w:val="single" w:sz="4" w:space="0" w:color="auto"/>
            </w:tcBorders>
            <w:shd w:val="clear" w:color="auto" w:fill="auto"/>
            <w:noWrap/>
            <w:vAlign w:val="center"/>
            <w:hideMark/>
          </w:tcPr>
          <w:p w14:paraId="0C81AE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44743548</w:t>
            </w:r>
          </w:p>
        </w:tc>
        <w:tc>
          <w:tcPr>
            <w:tcW w:w="160" w:type="dxa"/>
            <w:tcBorders>
              <w:top w:val="nil"/>
              <w:left w:val="nil"/>
              <w:bottom w:val="single" w:sz="4" w:space="0" w:color="auto"/>
              <w:right w:val="nil"/>
            </w:tcBorders>
            <w:vAlign w:val="center"/>
          </w:tcPr>
          <w:p w14:paraId="66045E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A460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ČRNA NA KOROŠKEM</w:t>
            </w:r>
          </w:p>
        </w:tc>
      </w:tr>
      <w:tr w:rsidR="00072A69" w:rsidRPr="00DC6DF9" w14:paraId="654703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7088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848</w:t>
            </w:r>
          </w:p>
        </w:tc>
        <w:tc>
          <w:tcPr>
            <w:tcW w:w="1036" w:type="dxa"/>
            <w:tcBorders>
              <w:top w:val="nil"/>
              <w:left w:val="nil"/>
              <w:bottom w:val="single" w:sz="4" w:space="0" w:color="auto"/>
              <w:right w:val="single" w:sz="4" w:space="0" w:color="auto"/>
            </w:tcBorders>
            <w:shd w:val="clear" w:color="auto" w:fill="auto"/>
            <w:noWrap/>
            <w:vAlign w:val="center"/>
            <w:hideMark/>
          </w:tcPr>
          <w:p w14:paraId="203795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5880254000</w:t>
            </w:r>
          </w:p>
        </w:tc>
        <w:tc>
          <w:tcPr>
            <w:tcW w:w="1036" w:type="dxa"/>
            <w:tcBorders>
              <w:top w:val="nil"/>
              <w:left w:val="nil"/>
              <w:bottom w:val="single" w:sz="4" w:space="0" w:color="auto"/>
              <w:right w:val="single" w:sz="4" w:space="0" w:color="auto"/>
            </w:tcBorders>
            <w:shd w:val="clear" w:color="auto" w:fill="auto"/>
            <w:noWrap/>
            <w:vAlign w:val="center"/>
            <w:hideMark/>
          </w:tcPr>
          <w:p w14:paraId="0F7BEF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83111697</w:t>
            </w:r>
          </w:p>
        </w:tc>
        <w:tc>
          <w:tcPr>
            <w:tcW w:w="160" w:type="dxa"/>
            <w:tcBorders>
              <w:top w:val="nil"/>
              <w:left w:val="nil"/>
              <w:bottom w:val="single" w:sz="4" w:space="0" w:color="auto"/>
              <w:right w:val="nil"/>
            </w:tcBorders>
            <w:vAlign w:val="center"/>
          </w:tcPr>
          <w:p w14:paraId="209D54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B087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ČRNOMELJ</w:t>
            </w:r>
          </w:p>
        </w:tc>
      </w:tr>
      <w:tr w:rsidR="00072A69" w:rsidRPr="00DC6DF9" w14:paraId="129E8C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6344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849</w:t>
            </w:r>
          </w:p>
        </w:tc>
        <w:tc>
          <w:tcPr>
            <w:tcW w:w="1036" w:type="dxa"/>
            <w:tcBorders>
              <w:top w:val="nil"/>
              <w:left w:val="nil"/>
              <w:bottom w:val="single" w:sz="4" w:space="0" w:color="auto"/>
              <w:right w:val="single" w:sz="4" w:space="0" w:color="auto"/>
            </w:tcBorders>
            <w:shd w:val="clear" w:color="auto" w:fill="auto"/>
            <w:noWrap/>
            <w:vAlign w:val="center"/>
            <w:hideMark/>
          </w:tcPr>
          <w:p w14:paraId="2B535C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5882966000</w:t>
            </w:r>
          </w:p>
        </w:tc>
        <w:tc>
          <w:tcPr>
            <w:tcW w:w="1036" w:type="dxa"/>
            <w:tcBorders>
              <w:top w:val="nil"/>
              <w:left w:val="nil"/>
              <w:bottom w:val="single" w:sz="4" w:space="0" w:color="auto"/>
              <w:right w:val="single" w:sz="4" w:space="0" w:color="auto"/>
            </w:tcBorders>
            <w:shd w:val="clear" w:color="auto" w:fill="auto"/>
            <w:noWrap/>
            <w:vAlign w:val="center"/>
            <w:hideMark/>
          </w:tcPr>
          <w:p w14:paraId="380A56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76286193</w:t>
            </w:r>
          </w:p>
        </w:tc>
        <w:tc>
          <w:tcPr>
            <w:tcW w:w="160" w:type="dxa"/>
            <w:tcBorders>
              <w:top w:val="nil"/>
              <w:left w:val="nil"/>
              <w:bottom w:val="single" w:sz="4" w:space="0" w:color="auto"/>
              <w:right w:val="nil"/>
            </w:tcBorders>
            <w:vAlign w:val="center"/>
          </w:tcPr>
          <w:p w14:paraId="7FB04D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96A0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DESTRNIK</w:t>
            </w:r>
          </w:p>
        </w:tc>
      </w:tr>
      <w:tr w:rsidR="00072A69" w:rsidRPr="00DC6DF9" w14:paraId="40F1D6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8B5A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850</w:t>
            </w:r>
          </w:p>
        </w:tc>
        <w:tc>
          <w:tcPr>
            <w:tcW w:w="1036" w:type="dxa"/>
            <w:tcBorders>
              <w:top w:val="nil"/>
              <w:left w:val="nil"/>
              <w:bottom w:val="single" w:sz="4" w:space="0" w:color="auto"/>
              <w:right w:val="single" w:sz="4" w:space="0" w:color="auto"/>
            </w:tcBorders>
            <w:shd w:val="clear" w:color="auto" w:fill="auto"/>
            <w:noWrap/>
            <w:vAlign w:val="center"/>
            <w:hideMark/>
          </w:tcPr>
          <w:p w14:paraId="682740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5882974000</w:t>
            </w:r>
          </w:p>
        </w:tc>
        <w:tc>
          <w:tcPr>
            <w:tcW w:w="1036" w:type="dxa"/>
            <w:tcBorders>
              <w:top w:val="nil"/>
              <w:left w:val="nil"/>
              <w:bottom w:val="single" w:sz="4" w:space="0" w:color="auto"/>
              <w:right w:val="single" w:sz="4" w:space="0" w:color="auto"/>
            </w:tcBorders>
            <w:shd w:val="clear" w:color="auto" w:fill="auto"/>
            <w:noWrap/>
            <w:vAlign w:val="center"/>
            <w:hideMark/>
          </w:tcPr>
          <w:p w14:paraId="44D949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48502502</w:t>
            </w:r>
          </w:p>
        </w:tc>
        <w:tc>
          <w:tcPr>
            <w:tcW w:w="160" w:type="dxa"/>
            <w:tcBorders>
              <w:top w:val="nil"/>
              <w:left w:val="nil"/>
              <w:bottom w:val="single" w:sz="4" w:space="0" w:color="auto"/>
              <w:right w:val="nil"/>
            </w:tcBorders>
            <w:vAlign w:val="center"/>
          </w:tcPr>
          <w:p w14:paraId="5EEDE9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2726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DIVAČA</w:t>
            </w:r>
          </w:p>
        </w:tc>
      </w:tr>
      <w:tr w:rsidR="00072A69" w:rsidRPr="00DC6DF9" w14:paraId="554179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AED6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851</w:t>
            </w:r>
          </w:p>
        </w:tc>
        <w:tc>
          <w:tcPr>
            <w:tcW w:w="1036" w:type="dxa"/>
            <w:tcBorders>
              <w:top w:val="nil"/>
              <w:left w:val="nil"/>
              <w:bottom w:val="single" w:sz="4" w:space="0" w:color="auto"/>
              <w:right w:val="single" w:sz="4" w:space="0" w:color="auto"/>
            </w:tcBorders>
            <w:shd w:val="clear" w:color="auto" w:fill="auto"/>
            <w:noWrap/>
            <w:vAlign w:val="center"/>
            <w:hideMark/>
          </w:tcPr>
          <w:p w14:paraId="06592B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1357409000</w:t>
            </w:r>
          </w:p>
        </w:tc>
        <w:tc>
          <w:tcPr>
            <w:tcW w:w="1036" w:type="dxa"/>
            <w:tcBorders>
              <w:top w:val="nil"/>
              <w:left w:val="nil"/>
              <w:bottom w:val="single" w:sz="4" w:space="0" w:color="auto"/>
              <w:right w:val="single" w:sz="4" w:space="0" w:color="auto"/>
            </w:tcBorders>
            <w:shd w:val="clear" w:color="auto" w:fill="auto"/>
            <w:noWrap/>
            <w:vAlign w:val="center"/>
            <w:hideMark/>
          </w:tcPr>
          <w:p w14:paraId="25EEFE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22084665</w:t>
            </w:r>
          </w:p>
        </w:tc>
        <w:tc>
          <w:tcPr>
            <w:tcW w:w="160" w:type="dxa"/>
            <w:tcBorders>
              <w:top w:val="nil"/>
              <w:left w:val="nil"/>
              <w:bottom w:val="single" w:sz="4" w:space="0" w:color="auto"/>
              <w:right w:val="nil"/>
            </w:tcBorders>
            <w:vAlign w:val="center"/>
          </w:tcPr>
          <w:p w14:paraId="5C97C1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ED0E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DOBJE</w:t>
            </w:r>
          </w:p>
        </w:tc>
      </w:tr>
      <w:tr w:rsidR="00072A69" w:rsidRPr="00DC6DF9" w14:paraId="03245F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D7FB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852</w:t>
            </w:r>
          </w:p>
        </w:tc>
        <w:tc>
          <w:tcPr>
            <w:tcW w:w="1036" w:type="dxa"/>
            <w:tcBorders>
              <w:top w:val="nil"/>
              <w:left w:val="nil"/>
              <w:bottom w:val="single" w:sz="4" w:space="0" w:color="auto"/>
              <w:right w:val="single" w:sz="4" w:space="0" w:color="auto"/>
            </w:tcBorders>
            <w:shd w:val="clear" w:color="auto" w:fill="auto"/>
            <w:noWrap/>
            <w:vAlign w:val="center"/>
            <w:hideMark/>
          </w:tcPr>
          <w:p w14:paraId="37E2FB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5886252000</w:t>
            </w:r>
          </w:p>
        </w:tc>
        <w:tc>
          <w:tcPr>
            <w:tcW w:w="1036" w:type="dxa"/>
            <w:tcBorders>
              <w:top w:val="nil"/>
              <w:left w:val="nil"/>
              <w:bottom w:val="single" w:sz="4" w:space="0" w:color="auto"/>
              <w:right w:val="single" w:sz="4" w:space="0" w:color="auto"/>
            </w:tcBorders>
            <w:shd w:val="clear" w:color="auto" w:fill="auto"/>
            <w:noWrap/>
            <w:vAlign w:val="center"/>
            <w:hideMark/>
          </w:tcPr>
          <w:p w14:paraId="19E880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57506396</w:t>
            </w:r>
          </w:p>
        </w:tc>
        <w:tc>
          <w:tcPr>
            <w:tcW w:w="160" w:type="dxa"/>
            <w:tcBorders>
              <w:top w:val="nil"/>
              <w:left w:val="nil"/>
              <w:bottom w:val="single" w:sz="4" w:space="0" w:color="auto"/>
              <w:right w:val="nil"/>
            </w:tcBorders>
            <w:vAlign w:val="center"/>
          </w:tcPr>
          <w:p w14:paraId="0791E0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654C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DOBREPOLJE</w:t>
            </w:r>
          </w:p>
        </w:tc>
      </w:tr>
      <w:tr w:rsidR="00072A69" w:rsidRPr="00DC6DF9" w14:paraId="12DB0E2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6044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853</w:t>
            </w:r>
          </w:p>
        </w:tc>
        <w:tc>
          <w:tcPr>
            <w:tcW w:w="1036" w:type="dxa"/>
            <w:tcBorders>
              <w:top w:val="nil"/>
              <w:left w:val="nil"/>
              <w:bottom w:val="single" w:sz="4" w:space="0" w:color="auto"/>
              <w:right w:val="single" w:sz="4" w:space="0" w:color="auto"/>
            </w:tcBorders>
            <w:shd w:val="clear" w:color="auto" w:fill="auto"/>
            <w:noWrap/>
            <w:vAlign w:val="center"/>
            <w:hideMark/>
          </w:tcPr>
          <w:p w14:paraId="7930E9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1358570000</w:t>
            </w:r>
          </w:p>
        </w:tc>
        <w:tc>
          <w:tcPr>
            <w:tcW w:w="1036" w:type="dxa"/>
            <w:tcBorders>
              <w:top w:val="nil"/>
              <w:left w:val="nil"/>
              <w:bottom w:val="single" w:sz="4" w:space="0" w:color="auto"/>
              <w:right w:val="single" w:sz="4" w:space="0" w:color="auto"/>
            </w:tcBorders>
            <w:shd w:val="clear" w:color="auto" w:fill="auto"/>
            <w:noWrap/>
            <w:vAlign w:val="center"/>
            <w:hideMark/>
          </w:tcPr>
          <w:p w14:paraId="646FCB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71772626</w:t>
            </w:r>
          </w:p>
        </w:tc>
        <w:tc>
          <w:tcPr>
            <w:tcW w:w="160" w:type="dxa"/>
            <w:tcBorders>
              <w:top w:val="nil"/>
              <w:left w:val="nil"/>
              <w:bottom w:val="single" w:sz="4" w:space="0" w:color="auto"/>
              <w:right w:val="nil"/>
            </w:tcBorders>
            <w:vAlign w:val="center"/>
          </w:tcPr>
          <w:p w14:paraId="2FEA7C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AA71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DOBRNA</w:t>
            </w:r>
          </w:p>
        </w:tc>
      </w:tr>
      <w:tr w:rsidR="00072A69" w:rsidRPr="00DC6DF9" w14:paraId="2CB12C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BA86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854</w:t>
            </w:r>
          </w:p>
        </w:tc>
        <w:tc>
          <w:tcPr>
            <w:tcW w:w="1036" w:type="dxa"/>
            <w:tcBorders>
              <w:top w:val="nil"/>
              <w:left w:val="nil"/>
              <w:bottom w:val="single" w:sz="4" w:space="0" w:color="auto"/>
              <w:right w:val="single" w:sz="4" w:space="0" w:color="auto"/>
            </w:tcBorders>
            <w:shd w:val="clear" w:color="auto" w:fill="auto"/>
            <w:noWrap/>
            <w:vAlign w:val="center"/>
            <w:hideMark/>
          </w:tcPr>
          <w:p w14:paraId="26B918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5874998000</w:t>
            </w:r>
          </w:p>
        </w:tc>
        <w:tc>
          <w:tcPr>
            <w:tcW w:w="1036" w:type="dxa"/>
            <w:tcBorders>
              <w:top w:val="nil"/>
              <w:left w:val="nil"/>
              <w:bottom w:val="single" w:sz="4" w:space="0" w:color="auto"/>
              <w:right w:val="single" w:sz="4" w:space="0" w:color="auto"/>
            </w:tcBorders>
            <w:shd w:val="clear" w:color="auto" w:fill="auto"/>
            <w:noWrap/>
            <w:vAlign w:val="center"/>
            <w:hideMark/>
          </w:tcPr>
          <w:p w14:paraId="25DD7A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91166004</w:t>
            </w:r>
          </w:p>
        </w:tc>
        <w:tc>
          <w:tcPr>
            <w:tcW w:w="160" w:type="dxa"/>
            <w:tcBorders>
              <w:top w:val="nil"/>
              <w:left w:val="nil"/>
              <w:bottom w:val="single" w:sz="4" w:space="0" w:color="auto"/>
              <w:right w:val="nil"/>
            </w:tcBorders>
            <w:vAlign w:val="center"/>
          </w:tcPr>
          <w:p w14:paraId="3CB631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8D52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DOBROVA-POLHOV GRADEC</w:t>
            </w:r>
          </w:p>
        </w:tc>
      </w:tr>
      <w:tr w:rsidR="00072A69" w:rsidRPr="00DC6DF9" w14:paraId="474B98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FD40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855</w:t>
            </w:r>
          </w:p>
        </w:tc>
        <w:tc>
          <w:tcPr>
            <w:tcW w:w="1036" w:type="dxa"/>
            <w:tcBorders>
              <w:top w:val="nil"/>
              <w:left w:val="nil"/>
              <w:bottom w:val="single" w:sz="4" w:space="0" w:color="auto"/>
              <w:right w:val="single" w:sz="4" w:space="0" w:color="auto"/>
            </w:tcBorders>
            <w:shd w:val="clear" w:color="auto" w:fill="auto"/>
            <w:noWrap/>
            <w:vAlign w:val="center"/>
            <w:hideMark/>
          </w:tcPr>
          <w:p w14:paraId="458EB7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1332198000</w:t>
            </w:r>
          </w:p>
        </w:tc>
        <w:tc>
          <w:tcPr>
            <w:tcW w:w="1036" w:type="dxa"/>
            <w:tcBorders>
              <w:top w:val="nil"/>
              <w:left w:val="nil"/>
              <w:bottom w:val="single" w:sz="4" w:space="0" w:color="auto"/>
              <w:right w:val="single" w:sz="4" w:space="0" w:color="auto"/>
            </w:tcBorders>
            <w:shd w:val="clear" w:color="auto" w:fill="auto"/>
            <w:noWrap/>
            <w:vAlign w:val="center"/>
            <w:hideMark/>
          </w:tcPr>
          <w:p w14:paraId="0F11F5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72637706</w:t>
            </w:r>
          </w:p>
        </w:tc>
        <w:tc>
          <w:tcPr>
            <w:tcW w:w="160" w:type="dxa"/>
            <w:tcBorders>
              <w:top w:val="nil"/>
              <w:left w:val="nil"/>
              <w:bottom w:val="single" w:sz="4" w:space="0" w:color="auto"/>
              <w:right w:val="nil"/>
            </w:tcBorders>
            <w:vAlign w:val="center"/>
          </w:tcPr>
          <w:p w14:paraId="3F05C4B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5783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DOBROVNIK</w:t>
            </w:r>
          </w:p>
        </w:tc>
      </w:tr>
      <w:tr w:rsidR="00072A69" w:rsidRPr="00DC6DF9" w14:paraId="5AE62D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1C2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856</w:t>
            </w:r>
          </w:p>
        </w:tc>
        <w:tc>
          <w:tcPr>
            <w:tcW w:w="1036" w:type="dxa"/>
            <w:tcBorders>
              <w:top w:val="nil"/>
              <w:left w:val="nil"/>
              <w:bottom w:val="single" w:sz="4" w:space="0" w:color="auto"/>
              <w:right w:val="single" w:sz="4" w:space="0" w:color="auto"/>
            </w:tcBorders>
            <w:shd w:val="clear" w:color="auto" w:fill="auto"/>
            <w:noWrap/>
            <w:vAlign w:val="center"/>
            <w:hideMark/>
          </w:tcPr>
          <w:p w14:paraId="6453D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5874173000</w:t>
            </w:r>
          </w:p>
        </w:tc>
        <w:tc>
          <w:tcPr>
            <w:tcW w:w="1036" w:type="dxa"/>
            <w:tcBorders>
              <w:top w:val="nil"/>
              <w:left w:val="nil"/>
              <w:bottom w:val="single" w:sz="4" w:space="0" w:color="auto"/>
              <w:right w:val="single" w:sz="4" w:space="0" w:color="auto"/>
            </w:tcBorders>
            <w:shd w:val="clear" w:color="auto" w:fill="auto"/>
            <w:noWrap/>
            <w:vAlign w:val="center"/>
            <w:hideMark/>
          </w:tcPr>
          <w:p w14:paraId="7EAEEB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81226748</w:t>
            </w:r>
          </w:p>
        </w:tc>
        <w:tc>
          <w:tcPr>
            <w:tcW w:w="160" w:type="dxa"/>
            <w:tcBorders>
              <w:top w:val="nil"/>
              <w:left w:val="nil"/>
              <w:bottom w:val="single" w:sz="4" w:space="0" w:color="auto"/>
              <w:right w:val="nil"/>
            </w:tcBorders>
            <w:vAlign w:val="center"/>
          </w:tcPr>
          <w:p w14:paraId="179EF3A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F69C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DOL PRI LJUBLJANI</w:t>
            </w:r>
          </w:p>
        </w:tc>
      </w:tr>
      <w:tr w:rsidR="00072A69" w:rsidRPr="00DC6DF9" w14:paraId="5E16FC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7178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857</w:t>
            </w:r>
          </w:p>
        </w:tc>
        <w:tc>
          <w:tcPr>
            <w:tcW w:w="1036" w:type="dxa"/>
            <w:tcBorders>
              <w:top w:val="nil"/>
              <w:left w:val="nil"/>
              <w:bottom w:val="single" w:sz="4" w:space="0" w:color="auto"/>
              <w:right w:val="single" w:sz="4" w:space="0" w:color="auto"/>
            </w:tcBorders>
            <w:shd w:val="clear" w:color="auto" w:fill="auto"/>
            <w:noWrap/>
            <w:vAlign w:val="center"/>
            <w:hideMark/>
          </w:tcPr>
          <w:p w14:paraId="5B398E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1365720000</w:t>
            </w:r>
          </w:p>
        </w:tc>
        <w:tc>
          <w:tcPr>
            <w:tcW w:w="1036" w:type="dxa"/>
            <w:tcBorders>
              <w:top w:val="nil"/>
              <w:left w:val="nil"/>
              <w:bottom w:val="single" w:sz="4" w:space="0" w:color="auto"/>
              <w:right w:val="single" w:sz="4" w:space="0" w:color="auto"/>
            </w:tcBorders>
            <w:shd w:val="clear" w:color="auto" w:fill="auto"/>
            <w:noWrap/>
            <w:vAlign w:val="center"/>
            <w:hideMark/>
          </w:tcPr>
          <w:p w14:paraId="4A13A2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29941318</w:t>
            </w:r>
          </w:p>
        </w:tc>
        <w:tc>
          <w:tcPr>
            <w:tcW w:w="160" w:type="dxa"/>
            <w:tcBorders>
              <w:top w:val="nil"/>
              <w:left w:val="nil"/>
              <w:bottom w:val="single" w:sz="4" w:space="0" w:color="auto"/>
              <w:right w:val="nil"/>
            </w:tcBorders>
            <w:vAlign w:val="center"/>
          </w:tcPr>
          <w:p w14:paraId="6E5EC2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4675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DOLENJSKE TOPLICE</w:t>
            </w:r>
          </w:p>
        </w:tc>
      </w:tr>
      <w:tr w:rsidR="00072A69" w:rsidRPr="00DC6DF9" w14:paraId="38D06F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F018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858</w:t>
            </w:r>
          </w:p>
        </w:tc>
        <w:tc>
          <w:tcPr>
            <w:tcW w:w="1036" w:type="dxa"/>
            <w:tcBorders>
              <w:top w:val="nil"/>
              <w:left w:val="nil"/>
              <w:bottom w:val="single" w:sz="4" w:space="0" w:color="auto"/>
              <w:right w:val="single" w:sz="4" w:space="0" w:color="auto"/>
            </w:tcBorders>
            <w:shd w:val="clear" w:color="auto" w:fill="auto"/>
            <w:noWrap/>
            <w:vAlign w:val="center"/>
            <w:hideMark/>
          </w:tcPr>
          <w:p w14:paraId="3FF670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5880513000</w:t>
            </w:r>
          </w:p>
        </w:tc>
        <w:tc>
          <w:tcPr>
            <w:tcW w:w="1036" w:type="dxa"/>
            <w:tcBorders>
              <w:top w:val="nil"/>
              <w:left w:val="nil"/>
              <w:bottom w:val="single" w:sz="4" w:space="0" w:color="auto"/>
              <w:right w:val="single" w:sz="4" w:space="0" w:color="auto"/>
            </w:tcBorders>
            <w:shd w:val="clear" w:color="auto" w:fill="auto"/>
            <w:noWrap/>
            <w:vAlign w:val="center"/>
            <w:hideMark/>
          </w:tcPr>
          <w:p w14:paraId="6C49F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62862006</w:t>
            </w:r>
          </w:p>
        </w:tc>
        <w:tc>
          <w:tcPr>
            <w:tcW w:w="160" w:type="dxa"/>
            <w:tcBorders>
              <w:top w:val="nil"/>
              <w:left w:val="nil"/>
              <w:bottom w:val="single" w:sz="4" w:space="0" w:color="auto"/>
              <w:right w:val="nil"/>
            </w:tcBorders>
            <w:vAlign w:val="center"/>
          </w:tcPr>
          <w:p w14:paraId="6D2DB2B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2E00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DOMŽALE</w:t>
            </w:r>
          </w:p>
        </w:tc>
      </w:tr>
      <w:tr w:rsidR="00072A69" w:rsidRPr="00DC6DF9" w14:paraId="210D7FD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602B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859</w:t>
            </w:r>
          </w:p>
        </w:tc>
        <w:tc>
          <w:tcPr>
            <w:tcW w:w="1036" w:type="dxa"/>
            <w:tcBorders>
              <w:top w:val="nil"/>
              <w:left w:val="nil"/>
              <w:bottom w:val="single" w:sz="4" w:space="0" w:color="auto"/>
              <w:right w:val="single" w:sz="4" w:space="0" w:color="auto"/>
            </w:tcBorders>
            <w:shd w:val="clear" w:color="auto" w:fill="auto"/>
            <w:noWrap/>
            <w:vAlign w:val="center"/>
            <w:hideMark/>
          </w:tcPr>
          <w:p w14:paraId="177A72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5884039000</w:t>
            </w:r>
          </w:p>
        </w:tc>
        <w:tc>
          <w:tcPr>
            <w:tcW w:w="1036" w:type="dxa"/>
            <w:tcBorders>
              <w:top w:val="nil"/>
              <w:left w:val="nil"/>
              <w:bottom w:val="single" w:sz="4" w:space="0" w:color="auto"/>
              <w:right w:val="single" w:sz="4" w:space="0" w:color="auto"/>
            </w:tcBorders>
            <w:shd w:val="clear" w:color="auto" w:fill="auto"/>
            <w:noWrap/>
            <w:vAlign w:val="center"/>
            <w:hideMark/>
          </w:tcPr>
          <w:p w14:paraId="4F86D8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44295839</w:t>
            </w:r>
          </w:p>
        </w:tc>
        <w:tc>
          <w:tcPr>
            <w:tcW w:w="160" w:type="dxa"/>
            <w:tcBorders>
              <w:top w:val="nil"/>
              <w:left w:val="nil"/>
              <w:bottom w:val="single" w:sz="4" w:space="0" w:color="auto"/>
              <w:right w:val="nil"/>
            </w:tcBorders>
            <w:vAlign w:val="center"/>
          </w:tcPr>
          <w:p w14:paraId="03386E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EB04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DORNAVA</w:t>
            </w:r>
          </w:p>
        </w:tc>
      </w:tr>
      <w:tr w:rsidR="00072A69" w:rsidRPr="00DC6DF9" w14:paraId="4984736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EDF4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860</w:t>
            </w:r>
          </w:p>
        </w:tc>
        <w:tc>
          <w:tcPr>
            <w:tcW w:w="1036" w:type="dxa"/>
            <w:tcBorders>
              <w:top w:val="nil"/>
              <w:left w:val="nil"/>
              <w:bottom w:val="single" w:sz="4" w:space="0" w:color="auto"/>
              <w:right w:val="single" w:sz="4" w:space="0" w:color="auto"/>
            </w:tcBorders>
            <w:shd w:val="clear" w:color="auto" w:fill="auto"/>
            <w:noWrap/>
            <w:vAlign w:val="center"/>
            <w:hideMark/>
          </w:tcPr>
          <w:p w14:paraId="4CCFA8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5880351000</w:t>
            </w:r>
          </w:p>
        </w:tc>
        <w:tc>
          <w:tcPr>
            <w:tcW w:w="1036" w:type="dxa"/>
            <w:tcBorders>
              <w:top w:val="nil"/>
              <w:left w:val="nil"/>
              <w:bottom w:val="single" w:sz="4" w:space="0" w:color="auto"/>
              <w:right w:val="single" w:sz="4" w:space="0" w:color="auto"/>
            </w:tcBorders>
            <w:shd w:val="clear" w:color="auto" w:fill="auto"/>
            <w:noWrap/>
            <w:vAlign w:val="center"/>
            <w:hideMark/>
          </w:tcPr>
          <w:p w14:paraId="5581E2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47554851</w:t>
            </w:r>
          </w:p>
        </w:tc>
        <w:tc>
          <w:tcPr>
            <w:tcW w:w="160" w:type="dxa"/>
            <w:tcBorders>
              <w:top w:val="nil"/>
              <w:left w:val="nil"/>
              <w:bottom w:val="single" w:sz="4" w:space="0" w:color="auto"/>
              <w:right w:val="nil"/>
            </w:tcBorders>
            <w:vAlign w:val="center"/>
          </w:tcPr>
          <w:p w14:paraId="72E286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4913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DRAVOGRAD</w:t>
            </w:r>
          </w:p>
        </w:tc>
      </w:tr>
      <w:tr w:rsidR="00072A69" w:rsidRPr="00DC6DF9" w14:paraId="5EAD49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4BAF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861</w:t>
            </w:r>
          </w:p>
        </w:tc>
        <w:tc>
          <w:tcPr>
            <w:tcW w:w="1036" w:type="dxa"/>
            <w:tcBorders>
              <w:top w:val="nil"/>
              <w:left w:val="nil"/>
              <w:bottom w:val="single" w:sz="4" w:space="0" w:color="auto"/>
              <w:right w:val="single" w:sz="4" w:space="0" w:color="auto"/>
            </w:tcBorders>
            <w:shd w:val="clear" w:color="auto" w:fill="auto"/>
            <w:noWrap/>
            <w:vAlign w:val="center"/>
            <w:hideMark/>
          </w:tcPr>
          <w:p w14:paraId="6790EC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5883300000</w:t>
            </w:r>
          </w:p>
        </w:tc>
        <w:tc>
          <w:tcPr>
            <w:tcW w:w="1036" w:type="dxa"/>
            <w:tcBorders>
              <w:top w:val="nil"/>
              <w:left w:val="nil"/>
              <w:bottom w:val="single" w:sz="4" w:space="0" w:color="auto"/>
              <w:right w:val="single" w:sz="4" w:space="0" w:color="auto"/>
            </w:tcBorders>
            <w:shd w:val="clear" w:color="auto" w:fill="auto"/>
            <w:noWrap/>
            <w:vAlign w:val="center"/>
            <w:hideMark/>
          </w:tcPr>
          <w:p w14:paraId="3DE0CC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41316819</w:t>
            </w:r>
          </w:p>
        </w:tc>
        <w:tc>
          <w:tcPr>
            <w:tcW w:w="160" w:type="dxa"/>
            <w:tcBorders>
              <w:top w:val="nil"/>
              <w:left w:val="nil"/>
              <w:bottom w:val="single" w:sz="4" w:space="0" w:color="auto"/>
              <w:right w:val="nil"/>
            </w:tcBorders>
            <w:vAlign w:val="center"/>
          </w:tcPr>
          <w:p w14:paraId="7405B68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3783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DUPLEK</w:t>
            </w:r>
          </w:p>
        </w:tc>
      </w:tr>
      <w:tr w:rsidR="00072A69" w:rsidRPr="00DC6DF9" w14:paraId="753AFE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DFD6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862</w:t>
            </w:r>
          </w:p>
        </w:tc>
        <w:tc>
          <w:tcPr>
            <w:tcW w:w="1036" w:type="dxa"/>
            <w:tcBorders>
              <w:top w:val="nil"/>
              <w:left w:val="nil"/>
              <w:bottom w:val="single" w:sz="4" w:space="0" w:color="auto"/>
              <w:right w:val="single" w:sz="4" w:space="0" w:color="auto"/>
            </w:tcBorders>
            <w:shd w:val="clear" w:color="auto" w:fill="auto"/>
            <w:noWrap/>
            <w:vAlign w:val="center"/>
            <w:hideMark/>
          </w:tcPr>
          <w:p w14:paraId="7E3C38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5883261000</w:t>
            </w:r>
          </w:p>
        </w:tc>
        <w:tc>
          <w:tcPr>
            <w:tcW w:w="1036" w:type="dxa"/>
            <w:tcBorders>
              <w:top w:val="nil"/>
              <w:left w:val="nil"/>
              <w:bottom w:val="single" w:sz="4" w:space="0" w:color="auto"/>
              <w:right w:val="single" w:sz="4" w:space="0" w:color="auto"/>
            </w:tcBorders>
            <w:shd w:val="clear" w:color="auto" w:fill="auto"/>
            <w:noWrap/>
            <w:vAlign w:val="center"/>
            <w:hideMark/>
          </w:tcPr>
          <w:p w14:paraId="67456F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63943026</w:t>
            </w:r>
          </w:p>
        </w:tc>
        <w:tc>
          <w:tcPr>
            <w:tcW w:w="160" w:type="dxa"/>
            <w:tcBorders>
              <w:top w:val="nil"/>
              <w:left w:val="nil"/>
              <w:bottom w:val="single" w:sz="4" w:space="0" w:color="auto"/>
              <w:right w:val="nil"/>
            </w:tcBorders>
            <w:vAlign w:val="center"/>
          </w:tcPr>
          <w:p w14:paraId="6DDCBD3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54B8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GORENJA VAS-POLJANE</w:t>
            </w:r>
          </w:p>
        </w:tc>
      </w:tr>
      <w:tr w:rsidR="00072A69" w:rsidRPr="00DC6DF9" w14:paraId="44CC86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3F9F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863</w:t>
            </w:r>
          </w:p>
        </w:tc>
        <w:tc>
          <w:tcPr>
            <w:tcW w:w="1036" w:type="dxa"/>
            <w:tcBorders>
              <w:top w:val="nil"/>
              <w:left w:val="nil"/>
              <w:bottom w:val="single" w:sz="4" w:space="0" w:color="auto"/>
              <w:right w:val="single" w:sz="4" w:space="0" w:color="auto"/>
            </w:tcBorders>
            <w:shd w:val="clear" w:color="auto" w:fill="auto"/>
            <w:noWrap/>
            <w:vAlign w:val="center"/>
            <w:hideMark/>
          </w:tcPr>
          <w:p w14:paraId="6AE6F2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5883962000</w:t>
            </w:r>
          </w:p>
        </w:tc>
        <w:tc>
          <w:tcPr>
            <w:tcW w:w="1036" w:type="dxa"/>
            <w:tcBorders>
              <w:top w:val="nil"/>
              <w:left w:val="nil"/>
              <w:bottom w:val="single" w:sz="4" w:space="0" w:color="auto"/>
              <w:right w:val="single" w:sz="4" w:space="0" w:color="auto"/>
            </w:tcBorders>
            <w:shd w:val="clear" w:color="auto" w:fill="auto"/>
            <w:noWrap/>
            <w:vAlign w:val="center"/>
            <w:hideMark/>
          </w:tcPr>
          <w:p w14:paraId="38E5B9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81877790</w:t>
            </w:r>
          </w:p>
        </w:tc>
        <w:tc>
          <w:tcPr>
            <w:tcW w:w="160" w:type="dxa"/>
            <w:tcBorders>
              <w:top w:val="nil"/>
              <w:left w:val="nil"/>
              <w:bottom w:val="single" w:sz="4" w:space="0" w:color="auto"/>
              <w:right w:val="nil"/>
            </w:tcBorders>
            <w:vAlign w:val="center"/>
          </w:tcPr>
          <w:p w14:paraId="600F5D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822B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GORIŠNICA</w:t>
            </w:r>
          </w:p>
        </w:tc>
      </w:tr>
      <w:tr w:rsidR="00072A69" w:rsidRPr="00DC6DF9" w14:paraId="6A8FAB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4FC5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864</w:t>
            </w:r>
          </w:p>
        </w:tc>
        <w:tc>
          <w:tcPr>
            <w:tcW w:w="1036" w:type="dxa"/>
            <w:tcBorders>
              <w:top w:val="nil"/>
              <w:left w:val="nil"/>
              <w:bottom w:val="single" w:sz="4" w:space="0" w:color="auto"/>
              <w:right w:val="single" w:sz="4" w:space="0" w:color="auto"/>
            </w:tcBorders>
            <w:shd w:val="clear" w:color="auto" w:fill="auto"/>
            <w:noWrap/>
            <w:vAlign w:val="center"/>
            <w:hideMark/>
          </w:tcPr>
          <w:p w14:paraId="104AF9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2209721000</w:t>
            </w:r>
          </w:p>
        </w:tc>
        <w:tc>
          <w:tcPr>
            <w:tcW w:w="1036" w:type="dxa"/>
            <w:tcBorders>
              <w:top w:val="nil"/>
              <w:left w:val="nil"/>
              <w:bottom w:val="single" w:sz="4" w:space="0" w:color="auto"/>
              <w:right w:val="single" w:sz="4" w:space="0" w:color="auto"/>
            </w:tcBorders>
            <w:shd w:val="clear" w:color="auto" w:fill="auto"/>
            <w:noWrap/>
            <w:vAlign w:val="center"/>
            <w:hideMark/>
          </w:tcPr>
          <w:p w14:paraId="275574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66614198</w:t>
            </w:r>
          </w:p>
        </w:tc>
        <w:tc>
          <w:tcPr>
            <w:tcW w:w="160" w:type="dxa"/>
            <w:tcBorders>
              <w:top w:val="nil"/>
              <w:left w:val="nil"/>
              <w:bottom w:val="single" w:sz="4" w:space="0" w:color="auto"/>
              <w:right w:val="nil"/>
            </w:tcBorders>
            <w:vAlign w:val="center"/>
          </w:tcPr>
          <w:p w14:paraId="1458267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C87D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GORJE</w:t>
            </w:r>
          </w:p>
        </w:tc>
      </w:tr>
      <w:tr w:rsidR="00072A69" w:rsidRPr="00DC6DF9" w14:paraId="34DE29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C32C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865</w:t>
            </w:r>
          </w:p>
        </w:tc>
        <w:tc>
          <w:tcPr>
            <w:tcW w:w="1036" w:type="dxa"/>
            <w:tcBorders>
              <w:top w:val="nil"/>
              <w:left w:val="nil"/>
              <w:bottom w:val="single" w:sz="4" w:space="0" w:color="auto"/>
              <w:right w:val="single" w:sz="4" w:space="0" w:color="auto"/>
            </w:tcBorders>
            <w:shd w:val="clear" w:color="auto" w:fill="auto"/>
            <w:noWrap/>
            <w:vAlign w:val="center"/>
            <w:hideMark/>
          </w:tcPr>
          <w:p w14:paraId="6E9EDE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5880289000</w:t>
            </w:r>
          </w:p>
        </w:tc>
        <w:tc>
          <w:tcPr>
            <w:tcW w:w="1036" w:type="dxa"/>
            <w:tcBorders>
              <w:top w:val="nil"/>
              <w:left w:val="nil"/>
              <w:bottom w:val="single" w:sz="4" w:space="0" w:color="auto"/>
              <w:right w:val="single" w:sz="4" w:space="0" w:color="auto"/>
            </w:tcBorders>
            <w:shd w:val="clear" w:color="auto" w:fill="auto"/>
            <w:noWrap/>
            <w:vAlign w:val="center"/>
            <w:hideMark/>
          </w:tcPr>
          <w:p w14:paraId="5FDD1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40051846</w:t>
            </w:r>
          </w:p>
        </w:tc>
        <w:tc>
          <w:tcPr>
            <w:tcW w:w="160" w:type="dxa"/>
            <w:tcBorders>
              <w:top w:val="nil"/>
              <w:left w:val="nil"/>
              <w:bottom w:val="single" w:sz="4" w:space="0" w:color="auto"/>
              <w:right w:val="nil"/>
            </w:tcBorders>
            <w:vAlign w:val="center"/>
          </w:tcPr>
          <w:p w14:paraId="3F0B93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3240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GORNJA RADGONA</w:t>
            </w:r>
          </w:p>
        </w:tc>
      </w:tr>
      <w:tr w:rsidR="00072A69" w:rsidRPr="00DC6DF9" w14:paraId="451558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D7E6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866</w:t>
            </w:r>
          </w:p>
        </w:tc>
        <w:tc>
          <w:tcPr>
            <w:tcW w:w="1036" w:type="dxa"/>
            <w:tcBorders>
              <w:top w:val="nil"/>
              <w:left w:val="nil"/>
              <w:bottom w:val="single" w:sz="4" w:space="0" w:color="auto"/>
              <w:right w:val="single" w:sz="4" w:space="0" w:color="auto"/>
            </w:tcBorders>
            <w:shd w:val="clear" w:color="auto" w:fill="auto"/>
            <w:noWrap/>
            <w:vAlign w:val="center"/>
            <w:hideMark/>
          </w:tcPr>
          <w:p w14:paraId="7AC2EA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5883776000</w:t>
            </w:r>
          </w:p>
        </w:tc>
        <w:tc>
          <w:tcPr>
            <w:tcW w:w="1036" w:type="dxa"/>
            <w:tcBorders>
              <w:top w:val="nil"/>
              <w:left w:val="nil"/>
              <w:bottom w:val="single" w:sz="4" w:space="0" w:color="auto"/>
              <w:right w:val="single" w:sz="4" w:space="0" w:color="auto"/>
            </w:tcBorders>
            <w:shd w:val="clear" w:color="auto" w:fill="auto"/>
            <w:noWrap/>
            <w:vAlign w:val="center"/>
            <w:hideMark/>
          </w:tcPr>
          <w:p w14:paraId="22AE6A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89964268</w:t>
            </w:r>
          </w:p>
        </w:tc>
        <w:tc>
          <w:tcPr>
            <w:tcW w:w="160" w:type="dxa"/>
            <w:tcBorders>
              <w:top w:val="nil"/>
              <w:left w:val="nil"/>
              <w:bottom w:val="single" w:sz="4" w:space="0" w:color="auto"/>
              <w:right w:val="nil"/>
            </w:tcBorders>
            <w:vAlign w:val="center"/>
          </w:tcPr>
          <w:p w14:paraId="182C8A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C1B3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GORNJI GRAD</w:t>
            </w:r>
          </w:p>
        </w:tc>
      </w:tr>
      <w:tr w:rsidR="00072A69" w:rsidRPr="00DC6DF9" w14:paraId="69D4E1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03ED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867</w:t>
            </w:r>
          </w:p>
        </w:tc>
        <w:tc>
          <w:tcPr>
            <w:tcW w:w="1036" w:type="dxa"/>
            <w:tcBorders>
              <w:top w:val="nil"/>
              <w:left w:val="nil"/>
              <w:bottom w:val="single" w:sz="4" w:space="0" w:color="auto"/>
              <w:right w:val="single" w:sz="4" w:space="0" w:color="auto"/>
            </w:tcBorders>
            <w:shd w:val="clear" w:color="auto" w:fill="auto"/>
            <w:noWrap/>
            <w:vAlign w:val="center"/>
            <w:hideMark/>
          </w:tcPr>
          <w:p w14:paraId="34CC6F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5883075000</w:t>
            </w:r>
          </w:p>
        </w:tc>
        <w:tc>
          <w:tcPr>
            <w:tcW w:w="1036" w:type="dxa"/>
            <w:tcBorders>
              <w:top w:val="nil"/>
              <w:left w:val="nil"/>
              <w:bottom w:val="single" w:sz="4" w:space="0" w:color="auto"/>
              <w:right w:val="single" w:sz="4" w:space="0" w:color="auto"/>
            </w:tcBorders>
            <w:shd w:val="clear" w:color="auto" w:fill="auto"/>
            <w:noWrap/>
            <w:vAlign w:val="center"/>
            <w:hideMark/>
          </w:tcPr>
          <w:p w14:paraId="21E8D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69366144</w:t>
            </w:r>
          </w:p>
        </w:tc>
        <w:tc>
          <w:tcPr>
            <w:tcW w:w="160" w:type="dxa"/>
            <w:tcBorders>
              <w:top w:val="nil"/>
              <w:left w:val="nil"/>
              <w:bottom w:val="single" w:sz="4" w:space="0" w:color="auto"/>
              <w:right w:val="nil"/>
            </w:tcBorders>
            <w:vAlign w:val="center"/>
          </w:tcPr>
          <w:p w14:paraId="7CE7CE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DE7F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GORNJI PETROVCI</w:t>
            </w:r>
          </w:p>
        </w:tc>
      </w:tr>
      <w:tr w:rsidR="00072A69" w:rsidRPr="00DC6DF9" w14:paraId="58AF48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CE25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868</w:t>
            </w:r>
          </w:p>
        </w:tc>
        <w:tc>
          <w:tcPr>
            <w:tcW w:w="1036" w:type="dxa"/>
            <w:tcBorders>
              <w:top w:val="nil"/>
              <w:left w:val="nil"/>
              <w:bottom w:val="single" w:sz="4" w:space="0" w:color="auto"/>
              <w:right w:val="single" w:sz="4" w:space="0" w:color="auto"/>
            </w:tcBorders>
            <w:shd w:val="clear" w:color="auto" w:fill="auto"/>
            <w:noWrap/>
            <w:vAlign w:val="center"/>
            <w:hideMark/>
          </w:tcPr>
          <w:p w14:paraId="4D7BD0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1365673000</w:t>
            </w:r>
          </w:p>
        </w:tc>
        <w:tc>
          <w:tcPr>
            <w:tcW w:w="1036" w:type="dxa"/>
            <w:tcBorders>
              <w:top w:val="nil"/>
              <w:left w:val="nil"/>
              <w:bottom w:val="single" w:sz="4" w:space="0" w:color="auto"/>
              <w:right w:val="single" w:sz="4" w:space="0" w:color="auto"/>
            </w:tcBorders>
            <w:shd w:val="clear" w:color="auto" w:fill="auto"/>
            <w:noWrap/>
            <w:vAlign w:val="center"/>
            <w:hideMark/>
          </w:tcPr>
          <w:p w14:paraId="21FB94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70454540</w:t>
            </w:r>
          </w:p>
        </w:tc>
        <w:tc>
          <w:tcPr>
            <w:tcW w:w="160" w:type="dxa"/>
            <w:tcBorders>
              <w:top w:val="nil"/>
              <w:left w:val="nil"/>
              <w:bottom w:val="single" w:sz="4" w:space="0" w:color="auto"/>
              <w:right w:val="nil"/>
            </w:tcBorders>
            <w:vAlign w:val="center"/>
          </w:tcPr>
          <w:p w14:paraId="4B8CFF5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2BC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GRAD</w:t>
            </w:r>
          </w:p>
        </w:tc>
      </w:tr>
      <w:tr w:rsidR="00072A69" w:rsidRPr="00DC6DF9" w14:paraId="339F28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89A7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869</w:t>
            </w:r>
          </w:p>
        </w:tc>
        <w:tc>
          <w:tcPr>
            <w:tcW w:w="1036" w:type="dxa"/>
            <w:tcBorders>
              <w:top w:val="nil"/>
              <w:left w:val="nil"/>
              <w:bottom w:val="single" w:sz="4" w:space="0" w:color="auto"/>
              <w:right w:val="single" w:sz="4" w:space="0" w:color="auto"/>
            </w:tcBorders>
            <w:shd w:val="clear" w:color="auto" w:fill="auto"/>
            <w:noWrap/>
            <w:vAlign w:val="center"/>
            <w:hideMark/>
          </w:tcPr>
          <w:p w14:paraId="56F2C7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5880734000</w:t>
            </w:r>
          </w:p>
        </w:tc>
        <w:tc>
          <w:tcPr>
            <w:tcW w:w="1036" w:type="dxa"/>
            <w:tcBorders>
              <w:top w:val="nil"/>
              <w:left w:val="nil"/>
              <w:bottom w:val="single" w:sz="4" w:space="0" w:color="auto"/>
              <w:right w:val="single" w:sz="4" w:space="0" w:color="auto"/>
            </w:tcBorders>
            <w:shd w:val="clear" w:color="auto" w:fill="auto"/>
            <w:noWrap/>
            <w:vAlign w:val="center"/>
            <w:hideMark/>
          </w:tcPr>
          <w:p w14:paraId="3ACA4B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14067765</w:t>
            </w:r>
          </w:p>
        </w:tc>
        <w:tc>
          <w:tcPr>
            <w:tcW w:w="160" w:type="dxa"/>
            <w:tcBorders>
              <w:top w:val="nil"/>
              <w:left w:val="nil"/>
              <w:bottom w:val="single" w:sz="4" w:space="0" w:color="auto"/>
              <w:right w:val="nil"/>
            </w:tcBorders>
            <w:vAlign w:val="center"/>
          </w:tcPr>
          <w:p w14:paraId="7DB7E1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53CA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GROSUPLJE</w:t>
            </w:r>
          </w:p>
        </w:tc>
      </w:tr>
      <w:tr w:rsidR="00072A69" w:rsidRPr="00DC6DF9" w14:paraId="63C686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EB03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870</w:t>
            </w:r>
          </w:p>
        </w:tc>
        <w:tc>
          <w:tcPr>
            <w:tcW w:w="1036" w:type="dxa"/>
            <w:tcBorders>
              <w:top w:val="nil"/>
              <w:left w:val="nil"/>
              <w:bottom w:val="single" w:sz="4" w:space="0" w:color="auto"/>
              <w:right w:val="single" w:sz="4" w:space="0" w:color="auto"/>
            </w:tcBorders>
            <w:shd w:val="clear" w:color="auto" w:fill="auto"/>
            <w:noWrap/>
            <w:vAlign w:val="center"/>
            <w:hideMark/>
          </w:tcPr>
          <w:p w14:paraId="01E87C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1357441000</w:t>
            </w:r>
          </w:p>
        </w:tc>
        <w:tc>
          <w:tcPr>
            <w:tcW w:w="1036" w:type="dxa"/>
            <w:tcBorders>
              <w:top w:val="nil"/>
              <w:left w:val="nil"/>
              <w:bottom w:val="single" w:sz="4" w:space="0" w:color="auto"/>
              <w:right w:val="single" w:sz="4" w:space="0" w:color="auto"/>
            </w:tcBorders>
            <w:shd w:val="clear" w:color="auto" w:fill="auto"/>
            <w:noWrap/>
            <w:vAlign w:val="center"/>
            <w:hideMark/>
          </w:tcPr>
          <w:p w14:paraId="4EF380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24866792</w:t>
            </w:r>
          </w:p>
        </w:tc>
        <w:tc>
          <w:tcPr>
            <w:tcW w:w="160" w:type="dxa"/>
            <w:tcBorders>
              <w:top w:val="nil"/>
              <w:left w:val="nil"/>
              <w:bottom w:val="single" w:sz="4" w:space="0" w:color="auto"/>
              <w:right w:val="nil"/>
            </w:tcBorders>
            <w:vAlign w:val="center"/>
          </w:tcPr>
          <w:p w14:paraId="6E96E71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2BDC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HAJDINA</w:t>
            </w:r>
          </w:p>
        </w:tc>
      </w:tr>
      <w:tr w:rsidR="00072A69" w:rsidRPr="00DC6DF9" w14:paraId="08F9AE7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2F1E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871</w:t>
            </w:r>
          </w:p>
        </w:tc>
        <w:tc>
          <w:tcPr>
            <w:tcW w:w="1036" w:type="dxa"/>
            <w:tcBorders>
              <w:top w:val="nil"/>
              <w:left w:val="nil"/>
              <w:bottom w:val="single" w:sz="4" w:space="0" w:color="auto"/>
              <w:right w:val="single" w:sz="4" w:space="0" w:color="auto"/>
            </w:tcBorders>
            <w:shd w:val="clear" w:color="auto" w:fill="auto"/>
            <w:noWrap/>
            <w:vAlign w:val="center"/>
            <w:hideMark/>
          </w:tcPr>
          <w:p w14:paraId="74B6AF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1365568000</w:t>
            </w:r>
          </w:p>
        </w:tc>
        <w:tc>
          <w:tcPr>
            <w:tcW w:w="1036" w:type="dxa"/>
            <w:tcBorders>
              <w:top w:val="nil"/>
              <w:left w:val="nil"/>
              <w:bottom w:val="single" w:sz="4" w:space="0" w:color="auto"/>
              <w:right w:val="single" w:sz="4" w:space="0" w:color="auto"/>
            </w:tcBorders>
            <w:shd w:val="clear" w:color="auto" w:fill="auto"/>
            <w:noWrap/>
            <w:vAlign w:val="center"/>
            <w:hideMark/>
          </w:tcPr>
          <w:p w14:paraId="1F655D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24685844</w:t>
            </w:r>
          </w:p>
        </w:tc>
        <w:tc>
          <w:tcPr>
            <w:tcW w:w="160" w:type="dxa"/>
            <w:tcBorders>
              <w:top w:val="nil"/>
              <w:left w:val="nil"/>
              <w:bottom w:val="single" w:sz="4" w:space="0" w:color="auto"/>
              <w:right w:val="nil"/>
            </w:tcBorders>
            <w:vAlign w:val="center"/>
          </w:tcPr>
          <w:p w14:paraId="0EB886C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1717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HOČE - SLIVNICA</w:t>
            </w:r>
          </w:p>
        </w:tc>
      </w:tr>
      <w:tr w:rsidR="00072A69" w:rsidRPr="00DC6DF9" w14:paraId="51C693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A75A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872</w:t>
            </w:r>
          </w:p>
        </w:tc>
        <w:tc>
          <w:tcPr>
            <w:tcW w:w="1036" w:type="dxa"/>
            <w:tcBorders>
              <w:top w:val="nil"/>
              <w:left w:val="nil"/>
              <w:bottom w:val="single" w:sz="4" w:space="0" w:color="auto"/>
              <w:right w:val="single" w:sz="4" w:space="0" w:color="auto"/>
            </w:tcBorders>
            <w:shd w:val="clear" w:color="auto" w:fill="auto"/>
            <w:noWrap/>
            <w:vAlign w:val="center"/>
            <w:hideMark/>
          </w:tcPr>
          <w:p w14:paraId="48414A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1357344000</w:t>
            </w:r>
          </w:p>
        </w:tc>
        <w:tc>
          <w:tcPr>
            <w:tcW w:w="1036" w:type="dxa"/>
            <w:tcBorders>
              <w:top w:val="nil"/>
              <w:left w:val="nil"/>
              <w:bottom w:val="single" w:sz="4" w:space="0" w:color="auto"/>
              <w:right w:val="single" w:sz="4" w:space="0" w:color="auto"/>
            </w:tcBorders>
            <w:shd w:val="clear" w:color="auto" w:fill="auto"/>
            <w:noWrap/>
            <w:vAlign w:val="center"/>
            <w:hideMark/>
          </w:tcPr>
          <w:p w14:paraId="0BE008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73790141</w:t>
            </w:r>
          </w:p>
        </w:tc>
        <w:tc>
          <w:tcPr>
            <w:tcW w:w="160" w:type="dxa"/>
            <w:tcBorders>
              <w:top w:val="nil"/>
              <w:left w:val="nil"/>
              <w:bottom w:val="single" w:sz="4" w:space="0" w:color="auto"/>
              <w:right w:val="nil"/>
            </w:tcBorders>
            <w:vAlign w:val="center"/>
          </w:tcPr>
          <w:p w14:paraId="2CC4F2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8A96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HODOŠ</w:t>
            </w:r>
          </w:p>
        </w:tc>
      </w:tr>
      <w:tr w:rsidR="00072A69" w:rsidRPr="00DC6DF9" w14:paraId="087398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1390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873</w:t>
            </w:r>
          </w:p>
        </w:tc>
        <w:tc>
          <w:tcPr>
            <w:tcW w:w="1036" w:type="dxa"/>
            <w:tcBorders>
              <w:top w:val="nil"/>
              <w:left w:val="nil"/>
              <w:bottom w:val="single" w:sz="4" w:space="0" w:color="auto"/>
              <w:right w:val="single" w:sz="4" w:space="0" w:color="auto"/>
            </w:tcBorders>
            <w:shd w:val="clear" w:color="auto" w:fill="auto"/>
            <w:noWrap/>
            <w:vAlign w:val="center"/>
            <w:hideMark/>
          </w:tcPr>
          <w:p w14:paraId="6B8BE9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1332180000</w:t>
            </w:r>
          </w:p>
        </w:tc>
        <w:tc>
          <w:tcPr>
            <w:tcW w:w="1036" w:type="dxa"/>
            <w:tcBorders>
              <w:top w:val="nil"/>
              <w:left w:val="nil"/>
              <w:bottom w:val="single" w:sz="4" w:space="0" w:color="auto"/>
              <w:right w:val="single" w:sz="4" w:space="0" w:color="auto"/>
            </w:tcBorders>
            <w:shd w:val="clear" w:color="auto" w:fill="auto"/>
            <w:noWrap/>
            <w:vAlign w:val="center"/>
            <w:hideMark/>
          </w:tcPr>
          <w:p w14:paraId="718796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19084951</w:t>
            </w:r>
          </w:p>
        </w:tc>
        <w:tc>
          <w:tcPr>
            <w:tcW w:w="160" w:type="dxa"/>
            <w:tcBorders>
              <w:top w:val="nil"/>
              <w:left w:val="nil"/>
              <w:bottom w:val="single" w:sz="4" w:space="0" w:color="auto"/>
              <w:right w:val="nil"/>
            </w:tcBorders>
            <w:vAlign w:val="center"/>
          </w:tcPr>
          <w:p w14:paraId="79A58F7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7E39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HORJUL</w:t>
            </w:r>
          </w:p>
        </w:tc>
      </w:tr>
      <w:tr w:rsidR="00072A69" w:rsidRPr="00DC6DF9" w14:paraId="382979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B955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874</w:t>
            </w:r>
          </w:p>
        </w:tc>
        <w:tc>
          <w:tcPr>
            <w:tcW w:w="1036" w:type="dxa"/>
            <w:tcBorders>
              <w:top w:val="nil"/>
              <w:left w:val="nil"/>
              <w:bottom w:val="single" w:sz="4" w:space="0" w:color="auto"/>
              <w:right w:val="single" w:sz="4" w:space="0" w:color="auto"/>
            </w:tcBorders>
            <w:shd w:val="clear" w:color="auto" w:fill="auto"/>
            <w:noWrap/>
            <w:vAlign w:val="center"/>
            <w:hideMark/>
          </w:tcPr>
          <w:p w14:paraId="421D59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5880181000</w:t>
            </w:r>
          </w:p>
        </w:tc>
        <w:tc>
          <w:tcPr>
            <w:tcW w:w="1036" w:type="dxa"/>
            <w:tcBorders>
              <w:top w:val="nil"/>
              <w:left w:val="nil"/>
              <w:bottom w:val="single" w:sz="4" w:space="0" w:color="auto"/>
              <w:right w:val="single" w:sz="4" w:space="0" w:color="auto"/>
            </w:tcBorders>
            <w:shd w:val="clear" w:color="auto" w:fill="auto"/>
            <w:noWrap/>
            <w:vAlign w:val="center"/>
            <w:hideMark/>
          </w:tcPr>
          <w:p w14:paraId="7B0C41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83246274</w:t>
            </w:r>
          </w:p>
        </w:tc>
        <w:tc>
          <w:tcPr>
            <w:tcW w:w="160" w:type="dxa"/>
            <w:tcBorders>
              <w:top w:val="nil"/>
              <w:left w:val="nil"/>
              <w:bottom w:val="single" w:sz="4" w:space="0" w:color="auto"/>
              <w:right w:val="nil"/>
            </w:tcBorders>
            <w:vAlign w:val="center"/>
          </w:tcPr>
          <w:p w14:paraId="204183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6C77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HRASTNIK</w:t>
            </w:r>
          </w:p>
        </w:tc>
      </w:tr>
      <w:tr w:rsidR="00072A69" w:rsidRPr="00DC6DF9" w14:paraId="5189FD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2403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875</w:t>
            </w:r>
          </w:p>
        </w:tc>
        <w:tc>
          <w:tcPr>
            <w:tcW w:w="1036" w:type="dxa"/>
            <w:tcBorders>
              <w:top w:val="nil"/>
              <w:left w:val="nil"/>
              <w:bottom w:val="single" w:sz="4" w:space="0" w:color="auto"/>
              <w:right w:val="single" w:sz="4" w:space="0" w:color="auto"/>
            </w:tcBorders>
            <w:shd w:val="clear" w:color="auto" w:fill="auto"/>
            <w:noWrap/>
            <w:vAlign w:val="center"/>
            <w:hideMark/>
          </w:tcPr>
          <w:p w14:paraId="42B166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5883032000</w:t>
            </w:r>
          </w:p>
        </w:tc>
        <w:tc>
          <w:tcPr>
            <w:tcW w:w="1036" w:type="dxa"/>
            <w:tcBorders>
              <w:top w:val="nil"/>
              <w:left w:val="nil"/>
              <w:bottom w:val="single" w:sz="4" w:space="0" w:color="auto"/>
              <w:right w:val="single" w:sz="4" w:space="0" w:color="auto"/>
            </w:tcBorders>
            <w:shd w:val="clear" w:color="auto" w:fill="auto"/>
            <w:noWrap/>
            <w:vAlign w:val="center"/>
            <w:hideMark/>
          </w:tcPr>
          <w:p w14:paraId="2ABF80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96355557</w:t>
            </w:r>
          </w:p>
        </w:tc>
        <w:tc>
          <w:tcPr>
            <w:tcW w:w="160" w:type="dxa"/>
            <w:tcBorders>
              <w:top w:val="nil"/>
              <w:left w:val="nil"/>
              <w:bottom w:val="single" w:sz="4" w:space="0" w:color="auto"/>
              <w:right w:val="nil"/>
            </w:tcBorders>
            <w:vAlign w:val="center"/>
          </w:tcPr>
          <w:p w14:paraId="0FB0D9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9051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HRPELJE - KOZINA</w:t>
            </w:r>
          </w:p>
        </w:tc>
      </w:tr>
      <w:tr w:rsidR="00072A69" w:rsidRPr="00DC6DF9" w14:paraId="4FA5E9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CE53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876</w:t>
            </w:r>
          </w:p>
        </w:tc>
        <w:tc>
          <w:tcPr>
            <w:tcW w:w="1036" w:type="dxa"/>
            <w:tcBorders>
              <w:top w:val="nil"/>
              <w:left w:val="nil"/>
              <w:bottom w:val="single" w:sz="4" w:space="0" w:color="auto"/>
              <w:right w:val="single" w:sz="4" w:space="0" w:color="auto"/>
            </w:tcBorders>
            <w:shd w:val="clear" w:color="auto" w:fill="auto"/>
            <w:noWrap/>
            <w:vAlign w:val="center"/>
            <w:hideMark/>
          </w:tcPr>
          <w:p w14:paraId="477338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5880068000</w:t>
            </w:r>
          </w:p>
        </w:tc>
        <w:tc>
          <w:tcPr>
            <w:tcW w:w="1036" w:type="dxa"/>
            <w:tcBorders>
              <w:top w:val="nil"/>
              <w:left w:val="nil"/>
              <w:bottom w:val="single" w:sz="4" w:space="0" w:color="auto"/>
              <w:right w:val="single" w:sz="4" w:space="0" w:color="auto"/>
            </w:tcBorders>
            <w:shd w:val="clear" w:color="auto" w:fill="auto"/>
            <w:noWrap/>
            <w:vAlign w:val="center"/>
            <w:hideMark/>
          </w:tcPr>
          <w:p w14:paraId="2A3CCF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20497423</w:t>
            </w:r>
          </w:p>
        </w:tc>
        <w:tc>
          <w:tcPr>
            <w:tcW w:w="160" w:type="dxa"/>
            <w:tcBorders>
              <w:top w:val="nil"/>
              <w:left w:val="nil"/>
              <w:bottom w:val="single" w:sz="4" w:space="0" w:color="auto"/>
              <w:right w:val="nil"/>
            </w:tcBorders>
            <w:vAlign w:val="center"/>
          </w:tcPr>
          <w:p w14:paraId="79DE60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18F6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IDRIJA</w:t>
            </w:r>
          </w:p>
        </w:tc>
      </w:tr>
      <w:tr w:rsidR="00072A69" w:rsidRPr="00DC6DF9" w14:paraId="238349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F364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877</w:t>
            </w:r>
          </w:p>
        </w:tc>
        <w:tc>
          <w:tcPr>
            <w:tcW w:w="1036" w:type="dxa"/>
            <w:tcBorders>
              <w:top w:val="nil"/>
              <w:left w:val="nil"/>
              <w:bottom w:val="single" w:sz="4" w:space="0" w:color="auto"/>
              <w:right w:val="single" w:sz="4" w:space="0" w:color="auto"/>
            </w:tcBorders>
            <w:shd w:val="clear" w:color="auto" w:fill="auto"/>
            <w:noWrap/>
            <w:vAlign w:val="center"/>
            <w:hideMark/>
          </w:tcPr>
          <w:p w14:paraId="567460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5874769000</w:t>
            </w:r>
          </w:p>
        </w:tc>
        <w:tc>
          <w:tcPr>
            <w:tcW w:w="1036" w:type="dxa"/>
            <w:tcBorders>
              <w:top w:val="nil"/>
              <w:left w:val="nil"/>
              <w:bottom w:val="single" w:sz="4" w:space="0" w:color="auto"/>
              <w:right w:val="single" w:sz="4" w:space="0" w:color="auto"/>
            </w:tcBorders>
            <w:shd w:val="clear" w:color="auto" w:fill="auto"/>
            <w:noWrap/>
            <w:vAlign w:val="center"/>
            <w:hideMark/>
          </w:tcPr>
          <w:p w14:paraId="499669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47731206</w:t>
            </w:r>
          </w:p>
        </w:tc>
        <w:tc>
          <w:tcPr>
            <w:tcW w:w="160" w:type="dxa"/>
            <w:tcBorders>
              <w:top w:val="nil"/>
              <w:left w:val="nil"/>
              <w:bottom w:val="single" w:sz="4" w:space="0" w:color="auto"/>
              <w:right w:val="nil"/>
            </w:tcBorders>
            <w:vAlign w:val="center"/>
          </w:tcPr>
          <w:p w14:paraId="2A52BC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0B4C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IG</w:t>
            </w:r>
          </w:p>
        </w:tc>
      </w:tr>
      <w:tr w:rsidR="00072A69" w:rsidRPr="00DC6DF9" w14:paraId="3BEE68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9B52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878</w:t>
            </w:r>
          </w:p>
        </w:tc>
        <w:tc>
          <w:tcPr>
            <w:tcW w:w="1036" w:type="dxa"/>
            <w:tcBorders>
              <w:top w:val="nil"/>
              <w:left w:val="nil"/>
              <w:bottom w:val="single" w:sz="4" w:space="0" w:color="auto"/>
              <w:right w:val="single" w:sz="4" w:space="0" w:color="auto"/>
            </w:tcBorders>
            <w:shd w:val="clear" w:color="auto" w:fill="auto"/>
            <w:noWrap/>
            <w:vAlign w:val="center"/>
            <w:hideMark/>
          </w:tcPr>
          <w:p w14:paraId="27C2CF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5880416000</w:t>
            </w:r>
          </w:p>
        </w:tc>
        <w:tc>
          <w:tcPr>
            <w:tcW w:w="1036" w:type="dxa"/>
            <w:tcBorders>
              <w:top w:val="nil"/>
              <w:left w:val="nil"/>
              <w:bottom w:val="single" w:sz="4" w:space="0" w:color="auto"/>
              <w:right w:val="single" w:sz="4" w:space="0" w:color="auto"/>
            </w:tcBorders>
            <w:shd w:val="clear" w:color="auto" w:fill="auto"/>
            <w:noWrap/>
            <w:vAlign w:val="center"/>
            <w:hideMark/>
          </w:tcPr>
          <w:p w14:paraId="77A4A7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19908911</w:t>
            </w:r>
          </w:p>
        </w:tc>
        <w:tc>
          <w:tcPr>
            <w:tcW w:w="160" w:type="dxa"/>
            <w:tcBorders>
              <w:top w:val="nil"/>
              <w:left w:val="nil"/>
              <w:bottom w:val="single" w:sz="4" w:space="0" w:color="auto"/>
              <w:right w:val="nil"/>
            </w:tcBorders>
            <w:vAlign w:val="center"/>
          </w:tcPr>
          <w:p w14:paraId="02B92E6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3561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ILIRSKA BISTRICA</w:t>
            </w:r>
          </w:p>
        </w:tc>
      </w:tr>
      <w:tr w:rsidR="00072A69" w:rsidRPr="00DC6DF9" w14:paraId="5DF081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357E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879</w:t>
            </w:r>
          </w:p>
        </w:tc>
        <w:tc>
          <w:tcPr>
            <w:tcW w:w="1036" w:type="dxa"/>
            <w:tcBorders>
              <w:top w:val="nil"/>
              <w:left w:val="nil"/>
              <w:bottom w:val="single" w:sz="4" w:space="0" w:color="auto"/>
              <w:right w:val="single" w:sz="4" w:space="0" w:color="auto"/>
            </w:tcBorders>
            <w:shd w:val="clear" w:color="auto" w:fill="auto"/>
            <w:noWrap/>
            <w:vAlign w:val="center"/>
            <w:hideMark/>
          </w:tcPr>
          <w:p w14:paraId="534C15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5886244000</w:t>
            </w:r>
          </w:p>
        </w:tc>
        <w:tc>
          <w:tcPr>
            <w:tcW w:w="1036" w:type="dxa"/>
            <w:tcBorders>
              <w:top w:val="nil"/>
              <w:left w:val="nil"/>
              <w:bottom w:val="single" w:sz="4" w:space="0" w:color="auto"/>
              <w:right w:val="single" w:sz="4" w:space="0" w:color="auto"/>
            </w:tcBorders>
            <w:shd w:val="clear" w:color="auto" w:fill="auto"/>
            <w:noWrap/>
            <w:vAlign w:val="center"/>
            <w:hideMark/>
          </w:tcPr>
          <w:p w14:paraId="28E42D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44105487</w:t>
            </w:r>
          </w:p>
        </w:tc>
        <w:tc>
          <w:tcPr>
            <w:tcW w:w="160" w:type="dxa"/>
            <w:tcBorders>
              <w:top w:val="nil"/>
              <w:left w:val="nil"/>
              <w:bottom w:val="single" w:sz="4" w:space="0" w:color="auto"/>
              <w:right w:val="nil"/>
            </w:tcBorders>
            <w:vAlign w:val="center"/>
          </w:tcPr>
          <w:p w14:paraId="54B808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1F96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IVANČNA GORICA</w:t>
            </w:r>
          </w:p>
        </w:tc>
      </w:tr>
      <w:tr w:rsidR="00072A69" w:rsidRPr="00DC6DF9" w14:paraId="4A96C0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B3C5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880</w:t>
            </w:r>
          </w:p>
        </w:tc>
        <w:tc>
          <w:tcPr>
            <w:tcW w:w="1036" w:type="dxa"/>
            <w:tcBorders>
              <w:top w:val="nil"/>
              <w:left w:val="nil"/>
              <w:bottom w:val="single" w:sz="4" w:space="0" w:color="auto"/>
              <w:right w:val="single" w:sz="4" w:space="0" w:color="auto"/>
            </w:tcBorders>
            <w:shd w:val="clear" w:color="auto" w:fill="auto"/>
            <w:noWrap/>
            <w:vAlign w:val="center"/>
            <w:hideMark/>
          </w:tcPr>
          <w:p w14:paraId="01B4FF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5874190000</w:t>
            </w:r>
          </w:p>
        </w:tc>
        <w:tc>
          <w:tcPr>
            <w:tcW w:w="1036" w:type="dxa"/>
            <w:tcBorders>
              <w:top w:val="nil"/>
              <w:left w:val="nil"/>
              <w:bottom w:val="single" w:sz="4" w:space="0" w:color="auto"/>
              <w:right w:val="single" w:sz="4" w:space="0" w:color="auto"/>
            </w:tcBorders>
            <w:shd w:val="clear" w:color="auto" w:fill="auto"/>
            <w:noWrap/>
            <w:vAlign w:val="center"/>
            <w:hideMark/>
          </w:tcPr>
          <w:p w14:paraId="17A8B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16510801</w:t>
            </w:r>
          </w:p>
        </w:tc>
        <w:tc>
          <w:tcPr>
            <w:tcW w:w="160" w:type="dxa"/>
            <w:tcBorders>
              <w:top w:val="nil"/>
              <w:left w:val="nil"/>
              <w:bottom w:val="single" w:sz="4" w:space="0" w:color="auto"/>
              <w:right w:val="nil"/>
            </w:tcBorders>
            <w:vAlign w:val="center"/>
          </w:tcPr>
          <w:p w14:paraId="3DC14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C80C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IZOLA</w:t>
            </w:r>
          </w:p>
        </w:tc>
      </w:tr>
      <w:tr w:rsidR="00072A69" w:rsidRPr="00DC6DF9" w14:paraId="7EDBC2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6BDC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881</w:t>
            </w:r>
          </w:p>
        </w:tc>
        <w:tc>
          <w:tcPr>
            <w:tcW w:w="1036" w:type="dxa"/>
            <w:tcBorders>
              <w:top w:val="nil"/>
              <w:left w:val="nil"/>
              <w:bottom w:val="single" w:sz="4" w:space="0" w:color="auto"/>
              <w:right w:val="single" w:sz="4" w:space="0" w:color="auto"/>
            </w:tcBorders>
            <w:shd w:val="clear" w:color="auto" w:fill="auto"/>
            <w:noWrap/>
            <w:vAlign w:val="center"/>
            <w:hideMark/>
          </w:tcPr>
          <w:p w14:paraId="08E8F2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5874335000</w:t>
            </w:r>
          </w:p>
        </w:tc>
        <w:tc>
          <w:tcPr>
            <w:tcW w:w="1036" w:type="dxa"/>
            <w:tcBorders>
              <w:top w:val="nil"/>
              <w:left w:val="nil"/>
              <w:bottom w:val="single" w:sz="4" w:space="0" w:color="auto"/>
              <w:right w:val="single" w:sz="4" w:space="0" w:color="auto"/>
            </w:tcBorders>
            <w:shd w:val="clear" w:color="auto" w:fill="auto"/>
            <w:noWrap/>
            <w:vAlign w:val="center"/>
            <w:hideMark/>
          </w:tcPr>
          <w:p w14:paraId="6BA32C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39795888</w:t>
            </w:r>
          </w:p>
        </w:tc>
        <w:tc>
          <w:tcPr>
            <w:tcW w:w="160" w:type="dxa"/>
            <w:tcBorders>
              <w:top w:val="nil"/>
              <w:left w:val="nil"/>
              <w:bottom w:val="single" w:sz="4" w:space="0" w:color="auto"/>
              <w:right w:val="nil"/>
            </w:tcBorders>
            <w:vAlign w:val="center"/>
          </w:tcPr>
          <w:p w14:paraId="6DFB09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96D0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JESENICE</w:t>
            </w:r>
          </w:p>
        </w:tc>
      </w:tr>
      <w:tr w:rsidR="00072A69" w:rsidRPr="00DC6DF9" w14:paraId="530C96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C2F9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882</w:t>
            </w:r>
          </w:p>
        </w:tc>
        <w:tc>
          <w:tcPr>
            <w:tcW w:w="1036" w:type="dxa"/>
            <w:tcBorders>
              <w:top w:val="nil"/>
              <w:left w:val="nil"/>
              <w:bottom w:val="single" w:sz="4" w:space="0" w:color="auto"/>
              <w:right w:val="single" w:sz="4" w:space="0" w:color="auto"/>
            </w:tcBorders>
            <w:shd w:val="clear" w:color="auto" w:fill="auto"/>
            <w:noWrap/>
            <w:vAlign w:val="center"/>
            <w:hideMark/>
          </w:tcPr>
          <w:p w14:paraId="05D96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1332112000</w:t>
            </w:r>
          </w:p>
        </w:tc>
        <w:tc>
          <w:tcPr>
            <w:tcW w:w="1036" w:type="dxa"/>
            <w:tcBorders>
              <w:top w:val="nil"/>
              <w:left w:val="nil"/>
              <w:bottom w:val="single" w:sz="4" w:space="0" w:color="auto"/>
              <w:right w:val="single" w:sz="4" w:space="0" w:color="auto"/>
            </w:tcBorders>
            <w:shd w:val="clear" w:color="auto" w:fill="auto"/>
            <w:noWrap/>
            <w:vAlign w:val="center"/>
            <w:hideMark/>
          </w:tcPr>
          <w:p w14:paraId="0171B5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84980923</w:t>
            </w:r>
          </w:p>
        </w:tc>
        <w:tc>
          <w:tcPr>
            <w:tcW w:w="160" w:type="dxa"/>
            <w:tcBorders>
              <w:top w:val="nil"/>
              <w:left w:val="nil"/>
              <w:bottom w:val="single" w:sz="4" w:space="0" w:color="auto"/>
              <w:right w:val="nil"/>
            </w:tcBorders>
            <w:vAlign w:val="center"/>
          </w:tcPr>
          <w:p w14:paraId="024885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2FFD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JEZERSKO</w:t>
            </w:r>
          </w:p>
        </w:tc>
      </w:tr>
      <w:tr w:rsidR="00072A69" w:rsidRPr="00DC6DF9" w14:paraId="3772E1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E95C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883</w:t>
            </w:r>
          </w:p>
        </w:tc>
        <w:tc>
          <w:tcPr>
            <w:tcW w:w="1036" w:type="dxa"/>
            <w:tcBorders>
              <w:top w:val="nil"/>
              <w:left w:val="nil"/>
              <w:bottom w:val="single" w:sz="4" w:space="0" w:color="auto"/>
              <w:right w:val="single" w:sz="4" w:space="0" w:color="auto"/>
            </w:tcBorders>
            <w:shd w:val="clear" w:color="auto" w:fill="auto"/>
            <w:noWrap/>
            <w:vAlign w:val="center"/>
            <w:hideMark/>
          </w:tcPr>
          <w:p w14:paraId="2787D1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5883750000</w:t>
            </w:r>
          </w:p>
        </w:tc>
        <w:tc>
          <w:tcPr>
            <w:tcW w:w="1036" w:type="dxa"/>
            <w:tcBorders>
              <w:top w:val="nil"/>
              <w:left w:val="nil"/>
              <w:bottom w:val="single" w:sz="4" w:space="0" w:color="auto"/>
              <w:right w:val="single" w:sz="4" w:space="0" w:color="auto"/>
            </w:tcBorders>
            <w:shd w:val="clear" w:color="auto" w:fill="auto"/>
            <w:noWrap/>
            <w:vAlign w:val="center"/>
            <w:hideMark/>
          </w:tcPr>
          <w:p w14:paraId="208DD2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11578491</w:t>
            </w:r>
          </w:p>
        </w:tc>
        <w:tc>
          <w:tcPr>
            <w:tcW w:w="160" w:type="dxa"/>
            <w:tcBorders>
              <w:top w:val="nil"/>
              <w:left w:val="nil"/>
              <w:bottom w:val="single" w:sz="4" w:space="0" w:color="auto"/>
              <w:right w:val="nil"/>
            </w:tcBorders>
            <w:vAlign w:val="center"/>
          </w:tcPr>
          <w:p w14:paraId="7BD940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8D1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JURŠINCI</w:t>
            </w:r>
          </w:p>
        </w:tc>
      </w:tr>
      <w:tr w:rsidR="00072A69" w:rsidRPr="00DC6DF9" w14:paraId="1EC279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4C55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884</w:t>
            </w:r>
          </w:p>
        </w:tc>
        <w:tc>
          <w:tcPr>
            <w:tcW w:w="1036" w:type="dxa"/>
            <w:tcBorders>
              <w:top w:val="nil"/>
              <w:left w:val="nil"/>
              <w:bottom w:val="single" w:sz="4" w:space="0" w:color="auto"/>
              <w:right w:val="single" w:sz="4" w:space="0" w:color="auto"/>
            </w:tcBorders>
            <w:shd w:val="clear" w:color="auto" w:fill="auto"/>
            <w:noWrap/>
            <w:vAlign w:val="center"/>
            <w:hideMark/>
          </w:tcPr>
          <w:p w14:paraId="046A91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5874483000</w:t>
            </w:r>
          </w:p>
        </w:tc>
        <w:tc>
          <w:tcPr>
            <w:tcW w:w="1036" w:type="dxa"/>
            <w:tcBorders>
              <w:top w:val="nil"/>
              <w:left w:val="nil"/>
              <w:bottom w:val="single" w:sz="4" w:space="0" w:color="auto"/>
              <w:right w:val="single" w:sz="4" w:space="0" w:color="auto"/>
            </w:tcBorders>
            <w:shd w:val="clear" w:color="auto" w:fill="auto"/>
            <w:noWrap/>
            <w:vAlign w:val="center"/>
            <w:hideMark/>
          </w:tcPr>
          <w:p w14:paraId="075EC1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28232801</w:t>
            </w:r>
          </w:p>
        </w:tc>
        <w:tc>
          <w:tcPr>
            <w:tcW w:w="160" w:type="dxa"/>
            <w:tcBorders>
              <w:top w:val="nil"/>
              <w:left w:val="nil"/>
              <w:bottom w:val="single" w:sz="4" w:space="0" w:color="auto"/>
              <w:right w:val="nil"/>
            </w:tcBorders>
            <w:vAlign w:val="center"/>
          </w:tcPr>
          <w:p w14:paraId="593C33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8231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KAMNIK</w:t>
            </w:r>
          </w:p>
        </w:tc>
      </w:tr>
      <w:tr w:rsidR="00072A69" w:rsidRPr="00DC6DF9" w14:paraId="11FB88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BA83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885</w:t>
            </w:r>
          </w:p>
        </w:tc>
        <w:tc>
          <w:tcPr>
            <w:tcW w:w="1036" w:type="dxa"/>
            <w:tcBorders>
              <w:top w:val="nil"/>
              <w:left w:val="nil"/>
              <w:bottom w:val="single" w:sz="4" w:space="0" w:color="auto"/>
              <w:right w:val="single" w:sz="4" w:space="0" w:color="auto"/>
            </w:tcBorders>
            <w:shd w:val="clear" w:color="auto" w:fill="auto"/>
            <w:noWrap/>
            <w:vAlign w:val="center"/>
            <w:hideMark/>
          </w:tcPr>
          <w:p w14:paraId="7F4FD0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5881820000</w:t>
            </w:r>
          </w:p>
        </w:tc>
        <w:tc>
          <w:tcPr>
            <w:tcW w:w="1036" w:type="dxa"/>
            <w:tcBorders>
              <w:top w:val="nil"/>
              <w:left w:val="nil"/>
              <w:bottom w:val="single" w:sz="4" w:space="0" w:color="auto"/>
              <w:right w:val="single" w:sz="4" w:space="0" w:color="auto"/>
            </w:tcBorders>
            <w:shd w:val="clear" w:color="auto" w:fill="auto"/>
            <w:noWrap/>
            <w:vAlign w:val="center"/>
            <w:hideMark/>
          </w:tcPr>
          <w:p w14:paraId="340250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88524671</w:t>
            </w:r>
          </w:p>
        </w:tc>
        <w:tc>
          <w:tcPr>
            <w:tcW w:w="160" w:type="dxa"/>
            <w:tcBorders>
              <w:top w:val="nil"/>
              <w:left w:val="nil"/>
              <w:bottom w:val="single" w:sz="4" w:space="0" w:color="auto"/>
              <w:right w:val="nil"/>
            </w:tcBorders>
            <w:vAlign w:val="center"/>
          </w:tcPr>
          <w:p w14:paraId="57DDE7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0B92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KANAL OB SOČI</w:t>
            </w:r>
          </w:p>
        </w:tc>
      </w:tr>
      <w:tr w:rsidR="00072A69" w:rsidRPr="00DC6DF9" w14:paraId="21E50AC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AABA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886</w:t>
            </w:r>
          </w:p>
        </w:tc>
        <w:tc>
          <w:tcPr>
            <w:tcW w:w="1036" w:type="dxa"/>
            <w:tcBorders>
              <w:top w:val="nil"/>
              <w:left w:val="nil"/>
              <w:bottom w:val="single" w:sz="4" w:space="0" w:color="auto"/>
              <w:right w:val="single" w:sz="4" w:space="0" w:color="auto"/>
            </w:tcBorders>
            <w:shd w:val="clear" w:color="auto" w:fill="auto"/>
            <w:noWrap/>
            <w:vAlign w:val="center"/>
            <w:hideMark/>
          </w:tcPr>
          <w:p w14:paraId="25D265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5883709000</w:t>
            </w:r>
          </w:p>
        </w:tc>
        <w:tc>
          <w:tcPr>
            <w:tcW w:w="1036" w:type="dxa"/>
            <w:tcBorders>
              <w:top w:val="nil"/>
              <w:left w:val="nil"/>
              <w:bottom w:val="single" w:sz="4" w:space="0" w:color="auto"/>
              <w:right w:val="single" w:sz="4" w:space="0" w:color="auto"/>
            </w:tcBorders>
            <w:shd w:val="clear" w:color="auto" w:fill="auto"/>
            <w:noWrap/>
            <w:vAlign w:val="center"/>
            <w:hideMark/>
          </w:tcPr>
          <w:p w14:paraId="139270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93796471</w:t>
            </w:r>
          </w:p>
        </w:tc>
        <w:tc>
          <w:tcPr>
            <w:tcW w:w="160" w:type="dxa"/>
            <w:tcBorders>
              <w:top w:val="nil"/>
              <w:left w:val="nil"/>
              <w:bottom w:val="single" w:sz="4" w:space="0" w:color="auto"/>
              <w:right w:val="nil"/>
            </w:tcBorders>
            <w:vAlign w:val="center"/>
          </w:tcPr>
          <w:p w14:paraId="73FFB2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676D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KIDRIČEVO</w:t>
            </w:r>
          </w:p>
        </w:tc>
      </w:tr>
      <w:tr w:rsidR="00072A69" w:rsidRPr="00DC6DF9" w14:paraId="033362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DC7A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887</w:t>
            </w:r>
          </w:p>
        </w:tc>
        <w:tc>
          <w:tcPr>
            <w:tcW w:w="1036" w:type="dxa"/>
            <w:tcBorders>
              <w:top w:val="nil"/>
              <w:left w:val="nil"/>
              <w:bottom w:val="single" w:sz="4" w:space="0" w:color="auto"/>
              <w:right w:val="single" w:sz="4" w:space="0" w:color="auto"/>
            </w:tcBorders>
            <w:shd w:val="clear" w:color="auto" w:fill="auto"/>
            <w:noWrap/>
            <w:vAlign w:val="center"/>
            <w:hideMark/>
          </w:tcPr>
          <w:p w14:paraId="276099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5881463000</w:t>
            </w:r>
          </w:p>
        </w:tc>
        <w:tc>
          <w:tcPr>
            <w:tcW w:w="1036" w:type="dxa"/>
            <w:tcBorders>
              <w:top w:val="nil"/>
              <w:left w:val="nil"/>
              <w:bottom w:val="single" w:sz="4" w:space="0" w:color="auto"/>
              <w:right w:val="single" w:sz="4" w:space="0" w:color="auto"/>
            </w:tcBorders>
            <w:shd w:val="clear" w:color="auto" w:fill="auto"/>
            <w:noWrap/>
            <w:vAlign w:val="center"/>
            <w:hideMark/>
          </w:tcPr>
          <w:p w14:paraId="3FDBEA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89371925</w:t>
            </w:r>
          </w:p>
        </w:tc>
        <w:tc>
          <w:tcPr>
            <w:tcW w:w="160" w:type="dxa"/>
            <w:tcBorders>
              <w:top w:val="nil"/>
              <w:left w:val="nil"/>
              <w:bottom w:val="single" w:sz="4" w:space="0" w:color="auto"/>
              <w:right w:val="nil"/>
            </w:tcBorders>
            <w:vAlign w:val="center"/>
          </w:tcPr>
          <w:p w14:paraId="72CE6F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A544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KOBARID</w:t>
            </w:r>
          </w:p>
        </w:tc>
      </w:tr>
      <w:tr w:rsidR="00072A69" w:rsidRPr="00DC6DF9" w14:paraId="7BD578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4F2C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888</w:t>
            </w:r>
          </w:p>
        </w:tc>
        <w:tc>
          <w:tcPr>
            <w:tcW w:w="1036" w:type="dxa"/>
            <w:tcBorders>
              <w:top w:val="nil"/>
              <w:left w:val="nil"/>
              <w:bottom w:val="single" w:sz="4" w:space="0" w:color="auto"/>
              <w:right w:val="single" w:sz="4" w:space="0" w:color="auto"/>
            </w:tcBorders>
            <w:shd w:val="clear" w:color="auto" w:fill="auto"/>
            <w:noWrap/>
            <w:vAlign w:val="center"/>
            <w:hideMark/>
          </w:tcPr>
          <w:p w14:paraId="297355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5874734000</w:t>
            </w:r>
          </w:p>
        </w:tc>
        <w:tc>
          <w:tcPr>
            <w:tcW w:w="1036" w:type="dxa"/>
            <w:tcBorders>
              <w:top w:val="nil"/>
              <w:left w:val="nil"/>
              <w:bottom w:val="single" w:sz="4" w:space="0" w:color="auto"/>
              <w:right w:val="single" w:sz="4" w:space="0" w:color="auto"/>
            </w:tcBorders>
            <w:shd w:val="clear" w:color="auto" w:fill="auto"/>
            <w:noWrap/>
            <w:vAlign w:val="center"/>
            <w:hideMark/>
          </w:tcPr>
          <w:p w14:paraId="489B6B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47774720</w:t>
            </w:r>
          </w:p>
        </w:tc>
        <w:tc>
          <w:tcPr>
            <w:tcW w:w="160" w:type="dxa"/>
            <w:tcBorders>
              <w:top w:val="nil"/>
              <w:left w:val="nil"/>
              <w:bottom w:val="single" w:sz="4" w:space="0" w:color="auto"/>
              <w:right w:val="nil"/>
            </w:tcBorders>
            <w:vAlign w:val="center"/>
          </w:tcPr>
          <w:p w14:paraId="0D8147E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AFD6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KOBILJE</w:t>
            </w:r>
          </w:p>
        </w:tc>
      </w:tr>
      <w:tr w:rsidR="00072A69" w:rsidRPr="00DC6DF9" w14:paraId="0F242FB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72F8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889</w:t>
            </w:r>
          </w:p>
        </w:tc>
        <w:tc>
          <w:tcPr>
            <w:tcW w:w="1036" w:type="dxa"/>
            <w:tcBorders>
              <w:top w:val="nil"/>
              <w:left w:val="nil"/>
              <w:bottom w:val="single" w:sz="4" w:space="0" w:color="auto"/>
              <w:right w:val="single" w:sz="4" w:space="0" w:color="auto"/>
            </w:tcBorders>
            <w:shd w:val="clear" w:color="auto" w:fill="auto"/>
            <w:noWrap/>
            <w:vAlign w:val="center"/>
            <w:hideMark/>
          </w:tcPr>
          <w:p w14:paraId="20B545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5874238000</w:t>
            </w:r>
          </w:p>
        </w:tc>
        <w:tc>
          <w:tcPr>
            <w:tcW w:w="1036" w:type="dxa"/>
            <w:tcBorders>
              <w:top w:val="nil"/>
              <w:left w:val="nil"/>
              <w:bottom w:val="single" w:sz="4" w:space="0" w:color="auto"/>
              <w:right w:val="single" w:sz="4" w:space="0" w:color="auto"/>
            </w:tcBorders>
            <w:shd w:val="clear" w:color="auto" w:fill="auto"/>
            <w:noWrap/>
            <w:vAlign w:val="center"/>
            <w:hideMark/>
          </w:tcPr>
          <w:p w14:paraId="654200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20945892</w:t>
            </w:r>
          </w:p>
        </w:tc>
        <w:tc>
          <w:tcPr>
            <w:tcW w:w="160" w:type="dxa"/>
            <w:tcBorders>
              <w:top w:val="nil"/>
              <w:left w:val="nil"/>
              <w:bottom w:val="single" w:sz="4" w:space="0" w:color="auto"/>
              <w:right w:val="nil"/>
            </w:tcBorders>
            <w:vAlign w:val="center"/>
          </w:tcPr>
          <w:p w14:paraId="3026F8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05AF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KOČEVJE</w:t>
            </w:r>
          </w:p>
        </w:tc>
      </w:tr>
      <w:tr w:rsidR="00072A69" w:rsidRPr="00DC6DF9" w14:paraId="4EA0F7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473F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890</w:t>
            </w:r>
          </w:p>
        </w:tc>
        <w:tc>
          <w:tcPr>
            <w:tcW w:w="1036" w:type="dxa"/>
            <w:tcBorders>
              <w:top w:val="nil"/>
              <w:left w:val="nil"/>
              <w:bottom w:val="single" w:sz="4" w:space="0" w:color="auto"/>
              <w:right w:val="single" w:sz="4" w:space="0" w:color="auto"/>
            </w:tcBorders>
            <w:shd w:val="clear" w:color="auto" w:fill="auto"/>
            <w:noWrap/>
            <w:vAlign w:val="center"/>
            <w:hideMark/>
          </w:tcPr>
          <w:p w14:paraId="1A4F3D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5883091000</w:t>
            </w:r>
          </w:p>
        </w:tc>
        <w:tc>
          <w:tcPr>
            <w:tcW w:w="1036" w:type="dxa"/>
            <w:tcBorders>
              <w:top w:val="nil"/>
              <w:left w:val="nil"/>
              <w:bottom w:val="single" w:sz="4" w:space="0" w:color="auto"/>
              <w:right w:val="single" w:sz="4" w:space="0" w:color="auto"/>
            </w:tcBorders>
            <w:shd w:val="clear" w:color="auto" w:fill="auto"/>
            <w:noWrap/>
            <w:vAlign w:val="center"/>
            <w:hideMark/>
          </w:tcPr>
          <w:p w14:paraId="6CFAD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98324390</w:t>
            </w:r>
          </w:p>
        </w:tc>
        <w:tc>
          <w:tcPr>
            <w:tcW w:w="160" w:type="dxa"/>
            <w:tcBorders>
              <w:top w:val="nil"/>
              <w:left w:val="nil"/>
              <w:bottom w:val="single" w:sz="4" w:space="0" w:color="auto"/>
              <w:right w:val="nil"/>
            </w:tcBorders>
            <w:vAlign w:val="center"/>
          </w:tcPr>
          <w:p w14:paraId="6EE993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C506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KOMEN</w:t>
            </w:r>
          </w:p>
        </w:tc>
      </w:tr>
      <w:tr w:rsidR="00072A69" w:rsidRPr="00DC6DF9" w14:paraId="4DBC23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5122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w:t>
            </w:r>
          </w:p>
        </w:tc>
        <w:tc>
          <w:tcPr>
            <w:tcW w:w="1036" w:type="dxa"/>
            <w:tcBorders>
              <w:top w:val="nil"/>
              <w:left w:val="nil"/>
              <w:bottom w:val="single" w:sz="4" w:space="0" w:color="auto"/>
              <w:right w:val="single" w:sz="4" w:space="0" w:color="auto"/>
            </w:tcBorders>
            <w:shd w:val="clear" w:color="auto" w:fill="auto"/>
            <w:noWrap/>
            <w:vAlign w:val="center"/>
            <w:hideMark/>
          </w:tcPr>
          <w:p w14:paraId="13A8BD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1332155000</w:t>
            </w:r>
          </w:p>
        </w:tc>
        <w:tc>
          <w:tcPr>
            <w:tcW w:w="1036" w:type="dxa"/>
            <w:tcBorders>
              <w:top w:val="nil"/>
              <w:left w:val="nil"/>
              <w:bottom w:val="single" w:sz="4" w:space="0" w:color="auto"/>
              <w:right w:val="single" w:sz="4" w:space="0" w:color="auto"/>
            </w:tcBorders>
            <w:shd w:val="clear" w:color="auto" w:fill="auto"/>
            <w:noWrap/>
            <w:vAlign w:val="center"/>
            <w:hideMark/>
          </w:tcPr>
          <w:p w14:paraId="4B84E9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22332570</w:t>
            </w:r>
          </w:p>
        </w:tc>
        <w:tc>
          <w:tcPr>
            <w:tcW w:w="160" w:type="dxa"/>
            <w:tcBorders>
              <w:top w:val="nil"/>
              <w:left w:val="nil"/>
              <w:bottom w:val="single" w:sz="4" w:space="0" w:color="auto"/>
              <w:right w:val="nil"/>
            </w:tcBorders>
            <w:vAlign w:val="center"/>
          </w:tcPr>
          <w:p w14:paraId="450E64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2295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KOMENDA</w:t>
            </w:r>
          </w:p>
        </w:tc>
      </w:tr>
      <w:tr w:rsidR="00072A69" w:rsidRPr="00DC6DF9" w14:paraId="37A3ED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9B9C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892</w:t>
            </w:r>
          </w:p>
        </w:tc>
        <w:tc>
          <w:tcPr>
            <w:tcW w:w="1036" w:type="dxa"/>
            <w:tcBorders>
              <w:top w:val="nil"/>
              <w:left w:val="nil"/>
              <w:bottom w:val="single" w:sz="4" w:space="0" w:color="auto"/>
              <w:right w:val="single" w:sz="4" w:space="0" w:color="auto"/>
            </w:tcBorders>
            <w:shd w:val="clear" w:color="auto" w:fill="auto"/>
            <w:noWrap/>
            <w:vAlign w:val="center"/>
            <w:hideMark/>
          </w:tcPr>
          <w:p w14:paraId="7DCCBE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2179903000</w:t>
            </w:r>
          </w:p>
        </w:tc>
        <w:tc>
          <w:tcPr>
            <w:tcW w:w="1036" w:type="dxa"/>
            <w:tcBorders>
              <w:top w:val="nil"/>
              <w:left w:val="nil"/>
              <w:bottom w:val="single" w:sz="4" w:space="0" w:color="auto"/>
              <w:right w:val="single" w:sz="4" w:space="0" w:color="auto"/>
            </w:tcBorders>
            <w:shd w:val="clear" w:color="auto" w:fill="auto"/>
            <w:noWrap/>
            <w:vAlign w:val="center"/>
            <w:hideMark/>
          </w:tcPr>
          <w:p w14:paraId="32AFDB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71838449</w:t>
            </w:r>
          </w:p>
        </w:tc>
        <w:tc>
          <w:tcPr>
            <w:tcW w:w="160" w:type="dxa"/>
            <w:tcBorders>
              <w:top w:val="nil"/>
              <w:left w:val="nil"/>
              <w:bottom w:val="single" w:sz="4" w:space="0" w:color="auto"/>
              <w:right w:val="nil"/>
            </w:tcBorders>
            <w:vAlign w:val="center"/>
          </w:tcPr>
          <w:p w14:paraId="1F860A6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4935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KOSTANJEVICA NA KRKI</w:t>
            </w:r>
          </w:p>
        </w:tc>
      </w:tr>
      <w:tr w:rsidR="00072A69" w:rsidRPr="00DC6DF9" w14:paraId="53C1C3E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E494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893</w:t>
            </w:r>
          </w:p>
        </w:tc>
        <w:tc>
          <w:tcPr>
            <w:tcW w:w="1036" w:type="dxa"/>
            <w:tcBorders>
              <w:top w:val="nil"/>
              <w:left w:val="nil"/>
              <w:bottom w:val="single" w:sz="4" w:space="0" w:color="auto"/>
              <w:right w:val="single" w:sz="4" w:space="0" w:color="auto"/>
            </w:tcBorders>
            <w:shd w:val="clear" w:color="auto" w:fill="auto"/>
            <w:noWrap/>
            <w:vAlign w:val="center"/>
            <w:hideMark/>
          </w:tcPr>
          <w:p w14:paraId="2A20C8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1332210000</w:t>
            </w:r>
          </w:p>
        </w:tc>
        <w:tc>
          <w:tcPr>
            <w:tcW w:w="1036" w:type="dxa"/>
            <w:tcBorders>
              <w:top w:val="nil"/>
              <w:left w:val="nil"/>
              <w:bottom w:val="single" w:sz="4" w:space="0" w:color="auto"/>
              <w:right w:val="single" w:sz="4" w:space="0" w:color="auto"/>
            </w:tcBorders>
            <w:shd w:val="clear" w:color="auto" w:fill="auto"/>
            <w:noWrap/>
            <w:vAlign w:val="center"/>
            <w:hideMark/>
          </w:tcPr>
          <w:p w14:paraId="46C697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17807328</w:t>
            </w:r>
          </w:p>
        </w:tc>
        <w:tc>
          <w:tcPr>
            <w:tcW w:w="160" w:type="dxa"/>
            <w:tcBorders>
              <w:top w:val="nil"/>
              <w:left w:val="nil"/>
              <w:bottom w:val="single" w:sz="4" w:space="0" w:color="auto"/>
              <w:right w:val="nil"/>
            </w:tcBorders>
            <w:vAlign w:val="center"/>
          </w:tcPr>
          <w:p w14:paraId="4BA0CC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DE43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KOSTEL</w:t>
            </w:r>
          </w:p>
        </w:tc>
      </w:tr>
      <w:tr w:rsidR="00072A69" w:rsidRPr="00DC6DF9" w14:paraId="7685AB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84F4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894</w:t>
            </w:r>
          </w:p>
        </w:tc>
        <w:tc>
          <w:tcPr>
            <w:tcW w:w="1036" w:type="dxa"/>
            <w:tcBorders>
              <w:top w:val="nil"/>
              <w:left w:val="nil"/>
              <w:bottom w:val="single" w:sz="4" w:space="0" w:color="auto"/>
              <w:right w:val="single" w:sz="4" w:space="0" w:color="auto"/>
            </w:tcBorders>
            <w:shd w:val="clear" w:color="auto" w:fill="auto"/>
            <w:noWrap/>
            <w:vAlign w:val="center"/>
            <w:hideMark/>
          </w:tcPr>
          <w:p w14:paraId="46A655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5884004000</w:t>
            </w:r>
          </w:p>
        </w:tc>
        <w:tc>
          <w:tcPr>
            <w:tcW w:w="1036" w:type="dxa"/>
            <w:tcBorders>
              <w:top w:val="nil"/>
              <w:left w:val="nil"/>
              <w:bottom w:val="single" w:sz="4" w:space="0" w:color="auto"/>
              <w:right w:val="single" w:sz="4" w:space="0" w:color="auto"/>
            </w:tcBorders>
            <w:shd w:val="clear" w:color="auto" w:fill="auto"/>
            <w:noWrap/>
            <w:vAlign w:val="center"/>
            <w:hideMark/>
          </w:tcPr>
          <w:p w14:paraId="763898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17124379</w:t>
            </w:r>
          </w:p>
        </w:tc>
        <w:tc>
          <w:tcPr>
            <w:tcW w:w="160" w:type="dxa"/>
            <w:tcBorders>
              <w:top w:val="nil"/>
              <w:left w:val="nil"/>
              <w:bottom w:val="single" w:sz="4" w:space="0" w:color="auto"/>
              <w:right w:val="nil"/>
            </w:tcBorders>
            <w:vAlign w:val="center"/>
          </w:tcPr>
          <w:p w14:paraId="744C21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A4C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KOZJE</w:t>
            </w:r>
          </w:p>
        </w:tc>
      </w:tr>
      <w:tr w:rsidR="00072A69" w:rsidRPr="00DC6DF9" w14:paraId="6E0EF6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0A7F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895</w:t>
            </w:r>
          </w:p>
        </w:tc>
        <w:tc>
          <w:tcPr>
            <w:tcW w:w="1036" w:type="dxa"/>
            <w:tcBorders>
              <w:top w:val="nil"/>
              <w:left w:val="nil"/>
              <w:bottom w:val="single" w:sz="4" w:space="0" w:color="auto"/>
              <w:right w:val="single" w:sz="4" w:space="0" w:color="auto"/>
            </w:tcBorders>
            <w:shd w:val="clear" w:color="auto" w:fill="auto"/>
            <w:noWrap/>
            <w:vAlign w:val="center"/>
            <w:hideMark/>
          </w:tcPr>
          <w:p w14:paraId="0ABAA3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5874327000</w:t>
            </w:r>
          </w:p>
        </w:tc>
        <w:tc>
          <w:tcPr>
            <w:tcW w:w="1036" w:type="dxa"/>
            <w:tcBorders>
              <w:top w:val="nil"/>
              <w:left w:val="nil"/>
              <w:bottom w:val="single" w:sz="4" w:space="0" w:color="auto"/>
              <w:right w:val="single" w:sz="4" w:space="0" w:color="auto"/>
            </w:tcBorders>
            <w:shd w:val="clear" w:color="auto" w:fill="auto"/>
            <w:noWrap/>
            <w:vAlign w:val="center"/>
            <w:hideMark/>
          </w:tcPr>
          <w:p w14:paraId="353047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81758006</w:t>
            </w:r>
          </w:p>
        </w:tc>
        <w:tc>
          <w:tcPr>
            <w:tcW w:w="160" w:type="dxa"/>
            <w:tcBorders>
              <w:top w:val="nil"/>
              <w:left w:val="nil"/>
              <w:bottom w:val="single" w:sz="4" w:space="0" w:color="auto"/>
              <w:right w:val="nil"/>
            </w:tcBorders>
            <w:vAlign w:val="center"/>
          </w:tcPr>
          <w:p w14:paraId="183F03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7C42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KRANJSKA GORA</w:t>
            </w:r>
          </w:p>
        </w:tc>
      </w:tr>
      <w:tr w:rsidR="00072A69" w:rsidRPr="00DC6DF9" w14:paraId="18B4BA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13B3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896</w:t>
            </w:r>
          </w:p>
        </w:tc>
        <w:tc>
          <w:tcPr>
            <w:tcW w:w="1036" w:type="dxa"/>
            <w:tcBorders>
              <w:top w:val="nil"/>
              <w:left w:val="nil"/>
              <w:bottom w:val="single" w:sz="4" w:space="0" w:color="auto"/>
              <w:right w:val="single" w:sz="4" w:space="0" w:color="auto"/>
            </w:tcBorders>
            <w:shd w:val="clear" w:color="auto" w:fill="auto"/>
            <w:noWrap/>
            <w:vAlign w:val="center"/>
            <w:hideMark/>
          </w:tcPr>
          <w:p w14:paraId="41DD84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1332147000</w:t>
            </w:r>
          </w:p>
        </w:tc>
        <w:tc>
          <w:tcPr>
            <w:tcW w:w="1036" w:type="dxa"/>
            <w:tcBorders>
              <w:top w:val="nil"/>
              <w:left w:val="nil"/>
              <w:bottom w:val="single" w:sz="4" w:space="0" w:color="auto"/>
              <w:right w:val="single" w:sz="4" w:space="0" w:color="auto"/>
            </w:tcBorders>
            <w:shd w:val="clear" w:color="auto" w:fill="auto"/>
            <w:noWrap/>
            <w:vAlign w:val="center"/>
            <w:hideMark/>
          </w:tcPr>
          <w:p w14:paraId="6A2157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84582057</w:t>
            </w:r>
          </w:p>
        </w:tc>
        <w:tc>
          <w:tcPr>
            <w:tcW w:w="160" w:type="dxa"/>
            <w:tcBorders>
              <w:top w:val="nil"/>
              <w:left w:val="nil"/>
              <w:bottom w:val="single" w:sz="4" w:space="0" w:color="auto"/>
              <w:right w:val="nil"/>
            </w:tcBorders>
            <w:vAlign w:val="center"/>
          </w:tcPr>
          <w:p w14:paraId="1C1B0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13DA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KRIŽEVCI</w:t>
            </w:r>
          </w:p>
        </w:tc>
      </w:tr>
      <w:tr w:rsidR="00072A69" w:rsidRPr="00DC6DF9" w14:paraId="48B493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701B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897</w:t>
            </w:r>
          </w:p>
        </w:tc>
        <w:tc>
          <w:tcPr>
            <w:tcW w:w="1036" w:type="dxa"/>
            <w:tcBorders>
              <w:top w:val="nil"/>
              <w:left w:val="nil"/>
              <w:bottom w:val="single" w:sz="4" w:space="0" w:color="auto"/>
              <w:right w:val="single" w:sz="4" w:space="0" w:color="auto"/>
            </w:tcBorders>
            <w:shd w:val="clear" w:color="auto" w:fill="auto"/>
            <w:noWrap/>
            <w:vAlign w:val="center"/>
            <w:hideMark/>
          </w:tcPr>
          <w:p w14:paraId="2FE757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5874572000</w:t>
            </w:r>
          </w:p>
        </w:tc>
        <w:tc>
          <w:tcPr>
            <w:tcW w:w="1036" w:type="dxa"/>
            <w:tcBorders>
              <w:top w:val="nil"/>
              <w:left w:val="nil"/>
              <w:bottom w:val="single" w:sz="4" w:space="0" w:color="auto"/>
              <w:right w:val="single" w:sz="4" w:space="0" w:color="auto"/>
            </w:tcBorders>
            <w:shd w:val="clear" w:color="auto" w:fill="auto"/>
            <w:noWrap/>
            <w:vAlign w:val="center"/>
            <w:hideMark/>
          </w:tcPr>
          <w:p w14:paraId="59175C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18845673</w:t>
            </w:r>
          </w:p>
        </w:tc>
        <w:tc>
          <w:tcPr>
            <w:tcW w:w="160" w:type="dxa"/>
            <w:tcBorders>
              <w:top w:val="nil"/>
              <w:left w:val="nil"/>
              <w:bottom w:val="single" w:sz="4" w:space="0" w:color="auto"/>
              <w:right w:val="nil"/>
            </w:tcBorders>
            <w:vAlign w:val="center"/>
          </w:tcPr>
          <w:p w14:paraId="70463EE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E7E7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KRŠKO</w:t>
            </w:r>
          </w:p>
        </w:tc>
      </w:tr>
      <w:tr w:rsidR="00072A69" w:rsidRPr="00DC6DF9" w14:paraId="2CF1EA8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7F91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898</w:t>
            </w:r>
          </w:p>
        </w:tc>
        <w:tc>
          <w:tcPr>
            <w:tcW w:w="1036" w:type="dxa"/>
            <w:tcBorders>
              <w:top w:val="nil"/>
              <w:left w:val="nil"/>
              <w:bottom w:val="single" w:sz="4" w:space="0" w:color="auto"/>
              <w:right w:val="single" w:sz="4" w:space="0" w:color="auto"/>
            </w:tcBorders>
            <w:shd w:val="clear" w:color="auto" w:fill="auto"/>
            <w:noWrap/>
            <w:vAlign w:val="center"/>
            <w:hideMark/>
          </w:tcPr>
          <w:p w14:paraId="030FC8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5884144000</w:t>
            </w:r>
          </w:p>
        </w:tc>
        <w:tc>
          <w:tcPr>
            <w:tcW w:w="1036" w:type="dxa"/>
            <w:tcBorders>
              <w:top w:val="nil"/>
              <w:left w:val="nil"/>
              <w:bottom w:val="single" w:sz="4" w:space="0" w:color="auto"/>
              <w:right w:val="single" w:sz="4" w:space="0" w:color="auto"/>
            </w:tcBorders>
            <w:shd w:val="clear" w:color="auto" w:fill="auto"/>
            <w:noWrap/>
            <w:vAlign w:val="center"/>
            <w:hideMark/>
          </w:tcPr>
          <w:p w14:paraId="0F95A9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63326833</w:t>
            </w:r>
          </w:p>
        </w:tc>
        <w:tc>
          <w:tcPr>
            <w:tcW w:w="160" w:type="dxa"/>
            <w:tcBorders>
              <w:top w:val="nil"/>
              <w:left w:val="nil"/>
              <w:bottom w:val="single" w:sz="4" w:space="0" w:color="auto"/>
              <w:right w:val="nil"/>
            </w:tcBorders>
            <w:vAlign w:val="center"/>
          </w:tcPr>
          <w:p w14:paraId="7B8F7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7F1F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KUNGOTA</w:t>
            </w:r>
          </w:p>
        </w:tc>
      </w:tr>
      <w:tr w:rsidR="00072A69" w:rsidRPr="00DC6DF9" w14:paraId="1A9769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BF3E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899</w:t>
            </w:r>
          </w:p>
        </w:tc>
        <w:tc>
          <w:tcPr>
            <w:tcW w:w="1036" w:type="dxa"/>
            <w:tcBorders>
              <w:top w:val="nil"/>
              <w:left w:val="nil"/>
              <w:bottom w:val="single" w:sz="4" w:space="0" w:color="auto"/>
              <w:right w:val="single" w:sz="4" w:space="0" w:color="auto"/>
            </w:tcBorders>
            <w:shd w:val="clear" w:color="auto" w:fill="auto"/>
            <w:noWrap/>
            <w:vAlign w:val="center"/>
            <w:hideMark/>
          </w:tcPr>
          <w:p w14:paraId="5ED9C8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5883121000</w:t>
            </w:r>
          </w:p>
        </w:tc>
        <w:tc>
          <w:tcPr>
            <w:tcW w:w="1036" w:type="dxa"/>
            <w:tcBorders>
              <w:top w:val="nil"/>
              <w:left w:val="nil"/>
              <w:bottom w:val="single" w:sz="4" w:space="0" w:color="auto"/>
              <w:right w:val="single" w:sz="4" w:space="0" w:color="auto"/>
            </w:tcBorders>
            <w:shd w:val="clear" w:color="auto" w:fill="auto"/>
            <w:noWrap/>
            <w:vAlign w:val="center"/>
            <w:hideMark/>
          </w:tcPr>
          <w:p w14:paraId="63FAD6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64854302</w:t>
            </w:r>
          </w:p>
        </w:tc>
        <w:tc>
          <w:tcPr>
            <w:tcW w:w="160" w:type="dxa"/>
            <w:tcBorders>
              <w:top w:val="nil"/>
              <w:left w:val="nil"/>
              <w:bottom w:val="single" w:sz="4" w:space="0" w:color="auto"/>
              <w:right w:val="nil"/>
            </w:tcBorders>
            <w:vAlign w:val="center"/>
          </w:tcPr>
          <w:p w14:paraId="28F23A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AB52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KUZMA</w:t>
            </w:r>
          </w:p>
        </w:tc>
      </w:tr>
      <w:tr w:rsidR="00072A69" w:rsidRPr="00DC6DF9" w14:paraId="707E02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B1F6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900</w:t>
            </w:r>
          </w:p>
        </w:tc>
        <w:tc>
          <w:tcPr>
            <w:tcW w:w="1036" w:type="dxa"/>
            <w:tcBorders>
              <w:top w:val="nil"/>
              <w:left w:val="nil"/>
              <w:bottom w:val="single" w:sz="4" w:space="0" w:color="auto"/>
              <w:right w:val="single" w:sz="4" w:space="0" w:color="auto"/>
            </w:tcBorders>
            <w:shd w:val="clear" w:color="auto" w:fill="auto"/>
            <w:noWrap/>
            <w:vAlign w:val="center"/>
            <w:hideMark/>
          </w:tcPr>
          <w:p w14:paraId="6F52B3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5874505000</w:t>
            </w:r>
          </w:p>
        </w:tc>
        <w:tc>
          <w:tcPr>
            <w:tcW w:w="1036" w:type="dxa"/>
            <w:tcBorders>
              <w:top w:val="nil"/>
              <w:left w:val="nil"/>
              <w:bottom w:val="single" w:sz="4" w:space="0" w:color="auto"/>
              <w:right w:val="single" w:sz="4" w:space="0" w:color="auto"/>
            </w:tcBorders>
            <w:shd w:val="clear" w:color="auto" w:fill="auto"/>
            <w:noWrap/>
            <w:vAlign w:val="center"/>
            <w:hideMark/>
          </w:tcPr>
          <w:p w14:paraId="52C9B4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11734612</w:t>
            </w:r>
          </w:p>
        </w:tc>
        <w:tc>
          <w:tcPr>
            <w:tcW w:w="160" w:type="dxa"/>
            <w:tcBorders>
              <w:top w:val="nil"/>
              <w:left w:val="nil"/>
              <w:bottom w:val="single" w:sz="4" w:space="0" w:color="auto"/>
              <w:right w:val="nil"/>
            </w:tcBorders>
            <w:vAlign w:val="center"/>
          </w:tcPr>
          <w:p w14:paraId="1F25BAB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783B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LAŠKO</w:t>
            </w:r>
          </w:p>
        </w:tc>
      </w:tr>
      <w:tr w:rsidR="00072A69" w:rsidRPr="00DC6DF9" w14:paraId="5AE2E7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42B6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901</w:t>
            </w:r>
          </w:p>
        </w:tc>
        <w:tc>
          <w:tcPr>
            <w:tcW w:w="1036" w:type="dxa"/>
            <w:tcBorders>
              <w:top w:val="nil"/>
              <w:left w:val="nil"/>
              <w:bottom w:val="single" w:sz="4" w:space="0" w:color="auto"/>
              <w:right w:val="single" w:sz="4" w:space="0" w:color="auto"/>
            </w:tcBorders>
            <w:shd w:val="clear" w:color="auto" w:fill="auto"/>
            <w:noWrap/>
            <w:vAlign w:val="center"/>
            <w:hideMark/>
          </w:tcPr>
          <w:p w14:paraId="7369EB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5874254000</w:t>
            </w:r>
          </w:p>
        </w:tc>
        <w:tc>
          <w:tcPr>
            <w:tcW w:w="1036" w:type="dxa"/>
            <w:tcBorders>
              <w:top w:val="nil"/>
              <w:left w:val="nil"/>
              <w:bottom w:val="single" w:sz="4" w:space="0" w:color="auto"/>
              <w:right w:val="single" w:sz="4" w:space="0" w:color="auto"/>
            </w:tcBorders>
            <w:shd w:val="clear" w:color="auto" w:fill="auto"/>
            <w:noWrap/>
            <w:vAlign w:val="center"/>
            <w:hideMark/>
          </w:tcPr>
          <w:p w14:paraId="4185CB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68458509</w:t>
            </w:r>
          </w:p>
        </w:tc>
        <w:tc>
          <w:tcPr>
            <w:tcW w:w="160" w:type="dxa"/>
            <w:tcBorders>
              <w:top w:val="nil"/>
              <w:left w:val="nil"/>
              <w:bottom w:val="single" w:sz="4" w:space="0" w:color="auto"/>
              <w:right w:val="nil"/>
            </w:tcBorders>
            <w:vAlign w:val="center"/>
          </w:tcPr>
          <w:p w14:paraId="44EAB03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77A4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LENART</w:t>
            </w:r>
          </w:p>
        </w:tc>
      </w:tr>
      <w:tr w:rsidR="00072A69" w:rsidRPr="00DC6DF9" w14:paraId="614E9D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C6FC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902</w:t>
            </w:r>
          </w:p>
        </w:tc>
        <w:tc>
          <w:tcPr>
            <w:tcW w:w="1036" w:type="dxa"/>
            <w:tcBorders>
              <w:top w:val="nil"/>
              <w:left w:val="nil"/>
              <w:bottom w:val="single" w:sz="4" w:space="0" w:color="auto"/>
              <w:right w:val="single" w:sz="4" w:space="0" w:color="auto"/>
            </w:tcBorders>
            <w:shd w:val="clear" w:color="auto" w:fill="auto"/>
            <w:noWrap/>
            <w:vAlign w:val="center"/>
            <w:hideMark/>
          </w:tcPr>
          <w:p w14:paraId="65D729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5874645000</w:t>
            </w:r>
          </w:p>
        </w:tc>
        <w:tc>
          <w:tcPr>
            <w:tcW w:w="1036" w:type="dxa"/>
            <w:tcBorders>
              <w:top w:val="nil"/>
              <w:left w:val="nil"/>
              <w:bottom w:val="single" w:sz="4" w:space="0" w:color="auto"/>
              <w:right w:val="single" w:sz="4" w:space="0" w:color="auto"/>
            </w:tcBorders>
            <w:shd w:val="clear" w:color="auto" w:fill="auto"/>
            <w:noWrap/>
            <w:vAlign w:val="center"/>
            <w:hideMark/>
          </w:tcPr>
          <w:p w14:paraId="0A695C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27705935</w:t>
            </w:r>
          </w:p>
        </w:tc>
        <w:tc>
          <w:tcPr>
            <w:tcW w:w="160" w:type="dxa"/>
            <w:tcBorders>
              <w:top w:val="nil"/>
              <w:left w:val="nil"/>
              <w:bottom w:val="single" w:sz="4" w:space="0" w:color="auto"/>
              <w:right w:val="nil"/>
            </w:tcBorders>
            <w:vAlign w:val="center"/>
          </w:tcPr>
          <w:p w14:paraId="07002C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B2C5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LENDAVA</w:t>
            </w:r>
          </w:p>
        </w:tc>
      </w:tr>
      <w:tr w:rsidR="00072A69" w:rsidRPr="00DC6DF9" w14:paraId="097780B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EC03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903</w:t>
            </w:r>
          </w:p>
        </w:tc>
        <w:tc>
          <w:tcPr>
            <w:tcW w:w="1036" w:type="dxa"/>
            <w:tcBorders>
              <w:top w:val="nil"/>
              <w:left w:val="nil"/>
              <w:bottom w:val="single" w:sz="4" w:space="0" w:color="auto"/>
              <w:right w:val="single" w:sz="4" w:space="0" w:color="auto"/>
            </w:tcBorders>
            <w:shd w:val="clear" w:color="auto" w:fill="auto"/>
            <w:noWrap/>
            <w:vAlign w:val="center"/>
            <w:hideMark/>
          </w:tcPr>
          <w:p w14:paraId="3C5777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5874246000</w:t>
            </w:r>
          </w:p>
        </w:tc>
        <w:tc>
          <w:tcPr>
            <w:tcW w:w="1036" w:type="dxa"/>
            <w:tcBorders>
              <w:top w:val="nil"/>
              <w:left w:val="nil"/>
              <w:bottom w:val="single" w:sz="4" w:space="0" w:color="auto"/>
              <w:right w:val="single" w:sz="4" w:space="0" w:color="auto"/>
            </w:tcBorders>
            <w:shd w:val="clear" w:color="auto" w:fill="auto"/>
            <w:noWrap/>
            <w:vAlign w:val="center"/>
            <w:hideMark/>
          </w:tcPr>
          <w:p w14:paraId="028957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18369529</w:t>
            </w:r>
          </w:p>
        </w:tc>
        <w:tc>
          <w:tcPr>
            <w:tcW w:w="160" w:type="dxa"/>
            <w:tcBorders>
              <w:top w:val="nil"/>
              <w:left w:val="nil"/>
              <w:bottom w:val="single" w:sz="4" w:space="0" w:color="auto"/>
              <w:right w:val="nil"/>
            </w:tcBorders>
            <w:vAlign w:val="center"/>
          </w:tcPr>
          <w:p w14:paraId="69F1E4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D0D4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LITIJA</w:t>
            </w:r>
          </w:p>
        </w:tc>
      </w:tr>
      <w:tr w:rsidR="00072A69" w:rsidRPr="00DC6DF9" w14:paraId="03E628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90BA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904</w:t>
            </w:r>
          </w:p>
        </w:tc>
        <w:tc>
          <w:tcPr>
            <w:tcW w:w="1036" w:type="dxa"/>
            <w:tcBorders>
              <w:top w:val="nil"/>
              <w:left w:val="nil"/>
              <w:bottom w:val="single" w:sz="4" w:space="0" w:color="auto"/>
              <w:right w:val="single" w:sz="4" w:space="0" w:color="auto"/>
            </w:tcBorders>
            <w:shd w:val="clear" w:color="auto" w:fill="auto"/>
            <w:noWrap/>
            <w:vAlign w:val="center"/>
            <w:hideMark/>
          </w:tcPr>
          <w:p w14:paraId="735C17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5883733000</w:t>
            </w:r>
          </w:p>
        </w:tc>
        <w:tc>
          <w:tcPr>
            <w:tcW w:w="1036" w:type="dxa"/>
            <w:tcBorders>
              <w:top w:val="nil"/>
              <w:left w:val="nil"/>
              <w:bottom w:val="single" w:sz="4" w:space="0" w:color="auto"/>
              <w:right w:val="single" w:sz="4" w:space="0" w:color="auto"/>
            </w:tcBorders>
            <w:shd w:val="clear" w:color="auto" w:fill="auto"/>
            <w:noWrap/>
            <w:vAlign w:val="center"/>
            <w:hideMark/>
          </w:tcPr>
          <w:p w14:paraId="2EF11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57533776</w:t>
            </w:r>
          </w:p>
        </w:tc>
        <w:tc>
          <w:tcPr>
            <w:tcW w:w="160" w:type="dxa"/>
            <w:tcBorders>
              <w:top w:val="nil"/>
              <w:left w:val="nil"/>
              <w:bottom w:val="single" w:sz="4" w:space="0" w:color="auto"/>
              <w:right w:val="nil"/>
            </w:tcBorders>
            <w:vAlign w:val="center"/>
          </w:tcPr>
          <w:p w14:paraId="7355B7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69B2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LJUBNO</w:t>
            </w:r>
          </w:p>
        </w:tc>
      </w:tr>
      <w:tr w:rsidR="00072A69" w:rsidRPr="00DC6DF9" w14:paraId="479566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BE6E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905</w:t>
            </w:r>
          </w:p>
        </w:tc>
        <w:tc>
          <w:tcPr>
            <w:tcW w:w="1036" w:type="dxa"/>
            <w:tcBorders>
              <w:top w:val="nil"/>
              <w:left w:val="nil"/>
              <w:bottom w:val="single" w:sz="4" w:space="0" w:color="auto"/>
              <w:right w:val="single" w:sz="4" w:space="0" w:color="auto"/>
            </w:tcBorders>
            <w:shd w:val="clear" w:color="auto" w:fill="auto"/>
            <w:noWrap/>
            <w:vAlign w:val="center"/>
            <w:hideMark/>
          </w:tcPr>
          <w:p w14:paraId="37ACF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5874092000</w:t>
            </w:r>
          </w:p>
        </w:tc>
        <w:tc>
          <w:tcPr>
            <w:tcW w:w="1036" w:type="dxa"/>
            <w:tcBorders>
              <w:top w:val="nil"/>
              <w:left w:val="nil"/>
              <w:bottom w:val="single" w:sz="4" w:space="0" w:color="auto"/>
              <w:right w:val="single" w:sz="4" w:space="0" w:color="auto"/>
            </w:tcBorders>
            <w:shd w:val="clear" w:color="auto" w:fill="auto"/>
            <w:noWrap/>
            <w:vAlign w:val="center"/>
            <w:hideMark/>
          </w:tcPr>
          <w:p w14:paraId="0111F7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60214406</w:t>
            </w:r>
          </w:p>
        </w:tc>
        <w:tc>
          <w:tcPr>
            <w:tcW w:w="160" w:type="dxa"/>
            <w:tcBorders>
              <w:top w:val="nil"/>
              <w:left w:val="nil"/>
              <w:bottom w:val="single" w:sz="4" w:space="0" w:color="auto"/>
              <w:right w:val="nil"/>
            </w:tcBorders>
            <w:vAlign w:val="center"/>
          </w:tcPr>
          <w:p w14:paraId="293FD0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2A73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LJUTOMER</w:t>
            </w:r>
          </w:p>
        </w:tc>
      </w:tr>
      <w:tr w:rsidR="00072A69" w:rsidRPr="00DC6DF9" w14:paraId="54C9D58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7D22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906</w:t>
            </w:r>
          </w:p>
        </w:tc>
        <w:tc>
          <w:tcPr>
            <w:tcW w:w="1036" w:type="dxa"/>
            <w:tcBorders>
              <w:top w:val="nil"/>
              <w:left w:val="nil"/>
              <w:bottom w:val="single" w:sz="4" w:space="0" w:color="auto"/>
              <w:right w:val="single" w:sz="4" w:space="0" w:color="auto"/>
            </w:tcBorders>
            <w:shd w:val="clear" w:color="auto" w:fill="auto"/>
            <w:noWrap/>
            <w:vAlign w:val="center"/>
            <w:hideMark/>
          </w:tcPr>
          <w:p w14:paraId="60A724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2261154000</w:t>
            </w:r>
          </w:p>
        </w:tc>
        <w:tc>
          <w:tcPr>
            <w:tcW w:w="1036" w:type="dxa"/>
            <w:tcBorders>
              <w:top w:val="nil"/>
              <w:left w:val="nil"/>
              <w:bottom w:val="single" w:sz="4" w:space="0" w:color="auto"/>
              <w:right w:val="single" w:sz="4" w:space="0" w:color="auto"/>
            </w:tcBorders>
            <w:shd w:val="clear" w:color="auto" w:fill="auto"/>
            <w:noWrap/>
            <w:vAlign w:val="center"/>
            <w:hideMark/>
          </w:tcPr>
          <w:p w14:paraId="0720E5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77778642</w:t>
            </w:r>
          </w:p>
        </w:tc>
        <w:tc>
          <w:tcPr>
            <w:tcW w:w="160" w:type="dxa"/>
            <w:tcBorders>
              <w:top w:val="nil"/>
              <w:left w:val="nil"/>
              <w:bottom w:val="single" w:sz="4" w:space="0" w:color="auto"/>
              <w:right w:val="nil"/>
            </w:tcBorders>
            <w:vAlign w:val="center"/>
          </w:tcPr>
          <w:p w14:paraId="1413C9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2B43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LOG - DRAGOMER</w:t>
            </w:r>
          </w:p>
        </w:tc>
      </w:tr>
      <w:tr w:rsidR="00072A69" w:rsidRPr="00DC6DF9" w14:paraId="1FFABB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1072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907</w:t>
            </w:r>
          </w:p>
        </w:tc>
        <w:tc>
          <w:tcPr>
            <w:tcW w:w="1036" w:type="dxa"/>
            <w:tcBorders>
              <w:top w:val="nil"/>
              <w:left w:val="nil"/>
              <w:bottom w:val="single" w:sz="4" w:space="0" w:color="auto"/>
              <w:right w:val="single" w:sz="4" w:space="0" w:color="auto"/>
            </w:tcBorders>
            <w:shd w:val="clear" w:color="auto" w:fill="auto"/>
            <w:noWrap/>
            <w:vAlign w:val="center"/>
            <w:hideMark/>
          </w:tcPr>
          <w:p w14:paraId="37FEF0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5874661000</w:t>
            </w:r>
          </w:p>
        </w:tc>
        <w:tc>
          <w:tcPr>
            <w:tcW w:w="1036" w:type="dxa"/>
            <w:tcBorders>
              <w:top w:val="nil"/>
              <w:left w:val="nil"/>
              <w:bottom w:val="single" w:sz="4" w:space="0" w:color="auto"/>
              <w:right w:val="single" w:sz="4" w:space="0" w:color="auto"/>
            </w:tcBorders>
            <w:shd w:val="clear" w:color="auto" w:fill="auto"/>
            <w:noWrap/>
            <w:vAlign w:val="center"/>
            <w:hideMark/>
          </w:tcPr>
          <w:p w14:paraId="4A6720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55512844</w:t>
            </w:r>
          </w:p>
        </w:tc>
        <w:tc>
          <w:tcPr>
            <w:tcW w:w="160" w:type="dxa"/>
            <w:tcBorders>
              <w:top w:val="nil"/>
              <w:left w:val="nil"/>
              <w:bottom w:val="single" w:sz="4" w:space="0" w:color="auto"/>
              <w:right w:val="nil"/>
            </w:tcBorders>
            <w:vAlign w:val="center"/>
          </w:tcPr>
          <w:p w14:paraId="7145DA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E14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LOGATEC</w:t>
            </w:r>
          </w:p>
        </w:tc>
      </w:tr>
      <w:tr w:rsidR="00072A69" w:rsidRPr="00DC6DF9" w14:paraId="37D140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F3F4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908</w:t>
            </w:r>
          </w:p>
        </w:tc>
        <w:tc>
          <w:tcPr>
            <w:tcW w:w="1036" w:type="dxa"/>
            <w:tcBorders>
              <w:top w:val="nil"/>
              <w:left w:val="nil"/>
              <w:bottom w:val="single" w:sz="4" w:space="0" w:color="auto"/>
              <w:right w:val="single" w:sz="4" w:space="0" w:color="auto"/>
            </w:tcBorders>
            <w:shd w:val="clear" w:color="auto" w:fill="auto"/>
            <w:noWrap/>
            <w:vAlign w:val="center"/>
            <w:hideMark/>
          </w:tcPr>
          <w:p w14:paraId="59EA23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5880165000</w:t>
            </w:r>
          </w:p>
        </w:tc>
        <w:tc>
          <w:tcPr>
            <w:tcW w:w="1036" w:type="dxa"/>
            <w:tcBorders>
              <w:top w:val="nil"/>
              <w:left w:val="nil"/>
              <w:bottom w:val="single" w:sz="4" w:space="0" w:color="auto"/>
              <w:right w:val="single" w:sz="4" w:space="0" w:color="auto"/>
            </w:tcBorders>
            <w:shd w:val="clear" w:color="auto" w:fill="auto"/>
            <w:noWrap/>
            <w:vAlign w:val="center"/>
            <w:hideMark/>
          </w:tcPr>
          <w:p w14:paraId="065574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78057370</w:t>
            </w:r>
          </w:p>
        </w:tc>
        <w:tc>
          <w:tcPr>
            <w:tcW w:w="160" w:type="dxa"/>
            <w:tcBorders>
              <w:top w:val="nil"/>
              <w:left w:val="nil"/>
              <w:bottom w:val="single" w:sz="4" w:space="0" w:color="auto"/>
              <w:right w:val="nil"/>
            </w:tcBorders>
            <w:vAlign w:val="center"/>
          </w:tcPr>
          <w:p w14:paraId="1755FC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C27A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LOŠKA DOLINA</w:t>
            </w:r>
          </w:p>
        </w:tc>
      </w:tr>
      <w:tr w:rsidR="00072A69" w:rsidRPr="00DC6DF9" w14:paraId="6CB8F3D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9EB1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909</w:t>
            </w:r>
          </w:p>
        </w:tc>
        <w:tc>
          <w:tcPr>
            <w:tcW w:w="1036" w:type="dxa"/>
            <w:tcBorders>
              <w:top w:val="nil"/>
              <w:left w:val="nil"/>
              <w:bottom w:val="single" w:sz="4" w:space="0" w:color="auto"/>
              <w:right w:val="single" w:sz="4" w:space="0" w:color="auto"/>
            </w:tcBorders>
            <w:shd w:val="clear" w:color="auto" w:fill="auto"/>
            <w:noWrap/>
            <w:vAlign w:val="center"/>
            <w:hideMark/>
          </w:tcPr>
          <w:p w14:paraId="701268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5883806000</w:t>
            </w:r>
          </w:p>
        </w:tc>
        <w:tc>
          <w:tcPr>
            <w:tcW w:w="1036" w:type="dxa"/>
            <w:tcBorders>
              <w:top w:val="nil"/>
              <w:left w:val="nil"/>
              <w:bottom w:val="single" w:sz="4" w:space="0" w:color="auto"/>
              <w:right w:val="single" w:sz="4" w:space="0" w:color="auto"/>
            </w:tcBorders>
            <w:shd w:val="clear" w:color="auto" w:fill="auto"/>
            <w:noWrap/>
            <w:vAlign w:val="center"/>
            <w:hideMark/>
          </w:tcPr>
          <w:p w14:paraId="0D449F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47965525</w:t>
            </w:r>
          </w:p>
        </w:tc>
        <w:tc>
          <w:tcPr>
            <w:tcW w:w="160" w:type="dxa"/>
            <w:tcBorders>
              <w:top w:val="nil"/>
              <w:left w:val="nil"/>
              <w:bottom w:val="single" w:sz="4" w:space="0" w:color="auto"/>
              <w:right w:val="nil"/>
            </w:tcBorders>
            <w:vAlign w:val="center"/>
          </w:tcPr>
          <w:p w14:paraId="1CB59D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71BE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LOŠKI POTOK</w:t>
            </w:r>
          </w:p>
        </w:tc>
      </w:tr>
      <w:tr w:rsidR="00072A69" w:rsidRPr="00DC6DF9" w14:paraId="411FAD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7013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910</w:t>
            </w:r>
          </w:p>
        </w:tc>
        <w:tc>
          <w:tcPr>
            <w:tcW w:w="1036" w:type="dxa"/>
            <w:tcBorders>
              <w:top w:val="nil"/>
              <w:left w:val="nil"/>
              <w:bottom w:val="single" w:sz="4" w:space="0" w:color="auto"/>
              <w:right w:val="single" w:sz="4" w:space="0" w:color="auto"/>
            </w:tcBorders>
            <w:shd w:val="clear" w:color="auto" w:fill="auto"/>
            <w:noWrap/>
            <w:vAlign w:val="center"/>
            <w:hideMark/>
          </w:tcPr>
          <w:p w14:paraId="7CB50B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1357883000</w:t>
            </w:r>
          </w:p>
        </w:tc>
        <w:tc>
          <w:tcPr>
            <w:tcW w:w="1036" w:type="dxa"/>
            <w:tcBorders>
              <w:top w:val="nil"/>
              <w:left w:val="nil"/>
              <w:bottom w:val="single" w:sz="4" w:space="0" w:color="auto"/>
              <w:right w:val="single" w:sz="4" w:space="0" w:color="auto"/>
            </w:tcBorders>
            <w:shd w:val="clear" w:color="auto" w:fill="auto"/>
            <w:noWrap/>
            <w:vAlign w:val="center"/>
            <w:hideMark/>
          </w:tcPr>
          <w:p w14:paraId="487888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11392657</w:t>
            </w:r>
          </w:p>
        </w:tc>
        <w:tc>
          <w:tcPr>
            <w:tcW w:w="160" w:type="dxa"/>
            <w:tcBorders>
              <w:top w:val="nil"/>
              <w:left w:val="nil"/>
              <w:bottom w:val="single" w:sz="4" w:space="0" w:color="auto"/>
              <w:right w:val="nil"/>
            </w:tcBorders>
            <w:vAlign w:val="center"/>
          </w:tcPr>
          <w:p w14:paraId="5308CB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83C4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LOVRENC NA POHORJU</w:t>
            </w:r>
          </w:p>
        </w:tc>
      </w:tr>
      <w:tr w:rsidR="00072A69" w:rsidRPr="00DC6DF9" w14:paraId="08EEE2C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3F9B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911</w:t>
            </w:r>
          </w:p>
        </w:tc>
        <w:tc>
          <w:tcPr>
            <w:tcW w:w="1036" w:type="dxa"/>
            <w:tcBorders>
              <w:top w:val="nil"/>
              <w:left w:val="nil"/>
              <w:bottom w:val="single" w:sz="4" w:space="0" w:color="auto"/>
              <w:right w:val="single" w:sz="4" w:space="0" w:color="auto"/>
            </w:tcBorders>
            <w:shd w:val="clear" w:color="auto" w:fill="auto"/>
            <w:noWrap/>
            <w:vAlign w:val="center"/>
            <w:hideMark/>
          </w:tcPr>
          <w:p w14:paraId="5E508D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5883784000</w:t>
            </w:r>
          </w:p>
        </w:tc>
        <w:tc>
          <w:tcPr>
            <w:tcW w:w="1036" w:type="dxa"/>
            <w:tcBorders>
              <w:top w:val="nil"/>
              <w:left w:val="nil"/>
              <w:bottom w:val="single" w:sz="4" w:space="0" w:color="auto"/>
              <w:right w:val="single" w:sz="4" w:space="0" w:color="auto"/>
            </w:tcBorders>
            <w:shd w:val="clear" w:color="auto" w:fill="auto"/>
            <w:noWrap/>
            <w:vAlign w:val="center"/>
            <w:hideMark/>
          </w:tcPr>
          <w:p w14:paraId="53564D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92082386</w:t>
            </w:r>
          </w:p>
        </w:tc>
        <w:tc>
          <w:tcPr>
            <w:tcW w:w="160" w:type="dxa"/>
            <w:tcBorders>
              <w:top w:val="nil"/>
              <w:left w:val="nil"/>
              <w:bottom w:val="single" w:sz="4" w:space="0" w:color="auto"/>
              <w:right w:val="nil"/>
            </w:tcBorders>
            <w:vAlign w:val="center"/>
          </w:tcPr>
          <w:p w14:paraId="30E442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CBCF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LUČE</w:t>
            </w:r>
          </w:p>
        </w:tc>
      </w:tr>
      <w:tr w:rsidR="00072A69" w:rsidRPr="00DC6DF9" w14:paraId="225BA4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7FC6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912</w:t>
            </w:r>
          </w:p>
        </w:tc>
        <w:tc>
          <w:tcPr>
            <w:tcW w:w="1036" w:type="dxa"/>
            <w:tcBorders>
              <w:top w:val="nil"/>
              <w:left w:val="nil"/>
              <w:bottom w:val="single" w:sz="4" w:space="0" w:color="auto"/>
              <w:right w:val="single" w:sz="4" w:space="0" w:color="auto"/>
            </w:tcBorders>
            <w:shd w:val="clear" w:color="auto" w:fill="auto"/>
            <w:noWrap/>
            <w:vAlign w:val="center"/>
            <w:hideMark/>
          </w:tcPr>
          <w:p w14:paraId="73F61D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5880491000</w:t>
            </w:r>
          </w:p>
        </w:tc>
        <w:tc>
          <w:tcPr>
            <w:tcW w:w="1036" w:type="dxa"/>
            <w:tcBorders>
              <w:top w:val="nil"/>
              <w:left w:val="nil"/>
              <w:bottom w:val="single" w:sz="4" w:space="0" w:color="auto"/>
              <w:right w:val="single" w:sz="4" w:space="0" w:color="auto"/>
            </w:tcBorders>
            <w:shd w:val="clear" w:color="auto" w:fill="auto"/>
            <w:noWrap/>
            <w:vAlign w:val="center"/>
            <w:hideMark/>
          </w:tcPr>
          <w:p w14:paraId="43CB81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19246331</w:t>
            </w:r>
          </w:p>
        </w:tc>
        <w:tc>
          <w:tcPr>
            <w:tcW w:w="160" w:type="dxa"/>
            <w:tcBorders>
              <w:top w:val="nil"/>
              <w:left w:val="nil"/>
              <w:bottom w:val="single" w:sz="4" w:space="0" w:color="auto"/>
              <w:right w:val="nil"/>
            </w:tcBorders>
            <w:vAlign w:val="center"/>
          </w:tcPr>
          <w:p w14:paraId="712860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0F2D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LUKOVICA</w:t>
            </w:r>
          </w:p>
        </w:tc>
      </w:tr>
      <w:tr w:rsidR="00072A69" w:rsidRPr="00DC6DF9" w14:paraId="749860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B062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913</w:t>
            </w:r>
          </w:p>
        </w:tc>
        <w:tc>
          <w:tcPr>
            <w:tcW w:w="1036" w:type="dxa"/>
            <w:tcBorders>
              <w:top w:val="nil"/>
              <w:left w:val="nil"/>
              <w:bottom w:val="single" w:sz="4" w:space="0" w:color="auto"/>
              <w:right w:val="single" w:sz="4" w:space="0" w:color="auto"/>
            </w:tcBorders>
            <w:shd w:val="clear" w:color="auto" w:fill="auto"/>
            <w:noWrap/>
            <w:vAlign w:val="center"/>
            <w:hideMark/>
          </w:tcPr>
          <w:p w14:paraId="79C49C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5883644000</w:t>
            </w:r>
          </w:p>
        </w:tc>
        <w:tc>
          <w:tcPr>
            <w:tcW w:w="1036" w:type="dxa"/>
            <w:tcBorders>
              <w:top w:val="nil"/>
              <w:left w:val="nil"/>
              <w:bottom w:val="single" w:sz="4" w:space="0" w:color="auto"/>
              <w:right w:val="single" w:sz="4" w:space="0" w:color="auto"/>
            </w:tcBorders>
            <w:shd w:val="clear" w:color="auto" w:fill="auto"/>
            <w:noWrap/>
            <w:vAlign w:val="center"/>
            <w:hideMark/>
          </w:tcPr>
          <w:p w14:paraId="06ABDE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11993197</w:t>
            </w:r>
          </w:p>
        </w:tc>
        <w:tc>
          <w:tcPr>
            <w:tcW w:w="160" w:type="dxa"/>
            <w:tcBorders>
              <w:top w:val="nil"/>
              <w:left w:val="nil"/>
              <w:bottom w:val="single" w:sz="4" w:space="0" w:color="auto"/>
              <w:right w:val="nil"/>
            </w:tcBorders>
            <w:vAlign w:val="center"/>
          </w:tcPr>
          <w:p w14:paraId="0A82DF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BAF6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MAJŠPERK</w:t>
            </w:r>
          </w:p>
        </w:tc>
      </w:tr>
      <w:tr w:rsidR="00072A69" w:rsidRPr="00DC6DF9" w14:paraId="4032B7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B6AA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914</w:t>
            </w:r>
          </w:p>
        </w:tc>
        <w:tc>
          <w:tcPr>
            <w:tcW w:w="1036" w:type="dxa"/>
            <w:tcBorders>
              <w:top w:val="nil"/>
              <w:left w:val="nil"/>
              <w:bottom w:val="single" w:sz="4" w:space="0" w:color="auto"/>
              <w:right w:val="single" w:sz="4" w:space="0" w:color="auto"/>
            </w:tcBorders>
            <w:shd w:val="clear" w:color="auto" w:fill="auto"/>
            <w:noWrap/>
            <w:vAlign w:val="center"/>
            <w:hideMark/>
          </w:tcPr>
          <w:p w14:paraId="3EC55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2242753000</w:t>
            </w:r>
          </w:p>
        </w:tc>
        <w:tc>
          <w:tcPr>
            <w:tcW w:w="1036" w:type="dxa"/>
            <w:tcBorders>
              <w:top w:val="nil"/>
              <w:left w:val="nil"/>
              <w:bottom w:val="single" w:sz="4" w:space="0" w:color="auto"/>
              <w:right w:val="single" w:sz="4" w:space="0" w:color="auto"/>
            </w:tcBorders>
            <w:shd w:val="clear" w:color="auto" w:fill="auto"/>
            <w:noWrap/>
            <w:vAlign w:val="center"/>
            <w:hideMark/>
          </w:tcPr>
          <w:p w14:paraId="3353DE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26682117</w:t>
            </w:r>
          </w:p>
        </w:tc>
        <w:tc>
          <w:tcPr>
            <w:tcW w:w="160" w:type="dxa"/>
            <w:tcBorders>
              <w:top w:val="nil"/>
              <w:left w:val="nil"/>
              <w:bottom w:val="single" w:sz="4" w:space="0" w:color="auto"/>
              <w:right w:val="nil"/>
            </w:tcBorders>
            <w:vAlign w:val="center"/>
          </w:tcPr>
          <w:p w14:paraId="337E13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CB4C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MAKOLE</w:t>
            </w:r>
          </w:p>
        </w:tc>
      </w:tr>
      <w:tr w:rsidR="00072A69" w:rsidRPr="00DC6DF9" w14:paraId="2A8741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C76B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w:t>
            </w:r>
          </w:p>
        </w:tc>
        <w:tc>
          <w:tcPr>
            <w:tcW w:w="1036" w:type="dxa"/>
            <w:tcBorders>
              <w:top w:val="nil"/>
              <w:left w:val="nil"/>
              <w:bottom w:val="single" w:sz="4" w:space="0" w:color="auto"/>
              <w:right w:val="single" w:sz="4" w:space="0" w:color="auto"/>
            </w:tcBorders>
            <w:shd w:val="clear" w:color="auto" w:fill="auto"/>
            <w:noWrap/>
            <w:vAlign w:val="center"/>
            <w:hideMark/>
          </w:tcPr>
          <w:p w14:paraId="216564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1357492000</w:t>
            </w:r>
          </w:p>
        </w:tc>
        <w:tc>
          <w:tcPr>
            <w:tcW w:w="1036" w:type="dxa"/>
            <w:tcBorders>
              <w:top w:val="nil"/>
              <w:left w:val="nil"/>
              <w:bottom w:val="single" w:sz="4" w:space="0" w:color="auto"/>
              <w:right w:val="single" w:sz="4" w:space="0" w:color="auto"/>
            </w:tcBorders>
            <w:shd w:val="clear" w:color="auto" w:fill="auto"/>
            <w:noWrap/>
            <w:vAlign w:val="center"/>
            <w:hideMark/>
          </w:tcPr>
          <w:p w14:paraId="49CF1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57234213</w:t>
            </w:r>
          </w:p>
        </w:tc>
        <w:tc>
          <w:tcPr>
            <w:tcW w:w="160" w:type="dxa"/>
            <w:tcBorders>
              <w:top w:val="nil"/>
              <w:left w:val="nil"/>
              <w:bottom w:val="single" w:sz="4" w:space="0" w:color="auto"/>
              <w:right w:val="nil"/>
            </w:tcBorders>
            <w:vAlign w:val="center"/>
          </w:tcPr>
          <w:p w14:paraId="27F513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03BD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MARKOVCI</w:t>
            </w:r>
          </w:p>
        </w:tc>
      </w:tr>
      <w:tr w:rsidR="00072A69" w:rsidRPr="00DC6DF9" w14:paraId="5301EC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F67C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916</w:t>
            </w:r>
          </w:p>
        </w:tc>
        <w:tc>
          <w:tcPr>
            <w:tcW w:w="1036" w:type="dxa"/>
            <w:tcBorders>
              <w:top w:val="nil"/>
              <w:left w:val="nil"/>
              <w:bottom w:val="single" w:sz="4" w:space="0" w:color="auto"/>
              <w:right w:val="single" w:sz="4" w:space="0" w:color="auto"/>
            </w:tcBorders>
            <w:shd w:val="clear" w:color="auto" w:fill="auto"/>
            <w:noWrap/>
            <w:vAlign w:val="center"/>
            <w:hideMark/>
          </w:tcPr>
          <w:p w14:paraId="080F36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5874564000</w:t>
            </w:r>
          </w:p>
        </w:tc>
        <w:tc>
          <w:tcPr>
            <w:tcW w:w="1036" w:type="dxa"/>
            <w:tcBorders>
              <w:top w:val="nil"/>
              <w:left w:val="nil"/>
              <w:bottom w:val="single" w:sz="4" w:space="0" w:color="auto"/>
              <w:right w:val="single" w:sz="4" w:space="0" w:color="auto"/>
            </w:tcBorders>
            <w:shd w:val="clear" w:color="auto" w:fill="auto"/>
            <w:noWrap/>
            <w:vAlign w:val="center"/>
            <w:hideMark/>
          </w:tcPr>
          <w:p w14:paraId="4AB61B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20991517</w:t>
            </w:r>
          </w:p>
        </w:tc>
        <w:tc>
          <w:tcPr>
            <w:tcW w:w="160" w:type="dxa"/>
            <w:tcBorders>
              <w:top w:val="nil"/>
              <w:left w:val="nil"/>
              <w:bottom w:val="single" w:sz="4" w:space="0" w:color="auto"/>
              <w:right w:val="nil"/>
            </w:tcBorders>
            <w:vAlign w:val="center"/>
          </w:tcPr>
          <w:p w14:paraId="473F13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CE1B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MEDVODE</w:t>
            </w:r>
          </w:p>
        </w:tc>
      </w:tr>
      <w:tr w:rsidR="00072A69" w:rsidRPr="00DC6DF9" w14:paraId="2C89EA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C852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917</w:t>
            </w:r>
          </w:p>
        </w:tc>
        <w:tc>
          <w:tcPr>
            <w:tcW w:w="1036" w:type="dxa"/>
            <w:tcBorders>
              <w:top w:val="nil"/>
              <w:left w:val="nil"/>
              <w:bottom w:val="single" w:sz="4" w:space="0" w:color="auto"/>
              <w:right w:val="single" w:sz="4" w:space="0" w:color="auto"/>
            </w:tcBorders>
            <w:shd w:val="clear" w:color="auto" w:fill="auto"/>
            <w:noWrap/>
            <w:vAlign w:val="center"/>
            <w:hideMark/>
          </w:tcPr>
          <w:p w14:paraId="1F1505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5880483000</w:t>
            </w:r>
          </w:p>
        </w:tc>
        <w:tc>
          <w:tcPr>
            <w:tcW w:w="1036" w:type="dxa"/>
            <w:tcBorders>
              <w:top w:val="nil"/>
              <w:left w:val="nil"/>
              <w:bottom w:val="single" w:sz="4" w:space="0" w:color="auto"/>
              <w:right w:val="single" w:sz="4" w:space="0" w:color="auto"/>
            </w:tcBorders>
            <w:shd w:val="clear" w:color="auto" w:fill="auto"/>
            <w:noWrap/>
            <w:vAlign w:val="center"/>
            <w:hideMark/>
          </w:tcPr>
          <w:p w14:paraId="046DE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74039059</w:t>
            </w:r>
          </w:p>
        </w:tc>
        <w:tc>
          <w:tcPr>
            <w:tcW w:w="160" w:type="dxa"/>
            <w:tcBorders>
              <w:top w:val="nil"/>
              <w:left w:val="nil"/>
              <w:bottom w:val="single" w:sz="4" w:space="0" w:color="auto"/>
              <w:right w:val="nil"/>
            </w:tcBorders>
            <w:vAlign w:val="center"/>
          </w:tcPr>
          <w:p w14:paraId="06414F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9656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MENGEŠ</w:t>
            </w:r>
          </w:p>
        </w:tc>
      </w:tr>
      <w:tr w:rsidR="00072A69" w:rsidRPr="00DC6DF9" w14:paraId="2BC3E6A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F11F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918</w:t>
            </w:r>
          </w:p>
        </w:tc>
        <w:tc>
          <w:tcPr>
            <w:tcW w:w="1036" w:type="dxa"/>
            <w:tcBorders>
              <w:top w:val="nil"/>
              <w:left w:val="nil"/>
              <w:bottom w:val="single" w:sz="4" w:space="0" w:color="auto"/>
              <w:right w:val="single" w:sz="4" w:space="0" w:color="auto"/>
            </w:tcBorders>
            <w:shd w:val="clear" w:color="auto" w:fill="auto"/>
            <w:noWrap/>
            <w:vAlign w:val="center"/>
            <w:hideMark/>
          </w:tcPr>
          <w:p w14:paraId="5A4B5A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5881374000</w:t>
            </w:r>
          </w:p>
        </w:tc>
        <w:tc>
          <w:tcPr>
            <w:tcW w:w="1036" w:type="dxa"/>
            <w:tcBorders>
              <w:top w:val="nil"/>
              <w:left w:val="nil"/>
              <w:bottom w:val="single" w:sz="4" w:space="0" w:color="auto"/>
              <w:right w:val="single" w:sz="4" w:space="0" w:color="auto"/>
            </w:tcBorders>
            <w:shd w:val="clear" w:color="auto" w:fill="auto"/>
            <w:noWrap/>
            <w:vAlign w:val="center"/>
            <w:hideMark/>
          </w:tcPr>
          <w:p w14:paraId="17D595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74906275</w:t>
            </w:r>
          </w:p>
        </w:tc>
        <w:tc>
          <w:tcPr>
            <w:tcW w:w="160" w:type="dxa"/>
            <w:tcBorders>
              <w:top w:val="nil"/>
              <w:left w:val="nil"/>
              <w:bottom w:val="single" w:sz="4" w:space="0" w:color="auto"/>
              <w:right w:val="nil"/>
            </w:tcBorders>
            <w:vAlign w:val="center"/>
          </w:tcPr>
          <w:p w14:paraId="77D028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A3A3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METLIKA</w:t>
            </w:r>
          </w:p>
        </w:tc>
      </w:tr>
      <w:tr w:rsidR="00072A69" w:rsidRPr="00DC6DF9" w14:paraId="61AE30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7357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919</w:t>
            </w:r>
          </w:p>
        </w:tc>
        <w:tc>
          <w:tcPr>
            <w:tcW w:w="1036" w:type="dxa"/>
            <w:tcBorders>
              <w:top w:val="nil"/>
              <w:left w:val="nil"/>
              <w:bottom w:val="single" w:sz="4" w:space="0" w:color="auto"/>
              <w:right w:val="single" w:sz="4" w:space="0" w:color="auto"/>
            </w:tcBorders>
            <w:shd w:val="clear" w:color="auto" w:fill="auto"/>
            <w:noWrap/>
            <w:vAlign w:val="center"/>
            <w:hideMark/>
          </w:tcPr>
          <w:p w14:paraId="04ECC4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5883610000</w:t>
            </w:r>
          </w:p>
        </w:tc>
        <w:tc>
          <w:tcPr>
            <w:tcW w:w="1036" w:type="dxa"/>
            <w:tcBorders>
              <w:top w:val="nil"/>
              <w:left w:val="nil"/>
              <w:bottom w:val="single" w:sz="4" w:space="0" w:color="auto"/>
              <w:right w:val="single" w:sz="4" w:space="0" w:color="auto"/>
            </w:tcBorders>
            <w:shd w:val="clear" w:color="auto" w:fill="auto"/>
            <w:noWrap/>
            <w:vAlign w:val="center"/>
            <w:hideMark/>
          </w:tcPr>
          <w:p w14:paraId="0A4080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82400776</w:t>
            </w:r>
          </w:p>
        </w:tc>
        <w:tc>
          <w:tcPr>
            <w:tcW w:w="160" w:type="dxa"/>
            <w:tcBorders>
              <w:top w:val="nil"/>
              <w:left w:val="nil"/>
              <w:bottom w:val="single" w:sz="4" w:space="0" w:color="auto"/>
              <w:right w:val="nil"/>
            </w:tcBorders>
            <w:vAlign w:val="center"/>
          </w:tcPr>
          <w:p w14:paraId="6783F0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BB0B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MEŽICA</w:t>
            </w:r>
          </w:p>
        </w:tc>
      </w:tr>
      <w:tr w:rsidR="00072A69" w:rsidRPr="00DC6DF9" w14:paraId="584F27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9573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w:t>
            </w:r>
          </w:p>
        </w:tc>
        <w:tc>
          <w:tcPr>
            <w:tcW w:w="1036" w:type="dxa"/>
            <w:tcBorders>
              <w:top w:val="nil"/>
              <w:left w:val="nil"/>
              <w:bottom w:val="single" w:sz="4" w:space="0" w:color="auto"/>
              <w:right w:val="single" w:sz="4" w:space="0" w:color="auto"/>
            </w:tcBorders>
            <w:shd w:val="clear" w:color="auto" w:fill="auto"/>
            <w:noWrap/>
            <w:vAlign w:val="center"/>
            <w:hideMark/>
          </w:tcPr>
          <w:p w14:paraId="6A8031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1365614000</w:t>
            </w:r>
          </w:p>
        </w:tc>
        <w:tc>
          <w:tcPr>
            <w:tcW w:w="1036" w:type="dxa"/>
            <w:tcBorders>
              <w:top w:val="nil"/>
              <w:left w:val="nil"/>
              <w:bottom w:val="single" w:sz="4" w:space="0" w:color="auto"/>
              <w:right w:val="single" w:sz="4" w:space="0" w:color="auto"/>
            </w:tcBorders>
            <w:shd w:val="clear" w:color="auto" w:fill="auto"/>
            <w:noWrap/>
            <w:vAlign w:val="center"/>
            <w:hideMark/>
          </w:tcPr>
          <w:p w14:paraId="52F837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60592869</w:t>
            </w:r>
          </w:p>
        </w:tc>
        <w:tc>
          <w:tcPr>
            <w:tcW w:w="160" w:type="dxa"/>
            <w:tcBorders>
              <w:top w:val="nil"/>
              <w:left w:val="nil"/>
              <w:bottom w:val="single" w:sz="4" w:space="0" w:color="auto"/>
              <w:right w:val="nil"/>
            </w:tcBorders>
            <w:vAlign w:val="center"/>
          </w:tcPr>
          <w:p w14:paraId="17701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9A52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MIKLAVŽ NA DRAVSKEM POLJU</w:t>
            </w:r>
          </w:p>
        </w:tc>
      </w:tr>
      <w:tr w:rsidR="00072A69" w:rsidRPr="00DC6DF9" w14:paraId="206B86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ABE2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921</w:t>
            </w:r>
          </w:p>
        </w:tc>
        <w:tc>
          <w:tcPr>
            <w:tcW w:w="1036" w:type="dxa"/>
            <w:tcBorders>
              <w:top w:val="nil"/>
              <w:left w:val="nil"/>
              <w:bottom w:val="single" w:sz="4" w:space="0" w:color="auto"/>
              <w:right w:val="single" w:sz="4" w:space="0" w:color="auto"/>
            </w:tcBorders>
            <w:shd w:val="clear" w:color="auto" w:fill="auto"/>
            <w:noWrap/>
            <w:vAlign w:val="center"/>
            <w:hideMark/>
          </w:tcPr>
          <w:p w14:paraId="301834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5881838000</w:t>
            </w:r>
          </w:p>
        </w:tc>
        <w:tc>
          <w:tcPr>
            <w:tcW w:w="1036" w:type="dxa"/>
            <w:tcBorders>
              <w:top w:val="nil"/>
              <w:left w:val="nil"/>
              <w:bottom w:val="single" w:sz="4" w:space="0" w:color="auto"/>
              <w:right w:val="single" w:sz="4" w:space="0" w:color="auto"/>
            </w:tcBorders>
            <w:shd w:val="clear" w:color="auto" w:fill="auto"/>
            <w:noWrap/>
            <w:vAlign w:val="center"/>
            <w:hideMark/>
          </w:tcPr>
          <w:p w14:paraId="2B9657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57235708</w:t>
            </w:r>
          </w:p>
        </w:tc>
        <w:tc>
          <w:tcPr>
            <w:tcW w:w="160" w:type="dxa"/>
            <w:tcBorders>
              <w:top w:val="nil"/>
              <w:left w:val="nil"/>
              <w:bottom w:val="single" w:sz="4" w:space="0" w:color="auto"/>
              <w:right w:val="nil"/>
            </w:tcBorders>
            <w:vAlign w:val="center"/>
          </w:tcPr>
          <w:p w14:paraId="41B7CD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5B4B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MIREN-KOSTANJEVICA</w:t>
            </w:r>
          </w:p>
        </w:tc>
      </w:tr>
      <w:tr w:rsidR="00072A69" w:rsidRPr="00DC6DF9" w14:paraId="1D1D4B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0FD3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229AE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2399164000</w:t>
            </w:r>
          </w:p>
        </w:tc>
        <w:tc>
          <w:tcPr>
            <w:tcW w:w="1036" w:type="dxa"/>
            <w:tcBorders>
              <w:top w:val="nil"/>
              <w:left w:val="nil"/>
              <w:bottom w:val="single" w:sz="4" w:space="0" w:color="auto"/>
              <w:right w:val="single" w:sz="4" w:space="0" w:color="auto"/>
            </w:tcBorders>
            <w:shd w:val="clear" w:color="auto" w:fill="auto"/>
            <w:noWrap/>
            <w:vAlign w:val="center"/>
            <w:hideMark/>
          </w:tcPr>
          <w:p w14:paraId="4420DE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80793509</w:t>
            </w:r>
          </w:p>
        </w:tc>
        <w:tc>
          <w:tcPr>
            <w:tcW w:w="160" w:type="dxa"/>
            <w:tcBorders>
              <w:top w:val="nil"/>
              <w:left w:val="nil"/>
              <w:bottom w:val="single" w:sz="4" w:space="0" w:color="auto"/>
              <w:right w:val="nil"/>
            </w:tcBorders>
            <w:vAlign w:val="center"/>
          </w:tcPr>
          <w:p w14:paraId="3BF83E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87C8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MIRNA</w:t>
            </w:r>
          </w:p>
        </w:tc>
      </w:tr>
      <w:tr w:rsidR="00072A69" w:rsidRPr="00DC6DF9" w14:paraId="1A7FC3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F5D3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923</w:t>
            </w:r>
          </w:p>
        </w:tc>
        <w:tc>
          <w:tcPr>
            <w:tcW w:w="1036" w:type="dxa"/>
            <w:tcBorders>
              <w:top w:val="nil"/>
              <w:left w:val="nil"/>
              <w:bottom w:val="single" w:sz="4" w:space="0" w:color="auto"/>
              <w:right w:val="single" w:sz="4" w:space="0" w:color="auto"/>
            </w:tcBorders>
            <w:shd w:val="clear" w:color="auto" w:fill="auto"/>
            <w:noWrap/>
            <w:vAlign w:val="center"/>
            <w:hideMark/>
          </w:tcPr>
          <w:p w14:paraId="7CC970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1357816000</w:t>
            </w:r>
          </w:p>
        </w:tc>
        <w:tc>
          <w:tcPr>
            <w:tcW w:w="1036" w:type="dxa"/>
            <w:tcBorders>
              <w:top w:val="nil"/>
              <w:left w:val="nil"/>
              <w:bottom w:val="single" w:sz="4" w:space="0" w:color="auto"/>
              <w:right w:val="single" w:sz="4" w:space="0" w:color="auto"/>
            </w:tcBorders>
            <w:shd w:val="clear" w:color="auto" w:fill="auto"/>
            <w:noWrap/>
            <w:vAlign w:val="center"/>
            <w:hideMark/>
          </w:tcPr>
          <w:p w14:paraId="56DE58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57621594</w:t>
            </w:r>
          </w:p>
        </w:tc>
        <w:tc>
          <w:tcPr>
            <w:tcW w:w="160" w:type="dxa"/>
            <w:tcBorders>
              <w:top w:val="nil"/>
              <w:left w:val="nil"/>
              <w:bottom w:val="single" w:sz="4" w:space="0" w:color="auto"/>
              <w:right w:val="nil"/>
            </w:tcBorders>
            <w:vAlign w:val="center"/>
          </w:tcPr>
          <w:p w14:paraId="2B049B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DC24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MIRNA PEČ</w:t>
            </w:r>
          </w:p>
        </w:tc>
      </w:tr>
      <w:tr w:rsidR="00072A69" w:rsidRPr="00DC6DF9" w14:paraId="115F74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77FD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924</w:t>
            </w:r>
          </w:p>
        </w:tc>
        <w:tc>
          <w:tcPr>
            <w:tcW w:w="1036" w:type="dxa"/>
            <w:tcBorders>
              <w:top w:val="nil"/>
              <w:left w:val="nil"/>
              <w:bottom w:val="single" w:sz="4" w:space="0" w:color="auto"/>
              <w:right w:val="single" w:sz="4" w:space="0" w:color="auto"/>
            </w:tcBorders>
            <w:shd w:val="clear" w:color="auto" w:fill="auto"/>
            <w:noWrap/>
            <w:vAlign w:val="center"/>
            <w:hideMark/>
          </w:tcPr>
          <w:p w14:paraId="403352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5883954000</w:t>
            </w:r>
          </w:p>
        </w:tc>
        <w:tc>
          <w:tcPr>
            <w:tcW w:w="1036" w:type="dxa"/>
            <w:tcBorders>
              <w:top w:val="nil"/>
              <w:left w:val="nil"/>
              <w:bottom w:val="single" w:sz="4" w:space="0" w:color="auto"/>
              <w:right w:val="single" w:sz="4" w:space="0" w:color="auto"/>
            </w:tcBorders>
            <w:shd w:val="clear" w:color="auto" w:fill="auto"/>
            <w:noWrap/>
            <w:vAlign w:val="center"/>
            <w:hideMark/>
          </w:tcPr>
          <w:p w14:paraId="0BEE32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87944154</w:t>
            </w:r>
          </w:p>
        </w:tc>
        <w:tc>
          <w:tcPr>
            <w:tcW w:w="160" w:type="dxa"/>
            <w:tcBorders>
              <w:top w:val="nil"/>
              <w:left w:val="nil"/>
              <w:bottom w:val="single" w:sz="4" w:space="0" w:color="auto"/>
              <w:right w:val="nil"/>
            </w:tcBorders>
            <w:vAlign w:val="center"/>
          </w:tcPr>
          <w:p w14:paraId="4C042D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55CB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MISLINJA</w:t>
            </w:r>
          </w:p>
        </w:tc>
      </w:tr>
      <w:tr w:rsidR="00072A69" w:rsidRPr="00DC6DF9" w14:paraId="5C99ED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F506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925</w:t>
            </w:r>
          </w:p>
        </w:tc>
        <w:tc>
          <w:tcPr>
            <w:tcW w:w="1036" w:type="dxa"/>
            <w:tcBorders>
              <w:top w:val="nil"/>
              <w:left w:val="nil"/>
              <w:bottom w:val="single" w:sz="4" w:space="0" w:color="auto"/>
              <w:right w:val="single" w:sz="4" w:space="0" w:color="auto"/>
            </w:tcBorders>
            <w:shd w:val="clear" w:color="auto" w:fill="auto"/>
            <w:noWrap/>
            <w:vAlign w:val="center"/>
            <w:hideMark/>
          </w:tcPr>
          <w:p w14:paraId="73F7B6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2241170000</w:t>
            </w:r>
          </w:p>
        </w:tc>
        <w:tc>
          <w:tcPr>
            <w:tcW w:w="1036" w:type="dxa"/>
            <w:tcBorders>
              <w:top w:val="nil"/>
              <w:left w:val="nil"/>
              <w:bottom w:val="single" w:sz="4" w:space="0" w:color="auto"/>
              <w:right w:val="single" w:sz="4" w:space="0" w:color="auto"/>
            </w:tcBorders>
            <w:shd w:val="clear" w:color="auto" w:fill="auto"/>
            <w:noWrap/>
            <w:vAlign w:val="center"/>
            <w:hideMark/>
          </w:tcPr>
          <w:p w14:paraId="0132D8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28624777</w:t>
            </w:r>
          </w:p>
        </w:tc>
        <w:tc>
          <w:tcPr>
            <w:tcW w:w="160" w:type="dxa"/>
            <w:tcBorders>
              <w:top w:val="nil"/>
              <w:left w:val="nil"/>
              <w:bottom w:val="single" w:sz="4" w:space="0" w:color="auto"/>
              <w:right w:val="nil"/>
            </w:tcBorders>
            <w:vAlign w:val="center"/>
          </w:tcPr>
          <w:p w14:paraId="16B9DD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74A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MOKRONOG - TREBELNO</w:t>
            </w:r>
          </w:p>
        </w:tc>
      </w:tr>
      <w:tr w:rsidR="00072A69" w:rsidRPr="00DC6DF9" w14:paraId="11AAC3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2C4E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926</w:t>
            </w:r>
          </w:p>
        </w:tc>
        <w:tc>
          <w:tcPr>
            <w:tcW w:w="1036" w:type="dxa"/>
            <w:tcBorders>
              <w:top w:val="nil"/>
              <w:left w:val="nil"/>
              <w:bottom w:val="single" w:sz="4" w:space="0" w:color="auto"/>
              <w:right w:val="single" w:sz="4" w:space="0" w:color="auto"/>
            </w:tcBorders>
            <w:shd w:val="clear" w:color="auto" w:fill="auto"/>
            <w:noWrap/>
            <w:vAlign w:val="center"/>
            <w:hideMark/>
          </w:tcPr>
          <w:p w14:paraId="76DAF9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5880505000</w:t>
            </w:r>
          </w:p>
        </w:tc>
        <w:tc>
          <w:tcPr>
            <w:tcW w:w="1036" w:type="dxa"/>
            <w:tcBorders>
              <w:top w:val="nil"/>
              <w:left w:val="nil"/>
              <w:bottom w:val="single" w:sz="4" w:space="0" w:color="auto"/>
              <w:right w:val="single" w:sz="4" w:space="0" w:color="auto"/>
            </w:tcBorders>
            <w:shd w:val="clear" w:color="auto" w:fill="auto"/>
            <w:noWrap/>
            <w:vAlign w:val="center"/>
            <w:hideMark/>
          </w:tcPr>
          <w:p w14:paraId="49AD6B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41432851</w:t>
            </w:r>
          </w:p>
        </w:tc>
        <w:tc>
          <w:tcPr>
            <w:tcW w:w="160" w:type="dxa"/>
            <w:tcBorders>
              <w:top w:val="nil"/>
              <w:left w:val="nil"/>
              <w:bottom w:val="single" w:sz="4" w:space="0" w:color="auto"/>
              <w:right w:val="nil"/>
            </w:tcBorders>
            <w:vAlign w:val="center"/>
          </w:tcPr>
          <w:p w14:paraId="1CEF279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CE62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MORAVČE</w:t>
            </w:r>
          </w:p>
        </w:tc>
      </w:tr>
      <w:tr w:rsidR="00072A69" w:rsidRPr="00DC6DF9" w14:paraId="003824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0ADB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927</w:t>
            </w:r>
          </w:p>
        </w:tc>
        <w:tc>
          <w:tcPr>
            <w:tcW w:w="1036" w:type="dxa"/>
            <w:tcBorders>
              <w:top w:val="nil"/>
              <w:left w:val="nil"/>
              <w:bottom w:val="single" w:sz="4" w:space="0" w:color="auto"/>
              <w:right w:val="single" w:sz="4" w:space="0" w:color="auto"/>
            </w:tcBorders>
            <w:shd w:val="clear" w:color="auto" w:fill="auto"/>
            <w:noWrap/>
            <w:vAlign w:val="center"/>
            <w:hideMark/>
          </w:tcPr>
          <w:p w14:paraId="3E9322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5883164000</w:t>
            </w:r>
          </w:p>
        </w:tc>
        <w:tc>
          <w:tcPr>
            <w:tcW w:w="1036" w:type="dxa"/>
            <w:tcBorders>
              <w:top w:val="nil"/>
              <w:left w:val="nil"/>
              <w:bottom w:val="single" w:sz="4" w:space="0" w:color="auto"/>
              <w:right w:val="single" w:sz="4" w:space="0" w:color="auto"/>
            </w:tcBorders>
            <w:shd w:val="clear" w:color="auto" w:fill="auto"/>
            <w:noWrap/>
            <w:vAlign w:val="center"/>
            <w:hideMark/>
          </w:tcPr>
          <w:p w14:paraId="2DA33F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62760963</w:t>
            </w:r>
          </w:p>
        </w:tc>
        <w:tc>
          <w:tcPr>
            <w:tcW w:w="160" w:type="dxa"/>
            <w:tcBorders>
              <w:top w:val="nil"/>
              <w:left w:val="nil"/>
              <w:bottom w:val="single" w:sz="4" w:space="0" w:color="auto"/>
              <w:right w:val="nil"/>
            </w:tcBorders>
            <w:vAlign w:val="center"/>
          </w:tcPr>
          <w:p w14:paraId="6AD229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900C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MORAVSKE TOPLICE</w:t>
            </w:r>
          </w:p>
        </w:tc>
      </w:tr>
      <w:tr w:rsidR="00072A69" w:rsidRPr="00DC6DF9" w14:paraId="6F48D3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EF84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928</w:t>
            </w:r>
          </w:p>
        </w:tc>
        <w:tc>
          <w:tcPr>
            <w:tcW w:w="1036" w:type="dxa"/>
            <w:tcBorders>
              <w:top w:val="nil"/>
              <w:left w:val="nil"/>
              <w:bottom w:val="single" w:sz="4" w:space="0" w:color="auto"/>
              <w:right w:val="single" w:sz="4" w:space="0" w:color="auto"/>
            </w:tcBorders>
            <w:shd w:val="clear" w:color="auto" w:fill="auto"/>
            <w:noWrap/>
            <w:vAlign w:val="center"/>
            <w:hideMark/>
          </w:tcPr>
          <w:p w14:paraId="73A9E2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5883849000</w:t>
            </w:r>
          </w:p>
        </w:tc>
        <w:tc>
          <w:tcPr>
            <w:tcW w:w="1036" w:type="dxa"/>
            <w:tcBorders>
              <w:top w:val="nil"/>
              <w:left w:val="nil"/>
              <w:bottom w:val="single" w:sz="4" w:space="0" w:color="auto"/>
              <w:right w:val="single" w:sz="4" w:space="0" w:color="auto"/>
            </w:tcBorders>
            <w:shd w:val="clear" w:color="auto" w:fill="auto"/>
            <w:noWrap/>
            <w:vAlign w:val="center"/>
            <w:hideMark/>
          </w:tcPr>
          <w:p w14:paraId="5771B9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70998396</w:t>
            </w:r>
          </w:p>
        </w:tc>
        <w:tc>
          <w:tcPr>
            <w:tcW w:w="160" w:type="dxa"/>
            <w:tcBorders>
              <w:top w:val="nil"/>
              <w:left w:val="nil"/>
              <w:bottom w:val="single" w:sz="4" w:space="0" w:color="auto"/>
              <w:right w:val="nil"/>
            </w:tcBorders>
            <w:vAlign w:val="center"/>
          </w:tcPr>
          <w:p w14:paraId="40D7DD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4C54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MOZIRJE</w:t>
            </w:r>
          </w:p>
        </w:tc>
      </w:tr>
      <w:tr w:rsidR="00072A69" w:rsidRPr="00DC6DF9" w14:paraId="1F8EE1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E1BF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929</w:t>
            </w:r>
          </w:p>
        </w:tc>
        <w:tc>
          <w:tcPr>
            <w:tcW w:w="1036" w:type="dxa"/>
            <w:tcBorders>
              <w:top w:val="nil"/>
              <w:left w:val="nil"/>
              <w:bottom w:val="single" w:sz="4" w:space="0" w:color="auto"/>
              <w:right w:val="single" w:sz="4" w:space="0" w:color="auto"/>
            </w:tcBorders>
            <w:shd w:val="clear" w:color="auto" w:fill="auto"/>
            <w:noWrap/>
            <w:vAlign w:val="center"/>
            <w:hideMark/>
          </w:tcPr>
          <w:p w14:paraId="0A71D4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5881706000</w:t>
            </w:r>
          </w:p>
        </w:tc>
        <w:tc>
          <w:tcPr>
            <w:tcW w:w="1036" w:type="dxa"/>
            <w:tcBorders>
              <w:top w:val="nil"/>
              <w:left w:val="nil"/>
              <w:bottom w:val="single" w:sz="4" w:space="0" w:color="auto"/>
              <w:right w:val="single" w:sz="4" w:space="0" w:color="auto"/>
            </w:tcBorders>
            <w:shd w:val="clear" w:color="auto" w:fill="auto"/>
            <w:noWrap/>
            <w:vAlign w:val="center"/>
            <w:hideMark/>
          </w:tcPr>
          <w:p w14:paraId="4BE401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89876547</w:t>
            </w:r>
          </w:p>
        </w:tc>
        <w:tc>
          <w:tcPr>
            <w:tcW w:w="160" w:type="dxa"/>
            <w:tcBorders>
              <w:top w:val="nil"/>
              <w:left w:val="nil"/>
              <w:bottom w:val="single" w:sz="4" w:space="0" w:color="auto"/>
              <w:right w:val="nil"/>
            </w:tcBorders>
            <w:vAlign w:val="center"/>
          </w:tcPr>
          <w:p w14:paraId="0526136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C423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MUTA</w:t>
            </w:r>
          </w:p>
        </w:tc>
      </w:tr>
      <w:tr w:rsidR="00072A69" w:rsidRPr="00DC6DF9" w14:paraId="6E8A70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8069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930</w:t>
            </w:r>
          </w:p>
        </w:tc>
        <w:tc>
          <w:tcPr>
            <w:tcW w:w="1036" w:type="dxa"/>
            <w:tcBorders>
              <w:top w:val="nil"/>
              <w:left w:val="nil"/>
              <w:bottom w:val="single" w:sz="4" w:space="0" w:color="auto"/>
              <w:right w:val="single" w:sz="4" w:space="0" w:color="auto"/>
            </w:tcBorders>
            <w:shd w:val="clear" w:color="auto" w:fill="auto"/>
            <w:noWrap/>
            <w:vAlign w:val="center"/>
            <w:hideMark/>
          </w:tcPr>
          <w:p w14:paraId="246B5E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5874688000</w:t>
            </w:r>
          </w:p>
        </w:tc>
        <w:tc>
          <w:tcPr>
            <w:tcW w:w="1036" w:type="dxa"/>
            <w:tcBorders>
              <w:top w:val="nil"/>
              <w:left w:val="nil"/>
              <w:bottom w:val="single" w:sz="4" w:space="0" w:color="auto"/>
              <w:right w:val="single" w:sz="4" w:space="0" w:color="auto"/>
            </w:tcBorders>
            <w:shd w:val="clear" w:color="auto" w:fill="auto"/>
            <w:noWrap/>
            <w:vAlign w:val="center"/>
            <w:hideMark/>
          </w:tcPr>
          <w:p w14:paraId="46233A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30835437</w:t>
            </w:r>
          </w:p>
        </w:tc>
        <w:tc>
          <w:tcPr>
            <w:tcW w:w="160" w:type="dxa"/>
            <w:tcBorders>
              <w:top w:val="nil"/>
              <w:left w:val="nil"/>
              <w:bottom w:val="single" w:sz="4" w:space="0" w:color="auto"/>
              <w:right w:val="nil"/>
            </w:tcBorders>
            <w:vAlign w:val="center"/>
          </w:tcPr>
          <w:p w14:paraId="509A31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6A13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NAKLO</w:t>
            </w:r>
          </w:p>
        </w:tc>
      </w:tr>
      <w:tr w:rsidR="00072A69" w:rsidRPr="00DC6DF9" w14:paraId="38158D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02AB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931</w:t>
            </w:r>
          </w:p>
        </w:tc>
        <w:tc>
          <w:tcPr>
            <w:tcW w:w="1036" w:type="dxa"/>
            <w:tcBorders>
              <w:top w:val="nil"/>
              <w:left w:val="nil"/>
              <w:bottom w:val="single" w:sz="4" w:space="0" w:color="auto"/>
              <w:right w:val="single" w:sz="4" w:space="0" w:color="auto"/>
            </w:tcBorders>
            <w:shd w:val="clear" w:color="auto" w:fill="auto"/>
            <w:noWrap/>
            <w:vAlign w:val="center"/>
            <w:hideMark/>
          </w:tcPr>
          <w:p w14:paraId="1188F7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5883822000</w:t>
            </w:r>
          </w:p>
        </w:tc>
        <w:tc>
          <w:tcPr>
            <w:tcW w:w="1036" w:type="dxa"/>
            <w:tcBorders>
              <w:top w:val="nil"/>
              <w:left w:val="nil"/>
              <w:bottom w:val="single" w:sz="4" w:space="0" w:color="auto"/>
              <w:right w:val="single" w:sz="4" w:space="0" w:color="auto"/>
            </w:tcBorders>
            <w:shd w:val="clear" w:color="auto" w:fill="auto"/>
            <w:noWrap/>
            <w:vAlign w:val="center"/>
            <w:hideMark/>
          </w:tcPr>
          <w:p w14:paraId="4E8FF4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43645151</w:t>
            </w:r>
          </w:p>
        </w:tc>
        <w:tc>
          <w:tcPr>
            <w:tcW w:w="160" w:type="dxa"/>
            <w:tcBorders>
              <w:top w:val="nil"/>
              <w:left w:val="nil"/>
              <w:bottom w:val="single" w:sz="4" w:space="0" w:color="auto"/>
              <w:right w:val="nil"/>
            </w:tcBorders>
            <w:vAlign w:val="center"/>
          </w:tcPr>
          <w:p w14:paraId="03B0956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614E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NAZARJE</w:t>
            </w:r>
          </w:p>
        </w:tc>
      </w:tr>
      <w:tr w:rsidR="00072A69" w:rsidRPr="00DC6DF9" w14:paraId="1B58AD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DBE1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932</w:t>
            </w:r>
          </w:p>
        </w:tc>
        <w:tc>
          <w:tcPr>
            <w:tcW w:w="1036" w:type="dxa"/>
            <w:tcBorders>
              <w:top w:val="nil"/>
              <w:left w:val="nil"/>
              <w:bottom w:val="single" w:sz="4" w:space="0" w:color="auto"/>
              <w:right w:val="single" w:sz="4" w:space="0" w:color="auto"/>
            </w:tcBorders>
            <w:shd w:val="clear" w:color="auto" w:fill="auto"/>
            <w:noWrap/>
            <w:vAlign w:val="center"/>
            <w:hideMark/>
          </w:tcPr>
          <w:p w14:paraId="676019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5874718000</w:t>
            </w:r>
          </w:p>
        </w:tc>
        <w:tc>
          <w:tcPr>
            <w:tcW w:w="1036" w:type="dxa"/>
            <w:tcBorders>
              <w:top w:val="nil"/>
              <w:left w:val="nil"/>
              <w:bottom w:val="single" w:sz="4" w:space="0" w:color="auto"/>
              <w:right w:val="single" w:sz="4" w:space="0" w:color="auto"/>
            </w:tcBorders>
            <w:shd w:val="clear" w:color="auto" w:fill="auto"/>
            <w:noWrap/>
            <w:vAlign w:val="center"/>
            <w:hideMark/>
          </w:tcPr>
          <w:p w14:paraId="6CB0B0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20765762</w:t>
            </w:r>
          </w:p>
        </w:tc>
        <w:tc>
          <w:tcPr>
            <w:tcW w:w="160" w:type="dxa"/>
            <w:tcBorders>
              <w:top w:val="nil"/>
              <w:left w:val="nil"/>
              <w:bottom w:val="single" w:sz="4" w:space="0" w:color="auto"/>
              <w:right w:val="nil"/>
            </w:tcBorders>
            <w:vAlign w:val="center"/>
          </w:tcPr>
          <w:p w14:paraId="5175A9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019F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ODRANCI</w:t>
            </w:r>
          </w:p>
        </w:tc>
      </w:tr>
      <w:tr w:rsidR="00072A69" w:rsidRPr="00DC6DF9" w14:paraId="7C1313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FA9F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933</w:t>
            </w:r>
          </w:p>
        </w:tc>
        <w:tc>
          <w:tcPr>
            <w:tcW w:w="1036" w:type="dxa"/>
            <w:tcBorders>
              <w:top w:val="nil"/>
              <w:left w:val="nil"/>
              <w:bottom w:val="single" w:sz="4" w:space="0" w:color="auto"/>
              <w:right w:val="single" w:sz="4" w:space="0" w:color="auto"/>
            </w:tcBorders>
            <w:shd w:val="clear" w:color="auto" w:fill="auto"/>
            <w:noWrap/>
            <w:vAlign w:val="center"/>
            <w:hideMark/>
          </w:tcPr>
          <w:p w14:paraId="30C20C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1357506000</w:t>
            </w:r>
          </w:p>
        </w:tc>
        <w:tc>
          <w:tcPr>
            <w:tcW w:w="1036" w:type="dxa"/>
            <w:tcBorders>
              <w:top w:val="nil"/>
              <w:left w:val="nil"/>
              <w:bottom w:val="single" w:sz="4" w:space="0" w:color="auto"/>
              <w:right w:val="single" w:sz="4" w:space="0" w:color="auto"/>
            </w:tcBorders>
            <w:shd w:val="clear" w:color="auto" w:fill="auto"/>
            <w:noWrap/>
            <w:vAlign w:val="center"/>
            <w:hideMark/>
          </w:tcPr>
          <w:p w14:paraId="1F6B71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70271046</w:t>
            </w:r>
          </w:p>
        </w:tc>
        <w:tc>
          <w:tcPr>
            <w:tcW w:w="160" w:type="dxa"/>
            <w:tcBorders>
              <w:top w:val="nil"/>
              <w:left w:val="nil"/>
              <w:bottom w:val="single" w:sz="4" w:space="0" w:color="auto"/>
              <w:right w:val="nil"/>
            </w:tcBorders>
            <w:vAlign w:val="center"/>
          </w:tcPr>
          <w:p w14:paraId="77DAF8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6E99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OPLOTNICA</w:t>
            </w:r>
          </w:p>
        </w:tc>
      </w:tr>
      <w:tr w:rsidR="00072A69" w:rsidRPr="00DC6DF9" w14:paraId="0093718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DFF4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934</w:t>
            </w:r>
          </w:p>
        </w:tc>
        <w:tc>
          <w:tcPr>
            <w:tcW w:w="1036" w:type="dxa"/>
            <w:tcBorders>
              <w:top w:val="nil"/>
              <w:left w:val="nil"/>
              <w:bottom w:val="single" w:sz="4" w:space="0" w:color="auto"/>
              <w:right w:val="single" w:sz="4" w:space="0" w:color="auto"/>
            </w:tcBorders>
            <w:shd w:val="clear" w:color="auto" w:fill="auto"/>
            <w:noWrap/>
            <w:vAlign w:val="center"/>
            <w:hideMark/>
          </w:tcPr>
          <w:p w14:paraId="64B405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5883687000</w:t>
            </w:r>
          </w:p>
        </w:tc>
        <w:tc>
          <w:tcPr>
            <w:tcW w:w="1036" w:type="dxa"/>
            <w:tcBorders>
              <w:top w:val="nil"/>
              <w:left w:val="nil"/>
              <w:bottom w:val="single" w:sz="4" w:space="0" w:color="auto"/>
              <w:right w:val="single" w:sz="4" w:space="0" w:color="auto"/>
            </w:tcBorders>
            <w:shd w:val="clear" w:color="auto" w:fill="auto"/>
            <w:noWrap/>
            <w:vAlign w:val="center"/>
            <w:hideMark/>
          </w:tcPr>
          <w:p w14:paraId="693E3D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29924464</w:t>
            </w:r>
          </w:p>
        </w:tc>
        <w:tc>
          <w:tcPr>
            <w:tcW w:w="160" w:type="dxa"/>
            <w:tcBorders>
              <w:top w:val="nil"/>
              <w:left w:val="nil"/>
              <w:bottom w:val="single" w:sz="4" w:space="0" w:color="auto"/>
              <w:right w:val="nil"/>
            </w:tcBorders>
            <w:vAlign w:val="center"/>
          </w:tcPr>
          <w:p w14:paraId="13CF95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9F3A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ORMOŽ</w:t>
            </w:r>
          </w:p>
        </w:tc>
      </w:tr>
      <w:tr w:rsidR="00072A69" w:rsidRPr="00DC6DF9" w14:paraId="3CEFE4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7710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935</w:t>
            </w:r>
          </w:p>
        </w:tc>
        <w:tc>
          <w:tcPr>
            <w:tcW w:w="1036" w:type="dxa"/>
            <w:tcBorders>
              <w:top w:val="nil"/>
              <w:left w:val="nil"/>
              <w:bottom w:val="single" w:sz="4" w:space="0" w:color="auto"/>
              <w:right w:val="single" w:sz="4" w:space="0" w:color="auto"/>
            </w:tcBorders>
            <w:shd w:val="clear" w:color="auto" w:fill="auto"/>
            <w:noWrap/>
            <w:vAlign w:val="center"/>
            <w:hideMark/>
          </w:tcPr>
          <w:p w14:paraId="79C68A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5874220000</w:t>
            </w:r>
          </w:p>
        </w:tc>
        <w:tc>
          <w:tcPr>
            <w:tcW w:w="1036" w:type="dxa"/>
            <w:tcBorders>
              <w:top w:val="nil"/>
              <w:left w:val="nil"/>
              <w:bottom w:val="single" w:sz="4" w:space="0" w:color="auto"/>
              <w:right w:val="single" w:sz="4" w:space="0" w:color="auto"/>
            </w:tcBorders>
            <w:shd w:val="clear" w:color="auto" w:fill="auto"/>
            <w:noWrap/>
            <w:vAlign w:val="center"/>
            <w:hideMark/>
          </w:tcPr>
          <w:p w14:paraId="50BCE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27549887</w:t>
            </w:r>
          </w:p>
        </w:tc>
        <w:tc>
          <w:tcPr>
            <w:tcW w:w="160" w:type="dxa"/>
            <w:tcBorders>
              <w:top w:val="nil"/>
              <w:left w:val="nil"/>
              <w:bottom w:val="single" w:sz="4" w:space="0" w:color="auto"/>
              <w:right w:val="nil"/>
            </w:tcBorders>
            <w:vAlign w:val="center"/>
          </w:tcPr>
          <w:p w14:paraId="7A68A2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3435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OSILNICA</w:t>
            </w:r>
          </w:p>
        </w:tc>
      </w:tr>
      <w:tr w:rsidR="00072A69" w:rsidRPr="00DC6DF9" w14:paraId="5C2BC40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2BAE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936</w:t>
            </w:r>
          </w:p>
        </w:tc>
        <w:tc>
          <w:tcPr>
            <w:tcW w:w="1036" w:type="dxa"/>
            <w:tcBorders>
              <w:top w:val="nil"/>
              <w:left w:val="nil"/>
              <w:bottom w:val="single" w:sz="4" w:space="0" w:color="auto"/>
              <w:right w:val="single" w:sz="4" w:space="0" w:color="auto"/>
            </w:tcBorders>
            <w:shd w:val="clear" w:color="auto" w:fill="auto"/>
            <w:noWrap/>
            <w:vAlign w:val="center"/>
            <w:hideMark/>
          </w:tcPr>
          <w:p w14:paraId="58E48B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5884098000</w:t>
            </w:r>
          </w:p>
        </w:tc>
        <w:tc>
          <w:tcPr>
            <w:tcW w:w="1036" w:type="dxa"/>
            <w:tcBorders>
              <w:top w:val="nil"/>
              <w:left w:val="nil"/>
              <w:bottom w:val="single" w:sz="4" w:space="0" w:color="auto"/>
              <w:right w:val="single" w:sz="4" w:space="0" w:color="auto"/>
            </w:tcBorders>
            <w:shd w:val="clear" w:color="auto" w:fill="auto"/>
            <w:noWrap/>
            <w:vAlign w:val="center"/>
            <w:hideMark/>
          </w:tcPr>
          <w:p w14:paraId="52CC8A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51503492</w:t>
            </w:r>
          </w:p>
        </w:tc>
        <w:tc>
          <w:tcPr>
            <w:tcW w:w="160" w:type="dxa"/>
            <w:tcBorders>
              <w:top w:val="nil"/>
              <w:left w:val="nil"/>
              <w:bottom w:val="single" w:sz="4" w:space="0" w:color="auto"/>
              <w:right w:val="nil"/>
            </w:tcBorders>
            <w:vAlign w:val="center"/>
          </w:tcPr>
          <w:p w14:paraId="0BEB59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CF92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PESNICA</w:t>
            </w:r>
          </w:p>
        </w:tc>
      </w:tr>
      <w:tr w:rsidR="00072A69" w:rsidRPr="00DC6DF9" w14:paraId="1CC5E3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0BFB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937</w:t>
            </w:r>
          </w:p>
        </w:tc>
        <w:tc>
          <w:tcPr>
            <w:tcW w:w="1036" w:type="dxa"/>
            <w:tcBorders>
              <w:top w:val="nil"/>
              <w:left w:val="nil"/>
              <w:bottom w:val="single" w:sz="4" w:space="0" w:color="auto"/>
              <w:right w:val="single" w:sz="4" w:space="0" w:color="auto"/>
            </w:tcBorders>
            <w:shd w:val="clear" w:color="auto" w:fill="auto"/>
            <w:noWrap/>
            <w:vAlign w:val="center"/>
            <w:hideMark/>
          </w:tcPr>
          <w:p w14:paraId="64B408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5883873000</w:t>
            </w:r>
          </w:p>
        </w:tc>
        <w:tc>
          <w:tcPr>
            <w:tcW w:w="1036" w:type="dxa"/>
            <w:tcBorders>
              <w:top w:val="nil"/>
              <w:left w:val="nil"/>
              <w:bottom w:val="single" w:sz="4" w:space="0" w:color="auto"/>
              <w:right w:val="single" w:sz="4" w:space="0" w:color="auto"/>
            </w:tcBorders>
            <w:shd w:val="clear" w:color="auto" w:fill="auto"/>
            <w:noWrap/>
            <w:vAlign w:val="center"/>
            <w:hideMark/>
          </w:tcPr>
          <w:p w14:paraId="69C7F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29263930</w:t>
            </w:r>
          </w:p>
        </w:tc>
        <w:tc>
          <w:tcPr>
            <w:tcW w:w="160" w:type="dxa"/>
            <w:tcBorders>
              <w:top w:val="nil"/>
              <w:left w:val="nil"/>
              <w:bottom w:val="single" w:sz="4" w:space="0" w:color="auto"/>
              <w:right w:val="nil"/>
            </w:tcBorders>
            <w:vAlign w:val="center"/>
          </w:tcPr>
          <w:p w14:paraId="37164B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5624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PIRAN</w:t>
            </w:r>
          </w:p>
        </w:tc>
      </w:tr>
      <w:tr w:rsidR="00072A69" w:rsidRPr="00DC6DF9" w14:paraId="7B83D9E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B7BB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938</w:t>
            </w:r>
          </w:p>
        </w:tc>
        <w:tc>
          <w:tcPr>
            <w:tcW w:w="1036" w:type="dxa"/>
            <w:tcBorders>
              <w:top w:val="nil"/>
              <w:left w:val="nil"/>
              <w:bottom w:val="single" w:sz="4" w:space="0" w:color="auto"/>
              <w:right w:val="single" w:sz="4" w:space="0" w:color="auto"/>
            </w:tcBorders>
            <w:shd w:val="clear" w:color="auto" w:fill="auto"/>
            <w:noWrap/>
            <w:vAlign w:val="center"/>
            <w:hideMark/>
          </w:tcPr>
          <w:p w14:paraId="19AC22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5883563000</w:t>
            </w:r>
          </w:p>
        </w:tc>
        <w:tc>
          <w:tcPr>
            <w:tcW w:w="1036" w:type="dxa"/>
            <w:tcBorders>
              <w:top w:val="nil"/>
              <w:left w:val="nil"/>
              <w:bottom w:val="single" w:sz="4" w:space="0" w:color="auto"/>
              <w:right w:val="single" w:sz="4" w:space="0" w:color="auto"/>
            </w:tcBorders>
            <w:shd w:val="clear" w:color="auto" w:fill="auto"/>
            <w:noWrap/>
            <w:vAlign w:val="center"/>
            <w:hideMark/>
          </w:tcPr>
          <w:p w14:paraId="7BA9EF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57255440</w:t>
            </w:r>
          </w:p>
        </w:tc>
        <w:tc>
          <w:tcPr>
            <w:tcW w:w="160" w:type="dxa"/>
            <w:tcBorders>
              <w:top w:val="nil"/>
              <w:left w:val="nil"/>
              <w:bottom w:val="single" w:sz="4" w:space="0" w:color="auto"/>
              <w:right w:val="nil"/>
            </w:tcBorders>
            <w:vAlign w:val="center"/>
          </w:tcPr>
          <w:p w14:paraId="4168FD2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C584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PIVKA</w:t>
            </w:r>
          </w:p>
        </w:tc>
      </w:tr>
      <w:tr w:rsidR="00072A69" w:rsidRPr="00DC6DF9" w14:paraId="3E623F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4B46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939</w:t>
            </w:r>
          </w:p>
        </w:tc>
        <w:tc>
          <w:tcPr>
            <w:tcW w:w="1036" w:type="dxa"/>
            <w:tcBorders>
              <w:top w:val="nil"/>
              <w:left w:val="nil"/>
              <w:bottom w:val="single" w:sz="4" w:space="0" w:color="auto"/>
              <w:right w:val="single" w:sz="4" w:space="0" w:color="auto"/>
            </w:tcBorders>
            <w:shd w:val="clear" w:color="auto" w:fill="auto"/>
            <w:noWrap/>
            <w:vAlign w:val="center"/>
            <w:hideMark/>
          </w:tcPr>
          <w:p w14:paraId="3EDB0B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5883997000</w:t>
            </w:r>
          </w:p>
        </w:tc>
        <w:tc>
          <w:tcPr>
            <w:tcW w:w="1036" w:type="dxa"/>
            <w:tcBorders>
              <w:top w:val="nil"/>
              <w:left w:val="nil"/>
              <w:bottom w:val="single" w:sz="4" w:space="0" w:color="auto"/>
              <w:right w:val="single" w:sz="4" w:space="0" w:color="auto"/>
            </w:tcBorders>
            <w:shd w:val="clear" w:color="auto" w:fill="auto"/>
            <w:noWrap/>
            <w:vAlign w:val="center"/>
            <w:hideMark/>
          </w:tcPr>
          <w:p w14:paraId="74452C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83117989</w:t>
            </w:r>
          </w:p>
        </w:tc>
        <w:tc>
          <w:tcPr>
            <w:tcW w:w="160" w:type="dxa"/>
            <w:tcBorders>
              <w:top w:val="nil"/>
              <w:left w:val="nil"/>
              <w:bottom w:val="single" w:sz="4" w:space="0" w:color="auto"/>
              <w:right w:val="nil"/>
            </w:tcBorders>
            <w:vAlign w:val="center"/>
          </w:tcPr>
          <w:p w14:paraId="1CBF644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75AC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PODČETRTEK</w:t>
            </w:r>
          </w:p>
        </w:tc>
      </w:tr>
      <w:tr w:rsidR="00072A69" w:rsidRPr="00DC6DF9" w14:paraId="4CB688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32C7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940</w:t>
            </w:r>
          </w:p>
        </w:tc>
        <w:tc>
          <w:tcPr>
            <w:tcW w:w="1036" w:type="dxa"/>
            <w:tcBorders>
              <w:top w:val="nil"/>
              <w:left w:val="nil"/>
              <w:bottom w:val="single" w:sz="4" w:space="0" w:color="auto"/>
              <w:right w:val="single" w:sz="4" w:space="0" w:color="auto"/>
            </w:tcBorders>
            <w:shd w:val="clear" w:color="auto" w:fill="auto"/>
            <w:noWrap/>
            <w:vAlign w:val="center"/>
            <w:hideMark/>
          </w:tcPr>
          <w:p w14:paraId="6909AA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1358278000</w:t>
            </w:r>
          </w:p>
        </w:tc>
        <w:tc>
          <w:tcPr>
            <w:tcW w:w="1036" w:type="dxa"/>
            <w:tcBorders>
              <w:top w:val="nil"/>
              <w:left w:val="nil"/>
              <w:bottom w:val="single" w:sz="4" w:space="0" w:color="auto"/>
              <w:right w:val="single" w:sz="4" w:space="0" w:color="auto"/>
            </w:tcBorders>
            <w:shd w:val="clear" w:color="auto" w:fill="auto"/>
            <w:noWrap/>
            <w:vAlign w:val="center"/>
            <w:hideMark/>
          </w:tcPr>
          <w:p w14:paraId="32D0D7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30569320</w:t>
            </w:r>
          </w:p>
        </w:tc>
        <w:tc>
          <w:tcPr>
            <w:tcW w:w="160" w:type="dxa"/>
            <w:tcBorders>
              <w:top w:val="nil"/>
              <w:left w:val="nil"/>
              <w:bottom w:val="single" w:sz="4" w:space="0" w:color="auto"/>
              <w:right w:val="nil"/>
            </w:tcBorders>
            <w:vAlign w:val="center"/>
          </w:tcPr>
          <w:p w14:paraId="10F0102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A94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PODLEHNIK</w:t>
            </w:r>
          </w:p>
        </w:tc>
      </w:tr>
      <w:tr w:rsidR="00072A69" w:rsidRPr="00DC6DF9" w14:paraId="19D701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A5E6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941</w:t>
            </w:r>
          </w:p>
        </w:tc>
        <w:tc>
          <w:tcPr>
            <w:tcW w:w="1036" w:type="dxa"/>
            <w:tcBorders>
              <w:top w:val="nil"/>
              <w:left w:val="nil"/>
              <w:bottom w:val="single" w:sz="4" w:space="0" w:color="auto"/>
              <w:right w:val="single" w:sz="4" w:space="0" w:color="auto"/>
            </w:tcBorders>
            <w:shd w:val="clear" w:color="auto" w:fill="auto"/>
            <w:noWrap/>
            <w:vAlign w:val="center"/>
            <w:hideMark/>
          </w:tcPr>
          <w:p w14:paraId="248CA4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5881668000</w:t>
            </w:r>
          </w:p>
        </w:tc>
        <w:tc>
          <w:tcPr>
            <w:tcW w:w="1036" w:type="dxa"/>
            <w:tcBorders>
              <w:top w:val="nil"/>
              <w:left w:val="nil"/>
              <w:bottom w:val="single" w:sz="4" w:space="0" w:color="auto"/>
              <w:right w:val="single" w:sz="4" w:space="0" w:color="auto"/>
            </w:tcBorders>
            <w:shd w:val="clear" w:color="auto" w:fill="auto"/>
            <w:noWrap/>
            <w:vAlign w:val="center"/>
            <w:hideMark/>
          </w:tcPr>
          <w:p w14:paraId="427D3A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42106257</w:t>
            </w:r>
          </w:p>
        </w:tc>
        <w:tc>
          <w:tcPr>
            <w:tcW w:w="160" w:type="dxa"/>
            <w:tcBorders>
              <w:top w:val="nil"/>
              <w:left w:val="nil"/>
              <w:bottom w:val="single" w:sz="4" w:space="0" w:color="auto"/>
              <w:right w:val="nil"/>
            </w:tcBorders>
            <w:vAlign w:val="center"/>
          </w:tcPr>
          <w:p w14:paraId="593041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5FEB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PODVELKA</w:t>
            </w:r>
          </w:p>
        </w:tc>
      </w:tr>
      <w:tr w:rsidR="00072A69" w:rsidRPr="00DC6DF9" w14:paraId="1CCF8F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728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942</w:t>
            </w:r>
          </w:p>
        </w:tc>
        <w:tc>
          <w:tcPr>
            <w:tcW w:w="1036" w:type="dxa"/>
            <w:tcBorders>
              <w:top w:val="nil"/>
              <w:left w:val="nil"/>
              <w:bottom w:val="single" w:sz="4" w:space="0" w:color="auto"/>
              <w:right w:val="single" w:sz="4" w:space="0" w:color="auto"/>
            </w:tcBorders>
            <w:shd w:val="clear" w:color="auto" w:fill="auto"/>
            <w:noWrap/>
            <w:vAlign w:val="center"/>
            <w:hideMark/>
          </w:tcPr>
          <w:p w14:paraId="0C1281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2242745000</w:t>
            </w:r>
          </w:p>
        </w:tc>
        <w:tc>
          <w:tcPr>
            <w:tcW w:w="1036" w:type="dxa"/>
            <w:tcBorders>
              <w:top w:val="nil"/>
              <w:left w:val="nil"/>
              <w:bottom w:val="single" w:sz="4" w:space="0" w:color="auto"/>
              <w:right w:val="single" w:sz="4" w:space="0" w:color="auto"/>
            </w:tcBorders>
            <w:shd w:val="clear" w:color="auto" w:fill="auto"/>
            <w:noWrap/>
            <w:vAlign w:val="center"/>
            <w:hideMark/>
          </w:tcPr>
          <w:p w14:paraId="3D0B17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30543673</w:t>
            </w:r>
          </w:p>
        </w:tc>
        <w:tc>
          <w:tcPr>
            <w:tcW w:w="160" w:type="dxa"/>
            <w:tcBorders>
              <w:top w:val="nil"/>
              <w:left w:val="nil"/>
              <w:bottom w:val="single" w:sz="4" w:space="0" w:color="auto"/>
              <w:right w:val="nil"/>
            </w:tcBorders>
            <w:vAlign w:val="center"/>
          </w:tcPr>
          <w:p w14:paraId="6D953F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A909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POLJČANE</w:t>
            </w:r>
          </w:p>
        </w:tc>
      </w:tr>
      <w:tr w:rsidR="00072A69" w:rsidRPr="00DC6DF9" w14:paraId="5836E2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C6C5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w:t>
            </w:r>
          </w:p>
        </w:tc>
        <w:tc>
          <w:tcPr>
            <w:tcW w:w="1036" w:type="dxa"/>
            <w:tcBorders>
              <w:top w:val="nil"/>
              <w:left w:val="nil"/>
              <w:bottom w:val="single" w:sz="4" w:space="0" w:color="auto"/>
              <w:right w:val="single" w:sz="4" w:space="0" w:color="auto"/>
            </w:tcBorders>
            <w:shd w:val="clear" w:color="auto" w:fill="auto"/>
            <w:noWrap/>
            <w:vAlign w:val="center"/>
            <w:hideMark/>
          </w:tcPr>
          <w:p w14:paraId="21992B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1357603000</w:t>
            </w:r>
          </w:p>
        </w:tc>
        <w:tc>
          <w:tcPr>
            <w:tcW w:w="1036" w:type="dxa"/>
            <w:tcBorders>
              <w:top w:val="nil"/>
              <w:left w:val="nil"/>
              <w:bottom w:val="single" w:sz="4" w:space="0" w:color="auto"/>
              <w:right w:val="single" w:sz="4" w:space="0" w:color="auto"/>
            </w:tcBorders>
            <w:shd w:val="clear" w:color="auto" w:fill="auto"/>
            <w:noWrap/>
            <w:vAlign w:val="center"/>
            <w:hideMark/>
          </w:tcPr>
          <w:p w14:paraId="0C3312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27768228</w:t>
            </w:r>
          </w:p>
        </w:tc>
        <w:tc>
          <w:tcPr>
            <w:tcW w:w="160" w:type="dxa"/>
            <w:tcBorders>
              <w:top w:val="nil"/>
              <w:left w:val="nil"/>
              <w:bottom w:val="single" w:sz="4" w:space="0" w:color="auto"/>
              <w:right w:val="nil"/>
            </w:tcBorders>
            <w:vAlign w:val="center"/>
          </w:tcPr>
          <w:p w14:paraId="1E4CF7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C4A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POLZELA</w:t>
            </w:r>
          </w:p>
        </w:tc>
      </w:tr>
      <w:tr w:rsidR="00072A69" w:rsidRPr="00DC6DF9" w14:paraId="35F7E7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A273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944</w:t>
            </w:r>
          </w:p>
        </w:tc>
        <w:tc>
          <w:tcPr>
            <w:tcW w:w="1036" w:type="dxa"/>
            <w:tcBorders>
              <w:top w:val="nil"/>
              <w:left w:val="nil"/>
              <w:bottom w:val="single" w:sz="4" w:space="0" w:color="auto"/>
              <w:right w:val="single" w:sz="4" w:space="0" w:color="auto"/>
            </w:tcBorders>
            <w:shd w:val="clear" w:color="auto" w:fill="auto"/>
            <w:noWrap/>
            <w:vAlign w:val="center"/>
            <w:hideMark/>
          </w:tcPr>
          <w:p w14:paraId="0F30AE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5883512000</w:t>
            </w:r>
          </w:p>
        </w:tc>
        <w:tc>
          <w:tcPr>
            <w:tcW w:w="1036" w:type="dxa"/>
            <w:tcBorders>
              <w:top w:val="nil"/>
              <w:left w:val="nil"/>
              <w:bottom w:val="single" w:sz="4" w:space="0" w:color="auto"/>
              <w:right w:val="single" w:sz="4" w:space="0" w:color="auto"/>
            </w:tcBorders>
            <w:shd w:val="clear" w:color="auto" w:fill="auto"/>
            <w:noWrap/>
            <w:vAlign w:val="center"/>
            <w:hideMark/>
          </w:tcPr>
          <w:p w14:paraId="599B68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13053973</w:t>
            </w:r>
          </w:p>
        </w:tc>
        <w:tc>
          <w:tcPr>
            <w:tcW w:w="160" w:type="dxa"/>
            <w:tcBorders>
              <w:top w:val="nil"/>
              <w:left w:val="nil"/>
              <w:bottom w:val="single" w:sz="4" w:space="0" w:color="auto"/>
              <w:right w:val="nil"/>
            </w:tcBorders>
            <w:vAlign w:val="center"/>
          </w:tcPr>
          <w:p w14:paraId="3A0807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091F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POSTOJNA</w:t>
            </w:r>
          </w:p>
        </w:tc>
      </w:tr>
      <w:tr w:rsidR="00072A69" w:rsidRPr="00DC6DF9" w14:paraId="51B527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76D8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945</w:t>
            </w:r>
          </w:p>
        </w:tc>
        <w:tc>
          <w:tcPr>
            <w:tcW w:w="1036" w:type="dxa"/>
            <w:tcBorders>
              <w:top w:val="nil"/>
              <w:left w:val="nil"/>
              <w:bottom w:val="single" w:sz="4" w:space="0" w:color="auto"/>
              <w:right w:val="single" w:sz="4" w:space="0" w:color="auto"/>
            </w:tcBorders>
            <w:shd w:val="clear" w:color="auto" w:fill="auto"/>
            <w:noWrap/>
            <w:vAlign w:val="center"/>
            <w:hideMark/>
          </w:tcPr>
          <w:p w14:paraId="244C65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1357654000</w:t>
            </w:r>
          </w:p>
        </w:tc>
        <w:tc>
          <w:tcPr>
            <w:tcW w:w="1036" w:type="dxa"/>
            <w:tcBorders>
              <w:top w:val="nil"/>
              <w:left w:val="nil"/>
              <w:bottom w:val="single" w:sz="4" w:space="0" w:color="auto"/>
              <w:right w:val="single" w:sz="4" w:space="0" w:color="auto"/>
            </w:tcBorders>
            <w:shd w:val="clear" w:color="auto" w:fill="auto"/>
            <w:noWrap/>
            <w:vAlign w:val="center"/>
            <w:hideMark/>
          </w:tcPr>
          <w:p w14:paraId="21CCE8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39527972</w:t>
            </w:r>
          </w:p>
        </w:tc>
        <w:tc>
          <w:tcPr>
            <w:tcW w:w="160" w:type="dxa"/>
            <w:tcBorders>
              <w:top w:val="nil"/>
              <w:left w:val="nil"/>
              <w:bottom w:val="single" w:sz="4" w:space="0" w:color="auto"/>
              <w:right w:val="nil"/>
            </w:tcBorders>
            <w:vAlign w:val="center"/>
          </w:tcPr>
          <w:p w14:paraId="4CF047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06B7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PREBOLD</w:t>
            </w:r>
          </w:p>
        </w:tc>
      </w:tr>
      <w:tr w:rsidR="00072A69" w:rsidRPr="00DC6DF9" w14:paraId="18B73F7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B292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946</w:t>
            </w:r>
          </w:p>
        </w:tc>
        <w:tc>
          <w:tcPr>
            <w:tcW w:w="1036" w:type="dxa"/>
            <w:tcBorders>
              <w:top w:val="nil"/>
              <w:left w:val="nil"/>
              <w:bottom w:val="single" w:sz="4" w:space="0" w:color="auto"/>
              <w:right w:val="single" w:sz="4" w:space="0" w:color="auto"/>
            </w:tcBorders>
            <w:shd w:val="clear" w:color="auto" w:fill="auto"/>
            <w:noWrap/>
            <w:vAlign w:val="center"/>
            <w:hideMark/>
          </w:tcPr>
          <w:p w14:paraId="36A5D3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5874599000</w:t>
            </w:r>
          </w:p>
        </w:tc>
        <w:tc>
          <w:tcPr>
            <w:tcW w:w="1036" w:type="dxa"/>
            <w:tcBorders>
              <w:top w:val="nil"/>
              <w:left w:val="nil"/>
              <w:bottom w:val="single" w:sz="4" w:space="0" w:color="auto"/>
              <w:right w:val="single" w:sz="4" w:space="0" w:color="auto"/>
            </w:tcBorders>
            <w:shd w:val="clear" w:color="auto" w:fill="auto"/>
            <w:noWrap/>
            <w:vAlign w:val="center"/>
            <w:hideMark/>
          </w:tcPr>
          <w:p w14:paraId="12A613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77195108</w:t>
            </w:r>
          </w:p>
        </w:tc>
        <w:tc>
          <w:tcPr>
            <w:tcW w:w="160" w:type="dxa"/>
            <w:tcBorders>
              <w:top w:val="nil"/>
              <w:left w:val="nil"/>
              <w:bottom w:val="single" w:sz="4" w:space="0" w:color="auto"/>
              <w:right w:val="nil"/>
            </w:tcBorders>
            <w:vAlign w:val="center"/>
          </w:tcPr>
          <w:p w14:paraId="0844C40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21CC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PREDDVOR</w:t>
            </w:r>
          </w:p>
        </w:tc>
      </w:tr>
      <w:tr w:rsidR="00072A69" w:rsidRPr="00DC6DF9" w14:paraId="718CFA2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0B11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947</w:t>
            </w:r>
          </w:p>
        </w:tc>
        <w:tc>
          <w:tcPr>
            <w:tcW w:w="1036" w:type="dxa"/>
            <w:tcBorders>
              <w:top w:val="nil"/>
              <w:left w:val="nil"/>
              <w:bottom w:val="single" w:sz="4" w:space="0" w:color="auto"/>
              <w:right w:val="single" w:sz="4" w:space="0" w:color="auto"/>
            </w:tcBorders>
            <w:shd w:val="clear" w:color="auto" w:fill="auto"/>
            <w:noWrap/>
            <w:vAlign w:val="center"/>
            <w:hideMark/>
          </w:tcPr>
          <w:p w14:paraId="48AEF2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1357719000</w:t>
            </w:r>
          </w:p>
        </w:tc>
        <w:tc>
          <w:tcPr>
            <w:tcW w:w="1036" w:type="dxa"/>
            <w:tcBorders>
              <w:top w:val="nil"/>
              <w:left w:val="nil"/>
              <w:bottom w:val="single" w:sz="4" w:space="0" w:color="auto"/>
              <w:right w:val="single" w:sz="4" w:space="0" w:color="auto"/>
            </w:tcBorders>
            <w:shd w:val="clear" w:color="auto" w:fill="auto"/>
            <w:noWrap/>
            <w:vAlign w:val="center"/>
            <w:hideMark/>
          </w:tcPr>
          <w:p w14:paraId="7A8A88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28520513</w:t>
            </w:r>
          </w:p>
        </w:tc>
        <w:tc>
          <w:tcPr>
            <w:tcW w:w="160" w:type="dxa"/>
            <w:tcBorders>
              <w:top w:val="nil"/>
              <w:left w:val="nil"/>
              <w:bottom w:val="single" w:sz="4" w:space="0" w:color="auto"/>
              <w:right w:val="nil"/>
            </w:tcBorders>
            <w:vAlign w:val="center"/>
          </w:tcPr>
          <w:p w14:paraId="2FB35F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52AB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PREVALJE</w:t>
            </w:r>
          </w:p>
        </w:tc>
      </w:tr>
      <w:tr w:rsidR="00072A69" w:rsidRPr="00DC6DF9" w14:paraId="701079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664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948</w:t>
            </w:r>
          </w:p>
        </w:tc>
        <w:tc>
          <w:tcPr>
            <w:tcW w:w="1036" w:type="dxa"/>
            <w:tcBorders>
              <w:top w:val="nil"/>
              <w:left w:val="nil"/>
              <w:bottom w:val="single" w:sz="4" w:space="0" w:color="auto"/>
              <w:right w:val="single" w:sz="4" w:space="0" w:color="auto"/>
            </w:tcBorders>
            <w:shd w:val="clear" w:color="auto" w:fill="auto"/>
            <w:noWrap/>
            <w:vAlign w:val="center"/>
            <w:hideMark/>
          </w:tcPr>
          <w:p w14:paraId="16B202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5883237000</w:t>
            </w:r>
          </w:p>
        </w:tc>
        <w:tc>
          <w:tcPr>
            <w:tcW w:w="1036" w:type="dxa"/>
            <w:tcBorders>
              <w:top w:val="nil"/>
              <w:left w:val="nil"/>
              <w:bottom w:val="single" w:sz="4" w:space="0" w:color="auto"/>
              <w:right w:val="single" w:sz="4" w:space="0" w:color="auto"/>
            </w:tcBorders>
            <w:shd w:val="clear" w:color="auto" w:fill="auto"/>
            <w:noWrap/>
            <w:vAlign w:val="center"/>
            <w:hideMark/>
          </w:tcPr>
          <w:p w14:paraId="46162C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70902020</w:t>
            </w:r>
          </w:p>
        </w:tc>
        <w:tc>
          <w:tcPr>
            <w:tcW w:w="160" w:type="dxa"/>
            <w:tcBorders>
              <w:top w:val="nil"/>
              <w:left w:val="nil"/>
              <w:bottom w:val="single" w:sz="4" w:space="0" w:color="auto"/>
              <w:right w:val="nil"/>
            </w:tcBorders>
            <w:vAlign w:val="center"/>
          </w:tcPr>
          <w:p w14:paraId="5BACB8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27DB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PUCONCI</w:t>
            </w:r>
          </w:p>
        </w:tc>
      </w:tr>
      <w:tr w:rsidR="00072A69" w:rsidRPr="00DC6DF9" w14:paraId="53DB04E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04E0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949</w:t>
            </w:r>
          </w:p>
        </w:tc>
        <w:tc>
          <w:tcPr>
            <w:tcW w:w="1036" w:type="dxa"/>
            <w:tcBorders>
              <w:top w:val="nil"/>
              <w:left w:val="nil"/>
              <w:bottom w:val="single" w:sz="4" w:space="0" w:color="auto"/>
              <w:right w:val="single" w:sz="4" w:space="0" w:color="auto"/>
            </w:tcBorders>
            <w:shd w:val="clear" w:color="auto" w:fill="auto"/>
            <w:noWrap/>
            <w:vAlign w:val="center"/>
            <w:hideMark/>
          </w:tcPr>
          <w:p w14:paraId="2D2A45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5883253000</w:t>
            </w:r>
          </w:p>
        </w:tc>
        <w:tc>
          <w:tcPr>
            <w:tcW w:w="1036" w:type="dxa"/>
            <w:tcBorders>
              <w:top w:val="nil"/>
              <w:left w:val="nil"/>
              <w:bottom w:val="single" w:sz="4" w:space="0" w:color="auto"/>
              <w:right w:val="single" w:sz="4" w:space="0" w:color="auto"/>
            </w:tcBorders>
            <w:shd w:val="clear" w:color="auto" w:fill="auto"/>
            <w:noWrap/>
            <w:vAlign w:val="center"/>
            <w:hideMark/>
          </w:tcPr>
          <w:p w14:paraId="49CA3D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85992046</w:t>
            </w:r>
          </w:p>
        </w:tc>
        <w:tc>
          <w:tcPr>
            <w:tcW w:w="160" w:type="dxa"/>
            <w:tcBorders>
              <w:top w:val="nil"/>
              <w:left w:val="nil"/>
              <w:bottom w:val="single" w:sz="4" w:space="0" w:color="auto"/>
              <w:right w:val="nil"/>
            </w:tcBorders>
            <w:vAlign w:val="center"/>
          </w:tcPr>
          <w:p w14:paraId="6EA0FA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B968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RAČE-FRAM</w:t>
            </w:r>
          </w:p>
        </w:tc>
      </w:tr>
      <w:tr w:rsidR="00072A69" w:rsidRPr="00DC6DF9" w14:paraId="1E1461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582E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950</w:t>
            </w:r>
          </w:p>
        </w:tc>
        <w:tc>
          <w:tcPr>
            <w:tcW w:w="1036" w:type="dxa"/>
            <w:tcBorders>
              <w:top w:val="nil"/>
              <w:left w:val="nil"/>
              <w:bottom w:val="single" w:sz="4" w:space="0" w:color="auto"/>
              <w:right w:val="single" w:sz="4" w:space="0" w:color="auto"/>
            </w:tcBorders>
            <w:shd w:val="clear" w:color="auto" w:fill="auto"/>
            <w:noWrap/>
            <w:vAlign w:val="center"/>
            <w:hideMark/>
          </w:tcPr>
          <w:p w14:paraId="15F1F0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5874491000</w:t>
            </w:r>
          </w:p>
        </w:tc>
        <w:tc>
          <w:tcPr>
            <w:tcW w:w="1036" w:type="dxa"/>
            <w:tcBorders>
              <w:top w:val="nil"/>
              <w:left w:val="nil"/>
              <w:bottom w:val="single" w:sz="4" w:space="0" w:color="auto"/>
              <w:right w:val="single" w:sz="4" w:space="0" w:color="auto"/>
            </w:tcBorders>
            <w:shd w:val="clear" w:color="auto" w:fill="auto"/>
            <w:noWrap/>
            <w:vAlign w:val="center"/>
            <w:hideMark/>
          </w:tcPr>
          <w:p w14:paraId="7DA1C7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50643720</w:t>
            </w:r>
          </w:p>
        </w:tc>
        <w:tc>
          <w:tcPr>
            <w:tcW w:w="160" w:type="dxa"/>
            <w:tcBorders>
              <w:top w:val="nil"/>
              <w:left w:val="nil"/>
              <w:bottom w:val="single" w:sz="4" w:space="0" w:color="auto"/>
              <w:right w:val="nil"/>
            </w:tcBorders>
            <w:vAlign w:val="center"/>
          </w:tcPr>
          <w:p w14:paraId="42644A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810E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RADEČE</w:t>
            </w:r>
          </w:p>
        </w:tc>
      </w:tr>
      <w:tr w:rsidR="00072A69" w:rsidRPr="00DC6DF9" w14:paraId="3F9959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ECE1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951</w:t>
            </w:r>
          </w:p>
        </w:tc>
        <w:tc>
          <w:tcPr>
            <w:tcW w:w="1036" w:type="dxa"/>
            <w:tcBorders>
              <w:top w:val="nil"/>
              <w:left w:val="nil"/>
              <w:bottom w:val="single" w:sz="4" w:space="0" w:color="auto"/>
              <w:right w:val="single" w:sz="4" w:space="0" w:color="auto"/>
            </w:tcBorders>
            <w:shd w:val="clear" w:color="auto" w:fill="auto"/>
            <w:noWrap/>
            <w:vAlign w:val="center"/>
            <w:hideMark/>
          </w:tcPr>
          <w:p w14:paraId="3083D9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5880297000</w:t>
            </w:r>
          </w:p>
        </w:tc>
        <w:tc>
          <w:tcPr>
            <w:tcW w:w="1036" w:type="dxa"/>
            <w:tcBorders>
              <w:top w:val="nil"/>
              <w:left w:val="nil"/>
              <w:bottom w:val="single" w:sz="4" w:space="0" w:color="auto"/>
              <w:right w:val="single" w:sz="4" w:space="0" w:color="auto"/>
            </w:tcBorders>
            <w:shd w:val="clear" w:color="auto" w:fill="auto"/>
            <w:noWrap/>
            <w:vAlign w:val="center"/>
            <w:hideMark/>
          </w:tcPr>
          <w:p w14:paraId="4D34C7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53944640</w:t>
            </w:r>
          </w:p>
        </w:tc>
        <w:tc>
          <w:tcPr>
            <w:tcW w:w="160" w:type="dxa"/>
            <w:tcBorders>
              <w:top w:val="nil"/>
              <w:left w:val="nil"/>
              <w:bottom w:val="single" w:sz="4" w:space="0" w:color="auto"/>
              <w:right w:val="nil"/>
            </w:tcBorders>
            <w:vAlign w:val="center"/>
          </w:tcPr>
          <w:p w14:paraId="7CD55E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AA48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RADENCI</w:t>
            </w:r>
          </w:p>
        </w:tc>
      </w:tr>
      <w:tr w:rsidR="00072A69" w:rsidRPr="00DC6DF9" w14:paraId="706B6B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170E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952</w:t>
            </w:r>
          </w:p>
        </w:tc>
        <w:tc>
          <w:tcPr>
            <w:tcW w:w="1036" w:type="dxa"/>
            <w:tcBorders>
              <w:top w:val="nil"/>
              <w:left w:val="nil"/>
              <w:bottom w:val="single" w:sz="4" w:space="0" w:color="auto"/>
              <w:right w:val="single" w:sz="4" w:space="0" w:color="auto"/>
            </w:tcBorders>
            <w:shd w:val="clear" w:color="auto" w:fill="auto"/>
            <w:noWrap/>
            <w:vAlign w:val="center"/>
            <w:hideMark/>
          </w:tcPr>
          <w:p w14:paraId="04A555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5883466000</w:t>
            </w:r>
          </w:p>
        </w:tc>
        <w:tc>
          <w:tcPr>
            <w:tcW w:w="1036" w:type="dxa"/>
            <w:tcBorders>
              <w:top w:val="nil"/>
              <w:left w:val="nil"/>
              <w:bottom w:val="single" w:sz="4" w:space="0" w:color="auto"/>
              <w:right w:val="single" w:sz="4" w:space="0" w:color="auto"/>
            </w:tcBorders>
            <w:shd w:val="clear" w:color="auto" w:fill="auto"/>
            <w:noWrap/>
            <w:vAlign w:val="center"/>
            <w:hideMark/>
          </w:tcPr>
          <w:p w14:paraId="55C70A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67759076</w:t>
            </w:r>
          </w:p>
        </w:tc>
        <w:tc>
          <w:tcPr>
            <w:tcW w:w="160" w:type="dxa"/>
            <w:tcBorders>
              <w:top w:val="nil"/>
              <w:left w:val="nil"/>
              <w:bottom w:val="single" w:sz="4" w:space="0" w:color="auto"/>
              <w:right w:val="nil"/>
            </w:tcBorders>
            <w:vAlign w:val="center"/>
          </w:tcPr>
          <w:p w14:paraId="4FFADB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BBCB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RADOVLJICA</w:t>
            </w:r>
          </w:p>
        </w:tc>
      </w:tr>
      <w:tr w:rsidR="00072A69" w:rsidRPr="00DC6DF9" w14:paraId="0A761E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1288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953</w:t>
            </w:r>
          </w:p>
        </w:tc>
        <w:tc>
          <w:tcPr>
            <w:tcW w:w="1036" w:type="dxa"/>
            <w:tcBorders>
              <w:top w:val="nil"/>
              <w:left w:val="nil"/>
              <w:bottom w:val="single" w:sz="4" w:space="0" w:color="auto"/>
              <w:right w:val="single" w:sz="4" w:space="0" w:color="auto"/>
            </w:tcBorders>
            <w:shd w:val="clear" w:color="auto" w:fill="auto"/>
            <w:noWrap/>
            <w:vAlign w:val="center"/>
            <w:hideMark/>
          </w:tcPr>
          <w:p w14:paraId="35FD6E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5883628000</w:t>
            </w:r>
          </w:p>
        </w:tc>
        <w:tc>
          <w:tcPr>
            <w:tcW w:w="1036" w:type="dxa"/>
            <w:tcBorders>
              <w:top w:val="nil"/>
              <w:left w:val="nil"/>
              <w:bottom w:val="single" w:sz="4" w:space="0" w:color="auto"/>
              <w:right w:val="single" w:sz="4" w:space="0" w:color="auto"/>
            </w:tcBorders>
            <w:shd w:val="clear" w:color="auto" w:fill="auto"/>
            <w:noWrap/>
            <w:vAlign w:val="center"/>
            <w:hideMark/>
          </w:tcPr>
          <w:p w14:paraId="567C38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48626244</w:t>
            </w:r>
          </w:p>
        </w:tc>
        <w:tc>
          <w:tcPr>
            <w:tcW w:w="160" w:type="dxa"/>
            <w:tcBorders>
              <w:top w:val="nil"/>
              <w:left w:val="nil"/>
              <w:bottom w:val="single" w:sz="4" w:space="0" w:color="auto"/>
              <w:right w:val="nil"/>
            </w:tcBorders>
            <w:vAlign w:val="center"/>
          </w:tcPr>
          <w:p w14:paraId="769C65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DD3C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RAVNE NA KOROŠKEM</w:t>
            </w:r>
          </w:p>
        </w:tc>
      </w:tr>
      <w:tr w:rsidR="00072A69" w:rsidRPr="00DC6DF9" w14:paraId="1F4F49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807B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954</w:t>
            </w:r>
          </w:p>
        </w:tc>
        <w:tc>
          <w:tcPr>
            <w:tcW w:w="1036" w:type="dxa"/>
            <w:tcBorders>
              <w:top w:val="nil"/>
              <w:left w:val="nil"/>
              <w:bottom w:val="single" w:sz="4" w:space="0" w:color="auto"/>
              <w:right w:val="single" w:sz="4" w:space="0" w:color="auto"/>
            </w:tcBorders>
            <w:shd w:val="clear" w:color="auto" w:fill="auto"/>
            <w:noWrap/>
            <w:vAlign w:val="center"/>
            <w:hideMark/>
          </w:tcPr>
          <w:p w14:paraId="0C06D0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1332163000</w:t>
            </w:r>
          </w:p>
        </w:tc>
        <w:tc>
          <w:tcPr>
            <w:tcW w:w="1036" w:type="dxa"/>
            <w:tcBorders>
              <w:top w:val="nil"/>
              <w:left w:val="nil"/>
              <w:bottom w:val="single" w:sz="4" w:space="0" w:color="auto"/>
              <w:right w:val="single" w:sz="4" w:space="0" w:color="auto"/>
            </w:tcBorders>
            <w:shd w:val="clear" w:color="auto" w:fill="auto"/>
            <w:noWrap/>
            <w:vAlign w:val="center"/>
            <w:hideMark/>
          </w:tcPr>
          <w:p w14:paraId="7C76B9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84157020</w:t>
            </w:r>
          </w:p>
        </w:tc>
        <w:tc>
          <w:tcPr>
            <w:tcW w:w="160" w:type="dxa"/>
            <w:tcBorders>
              <w:top w:val="nil"/>
              <w:left w:val="nil"/>
              <w:bottom w:val="single" w:sz="4" w:space="0" w:color="auto"/>
              <w:right w:val="nil"/>
            </w:tcBorders>
            <w:vAlign w:val="center"/>
          </w:tcPr>
          <w:p w14:paraId="71C646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9BEF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RAZKRIŽJE</w:t>
            </w:r>
          </w:p>
        </w:tc>
      </w:tr>
      <w:tr w:rsidR="00072A69" w:rsidRPr="00DC6DF9" w14:paraId="5122D3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D147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955</w:t>
            </w:r>
          </w:p>
        </w:tc>
        <w:tc>
          <w:tcPr>
            <w:tcW w:w="1036" w:type="dxa"/>
            <w:tcBorders>
              <w:top w:val="nil"/>
              <w:left w:val="nil"/>
              <w:bottom w:val="single" w:sz="4" w:space="0" w:color="auto"/>
              <w:right w:val="single" w:sz="4" w:space="0" w:color="auto"/>
            </w:tcBorders>
            <w:shd w:val="clear" w:color="auto" w:fill="auto"/>
            <w:noWrap/>
            <w:vAlign w:val="center"/>
            <w:hideMark/>
          </w:tcPr>
          <w:p w14:paraId="5AB882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2255987000</w:t>
            </w:r>
          </w:p>
        </w:tc>
        <w:tc>
          <w:tcPr>
            <w:tcW w:w="1036" w:type="dxa"/>
            <w:tcBorders>
              <w:top w:val="nil"/>
              <w:left w:val="nil"/>
              <w:bottom w:val="single" w:sz="4" w:space="0" w:color="auto"/>
              <w:right w:val="single" w:sz="4" w:space="0" w:color="auto"/>
            </w:tcBorders>
            <w:shd w:val="clear" w:color="auto" w:fill="auto"/>
            <w:noWrap/>
            <w:vAlign w:val="center"/>
            <w:hideMark/>
          </w:tcPr>
          <w:p w14:paraId="73737E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45064440</w:t>
            </w:r>
          </w:p>
        </w:tc>
        <w:tc>
          <w:tcPr>
            <w:tcW w:w="160" w:type="dxa"/>
            <w:tcBorders>
              <w:top w:val="nil"/>
              <w:left w:val="nil"/>
              <w:bottom w:val="single" w:sz="4" w:space="0" w:color="auto"/>
              <w:right w:val="nil"/>
            </w:tcBorders>
            <w:vAlign w:val="center"/>
          </w:tcPr>
          <w:p w14:paraId="30DA4C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BB7F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REČICA OB SAVINJI</w:t>
            </w:r>
          </w:p>
        </w:tc>
      </w:tr>
      <w:tr w:rsidR="00072A69" w:rsidRPr="00DC6DF9" w14:paraId="136F3A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0D7C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956</w:t>
            </w:r>
          </w:p>
        </w:tc>
        <w:tc>
          <w:tcPr>
            <w:tcW w:w="1036" w:type="dxa"/>
            <w:tcBorders>
              <w:top w:val="nil"/>
              <w:left w:val="nil"/>
              <w:bottom w:val="single" w:sz="4" w:space="0" w:color="auto"/>
              <w:right w:val="single" w:sz="4" w:space="0" w:color="auto"/>
            </w:tcBorders>
            <w:shd w:val="clear" w:color="auto" w:fill="auto"/>
            <w:noWrap/>
            <w:vAlign w:val="center"/>
            <w:hideMark/>
          </w:tcPr>
          <w:p w14:paraId="606003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2203553000</w:t>
            </w:r>
          </w:p>
        </w:tc>
        <w:tc>
          <w:tcPr>
            <w:tcW w:w="1036" w:type="dxa"/>
            <w:tcBorders>
              <w:top w:val="nil"/>
              <w:left w:val="nil"/>
              <w:bottom w:val="single" w:sz="4" w:space="0" w:color="auto"/>
              <w:right w:val="single" w:sz="4" w:space="0" w:color="auto"/>
            </w:tcBorders>
            <w:shd w:val="clear" w:color="auto" w:fill="auto"/>
            <w:noWrap/>
            <w:vAlign w:val="center"/>
            <w:hideMark/>
          </w:tcPr>
          <w:p w14:paraId="5E6247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90522001</w:t>
            </w:r>
          </w:p>
        </w:tc>
        <w:tc>
          <w:tcPr>
            <w:tcW w:w="160" w:type="dxa"/>
            <w:tcBorders>
              <w:top w:val="nil"/>
              <w:left w:val="nil"/>
              <w:bottom w:val="single" w:sz="4" w:space="0" w:color="auto"/>
              <w:right w:val="nil"/>
            </w:tcBorders>
            <w:vAlign w:val="center"/>
          </w:tcPr>
          <w:p w14:paraId="7B4D31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66D7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RENČE - VOGRSKO</w:t>
            </w:r>
          </w:p>
        </w:tc>
      </w:tr>
      <w:tr w:rsidR="00072A69" w:rsidRPr="00DC6DF9" w14:paraId="658169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2E21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957</w:t>
            </w:r>
          </w:p>
        </w:tc>
        <w:tc>
          <w:tcPr>
            <w:tcW w:w="1036" w:type="dxa"/>
            <w:tcBorders>
              <w:top w:val="nil"/>
              <w:left w:val="nil"/>
              <w:bottom w:val="single" w:sz="4" w:space="0" w:color="auto"/>
              <w:right w:val="single" w:sz="4" w:space="0" w:color="auto"/>
            </w:tcBorders>
            <w:shd w:val="clear" w:color="auto" w:fill="auto"/>
            <w:noWrap/>
            <w:vAlign w:val="center"/>
            <w:hideMark/>
          </w:tcPr>
          <w:p w14:paraId="5DBADE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5883865000</w:t>
            </w:r>
          </w:p>
        </w:tc>
        <w:tc>
          <w:tcPr>
            <w:tcW w:w="1036" w:type="dxa"/>
            <w:tcBorders>
              <w:top w:val="nil"/>
              <w:left w:val="nil"/>
              <w:bottom w:val="single" w:sz="4" w:space="0" w:color="auto"/>
              <w:right w:val="single" w:sz="4" w:space="0" w:color="auto"/>
            </w:tcBorders>
            <w:shd w:val="clear" w:color="auto" w:fill="auto"/>
            <w:noWrap/>
            <w:vAlign w:val="center"/>
            <w:hideMark/>
          </w:tcPr>
          <w:p w14:paraId="65085E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61623059</w:t>
            </w:r>
          </w:p>
        </w:tc>
        <w:tc>
          <w:tcPr>
            <w:tcW w:w="160" w:type="dxa"/>
            <w:tcBorders>
              <w:top w:val="nil"/>
              <w:left w:val="nil"/>
              <w:bottom w:val="single" w:sz="4" w:space="0" w:color="auto"/>
              <w:right w:val="nil"/>
            </w:tcBorders>
            <w:vAlign w:val="center"/>
          </w:tcPr>
          <w:p w14:paraId="0D2329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FAB8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RIBNICA</w:t>
            </w:r>
          </w:p>
        </w:tc>
      </w:tr>
      <w:tr w:rsidR="00072A69" w:rsidRPr="00DC6DF9" w14:paraId="59E27C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B8B5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958</w:t>
            </w:r>
          </w:p>
        </w:tc>
        <w:tc>
          <w:tcPr>
            <w:tcW w:w="1036" w:type="dxa"/>
            <w:tcBorders>
              <w:top w:val="nil"/>
              <w:left w:val="nil"/>
              <w:bottom w:val="single" w:sz="4" w:space="0" w:color="auto"/>
              <w:right w:val="single" w:sz="4" w:space="0" w:color="auto"/>
            </w:tcBorders>
            <w:shd w:val="clear" w:color="auto" w:fill="auto"/>
            <w:noWrap/>
            <w:vAlign w:val="center"/>
            <w:hideMark/>
          </w:tcPr>
          <w:p w14:paraId="392A2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1358324000</w:t>
            </w:r>
          </w:p>
        </w:tc>
        <w:tc>
          <w:tcPr>
            <w:tcW w:w="1036" w:type="dxa"/>
            <w:tcBorders>
              <w:top w:val="nil"/>
              <w:left w:val="nil"/>
              <w:bottom w:val="single" w:sz="4" w:space="0" w:color="auto"/>
              <w:right w:val="single" w:sz="4" w:space="0" w:color="auto"/>
            </w:tcBorders>
            <w:shd w:val="clear" w:color="auto" w:fill="auto"/>
            <w:noWrap/>
            <w:vAlign w:val="center"/>
            <w:hideMark/>
          </w:tcPr>
          <w:p w14:paraId="207275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87880300</w:t>
            </w:r>
          </w:p>
        </w:tc>
        <w:tc>
          <w:tcPr>
            <w:tcW w:w="160" w:type="dxa"/>
            <w:tcBorders>
              <w:top w:val="nil"/>
              <w:left w:val="nil"/>
              <w:bottom w:val="single" w:sz="4" w:space="0" w:color="auto"/>
              <w:right w:val="nil"/>
            </w:tcBorders>
            <w:vAlign w:val="center"/>
          </w:tcPr>
          <w:p w14:paraId="620D03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4428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RIBNICA NA POHORJU</w:t>
            </w:r>
          </w:p>
        </w:tc>
      </w:tr>
      <w:tr w:rsidR="00072A69" w:rsidRPr="00DC6DF9" w14:paraId="07873A8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D26F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959</w:t>
            </w:r>
          </w:p>
        </w:tc>
        <w:tc>
          <w:tcPr>
            <w:tcW w:w="1036" w:type="dxa"/>
            <w:tcBorders>
              <w:top w:val="nil"/>
              <w:left w:val="nil"/>
              <w:bottom w:val="single" w:sz="4" w:space="0" w:color="auto"/>
              <w:right w:val="single" w:sz="4" w:space="0" w:color="auto"/>
            </w:tcBorders>
            <w:shd w:val="clear" w:color="auto" w:fill="auto"/>
            <w:noWrap/>
            <w:vAlign w:val="center"/>
            <w:hideMark/>
          </w:tcPr>
          <w:p w14:paraId="0413B4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5883946000</w:t>
            </w:r>
          </w:p>
        </w:tc>
        <w:tc>
          <w:tcPr>
            <w:tcW w:w="1036" w:type="dxa"/>
            <w:tcBorders>
              <w:top w:val="nil"/>
              <w:left w:val="nil"/>
              <w:bottom w:val="single" w:sz="4" w:space="0" w:color="auto"/>
              <w:right w:val="single" w:sz="4" w:space="0" w:color="auto"/>
            </w:tcBorders>
            <w:shd w:val="clear" w:color="auto" w:fill="auto"/>
            <w:noWrap/>
            <w:vAlign w:val="center"/>
            <w:hideMark/>
          </w:tcPr>
          <w:p w14:paraId="02EEBC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84699825</w:t>
            </w:r>
          </w:p>
        </w:tc>
        <w:tc>
          <w:tcPr>
            <w:tcW w:w="160" w:type="dxa"/>
            <w:tcBorders>
              <w:top w:val="nil"/>
              <w:left w:val="nil"/>
              <w:bottom w:val="single" w:sz="4" w:space="0" w:color="auto"/>
              <w:right w:val="nil"/>
            </w:tcBorders>
            <w:vAlign w:val="center"/>
          </w:tcPr>
          <w:p w14:paraId="1BB6BED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C39D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ROGAŠKA SLATINA</w:t>
            </w:r>
          </w:p>
        </w:tc>
      </w:tr>
      <w:tr w:rsidR="00072A69" w:rsidRPr="00DC6DF9" w14:paraId="456D8C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DCD8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960</w:t>
            </w:r>
          </w:p>
        </w:tc>
        <w:tc>
          <w:tcPr>
            <w:tcW w:w="1036" w:type="dxa"/>
            <w:tcBorders>
              <w:top w:val="nil"/>
              <w:left w:val="nil"/>
              <w:bottom w:val="single" w:sz="4" w:space="0" w:color="auto"/>
              <w:right w:val="single" w:sz="4" w:space="0" w:color="auto"/>
            </w:tcBorders>
            <w:shd w:val="clear" w:color="auto" w:fill="auto"/>
            <w:noWrap/>
            <w:vAlign w:val="center"/>
            <w:hideMark/>
          </w:tcPr>
          <w:p w14:paraId="586AC5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5883245000</w:t>
            </w:r>
          </w:p>
        </w:tc>
        <w:tc>
          <w:tcPr>
            <w:tcW w:w="1036" w:type="dxa"/>
            <w:tcBorders>
              <w:top w:val="nil"/>
              <w:left w:val="nil"/>
              <w:bottom w:val="single" w:sz="4" w:space="0" w:color="auto"/>
              <w:right w:val="single" w:sz="4" w:space="0" w:color="auto"/>
            </w:tcBorders>
            <w:shd w:val="clear" w:color="auto" w:fill="auto"/>
            <w:noWrap/>
            <w:vAlign w:val="center"/>
            <w:hideMark/>
          </w:tcPr>
          <w:p w14:paraId="131644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61143707</w:t>
            </w:r>
          </w:p>
        </w:tc>
        <w:tc>
          <w:tcPr>
            <w:tcW w:w="160" w:type="dxa"/>
            <w:tcBorders>
              <w:top w:val="nil"/>
              <w:left w:val="nil"/>
              <w:bottom w:val="single" w:sz="4" w:space="0" w:color="auto"/>
              <w:right w:val="nil"/>
            </w:tcBorders>
            <w:vAlign w:val="center"/>
          </w:tcPr>
          <w:p w14:paraId="5855D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95FF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ROGAŠOVCI</w:t>
            </w:r>
          </w:p>
        </w:tc>
      </w:tr>
      <w:tr w:rsidR="00072A69" w:rsidRPr="00DC6DF9" w14:paraId="07BA56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A452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961</w:t>
            </w:r>
          </w:p>
        </w:tc>
        <w:tc>
          <w:tcPr>
            <w:tcW w:w="1036" w:type="dxa"/>
            <w:tcBorders>
              <w:top w:val="nil"/>
              <w:left w:val="nil"/>
              <w:bottom w:val="single" w:sz="4" w:space="0" w:color="auto"/>
              <w:right w:val="single" w:sz="4" w:space="0" w:color="auto"/>
            </w:tcBorders>
            <w:shd w:val="clear" w:color="auto" w:fill="auto"/>
            <w:noWrap/>
            <w:vAlign w:val="center"/>
            <w:hideMark/>
          </w:tcPr>
          <w:p w14:paraId="39078E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5883938000</w:t>
            </w:r>
          </w:p>
        </w:tc>
        <w:tc>
          <w:tcPr>
            <w:tcW w:w="1036" w:type="dxa"/>
            <w:tcBorders>
              <w:top w:val="nil"/>
              <w:left w:val="nil"/>
              <w:bottom w:val="single" w:sz="4" w:space="0" w:color="auto"/>
              <w:right w:val="single" w:sz="4" w:space="0" w:color="auto"/>
            </w:tcBorders>
            <w:shd w:val="clear" w:color="auto" w:fill="auto"/>
            <w:noWrap/>
            <w:vAlign w:val="center"/>
            <w:hideMark/>
          </w:tcPr>
          <w:p w14:paraId="71EDF8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47348429</w:t>
            </w:r>
          </w:p>
        </w:tc>
        <w:tc>
          <w:tcPr>
            <w:tcW w:w="160" w:type="dxa"/>
            <w:tcBorders>
              <w:top w:val="nil"/>
              <w:left w:val="nil"/>
              <w:bottom w:val="single" w:sz="4" w:space="0" w:color="auto"/>
              <w:right w:val="nil"/>
            </w:tcBorders>
            <w:vAlign w:val="center"/>
          </w:tcPr>
          <w:p w14:paraId="515107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A317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ROGATEC</w:t>
            </w:r>
          </w:p>
        </w:tc>
      </w:tr>
      <w:tr w:rsidR="00072A69" w:rsidRPr="00DC6DF9" w14:paraId="1C0BA4C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87EC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962</w:t>
            </w:r>
          </w:p>
        </w:tc>
        <w:tc>
          <w:tcPr>
            <w:tcW w:w="1036" w:type="dxa"/>
            <w:tcBorders>
              <w:top w:val="nil"/>
              <w:left w:val="nil"/>
              <w:bottom w:val="single" w:sz="4" w:space="0" w:color="auto"/>
              <w:right w:val="single" w:sz="4" w:space="0" w:color="auto"/>
            </w:tcBorders>
            <w:shd w:val="clear" w:color="auto" w:fill="auto"/>
            <w:noWrap/>
            <w:vAlign w:val="center"/>
            <w:hideMark/>
          </w:tcPr>
          <w:p w14:paraId="03969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5883571000</w:t>
            </w:r>
          </w:p>
        </w:tc>
        <w:tc>
          <w:tcPr>
            <w:tcW w:w="1036" w:type="dxa"/>
            <w:tcBorders>
              <w:top w:val="nil"/>
              <w:left w:val="nil"/>
              <w:bottom w:val="single" w:sz="4" w:space="0" w:color="auto"/>
              <w:right w:val="single" w:sz="4" w:space="0" w:color="auto"/>
            </w:tcBorders>
            <w:shd w:val="clear" w:color="auto" w:fill="auto"/>
            <w:noWrap/>
            <w:vAlign w:val="center"/>
            <w:hideMark/>
          </w:tcPr>
          <w:p w14:paraId="42B219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81314485</w:t>
            </w:r>
          </w:p>
        </w:tc>
        <w:tc>
          <w:tcPr>
            <w:tcW w:w="160" w:type="dxa"/>
            <w:tcBorders>
              <w:top w:val="nil"/>
              <w:left w:val="nil"/>
              <w:bottom w:val="single" w:sz="4" w:space="0" w:color="auto"/>
              <w:right w:val="nil"/>
            </w:tcBorders>
            <w:vAlign w:val="center"/>
          </w:tcPr>
          <w:p w14:paraId="45775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BCB8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RUŠE</w:t>
            </w:r>
          </w:p>
        </w:tc>
      </w:tr>
      <w:tr w:rsidR="00072A69" w:rsidRPr="00DC6DF9" w14:paraId="35FAB2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BD91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w:t>
            </w:r>
          </w:p>
        </w:tc>
        <w:tc>
          <w:tcPr>
            <w:tcW w:w="1036" w:type="dxa"/>
            <w:tcBorders>
              <w:top w:val="nil"/>
              <w:left w:val="nil"/>
              <w:bottom w:val="single" w:sz="4" w:space="0" w:color="auto"/>
              <w:right w:val="single" w:sz="4" w:space="0" w:color="auto"/>
            </w:tcBorders>
            <w:shd w:val="clear" w:color="auto" w:fill="auto"/>
            <w:noWrap/>
            <w:vAlign w:val="center"/>
            <w:hideMark/>
          </w:tcPr>
          <w:p w14:paraId="54951C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1357930000</w:t>
            </w:r>
          </w:p>
        </w:tc>
        <w:tc>
          <w:tcPr>
            <w:tcW w:w="1036" w:type="dxa"/>
            <w:tcBorders>
              <w:top w:val="nil"/>
              <w:left w:val="nil"/>
              <w:bottom w:val="single" w:sz="4" w:space="0" w:color="auto"/>
              <w:right w:val="single" w:sz="4" w:space="0" w:color="auto"/>
            </w:tcBorders>
            <w:shd w:val="clear" w:color="auto" w:fill="auto"/>
            <w:noWrap/>
            <w:vAlign w:val="center"/>
            <w:hideMark/>
          </w:tcPr>
          <w:p w14:paraId="777EB2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36150380</w:t>
            </w:r>
          </w:p>
        </w:tc>
        <w:tc>
          <w:tcPr>
            <w:tcW w:w="160" w:type="dxa"/>
            <w:tcBorders>
              <w:top w:val="nil"/>
              <w:left w:val="nil"/>
              <w:bottom w:val="single" w:sz="4" w:space="0" w:color="auto"/>
              <w:right w:val="nil"/>
            </w:tcBorders>
            <w:vAlign w:val="center"/>
          </w:tcPr>
          <w:p w14:paraId="528629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FA07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SELNICA OB DRAVI</w:t>
            </w:r>
          </w:p>
        </w:tc>
      </w:tr>
      <w:tr w:rsidR="00072A69" w:rsidRPr="00DC6DF9" w14:paraId="5607CC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9794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964</w:t>
            </w:r>
          </w:p>
        </w:tc>
        <w:tc>
          <w:tcPr>
            <w:tcW w:w="1036" w:type="dxa"/>
            <w:tcBorders>
              <w:top w:val="nil"/>
              <w:left w:val="nil"/>
              <w:bottom w:val="single" w:sz="4" w:space="0" w:color="auto"/>
              <w:right w:val="single" w:sz="4" w:space="0" w:color="auto"/>
            </w:tcBorders>
            <w:shd w:val="clear" w:color="auto" w:fill="auto"/>
            <w:noWrap/>
            <w:vAlign w:val="center"/>
            <w:hideMark/>
          </w:tcPr>
          <w:p w14:paraId="6B244D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5880262000</w:t>
            </w:r>
          </w:p>
        </w:tc>
        <w:tc>
          <w:tcPr>
            <w:tcW w:w="1036" w:type="dxa"/>
            <w:tcBorders>
              <w:top w:val="nil"/>
              <w:left w:val="nil"/>
              <w:bottom w:val="single" w:sz="4" w:space="0" w:color="auto"/>
              <w:right w:val="single" w:sz="4" w:space="0" w:color="auto"/>
            </w:tcBorders>
            <w:shd w:val="clear" w:color="auto" w:fill="auto"/>
            <w:noWrap/>
            <w:vAlign w:val="center"/>
            <w:hideMark/>
          </w:tcPr>
          <w:p w14:paraId="6ACFD8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79049273</w:t>
            </w:r>
          </w:p>
        </w:tc>
        <w:tc>
          <w:tcPr>
            <w:tcW w:w="160" w:type="dxa"/>
            <w:tcBorders>
              <w:top w:val="nil"/>
              <w:left w:val="nil"/>
              <w:bottom w:val="single" w:sz="4" w:space="0" w:color="auto"/>
              <w:right w:val="nil"/>
            </w:tcBorders>
            <w:vAlign w:val="center"/>
          </w:tcPr>
          <w:p w14:paraId="42C36C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2BEB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SEMIČ</w:t>
            </w:r>
          </w:p>
        </w:tc>
      </w:tr>
      <w:tr w:rsidR="00072A69" w:rsidRPr="00DC6DF9" w14:paraId="43B2AB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44DF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965</w:t>
            </w:r>
          </w:p>
        </w:tc>
        <w:tc>
          <w:tcPr>
            <w:tcW w:w="1036" w:type="dxa"/>
            <w:tcBorders>
              <w:top w:val="nil"/>
              <w:left w:val="nil"/>
              <w:bottom w:val="single" w:sz="4" w:space="0" w:color="auto"/>
              <w:right w:val="single" w:sz="4" w:space="0" w:color="auto"/>
            </w:tcBorders>
            <w:shd w:val="clear" w:color="auto" w:fill="auto"/>
            <w:noWrap/>
            <w:vAlign w:val="center"/>
            <w:hideMark/>
          </w:tcPr>
          <w:p w14:paraId="614A56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5883008000</w:t>
            </w:r>
          </w:p>
        </w:tc>
        <w:tc>
          <w:tcPr>
            <w:tcW w:w="1036" w:type="dxa"/>
            <w:tcBorders>
              <w:top w:val="nil"/>
              <w:left w:val="nil"/>
              <w:bottom w:val="single" w:sz="4" w:space="0" w:color="auto"/>
              <w:right w:val="single" w:sz="4" w:space="0" w:color="auto"/>
            </w:tcBorders>
            <w:shd w:val="clear" w:color="auto" w:fill="auto"/>
            <w:noWrap/>
            <w:vAlign w:val="center"/>
            <w:hideMark/>
          </w:tcPr>
          <w:p w14:paraId="7BEEBB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99767392</w:t>
            </w:r>
          </w:p>
        </w:tc>
        <w:tc>
          <w:tcPr>
            <w:tcW w:w="160" w:type="dxa"/>
            <w:tcBorders>
              <w:top w:val="nil"/>
              <w:left w:val="nil"/>
              <w:bottom w:val="single" w:sz="4" w:space="0" w:color="auto"/>
              <w:right w:val="nil"/>
            </w:tcBorders>
            <w:vAlign w:val="center"/>
          </w:tcPr>
          <w:p w14:paraId="10A475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4F0D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SEVNICA</w:t>
            </w:r>
          </w:p>
        </w:tc>
      </w:tr>
      <w:tr w:rsidR="00072A69" w:rsidRPr="00DC6DF9" w14:paraId="211982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6F88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966</w:t>
            </w:r>
          </w:p>
        </w:tc>
        <w:tc>
          <w:tcPr>
            <w:tcW w:w="1036" w:type="dxa"/>
            <w:tcBorders>
              <w:top w:val="nil"/>
              <w:left w:val="nil"/>
              <w:bottom w:val="single" w:sz="4" w:space="0" w:color="auto"/>
              <w:right w:val="single" w:sz="4" w:space="0" w:color="auto"/>
            </w:tcBorders>
            <w:shd w:val="clear" w:color="auto" w:fill="auto"/>
            <w:noWrap/>
            <w:vAlign w:val="center"/>
            <w:hideMark/>
          </w:tcPr>
          <w:p w14:paraId="29E67C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5884047000</w:t>
            </w:r>
          </w:p>
        </w:tc>
        <w:tc>
          <w:tcPr>
            <w:tcW w:w="1036" w:type="dxa"/>
            <w:tcBorders>
              <w:top w:val="nil"/>
              <w:left w:val="nil"/>
              <w:bottom w:val="single" w:sz="4" w:space="0" w:color="auto"/>
              <w:right w:val="single" w:sz="4" w:space="0" w:color="auto"/>
            </w:tcBorders>
            <w:shd w:val="clear" w:color="auto" w:fill="auto"/>
            <w:noWrap/>
            <w:vAlign w:val="center"/>
            <w:hideMark/>
          </w:tcPr>
          <w:p w14:paraId="0A42C4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66378443</w:t>
            </w:r>
          </w:p>
        </w:tc>
        <w:tc>
          <w:tcPr>
            <w:tcW w:w="160" w:type="dxa"/>
            <w:tcBorders>
              <w:top w:val="nil"/>
              <w:left w:val="nil"/>
              <w:bottom w:val="single" w:sz="4" w:space="0" w:color="auto"/>
              <w:right w:val="nil"/>
            </w:tcBorders>
            <w:vAlign w:val="center"/>
          </w:tcPr>
          <w:p w14:paraId="3E8928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DE4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SEŽANA</w:t>
            </w:r>
          </w:p>
        </w:tc>
      </w:tr>
      <w:tr w:rsidR="00072A69" w:rsidRPr="00DC6DF9" w14:paraId="0AD543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AB27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967</w:t>
            </w:r>
          </w:p>
        </w:tc>
        <w:tc>
          <w:tcPr>
            <w:tcW w:w="1036" w:type="dxa"/>
            <w:tcBorders>
              <w:top w:val="nil"/>
              <w:left w:val="nil"/>
              <w:bottom w:val="single" w:sz="4" w:space="0" w:color="auto"/>
              <w:right w:val="single" w:sz="4" w:space="0" w:color="auto"/>
            </w:tcBorders>
            <w:shd w:val="clear" w:color="auto" w:fill="auto"/>
            <w:noWrap/>
            <w:vAlign w:val="center"/>
            <w:hideMark/>
          </w:tcPr>
          <w:p w14:paraId="431AA4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5884250000</w:t>
            </w:r>
          </w:p>
        </w:tc>
        <w:tc>
          <w:tcPr>
            <w:tcW w:w="1036" w:type="dxa"/>
            <w:tcBorders>
              <w:top w:val="nil"/>
              <w:left w:val="nil"/>
              <w:bottom w:val="single" w:sz="4" w:space="0" w:color="auto"/>
              <w:right w:val="single" w:sz="4" w:space="0" w:color="auto"/>
            </w:tcBorders>
            <w:shd w:val="clear" w:color="auto" w:fill="auto"/>
            <w:noWrap/>
            <w:vAlign w:val="center"/>
            <w:hideMark/>
          </w:tcPr>
          <w:p w14:paraId="702E1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49960563</w:t>
            </w:r>
          </w:p>
        </w:tc>
        <w:tc>
          <w:tcPr>
            <w:tcW w:w="160" w:type="dxa"/>
            <w:tcBorders>
              <w:top w:val="nil"/>
              <w:left w:val="nil"/>
              <w:bottom w:val="single" w:sz="4" w:space="0" w:color="auto"/>
              <w:right w:val="nil"/>
            </w:tcBorders>
            <w:vAlign w:val="center"/>
          </w:tcPr>
          <w:p w14:paraId="324FAF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FB75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SLOVENSKA BISTRICA</w:t>
            </w:r>
          </w:p>
        </w:tc>
      </w:tr>
      <w:tr w:rsidR="00072A69" w:rsidRPr="00DC6DF9" w14:paraId="4FEDB1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80AD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968</w:t>
            </w:r>
          </w:p>
        </w:tc>
        <w:tc>
          <w:tcPr>
            <w:tcW w:w="1036" w:type="dxa"/>
            <w:tcBorders>
              <w:top w:val="nil"/>
              <w:left w:val="nil"/>
              <w:bottom w:val="single" w:sz="4" w:space="0" w:color="auto"/>
              <w:right w:val="single" w:sz="4" w:space="0" w:color="auto"/>
            </w:tcBorders>
            <w:shd w:val="clear" w:color="auto" w:fill="auto"/>
            <w:noWrap/>
            <w:vAlign w:val="center"/>
            <w:hideMark/>
          </w:tcPr>
          <w:p w14:paraId="0D7A14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5883814000</w:t>
            </w:r>
          </w:p>
        </w:tc>
        <w:tc>
          <w:tcPr>
            <w:tcW w:w="1036" w:type="dxa"/>
            <w:tcBorders>
              <w:top w:val="nil"/>
              <w:left w:val="nil"/>
              <w:bottom w:val="single" w:sz="4" w:space="0" w:color="auto"/>
              <w:right w:val="single" w:sz="4" w:space="0" w:color="auto"/>
            </w:tcBorders>
            <w:shd w:val="clear" w:color="auto" w:fill="auto"/>
            <w:noWrap/>
            <w:vAlign w:val="center"/>
            <w:hideMark/>
          </w:tcPr>
          <w:p w14:paraId="1F75EB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65504038</w:t>
            </w:r>
          </w:p>
        </w:tc>
        <w:tc>
          <w:tcPr>
            <w:tcW w:w="160" w:type="dxa"/>
            <w:tcBorders>
              <w:top w:val="nil"/>
              <w:left w:val="nil"/>
              <w:bottom w:val="single" w:sz="4" w:space="0" w:color="auto"/>
              <w:right w:val="nil"/>
            </w:tcBorders>
            <w:vAlign w:val="center"/>
          </w:tcPr>
          <w:p w14:paraId="09C57E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7F8A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SLOVENSKE KONJICE</w:t>
            </w:r>
          </w:p>
        </w:tc>
      </w:tr>
      <w:tr w:rsidR="00072A69" w:rsidRPr="00DC6DF9" w14:paraId="24511F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C97A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969</w:t>
            </w:r>
          </w:p>
        </w:tc>
        <w:tc>
          <w:tcPr>
            <w:tcW w:w="1036" w:type="dxa"/>
            <w:tcBorders>
              <w:top w:val="nil"/>
              <w:left w:val="nil"/>
              <w:bottom w:val="single" w:sz="4" w:space="0" w:color="auto"/>
              <w:right w:val="single" w:sz="4" w:space="0" w:color="auto"/>
            </w:tcBorders>
            <w:shd w:val="clear" w:color="auto" w:fill="auto"/>
            <w:noWrap/>
            <w:vAlign w:val="center"/>
            <w:hideMark/>
          </w:tcPr>
          <w:p w14:paraId="087EB8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1358154000</w:t>
            </w:r>
          </w:p>
        </w:tc>
        <w:tc>
          <w:tcPr>
            <w:tcW w:w="1036" w:type="dxa"/>
            <w:tcBorders>
              <w:top w:val="nil"/>
              <w:left w:val="nil"/>
              <w:bottom w:val="single" w:sz="4" w:space="0" w:color="auto"/>
              <w:right w:val="single" w:sz="4" w:space="0" w:color="auto"/>
            </w:tcBorders>
            <w:shd w:val="clear" w:color="auto" w:fill="auto"/>
            <w:noWrap/>
            <w:vAlign w:val="center"/>
            <w:hideMark/>
          </w:tcPr>
          <w:p w14:paraId="0084B2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97149667</w:t>
            </w:r>
          </w:p>
        </w:tc>
        <w:tc>
          <w:tcPr>
            <w:tcW w:w="160" w:type="dxa"/>
            <w:tcBorders>
              <w:top w:val="nil"/>
              <w:left w:val="nil"/>
              <w:bottom w:val="single" w:sz="4" w:space="0" w:color="auto"/>
              <w:right w:val="nil"/>
            </w:tcBorders>
            <w:vAlign w:val="center"/>
          </w:tcPr>
          <w:p w14:paraId="7DCDD38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397B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SODRAŽICA</w:t>
            </w:r>
          </w:p>
        </w:tc>
      </w:tr>
      <w:tr w:rsidR="00072A69" w:rsidRPr="00DC6DF9" w14:paraId="480341E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2133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970</w:t>
            </w:r>
          </w:p>
        </w:tc>
        <w:tc>
          <w:tcPr>
            <w:tcW w:w="1036" w:type="dxa"/>
            <w:tcBorders>
              <w:top w:val="nil"/>
              <w:left w:val="nil"/>
              <w:bottom w:val="single" w:sz="4" w:space="0" w:color="auto"/>
              <w:right w:val="single" w:sz="4" w:space="0" w:color="auto"/>
            </w:tcBorders>
            <w:shd w:val="clear" w:color="auto" w:fill="auto"/>
            <w:noWrap/>
            <w:vAlign w:val="center"/>
            <w:hideMark/>
          </w:tcPr>
          <w:p w14:paraId="2FB43B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1365851000</w:t>
            </w:r>
          </w:p>
        </w:tc>
        <w:tc>
          <w:tcPr>
            <w:tcW w:w="1036" w:type="dxa"/>
            <w:tcBorders>
              <w:top w:val="nil"/>
              <w:left w:val="nil"/>
              <w:bottom w:val="single" w:sz="4" w:space="0" w:color="auto"/>
              <w:right w:val="single" w:sz="4" w:space="0" w:color="auto"/>
            </w:tcBorders>
            <w:shd w:val="clear" w:color="auto" w:fill="auto"/>
            <w:noWrap/>
            <w:vAlign w:val="center"/>
            <w:hideMark/>
          </w:tcPr>
          <w:p w14:paraId="305D8F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78412447</w:t>
            </w:r>
          </w:p>
        </w:tc>
        <w:tc>
          <w:tcPr>
            <w:tcW w:w="160" w:type="dxa"/>
            <w:tcBorders>
              <w:top w:val="nil"/>
              <w:left w:val="nil"/>
              <w:bottom w:val="single" w:sz="4" w:space="0" w:color="auto"/>
              <w:right w:val="nil"/>
            </w:tcBorders>
            <w:vAlign w:val="center"/>
          </w:tcPr>
          <w:p w14:paraId="1043D9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048F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SOLČAVA</w:t>
            </w:r>
          </w:p>
        </w:tc>
      </w:tr>
      <w:tr w:rsidR="00072A69" w:rsidRPr="00DC6DF9" w14:paraId="7BAD64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0316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971</w:t>
            </w:r>
          </w:p>
        </w:tc>
        <w:tc>
          <w:tcPr>
            <w:tcW w:w="1036" w:type="dxa"/>
            <w:tcBorders>
              <w:top w:val="nil"/>
              <w:left w:val="nil"/>
              <w:bottom w:val="single" w:sz="4" w:space="0" w:color="auto"/>
              <w:right w:val="single" w:sz="4" w:space="0" w:color="auto"/>
            </w:tcBorders>
            <w:shd w:val="clear" w:color="auto" w:fill="auto"/>
            <w:noWrap/>
            <w:vAlign w:val="center"/>
            <w:hideMark/>
          </w:tcPr>
          <w:p w14:paraId="5189BE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2242788000</w:t>
            </w:r>
          </w:p>
        </w:tc>
        <w:tc>
          <w:tcPr>
            <w:tcW w:w="1036" w:type="dxa"/>
            <w:tcBorders>
              <w:top w:val="nil"/>
              <w:left w:val="nil"/>
              <w:bottom w:val="single" w:sz="4" w:space="0" w:color="auto"/>
              <w:right w:val="single" w:sz="4" w:space="0" w:color="auto"/>
            </w:tcBorders>
            <w:shd w:val="clear" w:color="auto" w:fill="auto"/>
            <w:noWrap/>
            <w:vAlign w:val="center"/>
            <w:hideMark/>
          </w:tcPr>
          <w:p w14:paraId="2C656F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72907932</w:t>
            </w:r>
          </w:p>
        </w:tc>
        <w:tc>
          <w:tcPr>
            <w:tcW w:w="160" w:type="dxa"/>
            <w:tcBorders>
              <w:top w:val="nil"/>
              <w:left w:val="nil"/>
              <w:bottom w:val="single" w:sz="4" w:space="0" w:color="auto"/>
              <w:right w:val="nil"/>
            </w:tcBorders>
            <w:vAlign w:val="center"/>
          </w:tcPr>
          <w:p w14:paraId="4A84D3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BE82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SREDIŠČE OB DRAVI</w:t>
            </w:r>
          </w:p>
        </w:tc>
      </w:tr>
      <w:tr w:rsidR="00072A69" w:rsidRPr="00DC6DF9" w14:paraId="798DE54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0363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972</w:t>
            </w:r>
          </w:p>
        </w:tc>
        <w:tc>
          <w:tcPr>
            <w:tcW w:w="1036" w:type="dxa"/>
            <w:tcBorders>
              <w:top w:val="nil"/>
              <w:left w:val="nil"/>
              <w:bottom w:val="single" w:sz="4" w:space="0" w:color="auto"/>
              <w:right w:val="single" w:sz="4" w:space="0" w:color="auto"/>
            </w:tcBorders>
            <w:shd w:val="clear" w:color="auto" w:fill="auto"/>
            <w:noWrap/>
            <w:vAlign w:val="center"/>
            <w:hideMark/>
          </w:tcPr>
          <w:p w14:paraId="0B0A31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5883199000</w:t>
            </w:r>
          </w:p>
        </w:tc>
        <w:tc>
          <w:tcPr>
            <w:tcW w:w="1036" w:type="dxa"/>
            <w:tcBorders>
              <w:top w:val="nil"/>
              <w:left w:val="nil"/>
              <w:bottom w:val="single" w:sz="4" w:space="0" w:color="auto"/>
              <w:right w:val="single" w:sz="4" w:space="0" w:color="auto"/>
            </w:tcBorders>
            <w:shd w:val="clear" w:color="auto" w:fill="auto"/>
            <w:noWrap/>
            <w:vAlign w:val="center"/>
            <w:hideMark/>
          </w:tcPr>
          <w:p w14:paraId="210F55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12241075</w:t>
            </w:r>
          </w:p>
        </w:tc>
        <w:tc>
          <w:tcPr>
            <w:tcW w:w="160" w:type="dxa"/>
            <w:tcBorders>
              <w:top w:val="nil"/>
              <w:left w:val="nil"/>
              <w:bottom w:val="single" w:sz="4" w:space="0" w:color="auto"/>
              <w:right w:val="nil"/>
            </w:tcBorders>
            <w:vAlign w:val="center"/>
          </w:tcPr>
          <w:p w14:paraId="6458FB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A498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STARŠE</w:t>
            </w:r>
          </w:p>
        </w:tc>
      </w:tr>
      <w:tr w:rsidR="00072A69" w:rsidRPr="00DC6DF9" w14:paraId="5F79F2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A16D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973</w:t>
            </w:r>
          </w:p>
        </w:tc>
        <w:tc>
          <w:tcPr>
            <w:tcW w:w="1036" w:type="dxa"/>
            <w:tcBorders>
              <w:top w:val="nil"/>
              <w:left w:val="nil"/>
              <w:bottom w:val="single" w:sz="4" w:space="0" w:color="auto"/>
              <w:right w:val="single" w:sz="4" w:space="0" w:color="auto"/>
            </w:tcBorders>
            <w:shd w:val="clear" w:color="auto" w:fill="auto"/>
            <w:noWrap/>
            <w:vAlign w:val="center"/>
            <w:hideMark/>
          </w:tcPr>
          <w:p w14:paraId="72E7DF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2241145000</w:t>
            </w:r>
          </w:p>
        </w:tc>
        <w:tc>
          <w:tcPr>
            <w:tcW w:w="1036" w:type="dxa"/>
            <w:tcBorders>
              <w:top w:val="nil"/>
              <w:left w:val="nil"/>
              <w:bottom w:val="single" w:sz="4" w:space="0" w:color="auto"/>
              <w:right w:val="single" w:sz="4" w:space="0" w:color="auto"/>
            </w:tcBorders>
            <w:shd w:val="clear" w:color="auto" w:fill="auto"/>
            <w:noWrap/>
            <w:vAlign w:val="center"/>
            <w:hideMark/>
          </w:tcPr>
          <w:p w14:paraId="4478E9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26246465</w:t>
            </w:r>
          </w:p>
        </w:tc>
        <w:tc>
          <w:tcPr>
            <w:tcW w:w="160" w:type="dxa"/>
            <w:tcBorders>
              <w:top w:val="nil"/>
              <w:left w:val="nil"/>
              <w:bottom w:val="single" w:sz="4" w:space="0" w:color="auto"/>
              <w:right w:val="nil"/>
            </w:tcBorders>
            <w:vAlign w:val="center"/>
          </w:tcPr>
          <w:p w14:paraId="6D9987A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F6FD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STRAŽA</w:t>
            </w:r>
          </w:p>
        </w:tc>
      </w:tr>
      <w:tr w:rsidR="00072A69" w:rsidRPr="00DC6DF9" w14:paraId="393E66D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5255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974</w:t>
            </w:r>
          </w:p>
        </w:tc>
        <w:tc>
          <w:tcPr>
            <w:tcW w:w="1036" w:type="dxa"/>
            <w:tcBorders>
              <w:top w:val="nil"/>
              <w:left w:val="nil"/>
              <w:bottom w:val="single" w:sz="4" w:space="0" w:color="auto"/>
              <w:right w:val="single" w:sz="4" w:space="0" w:color="auto"/>
            </w:tcBorders>
            <w:shd w:val="clear" w:color="auto" w:fill="auto"/>
            <w:noWrap/>
            <w:vAlign w:val="center"/>
            <w:hideMark/>
          </w:tcPr>
          <w:p w14:paraId="459ACF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1332074000</w:t>
            </w:r>
          </w:p>
        </w:tc>
        <w:tc>
          <w:tcPr>
            <w:tcW w:w="1036" w:type="dxa"/>
            <w:tcBorders>
              <w:top w:val="nil"/>
              <w:left w:val="nil"/>
              <w:bottom w:val="single" w:sz="4" w:space="0" w:color="auto"/>
              <w:right w:val="single" w:sz="4" w:space="0" w:color="auto"/>
            </w:tcBorders>
            <w:shd w:val="clear" w:color="auto" w:fill="auto"/>
            <w:noWrap/>
            <w:vAlign w:val="center"/>
            <w:hideMark/>
          </w:tcPr>
          <w:p w14:paraId="5F1D22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59385081</w:t>
            </w:r>
          </w:p>
        </w:tc>
        <w:tc>
          <w:tcPr>
            <w:tcW w:w="160" w:type="dxa"/>
            <w:tcBorders>
              <w:top w:val="nil"/>
              <w:left w:val="nil"/>
              <w:bottom w:val="single" w:sz="4" w:space="0" w:color="auto"/>
              <w:right w:val="nil"/>
            </w:tcBorders>
            <w:vAlign w:val="center"/>
          </w:tcPr>
          <w:p w14:paraId="7BCF79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70A3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SVETA ANA</w:t>
            </w:r>
          </w:p>
        </w:tc>
      </w:tr>
      <w:tr w:rsidR="00072A69" w:rsidRPr="00DC6DF9" w14:paraId="7A2848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FCC0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975</w:t>
            </w:r>
          </w:p>
        </w:tc>
        <w:tc>
          <w:tcPr>
            <w:tcW w:w="1036" w:type="dxa"/>
            <w:tcBorders>
              <w:top w:val="nil"/>
              <w:left w:val="nil"/>
              <w:bottom w:val="single" w:sz="4" w:space="0" w:color="auto"/>
              <w:right w:val="single" w:sz="4" w:space="0" w:color="auto"/>
            </w:tcBorders>
            <w:shd w:val="clear" w:color="auto" w:fill="auto"/>
            <w:noWrap/>
            <w:vAlign w:val="center"/>
            <w:hideMark/>
          </w:tcPr>
          <w:p w14:paraId="6066E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2242796000</w:t>
            </w:r>
          </w:p>
        </w:tc>
        <w:tc>
          <w:tcPr>
            <w:tcW w:w="1036" w:type="dxa"/>
            <w:tcBorders>
              <w:top w:val="nil"/>
              <w:left w:val="nil"/>
              <w:bottom w:val="single" w:sz="4" w:space="0" w:color="auto"/>
              <w:right w:val="single" w:sz="4" w:space="0" w:color="auto"/>
            </w:tcBorders>
            <w:shd w:val="clear" w:color="auto" w:fill="auto"/>
            <w:noWrap/>
            <w:vAlign w:val="center"/>
            <w:hideMark/>
          </w:tcPr>
          <w:p w14:paraId="664410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58878734</w:t>
            </w:r>
          </w:p>
        </w:tc>
        <w:tc>
          <w:tcPr>
            <w:tcW w:w="160" w:type="dxa"/>
            <w:tcBorders>
              <w:top w:val="nil"/>
              <w:left w:val="nil"/>
              <w:bottom w:val="single" w:sz="4" w:space="0" w:color="auto"/>
              <w:right w:val="nil"/>
            </w:tcBorders>
            <w:vAlign w:val="center"/>
          </w:tcPr>
          <w:p w14:paraId="5C270D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2C43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SVETA TROJICA V SLOVENSKIH GORICAH</w:t>
            </w:r>
          </w:p>
        </w:tc>
      </w:tr>
      <w:tr w:rsidR="00072A69" w:rsidRPr="00DC6DF9" w14:paraId="1BE205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8251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976</w:t>
            </w:r>
          </w:p>
        </w:tc>
        <w:tc>
          <w:tcPr>
            <w:tcW w:w="1036" w:type="dxa"/>
            <w:tcBorders>
              <w:top w:val="nil"/>
              <w:left w:val="nil"/>
              <w:bottom w:val="single" w:sz="4" w:space="0" w:color="auto"/>
              <w:right w:val="single" w:sz="4" w:space="0" w:color="auto"/>
            </w:tcBorders>
            <w:shd w:val="clear" w:color="auto" w:fill="auto"/>
            <w:noWrap/>
            <w:vAlign w:val="center"/>
            <w:hideMark/>
          </w:tcPr>
          <w:p w14:paraId="007454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1358103000</w:t>
            </w:r>
          </w:p>
        </w:tc>
        <w:tc>
          <w:tcPr>
            <w:tcW w:w="1036" w:type="dxa"/>
            <w:tcBorders>
              <w:top w:val="nil"/>
              <w:left w:val="nil"/>
              <w:bottom w:val="single" w:sz="4" w:space="0" w:color="auto"/>
              <w:right w:val="single" w:sz="4" w:space="0" w:color="auto"/>
            </w:tcBorders>
            <w:shd w:val="clear" w:color="auto" w:fill="auto"/>
            <w:noWrap/>
            <w:vAlign w:val="center"/>
            <w:hideMark/>
          </w:tcPr>
          <w:p w14:paraId="09E51D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72359528</w:t>
            </w:r>
          </w:p>
        </w:tc>
        <w:tc>
          <w:tcPr>
            <w:tcW w:w="160" w:type="dxa"/>
            <w:tcBorders>
              <w:top w:val="nil"/>
              <w:left w:val="nil"/>
              <w:bottom w:val="single" w:sz="4" w:space="0" w:color="auto"/>
              <w:right w:val="nil"/>
            </w:tcBorders>
            <w:vAlign w:val="center"/>
          </w:tcPr>
          <w:p w14:paraId="359FFA9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5E4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SVETI ANDRAŽ V SLOVENSKIH GORICAH</w:t>
            </w:r>
          </w:p>
        </w:tc>
      </w:tr>
      <w:tr w:rsidR="00072A69" w:rsidRPr="00DC6DF9" w14:paraId="07A44D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F435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977</w:t>
            </w:r>
          </w:p>
        </w:tc>
        <w:tc>
          <w:tcPr>
            <w:tcW w:w="1036" w:type="dxa"/>
            <w:tcBorders>
              <w:top w:val="nil"/>
              <w:left w:val="nil"/>
              <w:bottom w:val="single" w:sz="4" w:space="0" w:color="auto"/>
              <w:right w:val="single" w:sz="4" w:space="0" w:color="auto"/>
            </w:tcBorders>
            <w:shd w:val="clear" w:color="auto" w:fill="auto"/>
            <w:noWrap/>
            <w:vAlign w:val="center"/>
            <w:hideMark/>
          </w:tcPr>
          <w:p w14:paraId="5BB9EC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5880319000</w:t>
            </w:r>
          </w:p>
        </w:tc>
        <w:tc>
          <w:tcPr>
            <w:tcW w:w="1036" w:type="dxa"/>
            <w:tcBorders>
              <w:top w:val="nil"/>
              <w:left w:val="nil"/>
              <w:bottom w:val="single" w:sz="4" w:space="0" w:color="auto"/>
              <w:right w:val="single" w:sz="4" w:space="0" w:color="auto"/>
            </w:tcBorders>
            <w:shd w:val="clear" w:color="auto" w:fill="auto"/>
            <w:noWrap/>
            <w:vAlign w:val="center"/>
            <w:hideMark/>
          </w:tcPr>
          <w:p w14:paraId="06A47F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36670243</w:t>
            </w:r>
          </w:p>
        </w:tc>
        <w:tc>
          <w:tcPr>
            <w:tcW w:w="160" w:type="dxa"/>
            <w:tcBorders>
              <w:top w:val="nil"/>
              <w:left w:val="nil"/>
              <w:bottom w:val="single" w:sz="4" w:space="0" w:color="auto"/>
              <w:right w:val="nil"/>
            </w:tcBorders>
            <w:vAlign w:val="center"/>
          </w:tcPr>
          <w:p w14:paraId="6FCAEF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4EDD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SVETI JURIJ OB ŠČAVNICI</w:t>
            </w:r>
          </w:p>
        </w:tc>
      </w:tr>
      <w:tr w:rsidR="00072A69" w:rsidRPr="00DC6DF9" w14:paraId="28489D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3731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978</w:t>
            </w:r>
          </w:p>
        </w:tc>
        <w:tc>
          <w:tcPr>
            <w:tcW w:w="1036" w:type="dxa"/>
            <w:tcBorders>
              <w:top w:val="nil"/>
              <w:left w:val="nil"/>
              <w:bottom w:val="single" w:sz="4" w:space="0" w:color="auto"/>
              <w:right w:val="single" w:sz="4" w:space="0" w:color="auto"/>
            </w:tcBorders>
            <w:shd w:val="clear" w:color="auto" w:fill="auto"/>
            <w:noWrap/>
            <w:vAlign w:val="center"/>
            <w:hideMark/>
          </w:tcPr>
          <w:p w14:paraId="71741A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2242877000</w:t>
            </w:r>
          </w:p>
        </w:tc>
        <w:tc>
          <w:tcPr>
            <w:tcW w:w="1036" w:type="dxa"/>
            <w:tcBorders>
              <w:top w:val="nil"/>
              <w:left w:val="nil"/>
              <w:bottom w:val="single" w:sz="4" w:space="0" w:color="auto"/>
              <w:right w:val="single" w:sz="4" w:space="0" w:color="auto"/>
            </w:tcBorders>
            <w:shd w:val="clear" w:color="auto" w:fill="auto"/>
            <w:noWrap/>
            <w:vAlign w:val="center"/>
            <w:hideMark/>
          </w:tcPr>
          <w:p w14:paraId="0E194B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58481435</w:t>
            </w:r>
          </w:p>
        </w:tc>
        <w:tc>
          <w:tcPr>
            <w:tcW w:w="160" w:type="dxa"/>
            <w:tcBorders>
              <w:top w:val="nil"/>
              <w:left w:val="nil"/>
              <w:bottom w:val="single" w:sz="4" w:space="0" w:color="auto"/>
              <w:right w:val="nil"/>
            </w:tcBorders>
            <w:vAlign w:val="center"/>
          </w:tcPr>
          <w:p w14:paraId="7B7CFB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C22D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SVETI JURIJ V SLOVENSKIH GORICAH</w:t>
            </w:r>
          </w:p>
        </w:tc>
      </w:tr>
      <w:tr w:rsidR="00072A69" w:rsidRPr="00DC6DF9" w14:paraId="5F5F99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BFCE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979</w:t>
            </w:r>
          </w:p>
        </w:tc>
        <w:tc>
          <w:tcPr>
            <w:tcW w:w="1036" w:type="dxa"/>
            <w:tcBorders>
              <w:top w:val="nil"/>
              <w:left w:val="nil"/>
              <w:bottom w:val="single" w:sz="4" w:space="0" w:color="auto"/>
              <w:right w:val="single" w:sz="4" w:space="0" w:color="auto"/>
            </w:tcBorders>
            <w:shd w:val="clear" w:color="auto" w:fill="auto"/>
            <w:noWrap/>
            <w:vAlign w:val="center"/>
            <w:hideMark/>
          </w:tcPr>
          <w:p w14:paraId="4D6D7E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2242761000</w:t>
            </w:r>
          </w:p>
        </w:tc>
        <w:tc>
          <w:tcPr>
            <w:tcW w:w="1036" w:type="dxa"/>
            <w:tcBorders>
              <w:top w:val="nil"/>
              <w:left w:val="nil"/>
              <w:bottom w:val="single" w:sz="4" w:space="0" w:color="auto"/>
              <w:right w:val="single" w:sz="4" w:space="0" w:color="auto"/>
            </w:tcBorders>
            <w:shd w:val="clear" w:color="auto" w:fill="auto"/>
            <w:noWrap/>
            <w:vAlign w:val="center"/>
            <w:hideMark/>
          </w:tcPr>
          <w:p w14:paraId="7CABAF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46847758</w:t>
            </w:r>
          </w:p>
        </w:tc>
        <w:tc>
          <w:tcPr>
            <w:tcW w:w="160" w:type="dxa"/>
            <w:tcBorders>
              <w:top w:val="nil"/>
              <w:left w:val="nil"/>
              <w:bottom w:val="single" w:sz="4" w:space="0" w:color="auto"/>
              <w:right w:val="nil"/>
            </w:tcBorders>
            <w:vAlign w:val="center"/>
          </w:tcPr>
          <w:p w14:paraId="617F6E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C562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SVETI TOMAŽ</w:t>
            </w:r>
          </w:p>
        </w:tc>
      </w:tr>
      <w:tr w:rsidR="00072A69" w:rsidRPr="00DC6DF9" w14:paraId="390ED6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899E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980</w:t>
            </w:r>
          </w:p>
        </w:tc>
        <w:tc>
          <w:tcPr>
            <w:tcW w:w="1036" w:type="dxa"/>
            <w:tcBorders>
              <w:top w:val="nil"/>
              <w:left w:val="nil"/>
              <w:bottom w:val="single" w:sz="4" w:space="0" w:color="auto"/>
              <w:right w:val="single" w:sz="4" w:space="0" w:color="auto"/>
            </w:tcBorders>
            <w:shd w:val="clear" w:color="auto" w:fill="auto"/>
            <w:noWrap/>
            <w:vAlign w:val="center"/>
            <w:hideMark/>
          </w:tcPr>
          <w:p w14:paraId="479FF6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5883113000</w:t>
            </w:r>
          </w:p>
        </w:tc>
        <w:tc>
          <w:tcPr>
            <w:tcW w:w="1036" w:type="dxa"/>
            <w:tcBorders>
              <w:top w:val="nil"/>
              <w:left w:val="nil"/>
              <w:bottom w:val="single" w:sz="4" w:space="0" w:color="auto"/>
              <w:right w:val="single" w:sz="4" w:space="0" w:color="auto"/>
            </w:tcBorders>
            <w:shd w:val="clear" w:color="auto" w:fill="auto"/>
            <w:noWrap/>
            <w:vAlign w:val="center"/>
            <w:hideMark/>
          </w:tcPr>
          <w:p w14:paraId="5EC616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83272631</w:t>
            </w:r>
          </w:p>
        </w:tc>
        <w:tc>
          <w:tcPr>
            <w:tcW w:w="160" w:type="dxa"/>
            <w:tcBorders>
              <w:top w:val="nil"/>
              <w:left w:val="nil"/>
              <w:bottom w:val="single" w:sz="4" w:space="0" w:color="auto"/>
              <w:right w:val="nil"/>
            </w:tcBorders>
            <w:vAlign w:val="center"/>
          </w:tcPr>
          <w:p w14:paraId="704898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183D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ŠALOVCI</w:t>
            </w:r>
          </w:p>
        </w:tc>
      </w:tr>
      <w:tr w:rsidR="00072A69" w:rsidRPr="00DC6DF9" w14:paraId="049259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5039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981</w:t>
            </w:r>
          </w:p>
        </w:tc>
        <w:tc>
          <w:tcPr>
            <w:tcW w:w="1036" w:type="dxa"/>
            <w:tcBorders>
              <w:top w:val="nil"/>
              <w:left w:val="nil"/>
              <w:bottom w:val="single" w:sz="4" w:space="0" w:color="auto"/>
              <w:right w:val="single" w:sz="4" w:space="0" w:color="auto"/>
            </w:tcBorders>
            <w:shd w:val="clear" w:color="auto" w:fill="auto"/>
            <w:noWrap/>
            <w:vAlign w:val="center"/>
            <w:hideMark/>
          </w:tcPr>
          <w:p w14:paraId="65B893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1358227000</w:t>
            </w:r>
          </w:p>
        </w:tc>
        <w:tc>
          <w:tcPr>
            <w:tcW w:w="1036" w:type="dxa"/>
            <w:tcBorders>
              <w:top w:val="nil"/>
              <w:left w:val="nil"/>
              <w:bottom w:val="single" w:sz="4" w:space="0" w:color="auto"/>
              <w:right w:val="single" w:sz="4" w:space="0" w:color="auto"/>
            </w:tcBorders>
            <w:shd w:val="clear" w:color="auto" w:fill="auto"/>
            <w:noWrap/>
            <w:vAlign w:val="center"/>
            <w:hideMark/>
          </w:tcPr>
          <w:p w14:paraId="7509BF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44857390</w:t>
            </w:r>
          </w:p>
        </w:tc>
        <w:tc>
          <w:tcPr>
            <w:tcW w:w="160" w:type="dxa"/>
            <w:tcBorders>
              <w:top w:val="nil"/>
              <w:left w:val="nil"/>
              <w:bottom w:val="single" w:sz="4" w:space="0" w:color="auto"/>
              <w:right w:val="nil"/>
            </w:tcBorders>
            <w:vAlign w:val="center"/>
          </w:tcPr>
          <w:p w14:paraId="120D80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194C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ŠEMPETER - VRTOJBA</w:t>
            </w:r>
          </w:p>
        </w:tc>
      </w:tr>
      <w:tr w:rsidR="00072A69" w:rsidRPr="00DC6DF9" w14:paraId="66AE96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7EAB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982</w:t>
            </w:r>
          </w:p>
        </w:tc>
        <w:tc>
          <w:tcPr>
            <w:tcW w:w="1036" w:type="dxa"/>
            <w:tcBorders>
              <w:top w:val="nil"/>
              <w:left w:val="nil"/>
              <w:bottom w:val="single" w:sz="4" w:space="0" w:color="auto"/>
              <w:right w:val="single" w:sz="4" w:space="0" w:color="auto"/>
            </w:tcBorders>
            <w:shd w:val="clear" w:color="auto" w:fill="auto"/>
            <w:noWrap/>
            <w:vAlign w:val="center"/>
            <w:hideMark/>
          </w:tcPr>
          <w:p w14:paraId="7F8C1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5874696000</w:t>
            </w:r>
          </w:p>
        </w:tc>
        <w:tc>
          <w:tcPr>
            <w:tcW w:w="1036" w:type="dxa"/>
            <w:tcBorders>
              <w:top w:val="nil"/>
              <w:left w:val="nil"/>
              <w:bottom w:val="single" w:sz="4" w:space="0" w:color="auto"/>
              <w:right w:val="single" w:sz="4" w:space="0" w:color="auto"/>
            </w:tcBorders>
            <w:shd w:val="clear" w:color="auto" w:fill="auto"/>
            <w:noWrap/>
            <w:vAlign w:val="center"/>
            <w:hideMark/>
          </w:tcPr>
          <w:p w14:paraId="3B6DF2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85537322</w:t>
            </w:r>
          </w:p>
        </w:tc>
        <w:tc>
          <w:tcPr>
            <w:tcW w:w="160" w:type="dxa"/>
            <w:tcBorders>
              <w:top w:val="nil"/>
              <w:left w:val="nil"/>
              <w:bottom w:val="single" w:sz="4" w:space="0" w:color="auto"/>
              <w:right w:val="nil"/>
            </w:tcBorders>
            <w:vAlign w:val="center"/>
          </w:tcPr>
          <w:p w14:paraId="03F0708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18DB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ŠENČUR</w:t>
            </w:r>
          </w:p>
        </w:tc>
      </w:tr>
      <w:tr w:rsidR="00072A69" w:rsidRPr="00DC6DF9" w14:paraId="73314C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CB56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983</w:t>
            </w:r>
          </w:p>
        </w:tc>
        <w:tc>
          <w:tcPr>
            <w:tcW w:w="1036" w:type="dxa"/>
            <w:tcBorders>
              <w:top w:val="nil"/>
              <w:left w:val="nil"/>
              <w:bottom w:val="single" w:sz="4" w:space="0" w:color="auto"/>
              <w:right w:val="single" w:sz="4" w:space="0" w:color="auto"/>
            </w:tcBorders>
            <w:shd w:val="clear" w:color="auto" w:fill="auto"/>
            <w:noWrap/>
            <w:vAlign w:val="center"/>
            <w:hideMark/>
          </w:tcPr>
          <w:p w14:paraId="5DC95C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5884209000</w:t>
            </w:r>
          </w:p>
        </w:tc>
        <w:tc>
          <w:tcPr>
            <w:tcW w:w="1036" w:type="dxa"/>
            <w:tcBorders>
              <w:top w:val="nil"/>
              <w:left w:val="nil"/>
              <w:bottom w:val="single" w:sz="4" w:space="0" w:color="auto"/>
              <w:right w:val="single" w:sz="4" w:space="0" w:color="auto"/>
            </w:tcBorders>
            <w:shd w:val="clear" w:color="auto" w:fill="auto"/>
            <w:noWrap/>
            <w:vAlign w:val="center"/>
            <w:hideMark/>
          </w:tcPr>
          <w:p w14:paraId="10FA0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38253283</w:t>
            </w:r>
          </w:p>
        </w:tc>
        <w:tc>
          <w:tcPr>
            <w:tcW w:w="160" w:type="dxa"/>
            <w:tcBorders>
              <w:top w:val="nil"/>
              <w:left w:val="nil"/>
              <w:bottom w:val="single" w:sz="4" w:space="0" w:color="auto"/>
              <w:right w:val="nil"/>
            </w:tcBorders>
            <w:vAlign w:val="center"/>
          </w:tcPr>
          <w:p w14:paraId="63E59A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6441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ŠENTILJ</w:t>
            </w:r>
          </w:p>
        </w:tc>
      </w:tr>
      <w:tr w:rsidR="00072A69" w:rsidRPr="00DC6DF9" w14:paraId="1EF1408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49E5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984</w:t>
            </w:r>
          </w:p>
        </w:tc>
        <w:tc>
          <w:tcPr>
            <w:tcW w:w="1036" w:type="dxa"/>
            <w:tcBorders>
              <w:top w:val="nil"/>
              <w:left w:val="nil"/>
              <w:bottom w:val="single" w:sz="4" w:space="0" w:color="auto"/>
              <w:right w:val="single" w:sz="4" w:space="0" w:color="auto"/>
            </w:tcBorders>
            <w:shd w:val="clear" w:color="auto" w:fill="auto"/>
            <w:noWrap/>
            <w:vAlign w:val="center"/>
            <w:hideMark/>
          </w:tcPr>
          <w:p w14:paraId="3F0913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5883334000</w:t>
            </w:r>
          </w:p>
        </w:tc>
        <w:tc>
          <w:tcPr>
            <w:tcW w:w="1036" w:type="dxa"/>
            <w:tcBorders>
              <w:top w:val="nil"/>
              <w:left w:val="nil"/>
              <w:bottom w:val="single" w:sz="4" w:space="0" w:color="auto"/>
              <w:right w:val="single" w:sz="4" w:space="0" w:color="auto"/>
            </w:tcBorders>
            <w:shd w:val="clear" w:color="auto" w:fill="auto"/>
            <w:noWrap/>
            <w:vAlign w:val="center"/>
            <w:hideMark/>
          </w:tcPr>
          <w:p w14:paraId="5A2B87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62524291</w:t>
            </w:r>
          </w:p>
        </w:tc>
        <w:tc>
          <w:tcPr>
            <w:tcW w:w="160" w:type="dxa"/>
            <w:tcBorders>
              <w:top w:val="nil"/>
              <w:left w:val="nil"/>
              <w:bottom w:val="single" w:sz="4" w:space="0" w:color="auto"/>
              <w:right w:val="nil"/>
            </w:tcBorders>
            <w:vAlign w:val="center"/>
          </w:tcPr>
          <w:p w14:paraId="52ED93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3E95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ŠENTJERNEJ</w:t>
            </w:r>
          </w:p>
        </w:tc>
      </w:tr>
      <w:tr w:rsidR="00072A69" w:rsidRPr="00DC6DF9" w14:paraId="5D5710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4521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985</w:t>
            </w:r>
          </w:p>
        </w:tc>
        <w:tc>
          <w:tcPr>
            <w:tcW w:w="1036" w:type="dxa"/>
            <w:tcBorders>
              <w:top w:val="nil"/>
              <w:left w:val="nil"/>
              <w:bottom w:val="single" w:sz="4" w:space="0" w:color="auto"/>
              <w:right w:val="single" w:sz="4" w:space="0" w:color="auto"/>
            </w:tcBorders>
            <w:shd w:val="clear" w:color="auto" w:fill="auto"/>
            <w:noWrap/>
            <w:vAlign w:val="center"/>
            <w:hideMark/>
          </w:tcPr>
          <w:p w14:paraId="7F110D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5884799000</w:t>
            </w:r>
          </w:p>
        </w:tc>
        <w:tc>
          <w:tcPr>
            <w:tcW w:w="1036" w:type="dxa"/>
            <w:tcBorders>
              <w:top w:val="nil"/>
              <w:left w:val="nil"/>
              <w:bottom w:val="single" w:sz="4" w:space="0" w:color="auto"/>
              <w:right w:val="single" w:sz="4" w:space="0" w:color="auto"/>
            </w:tcBorders>
            <w:shd w:val="clear" w:color="auto" w:fill="auto"/>
            <w:noWrap/>
            <w:vAlign w:val="center"/>
            <w:hideMark/>
          </w:tcPr>
          <w:p w14:paraId="4C36CF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20341253</w:t>
            </w:r>
          </w:p>
        </w:tc>
        <w:tc>
          <w:tcPr>
            <w:tcW w:w="160" w:type="dxa"/>
            <w:tcBorders>
              <w:top w:val="nil"/>
              <w:left w:val="nil"/>
              <w:bottom w:val="single" w:sz="4" w:space="0" w:color="auto"/>
              <w:right w:val="nil"/>
            </w:tcBorders>
            <w:vAlign w:val="center"/>
          </w:tcPr>
          <w:p w14:paraId="6DD5A7C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923D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ŠENTJUR</w:t>
            </w:r>
          </w:p>
        </w:tc>
      </w:tr>
      <w:tr w:rsidR="00072A69" w:rsidRPr="00DC6DF9" w14:paraId="475F24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2ED7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986</w:t>
            </w:r>
          </w:p>
        </w:tc>
        <w:tc>
          <w:tcPr>
            <w:tcW w:w="1036" w:type="dxa"/>
            <w:tcBorders>
              <w:top w:val="nil"/>
              <w:left w:val="nil"/>
              <w:bottom w:val="single" w:sz="4" w:space="0" w:color="auto"/>
              <w:right w:val="single" w:sz="4" w:space="0" w:color="auto"/>
            </w:tcBorders>
            <w:shd w:val="clear" w:color="auto" w:fill="auto"/>
            <w:noWrap/>
            <w:vAlign w:val="center"/>
            <w:hideMark/>
          </w:tcPr>
          <w:p w14:paraId="50134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2241153000</w:t>
            </w:r>
          </w:p>
        </w:tc>
        <w:tc>
          <w:tcPr>
            <w:tcW w:w="1036" w:type="dxa"/>
            <w:tcBorders>
              <w:top w:val="nil"/>
              <w:left w:val="nil"/>
              <w:bottom w:val="single" w:sz="4" w:space="0" w:color="auto"/>
              <w:right w:val="single" w:sz="4" w:space="0" w:color="auto"/>
            </w:tcBorders>
            <w:shd w:val="clear" w:color="auto" w:fill="auto"/>
            <w:noWrap/>
            <w:vAlign w:val="center"/>
            <w:hideMark/>
          </w:tcPr>
          <w:p w14:paraId="0F1EED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43936377</w:t>
            </w:r>
          </w:p>
        </w:tc>
        <w:tc>
          <w:tcPr>
            <w:tcW w:w="160" w:type="dxa"/>
            <w:tcBorders>
              <w:top w:val="nil"/>
              <w:left w:val="nil"/>
              <w:bottom w:val="single" w:sz="4" w:space="0" w:color="auto"/>
              <w:right w:val="nil"/>
            </w:tcBorders>
            <w:vAlign w:val="center"/>
          </w:tcPr>
          <w:p w14:paraId="3087DE1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5F20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ŠENTRUPERT</w:t>
            </w:r>
          </w:p>
        </w:tc>
      </w:tr>
      <w:tr w:rsidR="00072A69" w:rsidRPr="00DC6DF9" w14:paraId="63DA6D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06CA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987</w:t>
            </w:r>
          </w:p>
        </w:tc>
        <w:tc>
          <w:tcPr>
            <w:tcW w:w="1036" w:type="dxa"/>
            <w:tcBorders>
              <w:top w:val="nil"/>
              <w:left w:val="nil"/>
              <w:bottom w:val="single" w:sz="4" w:space="0" w:color="auto"/>
              <w:right w:val="single" w:sz="4" w:space="0" w:color="auto"/>
            </w:tcBorders>
            <w:shd w:val="clear" w:color="auto" w:fill="auto"/>
            <w:noWrap/>
            <w:vAlign w:val="center"/>
            <w:hideMark/>
          </w:tcPr>
          <w:p w14:paraId="279B8E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5883296000</w:t>
            </w:r>
          </w:p>
        </w:tc>
        <w:tc>
          <w:tcPr>
            <w:tcW w:w="1036" w:type="dxa"/>
            <w:tcBorders>
              <w:top w:val="nil"/>
              <w:left w:val="nil"/>
              <w:bottom w:val="single" w:sz="4" w:space="0" w:color="auto"/>
              <w:right w:val="single" w:sz="4" w:space="0" w:color="auto"/>
            </w:tcBorders>
            <w:shd w:val="clear" w:color="auto" w:fill="auto"/>
            <w:noWrap/>
            <w:vAlign w:val="center"/>
            <w:hideMark/>
          </w:tcPr>
          <w:p w14:paraId="15A430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33551588</w:t>
            </w:r>
          </w:p>
        </w:tc>
        <w:tc>
          <w:tcPr>
            <w:tcW w:w="160" w:type="dxa"/>
            <w:tcBorders>
              <w:top w:val="nil"/>
              <w:left w:val="nil"/>
              <w:bottom w:val="single" w:sz="4" w:space="0" w:color="auto"/>
              <w:right w:val="nil"/>
            </w:tcBorders>
            <w:vAlign w:val="center"/>
          </w:tcPr>
          <w:p w14:paraId="56F30FA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AB9E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ŠKOCJAN</w:t>
            </w:r>
          </w:p>
        </w:tc>
      </w:tr>
      <w:tr w:rsidR="00072A69" w:rsidRPr="00DC6DF9" w14:paraId="2B8A38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994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988</w:t>
            </w:r>
          </w:p>
        </w:tc>
        <w:tc>
          <w:tcPr>
            <w:tcW w:w="1036" w:type="dxa"/>
            <w:tcBorders>
              <w:top w:val="nil"/>
              <w:left w:val="nil"/>
              <w:bottom w:val="single" w:sz="4" w:space="0" w:color="auto"/>
              <w:right w:val="single" w:sz="4" w:space="0" w:color="auto"/>
            </w:tcBorders>
            <w:shd w:val="clear" w:color="auto" w:fill="auto"/>
            <w:noWrap/>
            <w:vAlign w:val="center"/>
            <w:hideMark/>
          </w:tcPr>
          <w:p w14:paraId="0BEFA2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5883318000</w:t>
            </w:r>
          </w:p>
        </w:tc>
        <w:tc>
          <w:tcPr>
            <w:tcW w:w="1036" w:type="dxa"/>
            <w:tcBorders>
              <w:top w:val="nil"/>
              <w:left w:val="nil"/>
              <w:bottom w:val="single" w:sz="4" w:space="0" w:color="auto"/>
              <w:right w:val="single" w:sz="4" w:space="0" w:color="auto"/>
            </w:tcBorders>
            <w:shd w:val="clear" w:color="auto" w:fill="auto"/>
            <w:noWrap/>
            <w:vAlign w:val="center"/>
            <w:hideMark/>
          </w:tcPr>
          <w:p w14:paraId="032832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18947271</w:t>
            </w:r>
          </w:p>
        </w:tc>
        <w:tc>
          <w:tcPr>
            <w:tcW w:w="160" w:type="dxa"/>
            <w:tcBorders>
              <w:top w:val="nil"/>
              <w:left w:val="nil"/>
              <w:bottom w:val="single" w:sz="4" w:space="0" w:color="auto"/>
              <w:right w:val="nil"/>
            </w:tcBorders>
            <w:vAlign w:val="center"/>
          </w:tcPr>
          <w:p w14:paraId="3817BC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B8D9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ŠKOFJA LOKA</w:t>
            </w:r>
          </w:p>
        </w:tc>
      </w:tr>
      <w:tr w:rsidR="00072A69" w:rsidRPr="00DC6DF9" w14:paraId="672B444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9F57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989</w:t>
            </w:r>
          </w:p>
        </w:tc>
        <w:tc>
          <w:tcPr>
            <w:tcW w:w="1036" w:type="dxa"/>
            <w:tcBorders>
              <w:top w:val="nil"/>
              <w:left w:val="nil"/>
              <w:bottom w:val="single" w:sz="4" w:space="0" w:color="auto"/>
              <w:right w:val="single" w:sz="4" w:space="0" w:color="auto"/>
            </w:tcBorders>
            <w:shd w:val="clear" w:color="auto" w:fill="auto"/>
            <w:noWrap/>
            <w:vAlign w:val="center"/>
            <w:hideMark/>
          </w:tcPr>
          <w:p w14:paraId="2BDED7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5874602000</w:t>
            </w:r>
          </w:p>
        </w:tc>
        <w:tc>
          <w:tcPr>
            <w:tcW w:w="1036" w:type="dxa"/>
            <w:tcBorders>
              <w:top w:val="nil"/>
              <w:left w:val="nil"/>
              <w:bottom w:val="single" w:sz="4" w:space="0" w:color="auto"/>
              <w:right w:val="single" w:sz="4" w:space="0" w:color="auto"/>
            </w:tcBorders>
            <w:shd w:val="clear" w:color="auto" w:fill="auto"/>
            <w:noWrap/>
            <w:vAlign w:val="center"/>
            <w:hideMark/>
          </w:tcPr>
          <w:p w14:paraId="1EF082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72177918</w:t>
            </w:r>
          </w:p>
        </w:tc>
        <w:tc>
          <w:tcPr>
            <w:tcW w:w="160" w:type="dxa"/>
            <w:tcBorders>
              <w:top w:val="nil"/>
              <w:left w:val="nil"/>
              <w:bottom w:val="single" w:sz="4" w:space="0" w:color="auto"/>
              <w:right w:val="nil"/>
            </w:tcBorders>
            <w:vAlign w:val="center"/>
          </w:tcPr>
          <w:p w14:paraId="0BDD972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FD51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ŠKOFLJICA</w:t>
            </w:r>
          </w:p>
        </w:tc>
      </w:tr>
      <w:tr w:rsidR="00072A69" w:rsidRPr="00DC6DF9" w14:paraId="202C55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E84A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990</w:t>
            </w:r>
          </w:p>
        </w:tc>
        <w:tc>
          <w:tcPr>
            <w:tcW w:w="1036" w:type="dxa"/>
            <w:tcBorders>
              <w:top w:val="nil"/>
              <w:left w:val="nil"/>
              <w:bottom w:val="single" w:sz="4" w:space="0" w:color="auto"/>
              <w:right w:val="single" w:sz="4" w:space="0" w:color="auto"/>
            </w:tcBorders>
            <w:shd w:val="clear" w:color="auto" w:fill="auto"/>
            <w:noWrap/>
            <w:vAlign w:val="center"/>
            <w:hideMark/>
          </w:tcPr>
          <w:p w14:paraId="478900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5884012000</w:t>
            </w:r>
          </w:p>
        </w:tc>
        <w:tc>
          <w:tcPr>
            <w:tcW w:w="1036" w:type="dxa"/>
            <w:tcBorders>
              <w:top w:val="nil"/>
              <w:left w:val="nil"/>
              <w:bottom w:val="single" w:sz="4" w:space="0" w:color="auto"/>
              <w:right w:val="single" w:sz="4" w:space="0" w:color="auto"/>
            </w:tcBorders>
            <w:shd w:val="clear" w:color="auto" w:fill="auto"/>
            <w:noWrap/>
            <w:vAlign w:val="center"/>
            <w:hideMark/>
          </w:tcPr>
          <w:p w14:paraId="6DDD14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31214908</w:t>
            </w:r>
          </w:p>
        </w:tc>
        <w:tc>
          <w:tcPr>
            <w:tcW w:w="160" w:type="dxa"/>
            <w:tcBorders>
              <w:top w:val="nil"/>
              <w:left w:val="nil"/>
              <w:bottom w:val="single" w:sz="4" w:space="0" w:color="auto"/>
              <w:right w:val="nil"/>
            </w:tcBorders>
            <w:vAlign w:val="center"/>
          </w:tcPr>
          <w:p w14:paraId="5575538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12FA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ŠMARJE PRI JELŠAH</w:t>
            </w:r>
          </w:p>
        </w:tc>
      </w:tr>
      <w:tr w:rsidR="00072A69" w:rsidRPr="00DC6DF9" w14:paraId="1BF4B4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CF5C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991</w:t>
            </w:r>
          </w:p>
        </w:tc>
        <w:tc>
          <w:tcPr>
            <w:tcW w:w="1036" w:type="dxa"/>
            <w:tcBorders>
              <w:top w:val="nil"/>
              <w:left w:val="nil"/>
              <w:bottom w:val="single" w:sz="4" w:space="0" w:color="auto"/>
              <w:right w:val="single" w:sz="4" w:space="0" w:color="auto"/>
            </w:tcBorders>
            <w:shd w:val="clear" w:color="auto" w:fill="auto"/>
            <w:noWrap/>
            <w:vAlign w:val="center"/>
            <w:hideMark/>
          </w:tcPr>
          <w:p w14:paraId="31253B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2241161000</w:t>
            </w:r>
          </w:p>
        </w:tc>
        <w:tc>
          <w:tcPr>
            <w:tcW w:w="1036" w:type="dxa"/>
            <w:tcBorders>
              <w:top w:val="nil"/>
              <w:left w:val="nil"/>
              <w:bottom w:val="single" w:sz="4" w:space="0" w:color="auto"/>
              <w:right w:val="single" w:sz="4" w:space="0" w:color="auto"/>
            </w:tcBorders>
            <w:shd w:val="clear" w:color="auto" w:fill="auto"/>
            <w:noWrap/>
            <w:vAlign w:val="center"/>
            <w:hideMark/>
          </w:tcPr>
          <w:p w14:paraId="7C6EB8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80990258</w:t>
            </w:r>
          </w:p>
        </w:tc>
        <w:tc>
          <w:tcPr>
            <w:tcW w:w="160" w:type="dxa"/>
            <w:tcBorders>
              <w:top w:val="nil"/>
              <w:left w:val="nil"/>
              <w:bottom w:val="single" w:sz="4" w:space="0" w:color="auto"/>
              <w:right w:val="nil"/>
            </w:tcBorders>
            <w:vAlign w:val="center"/>
          </w:tcPr>
          <w:p w14:paraId="3EA54A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350B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ŠMARJEŠKE TOPLICE</w:t>
            </w:r>
          </w:p>
        </w:tc>
      </w:tr>
      <w:tr w:rsidR="00072A69" w:rsidRPr="00DC6DF9" w14:paraId="1D6BF6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C726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992</w:t>
            </w:r>
          </w:p>
        </w:tc>
        <w:tc>
          <w:tcPr>
            <w:tcW w:w="1036" w:type="dxa"/>
            <w:tcBorders>
              <w:top w:val="nil"/>
              <w:left w:val="nil"/>
              <w:bottom w:val="single" w:sz="4" w:space="0" w:color="auto"/>
              <w:right w:val="single" w:sz="4" w:space="0" w:color="auto"/>
            </w:tcBorders>
            <w:shd w:val="clear" w:color="auto" w:fill="auto"/>
            <w:noWrap/>
            <w:vAlign w:val="center"/>
            <w:hideMark/>
          </w:tcPr>
          <w:p w14:paraId="14118D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5884276000</w:t>
            </w:r>
          </w:p>
        </w:tc>
        <w:tc>
          <w:tcPr>
            <w:tcW w:w="1036" w:type="dxa"/>
            <w:tcBorders>
              <w:top w:val="nil"/>
              <w:left w:val="nil"/>
              <w:bottom w:val="single" w:sz="4" w:space="0" w:color="auto"/>
              <w:right w:val="single" w:sz="4" w:space="0" w:color="auto"/>
            </w:tcBorders>
            <w:shd w:val="clear" w:color="auto" w:fill="auto"/>
            <w:noWrap/>
            <w:vAlign w:val="center"/>
            <w:hideMark/>
          </w:tcPr>
          <w:p w14:paraId="0078F2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64225569</w:t>
            </w:r>
          </w:p>
        </w:tc>
        <w:tc>
          <w:tcPr>
            <w:tcW w:w="160" w:type="dxa"/>
            <w:tcBorders>
              <w:top w:val="nil"/>
              <w:left w:val="nil"/>
              <w:bottom w:val="single" w:sz="4" w:space="0" w:color="auto"/>
              <w:right w:val="nil"/>
            </w:tcBorders>
            <w:vAlign w:val="center"/>
          </w:tcPr>
          <w:p w14:paraId="3B0C03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E4AA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ŠMARTNO OB PAKI</w:t>
            </w:r>
          </w:p>
        </w:tc>
      </w:tr>
      <w:tr w:rsidR="00072A69" w:rsidRPr="00DC6DF9" w14:paraId="4A8A35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CAA5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993</w:t>
            </w:r>
          </w:p>
        </w:tc>
        <w:tc>
          <w:tcPr>
            <w:tcW w:w="1036" w:type="dxa"/>
            <w:tcBorders>
              <w:top w:val="nil"/>
              <w:left w:val="nil"/>
              <w:bottom w:val="single" w:sz="4" w:space="0" w:color="auto"/>
              <w:right w:val="single" w:sz="4" w:space="0" w:color="auto"/>
            </w:tcBorders>
            <w:shd w:val="clear" w:color="auto" w:fill="auto"/>
            <w:noWrap/>
            <w:vAlign w:val="center"/>
            <w:hideMark/>
          </w:tcPr>
          <w:p w14:paraId="663E6D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1779737000</w:t>
            </w:r>
          </w:p>
        </w:tc>
        <w:tc>
          <w:tcPr>
            <w:tcW w:w="1036" w:type="dxa"/>
            <w:tcBorders>
              <w:top w:val="nil"/>
              <w:left w:val="nil"/>
              <w:bottom w:val="single" w:sz="4" w:space="0" w:color="auto"/>
              <w:right w:val="single" w:sz="4" w:space="0" w:color="auto"/>
            </w:tcBorders>
            <w:shd w:val="clear" w:color="auto" w:fill="auto"/>
            <w:noWrap/>
            <w:vAlign w:val="center"/>
            <w:hideMark/>
          </w:tcPr>
          <w:p w14:paraId="03FD14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99744686</w:t>
            </w:r>
          </w:p>
        </w:tc>
        <w:tc>
          <w:tcPr>
            <w:tcW w:w="160" w:type="dxa"/>
            <w:tcBorders>
              <w:top w:val="nil"/>
              <w:left w:val="nil"/>
              <w:bottom w:val="single" w:sz="4" w:space="0" w:color="auto"/>
              <w:right w:val="nil"/>
            </w:tcBorders>
            <w:vAlign w:val="center"/>
          </w:tcPr>
          <w:p w14:paraId="1EF578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1CB6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ŠMARTNO PRI LITIJI</w:t>
            </w:r>
          </w:p>
        </w:tc>
      </w:tr>
      <w:tr w:rsidR="00072A69" w:rsidRPr="00DC6DF9" w14:paraId="4735182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2EDE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994</w:t>
            </w:r>
          </w:p>
        </w:tc>
        <w:tc>
          <w:tcPr>
            <w:tcW w:w="1036" w:type="dxa"/>
            <w:tcBorders>
              <w:top w:val="nil"/>
              <w:left w:val="nil"/>
              <w:bottom w:val="single" w:sz="4" w:space="0" w:color="auto"/>
              <w:right w:val="single" w:sz="4" w:space="0" w:color="auto"/>
            </w:tcBorders>
            <w:shd w:val="clear" w:color="auto" w:fill="auto"/>
            <w:noWrap/>
            <w:vAlign w:val="center"/>
            <w:hideMark/>
          </w:tcPr>
          <w:p w14:paraId="280D20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5884284000</w:t>
            </w:r>
          </w:p>
        </w:tc>
        <w:tc>
          <w:tcPr>
            <w:tcW w:w="1036" w:type="dxa"/>
            <w:tcBorders>
              <w:top w:val="nil"/>
              <w:left w:val="nil"/>
              <w:bottom w:val="single" w:sz="4" w:space="0" w:color="auto"/>
              <w:right w:val="single" w:sz="4" w:space="0" w:color="auto"/>
            </w:tcBorders>
            <w:shd w:val="clear" w:color="auto" w:fill="auto"/>
            <w:noWrap/>
            <w:vAlign w:val="center"/>
            <w:hideMark/>
          </w:tcPr>
          <w:p w14:paraId="1AACB5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97214043</w:t>
            </w:r>
          </w:p>
        </w:tc>
        <w:tc>
          <w:tcPr>
            <w:tcW w:w="160" w:type="dxa"/>
            <w:tcBorders>
              <w:top w:val="nil"/>
              <w:left w:val="nil"/>
              <w:bottom w:val="single" w:sz="4" w:space="0" w:color="auto"/>
              <w:right w:val="nil"/>
            </w:tcBorders>
            <w:vAlign w:val="center"/>
          </w:tcPr>
          <w:p w14:paraId="6EC8DD2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D84E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ŠOŠTANJ</w:t>
            </w:r>
          </w:p>
        </w:tc>
      </w:tr>
      <w:tr w:rsidR="00072A69" w:rsidRPr="00DC6DF9" w14:paraId="17F933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ECC5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995</w:t>
            </w:r>
          </w:p>
        </w:tc>
        <w:tc>
          <w:tcPr>
            <w:tcW w:w="1036" w:type="dxa"/>
            <w:tcBorders>
              <w:top w:val="nil"/>
              <w:left w:val="nil"/>
              <w:bottom w:val="single" w:sz="4" w:space="0" w:color="auto"/>
              <w:right w:val="single" w:sz="4" w:space="0" w:color="auto"/>
            </w:tcBorders>
            <w:shd w:val="clear" w:color="auto" w:fill="auto"/>
            <w:noWrap/>
            <w:vAlign w:val="center"/>
            <w:hideMark/>
          </w:tcPr>
          <w:p w14:paraId="486722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5880378000</w:t>
            </w:r>
          </w:p>
        </w:tc>
        <w:tc>
          <w:tcPr>
            <w:tcW w:w="1036" w:type="dxa"/>
            <w:tcBorders>
              <w:top w:val="nil"/>
              <w:left w:val="nil"/>
              <w:bottom w:val="single" w:sz="4" w:space="0" w:color="auto"/>
              <w:right w:val="single" w:sz="4" w:space="0" w:color="auto"/>
            </w:tcBorders>
            <w:shd w:val="clear" w:color="auto" w:fill="auto"/>
            <w:noWrap/>
            <w:vAlign w:val="center"/>
            <w:hideMark/>
          </w:tcPr>
          <w:p w14:paraId="379922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78439388</w:t>
            </w:r>
          </w:p>
        </w:tc>
        <w:tc>
          <w:tcPr>
            <w:tcW w:w="160" w:type="dxa"/>
            <w:tcBorders>
              <w:top w:val="nil"/>
              <w:left w:val="nil"/>
              <w:bottom w:val="single" w:sz="4" w:space="0" w:color="auto"/>
              <w:right w:val="nil"/>
            </w:tcBorders>
            <w:vAlign w:val="center"/>
          </w:tcPr>
          <w:p w14:paraId="08D605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A28C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ŠTORE</w:t>
            </w:r>
          </w:p>
        </w:tc>
      </w:tr>
      <w:tr w:rsidR="00072A69" w:rsidRPr="00DC6DF9" w14:paraId="10C966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36FF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w:t>
            </w:r>
          </w:p>
        </w:tc>
        <w:tc>
          <w:tcPr>
            <w:tcW w:w="1036" w:type="dxa"/>
            <w:tcBorders>
              <w:top w:val="nil"/>
              <w:left w:val="nil"/>
              <w:bottom w:val="single" w:sz="4" w:space="0" w:color="auto"/>
              <w:right w:val="single" w:sz="4" w:space="0" w:color="auto"/>
            </w:tcBorders>
            <w:shd w:val="clear" w:color="auto" w:fill="auto"/>
            <w:noWrap/>
            <w:vAlign w:val="center"/>
            <w:hideMark/>
          </w:tcPr>
          <w:p w14:paraId="2EEE9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1357727000</w:t>
            </w:r>
          </w:p>
        </w:tc>
        <w:tc>
          <w:tcPr>
            <w:tcW w:w="1036" w:type="dxa"/>
            <w:tcBorders>
              <w:top w:val="nil"/>
              <w:left w:val="nil"/>
              <w:bottom w:val="single" w:sz="4" w:space="0" w:color="auto"/>
              <w:right w:val="single" w:sz="4" w:space="0" w:color="auto"/>
            </w:tcBorders>
            <w:shd w:val="clear" w:color="auto" w:fill="auto"/>
            <w:noWrap/>
            <w:vAlign w:val="center"/>
            <w:hideMark/>
          </w:tcPr>
          <w:p w14:paraId="12AAF2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43471862</w:t>
            </w:r>
          </w:p>
        </w:tc>
        <w:tc>
          <w:tcPr>
            <w:tcW w:w="160" w:type="dxa"/>
            <w:tcBorders>
              <w:top w:val="nil"/>
              <w:left w:val="nil"/>
              <w:bottom w:val="single" w:sz="4" w:space="0" w:color="auto"/>
              <w:right w:val="nil"/>
            </w:tcBorders>
            <w:vAlign w:val="center"/>
          </w:tcPr>
          <w:p w14:paraId="4323211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B8E2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TABOR</w:t>
            </w:r>
          </w:p>
        </w:tc>
      </w:tr>
      <w:tr w:rsidR="00072A69" w:rsidRPr="00DC6DF9" w14:paraId="6187D3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742F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w:t>
            </w:r>
          </w:p>
        </w:tc>
        <w:tc>
          <w:tcPr>
            <w:tcW w:w="1036" w:type="dxa"/>
            <w:tcBorders>
              <w:top w:val="nil"/>
              <w:left w:val="nil"/>
              <w:bottom w:val="single" w:sz="4" w:space="0" w:color="auto"/>
              <w:right w:val="single" w:sz="4" w:space="0" w:color="auto"/>
            </w:tcBorders>
            <w:shd w:val="clear" w:color="auto" w:fill="auto"/>
            <w:noWrap/>
            <w:vAlign w:val="center"/>
            <w:hideMark/>
          </w:tcPr>
          <w:p w14:paraId="194DF2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5883067000</w:t>
            </w:r>
          </w:p>
        </w:tc>
        <w:tc>
          <w:tcPr>
            <w:tcW w:w="1036" w:type="dxa"/>
            <w:tcBorders>
              <w:top w:val="nil"/>
              <w:left w:val="nil"/>
              <w:bottom w:val="single" w:sz="4" w:space="0" w:color="auto"/>
              <w:right w:val="single" w:sz="4" w:space="0" w:color="auto"/>
            </w:tcBorders>
            <w:shd w:val="clear" w:color="auto" w:fill="auto"/>
            <w:noWrap/>
            <w:vAlign w:val="center"/>
            <w:hideMark/>
          </w:tcPr>
          <w:p w14:paraId="5E676A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43730361</w:t>
            </w:r>
          </w:p>
        </w:tc>
        <w:tc>
          <w:tcPr>
            <w:tcW w:w="160" w:type="dxa"/>
            <w:tcBorders>
              <w:top w:val="nil"/>
              <w:left w:val="nil"/>
              <w:bottom w:val="single" w:sz="4" w:space="0" w:color="auto"/>
              <w:right w:val="nil"/>
            </w:tcBorders>
            <w:vAlign w:val="center"/>
          </w:tcPr>
          <w:p w14:paraId="406013F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E9B9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TIŠINA</w:t>
            </w:r>
          </w:p>
        </w:tc>
      </w:tr>
      <w:tr w:rsidR="00072A69" w:rsidRPr="00DC6DF9" w14:paraId="2FF9BF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BFB8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998</w:t>
            </w:r>
          </w:p>
        </w:tc>
        <w:tc>
          <w:tcPr>
            <w:tcW w:w="1036" w:type="dxa"/>
            <w:tcBorders>
              <w:top w:val="nil"/>
              <w:left w:val="nil"/>
              <w:bottom w:val="single" w:sz="4" w:space="0" w:color="auto"/>
              <w:right w:val="single" w:sz="4" w:space="0" w:color="auto"/>
            </w:tcBorders>
            <w:shd w:val="clear" w:color="auto" w:fill="auto"/>
            <w:noWrap/>
            <w:vAlign w:val="center"/>
            <w:hideMark/>
          </w:tcPr>
          <w:p w14:paraId="002380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5881455000</w:t>
            </w:r>
          </w:p>
        </w:tc>
        <w:tc>
          <w:tcPr>
            <w:tcW w:w="1036" w:type="dxa"/>
            <w:tcBorders>
              <w:top w:val="nil"/>
              <w:left w:val="nil"/>
              <w:bottom w:val="single" w:sz="4" w:space="0" w:color="auto"/>
              <w:right w:val="single" w:sz="4" w:space="0" w:color="auto"/>
            </w:tcBorders>
            <w:shd w:val="clear" w:color="auto" w:fill="auto"/>
            <w:noWrap/>
            <w:vAlign w:val="center"/>
            <w:hideMark/>
          </w:tcPr>
          <w:p w14:paraId="6D01B6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19588976</w:t>
            </w:r>
          </w:p>
        </w:tc>
        <w:tc>
          <w:tcPr>
            <w:tcW w:w="160" w:type="dxa"/>
            <w:tcBorders>
              <w:top w:val="nil"/>
              <w:left w:val="nil"/>
              <w:bottom w:val="single" w:sz="4" w:space="0" w:color="auto"/>
              <w:right w:val="nil"/>
            </w:tcBorders>
            <w:vAlign w:val="center"/>
          </w:tcPr>
          <w:p w14:paraId="75D27A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AC02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TOLMIN</w:t>
            </w:r>
          </w:p>
        </w:tc>
      </w:tr>
      <w:tr w:rsidR="00072A69" w:rsidRPr="00DC6DF9" w14:paraId="015E37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2DC2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999</w:t>
            </w:r>
          </w:p>
        </w:tc>
        <w:tc>
          <w:tcPr>
            <w:tcW w:w="1036" w:type="dxa"/>
            <w:tcBorders>
              <w:top w:val="nil"/>
              <w:left w:val="nil"/>
              <w:bottom w:val="single" w:sz="4" w:space="0" w:color="auto"/>
              <w:right w:val="single" w:sz="4" w:space="0" w:color="auto"/>
            </w:tcBorders>
            <w:shd w:val="clear" w:color="auto" w:fill="auto"/>
            <w:noWrap/>
            <w:vAlign w:val="center"/>
            <w:hideMark/>
          </w:tcPr>
          <w:p w14:paraId="459C98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5882940000</w:t>
            </w:r>
          </w:p>
        </w:tc>
        <w:tc>
          <w:tcPr>
            <w:tcW w:w="1036" w:type="dxa"/>
            <w:tcBorders>
              <w:top w:val="nil"/>
              <w:left w:val="nil"/>
              <w:bottom w:val="single" w:sz="4" w:space="0" w:color="auto"/>
              <w:right w:val="single" w:sz="4" w:space="0" w:color="auto"/>
            </w:tcBorders>
            <w:shd w:val="clear" w:color="auto" w:fill="auto"/>
            <w:noWrap/>
            <w:vAlign w:val="center"/>
            <w:hideMark/>
          </w:tcPr>
          <w:p w14:paraId="238218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86624784</w:t>
            </w:r>
          </w:p>
        </w:tc>
        <w:tc>
          <w:tcPr>
            <w:tcW w:w="160" w:type="dxa"/>
            <w:tcBorders>
              <w:top w:val="nil"/>
              <w:left w:val="nil"/>
              <w:bottom w:val="single" w:sz="4" w:space="0" w:color="auto"/>
              <w:right w:val="nil"/>
            </w:tcBorders>
            <w:vAlign w:val="center"/>
          </w:tcPr>
          <w:p w14:paraId="50E9D7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0F3B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TRBOVLJE</w:t>
            </w:r>
          </w:p>
        </w:tc>
      </w:tr>
      <w:tr w:rsidR="00072A69" w:rsidRPr="00DC6DF9" w14:paraId="3F6E02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8D3A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1000</w:t>
            </w:r>
          </w:p>
        </w:tc>
        <w:tc>
          <w:tcPr>
            <w:tcW w:w="1036" w:type="dxa"/>
            <w:tcBorders>
              <w:top w:val="nil"/>
              <w:left w:val="nil"/>
              <w:bottom w:val="single" w:sz="4" w:space="0" w:color="auto"/>
              <w:right w:val="single" w:sz="4" w:space="0" w:color="auto"/>
            </w:tcBorders>
            <w:shd w:val="clear" w:color="auto" w:fill="auto"/>
            <w:noWrap/>
            <w:vAlign w:val="center"/>
            <w:hideMark/>
          </w:tcPr>
          <w:p w14:paraId="4302AA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5882958000</w:t>
            </w:r>
          </w:p>
        </w:tc>
        <w:tc>
          <w:tcPr>
            <w:tcW w:w="1036" w:type="dxa"/>
            <w:tcBorders>
              <w:top w:val="nil"/>
              <w:left w:val="nil"/>
              <w:bottom w:val="single" w:sz="4" w:space="0" w:color="auto"/>
              <w:right w:val="single" w:sz="4" w:space="0" w:color="auto"/>
            </w:tcBorders>
            <w:shd w:val="clear" w:color="auto" w:fill="auto"/>
            <w:noWrap/>
            <w:vAlign w:val="center"/>
            <w:hideMark/>
          </w:tcPr>
          <w:p w14:paraId="585BEE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34728317</w:t>
            </w:r>
          </w:p>
        </w:tc>
        <w:tc>
          <w:tcPr>
            <w:tcW w:w="160" w:type="dxa"/>
            <w:tcBorders>
              <w:top w:val="nil"/>
              <w:left w:val="nil"/>
              <w:bottom w:val="single" w:sz="4" w:space="0" w:color="auto"/>
              <w:right w:val="nil"/>
            </w:tcBorders>
            <w:vAlign w:val="center"/>
          </w:tcPr>
          <w:p w14:paraId="59D6E0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6046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TREBNJE</w:t>
            </w:r>
          </w:p>
        </w:tc>
      </w:tr>
      <w:tr w:rsidR="00072A69" w:rsidRPr="00DC6DF9" w14:paraId="2A0578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5745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1001</w:t>
            </w:r>
          </w:p>
        </w:tc>
        <w:tc>
          <w:tcPr>
            <w:tcW w:w="1036" w:type="dxa"/>
            <w:tcBorders>
              <w:top w:val="nil"/>
              <w:left w:val="nil"/>
              <w:bottom w:val="single" w:sz="4" w:space="0" w:color="auto"/>
              <w:right w:val="single" w:sz="4" w:space="0" w:color="auto"/>
            </w:tcBorders>
            <w:shd w:val="clear" w:color="auto" w:fill="auto"/>
            <w:noWrap/>
            <w:vAlign w:val="center"/>
            <w:hideMark/>
          </w:tcPr>
          <w:p w14:paraId="011429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1358057000</w:t>
            </w:r>
          </w:p>
        </w:tc>
        <w:tc>
          <w:tcPr>
            <w:tcW w:w="1036" w:type="dxa"/>
            <w:tcBorders>
              <w:top w:val="nil"/>
              <w:left w:val="nil"/>
              <w:bottom w:val="single" w:sz="4" w:space="0" w:color="auto"/>
              <w:right w:val="single" w:sz="4" w:space="0" w:color="auto"/>
            </w:tcBorders>
            <w:shd w:val="clear" w:color="auto" w:fill="auto"/>
            <w:noWrap/>
            <w:vAlign w:val="center"/>
            <w:hideMark/>
          </w:tcPr>
          <w:p w14:paraId="7D7801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40178722</w:t>
            </w:r>
          </w:p>
        </w:tc>
        <w:tc>
          <w:tcPr>
            <w:tcW w:w="160" w:type="dxa"/>
            <w:tcBorders>
              <w:top w:val="nil"/>
              <w:left w:val="nil"/>
              <w:bottom w:val="single" w:sz="4" w:space="0" w:color="auto"/>
              <w:right w:val="nil"/>
            </w:tcBorders>
            <w:vAlign w:val="center"/>
          </w:tcPr>
          <w:p w14:paraId="7FE1A8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1815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TRNOVSKA VAS</w:t>
            </w:r>
          </w:p>
        </w:tc>
      </w:tr>
      <w:tr w:rsidR="00072A69" w:rsidRPr="00DC6DF9" w14:paraId="1BA95A0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DE46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1002</w:t>
            </w:r>
          </w:p>
        </w:tc>
        <w:tc>
          <w:tcPr>
            <w:tcW w:w="1036" w:type="dxa"/>
            <w:tcBorders>
              <w:top w:val="nil"/>
              <w:left w:val="nil"/>
              <w:bottom w:val="single" w:sz="4" w:space="0" w:color="auto"/>
              <w:right w:val="single" w:sz="4" w:space="0" w:color="auto"/>
            </w:tcBorders>
            <w:shd w:val="clear" w:color="auto" w:fill="auto"/>
            <w:noWrap/>
            <w:vAlign w:val="center"/>
            <w:hideMark/>
          </w:tcPr>
          <w:p w14:paraId="203EE0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1358561000</w:t>
            </w:r>
          </w:p>
        </w:tc>
        <w:tc>
          <w:tcPr>
            <w:tcW w:w="1036" w:type="dxa"/>
            <w:tcBorders>
              <w:top w:val="nil"/>
              <w:left w:val="nil"/>
              <w:bottom w:val="single" w:sz="4" w:space="0" w:color="auto"/>
              <w:right w:val="single" w:sz="4" w:space="0" w:color="auto"/>
            </w:tcBorders>
            <w:shd w:val="clear" w:color="auto" w:fill="auto"/>
            <w:noWrap/>
            <w:vAlign w:val="center"/>
            <w:hideMark/>
          </w:tcPr>
          <w:p w14:paraId="2737E3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33714789</w:t>
            </w:r>
          </w:p>
        </w:tc>
        <w:tc>
          <w:tcPr>
            <w:tcW w:w="160" w:type="dxa"/>
            <w:tcBorders>
              <w:top w:val="nil"/>
              <w:left w:val="nil"/>
              <w:bottom w:val="single" w:sz="4" w:space="0" w:color="auto"/>
              <w:right w:val="nil"/>
            </w:tcBorders>
            <w:vAlign w:val="center"/>
          </w:tcPr>
          <w:p w14:paraId="2617AF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A37A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TRZIN</w:t>
            </w:r>
          </w:p>
        </w:tc>
      </w:tr>
      <w:tr w:rsidR="00072A69" w:rsidRPr="00DC6DF9" w14:paraId="68BE340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F00B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1003</w:t>
            </w:r>
          </w:p>
        </w:tc>
        <w:tc>
          <w:tcPr>
            <w:tcW w:w="1036" w:type="dxa"/>
            <w:tcBorders>
              <w:top w:val="nil"/>
              <w:left w:val="nil"/>
              <w:bottom w:val="single" w:sz="4" w:space="0" w:color="auto"/>
              <w:right w:val="single" w:sz="4" w:space="0" w:color="auto"/>
            </w:tcBorders>
            <w:shd w:val="clear" w:color="auto" w:fill="auto"/>
            <w:noWrap/>
            <w:vAlign w:val="center"/>
            <w:hideMark/>
          </w:tcPr>
          <w:p w14:paraId="75EF3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5883547000</w:t>
            </w:r>
          </w:p>
        </w:tc>
        <w:tc>
          <w:tcPr>
            <w:tcW w:w="1036" w:type="dxa"/>
            <w:tcBorders>
              <w:top w:val="nil"/>
              <w:left w:val="nil"/>
              <w:bottom w:val="single" w:sz="4" w:space="0" w:color="auto"/>
              <w:right w:val="single" w:sz="4" w:space="0" w:color="auto"/>
            </w:tcBorders>
            <w:shd w:val="clear" w:color="auto" w:fill="auto"/>
            <w:noWrap/>
            <w:vAlign w:val="center"/>
            <w:hideMark/>
          </w:tcPr>
          <w:p w14:paraId="748010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23676264</w:t>
            </w:r>
          </w:p>
        </w:tc>
        <w:tc>
          <w:tcPr>
            <w:tcW w:w="160" w:type="dxa"/>
            <w:tcBorders>
              <w:top w:val="nil"/>
              <w:left w:val="nil"/>
              <w:bottom w:val="single" w:sz="4" w:space="0" w:color="auto"/>
              <w:right w:val="nil"/>
            </w:tcBorders>
            <w:vAlign w:val="center"/>
          </w:tcPr>
          <w:p w14:paraId="6FF65C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4C8C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TRŽIČ</w:t>
            </w:r>
          </w:p>
        </w:tc>
      </w:tr>
      <w:tr w:rsidR="00072A69" w:rsidRPr="00DC6DF9" w14:paraId="793717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DF90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1004</w:t>
            </w:r>
          </w:p>
        </w:tc>
        <w:tc>
          <w:tcPr>
            <w:tcW w:w="1036" w:type="dxa"/>
            <w:tcBorders>
              <w:top w:val="nil"/>
              <w:left w:val="nil"/>
              <w:bottom w:val="single" w:sz="4" w:space="0" w:color="auto"/>
              <w:right w:val="single" w:sz="4" w:space="0" w:color="auto"/>
            </w:tcBorders>
            <w:shd w:val="clear" w:color="auto" w:fill="auto"/>
            <w:noWrap/>
            <w:vAlign w:val="center"/>
            <w:hideMark/>
          </w:tcPr>
          <w:p w14:paraId="12BFAC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5874700000</w:t>
            </w:r>
          </w:p>
        </w:tc>
        <w:tc>
          <w:tcPr>
            <w:tcW w:w="1036" w:type="dxa"/>
            <w:tcBorders>
              <w:top w:val="nil"/>
              <w:left w:val="nil"/>
              <w:bottom w:val="single" w:sz="4" w:space="0" w:color="auto"/>
              <w:right w:val="single" w:sz="4" w:space="0" w:color="auto"/>
            </w:tcBorders>
            <w:shd w:val="clear" w:color="auto" w:fill="auto"/>
            <w:noWrap/>
            <w:vAlign w:val="center"/>
            <w:hideMark/>
          </w:tcPr>
          <w:p w14:paraId="5E5AB2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42090539</w:t>
            </w:r>
          </w:p>
        </w:tc>
        <w:tc>
          <w:tcPr>
            <w:tcW w:w="160" w:type="dxa"/>
            <w:tcBorders>
              <w:top w:val="nil"/>
              <w:left w:val="nil"/>
              <w:bottom w:val="single" w:sz="4" w:space="0" w:color="auto"/>
              <w:right w:val="nil"/>
            </w:tcBorders>
            <w:vAlign w:val="center"/>
          </w:tcPr>
          <w:p w14:paraId="587B08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F7D8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TURNIŠČE</w:t>
            </w:r>
          </w:p>
        </w:tc>
      </w:tr>
      <w:tr w:rsidR="00072A69" w:rsidRPr="00DC6DF9" w14:paraId="7FADE5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7D4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1005</w:t>
            </w:r>
          </w:p>
        </w:tc>
        <w:tc>
          <w:tcPr>
            <w:tcW w:w="1036" w:type="dxa"/>
            <w:tcBorders>
              <w:top w:val="nil"/>
              <w:left w:val="nil"/>
              <w:bottom w:val="single" w:sz="4" w:space="0" w:color="auto"/>
              <w:right w:val="single" w:sz="4" w:space="0" w:color="auto"/>
            </w:tcBorders>
            <w:shd w:val="clear" w:color="auto" w:fill="auto"/>
            <w:noWrap/>
            <w:vAlign w:val="center"/>
            <w:hideMark/>
          </w:tcPr>
          <w:p w14:paraId="4DC01B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1332104000</w:t>
            </w:r>
          </w:p>
        </w:tc>
        <w:tc>
          <w:tcPr>
            <w:tcW w:w="1036" w:type="dxa"/>
            <w:tcBorders>
              <w:top w:val="nil"/>
              <w:left w:val="nil"/>
              <w:bottom w:val="single" w:sz="4" w:space="0" w:color="auto"/>
              <w:right w:val="single" w:sz="4" w:space="0" w:color="auto"/>
            </w:tcBorders>
            <w:shd w:val="clear" w:color="auto" w:fill="auto"/>
            <w:noWrap/>
            <w:vAlign w:val="center"/>
            <w:hideMark/>
          </w:tcPr>
          <w:p w14:paraId="5DFE27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35407727</w:t>
            </w:r>
          </w:p>
        </w:tc>
        <w:tc>
          <w:tcPr>
            <w:tcW w:w="160" w:type="dxa"/>
            <w:tcBorders>
              <w:top w:val="nil"/>
              <w:left w:val="nil"/>
              <w:bottom w:val="single" w:sz="4" w:space="0" w:color="auto"/>
              <w:right w:val="nil"/>
            </w:tcBorders>
            <w:vAlign w:val="center"/>
          </w:tcPr>
          <w:p w14:paraId="7A2DFB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0D20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VELIKA POLANA</w:t>
            </w:r>
          </w:p>
        </w:tc>
      </w:tr>
      <w:tr w:rsidR="00072A69" w:rsidRPr="00DC6DF9" w14:paraId="79D1B7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5C70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1006</w:t>
            </w:r>
          </w:p>
        </w:tc>
        <w:tc>
          <w:tcPr>
            <w:tcW w:w="1036" w:type="dxa"/>
            <w:tcBorders>
              <w:top w:val="nil"/>
              <w:left w:val="nil"/>
              <w:bottom w:val="single" w:sz="4" w:space="0" w:color="auto"/>
              <w:right w:val="single" w:sz="4" w:space="0" w:color="auto"/>
            </w:tcBorders>
            <w:shd w:val="clear" w:color="auto" w:fill="auto"/>
            <w:noWrap/>
            <w:vAlign w:val="center"/>
            <w:hideMark/>
          </w:tcPr>
          <w:p w14:paraId="6E4940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5874785000</w:t>
            </w:r>
          </w:p>
        </w:tc>
        <w:tc>
          <w:tcPr>
            <w:tcW w:w="1036" w:type="dxa"/>
            <w:tcBorders>
              <w:top w:val="nil"/>
              <w:left w:val="nil"/>
              <w:bottom w:val="single" w:sz="4" w:space="0" w:color="auto"/>
              <w:right w:val="single" w:sz="4" w:space="0" w:color="auto"/>
            </w:tcBorders>
            <w:shd w:val="clear" w:color="auto" w:fill="auto"/>
            <w:noWrap/>
            <w:vAlign w:val="center"/>
            <w:hideMark/>
          </w:tcPr>
          <w:p w14:paraId="0B367E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54849799</w:t>
            </w:r>
          </w:p>
        </w:tc>
        <w:tc>
          <w:tcPr>
            <w:tcW w:w="160" w:type="dxa"/>
            <w:tcBorders>
              <w:top w:val="nil"/>
              <w:left w:val="nil"/>
              <w:bottom w:val="single" w:sz="4" w:space="0" w:color="auto"/>
              <w:right w:val="nil"/>
            </w:tcBorders>
            <w:vAlign w:val="center"/>
          </w:tcPr>
          <w:p w14:paraId="44AAA09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DF83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VELIKE LAŠČE</w:t>
            </w:r>
          </w:p>
        </w:tc>
      </w:tr>
      <w:tr w:rsidR="00072A69" w:rsidRPr="00DC6DF9" w14:paraId="3DA416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8443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1007</w:t>
            </w:r>
          </w:p>
        </w:tc>
        <w:tc>
          <w:tcPr>
            <w:tcW w:w="1036" w:type="dxa"/>
            <w:tcBorders>
              <w:top w:val="nil"/>
              <w:left w:val="nil"/>
              <w:bottom w:val="single" w:sz="4" w:space="0" w:color="auto"/>
              <w:right w:val="single" w:sz="4" w:space="0" w:color="auto"/>
            </w:tcBorders>
            <w:shd w:val="clear" w:color="auto" w:fill="auto"/>
            <w:noWrap/>
            <w:vAlign w:val="center"/>
            <w:hideMark/>
          </w:tcPr>
          <w:p w14:paraId="5630C3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1332171000</w:t>
            </w:r>
          </w:p>
        </w:tc>
        <w:tc>
          <w:tcPr>
            <w:tcW w:w="1036" w:type="dxa"/>
            <w:tcBorders>
              <w:top w:val="nil"/>
              <w:left w:val="nil"/>
              <w:bottom w:val="single" w:sz="4" w:space="0" w:color="auto"/>
              <w:right w:val="single" w:sz="4" w:space="0" w:color="auto"/>
            </w:tcBorders>
            <w:shd w:val="clear" w:color="auto" w:fill="auto"/>
            <w:noWrap/>
            <w:vAlign w:val="center"/>
            <w:hideMark/>
          </w:tcPr>
          <w:p w14:paraId="27BEA0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71491821</w:t>
            </w:r>
          </w:p>
        </w:tc>
        <w:tc>
          <w:tcPr>
            <w:tcW w:w="160" w:type="dxa"/>
            <w:tcBorders>
              <w:top w:val="nil"/>
              <w:left w:val="nil"/>
              <w:bottom w:val="single" w:sz="4" w:space="0" w:color="auto"/>
              <w:right w:val="nil"/>
            </w:tcBorders>
            <w:vAlign w:val="center"/>
          </w:tcPr>
          <w:p w14:paraId="57220D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613E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VERŽEJ</w:t>
            </w:r>
          </w:p>
        </w:tc>
      </w:tr>
      <w:tr w:rsidR="00072A69" w:rsidRPr="00DC6DF9" w14:paraId="3EC138E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064D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1008</w:t>
            </w:r>
          </w:p>
        </w:tc>
        <w:tc>
          <w:tcPr>
            <w:tcW w:w="1036" w:type="dxa"/>
            <w:tcBorders>
              <w:top w:val="nil"/>
              <w:left w:val="nil"/>
              <w:bottom w:val="single" w:sz="4" w:space="0" w:color="auto"/>
              <w:right w:val="single" w:sz="4" w:space="0" w:color="auto"/>
            </w:tcBorders>
            <w:shd w:val="clear" w:color="auto" w:fill="auto"/>
            <w:noWrap/>
            <w:vAlign w:val="center"/>
            <w:hideMark/>
          </w:tcPr>
          <w:p w14:paraId="1BD433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5883423000</w:t>
            </w:r>
          </w:p>
        </w:tc>
        <w:tc>
          <w:tcPr>
            <w:tcW w:w="1036" w:type="dxa"/>
            <w:tcBorders>
              <w:top w:val="nil"/>
              <w:left w:val="nil"/>
              <w:bottom w:val="single" w:sz="4" w:space="0" w:color="auto"/>
              <w:right w:val="single" w:sz="4" w:space="0" w:color="auto"/>
            </w:tcBorders>
            <w:shd w:val="clear" w:color="auto" w:fill="auto"/>
            <w:noWrap/>
            <w:vAlign w:val="center"/>
            <w:hideMark/>
          </w:tcPr>
          <w:p w14:paraId="36C869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21061742</w:t>
            </w:r>
          </w:p>
        </w:tc>
        <w:tc>
          <w:tcPr>
            <w:tcW w:w="160" w:type="dxa"/>
            <w:tcBorders>
              <w:top w:val="nil"/>
              <w:left w:val="nil"/>
              <w:bottom w:val="single" w:sz="4" w:space="0" w:color="auto"/>
              <w:right w:val="nil"/>
            </w:tcBorders>
            <w:vAlign w:val="center"/>
          </w:tcPr>
          <w:p w14:paraId="4175D0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C25E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VIDEM</w:t>
            </w:r>
          </w:p>
        </w:tc>
      </w:tr>
      <w:tr w:rsidR="00072A69" w:rsidRPr="00DC6DF9" w14:paraId="1C439F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B047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1009</w:t>
            </w:r>
          </w:p>
        </w:tc>
        <w:tc>
          <w:tcPr>
            <w:tcW w:w="1036" w:type="dxa"/>
            <w:tcBorders>
              <w:top w:val="nil"/>
              <w:left w:val="nil"/>
              <w:bottom w:val="single" w:sz="4" w:space="0" w:color="auto"/>
              <w:right w:val="single" w:sz="4" w:space="0" w:color="auto"/>
            </w:tcBorders>
            <w:shd w:val="clear" w:color="auto" w:fill="auto"/>
            <w:noWrap/>
            <w:vAlign w:val="center"/>
            <w:hideMark/>
          </w:tcPr>
          <w:p w14:paraId="26B542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5879922000</w:t>
            </w:r>
          </w:p>
        </w:tc>
        <w:tc>
          <w:tcPr>
            <w:tcW w:w="1036" w:type="dxa"/>
            <w:tcBorders>
              <w:top w:val="nil"/>
              <w:left w:val="nil"/>
              <w:bottom w:val="single" w:sz="4" w:space="0" w:color="auto"/>
              <w:right w:val="single" w:sz="4" w:space="0" w:color="auto"/>
            </w:tcBorders>
            <w:shd w:val="clear" w:color="auto" w:fill="auto"/>
            <w:noWrap/>
            <w:vAlign w:val="center"/>
            <w:hideMark/>
          </w:tcPr>
          <w:p w14:paraId="12BBE8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56416245</w:t>
            </w:r>
          </w:p>
        </w:tc>
        <w:tc>
          <w:tcPr>
            <w:tcW w:w="160" w:type="dxa"/>
            <w:tcBorders>
              <w:top w:val="nil"/>
              <w:left w:val="nil"/>
              <w:bottom w:val="single" w:sz="4" w:space="0" w:color="auto"/>
              <w:right w:val="nil"/>
            </w:tcBorders>
            <w:vAlign w:val="center"/>
          </w:tcPr>
          <w:p w14:paraId="4DE549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4B85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VIPAVA</w:t>
            </w:r>
          </w:p>
        </w:tc>
      </w:tr>
      <w:tr w:rsidR="00072A69" w:rsidRPr="00DC6DF9" w14:paraId="77E225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5259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1010</w:t>
            </w:r>
          </w:p>
        </w:tc>
        <w:tc>
          <w:tcPr>
            <w:tcW w:w="1036" w:type="dxa"/>
            <w:tcBorders>
              <w:top w:val="nil"/>
              <w:left w:val="nil"/>
              <w:bottom w:val="single" w:sz="4" w:space="0" w:color="auto"/>
              <w:right w:val="single" w:sz="4" w:space="0" w:color="auto"/>
            </w:tcBorders>
            <w:shd w:val="clear" w:color="auto" w:fill="auto"/>
            <w:noWrap/>
            <w:vAlign w:val="center"/>
            <w:hideMark/>
          </w:tcPr>
          <w:p w14:paraId="173C10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5883768000</w:t>
            </w:r>
          </w:p>
        </w:tc>
        <w:tc>
          <w:tcPr>
            <w:tcW w:w="1036" w:type="dxa"/>
            <w:tcBorders>
              <w:top w:val="nil"/>
              <w:left w:val="nil"/>
              <w:bottom w:val="single" w:sz="4" w:space="0" w:color="auto"/>
              <w:right w:val="single" w:sz="4" w:space="0" w:color="auto"/>
            </w:tcBorders>
            <w:shd w:val="clear" w:color="auto" w:fill="auto"/>
            <w:noWrap/>
            <w:vAlign w:val="center"/>
            <w:hideMark/>
          </w:tcPr>
          <w:p w14:paraId="764330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28019610</w:t>
            </w:r>
          </w:p>
        </w:tc>
        <w:tc>
          <w:tcPr>
            <w:tcW w:w="160" w:type="dxa"/>
            <w:tcBorders>
              <w:top w:val="nil"/>
              <w:left w:val="nil"/>
              <w:bottom w:val="single" w:sz="4" w:space="0" w:color="auto"/>
              <w:right w:val="nil"/>
            </w:tcBorders>
            <w:vAlign w:val="center"/>
          </w:tcPr>
          <w:p w14:paraId="0ABADE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E792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VITANJE</w:t>
            </w:r>
          </w:p>
        </w:tc>
      </w:tr>
      <w:tr w:rsidR="00072A69" w:rsidRPr="00DC6DF9" w14:paraId="1F0E048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C926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1011</w:t>
            </w:r>
          </w:p>
        </w:tc>
        <w:tc>
          <w:tcPr>
            <w:tcW w:w="1036" w:type="dxa"/>
            <w:tcBorders>
              <w:top w:val="nil"/>
              <w:left w:val="nil"/>
              <w:bottom w:val="single" w:sz="4" w:space="0" w:color="auto"/>
              <w:right w:val="single" w:sz="4" w:space="0" w:color="auto"/>
            </w:tcBorders>
            <w:shd w:val="clear" w:color="auto" w:fill="auto"/>
            <w:noWrap/>
            <w:vAlign w:val="center"/>
            <w:hideMark/>
          </w:tcPr>
          <w:p w14:paraId="74DA37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5874637000</w:t>
            </w:r>
          </w:p>
        </w:tc>
        <w:tc>
          <w:tcPr>
            <w:tcW w:w="1036" w:type="dxa"/>
            <w:tcBorders>
              <w:top w:val="nil"/>
              <w:left w:val="nil"/>
              <w:bottom w:val="single" w:sz="4" w:space="0" w:color="auto"/>
              <w:right w:val="single" w:sz="4" w:space="0" w:color="auto"/>
            </w:tcBorders>
            <w:shd w:val="clear" w:color="auto" w:fill="auto"/>
            <w:noWrap/>
            <w:vAlign w:val="center"/>
            <w:hideMark/>
          </w:tcPr>
          <w:p w14:paraId="729A03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61348139</w:t>
            </w:r>
          </w:p>
        </w:tc>
        <w:tc>
          <w:tcPr>
            <w:tcW w:w="160" w:type="dxa"/>
            <w:tcBorders>
              <w:top w:val="nil"/>
              <w:left w:val="nil"/>
              <w:bottom w:val="single" w:sz="4" w:space="0" w:color="auto"/>
              <w:right w:val="nil"/>
            </w:tcBorders>
            <w:vAlign w:val="center"/>
          </w:tcPr>
          <w:p w14:paraId="19878F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92E9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VODICE</w:t>
            </w:r>
          </w:p>
        </w:tc>
      </w:tr>
      <w:tr w:rsidR="00072A69" w:rsidRPr="00DC6DF9" w14:paraId="4FB436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CF52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1012</w:t>
            </w:r>
          </w:p>
        </w:tc>
        <w:tc>
          <w:tcPr>
            <w:tcW w:w="1036" w:type="dxa"/>
            <w:tcBorders>
              <w:top w:val="nil"/>
              <w:left w:val="nil"/>
              <w:bottom w:val="single" w:sz="4" w:space="0" w:color="auto"/>
              <w:right w:val="single" w:sz="4" w:space="0" w:color="auto"/>
            </w:tcBorders>
            <w:shd w:val="clear" w:color="auto" w:fill="auto"/>
            <w:noWrap/>
            <w:vAlign w:val="center"/>
            <w:hideMark/>
          </w:tcPr>
          <w:p w14:paraId="67A97A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5880386000</w:t>
            </w:r>
          </w:p>
        </w:tc>
        <w:tc>
          <w:tcPr>
            <w:tcW w:w="1036" w:type="dxa"/>
            <w:tcBorders>
              <w:top w:val="nil"/>
              <w:left w:val="nil"/>
              <w:bottom w:val="single" w:sz="4" w:space="0" w:color="auto"/>
              <w:right w:val="single" w:sz="4" w:space="0" w:color="auto"/>
            </w:tcBorders>
            <w:shd w:val="clear" w:color="auto" w:fill="auto"/>
            <w:noWrap/>
            <w:vAlign w:val="center"/>
            <w:hideMark/>
          </w:tcPr>
          <w:p w14:paraId="6BCA7C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67288006</w:t>
            </w:r>
          </w:p>
        </w:tc>
        <w:tc>
          <w:tcPr>
            <w:tcW w:w="160" w:type="dxa"/>
            <w:tcBorders>
              <w:top w:val="nil"/>
              <w:left w:val="nil"/>
              <w:bottom w:val="single" w:sz="4" w:space="0" w:color="auto"/>
              <w:right w:val="nil"/>
            </w:tcBorders>
            <w:vAlign w:val="center"/>
          </w:tcPr>
          <w:p w14:paraId="5227FF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730C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VOJNIK</w:t>
            </w:r>
          </w:p>
        </w:tc>
      </w:tr>
      <w:tr w:rsidR="00072A69" w:rsidRPr="00DC6DF9" w14:paraId="4F4B35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9664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1013</w:t>
            </w:r>
          </w:p>
        </w:tc>
        <w:tc>
          <w:tcPr>
            <w:tcW w:w="1036" w:type="dxa"/>
            <w:tcBorders>
              <w:top w:val="nil"/>
              <w:left w:val="nil"/>
              <w:bottom w:val="single" w:sz="4" w:space="0" w:color="auto"/>
              <w:right w:val="single" w:sz="4" w:space="0" w:color="auto"/>
            </w:tcBorders>
            <w:shd w:val="clear" w:color="auto" w:fill="auto"/>
            <w:noWrap/>
            <w:vAlign w:val="center"/>
            <w:hideMark/>
          </w:tcPr>
          <w:p w14:paraId="57A4FB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1357778000</w:t>
            </w:r>
          </w:p>
        </w:tc>
        <w:tc>
          <w:tcPr>
            <w:tcW w:w="1036" w:type="dxa"/>
            <w:tcBorders>
              <w:top w:val="nil"/>
              <w:left w:val="nil"/>
              <w:bottom w:val="single" w:sz="4" w:space="0" w:color="auto"/>
              <w:right w:val="single" w:sz="4" w:space="0" w:color="auto"/>
            </w:tcBorders>
            <w:shd w:val="clear" w:color="auto" w:fill="auto"/>
            <w:noWrap/>
            <w:vAlign w:val="center"/>
            <w:hideMark/>
          </w:tcPr>
          <w:p w14:paraId="6F5951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59929286</w:t>
            </w:r>
          </w:p>
        </w:tc>
        <w:tc>
          <w:tcPr>
            <w:tcW w:w="160" w:type="dxa"/>
            <w:tcBorders>
              <w:top w:val="nil"/>
              <w:left w:val="nil"/>
              <w:bottom w:val="single" w:sz="4" w:space="0" w:color="auto"/>
              <w:right w:val="nil"/>
            </w:tcBorders>
            <w:vAlign w:val="center"/>
          </w:tcPr>
          <w:p w14:paraId="509E5A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F050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VRANSKO</w:t>
            </w:r>
          </w:p>
        </w:tc>
      </w:tr>
      <w:tr w:rsidR="00072A69" w:rsidRPr="00DC6DF9" w14:paraId="5DEA754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4D74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1014</w:t>
            </w:r>
          </w:p>
        </w:tc>
        <w:tc>
          <w:tcPr>
            <w:tcW w:w="1036" w:type="dxa"/>
            <w:tcBorders>
              <w:top w:val="nil"/>
              <w:left w:val="nil"/>
              <w:bottom w:val="single" w:sz="4" w:space="0" w:color="auto"/>
              <w:right w:val="single" w:sz="4" w:space="0" w:color="auto"/>
            </w:tcBorders>
            <w:shd w:val="clear" w:color="auto" w:fill="auto"/>
            <w:noWrap/>
            <w:vAlign w:val="center"/>
            <w:hideMark/>
          </w:tcPr>
          <w:p w14:paraId="1D8602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5883407000</w:t>
            </w:r>
          </w:p>
        </w:tc>
        <w:tc>
          <w:tcPr>
            <w:tcW w:w="1036" w:type="dxa"/>
            <w:tcBorders>
              <w:top w:val="nil"/>
              <w:left w:val="nil"/>
              <w:bottom w:val="single" w:sz="4" w:space="0" w:color="auto"/>
              <w:right w:val="single" w:sz="4" w:space="0" w:color="auto"/>
            </w:tcBorders>
            <w:shd w:val="clear" w:color="auto" w:fill="auto"/>
            <w:noWrap/>
            <w:vAlign w:val="center"/>
            <w:hideMark/>
          </w:tcPr>
          <w:p w14:paraId="392882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43542204</w:t>
            </w:r>
          </w:p>
        </w:tc>
        <w:tc>
          <w:tcPr>
            <w:tcW w:w="160" w:type="dxa"/>
            <w:tcBorders>
              <w:top w:val="nil"/>
              <w:left w:val="nil"/>
              <w:bottom w:val="single" w:sz="4" w:space="0" w:color="auto"/>
              <w:right w:val="nil"/>
            </w:tcBorders>
            <w:vAlign w:val="center"/>
          </w:tcPr>
          <w:p w14:paraId="6222198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3AF5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VRHNIKA</w:t>
            </w:r>
          </w:p>
        </w:tc>
      </w:tr>
      <w:tr w:rsidR="00072A69" w:rsidRPr="00DC6DF9" w14:paraId="7856B9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A18C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1015</w:t>
            </w:r>
          </w:p>
        </w:tc>
        <w:tc>
          <w:tcPr>
            <w:tcW w:w="1036" w:type="dxa"/>
            <w:tcBorders>
              <w:top w:val="nil"/>
              <w:left w:val="nil"/>
              <w:bottom w:val="single" w:sz="4" w:space="0" w:color="auto"/>
              <w:right w:val="single" w:sz="4" w:space="0" w:color="auto"/>
            </w:tcBorders>
            <w:shd w:val="clear" w:color="auto" w:fill="auto"/>
            <w:noWrap/>
            <w:vAlign w:val="center"/>
            <w:hideMark/>
          </w:tcPr>
          <w:p w14:paraId="7E8A24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5881765000</w:t>
            </w:r>
          </w:p>
        </w:tc>
        <w:tc>
          <w:tcPr>
            <w:tcW w:w="1036" w:type="dxa"/>
            <w:tcBorders>
              <w:top w:val="nil"/>
              <w:left w:val="nil"/>
              <w:bottom w:val="single" w:sz="4" w:space="0" w:color="auto"/>
              <w:right w:val="single" w:sz="4" w:space="0" w:color="auto"/>
            </w:tcBorders>
            <w:shd w:val="clear" w:color="auto" w:fill="auto"/>
            <w:noWrap/>
            <w:vAlign w:val="center"/>
            <w:hideMark/>
          </w:tcPr>
          <w:p w14:paraId="14990B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43178740</w:t>
            </w:r>
          </w:p>
        </w:tc>
        <w:tc>
          <w:tcPr>
            <w:tcW w:w="160" w:type="dxa"/>
            <w:tcBorders>
              <w:top w:val="nil"/>
              <w:left w:val="nil"/>
              <w:bottom w:val="single" w:sz="4" w:space="0" w:color="auto"/>
              <w:right w:val="nil"/>
            </w:tcBorders>
            <w:vAlign w:val="center"/>
          </w:tcPr>
          <w:p w14:paraId="4E4D0F0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45C2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VUZENICA</w:t>
            </w:r>
          </w:p>
        </w:tc>
      </w:tr>
      <w:tr w:rsidR="00072A69" w:rsidRPr="00DC6DF9" w14:paraId="106D2A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23EA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1016</w:t>
            </w:r>
          </w:p>
        </w:tc>
        <w:tc>
          <w:tcPr>
            <w:tcW w:w="1036" w:type="dxa"/>
            <w:tcBorders>
              <w:top w:val="nil"/>
              <w:left w:val="nil"/>
              <w:bottom w:val="single" w:sz="4" w:space="0" w:color="auto"/>
              <w:right w:val="single" w:sz="4" w:space="0" w:color="auto"/>
            </w:tcBorders>
            <w:shd w:val="clear" w:color="auto" w:fill="auto"/>
            <w:noWrap/>
            <w:vAlign w:val="center"/>
            <w:hideMark/>
          </w:tcPr>
          <w:p w14:paraId="26E1A3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5883890000</w:t>
            </w:r>
          </w:p>
        </w:tc>
        <w:tc>
          <w:tcPr>
            <w:tcW w:w="1036" w:type="dxa"/>
            <w:tcBorders>
              <w:top w:val="nil"/>
              <w:left w:val="nil"/>
              <w:bottom w:val="single" w:sz="4" w:space="0" w:color="auto"/>
              <w:right w:val="single" w:sz="4" w:space="0" w:color="auto"/>
            </w:tcBorders>
            <w:shd w:val="clear" w:color="auto" w:fill="auto"/>
            <w:noWrap/>
            <w:vAlign w:val="center"/>
            <w:hideMark/>
          </w:tcPr>
          <w:p w14:paraId="394A89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25643444</w:t>
            </w:r>
          </w:p>
        </w:tc>
        <w:tc>
          <w:tcPr>
            <w:tcW w:w="160" w:type="dxa"/>
            <w:tcBorders>
              <w:top w:val="nil"/>
              <w:left w:val="nil"/>
              <w:bottom w:val="single" w:sz="4" w:space="0" w:color="auto"/>
              <w:right w:val="nil"/>
            </w:tcBorders>
            <w:vAlign w:val="center"/>
          </w:tcPr>
          <w:p w14:paraId="7B98DD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7A14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ZAGORJE OB SAVI</w:t>
            </w:r>
          </w:p>
        </w:tc>
      </w:tr>
      <w:tr w:rsidR="00072A69" w:rsidRPr="00DC6DF9" w14:paraId="3543A7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F319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1017</w:t>
            </w:r>
          </w:p>
        </w:tc>
        <w:tc>
          <w:tcPr>
            <w:tcW w:w="1036" w:type="dxa"/>
            <w:tcBorders>
              <w:top w:val="nil"/>
              <w:left w:val="nil"/>
              <w:bottom w:val="single" w:sz="4" w:space="0" w:color="auto"/>
              <w:right w:val="single" w:sz="4" w:space="0" w:color="auto"/>
            </w:tcBorders>
            <w:shd w:val="clear" w:color="auto" w:fill="auto"/>
            <w:noWrap/>
            <w:vAlign w:val="center"/>
            <w:hideMark/>
          </w:tcPr>
          <w:p w14:paraId="773488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5883377000</w:t>
            </w:r>
          </w:p>
        </w:tc>
        <w:tc>
          <w:tcPr>
            <w:tcW w:w="1036" w:type="dxa"/>
            <w:tcBorders>
              <w:top w:val="nil"/>
              <w:left w:val="nil"/>
              <w:bottom w:val="single" w:sz="4" w:space="0" w:color="auto"/>
              <w:right w:val="single" w:sz="4" w:space="0" w:color="auto"/>
            </w:tcBorders>
            <w:shd w:val="clear" w:color="auto" w:fill="auto"/>
            <w:noWrap/>
            <w:vAlign w:val="center"/>
            <w:hideMark/>
          </w:tcPr>
          <w:p w14:paraId="3563C1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47964332</w:t>
            </w:r>
          </w:p>
        </w:tc>
        <w:tc>
          <w:tcPr>
            <w:tcW w:w="160" w:type="dxa"/>
            <w:tcBorders>
              <w:top w:val="nil"/>
              <w:left w:val="nil"/>
              <w:bottom w:val="single" w:sz="4" w:space="0" w:color="auto"/>
              <w:right w:val="nil"/>
            </w:tcBorders>
            <w:vAlign w:val="center"/>
          </w:tcPr>
          <w:p w14:paraId="4F00530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7E2A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ZAVRČ</w:t>
            </w:r>
          </w:p>
        </w:tc>
      </w:tr>
      <w:tr w:rsidR="00072A69" w:rsidRPr="00DC6DF9" w14:paraId="63E4B2E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71CB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1018</w:t>
            </w:r>
          </w:p>
        </w:tc>
        <w:tc>
          <w:tcPr>
            <w:tcW w:w="1036" w:type="dxa"/>
            <w:tcBorders>
              <w:top w:val="nil"/>
              <w:left w:val="nil"/>
              <w:bottom w:val="single" w:sz="4" w:space="0" w:color="auto"/>
              <w:right w:val="single" w:sz="4" w:space="0" w:color="auto"/>
            </w:tcBorders>
            <w:shd w:val="clear" w:color="auto" w:fill="auto"/>
            <w:noWrap/>
            <w:vAlign w:val="center"/>
            <w:hideMark/>
          </w:tcPr>
          <w:p w14:paraId="4B9DCE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5883342000</w:t>
            </w:r>
          </w:p>
        </w:tc>
        <w:tc>
          <w:tcPr>
            <w:tcW w:w="1036" w:type="dxa"/>
            <w:tcBorders>
              <w:top w:val="nil"/>
              <w:left w:val="nil"/>
              <w:bottom w:val="single" w:sz="4" w:space="0" w:color="auto"/>
              <w:right w:val="single" w:sz="4" w:space="0" w:color="auto"/>
            </w:tcBorders>
            <w:shd w:val="clear" w:color="auto" w:fill="auto"/>
            <w:noWrap/>
            <w:vAlign w:val="center"/>
            <w:hideMark/>
          </w:tcPr>
          <w:p w14:paraId="000BF8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35536519</w:t>
            </w:r>
          </w:p>
        </w:tc>
        <w:tc>
          <w:tcPr>
            <w:tcW w:w="160" w:type="dxa"/>
            <w:tcBorders>
              <w:top w:val="nil"/>
              <w:left w:val="nil"/>
              <w:bottom w:val="single" w:sz="4" w:space="0" w:color="auto"/>
              <w:right w:val="nil"/>
            </w:tcBorders>
            <w:vAlign w:val="center"/>
          </w:tcPr>
          <w:p w14:paraId="664A6C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36DD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ZREČE</w:t>
            </w:r>
          </w:p>
        </w:tc>
      </w:tr>
      <w:tr w:rsidR="00072A69" w:rsidRPr="00DC6DF9" w14:paraId="4EB7F05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B071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1019</w:t>
            </w:r>
          </w:p>
        </w:tc>
        <w:tc>
          <w:tcPr>
            <w:tcW w:w="1036" w:type="dxa"/>
            <w:tcBorders>
              <w:top w:val="nil"/>
              <w:left w:val="nil"/>
              <w:bottom w:val="single" w:sz="4" w:space="0" w:color="auto"/>
              <w:right w:val="single" w:sz="4" w:space="0" w:color="auto"/>
            </w:tcBorders>
            <w:shd w:val="clear" w:color="auto" w:fill="auto"/>
            <w:noWrap/>
            <w:vAlign w:val="center"/>
            <w:hideMark/>
          </w:tcPr>
          <w:p w14:paraId="26ED18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5881544000</w:t>
            </w:r>
          </w:p>
        </w:tc>
        <w:tc>
          <w:tcPr>
            <w:tcW w:w="1036" w:type="dxa"/>
            <w:tcBorders>
              <w:top w:val="nil"/>
              <w:left w:val="nil"/>
              <w:bottom w:val="single" w:sz="4" w:space="0" w:color="auto"/>
              <w:right w:val="single" w:sz="4" w:space="0" w:color="auto"/>
            </w:tcBorders>
            <w:shd w:val="clear" w:color="auto" w:fill="auto"/>
            <w:noWrap/>
            <w:vAlign w:val="center"/>
            <w:hideMark/>
          </w:tcPr>
          <w:p w14:paraId="70CAE8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62546708</w:t>
            </w:r>
          </w:p>
        </w:tc>
        <w:tc>
          <w:tcPr>
            <w:tcW w:w="160" w:type="dxa"/>
            <w:tcBorders>
              <w:top w:val="nil"/>
              <w:left w:val="nil"/>
              <w:bottom w:val="single" w:sz="4" w:space="0" w:color="auto"/>
              <w:right w:val="nil"/>
            </w:tcBorders>
            <w:vAlign w:val="center"/>
          </w:tcPr>
          <w:p w14:paraId="3346EA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AF00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ŽALEC</w:t>
            </w:r>
          </w:p>
        </w:tc>
      </w:tr>
      <w:tr w:rsidR="00072A69" w:rsidRPr="00DC6DF9" w14:paraId="024364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8CEB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1020</w:t>
            </w:r>
          </w:p>
        </w:tc>
        <w:tc>
          <w:tcPr>
            <w:tcW w:w="1036" w:type="dxa"/>
            <w:tcBorders>
              <w:top w:val="nil"/>
              <w:left w:val="nil"/>
              <w:bottom w:val="single" w:sz="4" w:space="0" w:color="auto"/>
              <w:right w:val="single" w:sz="4" w:space="0" w:color="auto"/>
            </w:tcBorders>
            <w:shd w:val="clear" w:color="auto" w:fill="auto"/>
            <w:noWrap/>
            <w:vAlign w:val="center"/>
            <w:hideMark/>
          </w:tcPr>
          <w:p w14:paraId="162F1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5883148000</w:t>
            </w:r>
          </w:p>
        </w:tc>
        <w:tc>
          <w:tcPr>
            <w:tcW w:w="1036" w:type="dxa"/>
            <w:tcBorders>
              <w:top w:val="nil"/>
              <w:left w:val="nil"/>
              <w:bottom w:val="single" w:sz="4" w:space="0" w:color="auto"/>
              <w:right w:val="single" w:sz="4" w:space="0" w:color="auto"/>
            </w:tcBorders>
            <w:shd w:val="clear" w:color="auto" w:fill="auto"/>
            <w:noWrap/>
            <w:vAlign w:val="center"/>
            <w:hideMark/>
          </w:tcPr>
          <w:p w14:paraId="27ED1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59920327</w:t>
            </w:r>
          </w:p>
        </w:tc>
        <w:tc>
          <w:tcPr>
            <w:tcW w:w="160" w:type="dxa"/>
            <w:tcBorders>
              <w:top w:val="nil"/>
              <w:left w:val="nil"/>
              <w:bottom w:val="single" w:sz="4" w:space="0" w:color="auto"/>
              <w:right w:val="nil"/>
            </w:tcBorders>
            <w:vAlign w:val="center"/>
          </w:tcPr>
          <w:p w14:paraId="4D2FA0B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34DE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ŽELEZNIKI</w:t>
            </w:r>
          </w:p>
        </w:tc>
      </w:tr>
      <w:tr w:rsidR="00072A69" w:rsidRPr="00DC6DF9" w14:paraId="15A495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6652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1021</w:t>
            </w:r>
          </w:p>
        </w:tc>
        <w:tc>
          <w:tcPr>
            <w:tcW w:w="1036" w:type="dxa"/>
            <w:tcBorders>
              <w:top w:val="nil"/>
              <w:left w:val="nil"/>
              <w:bottom w:val="single" w:sz="4" w:space="0" w:color="auto"/>
              <w:right w:val="single" w:sz="4" w:space="0" w:color="auto"/>
            </w:tcBorders>
            <w:shd w:val="clear" w:color="auto" w:fill="auto"/>
            <w:noWrap/>
            <w:vAlign w:val="center"/>
            <w:hideMark/>
          </w:tcPr>
          <w:p w14:paraId="667B0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1357999000</w:t>
            </w:r>
          </w:p>
        </w:tc>
        <w:tc>
          <w:tcPr>
            <w:tcW w:w="1036" w:type="dxa"/>
            <w:tcBorders>
              <w:top w:val="nil"/>
              <w:left w:val="nil"/>
              <w:bottom w:val="single" w:sz="4" w:space="0" w:color="auto"/>
              <w:right w:val="single" w:sz="4" w:space="0" w:color="auto"/>
            </w:tcBorders>
            <w:shd w:val="clear" w:color="auto" w:fill="auto"/>
            <w:noWrap/>
            <w:vAlign w:val="center"/>
            <w:hideMark/>
          </w:tcPr>
          <w:p w14:paraId="18F791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91024129</w:t>
            </w:r>
          </w:p>
        </w:tc>
        <w:tc>
          <w:tcPr>
            <w:tcW w:w="160" w:type="dxa"/>
            <w:tcBorders>
              <w:top w:val="nil"/>
              <w:left w:val="nil"/>
              <w:bottom w:val="single" w:sz="4" w:space="0" w:color="auto"/>
              <w:right w:val="nil"/>
            </w:tcBorders>
            <w:vAlign w:val="center"/>
          </w:tcPr>
          <w:p w14:paraId="6CA0710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1D35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ŽETALE</w:t>
            </w:r>
          </w:p>
        </w:tc>
      </w:tr>
      <w:tr w:rsidR="00072A69" w:rsidRPr="00DC6DF9" w14:paraId="7BC09C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1259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1022</w:t>
            </w:r>
          </w:p>
        </w:tc>
        <w:tc>
          <w:tcPr>
            <w:tcW w:w="1036" w:type="dxa"/>
            <w:tcBorders>
              <w:top w:val="nil"/>
              <w:left w:val="nil"/>
              <w:bottom w:val="single" w:sz="4" w:space="0" w:color="auto"/>
              <w:right w:val="single" w:sz="4" w:space="0" w:color="auto"/>
            </w:tcBorders>
            <w:shd w:val="clear" w:color="auto" w:fill="auto"/>
            <w:noWrap/>
            <w:vAlign w:val="center"/>
            <w:hideMark/>
          </w:tcPr>
          <w:p w14:paraId="690C8A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5883202000</w:t>
            </w:r>
          </w:p>
        </w:tc>
        <w:tc>
          <w:tcPr>
            <w:tcW w:w="1036" w:type="dxa"/>
            <w:tcBorders>
              <w:top w:val="nil"/>
              <w:left w:val="nil"/>
              <w:bottom w:val="single" w:sz="4" w:space="0" w:color="auto"/>
              <w:right w:val="single" w:sz="4" w:space="0" w:color="auto"/>
            </w:tcBorders>
            <w:shd w:val="clear" w:color="auto" w:fill="auto"/>
            <w:noWrap/>
            <w:vAlign w:val="center"/>
            <w:hideMark/>
          </w:tcPr>
          <w:p w14:paraId="211920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69533768</w:t>
            </w:r>
          </w:p>
        </w:tc>
        <w:tc>
          <w:tcPr>
            <w:tcW w:w="160" w:type="dxa"/>
            <w:tcBorders>
              <w:top w:val="nil"/>
              <w:left w:val="nil"/>
              <w:bottom w:val="single" w:sz="4" w:space="0" w:color="auto"/>
              <w:right w:val="nil"/>
            </w:tcBorders>
            <w:vAlign w:val="center"/>
          </w:tcPr>
          <w:p w14:paraId="5C0DA5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87B8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ŽIRI</w:t>
            </w:r>
          </w:p>
        </w:tc>
      </w:tr>
      <w:tr w:rsidR="00072A69" w:rsidRPr="00DC6DF9" w14:paraId="6B81D2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3F82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1023</w:t>
            </w:r>
          </w:p>
        </w:tc>
        <w:tc>
          <w:tcPr>
            <w:tcW w:w="1036" w:type="dxa"/>
            <w:tcBorders>
              <w:top w:val="nil"/>
              <w:left w:val="nil"/>
              <w:bottom w:val="single" w:sz="4" w:space="0" w:color="auto"/>
              <w:right w:val="single" w:sz="4" w:space="0" w:color="auto"/>
            </w:tcBorders>
            <w:shd w:val="clear" w:color="auto" w:fill="auto"/>
            <w:noWrap/>
            <w:vAlign w:val="center"/>
            <w:hideMark/>
          </w:tcPr>
          <w:p w14:paraId="4A8BEE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1332201000</w:t>
            </w:r>
          </w:p>
        </w:tc>
        <w:tc>
          <w:tcPr>
            <w:tcW w:w="1036" w:type="dxa"/>
            <w:tcBorders>
              <w:top w:val="nil"/>
              <w:left w:val="nil"/>
              <w:bottom w:val="single" w:sz="4" w:space="0" w:color="auto"/>
              <w:right w:val="single" w:sz="4" w:space="0" w:color="auto"/>
            </w:tcBorders>
            <w:shd w:val="clear" w:color="auto" w:fill="auto"/>
            <w:noWrap/>
            <w:vAlign w:val="center"/>
            <w:hideMark/>
          </w:tcPr>
          <w:p w14:paraId="7550BB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59713631</w:t>
            </w:r>
          </w:p>
        </w:tc>
        <w:tc>
          <w:tcPr>
            <w:tcW w:w="160" w:type="dxa"/>
            <w:tcBorders>
              <w:top w:val="nil"/>
              <w:left w:val="nil"/>
              <w:bottom w:val="single" w:sz="4" w:space="0" w:color="auto"/>
              <w:right w:val="nil"/>
            </w:tcBorders>
            <w:vAlign w:val="center"/>
          </w:tcPr>
          <w:p w14:paraId="353D42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293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ŽIROVNICA</w:t>
            </w:r>
          </w:p>
        </w:tc>
      </w:tr>
      <w:tr w:rsidR="00072A69" w:rsidRPr="00DC6DF9" w14:paraId="2B3025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790E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1024</w:t>
            </w:r>
          </w:p>
        </w:tc>
        <w:tc>
          <w:tcPr>
            <w:tcW w:w="1036" w:type="dxa"/>
            <w:tcBorders>
              <w:top w:val="nil"/>
              <w:left w:val="nil"/>
              <w:bottom w:val="single" w:sz="4" w:space="0" w:color="auto"/>
              <w:right w:val="single" w:sz="4" w:space="0" w:color="auto"/>
            </w:tcBorders>
            <w:shd w:val="clear" w:color="auto" w:fill="auto"/>
            <w:noWrap/>
            <w:vAlign w:val="center"/>
            <w:hideMark/>
          </w:tcPr>
          <w:p w14:paraId="3536B2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1358383000</w:t>
            </w:r>
          </w:p>
        </w:tc>
        <w:tc>
          <w:tcPr>
            <w:tcW w:w="1036" w:type="dxa"/>
            <w:tcBorders>
              <w:top w:val="nil"/>
              <w:left w:val="nil"/>
              <w:bottom w:val="single" w:sz="4" w:space="0" w:color="auto"/>
              <w:right w:val="single" w:sz="4" w:space="0" w:color="auto"/>
            </w:tcBorders>
            <w:shd w:val="clear" w:color="auto" w:fill="auto"/>
            <w:noWrap/>
            <w:vAlign w:val="center"/>
            <w:hideMark/>
          </w:tcPr>
          <w:p w14:paraId="0E6FF2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48985457</w:t>
            </w:r>
          </w:p>
        </w:tc>
        <w:tc>
          <w:tcPr>
            <w:tcW w:w="160" w:type="dxa"/>
            <w:tcBorders>
              <w:top w:val="nil"/>
              <w:left w:val="nil"/>
              <w:bottom w:val="single" w:sz="4" w:space="0" w:color="auto"/>
              <w:right w:val="nil"/>
            </w:tcBorders>
            <w:vAlign w:val="center"/>
          </w:tcPr>
          <w:p w14:paraId="77B8F5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A26C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OBČINA ŽUŽEMBERK</w:t>
            </w:r>
          </w:p>
        </w:tc>
      </w:tr>
      <w:tr w:rsidR="00072A69" w:rsidRPr="00DC6DF9" w14:paraId="2FD4CC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0870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1025</w:t>
            </w:r>
          </w:p>
        </w:tc>
        <w:tc>
          <w:tcPr>
            <w:tcW w:w="1036" w:type="dxa"/>
            <w:tcBorders>
              <w:top w:val="nil"/>
              <w:left w:val="nil"/>
              <w:bottom w:val="single" w:sz="4" w:space="0" w:color="auto"/>
              <w:right w:val="single" w:sz="4" w:space="0" w:color="auto"/>
            </w:tcBorders>
            <w:shd w:val="clear" w:color="auto" w:fill="auto"/>
            <w:noWrap/>
            <w:vAlign w:val="center"/>
            <w:hideMark/>
          </w:tcPr>
          <w:p w14:paraId="6BCC0A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5052505000</w:t>
            </w:r>
          </w:p>
        </w:tc>
        <w:tc>
          <w:tcPr>
            <w:tcW w:w="1036" w:type="dxa"/>
            <w:tcBorders>
              <w:top w:val="nil"/>
              <w:left w:val="nil"/>
              <w:bottom w:val="single" w:sz="4" w:space="0" w:color="auto"/>
              <w:right w:val="single" w:sz="4" w:space="0" w:color="auto"/>
            </w:tcBorders>
            <w:shd w:val="clear" w:color="auto" w:fill="auto"/>
            <w:noWrap/>
            <w:vAlign w:val="center"/>
            <w:hideMark/>
          </w:tcPr>
          <w:p w14:paraId="0DCE45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49169645</w:t>
            </w:r>
          </w:p>
        </w:tc>
        <w:tc>
          <w:tcPr>
            <w:tcW w:w="160" w:type="dxa"/>
            <w:tcBorders>
              <w:top w:val="nil"/>
              <w:left w:val="nil"/>
              <w:bottom w:val="single" w:sz="4" w:space="0" w:color="auto"/>
              <w:right w:val="nil"/>
            </w:tcBorders>
            <w:vAlign w:val="center"/>
          </w:tcPr>
          <w:p w14:paraId="3D5F7F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A4AE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OBČINSKA KNJIŽNICA JESENICE</w:t>
            </w:r>
          </w:p>
        </w:tc>
      </w:tr>
      <w:tr w:rsidR="00072A69" w:rsidRPr="00DC6DF9" w14:paraId="1BE256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AD3C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1026</w:t>
            </w:r>
          </w:p>
        </w:tc>
        <w:tc>
          <w:tcPr>
            <w:tcW w:w="1036" w:type="dxa"/>
            <w:tcBorders>
              <w:top w:val="nil"/>
              <w:left w:val="nil"/>
              <w:bottom w:val="single" w:sz="4" w:space="0" w:color="auto"/>
              <w:right w:val="single" w:sz="4" w:space="0" w:color="auto"/>
            </w:tcBorders>
            <w:shd w:val="clear" w:color="auto" w:fill="auto"/>
            <w:noWrap/>
            <w:vAlign w:val="center"/>
            <w:hideMark/>
          </w:tcPr>
          <w:p w14:paraId="3DEB2E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5105633000</w:t>
            </w:r>
          </w:p>
        </w:tc>
        <w:tc>
          <w:tcPr>
            <w:tcW w:w="1036" w:type="dxa"/>
            <w:tcBorders>
              <w:top w:val="nil"/>
              <w:left w:val="nil"/>
              <w:bottom w:val="single" w:sz="4" w:space="0" w:color="auto"/>
              <w:right w:val="single" w:sz="4" w:space="0" w:color="auto"/>
            </w:tcBorders>
            <w:shd w:val="clear" w:color="auto" w:fill="auto"/>
            <w:noWrap/>
            <w:vAlign w:val="center"/>
            <w:hideMark/>
          </w:tcPr>
          <w:p w14:paraId="026EF9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73819174</w:t>
            </w:r>
          </w:p>
        </w:tc>
        <w:tc>
          <w:tcPr>
            <w:tcW w:w="160" w:type="dxa"/>
            <w:tcBorders>
              <w:top w:val="nil"/>
              <w:left w:val="nil"/>
              <w:bottom w:val="single" w:sz="4" w:space="0" w:color="auto"/>
              <w:right w:val="nil"/>
            </w:tcBorders>
            <w:vAlign w:val="center"/>
          </w:tcPr>
          <w:p w14:paraId="76631E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A5D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OKOLJE PIRAN, D. O. O. </w:t>
            </w:r>
          </w:p>
        </w:tc>
      </w:tr>
      <w:tr w:rsidR="00072A69" w:rsidRPr="00DC6DF9" w14:paraId="2EB342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2600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1027</w:t>
            </w:r>
          </w:p>
        </w:tc>
        <w:tc>
          <w:tcPr>
            <w:tcW w:w="1036" w:type="dxa"/>
            <w:tcBorders>
              <w:top w:val="nil"/>
              <w:left w:val="nil"/>
              <w:bottom w:val="single" w:sz="4" w:space="0" w:color="auto"/>
              <w:right w:val="single" w:sz="4" w:space="0" w:color="auto"/>
            </w:tcBorders>
            <w:shd w:val="clear" w:color="auto" w:fill="auto"/>
            <w:noWrap/>
            <w:vAlign w:val="center"/>
            <w:hideMark/>
          </w:tcPr>
          <w:p w14:paraId="2DF2D8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2399121000</w:t>
            </w:r>
          </w:p>
        </w:tc>
        <w:tc>
          <w:tcPr>
            <w:tcW w:w="1036" w:type="dxa"/>
            <w:tcBorders>
              <w:top w:val="nil"/>
              <w:left w:val="nil"/>
              <w:bottom w:val="single" w:sz="4" w:space="0" w:color="auto"/>
              <w:right w:val="single" w:sz="4" w:space="0" w:color="auto"/>
            </w:tcBorders>
            <w:shd w:val="clear" w:color="auto" w:fill="auto"/>
            <w:noWrap/>
            <w:vAlign w:val="center"/>
            <w:hideMark/>
          </w:tcPr>
          <w:p w14:paraId="587833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66807107</w:t>
            </w:r>
          </w:p>
        </w:tc>
        <w:tc>
          <w:tcPr>
            <w:tcW w:w="160" w:type="dxa"/>
            <w:tcBorders>
              <w:top w:val="nil"/>
              <w:left w:val="nil"/>
              <w:bottom w:val="single" w:sz="4" w:space="0" w:color="auto"/>
              <w:right w:val="nil"/>
            </w:tcBorders>
            <w:vAlign w:val="center"/>
          </w:tcPr>
          <w:p w14:paraId="166AA1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C604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OKRAJNO SODIŠČE V LJUBLJANI</w:t>
            </w:r>
          </w:p>
        </w:tc>
      </w:tr>
      <w:tr w:rsidR="00072A69" w:rsidRPr="00DC6DF9" w14:paraId="3B5782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12D4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1028</w:t>
            </w:r>
          </w:p>
        </w:tc>
        <w:tc>
          <w:tcPr>
            <w:tcW w:w="1036" w:type="dxa"/>
            <w:tcBorders>
              <w:top w:val="nil"/>
              <w:left w:val="nil"/>
              <w:bottom w:val="single" w:sz="4" w:space="0" w:color="auto"/>
              <w:right w:val="single" w:sz="4" w:space="0" w:color="auto"/>
            </w:tcBorders>
            <w:shd w:val="clear" w:color="auto" w:fill="auto"/>
            <w:noWrap/>
            <w:vAlign w:val="center"/>
            <w:hideMark/>
          </w:tcPr>
          <w:p w14:paraId="236EF5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5881625000</w:t>
            </w:r>
          </w:p>
        </w:tc>
        <w:tc>
          <w:tcPr>
            <w:tcW w:w="1036" w:type="dxa"/>
            <w:tcBorders>
              <w:top w:val="nil"/>
              <w:left w:val="nil"/>
              <w:bottom w:val="single" w:sz="4" w:space="0" w:color="auto"/>
              <w:right w:val="single" w:sz="4" w:space="0" w:color="auto"/>
            </w:tcBorders>
            <w:shd w:val="clear" w:color="auto" w:fill="auto"/>
            <w:noWrap/>
            <w:vAlign w:val="center"/>
            <w:hideMark/>
          </w:tcPr>
          <w:p w14:paraId="72CF5E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69333327</w:t>
            </w:r>
          </w:p>
        </w:tc>
        <w:tc>
          <w:tcPr>
            <w:tcW w:w="160" w:type="dxa"/>
            <w:tcBorders>
              <w:top w:val="nil"/>
              <w:left w:val="nil"/>
              <w:bottom w:val="single" w:sz="4" w:space="0" w:color="auto"/>
              <w:right w:val="nil"/>
            </w:tcBorders>
            <w:vAlign w:val="center"/>
          </w:tcPr>
          <w:p w14:paraId="186CB9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1233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NA PTUJU</w:t>
            </w:r>
          </w:p>
        </w:tc>
      </w:tr>
      <w:tr w:rsidR="00072A69" w:rsidRPr="00DC6DF9" w14:paraId="7EEA54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333B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1029</w:t>
            </w:r>
          </w:p>
        </w:tc>
        <w:tc>
          <w:tcPr>
            <w:tcW w:w="1036" w:type="dxa"/>
            <w:tcBorders>
              <w:top w:val="nil"/>
              <w:left w:val="nil"/>
              <w:bottom w:val="single" w:sz="4" w:space="0" w:color="auto"/>
              <w:right w:val="single" w:sz="4" w:space="0" w:color="auto"/>
            </w:tcBorders>
            <w:shd w:val="clear" w:color="auto" w:fill="auto"/>
            <w:noWrap/>
            <w:vAlign w:val="center"/>
            <w:hideMark/>
          </w:tcPr>
          <w:p w14:paraId="738D0D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5023289000</w:t>
            </w:r>
          </w:p>
        </w:tc>
        <w:tc>
          <w:tcPr>
            <w:tcW w:w="1036" w:type="dxa"/>
            <w:tcBorders>
              <w:top w:val="nil"/>
              <w:left w:val="nil"/>
              <w:bottom w:val="single" w:sz="4" w:space="0" w:color="auto"/>
              <w:right w:val="single" w:sz="4" w:space="0" w:color="auto"/>
            </w:tcBorders>
            <w:shd w:val="clear" w:color="auto" w:fill="auto"/>
            <w:noWrap/>
            <w:vAlign w:val="center"/>
            <w:hideMark/>
          </w:tcPr>
          <w:p w14:paraId="055E88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83027963</w:t>
            </w:r>
          </w:p>
        </w:tc>
        <w:tc>
          <w:tcPr>
            <w:tcW w:w="160" w:type="dxa"/>
            <w:tcBorders>
              <w:top w:val="nil"/>
              <w:left w:val="nil"/>
              <w:bottom w:val="single" w:sz="4" w:space="0" w:color="auto"/>
              <w:right w:val="nil"/>
            </w:tcBorders>
            <w:vAlign w:val="center"/>
          </w:tcPr>
          <w:p w14:paraId="169F4F9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BCD2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NOVO MESTO</w:t>
            </w:r>
          </w:p>
        </w:tc>
      </w:tr>
      <w:tr w:rsidR="00072A69" w:rsidRPr="00DC6DF9" w14:paraId="107C8F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B746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1030</w:t>
            </w:r>
          </w:p>
        </w:tc>
        <w:tc>
          <w:tcPr>
            <w:tcW w:w="1036" w:type="dxa"/>
            <w:tcBorders>
              <w:top w:val="nil"/>
              <w:left w:val="nil"/>
              <w:bottom w:val="single" w:sz="4" w:space="0" w:color="auto"/>
              <w:right w:val="single" w:sz="4" w:space="0" w:color="auto"/>
            </w:tcBorders>
            <w:shd w:val="clear" w:color="auto" w:fill="auto"/>
            <w:noWrap/>
            <w:vAlign w:val="center"/>
            <w:hideMark/>
          </w:tcPr>
          <w:p w14:paraId="581A69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5023971000</w:t>
            </w:r>
          </w:p>
        </w:tc>
        <w:tc>
          <w:tcPr>
            <w:tcW w:w="1036" w:type="dxa"/>
            <w:tcBorders>
              <w:top w:val="nil"/>
              <w:left w:val="nil"/>
              <w:bottom w:val="single" w:sz="4" w:space="0" w:color="auto"/>
              <w:right w:val="single" w:sz="4" w:space="0" w:color="auto"/>
            </w:tcBorders>
            <w:shd w:val="clear" w:color="auto" w:fill="auto"/>
            <w:noWrap/>
            <w:vAlign w:val="center"/>
            <w:hideMark/>
          </w:tcPr>
          <w:p w14:paraId="08545B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70973873</w:t>
            </w:r>
          </w:p>
        </w:tc>
        <w:tc>
          <w:tcPr>
            <w:tcW w:w="160" w:type="dxa"/>
            <w:tcBorders>
              <w:top w:val="nil"/>
              <w:left w:val="nil"/>
              <w:bottom w:val="single" w:sz="4" w:space="0" w:color="auto"/>
              <w:right w:val="nil"/>
            </w:tcBorders>
            <w:vAlign w:val="center"/>
          </w:tcPr>
          <w:p w14:paraId="2748096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9EB4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CELJU</w:t>
            </w:r>
          </w:p>
        </w:tc>
      </w:tr>
      <w:tr w:rsidR="00072A69" w:rsidRPr="00DC6DF9" w14:paraId="402926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A9E7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1031</w:t>
            </w:r>
          </w:p>
        </w:tc>
        <w:tc>
          <w:tcPr>
            <w:tcW w:w="1036" w:type="dxa"/>
            <w:tcBorders>
              <w:top w:val="nil"/>
              <w:left w:val="nil"/>
              <w:bottom w:val="single" w:sz="4" w:space="0" w:color="auto"/>
              <w:right w:val="single" w:sz="4" w:space="0" w:color="auto"/>
            </w:tcBorders>
            <w:shd w:val="clear" w:color="auto" w:fill="auto"/>
            <w:noWrap/>
            <w:vAlign w:val="center"/>
            <w:hideMark/>
          </w:tcPr>
          <w:p w14:paraId="32208E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5022576000</w:t>
            </w:r>
          </w:p>
        </w:tc>
        <w:tc>
          <w:tcPr>
            <w:tcW w:w="1036" w:type="dxa"/>
            <w:tcBorders>
              <w:top w:val="nil"/>
              <w:left w:val="nil"/>
              <w:bottom w:val="single" w:sz="4" w:space="0" w:color="auto"/>
              <w:right w:val="single" w:sz="4" w:space="0" w:color="auto"/>
            </w:tcBorders>
            <w:shd w:val="clear" w:color="auto" w:fill="auto"/>
            <w:noWrap/>
            <w:vAlign w:val="center"/>
            <w:hideMark/>
          </w:tcPr>
          <w:p w14:paraId="2618E3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87925516</w:t>
            </w:r>
          </w:p>
        </w:tc>
        <w:tc>
          <w:tcPr>
            <w:tcW w:w="160" w:type="dxa"/>
            <w:tcBorders>
              <w:top w:val="nil"/>
              <w:left w:val="nil"/>
              <w:bottom w:val="single" w:sz="4" w:space="0" w:color="auto"/>
              <w:right w:val="nil"/>
            </w:tcBorders>
            <w:vAlign w:val="center"/>
          </w:tcPr>
          <w:p w14:paraId="23D332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506B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KOPRU</w:t>
            </w:r>
          </w:p>
        </w:tc>
      </w:tr>
      <w:tr w:rsidR="00072A69" w:rsidRPr="00DC6DF9" w14:paraId="55189D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C716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1032</w:t>
            </w:r>
          </w:p>
        </w:tc>
        <w:tc>
          <w:tcPr>
            <w:tcW w:w="1036" w:type="dxa"/>
            <w:tcBorders>
              <w:top w:val="nil"/>
              <w:left w:val="nil"/>
              <w:bottom w:val="single" w:sz="4" w:space="0" w:color="auto"/>
              <w:right w:val="single" w:sz="4" w:space="0" w:color="auto"/>
            </w:tcBorders>
            <w:shd w:val="clear" w:color="auto" w:fill="auto"/>
            <w:noWrap/>
            <w:vAlign w:val="center"/>
            <w:hideMark/>
          </w:tcPr>
          <w:p w14:paraId="41B18D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5024145000</w:t>
            </w:r>
          </w:p>
        </w:tc>
        <w:tc>
          <w:tcPr>
            <w:tcW w:w="1036" w:type="dxa"/>
            <w:tcBorders>
              <w:top w:val="nil"/>
              <w:left w:val="nil"/>
              <w:bottom w:val="single" w:sz="4" w:space="0" w:color="auto"/>
              <w:right w:val="single" w:sz="4" w:space="0" w:color="auto"/>
            </w:tcBorders>
            <w:shd w:val="clear" w:color="auto" w:fill="auto"/>
            <w:noWrap/>
            <w:vAlign w:val="center"/>
            <w:hideMark/>
          </w:tcPr>
          <w:p w14:paraId="537F1B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41429419</w:t>
            </w:r>
          </w:p>
        </w:tc>
        <w:tc>
          <w:tcPr>
            <w:tcW w:w="160" w:type="dxa"/>
            <w:tcBorders>
              <w:top w:val="nil"/>
              <w:left w:val="nil"/>
              <w:bottom w:val="single" w:sz="4" w:space="0" w:color="auto"/>
              <w:right w:val="nil"/>
            </w:tcBorders>
            <w:vAlign w:val="center"/>
          </w:tcPr>
          <w:p w14:paraId="4E5A5C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AA73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KRANJU</w:t>
            </w:r>
          </w:p>
        </w:tc>
      </w:tr>
      <w:tr w:rsidR="00072A69" w:rsidRPr="00DC6DF9" w14:paraId="6F3107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5126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1033</w:t>
            </w:r>
          </w:p>
        </w:tc>
        <w:tc>
          <w:tcPr>
            <w:tcW w:w="1036" w:type="dxa"/>
            <w:tcBorders>
              <w:top w:val="nil"/>
              <w:left w:val="nil"/>
              <w:bottom w:val="single" w:sz="4" w:space="0" w:color="auto"/>
              <w:right w:val="single" w:sz="4" w:space="0" w:color="auto"/>
            </w:tcBorders>
            <w:shd w:val="clear" w:color="auto" w:fill="auto"/>
            <w:noWrap/>
            <w:vAlign w:val="center"/>
            <w:hideMark/>
          </w:tcPr>
          <w:p w14:paraId="40390D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5881684000</w:t>
            </w:r>
          </w:p>
        </w:tc>
        <w:tc>
          <w:tcPr>
            <w:tcW w:w="1036" w:type="dxa"/>
            <w:tcBorders>
              <w:top w:val="nil"/>
              <w:left w:val="nil"/>
              <w:bottom w:val="single" w:sz="4" w:space="0" w:color="auto"/>
              <w:right w:val="single" w:sz="4" w:space="0" w:color="auto"/>
            </w:tcBorders>
            <w:shd w:val="clear" w:color="auto" w:fill="auto"/>
            <w:noWrap/>
            <w:vAlign w:val="center"/>
            <w:hideMark/>
          </w:tcPr>
          <w:p w14:paraId="67DA34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93425376</w:t>
            </w:r>
          </w:p>
        </w:tc>
        <w:tc>
          <w:tcPr>
            <w:tcW w:w="160" w:type="dxa"/>
            <w:tcBorders>
              <w:top w:val="nil"/>
              <w:left w:val="nil"/>
              <w:bottom w:val="single" w:sz="4" w:space="0" w:color="auto"/>
              <w:right w:val="nil"/>
            </w:tcBorders>
            <w:vAlign w:val="center"/>
          </w:tcPr>
          <w:p w14:paraId="3917E0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06AD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KRŠKEM</w:t>
            </w:r>
          </w:p>
        </w:tc>
      </w:tr>
      <w:tr w:rsidR="00072A69" w:rsidRPr="00DC6DF9" w14:paraId="015A82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F8B8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1034</w:t>
            </w:r>
          </w:p>
        </w:tc>
        <w:tc>
          <w:tcPr>
            <w:tcW w:w="1036" w:type="dxa"/>
            <w:tcBorders>
              <w:top w:val="nil"/>
              <w:left w:val="nil"/>
              <w:bottom w:val="single" w:sz="4" w:space="0" w:color="auto"/>
              <w:right w:val="single" w:sz="4" w:space="0" w:color="auto"/>
            </w:tcBorders>
            <w:shd w:val="clear" w:color="auto" w:fill="auto"/>
            <w:noWrap/>
            <w:vAlign w:val="center"/>
            <w:hideMark/>
          </w:tcPr>
          <w:p w14:paraId="4EDDFB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5022746000</w:t>
            </w:r>
          </w:p>
        </w:tc>
        <w:tc>
          <w:tcPr>
            <w:tcW w:w="1036" w:type="dxa"/>
            <w:tcBorders>
              <w:top w:val="nil"/>
              <w:left w:val="nil"/>
              <w:bottom w:val="single" w:sz="4" w:space="0" w:color="auto"/>
              <w:right w:val="single" w:sz="4" w:space="0" w:color="auto"/>
            </w:tcBorders>
            <w:shd w:val="clear" w:color="auto" w:fill="auto"/>
            <w:noWrap/>
            <w:vAlign w:val="center"/>
            <w:hideMark/>
          </w:tcPr>
          <w:p w14:paraId="34FB01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73421642</w:t>
            </w:r>
          </w:p>
        </w:tc>
        <w:tc>
          <w:tcPr>
            <w:tcW w:w="160" w:type="dxa"/>
            <w:tcBorders>
              <w:top w:val="nil"/>
              <w:left w:val="nil"/>
              <w:bottom w:val="single" w:sz="4" w:space="0" w:color="auto"/>
              <w:right w:val="nil"/>
            </w:tcBorders>
            <w:vAlign w:val="center"/>
          </w:tcPr>
          <w:p w14:paraId="1C7B8F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3668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LJUBLJANI</w:t>
            </w:r>
          </w:p>
        </w:tc>
      </w:tr>
      <w:tr w:rsidR="00072A69" w:rsidRPr="00DC6DF9" w14:paraId="630740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4F1C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1035</w:t>
            </w:r>
          </w:p>
        </w:tc>
        <w:tc>
          <w:tcPr>
            <w:tcW w:w="1036" w:type="dxa"/>
            <w:tcBorders>
              <w:top w:val="nil"/>
              <w:left w:val="nil"/>
              <w:bottom w:val="single" w:sz="4" w:space="0" w:color="auto"/>
              <w:right w:val="single" w:sz="4" w:space="0" w:color="auto"/>
            </w:tcBorders>
            <w:shd w:val="clear" w:color="auto" w:fill="auto"/>
            <w:noWrap/>
            <w:vAlign w:val="center"/>
            <w:hideMark/>
          </w:tcPr>
          <w:p w14:paraId="5E0782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5023041000</w:t>
            </w:r>
          </w:p>
        </w:tc>
        <w:tc>
          <w:tcPr>
            <w:tcW w:w="1036" w:type="dxa"/>
            <w:tcBorders>
              <w:top w:val="nil"/>
              <w:left w:val="nil"/>
              <w:bottom w:val="single" w:sz="4" w:space="0" w:color="auto"/>
              <w:right w:val="single" w:sz="4" w:space="0" w:color="auto"/>
            </w:tcBorders>
            <w:shd w:val="clear" w:color="auto" w:fill="auto"/>
            <w:noWrap/>
            <w:vAlign w:val="center"/>
            <w:hideMark/>
          </w:tcPr>
          <w:p w14:paraId="6130CF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52327027</w:t>
            </w:r>
          </w:p>
        </w:tc>
        <w:tc>
          <w:tcPr>
            <w:tcW w:w="160" w:type="dxa"/>
            <w:tcBorders>
              <w:top w:val="nil"/>
              <w:left w:val="nil"/>
              <w:bottom w:val="single" w:sz="4" w:space="0" w:color="auto"/>
              <w:right w:val="nil"/>
            </w:tcBorders>
            <w:vAlign w:val="center"/>
          </w:tcPr>
          <w:p w14:paraId="289C8EB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1C05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MARIBORU</w:t>
            </w:r>
          </w:p>
        </w:tc>
      </w:tr>
      <w:tr w:rsidR="00072A69" w:rsidRPr="00DC6DF9" w14:paraId="7AC4B7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45BF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1036</w:t>
            </w:r>
          </w:p>
        </w:tc>
        <w:tc>
          <w:tcPr>
            <w:tcW w:w="1036" w:type="dxa"/>
            <w:tcBorders>
              <w:top w:val="nil"/>
              <w:left w:val="nil"/>
              <w:bottom w:val="single" w:sz="4" w:space="0" w:color="auto"/>
              <w:right w:val="single" w:sz="4" w:space="0" w:color="auto"/>
            </w:tcBorders>
            <w:shd w:val="clear" w:color="auto" w:fill="auto"/>
            <w:noWrap/>
            <w:vAlign w:val="center"/>
            <w:hideMark/>
          </w:tcPr>
          <w:p w14:paraId="16CA48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5023122000</w:t>
            </w:r>
          </w:p>
        </w:tc>
        <w:tc>
          <w:tcPr>
            <w:tcW w:w="1036" w:type="dxa"/>
            <w:tcBorders>
              <w:top w:val="nil"/>
              <w:left w:val="nil"/>
              <w:bottom w:val="single" w:sz="4" w:space="0" w:color="auto"/>
              <w:right w:val="single" w:sz="4" w:space="0" w:color="auto"/>
            </w:tcBorders>
            <w:shd w:val="clear" w:color="auto" w:fill="auto"/>
            <w:noWrap/>
            <w:vAlign w:val="center"/>
            <w:hideMark/>
          </w:tcPr>
          <w:p w14:paraId="694531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62735454</w:t>
            </w:r>
          </w:p>
        </w:tc>
        <w:tc>
          <w:tcPr>
            <w:tcW w:w="160" w:type="dxa"/>
            <w:tcBorders>
              <w:top w:val="nil"/>
              <w:left w:val="nil"/>
              <w:bottom w:val="single" w:sz="4" w:space="0" w:color="auto"/>
              <w:right w:val="nil"/>
            </w:tcBorders>
            <w:vAlign w:val="center"/>
          </w:tcPr>
          <w:p w14:paraId="1E965D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9380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MURSKI SOBOTI</w:t>
            </w:r>
          </w:p>
        </w:tc>
      </w:tr>
      <w:tr w:rsidR="00072A69" w:rsidRPr="00DC6DF9" w14:paraId="62CFCD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D36D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1037</w:t>
            </w:r>
          </w:p>
        </w:tc>
        <w:tc>
          <w:tcPr>
            <w:tcW w:w="1036" w:type="dxa"/>
            <w:tcBorders>
              <w:top w:val="nil"/>
              <w:left w:val="nil"/>
              <w:bottom w:val="single" w:sz="4" w:space="0" w:color="auto"/>
              <w:right w:val="single" w:sz="4" w:space="0" w:color="auto"/>
            </w:tcBorders>
            <w:shd w:val="clear" w:color="auto" w:fill="auto"/>
            <w:noWrap/>
            <w:vAlign w:val="center"/>
            <w:hideMark/>
          </w:tcPr>
          <w:p w14:paraId="35114D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5881650000</w:t>
            </w:r>
          </w:p>
        </w:tc>
        <w:tc>
          <w:tcPr>
            <w:tcW w:w="1036" w:type="dxa"/>
            <w:tcBorders>
              <w:top w:val="nil"/>
              <w:left w:val="nil"/>
              <w:bottom w:val="single" w:sz="4" w:space="0" w:color="auto"/>
              <w:right w:val="single" w:sz="4" w:space="0" w:color="auto"/>
            </w:tcBorders>
            <w:shd w:val="clear" w:color="auto" w:fill="auto"/>
            <w:noWrap/>
            <w:vAlign w:val="center"/>
            <w:hideMark/>
          </w:tcPr>
          <w:p w14:paraId="73CFE5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42092477</w:t>
            </w:r>
          </w:p>
        </w:tc>
        <w:tc>
          <w:tcPr>
            <w:tcW w:w="160" w:type="dxa"/>
            <w:tcBorders>
              <w:top w:val="nil"/>
              <w:left w:val="nil"/>
              <w:bottom w:val="single" w:sz="4" w:space="0" w:color="auto"/>
              <w:right w:val="nil"/>
            </w:tcBorders>
            <w:vAlign w:val="center"/>
          </w:tcPr>
          <w:p w14:paraId="09AC1C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DFB2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DRŽAVNO TOŽILSTVO V SLOVENJ GRADCU</w:t>
            </w:r>
          </w:p>
        </w:tc>
      </w:tr>
      <w:tr w:rsidR="00072A69" w:rsidRPr="00DC6DF9" w14:paraId="656485A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1E35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1038</w:t>
            </w:r>
          </w:p>
        </w:tc>
        <w:tc>
          <w:tcPr>
            <w:tcW w:w="1036" w:type="dxa"/>
            <w:tcBorders>
              <w:top w:val="nil"/>
              <w:left w:val="nil"/>
              <w:bottom w:val="single" w:sz="4" w:space="0" w:color="auto"/>
              <w:right w:val="single" w:sz="4" w:space="0" w:color="auto"/>
            </w:tcBorders>
            <w:shd w:val="clear" w:color="auto" w:fill="auto"/>
            <w:noWrap/>
            <w:vAlign w:val="center"/>
            <w:hideMark/>
          </w:tcPr>
          <w:p w14:paraId="76F96F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5881528000</w:t>
            </w:r>
          </w:p>
        </w:tc>
        <w:tc>
          <w:tcPr>
            <w:tcW w:w="1036" w:type="dxa"/>
            <w:tcBorders>
              <w:top w:val="nil"/>
              <w:left w:val="nil"/>
              <w:bottom w:val="single" w:sz="4" w:space="0" w:color="auto"/>
              <w:right w:val="single" w:sz="4" w:space="0" w:color="auto"/>
            </w:tcBorders>
            <w:shd w:val="clear" w:color="auto" w:fill="auto"/>
            <w:noWrap/>
            <w:vAlign w:val="center"/>
            <w:hideMark/>
          </w:tcPr>
          <w:p w14:paraId="5A444A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91674824</w:t>
            </w:r>
          </w:p>
        </w:tc>
        <w:tc>
          <w:tcPr>
            <w:tcW w:w="160" w:type="dxa"/>
            <w:tcBorders>
              <w:top w:val="nil"/>
              <w:left w:val="nil"/>
              <w:bottom w:val="single" w:sz="4" w:space="0" w:color="auto"/>
              <w:right w:val="nil"/>
            </w:tcBorders>
            <w:vAlign w:val="center"/>
          </w:tcPr>
          <w:p w14:paraId="08DC57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2743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NA PTUJU</w:t>
            </w:r>
          </w:p>
        </w:tc>
      </w:tr>
      <w:tr w:rsidR="00072A69" w:rsidRPr="00DC6DF9" w14:paraId="3E564D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6738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1039</w:t>
            </w:r>
          </w:p>
        </w:tc>
        <w:tc>
          <w:tcPr>
            <w:tcW w:w="1036" w:type="dxa"/>
            <w:tcBorders>
              <w:top w:val="nil"/>
              <w:left w:val="nil"/>
              <w:bottom w:val="single" w:sz="4" w:space="0" w:color="auto"/>
              <w:right w:val="single" w:sz="4" w:space="0" w:color="auto"/>
            </w:tcBorders>
            <w:shd w:val="clear" w:color="auto" w:fill="auto"/>
            <w:noWrap/>
            <w:vAlign w:val="center"/>
            <w:hideMark/>
          </w:tcPr>
          <w:p w14:paraId="7EEA67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5024161000</w:t>
            </w:r>
          </w:p>
        </w:tc>
        <w:tc>
          <w:tcPr>
            <w:tcW w:w="1036" w:type="dxa"/>
            <w:tcBorders>
              <w:top w:val="nil"/>
              <w:left w:val="nil"/>
              <w:bottom w:val="single" w:sz="4" w:space="0" w:color="auto"/>
              <w:right w:val="single" w:sz="4" w:space="0" w:color="auto"/>
            </w:tcBorders>
            <w:shd w:val="clear" w:color="auto" w:fill="auto"/>
            <w:noWrap/>
            <w:vAlign w:val="center"/>
            <w:hideMark/>
          </w:tcPr>
          <w:p w14:paraId="01A10F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44824106</w:t>
            </w:r>
          </w:p>
        </w:tc>
        <w:tc>
          <w:tcPr>
            <w:tcW w:w="160" w:type="dxa"/>
            <w:tcBorders>
              <w:top w:val="nil"/>
              <w:left w:val="nil"/>
              <w:bottom w:val="single" w:sz="4" w:space="0" w:color="auto"/>
              <w:right w:val="nil"/>
            </w:tcBorders>
            <w:vAlign w:val="center"/>
          </w:tcPr>
          <w:p w14:paraId="1ADC10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82C1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CELJU</w:t>
            </w:r>
          </w:p>
        </w:tc>
      </w:tr>
      <w:tr w:rsidR="00072A69" w:rsidRPr="00DC6DF9" w14:paraId="6B5AE1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F8F8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1040</w:t>
            </w:r>
          </w:p>
        </w:tc>
        <w:tc>
          <w:tcPr>
            <w:tcW w:w="1036" w:type="dxa"/>
            <w:tcBorders>
              <w:top w:val="nil"/>
              <w:left w:val="nil"/>
              <w:bottom w:val="single" w:sz="4" w:space="0" w:color="auto"/>
              <w:right w:val="single" w:sz="4" w:space="0" w:color="auto"/>
            </w:tcBorders>
            <w:shd w:val="clear" w:color="auto" w:fill="auto"/>
            <w:noWrap/>
            <w:vAlign w:val="center"/>
            <w:hideMark/>
          </w:tcPr>
          <w:p w14:paraId="5D62DF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5022541000</w:t>
            </w:r>
          </w:p>
        </w:tc>
        <w:tc>
          <w:tcPr>
            <w:tcW w:w="1036" w:type="dxa"/>
            <w:tcBorders>
              <w:top w:val="nil"/>
              <w:left w:val="nil"/>
              <w:bottom w:val="single" w:sz="4" w:space="0" w:color="auto"/>
              <w:right w:val="single" w:sz="4" w:space="0" w:color="auto"/>
            </w:tcBorders>
            <w:shd w:val="clear" w:color="auto" w:fill="auto"/>
            <w:noWrap/>
            <w:vAlign w:val="center"/>
            <w:hideMark/>
          </w:tcPr>
          <w:p w14:paraId="353590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72430133</w:t>
            </w:r>
          </w:p>
        </w:tc>
        <w:tc>
          <w:tcPr>
            <w:tcW w:w="160" w:type="dxa"/>
            <w:tcBorders>
              <w:top w:val="nil"/>
              <w:left w:val="nil"/>
              <w:bottom w:val="single" w:sz="4" w:space="0" w:color="auto"/>
              <w:right w:val="nil"/>
            </w:tcBorders>
            <w:vAlign w:val="center"/>
          </w:tcPr>
          <w:p w14:paraId="62F8D6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4DEB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KOPRU</w:t>
            </w:r>
          </w:p>
        </w:tc>
      </w:tr>
      <w:tr w:rsidR="00072A69" w:rsidRPr="00DC6DF9" w14:paraId="45BDFF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8011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1041</w:t>
            </w:r>
          </w:p>
        </w:tc>
        <w:tc>
          <w:tcPr>
            <w:tcW w:w="1036" w:type="dxa"/>
            <w:tcBorders>
              <w:top w:val="nil"/>
              <w:left w:val="nil"/>
              <w:bottom w:val="single" w:sz="4" w:space="0" w:color="auto"/>
              <w:right w:val="single" w:sz="4" w:space="0" w:color="auto"/>
            </w:tcBorders>
            <w:shd w:val="clear" w:color="auto" w:fill="auto"/>
            <w:noWrap/>
            <w:vAlign w:val="center"/>
            <w:hideMark/>
          </w:tcPr>
          <w:p w14:paraId="04252B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5022614000</w:t>
            </w:r>
          </w:p>
        </w:tc>
        <w:tc>
          <w:tcPr>
            <w:tcW w:w="1036" w:type="dxa"/>
            <w:tcBorders>
              <w:top w:val="nil"/>
              <w:left w:val="nil"/>
              <w:bottom w:val="single" w:sz="4" w:space="0" w:color="auto"/>
              <w:right w:val="single" w:sz="4" w:space="0" w:color="auto"/>
            </w:tcBorders>
            <w:shd w:val="clear" w:color="auto" w:fill="auto"/>
            <w:noWrap/>
            <w:vAlign w:val="center"/>
            <w:hideMark/>
          </w:tcPr>
          <w:p w14:paraId="210CC1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34926089</w:t>
            </w:r>
          </w:p>
        </w:tc>
        <w:tc>
          <w:tcPr>
            <w:tcW w:w="160" w:type="dxa"/>
            <w:tcBorders>
              <w:top w:val="nil"/>
              <w:left w:val="nil"/>
              <w:bottom w:val="single" w:sz="4" w:space="0" w:color="auto"/>
              <w:right w:val="nil"/>
            </w:tcBorders>
            <w:vAlign w:val="center"/>
          </w:tcPr>
          <w:p w14:paraId="017336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EE72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KRANJU</w:t>
            </w:r>
          </w:p>
        </w:tc>
      </w:tr>
      <w:tr w:rsidR="00072A69" w:rsidRPr="00DC6DF9" w14:paraId="60811D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034B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1042</w:t>
            </w:r>
          </w:p>
        </w:tc>
        <w:tc>
          <w:tcPr>
            <w:tcW w:w="1036" w:type="dxa"/>
            <w:tcBorders>
              <w:top w:val="nil"/>
              <w:left w:val="nil"/>
              <w:bottom w:val="single" w:sz="4" w:space="0" w:color="auto"/>
              <w:right w:val="single" w:sz="4" w:space="0" w:color="auto"/>
            </w:tcBorders>
            <w:shd w:val="clear" w:color="auto" w:fill="auto"/>
            <w:noWrap/>
            <w:vAlign w:val="center"/>
            <w:hideMark/>
          </w:tcPr>
          <w:p w14:paraId="0A7638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5877946000</w:t>
            </w:r>
          </w:p>
        </w:tc>
        <w:tc>
          <w:tcPr>
            <w:tcW w:w="1036" w:type="dxa"/>
            <w:tcBorders>
              <w:top w:val="nil"/>
              <w:left w:val="nil"/>
              <w:bottom w:val="single" w:sz="4" w:space="0" w:color="auto"/>
              <w:right w:val="single" w:sz="4" w:space="0" w:color="auto"/>
            </w:tcBorders>
            <w:shd w:val="clear" w:color="auto" w:fill="auto"/>
            <w:noWrap/>
            <w:vAlign w:val="center"/>
            <w:hideMark/>
          </w:tcPr>
          <w:p w14:paraId="74566C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72372133</w:t>
            </w:r>
          </w:p>
        </w:tc>
        <w:tc>
          <w:tcPr>
            <w:tcW w:w="160" w:type="dxa"/>
            <w:tcBorders>
              <w:top w:val="nil"/>
              <w:left w:val="nil"/>
              <w:bottom w:val="single" w:sz="4" w:space="0" w:color="auto"/>
              <w:right w:val="nil"/>
            </w:tcBorders>
            <w:vAlign w:val="center"/>
          </w:tcPr>
          <w:p w14:paraId="32959C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9508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KRŠKEM</w:t>
            </w:r>
          </w:p>
        </w:tc>
      </w:tr>
      <w:tr w:rsidR="00072A69" w:rsidRPr="00DC6DF9" w14:paraId="75C059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56ED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1043</w:t>
            </w:r>
          </w:p>
        </w:tc>
        <w:tc>
          <w:tcPr>
            <w:tcW w:w="1036" w:type="dxa"/>
            <w:tcBorders>
              <w:top w:val="nil"/>
              <w:left w:val="nil"/>
              <w:bottom w:val="single" w:sz="4" w:space="0" w:color="auto"/>
              <w:right w:val="single" w:sz="4" w:space="0" w:color="auto"/>
            </w:tcBorders>
            <w:shd w:val="clear" w:color="auto" w:fill="auto"/>
            <w:noWrap/>
            <w:vAlign w:val="center"/>
            <w:hideMark/>
          </w:tcPr>
          <w:p w14:paraId="25D4EF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5022762000</w:t>
            </w:r>
          </w:p>
        </w:tc>
        <w:tc>
          <w:tcPr>
            <w:tcW w:w="1036" w:type="dxa"/>
            <w:tcBorders>
              <w:top w:val="nil"/>
              <w:left w:val="nil"/>
              <w:bottom w:val="single" w:sz="4" w:space="0" w:color="auto"/>
              <w:right w:val="single" w:sz="4" w:space="0" w:color="auto"/>
            </w:tcBorders>
            <w:shd w:val="clear" w:color="auto" w:fill="auto"/>
            <w:noWrap/>
            <w:vAlign w:val="center"/>
            <w:hideMark/>
          </w:tcPr>
          <w:p w14:paraId="7505FD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67294308</w:t>
            </w:r>
          </w:p>
        </w:tc>
        <w:tc>
          <w:tcPr>
            <w:tcW w:w="160" w:type="dxa"/>
            <w:tcBorders>
              <w:top w:val="nil"/>
              <w:left w:val="nil"/>
              <w:bottom w:val="single" w:sz="4" w:space="0" w:color="auto"/>
              <w:right w:val="nil"/>
            </w:tcBorders>
            <w:vAlign w:val="center"/>
          </w:tcPr>
          <w:p w14:paraId="01E0578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8B36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LJUBLJANI</w:t>
            </w:r>
          </w:p>
        </w:tc>
      </w:tr>
      <w:tr w:rsidR="00072A69" w:rsidRPr="00DC6DF9" w14:paraId="3EBDC30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4921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1044</w:t>
            </w:r>
          </w:p>
        </w:tc>
        <w:tc>
          <w:tcPr>
            <w:tcW w:w="1036" w:type="dxa"/>
            <w:tcBorders>
              <w:top w:val="nil"/>
              <w:left w:val="nil"/>
              <w:bottom w:val="single" w:sz="4" w:space="0" w:color="auto"/>
              <w:right w:val="single" w:sz="4" w:space="0" w:color="auto"/>
            </w:tcBorders>
            <w:shd w:val="clear" w:color="auto" w:fill="auto"/>
            <w:noWrap/>
            <w:vAlign w:val="center"/>
            <w:hideMark/>
          </w:tcPr>
          <w:p w14:paraId="6397A0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5023025000</w:t>
            </w:r>
          </w:p>
        </w:tc>
        <w:tc>
          <w:tcPr>
            <w:tcW w:w="1036" w:type="dxa"/>
            <w:tcBorders>
              <w:top w:val="nil"/>
              <w:left w:val="nil"/>
              <w:bottom w:val="single" w:sz="4" w:space="0" w:color="auto"/>
              <w:right w:val="single" w:sz="4" w:space="0" w:color="auto"/>
            </w:tcBorders>
            <w:shd w:val="clear" w:color="auto" w:fill="auto"/>
            <w:noWrap/>
            <w:vAlign w:val="center"/>
            <w:hideMark/>
          </w:tcPr>
          <w:p w14:paraId="4AED20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25450662</w:t>
            </w:r>
          </w:p>
        </w:tc>
        <w:tc>
          <w:tcPr>
            <w:tcW w:w="160" w:type="dxa"/>
            <w:tcBorders>
              <w:top w:val="nil"/>
              <w:left w:val="nil"/>
              <w:bottom w:val="single" w:sz="4" w:space="0" w:color="auto"/>
              <w:right w:val="nil"/>
            </w:tcBorders>
            <w:vAlign w:val="center"/>
          </w:tcPr>
          <w:p w14:paraId="06143EF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BF9B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MARIBORU</w:t>
            </w:r>
          </w:p>
        </w:tc>
      </w:tr>
      <w:tr w:rsidR="00072A69" w:rsidRPr="00DC6DF9" w14:paraId="3AF4DD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EF1C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1045</w:t>
            </w:r>
          </w:p>
        </w:tc>
        <w:tc>
          <w:tcPr>
            <w:tcW w:w="1036" w:type="dxa"/>
            <w:tcBorders>
              <w:top w:val="nil"/>
              <w:left w:val="nil"/>
              <w:bottom w:val="single" w:sz="4" w:space="0" w:color="auto"/>
              <w:right w:val="single" w:sz="4" w:space="0" w:color="auto"/>
            </w:tcBorders>
            <w:shd w:val="clear" w:color="auto" w:fill="auto"/>
            <w:noWrap/>
            <w:vAlign w:val="center"/>
            <w:hideMark/>
          </w:tcPr>
          <w:p w14:paraId="4022C0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5023149000</w:t>
            </w:r>
          </w:p>
        </w:tc>
        <w:tc>
          <w:tcPr>
            <w:tcW w:w="1036" w:type="dxa"/>
            <w:tcBorders>
              <w:top w:val="nil"/>
              <w:left w:val="nil"/>
              <w:bottom w:val="single" w:sz="4" w:space="0" w:color="auto"/>
              <w:right w:val="single" w:sz="4" w:space="0" w:color="auto"/>
            </w:tcBorders>
            <w:shd w:val="clear" w:color="auto" w:fill="auto"/>
            <w:noWrap/>
            <w:vAlign w:val="center"/>
            <w:hideMark/>
          </w:tcPr>
          <w:p w14:paraId="102F1B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12433861</w:t>
            </w:r>
          </w:p>
        </w:tc>
        <w:tc>
          <w:tcPr>
            <w:tcW w:w="160" w:type="dxa"/>
            <w:tcBorders>
              <w:top w:val="nil"/>
              <w:left w:val="nil"/>
              <w:bottom w:val="single" w:sz="4" w:space="0" w:color="auto"/>
              <w:right w:val="nil"/>
            </w:tcBorders>
            <w:vAlign w:val="center"/>
          </w:tcPr>
          <w:p w14:paraId="7A458A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F145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MURSKI SOBOTI</w:t>
            </w:r>
          </w:p>
        </w:tc>
      </w:tr>
      <w:tr w:rsidR="00072A69" w:rsidRPr="00DC6DF9" w14:paraId="437ACB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ECBA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1046</w:t>
            </w:r>
          </w:p>
        </w:tc>
        <w:tc>
          <w:tcPr>
            <w:tcW w:w="1036" w:type="dxa"/>
            <w:tcBorders>
              <w:top w:val="nil"/>
              <w:left w:val="nil"/>
              <w:bottom w:val="single" w:sz="4" w:space="0" w:color="auto"/>
              <w:right w:val="single" w:sz="4" w:space="0" w:color="auto"/>
            </w:tcBorders>
            <w:shd w:val="clear" w:color="auto" w:fill="auto"/>
            <w:noWrap/>
            <w:vAlign w:val="center"/>
            <w:hideMark/>
          </w:tcPr>
          <w:p w14:paraId="3ACB6F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5023319000</w:t>
            </w:r>
          </w:p>
        </w:tc>
        <w:tc>
          <w:tcPr>
            <w:tcW w:w="1036" w:type="dxa"/>
            <w:tcBorders>
              <w:top w:val="nil"/>
              <w:left w:val="nil"/>
              <w:bottom w:val="single" w:sz="4" w:space="0" w:color="auto"/>
              <w:right w:val="single" w:sz="4" w:space="0" w:color="auto"/>
            </w:tcBorders>
            <w:shd w:val="clear" w:color="auto" w:fill="auto"/>
            <w:noWrap/>
            <w:vAlign w:val="center"/>
            <w:hideMark/>
          </w:tcPr>
          <w:p w14:paraId="2981B9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27842398</w:t>
            </w:r>
          </w:p>
        </w:tc>
        <w:tc>
          <w:tcPr>
            <w:tcW w:w="160" w:type="dxa"/>
            <w:tcBorders>
              <w:top w:val="nil"/>
              <w:left w:val="nil"/>
              <w:bottom w:val="single" w:sz="4" w:space="0" w:color="auto"/>
              <w:right w:val="nil"/>
            </w:tcBorders>
            <w:vAlign w:val="center"/>
          </w:tcPr>
          <w:p w14:paraId="70B727B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7B6F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NOVEM MESTU</w:t>
            </w:r>
          </w:p>
        </w:tc>
      </w:tr>
      <w:tr w:rsidR="00072A69" w:rsidRPr="00DC6DF9" w14:paraId="15EBF7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D720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1047</w:t>
            </w:r>
          </w:p>
        </w:tc>
        <w:tc>
          <w:tcPr>
            <w:tcW w:w="1036" w:type="dxa"/>
            <w:tcBorders>
              <w:top w:val="nil"/>
              <w:left w:val="nil"/>
              <w:bottom w:val="single" w:sz="4" w:space="0" w:color="auto"/>
              <w:right w:val="single" w:sz="4" w:space="0" w:color="auto"/>
            </w:tcBorders>
            <w:shd w:val="clear" w:color="auto" w:fill="auto"/>
            <w:noWrap/>
            <w:vAlign w:val="center"/>
            <w:hideMark/>
          </w:tcPr>
          <w:p w14:paraId="4FFEC1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5023211000</w:t>
            </w:r>
          </w:p>
        </w:tc>
        <w:tc>
          <w:tcPr>
            <w:tcW w:w="1036" w:type="dxa"/>
            <w:tcBorders>
              <w:top w:val="nil"/>
              <w:left w:val="nil"/>
              <w:bottom w:val="single" w:sz="4" w:space="0" w:color="auto"/>
              <w:right w:val="single" w:sz="4" w:space="0" w:color="auto"/>
            </w:tcBorders>
            <w:shd w:val="clear" w:color="auto" w:fill="auto"/>
            <w:noWrap/>
            <w:vAlign w:val="center"/>
            <w:hideMark/>
          </w:tcPr>
          <w:p w14:paraId="7B5AC6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33069239</w:t>
            </w:r>
          </w:p>
        </w:tc>
        <w:tc>
          <w:tcPr>
            <w:tcW w:w="160" w:type="dxa"/>
            <w:tcBorders>
              <w:top w:val="nil"/>
              <w:left w:val="nil"/>
              <w:bottom w:val="single" w:sz="4" w:space="0" w:color="auto"/>
              <w:right w:val="nil"/>
            </w:tcBorders>
            <w:vAlign w:val="center"/>
          </w:tcPr>
          <w:p w14:paraId="647647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A67B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NOVI GORICI</w:t>
            </w:r>
          </w:p>
        </w:tc>
      </w:tr>
      <w:tr w:rsidR="00072A69" w:rsidRPr="00DC6DF9" w14:paraId="6C8150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9322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1048</w:t>
            </w:r>
          </w:p>
        </w:tc>
        <w:tc>
          <w:tcPr>
            <w:tcW w:w="1036" w:type="dxa"/>
            <w:tcBorders>
              <w:top w:val="nil"/>
              <w:left w:val="nil"/>
              <w:bottom w:val="single" w:sz="4" w:space="0" w:color="auto"/>
              <w:right w:val="single" w:sz="4" w:space="0" w:color="auto"/>
            </w:tcBorders>
            <w:shd w:val="clear" w:color="auto" w:fill="auto"/>
            <w:noWrap/>
            <w:vAlign w:val="center"/>
            <w:hideMark/>
          </w:tcPr>
          <w:p w14:paraId="5FB1AF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5881536000</w:t>
            </w:r>
          </w:p>
        </w:tc>
        <w:tc>
          <w:tcPr>
            <w:tcW w:w="1036" w:type="dxa"/>
            <w:tcBorders>
              <w:top w:val="nil"/>
              <w:left w:val="nil"/>
              <w:bottom w:val="single" w:sz="4" w:space="0" w:color="auto"/>
              <w:right w:val="single" w:sz="4" w:space="0" w:color="auto"/>
            </w:tcBorders>
            <w:shd w:val="clear" w:color="auto" w:fill="auto"/>
            <w:noWrap/>
            <w:vAlign w:val="center"/>
            <w:hideMark/>
          </w:tcPr>
          <w:p w14:paraId="3EA7BE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55955495</w:t>
            </w:r>
          </w:p>
        </w:tc>
        <w:tc>
          <w:tcPr>
            <w:tcW w:w="160" w:type="dxa"/>
            <w:tcBorders>
              <w:top w:val="nil"/>
              <w:left w:val="nil"/>
              <w:bottom w:val="single" w:sz="4" w:space="0" w:color="auto"/>
              <w:right w:val="nil"/>
            </w:tcBorders>
            <w:vAlign w:val="center"/>
          </w:tcPr>
          <w:p w14:paraId="444A33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A4F6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OKROŽNO SODIŠČE V SLOVENJ GRADCU</w:t>
            </w:r>
          </w:p>
        </w:tc>
      </w:tr>
      <w:tr w:rsidR="00072A69" w:rsidRPr="00DC6DF9" w14:paraId="3C12D9A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000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1049</w:t>
            </w:r>
          </w:p>
        </w:tc>
        <w:tc>
          <w:tcPr>
            <w:tcW w:w="1036" w:type="dxa"/>
            <w:tcBorders>
              <w:top w:val="nil"/>
              <w:left w:val="nil"/>
              <w:bottom w:val="single" w:sz="4" w:space="0" w:color="auto"/>
              <w:right w:val="single" w:sz="4" w:space="0" w:color="auto"/>
            </w:tcBorders>
            <w:shd w:val="clear" w:color="auto" w:fill="auto"/>
            <w:noWrap/>
            <w:vAlign w:val="center"/>
            <w:hideMark/>
          </w:tcPr>
          <w:p w14:paraId="74E7CC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5055733000</w:t>
            </w:r>
          </w:p>
        </w:tc>
        <w:tc>
          <w:tcPr>
            <w:tcW w:w="1036" w:type="dxa"/>
            <w:tcBorders>
              <w:top w:val="nil"/>
              <w:left w:val="nil"/>
              <w:bottom w:val="single" w:sz="4" w:space="0" w:color="auto"/>
              <w:right w:val="single" w:sz="4" w:space="0" w:color="auto"/>
            </w:tcBorders>
            <w:shd w:val="clear" w:color="auto" w:fill="auto"/>
            <w:noWrap/>
            <w:vAlign w:val="center"/>
            <w:hideMark/>
          </w:tcPr>
          <w:p w14:paraId="7BAB1C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34052674</w:t>
            </w:r>
          </w:p>
        </w:tc>
        <w:tc>
          <w:tcPr>
            <w:tcW w:w="160" w:type="dxa"/>
            <w:tcBorders>
              <w:top w:val="nil"/>
              <w:left w:val="nil"/>
              <w:bottom w:val="single" w:sz="4" w:space="0" w:color="auto"/>
              <w:right w:val="nil"/>
            </w:tcBorders>
            <w:vAlign w:val="center"/>
          </w:tcPr>
          <w:p w14:paraId="6E6373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56FC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ONKOLOŠKI INŠTITUT LJUBLJANA</w:t>
            </w:r>
          </w:p>
        </w:tc>
      </w:tr>
      <w:tr w:rsidR="00072A69" w:rsidRPr="00DC6DF9" w14:paraId="761D1A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348B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1050</w:t>
            </w:r>
          </w:p>
        </w:tc>
        <w:tc>
          <w:tcPr>
            <w:tcW w:w="1036" w:type="dxa"/>
            <w:tcBorders>
              <w:top w:val="nil"/>
              <w:left w:val="nil"/>
              <w:bottom w:val="single" w:sz="4" w:space="0" w:color="auto"/>
              <w:right w:val="single" w:sz="4" w:space="0" w:color="auto"/>
            </w:tcBorders>
            <w:shd w:val="clear" w:color="auto" w:fill="auto"/>
            <w:noWrap/>
            <w:vAlign w:val="center"/>
            <w:hideMark/>
          </w:tcPr>
          <w:p w14:paraId="0CDA56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5053765000</w:t>
            </w:r>
          </w:p>
        </w:tc>
        <w:tc>
          <w:tcPr>
            <w:tcW w:w="1036" w:type="dxa"/>
            <w:tcBorders>
              <w:top w:val="nil"/>
              <w:left w:val="nil"/>
              <w:bottom w:val="single" w:sz="4" w:space="0" w:color="auto"/>
              <w:right w:val="single" w:sz="4" w:space="0" w:color="auto"/>
            </w:tcBorders>
            <w:shd w:val="clear" w:color="auto" w:fill="auto"/>
            <w:noWrap/>
            <w:vAlign w:val="center"/>
            <w:hideMark/>
          </w:tcPr>
          <w:p w14:paraId="2F2E67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30348145</w:t>
            </w:r>
          </w:p>
        </w:tc>
        <w:tc>
          <w:tcPr>
            <w:tcW w:w="160" w:type="dxa"/>
            <w:tcBorders>
              <w:top w:val="nil"/>
              <w:left w:val="nil"/>
              <w:bottom w:val="single" w:sz="4" w:space="0" w:color="auto"/>
              <w:right w:val="nil"/>
            </w:tcBorders>
            <w:vAlign w:val="center"/>
          </w:tcPr>
          <w:p w14:paraId="2238E5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CCAD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ORTOPEDSKA BOLNIŠNICA VALDOLTRA</w:t>
            </w:r>
          </w:p>
        </w:tc>
      </w:tr>
      <w:tr w:rsidR="00072A69" w:rsidRPr="00DC6DF9" w14:paraId="7A5FF0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980B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1051</w:t>
            </w:r>
          </w:p>
        </w:tc>
        <w:tc>
          <w:tcPr>
            <w:tcW w:w="1036" w:type="dxa"/>
            <w:tcBorders>
              <w:top w:val="nil"/>
              <w:left w:val="nil"/>
              <w:bottom w:val="single" w:sz="4" w:space="0" w:color="auto"/>
              <w:right w:val="single" w:sz="4" w:space="0" w:color="auto"/>
            </w:tcBorders>
            <w:shd w:val="clear" w:color="auto" w:fill="auto"/>
            <w:noWrap/>
            <w:vAlign w:val="center"/>
            <w:hideMark/>
          </w:tcPr>
          <w:p w14:paraId="4501A9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5087783000</w:t>
            </w:r>
          </w:p>
        </w:tc>
        <w:tc>
          <w:tcPr>
            <w:tcW w:w="1036" w:type="dxa"/>
            <w:tcBorders>
              <w:top w:val="nil"/>
              <w:left w:val="nil"/>
              <w:bottom w:val="single" w:sz="4" w:space="0" w:color="auto"/>
              <w:right w:val="single" w:sz="4" w:space="0" w:color="auto"/>
            </w:tcBorders>
            <w:shd w:val="clear" w:color="auto" w:fill="auto"/>
            <w:noWrap/>
            <w:vAlign w:val="center"/>
            <w:hideMark/>
          </w:tcPr>
          <w:p w14:paraId="6BE1A0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34597085</w:t>
            </w:r>
          </w:p>
        </w:tc>
        <w:tc>
          <w:tcPr>
            <w:tcW w:w="160" w:type="dxa"/>
            <w:tcBorders>
              <w:top w:val="nil"/>
              <w:left w:val="nil"/>
              <w:bottom w:val="single" w:sz="4" w:space="0" w:color="auto"/>
              <w:right w:val="nil"/>
            </w:tcBorders>
            <w:vAlign w:val="center"/>
          </w:tcPr>
          <w:p w14:paraId="49C5E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F76E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"BLAŽA KOCENA" PONIKVA</w:t>
            </w:r>
          </w:p>
        </w:tc>
      </w:tr>
      <w:tr w:rsidR="00072A69" w:rsidRPr="00DC6DF9" w14:paraId="7F4E97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9B10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1052</w:t>
            </w:r>
          </w:p>
        </w:tc>
        <w:tc>
          <w:tcPr>
            <w:tcW w:w="1036" w:type="dxa"/>
            <w:tcBorders>
              <w:top w:val="nil"/>
              <w:left w:val="nil"/>
              <w:bottom w:val="single" w:sz="4" w:space="0" w:color="auto"/>
              <w:right w:val="single" w:sz="4" w:space="0" w:color="auto"/>
            </w:tcBorders>
            <w:shd w:val="clear" w:color="auto" w:fill="auto"/>
            <w:noWrap/>
            <w:vAlign w:val="center"/>
            <w:hideMark/>
          </w:tcPr>
          <w:p w14:paraId="50D23E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5719054000</w:t>
            </w:r>
          </w:p>
        </w:tc>
        <w:tc>
          <w:tcPr>
            <w:tcW w:w="1036" w:type="dxa"/>
            <w:tcBorders>
              <w:top w:val="nil"/>
              <w:left w:val="nil"/>
              <w:bottom w:val="single" w:sz="4" w:space="0" w:color="auto"/>
              <w:right w:val="single" w:sz="4" w:space="0" w:color="auto"/>
            </w:tcBorders>
            <w:shd w:val="clear" w:color="auto" w:fill="auto"/>
            <w:noWrap/>
            <w:vAlign w:val="center"/>
            <w:hideMark/>
          </w:tcPr>
          <w:p w14:paraId="2CAFD0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39376699</w:t>
            </w:r>
          </w:p>
        </w:tc>
        <w:tc>
          <w:tcPr>
            <w:tcW w:w="160" w:type="dxa"/>
            <w:tcBorders>
              <w:top w:val="nil"/>
              <w:left w:val="nil"/>
              <w:bottom w:val="single" w:sz="4" w:space="0" w:color="auto"/>
              <w:right w:val="nil"/>
            </w:tcBorders>
            <w:vAlign w:val="center"/>
          </w:tcPr>
          <w:p w14:paraId="6FE73F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8DE3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16. DECEMBRA MOJSTRANA</w:t>
            </w:r>
          </w:p>
        </w:tc>
      </w:tr>
      <w:tr w:rsidR="00072A69" w:rsidRPr="00DC6DF9" w14:paraId="4231E7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0739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1053</w:t>
            </w:r>
          </w:p>
        </w:tc>
        <w:tc>
          <w:tcPr>
            <w:tcW w:w="1036" w:type="dxa"/>
            <w:tcBorders>
              <w:top w:val="nil"/>
              <w:left w:val="nil"/>
              <w:bottom w:val="single" w:sz="4" w:space="0" w:color="auto"/>
              <w:right w:val="single" w:sz="4" w:space="0" w:color="auto"/>
            </w:tcBorders>
            <w:shd w:val="clear" w:color="auto" w:fill="auto"/>
            <w:noWrap/>
            <w:vAlign w:val="center"/>
            <w:hideMark/>
          </w:tcPr>
          <w:p w14:paraId="01267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5241243000</w:t>
            </w:r>
          </w:p>
        </w:tc>
        <w:tc>
          <w:tcPr>
            <w:tcW w:w="1036" w:type="dxa"/>
            <w:tcBorders>
              <w:top w:val="nil"/>
              <w:left w:val="nil"/>
              <w:bottom w:val="single" w:sz="4" w:space="0" w:color="auto"/>
              <w:right w:val="single" w:sz="4" w:space="0" w:color="auto"/>
            </w:tcBorders>
            <w:shd w:val="clear" w:color="auto" w:fill="auto"/>
            <w:noWrap/>
            <w:vAlign w:val="center"/>
            <w:hideMark/>
          </w:tcPr>
          <w:p w14:paraId="3C72D8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19755104</w:t>
            </w:r>
          </w:p>
        </w:tc>
        <w:tc>
          <w:tcPr>
            <w:tcW w:w="160" w:type="dxa"/>
            <w:tcBorders>
              <w:top w:val="nil"/>
              <w:left w:val="nil"/>
              <w:bottom w:val="single" w:sz="4" w:space="0" w:color="auto"/>
              <w:right w:val="nil"/>
            </w:tcBorders>
            <w:vAlign w:val="center"/>
          </w:tcPr>
          <w:p w14:paraId="1CF1C3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F229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27. JULIJ KAMNIK</w:t>
            </w:r>
          </w:p>
        </w:tc>
      </w:tr>
      <w:tr w:rsidR="00072A69" w:rsidRPr="00DC6DF9" w14:paraId="4C3F0F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99B0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1054</w:t>
            </w:r>
          </w:p>
        </w:tc>
        <w:tc>
          <w:tcPr>
            <w:tcW w:w="1036" w:type="dxa"/>
            <w:tcBorders>
              <w:top w:val="nil"/>
              <w:left w:val="nil"/>
              <w:bottom w:val="single" w:sz="4" w:space="0" w:color="auto"/>
              <w:right w:val="single" w:sz="4" w:space="0" w:color="auto"/>
            </w:tcBorders>
            <w:shd w:val="clear" w:color="auto" w:fill="auto"/>
            <w:noWrap/>
            <w:vAlign w:val="center"/>
            <w:hideMark/>
          </w:tcPr>
          <w:p w14:paraId="1606C9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5084687000</w:t>
            </w:r>
          </w:p>
        </w:tc>
        <w:tc>
          <w:tcPr>
            <w:tcW w:w="1036" w:type="dxa"/>
            <w:tcBorders>
              <w:top w:val="nil"/>
              <w:left w:val="nil"/>
              <w:bottom w:val="single" w:sz="4" w:space="0" w:color="auto"/>
              <w:right w:val="single" w:sz="4" w:space="0" w:color="auto"/>
            </w:tcBorders>
            <w:shd w:val="clear" w:color="auto" w:fill="auto"/>
            <w:noWrap/>
            <w:vAlign w:val="center"/>
            <w:hideMark/>
          </w:tcPr>
          <w:p w14:paraId="1D6BAE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45289018</w:t>
            </w:r>
          </w:p>
        </w:tc>
        <w:tc>
          <w:tcPr>
            <w:tcW w:w="160" w:type="dxa"/>
            <w:tcBorders>
              <w:top w:val="nil"/>
              <w:left w:val="nil"/>
              <w:bottom w:val="single" w:sz="4" w:space="0" w:color="auto"/>
              <w:right w:val="nil"/>
            </w:tcBorders>
            <w:vAlign w:val="center"/>
          </w:tcPr>
          <w:p w14:paraId="4704D2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098B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8 TALCEV LOGATEC</w:t>
            </w:r>
          </w:p>
        </w:tc>
      </w:tr>
      <w:tr w:rsidR="00072A69" w:rsidRPr="00DC6DF9" w14:paraId="3A14B7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5319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1055</w:t>
            </w:r>
          </w:p>
        </w:tc>
        <w:tc>
          <w:tcPr>
            <w:tcW w:w="1036" w:type="dxa"/>
            <w:tcBorders>
              <w:top w:val="nil"/>
              <w:left w:val="nil"/>
              <w:bottom w:val="single" w:sz="4" w:space="0" w:color="auto"/>
              <w:right w:val="single" w:sz="4" w:space="0" w:color="auto"/>
            </w:tcBorders>
            <w:shd w:val="clear" w:color="auto" w:fill="auto"/>
            <w:noWrap/>
            <w:vAlign w:val="center"/>
            <w:hideMark/>
          </w:tcPr>
          <w:p w14:paraId="50FC3C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5083940000</w:t>
            </w:r>
          </w:p>
        </w:tc>
        <w:tc>
          <w:tcPr>
            <w:tcW w:w="1036" w:type="dxa"/>
            <w:tcBorders>
              <w:top w:val="nil"/>
              <w:left w:val="nil"/>
              <w:bottom w:val="single" w:sz="4" w:space="0" w:color="auto"/>
              <w:right w:val="single" w:sz="4" w:space="0" w:color="auto"/>
            </w:tcBorders>
            <w:shd w:val="clear" w:color="auto" w:fill="auto"/>
            <w:noWrap/>
            <w:vAlign w:val="center"/>
            <w:hideMark/>
          </w:tcPr>
          <w:p w14:paraId="7798F1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38506467</w:t>
            </w:r>
          </w:p>
        </w:tc>
        <w:tc>
          <w:tcPr>
            <w:tcW w:w="160" w:type="dxa"/>
            <w:tcBorders>
              <w:top w:val="nil"/>
              <w:left w:val="nil"/>
              <w:bottom w:val="single" w:sz="4" w:space="0" w:color="auto"/>
              <w:right w:val="nil"/>
            </w:tcBorders>
            <w:vAlign w:val="center"/>
          </w:tcPr>
          <w:p w14:paraId="41812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4D4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ADAMA BOHORIČA BRESTANICA</w:t>
            </w:r>
          </w:p>
        </w:tc>
      </w:tr>
      <w:tr w:rsidR="00072A69" w:rsidRPr="00DC6DF9" w14:paraId="570A4A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DB2E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1056</w:t>
            </w:r>
          </w:p>
        </w:tc>
        <w:tc>
          <w:tcPr>
            <w:tcW w:w="1036" w:type="dxa"/>
            <w:tcBorders>
              <w:top w:val="nil"/>
              <w:left w:val="nil"/>
              <w:bottom w:val="single" w:sz="4" w:space="0" w:color="auto"/>
              <w:right w:val="single" w:sz="4" w:space="0" w:color="auto"/>
            </w:tcBorders>
            <w:shd w:val="clear" w:color="auto" w:fill="auto"/>
            <w:noWrap/>
            <w:vAlign w:val="center"/>
            <w:hideMark/>
          </w:tcPr>
          <w:p w14:paraId="3E9888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5089000000</w:t>
            </w:r>
          </w:p>
        </w:tc>
        <w:tc>
          <w:tcPr>
            <w:tcW w:w="1036" w:type="dxa"/>
            <w:tcBorders>
              <w:top w:val="nil"/>
              <w:left w:val="nil"/>
              <w:bottom w:val="single" w:sz="4" w:space="0" w:color="auto"/>
              <w:right w:val="single" w:sz="4" w:space="0" w:color="auto"/>
            </w:tcBorders>
            <w:shd w:val="clear" w:color="auto" w:fill="auto"/>
            <w:noWrap/>
            <w:vAlign w:val="center"/>
            <w:hideMark/>
          </w:tcPr>
          <w:p w14:paraId="7CA9BD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45507201</w:t>
            </w:r>
          </w:p>
        </w:tc>
        <w:tc>
          <w:tcPr>
            <w:tcW w:w="160" w:type="dxa"/>
            <w:tcBorders>
              <w:top w:val="nil"/>
              <w:left w:val="nil"/>
              <w:bottom w:val="single" w:sz="4" w:space="0" w:color="auto"/>
              <w:right w:val="nil"/>
            </w:tcBorders>
            <w:vAlign w:val="center"/>
          </w:tcPr>
          <w:p w14:paraId="16DCE38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1210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ALOJZA GRADNIKA DOBROVO</w:t>
            </w:r>
          </w:p>
        </w:tc>
      </w:tr>
      <w:tr w:rsidR="00072A69" w:rsidRPr="00DC6DF9" w14:paraId="7BCDA51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CA8A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1057</w:t>
            </w:r>
          </w:p>
        </w:tc>
        <w:tc>
          <w:tcPr>
            <w:tcW w:w="1036" w:type="dxa"/>
            <w:tcBorders>
              <w:top w:val="nil"/>
              <w:left w:val="nil"/>
              <w:bottom w:val="single" w:sz="4" w:space="0" w:color="auto"/>
              <w:right w:val="single" w:sz="4" w:space="0" w:color="auto"/>
            </w:tcBorders>
            <w:shd w:val="clear" w:color="auto" w:fill="auto"/>
            <w:noWrap/>
            <w:vAlign w:val="center"/>
            <w:hideMark/>
          </w:tcPr>
          <w:p w14:paraId="351D6D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5087538000</w:t>
            </w:r>
          </w:p>
        </w:tc>
        <w:tc>
          <w:tcPr>
            <w:tcW w:w="1036" w:type="dxa"/>
            <w:tcBorders>
              <w:top w:val="nil"/>
              <w:left w:val="nil"/>
              <w:bottom w:val="single" w:sz="4" w:space="0" w:color="auto"/>
              <w:right w:val="single" w:sz="4" w:space="0" w:color="auto"/>
            </w:tcBorders>
            <w:shd w:val="clear" w:color="auto" w:fill="auto"/>
            <w:noWrap/>
            <w:vAlign w:val="center"/>
            <w:hideMark/>
          </w:tcPr>
          <w:p w14:paraId="44FED4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50320807</w:t>
            </w:r>
          </w:p>
        </w:tc>
        <w:tc>
          <w:tcPr>
            <w:tcW w:w="160" w:type="dxa"/>
            <w:tcBorders>
              <w:top w:val="nil"/>
              <w:left w:val="nil"/>
              <w:bottom w:val="single" w:sz="4" w:space="0" w:color="auto"/>
              <w:right w:val="nil"/>
            </w:tcBorders>
            <w:vAlign w:val="center"/>
          </w:tcPr>
          <w:p w14:paraId="7F2E7F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EA62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ANE GALE SEVNICA</w:t>
            </w:r>
          </w:p>
        </w:tc>
      </w:tr>
      <w:tr w:rsidR="00072A69" w:rsidRPr="00DC6DF9" w14:paraId="2796D9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4257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1058</w:t>
            </w:r>
          </w:p>
        </w:tc>
        <w:tc>
          <w:tcPr>
            <w:tcW w:w="1036" w:type="dxa"/>
            <w:tcBorders>
              <w:top w:val="nil"/>
              <w:left w:val="nil"/>
              <w:bottom w:val="single" w:sz="4" w:space="0" w:color="auto"/>
              <w:right w:val="single" w:sz="4" w:space="0" w:color="auto"/>
            </w:tcBorders>
            <w:shd w:val="clear" w:color="auto" w:fill="auto"/>
            <w:noWrap/>
            <w:vAlign w:val="center"/>
            <w:hideMark/>
          </w:tcPr>
          <w:p w14:paraId="5B3664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5085187000</w:t>
            </w:r>
          </w:p>
        </w:tc>
        <w:tc>
          <w:tcPr>
            <w:tcW w:w="1036" w:type="dxa"/>
            <w:tcBorders>
              <w:top w:val="nil"/>
              <w:left w:val="nil"/>
              <w:bottom w:val="single" w:sz="4" w:space="0" w:color="auto"/>
              <w:right w:val="single" w:sz="4" w:space="0" w:color="auto"/>
            </w:tcBorders>
            <w:shd w:val="clear" w:color="auto" w:fill="auto"/>
            <w:noWrap/>
            <w:vAlign w:val="center"/>
            <w:hideMark/>
          </w:tcPr>
          <w:p w14:paraId="50B833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86623265</w:t>
            </w:r>
          </w:p>
        </w:tc>
        <w:tc>
          <w:tcPr>
            <w:tcW w:w="160" w:type="dxa"/>
            <w:tcBorders>
              <w:top w:val="nil"/>
              <w:left w:val="nil"/>
              <w:bottom w:val="single" w:sz="4" w:space="0" w:color="auto"/>
              <w:right w:val="nil"/>
            </w:tcBorders>
            <w:vAlign w:val="center"/>
          </w:tcPr>
          <w:p w14:paraId="45A02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2AE4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ANGELA BESEDNJAKA</w:t>
            </w:r>
          </w:p>
        </w:tc>
      </w:tr>
      <w:tr w:rsidR="00072A69" w:rsidRPr="00DC6DF9" w14:paraId="071ED40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2289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1059</w:t>
            </w:r>
          </w:p>
        </w:tc>
        <w:tc>
          <w:tcPr>
            <w:tcW w:w="1036" w:type="dxa"/>
            <w:tcBorders>
              <w:top w:val="nil"/>
              <w:left w:val="nil"/>
              <w:bottom w:val="single" w:sz="4" w:space="0" w:color="auto"/>
              <w:right w:val="single" w:sz="4" w:space="0" w:color="auto"/>
            </w:tcBorders>
            <w:shd w:val="clear" w:color="auto" w:fill="auto"/>
            <w:noWrap/>
            <w:vAlign w:val="center"/>
            <w:hideMark/>
          </w:tcPr>
          <w:p w14:paraId="050754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5087651000</w:t>
            </w:r>
          </w:p>
        </w:tc>
        <w:tc>
          <w:tcPr>
            <w:tcW w:w="1036" w:type="dxa"/>
            <w:tcBorders>
              <w:top w:val="nil"/>
              <w:left w:val="nil"/>
              <w:bottom w:val="single" w:sz="4" w:space="0" w:color="auto"/>
              <w:right w:val="single" w:sz="4" w:space="0" w:color="auto"/>
            </w:tcBorders>
            <w:shd w:val="clear" w:color="auto" w:fill="auto"/>
            <w:noWrap/>
            <w:vAlign w:val="center"/>
            <w:hideMark/>
          </w:tcPr>
          <w:p w14:paraId="054A89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53210336</w:t>
            </w:r>
          </w:p>
        </w:tc>
        <w:tc>
          <w:tcPr>
            <w:tcW w:w="160" w:type="dxa"/>
            <w:tcBorders>
              <w:top w:val="nil"/>
              <w:left w:val="nil"/>
              <w:bottom w:val="single" w:sz="4" w:space="0" w:color="auto"/>
              <w:right w:val="nil"/>
            </w:tcBorders>
            <w:vAlign w:val="center"/>
          </w:tcPr>
          <w:p w14:paraId="178293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6D4C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ANICE ČERNEJEVE MAKOLE</w:t>
            </w:r>
          </w:p>
        </w:tc>
      </w:tr>
      <w:tr w:rsidR="00072A69" w:rsidRPr="00DC6DF9" w14:paraId="4FD7C6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B9E9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1060</w:t>
            </w:r>
          </w:p>
        </w:tc>
        <w:tc>
          <w:tcPr>
            <w:tcW w:w="1036" w:type="dxa"/>
            <w:tcBorders>
              <w:top w:val="nil"/>
              <w:left w:val="nil"/>
              <w:bottom w:val="single" w:sz="4" w:space="0" w:color="auto"/>
              <w:right w:val="single" w:sz="4" w:space="0" w:color="auto"/>
            </w:tcBorders>
            <w:shd w:val="clear" w:color="auto" w:fill="auto"/>
            <w:noWrap/>
            <w:vAlign w:val="center"/>
            <w:hideMark/>
          </w:tcPr>
          <w:p w14:paraId="2B34AB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5924359000</w:t>
            </w:r>
          </w:p>
        </w:tc>
        <w:tc>
          <w:tcPr>
            <w:tcW w:w="1036" w:type="dxa"/>
            <w:tcBorders>
              <w:top w:val="nil"/>
              <w:left w:val="nil"/>
              <w:bottom w:val="single" w:sz="4" w:space="0" w:color="auto"/>
              <w:right w:val="single" w:sz="4" w:space="0" w:color="auto"/>
            </w:tcBorders>
            <w:shd w:val="clear" w:color="auto" w:fill="auto"/>
            <w:noWrap/>
            <w:vAlign w:val="center"/>
            <w:hideMark/>
          </w:tcPr>
          <w:p w14:paraId="1EA1B3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81377231</w:t>
            </w:r>
          </w:p>
        </w:tc>
        <w:tc>
          <w:tcPr>
            <w:tcW w:w="160" w:type="dxa"/>
            <w:tcBorders>
              <w:top w:val="nil"/>
              <w:left w:val="nil"/>
              <w:bottom w:val="single" w:sz="4" w:space="0" w:color="auto"/>
              <w:right w:val="nil"/>
            </w:tcBorders>
            <w:vAlign w:val="center"/>
          </w:tcPr>
          <w:p w14:paraId="3C81E1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A64C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AŠKERCA RIMSKE TOPLICE</w:t>
            </w:r>
          </w:p>
        </w:tc>
      </w:tr>
      <w:tr w:rsidR="00072A69" w:rsidRPr="00DC6DF9" w14:paraId="58A769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E859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1061</w:t>
            </w:r>
          </w:p>
        </w:tc>
        <w:tc>
          <w:tcPr>
            <w:tcW w:w="1036" w:type="dxa"/>
            <w:tcBorders>
              <w:top w:val="nil"/>
              <w:left w:val="nil"/>
              <w:bottom w:val="single" w:sz="4" w:space="0" w:color="auto"/>
              <w:right w:val="single" w:sz="4" w:space="0" w:color="auto"/>
            </w:tcBorders>
            <w:shd w:val="clear" w:color="auto" w:fill="auto"/>
            <w:noWrap/>
            <w:vAlign w:val="center"/>
            <w:hideMark/>
          </w:tcPr>
          <w:p w14:paraId="23AFF4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5088224000</w:t>
            </w:r>
          </w:p>
        </w:tc>
        <w:tc>
          <w:tcPr>
            <w:tcW w:w="1036" w:type="dxa"/>
            <w:tcBorders>
              <w:top w:val="nil"/>
              <w:left w:val="nil"/>
              <w:bottom w:val="single" w:sz="4" w:space="0" w:color="auto"/>
              <w:right w:val="single" w:sz="4" w:space="0" w:color="auto"/>
            </w:tcBorders>
            <w:shd w:val="clear" w:color="auto" w:fill="auto"/>
            <w:noWrap/>
            <w:vAlign w:val="center"/>
            <w:hideMark/>
          </w:tcPr>
          <w:p w14:paraId="3053C2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25656317</w:t>
            </w:r>
          </w:p>
        </w:tc>
        <w:tc>
          <w:tcPr>
            <w:tcW w:w="160" w:type="dxa"/>
            <w:tcBorders>
              <w:top w:val="nil"/>
              <w:left w:val="nil"/>
              <w:bottom w:val="single" w:sz="4" w:space="0" w:color="auto"/>
              <w:right w:val="nil"/>
            </w:tcBorders>
            <w:vAlign w:val="center"/>
          </w:tcPr>
          <w:p w14:paraId="185873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4FE8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AŠKERCA VELENJE</w:t>
            </w:r>
          </w:p>
        </w:tc>
      </w:tr>
      <w:tr w:rsidR="00072A69" w:rsidRPr="00DC6DF9" w14:paraId="7D6040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88E2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1062</w:t>
            </w:r>
          </w:p>
        </w:tc>
        <w:tc>
          <w:tcPr>
            <w:tcW w:w="1036" w:type="dxa"/>
            <w:tcBorders>
              <w:top w:val="nil"/>
              <w:left w:val="nil"/>
              <w:bottom w:val="single" w:sz="4" w:space="0" w:color="auto"/>
              <w:right w:val="single" w:sz="4" w:space="0" w:color="auto"/>
            </w:tcBorders>
            <w:shd w:val="clear" w:color="auto" w:fill="auto"/>
            <w:noWrap/>
            <w:vAlign w:val="center"/>
            <w:hideMark/>
          </w:tcPr>
          <w:p w14:paraId="0356A2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5084709000</w:t>
            </w:r>
          </w:p>
        </w:tc>
        <w:tc>
          <w:tcPr>
            <w:tcW w:w="1036" w:type="dxa"/>
            <w:tcBorders>
              <w:top w:val="nil"/>
              <w:left w:val="nil"/>
              <w:bottom w:val="single" w:sz="4" w:space="0" w:color="auto"/>
              <w:right w:val="single" w:sz="4" w:space="0" w:color="auto"/>
            </w:tcBorders>
            <w:shd w:val="clear" w:color="auto" w:fill="auto"/>
            <w:noWrap/>
            <w:vAlign w:val="center"/>
            <w:hideMark/>
          </w:tcPr>
          <w:p w14:paraId="2DA275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12132233</w:t>
            </w:r>
          </w:p>
        </w:tc>
        <w:tc>
          <w:tcPr>
            <w:tcW w:w="160" w:type="dxa"/>
            <w:tcBorders>
              <w:top w:val="nil"/>
              <w:left w:val="nil"/>
              <w:bottom w:val="single" w:sz="4" w:space="0" w:color="auto"/>
              <w:right w:val="nil"/>
            </w:tcBorders>
            <w:vAlign w:val="center"/>
          </w:tcPr>
          <w:p w14:paraId="4C90443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962D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BEZENŠKA FRANKOLOVO</w:t>
            </w:r>
          </w:p>
        </w:tc>
      </w:tr>
      <w:tr w:rsidR="00072A69" w:rsidRPr="00DC6DF9" w14:paraId="5796333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8B6A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1063</w:t>
            </w:r>
          </w:p>
        </w:tc>
        <w:tc>
          <w:tcPr>
            <w:tcW w:w="1036" w:type="dxa"/>
            <w:tcBorders>
              <w:top w:val="nil"/>
              <w:left w:val="nil"/>
              <w:bottom w:val="single" w:sz="4" w:space="0" w:color="auto"/>
              <w:right w:val="single" w:sz="4" w:space="0" w:color="auto"/>
            </w:tcBorders>
            <w:shd w:val="clear" w:color="auto" w:fill="auto"/>
            <w:noWrap/>
            <w:vAlign w:val="center"/>
            <w:hideMark/>
          </w:tcPr>
          <w:p w14:paraId="2F711F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5496829000</w:t>
            </w:r>
          </w:p>
        </w:tc>
        <w:tc>
          <w:tcPr>
            <w:tcW w:w="1036" w:type="dxa"/>
            <w:tcBorders>
              <w:top w:val="nil"/>
              <w:left w:val="nil"/>
              <w:bottom w:val="single" w:sz="4" w:space="0" w:color="auto"/>
              <w:right w:val="single" w:sz="4" w:space="0" w:color="auto"/>
            </w:tcBorders>
            <w:shd w:val="clear" w:color="auto" w:fill="auto"/>
            <w:noWrap/>
            <w:vAlign w:val="center"/>
            <w:hideMark/>
          </w:tcPr>
          <w:p w14:paraId="21D0D3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44439407</w:t>
            </w:r>
          </w:p>
        </w:tc>
        <w:tc>
          <w:tcPr>
            <w:tcW w:w="160" w:type="dxa"/>
            <w:tcBorders>
              <w:top w:val="nil"/>
              <w:left w:val="nil"/>
              <w:bottom w:val="single" w:sz="4" w:space="0" w:color="auto"/>
              <w:right w:val="nil"/>
            </w:tcBorders>
            <w:vAlign w:val="center"/>
          </w:tcPr>
          <w:p w14:paraId="634EA2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CF23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GLOBOČNIKA POSTOJNA</w:t>
            </w:r>
          </w:p>
        </w:tc>
      </w:tr>
      <w:tr w:rsidR="00072A69" w:rsidRPr="00DC6DF9" w14:paraId="10D7558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37EE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1064</w:t>
            </w:r>
          </w:p>
        </w:tc>
        <w:tc>
          <w:tcPr>
            <w:tcW w:w="1036" w:type="dxa"/>
            <w:tcBorders>
              <w:top w:val="nil"/>
              <w:left w:val="nil"/>
              <w:bottom w:val="single" w:sz="4" w:space="0" w:color="auto"/>
              <w:right w:val="single" w:sz="4" w:space="0" w:color="auto"/>
            </w:tcBorders>
            <w:shd w:val="clear" w:color="auto" w:fill="auto"/>
            <w:noWrap/>
            <w:vAlign w:val="center"/>
            <w:hideMark/>
          </w:tcPr>
          <w:p w14:paraId="54D2A5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5090032000</w:t>
            </w:r>
          </w:p>
        </w:tc>
        <w:tc>
          <w:tcPr>
            <w:tcW w:w="1036" w:type="dxa"/>
            <w:tcBorders>
              <w:top w:val="nil"/>
              <w:left w:val="nil"/>
              <w:bottom w:val="single" w:sz="4" w:space="0" w:color="auto"/>
              <w:right w:val="single" w:sz="4" w:space="0" w:color="auto"/>
            </w:tcBorders>
            <w:shd w:val="clear" w:color="auto" w:fill="auto"/>
            <w:noWrap/>
            <w:vAlign w:val="center"/>
            <w:hideMark/>
          </w:tcPr>
          <w:p w14:paraId="30310C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67396488</w:t>
            </w:r>
          </w:p>
        </w:tc>
        <w:tc>
          <w:tcPr>
            <w:tcW w:w="160" w:type="dxa"/>
            <w:tcBorders>
              <w:top w:val="nil"/>
              <w:left w:val="nil"/>
              <w:bottom w:val="single" w:sz="4" w:space="0" w:color="auto"/>
              <w:right w:val="nil"/>
            </w:tcBorders>
            <w:vAlign w:val="center"/>
          </w:tcPr>
          <w:p w14:paraId="64CBFE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E5F4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INGOLIČA SPODNJA POLSKAVA</w:t>
            </w:r>
          </w:p>
        </w:tc>
      </w:tr>
      <w:tr w:rsidR="00072A69" w:rsidRPr="00DC6DF9" w14:paraId="7D53E0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F7CF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1065</w:t>
            </w:r>
          </w:p>
        </w:tc>
        <w:tc>
          <w:tcPr>
            <w:tcW w:w="1036" w:type="dxa"/>
            <w:tcBorders>
              <w:top w:val="nil"/>
              <w:left w:val="nil"/>
              <w:bottom w:val="single" w:sz="4" w:space="0" w:color="auto"/>
              <w:right w:val="single" w:sz="4" w:space="0" w:color="auto"/>
            </w:tcBorders>
            <w:shd w:val="clear" w:color="auto" w:fill="auto"/>
            <w:noWrap/>
            <w:vAlign w:val="center"/>
            <w:hideMark/>
          </w:tcPr>
          <w:p w14:paraId="50E878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1534980000</w:t>
            </w:r>
          </w:p>
        </w:tc>
        <w:tc>
          <w:tcPr>
            <w:tcW w:w="1036" w:type="dxa"/>
            <w:tcBorders>
              <w:top w:val="nil"/>
              <w:left w:val="nil"/>
              <w:bottom w:val="single" w:sz="4" w:space="0" w:color="auto"/>
              <w:right w:val="single" w:sz="4" w:space="0" w:color="auto"/>
            </w:tcBorders>
            <w:shd w:val="clear" w:color="auto" w:fill="auto"/>
            <w:noWrap/>
            <w:vAlign w:val="center"/>
            <w:hideMark/>
          </w:tcPr>
          <w:p w14:paraId="0150C2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60066792</w:t>
            </w:r>
          </w:p>
        </w:tc>
        <w:tc>
          <w:tcPr>
            <w:tcW w:w="160" w:type="dxa"/>
            <w:tcBorders>
              <w:top w:val="nil"/>
              <w:left w:val="nil"/>
              <w:bottom w:val="single" w:sz="4" w:space="0" w:color="auto"/>
              <w:right w:val="nil"/>
            </w:tcBorders>
            <w:vAlign w:val="center"/>
          </w:tcPr>
          <w:p w14:paraId="124B1B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5F9E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MARTINA SLOMŠKA VRHNIKA</w:t>
            </w:r>
          </w:p>
        </w:tc>
      </w:tr>
      <w:tr w:rsidR="00072A69" w:rsidRPr="00DC6DF9" w14:paraId="64BFD7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CA4F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1066</w:t>
            </w:r>
          </w:p>
        </w:tc>
        <w:tc>
          <w:tcPr>
            <w:tcW w:w="1036" w:type="dxa"/>
            <w:tcBorders>
              <w:top w:val="nil"/>
              <w:left w:val="nil"/>
              <w:bottom w:val="single" w:sz="4" w:space="0" w:color="auto"/>
              <w:right w:val="single" w:sz="4" w:space="0" w:color="auto"/>
            </w:tcBorders>
            <w:shd w:val="clear" w:color="auto" w:fill="auto"/>
            <w:noWrap/>
            <w:vAlign w:val="center"/>
            <w:hideMark/>
          </w:tcPr>
          <w:p w14:paraId="0D4FD8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5087554000</w:t>
            </w:r>
          </w:p>
        </w:tc>
        <w:tc>
          <w:tcPr>
            <w:tcW w:w="1036" w:type="dxa"/>
            <w:tcBorders>
              <w:top w:val="nil"/>
              <w:left w:val="nil"/>
              <w:bottom w:val="single" w:sz="4" w:space="0" w:color="auto"/>
              <w:right w:val="single" w:sz="4" w:space="0" w:color="auto"/>
            </w:tcBorders>
            <w:shd w:val="clear" w:color="auto" w:fill="auto"/>
            <w:noWrap/>
            <w:vAlign w:val="center"/>
            <w:hideMark/>
          </w:tcPr>
          <w:p w14:paraId="4B3220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23027746</w:t>
            </w:r>
          </w:p>
        </w:tc>
        <w:tc>
          <w:tcPr>
            <w:tcW w:w="160" w:type="dxa"/>
            <w:tcBorders>
              <w:top w:val="nil"/>
              <w:left w:val="nil"/>
              <w:bottom w:val="single" w:sz="4" w:space="0" w:color="auto"/>
              <w:right w:val="nil"/>
            </w:tcBorders>
            <w:vAlign w:val="center"/>
          </w:tcPr>
          <w:p w14:paraId="5D19E6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B250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ŠIBELJA-STJENKA KOMEN</w:t>
            </w:r>
          </w:p>
        </w:tc>
      </w:tr>
      <w:tr w:rsidR="00072A69" w:rsidRPr="00DC6DF9" w14:paraId="0B00241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A899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1067</w:t>
            </w:r>
          </w:p>
        </w:tc>
        <w:tc>
          <w:tcPr>
            <w:tcW w:w="1036" w:type="dxa"/>
            <w:tcBorders>
              <w:top w:val="nil"/>
              <w:left w:val="nil"/>
              <w:bottom w:val="single" w:sz="4" w:space="0" w:color="auto"/>
              <w:right w:val="single" w:sz="4" w:space="0" w:color="auto"/>
            </w:tcBorders>
            <w:shd w:val="clear" w:color="auto" w:fill="auto"/>
            <w:noWrap/>
            <w:vAlign w:val="center"/>
            <w:hideMark/>
          </w:tcPr>
          <w:p w14:paraId="1502B2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5087341000</w:t>
            </w:r>
          </w:p>
        </w:tc>
        <w:tc>
          <w:tcPr>
            <w:tcW w:w="1036" w:type="dxa"/>
            <w:tcBorders>
              <w:top w:val="nil"/>
              <w:left w:val="nil"/>
              <w:bottom w:val="single" w:sz="4" w:space="0" w:color="auto"/>
              <w:right w:val="single" w:sz="4" w:space="0" w:color="auto"/>
            </w:tcBorders>
            <w:shd w:val="clear" w:color="auto" w:fill="auto"/>
            <w:noWrap/>
            <w:vAlign w:val="center"/>
            <w:hideMark/>
          </w:tcPr>
          <w:p w14:paraId="2383CB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18782400</w:t>
            </w:r>
          </w:p>
        </w:tc>
        <w:tc>
          <w:tcPr>
            <w:tcW w:w="160" w:type="dxa"/>
            <w:tcBorders>
              <w:top w:val="nil"/>
              <w:left w:val="nil"/>
              <w:bottom w:val="single" w:sz="4" w:space="0" w:color="auto"/>
              <w:right w:val="nil"/>
            </w:tcBorders>
            <w:vAlign w:val="center"/>
          </w:tcPr>
          <w:p w14:paraId="121468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E8F4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TOMAŽA LINHARTA RADOVLJICA</w:t>
            </w:r>
          </w:p>
        </w:tc>
      </w:tr>
      <w:tr w:rsidR="00072A69" w:rsidRPr="00DC6DF9" w14:paraId="696C71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7433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1068</w:t>
            </w:r>
          </w:p>
        </w:tc>
        <w:tc>
          <w:tcPr>
            <w:tcW w:w="1036" w:type="dxa"/>
            <w:tcBorders>
              <w:top w:val="nil"/>
              <w:left w:val="nil"/>
              <w:bottom w:val="single" w:sz="4" w:space="0" w:color="auto"/>
              <w:right w:val="single" w:sz="4" w:space="0" w:color="auto"/>
            </w:tcBorders>
            <w:shd w:val="clear" w:color="auto" w:fill="auto"/>
            <w:noWrap/>
            <w:vAlign w:val="center"/>
            <w:hideMark/>
          </w:tcPr>
          <w:p w14:paraId="47EE96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5231825000</w:t>
            </w:r>
          </w:p>
        </w:tc>
        <w:tc>
          <w:tcPr>
            <w:tcW w:w="1036" w:type="dxa"/>
            <w:tcBorders>
              <w:top w:val="nil"/>
              <w:left w:val="nil"/>
              <w:bottom w:val="single" w:sz="4" w:space="0" w:color="auto"/>
              <w:right w:val="single" w:sz="4" w:space="0" w:color="auto"/>
            </w:tcBorders>
            <w:shd w:val="clear" w:color="auto" w:fill="auto"/>
            <w:noWrap/>
            <w:vAlign w:val="center"/>
            <w:hideMark/>
          </w:tcPr>
          <w:p w14:paraId="2712E6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71906096</w:t>
            </w:r>
          </w:p>
        </w:tc>
        <w:tc>
          <w:tcPr>
            <w:tcW w:w="160" w:type="dxa"/>
            <w:tcBorders>
              <w:top w:val="nil"/>
              <w:left w:val="nil"/>
              <w:bottom w:val="single" w:sz="4" w:space="0" w:color="auto"/>
              <w:right w:val="nil"/>
            </w:tcBorders>
            <w:vAlign w:val="center"/>
          </w:tcPr>
          <w:p w14:paraId="1B288F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0D90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UKMARJA KOPER</w:t>
            </w:r>
          </w:p>
        </w:tc>
      </w:tr>
      <w:tr w:rsidR="00072A69" w:rsidRPr="00DC6DF9" w14:paraId="34082A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4D61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1069</w:t>
            </w:r>
          </w:p>
        </w:tc>
        <w:tc>
          <w:tcPr>
            <w:tcW w:w="1036" w:type="dxa"/>
            <w:tcBorders>
              <w:top w:val="nil"/>
              <w:left w:val="nil"/>
              <w:bottom w:val="single" w:sz="4" w:space="0" w:color="auto"/>
              <w:right w:val="single" w:sz="4" w:space="0" w:color="auto"/>
            </w:tcBorders>
            <w:shd w:val="clear" w:color="auto" w:fill="auto"/>
            <w:noWrap/>
            <w:vAlign w:val="center"/>
            <w:hideMark/>
          </w:tcPr>
          <w:p w14:paraId="33A904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5624525000</w:t>
            </w:r>
          </w:p>
        </w:tc>
        <w:tc>
          <w:tcPr>
            <w:tcW w:w="1036" w:type="dxa"/>
            <w:tcBorders>
              <w:top w:val="nil"/>
              <w:left w:val="nil"/>
              <w:bottom w:val="single" w:sz="4" w:space="0" w:color="auto"/>
              <w:right w:val="single" w:sz="4" w:space="0" w:color="auto"/>
            </w:tcBorders>
            <w:shd w:val="clear" w:color="auto" w:fill="auto"/>
            <w:noWrap/>
            <w:vAlign w:val="center"/>
            <w:hideMark/>
          </w:tcPr>
          <w:p w14:paraId="762A66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24128503</w:t>
            </w:r>
          </w:p>
        </w:tc>
        <w:tc>
          <w:tcPr>
            <w:tcW w:w="160" w:type="dxa"/>
            <w:tcBorders>
              <w:top w:val="nil"/>
              <w:left w:val="nil"/>
              <w:bottom w:val="single" w:sz="4" w:space="0" w:color="auto"/>
              <w:right w:val="nil"/>
            </w:tcBorders>
            <w:vAlign w:val="center"/>
          </w:tcPr>
          <w:p w14:paraId="53B1A4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0C68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ANTONA ŽNIDERŠIČA ILIRSKA BISTRICA</w:t>
            </w:r>
          </w:p>
        </w:tc>
      </w:tr>
      <w:tr w:rsidR="00072A69" w:rsidRPr="00DC6DF9" w14:paraId="0DAA2E0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63B1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1070</w:t>
            </w:r>
          </w:p>
        </w:tc>
        <w:tc>
          <w:tcPr>
            <w:tcW w:w="1036" w:type="dxa"/>
            <w:tcBorders>
              <w:top w:val="nil"/>
              <w:left w:val="nil"/>
              <w:bottom w:val="single" w:sz="4" w:space="0" w:color="auto"/>
              <w:right w:val="single" w:sz="4" w:space="0" w:color="auto"/>
            </w:tcBorders>
            <w:shd w:val="clear" w:color="auto" w:fill="auto"/>
            <w:noWrap/>
            <w:vAlign w:val="center"/>
            <w:hideMark/>
          </w:tcPr>
          <w:p w14:paraId="639C2D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5083559000</w:t>
            </w:r>
          </w:p>
        </w:tc>
        <w:tc>
          <w:tcPr>
            <w:tcW w:w="1036" w:type="dxa"/>
            <w:tcBorders>
              <w:top w:val="nil"/>
              <w:left w:val="nil"/>
              <w:bottom w:val="single" w:sz="4" w:space="0" w:color="auto"/>
              <w:right w:val="single" w:sz="4" w:space="0" w:color="auto"/>
            </w:tcBorders>
            <w:shd w:val="clear" w:color="auto" w:fill="auto"/>
            <w:noWrap/>
            <w:vAlign w:val="center"/>
            <w:hideMark/>
          </w:tcPr>
          <w:p w14:paraId="798E1A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86290185</w:t>
            </w:r>
          </w:p>
        </w:tc>
        <w:tc>
          <w:tcPr>
            <w:tcW w:w="160" w:type="dxa"/>
            <w:tcBorders>
              <w:top w:val="nil"/>
              <w:left w:val="nil"/>
              <w:bottom w:val="single" w:sz="4" w:space="0" w:color="auto"/>
              <w:right w:val="nil"/>
            </w:tcBorders>
            <w:vAlign w:val="center"/>
          </w:tcPr>
          <w:p w14:paraId="5BA42A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084E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ARTIČE</w:t>
            </w:r>
          </w:p>
        </w:tc>
      </w:tr>
      <w:tr w:rsidR="00072A69" w:rsidRPr="00DC6DF9" w14:paraId="1E4CAE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B51E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1071</w:t>
            </w:r>
          </w:p>
        </w:tc>
        <w:tc>
          <w:tcPr>
            <w:tcW w:w="1036" w:type="dxa"/>
            <w:tcBorders>
              <w:top w:val="nil"/>
              <w:left w:val="nil"/>
              <w:bottom w:val="single" w:sz="4" w:space="0" w:color="auto"/>
              <w:right w:val="single" w:sz="4" w:space="0" w:color="auto"/>
            </w:tcBorders>
            <w:shd w:val="clear" w:color="auto" w:fill="auto"/>
            <w:noWrap/>
            <w:vAlign w:val="center"/>
            <w:hideMark/>
          </w:tcPr>
          <w:p w14:paraId="43640C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5088968000</w:t>
            </w:r>
          </w:p>
        </w:tc>
        <w:tc>
          <w:tcPr>
            <w:tcW w:w="1036" w:type="dxa"/>
            <w:tcBorders>
              <w:top w:val="nil"/>
              <w:left w:val="nil"/>
              <w:bottom w:val="single" w:sz="4" w:space="0" w:color="auto"/>
              <w:right w:val="single" w:sz="4" w:space="0" w:color="auto"/>
            </w:tcBorders>
            <w:shd w:val="clear" w:color="auto" w:fill="auto"/>
            <w:noWrap/>
            <w:vAlign w:val="center"/>
            <w:hideMark/>
          </w:tcPr>
          <w:p w14:paraId="704095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10335234</w:t>
            </w:r>
          </w:p>
        </w:tc>
        <w:tc>
          <w:tcPr>
            <w:tcW w:w="160" w:type="dxa"/>
            <w:tcBorders>
              <w:top w:val="nil"/>
              <w:left w:val="nil"/>
              <w:bottom w:val="single" w:sz="4" w:space="0" w:color="auto"/>
              <w:right w:val="nil"/>
            </w:tcBorders>
            <w:vAlign w:val="center"/>
          </w:tcPr>
          <w:p w14:paraId="78BF5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E990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BAKOVCI</w:t>
            </w:r>
          </w:p>
        </w:tc>
      </w:tr>
      <w:tr w:rsidR="00072A69" w:rsidRPr="00DC6DF9" w14:paraId="1E91F90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E02D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1072</w:t>
            </w:r>
          </w:p>
        </w:tc>
        <w:tc>
          <w:tcPr>
            <w:tcW w:w="1036" w:type="dxa"/>
            <w:tcBorders>
              <w:top w:val="nil"/>
              <w:left w:val="nil"/>
              <w:bottom w:val="single" w:sz="4" w:space="0" w:color="auto"/>
              <w:right w:val="single" w:sz="4" w:space="0" w:color="auto"/>
            </w:tcBorders>
            <w:shd w:val="clear" w:color="auto" w:fill="auto"/>
            <w:noWrap/>
            <w:vAlign w:val="center"/>
            <w:hideMark/>
          </w:tcPr>
          <w:p w14:paraId="794E46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5085349000</w:t>
            </w:r>
          </w:p>
        </w:tc>
        <w:tc>
          <w:tcPr>
            <w:tcW w:w="1036" w:type="dxa"/>
            <w:tcBorders>
              <w:top w:val="nil"/>
              <w:left w:val="nil"/>
              <w:bottom w:val="single" w:sz="4" w:space="0" w:color="auto"/>
              <w:right w:val="single" w:sz="4" w:space="0" w:color="auto"/>
            </w:tcBorders>
            <w:shd w:val="clear" w:color="auto" w:fill="auto"/>
            <w:noWrap/>
            <w:vAlign w:val="center"/>
            <w:hideMark/>
          </w:tcPr>
          <w:p w14:paraId="4AE3E9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78628326</w:t>
            </w:r>
          </w:p>
        </w:tc>
        <w:tc>
          <w:tcPr>
            <w:tcW w:w="160" w:type="dxa"/>
            <w:tcBorders>
              <w:top w:val="nil"/>
              <w:left w:val="nil"/>
              <w:bottom w:val="single" w:sz="4" w:space="0" w:color="auto"/>
              <w:right w:val="nil"/>
            </w:tcBorders>
            <w:vAlign w:val="center"/>
          </w:tcPr>
          <w:p w14:paraId="24894F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CBC6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BELOKRANJSKEGA ODREDA SEMIČ</w:t>
            </w:r>
          </w:p>
        </w:tc>
      </w:tr>
      <w:tr w:rsidR="00072A69" w:rsidRPr="00DC6DF9" w14:paraId="27ABB2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0B1F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1073</w:t>
            </w:r>
          </w:p>
        </w:tc>
        <w:tc>
          <w:tcPr>
            <w:tcW w:w="1036" w:type="dxa"/>
            <w:tcBorders>
              <w:top w:val="nil"/>
              <w:left w:val="nil"/>
              <w:bottom w:val="single" w:sz="4" w:space="0" w:color="auto"/>
              <w:right w:val="single" w:sz="4" w:space="0" w:color="auto"/>
            </w:tcBorders>
            <w:shd w:val="clear" w:color="auto" w:fill="auto"/>
            <w:noWrap/>
            <w:vAlign w:val="center"/>
            <w:hideMark/>
          </w:tcPr>
          <w:p w14:paraId="02CA97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5085560000</w:t>
            </w:r>
          </w:p>
        </w:tc>
        <w:tc>
          <w:tcPr>
            <w:tcW w:w="1036" w:type="dxa"/>
            <w:tcBorders>
              <w:top w:val="nil"/>
              <w:left w:val="nil"/>
              <w:bottom w:val="single" w:sz="4" w:space="0" w:color="auto"/>
              <w:right w:val="single" w:sz="4" w:space="0" w:color="auto"/>
            </w:tcBorders>
            <w:shd w:val="clear" w:color="auto" w:fill="auto"/>
            <w:noWrap/>
            <w:vAlign w:val="center"/>
            <w:hideMark/>
          </w:tcPr>
          <w:p w14:paraId="311CFB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41251717</w:t>
            </w:r>
          </w:p>
        </w:tc>
        <w:tc>
          <w:tcPr>
            <w:tcW w:w="160" w:type="dxa"/>
            <w:tcBorders>
              <w:top w:val="nil"/>
              <w:left w:val="nil"/>
              <w:bottom w:val="single" w:sz="4" w:space="0" w:color="auto"/>
              <w:right w:val="nil"/>
            </w:tcBorders>
            <w:vAlign w:val="center"/>
          </w:tcPr>
          <w:p w14:paraId="3FFAE2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DFED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BELTINCI</w:t>
            </w:r>
          </w:p>
        </w:tc>
      </w:tr>
      <w:tr w:rsidR="00072A69" w:rsidRPr="00DC6DF9" w14:paraId="68F641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EF56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1074</w:t>
            </w:r>
          </w:p>
        </w:tc>
        <w:tc>
          <w:tcPr>
            <w:tcW w:w="1036" w:type="dxa"/>
            <w:tcBorders>
              <w:top w:val="nil"/>
              <w:left w:val="nil"/>
              <w:bottom w:val="single" w:sz="4" w:space="0" w:color="auto"/>
              <w:right w:val="single" w:sz="4" w:space="0" w:color="auto"/>
            </w:tcBorders>
            <w:shd w:val="clear" w:color="auto" w:fill="auto"/>
            <w:noWrap/>
            <w:vAlign w:val="center"/>
            <w:hideMark/>
          </w:tcPr>
          <w:p w14:paraId="78C8BC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5089913000</w:t>
            </w:r>
          </w:p>
        </w:tc>
        <w:tc>
          <w:tcPr>
            <w:tcW w:w="1036" w:type="dxa"/>
            <w:tcBorders>
              <w:top w:val="nil"/>
              <w:left w:val="nil"/>
              <w:bottom w:val="single" w:sz="4" w:space="0" w:color="auto"/>
              <w:right w:val="single" w:sz="4" w:space="0" w:color="auto"/>
            </w:tcBorders>
            <w:shd w:val="clear" w:color="auto" w:fill="auto"/>
            <w:noWrap/>
            <w:vAlign w:val="center"/>
            <w:hideMark/>
          </w:tcPr>
          <w:p w14:paraId="4806C6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51149877</w:t>
            </w:r>
          </w:p>
        </w:tc>
        <w:tc>
          <w:tcPr>
            <w:tcW w:w="160" w:type="dxa"/>
            <w:tcBorders>
              <w:top w:val="nil"/>
              <w:left w:val="nil"/>
              <w:bottom w:val="single" w:sz="4" w:space="0" w:color="auto"/>
              <w:right w:val="nil"/>
            </w:tcBorders>
            <w:vAlign w:val="center"/>
          </w:tcPr>
          <w:p w14:paraId="46F8D4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FDAD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BEŽIGRAD</w:t>
            </w:r>
          </w:p>
        </w:tc>
      </w:tr>
      <w:tr w:rsidR="00072A69" w:rsidRPr="00DC6DF9" w14:paraId="0AB6FF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2C33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1075</w:t>
            </w:r>
          </w:p>
        </w:tc>
        <w:tc>
          <w:tcPr>
            <w:tcW w:w="1036" w:type="dxa"/>
            <w:tcBorders>
              <w:top w:val="nil"/>
              <w:left w:val="nil"/>
              <w:bottom w:val="single" w:sz="4" w:space="0" w:color="auto"/>
              <w:right w:val="single" w:sz="4" w:space="0" w:color="auto"/>
            </w:tcBorders>
            <w:shd w:val="clear" w:color="auto" w:fill="auto"/>
            <w:noWrap/>
            <w:vAlign w:val="center"/>
            <w:hideMark/>
          </w:tcPr>
          <w:p w14:paraId="1CAD55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5084512000</w:t>
            </w:r>
          </w:p>
        </w:tc>
        <w:tc>
          <w:tcPr>
            <w:tcW w:w="1036" w:type="dxa"/>
            <w:tcBorders>
              <w:top w:val="nil"/>
              <w:left w:val="nil"/>
              <w:bottom w:val="single" w:sz="4" w:space="0" w:color="auto"/>
              <w:right w:val="single" w:sz="4" w:space="0" w:color="auto"/>
            </w:tcBorders>
            <w:shd w:val="clear" w:color="auto" w:fill="auto"/>
            <w:vAlign w:val="center"/>
            <w:hideMark/>
          </w:tcPr>
          <w:p w14:paraId="40B3FD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43397883</w:t>
            </w:r>
          </w:p>
        </w:tc>
        <w:tc>
          <w:tcPr>
            <w:tcW w:w="160" w:type="dxa"/>
            <w:tcBorders>
              <w:top w:val="nil"/>
              <w:left w:val="nil"/>
              <w:bottom w:val="single" w:sz="4" w:space="0" w:color="auto"/>
              <w:right w:val="nil"/>
            </w:tcBorders>
            <w:vAlign w:val="center"/>
          </w:tcPr>
          <w:p w14:paraId="540E714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491D78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BIČEVJE</w:t>
            </w:r>
          </w:p>
        </w:tc>
      </w:tr>
      <w:tr w:rsidR="00072A69" w:rsidRPr="00DC6DF9" w14:paraId="1CDA1F0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66C6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1076</w:t>
            </w:r>
          </w:p>
        </w:tc>
        <w:tc>
          <w:tcPr>
            <w:tcW w:w="1036" w:type="dxa"/>
            <w:tcBorders>
              <w:top w:val="nil"/>
              <w:left w:val="nil"/>
              <w:bottom w:val="single" w:sz="4" w:space="0" w:color="auto"/>
              <w:right w:val="single" w:sz="4" w:space="0" w:color="auto"/>
            </w:tcBorders>
            <w:shd w:val="clear" w:color="auto" w:fill="auto"/>
            <w:noWrap/>
            <w:vAlign w:val="center"/>
            <w:hideMark/>
          </w:tcPr>
          <w:p w14:paraId="66D115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5088135000</w:t>
            </w:r>
          </w:p>
        </w:tc>
        <w:tc>
          <w:tcPr>
            <w:tcW w:w="1036" w:type="dxa"/>
            <w:tcBorders>
              <w:top w:val="nil"/>
              <w:left w:val="nil"/>
              <w:bottom w:val="single" w:sz="4" w:space="0" w:color="auto"/>
              <w:right w:val="single" w:sz="4" w:space="0" w:color="auto"/>
            </w:tcBorders>
            <w:shd w:val="clear" w:color="auto" w:fill="auto"/>
            <w:noWrap/>
            <w:vAlign w:val="center"/>
            <w:hideMark/>
          </w:tcPr>
          <w:p w14:paraId="7E3CCB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55429483</w:t>
            </w:r>
          </w:p>
        </w:tc>
        <w:tc>
          <w:tcPr>
            <w:tcW w:w="160" w:type="dxa"/>
            <w:tcBorders>
              <w:top w:val="nil"/>
              <w:left w:val="nil"/>
              <w:bottom w:val="single" w:sz="4" w:space="0" w:color="auto"/>
              <w:right w:val="nil"/>
            </w:tcBorders>
            <w:vAlign w:val="center"/>
          </w:tcPr>
          <w:p w14:paraId="7D60A2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41DD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BISTRICA</w:t>
            </w:r>
          </w:p>
        </w:tc>
      </w:tr>
      <w:tr w:rsidR="00072A69" w:rsidRPr="00DC6DF9" w14:paraId="212A15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E559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1077</w:t>
            </w:r>
          </w:p>
        </w:tc>
        <w:tc>
          <w:tcPr>
            <w:tcW w:w="1036" w:type="dxa"/>
            <w:tcBorders>
              <w:top w:val="nil"/>
              <w:left w:val="nil"/>
              <w:bottom w:val="single" w:sz="4" w:space="0" w:color="auto"/>
              <w:right w:val="single" w:sz="4" w:space="0" w:color="auto"/>
            </w:tcBorders>
            <w:shd w:val="clear" w:color="auto" w:fill="auto"/>
            <w:noWrap/>
            <w:vAlign w:val="center"/>
            <w:hideMark/>
          </w:tcPr>
          <w:p w14:paraId="579594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5088607000</w:t>
            </w:r>
          </w:p>
        </w:tc>
        <w:tc>
          <w:tcPr>
            <w:tcW w:w="1036" w:type="dxa"/>
            <w:tcBorders>
              <w:top w:val="nil"/>
              <w:left w:val="nil"/>
              <w:bottom w:val="single" w:sz="4" w:space="0" w:color="auto"/>
              <w:right w:val="single" w:sz="4" w:space="0" w:color="auto"/>
            </w:tcBorders>
            <w:shd w:val="clear" w:color="auto" w:fill="auto"/>
            <w:noWrap/>
            <w:vAlign w:val="center"/>
            <w:hideMark/>
          </w:tcPr>
          <w:p w14:paraId="205C77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92015930</w:t>
            </w:r>
          </w:p>
        </w:tc>
        <w:tc>
          <w:tcPr>
            <w:tcW w:w="160" w:type="dxa"/>
            <w:tcBorders>
              <w:top w:val="nil"/>
              <w:left w:val="nil"/>
              <w:bottom w:val="single" w:sz="4" w:space="0" w:color="auto"/>
              <w:right w:val="nil"/>
            </w:tcBorders>
            <w:vAlign w:val="center"/>
          </w:tcPr>
          <w:p w14:paraId="165E9B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7568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BIZELJSKO</w:t>
            </w:r>
          </w:p>
        </w:tc>
      </w:tr>
      <w:tr w:rsidR="00072A69" w:rsidRPr="00DC6DF9" w14:paraId="2E6693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8CC3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1078</w:t>
            </w:r>
          </w:p>
        </w:tc>
        <w:tc>
          <w:tcPr>
            <w:tcW w:w="1036" w:type="dxa"/>
            <w:tcBorders>
              <w:top w:val="nil"/>
              <w:left w:val="nil"/>
              <w:bottom w:val="single" w:sz="4" w:space="0" w:color="auto"/>
              <w:right w:val="single" w:sz="4" w:space="0" w:color="auto"/>
            </w:tcBorders>
            <w:shd w:val="clear" w:color="auto" w:fill="auto"/>
            <w:noWrap/>
            <w:vAlign w:val="center"/>
            <w:hideMark/>
          </w:tcPr>
          <w:p w14:paraId="413FF1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5087473000</w:t>
            </w:r>
          </w:p>
        </w:tc>
        <w:tc>
          <w:tcPr>
            <w:tcW w:w="1036" w:type="dxa"/>
            <w:tcBorders>
              <w:top w:val="nil"/>
              <w:left w:val="nil"/>
              <w:bottom w:val="single" w:sz="4" w:space="0" w:color="auto"/>
              <w:right w:val="single" w:sz="4" w:space="0" w:color="auto"/>
            </w:tcBorders>
            <w:shd w:val="clear" w:color="auto" w:fill="auto"/>
            <w:noWrap/>
            <w:vAlign w:val="center"/>
            <w:hideMark/>
          </w:tcPr>
          <w:p w14:paraId="4D1AE2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49104624</w:t>
            </w:r>
          </w:p>
        </w:tc>
        <w:tc>
          <w:tcPr>
            <w:tcW w:w="160" w:type="dxa"/>
            <w:tcBorders>
              <w:top w:val="nil"/>
              <w:left w:val="nil"/>
              <w:bottom w:val="single" w:sz="4" w:space="0" w:color="auto"/>
              <w:right w:val="nil"/>
            </w:tcBorders>
            <w:vAlign w:val="center"/>
          </w:tcPr>
          <w:p w14:paraId="1B7B11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6435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BLANCA</w:t>
            </w:r>
          </w:p>
        </w:tc>
      </w:tr>
      <w:tr w:rsidR="00072A69" w:rsidRPr="00DC6DF9" w14:paraId="5365C9D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2BC6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1079</w:t>
            </w:r>
          </w:p>
        </w:tc>
        <w:tc>
          <w:tcPr>
            <w:tcW w:w="1036" w:type="dxa"/>
            <w:tcBorders>
              <w:top w:val="nil"/>
              <w:left w:val="nil"/>
              <w:bottom w:val="single" w:sz="4" w:space="0" w:color="auto"/>
              <w:right w:val="single" w:sz="4" w:space="0" w:color="auto"/>
            </w:tcBorders>
            <w:shd w:val="clear" w:color="auto" w:fill="auto"/>
            <w:noWrap/>
            <w:vAlign w:val="center"/>
            <w:hideMark/>
          </w:tcPr>
          <w:p w14:paraId="1A7899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5085551000</w:t>
            </w:r>
          </w:p>
        </w:tc>
        <w:tc>
          <w:tcPr>
            <w:tcW w:w="1036" w:type="dxa"/>
            <w:tcBorders>
              <w:top w:val="nil"/>
              <w:left w:val="nil"/>
              <w:bottom w:val="single" w:sz="4" w:space="0" w:color="auto"/>
              <w:right w:val="single" w:sz="4" w:space="0" w:color="auto"/>
            </w:tcBorders>
            <w:shd w:val="clear" w:color="auto" w:fill="auto"/>
            <w:noWrap/>
            <w:vAlign w:val="center"/>
            <w:hideMark/>
          </w:tcPr>
          <w:p w14:paraId="1FB00F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64095053</w:t>
            </w:r>
          </w:p>
        </w:tc>
        <w:tc>
          <w:tcPr>
            <w:tcW w:w="160" w:type="dxa"/>
            <w:tcBorders>
              <w:top w:val="nil"/>
              <w:left w:val="nil"/>
              <w:bottom w:val="single" w:sz="4" w:space="0" w:color="auto"/>
              <w:right w:val="nil"/>
            </w:tcBorders>
            <w:vAlign w:val="center"/>
          </w:tcPr>
          <w:p w14:paraId="403F5D6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EF7B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BLAŽA ARNIČA LUČE</w:t>
            </w:r>
          </w:p>
        </w:tc>
      </w:tr>
      <w:tr w:rsidR="00072A69" w:rsidRPr="00DC6DF9" w14:paraId="32B7C1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FC2E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1080</w:t>
            </w:r>
          </w:p>
        </w:tc>
        <w:tc>
          <w:tcPr>
            <w:tcW w:w="1036" w:type="dxa"/>
            <w:tcBorders>
              <w:top w:val="nil"/>
              <w:left w:val="nil"/>
              <w:bottom w:val="single" w:sz="4" w:space="0" w:color="auto"/>
              <w:right w:val="single" w:sz="4" w:space="0" w:color="auto"/>
            </w:tcBorders>
            <w:shd w:val="clear" w:color="auto" w:fill="auto"/>
            <w:noWrap/>
            <w:vAlign w:val="center"/>
            <w:hideMark/>
          </w:tcPr>
          <w:p w14:paraId="1FA2A3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5088976000</w:t>
            </w:r>
          </w:p>
        </w:tc>
        <w:tc>
          <w:tcPr>
            <w:tcW w:w="1036" w:type="dxa"/>
            <w:tcBorders>
              <w:top w:val="nil"/>
              <w:left w:val="nil"/>
              <w:bottom w:val="single" w:sz="4" w:space="0" w:color="auto"/>
              <w:right w:val="single" w:sz="4" w:space="0" w:color="auto"/>
            </w:tcBorders>
            <w:shd w:val="clear" w:color="auto" w:fill="auto"/>
            <w:noWrap/>
            <w:vAlign w:val="center"/>
            <w:hideMark/>
          </w:tcPr>
          <w:p w14:paraId="3D799D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72026804</w:t>
            </w:r>
          </w:p>
        </w:tc>
        <w:tc>
          <w:tcPr>
            <w:tcW w:w="160" w:type="dxa"/>
            <w:tcBorders>
              <w:top w:val="nil"/>
              <w:left w:val="nil"/>
              <w:bottom w:val="single" w:sz="4" w:space="0" w:color="auto"/>
              <w:right w:val="nil"/>
            </w:tcBorders>
            <w:vAlign w:val="center"/>
          </w:tcPr>
          <w:p w14:paraId="7D97E1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B542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BOGOJINA</w:t>
            </w:r>
          </w:p>
        </w:tc>
      </w:tr>
      <w:tr w:rsidR="00072A69" w:rsidRPr="00DC6DF9" w14:paraId="5B93A0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7EF5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1081</w:t>
            </w:r>
          </w:p>
        </w:tc>
        <w:tc>
          <w:tcPr>
            <w:tcW w:w="1036" w:type="dxa"/>
            <w:tcBorders>
              <w:top w:val="nil"/>
              <w:left w:val="nil"/>
              <w:bottom w:val="single" w:sz="4" w:space="0" w:color="auto"/>
              <w:right w:val="single" w:sz="4" w:space="0" w:color="auto"/>
            </w:tcBorders>
            <w:shd w:val="clear" w:color="auto" w:fill="auto"/>
            <w:noWrap/>
            <w:vAlign w:val="center"/>
            <w:hideMark/>
          </w:tcPr>
          <w:p w14:paraId="77A38D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5085110000</w:t>
            </w:r>
          </w:p>
        </w:tc>
        <w:tc>
          <w:tcPr>
            <w:tcW w:w="1036" w:type="dxa"/>
            <w:tcBorders>
              <w:top w:val="nil"/>
              <w:left w:val="nil"/>
              <w:bottom w:val="single" w:sz="4" w:space="0" w:color="auto"/>
              <w:right w:val="single" w:sz="4" w:space="0" w:color="auto"/>
            </w:tcBorders>
            <w:shd w:val="clear" w:color="auto" w:fill="auto"/>
            <w:noWrap/>
            <w:vAlign w:val="center"/>
            <w:hideMark/>
          </w:tcPr>
          <w:p w14:paraId="58742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90652363</w:t>
            </w:r>
          </w:p>
        </w:tc>
        <w:tc>
          <w:tcPr>
            <w:tcW w:w="160" w:type="dxa"/>
            <w:tcBorders>
              <w:top w:val="nil"/>
              <w:left w:val="nil"/>
              <w:bottom w:val="single" w:sz="4" w:space="0" w:color="auto"/>
              <w:right w:val="nil"/>
            </w:tcBorders>
            <w:vAlign w:val="center"/>
          </w:tcPr>
          <w:p w14:paraId="7A2B77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85E4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BOJANA ILICHA MARIBOR</w:t>
            </w:r>
          </w:p>
        </w:tc>
      </w:tr>
      <w:tr w:rsidR="00072A69" w:rsidRPr="00DC6DF9" w14:paraId="625F86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7F7D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1082</w:t>
            </w:r>
          </w:p>
        </w:tc>
        <w:tc>
          <w:tcPr>
            <w:tcW w:w="1036" w:type="dxa"/>
            <w:tcBorders>
              <w:top w:val="nil"/>
              <w:left w:val="nil"/>
              <w:bottom w:val="single" w:sz="4" w:space="0" w:color="auto"/>
              <w:right w:val="single" w:sz="4" w:space="0" w:color="auto"/>
            </w:tcBorders>
            <w:shd w:val="clear" w:color="auto" w:fill="auto"/>
            <w:noWrap/>
            <w:vAlign w:val="center"/>
            <w:hideMark/>
          </w:tcPr>
          <w:p w14:paraId="3B0043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5197449000</w:t>
            </w:r>
          </w:p>
        </w:tc>
        <w:tc>
          <w:tcPr>
            <w:tcW w:w="1036" w:type="dxa"/>
            <w:tcBorders>
              <w:top w:val="nil"/>
              <w:left w:val="nil"/>
              <w:bottom w:val="single" w:sz="4" w:space="0" w:color="auto"/>
              <w:right w:val="single" w:sz="4" w:space="0" w:color="auto"/>
            </w:tcBorders>
            <w:shd w:val="clear" w:color="auto" w:fill="auto"/>
            <w:noWrap/>
            <w:vAlign w:val="center"/>
            <w:hideMark/>
          </w:tcPr>
          <w:p w14:paraId="143A62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27553078</w:t>
            </w:r>
          </w:p>
        </w:tc>
        <w:tc>
          <w:tcPr>
            <w:tcW w:w="160" w:type="dxa"/>
            <w:tcBorders>
              <w:top w:val="nil"/>
              <w:left w:val="nil"/>
              <w:bottom w:val="single" w:sz="4" w:space="0" w:color="auto"/>
              <w:right w:val="nil"/>
            </w:tcBorders>
            <w:vAlign w:val="center"/>
          </w:tcPr>
          <w:p w14:paraId="1EF37A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A948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BORCEV ZA SEVERNO MEJO MARIBOR</w:t>
            </w:r>
          </w:p>
        </w:tc>
      </w:tr>
      <w:tr w:rsidR="00072A69" w:rsidRPr="00DC6DF9" w14:paraId="2807E3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B639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1083</w:t>
            </w:r>
          </w:p>
        </w:tc>
        <w:tc>
          <w:tcPr>
            <w:tcW w:w="1036" w:type="dxa"/>
            <w:tcBorders>
              <w:top w:val="nil"/>
              <w:left w:val="nil"/>
              <w:bottom w:val="single" w:sz="4" w:space="0" w:color="auto"/>
              <w:right w:val="single" w:sz="4" w:space="0" w:color="auto"/>
            </w:tcBorders>
            <w:shd w:val="clear" w:color="auto" w:fill="auto"/>
            <w:noWrap/>
            <w:vAlign w:val="center"/>
            <w:hideMark/>
          </w:tcPr>
          <w:p w14:paraId="3AB98B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5087481000</w:t>
            </w:r>
          </w:p>
        </w:tc>
        <w:tc>
          <w:tcPr>
            <w:tcW w:w="1036" w:type="dxa"/>
            <w:tcBorders>
              <w:top w:val="nil"/>
              <w:left w:val="nil"/>
              <w:bottom w:val="single" w:sz="4" w:space="0" w:color="auto"/>
              <w:right w:val="single" w:sz="4" w:space="0" w:color="auto"/>
            </w:tcBorders>
            <w:shd w:val="clear" w:color="auto" w:fill="auto"/>
            <w:noWrap/>
            <w:vAlign w:val="center"/>
            <w:hideMark/>
          </w:tcPr>
          <w:p w14:paraId="7B215E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48285200</w:t>
            </w:r>
          </w:p>
        </w:tc>
        <w:tc>
          <w:tcPr>
            <w:tcW w:w="160" w:type="dxa"/>
            <w:tcBorders>
              <w:top w:val="nil"/>
              <w:left w:val="nil"/>
              <w:bottom w:val="single" w:sz="4" w:space="0" w:color="auto"/>
              <w:right w:val="nil"/>
            </w:tcBorders>
            <w:vAlign w:val="center"/>
          </w:tcPr>
          <w:p w14:paraId="4A32BB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54B7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BOŠTANJ</w:t>
            </w:r>
          </w:p>
        </w:tc>
      </w:tr>
      <w:tr w:rsidR="00072A69" w:rsidRPr="00DC6DF9" w14:paraId="390104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B274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1084</w:t>
            </w:r>
          </w:p>
        </w:tc>
        <w:tc>
          <w:tcPr>
            <w:tcW w:w="1036" w:type="dxa"/>
            <w:tcBorders>
              <w:top w:val="nil"/>
              <w:left w:val="nil"/>
              <w:bottom w:val="single" w:sz="4" w:space="0" w:color="auto"/>
              <w:right w:val="single" w:sz="4" w:space="0" w:color="auto"/>
            </w:tcBorders>
            <w:shd w:val="clear" w:color="auto" w:fill="auto"/>
            <w:noWrap/>
            <w:vAlign w:val="center"/>
            <w:hideMark/>
          </w:tcPr>
          <w:p w14:paraId="463A22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5090091000</w:t>
            </w:r>
          </w:p>
        </w:tc>
        <w:tc>
          <w:tcPr>
            <w:tcW w:w="1036" w:type="dxa"/>
            <w:tcBorders>
              <w:top w:val="nil"/>
              <w:left w:val="nil"/>
              <w:bottom w:val="single" w:sz="4" w:space="0" w:color="auto"/>
              <w:right w:val="single" w:sz="4" w:space="0" w:color="auto"/>
            </w:tcBorders>
            <w:shd w:val="clear" w:color="auto" w:fill="auto"/>
            <w:noWrap/>
            <w:vAlign w:val="center"/>
            <w:hideMark/>
          </w:tcPr>
          <w:p w14:paraId="3F559D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61582476</w:t>
            </w:r>
          </w:p>
        </w:tc>
        <w:tc>
          <w:tcPr>
            <w:tcW w:w="160" w:type="dxa"/>
            <w:tcBorders>
              <w:top w:val="nil"/>
              <w:left w:val="nil"/>
              <w:bottom w:val="single" w:sz="4" w:space="0" w:color="auto"/>
              <w:right w:val="nil"/>
            </w:tcBorders>
            <w:vAlign w:val="center"/>
          </w:tcPr>
          <w:p w14:paraId="529312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30AA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BOVEC</w:t>
            </w:r>
          </w:p>
        </w:tc>
      </w:tr>
      <w:tr w:rsidR="00072A69" w:rsidRPr="00DC6DF9" w14:paraId="0D9DC5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1CC1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1085</w:t>
            </w:r>
          </w:p>
        </w:tc>
        <w:tc>
          <w:tcPr>
            <w:tcW w:w="1036" w:type="dxa"/>
            <w:tcBorders>
              <w:top w:val="nil"/>
              <w:left w:val="nil"/>
              <w:bottom w:val="single" w:sz="4" w:space="0" w:color="auto"/>
              <w:right w:val="single" w:sz="4" w:space="0" w:color="auto"/>
            </w:tcBorders>
            <w:shd w:val="clear" w:color="auto" w:fill="auto"/>
            <w:noWrap/>
            <w:vAlign w:val="center"/>
            <w:hideMark/>
          </w:tcPr>
          <w:p w14:paraId="253095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5623758000</w:t>
            </w:r>
          </w:p>
        </w:tc>
        <w:tc>
          <w:tcPr>
            <w:tcW w:w="1036" w:type="dxa"/>
            <w:tcBorders>
              <w:top w:val="nil"/>
              <w:left w:val="nil"/>
              <w:bottom w:val="single" w:sz="4" w:space="0" w:color="auto"/>
              <w:right w:val="single" w:sz="4" w:space="0" w:color="auto"/>
            </w:tcBorders>
            <w:shd w:val="clear" w:color="auto" w:fill="auto"/>
            <w:noWrap/>
            <w:vAlign w:val="center"/>
            <w:hideMark/>
          </w:tcPr>
          <w:p w14:paraId="53D57A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44901062</w:t>
            </w:r>
          </w:p>
        </w:tc>
        <w:tc>
          <w:tcPr>
            <w:tcW w:w="160" w:type="dxa"/>
            <w:tcBorders>
              <w:top w:val="nil"/>
              <w:left w:val="nil"/>
              <w:bottom w:val="single" w:sz="4" w:space="0" w:color="auto"/>
              <w:right w:val="nil"/>
            </w:tcBorders>
            <w:vAlign w:val="center"/>
          </w:tcPr>
          <w:p w14:paraId="3FC31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87FA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BOŽIDARJA JAKCA</w:t>
            </w:r>
          </w:p>
        </w:tc>
      </w:tr>
      <w:tr w:rsidR="00072A69" w:rsidRPr="00DC6DF9" w14:paraId="20F919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BE77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1086</w:t>
            </w:r>
          </w:p>
        </w:tc>
        <w:tc>
          <w:tcPr>
            <w:tcW w:w="1036" w:type="dxa"/>
            <w:tcBorders>
              <w:top w:val="nil"/>
              <w:left w:val="nil"/>
              <w:bottom w:val="single" w:sz="4" w:space="0" w:color="auto"/>
              <w:right w:val="single" w:sz="4" w:space="0" w:color="auto"/>
            </w:tcBorders>
            <w:shd w:val="clear" w:color="auto" w:fill="auto"/>
            <w:noWrap/>
            <w:vAlign w:val="center"/>
            <w:hideMark/>
          </w:tcPr>
          <w:p w14:paraId="3E0C8C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5085799000</w:t>
            </w:r>
          </w:p>
        </w:tc>
        <w:tc>
          <w:tcPr>
            <w:tcW w:w="1036" w:type="dxa"/>
            <w:tcBorders>
              <w:top w:val="nil"/>
              <w:left w:val="nil"/>
              <w:bottom w:val="single" w:sz="4" w:space="0" w:color="auto"/>
              <w:right w:val="single" w:sz="4" w:space="0" w:color="auto"/>
            </w:tcBorders>
            <w:shd w:val="clear" w:color="auto" w:fill="auto"/>
            <w:noWrap/>
            <w:vAlign w:val="center"/>
            <w:hideMark/>
          </w:tcPr>
          <w:p w14:paraId="026C7D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33669040</w:t>
            </w:r>
          </w:p>
        </w:tc>
        <w:tc>
          <w:tcPr>
            <w:tcW w:w="160" w:type="dxa"/>
            <w:tcBorders>
              <w:top w:val="nil"/>
              <w:left w:val="nil"/>
              <w:bottom w:val="single" w:sz="4" w:space="0" w:color="auto"/>
              <w:right w:val="nil"/>
            </w:tcBorders>
            <w:vAlign w:val="center"/>
          </w:tcPr>
          <w:p w14:paraId="1707A40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2CCE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BRANIK</w:t>
            </w:r>
          </w:p>
        </w:tc>
      </w:tr>
      <w:tr w:rsidR="00072A69" w:rsidRPr="00DC6DF9" w14:paraId="45F0C8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478F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1087</w:t>
            </w:r>
          </w:p>
        </w:tc>
        <w:tc>
          <w:tcPr>
            <w:tcW w:w="1036" w:type="dxa"/>
            <w:tcBorders>
              <w:top w:val="nil"/>
              <w:left w:val="nil"/>
              <w:bottom w:val="single" w:sz="4" w:space="0" w:color="auto"/>
              <w:right w:val="single" w:sz="4" w:space="0" w:color="auto"/>
            </w:tcBorders>
            <w:shd w:val="clear" w:color="auto" w:fill="auto"/>
            <w:noWrap/>
            <w:vAlign w:val="center"/>
            <w:hideMark/>
          </w:tcPr>
          <w:p w14:paraId="4756AF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5088496000</w:t>
            </w:r>
          </w:p>
        </w:tc>
        <w:tc>
          <w:tcPr>
            <w:tcW w:w="1036" w:type="dxa"/>
            <w:tcBorders>
              <w:top w:val="nil"/>
              <w:left w:val="nil"/>
              <w:bottom w:val="single" w:sz="4" w:space="0" w:color="auto"/>
              <w:right w:val="single" w:sz="4" w:space="0" w:color="auto"/>
            </w:tcBorders>
            <w:shd w:val="clear" w:color="auto" w:fill="auto"/>
            <w:noWrap/>
            <w:vAlign w:val="center"/>
            <w:hideMark/>
          </w:tcPr>
          <w:p w14:paraId="6395C0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28733533</w:t>
            </w:r>
          </w:p>
        </w:tc>
        <w:tc>
          <w:tcPr>
            <w:tcW w:w="160" w:type="dxa"/>
            <w:tcBorders>
              <w:top w:val="nil"/>
              <w:left w:val="nil"/>
              <w:bottom w:val="single" w:sz="4" w:space="0" w:color="auto"/>
              <w:right w:val="nil"/>
            </w:tcBorders>
            <w:vAlign w:val="center"/>
          </w:tcPr>
          <w:p w14:paraId="0318BD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1905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BRASLOVČE</w:t>
            </w:r>
          </w:p>
        </w:tc>
      </w:tr>
      <w:tr w:rsidR="00072A69" w:rsidRPr="00DC6DF9" w14:paraId="66465A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4C0B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1088</w:t>
            </w:r>
          </w:p>
        </w:tc>
        <w:tc>
          <w:tcPr>
            <w:tcW w:w="1036" w:type="dxa"/>
            <w:tcBorders>
              <w:top w:val="nil"/>
              <w:left w:val="nil"/>
              <w:bottom w:val="single" w:sz="4" w:space="0" w:color="auto"/>
              <w:right w:val="single" w:sz="4" w:space="0" w:color="auto"/>
            </w:tcBorders>
            <w:shd w:val="clear" w:color="auto" w:fill="auto"/>
            <w:noWrap/>
            <w:vAlign w:val="center"/>
            <w:hideMark/>
          </w:tcPr>
          <w:p w14:paraId="1D6680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5088178000</w:t>
            </w:r>
          </w:p>
        </w:tc>
        <w:tc>
          <w:tcPr>
            <w:tcW w:w="1036" w:type="dxa"/>
            <w:tcBorders>
              <w:top w:val="nil"/>
              <w:left w:val="nil"/>
              <w:bottom w:val="single" w:sz="4" w:space="0" w:color="auto"/>
              <w:right w:val="single" w:sz="4" w:space="0" w:color="auto"/>
            </w:tcBorders>
            <w:shd w:val="clear" w:color="auto" w:fill="auto"/>
            <w:vAlign w:val="center"/>
            <w:hideMark/>
          </w:tcPr>
          <w:p w14:paraId="004FCE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40878333</w:t>
            </w:r>
          </w:p>
        </w:tc>
        <w:tc>
          <w:tcPr>
            <w:tcW w:w="160" w:type="dxa"/>
            <w:tcBorders>
              <w:top w:val="nil"/>
              <w:left w:val="nil"/>
              <w:bottom w:val="single" w:sz="4" w:space="0" w:color="auto"/>
              <w:right w:val="nil"/>
            </w:tcBorders>
            <w:vAlign w:val="center"/>
          </w:tcPr>
          <w:p w14:paraId="10AA7A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772F22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BRATOV LETONJA ŠMARTNO OB PAKI</w:t>
            </w:r>
          </w:p>
        </w:tc>
      </w:tr>
      <w:tr w:rsidR="00072A69" w:rsidRPr="00DC6DF9" w14:paraId="705FD89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1D0B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1089</w:t>
            </w:r>
          </w:p>
        </w:tc>
        <w:tc>
          <w:tcPr>
            <w:tcW w:w="1036" w:type="dxa"/>
            <w:tcBorders>
              <w:top w:val="nil"/>
              <w:left w:val="nil"/>
              <w:bottom w:val="single" w:sz="4" w:space="0" w:color="auto"/>
              <w:right w:val="single" w:sz="4" w:space="0" w:color="auto"/>
            </w:tcBorders>
            <w:shd w:val="clear" w:color="auto" w:fill="auto"/>
            <w:noWrap/>
            <w:vAlign w:val="center"/>
            <w:hideMark/>
          </w:tcPr>
          <w:p w14:paraId="594950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5085080000</w:t>
            </w:r>
          </w:p>
        </w:tc>
        <w:tc>
          <w:tcPr>
            <w:tcW w:w="1036" w:type="dxa"/>
            <w:tcBorders>
              <w:top w:val="nil"/>
              <w:left w:val="nil"/>
              <w:bottom w:val="single" w:sz="4" w:space="0" w:color="auto"/>
              <w:right w:val="single" w:sz="4" w:space="0" w:color="auto"/>
            </w:tcBorders>
            <w:shd w:val="clear" w:color="auto" w:fill="auto"/>
            <w:noWrap/>
            <w:vAlign w:val="center"/>
            <w:hideMark/>
          </w:tcPr>
          <w:p w14:paraId="6C9163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36197254</w:t>
            </w:r>
          </w:p>
        </w:tc>
        <w:tc>
          <w:tcPr>
            <w:tcW w:w="160" w:type="dxa"/>
            <w:tcBorders>
              <w:top w:val="nil"/>
              <w:left w:val="nil"/>
              <w:bottom w:val="single" w:sz="4" w:space="0" w:color="auto"/>
              <w:right w:val="nil"/>
            </w:tcBorders>
            <w:vAlign w:val="center"/>
          </w:tcPr>
          <w:p w14:paraId="20B1A8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9710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BRATOV POLANČIČEV MARIBOR</w:t>
            </w:r>
          </w:p>
        </w:tc>
      </w:tr>
      <w:tr w:rsidR="00072A69" w:rsidRPr="00DC6DF9" w14:paraId="293CE0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05AC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1090</w:t>
            </w:r>
          </w:p>
        </w:tc>
        <w:tc>
          <w:tcPr>
            <w:tcW w:w="1036" w:type="dxa"/>
            <w:tcBorders>
              <w:top w:val="nil"/>
              <w:left w:val="nil"/>
              <w:bottom w:val="single" w:sz="4" w:space="0" w:color="auto"/>
              <w:right w:val="single" w:sz="4" w:space="0" w:color="auto"/>
            </w:tcBorders>
            <w:shd w:val="clear" w:color="auto" w:fill="auto"/>
            <w:noWrap/>
            <w:vAlign w:val="center"/>
            <w:hideMark/>
          </w:tcPr>
          <w:p w14:paraId="7CBDE7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5087155000</w:t>
            </w:r>
          </w:p>
        </w:tc>
        <w:tc>
          <w:tcPr>
            <w:tcW w:w="1036" w:type="dxa"/>
            <w:tcBorders>
              <w:top w:val="nil"/>
              <w:left w:val="nil"/>
              <w:bottom w:val="single" w:sz="4" w:space="0" w:color="auto"/>
              <w:right w:val="single" w:sz="4" w:space="0" w:color="auto"/>
            </w:tcBorders>
            <w:shd w:val="clear" w:color="auto" w:fill="auto"/>
            <w:noWrap/>
            <w:vAlign w:val="center"/>
            <w:hideMark/>
          </w:tcPr>
          <w:p w14:paraId="1C6409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70196958</w:t>
            </w:r>
          </w:p>
        </w:tc>
        <w:tc>
          <w:tcPr>
            <w:tcW w:w="160" w:type="dxa"/>
            <w:tcBorders>
              <w:top w:val="nil"/>
              <w:left w:val="nil"/>
              <w:bottom w:val="single" w:sz="4" w:space="0" w:color="auto"/>
              <w:right w:val="nil"/>
            </w:tcBorders>
            <w:vAlign w:val="center"/>
          </w:tcPr>
          <w:p w14:paraId="44BF0A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F872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BREG</w:t>
            </w:r>
          </w:p>
        </w:tc>
      </w:tr>
      <w:tr w:rsidR="00072A69" w:rsidRPr="00DC6DF9" w14:paraId="4E927E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8E9D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1091</w:t>
            </w:r>
          </w:p>
        </w:tc>
        <w:tc>
          <w:tcPr>
            <w:tcW w:w="1036" w:type="dxa"/>
            <w:tcBorders>
              <w:top w:val="nil"/>
              <w:left w:val="nil"/>
              <w:bottom w:val="single" w:sz="4" w:space="0" w:color="auto"/>
              <w:right w:val="single" w:sz="4" w:space="0" w:color="auto"/>
            </w:tcBorders>
            <w:shd w:val="clear" w:color="auto" w:fill="auto"/>
            <w:noWrap/>
            <w:vAlign w:val="center"/>
            <w:hideMark/>
          </w:tcPr>
          <w:p w14:paraId="3D4F2F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5089816000</w:t>
            </w:r>
          </w:p>
        </w:tc>
        <w:tc>
          <w:tcPr>
            <w:tcW w:w="1036" w:type="dxa"/>
            <w:tcBorders>
              <w:top w:val="nil"/>
              <w:left w:val="nil"/>
              <w:bottom w:val="single" w:sz="4" w:space="0" w:color="auto"/>
              <w:right w:val="single" w:sz="4" w:space="0" w:color="auto"/>
            </w:tcBorders>
            <w:shd w:val="clear" w:color="auto" w:fill="auto"/>
            <w:noWrap/>
            <w:vAlign w:val="center"/>
            <w:hideMark/>
          </w:tcPr>
          <w:p w14:paraId="21D1A3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42630142</w:t>
            </w:r>
          </w:p>
        </w:tc>
        <w:tc>
          <w:tcPr>
            <w:tcW w:w="160" w:type="dxa"/>
            <w:tcBorders>
              <w:top w:val="nil"/>
              <w:left w:val="nil"/>
              <w:bottom w:val="single" w:sz="4" w:space="0" w:color="auto"/>
              <w:right w:val="nil"/>
            </w:tcBorders>
            <w:vAlign w:val="center"/>
          </w:tcPr>
          <w:p w14:paraId="02762F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0B60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BREZNO-PODVELKA</w:t>
            </w:r>
          </w:p>
        </w:tc>
      </w:tr>
      <w:tr w:rsidR="00072A69" w:rsidRPr="00DC6DF9" w14:paraId="14017C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09F9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1092</w:t>
            </w:r>
          </w:p>
        </w:tc>
        <w:tc>
          <w:tcPr>
            <w:tcW w:w="1036" w:type="dxa"/>
            <w:tcBorders>
              <w:top w:val="nil"/>
              <w:left w:val="nil"/>
              <w:bottom w:val="single" w:sz="4" w:space="0" w:color="auto"/>
              <w:right w:val="single" w:sz="4" w:space="0" w:color="auto"/>
            </w:tcBorders>
            <w:shd w:val="clear" w:color="auto" w:fill="auto"/>
            <w:noWrap/>
            <w:vAlign w:val="center"/>
            <w:hideMark/>
          </w:tcPr>
          <w:p w14:paraId="4AB59E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5089646000</w:t>
            </w:r>
          </w:p>
        </w:tc>
        <w:tc>
          <w:tcPr>
            <w:tcW w:w="1036" w:type="dxa"/>
            <w:tcBorders>
              <w:top w:val="nil"/>
              <w:left w:val="nil"/>
              <w:bottom w:val="single" w:sz="4" w:space="0" w:color="auto"/>
              <w:right w:val="single" w:sz="4" w:space="0" w:color="auto"/>
            </w:tcBorders>
            <w:shd w:val="clear" w:color="auto" w:fill="auto"/>
            <w:noWrap/>
            <w:vAlign w:val="center"/>
            <w:hideMark/>
          </w:tcPr>
          <w:p w14:paraId="348CCB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24113794</w:t>
            </w:r>
          </w:p>
        </w:tc>
        <w:tc>
          <w:tcPr>
            <w:tcW w:w="160" w:type="dxa"/>
            <w:tcBorders>
              <w:top w:val="nil"/>
              <w:left w:val="nil"/>
              <w:bottom w:val="single" w:sz="4" w:space="0" w:color="auto"/>
              <w:right w:val="nil"/>
            </w:tcBorders>
            <w:vAlign w:val="center"/>
          </w:tcPr>
          <w:p w14:paraId="185904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1C1F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BREZOVICA PRI LJUBLJANI</w:t>
            </w:r>
          </w:p>
        </w:tc>
      </w:tr>
      <w:tr w:rsidR="00072A69" w:rsidRPr="00DC6DF9" w14:paraId="125CF5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1E67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1093</w:t>
            </w:r>
          </w:p>
        </w:tc>
        <w:tc>
          <w:tcPr>
            <w:tcW w:w="1036" w:type="dxa"/>
            <w:tcBorders>
              <w:top w:val="nil"/>
              <w:left w:val="nil"/>
              <w:bottom w:val="single" w:sz="4" w:space="0" w:color="auto"/>
              <w:right w:val="single" w:sz="4" w:space="0" w:color="auto"/>
            </w:tcBorders>
            <w:shd w:val="clear" w:color="auto" w:fill="auto"/>
            <w:noWrap/>
            <w:vAlign w:val="center"/>
            <w:hideMark/>
          </w:tcPr>
          <w:p w14:paraId="6169BA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5085896000</w:t>
            </w:r>
          </w:p>
        </w:tc>
        <w:tc>
          <w:tcPr>
            <w:tcW w:w="1036" w:type="dxa"/>
            <w:tcBorders>
              <w:top w:val="nil"/>
              <w:left w:val="nil"/>
              <w:bottom w:val="single" w:sz="4" w:space="0" w:color="auto"/>
              <w:right w:val="single" w:sz="4" w:space="0" w:color="auto"/>
            </w:tcBorders>
            <w:shd w:val="clear" w:color="auto" w:fill="auto"/>
            <w:noWrap/>
            <w:vAlign w:val="center"/>
            <w:hideMark/>
          </w:tcPr>
          <w:p w14:paraId="3011DE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97051667</w:t>
            </w:r>
          </w:p>
        </w:tc>
        <w:tc>
          <w:tcPr>
            <w:tcW w:w="160" w:type="dxa"/>
            <w:tcBorders>
              <w:top w:val="nil"/>
              <w:left w:val="nil"/>
              <w:bottom w:val="single" w:sz="4" w:space="0" w:color="auto"/>
              <w:right w:val="nil"/>
            </w:tcBorders>
            <w:vAlign w:val="center"/>
          </w:tcPr>
          <w:p w14:paraId="3893C2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A43A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BREŽICE</w:t>
            </w:r>
          </w:p>
        </w:tc>
      </w:tr>
      <w:tr w:rsidR="00072A69" w:rsidRPr="00DC6DF9" w14:paraId="54A760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38DC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1094</w:t>
            </w:r>
          </w:p>
        </w:tc>
        <w:tc>
          <w:tcPr>
            <w:tcW w:w="1036" w:type="dxa"/>
            <w:tcBorders>
              <w:top w:val="nil"/>
              <w:left w:val="nil"/>
              <w:bottom w:val="single" w:sz="4" w:space="0" w:color="auto"/>
              <w:right w:val="single" w:sz="4" w:space="0" w:color="auto"/>
            </w:tcBorders>
            <w:shd w:val="clear" w:color="auto" w:fill="auto"/>
            <w:noWrap/>
            <w:vAlign w:val="center"/>
            <w:hideMark/>
          </w:tcPr>
          <w:p w14:paraId="0762D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1193481000</w:t>
            </w:r>
          </w:p>
        </w:tc>
        <w:tc>
          <w:tcPr>
            <w:tcW w:w="1036" w:type="dxa"/>
            <w:tcBorders>
              <w:top w:val="nil"/>
              <w:left w:val="nil"/>
              <w:bottom w:val="single" w:sz="4" w:space="0" w:color="auto"/>
              <w:right w:val="single" w:sz="4" w:space="0" w:color="auto"/>
            </w:tcBorders>
            <w:shd w:val="clear" w:color="auto" w:fill="auto"/>
            <w:noWrap/>
            <w:vAlign w:val="center"/>
            <w:hideMark/>
          </w:tcPr>
          <w:p w14:paraId="74F16C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29928419</w:t>
            </w:r>
          </w:p>
        </w:tc>
        <w:tc>
          <w:tcPr>
            <w:tcW w:w="160" w:type="dxa"/>
            <w:tcBorders>
              <w:top w:val="nil"/>
              <w:left w:val="nil"/>
              <w:bottom w:val="single" w:sz="4" w:space="0" w:color="auto"/>
              <w:right w:val="nil"/>
            </w:tcBorders>
            <w:vAlign w:val="center"/>
          </w:tcPr>
          <w:p w14:paraId="6CE488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4E4B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BRINJE GROSUPLJE</w:t>
            </w:r>
          </w:p>
        </w:tc>
      </w:tr>
      <w:tr w:rsidR="00072A69" w:rsidRPr="00DC6DF9" w14:paraId="576426E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2C31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1095</w:t>
            </w:r>
          </w:p>
        </w:tc>
        <w:tc>
          <w:tcPr>
            <w:tcW w:w="1036" w:type="dxa"/>
            <w:tcBorders>
              <w:top w:val="nil"/>
              <w:left w:val="nil"/>
              <w:bottom w:val="single" w:sz="4" w:space="0" w:color="auto"/>
              <w:right w:val="single" w:sz="4" w:space="0" w:color="auto"/>
            </w:tcBorders>
            <w:shd w:val="clear" w:color="auto" w:fill="auto"/>
            <w:noWrap/>
            <w:vAlign w:val="center"/>
            <w:hideMark/>
          </w:tcPr>
          <w:p w14:paraId="1E67B9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5086868000</w:t>
            </w:r>
          </w:p>
        </w:tc>
        <w:tc>
          <w:tcPr>
            <w:tcW w:w="1036" w:type="dxa"/>
            <w:tcBorders>
              <w:top w:val="nil"/>
              <w:left w:val="nil"/>
              <w:bottom w:val="single" w:sz="4" w:space="0" w:color="auto"/>
              <w:right w:val="single" w:sz="4" w:space="0" w:color="auto"/>
            </w:tcBorders>
            <w:shd w:val="clear" w:color="auto" w:fill="auto"/>
            <w:noWrap/>
            <w:vAlign w:val="center"/>
            <w:hideMark/>
          </w:tcPr>
          <w:p w14:paraId="0C3AE3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78931606</w:t>
            </w:r>
          </w:p>
        </w:tc>
        <w:tc>
          <w:tcPr>
            <w:tcW w:w="160" w:type="dxa"/>
            <w:tcBorders>
              <w:top w:val="nil"/>
              <w:left w:val="nil"/>
              <w:bottom w:val="single" w:sz="4" w:space="0" w:color="auto"/>
              <w:right w:val="nil"/>
            </w:tcBorders>
            <w:vAlign w:val="center"/>
          </w:tcPr>
          <w:p w14:paraId="4A2388E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4739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BRŠLJIN</w:t>
            </w:r>
          </w:p>
        </w:tc>
      </w:tr>
      <w:tr w:rsidR="00072A69" w:rsidRPr="00DC6DF9" w14:paraId="2DA4746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351F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1096</w:t>
            </w:r>
          </w:p>
        </w:tc>
        <w:tc>
          <w:tcPr>
            <w:tcW w:w="1036" w:type="dxa"/>
            <w:tcBorders>
              <w:top w:val="nil"/>
              <w:left w:val="nil"/>
              <w:bottom w:val="single" w:sz="4" w:space="0" w:color="auto"/>
              <w:right w:val="single" w:sz="4" w:space="0" w:color="auto"/>
            </w:tcBorders>
            <w:shd w:val="clear" w:color="auto" w:fill="auto"/>
            <w:noWrap/>
            <w:vAlign w:val="center"/>
            <w:hideMark/>
          </w:tcPr>
          <w:p w14:paraId="690517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5086361000</w:t>
            </w:r>
          </w:p>
        </w:tc>
        <w:tc>
          <w:tcPr>
            <w:tcW w:w="1036" w:type="dxa"/>
            <w:tcBorders>
              <w:top w:val="nil"/>
              <w:left w:val="nil"/>
              <w:bottom w:val="single" w:sz="4" w:space="0" w:color="auto"/>
              <w:right w:val="single" w:sz="4" w:space="0" w:color="auto"/>
            </w:tcBorders>
            <w:shd w:val="clear" w:color="auto" w:fill="auto"/>
            <w:noWrap/>
            <w:vAlign w:val="center"/>
            <w:hideMark/>
          </w:tcPr>
          <w:p w14:paraId="03592E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49987836</w:t>
            </w:r>
          </w:p>
        </w:tc>
        <w:tc>
          <w:tcPr>
            <w:tcW w:w="160" w:type="dxa"/>
            <w:tcBorders>
              <w:top w:val="nil"/>
              <w:left w:val="nil"/>
              <w:bottom w:val="single" w:sz="4" w:space="0" w:color="auto"/>
              <w:right w:val="nil"/>
            </w:tcBorders>
            <w:vAlign w:val="center"/>
          </w:tcPr>
          <w:p w14:paraId="0F4910C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156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BRUSNICE</w:t>
            </w:r>
          </w:p>
        </w:tc>
      </w:tr>
      <w:tr w:rsidR="00072A69" w:rsidRPr="00DC6DF9" w14:paraId="2710B0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12E9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1097</w:t>
            </w:r>
          </w:p>
        </w:tc>
        <w:tc>
          <w:tcPr>
            <w:tcW w:w="1036" w:type="dxa"/>
            <w:tcBorders>
              <w:top w:val="nil"/>
              <w:left w:val="nil"/>
              <w:bottom w:val="single" w:sz="4" w:space="0" w:color="auto"/>
              <w:right w:val="single" w:sz="4" w:space="0" w:color="auto"/>
            </w:tcBorders>
            <w:shd w:val="clear" w:color="auto" w:fill="auto"/>
            <w:noWrap/>
            <w:vAlign w:val="center"/>
            <w:hideMark/>
          </w:tcPr>
          <w:p w14:paraId="058BA4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5085608000</w:t>
            </w:r>
          </w:p>
        </w:tc>
        <w:tc>
          <w:tcPr>
            <w:tcW w:w="1036" w:type="dxa"/>
            <w:tcBorders>
              <w:top w:val="nil"/>
              <w:left w:val="nil"/>
              <w:bottom w:val="single" w:sz="4" w:space="0" w:color="auto"/>
              <w:right w:val="single" w:sz="4" w:space="0" w:color="auto"/>
            </w:tcBorders>
            <w:shd w:val="clear" w:color="auto" w:fill="auto"/>
            <w:noWrap/>
            <w:vAlign w:val="center"/>
            <w:hideMark/>
          </w:tcPr>
          <w:p w14:paraId="5923DC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10798226</w:t>
            </w:r>
          </w:p>
        </w:tc>
        <w:tc>
          <w:tcPr>
            <w:tcW w:w="160" w:type="dxa"/>
            <w:tcBorders>
              <w:top w:val="nil"/>
              <w:left w:val="nil"/>
              <w:bottom w:val="single" w:sz="4" w:space="0" w:color="auto"/>
              <w:right w:val="nil"/>
            </w:tcBorders>
            <w:vAlign w:val="center"/>
          </w:tcPr>
          <w:p w14:paraId="4FDDEB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A77A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CANKOVA</w:t>
            </w:r>
          </w:p>
        </w:tc>
      </w:tr>
      <w:tr w:rsidR="00072A69" w:rsidRPr="00DC6DF9" w14:paraId="5D8B6C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49E6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1098</w:t>
            </w:r>
          </w:p>
        </w:tc>
        <w:tc>
          <w:tcPr>
            <w:tcW w:w="1036" w:type="dxa"/>
            <w:tcBorders>
              <w:top w:val="nil"/>
              <w:left w:val="nil"/>
              <w:bottom w:val="single" w:sz="4" w:space="0" w:color="auto"/>
              <w:right w:val="single" w:sz="4" w:space="0" w:color="auto"/>
            </w:tcBorders>
            <w:shd w:val="clear" w:color="auto" w:fill="auto"/>
            <w:noWrap/>
            <w:vAlign w:val="center"/>
            <w:hideMark/>
          </w:tcPr>
          <w:p w14:paraId="1C18CD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5086825000</w:t>
            </w:r>
          </w:p>
        </w:tc>
        <w:tc>
          <w:tcPr>
            <w:tcW w:w="1036" w:type="dxa"/>
            <w:tcBorders>
              <w:top w:val="nil"/>
              <w:left w:val="nil"/>
              <w:bottom w:val="single" w:sz="4" w:space="0" w:color="auto"/>
              <w:right w:val="single" w:sz="4" w:space="0" w:color="auto"/>
            </w:tcBorders>
            <w:shd w:val="clear" w:color="auto" w:fill="auto"/>
            <w:vAlign w:val="center"/>
            <w:hideMark/>
          </w:tcPr>
          <w:p w14:paraId="7E8B61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38521610</w:t>
            </w:r>
          </w:p>
        </w:tc>
        <w:tc>
          <w:tcPr>
            <w:tcW w:w="160" w:type="dxa"/>
            <w:tcBorders>
              <w:top w:val="nil"/>
              <w:left w:val="nil"/>
              <w:bottom w:val="single" w:sz="4" w:space="0" w:color="auto"/>
              <w:right w:val="nil"/>
            </w:tcBorders>
            <w:vAlign w:val="center"/>
          </w:tcPr>
          <w:p w14:paraId="4430B0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1AE1A5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CENTER</w:t>
            </w:r>
          </w:p>
        </w:tc>
      </w:tr>
      <w:tr w:rsidR="00072A69" w:rsidRPr="00DC6DF9" w14:paraId="08ED030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D79F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1099</w:t>
            </w:r>
          </w:p>
        </w:tc>
        <w:tc>
          <w:tcPr>
            <w:tcW w:w="1036" w:type="dxa"/>
            <w:tcBorders>
              <w:top w:val="nil"/>
              <w:left w:val="nil"/>
              <w:bottom w:val="single" w:sz="4" w:space="0" w:color="auto"/>
              <w:right w:val="single" w:sz="4" w:space="0" w:color="auto"/>
            </w:tcBorders>
            <w:shd w:val="clear" w:color="auto" w:fill="auto"/>
            <w:noWrap/>
            <w:vAlign w:val="center"/>
            <w:hideMark/>
          </w:tcPr>
          <w:p w14:paraId="1308E9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5083575000</w:t>
            </w:r>
          </w:p>
        </w:tc>
        <w:tc>
          <w:tcPr>
            <w:tcW w:w="1036" w:type="dxa"/>
            <w:tcBorders>
              <w:top w:val="nil"/>
              <w:left w:val="nil"/>
              <w:bottom w:val="single" w:sz="4" w:space="0" w:color="auto"/>
              <w:right w:val="single" w:sz="4" w:space="0" w:color="auto"/>
            </w:tcBorders>
            <w:shd w:val="clear" w:color="auto" w:fill="auto"/>
            <w:noWrap/>
            <w:vAlign w:val="center"/>
            <w:hideMark/>
          </w:tcPr>
          <w:p w14:paraId="57F2E1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16258193</w:t>
            </w:r>
          </w:p>
        </w:tc>
        <w:tc>
          <w:tcPr>
            <w:tcW w:w="160" w:type="dxa"/>
            <w:tcBorders>
              <w:top w:val="nil"/>
              <w:left w:val="nil"/>
              <w:bottom w:val="single" w:sz="4" w:space="0" w:color="auto"/>
              <w:right w:val="nil"/>
            </w:tcBorders>
            <w:vAlign w:val="center"/>
          </w:tcPr>
          <w:p w14:paraId="1BBB9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23F1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CERKLJE OB KRKI</w:t>
            </w:r>
          </w:p>
        </w:tc>
      </w:tr>
      <w:tr w:rsidR="00072A69" w:rsidRPr="00DC6DF9" w14:paraId="3F67B1D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99A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1100</w:t>
            </w:r>
          </w:p>
        </w:tc>
        <w:tc>
          <w:tcPr>
            <w:tcW w:w="1036" w:type="dxa"/>
            <w:tcBorders>
              <w:top w:val="nil"/>
              <w:left w:val="nil"/>
              <w:bottom w:val="single" w:sz="4" w:space="0" w:color="auto"/>
              <w:right w:val="single" w:sz="4" w:space="0" w:color="auto"/>
            </w:tcBorders>
            <w:shd w:val="clear" w:color="auto" w:fill="auto"/>
            <w:noWrap/>
            <w:vAlign w:val="center"/>
            <w:hideMark/>
          </w:tcPr>
          <w:p w14:paraId="2DADB3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5082960000</w:t>
            </w:r>
          </w:p>
        </w:tc>
        <w:tc>
          <w:tcPr>
            <w:tcW w:w="1036" w:type="dxa"/>
            <w:tcBorders>
              <w:top w:val="nil"/>
              <w:left w:val="nil"/>
              <w:bottom w:val="single" w:sz="4" w:space="0" w:color="auto"/>
              <w:right w:val="single" w:sz="4" w:space="0" w:color="auto"/>
            </w:tcBorders>
            <w:shd w:val="clear" w:color="auto" w:fill="auto"/>
            <w:noWrap/>
            <w:vAlign w:val="center"/>
            <w:hideMark/>
          </w:tcPr>
          <w:p w14:paraId="7BD090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44292180</w:t>
            </w:r>
          </w:p>
        </w:tc>
        <w:tc>
          <w:tcPr>
            <w:tcW w:w="160" w:type="dxa"/>
            <w:tcBorders>
              <w:top w:val="nil"/>
              <w:left w:val="nil"/>
              <w:bottom w:val="single" w:sz="4" w:space="0" w:color="auto"/>
              <w:right w:val="nil"/>
            </w:tcBorders>
            <w:vAlign w:val="center"/>
          </w:tcPr>
          <w:p w14:paraId="0B5507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0127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CERKNO</w:t>
            </w:r>
          </w:p>
        </w:tc>
      </w:tr>
      <w:tr w:rsidR="00072A69" w:rsidRPr="00DC6DF9" w14:paraId="77CF1B6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1E16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1101</w:t>
            </w:r>
          </w:p>
        </w:tc>
        <w:tc>
          <w:tcPr>
            <w:tcW w:w="1036" w:type="dxa"/>
            <w:tcBorders>
              <w:top w:val="nil"/>
              <w:left w:val="nil"/>
              <w:bottom w:val="single" w:sz="4" w:space="0" w:color="auto"/>
              <w:right w:val="single" w:sz="4" w:space="0" w:color="auto"/>
            </w:tcBorders>
            <w:shd w:val="clear" w:color="auto" w:fill="auto"/>
            <w:noWrap/>
            <w:vAlign w:val="center"/>
            <w:hideMark/>
          </w:tcPr>
          <w:p w14:paraId="055478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5084016000</w:t>
            </w:r>
          </w:p>
        </w:tc>
        <w:tc>
          <w:tcPr>
            <w:tcW w:w="1036" w:type="dxa"/>
            <w:tcBorders>
              <w:top w:val="nil"/>
              <w:left w:val="nil"/>
              <w:bottom w:val="single" w:sz="4" w:space="0" w:color="auto"/>
              <w:right w:val="single" w:sz="4" w:space="0" w:color="auto"/>
            </w:tcBorders>
            <w:shd w:val="clear" w:color="auto" w:fill="auto"/>
            <w:noWrap/>
            <w:vAlign w:val="center"/>
            <w:hideMark/>
          </w:tcPr>
          <w:p w14:paraId="14A030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43386024</w:t>
            </w:r>
          </w:p>
        </w:tc>
        <w:tc>
          <w:tcPr>
            <w:tcW w:w="160" w:type="dxa"/>
            <w:tcBorders>
              <w:top w:val="nil"/>
              <w:left w:val="nil"/>
              <w:bottom w:val="single" w:sz="4" w:space="0" w:color="auto"/>
              <w:right w:val="nil"/>
            </w:tcBorders>
            <w:vAlign w:val="center"/>
          </w:tcPr>
          <w:p w14:paraId="607182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A68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CERKVENJAK-VITOMARCI</w:t>
            </w:r>
          </w:p>
        </w:tc>
      </w:tr>
      <w:tr w:rsidR="00072A69" w:rsidRPr="00DC6DF9" w14:paraId="11CDE1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5BD8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1102</w:t>
            </w:r>
          </w:p>
        </w:tc>
        <w:tc>
          <w:tcPr>
            <w:tcW w:w="1036" w:type="dxa"/>
            <w:tcBorders>
              <w:top w:val="nil"/>
              <w:left w:val="nil"/>
              <w:bottom w:val="single" w:sz="4" w:space="0" w:color="auto"/>
              <w:right w:val="single" w:sz="4" w:space="0" w:color="auto"/>
            </w:tcBorders>
            <w:shd w:val="clear" w:color="auto" w:fill="auto"/>
            <w:noWrap/>
            <w:vAlign w:val="center"/>
            <w:hideMark/>
          </w:tcPr>
          <w:p w14:paraId="619421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5090075000</w:t>
            </w:r>
          </w:p>
        </w:tc>
        <w:tc>
          <w:tcPr>
            <w:tcW w:w="1036" w:type="dxa"/>
            <w:tcBorders>
              <w:top w:val="nil"/>
              <w:left w:val="nil"/>
              <w:bottom w:val="single" w:sz="4" w:space="0" w:color="auto"/>
              <w:right w:val="single" w:sz="4" w:space="0" w:color="auto"/>
            </w:tcBorders>
            <w:shd w:val="clear" w:color="auto" w:fill="auto"/>
            <w:noWrap/>
            <w:vAlign w:val="center"/>
            <w:hideMark/>
          </w:tcPr>
          <w:p w14:paraId="0ADA69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84652594</w:t>
            </w:r>
          </w:p>
        </w:tc>
        <w:tc>
          <w:tcPr>
            <w:tcW w:w="160" w:type="dxa"/>
            <w:tcBorders>
              <w:top w:val="nil"/>
              <w:left w:val="nil"/>
              <w:bottom w:val="single" w:sz="4" w:space="0" w:color="auto"/>
              <w:right w:val="nil"/>
            </w:tcBorders>
            <w:vAlign w:val="center"/>
          </w:tcPr>
          <w:p w14:paraId="781937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7266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CIRILA KOSMAČA PIRAN</w:t>
            </w:r>
          </w:p>
        </w:tc>
      </w:tr>
      <w:tr w:rsidR="00072A69" w:rsidRPr="00DC6DF9" w14:paraId="6F4BD7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45D6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1103</w:t>
            </w:r>
          </w:p>
        </w:tc>
        <w:tc>
          <w:tcPr>
            <w:tcW w:w="1036" w:type="dxa"/>
            <w:tcBorders>
              <w:top w:val="nil"/>
              <w:left w:val="nil"/>
              <w:bottom w:val="single" w:sz="4" w:space="0" w:color="auto"/>
              <w:right w:val="single" w:sz="4" w:space="0" w:color="auto"/>
            </w:tcBorders>
            <w:shd w:val="clear" w:color="auto" w:fill="auto"/>
            <w:noWrap/>
            <w:vAlign w:val="center"/>
            <w:hideMark/>
          </w:tcPr>
          <w:p w14:paraId="6C3BCB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5089247000</w:t>
            </w:r>
          </w:p>
        </w:tc>
        <w:tc>
          <w:tcPr>
            <w:tcW w:w="1036" w:type="dxa"/>
            <w:tcBorders>
              <w:top w:val="nil"/>
              <w:left w:val="nil"/>
              <w:bottom w:val="single" w:sz="4" w:space="0" w:color="auto"/>
              <w:right w:val="single" w:sz="4" w:space="0" w:color="auto"/>
            </w:tcBorders>
            <w:shd w:val="clear" w:color="auto" w:fill="auto"/>
            <w:noWrap/>
            <w:vAlign w:val="center"/>
            <w:hideMark/>
          </w:tcPr>
          <w:p w14:paraId="4CF5F5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68357753</w:t>
            </w:r>
          </w:p>
        </w:tc>
        <w:tc>
          <w:tcPr>
            <w:tcW w:w="160" w:type="dxa"/>
            <w:tcBorders>
              <w:top w:val="nil"/>
              <w:left w:val="nil"/>
              <w:bottom w:val="single" w:sz="4" w:space="0" w:color="auto"/>
              <w:right w:val="nil"/>
            </w:tcBorders>
            <w:vAlign w:val="center"/>
          </w:tcPr>
          <w:p w14:paraId="12DAB7D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CB3F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CIRKULANE - ZAVRČ</w:t>
            </w:r>
          </w:p>
        </w:tc>
      </w:tr>
      <w:tr w:rsidR="00072A69" w:rsidRPr="00DC6DF9" w14:paraId="13CB45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94C4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1104</w:t>
            </w:r>
          </w:p>
        </w:tc>
        <w:tc>
          <w:tcPr>
            <w:tcW w:w="1036" w:type="dxa"/>
            <w:tcBorders>
              <w:top w:val="nil"/>
              <w:left w:val="nil"/>
              <w:bottom w:val="single" w:sz="4" w:space="0" w:color="auto"/>
              <w:right w:val="single" w:sz="4" w:space="0" w:color="auto"/>
            </w:tcBorders>
            <w:shd w:val="clear" w:color="auto" w:fill="auto"/>
            <w:noWrap/>
            <w:vAlign w:val="center"/>
            <w:hideMark/>
          </w:tcPr>
          <w:p w14:paraId="2534AA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5082544000</w:t>
            </w:r>
          </w:p>
        </w:tc>
        <w:tc>
          <w:tcPr>
            <w:tcW w:w="1036" w:type="dxa"/>
            <w:tcBorders>
              <w:top w:val="nil"/>
              <w:left w:val="nil"/>
              <w:bottom w:val="single" w:sz="4" w:space="0" w:color="auto"/>
              <w:right w:val="single" w:sz="4" w:space="0" w:color="auto"/>
            </w:tcBorders>
            <w:shd w:val="clear" w:color="auto" w:fill="auto"/>
            <w:noWrap/>
            <w:vAlign w:val="center"/>
            <w:hideMark/>
          </w:tcPr>
          <w:p w14:paraId="707A4D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11095822</w:t>
            </w:r>
          </w:p>
        </w:tc>
        <w:tc>
          <w:tcPr>
            <w:tcW w:w="160" w:type="dxa"/>
            <w:tcBorders>
              <w:top w:val="nil"/>
              <w:left w:val="nil"/>
              <w:bottom w:val="single" w:sz="4" w:space="0" w:color="auto"/>
              <w:right w:val="nil"/>
            </w:tcBorders>
            <w:vAlign w:val="center"/>
          </w:tcPr>
          <w:p w14:paraId="1EED62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FAB3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COL</w:t>
            </w:r>
          </w:p>
        </w:tc>
      </w:tr>
      <w:tr w:rsidR="00072A69" w:rsidRPr="00DC6DF9" w14:paraId="211667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48F4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1105</w:t>
            </w:r>
          </w:p>
        </w:tc>
        <w:tc>
          <w:tcPr>
            <w:tcW w:w="1036" w:type="dxa"/>
            <w:tcBorders>
              <w:top w:val="nil"/>
              <w:left w:val="nil"/>
              <w:bottom w:val="single" w:sz="4" w:space="0" w:color="auto"/>
              <w:right w:val="single" w:sz="4" w:space="0" w:color="auto"/>
            </w:tcBorders>
            <w:shd w:val="clear" w:color="auto" w:fill="auto"/>
            <w:noWrap/>
            <w:vAlign w:val="center"/>
            <w:hideMark/>
          </w:tcPr>
          <w:p w14:paraId="21E4E4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5087821000</w:t>
            </w:r>
          </w:p>
        </w:tc>
        <w:tc>
          <w:tcPr>
            <w:tcW w:w="1036" w:type="dxa"/>
            <w:tcBorders>
              <w:top w:val="nil"/>
              <w:left w:val="nil"/>
              <w:bottom w:val="single" w:sz="4" w:space="0" w:color="auto"/>
              <w:right w:val="single" w:sz="4" w:space="0" w:color="auto"/>
            </w:tcBorders>
            <w:shd w:val="clear" w:color="auto" w:fill="auto"/>
            <w:noWrap/>
            <w:vAlign w:val="center"/>
            <w:hideMark/>
          </w:tcPr>
          <w:p w14:paraId="650E60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72155680</w:t>
            </w:r>
          </w:p>
        </w:tc>
        <w:tc>
          <w:tcPr>
            <w:tcW w:w="160" w:type="dxa"/>
            <w:tcBorders>
              <w:top w:val="nil"/>
              <w:left w:val="nil"/>
              <w:bottom w:val="single" w:sz="4" w:space="0" w:color="auto"/>
              <w:right w:val="nil"/>
            </w:tcBorders>
            <w:vAlign w:val="center"/>
          </w:tcPr>
          <w:p w14:paraId="73AB3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D825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CVETKA GOLARJA</w:t>
            </w:r>
          </w:p>
        </w:tc>
      </w:tr>
      <w:tr w:rsidR="00072A69" w:rsidRPr="00DC6DF9" w14:paraId="328D2F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819F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1106</w:t>
            </w:r>
          </w:p>
        </w:tc>
        <w:tc>
          <w:tcPr>
            <w:tcW w:w="1036" w:type="dxa"/>
            <w:tcBorders>
              <w:top w:val="nil"/>
              <w:left w:val="nil"/>
              <w:bottom w:val="single" w:sz="4" w:space="0" w:color="auto"/>
              <w:right w:val="single" w:sz="4" w:space="0" w:color="auto"/>
            </w:tcBorders>
            <w:shd w:val="clear" w:color="auto" w:fill="auto"/>
            <w:noWrap/>
            <w:vAlign w:val="center"/>
            <w:hideMark/>
          </w:tcPr>
          <w:p w14:paraId="4ED8EB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5088992000</w:t>
            </w:r>
          </w:p>
        </w:tc>
        <w:tc>
          <w:tcPr>
            <w:tcW w:w="1036" w:type="dxa"/>
            <w:tcBorders>
              <w:top w:val="nil"/>
              <w:left w:val="nil"/>
              <w:bottom w:val="single" w:sz="4" w:space="0" w:color="auto"/>
              <w:right w:val="single" w:sz="4" w:space="0" w:color="auto"/>
            </w:tcBorders>
            <w:shd w:val="clear" w:color="auto" w:fill="auto"/>
            <w:noWrap/>
            <w:vAlign w:val="center"/>
            <w:hideMark/>
          </w:tcPr>
          <w:p w14:paraId="72E093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46864237</w:t>
            </w:r>
          </w:p>
        </w:tc>
        <w:tc>
          <w:tcPr>
            <w:tcW w:w="160" w:type="dxa"/>
            <w:tcBorders>
              <w:top w:val="nil"/>
              <w:left w:val="nil"/>
              <w:bottom w:val="single" w:sz="4" w:space="0" w:color="auto"/>
              <w:right w:val="nil"/>
            </w:tcBorders>
            <w:vAlign w:val="center"/>
          </w:tcPr>
          <w:p w14:paraId="2C7D22F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B41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ČEPOVAN</w:t>
            </w:r>
          </w:p>
        </w:tc>
      </w:tr>
      <w:tr w:rsidR="00072A69" w:rsidRPr="00DC6DF9" w14:paraId="118BCF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7505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1107</w:t>
            </w:r>
          </w:p>
        </w:tc>
        <w:tc>
          <w:tcPr>
            <w:tcW w:w="1036" w:type="dxa"/>
            <w:tcBorders>
              <w:top w:val="nil"/>
              <w:left w:val="nil"/>
              <w:bottom w:val="single" w:sz="4" w:space="0" w:color="auto"/>
              <w:right w:val="single" w:sz="4" w:space="0" w:color="auto"/>
            </w:tcBorders>
            <w:shd w:val="clear" w:color="auto" w:fill="auto"/>
            <w:noWrap/>
            <w:vAlign w:val="center"/>
            <w:hideMark/>
          </w:tcPr>
          <w:p w14:paraId="3D6A38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5087368000</w:t>
            </w:r>
          </w:p>
        </w:tc>
        <w:tc>
          <w:tcPr>
            <w:tcW w:w="1036" w:type="dxa"/>
            <w:tcBorders>
              <w:top w:val="nil"/>
              <w:left w:val="nil"/>
              <w:bottom w:val="single" w:sz="4" w:space="0" w:color="auto"/>
              <w:right w:val="single" w:sz="4" w:space="0" w:color="auto"/>
            </w:tcBorders>
            <w:shd w:val="clear" w:color="auto" w:fill="auto"/>
            <w:noWrap/>
            <w:vAlign w:val="center"/>
            <w:hideMark/>
          </w:tcPr>
          <w:p w14:paraId="2EF3E4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98266225</w:t>
            </w:r>
          </w:p>
        </w:tc>
        <w:tc>
          <w:tcPr>
            <w:tcW w:w="160" w:type="dxa"/>
            <w:tcBorders>
              <w:top w:val="nil"/>
              <w:left w:val="nil"/>
              <w:bottom w:val="single" w:sz="4" w:space="0" w:color="auto"/>
              <w:right w:val="nil"/>
            </w:tcBorders>
            <w:vAlign w:val="center"/>
          </w:tcPr>
          <w:p w14:paraId="5D8522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9BD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ČRNA NA KOROŠKEM</w:t>
            </w:r>
          </w:p>
        </w:tc>
      </w:tr>
      <w:tr w:rsidR="00072A69" w:rsidRPr="00DC6DF9" w14:paraId="32A9B80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9FC2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1108</w:t>
            </w:r>
          </w:p>
        </w:tc>
        <w:tc>
          <w:tcPr>
            <w:tcW w:w="1036" w:type="dxa"/>
            <w:tcBorders>
              <w:top w:val="nil"/>
              <w:left w:val="nil"/>
              <w:bottom w:val="single" w:sz="4" w:space="0" w:color="auto"/>
              <w:right w:val="single" w:sz="4" w:space="0" w:color="auto"/>
            </w:tcBorders>
            <w:shd w:val="clear" w:color="auto" w:fill="auto"/>
            <w:noWrap/>
            <w:vAlign w:val="center"/>
            <w:hideMark/>
          </w:tcPr>
          <w:p w14:paraId="7AF302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5082978000</w:t>
            </w:r>
          </w:p>
        </w:tc>
        <w:tc>
          <w:tcPr>
            <w:tcW w:w="1036" w:type="dxa"/>
            <w:tcBorders>
              <w:top w:val="nil"/>
              <w:left w:val="nil"/>
              <w:bottom w:val="single" w:sz="4" w:space="0" w:color="auto"/>
              <w:right w:val="single" w:sz="4" w:space="0" w:color="auto"/>
            </w:tcBorders>
            <w:shd w:val="clear" w:color="auto" w:fill="auto"/>
            <w:noWrap/>
            <w:vAlign w:val="center"/>
            <w:hideMark/>
          </w:tcPr>
          <w:p w14:paraId="57AF05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55214959</w:t>
            </w:r>
          </w:p>
        </w:tc>
        <w:tc>
          <w:tcPr>
            <w:tcW w:w="160" w:type="dxa"/>
            <w:tcBorders>
              <w:top w:val="nil"/>
              <w:left w:val="nil"/>
              <w:bottom w:val="single" w:sz="4" w:space="0" w:color="auto"/>
              <w:right w:val="nil"/>
            </w:tcBorders>
            <w:vAlign w:val="center"/>
          </w:tcPr>
          <w:p w14:paraId="708042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74CB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ČRNI VRH</w:t>
            </w:r>
          </w:p>
        </w:tc>
      </w:tr>
      <w:tr w:rsidR="00072A69" w:rsidRPr="00DC6DF9" w14:paraId="26F2B1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059B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1109</w:t>
            </w:r>
          </w:p>
        </w:tc>
        <w:tc>
          <w:tcPr>
            <w:tcW w:w="1036" w:type="dxa"/>
            <w:tcBorders>
              <w:top w:val="nil"/>
              <w:left w:val="nil"/>
              <w:bottom w:val="single" w:sz="4" w:space="0" w:color="auto"/>
              <w:right w:val="single" w:sz="4" w:space="0" w:color="auto"/>
            </w:tcBorders>
            <w:shd w:val="clear" w:color="auto" w:fill="auto"/>
            <w:noWrap/>
            <w:vAlign w:val="center"/>
            <w:hideMark/>
          </w:tcPr>
          <w:p w14:paraId="56386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5082528000</w:t>
            </w:r>
          </w:p>
        </w:tc>
        <w:tc>
          <w:tcPr>
            <w:tcW w:w="1036" w:type="dxa"/>
            <w:tcBorders>
              <w:top w:val="nil"/>
              <w:left w:val="nil"/>
              <w:bottom w:val="single" w:sz="4" w:space="0" w:color="auto"/>
              <w:right w:val="single" w:sz="4" w:space="0" w:color="auto"/>
            </w:tcBorders>
            <w:shd w:val="clear" w:color="auto" w:fill="auto"/>
            <w:noWrap/>
            <w:vAlign w:val="center"/>
            <w:hideMark/>
          </w:tcPr>
          <w:p w14:paraId="4C36B2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42140153</w:t>
            </w:r>
          </w:p>
        </w:tc>
        <w:tc>
          <w:tcPr>
            <w:tcW w:w="160" w:type="dxa"/>
            <w:tcBorders>
              <w:top w:val="nil"/>
              <w:left w:val="nil"/>
              <w:bottom w:val="single" w:sz="4" w:space="0" w:color="auto"/>
              <w:right w:val="nil"/>
            </w:tcBorders>
            <w:vAlign w:val="center"/>
          </w:tcPr>
          <w:p w14:paraId="696016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3A55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DANILA LOKARJA AJDOVŠČINA</w:t>
            </w:r>
          </w:p>
        </w:tc>
      </w:tr>
      <w:tr w:rsidR="00072A69" w:rsidRPr="00DC6DF9" w14:paraId="46AFCE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9E38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1110</w:t>
            </w:r>
          </w:p>
        </w:tc>
        <w:tc>
          <w:tcPr>
            <w:tcW w:w="1036" w:type="dxa"/>
            <w:tcBorders>
              <w:top w:val="nil"/>
              <w:left w:val="nil"/>
              <w:bottom w:val="single" w:sz="4" w:space="0" w:color="auto"/>
              <w:right w:val="single" w:sz="4" w:space="0" w:color="auto"/>
            </w:tcBorders>
            <w:shd w:val="clear" w:color="auto" w:fill="auto"/>
            <w:noWrap/>
            <w:vAlign w:val="center"/>
            <w:hideMark/>
          </w:tcPr>
          <w:p w14:paraId="1BEEA3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5083389000</w:t>
            </w:r>
          </w:p>
        </w:tc>
        <w:tc>
          <w:tcPr>
            <w:tcW w:w="1036" w:type="dxa"/>
            <w:tcBorders>
              <w:top w:val="nil"/>
              <w:left w:val="nil"/>
              <w:bottom w:val="single" w:sz="4" w:space="0" w:color="auto"/>
              <w:right w:val="single" w:sz="4" w:space="0" w:color="auto"/>
            </w:tcBorders>
            <w:shd w:val="clear" w:color="auto" w:fill="auto"/>
            <w:noWrap/>
            <w:vAlign w:val="center"/>
            <w:hideMark/>
          </w:tcPr>
          <w:p w14:paraId="2D125F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42494940</w:t>
            </w:r>
          </w:p>
        </w:tc>
        <w:tc>
          <w:tcPr>
            <w:tcW w:w="160" w:type="dxa"/>
            <w:tcBorders>
              <w:top w:val="nil"/>
              <w:left w:val="nil"/>
              <w:bottom w:val="single" w:sz="4" w:space="0" w:color="auto"/>
              <w:right w:val="nil"/>
            </w:tcBorders>
            <w:vAlign w:val="center"/>
          </w:tcPr>
          <w:p w14:paraId="34DD43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6E1F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DANILE KUMAR</w:t>
            </w:r>
          </w:p>
        </w:tc>
      </w:tr>
      <w:tr w:rsidR="00072A69" w:rsidRPr="00DC6DF9" w14:paraId="6FE064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886E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1111</w:t>
            </w:r>
          </w:p>
        </w:tc>
        <w:tc>
          <w:tcPr>
            <w:tcW w:w="1036" w:type="dxa"/>
            <w:tcBorders>
              <w:top w:val="nil"/>
              <w:left w:val="nil"/>
              <w:bottom w:val="single" w:sz="4" w:space="0" w:color="auto"/>
              <w:right w:val="single" w:sz="4" w:space="0" w:color="auto"/>
            </w:tcBorders>
            <w:shd w:val="clear" w:color="auto" w:fill="auto"/>
            <w:noWrap/>
            <w:vAlign w:val="center"/>
            <w:hideMark/>
          </w:tcPr>
          <w:p w14:paraId="4A06EA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5089514000</w:t>
            </w:r>
          </w:p>
        </w:tc>
        <w:tc>
          <w:tcPr>
            <w:tcW w:w="1036" w:type="dxa"/>
            <w:tcBorders>
              <w:top w:val="nil"/>
              <w:left w:val="nil"/>
              <w:bottom w:val="single" w:sz="4" w:space="0" w:color="auto"/>
              <w:right w:val="single" w:sz="4" w:space="0" w:color="auto"/>
            </w:tcBorders>
            <w:shd w:val="clear" w:color="auto" w:fill="auto"/>
            <w:noWrap/>
            <w:vAlign w:val="center"/>
            <w:hideMark/>
          </w:tcPr>
          <w:p w14:paraId="066D55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88215857</w:t>
            </w:r>
          </w:p>
        </w:tc>
        <w:tc>
          <w:tcPr>
            <w:tcW w:w="160" w:type="dxa"/>
            <w:tcBorders>
              <w:top w:val="nil"/>
              <w:left w:val="nil"/>
              <w:bottom w:val="single" w:sz="4" w:space="0" w:color="auto"/>
              <w:right w:val="nil"/>
            </w:tcBorders>
            <w:vAlign w:val="center"/>
          </w:tcPr>
          <w:p w14:paraId="2B6EB1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ABF4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DANTE ALIGHIERI IZOLA</w:t>
            </w:r>
          </w:p>
        </w:tc>
      </w:tr>
      <w:tr w:rsidR="00072A69" w:rsidRPr="00DC6DF9" w14:paraId="751E84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8F3A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1112</w:t>
            </w:r>
          </w:p>
        </w:tc>
        <w:tc>
          <w:tcPr>
            <w:tcW w:w="1036" w:type="dxa"/>
            <w:tcBorders>
              <w:top w:val="nil"/>
              <w:left w:val="nil"/>
              <w:bottom w:val="single" w:sz="4" w:space="0" w:color="auto"/>
              <w:right w:val="single" w:sz="4" w:space="0" w:color="auto"/>
            </w:tcBorders>
            <w:shd w:val="clear" w:color="auto" w:fill="auto"/>
            <w:noWrap/>
            <w:vAlign w:val="center"/>
            <w:hideMark/>
          </w:tcPr>
          <w:p w14:paraId="27D315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5086027000</w:t>
            </w:r>
          </w:p>
        </w:tc>
        <w:tc>
          <w:tcPr>
            <w:tcW w:w="1036" w:type="dxa"/>
            <w:tcBorders>
              <w:top w:val="nil"/>
              <w:left w:val="nil"/>
              <w:bottom w:val="single" w:sz="4" w:space="0" w:color="auto"/>
              <w:right w:val="single" w:sz="4" w:space="0" w:color="auto"/>
            </w:tcBorders>
            <w:shd w:val="clear" w:color="auto" w:fill="auto"/>
            <w:noWrap/>
            <w:vAlign w:val="center"/>
            <w:hideMark/>
          </w:tcPr>
          <w:p w14:paraId="67F6F1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40296407</w:t>
            </w:r>
          </w:p>
        </w:tc>
        <w:tc>
          <w:tcPr>
            <w:tcW w:w="160" w:type="dxa"/>
            <w:tcBorders>
              <w:top w:val="nil"/>
              <w:left w:val="nil"/>
              <w:bottom w:val="single" w:sz="4" w:space="0" w:color="auto"/>
              <w:right w:val="nil"/>
            </w:tcBorders>
            <w:vAlign w:val="center"/>
          </w:tcPr>
          <w:p w14:paraId="0795A1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5F82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DAVORINA JENKA CERKLJE NA GORENJSKEM</w:t>
            </w:r>
          </w:p>
        </w:tc>
      </w:tr>
      <w:tr w:rsidR="00072A69" w:rsidRPr="00DC6DF9" w14:paraId="7A204A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DC62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1113</w:t>
            </w:r>
          </w:p>
        </w:tc>
        <w:tc>
          <w:tcPr>
            <w:tcW w:w="1036" w:type="dxa"/>
            <w:tcBorders>
              <w:top w:val="nil"/>
              <w:left w:val="nil"/>
              <w:bottom w:val="single" w:sz="4" w:space="0" w:color="auto"/>
              <w:right w:val="single" w:sz="4" w:space="0" w:color="auto"/>
            </w:tcBorders>
            <w:shd w:val="clear" w:color="auto" w:fill="auto"/>
            <w:noWrap/>
            <w:vAlign w:val="center"/>
            <w:hideMark/>
          </w:tcPr>
          <w:p w14:paraId="57B92D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5083834000</w:t>
            </w:r>
          </w:p>
        </w:tc>
        <w:tc>
          <w:tcPr>
            <w:tcW w:w="1036" w:type="dxa"/>
            <w:tcBorders>
              <w:top w:val="nil"/>
              <w:left w:val="nil"/>
              <w:bottom w:val="single" w:sz="4" w:space="0" w:color="auto"/>
              <w:right w:val="single" w:sz="4" w:space="0" w:color="auto"/>
            </w:tcBorders>
            <w:shd w:val="clear" w:color="auto" w:fill="auto"/>
            <w:noWrap/>
            <w:vAlign w:val="center"/>
            <w:hideMark/>
          </w:tcPr>
          <w:p w14:paraId="760973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18370071</w:t>
            </w:r>
          </w:p>
        </w:tc>
        <w:tc>
          <w:tcPr>
            <w:tcW w:w="160" w:type="dxa"/>
            <w:tcBorders>
              <w:top w:val="nil"/>
              <w:left w:val="nil"/>
              <w:bottom w:val="single" w:sz="4" w:space="0" w:color="auto"/>
              <w:right w:val="nil"/>
            </w:tcBorders>
            <w:vAlign w:val="center"/>
          </w:tcPr>
          <w:p w14:paraId="63915C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89F8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DEKANI</w:t>
            </w:r>
          </w:p>
        </w:tc>
      </w:tr>
      <w:tr w:rsidR="00072A69" w:rsidRPr="00DC6DF9" w14:paraId="31FEDA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D73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1114</w:t>
            </w:r>
          </w:p>
        </w:tc>
        <w:tc>
          <w:tcPr>
            <w:tcW w:w="1036" w:type="dxa"/>
            <w:tcBorders>
              <w:top w:val="nil"/>
              <w:left w:val="nil"/>
              <w:bottom w:val="single" w:sz="4" w:space="0" w:color="auto"/>
              <w:right w:val="single" w:sz="4" w:space="0" w:color="auto"/>
            </w:tcBorders>
            <w:shd w:val="clear" w:color="auto" w:fill="auto"/>
            <w:noWrap/>
            <w:vAlign w:val="center"/>
            <w:hideMark/>
          </w:tcPr>
          <w:p w14:paraId="32FDD2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5085772000</w:t>
            </w:r>
          </w:p>
        </w:tc>
        <w:tc>
          <w:tcPr>
            <w:tcW w:w="1036" w:type="dxa"/>
            <w:tcBorders>
              <w:top w:val="nil"/>
              <w:left w:val="nil"/>
              <w:bottom w:val="single" w:sz="4" w:space="0" w:color="auto"/>
              <w:right w:val="single" w:sz="4" w:space="0" w:color="auto"/>
            </w:tcBorders>
            <w:shd w:val="clear" w:color="auto" w:fill="auto"/>
            <w:noWrap/>
            <w:vAlign w:val="center"/>
            <w:hideMark/>
          </w:tcPr>
          <w:p w14:paraId="4E75B8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82684669</w:t>
            </w:r>
          </w:p>
        </w:tc>
        <w:tc>
          <w:tcPr>
            <w:tcW w:w="160" w:type="dxa"/>
            <w:tcBorders>
              <w:top w:val="nil"/>
              <w:left w:val="nil"/>
              <w:bottom w:val="single" w:sz="4" w:space="0" w:color="auto"/>
              <w:right w:val="nil"/>
            </w:tcBorders>
            <w:vAlign w:val="center"/>
          </w:tcPr>
          <w:p w14:paraId="15304B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C829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DESKLE</w:t>
            </w:r>
          </w:p>
        </w:tc>
      </w:tr>
      <w:tr w:rsidR="00072A69" w:rsidRPr="00DC6DF9" w14:paraId="2FA81C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0783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1115</w:t>
            </w:r>
          </w:p>
        </w:tc>
        <w:tc>
          <w:tcPr>
            <w:tcW w:w="1036" w:type="dxa"/>
            <w:tcBorders>
              <w:top w:val="nil"/>
              <w:left w:val="nil"/>
              <w:bottom w:val="single" w:sz="4" w:space="0" w:color="auto"/>
              <w:right w:val="single" w:sz="4" w:space="0" w:color="auto"/>
            </w:tcBorders>
            <w:shd w:val="clear" w:color="auto" w:fill="auto"/>
            <w:noWrap/>
            <w:vAlign w:val="center"/>
            <w:hideMark/>
          </w:tcPr>
          <w:p w14:paraId="505CB0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5086990000</w:t>
            </w:r>
          </w:p>
        </w:tc>
        <w:tc>
          <w:tcPr>
            <w:tcW w:w="1036" w:type="dxa"/>
            <w:tcBorders>
              <w:top w:val="nil"/>
              <w:left w:val="nil"/>
              <w:bottom w:val="single" w:sz="4" w:space="0" w:color="auto"/>
              <w:right w:val="single" w:sz="4" w:space="0" w:color="auto"/>
            </w:tcBorders>
            <w:shd w:val="clear" w:color="auto" w:fill="auto"/>
            <w:noWrap/>
            <w:vAlign w:val="center"/>
            <w:hideMark/>
          </w:tcPr>
          <w:p w14:paraId="0EF882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68493002</w:t>
            </w:r>
          </w:p>
        </w:tc>
        <w:tc>
          <w:tcPr>
            <w:tcW w:w="160" w:type="dxa"/>
            <w:tcBorders>
              <w:top w:val="nil"/>
              <w:left w:val="nil"/>
              <w:bottom w:val="single" w:sz="4" w:space="0" w:color="auto"/>
              <w:right w:val="nil"/>
            </w:tcBorders>
            <w:vAlign w:val="center"/>
          </w:tcPr>
          <w:p w14:paraId="6EB00E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30BB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DESTRNIK - TRNOVSKA VAS</w:t>
            </w:r>
          </w:p>
        </w:tc>
      </w:tr>
      <w:tr w:rsidR="00072A69" w:rsidRPr="00DC6DF9" w14:paraId="0E34D3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5245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1116</w:t>
            </w:r>
          </w:p>
        </w:tc>
        <w:tc>
          <w:tcPr>
            <w:tcW w:w="1036" w:type="dxa"/>
            <w:tcBorders>
              <w:top w:val="nil"/>
              <w:left w:val="nil"/>
              <w:bottom w:val="single" w:sz="4" w:space="0" w:color="auto"/>
              <w:right w:val="single" w:sz="4" w:space="0" w:color="auto"/>
            </w:tcBorders>
            <w:shd w:val="clear" w:color="auto" w:fill="auto"/>
            <w:noWrap/>
            <w:vAlign w:val="center"/>
            <w:hideMark/>
          </w:tcPr>
          <w:p w14:paraId="7234F1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5084733000</w:t>
            </w:r>
          </w:p>
        </w:tc>
        <w:tc>
          <w:tcPr>
            <w:tcW w:w="1036" w:type="dxa"/>
            <w:tcBorders>
              <w:top w:val="nil"/>
              <w:left w:val="nil"/>
              <w:bottom w:val="single" w:sz="4" w:space="0" w:color="auto"/>
              <w:right w:val="single" w:sz="4" w:space="0" w:color="auto"/>
            </w:tcBorders>
            <w:shd w:val="clear" w:color="auto" w:fill="auto"/>
            <w:noWrap/>
            <w:vAlign w:val="center"/>
            <w:hideMark/>
          </w:tcPr>
          <w:p w14:paraId="74100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98266144</w:t>
            </w:r>
          </w:p>
        </w:tc>
        <w:tc>
          <w:tcPr>
            <w:tcW w:w="160" w:type="dxa"/>
            <w:tcBorders>
              <w:top w:val="nil"/>
              <w:left w:val="nil"/>
              <w:bottom w:val="single" w:sz="4" w:space="0" w:color="auto"/>
              <w:right w:val="nil"/>
            </w:tcBorders>
            <w:vAlign w:val="center"/>
          </w:tcPr>
          <w:p w14:paraId="26AC80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D55B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DOB</w:t>
            </w:r>
          </w:p>
        </w:tc>
      </w:tr>
      <w:tr w:rsidR="00072A69" w:rsidRPr="00DC6DF9" w14:paraId="321C3F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A333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1117</w:t>
            </w:r>
          </w:p>
        </w:tc>
        <w:tc>
          <w:tcPr>
            <w:tcW w:w="1036" w:type="dxa"/>
            <w:tcBorders>
              <w:top w:val="nil"/>
              <w:left w:val="nil"/>
              <w:bottom w:val="single" w:sz="4" w:space="0" w:color="auto"/>
              <w:right w:val="single" w:sz="4" w:space="0" w:color="auto"/>
            </w:tcBorders>
            <w:shd w:val="clear" w:color="auto" w:fill="auto"/>
            <w:noWrap/>
            <w:vAlign w:val="center"/>
            <w:hideMark/>
          </w:tcPr>
          <w:p w14:paraId="5F0789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5582911000</w:t>
            </w:r>
          </w:p>
        </w:tc>
        <w:tc>
          <w:tcPr>
            <w:tcW w:w="1036" w:type="dxa"/>
            <w:tcBorders>
              <w:top w:val="nil"/>
              <w:left w:val="nil"/>
              <w:bottom w:val="single" w:sz="4" w:space="0" w:color="auto"/>
              <w:right w:val="single" w:sz="4" w:space="0" w:color="auto"/>
            </w:tcBorders>
            <w:shd w:val="clear" w:color="auto" w:fill="auto"/>
            <w:noWrap/>
            <w:vAlign w:val="center"/>
            <w:hideMark/>
          </w:tcPr>
          <w:p w14:paraId="3F37C1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84077867</w:t>
            </w:r>
          </w:p>
        </w:tc>
        <w:tc>
          <w:tcPr>
            <w:tcW w:w="160" w:type="dxa"/>
            <w:tcBorders>
              <w:top w:val="nil"/>
              <w:left w:val="nil"/>
              <w:bottom w:val="single" w:sz="4" w:space="0" w:color="auto"/>
              <w:right w:val="nil"/>
            </w:tcBorders>
            <w:vAlign w:val="center"/>
          </w:tcPr>
          <w:p w14:paraId="591586C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E0DA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DOBJE</w:t>
            </w:r>
          </w:p>
        </w:tc>
      </w:tr>
      <w:tr w:rsidR="00072A69" w:rsidRPr="00DC6DF9" w14:paraId="3CD312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AEE8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1118</w:t>
            </w:r>
          </w:p>
        </w:tc>
        <w:tc>
          <w:tcPr>
            <w:tcW w:w="1036" w:type="dxa"/>
            <w:tcBorders>
              <w:top w:val="nil"/>
              <w:left w:val="nil"/>
              <w:bottom w:val="single" w:sz="4" w:space="0" w:color="auto"/>
              <w:right w:val="single" w:sz="4" w:space="0" w:color="auto"/>
            </w:tcBorders>
            <w:shd w:val="clear" w:color="auto" w:fill="auto"/>
            <w:noWrap/>
            <w:vAlign w:val="center"/>
            <w:hideMark/>
          </w:tcPr>
          <w:p w14:paraId="5126A8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5085888000</w:t>
            </w:r>
          </w:p>
        </w:tc>
        <w:tc>
          <w:tcPr>
            <w:tcW w:w="1036" w:type="dxa"/>
            <w:tcBorders>
              <w:top w:val="nil"/>
              <w:left w:val="nil"/>
              <w:bottom w:val="single" w:sz="4" w:space="0" w:color="auto"/>
              <w:right w:val="single" w:sz="4" w:space="0" w:color="auto"/>
            </w:tcBorders>
            <w:shd w:val="clear" w:color="auto" w:fill="auto"/>
            <w:noWrap/>
            <w:vAlign w:val="center"/>
            <w:hideMark/>
          </w:tcPr>
          <w:p w14:paraId="531E7C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89450116</w:t>
            </w:r>
          </w:p>
        </w:tc>
        <w:tc>
          <w:tcPr>
            <w:tcW w:w="160" w:type="dxa"/>
            <w:tcBorders>
              <w:top w:val="nil"/>
              <w:left w:val="nil"/>
              <w:bottom w:val="single" w:sz="4" w:space="0" w:color="auto"/>
              <w:right w:val="nil"/>
            </w:tcBorders>
            <w:vAlign w:val="center"/>
          </w:tcPr>
          <w:p w14:paraId="53A2CE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CB49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DOBRAVLJE</w:t>
            </w:r>
          </w:p>
        </w:tc>
      </w:tr>
      <w:tr w:rsidR="00072A69" w:rsidRPr="00DC6DF9" w14:paraId="019946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6B41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1119</w:t>
            </w:r>
          </w:p>
        </w:tc>
        <w:tc>
          <w:tcPr>
            <w:tcW w:w="1036" w:type="dxa"/>
            <w:tcBorders>
              <w:top w:val="nil"/>
              <w:left w:val="nil"/>
              <w:bottom w:val="single" w:sz="4" w:space="0" w:color="auto"/>
              <w:right w:val="single" w:sz="4" w:space="0" w:color="auto"/>
            </w:tcBorders>
            <w:shd w:val="clear" w:color="auto" w:fill="auto"/>
            <w:noWrap/>
            <w:vAlign w:val="center"/>
            <w:hideMark/>
          </w:tcPr>
          <w:p w14:paraId="15BD7A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5089956000</w:t>
            </w:r>
          </w:p>
        </w:tc>
        <w:tc>
          <w:tcPr>
            <w:tcW w:w="1036" w:type="dxa"/>
            <w:tcBorders>
              <w:top w:val="nil"/>
              <w:left w:val="nil"/>
              <w:bottom w:val="single" w:sz="4" w:space="0" w:color="auto"/>
              <w:right w:val="single" w:sz="4" w:space="0" w:color="auto"/>
            </w:tcBorders>
            <w:shd w:val="clear" w:color="auto" w:fill="auto"/>
            <w:noWrap/>
            <w:vAlign w:val="center"/>
            <w:hideMark/>
          </w:tcPr>
          <w:p w14:paraId="211A5B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44770103</w:t>
            </w:r>
          </w:p>
        </w:tc>
        <w:tc>
          <w:tcPr>
            <w:tcW w:w="160" w:type="dxa"/>
            <w:tcBorders>
              <w:top w:val="nil"/>
              <w:left w:val="nil"/>
              <w:bottom w:val="single" w:sz="4" w:space="0" w:color="auto"/>
              <w:right w:val="nil"/>
            </w:tcBorders>
            <w:vAlign w:val="center"/>
          </w:tcPr>
          <w:p w14:paraId="0B46A1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B9AF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DOBREPOLJE</w:t>
            </w:r>
          </w:p>
        </w:tc>
      </w:tr>
      <w:tr w:rsidR="00072A69" w:rsidRPr="00DC6DF9" w14:paraId="4F0F88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3740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1120</w:t>
            </w:r>
          </w:p>
        </w:tc>
        <w:tc>
          <w:tcPr>
            <w:tcW w:w="1036" w:type="dxa"/>
            <w:tcBorders>
              <w:top w:val="nil"/>
              <w:left w:val="nil"/>
              <w:bottom w:val="single" w:sz="4" w:space="0" w:color="auto"/>
              <w:right w:val="single" w:sz="4" w:space="0" w:color="auto"/>
            </w:tcBorders>
            <w:shd w:val="clear" w:color="auto" w:fill="auto"/>
            <w:noWrap/>
            <w:vAlign w:val="center"/>
            <w:hideMark/>
          </w:tcPr>
          <w:p w14:paraId="12A295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5082668000</w:t>
            </w:r>
          </w:p>
        </w:tc>
        <w:tc>
          <w:tcPr>
            <w:tcW w:w="1036" w:type="dxa"/>
            <w:tcBorders>
              <w:top w:val="nil"/>
              <w:left w:val="nil"/>
              <w:bottom w:val="single" w:sz="4" w:space="0" w:color="auto"/>
              <w:right w:val="single" w:sz="4" w:space="0" w:color="auto"/>
            </w:tcBorders>
            <w:shd w:val="clear" w:color="auto" w:fill="auto"/>
            <w:noWrap/>
            <w:vAlign w:val="center"/>
            <w:hideMark/>
          </w:tcPr>
          <w:p w14:paraId="025367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15988945</w:t>
            </w:r>
          </w:p>
        </w:tc>
        <w:tc>
          <w:tcPr>
            <w:tcW w:w="160" w:type="dxa"/>
            <w:tcBorders>
              <w:top w:val="nil"/>
              <w:left w:val="nil"/>
              <w:bottom w:val="single" w:sz="4" w:space="0" w:color="auto"/>
              <w:right w:val="nil"/>
            </w:tcBorders>
            <w:vAlign w:val="center"/>
          </w:tcPr>
          <w:p w14:paraId="54A934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489F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DOBRNA</w:t>
            </w:r>
          </w:p>
        </w:tc>
      </w:tr>
      <w:tr w:rsidR="00072A69" w:rsidRPr="00DC6DF9" w14:paraId="2BB590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F244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1121</w:t>
            </w:r>
          </w:p>
        </w:tc>
        <w:tc>
          <w:tcPr>
            <w:tcW w:w="1036" w:type="dxa"/>
            <w:tcBorders>
              <w:top w:val="nil"/>
              <w:left w:val="nil"/>
              <w:bottom w:val="single" w:sz="4" w:space="0" w:color="auto"/>
              <w:right w:val="single" w:sz="4" w:space="0" w:color="auto"/>
            </w:tcBorders>
            <w:shd w:val="clear" w:color="auto" w:fill="auto"/>
            <w:noWrap/>
            <w:vAlign w:val="center"/>
            <w:hideMark/>
          </w:tcPr>
          <w:p w14:paraId="662A4B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5084415000</w:t>
            </w:r>
          </w:p>
        </w:tc>
        <w:tc>
          <w:tcPr>
            <w:tcW w:w="1036" w:type="dxa"/>
            <w:tcBorders>
              <w:top w:val="nil"/>
              <w:left w:val="nil"/>
              <w:bottom w:val="single" w:sz="4" w:space="0" w:color="auto"/>
              <w:right w:val="single" w:sz="4" w:space="0" w:color="auto"/>
            </w:tcBorders>
            <w:shd w:val="clear" w:color="auto" w:fill="auto"/>
            <w:noWrap/>
            <w:vAlign w:val="center"/>
            <w:hideMark/>
          </w:tcPr>
          <w:p w14:paraId="7F9B27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13274546</w:t>
            </w:r>
          </w:p>
        </w:tc>
        <w:tc>
          <w:tcPr>
            <w:tcW w:w="160" w:type="dxa"/>
            <w:tcBorders>
              <w:top w:val="nil"/>
              <w:left w:val="nil"/>
              <w:bottom w:val="single" w:sz="4" w:space="0" w:color="auto"/>
              <w:right w:val="nil"/>
            </w:tcBorders>
            <w:vAlign w:val="center"/>
          </w:tcPr>
          <w:p w14:paraId="7E568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1153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DOBROVA</w:t>
            </w:r>
          </w:p>
        </w:tc>
      </w:tr>
      <w:tr w:rsidR="00072A69" w:rsidRPr="00DC6DF9" w14:paraId="7088F1F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6A15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1122</w:t>
            </w:r>
          </w:p>
        </w:tc>
        <w:tc>
          <w:tcPr>
            <w:tcW w:w="1036" w:type="dxa"/>
            <w:tcBorders>
              <w:top w:val="nil"/>
              <w:left w:val="nil"/>
              <w:bottom w:val="single" w:sz="4" w:space="0" w:color="auto"/>
              <w:right w:val="single" w:sz="4" w:space="0" w:color="auto"/>
            </w:tcBorders>
            <w:shd w:val="clear" w:color="auto" w:fill="auto"/>
            <w:noWrap/>
            <w:vAlign w:val="center"/>
            <w:hideMark/>
          </w:tcPr>
          <w:p w14:paraId="53D7E2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5086370000</w:t>
            </w:r>
          </w:p>
        </w:tc>
        <w:tc>
          <w:tcPr>
            <w:tcW w:w="1036" w:type="dxa"/>
            <w:tcBorders>
              <w:top w:val="nil"/>
              <w:left w:val="nil"/>
              <w:bottom w:val="single" w:sz="4" w:space="0" w:color="auto"/>
              <w:right w:val="single" w:sz="4" w:space="0" w:color="auto"/>
            </w:tcBorders>
            <w:shd w:val="clear" w:color="auto" w:fill="auto"/>
            <w:noWrap/>
            <w:vAlign w:val="center"/>
            <w:hideMark/>
          </w:tcPr>
          <w:p w14:paraId="1C1200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51655535</w:t>
            </w:r>
          </w:p>
        </w:tc>
        <w:tc>
          <w:tcPr>
            <w:tcW w:w="160" w:type="dxa"/>
            <w:tcBorders>
              <w:top w:val="nil"/>
              <w:left w:val="nil"/>
              <w:bottom w:val="single" w:sz="4" w:space="0" w:color="auto"/>
              <w:right w:val="nil"/>
            </w:tcBorders>
            <w:vAlign w:val="center"/>
          </w:tcPr>
          <w:p w14:paraId="79A3C4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C772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DOLENJSKE TOPLICE</w:t>
            </w:r>
          </w:p>
        </w:tc>
      </w:tr>
      <w:tr w:rsidR="00072A69" w:rsidRPr="00DC6DF9" w14:paraId="634C16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B71A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1123</w:t>
            </w:r>
          </w:p>
        </w:tc>
        <w:tc>
          <w:tcPr>
            <w:tcW w:w="1036" w:type="dxa"/>
            <w:tcBorders>
              <w:top w:val="nil"/>
              <w:left w:val="nil"/>
              <w:bottom w:val="single" w:sz="4" w:space="0" w:color="auto"/>
              <w:right w:val="single" w:sz="4" w:space="0" w:color="auto"/>
            </w:tcBorders>
            <w:shd w:val="clear" w:color="auto" w:fill="auto"/>
            <w:noWrap/>
            <w:vAlign w:val="center"/>
            <w:hideMark/>
          </w:tcPr>
          <w:p w14:paraId="1B73DF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5085802000</w:t>
            </w:r>
          </w:p>
        </w:tc>
        <w:tc>
          <w:tcPr>
            <w:tcW w:w="1036" w:type="dxa"/>
            <w:tcBorders>
              <w:top w:val="nil"/>
              <w:left w:val="nil"/>
              <w:bottom w:val="single" w:sz="4" w:space="0" w:color="auto"/>
              <w:right w:val="single" w:sz="4" w:space="0" w:color="auto"/>
            </w:tcBorders>
            <w:shd w:val="clear" w:color="auto" w:fill="auto"/>
            <w:noWrap/>
            <w:vAlign w:val="center"/>
            <w:hideMark/>
          </w:tcPr>
          <w:p w14:paraId="4756EE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30649366</w:t>
            </w:r>
          </w:p>
        </w:tc>
        <w:tc>
          <w:tcPr>
            <w:tcW w:w="160" w:type="dxa"/>
            <w:tcBorders>
              <w:top w:val="nil"/>
              <w:left w:val="nil"/>
              <w:bottom w:val="single" w:sz="4" w:space="0" w:color="auto"/>
              <w:right w:val="nil"/>
            </w:tcBorders>
            <w:vAlign w:val="center"/>
          </w:tcPr>
          <w:p w14:paraId="6D0B0A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A4FB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DORNBERK</w:t>
            </w:r>
          </w:p>
        </w:tc>
      </w:tr>
      <w:tr w:rsidR="00072A69" w:rsidRPr="00DC6DF9" w14:paraId="2AC5DD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0030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1124</w:t>
            </w:r>
          </w:p>
        </w:tc>
        <w:tc>
          <w:tcPr>
            <w:tcW w:w="1036" w:type="dxa"/>
            <w:tcBorders>
              <w:top w:val="nil"/>
              <w:left w:val="nil"/>
              <w:bottom w:val="single" w:sz="4" w:space="0" w:color="auto"/>
              <w:right w:val="single" w:sz="4" w:space="0" w:color="auto"/>
            </w:tcBorders>
            <w:shd w:val="clear" w:color="auto" w:fill="auto"/>
            <w:noWrap/>
            <w:vAlign w:val="center"/>
            <w:hideMark/>
          </w:tcPr>
          <w:p w14:paraId="1754AF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5087422000</w:t>
            </w:r>
          </w:p>
        </w:tc>
        <w:tc>
          <w:tcPr>
            <w:tcW w:w="1036" w:type="dxa"/>
            <w:tcBorders>
              <w:top w:val="nil"/>
              <w:left w:val="nil"/>
              <w:bottom w:val="single" w:sz="4" w:space="0" w:color="auto"/>
              <w:right w:val="single" w:sz="4" w:space="0" w:color="auto"/>
            </w:tcBorders>
            <w:shd w:val="clear" w:color="auto" w:fill="auto"/>
            <w:noWrap/>
            <w:vAlign w:val="center"/>
            <w:hideMark/>
          </w:tcPr>
          <w:p w14:paraId="26D227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58814515</w:t>
            </w:r>
          </w:p>
        </w:tc>
        <w:tc>
          <w:tcPr>
            <w:tcW w:w="160" w:type="dxa"/>
            <w:tcBorders>
              <w:top w:val="nil"/>
              <w:left w:val="nil"/>
              <w:bottom w:val="single" w:sz="4" w:space="0" w:color="auto"/>
              <w:right w:val="nil"/>
            </w:tcBorders>
            <w:vAlign w:val="center"/>
          </w:tcPr>
          <w:p w14:paraId="6732AF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7C89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ANTONA DEBELJAKA LOŠKI POTOK</w:t>
            </w:r>
          </w:p>
        </w:tc>
      </w:tr>
      <w:tr w:rsidR="00072A69" w:rsidRPr="00DC6DF9" w14:paraId="2F8E01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C547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1125</w:t>
            </w:r>
          </w:p>
        </w:tc>
        <w:tc>
          <w:tcPr>
            <w:tcW w:w="1036" w:type="dxa"/>
            <w:tcBorders>
              <w:top w:val="nil"/>
              <w:left w:val="nil"/>
              <w:bottom w:val="single" w:sz="4" w:space="0" w:color="auto"/>
              <w:right w:val="single" w:sz="4" w:space="0" w:color="auto"/>
            </w:tcBorders>
            <w:shd w:val="clear" w:color="auto" w:fill="auto"/>
            <w:noWrap/>
            <w:vAlign w:val="center"/>
            <w:hideMark/>
          </w:tcPr>
          <w:p w14:paraId="4252DB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5082897000</w:t>
            </w:r>
          </w:p>
        </w:tc>
        <w:tc>
          <w:tcPr>
            <w:tcW w:w="1036" w:type="dxa"/>
            <w:tcBorders>
              <w:top w:val="nil"/>
              <w:left w:val="nil"/>
              <w:bottom w:val="single" w:sz="4" w:space="0" w:color="auto"/>
              <w:right w:val="single" w:sz="4" w:space="0" w:color="auto"/>
            </w:tcBorders>
            <w:shd w:val="clear" w:color="auto" w:fill="auto"/>
            <w:noWrap/>
            <w:vAlign w:val="center"/>
            <w:hideMark/>
          </w:tcPr>
          <w:p w14:paraId="7FCAC7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92256457</w:t>
            </w:r>
          </w:p>
        </w:tc>
        <w:tc>
          <w:tcPr>
            <w:tcW w:w="160" w:type="dxa"/>
            <w:tcBorders>
              <w:top w:val="nil"/>
              <w:left w:val="nil"/>
              <w:bottom w:val="single" w:sz="4" w:space="0" w:color="auto"/>
              <w:right w:val="nil"/>
            </w:tcBorders>
            <w:vAlign w:val="center"/>
          </w:tcPr>
          <w:p w14:paraId="21497F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B952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ANTONA TRSTENJAKA NEGOVA</w:t>
            </w:r>
          </w:p>
        </w:tc>
      </w:tr>
      <w:tr w:rsidR="00072A69" w:rsidRPr="00DC6DF9" w14:paraId="7C23D81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D04B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1126</w:t>
            </w:r>
          </w:p>
        </w:tc>
        <w:tc>
          <w:tcPr>
            <w:tcW w:w="1036" w:type="dxa"/>
            <w:tcBorders>
              <w:top w:val="nil"/>
              <w:left w:val="nil"/>
              <w:bottom w:val="single" w:sz="4" w:space="0" w:color="auto"/>
              <w:right w:val="single" w:sz="4" w:space="0" w:color="auto"/>
            </w:tcBorders>
            <w:shd w:val="clear" w:color="auto" w:fill="auto"/>
            <w:noWrap/>
            <w:vAlign w:val="center"/>
            <w:hideMark/>
          </w:tcPr>
          <w:p w14:paraId="52FEAE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5089336000</w:t>
            </w:r>
          </w:p>
        </w:tc>
        <w:tc>
          <w:tcPr>
            <w:tcW w:w="1036" w:type="dxa"/>
            <w:tcBorders>
              <w:top w:val="nil"/>
              <w:left w:val="nil"/>
              <w:bottom w:val="single" w:sz="4" w:space="0" w:color="auto"/>
              <w:right w:val="single" w:sz="4" w:space="0" w:color="auto"/>
            </w:tcBorders>
            <w:shd w:val="clear" w:color="auto" w:fill="auto"/>
            <w:noWrap/>
            <w:vAlign w:val="center"/>
            <w:hideMark/>
          </w:tcPr>
          <w:p w14:paraId="0F737C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96121840</w:t>
            </w:r>
          </w:p>
        </w:tc>
        <w:tc>
          <w:tcPr>
            <w:tcW w:w="160" w:type="dxa"/>
            <w:tcBorders>
              <w:top w:val="nil"/>
              <w:left w:val="nil"/>
              <w:bottom w:val="single" w:sz="4" w:space="0" w:color="auto"/>
              <w:right w:val="nil"/>
            </w:tcBorders>
            <w:vAlign w:val="center"/>
          </w:tcPr>
          <w:p w14:paraId="5C8D50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5000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BOGOMIRJA MAGAJNE DIVAČA</w:t>
            </w:r>
          </w:p>
        </w:tc>
      </w:tr>
      <w:tr w:rsidR="00072A69" w:rsidRPr="00DC6DF9" w14:paraId="2C60CC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262C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1127</w:t>
            </w:r>
          </w:p>
        </w:tc>
        <w:tc>
          <w:tcPr>
            <w:tcW w:w="1036" w:type="dxa"/>
            <w:tcBorders>
              <w:top w:val="nil"/>
              <w:left w:val="nil"/>
              <w:bottom w:val="single" w:sz="4" w:space="0" w:color="auto"/>
              <w:right w:val="single" w:sz="4" w:space="0" w:color="auto"/>
            </w:tcBorders>
            <w:shd w:val="clear" w:color="auto" w:fill="auto"/>
            <w:noWrap/>
            <w:vAlign w:val="center"/>
            <w:hideMark/>
          </w:tcPr>
          <w:p w14:paraId="01914F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5087449000</w:t>
            </w:r>
          </w:p>
        </w:tc>
        <w:tc>
          <w:tcPr>
            <w:tcW w:w="1036" w:type="dxa"/>
            <w:tcBorders>
              <w:top w:val="nil"/>
              <w:left w:val="nil"/>
              <w:bottom w:val="single" w:sz="4" w:space="0" w:color="auto"/>
              <w:right w:val="single" w:sz="4" w:space="0" w:color="auto"/>
            </w:tcBorders>
            <w:shd w:val="clear" w:color="auto" w:fill="auto"/>
            <w:noWrap/>
            <w:vAlign w:val="center"/>
            <w:hideMark/>
          </w:tcPr>
          <w:p w14:paraId="3E9ED1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66532060</w:t>
            </w:r>
          </w:p>
        </w:tc>
        <w:tc>
          <w:tcPr>
            <w:tcW w:w="160" w:type="dxa"/>
            <w:tcBorders>
              <w:top w:val="nil"/>
              <w:left w:val="nil"/>
              <w:bottom w:val="single" w:sz="4" w:space="0" w:color="auto"/>
              <w:right w:val="nil"/>
            </w:tcBorders>
            <w:vAlign w:val="center"/>
          </w:tcPr>
          <w:p w14:paraId="6DD2E5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BC64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FRANCETA PREŠERNA</w:t>
            </w:r>
          </w:p>
        </w:tc>
      </w:tr>
      <w:tr w:rsidR="00072A69" w:rsidRPr="00DC6DF9" w14:paraId="11E3A5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8C14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1128</w:t>
            </w:r>
          </w:p>
        </w:tc>
        <w:tc>
          <w:tcPr>
            <w:tcW w:w="1036" w:type="dxa"/>
            <w:tcBorders>
              <w:top w:val="nil"/>
              <w:left w:val="nil"/>
              <w:bottom w:val="single" w:sz="4" w:space="0" w:color="auto"/>
              <w:right w:val="single" w:sz="4" w:space="0" w:color="auto"/>
            </w:tcBorders>
            <w:shd w:val="clear" w:color="auto" w:fill="auto"/>
            <w:noWrap/>
            <w:vAlign w:val="center"/>
            <w:hideMark/>
          </w:tcPr>
          <w:p w14:paraId="5106C5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5087015000</w:t>
            </w:r>
          </w:p>
        </w:tc>
        <w:tc>
          <w:tcPr>
            <w:tcW w:w="1036" w:type="dxa"/>
            <w:tcBorders>
              <w:top w:val="nil"/>
              <w:left w:val="nil"/>
              <w:bottom w:val="single" w:sz="4" w:space="0" w:color="auto"/>
              <w:right w:val="single" w:sz="4" w:space="0" w:color="auto"/>
            </w:tcBorders>
            <w:shd w:val="clear" w:color="auto" w:fill="auto"/>
            <w:noWrap/>
            <w:vAlign w:val="center"/>
            <w:hideMark/>
          </w:tcPr>
          <w:p w14:paraId="0BC92A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31182194</w:t>
            </w:r>
          </w:p>
        </w:tc>
        <w:tc>
          <w:tcPr>
            <w:tcW w:w="160" w:type="dxa"/>
            <w:tcBorders>
              <w:top w:val="nil"/>
              <w:left w:val="nil"/>
              <w:bottom w:val="single" w:sz="4" w:space="0" w:color="auto"/>
              <w:right w:val="nil"/>
            </w:tcBorders>
            <w:vAlign w:val="center"/>
          </w:tcPr>
          <w:p w14:paraId="3F65929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B67C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FRANJA ŽGEČA DORNAVA</w:t>
            </w:r>
          </w:p>
        </w:tc>
      </w:tr>
      <w:tr w:rsidR="00072A69" w:rsidRPr="00DC6DF9" w14:paraId="1BA3DC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5F86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1129</w:t>
            </w:r>
          </w:p>
        </w:tc>
        <w:tc>
          <w:tcPr>
            <w:tcW w:w="1036" w:type="dxa"/>
            <w:tcBorders>
              <w:top w:val="nil"/>
              <w:left w:val="nil"/>
              <w:bottom w:val="single" w:sz="4" w:space="0" w:color="auto"/>
              <w:right w:val="single" w:sz="4" w:space="0" w:color="auto"/>
            </w:tcBorders>
            <w:shd w:val="clear" w:color="auto" w:fill="auto"/>
            <w:noWrap/>
            <w:vAlign w:val="center"/>
            <w:hideMark/>
          </w:tcPr>
          <w:p w14:paraId="1CB3D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5087465000</w:t>
            </w:r>
          </w:p>
        </w:tc>
        <w:tc>
          <w:tcPr>
            <w:tcW w:w="1036" w:type="dxa"/>
            <w:tcBorders>
              <w:top w:val="nil"/>
              <w:left w:val="nil"/>
              <w:bottom w:val="single" w:sz="4" w:space="0" w:color="auto"/>
              <w:right w:val="single" w:sz="4" w:space="0" w:color="auto"/>
            </w:tcBorders>
            <w:shd w:val="clear" w:color="auto" w:fill="auto"/>
            <w:noWrap/>
            <w:vAlign w:val="center"/>
            <w:hideMark/>
          </w:tcPr>
          <w:p w14:paraId="39AC6F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41016017</w:t>
            </w:r>
          </w:p>
        </w:tc>
        <w:tc>
          <w:tcPr>
            <w:tcW w:w="160" w:type="dxa"/>
            <w:tcBorders>
              <w:top w:val="nil"/>
              <w:left w:val="nil"/>
              <w:bottom w:val="single" w:sz="4" w:space="0" w:color="auto"/>
              <w:right w:val="nil"/>
            </w:tcBorders>
            <w:vAlign w:val="center"/>
          </w:tcPr>
          <w:p w14:paraId="273E62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625D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IVANA PRIJATELJA SODRAŽICA</w:t>
            </w:r>
          </w:p>
        </w:tc>
      </w:tr>
      <w:tr w:rsidR="00072A69" w:rsidRPr="00DC6DF9" w14:paraId="0B2E71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4550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1130</w:t>
            </w:r>
          </w:p>
        </w:tc>
        <w:tc>
          <w:tcPr>
            <w:tcW w:w="1036" w:type="dxa"/>
            <w:tcBorders>
              <w:top w:val="nil"/>
              <w:left w:val="nil"/>
              <w:bottom w:val="single" w:sz="4" w:space="0" w:color="auto"/>
              <w:right w:val="single" w:sz="4" w:space="0" w:color="auto"/>
            </w:tcBorders>
            <w:shd w:val="clear" w:color="auto" w:fill="auto"/>
            <w:noWrap/>
            <w:vAlign w:val="center"/>
            <w:hideMark/>
          </w:tcPr>
          <w:p w14:paraId="163102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5087309000</w:t>
            </w:r>
          </w:p>
        </w:tc>
        <w:tc>
          <w:tcPr>
            <w:tcW w:w="1036" w:type="dxa"/>
            <w:tcBorders>
              <w:top w:val="nil"/>
              <w:left w:val="nil"/>
              <w:bottom w:val="single" w:sz="4" w:space="0" w:color="auto"/>
              <w:right w:val="single" w:sz="4" w:space="0" w:color="auto"/>
            </w:tcBorders>
            <w:shd w:val="clear" w:color="auto" w:fill="auto"/>
            <w:noWrap/>
            <w:vAlign w:val="center"/>
            <w:hideMark/>
          </w:tcPr>
          <w:p w14:paraId="713E8B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51576597</w:t>
            </w:r>
          </w:p>
        </w:tc>
        <w:tc>
          <w:tcPr>
            <w:tcW w:w="160" w:type="dxa"/>
            <w:tcBorders>
              <w:top w:val="nil"/>
              <w:left w:val="nil"/>
              <w:bottom w:val="single" w:sz="4" w:space="0" w:color="auto"/>
              <w:right w:val="nil"/>
            </w:tcBorders>
            <w:vAlign w:val="center"/>
          </w:tcPr>
          <w:p w14:paraId="077193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237A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JANEZA MENCINGERJA BOHINJSKA BISTRICA</w:t>
            </w:r>
          </w:p>
        </w:tc>
      </w:tr>
      <w:tr w:rsidR="00072A69" w:rsidRPr="00DC6DF9" w14:paraId="3B07E7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D320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1131</w:t>
            </w:r>
          </w:p>
        </w:tc>
        <w:tc>
          <w:tcPr>
            <w:tcW w:w="1036" w:type="dxa"/>
            <w:tcBorders>
              <w:top w:val="nil"/>
              <w:left w:val="nil"/>
              <w:bottom w:val="single" w:sz="4" w:space="0" w:color="auto"/>
              <w:right w:val="single" w:sz="4" w:space="0" w:color="auto"/>
            </w:tcBorders>
            <w:shd w:val="clear" w:color="auto" w:fill="auto"/>
            <w:noWrap/>
            <w:vAlign w:val="center"/>
            <w:hideMark/>
          </w:tcPr>
          <w:p w14:paraId="319FFE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5087635000</w:t>
            </w:r>
          </w:p>
        </w:tc>
        <w:tc>
          <w:tcPr>
            <w:tcW w:w="1036" w:type="dxa"/>
            <w:tcBorders>
              <w:top w:val="nil"/>
              <w:left w:val="nil"/>
              <w:bottom w:val="single" w:sz="4" w:space="0" w:color="auto"/>
              <w:right w:val="single" w:sz="4" w:space="0" w:color="auto"/>
            </w:tcBorders>
            <w:shd w:val="clear" w:color="auto" w:fill="auto"/>
            <w:noWrap/>
            <w:vAlign w:val="center"/>
            <w:hideMark/>
          </w:tcPr>
          <w:p w14:paraId="61F13E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33029512</w:t>
            </w:r>
          </w:p>
        </w:tc>
        <w:tc>
          <w:tcPr>
            <w:tcW w:w="160" w:type="dxa"/>
            <w:tcBorders>
              <w:top w:val="nil"/>
              <w:left w:val="nil"/>
              <w:bottom w:val="single" w:sz="4" w:space="0" w:color="auto"/>
              <w:right w:val="nil"/>
            </w:tcBorders>
            <w:vAlign w:val="center"/>
          </w:tcPr>
          <w:p w14:paraId="7EF9403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22A4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JOŽETA PUČNIKA ČREŠNJEVEC</w:t>
            </w:r>
          </w:p>
        </w:tc>
      </w:tr>
      <w:tr w:rsidR="00072A69" w:rsidRPr="00DC6DF9" w14:paraId="459AB8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3921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1132</w:t>
            </w:r>
          </w:p>
        </w:tc>
        <w:tc>
          <w:tcPr>
            <w:tcW w:w="1036" w:type="dxa"/>
            <w:tcBorders>
              <w:top w:val="nil"/>
              <w:left w:val="nil"/>
              <w:bottom w:val="single" w:sz="4" w:space="0" w:color="auto"/>
              <w:right w:val="single" w:sz="4" w:space="0" w:color="auto"/>
            </w:tcBorders>
            <w:shd w:val="clear" w:color="auto" w:fill="auto"/>
            <w:noWrap/>
            <w:vAlign w:val="center"/>
            <w:hideMark/>
          </w:tcPr>
          <w:p w14:paraId="5FC2D0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5082579000</w:t>
            </w:r>
          </w:p>
        </w:tc>
        <w:tc>
          <w:tcPr>
            <w:tcW w:w="1036" w:type="dxa"/>
            <w:tcBorders>
              <w:top w:val="nil"/>
              <w:left w:val="nil"/>
              <w:bottom w:val="single" w:sz="4" w:space="0" w:color="auto"/>
              <w:right w:val="single" w:sz="4" w:space="0" w:color="auto"/>
            </w:tcBorders>
            <w:shd w:val="clear" w:color="auto" w:fill="auto"/>
            <w:noWrap/>
            <w:vAlign w:val="center"/>
            <w:hideMark/>
          </w:tcPr>
          <w:p w14:paraId="4FC46E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16691059</w:t>
            </w:r>
          </w:p>
        </w:tc>
        <w:tc>
          <w:tcPr>
            <w:tcW w:w="160" w:type="dxa"/>
            <w:tcBorders>
              <w:top w:val="nil"/>
              <w:left w:val="nil"/>
              <w:bottom w:val="single" w:sz="4" w:space="0" w:color="auto"/>
              <w:right w:val="nil"/>
            </w:tcBorders>
            <w:vAlign w:val="center"/>
          </w:tcPr>
          <w:p w14:paraId="3DE134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AAAC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JOŽETA TOPORIŠIČA DOBOVA</w:t>
            </w:r>
          </w:p>
        </w:tc>
      </w:tr>
      <w:tr w:rsidR="00072A69" w:rsidRPr="00DC6DF9" w14:paraId="2D4D34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A59F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1133</w:t>
            </w:r>
          </w:p>
        </w:tc>
        <w:tc>
          <w:tcPr>
            <w:tcW w:w="1036" w:type="dxa"/>
            <w:tcBorders>
              <w:top w:val="nil"/>
              <w:left w:val="nil"/>
              <w:bottom w:val="single" w:sz="4" w:space="0" w:color="auto"/>
              <w:right w:val="single" w:sz="4" w:space="0" w:color="auto"/>
            </w:tcBorders>
            <w:shd w:val="clear" w:color="auto" w:fill="auto"/>
            <w:noWrap/>
            <w:vAlign w:val="center"/>
            <w:hideMark/>
          </w:tcPr>
          <w:p w14:paraId="7BD891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5087201000</w:t>
            </w:r>
          </w:p>
        </w:tc>
        <w:tc>
          <w:tcPr>
            <w:tcW w:w="1036" w:type="dxa"/>
            <w:tcBorders>
              <w:top w:val="nil"/>
              <w:left w:val="nil"/>
              <w:bottom w:val="single" w:sz="4" w:space="0" w:color="auto"/>
              <w:right w:val="single" w:sz="4" w:space="0" w:color="auto"/>
            </w:tcBorders>
            <w:shd w:val="clear" w:color="auto" w:fill="auto"/>
            <w:noWrap/>
            <w:vAlign w:val="center"/>
            <w:hideMark/>
          </w:tcPr>
          <w:p w14:paraId="3E6173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61373800</w:t>
            </w:r>
          </w:p>
        </w:tc>
        <w:tc>
          <w:tcPr>
            <w:tcW w:w="160" w:type="dxa"/>
            <w:tcBorders>
              <w:top w:val="nil"/>
              <w:left w:val="nil"/>
              <w:bottom w:val="single" w:sz="4" w:space="0" w:color="auto"/>
              <w:right w:val="nil"/>
            </w:tcBorders>
            <w:vAlign w:val="center"/>
          </w:tcPr>
          <w:p w14:paraId="3BA089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D137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LJUDEVITA PIVKA</w:t>
            </w:r>
          </w:p>
        </w:tc>
      </w:tr>
      <w:tr w:rsidR="00072A69" w:rsidRPr="00DC6DF9" w14:paraId="43DB10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DA6A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1134</w:t>
            </w:r>
          </w:p>
        </w:tc>
        <w:tc>
          <w:tcPr>
            <w:tcW w:w="1036" w:type="dxa"/>
            <w:tcBorders>
              <w:top w:val="nil"/>
              <w:left w:val="nil"/>
              <w:bottom w:val="single" w:sz="4" w:space="0" w:color="auto"/>
              <w:right w:val="single" w:sz="4" w:space="0" w:color="auto"/>
            </w:tcBorders>
            <w:shd w:val="clear" w:color="auto" w:fill="auto"/>
            <w:noWrap/>
            <w:vAlign w:val="center"/>
            <w:hideMark/>
          </w:tcPr>
          <w:p w14:paraId="2726E0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5083290000</w:t>
            </w:r>
          </w:p>
        </w:tc>
        <w:tc>
          <w:tcPr>
            <w:tcW w:w="1036" w:type="dxa"/>
            <w:tcBorders>
              <w:top w:val="nil"/>
              <w:left w:val="nil"/>
              <w:bottom w:val="single" w:sz="4" w:space="0" w:color="auto"/>
              <w:right w:val="single" w:sz="4" w:space="0" w:color="auto"/>
            </w:tcBorders>
            <w:shd w:val="clear" w:color="auto" w:fill="auto"/>
            <w:noWrap/>
            <w:vAlign w:val="center"/>
            <w:hideMark/>
          </w:tcPr>
          <w:p w14:paraId="198692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74268244</w:t>
            </w:r>
          </w:p>
        </w:tc>
        <w:tc>
          <w:tcPr>
            <w:tcW w:w="160" w:type="dxa"/>
            <w:tcBorders>
              <w:top w:val="nil"/>
              <w:left w:val="nil"/>
              <w:bottom w:val="single" w:sz="4" w:space="0" w:color="auto"/>
              <w:right w:val="nil"/>
            </w:tcBorders>
            <w:vAlign w:val="center"/>
          </w:tcPr>
          <w:p w14:paraId="5AA3E6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BC6E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MIHAJLA ROSTOHARJA KRŠKO</w:t>
            </w:r>
          </w:p>
        </w:tc>
      </w:tr>
      <w:tr w:rsidR="00072A69" w:rsidRPr="00DC6DF9" w14:paraId="2A3DC6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01F2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1135</w:t>
            </w:r>
          </w:p>
        </w:tc>
        <w:tc>
          <w:tcPr>
            <w:tcW w:w="1036" w:type="dxa"/>
            <w:tcBorders>
              <w:top w:val="nil"/>
              <w:left w:val="nil"/>
              <w:bottom w:val="single" w:sz="4" w:space="0" w:color="auto"/>
              <w:right w:val="single" w:sz="4" w:space="0" w:color="auto"/>
            </w:tcBorders>
            <w:shd w:val="clear" w:color="auto" w:fill="auto"/>
            <w:noWrap/>
            <w:vAlign w:val="center"/>
            <w:hideMark/>
          </w:tcPr>
          <w:p w14:paraId="53D010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5088089000</w:t>
            </w:r>
          </w:p>
        </w:tc>
        <w:tc>
          <w:tcPr>
            <w:tcW w:w="1036" w:type="dxa"/>
            <w:tcBorders>
              <w:top w:val="nil"/>
              <w:left w:val="nil"/>
              <w:bottom w:val="single" w:sz="4" w:space="0" w:color="auto"/>
              <w:right w:val="single" w:sz="4" w:space="0" w:color="auto"/>
            </w:tcBorders>
            <w:shd w:val="clear" w:color="auto" w:fill="auto"/>
            <w:noWrap/>
            <w:vAlign w:val="center"/>
            <w:hideMark/>
          </w:tcPr>
          <w:p w14:paraId="701CED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79666981</w:t>
            </w:r>
          </w:p>
        </w:tc>
        <w:tc>
          <w:tcPr>
            <w:tcW w:w="160" w:type="dxa"/>
            <w:tcBorders>
              <w:top w:val="nil"/>
              <w:left w:val="nil"/>
              <w:bottom w:val="single" w:sz="4" w:space="0" w:color="auto"/>
              <w:right w:val="nil"/>
            </w:tcBorders>
            <w:vAlign w:val="center"/>
          </w:tcPr>
          <w:p w14:paraId="20BFFA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F9B9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PAVLA LUNAČKA ŠENTRUPERT</w:t>
            </w:r>
          </w:p>
        </w:tc>
      </w:tr>
      <w:tr w:rsidR="00072A69" w:rsidRPr="00DC6DF9" w14:paraId="6FEC8B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FC8E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1136</w:t>
            </w:r>
          </w:p>
        </w:tc>
        <w:tc>
          <w:tcPr>
            <w:tcW w:w="1036" w:type="dxa"/>
            <w:tcBorders>
              <w:top w:val="nil"/>
              <w:left w:val="nil"/>
              <w:bottom w:val="single" w:sz="4" w:space="0" w:color="auto"/>
              <w:right w:val="single" w:sz="4" w:space="0" w:color="auto"/>
            </w:tcBorders>
            <w:shd w:val="clear" w:color="auto" w:fill="auto"/>
            <w:noWrap/>
            <w:vAlign w:val="center"/>
            <w:hideMark/>
          </w:tcPr>
          <w:p w14:paraId="5A021D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5088429000</w:t>
            </w:r>
          </w:p>
        </w:tc>
        <w:tc>
          <w:tcPr>
            <w:tcW w:w="1036" w:type="dxa"/>
            <w:tcBorders>
              <w:top w:val="nil"/>
              <w:left w:val="nil"/>
              <w:bottom w:val="single" w:sz="4" w:space="0" w:color="auto"/>
              <w:right w:val="single" w:sz="4" w:space="0" w:color="auto"/>
            </w:tcBorders>
            <w:shd w:val="clear" w:color="auto" w:fill="auto"/>
            <w:noWrap/>
            <w:vAlign w:val="center"/>
            <w:hideMark/>
          </w:tcPr>
          <w:p w14:paraId="1E1FDC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94841284</w:t>
            </w:r>
          </w:p>
        </w:tc>
        <w:tc>
          <w:tcPr>
            <w:tcW w:w="160" w:type="dxa"/>
            <w:tcBorders>
              <w:top w:val="nil"/>
              <w:left w:val="nil"/>
              <w:bottom w:val="single" w:sz="4" w:space="0" w:color="auto"/>
              <w:right w:val="nil"/>
            </w:tcBorders>
            <w:vAlign w:val="center"/>
          </w:tcPr>
          <w:p w14:paraId="4761917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1774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SLAVKA GRUMA</w:t>
            </w:r>
          </w:p>
        </w:tc>
      </w:tr>
      <w:tr w:rsidR="00072A69" w:rsidRPr="00DC6DF9" w14:paraId="0E4FD40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B06F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1137</w:t>
            </w:r>
          </w:p>
        </w:tc>
        <w:tc>
          <w:tcPr>
            <w:tcW w:w="1036" w:type="dxa"/>
            <w:tcBorders>
              <w:top w:val="nil"/>
              <w:left w:val="nil"/>
              <w:bottom w:val="single" w:sz="4" w:space="0" w:color="auto"/>
              <w:right w:val="single" w:sz="4" w:space="0" w:color="auto"/>
            </w:tcBorders>
            <w:shd w:val="clear" w:color="auto" w:fill="auto"/>
            <w:noWrap/>
            <w:vAlign w:val="center"/>
            <w:hideMark/>
          </w:tcPr>
          <w:p w14:paraId="6BA74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5083397000</w:t>
            </w:r>
          </w:p>
        </w:tc>
        <w:tc>
          <w:tcPr>
            <w:tcW w:w="1036" w:type="dxa"/>
            <w:tcBorders>
              <w:top w:val="nil"/>
              <w:left w:val="nil"/>
              <w:bottom w:val="single" w:sz="4" w:space="0" w:color="auto"/>
              <w:right w:val="single" w:sz="4" w:space="0" w:color="auto"/>
            </w:tcBorders>
            <w:shd w:val="clear" w:color="auto" w:fill="auto"/>
            <w:noWrap/>
            <w:vAlign w:val="center"/>
            <w:hideMark/>
          </w:tcPr>
          <w:p w14:paraId="0CB4BA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69049408</w:t>
            </w:r>
          </w:p>
        </w:tc>
        <w:tc>
          <w:tcPr>
            <w:tcW w:w="160" w:type="dxa"/>
            <w:tcBorders>
              <w:top w:val="nil"/>
              <w:left w:val="nil"/>
              <w:bottom w:val="single" w:sz="4" w:space="0" w:color="auto"/>
              <w:right w:val="nil"/>
            </w:tcBorders>
            <w:vAlign w:val="center"/>
          </w:tcPr>
          <w:p w14:paraId="0C5A60E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4439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 VITA KRAIGHERJA</w:t>
            </w:r>
          </w:p>
        </w:tc>
      </w:tr>
      <w:tr w:rsidR="00072A69" w:rsidRPr="00DC6DF9" w14:paraId="08C088D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8680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1138</w:t>
            </w:r>
          </w:p>
        </w:tc>
        <w:tc>
          <w:tcPr>
            <w:tcW w:w="1036" w:type="dxa"/>
            <w:tcBorders>
              <w:top w:val="nil"/>
              <w:left w:val="nil"/>
              <w:bottom w:val="single" w:sz="4" w:space="0" w:color="auto"/>
              <w:right w:val="single" w:sz="4" w:space="0" w:color="auto"/>
            </w:tcBorders>
            <w:shd w:val="clear" w:color="auto" w:fill="auto"/>
            <w:noWrap/>
            <w:vAlign w:val="center"/>
            <w:hideMark/>
          </w:tcPr>
          <w:p w14:paraId="6E0C76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5088321000</w:t>
            </w:r>
          </w:p>
        </w:tc>
        <w:tc>
          <w:tcPr>
            <w:tcW w:w="1036" w:type="dxa"/>
            <w:tcBorders>
              <w:top w:val="nil"/>
              <w:left w:val="nil"/>
              <w:bottom w:val="single" w:sz="4" w:space="0" w:color="auto"/>
              <w:right w:val="single" w:sz="4" w:space="0" w:color="auto"/>
            </w:tcBorders>
            <w:shd w:val="clear" w:color="auto" w:fill="auto"/>
            <w:noWrap/>
            <w:vAlign w:val="center"/>
            <w:hideMark/>
          </w:tcPr>
          <w:p w14:paraId="6F2964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27688836</w:t>
            </w:r>
          </w:p>
        </w:tc>
        <w:tc>
          <w:tcPr>
            <w:tcW w:w="160" w:type="dxa"/>
            <w:tcBorders>
              <w:top w:val="nil"/>
              <w:left w:val="nil"/>
              <w:bottom w:val="single" w:sz="4" w:space="0" w:color="auto"/>
              <w:right w:val="nil"/>
            </w:tcBorders>
            <w:vAlign w:val="center"/>
          </w:tcPr>
          <w:p w14:paraId="21FFC3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F749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DR.IVANA KOROŠCA BOROVNICA</w:t>
            </w:r>
          </w:p>
        </w:tc>
      </w:tr>
      <w:tr w:rsidR="00072A69" w:rsidRPr="00DC6DF9" w14:paraId="7A8DB7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4D78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1139</w:t>
            </w:r>
          </w:p>
        </w:tc>
        <w:tc>
          <w:tcPr>
            <w:tcW w:w="1036" w:type="dxa"/>
            <w:tcBorders>
              <w:top w:val="nil"/>
              <w:left w:val="nil"/>
              <w:bottom w:val="single" w:sz="4" w:space="0" w:color="auto"/>
              <w:right w:val="single" w:sz="4" w:space="0" w:color="auto"/>
            </w:tcBorders>
            <w:shd w:val="clear" w:color="auto" w:fill="auto"/>
            <w:noWrap/>
            <w:vAlign w:val="center"/>
            <w:hideMark/>
          </w:tcPr>
          <w:p w14:paraId="001446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5083532000</w:t>
            </w:r>
          </w:p>
        </w:tc>
        <w:tc>
          <w:tcPr>
            <w:tcW w:w="1036" w:type="dxa"/>
            <w:tcBorders>
              <w:top w:val="nil"/>
              <w:left w:val="nil"/>
              <w:bottom w:val="single" w:sz="4" w:space="0" w:color="auto"/>
              <w:right w:val="single" w:sz="4" w:space="0" w:color="auto"/>
            </w:tcBorders>
            <w:shd w:val="clear" w:color="auto" w:fill="auto"/>
            <w:noWrap/>
            <w:vAlign w:val="center"/>
            <w:hideMark/>
          </w:tcPr>
          <w:p w14:paraId="24F2B5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10582789</w:t>
            </w:r>
          </w:p>
        </w:tc>
        <w:tc>
          <w:tcPr>
            <w:tcW w:w="160" w:type="dxa"/>
            <w:tcBorders>
              <w:top w:val="nil"/>
              <w:left w:val="nil"/>
              <w:bottom w:val="single" w:sz="4" w:space="0" w:color="auto"/>
              <w:right w:val="nil"/>
            </w:tcBorders>
            <w:vAlign w:val="center"/>
          </w:tcPr>
          <w:p w14:paraId="0E2C34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EBA1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DRAGA BAJCA VIPAVA</w:t>
            </w:r>
          </w:p>
        </w:tc>
      </w:tr>
      <w:tr w:rsidR="00072A69" w:rsidRPr="00DC6DF9" w14:paraId="136FA2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D7C6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1140</w:t>
            </w:r>
          </w:p>
        </w:tc>
        <w:tc>
          <w:tcPr>
            <w:tcW w:w="1036" w:type="dxa"/>
            <w:tcBorders>
              <w:top w:val="nil"/>
              <w:left w:val="nil"/>
              <w:bottom w:val="single" w:sz="4" w:space="0" w:color="auto"/>
              <w:right w:val="single" w:sz="4" w:space="0" w:color="auto"/>
            </w:tcBorders>
            <w:shd w:val="clear" w:color="auto" w:fill="auto"/>
            <w:noWrap/>
            <w:vAlign w:val="center"/>
            <w:hideMark/>
          </w:tcPr>
          <w:p w14:paraId="55DDED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5085250000</w:t>
            </w:r>
          </w:p>
        </w:tc>
        <w:tc>
          <w:tcPr>
            <w:tcW w:w="1036" w:type="dxa"/>
            <w:tcBorders>
              <w:top w:val="nil"/>
              <w:left w:val="nil"/>
              <w:bottom w:val="single" w:sz="4" w:space="0" w:color="auto"/>
              <w:right w:val="single" w:sz="4" w:space="0" w:color="auto"/>
            </w:tcBorders>
            <w:shd w:val="clear" w:color="auto" w:fill="auto"/>
            <w:noWrap/>
            <w:vAlign w:val="center"/>
            <w:hideMark/>
          </w:tcPr>
          <w:p w14:paraId="3DEB51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87328704</w:t>
            </w:r>
          </w:p>
        </w:tc>
        <w:tc>
          <w:tcPr>
            <w:tcW w:w="160" w:type="dxa"/>
            <w:tcBorders>
              <w:top w:val="nil"/>
              <w:left w:val="nil"/>
              <w:bottom w:val="single" w:sz="4" w:space="0" w:color="auto"/>
              <w:right w:val="nil"/>
            </w:tcBorders>
            <w:vAlign w:val="center"/>
          </w:tcPr>
          <w:p w14:paraId="079B1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2250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DRAGA KOBALA MARIBOR</w:t>
            </w:r>
          </w:p>
        </w:tc>
      </w:tr>
      <w:tr w:rsidR="00072A69" w:rsidRPr="00DC6DF9" w14:paraId="0D72B7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BC73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1141</w:t>
            </w:r>
          </w:p>
        </w:tc>
        <w:tc>
          <w:tcPr>
            <w:tcW w:w="1036" w:type="dxa"/>
            <w:tcBorders>
              <w:top w:val="nil"/>
              <w:left w:val="nil"/>
              <w:bottom w:val="single" w:sz="4" w:space="0" w:color="auto"/>
              <w:right w:val="single" w:sz="4" w:space="0" w:color="auto"/>
            </w:tcBorders>
            <w:shd w:val="clear" w:color="auto" w:fill="auto"/>
            <w:noWrap/>
            <w:vAlign w:val="center"/>
            <w:hideMark/>
          </w:tcPr>
          <w:p w14:paraId="24A926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2197197000</w:t>
            </w:r>
          </w:p>
        </w:tc>
        <w:tc>
          <w:tcPr>
            <w:tcW w:w="1036" w:type="dxa"/>
            <w:tcBorders>
              <w:top w:val="nil"/>
              <w:left w:val="nil"/>
              <w:bottom w:val="single" w:sz="4" w:space="0" w:color="auto"/>
              <w:right w:val="single" w:sz="4" w:space="0" w:color="auto"/>
            </w:tcBorders>
            <w:shd w:val="clear" w:color="auto" w:fill="auto"/>
            <w:noWrap/>
            <w:vAlign w:val="center"/>
            <w:hideMark/>
          </w:tcPr>
          <w:p w14:paraId="08487D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88530264</w:t>
            </w:r>
          </w:p>
        </w:tc>
        <w:tc>
          <w:tcPr>
            <w:tcW w:w="160" w:type="dxa"/>
            <w:tcBorders>
              <w:top w:val="nil"/>
              <w:left w:val="nil"/>
              <w:bottom w:val="single" w:sz="4" w:space="0" w:color="auto"/>
              <w:right w:val="nil"/>
            </w:tcBorders>
            <w:vAlign w:val="center"/>
          </w:tcPr>
          <w:p w14:paraId="5FF781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3A02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DRAGOMELJ</w:t>
            </w:r>
          </w:p>
        </w:tc>
      </w:tr>
      <w:tr w:rsidR="00072A69" w:rsidRPr="00DC6DF9" w14:paraId="39C760B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075D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1142</w:t>
            </w:r>
          </w:p>
        </w:tc>
        <w:tc>
          <w:tcPr>
            <w:tcW w:w="1036" w:type="dxa"/>
            <w:tcBorders>
              <w:top w:val="nil"/>
              <w:left w:val="nil"/>
              <w:bottom w:val="single" w:sz="4" w:space="0" w:color="auto"/>
              <w:right w:val="single" w:sz="4" w:space="0" w:color="auto"/>
            </w:tcBorders>
            <w:shd w:val="clear" w:color="auto" w:fill="auto"/>
            <w:noWrap/>
            <w:vAlign w:val="center"/>
            <w:hideMark/>
          </w:tcPr>
          <w:p w14:paraId="069A3C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5086345000</w:t>
            </w:r>
          </w:p>
        </w:tc>
        <w:tc>
          <w:tcPr>
            <w:tcW w:w="1036" w:type="dxa"/>
            <w:tcBorders>
              <w:top w:val="nil"/>
              <w:left w:val="nil"/>
              <w:bottom w:val="single" w:sz="4" w:space="0" w:color="auto"/>
              <w:right w:val="single" w:sz="4" w:space="0" w:color="auto"/>
            </w:tcBorders>
            <w:shd w:val="clear" w:color="auto" w:fill="auto"/>
            <w:noWrap/>
            <w:vAlign w:val="center"/>
            <w:hideMark/>
          </w:tcPr>
          <w:p w14:paraId="65FFC9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30381355</w:t>
            </w:r>
          </w:p>
        </w:tc>
        <w:tc>
          <w:tcPr>
            <w:tcW w:w="160" w:type="dxa"/>
            <w:tcBorders>
              <w:top w:val="nil"/>
              <w:left w:val="nil"/>
              <w:bottom w:val="single" w:sz="4" w:space="0" w:color="auto"/>
              <w:right w:val="nil"/>
            </w:tcBorders>
            <w:vAlign w:val="center"/>
          </w:tcPr>
          <w:p w14:paraId="20F12E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A436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DRAGOTINA KETTEJA</w:t>
            </w:r>
          </w:p>
        </w:tc>
      </w:tr>
      <w:tr w:rsidR="00072A69" w:rsidRPr="00DC6DF9" w14:paraId="7BF4286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D508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1143</w:t>
            </w:r>
          </w:p>
        </w:tc>
        <w:tc>
          <w:tcPr>
            <w:tcW w:w="1036" w:type="dxa"/>
            <w:tcBorders>
              <w:top w:val="nil"/>
              <w:left w:val="nil"/>
              <w:bottom w:val="single" w:sz="4" w:space="0" w:color="auto"/>
              <w:right w:val="single" w:sz="4" w:space="0" w:color="auto"/>
            </w:tcBorders>
            <w:shd w:val="clear" w:color="auto" w:fill="auto"/>
            <w:noWrap/>
            <w:vAlign w:val="center"/>
            <w:hideMark/>
          </w:tcPr>
          <w:p w14:paraId="77C3F6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5087775000</w:t>
            </w:r>
          </w:p>
        </w:tc>
        <w:tc>
          <w:tcPr>
            <w:tcW w:w="1036" w:type="dxa"/>
            <w:tcBorders>
              <w:top w:val="nil"/>
              <w:left w:val="nil"/>
              <w:bottom w:val="single" w:sz="4" w:space="0" w:color="auto"/>
              <w:right w:val="single" w:sz="4" w:space="0" w:color="auto"/>
            </w:tcBorders>
            <w:shd w:val="clear" w:color="auto" w:fill="auto"/>
            <w:noWrap/>
            <w:vAlign w:val="center"/>
            <w:hideMark/>
          </w:tcPr>
          <w:p w14:paraId="33C3A3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84523603</w:t>
            </w:r>
          </w:p>
        </w:tc>
        <w:tc>
          <w:tcPr>
            <w:tcW w:w="160" w:type="dxa"/>
            <w:tcBorders>
              <w:top w:val="nil"/>
              <w:left w:val="nil"/>
              <w:bottom w:val="single" w:sz="4" w:space="0" w:color="auto"/>
              <w:right w:val="nil"/>
            </w:tcBorders>
            <w:vAlign w:val="center"/>
          </w:tcPr>
          <w:p w14:paraId="736CB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B021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DRAMLJE</w:t>
            </w:r>
          </w:p>
        </w:tc>
      </w:tr>
      <w:tr w:rsidR="00072A69" w:rsidRPr="00DC6DF9" w14:paraId="28A158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C019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1144</w:t>
            </w:r>
          </w:p>
        </w:tc>
        <w:tc>
          <w:tcPr>
            <w:tcW w:w="1036" w:type="dxa"/>
            <w:tcBorders>
              <w:top w:val="nil"/>
              <w:left w:val="nil"/>
              <w:bottom w:val="single" w:sz="4" w:space="0" w:color="auto"/>
              <w:right w:val="single" w:sz="4" w:space="0" w:color="auto"/>
            </w:tcBorders>
            <w:shd w:val="clear" w:color="auto" w:fill="auto"/>
            <w:noWrap/>
            <w:vAlign w:val="center"/>
            <w:hideMark/>
          </w:tcPr>
          <w:p w14:paraId="44A58B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5204950000</w:t>
            </w:r>
          </w:p>
        </w:tc>
        <w:tc>
          <w:tcPr>
            <w:tcW w:w="1036" w:type="dxa"/>
            <w:tcBorders>
              <w:top w:val="nil"/>
              <w:left w:val="nil"/>
              <w:bottom w:val="single" w:sz="4" w:space="0" w:color="auto"/>
              <w:right w:val="single" w:sz="4" w:space="0" w:color="auto"/>
            </w:tcBorders>
            <w:shd w:val="clear" w:color="auto" w:fill="auto"/>
            <w:noWrap/>
            <w:vAlign w:val="center"/>
            <w:hideMark/>
          </w:tcPr>
          <w:p w14:paraId="1DF74A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79401392</w:t>
            </w:r>
          </w:p>
        </w:tc>
        <w:tc>
          <w:tcPr>
            <w:tcW w:w="160" w:type="dxa"/>
            <w:tcBorders>
              <w:top w:val="nil"/>
              <w:left w:val="nil"/>
              <w:bottom w:val="single" w:sz="4" w:space="0" w:color="auto"/>
              <w:right w:val="nil"/>
            </w:tcBorders>
            <w:vAlign w:val="center"/>
          </w:tcPr>
          <w:p w14:paraId="32E6DE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EEAE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DRAVLJE</w:t>
            </w:r>
          </w:p>
        </w:tc>
      </w:tr>
      <w:tr w:rsidR="00072A69" w:rsidRPr="00DC6DF9" w14:paraId="474887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D782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1145</w:t>
            </w:r>
          </w:p>
        </w:tc>
        <w:tc>
          <w:tcPr>
            <w:tcW w:w="1036" w:type="dxa"/>
            <w:tcBorders>
              <w:top w:val="nil"/>
              <w:left w:val="nil"/>
              <w:bottom w:val="single" w:sz="4" w:space="0" w:color="auto"/>
              <w:right w:val="single" w:sz="4" w:space="0" w:color="auto"/>
            </w:tcBorders>
            <w:shd w:val="clear" w:color="auto" w:fill="auto"/>
            <w:noWrap/>
            <w:vAlign w:val="center"/>
            <w:hideMark/>
          </w:tcPr>
          <w:p w14:paraId="76B5D8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1574710000</w:t>
            </w:r>
          </w:p>
        </w:tc>
        <w:tc>
          <w:tcPr>
            <w:tcW w:w="1036" w:type="dxa"/>
            <w:tcBorders>
              <w:top w:val="nil"/>
              <w:left w:val="nil"/>
              <w:bottom w:val="single" w:sz="4" w:space="0" w:color="auto"/>
              <w:right w:val="single" w:sz="4" w:space="0" w:color="auto"/>
            </w:tcBorders>
            <w:shd w:val="clear" w:color="auto" w:fill="auto"/>
            <w:noWrap/>
            <w:vAlign w:val="center"/>
            <w:hideMark/>
          </w:tcPr>
          <w:p w14:paraId="392FCC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63882612</w:t>
            </w:r>
          </w:p>
        </w:tc>
        <w:tc>
          <w:tcPr>
            <w:tcW w:w="160" w:type="dxa"/>
            <w:tcBorders>
              <w:top w:val="nil"/>
              <w:left w:val="nil"/>
              <w:bottom w:val="single" w:sz="4" w:space="0" w:color="auto"/>
              <w:right w:val="nil"/>
            </w:tcBorders>
            <w:vAlign w:val="center"/>
          </w:tcPr>
          <w:p w14:paraId="79CB5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913F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DRSKA</w:t>
            </w:r>
          </w:p>
        </w:tc>
      </w:tr>
      <w:tr w:rsidR="00072A69" w:rsidRPr="00DC6DF9" w14:paraId="76C393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886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1146</w:t>
            </w:r>
          </w:p>
        </w:tc>
        <w:tc>
          <w:tcPr>
            <w:tcW w:w="1036" w:type="dxa"/>
            <w:tcBorders>
              <w:top w:val="nil"/>
              <w:left w:val="nil"/>
              <w:bottom w:val="single" w:sz="4" w:space="0" w:color="auto"/>
              <w:right w:val="single" w:sz="4" w:space="0" w:color="auto"/>
            </w:tcBorders>
            <w:shd w:val="clear" w:color="auto" w:fill="auto"/>
            <w:noWrap/>
            <w:vAlign w:val="center"/>
            <w:hideMark/>
          </w:tcPr>
          <w:p w14:paraId="4055AB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5085233000</w:t>
            </w:r>
          </w:p>
        </w:tc>
        <w:tc>
          <w:tcPr>
            <w:tcW w:w="1036" w:type="dxa"/>
            <w:tcBorders>
              <w:top w:val="nil"/>
              <w:left w:val="nil"/>
              <w:bottom w:val="single" w:sz="4" w:space="0" w:color="auto"/>
              <w:right w:val="single" w:sz="4" w:space="0" w:color="auto"/>
            </w:tcBorders>
            <w:shd w:val="clear" w:color="auto" w:fill="auto"/>
            <w:noWrap/>
            <w:vAlign w:val="center"/>
            <w:hideMark/>
          </w:tcPr>
          <w:p w14:paraId="31A142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70388717</w:t>
            </w:r>
          </w:p>
        </w:tc>
        <w:tc>
          <w:tcPr>
            <w:tcW w:w="160" w:type="dxa"/>
            <w:tcBorders>
              <w:top w:val="nil"/>
              <w:left w:val="nil"/>
              <w:bottom w:val="single" w:sz="4" w:space="0" w:color="auto"/>
              <w:right w:val="nil"/>
            </w:tcBorders>
            <w:vAlign w:val="center"/>
          </w:tcPr>
          <w:p w14:paraId="1293B6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CF4C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DUPLEK</w:t>
            </w:r>
          </w:p>
        </w:tc>
      </w:tr>
      <w:tr w:rsidR="00072A69" w:rsidRPr="00DC6DF9" w14:paraId="59F8ED9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EFDC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1147</w:t>
            </w:r>
          </w:p>
        </w:tc>
        <w:tc>
          <w:tcPr>
            <w:tcW w:w="1036" w:type="dxa"/>
            <w:tcBorders>
              <w:top w:val="nil"/>
              <w:left w:val="nil"/>
              <w:bottom w:val="single" w:sz="4" w:space="0" w:color="auto"/>
              <w:right w:val="single" w:sz="4" w:space="0" w:color="auto"/>
            </w:tcBorders>
            <w:shd w:val="clear" w:color="auto" w:fill="auto"/>
            <w:noWrap/>
            <w:vAlign w:val="center"/>
            <w:hideMark/>
          </w:tcPr>
          <w:p w14:paraId="57F9B5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5083141000</w:t>
            </w:r>
          </w:p>
        </w:tc>
        <w:tc>
          <w:tcPr>
            <w:tcW w:w="1036" w:type="dxa"/>
            <w:tcBorders>
              <w:top w:val="nil"/>
              <w:left w:val="nil"/>
              <w:bottom w:val="single" w:sz="4" w:space="0" w:color="auto"/>
              <w:right w:val="single" w:sz="4" w:space="0" w:color="auto"/>
            </w:tcBorders>
            <w:shd w:val="clear" w:color="auto" w:fill="auto"/>
            <w:noWrap/>
            <w:vAlign w:val="center"/>
            <w:hideMark/>
          </w:tcPr>
          <w:p w14:paraId="21A288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84366451</w:t>
            </w:r>
          </w:p>
        </w:tc>
        <w:tc>
          <w:tcPr>
            <w:tcW w:w="160" w:type="dxa"/>
            <w:tcBorders>
              <w:top w:val="nil"/>
              <w:left w:val="nil"/>
              <w:bottom w:val="single" w:sz="4" w:space="0" w:color="auto"/>
              <w:right w:val="nil"/>
            </w:tcBorders>
            <w:vAlign w:val="center"/>
          </w:tcPr>
          <w:p w14:paraId="736481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BC25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DUŠANA BORDONA SEMEDELA-KOPER</w:t>
            </w:r>
          </w:p>
        </w:tc>
      </w:tr>
      <w:tr w:rsidR="00072A69" w:rsidRPr="00DC6DF9" w14:paraId="27281D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BF4D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1148</w:t>
            </w:r>
          </w:p>
        </w:tc>
        <w:tc>
          <w:tcPr>
            <w:tcW w:w="1036" w:type="dxa"/>
            <w:tcBorders>
              <w:top w:val="nil"/>
              <w:left w:val="nil"/>
              <w:bottom w:val="single" w:sz="4" w:space="0" w:color="auto"/>
              <w:right w:val="single" w:sz="4" w:space="0" w:color="auto"/>
            </w:tcBorders>
            <w:shd w:val="clear" w:color="auto" w:fill="auto"/>
            <w:noWrap/>
            <w:vAlign w:val="center"/>
            <w:hideMark/>
          </w:tcPr>
          <w:p w14:paraId="6F1ADD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5085853000</w:t>
            </w:r>
          </w:p>
        </w:tc>
        <w:tc>
          <w:tcPr>
            <w:tcW w:w="1036" w:type="dxa"/>
            <w:tcBorders>
              <w:top w:val="nil"/>
              <w:left w:val="nil"/>
              <w:bottom w:val="single" w:sz="4" w:space="0" w:color="auto"/>
              <w:right w:val="single" w:sz="4" w:space="0" w:color="auto"/>
            </w:tcBorders>
            <w:shd w:val="clear" w:color="auto" w:fill="auto"/>
            <w:noWrap/>
            <w:vAlign w:val="center"/>
            <w:hideMark/>
          </w:tcPr>
          <w:p w14:paraId="74BE6B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37423754</w:t>
            </w:r>
          </w:p>
        </w:tc>
        <w:tc>
          <w:tcPr>
            <w:tcW w:w="160" w:type="dxa"/>
            <w:tcBorders>
              <w:top w:val="nil"/>
              <w:left w:val="nil"/>
              <w:bottom w:val="single" w:sz="4" w:space="0" w:color="auto"/>
              <w:right w:val="nil"/>
            </w:tcBorders>
            <w:vAlign w:val="center"/>
          </w:tcPr>
          <w:p w14:paraId="483031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DB4D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DUŠANA FLISA HOČE</w:t>
            </w:r>
          </w:p>
        </w:tc>
      </w:tr>
      <w:tr w:rsidR="00072A69" w:rsidRPr="00DC6DF9" w14:paraId="1571C9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0A3E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1149</w:t>
            </w:r>
          </w:p>
        </w:tc>
        <w:tc>
          <w:tcPr>
            <w:tcW w:w="1036" w:type="dxa"/>
            <w:tcBorders>
              <w:top w:val="nil"/>
              <w:left w:val="nil"/>
              <w:bottom w:val="single" w:sz="4" w:space="0" w:color="auto"/>
              <w:right w:val="single" w:sz="4" w:space="0" w:color="auto"/>
            </w:tcBorders>
            <w:shd w:val="clear" w:color="auto" w:fill="auto"/>
            <w:noWrap/>
            <w:vAlign w:val="center"/>
            <w:hideMark/>
          </w:tcPr>
          <w:p w14:paraId="2916D4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5087546000</w:t>
            </w:r>
          </w:p>
        </w:tc>
        <w:tc>
          <w:tcPr>
            <w:tcW w:w="1036" w:type="dxa"/>
            <w:tcBorders>
              <w:top w:val="nil"/>
              <w:left w:val="nil"/>
              <w:bottom w:val="single" w:sz="4" w:space="0" w:color="auto"/>
              <w:right w:val="single" w:sz="4" w:space="0" w:color="auto"/>
            </w:tcBorders>
            <w:shd w:val="clear" w:color="auto" w:fill="auto"/>
            <w:noWrap/>
            <w:vAlign w:val="center"/>
            <w:hideMark/>
          </w:tcPr>
          <w:p w14:paraId="6BD956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71215719</w:t>
            </w:r>
          </w:p>
        </w:tc>
        <w:tc>
          <w:tcPr>
            <w:tcW w:w="160" w:type="dxa"/>
            <w:tcBorders>
              <w:top w:val="nil"/>
              <w:left w:val="nil"/>
              <w:bottom w:val="single" w:sz="4" w:space="0" w:color="auto"/>
              <w:right w:val="nil"/>
            </w:tcBorders>
            <w:vAlign w:val="center"/>
          </w:tcPr>
          <w:p w14:paraId="0BC7BA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4D38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DUTOVLJE</w:t>
            </w:r>
          </w:p>
        </w:tc>
      </w:tr>
      <w:tr w:rsidR="00072A69" w:rsidRPr="00DC6DF9" w14:paraId="6F9A87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3CDC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1150</w:t>
            </w:r>
          </w:p>
        </w:tc>
        <w:tc>
          <w:tcPr>
            <w:tcW w:w="1036" w:type="dxa"/>
            <w:tcBorders>
              <w:top w:val="nil"/>
              <w:left w:val="nil"/>
              <w:bottom w:val="single" w:sz="4" w:space="0" w:color="auto"/>
              <w:right w:val="single" w:sz="4" w:space="0" w:color="auto"/>
            </w:tcBorders>
            <w:shd w:val="clear" w:color="auto" w:fill="auto"/>
            <w:noWrap/>
            <w:vAlign w:val="center"/>
            <w:hideMark/>
          </w:tcPr>
          <w:p w14:paraId="3EEC0C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5083168000</w:t>
            </w:r>
          </w:p>
        </w:tc>
        <w:tc>
          <w:tcPr>
            <w:tcW w:w="1036" w:type="dxa"/>
            <w:tcBorders>
              <w:top w:val="nil"/>
              <w:left w:val="nil"/>
              <w:bottom w:val="single" w:sz="4" w:space="0" w:color="auto"/>
              <w:right w:val="single" w:sz="4" w:space="0" w:color="auto"/>
            </w:tcBorders>
            <w:shd w:val="clear" w:color="auto" w:fill="auto"/>
            <w:noWrap/>
            <w:vAlign w:val="center"/>
            <w:hideMark/>
          </w:tcPr>
          <w:p w14:paraId="009667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22889426</w:t>
            </w:r>
          </w:p>
        </w:tc>
        <w:tc>
          <w:tcPr>
            <w:tcW w:w="160" w:type="dxa"/>
            <w:tcBorders>
              <w:top w:val="nil"/>
              <w:left w:val="nil"/>
              <w:bottom w:val="single" w:sz="4" w:space="0" w:color="auto"/>
              <w:right w:val="nil"/>
            </w:tcBorders>
            <w:vAlign w:val="center"/>
          </w:tcPr>
          <w:p w14:paraId="250F3B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5C2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ELVIRE VATOVEC PRADE - KOPER</w:t>
            </w:r>
          </w:p>
        </w:tc>
      </w:tr>
      <w:tr w:rsidR="00072A69" w:rsidRPr="00DC6DF9" w14:paraId="5478DF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5071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1151</w:t>
            </w:r>
          </w:p>
        </w:tc>
        <w:tc>
          <w:tcPr>
            <w:tcW w:w="1036" w:type="dxa"/>
            <w:tcBorders>
              <w:top w:val="nil"/>
              <w:left w:val="nil"/>
              <w:bottom w:val="single" w:sz="4" w:space="0" w:color="auto"/>
              <w:right w:val="single" w:sz="4" w:space="0" w:color="auto"/>
            </w:tcBorders>
            <w:shd w:val="clear" w:color="auto" w:fill="auto"/>
            <w:noWrap/>
            <w:vAlign w:val="center"/>
            <w:hideMark/>
          </w:tcPr>
          <w:p w14:paraId="272C11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5087325000</w:t>
            </w:r>
          </w:p>
        </w:tc>
        <w:tc>
          <w:tcPr>
            <w:tcW w:w="1036" w:type="dxa"/>
            <w:tcBorders>
              <w:top w:val="nil"/>
              <w:left w:val="nil"/>
              <w:bottom w:val="single" w:sz="4" w:space="0" w:color="auto"/>
              <w:right w:val="single" w:sz="4" w:space="0" w:color="auto"/>
            </w:tcBorders>
            <w:shd w:val="clear" w:color="auto" w:fill="auto"/>
            <w:noWrap/>
            <w:vAlign w:val="center"/>
            <w:hideMark/>
          </w:tcPr>
          <w:p w14:paraId="60B212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61563455</w:t>
            </w:r>
          </w:p>
        </w:tc>
        <w:tc>
          <w:tcPr>
            <w:tcW w:w="160" w:type="dxa"/>
            <w:tcBorders>
              <w:top w:val="nil"/>
              <w:left w:val="nil"/>
              <w:bottom w:val="single" w:sz="4" w:space="0" w:color="auto"/>
              <w:right w:val="nil"/>
            </w:tcBorders>
            <w:vAlign w:val="center"/>
          </w:tcPr>
          <w:p w14:paraId="2A76B6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35C2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F.S. FINŽGARJA LESCE</w:t>
            </w:r>
          </w:p>
        </w:tc>
      </w:tr>
      <w:tr w:rsidR="00072A69" w:rsidRPr="00DC6DF9" w14:paraId="397E81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1C53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1152</w:t>
            </w:r>
          </w:p>
        </w:tc>
        <w:tc>
          <w:tcPr>
            <w:tcW w:w="1036" w:type="dxa"/>
            <w:tcBorders>
              <w:top w:val="nil"/>
              <w:left w:val="nil"/>
              <w:bottom w:val="single" w:sz="4" w:space="0" w:color="auto"/>
              <w:right w:val="single" w:sz="4" w:space="0" w:color="auto"/>
            </w:tcBorders>
            <w:shd w:val="clear" w:color="auto" w:fill="auto"/>
            <w:noWrap/>
            <w:vAlign w:val="center"/>
            <w:hideMark/>
          </w:tcPr>
          <w:p w14:paraId="25BC92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5085357000</w:t>
            </w:r>
          </w:p>
        </w:tc>
        <w:tc>
          <w:tcPr>
            <w:tcW w:w="1036" w:type="dxa"/>
            <w:tcBorders>
              <w:top w:val="nil"/>
              <w:left w:val="nil"/>
              <w:bottom w:val="single" w:sz="4" w:space="0" w:color="auto"/>
              <w:right w:val="single" w:sz="4" w:space="0" w:color="auto"/>
            </w:tcBorders>
            <w:shd w:val="clear" w:color="auto" w:fill="auto"/>
            <w:noWrap/>
            <w:vAlign w:val="center"/>
            <w:hideMark/>
          </w:tcPr>
          <w:p w14:paraId="4E5482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59034220</w:t>
            </w:r>
          </w:p>
        </w:tc>
        <w:tc>
          <w:tcPr>
            <w:tcW w:w="160" w:type="dxa"/>
            <w:tcBorders>
              <w:top w:val="nil"/>
              <w:left w:val="nil"/>
              <w:bottom w:val="single" w:sz="4" w:space="0" w:color="auto"/>
              <w:right w:val="nil"/>
            </w:tcBorders>
            <w:vAlign w:val="center"/>
          </w:tcPr>
          <w:p w14:paraId="1B2A6E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D28D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FERDA VESELA ŠENTVID PRI STIČNI</w:t>
            </w:r>
          </w:p>
        </w:tc>
      </w:tr>
      <w:tr w:rsidR="00072A69" w:rsidRPr="00DC6DF9" w14:paraId="506150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283A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1153</w:t>
            </w:r>
          </w:p>
        </w:tc>
        <w:tc>
          <w:tcPr>
            <w:tcW w:w="1036" w:type="dxa"/>
            <w:tcBorders>
              <w:top w:val="nil"/>
              <w:left w:val="nil"/>
              <w:bottom w:val="single" w:sz="4" w:space="0" w:color="auto"/>
              <w:right w:val="single" w:sz="4" w:space="0" w:color="auto"/>
            </w:tcBorders>
            <w:shd w:val="clear" w:color="auto" w:fill="auto"/>
            <w:noWrap/>
            <w:vAlign w:val="center"/>
            <w:hideMark/>
          </w:tcPr>
          <w:p w14:paraId="3358A4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5085624000</w:t>
            </w:r>
          </w:p>
        </w:tc>
        <w:tc>
          <w:tcPr>
            <w:tcW w:w="1036" w:type="dxa"/>
            <w:tcBorders>
              <w:top w:val="nil"/>
              <w:left w:val="nil"/>
              <w:bottom w:val="single" w:sz="4" w:space="0" w:color="auto"/>
              <w:right w:val="single" w:sz="4" w:space="0" w:color="auto"/>
            </w:tcBorders>
            <w:shd w:val="clear" w:color="auto" w:fill="auto"/>
            <w:noWrap/>
            <w:vAlign w:val="center"/>
            <w:hideMark/>
          </w:tcPr>
          <w:p w14:paraId="6AAD98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79277802</w:t>
            </w:r>
          </w:p>
        </w:tc>
        <w:tc>
          <w:tcPr>
            <w:tcW w:w="160" w:type="dxa"/>
            <w:tcBorders>
              <w:top w:val="nil"/>
              <w:left w:val="nil"/>
              <w:bottom w:val="single" w:sz="4" w:space="0" w:color="auto"/>
              <w:right w:val="nil"/>
            </w:tcBorders>
            <w:vAlign w:val="center"/>
          </w:tcPr>
          <w:p w14:paraId="20C33A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C9738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FOKOVCI</w:t>
            </w:r>
          </w:p>
        </w:tc>
      </w:tr>
      <w:tr w:rsidR="00072A69" w:rsidRPr="00DC6DF9" w14:paraId="65EF62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6062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1154</w:t>
            </w:r>
          </w:p>
        </w:tc>
        <w:tc>
          <w:tcPr>
            <w:tcW w:w="1036" w:type="dxa"/>
            <w:tcBorders>
              <w:top w:val="nil"/>
              <w:left w:val="nil"/>
              <w:bottom w:val="single" w:sz="4" w:space="0" w:color="auto"/>
              <w:right w:val="single" w:sz="4" w:space="0" w:color="auto"/>
            </w:tcBorders>
            <w:shd w:val="clear" w:color="auto" w:fill="auto"/>
            <w:noWrap/>
            <w:vAlign w:val="center"/>
            <w:hideMark/>
          </w:tcPr>
          <w:p w14:paraId="4CB737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5085241000</w:t>
            </w:r>
          </w:p>
        </w:tc>
        <w:tc>
          <w:tcPr>
            <w:tcW w:w="1036" w:type="dxa"/>
            <w:tcBorders>
              <w:top w:val="nil"/>
              <w:left w:val="nil"/>
              <w:bottom w:val="single" w:sz="4" w:space="0" w:color="auto"/>
              <w:right w:val="single" w:sz="4" w:space="0" w:color="auto"/>
            </w:tcBorders>
            <w:shd w:val="clear" w:color="auto" w:fill="auto"/>
            <w:noWrap/>
            <w:vAlign w:val="center"/>
            <w:hideMark/>
          </w:tcPr>
          <w:p w14:paraId="2BE4BE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20947879</w:t>
            </w:r>
          </w:p>
        </w:tc>
        <w:tc>
          <w:tcPr>
            <w:tcW w:w="160" w:type="dxa"/>
            <w:tcBorders>
              <w:top w:val="nil"/>
              <w:left w:val="nil"/>
              <w:bottom w:val="single" w:sz="4" w:space="0" w:color="auto"/>
              <w:right w:val="nil"/>
            </w:tcBorders>
            <w:vAlign w:val="center"/>
          </w:tcPr>
          <w:p w14:paraId="0165F3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2E15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FRAM</w:t>
            </w:r>
          </w:p>
        </w:tc>
      </w:tr>
      <w:tr w:rsidR="00072A69" w:rsidRPr="00DC6DF9" w14:paraId="0FB130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AD1B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1155</w:t>
            </w:r>
          </w:p>
        </w:tc>
        <w:tc>
          <w:tcPr>
            <w:tcW w:w="1036" w:type="dxa"/>
            <w:tcBorders>
              <w:top w:val="nil"/>
              <w:left w:val="nil"/>
              <w:bottom w:val="single" w:sz="4" w:space="0" w:color="auto"/>
              <w:right w:val="single" w:sz="4" w:space="0" w:color="auto"/>
            </w:tcBorders>
            <w:shd w:val="clear" w:color="auto" w:fill="auto"/>
            <w:noWrap/>
            <w:vAlign w:val="center"/>
            <w:hideMark/>
          </w:tcPr>
          <w:p w14:paraId="2B1041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5083036000</w:t>
            </w:r>
          </w:p>
        </w:tc>
        <w:tc>
          <w:tcPr>
            <w:tcW w:w="1036" w:type="dxa"/>
            <w:tcBorders>
              <w:top w:val="nil"/>
              <w:left w:val="nil"/>
              <w:bottom w:val="single" w:sz="4" w:space="0" w:color="auto"/>
              <w:right w:val="single" w:sz="4" w:space="0" w:color="auto"/>
            </w:tcBorders>
            <w:shd w:val="clear" w:color="auto" w:fill="auto"/>
            <w:noWrap/>
            <w:vAlign w:val="center"/>
            <w:hideMark/>
          </w:tcPr>
          <w:p w14:paraId="299E03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64526208</w:t>
            </w:r>
          </w:p>
        </w:tc>
        <w:tc>
          <w:tcPr>
            <w:tcW w:w="160" w:type="dxa"/>
            <w:tcBorders>
              <w:top w:val="nil"/>
              <w:left w:val="nil"/>
              <w:bottom w:val="single" w:sz="4" w:space="0" w:color="auto"/>
              <w:right w:val="nil"/>
            </w:tcBorders>
            <w:vAlign w:val="center"/>
          </w:tcPr>
          <w:p w14:paraId="2DF327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46EA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FRANA ALBREHTA KAMNIK</w:t>
            </w:r>
          </w:p>
        </w:tc>
      </w:tr>
      <w:tr w:rsidR="00072A69" w:rsidRPr="00DC6DF9" w14:paraId="31FAA4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986A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1156</w:t>
            </w:r>
          </w:p>
        </w:tc>
        <w:tc>
          <w:tcPr>
            <w:tcW w:w="1036" w:type="dxa"/>
            <w:tcBorders>
              <w:top w:val="nil"/>
              <w:left w:val="nil"/>
              <w:bottom w:val="single" w:sz="4" w:space="0" w:color="auto"/>
              <w:right w:val="single" w:sz="4" w:space="0" w:color="auto"/>
            </w:tcBorders>
            <w:shd w:val="clear" w:color="auto" w:fill="auto"/>
            <w:noWrap/>
            <w:vAlign w:val="center"/>
            <w:hideMark/>
          </w:tcPr>
          <w:p w14:paraId="4132C6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5221625000</w:t>
            </w:r>
          </w:p>
        </w:tc>
        <w:tc>
          <w:tcPr>
            <w:tcW w:w="1036" w:type="dxa"/>
            <w:tcBorders>
              <w:top w:val="nil"/>
              <w:left w:val="nil"/>
              <w:bottom w:val="single" w:sz="4" w:space="0" w:color="auto"/>
              <w:right w:val="single" w:sz="4" w:space="0" w:color="auto"/>
            </w:tcBorders>
            <w:shd w:val="clear" w:color="auto" w:fill="auto"/>
            <w:noWrap/>
            <w:vAlign w:val="center"/>
            <w:hideMark/>
          </w:tcPr>
          <w:p w14:paraId="53FB64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50989456</w:t>
            </w:r>
          </w:p>
        </w:tc>
        <w:tc>
          <w:tcPr>
            <w:tcW w:w="160" w:type="dxa"/>
            <w:tcBorders>
              <w:top w:val="nil"/>
              <w:left w:val="nil"/>
              <w:bottom w:val="single" w:sz="4" w:space="0" w:color="auto"/>
              <w:right w:val="nil"/>
            </w:tcBorders>
            <w:vAlign w:val="center"/>
          </w:tcPr>
          <w:p w14:paraId="6E397AA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23E4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FRANA ERJAVCA NOVA GORICA</w:t>
            </w:r>
          </w:p>
        </w:tc>
      </w:tr>
      <w:tr w:rsidR="00072A69" w:rsidRPr="00DC6DF9" w14:paraId="5E03AA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72BD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1157</w:t>
            </w:r>
          </w:p>
        </w:tc>
        <w:tc>
          <w:tcPr>
            <w:tcW w:w="1036" w:type="dxa"/>
            <w:tcBorders>
              <w:top w:val="nil"/>
              <w:left w:val="nil"/>
              <w:bottom w:val="single" w:sz="4" w:space="0" w:color="auto"/>
              <w:right w:val="single" w:sz="4" w:space="0" w:color="auto"/>
            </w:tcBorders>
            <w:shd w:val="clear" w:color="auto" w:fill="auto"/>
            <w:noWrap/>
            <w:vAlign w:val="center"/>
            <w:hideMark/>
          </w:tcPr>
          <w:p w14:paraId="07DC39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5088933000</w:t>
            </w:r>
          </w:p>
        </w:tc>
        <w:tc>
          <w:tcPr>
            <w:tcW w:w="1036" w:type="dxa"/>
            <w:tcBorders>
              <w:top w:val="nil"/>
              <w:left w:val="nil"/>
              <w:bottom w:val="single" w:sz="4" w:space="0" w:color="auto"/>
              <w:right w:val="single" w:sz="4" w:space="0" w:color="auto"/>
            </w:tcBorders>
            <w:shd w:val="clear" w:color="auto" w:fill="auto"/>
            <w:noWrap/>
            <w:vAlign w:val="center"/>
            <w:hideMark/>
          </w:tcPr>
          <w:p w14:paraId="268F37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50597698</w:t>
            </w:r>
          </w:p>
        </w:tc>
        <w:tc>
          <w:tcPr>
            <w:tcW w:w="160" w:type="dxa"/>
            <w:tcBorders>
              <w:top w:val="nil"/>
              <w:left w:val="nil"/>
              <w:bottom w:val="single" w:sz="4" w:space="0" w:color="auto"/>
              <w:right w:val="nil"/>
            </w:tcBorders>
            <w:vAlign w:val="center"/>
          </w:tcPr>
          <w:p w14:paraId="5F5240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762F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FRANA KOCBEKA GORNJI GRAD</w:t>
            </w:r>
          </w:p>
        </w:tc>
      </w:tr>
      <w:tr w:rsidR="00072A69" w:rsidRPr="00DC6DF9" w14:paraId="747AF2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BC2D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1158</w:t>
            </w:r>
          </w:p>
        </w:tc>
        <w:tc>
          <w:tcPr>
            <w:tcW w:w="1036" w:type="dxa"/>
            <w:tcBorders>
              <w:top w:val="nil"/>
              <w:left w:val="nil"/>
              <w:bottom w:val="single" w:sz="4" w:space="0" w:color="auto"/>
              <w:right w:val="single" w:sz="4" w:space="0" w:color="auto"/>
            </w:tcBorders>
            <w:shd w:val="clear" w:color="auto" w:fill="auto"/>
            <w:noWrap/>
            <w:vAlign w:val="center"/>
            <w:hideMark/>
          </w:tcPr>
          <w:p w14:paraId="473B94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5082641000</w:t>
            </w:r>
          </w:p>
        </w:tc>
        <w:tc>
          <w:tcPr>
            <w:tcW w:w="1036" w:type="dxa"/>
            <w:tcBorders>
              <w:top w:val="nil"/>
              <w:left w:val="nil"/>
              <w:bottom w:val="single" w:sz="4" w:space="0" w:color="auto"/>
              <w:right w:val="single" w:sz="4" w:space="0" w:color="auto"/>
            </w:tcBorders>
            <w:shd w:val="clear" w:color="auto" w:fill="auto"/>
            <w:noWrap/>
            <w:vAlign w:val="center"/>
            <w:hideMark/>
          </w:tcPr>
          <w:p w14:paraId="53CE07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27612457</w:t>
            </w:r>
          </w:p>
        </w:tc>
        <w:tc>
          <w:tcPr>
            <w:tcW w:w="160" w:type="dxa"/>
            <w:tcBorders>
              <w:top w:val="nil"/>
              <w:left w:val="nil"/>
              <w:bottom w:val="single" w:sz="4" w:space="0" w:color="auto"/>
              <w:right w:val="nil"/>
            </w:tcBorders>
            <w:vAlign w:val="center"/>
          </w:tcPr>
          <w:p w14:paraId="2208F9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5297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FRANA KRANJCA</w:t>
            </w:r>
          </w:p>
        </w:tc>
      </w:tr>
      <w:tr w:rsidR="00072A69" w:rsidRPr="00DC6DF9" w14:paraId="3BD107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C7F4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1159</w:t>
            </w:r>
          </w:p>
        </w:tc>
        <w:tc>
          <w:tcPr>
            <w:tcW w:w="1036" w:type="dxa"/>
            <w:tcBorders>
              <w:top w:val="nil"/>
              <w:left w:val="nil"/>
              <w:bottom w:val="single" w:sz="4" w:space="0" w:color="auto"/>
              <w:right w:val="single" w:sz="4" w:space="0" w:color="auto"/>
            </w:tcBorders>
            <w:shd w:val="clear" w:color="auto" w:fill="auto"/>
            <w:noWrap/>
            <w:vAlign w:val="center"/>
            <w:hideMark/>
          </w:tcPr>
          <w:p w14:paraId="310DEF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5086388000</w:t>
            </w:r>
          </w:p>
        </w:tc>
        <w:tc>
          <w:tcPr>
            <w:tcW w:w="1036" w:type="dxa"/>
            <w:tcBorders>
              <w:top w:val="nil"/>
              <w:left w:val="nil"/>
              <w:bottom w:val="single" w:sz="4" w:space="0" w:color="auto"/>
              <w:right w:val="single" w:sz="4" w:space="0" w:color="auto"/>
            </w:tcBorders>
            <w:shd w:val="clear" w:color="auto" w:fill="auto"/>
            <w:noWrap/>
            <w:vAlign w:val="center"/>
            <w:hideMark/>
          </w:tcPr>
          <w:p w14:paraId="7EA692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70483345</w:t>
            </w:r>
          </w:p>
        </w:tc>
        <w:tc>
          <w:tcPr>
            <w:tcW w:w="160" w:type="dxa"/>
            <w:tcBorders>
              <w:top w:val="nil"/>
              <w:left w:val="nil"/>
              <w:bottom w:val="single" w:sz="4" w:space="0" w:color="auto"/>
              <w:right w:val="nil"/>
            </w:tcBorders>
            <w:vAlign w:val="center"/>
          </w:tcPr>
          <w:p w14:paraId="574076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041C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FRANA METELKA ŠKOCJAN</w:t>
            </w:r>
          </w:p>
        </w:tc>
      </w:tr>
      <w:tr w:rsidR="00072A69" w:rsidRPr="00DC6DF9" w14:paraId="4F3CCF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21AF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1160</w:t>
            </w:r>
          </w:p>
        </w:tc>
        <w:tc>
          <w:tcPr>
            <w:tcW w:w="1036" w:type="dxa"/>
            <w:tcBorders>
              <w:top w:val="nil"/>
              <w:left w:val="nil"/>
              <w:bottom w:val="single" w:sz="4" w:space="0" w:color="auto"/>
              <w:right w:val="single" w:sz="4" w:space="0" w:color="auto"/>
            </w:tcBorders>
            <w:shd w:val="clear" w:color="auto" w:fill="auto"/>
            <w:noWrap/>
            <w:vAlign w:val="center"/>
            <w:hideMark/>
          </w:tcPr>
          <w:p w14:paraId="706602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5186650000</w:t>
            </w:r>
          </w:p>
        </w:tc>
        <w:tc>
          <w:tcPr>
            <w:tcW w:w="1036" w:type="dxa"/>
            <w:tcBorders>
              <w:top w:val="nil"/>
              <w:left w:val="nil"/>
              <w:bottom w:val="single" w:sz="4" w:space="0" w:color="auto"/>
              <w:right w:val="single" w:sz="4" w:space="0" w:color="auto"/>
            </w:tcBorders>
            <w:shd w:val="clear" w:color="auto" w:fill="auto"/>
            <w:noWrap/>
            <w:vAlign w:val="center"/>
            <w:hideMark/>
          </w:tcPr>
          <w:p w14:paraId="146CF5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89921658</w:t>
            </w:r>
          </w:p>
        </w:tc>
        <w:tc>
          <w:tcPr>
            <w:tcW w:w="160" w:type="dxa"/>
            <w:tcBorders>
              <w:top w:val="nil"/>
              <w:left w:val="nil"/>
              <w:bottom w:val="single" w:sz="4" w:space="0" w:color="auto"/>
              <w:right w:val="nil"/>
            </w:tcBorders>
            <w:vAlign w:val="center"/>
          </w:tcPr>
          <w:p w14:paraId="3300A7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33D9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FRANA ROŠA</w:t>
            </w:r>
          </w:p>
        </w:tc>
      </w:tr>
      <w:tr w:rsidR="00072A69" w:rsidRPr="00DC6DF9" w14:paraId="51C27E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F2A4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1161</w:t>
            </w:r>
          </w:p>
        </w:tc>
        <w:tc>
          <w:tcPr>
            <w:tcW w:w="1036" w:type="dxa"/>
            <w:tcBorders>
              <w:top w:val="nil"/>
              <w:left w:val="nil"/>
              <w:bottom w:val="single" w:sz="4" w:space="0" w:color="auto"/>
              <w:right w:val="single" w:sz="4" w:space="0" w:color="auto"/>
            </w:tcBorders>
            <w:shd w:val="clear" w:color="auto" w:fill="auto"/>
            <w:noWrap/>
            <w:vAlign w:val="center"/>
            <w:hideMark/>
          </w:tcPr>
          <w:p w14:paraId="79A03A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5085306000</w:t>
            </w:r>
          </w:p>
        </w:tc>
        <w:tc>
          <w:tcPr>
            <w:tcW w:w="1036" w:type="dxa"/>
            <w:tcBorders>
              <w:top w:val="nil"/>
              <w:left w:val="nil"/>
              <w:bottom w:val="single" w:sz="4" w:space="0" w:color="auto"/>
              <w:right w:val="single" w:sz="4" w:space="0" w:color="auto"/>
            </w:tcBorders>
            <w:shd w:val="clear" w:color="auto" w:fill="auto"/>
            <w:noWrap/>
            <w:vAlign w:val="center"/>
            <w:hideMark/>
          </w:tcPr>
          <w:p w14:paraId="12FC82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69830835</w:t>
            </w:r>
          </w:p>
        </w:tc>
        <w:tc>
          <w:tcPr>
            <w:tcW w:w="160" w:type="dxa"/>
            <w:tcBorders>
              <w:top w:val="nil"/>
              <w:left w:val="nil"/>
              <w:bottom w:val="single" w:sz="4" w:space="0" w:color="auto"/>
              <w:right w:val="nil"/>
            </w:tcBorders>
            <w:vAlign w:val="center"/>
          </w:tcPr>
          <w:p w14:paraId="7C199DC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C6E1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FRANCA LEŠNIKA-VUKA SLIVNICA PRI MARIBORU</w:t>
            </w:r>
          </w:p>
        </w:tc>
      </w:tr>
      <w:tr w:rsidR="00072A69" w:rsidRPr="00DC6DF9" w14:paraId="07E27F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8513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1162</w:t>
            </w:r>
          </w:p>
        </w:tc>
        <w:tc>
          <w:tcPr>
            <w:tcW w:w="1036" w:type="dxa"/>
            <w:tcBorders>
              <w:top w:val="nil"/>
              <w:left w:val="nil"/>
              <w:bottom w:val="single" w:sz="4" w:space="0" w:color="auto"/>
              <w:right w:val="single" w:sz="4" w:space="0" w:color="auto"/>
            </w:tcBorders>
            <w:shd w:val="clear" w:color="auto" w:fill="auto"/>
            <w:noWrap/>
            <w:vAlign w:val="center"/>
            <w:hideMark/>
          </w:tcPr>
          <w:p w14:paraId="655430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5086701000</w:t>
            </w:r>
          </w:p>
        </w:tc>
        <w:tc>
          <w:tcPr>
            <w:tcW w:w="1036" w:type="dxa"/>
            <w:tcBorders>
              <w:top w:val="nil"/>
              <w:left w:val="nil"/>
              <w:bottom w:val="single" w:sz="4" w:space="0" w:color="auto"/>
              <w:right w:val="single" w:sz="4" w:space="0" w:color="auto"/>
            </w:tcBorders>
            <w:shd w:val="clear" w:color="auto" w:fill="auto"/>
            <w:noWrap/>
            <w:vAlign w:val="center"/>
            <w:hideMark/>
          </w:tcPr>
          <w:p w14:paraId="69DF1A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55290639</w:t>
            </w:r>
          </w:p>
        </w:tc>
        <w:tc>
          <w:tcPr>
            <w:tcW w:w="160" w:type="dxa"/>
            <w:tcBorders>
              <w:top w:val="nil"/>
              <w:left w:val="nil"/>
              <w:bottom w:val="single" w:sz="4" w:space="0" w:color="auto"/>
              <w:right w:val="nil"/>
            </w:tcBorders>
            <w:vAlign w:val="center"/>
          </w:tcPr>
          <w:p w14:paraId="2F1512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6551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FRANCA ROZMANA - STANETA</w:t>
            </w:r>
          </w:p>
        </w:tc>
      </w:tr>
      <w:tr w:rsidR="00072A69" w:rsidRPr="00DC6DF9" w14:paraId="4FD168B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53FB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1163</w:t>
            </w:r>
          </w:p>
        </w:tc>
        <w:tc>
          <w:tcPr>
            <w:tcW w:w="1036" w:type="dxa"/>
            <w:tcBorders>
              <w:top w:val="nil"/>
              <w:left w:val="nil"/>
              <w:bottom w:val="single" w:sz="4" w:space="0" w:color="auto"/>
              <w:right w:val="single" w:sz="4" w:space="0" w:color="auto"/>
            </w:tcBorders>
            <w:shd w:val="clear" w:color="auto" w:fill="auto"/>
            <w:noWrap/>
            <w:vAlign w:val="center"/>
            <w:hideMark/>
          </w:tcPr>
          <w:p w14:paraId="0BDD7B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5085837000</w:t>
            </w:r>
          </w:p>
        </w:tc>
        <w:tc>
          <w:tcPr>
            <w:tcW w:w="1036" w:type="dxa"/>
            <w:tcBorders>
              <w:top w:val="nil"/>
              <w:left w:val="nil"/>
              <w:bottom w:val="single" w:sz="4" w:space="0" w:color="auto"/>
              <w:right w:val="single" w:sz="4" w:space="0" w:color="auto"/>
            </w:tcBorders>
            <w:shd w:val="clear" w:color="auto" w:fill="auto"/>
            <w:noWrap/>
            <w:vAlign w:val="center"/>
            <w:hideMark/>
          </w:tcPr>
          <w:p w14:paraId="4AE1D5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25901010</w:t>
            </w:r>
          </w:p>
        </w:tc>
        <w:tc>
          <w:tcPr>
            <w:tcW w:w="160" w:type="dxa"/>
            <w:tcBorders>
              <w:top w:val="nil"/>
              <w:left w:val="nil"/>
              <w:bottom w:val="single" w:sz="4" w:space="0" w:color="auto"/>
              <w:right w:val="nil"/>
            </w:tcBorders>
            <w:vAlign w:val="center"/>
          </w:tcPr>
          <w:p w14:paraId="54BB60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68A0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FRANCA ROZMANA-STANETA MARIBOR</w:t>
            </w:r>
          </w:p>
        </w:tc>
      </w:tr>
      <w:tr w:rsidR="00072A69" w:rsidRPr="00DC6DF9" w14:paraId="078EE2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AB2B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1164</w:t>
            </w:r>
          </w:p>
        </w:tc>
        <w:tc>
          <w:tcPr>
            <w:tcW w:w="1036" w:type="dxa"/>
            <w:tcBorders>
              <w:top w:val="nil"/>
              <w:left w:val="nil"/>
              <w:bottom w:val="single" w:sz="4" w:space="0" w:color="auto"/>
              <w:right w:val="single" w:sz="4" w:space="0" w:color="auto"/>
            </w:tcBorders>
            <w:shd w:val="clear" w:color="auto" w:fill="auto"/>
            <w:noWrap/>
            <w:vAlign w:val="center"/>
            <w:hideMark/>
          </w:tcPr>
          <w:p w14:paraId="54B7FE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5083419000</w:t>
            </w:r>
          </w:p>
        </w:tc>
        <w:tc>
          <w:tcPr>
            <w:tcW w:w="1036" w:type="dxa"/>
            <w:tcBorders>
              <w:top w:val="nil"/>
              <w:left w:val="nil"/>
              <w:bottom w:val="single" w:sz="4" w:space="0" w:color="auto"/>
              <w:right w:val="single" w:sz="4" w:space="0" w:color="auto"/>
            </w:tcBorders>
            <w:shd w:val="clear" w:color="auto" w:fill="auto"/>
            <w:noWrap/>
            <w:vAlign w:val="center"/>
            <w:hideMark/>
          </w:tcPr>
          <w:p w14:paraId="31B57A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75844818</w:t>
            </w:r>
          </w:p>
        </w:tc>
        <w:tc>
          <w:tcPr>
            <w:tcW w:w="160" w:type="dxa"/>
            <w:tcBorders>
              <w:top w:val="nil"/>
              <w:left w:val="nil"/>
              <w:bottom w:val="single" w:sz="4" w:space="0" w:color="auto"/>
              <w:right w:val="nil"/>
            </w:tcBorders>
            <w:vAlign w:val="center"/>
          </w:tcPr>
          <w:p w14:paraId="1A2562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47C6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FRANCETA BEVKA</w:t>
            </w:r>
          </w:p>
        </w:tc>
      </w:tr>
      <w:tr w:rsidR="00072A69" w:rsidRPr="00DC6DF9" w14:paraId="38AF1F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8A4A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1165</w:t>
            </w:r>
          </w:p>
        </w:tc>
        <w:tc>
          <w:tcPr>
            <w:tcW w:w="1036" w:type="dxa"/>
            <w:tcBorders>
              <w:top w:val="nil"/>
              <w:left w:val="nil"/>
              <w:bottom w:val="single" w:sz="4" w:space="0" w:color="auto"/>
              <w:right w:val="single" w:sz="4" w:space="0" w:color="auto"/>
            </w:tcBorders>
            <w:shd w:val="clear" w:color="auto" w:fill="auto"/>
            <w:noWrap/>
            <w:vAlign w:val="center"/>
            <w:hideMark/>
          </w:tcPr>
          <w:p w14:paraId="476471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5272653000</w:t>
            </w:r>
          </w:p>
        </w:tc>
        <w:tc>
          <w:tcPr>
            <w:tcW w:w="1036" w:type="dxa"/>
            <w:tcBorders>
              <w:top w:val="nil"/>
              <w:left w:val="nil"/>
              <w:bottom w:val="single" w:sz="4" w:space="0" w:color="auto"/>
              <w:right w:val="single" w:sz="4" w:space="0" w:color="auto"/>
            </w:tcBorders>
            <w:shd w:val="clear" w:color="auto" w:fill="auto"/>
            <w:noWrap/>
            <w:vAlign w:val="center"/>
            <w:hideMark/>
          </w:tcPr>
          <w:p w14:paraId="7375D6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27755975</w:t>
            </w:r>
          </w:p>
        </w:tc>
        <w:tc>
          <w:tcPr>
            <w:tcW w:w="160" w:type="dxa"/>
            <w:tcBorders>
              <w:top w:val="nil"/>
              <w:left w:val="nil"/>
              <w:bottom w:val="single" w:sz="4" w:space="0" w:color="auto"/>
              <w:right w:val="nil"/>
            </w:tcBorders>
            <w:vAlign w:val="center"/>
          </w:tcPr>
          <w:p w14:paraId="0ABC1D1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B44B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FRANCETA BEVKA TOLMIN</w:t>
            </w:r>
          </w:p>
        </w:tc>
      </w:tr>
      <w:tr w:rsidR="00072A69" w:rsidRPr="00DC6DF9" w14:paraId="267308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511C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1166</w:t>
            </w:r>
          </w:p>
        </w:tc>
        <w:tc>
          <w:tcPr>
            <w:tcW w:w="1036" w:type="dxa"/>
            <w:tcBorders>
              <w:top w:val="nil"/>
              <w:left w:val="nil"/>
              <w:bottom w:val="single" w:sz="4" w:space="0" w:color="auto"/>
              <w:right w:val="single" w:sz="4" w:space="0" w:color="auto"/>
            </w:tcBorders>
            <w:shd w:val="clear" w:color="auto" w:fill="auto"/>
            <w:noWrap/>
            <w:vAlign w:val="center"/>
            <w:hideMark/>
          </w:tcPr>
          <w:p w14:paraId="0FCE7F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5089697000</w:t>
            </w:r>
          </w:p>
        </w:tc>
        <w:tc>
          <w:tcPr>
            <w:tcW w:w="1036" w:type="dxa"/>
            <w:tcBorders>
              <w:top w:val="nil"/>
              <w:left w:val="nil"/>
              <w:bottom w:val="single" w:sz="4" w:space="0" w:color="auto"/>
              <w:right w:val="single" w:sz="4" w:space="0" w:color="auto"/>
            </w:tcBorders>
            <w:shd w:val="clear" w:color="auto" w:fill="auto"/>
            <w:noWrap/>
            <w:vAlign w:val="center"/>
            <w:hideMark/>
          </w:tcPr>
          <w:p w14:paraId="7FFAF9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16814487</w:t>
            </w:r>
          </w:p>
        </w:tc>
        <w:tc>
          <w:tcPr>
            <w:tcW w:w="160" w:type="dxa"/>
            <w:tcBorders>
              <w:top w:val="nil"/>
              <w:left w:val="nil"/>
              <w:bottom w:val="single" w:sz="4" w:space="0" w:color="auto"/>
              <w:right w:val="nil"/>
            </w:tcBorders>
            <w:vAlign w:val="center"/>
          </w:tcPr>
          <w:p w14:paraId="5A50BD3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780C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FRANCETA PREŠERNA ČRENŠOVCI</w:t>
            </w:r>
          </w:p>
        </w:tc>
      </w:tr>
      <w:tr w:rsidR="00072A69" w:rsidRPr="00DC6DF9" w14:paraId="22BDFB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0B45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1167</w:t>
            </w:r>
          </w:p>
        </w:tc>
        <w:tc>
          <w:tcPr>
            <w:tcW w:w="1036" w:type="dxa"/>
            <w:tcBorders>
              <w:top w:val="nil"/>
              <w:left w:val="nil"/>
              <w:bottom w:val="single" w:sz="4" w:space="0" w:color="auto"/>
              <w:right w:val="single" w:sz="4" w:space="0" w:color="auto"/>
            </w:tcBorders>
            <w:shd w:val="clear" w:color="auto" w:fill="auto"/>
            <w:noWrap/>
            <w:vAlign w:val="center"/>
            <w:hideMark/>
          </w:tcPr>
          <w:p w14:paraId="19889B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5086035000</w:t>
            </w:r>
          </w:p>
        </w:tc>
        <w:tc>
          <w:tcPr>
            <w:tcW w:w="1036" w:type="dxa"/>
            <w:tcBorders>
              <w:top w:val="nil"/>
              <w:left w:val="nil"/>
              <w:bottom w:val="single" w:sz="4" w:space="0" w:color="auto"/>
              <w:right w:val="single" w:sz="4" w:space="0" w:color="auto"/>
            </w:tcBorders>
            <w:shd w:val="clear" w:color="auto" w:fill="auto"/>
            <w:noWrap/>
            <w:vAlign w:val="center"/>
            <w:hideMark/>
          </w:tcPr>
          <w:p w14:paraId="28B9DE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94256454</w:t>
            </w:r>
          </w:p>
        </w:tc>
        <w:tc>
          <w:tcPr>
            <w:tcW w:w="160" w:type="dxa"/>
            <w:tcBorders>
              <w:top w:val="nil"/>
              <w:left w:val="nil"/>
              <w:bottom w:val="single" w:sz="4" w:space="0" w:color="auto"/>
              <w:right w:val="nil"/>
            </w:tcBorders>
            <w:vAlign w:val="center"/>
          </w:tcPr>
          <w:p w14:paraId="7D9E15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AB17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FRANCETA PREŠERNA KRANJ</w:t>
            </w:r>
          </w:p>
        </w:tc>
      </w:tr>
      <w:tr w:rsidR="00072A69" w:rsidRPr="00DC6DF9" w14:paraId="5543F1F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6655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1168</w:t>
            </w:r>
          </w:p>
        </w:tc>
        <w:tc>
          <w:tcPr>
            <w:tcW w:w="1036" w:type="dxa"/>
            <w:tcBorders>
              <w:top w:val="nil"/>
              <w:left w:val="nil"/>
              <w:bottom w:val="single" w:sz="4" w:space="0" w:color="auto"/>
              <w:right w:val="single" w:sz="4" w:space="0" w:color="auto"/>
            </w:tcBorders>
            <w:shd w:val="clear" w:color="auto" w:fill="auto"/>
            <w:noWrap/>
            <w:vAlign w:val="center"/>
            <w:hideMark/>
          </w:tcPr>
          <w:p w14:paraId="09E682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5085195000</w:t>
            </w:r>
          </w:p>
        </w:tc>
        <w:tc>
          <w:tcPr>
            <w:tcW w:w="1036" w:type="dxa"/>
            <w:tcBorders>
              <w:top w:val="nil"/>
              <w:left w:val="nil"/>
              <w:bottom w:val="single" w:sz="4" w:space="0" w:color="auto"/>
              <w:right w:val="single" w:sz="4" w:space="0" w:color="auto"/>
            </w:tcBorders>
            <w:shd w:val="clear" w:color="auto" w:fill="auto"/>
            <w:noWrap/>
            <w:vAlign w:val="center"/>
            <w:hideMark/>
          </w:tcPr>
          <w:p w14:paraId="6B2619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78028116</w:t>
            </w:r>
          </w:p>
        </w:tc>
        <w:tc>
          <w:tcPr>
            <w:tcW w:w="160" w:type="dxa"/>
            <w:tcBorders>
              <w:top w:val="nil"/>
              <w:left w:val="nil"/>
              <w:bottom w:val="single" w:sz="4" w:space="0" w:color="auto"/>
              <w:right w:val="nil"/>
            </w:tcBorders>
            <w:vAlign w:val="center"/>
          </w:tcPr>
          <w:p w14:paraId="2FA9C9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A342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FRANCETA PREŠERNA MARIBOR</w:t>
            </w:r>
          </w:p>
        </w:tc>
      </w:tr>
      <w:tr w:rsidR="00072A69" w:rsidRPr="00DC6DF9" w14:paraId="57765E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A6C8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1169</w:t>
            </w:r>
          </w:p>
        </w:tc>
        <w:tc>
          <w:tcPr>
            <w:tcW w:w="1036" w:type="dxa"/>
            <w:tcBorders>
              <w:top w:val="nil"/>
              <w:left w:val="nil"/>
              <w:bottom w:val="single" w:sz="4" w:space="0" w:color="auto"/>
              <w:right w:val="single" w:sz="4" w:space="0" w:color="auto"/>
            </w:tcBorders>
            <w:shd w:val="clear" w:color="auto" w:fill="auto"/>
            <w:noWrap/>
            <w:vAlign w:val="center"/>
            <w:hideMark/>
          </w:tcPr>
          <w:p w14:paraId="5B7352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5087384000</w:t>
            </w:r>
          </w:p>
        </w:tc>
        <w:tc>
          <w:tcPr>
            <w:tcW w:w="1036" w:type="dxa"/>
            <w:tcBorders>
              <w:top w:val="nil"/>
              <w:left w:val="nil"/>
              <w:bottom w:val="single" w:sz="4" w:space="0" w:color="auto"/>
              <w:right w:val="single" w:sz="4" w:space="0" w:color="auto"/>
            </w:tcBorders>
            <w:shd w:val="clear" w:color="auto" w:fill="auto"/>
            <w:noWrap/>
            <w:vAlign w:val="center"/>
            <w:hideMark/>
          </w:tcPr>
          <w:p w14:paraId="721E5D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73077500</w:t>
            </w:r>
          </w:p>
        </w:tc>
        <w:tc>
          <w:tcPr>
            <w:tcW w:w="160" w:type="dxa"/>
            <w:tcBorders>
              <w:top w:val="nil"/>
              <w:left w:val="nil"/>
              <w:bottom w:val="single" w:sz="4" w:space="0" w:color="auto"/>
              <w:right w:val="nil"/>
            </w:tcBorders>
            <w:vAlign w:val="center"/>
          </w:tcPr>
          <w:p w14:paraId="12077F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B464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FRANJA GOLOBA PREVALJE</w:t>
            </w:r>
          </w:p>
        </w:tc>
      </w:tr>
      <w:tr w:rsidR="00072A69" w:rsidRPr="00DC6DF9" w14:paraId="513763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0926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1170</w:t>
            </w:r>
          </w:p>
        </w:tc>
        <w:tc>
          <w:tcPr>
            <w:tcW w:w="1036" w:type="dxa"/>
            <w:tcBorders>
              <w:top w:val="nil"/>
              <w:left w:val="nil"/>
              <w:bottom w:val="single" w:sz="4" w:space="0" w:color="auto"/>
              <w:right w:val="single" w:sz="4" w:space="0" w:color="auto"/>
            </w:tcBorders>
            <w:shd w:val="clear" w:color="auto" w:fill="auto"/>
            <w:noWrap/>
            <w:vAlign w:val="center"/>
            <w:hideMark/>
          </w:tcPr>
          <w:p w14:paraId="411A5B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5087805000</w:t>
            </w:r>
          </w:p>
        </w:tc>
        <w:tc>
          <w:tcPr>
            <w:tcW w:w="1036" w:type="dxa"/>
            <w:tcBorders>
              <w:top w:val="nil"/>
              <w:left w:val="nil"/>
              <w:bottom w:val="single" w:sz="4" w:space="0" w:color="auto"/>
              <w:right w:val="single" w:sz="4" w:space="0" w:color="auto"/>
            </w:tcBorders>
            <w:shd w:val="clear" w:color="auto" w:fill="auto"/>
            <w:noWrap/>
            <w:vAlign w:val="center"/>
            <w:hideMark/>
          </w:tcPr>
          <w:p w14:paraId="2B23E6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48313033</w:t>
            </w:r>
          </w:p>
        </w:tc>
        <w:tc>
          <w:tcPr>
            <w:tcW w:w="160" w:type="dxa"/>
            <w:tcBorders>
              <w:top w:val="nil"/>
              <w:left w:val="nil"/>
              <w:bottom w:val="single" w:sz="4" w:space="0" w:color="auto"/>
              <w:right w:val="nil"/>
            </w:tcBorders>
            <w:vAlign w:val="center"/>
          </w:tcPr>
          <w:p w14:paraId="1B5461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3A78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FRANJA MALGAJA ŠENTJUR</w:t>
            </w:r>
          </w:p>
        </w:tc>
      </w:tr>
      <w:tr w:rsidR="00072A69" w:rsidRPr="00DC6DF9" w14:paraId="6F4040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EE01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1171</w:t>
            </w:r>
          </w:p>
        </w:tc>
        <w:tc>
          <w:tcPr>
            <w:tcW w:w="1036" w:type="dxa"/>
            <w:tcBorders>
              <w:top w:val="nil"/>
              <w:left w:val="nil"/>
              <w:bottom w:val="single" w:sz="4" w:space="0" w:color="auto"/>
              <w:right w:val="single" w:sz="4" w:space="0" w:color="auto"/>
            </w:tcBorders>
            <w:shd w:val="clear" w:color="auto" w:fill="auto"/>
            <w:noWrap/>
            <w:vAlign w:val="center"/>
            <w:hideMark/>
          </w:tcPr>
          <w:p w14:paraId="49CAA7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5084873000</w:t>
            </w:r>
          </w:p>
        </w:tc>
        <w:tc>
          <w:tcPr>
            <w:tcW w:w="1036" w:type="dxa"/>
            <w:tcBorders>
              <w:top w:val="nil"/>
              <w:left w:val="nil"/>
              <w:bottom w:val="single" w:sz="4" w:space="0" w:color="auto"/>
              <w:right w:val="single" w:sz="4" w:space="0" w:color="auto"/>
            </w:tcBorders>
            <w:shd w:val="clear" w:color="auto" w:fill="auto"/>
            <w:noWrap/>
            <w:vAlign w:val="center"/>
            <w:hideMark/>
          </w:tcPr>
          <w:p w14:paraId="7E8790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84580062</w:t>
            </w:r>
          </w:p>
        </w:tc>
        <w:tc>
          <w:tcPr>
            <w:tcW w:w="160" w:type="dxa"/>
            <w:tcBorders>
              <w:top w:val="nil"/>
              <w:left w:val="nil"/>
              <w:bottom w:val="single" w:sz="4" w:space="0" w:color="auto"/>
              <w:right w:val="nil"/>
            </w:tcBorders>
            <w:vAlign w:val="center"/>
          </w:tcPr>
          <w:p w14:paraId="31B298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9E34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GABROVKA - DOLE</w:t>
            </w:r>
          </w:p>
        </w:tc>
      </w:tr>
      <w:tr w:rsidR="00072A69" w:rsidRPr="00DC6DF9" w14:paraId="6A7D86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F17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1172</w:t>
            </w:r>
          </w:p>
        </w:tc>
        <w:tc>
          <w:tcPr>
            <w:tcW w:w="1036" w:type="dxa"/>
            <w:tcBorders>
              <w:top w:val="nil"/>
              <w:left w:val="nil"/>
              <w:bottom w:val="single" w:sz="4" w:space="0" w:color="auto"/>
              <w:right w:val="single" w:sz="4" w:space="0" w:color="auto"/>
            </w:tcBorders>
            <w:shd w:val="clear" w:color="auto" w:fill="auto"/>
            <w:noWrap/>
            <w:vAlign w:val="center"/>
            <w:hideMark/>
          </w:tcPr>
          <w:p w14:paraId="617442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5082587000</w:t>
            </w:r>
          </w:p>
        </w:tc>
        <w:tc>
          <w:tcPr>
            <w:tcW w:w="1036" w:type="dxa"/>
            <w:tcBorders>
              <w:top w:val="nil"/>
              <w:left w:val="nil"/>
              <w:bottom w:val="single" w:sz="4" w:space="0" w:color="auto"/>
              <w:right w:val="single" w:sz="4" w:space="0" w:color="auto"/>
            </w:tcBorders>
            <w:shd w:val="clear" w:color="auto" w:fill="auto"/>
            <w:noWrap/>
            <w:vAlign w:val="center"/>
            <w:hideMark/>
          </w:tcPr>
          <w:p w14:paraId="441C43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45800316</w:t>
            </w:r>
          </w:p>
        </w:tc>
        <w:tc>
          <w:tcPr>
            <w:tcW w:w="160" w:type="dxa"/>
            <w:tcBorders>
              <w:top w:val="nil"/>
              <w:left w:val="nil"/>
              <w:bottom w:val="single" w:sz="4" w:space="0" w:color="auto"/>
              <w:right w:val="nil"/>
            </w:tcBorders>
            <w:vAlign w:val="center"/>
          </w:tcPr>
          <w:p w14:paraId="0B523B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B803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GLOBOKO</w:t>
            </w:r>
          </w:p>
        </w:tc>
      </w:tr>
      <w:tr w:rsidR="00072A69" w:rsidRPr="00DC6DF9" w14:paraId="786779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8D9B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1173</w:t>
            </w:r>
          </w:p>
        </w:tc>
        <w:tc>
          <w:tcPr>
            <w:tcW w:w="1036" w:type="dxa"/>
            <w:tcBorders>
              <w:top w:val="nil"/>
              <w:left w:val="nil"/>
              <w:bottom w:val="single" w:sz="4" w:space="0" w:color="auto"/>
              <w:right w:val="single" w:sz="4" w:space="0" w:color="auto"/>
            </w:tcBorders>
            <w:shd w:val="clear" w:color="auto" w:fill="auto"/>
            <w:noWrap/>
            <w:vAlign w:val="center"/>
            <w:hideMark/>
          </w:tcPr>
          <w:p w14:paraId="0F9885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5087317000</w:t>
            </w:r>
          </w:p>
        </w:tc>
        <w:tc>
          <w:tcPr>
            <w:tcW w:w="1036" w:type="dxa"/>
            <w:tcBorders>
              <w:top w:val="nil"/>
              <w:left w:val="nil"/>
              <w:bottom w:val="single" w:sz="4" w:space="0" w:color="auto"/>
              <w:right w:val="single" w:sz="4" w:space="0" w:color="auto"/>
            </w:tcBorders>
            <w:shd w:val="clear" w:color="auto" w:fill="auto"/>
            <w:noWrap/>
            <w:vAlign w:val="center"/>
            <w:hideMark/>
          </w:tcPr>
          <w:p w14:paraId="6934E6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99229692</w:t>
            </w:r>
          </w:p>
        </w:tc>
        <w:tc>
          <w:tcPr>
            <w:tcW w:w="160" w:type="dxa"/>
            <w:tcBorders>
              <w:top w:val="nil"/>
              <w:left w:val="nil"/>
              <w:bottom w:val="single" w:sz="4" w:space="0" w:color="auto"/>
              <w:right w:val="nil"/>
            </w:tcBorders>
            <w:vAlign w:val="center"/>
          </w:tcPr>
          <w:p w14:paraId="2D6CCE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41FB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GORJE</w:t>
            </w:r>
          </w:p>
        </w:tc>
      </w:tr>
      <w:tr w:rsidR="00072A69" w:rsidRPr="00DC6DF9" w14:paraId="7713EB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A7D4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1174</w:t>
            </w:r>
          </w:p>
        </w:tc>
        <w:tc>
          <w:tcPr>
            <w:tcW w:w="1036" w:type="dxa"/>
            <w:tcBorders>
              <w:top w:val="nil"/>
              <w:left w:val="nil"/>
              <w:bottom w:val="single" w:sz="4" w:space="0" w:color="auto"/>
              <w:right w:val="single" w:sz="4" w:space="0" w:color="auto"/>
            </w:tcBorders>
            <w:shd w:val="clear" w:color="auto" w:fill="auto"/>
            <w:noWrap/>
            <w:vAlign w:val="center"/>
            <w:hideMark/>
          </w:tcPr>
          <w:p w14:paraId="2584AC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5083745000</w:t>
            </w:r>
          </w:p>
        </w:tc>
        <w:tc>
          <w:tcPr>
            <w:tcW w:w="1036" w:type="dxa"/>
            <w:tcBorders>
              <w:top w:val="nil"/>
              <w:left w:val="nil"/>
              <w:bottom w:val="single" w:sz="4" w:space="0" w:color="auto"/>
              <w:right w:val="single" w:sz="4" w:space="0" w:color="auto"/>
            </w:tcBorders>
            <w:shd w:val="clear" w:color="auto" w:fill="auto"/>
            <w:noWrap/>
            <w:vAlign w:val="center"/>
            <w:hideMark/>
          </w:tcPr>
          <w:p w14:paraId="6DDF58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18671624</w:t>
            </w:r>
          </w:p>
        </w:tc>
        <w:tc>
          <w:tcPr>
            <w:tcW w:w="160" w:type="dxa"/>
            <w:tcBorders>
              <w:top w:val="nil"/>
              <w:left w:val="nil"/>
              <w:bottom w:val="single" w:sz="4" w:space="0" w:color="auto"/>
              <w:right w:val="nil"/>
            </w:tcBorders>
            <w:vAlign w:val="center"/>
          </w:tcPr>
          <w:p w14:paraId="2C6199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37E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GORNJA RADGONA</w:t>
            </w:r>
          </w:p>
        </w:tc>
      </w:tr>
      <w:tr w:rsidR="00072A69" w:rsidRPr="00DC6DF9" w14:paraId="505F79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3B7F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1175</w:t>
            </w:r>
          </w:p>
        </w:tc>
        <w:tc>
          <w:tcPr>
            <w:tcW w:w="1036" w:type="dxa"/>
            <w:tcBorders>
              <w:top w:val="nil"/>
              <w:left w:val="nil"/>
              <w:bottom w:val="single" w:sz="4" w:space="0" w:color="auto"/>
              <w:right w:val="single" w:sz="4" w:space="0" w:color="auto"/>
            </w:tcBorders>
            <w:shd w:val="clear" w:color="auto" w:fill="auto"/>
            <w:noWrap/>
            <w:vAlign w:val="center"/>
            <w:hideMark/>
          </w:tcPr>
          <w:p w14:paraId="4F89CA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5085586000</w:t>
            </w:r>
          </w:p>
        </w:tc>
        <w:tc>
          <w:tcPr>
            <w:tcW w:w="1036" w:type="dxa"/>
            <w:tcBorders>
              <w:top w:val="nil"/>
              <w:left w:val="nil"/>
              <w:bottom w:val="single" w:sz="4" w:space="0" w:color="auto"/>
              <w:right w:val="single" w:sz="4" w:space="0" w:color="auto"/>
            </w:tcBorders>
            <w:shd w:val="clear" w:color="auto" w:fill="auto"/>
            <w:noWrap/>
            <w:vAlign w:val="center"/>
            <w:hideMark/>
          </w:tcPr>
          <w:p w14:paraId="743690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61749206</w:t>
            </w:r>
          </w:p>
        </w:tc>
        <w:tc>
          <w:tcPr>
            <w:tcW w:w="160" w:type="dxa"/>
            <w:tcBorders>
              <w:top w:val="nil"/>
              <w:left w:val="nil"/>
              <w:bottom w:val="single" w:sz="4" w:space="0" w:color="auto"/>
              <w:right w:val="nil"/>
            </w:tcBorders>
            <w:vAlign w:val="center"/>
          </w:tcPr>
          <w:p w14:paraId="6C6504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635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GORNJI PETROVCI</w:t>
            </w:r>
          </w:p>
        </w:tc>
      </w:tr>
      <w:tr w:rsidR="00072A69" w:rsidRPr="00DC6DF9" w14:paraId="73CFF5E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B55E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1176</w:t>
            </w:r>
          </w:p>
        </w:tc>
        <w:tc>
          <w:tcPr>
            <w:tcW w:w="1036" w:type="dxa"/>
            <w:tcBorders>
              <w:top w:val="nil"/>
              <w:left w:val="nil"/>
              <w:bottom w:val="single" w:sz="4" w:space="0" w:color="auto"/>
              <w:right w:val="single" w:sz="4" w:space="0" w:color="auto"/>
            </w:tcBorders>
            <w:shd w:val="clear" w:color="auto" w:fill="auto"/>
            <w:noWrap/>
            <w:vAlign w:val="center"/>
            <w:hideMark/>
          </w:tcPr>
          <w:p w14:paraId="3DF3FA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5085594000</w:t>
            </w:r>
          </w:p>
        </w:tc>
        <w:tc>
          <w:tcPr>
            <w:tcW w:w="1036" w:type="dxa"/>
            <w:tcBorders>
              <w:top w:val="nil"/>
              <w:left w:val="nil"/>
              <w:bottom w:val="single" w:sz="4" w:space="0" w:color="auto"/>
              <w:right w:val="single" w:sz="4" w:space="0" w:color="auto"/>
            </w:tcBorders>
            <w:shd w:val="clear" w:color="auto" w:fill="auto"/>
            <w:noWrap/>
            <w:vAlign w:val="center"/>
            <w:hideMark/>
          </w:tcPr>
          <w:p w14:paraId="53D9F8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23698110</w:t>
            </w:r>
          </w:p>
        </w:tc>
        <w:tc>
          <w:tcPr>
            <w:tcW w:w="160" w:type="dxa"/>
            <w:tcBorders>
              <w:top w:val="nil"/>
              <w:left w:val="nil"/>
              <w:bottom w:val="single" w:sz="4" w:space="0" w:color="auto"/>
              <w:right w:val="nil"/>
            </w:tcBorders>
            <w:vAlign w:val="center"/>
          </w:tcPr>
          <w:p w14:paraId="6C1EC0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D1C0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GRAD</w:t>
            </w:r>
          </w:p>
        </w:tc>
      </w:tr>
      <w:tr w:rsidR="00072A69" w:rsidRPr="00DC6DF9" w14:paraId="3ADC11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18A2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1177</w:t>
            </w:r>
          </w:p>
        </w:tc>
        <w:tc>
          <w:tcPr>
            <w:tcW w:w="1036" w:type="dxa"/>
            <w:tcBorders>
              <w:top w:val="nil"/>
              <w:left w:val="nil"/>
              <w:bottom w:val="single" w:sz="4" w:space="0" w:color="auto"/>
              <w:right w:val="single" w:sz="4" w:space="0" w:color="auto"/>
            </w:tcBorders>
            <w:shd w:val="clear" w:color="auto" w:fill="auto"/>
            <w:noWrap/>
            <w:vAlign w:val="center"/>
            <w:hideMark/>
          </w:tcPr>
          <w:p w14:paraId="2817AE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5689155000</w:t>
            </w:r>
          </w:p>
        </w:tc>
        <w:tc>
          <w:tcPr>
            <w:tcW w:w="1036" w:type="dxa"/>
            <w:tcBorders>
              <w:top w:val="nil"/>
              <w:left w:val="nil"/>
              <w:bottom w:val="single" w:sz="4" w:space="0" w:color="auto"/>
              <w:right w:val="single" w:sz="4" w:space="0" w:color="auto"/>
            </w:tcBorders>
            <w:shd w:val="clear" w:color="auto" w:fill="auto"/>
            <w:noWrap/>
            <w:vAlign w:val="center"/>
            <w:hideMark/>
          </w:tcPr>
          <w:p w14:paraId="2F88A3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42070651</w:t>
            </w:r>
          </w:p>
        </w:tc>
        <w:tc>
          <w:tcPr>
            <w:tcW w:w="160" w:type="dxa"/>
            <w:tcBorders>
              <w:top w:val="nil"/>
              <w:left w:val="nil"/>
              <w:bottom w:val="single" w:sz="4" w:space="0" w:color="auto"/>
              <w:right w:val="nil"/>
            </w:tcBorders>
            <w:vAlign w:val="center"/>
          </w:tcPr>
          <w:p w14:paraId="2807EC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1A81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GRADEC</w:t>
            </w:r>
          </w:p>
        </w:tc>
      </w:tr>
      <w:tr w:rsidR="00072A69" w:rsidRPr="00DC6DF9" w14:paraId="1D2C00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A17C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1178</w:t>
            </w:r>
          </w:p>
        </w:tc>
        <w:tc>
          <w:tcPr>
            <w:tcW w:w="1036" w:type="dxa"/>
            <w:tcBorders>
              <w:top w:val="nil"/>
              <w:left w:val="nil"/>
              <w:bottom w:val="single" w:sz="4" w:space="0" w:color="auto"/>
              <w:right w:val="single" w:sz="4" w:space="0" w:color="auto"/>
            </w:tcBorders>
            <w:shd w:val="clear" w:color="auto" w:fill="auto"/>
            <w:noWrap/>
            <w:vAlign w:val="center"/>
            <w:hideMark/>
          </w:tcPr>
          <w:p w14:paraId="792079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5090059000</w:t>
            </w:r>
          </w:p>
        </w:tc>
        <w:tc>
          <w:tcPr>
            <w:tcW w:w="1036" w:type="dxa"/>
            <w:tcBorders>
              <w:top w:val="nil"/>
              <w:left w:val="nil"/>
              <w:bottom w:val="single" w:sz="4" w:space="0" w:color="auto"/>
              <w:right w:val="single" w:sz="4" w:space="0" w:color="auto"/>
            </w:tcBorders>
            <w:shd w:val="clear" w:color="auto" w:fill="auto"/>
            <w:noWrap/>
            <w:vAlign w:val="center"/>
            <w:hideMark/>
          </w:tcPr>
          <w:p w14:paraId="6DE401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75852390</w:t>
            </w:r>
          </w:p>
        </w:tc>
        <w:tc>
          <w:tcPr>
            <w:tcW w:w="160" w:type="dxa"/>
            <w:tcBorders>
              <w:top w:val="nil"/>
              <w:left w:val="nil"/>
              <w:bottom w:val="single" w:sz="4" w:space="0" w:color="auto"/>
              <w:right w:val="nil"/>
            </w:tcBorders>
            <w:vAlign w:val="center"/>
          </w:tcPr>
          <w:p w14:paraId="5F2C68B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BA75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GRIŽE</w:t>
            </w:r>
          </w:p>
        </w:tc>
      </w:tr>
      <w:tr w:rsidR="00072A69" w:rsidRPr="00DC6DF9" w14:paraId="0FA16A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09D7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1179</w:t>
            </w:r>
          </w:p>
        </w:tc>
        <w:tc>
          <w:tcPr>
            <w:tcW w:w="1036" w:type="dxa"/>
            <w:tcBorders>
              <w:top w:val="nil"/>
              <w:left w:val="nil"/>
              <w:bottom w:val="single" w:sz="4" w:space="0" w:color="auto"/>
              <w:right w:val="single" w:sz="4" w:space="0" w:color="auto"/>
            </w:tcBorders>
            <w:shd w:val="clear" w:color="auto" w:fill="auto"/>
            <w:noWrap/>
            <w:vAlign w:val="center"/>
            <w:hideMark/>
          </w:tcPr>
          <w:p w14:paraId="609369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5086850000</w:t>
            </w:r>
          </w:p>
        </w:tc>
        <w:tc>
          <w:tcPr>
            <w:tcW w:w="1036" w:type="dxa"/>
            <w:tcBorders>
              <w:top w:val="nil"/>
              <w:left w:val="nil"/>
              <w:bottom w:val="single" w:sz="4" w:space="0" w:color="auto"/>
              <w:right w:val="single" w:sz="4" w:space="0" w:color="auto"/>
            </w:tcBorders>
            <w:shd w:val="clear" w:color="auto" w:fill="auto"/>
            <w:noWrap/>
            <w:vAlign w:val="center"/>
            <w:hideMark/>
          </w:tcPr>
          <w:p w14:paraId="123F3B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87598167</w:t>
            </w:r>
          </w:p>
        </w:tc>
        <w:tc>
          <w:tcPr>
            <w:tcW w:w="160" w:type="dxa"/>
            <w:tcBorders>
              <w:top w:val="nil"/>
              <w:left w:val="nil"/>
              <w:bottom w:val="single" w:sz="4" w:space="0" w:color="auto"/>
              <w:right w:val="nil"/>
            </w:tcBorders>
            <w:vAlign w:val="center"/>
          </w:tcPr>
          <w:p w14:paraId="1EEA02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70E2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GRM</w:t>
            </w:r>
          </w:p>
        </w:tc>
      </w:tr>
      <w:tr w:rsidR="00072A69" w:rsidRPr="00DC6DF9" w14:paraId="2E3205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8488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1180</w:t>
            </w:r>
          </w:p>
        </w:tc>
        <w:tc>
          <w:tcPr>
            <w:tcW w:w="1036" w:type="dxa"/>
            <w:tcBorders>
              <w:top w:val="nil"/>
              <w:left w:val="nil"/>
              <w:bottom w:val="single" w:sz="4" w:space="0" w:color="auto"/>
              <w:right w:val="single" w:sz="4" w:space="0" w:color="auto"/>
            </w:tcBorders>
            <w:shd w:val="clear" w:color="auto" w:fill="auto"/>
            <w:noWrap/>
            <w:vAlign w:val="center"/>
            <w:hideMark/>
          </w:tcPr>
          <w:p w14:paraId="7D79DE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5087643000</w:t>
            </w:r>
          </w:p>
        </w:tc>
        <w:tc>
          <w:tcPr>
            <w:tcW w:w="1036" w:type="dxa"/>
            <w:tcBorders>
              <w:top w:val="nil"/>
              <w:left w:val="nil"/>
              <w:bottom w:val="single" w:sz="4" w:space="0" w:color="auto"/>
              <w:right w:val="single" w:sz="4" w:space="0" w:color="auto"/>
            </w:tcBorders>
            <w:shd w:val="clear" w:color="auto" w:fill="auto"/>
            <w:noWrap/>
            <w:vAlign w:val="center"/>
            <w:hideMark/>
          </w:tcPr>
          <w:p w14:paraId="476C04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36415006</w:t>
            </w:r>
          </w:p>
        </w:tc>
        <w:tc>
          <w:tcPr>
            <w:tcW w:w="160" w:type="dxa"/>
            <w:tcBorders>
              <w:top w:val="nil"/>
              <w:left w:val="nil"/>
              <w:bottom w:val="single" w:sz="4" w:space="0" w:color="auto"/>
              <w:right w:val="nil"/>
            </w:tcBorders>
            <w:vAlign w:val="center"/>
          </w:tcPr>
          <w:p w14:paraId="1604AA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1073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GUSTAVA ŠILIHA LAPORJE</w:t>
            </w:r>
          </w:p>
        </w:tc>
      </w:tr>
      <w:tr w:rsidR="00072A69" w:rsidRPr="00DC6DF9" w14:paraId="16CBC5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02D5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1181</w:t>
            </w:r>
          </w:p>
        </w:tc>
        <w:tc>
          <w:tcPr>
            <w:tcW w:w="1036" w:type="dxa"/>
            <w:tcBorders>
              <w:top w:val="nil"/>
              <w:left w:val="nil"/>
              <w:bottom w:val="single" w:sz="4" w:space="0" w:color="auto"/>
              <w:right w:val="single" w:sz="4" w:space="0" w:color="auto"/>
            </w:tcBorders>
            <w:shd w:val="clear" w:color="auto" w:fill="auto"/>
            <w:noWrap/>
            <w:vAlign w:val="center"/>
            <w:hideMark/>
          </w:tcPr>
          <w:p w14:paraId="17D7EB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5088208000</w:t>
            </w:r>
          </w:p>
        </w:tc>
        <w:tc>
          <w:tcPr>
            <w:tcW w:w="1036" w:type="dxa"/>
            <w:tcBorders>
              <w:top w:val="nil"/>
              <w:left w:val="nil"/>
              <w:bottom w:val="single" w:sz="4" w:space="0" w:color="auto"/>
              <w:right w:val="single" w:sz="4" w:space="0" w:color="auto"/>
            </w:tcBorders>
            <w:shd w:val="clear" w:color="auto" w:fill="auto"/>
            <w:noWrap/>
            <w:vAlign w:val="center"/>
            <w:hideMark/>
          </w:tcPr>
          <w:p w14:paraId="51614F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87755246</w:t>
            </w:r>
          </w:p>
        </w:tc>
        <w:tc>
          <w:tcPr>
            <w:tcW w:w="160" w:type="dxa"/>
            <w:tcBorders>
              <w:top w:val="nil"/>
              <w:left w:val="nil"/>
              <w:bottom w:val="single" w:sz="4" w:space="0" w:color="auto"/>
              <w:right w:val="nil"/>
            </w:tcBorders>
            <w:vAlign w:val="center"/>
          </w:tcPr>
          <w:p w14:paraId="1D20A7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D2B7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GUSTAVA ŠILIHA, VELENJE</w:t>
            </w:r>
          </w:p>
        </w:tc>
      </w:tr>
      <w:tr w:rsidR="00072A69" w:rsidRPr="00DC6DF9" w14:paraId="7A72B3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5DBC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1182</w:t>
            </w:r>
          </w:p>
        </w:tc>
        <w:tc>
          <w:tcPr>
            <w:tcW w:w="1036" w:type="dxa"/>
            <w:tcBorders>
              <w:top w:val="nil"/>
              <w:left w:val="nil"/>
              <w:bottom w:val="single" w:sz="4" w:space="0" w:color="auto"/>
              <w:right w:val="single" w:sz="4" w:space="0" w:color="auto"/>
            </w:tcBorders>
            <w:shd w:val="clear" w:color="auto" w:fill="auto"/>
            <w:noWrap/>
            <w:vAlign w:val="center"/>
            <w:hideMark/>
          </w:tcPr>
          <w:p w14:paraId="0120A8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5087031000</w:t>
            </w:r>
          </w:p>
        </w:tc>
        <w:tc>
          <w:tcPr>
            <w:tcW w:w="1036" w:type="dxa"/>
            <w:tcBorders>
              <w:top w:val="nil"/>
              <w:left w:val="nil"/>
              <w:bottom w:val="single" w:sz="4" w:space="0" w:color="auto"/>
              <w:right w:val="single" w:sz="4" w:space="0" w:color="auto"/>
            </w:tcBorders>
            <w:shd w:val="clear" w:color="auto" w:fill="auto"/>
            <w:noWrap/>
            <w:vAlign w:val="center"/>
            <w:hideMark/>
          </w:tcPr>
          <w:p w14:paraId="5CDC52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33939314</w:t>
            </w:r>
          </w:p>
        </w:tc>
        <w:tc>
          <w:tcPr>
            <w:tcW w:w="160" w:type="dxa"/>
            <w:tcBorders>
              <w:top w:val="nil"/>
              <w:left w:val="nil"/>
              <w:bottom w:val="single" w:sz="4" w:space="0" w:color="auto"/>
              <w:right w:val="nil"/>
            </w:tcBorders>
            <w:vAlign w:val="center"/>
          </w:tcPr>
          <w:p w14:paraId="0B50B0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9D4B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HAJDINA</w:t>
            </w:r>
          </w:p>
        </w:tc>
      </w:tr>
      <w:tr w:rsidR="00072A69" w:rsidRPr="00DC6DF9" w14:paraId="3B6BE1C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4C96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1183</w:t>
            </w:r>
          </w:p>
        </w:tc>
        <w:tc>
          <w:tcPr>
            <w:tcW w:w="1036" w:type="dxa"/>
            <w:tcBorders>
              <w:top w:val="nil"/>
              <w:left w:val="nil"/>
              <w:bottom w:val="single" w:sz="4" w:space="0" w:color="auto"/>
              <w:right w:val="single" w:sz="4" w:space="0" w:color="auto"/>
            </w:tcBorders>
            <w:shd w:val="clear" w:color="auto" w:fill="auto"/>
            <w:noWrap/>
            <w:vAlign w:val="center"/>
            <w:hideMark/>
          </w:tcPr>
          <w:p w14:paraId="1E263D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5083877000</w:t>
            </w:r>
          </w:p>
        </w:tc>
        <w:tc>
          <w:tcPr>
            <w:tcW w:w="1036" w:type="dxa"/>
            <w:tcBorders>
              <w:top w:val="nil"/>
              <w:left w:val="nil"/>
              <w:bottom w:val="single" w:sz="4" w:space="0" w:color="auto"/>
              <w:right w:val="single" w:sz="4" w:space="0" w:color="auto"/>
            </w:tcBorders>
            <w:shd w:val="clear" w:color="auto" w:fill="auto"/>
            <w:noWrap/>
            <w:vAlign w:val="center"/>
            <w:hideMark/>
          </w:tcPr>
          <w:p w14:paraId="3C0BA4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81628757</w:t>
            </w:r>
          </w:p>
        </w:tc>
        <w:tc>
          <w:tcPr>
            <w:tcW w:w="160" w:type="dxa"/>
            <w:tcBorders>
              <w:top w:val="nil"/>
              <w:left w:val="nil"/>
              <w:bottom w:val="single" w:sz="4" w:space="0" w:color="auto"/>
              <w:right w:val="nil"/>
            </w:tcBorders>
            <w:vAlign w:val="center"/>
          </w:tcPr>
          <w:p w14:paraId="25C495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AF41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HELENE PUHAR KRANJ</w:t>
            </w:r>
          </w:p>
        </w:tc>
      </w:tr>
      <w:tr w:rsidR="00072A69" w:rsidRPr="00DC6DF9" w14:paraId="69F652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C285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1184</w:t>
            </w:r>
          </w:p>
        </w:tc>
        <w:tc>
          <w:tcPr>
            <w:tcW w:w="1036" w:type="dxa"/>
            <w:tcBorders>
              <w:top w:val="nil"/>
              <w:left w:val="nil"/>
              <w:bottom w:val="single" w:sz="4" w:space="0" w:color="auto"/>
              <w:right w:val="single" w:sz="4" w:space="0" w:color="auto"/>
            </w:tcBorders>
            <w:shd w:val="clear" w:color="auto" w:fill="auto"/>
            <w:noWrap/>
            <w:vAlign w:val="center"/>
            <w:hideMark/>
          </w:tcPr>
          <w:p w14:paraId="257C5B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5089891000</w:t>
            </w:r>
          </w:p>
        </w:tc>
        <w:tc>
          <w:tcPr>
            <w:tcW w:w="1036" w:type="dxa"/>
            <w:tcBorders>
              <w:top w:val="nil"/>
              <w:left w:val="nil"/>
              <w:bottom w:val="single" w:sz="4" w:space="0" w:color="auto"/>
              <w:right w:val="single" w:sz="4" w:space="0" w:color="auto"/>
            </w:tcBorders>
            <w:shd w:val="clear" w:color="auto" w:fill="auto"/>
            <w:noWrap/>
            <w:vAlign w:val="center"/>
            <w:hideMark/>
          </w:tcPr>
          <w:p w14:paraId="2ED8C2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58122982</w:t>
            </w:r>
          </w:p>
        </w:tc>
        <w:tc>
          <w:tcPr>
            <w:tcW w:w="160" w:type="dxa"/>
            <w:tcBorders>
              <w:top w:val="nil"/>
              <w:left w:val="nil"/>
              <w:bottom w:val="single" w:sz="4" w:space="0" w:color="auto"/>
              <w:right w:val="nil"/>
            </w:tcBorders>
            <w:vAlign w:val="center"/>
          </w:tcPr>
          <w:p w14:paraId="4CA5866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214F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HEROJA JANEZA HRIBARJA</w:t>
            </w:r>
          </w:p>
        </w:tc>
      </w:tr>
      <w:tr w:rsidR="00072A69" w:rsidRPr="00DC6DF9" w14:paraId="40FD19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B7B2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1185</w:t>
            </w:r>
          </w:p>
        </w:tc>
        <w:tc>
          <w:tcPr>
            <w:tcW w:w="1036" w:type="dxa"/>
            <w:tcBorders>
              <w:top w:val="nil"/>
              <w:left w:val="nil"/>
              <w:bottom w:val="single" w:sz="4" w:space="0" w:color="auto"/>
              <w:right w:val="single" w:sz="4" w:space="0" w:color="auto"/>
            </w:tcBorders>
            <w:shd w:val="clear" w:color="auto" w:fill="auto"/>
            <w:noWrap/>
            <w:vAlign w:val="center"/>
            <w:hideMark/>
          </w:tcPr>
          <w:p w14:paraId="07437A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5084369000</w:t>
            </w:r>
          </w:p>
        </w:tc>
        <w:tc>
          <w:tcPr>
            <w:tcW w:w="1036" w:type="dxa"/>
            <w:tcBorders>
              <w:top w:val="nil"/>
              <w:left w:val="nil"/>
              <w:bottom w:val="single" w:sz="4" w:space="0" w:color="auto"/>
              <w:right w:val="single" w:sz="4" w:space="0" w:color="auto"/>
            </w:tcBorders>
            <w:shd w:val="clear" w:color="auto" w:fill="auto"/>
            <w:noWrap/>
            <w:vAlign w:val="center"/>
            <w:hideMark/>
          </w:tcPr>
          <w:p w14:paraId="42AFED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23541300</w:t>
            </w:r>
          </w:p>
        </w:tc>
        <w:tc>
          <w:tcPr>
            <w:tcW w:w="160" w:type="dxa"/>
            <w:tcBorders>
              <w:top w:val="nil"/>
              <w:left w:val="nil"/>
              <w:bottom w:val="single" w:sz="4" w:space="0" w:color="auto"/>
              <w:right w:val="nil"/>
            </w:tcBorders>
            <w:vAlign w:val="center"/>
          </w:tcPr>
          <w:p w14:paraId="72416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EBF4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HINKA SMREKARJA</w:t>
            </w:r>
          </w:p>
        </w:tc>
      </w:tr>
      <w:tr w:rsidR="00072A69" w:rsidRPr="00DC6DF9" w14:paraId="54595B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DAE5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1186</w:t>
            </w:r>
          </w:p>
        </w:tc>
        <w:tc>
          <w:tcPr>
            <w:tcW w:w="1036" w:type="dxa"/>
            <w:tcBorders>
              <w:top w:val="nil"/>
              <w:left w:val="nil"/>
              <w:bottom w:val="single" w:sz="4" w:space="0" w:color="auto"/>
              <w:right w:val="single" w:sz="4" w:space="0" w:color="auto"/>
            </w:tcBorders>
            <w:shd w:val="clear" w:color="auto" w:fill="auto"/>
            <w:noWrap/>
            <w:vAlign w:val="center"/>
            <w:hideMark/>
          </w:tcPr>
          <w:p w14:paraId="109A19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5084423000</w:t>
            </w:r>
          </w:p>
        </w:tc>
        <w:tc>
          <w:tcPr>
            <w:tcW w:w="1036" w:type="dxa"/>
            <w:tcBorders>
              <w:top w:val="nil"/>
              <w:left w:val="nil"/>
              <w:bottom w:val="single" w:sz="4" w:space="0" w:color="auto"/>
              <w:right w:val="single" w:sz="4" w:space="0" w:color="auto"/>
            </w:tcBorders>
            <w:shd w:val="clear" w:color="auto" w:fill="auto"/>
            <w:noWrap/>
            <w:vAlign w:val="center"/>
            <w:hideMark/>
          </w:tcPr>
          <w:p w14:paraId="02DD8F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99488493</w:t>
            </w:r>
          </w:p>
        </w:tc>
        <w:tc>
          <w:tcPr>
            <w:tcW w:w="160" w:type="dxa"/>
            <w:tcBorders>
              <w:top w:val="nil"/>
              <w:left w:val="nil"/>
              <w:bottom w:val="single" w:sz="4" w:space="0" w:color="auto"/>
              <w:right w:val="nil"/>
            </w:tcBorders>
            <w:vAlign w:val="center"/>
          </w:tcPr>
          <w:p w14:paraId="08D1C9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210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HORJUL</w:t>
            </w:r>
          </w:p>
        </w:tc>
      </w:tr>
      <w:tr w:rsidR="00072A69" w:rsidRPr="00DC6DF9" w14:paraId="004733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09A9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1187</w:t>
            </w:r>
          </w:p>
        </w:tc>
        <w:tc>
          <w:tcPr>
            <w:tcW w:w="1036" w:type="dxa"/>
            <w:tcBorders>
              <w:top w:val="nil"/>
              <w:left w:val="nil"/>
              <w:bottom w:val="single" w:sz="4" w:space="0" w:color="auto"/>
              <w:right w:val="single" w:sz="4" w:space="0" w:color="auto"/>
            </w:tcBorders>
            <w:shd w:val="clear" w:color="auto" w:fill="auto"/>
            <w:noWrap/>
            <w:vAlign w:val="center"/>
            <w:hideMark/>
          </w:tcPr>
          <w:p w14:paraId="24ADDE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5914914000</w:t>
            </w:r>
          </w:p>
        </w:tc>
        <w:tc>
          <w:tcPr>
            <w:tcW w:w="1036" w:type="dxa"/>
            <w:tcBorders>
              <w:top w:val="nil"/>
              <w:left w:val="nil"/>
              <w:bottom w:val="single" w:sz="4" w:space="0" w:color="auto"/>
              <w:right w:val="single" w:sz="4" w:space="0" w:color="auto"/>
            </w:tcBorders>
            <w:shd w:val="clear" w:color="auto" w:fill="auto"/>
            <w:noWrap/>
            <w:vAlign w:val="center"/>
            <w:hideMark/>
          </w:tcPr>
          <w:p w14:paraId="3D360D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54735289</w:t>
            </w:r>
          </w:p>
        </w:tc>
        <w:tc>
          <w:tcPr>
            <w:tcW w:w="160" w:type="dxa"/>
            <w:tcBorders>
              <w:top w:val="nil"/>
              <w:left w:val="nil"/>
              <w:bottom w:val="single" w:sz="4" w:space="0" w:color="auto"/>
              <w:right w:val="nil"/>
            </w:tcBorders>
            <w:vAlign w:val="center"/>
          </w:tcPr>
          <w:p w14:paraId="5DB8D2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70CB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HRUŠEVEC-ŠENTJUR</w:t>
            </w:r>
          </w:p>
        </w:tc>
      </w:tr>
      <w:tr w:rsidR="00072A69" w:rsidRPr="00DC6DF9" w14:paraId="388DE2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94EE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1188</w:t>
            </w:r>
          </w:p>
        </w:tc>
        <w:tc>
          <w:tcPr>
            <w:tcW w:w="1036" w:type="dxa"/>
            <w:tcBorders>
              <w:top w:val="nil"/>
              <w:left w:val="nil"/>
              <w:bottom w:val="single" w:sz="4" w:space="0" w:color="auto"/>
              <w:right w:val="single" w:sz="4" w:space="0" w:color="auto"/>
            </w:tcBorders>
            <w:shd w:val="clear" w:color="auto" w:fill="auto"/>
            <w:noWrap/>
            <w:vAlign w:val="center"/>
            <w:hideMark/>
          </w:tcPr>
          <w:p w14:paraId="5A9FA7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5082650000</w:t>
            </w:r>
          </w:p>
        </w:tc>
        <w:tc>
          <w:tcPr>
            <w:tcW w:w="1036" w:type="dxa"/>
            <w:tcBorders>
              <w:top w:val="nil"/>
              <w:left w:val="nil"/>
              <w:bottom w:val="single" w:sz="4" w:space="0" w:color="auto"/>
              <w:right w:val="single" w:sz="4" w:space="0" w:color="auto"/>
            </w:tcBorders>
            <w:shd w:val="clear" w:color="auto" w:fill="auto"/>
            <w:noWrap/>
            <w:vAlign w:val="center"/>
            <w:hideMark/>
          </w:tcPr>
          <w:p w14:paraId="39FC50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73042323</w:t>
            </w:r>
          </w:p>
        </w:tc>
        <w:tc>
          <w:tcPr>
            <w:tcW w:w="160" w:type="dxa"/>
            <w:tcBorders>
              <w:top w:val="nil"/>
              <w:left w:val="nil"/>
              <w:bottom w:val="single" w:sz="4" w:space="0" w:color="auto"/>
              <w:right w:val="nil"/>
            </w:tcBorders>
            <w:vAlign w:val="center"/>
          </w:tcPr>
          <w:p w14:paraId="1F9FA2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18E8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HUDINJA</w:t>
            </w:r>
          </w:p>
        </w:tc>
      </w:tr>
      <w:tr w:rsidR="00072A69" w:rsidRPr="00DC6DF9" w14:paraId="6FF052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4392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1189</w:t>
            </w:r>
          </w:p>
        </w:tc>
        <w:tc>
          <w:tcPr>
            <w:tcW w:w="1036" w:type="dxa"/>
            <w:tcBorders>
              <w:top w:val="nil"/>
              <w:left w:val="nil"/>
              <w:bottom w:val="single" w:sz="4" w:space="0" w:color="auto"/>
              <w:right w:val="single" w:sz="4" w:space="0" w:color="auto"/>
            </w:tcBorders>
            <w:shd w:val="clear" w:color="auto" w:fill="auto"/>
            <w:noWrap/>
            <w:vAlign w:val="center"/>
            <w:hideMark/>
          </w:tcPr>
          <w:p w14:paraId="594F1D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5640245000</w:t>
            </w:r>
          </w:p>
        </w:tc>
        <w:tc>
          <w:tcPr>
            <w:tcW w:w="1036" w:type="dxa"/>
            <w:tcBorders>
              <w:top w:val="nil"/>
              <w:left w:val="nil"/>
              <w:bottom w:val="single" w:sz="4" w:space="0" w:color="auto"/>
              <w:right w:val="single" w:sz="4" w:space="0" w:color="auto"/>
            </w:tcBorders>
            <w:shd w:val="clear" w:color="auto" w:fill="auto"/>
            <w:noWrap/>
            <w:vAlign w:val="center"/>
            <w:hideMark/>
          </w:tcPr>
          <w:p w14:paraId="4B385A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28051076</w:t>
            </w:r>
          </w:p>
        </w:tc>
        <w:tc>
          <w:tcPr>
            <w:tcW w:w="160" w:type="dxa"/>
            <w:tcBorders>
              <w:top w:val="nil"/>
              <w:left w:val="nil"/>
              <w:bottom w:val="single" w:sz="4" w:space="0" w:color="auto"/>
              <w:right w:val="nil"/>
            </w:tcBorders>
            <w:vAlign w:val="center"/>
          </w:tcPr>
          <w:p w14:paraId="4BE697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4D13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 MURSKA SOBOTA</w:t>
            </w:r>
          </w:p>
        </w:tc>
      </w:tr>
      <w:tr w:rsidR="00072A69" w:rsidRPr="00DC6DF9" w14:paraId="2B8D84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AA76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1190</w:t>
            </w:r>
          </w:p>
        </w:tc>
        <w:tc>
          <w:tcPr>
            <w:tcW w:w="1036" w:type="dxa"/>
            <w:tcBorders>
              <w:top w:val="nil"/>
              <w:left w:val="nil"/>
              <w:bottom w:val="single" w:sz="4" w:space="0" w:color="auto"/>
              <w:right w:val="single" w:sz="4" w:space="0" w:color="auto"/>
            </w:tcBorders>
            <w:shd w:val="clear" w:color="auto" w:fill="auto"/>
            <w:noWrap/>
            <w:vAlign w:val="center"/>
            <w:hideMark/>
          </w:tcPr>
          <w:p w14:paraId="33810D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5082986000</w:t>
            </w:r>
          </w:p>
        </w:tc>
        <w:tc>
          <w:tcPr>
            <w:tcW w:w="1036" w:type="dxa"/>
            <w:tcBorders>
              <w:top w:val="nil"/>
              <w:left w:val="nil"/>
              <w:bottom w:val="single" w:sz="4" w:space="0" w:color="auto"/>
              <w:right w:val="single" w:sz="4" w:space="0" w:color="auto"/>
            </w:tcBorders>
            <w:shd w:val="clear" w:color="auto" w:fill="auto"/>
            <w:noWrap/>
            <w:vAlign w:val="center"/>
            <w:hideMark/>
          </w:tcPr>
          <w:p w14:paraId="78E144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75180596</w:t>
            </w:r>
          </w:p>
        </w:tc>
        <w:tc>
          <w:tcPr>
            <w:tcW w:w="160" w:type="dxa"/>
            <w:tcBorders>
              <w:top w:val="nil"/>
              <w:left w:val="nil"/>
              <w:bottom w:val="single" w:sz="4" w:space="0" w:color="auto"/>
              <w:right w:val="nil"/>
            </w:tcBorders>
            <w:vAlign w:val="center"/>
          </w:tcPr>
          <w:p w14:paraId="74FDFA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7CF9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IDRIJA</w:t>
            </w:r>
          </w:p>
        </w:tc>
      </w:tr>
      <w:tr w:rsidR="00072A69" w:rsidRPr="00DC6DF9" w14:paraId="31E45FB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1BE0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1191</w:t>
            </w:r>
          </w:p>
        </w:tc>
        <w:tc>
          <w:tcPr>
            <w:tcW w:w="1036" w:type="dxa"/>
            <w:tcBorders>
              <w:top w:val="nil"/>
              <w:left w:val="nil"/>
              <w:bottom w:val="single" w:sz="4" w:space="0" w:color="auto"/>
              <w:right w:val="single" w:sz="4" w:space="0" w:color="auto"/>
            </w:tcBorders>
            <w:shd w:val="clear" w:color="auto" w:fill="auto"/>
            <w:noWrap/>
            <w:vAlign w:val="center"/>
            <w:hideMark/>
          </w:tcPr>
          <w:p w14:paraId="1B84D8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5084431000</w:t>
            </w:r>
          </w:p>
        </w:tc>
        <w:tc>
          <w:tcPr>
            <w:tcW w:w="1036" w:type="dxa"/>
            <w:tcBorders>
              <w:top w:val="nil"/>
              <w:left w:val="nil"/>
              <w:bottom w:val="single" w:sz="4" w:space="0" w:color="auto"/>
              <w:right w:val="single" w:sz="4" w:space="0" w:color="auto"/>
            </w:tcBorders>
            <w:shd w:val="clear" w:color="auto" w:fill="auto"/>
            <w:noWrap/>
            <w:vAlign w:val="center"/>
            <w:hideMark/>
          </w:tcPr>
          <w:p w14:paraId="526EBA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72025735</w:t>
            </w:r>
          </w:p>
        </w:tc>
        <w:tc>
          <w:tcPr>
            <w:tcW w:w="160" w:type="dxa"/>
            <w:tcBorders>
              <w:top w:val="nil"/>
              <w:left w:val="nil"/>
              <w:bottom w:val="single" w:sz="4" w:space="0" w:color="auto"/>
              <w:right w:val="nil"/>
            </w:tcBorders>
            <w:vAlign w:val="center"/>
          </w:tcPr>
          <w:p w14:paraId="7CF61E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F4C9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IG</w:t>
            </w:r>
          </w:p>
        </w:tc>
      </w:tr>
      <w:tr w:rsidR="00072A69" w:rsidRPr="00DC6DF9" w14:paraId="02199F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38CC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1192</w:t>
            </w:r>
          </w:p>
        </w:tc>
        <w:tc>
          <w:tcPr>
            <w:tcW w:w="1036" w:type="dxa"/>
            <w:tcBorders>
              <w:top w:val="nil"/>
              <w:left w:val="nil"/>
              <w:bottom w:val="single" w:sz="4" w:space="0" w:color="auto"/>
              <w:right w:val="single" w:sz="4" w:space="0" w:color="auto"/>
            </w:tcBorders>
            <w:shd w:val="clear" w:color="auto" w:fill="auto"/>
            <w:noWrap/>
            <w:vAlign w:val="center"/>
            <w:hideMark/>
          </w:tcPr>
          <w:p w14:paraId="1B003B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5640270000</w:t>
            </w:r>
          </w:p>
        </w:tc>
        <w:tc>
          <w:tcPr>
            <w:tcW w:w="1036" w:type="dxa"/>
            <w:tcBorders>
              <w:top w:val="nil"/>
              <w:left w:val="nil"/>
              <w:bottom w:val="single" w:sz="4" w:space="0" w:color="auto"/>
              <w:right w:val="single" w:sz="4" w:space="0" w:color="auto"/>
            </w:tcBorders>
            <w:shd w:val="clear" w:color="auto" w:fill="auto"/>
            <w:noWrap/>
            <w:vAlign w:val="center"/>
            <w:hideMark/>
          </w:tcPr>
          <w:p w14:paraId="72F449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10690336</w:t>
            </w:r>
          </w:p>
        </w:tc>
        <w:tc>
          <w:tcPr>
            <w:tcW w:w="160" w:type="dxa"/>
            <w:tcBorders>
              <w:top w:val="nil"/>
              <w:left w:val="nil"/>
              <w:bottom w:val="single" w:sz="4" w:space="0" w:color="auto"/>
              <w:right w:val="nil"/>
            </w:tcBorders>
            <w:vAlign w:val="center"/>
          </w:tcPr>
          <w:p w14:paraId="20C772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7178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II MURSKA SOBOTA</w:t>
            </w:r>
          </w:p>
        </w:tc>
      </w:tr>
      <w:tr w:rsidR="00072A69" w:rsidRPr="00DC6DF9" w14:paraId="0364E0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FB01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1193</w:t>
            </w:r>
          </w:p>
        </w:tc>
        <w:tc>
          <w:tcPr>
            <w:tcW w:w="1036" w:type="dxa"/>
            <w:tcBorders>
              <w:top w:val="nil"/>
              <w:left w:val="nil"/>
              <w:bottom w:val="single" w:sz="4" w:space="0" w:color="auto"/>
              <w:right w:val="single" w:sz="4" w:space="0" w:color="auto"/>
            </w:tcBorders>
            <w:shd w:val="clear" w:color="auto" w:fill="auto"/>
            <w:noWrap/>
            <w:vAlign w:val="center"/>
            <w:hideMark/>
          </w:tcPr>
          <w:p w14:paraId="5768A7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5640261000</w:t>
            </w:r>
          </w:p>
        </w:tc>
        <w:tc>
          <w:tcPr>
            <w:tcW w:w="1036" w:type="dxa"/>
            <w:tcBorders>
              <w:top w:val="nil"/>
              <w:left w:val="nil"/>
              <w:bottom w:val="single" w:sz="4" w:space="0" w:color="auto"/>
              <w:right w:val="single" w:sz="4" w:space="0" w:color="auto"/>
            </w:tcBorders>
            <w:shd w:val="clear" w:color="auto" w:fill="auto"/>
            <w:noWrap/>
            <w:vAlign w:val="center"/>
            <w:hideMark/>
          </w:tcPr>
          <w:p w14:paraId="64E881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53080548</w:t>
            </w:r>
          </w:p>
        </w:tc>
        <w:tc>
          <w:tcPr>
            <w:tcW w:w="160" w:type="dxa"/>
            <w:tcBorders>
              <w:top w:val="nil"/>
              <w:left w:val="nil"/>
              <w:bottom w:val="single" w:sz="4" w:space="0" w:color="auto"/>
              <w:right w:val="nil"/>
            </w:tcBorders>
            <w:vAlign w:val="center"/>
          </w:tcPr>
          <w:p w14:paraId="46BC337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0EFF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III MURSKA SOBOTA</w:t>
            </w:r>
          </w:p>
        </w:tc>
      </w:tr>
      <w:tr w:rsidR="00072A69" w:rsidRPr="00DC6DF9" w14:paraId="231C641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0EEC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1194</w:t>
            </w:r>
          </w:p>
        </w:tc>
        <w:tc>
          <w:tcPr>
            <w:tcW w:w="1036" w:type="dxa"/>
            <w:tcBorders>
              <w:top w:val="nil"/>
              <w:left w:val="nil"/>
              <w:bottom w:val="single" w:sz="4" w:space="0" w:color="auto"/>
              <w:right w:val="single" w:sz="4" w:space="0" w:color="auto"/>
            </w:tcBorders>
            <w:shd w:val="clear" w:color="auto" w:fill="auto"/>
            <w:noWrap/>
            <w:vAlign w:val="center"/>
            <w:hideMark/>
          </w:tcPr>
          <w:p w14:paraId="67A455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7085761000</w:t>
            </w:r>
          </w:p>
        </w:tc>
        <w:tc>
          <w:tcPr>
            <w:tcW w:w="1036" w:type="dxa"/>
            <w:tcBorders>
              <w:top w:val="nil"/>
              <w:left w:val="nil"/>
              <w:bottom w:val="single" w:sz="4" w:space="0" w:color="auto"/>
              <w:right w:val="single" w:sz="4" w:space="0" w:color="auto"/>
            </w:tcBorders>
            <w:shd w:val="clear" w:color="auto" w:fill="auto"/>
            <w:noWrap/>
            <w:vAlign w:val="center"/>
            <w:hideMark/>
          </w:tcPr>
          <w:p w14:paraId="2679B6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84095580</w:t>
            </w:r>
          </w:p>
        </w:tc>
        <w:tc>
          <w:tcPr>
            <w:tcW w:w="160" w:type="dxa"/>
            <w:tcBorders>
              <w:top w:val="nil"/>
              <w:left w:val="nil"/>
              <w:bottom w:val="single" w:sz="4" w:space="0" w:color="auto"/>
              <w:right w:val="nil"/>
            </w:tcBorders>
            <w:vAlign w:val="center"/>
          </w:tcPr>
          <w:p w14:paraId="26612F1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573F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IN VRTEC ANKARAN</w:t>
            </w:r>
          </w:p>
        </w:tc>
      </w:tr>
      <w:tr w:rsidR="00072A69" w:rsidRPr="00DC6DF9" w14:paraId="148674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38C7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1195</w:t>
            </w:r>
          </w:p>
        </w:tc>
        <w:tc>
          <w:tcPr>
            <w:tcW w:w="1036" w:type="dxa"/>
            <w:tcBorders>
              <w:top w:val="nil"/>
              <w:left w:val="nil"/>
              <w:bottom w:val="single" w:sz="4" w:space="0" w:color="auto"/>
              <w:right w:val="single" w:sz="4" w:space="0" w:color="auto"/>
            </w:tcBorders>
            <w:shd w:val="clear" w:color="auto" w:fill="auto"/>
            <w:noWrap/>
            <w:vAlign w:val="center"/>
            <w:hideMark/>
          </w:tcPr>
          <w:p w14:paraId="044E6B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5084768000</w:t>
            </w:r>
          </w:p>
        </w:tc>
        <w:tc>
          <w:tcPr>
            <w:tcW w:w="1036" w:type="dxa"/>
            <w:tcBorders>
              <w:top w:val="nil"/>
              <w:left w:val="nil"/>
              <w:bottom w:val="single" w:sz="4" w:space="0" w:color="auto"/>
              <w:right w:val="single" w:sz="4" w:space="0" w:color="auto"/>
            </w:tcBorders>
            <w:shd w:val="clear" w:color="auto" w:fill="auto"/>
            <w:noWrap/>
            <w:vAlign w:val="center"/>
            <w:hideMark/>
          </w:tcPr>
          <w:p w14:paraId="4F8AD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34766219</w:t>
            </w:r>
          </w:p>
        </w:tc>
        <w:tc>
          <w:tcPr>
            <w:tcW w:w="160" w:type="dxa"/>
            <w:tcBorders>
              <w:top w:val="nil"/>
              <w:left w:val="nil"/>
              <w:bottom w:val="single" w:sz="4" w:space="0" w:color="auto"/>
              <w:right w:val="nil"/>
            </w:tcBorders>
            <w:vAlign w:val="center"/>
          </w:tcPr>
          <w:p w14:paraId="1B7237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BDB9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IN VRTEC APAČE</w:t>
            </w:r>
          </w:p>
        </w:tc>
      </w:tr>
      <w:tr w:rsidR="00072A69" w:rsidRPr="00DC6DF9" w14:paraId="0E8F25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201E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1196</w:t>
            </w:r>
          </w:p>
        </w:tc>
        <w:tc>
          <w:tcPr>
            <w:tcW w:w="1036" w:type="dxa"/>
            <w:tcBorders>
              <w:top w:val="nil"/>
              <w:left w:val="nil"/>
              <w:bottom w:val="single" w:sz="4" w:space="0" w:color="auto"/>
              <w:right w:val="single" w:sz="4" w:space="0" w:color="auto"/>
            </w:tcBorders>
            <w:shd w:val="clear" w:color="auto" w:fill="auto"/>
            <w:noWrap/>
            <w:vAlign w:val="center"/>
            <w:hideMark/>
          </w:tcPr>
          <w:p w14:paraId="3C3A0D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5084024000</w:t>
            </w:r>
          </w:p>
        </w:tc>
        <w:tc>
          <w:tcPr>
            <w:tcW w:w="1036" w:type="dxa"/>
            <w:tcBorders>
              <w:top w:val="nil"/>
              <w:left w:val="nil"/>
              <w:bottom w:val="single" w:sz="4" w:space="0" w:color="auto"/>
              <w:right w:val="single" w:sz="4" w:space="0" w:color="auto"/>
            </w:tcBorders>
            <w:shd w:val="clear" w:color="auto" w:fill="auto"/>
            <w:noWrap/>
            <w:vAlign w:val="center"/>
            <w:hideMark/>
          </w:tcPr>
          <w:p w14:paraId="1A13D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94208247</w:t>
            </w:r>
          </w:p>
        </w:tc>
        <w:tc>
          <w:tcPr>
            <w:tcW w:w="160" w:type="dxa"/>
            <w:tcBorders>
              <w:top w:val="nil"/>
              <w:left w:val="nil"/>
              <w:bottom w:val="single" w:sz="4" w:space="0" w:color="auto"/>
              <w:right w:val="nil"/>
            </w:tcBorders>
            <w:vAlign w:val="center"/>
          </w:tcPr>
          <w:p w14:paraId="07265F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1D56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IN VRTEC SV. TROJICA</w:t>
            </w:r>
          </w:p>
        </w:tc>
      </w:tr>
      <w:tr w:rsidR="00072A69" w:rsidRPr="00DC6DF9" w14:paraId="6C1FC2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9CF4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1197</w:t>
            </w:r>
          </w:p>
        </w:tc>
        <w:tc>
          <w:tcPr>
            <w:tcW w:w="1036" w:type="dxa"/>
            <w:tcBorders>
              <w:top w:val="nil"/>
              <w:left w:val="nil"/>
              <w:bottom w:val="single" w:sz="4" w:space="0" w:color="auto"/>
              <w:right w:val="single" w:sz="4" w:space="0" w:color="auto"/>
            </w:tcBorders>
            <w:shd w:val="clear" w:color="auto" w:fill="auto"/>
            <w:noWrap/>
            <w:vAlign w:val="center"/>
            <w:hideMark/>
          </w:tcPr>
          <w:p w14:paraId="345B2F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5640253000</w:t>
            </w:r>
          </w:p>
        </w:tc>
        <w:tc>
          <w:tcPr>
            <w:tcW w:w="1036" w:type="dxa"/>
            <w:tcBorders>
              <w:top w:val="nil"/>
              <w:left w:val="nil"/>
              <w:bottom w:val="single" w:sz="4" w:space="0" w:color="auto"/>
              <w:right w:val="single" w:sz="4" w:space="0" w:color="auto"/>
            </w:tcBorders>
            <w:shd w:val="clear" w:color="auto" w:fill="auto"/>
            <w:noWrap/>
            <w:vAlign w:val="center"/>
            <w:hideMark/>
          </w:tcPr>
          <w:p w14:paraId="293948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10286179</w:t>
            </w:r>
          </w:p>
        </w:tc>
        <w:tc>
          <w:tcPr>
            <w:tcW w:w="160" w:type="dxa"/>
            <w:tcBorders>
              <w:top w:val="nil"/>
              <w:left w:val="nil"/>
              <w:bottom w:val="single" w:sz="4" w:space="0" w:color="auto"/>
              <w:right w:val="nil"/>
            </w:tcBorders>
            <w:vAlign w:val="center"/>
          </w:tcPr>
          <w:p w14:paraId="15A495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191A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 MURSKA SOBOTA</w:t>
            </w:r>
          </w:p>
        </w:tc>
      </w:tr>
      <w:tr w:rsidR="00072A69" w:rsidRPr="00DC6DF9" w14:paraId="010004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66F0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1198</w:t>
            </w:r>
          </w:p>
        </w:tc>
        <w:tc>
          <w:tcPr>
            <w:tcW w:w="1036" w:type="dxa"/>
            <w:tcBorders>
              <w:top w:val="nil"/>
              <w:left w:val="nil"/>
              <w:bottom w:val="single" w:sz="4" w:space="0" w:color="auto"/>
              <w:right w:val="single" w:sz="4" w:space="0" w:color="auto"/>
            </w:tcBorders>
            <w:shd w:val="clear" w:color="auto" w:fill="auto"/>
            <w:noWrap/>
            <w:vAlign w:val="center"/>
            <w:hideMark/>
          </w:tcPr>
          <w:p w14:paraId="1D163B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5083150000</w:t>
            </w:r>
          </w:p>
        </w:tc>
        <w:tc>
          <w:tcPr>
            <w:tcW w:w="1036" w:type="dxa"/>
            <w:tcBorders>
              <w:top w:val="nil"/>
              <w:left w:val="nil"/>
              <w:bottom w:val="single" w:sz="4" w:space="0" w:color="auto"/>
              <w:right w:val="single" w:sz="4" w:space="0" w:color="auto"/>
            </w:tcBorders>
            <w:shd w:val="clear" w:color="auto" w:fill="auto"/>
            <w:noWrap/>
            <w:vAlign w:val="center"/>
            <w:hideMark/>
          </w:tcPr>
          <w:p w14:paraId="78FD91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34559477</w:t>
            </w:r>
          </w:p>
        </w:tc>
        <w:tc>
          <w:tcPr>
            <w:tcW w:w="160" w:type="dxa"/>
            <w:tcBorders>
              <w:top w:val="nil"/>
              <w:left w:val="nil"/>
              <w:bottom w:val="single" w:sz="4" w:space="0" w:color="auto"/>
              <w:right w:val="nil"/>
            </w:tcBorders>
            <w:vAlign w:val="center"/>
          </w:tcPr>
          <w:p w14:paraId="32BB3AA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C67E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BABIČA-JAGRA MAREZIGE</w:t>
            </w:r>
          </w:p>
        </w:tc>
      </w:tr>
      <w:tr w:rsidR="00072A69" w:rsidRPr="00DC6DF9" w14:paraId="56B108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BB16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1199</w:t>
            </w:r>
          </w:p>
        </w:tc>
        <w:tc>
          <w:tcPr>
            <w:tcW w:w="1036" w:type="dxa"/>
            <w:tcBorders>
              <w:top w:val="nil"/>
              <w:left w:val="nil"/>
              <w:bottom w:val="single" w:sz="4" w:space="0" w:color="auto"/>
              <w:right w:val="single" w:sz="4" w:space="0" w:color="auto"/>
            </w:tcBorders>
            <w:shd w:val="clear" w:color="auto" w:fill="auto"/>
            <w:noWrap/>
            <w:vAlign w:val="center"/>
            <w:hideMark/>
          </w:tcPr>
          <w:p w14:paraId="3C49A4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5088330000</w:t>
            </w:r>
          </w:p>
        </w:tc>
        <w:tc>
          <w:tcPr>
            <w:tcW w:w="1036" w:type="dxa"/>
            <w:tcBorders>
              <w:top w:val="nil"/>
              <w:left w:val="nil"/>
              <w:bottom w:val="single" w:sz="4" w:space="0" w:color="auto"/>
              <w:right w:val="single" w:sz="4" w:space="0" w:color="auto"/>
            </w:tcBorders>
            <w:shd w:val="clear" w:color="auto" w:fill="auto"/>
            <w:noWrap/>
            <w:vAlign w:val="center"/>
            <w:hideMark/>
          </w:tcPr>
          <w:p w14:paraId="702A35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78824966</w:t>
            </w:r>
          </w:p>
        </w:tc>
        <w:tc>
          <w:tcPr>
            <w:tcW w:w="160" w:type="dxa"/>
            <w:tcBorders>
              <w:top w:val="nil"/>
              <w:left w:val="nil"/>
              <w:bottom w:val="single" w:sz="4" w:space="0" w:color="auto"/>
              <w:right w:val="nil"/>
            </w:tcBorders>
            <w:vAlign w:val="center"/>
          </w:tcPr>
          <w:p w14:paraId="1E6162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FDAB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CANKARJA</w:t>
            </w:r>
          </w:p>
        </w:tc>
      </w:tr>
      <w:tr w:rsidR="00072A69" w:rsidRPr="00DC6DF9" w14:paraId="606778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B08B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1200</w:t>
            </w:r>
          </w:p>
        </w:tc>
        <w:tc>
          <w:tcPr>
            <w:tcW w:w="1036" w:type="dxa"/>
            <w:tcBorders>
              <w:top w:val="nil"/>
              <w:left w:val="nil"/>
              <w:bottom w:val="single" w:sz="4" w:space="0" w:color="auto"/>
              <w:right w:val="single" w:sz="4" w:space="0" w:color="auto"/>
            </w:tcBorders>
            <w:shd w:val="clear" w:color="auto" w:fill="auto"/>
            <w:noWrap/>
            <w:vAlign w:val="center"/>
            <w:hideMark/>
          </w:tcPr>
          <w:p w14:paraId="6FF4A1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5085012000</w:t>
            </w:r>
          </w:p>
        </w:tc>
        <w:tc>
          <w:tcPr>
            <w:tcW w:w="1036" w:type="dxa"/>
            <w:tcBorders>
              <w:top w:val="nil"/>
              <w:left w:val="nil"/>
              <w:bottom w:val="single" w:sz="4" w:space="0" w:color="auto"/>
              <w:right w:val="single" w:sz="4" w:space="0" w:color="auto"/>
            </w:tcBorders>
            <w:shd w:val="clear" w:color="auto" w:fill="auto"/>
            <w:noWrap/>
            <w:vAlign w:val="center"/>
            <w:hideMark/>
          </w:tcPr>
          <w:p w14:paraId="16D3FC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92006582</w:t>
            </w:r>
          </w:p>
        </w:tc>
        <w:tc>
          <w:tcPr>
            <w:tcW w:w="160" w:type="dxa"/>
            <w:tcBorders>
              <w:top w:val="nil"/>
              <w:left w:val="nil"/>
              <w:bottom w:val="single" w:sz="4" w:space="0" w:color="auto"/>
              <w:right w:val="nil"/>
            </w:tcBorders>
            <w:vAlign w:val="center"/>
          </w:tcPr>
          <w:p w14:paraId="5D7EB6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359A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CANKARJA LJUTOMER</w:t>
            </w:r>
          </w:p>
        </w:tc>
      </w:tr>
      <w:tr w:rsidR="00072A69" w:rsidRPr="00DC6DF9" w14:paraId="24F68D4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8E3D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1201</w:t>
            </w:r>
          </w:p>
        </w:tc>
        <w:tc>
          <w:tcPr>
            <w:tcW w:w="1036" w:type="dxa"/>
            <w:tcBorders>
              <w:top w:val="nil"/>
              <w:left w:val="nil"/>
              <w:bottom w:val="single" w:sz="4" w:space="0" w:color="auto"/>
              <w:right w:val="single" w:sz="4" w:space="0" w:color="auto"/>
            </w:tcBorders>
            <w:shd w:val="clear" w:color="auto" w:fill="auto"/>
            <w:noWrap/>
            <w:vAlign w:val="center"/>
            <w:hideMark/>
          </w:tcPr>
          <w:p w14:paraId="77CCB7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5889286000</w:t>
            </w:r>
          </w:p>
        </w:tc>
        <w:tc>
          <w:tcPr>
            <w:tcW w:w="1036" w:type="dxa"/>
            <w:tcBorders>
              <w:top w:val="nil"/>
              <w:left w:val="nil"/>
              <w:bottom w:val="single" w:sz="4" w:space="0" w:color="auto"/>
              <w:right w:val="single" w:sz="4" w:space="0" w:color="auto"/>
            </w:tcBorders>
            <w:shd w:val="clear" w:color="auto" w:fill="auto"/>
            <w:noWrap/>
            <w:vAlign w:val="center"/>
            <w:hideMark/>
          </w:tcPr>
          <w:p w14:paraId="03ADEA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59416815</w:t>
            </w:r>
          </w:p>
        </w:tc>
        <w:tc>
          <w:tcPr>
            <w:tcW w:w="160" w:type="dxa"/>
            <w:tcBorders>
              <w:top w:val="nil"/>
              <w:left w:val="nil"/>
              <w:bottom w:val="single" w:sz="4" w:space="0" w:color="auto"/>
              <w:right w:val="nil"/>
            </w:tcBorders>
            <w:vAlign w:val="center"/>
          </w:tcPr>
          <w:p w14:paraId="420A9E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827C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CANKARJA TRBOVLJE</w:t>
            </w:r>
          </w:p>
        </w:tc>
      </w:tr>
      <w:tr w:rsidR="00072A69" w:rsidRPr="00DC6DF9" w14:paraId="60489C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95F9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1202</w:t>
            </w:r>
          </w:p>
        </w:tc>
        <w:tc>
          <w:tcPr>
            <w:tcW w:w="1036" w:type="dxa"/>
            <w:tcBorders>
              <w:top w:val="nil"/>
              <w:left w:val="nil"/>
              <w:bottom w:val="single" w:sz="4" w:space="0" w:color="auto"/>
              <w:right w:val="single" w:sz="4" w:space="0" w:color="auto"/>
            </w:tcBorders>
            <w:shd w:val="clear" w:color="auto" w:fill="auto"/>
            <w:noWrap/>
            <w:vAlign w:val="center"/>
            <w:hideMark/>
          </w:tcPr>
          <w:p w14:paraId="1194DC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5263620000</w:t>
            </w:r>
          </w:p>
        </w:tc>
        <w:tc>
          <w:tcPr>
            <w:tcW w:w="1036" w:type="dxa"/>
            <w:tcBorders>
              <w:top w:val="nil"/>
              <w:left w:val="nil"/>
              <w:bottom w:val="single" w:sz="4" w:space="0" w:color="auto"/>
              <w:right w:val="single" w:sz="4" w:space="0" w:color="auto"/>
            </w:tcBorders>
            <w:shd w:val="clear" w:color="auto" w:fill="auto"/>
            <w:vAlign w:val="center"/>
            <w:hideMark/>
          </w:tcPr>
          <w:p w14:paraId="16E7F1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94792259</w:t>
            </w:r>
          </w:p>
        </w:tc>
        <w:tc>
          <w:tcPr>
            <w:tcW w:w="160" w:type="dxa"/>
            <w:tcBorders>
              <w:top w:val="nil"/>
              <w:left w:val="nil"/>
              <w:bottom w:val="single" w:sz="4" w:space="0" w:color="auto"/>
              <w:right w:val="nil"/>
            </w:tcBorders>
            <w:vAlign w:val="center"/>
          </w:tcPr>
          <w:p w14:paraId="5B38ED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31F006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GROHARJA</w:t>
            </w:r>
          </w:p>
        </w:tc>
      </w:tr>
      <w:tr w:rsidR="00072A69" w:rsidRPr="00DC6DF9" w14:paraId="6B63F3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96B8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1203</w:t>
            </w:r>
          </w:p>
        </w:tc>
        <w:tc>
          <w:tcPr>
            <w:tcW w:w="1036" w:type="dxa"/>
            <w:tcBorders>
              <w:top w:val="nil"/>
              <w:left w:val="nil"/>
              <w:bottom w:val="single" w:sz="4" w:space="0" w:color="auto"/>
              <w:right w:val="single" w:sz="4" w:space="0" w:color="auto"/>
            </w:tcBorders>
            <w:shd w:val="clear" w:color="auto" w:fill="auto"/>
            <w:noWrap/>
            <w:vAlign w:val="center"/>
            <w:hideMark/>
          </w:tcPr>
          <w:p w14:paraId="1D2BE9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5088372000</w:t>
            </w:r>
          </w:p>
        </w:tc>
        <w:tc>
          <w:tcPr>
            <w:tcW w:w="1036" w:type="dxa"/>
            <w:tcBorders>
              <w:top w:val="nil"/>
              <w:left w:val="nil"/>
              <w:bottom w:val="single" w:sz="4" w:space="0" w:color="auto"/>
              <w:right w:val="single" w:sz="4" w:space="0" w:color="auto"/>
            </w:tcBorders>
            <w:shd w:val="clear" w:color="auto" w:fill="auto"/>
            <w:noWrap/>
            <w:vAlign w:val="center"/>
            <w:hideMark/>
          </w:tcPr>
          <w:p w14:paraId="38B18C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33761663</w:t>
            </w:r>
          </w:p>
        </w:tc>
        <w:tc>
          <w:tcPr>
            <w:tcW w:w="160" w:type="dxa"/>
            <w:tcBorders>
              <w:top w:val="nil"/>
              <w:left w:val="nil"/>
              <w:bottom w:val="single" w:sz="4" w:space="0" w:color="auto"/>
              <w:right w:val="nil"/>
            </w:tcBorders>
            <w:vAlign w:val="center"/>
          </w:tcPr>
          <w:p w14:paraId="0E637E5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F1C6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KAVČIČA</w:t>
            </w:r>
          </w:p>
        </w:tc>
      </w:tr>
      <w:tr w:rsidR="00072A69" w:rsidRPr="00DC6DF9" w14:paraId="557AA7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7982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1204</w:t>
            </w:r>
          </w:p>
        </w:tc>
        <w:tc>
          <w:tcPr>
            <w:tcW w:w="1036" w:type="dxa"/>
            <w:tcBorders>
              <w:top w:val="nil"/>
              <w:left w:val="nil"/>
              <w:bottom w:val="single" w:sz="4" w:space="0" w:color="auto"/>
              <w:right w:val="single" w:sz="4" w:space="0" w:color="auto"/>
            </w:tcBorders>
            <w:shd w:val="clear" w:color="auto" w:fill="auto"/>
            <w:noWrap/>
            <w:vAlign w:val="center"/>
            <w:hideMark/>
          </w:tcPr>
          <w:p w14:paraId="7481E5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5089069000</w:t>
            </w:r>
          </w:p>
        </w:tc>
        <w:tc>
          <w:tcPr>
            <w:tcW w:w="1036" w:type="dxa"/>
            <w:tcBorders>
              <w:top w:val="nil"/>
              <w:left w:val="nil"/>
              <w:bottom w:val="single" w:sz="4" w:space="0" w:color="auto"/>
              <w:right w:val="single" w:sz="4" w:space="0" w:color="auto"/>
            </w:tcBorders>
            <w:shd w:val="clear" w:color="auto" w:fill="auto"/>
            <w:noWrap/>
            <w:vAlign w:val="center"/>
            <w:hideMark/>
          </w:tcPr>
          <w:p w14:paraId="364C9F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11522399</w:t>
            </w:r>
          </w:p>
        </w:tc>
        <w:tc>
          <w:tcPr>
            <w:tcW w:w="160" w:type="dxa"/>
            <w:tcBorders>
              <w:top w:val="nil"/>
              <w:left w:val="nil"/>
              <w:bottom w:val="single" w:sz="4" w:space="0" w:color="auto"/>
              <w:right w:val="nil"/>
            </w:tcBorders>
            <w:vAlign w:val="center"/>
          </w:tcPr>
          <w:p w14:paraId="3494D38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82EA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ROBA ŠEMPETER PRI GORICI</w:t>
            </w:r>
          </w:p>
        </w:tc>
      </w:tr>
      <w:tr w:rsidR="00072A69" w:rsidRPr="00DC6DF9" w14:paraId="28F54A4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774A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1205</w:t>
            </w:r>
          </w:p>
        </w:tc>
        <w:tc>
          <w:tcPr>
            <w:tcW w:w="1036" w:type="dxa"/>
            <w:tcBorders>
              <w:top w:val="nil"/>
              <w:left w:val="nil"/>
              <w:bottom w:val="single" w:sz="4" w:space="0" w:color="auto"/>
              <w:right w:val="single" w:sz="4" w:space="0" w:color="auto"/>
            </w:tcBorders>
            <w:shd w:val="clear" w:color="auto" w:fill="auto"/>
            <w:noWrap/>
            <w:vAlign w:val="center"/>
            <w:hideMark/>
          </w:tcPr>
          <w:p w14:paraId="4468B1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5088402000</w:t>
            </w:r>
          </w:p>
        </w:tc>
        <w:tc>
          <w:tcPr>
            <w:tcW w:w="1036" w:type="dxa"/>
            <w:tcBorders>
              <w:top w:val="nil"/>
              <w:left w:val="nil"/>
              <w:bottom w:val="single" w:sz="4" w:space="0" w:color="auto"/>
              <w:right w:val="single" w:sz="4" w:space="0" w:color="auto"/>
            </w:tcBorders>
            <w:shd w:val="clear" w:color="auto" w:fill="auto"/>
            <w:noWrap/>
            <w:vAlign w:val="center"/>
            <w:hideMark/>
          </w:tcPr>
          <w:p w14:paraId="7F6E48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44831994</w:t>
            </w:r>
          </w:p>
        </w:tc>
        <w:tc>
          <w:tcPr>
            <w:tcW w:w="160" w:type="dxa"/>
            <w:tcBorders>
              <w:top w:val="nil"/>
              <w:left w:val="nil"/>
              <w:bottom w:val="single" w:sz="4" w:space="0" w:color="auto"/>
              <w:right w:val="nil"/>
            </w:tcBorders>
            <w:vAlign w:val="center"/>
          </w:tcPr>
          <w:p w14:paraId="44CFF3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B092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SKVARČE</w:t>
            </w:r>
          </w:p>
        </w:tc>
      </w:tr>
      <w:tr w:rsidR="00072A69" w:rsidRPr="00DC6DF9" w14:paraId="74BDF4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2F7D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1206</w:t>
            </w:r>
          </w:p>
        </w:tc>
        <w:tc>
          <w:tcPr>
            <w:tcW w:w="1036" w:type="dxa"/>
            <w:tcBorders>
              <w:top w:val="nil"/>
              <w:left w:val="nil"/>
              <w:bottom w:val="single" w:sz="4" w:space="0" w:color="auto"/>
              <w:right w:val="single" w:sz="4" w:space="0" w:color="auto"/>
            </w:tcBorders>
            <w:shd w:val="clear" w:color="auto" w:fill="auto"/>
            <w:noWrap/>
            <w:vAlign w:val="center"/>
            <w:hideMark/>
          </w:tcPr>
          <w:p w14:paraId="69E6E8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5087813000</w:t>
            </w:r>
          </w:p>
        </w:tc>
        <w:tc>
          <w:tcPr>
            <w:tcW w:w="1036" w:type="dxa"/>
            <w:tcBorders>
              <w:top w:val="nil"/>
              <w:left w:val="nil"/>
              <w:bottom w:val="single" w:sz="4" w:space="0" w:color="auto"/>
              <w:right w:val="single" w:sz="4" w:space="0" w:color="auto"/>
            </w:tcBorders>
            <w:shd w:val="clear" w:color="auto" w:fill="auto"/>
            <w:noWrap/>
            <w:vAlign w:val="center"/>
            <w:hideMark/>
          </w:tcPr>
          <w:p w14:paraId="5A6B09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72397870</w:t>
            </w:r>
          </w:p>
        </w:tc>
        <w:tc>
          <w:tcPr>
            <w:tcW w:w="160" w:type="dxa"/>
            <w:tcBorders>
              <w:top w:val="nil"/>
              <w:left w:val="nil"/>
              <w:bottom w:val="single" w:sz="4" w:space="0" w:color="auto"/>
              <w:right w:val="nil"/>
            </w:tcBorders>
            <w:vAlign w:val="center"/>
          </w:tcPr>
          <w:p w14:paraId="5762BA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88B6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IVANA TAVČARJA GORENJA VAS</w:t>
            </w:r>
          </w:p>
        </w:tc>
      </w:tr>
      <w:tr w:rsidR="00072A69" w:rsidRPr="00DC6DF9" w14:paraId="6235BB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6A3C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1207</w:t>
            </w:r>
          </w:p>
        </w:tc>
        <w:tc>
          <w:tcPr>
            <w:tcW w:w="1036" w:type="dxa"/>
            <w:tcBorders>
              <w:top w:val="nil"/>
              <w:left w:val="nil"/>
              <w:bottom w:val="single" w:sz="4" w:space="0" w:color="auto"/>
              <w:right w:val="single" w:sz="4" w:space="0" w:color="auto"/>
            </w:tcBorders>
            <w:shd w:val="clear" w:color="auto" w:fill="auto"/>
            <w:noWrap/>
            <w:vAlign w:val="center"/>
            <w:hideMark/>
          </w:tcPr>
          <w:p w14:paraId="24958C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5900026000</w:t>
            </w:r>
          </w:p>
        </w:tc>
        <w:tc>
          <w:tcPr>
            <w:tcW w:w="1036" w:type="dxa"/>
            <w:tcBorders>
              <w:top w:val="nil"/>
              <w:left w:val="nil"/>
              <w:bottom w:val="single" w:sz="4" w:space="0" w:color="auto"/>
              <w:right w:val="single" w:sz="4" w:space="0" w:color="auto"/>
            </w:tcBorders>
            <w:shd w:val="clear" w:color="auto" w:fill="auto"/>
            <w:noWrap/>
            <w:vAlign w:val="center"/>
            <w:hideMark/>
          </w:tcPr>
          <w:p w14:paraId="18499D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41002270</w:t>
            </w:r>
          </w:p>
        </w:tc>
        <w:tc>
          <w:tcPr>
            <w:tcW w:w="160" w:type="dxa"/>
            <w:tcBorders>
              <w:top w:val="nil"/>
              <w:left w:val="nil"/>
              <w:bottom w:val="single" w:sz="4" w:space="0" w:color="auto"/>
              <w:right w:val="nil"/>
            </w:tcBorders>
            <w:vAlign w:val="center"/>
          </w:tcPr>
          <w:p w14:paraId="5B20A0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AA88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IVANJKOVCI</w:t>
            </w:r>
          </w:p>
        </w:tc>
      </w:tr>
      <w:tr w:rsidR="00072A69" w:rsidRPr="00DC6DF9" w14:paraId="09256F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6AB3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1208</w:t>
            </w:r>
          </w:p>
        </w:tc>
        <w:tc>
          <w:tcPr>
            <w:tcW w:w="1036" w:type="dxa"/>
            <w:tcBorders>
              <w:top w:val="nil"/>
              <w:left w:val="nil"/>
              <w:bottom w:val="single" w:sz="4" w:space="0" w:color="auto"/>
              <w:right w:val="single" w:sz="4" w:space="0" w:color="auto"/>
            </w:tcBorders>
            <w:shd w:val="clear" w:color="auto" w:fill="auto"/>
            <w:noWrap/>
            <w:vAlign w:val="center"/>
            <w:hideMark/>
          </w:tcPr>
          <w:p w14:paraId="126F44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5204941000</w:t>
            </w:r>
          </w:p>
        </w:tc>
        <w:tc>
          <w:tcPr>
            <w:tcW w:w="1036" w:type="dxa"/>
            <w:tcBorders>
              <w:top w:val="nil"/>
              <w:left w:val="nil"/>
              <w:bottom w:val="single" w:sz="4" w:space="0" w:color="auto"/>
              <w:right w:val="single" w:sz="4" w:space="0" w:color="auto"/>
            </w:tcBorders>
            <w:shd w:val="clear" w:color="auto" w:fill="auto"/>
            <w:noWrap/>
            <w:vAlign w:val="center"/>
            <w:hideMark/>
          </w:tcPr>
          <w:p w14:paraId="51988E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45147990</w:t>
            </w:r>
          </w:p>
        </w:tc>
        <w:tc>
          <w:tcPr>
            <w:tcW w:w="160" w:type="dxa"/>
            <w:tcBorders>
              <w:top w:val="nil"/>
              <w:left w:val="nil"/>
              <w:bottom w:val="single" w:sz="4" w:space="0" w:color="auto"/>
              <w:right w:val="nil"/>
            </w:tcBorders>
            <w:vAlign w:val="center"/>
          </w:tcPr>
          <w:p w14:paraId="649253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9632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JAKOBA ALJAŽA KRANJ</w:t>
            </w:r>
          </w:p>
        </w:tc>
      </w:tr>
      <w:tr w:rsidR="00072A69" w:rsidRPr="00DC6DF9" w14:paraId="5BF27F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3FD2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1209</w:t>
            </w:r>
          </w:p>
        </w:tc>
        <w:tc>
          <w:tcPr>
            <w:tcW w:w="1036" w:type="dxa"/>
            <w:tcBorders>
              <w:top w:val="nil"/>
              <w:left w:val="nil"/>
              <w:bottom w:val="single" w:sz="4" w:space="0" w:color="auto"/>
              <w:right w:val="single" w:sz="4" w:space="0" w:color="auto"/>
            </w:tcBorders>
            <w:shd w:val="clear" w:color="auto" w:fill="auto"/>
            <w:noWrap/>
            <w:vAlign w:val="center"/>
            <w:hideMark/>
          </w:tcPr>
          <w:p w14:paraId="3779C6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5089344000</w:t>
            </w:r>
          </w:p>
        </w:tc>
        <w:tc>
          <w:tcPr>
            <w:tcW w:w="1036" w:type="dxa"/>
            <w:tcBorders>
              <w:top w:val="nil"/>
              <w:left w:val="nil"/>
              <w:bottom w:val="single" w:sz="4" w:space="0" w:color="auto"/>
              <w:right w:val="single" w:sz="4" w:space="0" w:color="auto"/>
            </w:tcBorders>
            <w:shd w:val="clear" w:color="auto" w:fill="auto"/>
            <w:noWrap/>
            <w:vAlign w:val="center"/>
            <w:hideMark/>
          </w:tcPr>
          <w:p w14:paraId="55BDD0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10804412</w:t>
            </w:r>
          </w:p>
        </w:tc>
        <w:tc>
          <w:tcPr>
            <w:tcW w:w="160" w:type="dxa"/>
            <w:tcBorders>
              <w:top w:val="nil"/>
              <w:left w:val="nil"/>
              <w:bottom w:val="single" w:sz="4" w:space="0" w:color="auto"/>
              <w:right w:val="nil"/>
            </w:tcBorders>
            <w:vAlign w:val="center"/>
          </w:tcPr>
          <w:p w14:paraId="6DFCA7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BDC9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JANEZA KUHARJA RAZKRIŽJE</w:t>
            </w:r>
          </w:p>
        </w:tc>
      </w:tr>
      <w:tr w:rsidR="00072A69" w:rsidRPr="00DC6DF9" w14:paraId="6059FB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07CD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1210</w:t>
            </w:r>
          </w:p>
        </w:tc>
        <w:tc>
          <w:tcPr>
            <w:tcW w:w="1036" w:type="dxa"/>
            <w:tcBorders>
              <w:top w:val="nil"/>
              <w:left w:val="nil"/>
              <w:bottom w:val="single" w:sz="4" w:space="0" w:color="auto"/>
              <w:right w:val="single" w:sz="4" w:space="0" w:color="auto"/>
            </w:tcBorders>
            <w:shd w:val="clear" w:color="auto" w:fill="auto"/>
            <w:noWrap/>
            <w:vAlign w:val="center"/>
            <w:hideMark/>
          </w:tcPr>
          <w:p w14:paraId="23563F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5088852000</w:t>
            </w:r>
          </w:p>
        </w:tc>
        <w:tc>
          <w:tcPr>
            <w:tcW w:w="1036" w:type="dxa"/>
            <w:tcBorders>
              <w:top w:val="nil"/>
              <w:left w:val="nil"/>
              <w:bottom w:val="single" w:sz="4" w:space="0" w:color="auto"/>
              <w:right w:val="single" w:sz="4" w:space="0" w:color="auto"/>
            </w:tcBorders>
            <w:shd w:val="clear" w:color="auto" w:fill="auto"/>
            <w:noWrap/>
            <w:vAlign w:val="center"/>
            <w:hideMark/>
          </w:tcPr>
          <w:p w14:paraId="3ECA9A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51038315</w:t>
            </w:r>
          </w:p>
        </w:tc>
        <w:tc>
          <w:tcPr>
            <w:tcW w:w="160" w:type="dxa"/>
            <w:tcBorders>
              <w:top w:val="nil"/>
              <w:left w:val="nil"/>
              <w:bottom w:val="single" w:sz="4" w:space="0" w:color="auto"/>
              <w:right w:val="nil"/>
            </w:tcBorders>
            <w:vAlign w:val="center"/>
          </w:tcPr>
          <w:p w14:paraId="7D8B59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EA15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JANKA GLAZERJA RUŠE</w:t>
            </w:r>
          </w:p>
        </w:tc>
      </w:tr>
      <w:tr w:rsidR="00072A69" w:rsidRPr="00DC6DF9" w14:paraId="481456F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1FA0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1211</w:t>
            </w:r>
          </w:p>
        </w:tc>
        <w:tc>
          <w:tcPr>
            <w:tcW w:w="1036" w:type="dxa"/>
            <w:tcBorders>
              <w:top w:val="nil"/>
              <w:left w:val="nil"/>
              <w:bottom w:val="single" w:sz="4" w:space="0" w:color="auto"/>
              <w:right w:val="single" w:sz="4" w:space="0" w:color="auto"/>
            </w:tcBorders>
            <w:shd w:val="clear" w:color="auto" w:fill="auto"/>
            <w:noWrap/>
            <w:vAlign w:val="center"/>
            <w:hideMark/>
          </w:tcPr>
          <w:p w14:paraId="135C50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5082790000</w:t>
            </w:r>
          </w:p>
        </w:tc>
        <w:tc>
          <w:tcPr>
            <w:tcW w:w="1036" w:type="dxa"/>
            <w:tcBorders>
              <w:top w:val="nil"/>
              <w:left w:val="nil"/>
              <w:bottom w:val="single" w:sz="4" w:space="0" w:color="auto"/>
              <w:right w:val="single" w:sz="4" w:space="0" w:color="auto"/>
            </w:tcBorders>
            <w:shd w:val="clear" w:color="auto" w:fill="auto"/>
            <w:vAlign w:val="center"/>
            <w:hideMark/>
          </w:tcPr>
          <w:p w14:paraId="579097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50409484</w:t>
            </w:r>
          </w:p>
        </w:tc>
        <w:tc>
          <w:tcPr>
            <w:tcW w:w="160" w:type="dxa"/>
            <w:tcBorders>
              <w:top w:val="nil"/>
              <w:left w:val="nil"/>
              <w:bottom w:val="single" w:sz="4" w:space="0" w:color="auto"/>
              <w:right w:val="nil"/>
            </w:tcBorders>
            <w:vAlign w:val="center"/>
          </w:tcPr>
          <w:p w14:paraId="6112E2B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2C90BF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JANKA KERSNIKA BRDO</w:t>
            </w:r>
          </w:p>
        </w:tc>
      </w:tr>
      <w:tr w:rsidR="00072A69" w:rsidRPr="00DC6DF9" w14:paraId="506A580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58DC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1212</w:t>
            </w:r>
          </w:p>
        </w:tc>
        <w:tc>
          <w:tcPr>
            <w:tcW w:w="1036" w:type="dxa"/>
            <w:tcBorders>
              <w:top w:val="nil"/>
              <w:left w:val="nil"/>
              <w:bottom w:val="single" w:sz="4" w:space="0" w:color="auto"/>
              <w:right w:val="single" w:sz="4" w:space="0" w:color="auto"/>
            </w:tcBorders>
            <w:shd w:val="clear" w:color="auto" w:fill="auto"/>
            <w:noWrap/>
            <w:vAlign w:val="center"/>
            <w:hideMark/>
          </w:tcPr>
          <w:p w14:paraId="1F03AF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5083354000</w:t>
            </w:r>
          </w:p>
        </w:tc>
        <w:tc>
          <w:tcPr>
            <w:tcW w:w="1036" w:type="dxa"/>
            <w:tcBorders>
              <w:top w:val="nil"/>
              <w:left w:val="nil"/>
              <w:bottom w:val="single" w:sz="4" w:space="0" w:color="auto"/>
              <w:right w:val="single" w:sz="4" w:space="0" w:color="auto"/>
            </w:tcBorders>
            <w:shd w:val="clear" w:color="auto" w:fill="auto"/>
            <w:noWrap/>
            <w:vAlign w:val="center"/>
            <w:hideMark/>
          </w:tcPr>
          <w:p w14:paraId="6B620D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63332248</w:t>
            </w:r>
          </w:p>
        </w:tc>
        <w:tc>
          <w:tcPr>
            <w:tcW w:w="160" w:type="dxa"/>
            <w:tcBorders>
              <w:top w:val="nil"/>
              <w:left w:val="nil"/>
              <w:bottom w:val="single" w:sz="4" w:space="0" w:color="auto"/>
              <w:right w:val="nil"/>
            </w:tcBorders>
            <w:vAlign w:val="center"/>
          </w:tcPr>
          <w:p w14:paraId="2B99C9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E3D4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JANKA MODRA</w:t>
            </w:r>
          </w:p>
        </w:tc>
      </w:tr>
      <w:tr w:rsidR="00072A69" w:rsidRPr="00DC6DF9" w14:paraId="7A620E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C12A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1213</w:t>
            </w:r>
          </w:p>
        </w:tc>
        <w:tc>
          <w:tcPr>
            <w:tcW w:w="1036" w:type="dxa"/>
            <w:tcBorders>
              <w:top w:val="nil"/>
              <w:left w:val="nil"/>
              <w:bottom w:val="single" w:sz="4" w:space="0" w:color="auto"/>
              <w:right w:val="single" w:sz="4" w:space="0" w:color="auto"/>
            </w:tcBorders>
            <w:shd w:val="clear" w:color="auto" w:fill="auto"/>
            <w:noWrap/>
            <w:vAlign w:val="center"/>
            <w:hideMark/>
          </w:tcPr>
          <w:p w14:paraId="7F8CA9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5085217000</w:t>
            </w:r>
          </w:p>
        </w:tc>
        <w:tc>
          <w:tcPr>
            <w:tcW w:w="1036" w:type="dxa"/>
            <w:tcBorders>
              <w:top w:val="nil"/>
              <w:left w:val="nil"/>
              <w:bottom w:val="single" w:sz="4" w:space="0" w:color="auto"/>
              <w:right w:val="single" w:sz="4" w:space="0" w:color="auto"/>
            </w:tcBorders>
            <w:shd w:val="clear" w:color="auto" w:fill="auto"/>
            <w:noWrap/>
            <w:vAlign w:val="center"/>
            <w:hideMark/>
          </w:tcPr>
          <w:p w14:paraId="525C9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82112037</w:t>
            </w:r>
          </w:p>
        </w:tc>
        <w:tc>
          <w:tcPr>
            <w:tcW w:w="160" w:type="dxa"/>
            <w:tcBorders>
              <w:top w:val="nil"/>
              <w:left w:val="nil"/>
              <w:bottom w:val="single" w:sz="4" w:space="0" w:color="auto"/>
              <w:right w:val="nil"/>
            </w:tcBorders>
            <w:vAlign w:val="center"/>
          </w:tcPr>
          <w:p w14:paraId="443446A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876C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JANKA PADEŽNIKA MARIBOR</w:t>
            </w:r>
          </w:p>
        </w:tc>
      </w:tr>
      <w:tr w:rsidR="00072A69" w:rsidRPr="00DC6DF9" w14:paraId="56F0F4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DDDC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1214</w:t>
            </w:r>
          </w:p>
        </w:tc>
        <w:tc>
          <w:tcPr>
            <w:tcW w:w="1036" w:type="dxa"/>
            <w:tcBorders>
              <w:top w:val="nil"/>
              <w:left w:val="nil"/>
              <w:bottom w:val="single" w:sz="4" w:space="0" w:color="auto"/>
              <w:right w:val="single" w:sz="4" w:space="0" w:color="auto"/>
            </w:tcBorders>
            <w:shd w:val="clear" w:color="auto" w:fill="auto"/>
            <w:noWrap/>
            <w:vAlign w:val="center"/>
            <w:hideMark/>
          </w:tcPr>
          <w:p w14:paraId="406F95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5084628000</w:t>
            </w:r>
          </w:p>
        </w:tc>
        <w:tc>
          <w:tcPr>
            <w:tcW w:w="1036" w:type="dxa"/>
            <w:tcBorders>
              <w:top w:val="nil"/>
              <w:left w:val="nil"/>
              <w:bottom w:val="single" w:sz="4" w:space="0" w:color="auto"/>
              <w:right w:val="single" w:sz="4" w:space="0" w:color="auto"/>
            </w:tcBorders>
            <w:shd w:val="clear" w:color="auto" w:fill="auto"/>
            <w:noWrap/>
            <w:vAlign w:val="center"/>
            <w:hideMark/>
          </w:tcPr>
          <w:p w14:paraId="13D4BE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94576980</w:t>
            </w:r>
          </w:p>
        </w:tc>
        <w:tc>
          <w:tcPr>
            <w:tcW w:w="160" w:type="dxa"/>
            <w:tcBorders>
              <w:top w:val="nil"/>
              <w:left w:val="nil"/>
              <w:bottom w:val="single" w:sz="4" w:space="0" w:color="auto"/>
              <w:right w:val="nil"/>
            </w:tcBorders>
            <w:vAlign w:val="center"/>
          </w:tcPr>
          <w:p w14:paraId="639E6E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07D1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JANKA RIBIČA CEZANJEVCI</w:t>
            </w:r>
          </w:p>
        </w:tc>
      </w:tr>
      <w:tr w:rsidR="00072A69" w:rsidRPr="00DC6DF9" w14:paraId="1C737A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D094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1215</w:t>
            </w:r>
          </w:p>
        </w:tc>
        <w:tc>
          <w:tcPr>
            <w:tcW w:w="1036" w:type="dxa"/>
            <w:tcBorders>
              <w:top w:val="nil"/>
              <w:left w:val="nil"/>
              <w:bottom w:val="single" w:sz="4" w:space="0" w:color="auto"/>
              <w:right w:val="single" w:sz="4" w:space="0" w:color="auto"/>
            </w:tcBorders>
            <w:shd w:val="clear" w:color="auto" w:fill="auto"/>
            <w:noWrap/>
            <w:vAlign w:val="center"/>
            <w:hideMark/>
          </w:tcPr>
          <w:p w14:paraId="00E5BD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5087848000</w:t>
            </w:r>
          </w:p>
        </w:tc>
        <w:tc>
          <w:tcPr>
            <w:tcW w:w="1036" w:type="dxa"/>
            <w:tcBorders>
              <w:top w:val="nil"/>
              <w:left w:val="nil"/>
              <w:bottom w:val="single" w:sz="4" w:space="0" w:color="auto"/>
              <w:right w:val="single" w:sz="4" w:space="0" w:color="auto"/>
            </w:tcBorders>
            <w:shd w:val="clear" w:color="auto" w:fill="auto"/>
            <w:noWrap/>
            <w:vAlign w:val="center"/>
            <w:hideMark/>
          </w:tcPr>
          <w:p w14:paraId="08AD01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81752130</w:t>
            </w:r>
          </w:p>
        </w:tc>
        <w:tc>
          <w:tcPr>
            <w:tcW w:w="160" w:type="dxa"/>
            <w:tcBorders>
              <w:top w:val="nil"/>
              <w:left w:val="nil"/>
              <w:bottom w:val="single" w:sz="4" w:space="0" w:color="auto"/>
              <w:right w:val="nil"/>
            </w:tcBorders>
            <w:vAlign w:val="center"/>
          </w:tcPr>
          <w:p w14:paraId="702754D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EFC5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JELA JANEŽIČA</w:t>
            </w:r>
          </w:p>
        </w:tc>
      </w:tr>
      <w:tr w:rsidR="00072A69" w:rsidRPr="00DC6DF9" w14:paraId="74DD24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4245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1216</w:t>
            </w:r>
          </w:p>
        </w:tc>
        <w:tc>
          <w:tcPr>
            <w:tcW w:w="1036" w:type="dxa"/>
            <w:tcBorders>
              <w:top w:val="nil"/>
              <w:left w:val="nil"/>
              <w:bottom w:val="single" w:sz="4" w:space="0" w:color="auto"/>
              <w:right w:val="single" w:sz="4" w:space="0" w:color="auto"/>
            </w:tcBorders>
            <w:shd w:val="clear" w:color="auto" w:fill="auto"/>
            <w:noWrap/>
            <w:vAlign w:val="center"/>
            <w:hideMark/>
          </w:tcPr>
          <w:p w14:paraId="2A8185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5719038000</w:t>
            </w:r>
          </w:p>
        </w:tc>
        <w:tc>
          <w:tcPr>
            <w:tcW w:w="1036" w:type="dxa"/>
            <w:tcBorders>
              <w:top w:val="nil"/>
              <w:left w:val="nil"/>
              <w:bottom w:val="single" w:sz="4" w:space="0" w:color="auto"/>
              <w:right w:val="single" w:sz="4" w:space="0" w:color="auto"/>
            </w:tcBorders>
            <w:shd w:val="clear" w:color="auto" w:fill="auto"/>
            <w:noWrap/>
            <w:vAlign w:val="center"/>
            <w:hideMark/>
          </w:tcPr>
          <w:p w14:paraId="45E258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65736290</w:t>
            </w:r>
          </w:p>
        </w:tc>
        <w:tc>
          <w:tcPr>
            <w:tcW w:w="160" w:type="dxa"/>
            <w:tcBorders>
              <w:top w:val="nil"/>
              <w:left w:val="nil"/>
              <w:bottom w:val="single" w:sz="4" w:space="0" w:color="auto"/>
              <w:right w:val="nil"/>
            </w:tcBorders>
            <w:vAlign w:val="center"/>
          </w:tcPr>
          <w:p w14:paraId="17631AB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0542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JOSIPA VANDOTA KRANJSKA GORA</w:t>
            </w:r>
          </w:p>
        </w:tc>
      </w:tr>
      <w:tr w:rsidR="00072A69" w:rsidRPr="00DC6DF9" w14:paraId="384D37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D1CB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1217</w:t>
            </w:r>
          </w:p>
        </w:tc>
        <w:tc>
          <w:tcPr>
            <w:tcW w:w="1036" w:type="dxa"/>
            <w:tcBorders>
              <w:top w:val="nil"/>
              <w:left w:val="nil"/>
              <w:bottom w:val="single" w:sz="4" w:space="0" w:color="auto"/>
              <w:right w:val="single" w:sz="4" w:space="0" w:color="auto"/>
            </w:tcBorders>
            <w:shd w:val="clear" w:color="auto" w:fill="auto"/>
            <w:noWrap/>
            <w:vAlign w:val="center"/>
            <w:hideMark/>
          </w:tcPr>
          <w:p w14:paraId="25718B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5083958000</w:t>
            </w:r>
          </w:p>
        </w:tc>
        <w:tc>
          <w:tcPr>
            <w:tcW w:w="1036" w:type="dxa"/>
            <w:tcBorders>
              <w:top w:val="nil"/>
              <w:left w:val="nil"/>
              <w:bottom w:val="single" w:sz="4" w:space="0" w:color="auto"/>
              <w:right w:val="single" w:sz="4" w:space="0" w:color="auto"/>
            </w:tcBorders>
            <w:shd w:val="clear" w:color="auto" w:fill="auto"/>
            <w:noWrap/>
            <w:vAlign w:val="center"/>
            <w:hideMark/>
          </w:tcPr>
          <w:p w14:paraId="1009A2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47511788</w:t>
            </w:r>
          </w:p>
        </w:tc>
        <w:tc>
          <w:tcPr>
            <w:tcW w:w="160" w:type="dxa"/>
            <w:tcBorders>
              <w:top w:val="nil"/>
              <w:left w:val="nil"/>
              <w:bottom w:val="single" w:sz="4" w:space="0" w:color="auto"/>
              <w:right w:val="nil"/>
            </w:tcBorders>
            <w:vAlign w:val="center"/>
          </w:tcPr>
          <w:p w14:paraId="5C9F89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5C05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JOŽETA GORJUPA KOSTANJEVICA NA KRKI</w:t>
            </w:r>
          </w:p>
        </w:tc>
      </w:tr>
      <w:tr w:rsidR="00072A69" w:rsidRPr="00DC6DF9" w14:paraId="20CB05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47D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1218</w:t>
            </w:r>
          </w:p>
        </w:tc>
        <w:tc>
          <w:tcPr>
            <w:tcW w:w="1036" w:type="dxa"/>
            <w:tcBorders>
              <w:top w:val="nil"/>
              <w:left w:val="nil"/>
              <w:bottom w:val="single" w:sz="4" w:space="0" w:color="auto"/>
              <w:right w:val="single" w:sz="4" w:space="0" w:color="auto"/>
            </w:tcBorders>
            <w:shd w:val="clear" w:color="auto" w:fill="auto"/>
            <w:noWrap/>
            <w:vAlign w:val="center"/>
            <w:hideMark/>
          </w:tcPr>
          <w:p w14:paraId="2FB62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5090105000</w:t>
            </w:r>
          </w:p>
        </w:tc>
        <w:tc>
          <w:tcPr>
            <w:tcW w:w="1036" w:type="dxa"/>
            <w:tcBorders>
              <w:top w:val="nil"/>
              <w:left w:val="nil"/>
              <w:bottom w:val="single" w:sz="4" w:space="0" w:color="auto"/>
              <w:right w:val="single" w:sz="4" w:space="0" w:color="auto"/>
            </w:tcBorders>
            <w:shd w:val="clear" w:color="auto" w:fill="auto"/>
            <w:noWrap/>
            <w:vAlign w:val="center"/>
            <w:hideMark/>
          </w:tcPr>
          <w:p w14:paraId="79F64E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40918807</w:t>
            </w:r>
          </w:p>
        </w:tc>
        <w:tc>
          <w:tcPr>
            <w:tcW w:w="160" w:type="dxa"/>
            <w:tcBorders>
              <w:top w:val="nil"/>
              <w:left w:val="nil"/>
              <w:bottom w:val="single" w:sz="4" w:space="0" w:color="auto"/>
              <w:right w:val="nil"/>
            </w:tcBorders>
            <w:vAlign w:val="center"/>
          </w:tcPr>
          <w:p w14:paraId="79362E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9EE5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JOŽETA HUDALESA JUROVSKI DOL</w:t>
            </w:r>
          </w:p>
        </w:tc>
      </w:tr>
      <w:tr w:rsidR="00072A69" w:rsidRPr="00DC6DF9" w14:paraId="62862A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A79F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1219</w:t>
            </w:r>
          </w:p>
        </w:tc>
        <w:tc>
          <w:tcPr>
            <w:tcW w:w="1036" w:type="dxa"/>
            <w:tcBorders>
              <w:top w:val="nil"/>
              <w:left w:val="nil"/>
              <w:bottom w:val="single" w:sz="4" w:space="0" w:color="auto"/>
              <w:right w:val="single" w:sz="4" w:space="0" w:color="auto"/>
            </w:tcBorders>
            <w:shd w:val="clear" w:color="auto" w:fill="auto"/>
            <w:noWrap/>
            <w:vAlign w:val="center"/>
            <w:hideMark/>
          </w:tcPr>
          <w:p w14:paraId="64A32B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5082757000</w:t>
            </w:r>
          </w:p>
        </w:tc>
        <w:tc>
          <w:tcPr>
            <w:tcW w:w="1036" w:type="dxa"/>
            <w:tcBorders>
              <w:top w:val="nil"/>
              <w:left w:val="nil"/>
              <w:bottom w:val="single" w:sz="4" w:space="0" w:color="auto"/>
              <w:right w:val="single" w:sz="4" w:space="0" w:color="auto"/>
            </w:tcBorders>
            <w:shd w:val="clear" w:color="auto" w:fill="auto"/>
            <w:noWrap/>
            <w:vAlign w:val="center"/>
            <w:hideMark/>
          </w:tcPr>
          <w:p w14:paraId="62BDCD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36025283</w:t>
            </w:r>
          </w:p>
        </w:tc>
        <w:tc>
          <w:tcPr>
            <w:tcW w:w="160" w:type="dxa"/>
            <w:tcBorders>
              <w:top w:val="nil"/>
              <w:left w:val="nil"/>
              <w:bottom w:val="single" w:sz="4" w:space="0" w:color="auto"/>
              <w:right w:val="nil"/>
            </w:tcBorders>
            <w:vAlign w:val="center"/>
          </w:tcPr>
          <w:p w14:paraId="267CA1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3AA2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JOŽETA KRAJCA RAKEK</w:t>
            </w:r>
          </w:p>
        </w:tc>
      </w:tr>
      <w:tr w:rsidR="00072A69" w:rsidRPr="00DC6DF9" w14:paraId="6D4594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2248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1220</w:t>
            </w:r>
          </w:p>
        </w:tc>
        <w:tc>
          <w:tcPr>
            <w:tcW w:w="1036" w:type="dxa"/>
            <w:tcBorders>
              <w:top w:val="nil"/>
              <w:left w:val="nil"/>
              <w:bottom w:val="single" w:sz="4" w:space="0" w:color="auto"/>
              <w:right w:val="single" w:sz="4" w:space="0" w:color="auto"/>
            </w:tcBorders>
            <w:shd w:val="clear" w:color="auto" w:fill="auto"/>
            <w:noWrap/>
            <w:vAlign w:val="center"/>
            <w:hideMark/>
          </w:tcPr>
          <w:p w14:paraId="4E3918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5084954000</w:t>
            </w:r>
          </w:p>
        </w:tc>
        <w:tc>
          <w:tcPr>
            <w:tcW w:w="1036" w:type="dxa"/>
            <w:tcBorders>
              <w:top w:val="nil"/>
              <w:left w:val="nil"/>
              <w:bottom w:val="single" w:sz="4" w:space="0" w:color="auto"/>
              <w:right w:val="single" w:sz="4" w:space="0" w:color="auto"/>
            </w:tcBorders>
            <w:shd w:val="clear" w:color="auto" w:fill="auto"/>
            <w:noWrap/>
            <w:vAlign w:val="center"/>
            <w:hideMark/>
          </w:tcPr>
          <w:p w14:paraId="7F6471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26121018</w:t>
            </w:r>
          </w:p>
        </w:tc>
        <w:tc>
          <w:tcPr>
            <w:tcW w:w="160" w:type="dxa"/>
            <w:tcBorders>
              <w:top w:val="nil"/>
              <w:left w:val="nil"/>
              <w:bottom w:val="single" w:sz="4" w:space="0" w:color="auto"/>
              <w:right w:val="nil"/>
            </w:tcBorders>
            <w:vAlign w:val="center"/>
          </w:tcPr>
          <w:p w14:paraId="4B594C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D81F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JOŽETA MOŠKRIČA</w:t>
            </w:r>
          </w:p>
        </w:tc>
      </w:tr>
      <w:tr w:rsidR="00072A69" w:rsidRPr="00DC6DF9" w14:paraId="20B892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52AD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1221</w:t>
            </w:r>
          </w:p>
        </w:tc>
        <w:tc>
          <w:tcPr>
            <w:tcW w:w="1036" w:type="dxa"/>
            <w:tcBorders>
              <w:top w:val="nil"/>
              <w:left w:val="nil"/>
              <w:bottom w:val="single" w:sz="4" w:space="0" w:color="auto"/>
              <w:right w:val="single" w:sz="4" w:space="0" w:color="auto"/>
            </w:tcBorders>
            <w:shd w:val="clear" w:color="auto" w:fill="auto"/>
            <w:noWrap/>
            <w:vAlign w:val="center"/>
            <w:hideMark/>
          </w:tcPr>
          <w:p w14:paraId="7BDEE2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5083974000</w:t>
            </w:r>
          </w:p>
        </w:tc>
        <w:tc>
          <w:tcPr>
            <w:tcW w:w="1036" w:type="dxa"/>
            <w:tcBorders>
              <w:top w:val="nil"/>
              <w:left w:val="nil"/>
              <w:bottom w:val="single" w:sz="4" w:space="0" w:color="auto"/>
              <w:right w:val="single" w:sz="4" w:space="0" w:color="auto"/>
            </w:tcBorders>
            <w:shd w:val="clear" w:color="auto" w:fill="auto"/>
            <w:noWrap/>
            <w:vAlign w:val="center"/>
            <w:hideMark/>
          </w:tcPr>
          <w:p w14:paraId="30A347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25512030</w:t>
            </w:r>
          </w:p>
        </w:tc>
        <w:tc>
          <w:tcPr>
            <w:tcW w:w="160" w:type="dxa"/>
            <w:tcBorders>
              <w:top w:val="nil"/>
              <w:left w:val="nil"/>
              <w:bottom w:val="single" w:sz="4" w:space="0" w:color="auto"/>
              <w:right w:val="nil"/>
            </w:tcBorders>
            <w:vAlign w:val="center"/>
          </w:tcPr>
          <w:p w14:paraId="02F9CF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8E43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JURIJA DALMATINA KRŠKO</w:t>
            </w:r>
          </w:p>
        </w:tc>
      </w:tr>
      <w:tr w:rsidR="00072A69" w:rsidRPr="00DC6DF9" w14:paraId="590FB0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E4AB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1222</w:t>
            </w:r>
          </w:p>
        </w:tc>
        <w:tc>
          <w:tcPr>
            <w:tcW w:w="1036" w:type="dxa"/>
            <w:tcBorders>
              <w:top w:val="nil"/>
              <w:left w:val="nil"/>
              <w:bottom w:val="single" w:sz="4" w:space="0" w:color="auto"/>
              <w:right w:val="single" w:sz="4" w:space="0" w:color="auto"/>
            </w:tcBorders>
            <w:shd w:val="clear" w:color="auto" w:fill="auto"/>
            <w:noWrap/>
            <w:vAlign w:val="center"/>
            <w:hideMark/>
          </w:tcPr>
          <w:p w14:paraId="568C60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5082838000</w:t>
            </w:r>
          </w:p>
        </w:tc>
        <w:tc>
          <w:tcPr>
            <w:tcW w:w="1036" w:type="dxa"/>
            <w:tcBorders>
              <w:top w:val="nil"/>
              <w:left w:val="nil"/>
              <w:bottom w:val="single" w:sz="4" w:space="0" w:color="auto"/>
              <w:right w:val="single" w:sz="4" w:space="0" w:color="auto"/>
            </w:tcBorders>
            <w:shd w:val="clear" w:color="auto" w:fill="auto"/>
            <w:noWrap/>
            <w:vAlign w:val="center"/>
            <w:hideMark/>
          </w:tcPr>
          <w:p w14:paraId="626D1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11448750</w:t>
            </w:r>
          </w:p>
        </w:tc>
        <w:tc>
          <w:tcPr>
            <w:tcW w:w="160" w:type="dxa"/>
            <w:tcBorders>
              <w:top w:val="nil"/>
              <w:left w:val="nil"/>
              <w:bottom w:val="single" w:sz="4" w:space="0" w:color="auto"/>
              <w:right w:val="nil"/>
            </w:tcBorders>
            <w:vAlign w:val="center"/>
          </w:tcPr>
          <w:p w14:paraId="0D5171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845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JURIJA VEGE</w:t>
            </w:r>
          </w:p>
        </w:tc>
      </w:tr>
      <w:tr w:rsidR="00072A69" w:rsidRPr="00DC6DF9" w14:paraId="3A13E2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ED6A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1223</w:t>
            </w:r>
          </w:p>
        </w:tc>
        <w:tc>
          <w:tcPr>
            <w:tcW w:w="1036" w:type="dxa"/>
            <w:tcBorders>
              <w:top w:val="nil"/>
              <w:left w:val="nil"/>
              <w:bottom w:val="single" w:sz="4" w:space="0" w:color="auto"/>
              <w:right w:val="single" w:sz="4" w:space="0" w:color="auto"/>
            </w:tcBorders>
            <w:shd w:val="clear" w:color="auto" w:fill="auto"/>
            <w:noWrap/>
            <w:vAlign w:val="center"/>
            <w:hideMark/>
          </w:tcPr>
          <w:p w14:paraId="342CC8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5087040000</w:t>
            </w:r>
          </w:p>
        </w:tc>
        <w:tc>
          <w:tcPr>
            <w:tcW w:w="1036" w:type="dxa"/>
            <w:tcBorders>
              <w:top w:val="nil"/>
              <w:left w:val="nil"/>
              <w:bottom w:val="single" w:sz="4" w:space="0" w:color="auto"/>
              <w:right w:val="single" w:sz="4" w:space="0" w:color="auto"/>
            </w:tcBorders>
            <w:shd w:val="clear" w:color="auto" w:fill="auto"/>
            <w:noWrap/>
            <w:vAlign w:val="center"/>
            <w:hideMark/>
          </w:tcPr>
          <w:p w14:paraId="35181A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52707806</w:t>
            </w:r>
          </w:p>
        </w:tc>
        <w:tc>
          <w:tcPr>
            <w:tcW w:w="160" w:type="dxa"/>
            <w:tcBorders>
              <w:top w:val="nil"/>
              <w:left w:val="nil"/>
              <w:bottom w:val="single" w:sz="4" w:space="0" w:color="auto"/>
              <w:right w:val="nil"/>
            </w:tcBorders>
            <w:vAlign w:val="center"/>
          </w:tcPr>
          <w:p w14:paraId="78B5E6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64E0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JURŠINCI</w:t>
            </w:r>
          </w:p>
        </w:tc>
      </w:tr>
      <w:tr w:rsidR="00072A69" w:rsidRPr="00DC6DF9" w14:paraId="27FE432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E2E6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1224</w:t>
            </w:r>
          </w:p>
        </w:tc>
        <w:tc>
          <w:tcPr>
            <w:tcW w:w="1036" w:type="dxa"/>
            <w:tcBorders>
              <w:top w:val="nil"/>
              <w:left w:val="nil"/>
              <w:bottom w:val="single" w:sz="4" w:space="0" w:color="auto"/>
              <w:right w:val="single" w:sz="4" w:space="0" w:color="auto"/>
            </w:tcBorders>
            <w:shd w:val="clear" w:color="auto" w:fill="auto"/>
            <w:noWrap/>
            <w:vAlign w:val="center"/>
            <w:hideMark/>
          </w:tcPr>
          <w:p w14:paraId="46B6D0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5082919000</w:t>
            </w:r>
          </w:p>
        </w:tc>
        <w:tc>
          <w:tcPr>
            <w:tcW w:w="1036" w:type="dxa"/>
            <w:tcBorders>
              <w:top w:val="nil"/>
              <w:left w:val="nil"/>
              <w:bottom w:val="single" w:sz="4" w:space="0" w:color="auto"/>
              <w:right w:val="single" w:sz="4" w:space="0" w:color="auto"/>
            </w:tcBorders>
            <w:shd w:val="clear" w:color="auto" w:fill="auto"/>
            <w:noWrap/>
            <w:vAlign w:val="center"/>
            <w:hideMark/>
          </w:tcPr>
          <w:p w14:paraId="6E57B4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57189684</w:t>
            </w:r>
          </w:p>
        </w:tc>
        <w:tc>
          <w:tcPr>
            <w:tcW w:w="160" w:type="dxa"/>
            <w:tcBorders>
              <w:top w:val="nil"/>
              <w:left w:val="nil"/>
              <w:bottom w:val="single" w:sz="4" w:space="0" w:color="auto"/>
              <w:right w:val="nil"/>
            </w:tcBorders>
            <w:vAlign w:val="center"/>
          </w:tcPr>
          <w:p w14:paraId="35B174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C357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KAJETANA KOVIČA RADENCI</w:t>
            </w:r>
          </w:p>
        </w:tc>
      </w:tr>
      <w:tr w:rsidR="00072A69" w:rsidRPr="00DC6DF9" w14:paraId="50A88B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62CC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1225</w:t>
            </w:r>
          </w:p>
        </w:tc>
        <w:tc>
          <w:tcPr>
            <w:tcW w:w="1036" w:type="dxa"/>
            <w:tcBorders>
              <w:top w:val="nil"/>
              <w:left w:val="nil"/>
              <w:bottom w:val="single" w:sz="4" w:space="0" w:color="auto"/>
              <w:right w:val="single" w:sz="4" w:space="0" w:color="auto"/>
            </w:tcBorders>
            <w:shd w:val="clear" w:color="auto" w:fill="auto"/>
            <w:noWrap/>
            <w:vAlign w:val="center"/>
            <w:hideMark/>
          </w:tcPr>
          <w:p w14:paraId="493F4C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5086710000</w:t>
            </w:r>
          </w:p>
        </w:tc>
        <w:tc>
          <w:tcPr>
            <w:tcW w:w="1036" w:type="dxa"/>
            <w:tcBorders>
              <w:top w:val="nil"/>
              <w:left w:val="nil"/>
              <w:bottom w:val="single" w:sz="4" w:space="0" w:color="auto"/>
              <w:right w:val="single" w:sz="4" w:space="0" w:color="auto"/>
            </w:tcBorders>
            <w:shd w:val="clear" w:color="auto" w:fill="auto"/>
            <w:noWrap/>
            <w:vAlign w:val="center"/>
            <w:hideMark/>
          </w:tcPr>
          <w:p w14:paraId="1C633A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31795609</w:t>
            </w:r>
          </w:p>
        </w:tc>
        <w:tc>
          <w:tcPr>
            <w:tcW w:w="160" w:type="dxa"/>
            <w:tcBorders>
              <w:top w:val="nil"/>
              <w:left w:val="nil"/>
              <w:bottom w:val="single" w:sz="4" w:space="0" w:color="auto"/>
              <w:right w:val="nil"/>
            </w:tcBorders>
            <w:vAlign w:val="center"/>
          </w:tcPr>
          <w:p w14:paraId="25BD93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E357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KAMNICA</w:t>
            </w:r>
          </w:p>
        </w:tc>
      </w:tr>
      <w:tr w:rsidR="00072A69" w:rsidRPr="00DC6DF9" w14:paraId="2EE65F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090C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1226</w:t>
            </w:r>
          </w:p>
        </w:tc>
        <w:tc>
          <w:tcPr>
            <w:tcW w:w="1036" w:type="dxa"/>
            <w:tcBorders>
              <w:top w:val="nil"/>
              <w:left w:val="nil"/>
              <w:bottom w:val="single" w:sz="4" w:space="0" w:color="auto"/>
              <w:right w:val="single" w:sz="4" w:space="0" w:color="auto"/>
            </w:tcBorders>
            <w:shd w:val="clear" w:color="auto" w:fill="auto"/>
            <w:noWrap/>
            <w:vAlign w:val="center"/>
            <w:hideMark/>
          </w:tcPr>
          <w:p w14:paraId="0F24CA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5089018000</w:t>
            </w:r>
          </w:p>
        </w:tc>
        <w:tc>
          <w:tcPr>
            <w:tcW w:w="1036" w:type="dxa"/>
            <w:tcBorders>
              <w:top w:val="nil"/>
              <w:left w:val="nil"/>
              <w:bottom w:val="single" w:sz="4" w:space="0" w:color="auto"/>
              <w:right w:val="single" w:sz="4" w:space="0" w:color="auto"/>
            </w:tcBorders>
            <w:shd w:val="clear" w:color="auto" w:fill="auto"/>
            <w:noWrap/>
            <w:vAlign w:val="center"/>
            <w:hideMark/>
          </w:tcPr>
          <w:p w14:paraId="11830E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87540266</w:t>
            </w:r>
          </w:p>
        </w:tc>
        <w:tc>
          <w:tcPr>
            <w:tcW w:w="160" w:type="dxa"/>
            <w:tcBorders>
              <w:top w:val="nil"/>
              <w:left w:val="nil"/>
              <w:bottom w:val="single" w:sz="4" w:space="0" w:color="auto"/>
              <w:right w:val="nil"/>
            </w:tcBorders>
            <w:vAlign w:val="center"/>
          </w:tcPr>
          <w:p w14:paraId="6BDAB8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EF14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KANAL</w:t>
            </w:r>
          </w:p>
        </w:tc>
      </w:tr>
      <w:tr w:rsidR="00072A69" w:rsidRPr="00DC6DF9" w14:paraId="07F617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E34C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1227</w:t>
            </w:r>
          </w:p>
        </w:tc>
        <w:tc>
          <w:tcPr>
            <w:tcW w:w="1036" w:type="dxa"/>
            <w:tcBorders>
              <w:top w:val="nil"/>
              <w:left w:val="nil"/>
              <w:bottom w:val="single" w:sz="4" w:space="0" w:color="auto"/>
              <w:right w:val="single" w:sz="4" w:space="0" w:color="auto"/>
            </w:tcBorders>
            <w:shd w:val="clear" w:color="auto" w:fill="auto"/>
            <w:noWrap/>
            <w:vAlign w:val="center"/>
            <w:hideMark/>
          </w:tcPr>
          <w:p w14:paraId="6905BB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5084776000</w:t>
            </w:r>
          </w:p>
        </w:tc>
        <w:tc>
          <w:tcPr>
            <w:tcW w:w="1036" w:type="dxa"/>
            <w:tcBorders>
              <w:top w:val="nil"/>
              <w:left w:val="nil"/>
              <w:bottom w:val="single" w:sz="4" w:space="0" w:color="auto"/>
              <w:right w:val="single" w:sz="4" w:space="0" w:color="auto"/>
            </w:tcBorders>
            <w:shd w:val="clear" w:color="auto" w:fill="auto"/>
            <w:noWrap/>
            <w:vAlign w:val="center"/>
            <w:hideMark/>
          </w:tcPr>
          <w:p w14:paraId="1BEC4B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26126885</w:t>
            </w:r>
          </w:p>
        </w:tc>
        <w:tc>
          <w:tcPr>
            <w:tcW w:w="160" w:type="dxa"/>
            <w:tcBorders>
              <w:top w:val="nil"/>
              <w:left w:val="nil"/>
              <w:bottom w:val="single" w:sz="4" w:space="0" w:color="auto"/>
              <w:right w:val="nil"/>
            </w:tcBorders>
            <w:vAlign w:val="center"/>
          </w:tcPr>
          <w:p w14:paraId="5314A1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896B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KAPELA</w:t>
            </w:r>
          </w:p>
        </w:tc>
      </w:tr>
      <w:tr w:rsidR="00072A69" w:rsidRPr="00DC6DF9" w14:paraId="498F10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E624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1228</w:t>
            </w:r>
          </w:p>
        </w:tc>
        <w:tc>
          <w:tcPr>
            <w:tcW w:w="1036" w:type="dxa"/>
            <w:tcBorders>
              <w:top w:val="nil"/>
              <w:left w:val="nil"/>
              <w:bottom w:val="single" w:sz="4" w:space="0" w:color="auto"/>
              <w:right w:val="single" w:sz="4" w:space="0" w:color="auto"/>
            </w:tcBorders>
            <w:shd w:val="clear" w:color="auto" w:fill="auto"/>
            <w:noWrap/>
            <w:vAlign w:val="center"/>
            <w:hideMark/>
          </w:tcPr>
          <w:p w14:paraId="461DA0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5086655000</w:t>
            </w:r>
          </w:p>
        </w:tc>
        <w:tc>
          <w:tcPr>
            <w:tcW w:w="1036" w:type="dxa"/>
            <w:tcBorders>
              <w:top w:val="nil"/>
              <w:left w:val="nil"/>
              <w:bottom w:val="single" w:sz="4" w:space="0" w:color="auto"/>
              <w:right w:val="single" w:sz="4" w:space="0" w:color="auto"/>
            </w:tcBorders>
            <w:shd w:val="clear" w:color="auto" w:fill="auto"/>
            <w:noWrap/>
            <w:vAlign w:val="center"/>
            <w:hideMark/>
          </w:tcPr>
          <w:p w14:paraId="79AF20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10592849</w:t>
            </w:r>
          </w:p>
        </w:tc>
        <w:tc>
          <w:tcPr>
            <w:tcW w:w="160" w:type="dxa"/>
            <w:tcBorders>
              <w:top w:val="nil"/>
              <w:left w:val="nil"/>
              <w:bottom w:val="single" w:sz="4" w:space="0" w:color="auto"/>
              <w:right w:val="nil"/>
            </w:tcBorders>
            <w:vAlign w:val="center"/>
          </w:tcPr>
          <w:p w14:paraId="4E6E9B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4797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KARLA DESTOVNIKA-KAJUHA</w:t>
            </w:r>
          </w:p>
        </w:tc>
      </w:tr>
      <w:tr w:rsidR="00072A69" w:rsidRPr="00DC6DF9" w14:paraId="079FB7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68F7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1229</w:t>
            </w:r>
          </w:p>
        </w:tc>
        <w:tc>
          <w:tcPr>
            <w:tcW w:w="1036" w:type="dxa"/>
            <w:tcBorders>
              <w:top w:val="nil"/>
              <w:left w:val="nil"/>
              <w:bottom w:val="single" w:sz="4" w:space="0" w:color="auto"/>
              <w:right w:val="single" w:sz="4" w:space="0" w:color="auto"/>
            </w:tcBorders>
            <w:shd w:val="clear" w:color="auto" w:fill="auto"/>
            <w:noWrap/>
            <w:vAlign w:val="center"/>
            <w:hideMark/>
          </w:tcPr>
          <w:p w14:paraId="25EAFB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2136147000</w:t>
            </w:r>
          </w:p>
        </w:tc>
        <w:tc>
          <w:tcPr>
            <w:tcW w:w="1036" w:type="dxa"/>
            <w:tcBorders>
              <w:top w:val="nil"/>
              <w:left w:val="nil"/>
              <w:bottom w:val="single" w:sz="4" w:space="0" w:color="auto"/>
              <w:right w:val="single" w:sz="4" w:space="0" w:color="auto"/>
            </w:tcBorders>
            <w:shd w:val="clear" w:color="auto" w:fill="auto"/>
            <w:noWrap/>
            <w:vAlign w:val="center"/>
            <w:hideMark/>
          </w:tcPr>
          <w:p w14:paraId="42B3EB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96822341</w:t>
            </w:r>
          </w:p>
        </w:tc>
        <w:tc>
          <w:tcPr>
            <w:tcW w:w="160" w:type="dxa"/>
            <w:tcBorders>
              <w:top w:val="nil"/>
              <w:left w:val="nil"/>
              <w:bottom w:val="single" w:sz="4" w:space="0" w:color="auto"/>
              <w:right w:val="nil"/>
            </w:tcBorders>
            <w:vAlign w:val="center"/>
          </w:tcPr>
          <w:p w14:paraId="0B6655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E036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KARLA DESTOVNIKA-KAJUHA ŠOŠTANJ</w:t>
            </w:r>
          </w:p>
        </w:tc>
      </w:tr>
      <w:tr w:rsidR="00072A69" w:rsidRPr="00DC6DF9" w14:paraId="60AC57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419D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1230</w:t>
            </w:r>
          </w:p>
        </w:tc>
        <w:tc>
          <w:tcPr>
            <w:tcW w:w="1036" w:type="dxa"/>
            <w:tcBorders>
              <w:top w:val="nil"/>
              <w:left w:val="nil"/>
              <w:bottom w:val="single" w:sz="4" w:space="0" w:color="auto"/>
              <w:right w:val="single" w:sz="4" w:space="0" w:color="auto"/>
            </w:tcBorders>
            <w:shd w:val="clear" w:color="auto" w:fill="auto"/>
            <w:noWrap/>
            <w:vAlign w:val="center"/>
            <w:hideMark/>
          </w:tcPr>
          <w:p w14:paraId="1141EF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3765229000</w:t>
            </w:r>
          </w:p>
        </w:tc>
        <w:tc>
          <w:tcPr>
            <w:tcW w:w="1036" w:type="dxa"/>
            <w:tcBorders>
              <w:top w:val="nil"/>
              <w:left w:val="nil"/>
              <w:bottom w:val="single" w:sz="4" w:space="0" w:color="auto"/>
              <w:right w:val="single" w:sz="4" w:space="0" w:color="auto"/>
            </w:tcBorders>
            <w:shd w:val="clear" w:color="auto" w:fill="auto"/>
            <w:noWrap/>
            <w:vAlign w:val="center"/>
            <w:hideMark/>
          </w:tcPr>
          <w:p w14:paraId="2981D6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21120234</w:t>
            </w:r>
          </w:p>
        </w:tc>
        <w:tc>
          <w:tcPr>
            <w:tcW w:w="160" w:type="dxa"/>
            <w:tcBorders>
              <w:top w:val="nil"/>
              <w:left w:val="nil"/>
              <w:bottom w:val="single" w:sz="4" w:space="0" w:color="auto"/>
              <w:right w:val="nil"/>
            </w:tcBorders>
            <w:vAlign w:val="center"/>
          </w:tcPr>
          <w:p w14:paraId="751F6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EAF4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KAŠELJ</w:t>
            </w:r>
          </w:p>
        </w:tc>
      </w:tr>
      <w:tr w:rsidR="00072A69" w:rsidRPr="00DC6DF9" w14:paraId="60BF7E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99C5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1231</w:t>
            </w:r>
          </w:p>
        </w:tc>
        <w:tc>
          <w:tcPr>
            <w:tcW w:w="1036" w:type="dxa"/>
            <w:tcBorders>
              <w:top w:val="nil"/>
              <w:left w:val="nil"/>
              <w:bottom w:val="single" w:sz="4" w:space="0" w:color="auto"/>
              <w:right w:val="single" w:sz="4" w:space="0" w:color="auto"/>
            </w:tcBorders>
            <w:shd w:val="clear" w:color="auto" w:fill="auto"/>
            <w:noWrap/>
            <w:vAlign w:val="center"/>
            <w:hideMark/>
          </w:tcPr>
          <w:p w14:paraId="7C35AD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5084270000</w:t>
            </w:r>
          </w:p>
        </w:tc>
        <w:tc>
          <w:tcPr>
            <w:tcW w:w="1036" w:type="dxa"/>
            <w:tcBorders>
              <w:top w:val="nil"/>
              <w:left w:val="nil"/>
              <w:bottom w:val="single" w:sz="4" w:space="0" w:color="auto"/>
              <w:right w:val="single" w:sz="4" w:space="0" w:color="auto"/>
            </w:tcBorders>
            <w:shd w:val="clear" w:color="auto" w:fill="auto"/>
            <w:noWrap/>
            <w:vAlign w:val="center"/>
            <w:hideMark/>
          </w:tcPr>
          <w:p w14:paraId="32592E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48351784</w:t>
            </w:r>
          </w:p>
        </w:tc>
        <w:tc>
          <w:tcPr>
            <w:tcW w:w="160" w:type="dxa"/>
            <w:tcBorders>
              <w:top w:val="nil"/>
              <w:left w:val="nil"/>
              <w:bottom w:val="single" w:sz="4" w:space="0" w:color="auto"/>
              <w:right w:val="nil"/>
            </w:tcBorders>
            <w:vAlign w:val="center"/>
          </w:tcPr>
          <w:p w14:paraId="224FF7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C8C1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KETTEJA IN MURNA</w:t>
            </w:r>
          </w:p>
        </w:tc>
      </w:tr>
      <w:tr w:rsidR="00072A69" w:rsidRPr="00DC6DF9" w14:paraId="639586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7475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1232</w:t>
            </w:r>
          </w:p>
        </w:tc>
        <w:tc>
          <w:tcPr>
            <w:tcW w:w="1036" w:type="dxa"/>
            <w:tcBorders>
              <w:top w:val="nil"/>
              <w:left w:val="nil"/>
              <w:bottom w:val="single" w:sz="4" w:space="0" w:color="auto"/>
              <w:right w:val="single" w:sz="4" w:space="0" w:color="auto"/>
            </w:tcBorders>
            <w:shd w:val="clear" w:color="auto" w:fill="auto"/>
            <w:noWrap/>
            <w:vAlign w:val="center"/>
            <w:hideMark/>
          </w:tcPr>
          <w:p w14:paraId="67C6E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5087066000</w:t>
            </w:r>
          </w:p>
        </w:tc>
        <w:tc>
          <w:tcPr>
            <w:tcW w:w="1036" w:type="dxa"/>
            <w:tcBorders>
              <w:top w:val="nil"/>
              <w:left w:val="nil"/>
              <w:bottom w:val="single" w:sz="4" w:space="0" w:color="auto"/>
              <w:right w:val="single" w:sz="4" w:space="0" w:color="auto"/>
            </w:tcBorders>
            <w:shd w:val="clear" w:color="auto" w:fill="auto"/>
            <w:noWrap/>
            <w:vAlign w:val="center"/>
            <w:hideMark/>
          </w:tcPr>
          <w:p w14:paraId="55862F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60809051</w:t>
            </w:r>
          </w:p>
        </w:tc>
        <w:tc>
          <w:tcPr>
            <w:tcW w:w="160" w:type="dxa"/>
            <w:tcBorders>
              <w:top w:val="nil"/>
              <w:left w:val="nil"/>
              <w:bottom w:val="single" w:sz="4" w:space="0" w:color="auto"/>
              <w:right w:val="nil"/>
            </w:tcBorders>
            <w:vAlign w:val="center"/>
          </w:tcPr>
          <w:p w14:paraId="17C876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8403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KIDRIČEVO</w:t>
            </w:r>
          </w:p>
        </w:tc>
      </w:tr>
      <w:tr w:rsidR="00072A69" w:rsidRPr="00DC6DF9" w14:paraId="3CCBA9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49A2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1233</w:t>
            </w:r>
          </w:p>
        </w:tc>
        <w:tc>
          <w:tcPr>
            <w:tcW w:w="1036" w:type="dxa"/>
            <w:tcBorders>
              <w:top w:val="nil"/>
              <w:left w:val="nil"/>
              <w:bottom w:val="single" w:sz="4" w:space="0" w:color="auto"/>
              <w:right w:val="single" w:sz="4" w:space="0" w:color="auto"/>
            </w:tcBorders>
            <w:shd w:val="clear" w:color="auto" w:fill="auto"/>
            <w:noWrap/>
            <w:vAlign w:val="center"/>
            <w:hideMark/>
          </w:tcPr>
          <w:p w14:paraId="75F75C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5089719000</w:t>
            </w:r>
          </w:p>
        </w:tc>
        <w:tc>
          <w:tcPr>
            <w:tcW w:w="1036" w:type="dxa"/>
            <w:tcBorders>
              <w:top w:val="nil"/>
              <w:left w:val="nil"/>
              <w:bottom w:val="single" w:sz="4" w:space="0" w:color="auto"/>
              <w:right w:val="single" w:sz="4" w:space="0" w:color="auto"/>
            </w:tcBorders>
            <w:shd w:val="clear" w:color="auto" w:fill="auto"/>
            <w:noWrap/>
            <w:vAlign w:val="center"/>
            <w:hideMark/>
          </w:tcPr>
          <w:p w14:paraId="2DAD25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48379611</w:t>
            </w:r>
          </w:p>
        </w:tc>
        <w:tc>
          <w:tcPr>
            <w:tcW w:w="160" w:type="dxa"/>
            <w:tcBorders>
              <w:top w:val="nil"/>
              <w:left w:val="nil"/>
              <w:bottom w:val="single" w:sz="4" w:space="0" w:color="auto"/>
              <w:right w:val="nil"/>
            </w:tcBorders>
            <w:vAlign w:val="center"/>
          </w:tcPr>
          <w:p w14:paraId="668C7E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D8F8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KOBILJE</w:t>
            </w:r>
          </w:p>
        </w:tc>
      </w:tr>
      <w:tr w:rsidR="00072A69" w:rsidRPr="00DC6DF9" w14:paraId="003B58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2CC6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1234</w:t>
            </w:r>
          </w:p>
        </w:tc>
        <w:tc>
          <w:tcPr>
            <w:tcW w:w="1036" w:type="dxa"/>
            <w:tcBorders>
              <w:top w:val="nil"/>
              <w:left w:val="nil"/>
              <w:bottom w:val="single" w:sz="4" w:space="0" w:color="auto"/>
              <w:right w:val="single" w:sz="4" w:space="0" w:color="auto"/>
            </w:tcBorders>
            <w:shd w:val="clear" w:color="auto" w:fill="auto"/>
            <w:noWrap/>
            <w:vAlign w:val="center"/>
            <w:hideMark/>
          </w:tcPr>
          <w:p w14:paraId="0CB896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5428394000</w:t>
            </w:r>
          </w:p>
        </w:tc>
        <w:tc>
          <w:tcPr>
            <w:tcW w:w="1036" w:type="dxa"/>
            <w:tcBorders>
              <w:top w:val="nil"/>
              <w:left w:val="nil"/>
              <w:bottom w:val="single" w:sz="4" w:space="0" w:color="auto"/>
              <w:right w:val="single" w:sz="4" w:space="0" w:color="auto"/>
            </w:tcBorders>
            <w:shd w:val="clear" w:color="auto" w:fill="auto"/>
            <w:noWrap/>
            <w:vAlign w:val="center"/>
            <w:hideMark/>
          </w:tcPr>
          <w:p w14:paraId="206743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38359073</w:t>
            </w:r>
          </w:p>
        </w:tc>
        <w:tc>
          <w:tcPr>
            <w:tcW w:w="160" w:type="dxa"/>
            <w:tcBorders>
              <w:top w:val="nil"/>
              <w:left w:val="nil"/>
              <w:bottom w:val="single" w:sz="4" w:space="0" w:color="auto"/>
              <w:right w:val="nil"/>
            </w:tcBorders>
            <w:vAlign w:val="center"/>
          </w:tcPr>
          <w:p w14:paraId="3485F9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CA91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KOLEZIJA</w:t>
            </w:r>
          </w:p>
        </w:tc>
      </w:tr>
      <w:tr w:rsidR="00072A69" w:rsidRPr="00DC6DF9" w14:paraId="668786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CC55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1235</w:t>
            </w:r>
          </w:p>
        </w:tc>
        <w:tc>
          <w:tcPr>
            <w:tcW w:w="1036" w:type="dxa"/>
            <w:tcBorders>
              <w:top w:val="nil"/>
              <w:left w:val="nil"/>
              <w:bottom w:val="single" w:sz="4" w:space="0" w:color="auto"/>
              <w:right w:val="single" w:sz="4" w:space="0" w:color="auto"/>
            </w:tcBorders>
            <w:shd w:val="clear" w:color="auto" w:fill="auto"/>
            <w:noWrap/>
            <w:vAlign w:val="center"/>
            <w:hideMark/>
          </w:tcPr>
          <w:p w14:paraId="5D0357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5082773000</w:t>
            </w:r>
          </w:p>
        </w:tc>
        <w:tc>
          <w:tcPr>
            <w:tcW w:w="1036" w:type="dxa"/>
            <w:tcBorders>
              <w:top w:val="nil"/>
              <w:left w:val="nil"/>
              <w:bottom w:val="single" w:sz="4" w:space="0" w:color="auto"/>
              <w:right w:val="single" w:sz="4" w:space="0" w:color="auto"/>
            </w:tcBorders>
            <w:shd w:val="clear" w:color="auto" w:fill="auto"/>
            <w:noWrap/>
            <w:vAlign w:val="center"/>
            <w:hideMark/>
          </w:tcPr>
          <w:p w14:paraId="6448AD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83415394</w:t>
            </w:r>
          </w:p>
        </w:tc>
        <w:tc>
          <w:tcPr>
            <w:tcW w:w="160" w:type="dxa"/>
            <w:tcBorders>
              <w:top w:val="nil"/>
              <w:left w:val="nil"/>
              <w:bottom w:val="single" w:sz="4" w:space="0" w:color="auto"/>
              <w:right w:val="nil"/>
            </w:tcBorders>
            <w:vAlign w:val="center"/>
          </w:tcPr>
          <w:p w14:paraId="533971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CB97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KOMANDANTA STANETA DRAGATUŠ</w:t>
            </w:r>
          </w:p>
        </w:tc>
      </w:tr>
      <w:tr w:rsidR="00072A69" w:rsidRPr="00DC6DF9" w14:paraId="3315E9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37C4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1236</w:t>
            </w:r>
          </w:p>
        </w:tc>
        <w:tc>
          <w:tcPr>
            <w:tcW w:w="1036" w:type="dxa"/>
            <w:tcBorders>
              <w:top w:val="nil"/>
              <w:left w:val="nil"/>
              <w:bottom w:val="single" w:sz="4" w:space="0" w:color="auto"/>
              <w:right w:val="single" w:sz="4" w:space="0" w:color="auto"/>
            </w:tcBorders>
            <w:shd w:val="clear" w:color="auto" w:fill="auto"/>
            <w:noWrap/>
            <w:vAlign w:val="center"/>
            <w:hideMark/>
          </w:tcPr>
          <w:p w14:paraId="0E6870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5083052000</w:t>
            </w:r>
          </w:p>
        </w:tc>
        <w:tc>
          <w:tcPr>
            <w:tcW w:w="1036" w:type="dxa"/>
            <w:tcBorders>
              <w:top w:val="nil"/>
              <w:left w:val="nil"/>
              <w:bottom w:val="single" w:sz="4" w:space="0" w:color="auto"/>
              <w:right w:val="single" w:sz="4" w:space="0" w:color="auto"/>
            </w:tcBorders>
            <w:shd w:val="clear" w:color="auto" w:fill="auto"/>
            <w:noWrap/>
            <w:vAlign w:val="center"/>
            <w:hideMark/>
          </w:tcPr>
          <w:p w14:paraId="57AFBE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37317296</w:t>
            </w:r>
          </w:p>
        </w:tc>
        <w:tc>
          <w:tcPr>
            <w:tcW w:w="160" w:type="dxa"/>
            <w:tcBorders>
              <w:top w:val="nil"/>
              <w:left w:val="nil"/>
              <w:bottom w:val="single" w:sz="4" w:space="0" w:color="auto"/>
              <w:right w:val="nil"/>
            </w:tcBorders>
            <w:vAlign w:val="center"/>
          </w:tcPr>
          <w:p w14:paraId="0C32E23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1C48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KOMENDA MOSTE</w:t>
            </w:r>
          </w:p>
        </w:tc>
      </w:tr>
      <w:tr w:rsidR="00072A69" w:rsidRPr="00DC6DF9" w14:paraId="40079F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B2A5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1237</w:t>
            </w:r>
          </w:p>
        </w:tc>
        <w:tc>
          <w:tcPr>
            <w:tcW w:w="1036" w:type="dxa"/>
            <w:tcBorders>
              <w:top w:val="nil"/>
              <w:left w:val="nil"/>
              <w:bottom w:val="single" w:sz="4" w:space="0" w:color="auto"/>
              <w:right w:val="single" w:sz="4" w:space="0" w:color="auto"/>
            </w:tcBorders>
            <w:shd w:val="clear" w:color="auto" w:fill="auto"/>
            <w:noWrap/>
            <w:vAlign w:val="center"/>
            <w:hideMark/>
          </w:tcPr>
          <w:p w14:paraId="6279AD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2229463000</w:t>
            </w:r>
          </w:p>
        </w:tc>
        <w:tc>
          <w:tcPr>
            <w:tcW w:w="1036" w:type="dxa"/>
            <w:tcBorders>
              <w:top w:val="nil"/>
              <w:left w:val="nil"/>
              <w:bottom w:val="single" w:sz="4" w:space="0" w:color="auto"/>
              <w:right w:val="single" w:sz="4" w:space="0" w:color="auto"/>
            </w:tcBorders>
            <w:shd w:val="clear" w:color="auto" w:fill="auto"/>
            <w:noWrap/>
            <w:vAlign w:val="center"/>
            <w:hideMark/>
          </w:tcPr>
          <w:p w14:paraId="70F9B6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25866702</w:t>
            </w:r>
          </w:p>
        </w:tc>
        <w:tc>
          <w:tcPr>
            <w:tcW w:w="160" w:type="dxa"/>
            <w:tcBorders>
              <w:top w:val="nil"/>
              <w:left w:val="nil"/>
              <w:bottom w:val="single" w:sz="4" w:space="0" w:color="auto"/>
              <w:right w:val="nil"/>
            </w:tcBorders>
            <w:vAlign w:val="center"/>
          </w:tcPr>
          <w:p w14:paraId="36CB71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D824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KOPER</w:t>
            </w:r>
          </w:p>
        </w:tc>
      </w:tr>
      <w:tr w:rsidR="00072A69" w:rsidRPr="00DC6DF9" w14:paraId="1B9B67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6F03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1238</w:t>
            </w:r>
          </w:p>
        </w:tc>
        <w:tc>
          <w:tcPr>
            <w:tcW w:w="1036" w:type="dxa"/>
            <w:tcBorders>
              <w:top w:val="nil"/>
              <w:left w:val="nil"/>
              <w:bottom w:val="single" w:sz="4" w:space="0" w:color="auto"/>
              <w:right w:val="single" w:sz="4" w:space="0" w:color="auto"/>
            </w:tcBorders>
            <w:shd w:val="clear" w:color="auto" w:fill="auto"/>
            <w:noWrap/>
            <w:vAlign w:val="center"/>
            <w:hideMark/>
          </w:tcPr>
          <w:p w14:paraId="60D517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5086043000</w:t>
            </w:r>
          </w:p>
        </w:tc>
        <w:tc>
          <w:tcPr>
            <w:tcW w:w="1036" w:type="dxa"/>
            <w:tcBorders>
              <w:top w:val="nil"/>
              <w:left w:val="nil"/>
              <w:bottom w:val="single" w:sz="4" w:space="0" w:color="auto"/>
              <w:right w:val="single" w:sz="4" w:space="0" w:color="auto"/>
            </w:tcBorders>
            <w:shd w:val="clear" w:color="auto" w:fill="auto"/>
            <w:noWrap/>
            <w:vAlign w:val="center"/>
            <w:hideMark/>
          </w:tcPr>
          <w:p w14:paraId="69FE6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10360077</w:t>
            </w:r>
          </w:p>
        </w:tc>
        <w:tc>
          <w:tcPr>
            <w:tcW w:w="160" w:type="dxa"/>
            <w:tcBorders>
              <w:top w:val="nil"/>
              <w:left w:val="nil"/>
              <w:bottom w:val="single" w:sz="4" w:space="0" w:color="auto"/>
              <w:right w:val="nil"/>
            </w:tcBorders>
            <w:vAlign w:val="center"/>
          </w:tcPr>
          <w:p w14:paraId="5F22D6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948A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KOPRIVNICA</w:t>
            </w:r>
          </w:p>
        </w:tc>
      </w:tr>
      <w:tr w:rsidR="00072A69" w:rsidRPr="00DC6DF9" w14:paraId="7043A6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DC8B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1239</w:t>
            </w:r>
          </w:p>
        </w:tc>
        <w:tc>
          <w:tcPr>
            <w:tcW w:w="1036" w:type="dxa"/>
            <w:tcBorders>
              <w:top w:val="nil"/>
              <w:left w:val="nil"/>
              <w:bottom w:val="single" w:sz="4" w:space="0" w:color="auto"/>
              <w:right w:val="single" w:sz="4" w:space="0" w:color="auto"/>
            </w:tcBorders>
            <w:shd w:val="clear" w:color="auto" w:fill="auto"/>
            <w:noWrap/>
            <w:vAlign w:val="center"/>
            <w:hideMark/>
          </w:tcPr>
          <w:p w14:paraId="2ED16C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5088887000</w:t>
            </w:r>
          </w:p>
        </w:tc>
        <w:tc>
          <w:tcPr>
            <w:tcW w:w="1036" w:type="dxa"/>
            <w:tcBorders>
              <w:top w:val="nil"/>
              <w:left w:val="nil"/>
              <w:bottom w:val="single" w:sz="4" w:space="0" w:color="auto"/>
              <w:right w:val="single" w:sz="4" w:space="0" w:color="auto"/>
            </w:tcBorders>
            <w:shd w:val="clear" w:color="auto" w:fill="auto"/>
            <w:noWrap/>
            <w:vAlign w:val="center"/>
            <w:hideMark/>
          </w:tcPr>
          <w:p w14:paraId="334E17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60415266</w:t>
            </w:r>
          </w:p>
        </w:tc>
        <w:tc>
          <w:tcPr>
            <w:tcW w:w="160" w:type="dxa"/>
            <w:tcBorders>
              <w:top w:val="nil"/>
              <w:left w:val="nil"/>
              <w:bottom w:val="single" w:sz="4" w:space="0" w:color="auto"/>
              <w:right w:val="nil"/>
            </w:tcBorders>
            <w:vAlign w:val="center"/>
          </w:tcPr>
          <w:p w14:paraId="55ED0B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CEA9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KORENA</w:t>
            </w:r>
          </w:p>
        </w:tc>
      </w:tr>
      <w:tr w:rsidR="00072A69" w:rsidRPr="00DC6DF9" w14:paraId="351153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4B0D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1240</w:t>
            </w:r>
          </w:p>
        </w:tc>
        <w:tc>
          <w:tcPr>
            <w:tcW w:w="1036" w:type="dxa"/>
            <w:tcBorders>
              <w:top w:val="nil"/>
              <w:left w:val="nil"/>
              <w:bottom w:val="single" w:sz="4" w:space="0" w:color="auto"/>
              <w:right w:val="single" w:sz="4" w:space="0" w:color="auto"/>
            </w:tcBorders>
            <w:shd w:val="clear" w:color="auto" w:fill="auto"/>
            <w:noWrap/>
            <w:vAlign w:val="center"/>
            <w:hideMark/>
          </w:tcPr>
          <w:p w14:paraId="504A24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5719046000</w:t>
            </w:r>
          </w:p>
        </w:tc>
        <w:tc>
          <w:tcPr>
            <w:tcW w:w="1036" w:type="dxa"/>
            <w:tcBorders>
              <w:top w:val="nil"/>
              <w:left w:val="nil"/>
              <w:bottom w:val="single" w:sz="4" w:space="0" w:color="auto"/>
              <w:right w:val="single" w:sz="4" w:space="0" w:color="auto"/>
            </w:tcBorders>
            <w:shd w:val="clear" w:color="auto" w:fill="auto"/>
            <w:noWrap/>
            <w:vAlign w:val="center"/>
            <w:hideMark/>
          </w:tcPr>
          <w:p w14:paraId="476B1B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44425465</w:t>
            </w:r>
          </w:p>
        </w:tc>
        <w:tc>
          <w:tcPr>
            <w:tcW w:w="160" w:type="dxa"/>
            <w:tcBorders>
              <w:top w:val="nil"/>
              <w:left w:val="nil"/>
              <w:bottom w:val="single" w:sz="4" w:space="0" w:color="auto"/>
              <w:right w:val="nil"/>
            </w:tcBorders>
            <w:vAlign w:val="center"/>
          </w:tcPr>
          <w:p w14:paraId="7318A0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D94A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KOROŠKA BELA JESENICE</w:t>
            </w:r>
          </w:p>
        </w:tc>
      </w:tr>
      <w:tr w:rsidR="00072A69" w:rsidRPr="00DC6DF9" w14:paraId="7EFB91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B047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1241</w:t>
            </w:r>
          </w:p>
        </w:tc>
        <w:tc>
          <w:tcPr>
            <w:tcW w:w="1036" w:type="dxa"/>
            <w:tcBorders>
              <w:top w:val="nil"/>
              <w:left w:val="nil"/>
              <w:bottom w:val="single" w:sz="4" w:space="0" w:color="auto"/>
              <w:right w:val="single" w:sz="4" w:space="0" w:color="auto"/>
            </w:tcBorders>
            <w:shd w:val="clear" w:color="auto" w:fill="auto"/>
            <w:noWrap/>
            <w:vAlign w:val="center"/>
            <w:hideMark/>
          </w:tcPr>
          <w:p w14:paraId="29A395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5185815000</w:t>
            </w:r>
          </w:p>
        </w:tc>
        <w:tc>
          <w:tcPr>
            <w:tcW w:w="1036" w:type="dxa"/>
            <w:tcBorders>
              <w:top w:val="nil"/>
              <w:left w:val="nil"/>
              <w:bottom w:val="single" w:sz="4" w:space="0" w:color="auto"/>
              <w:right w:val="single" w:sz="4" w:space="0" w:color="auto"/>
            </w:tcBorders>
            <w:shd w:val="clear" w:color="auto" w:fill="auto"/>
            <w:noWrap/>
            <w:vAlign w:val="center"/>
            <w:hideMark/>
          </w:tcPr>
          <w:p w14:paraId="03A80A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83712143</w:t>
            </w:r>
          </w:p>
        </w:tc>
        <w:tc>
          <w:tcPr>
            <w:tcW w:w="160" w:type="dxa"/>
            <w:tcBorders>
              <w:top w:val="nil"/>
              <w:left w:val="nil"/>
              <w:bottom w:val="single" w:sz="4" w:space="0" w:color="auto"/>
              <w:right w:val="nil"/>
            </w:tcBorders>
            <w:vAlign w:val="center"/>
          </w:tcPr>
          <w:p w14:paraId="60B722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AE8A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KOROŠKI JEKLARJI RAVNE NA KOROŠKEM</w:t>
            </w:r>
          </w:p>
        </w:tc>
      </w:tr>
      <w:tr w:rsidR="00072A69" w:rsidRPr="00DC6DF9" w14:paraId="29BBB98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0E53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1242</w:t>
            </w:r>
          </w:p>
        </w:tc>
        <w:tc>
          <w:tcPr>
            <w:tcW w:w="1036" w:type="dxa"/>
            <w:tcBorders>
              <w:top w:val="nil"/>
              <w:left w:val="nil"/>
              <w:bottom w:val="single" w:sz="4" w:space="0" w:color="auto"/>
              <w:right w:val="single" w:sz="4" w:space="0" w:color="auto"/>
            </w:tcBorders>
            <w:shd w:val="clear" w:color="auto" w:fill="auto"/>
            <w:noWrap/>
            <w:vAlign w:val="center"/>
            <w:hideMark/>
          </w:tcPr>
          <w:p w14:paraId="04AE23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5062926000</w:t>
            </w:r>
          </w:p>
        </w:tc>
        <w:tc>
          <w:tcPr>
            <w:tcW w:w="1036" w:type="dxa"/>
            <w:tcBorders>
              <w:top w:val="nil"/>
              <w:left w:val="nil"/>
              <w:bottom w:val="single" w:sz="4" w:space="0" w:color="auto"/>
              <w:right w:val="single" w:sz="4" w:space="0" w:color="auto"/>
            </w:tcBorders>
            <w:shd w:val="clear" w:color="auto" w:fill="auto"/>
            <w:vAlign w:val="center"/>
            <w:hideMark/>
          </w:tcPr>
          <w:p w14:paraId="279833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85738271</w:t>
            </w:r>
          </w:p>
        </w:tc>
        <w:tc>
          <w:tcPr>
            <w:tcW w:w="160" w:type="dxa"/>
            <w:tcBorders>
              <w:top w:val="nil"/>
              <w:left w:val="nil"/>
              <w:bottom w:val="single" w:sz="4" w:space="0" w:color="auto"/>
              <w:right w:val="nil"/>
            </w:tcBorders>
            <w:vAlign w:val="center"/>
          </w:tcPr>
          <w:p w14:paraId="1504E7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783F26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KOSEZE</w:t>
            </w:r>
          </w:p>
        </w:tc>
      </w:tr>
      <w:tr w:rsidR="00072A69" w:rsidRPr="00DC6DF9" w14:paraId="7BAB1C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CA36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1243</w:t>
            </w:r>
          </w:p>
        </w:tc>
        <w:tc>
          <w:tcPr>
            <w:tcW w:w="1036" w:type="dxa"/>
            <w:tcBorders>
              <w:top w:val="nil"/>
              <w:left w:val="nil"/>
              <w:bottom w:val="single" w:sz="4" w:space="0" w:color="auto"/>
              <w:right w:val="single" w:sz="4" w:space="0" w:color="auto"/>
            </w:tcBorders>
            <w:shd w:val="clear" w:color="auto" w:fill="auto"/>
            <w:noWrap/>
            <w:vAlign w:val="center"/>
            <w:hideMark/>
          </w:tcPr>
          <w:p w14:paraId="65889D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5086922000</w:t>
            </w:r>
          </w:p>
        </w:tc>
        <w:tc>
          <w:tcPr>
            <w:tcW w:w="1036" w:type="dxa"/>
            <w:tcBorders>
              <w:top w:val="nil"/>
              <w:left w:val="nil"/>
              <w:bottom w:val="single" w:sz="4" w:space="0" w:color="auto"/>
              <w:right w:val="single" w:sz="4" w:space="0" w:color="auto"/>
            </w:tcBorders>
            <w:shd w:val="clear" w:color="auto" w:fill="auto"/>
            <w:noWrap/>
            <w:vAlign w:val="center"/>
            <w:hideMark/>
          </w:tcPr>
          <w:p w14:paraId="450130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11274824</w:t>
            </w:r>
          </w:p>
        </w:tc>
        <w:tc>
          <w:tcPr>
            <w:tcW w:w="160" w:type="dxa"/>
            <w:tcBorders>
              <w:top w:val="nil"/>
              <w:left w:val="nil"/>
              <w:bottom w:val="single" w:sz="4" w:space="0" w:color="auto"/>
              <w:right w:val="nil"/>
            </w:tcBorders>
            <w:vAlign w:val="center"/>
          </w:tcPr>
          <w:p w14:paraId="59B5BC2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FF49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KOŠANA</w:t>
            </w:r>
          </w:p>
        </w:tc>
      </w:tr>
      <w:tr w:rsidR="00072A69" w:rsidRPr="00DC6DF9" w14:paraId="1A8E86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6AC6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1244</w:t>
            </w:r>
          </w:p>
        </w:tc>
        <w:tc>
          <w:tcPr>
            <w:tcW w:w="1036" w:type="dxa"/>
            <w:tcBorders>
              <w:top w:val="nil"/>
              <w:left w:val="nil"/>
              <w:bottom w:val="single" w:sz="4" w:space="0" w:color="auto"/>
              <w:right w:val="single" w:sz="4" w:space="0" w:color="auto"/>
            </w:tcBorders>
            <w:shd w:val="clear" w:color="auto" w:fill="auto"/>
            <w:noWrap/>
            <w:vAlign w:val="center"/>
            <w:hideMark/>
          </w:tcPr>
          <w:p w14:paraId="114118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5086191000</w:t>
            </w:r>
          </w:p>
        </w:tc>
        <w:tc>
          <w:tcPr>
            <w:tcW w:w="1036" w:type="dxa"/>
            <w:tcBorders>
              <w:top w:val="nil"/>
              <w:left w:val="nil"/>
              <w:bottom w:val="single" w:sz="4" w:space="0" w:color="auto"/>
              <w:right w:val="single" w:sz="4" w:space="0" w:color="auto"/>
            </w:tcBorders>
            <w:shd w:val="clear" w:color="auto" w:fill="auto"/>
            <w:noWrap/>
            <w:vAlign w:val="center"/>
            <w:hideMark/>
          </w:tcPr>
          <w:p w14:paraId="095B2E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97193577</w:t>
            </w:r>
          </w:p>
        </w:tc>
        <w:tc>
          <w:tcPr>
            <w:tcW w:w="160" w:type="dxa"/>
            <w:tcBorders>
              <w:top w:val="nil"/>
              <w:left w:val="nil"/>
              <w:bottom w:val="single" w:sz="4" w:space="0" w:color="auto"/>
              <w:right w:val="nil"/>
            </w:tcBorders>
            <w:vAlign w:val="center"/>
          </w:tcPr>
          <w:p w14:paraId="0A0A7C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4EBB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KOZARA NOVA GORICA</w:t>
            </w:r>
          </w:p>
        </w:tc>
      </w:tr>
      <w:tr w:rsidR="00072A69" w:rsidRPr="00DC6DF9" w14:paraId="5246CBE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CF2D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1245</w:t>
            </w:r>
          </w:p>
        </w:tc>
        <w:tc>
          <w:tcPr>
            <w:tcW w:w="1036" w:type="dxa"/>
            <w:tcBorders>
              <w:top w:val="nil"/>
              <w:left w:val="nil"/>
              <w:bottom w:val="single" w:sz="4" w:space="0" w:color="auto"/>
              <w:right w:val="single" w:sz="4" w:space="0" w:color="auto"/>
            </w:tcBorders>
            <w:shd w:val="clear" w:color="auto" w:fill="auto"/>
            <w:noWrap/>
            <w:vAlign w:val="center"/>
            <w:hideMark/>
          </w:tcPr>
          <w:p w14:paraId="6F1504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5087929000</w:t>
            </w:r>
          </w:p>
        </w:tc>
        <w:tc>
          <w:tcPr>
            <w:tcW w:w="1036" w:type="dxa"/>
            <w:tcBorders>
              <w:top w:val="nil"/>
              <w:left w:val="nil"/>
              <w:bottom w:val="single" w:sz="4" w:space="0" w:color="auto"/>
              <w:right w:val="single" w:sz="4" w:space="0" w:color="auto"/>
            </w:tcBorders>
            <w:shd w:val="clear" w:color="auto" w:fill="auto"/>
            <w:noWrap/>
            <w:vAlign w:val="center"/>
            <w:hideMark/>
          </w:tcPr>
          <w:p w14:paraId="144831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56311761</w:t>
            </w:r>
          </w:p>
        </w:tc>
        <w:tc>
          <w:tcPr>
            <w:tcW w:w="160" w:type="dxa"/>
            <w:tcBorders>
              <w:top w:val="nil"/>
              <w:left w:val="nil"/>
              <w:bottom w:val="single" w:sz="4" w:space="0" w:color="auto"/>
              <w:right w:val="nil"/>
            </w:tcBorders>
            <w:vAlign w:val="center"/>
          </w:tcPr>
          <w:p w14:paraId="30AFF9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F760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KOZJE</w:t>
            </w:r>
          </w:p>
        </w:tc>
      </w:tr>
      <w:tr w:rsidR="00072A69" w:rsidRPr="00DC6DF9" w14:paraId="65A184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098B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1246</w:t>
            </w:r>
          </w:p>
        </w:tc>
        <w:tc>
          <w:tcPr>
            <w:tcW w:w="1036" w:type="dxa"/>
            <w:tcBorders>
              <w:top w:val="nil"/>
              <w:left w:val="nil"/>
              <w:bottom w:val="single" w:sz="4" w:space="0" w:color="auto"/>
              <w:right w:val="single" w:sz="4" w:space="0" w:color="auto"/>
            </w:tcBorders>
            <w:shd w:val="clear" w:color="auto" w:fill="auto"/>
            <w:noWrap/>
            <w:vAlign w:val="center"/>
            <w:hideMark/>
          </w:tcPr>
          <w:p w14:paraId="663F4F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5088127000</w:t>
            </w:r>
          </w:p>
        </w:tc>
        <w:tc>
          <w:tcPr>
            <w:tcW w:w="1036" w:type="dxa"/>
            <w:tcBorders>
              <w:top w:val="nil"/>
              <w:left w:val="nil"/>
              <w:bottom w:val="single" w:sz="4" w:space="0" w:color="auto"/>
              <w:right w:val="single" w:sz="4" w:space="0" w:color="auto"/>
            </w:tcBorders>
            <w:shd w:val="clear" w:color="auto" w:fill="auto"/>
            <w:noWrap/>
            <w:vAlign w:val="center"/>
            <w:hideMark/>
          </w:tcPr>
          <w:p w14:paraId="25DE6B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57553629</w:t>
            </w:r>
          </w:p>
        </w:tc>
        <w:tc>
          <w:tcPr>
            <w:tcW w:w="160" w:type="dxa"/>
            <w:tcBorders>
              <w:top w:val="nil"/>
              <w:left w:val="nil"/>
              <w:bottom w:val="single" w:sz="4" w:space="0" w:color="auto"/>
              <w:right w:val="nil"/>
            </w:tcBorders>
            <w:vAlign w:val="center"/>
          </w:tcPr>
          <w:p w14:paraId="60C7DE9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B30A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KRIŽE</w:t>
            </w:r>
          </w:p>
        </w:tc>
      </w:tr>
      <w:tr w:rsidR="00072A69" w:rsidRPr="00DC6DF9" w14:paraId="1891A8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735F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1247</w:t>
            </w:r>
          </w:p>
        </w:tc>
        <w:tc>
          <w:tcPr>
            <w:tcW w:w="1036" w:type="dxa"/>
            <w:tcBorders>
              <w:top w:val="nil"/>
              <w:left w:val="nil"/>
              <w:bottom w:val="single" w:sz="4" w:space="0" w:color="auto"/>
              <w:right w:val="single" w:sz="4" w:space="0" w:color="auto"/>
            </w:tcBorders>
            <w:shd w:val="clear" w:color="auto" w:fill="auto"/>
            <w:noWrap/>
            <w:vAlign w:val="center"/>
            <w:hideMark/>
          </w:tcPr>
          <w:p w14:paraId="651892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5084636000</w:t>
            </w:r>
          </w:p>
        </w:tc>
        <w:tc>
          <w:tcPr>
            <w:tcW w:w="1036" w:type="dxa"/>
            <w:tcBorders>
              <w:top w:val="nil"/>
              <w:left w:val="nil"/>
              <w:bottom w:val="single" w:sz="4" w:space="0" w:color="auto"/>
              <w:right w:val="single" w:sz="4" w:space="0" w:color="auto"/>
            </w:tcBorders>
            <w:shd w:val="clear" w:color="auto" w:fill="auto"/>
            <w:noWrap/>
            <w:vAlign w:val="center"/>
            <w:hideMark/>
          </w:tcPr>
          <w:p w14:paraId="7ABEEA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93578253</w:t>
            </w:r>
          </w:p>
        </w:tc>
        <w:tc>
          <w:tcPr>
            <w:tcW w:w="160" w:type="dxa"/>
            <w:tcBorders>
              <w:top w:val="nil"/>
              <w:left w:val="nil"/>
              <w:bottom w:val="single" w:sz="4" w:space="0" w:color="auto"/>
              <w:right w:val="nil"/>
            </w:tcBorders>
            <w:vAlign w:val="center"/>
          </w:tcPr>
          <w:p w14:paraId="09261B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EBF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KRIŽEVCI</w:t>
            </w:r>
          </w:p>
        </w:tc>
      </w:tr>
      <w:tr w:rsidR="00072A69" w:rsidRPr="00DC6DF9" w14:paraId="63183F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E95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1248</w:t>
            </w:r>
          </w:p>
        </w:tc>
        <w:tc>
          <w:tcPr>
            <w:tcW w:w="1036" w:type="dxa"/>
            <w:tcBorders>
              <w:top w:val="nil"/>
              <w:left w:val="nil"/>
              <w:bottom w:val="single" w:sz="4" w:space="0" w:color="auto"/>
              <w:right w:val="single" w:sz="4" w:space="0" w:color="auto"/>
            </w:tcBorders>
            <w:shd w:val="clear" w:color="auto" w:fill="auto"/>
            <w:noWrap/>
            <w:vAlign w:val="center"/>
            <w:hideMark/>
          </w:tcPr>
          <w:p w14:paraId="61B5FD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5087520000</w:t>
            </w:r>
          </w:p>
        </w:tc>
        <w:tc>
          <w:tcPr>
            <w:tcW w:w="1036" w:type="dxa"/>
            <w:tcBorders>
              <w:top w:val="nil"/>
              <w:left w:val="nil"/>
              <w:bottom w:val="single" w:sz="4" w:space="0" w:color="auto"/>
              <w:right w:val="single" w:sz="4" w:space="0" w:color="auto"/>
            </w:tcBorders>
            <w:shd w:val="clear" w:color="auto" w:fill="auto"/>
            <w:noWrap/>
            <w:vAlign w:val="center"/>
            <w:hideMark/>
          </w:tcPr>
          <w:p w14:paraId="1DCDE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20318936</w:t>
            </w:r>
          </w:p>
        </w:tc>
        <w:tc>
          <w:tcPr>
            <w:tcW w:w="160" w:type="dxa"/>
            <w:tcBorders>
              <w:top w:val="nil"/>
              <w:left w:val="nil"/>
              <w:bottom w:val="single" w:sz="4" w:space="0" w:color="auto"/>
              <w:right w:val="nil"/>
            </w:tcBorders>
            <w:vAlign w:val="center"/>
          </w:tcPr>
          <w:p w14:paraId="7E6695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71A6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KRMELJ</w:t>
            </w:r>
          </w:p>
        </w:tc>
      </w:tr>
      <w:tr w:rsidR="00072A69" w:rsidRPr="00DC6DF9" w14:paraId="1EF5A4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43C4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1249</w:t>
            </w:r>
          </w:p>
        </w:tc>
        <w:tc>
          <w:tcPr>
            <w:tcW w:w="1036" w:type="dxa"/>
            <w:tcBorders>
              <w:top w:val="nil"/>
              <w:left w:val="nil"/>
              <w:bottom w:val="single" w:sz="4" w:space="0" w:color="auto"/>
              <w:right w:val="single" w:sz="4" w:space="0" w:color="auto"/>
            </w:tcBorders>
            <w:shd w:val="clear" w:color="auto" w:fill="auto"/>
            <w:noWrap/>
            <w:vAlign w:val="center"/>
            <w:hideMark/>
          </w:tcPr>
          <w:p w14:paraId="26D73E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5085632000</w:t>
            </w:r>
          </w:p>
        </w:tc>
        <w:tc>
          <w:tcPr>
            <w:tcW w:w="1036" w:type="dxa"/>
            <w:tcBorders>
              <w:top w:val="nil"/>
              <w:left w:val="nil"/>
              <w:bottom w:val="single" w:sz="4" w:space="0" w:color="auto"/>
              <w:right w:val="single" w:sz="4" w:space="0" w:color="auto"/>
            </w:tcBorders>
            <w:shd w:val="clear" w:color="auto" w:fill="auto"/>
            <w:noWrap/>
            <w:vAlign w:val="center"/>
            <w:hideMark/>
          </w:tcPr>
          <w:p w14:paraId="2A8729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77414900</w:t>
            </w:r>
          </w:p>
        </w:tc>
        <w:tc>
          <w:tcPr>
            <w:tcW w:w="160" w:type="dxa"/>
            <w:tcBorders>
              <w:top w:val="nil"/>
              <w:left w:val="nil"/>
              <w:bottom w:val="single" w:sz="4" w:space="0" w:color="auto"/>
              <w:right w:val="nil"/>
            </w:tcBorders>
            <w:vAlign w:val="center"/>
          </w:tcPr>
          <w:p w14:paraId="1E548B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74FC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KUZMA</w:t>
            </w:r>
          </w:p>
        </w:tc>
      </w:tr>
      <w:tr w:rsidR="00072A69" w:rsidRPr="00DC6DF9" w14:paraId="342D8E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AC55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1250</w:t>
            </w:r>
          </w:p>
        </w:tc>
        <w:tc>
          <w:tcPr>
            <w:tcW w:w="1036" w:type="dxa"/>
            <w:tcBorders>
              <w:top w:val="nil"/>
              <w:left w:val="nil"/>
              <w:bottom w:val="single" w:sz="4" w:space="0" w:color="auto"/>
              <w:right w:val="single" w:sz="4" w:space="0" w:color="auto"/>
            </w:tcBorders>
            <w:shd w:val="clear" w:color="auto" w:fill="auto"/>
            <w:noWrap/>
            <w:vAlign w:val="center"/>
            <w:hideMark/>
          </w:tcPr>
          <w:p w14:paraId="7E4B30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5062799000</w:t>
            </w:r>
          </w:p>
        </w:tc>
        <w:tc>
          <w:tcPr>
            <w:tcW w:w="1036" w:type="dxa"/>
            <w:tcBorders>
              <w:top w:val="nil"/>
              <w:left w:val="nil"/>
              <w:bottom w:val="single" w:sz="4" w:space="0" w:color="auto"/>
              <w:right w:val="single" w:sz="4" w:space="0" w:color="auto"/>
            </w:tcBorders>
            <w:shd w:val="clear" w:color="auto" w:fill="auto"/>
            <w:noWrap/>
            <w:vAlign w:val="center"/>
            <w:hideMark/>
          </w:tcPr>
          <w:p w14:paraId="25A3AE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27299627</w:t>
            </w:r>
          </w:p>
        </w:tc>
        <w:tc>
          <w:tcPr>
            <w:tcW w:w="160" w:type="dxa"/>
            <w:tcBorders>
              <w:top w:val="nil"/>
              <w:left w:val="nil"/>
              <w:bottom w:val="single" w:sz="4" w:space="0" w:color="auto"/>
              <w:right w:val="nil"/>
            </w:tcBorders>
            <w:vAlign w:val="center"/>
          </w:tcPr>
          <w:p w14:paraId="136C6A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42A1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LAVA</w:t>
            </w:r>
          </w:p>
        </w:tc>
      </w:tr>
      <w:tr w:rsidR="00072A69" w:rsidRPr="00DC6DF9" w14:paraId="03BC843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BF4C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1251</w:t>
            </w:r>
          </w:p>
        </w:tc>
        <w:tc>
          <w:tcPr>
            <w:tcW w:w="1036" w:type="dxa"/>
            <w:tcBorders>
              <w:top w:val="nil"/>
              <w:left w:val="nil"/>
              <w:bottom w:val="single" w:sz="4" w:space="0" w:color="auto"/>
              <w:right w:val="single" w:sz="4" w:space="0" w:color="auto"/>
            </w:tcBorders>
            <w:shd w:val="clear" w:color="auto" w:fill="auto"/>
            <w:noWrap/>
            <w:vAlign w:val="center"/>
            <w:hideMark/>
          </w:tcPr>
          <w:p w14:paraId="0FEBE8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5084148000</w:t>
            </w:r>
          </w:p>
        </w:tc>
        <w:tc>
          <w:tcPr>
            <w:tcW w:w="1036" w:type="dxa"/>
            <w:tcBorders>
              <w:top w:val="nil"/>
              <w:left w:val="nil"/>
              <w:bottom w:val="single" w:sz="4" w:space="0" w:color="auto"/>
              <w:right w:val="single" w:sz="4" w:space="0" w:color="auto"/>
            </w:tcBorders>
            <w:shd w:val="clear" w:color="auto" w:fill="auto"/>
            <w:noWrap/>
            <w:vAlign w:val="center"/>
            <w:hideMark/>
          </w:tcPr>
          <w:p w14:paraId="6835D8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89487273</w:t>
            </w:r>
          </w:p>
        </w:tc>
        <w:tc>
          <w:tcPr>
            <w:tcW w:w="160" w:type="dxa"/>
            <w:tcBorders>
              <w:top w:val="nil"/>
              <w:left w:val="nil"/>
              <w:bottom w:val="single" w:sz="4" w:space="0" w:color="auto"/>
              <w:right w:val="nil"/>
            </w:tcBorders>
            <w:vAlign w:val="center"/>
          </w:tcPr>
          <w:p w14:paraId="74D1496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FAE8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LEDINA</w:t>
            </w:r>
          </w:p>
        </w:tc>
      </w:tr>
      <w:tr w:rsidR="00072A69" w:rsidRPr="00DC6DF9" w14:paraId="0C29AA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2936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1252</w:t>
            </w:r>
          </w:p>
        </w:tc>
        <w:tc>
          <w:tcPr>
            <w:tcW w:w="1036" w:type="dxa"/>
            <w:tcBorders>
              <w:top w:val="nil"/>
              <w:left w:val="nil"/>
              <w:bottom w:val="single" w:sz="4" w:space="0" w:color="auto"/>
              <w:right w:val="single" w:sz="4" w:space="0" w:color="auto"/>
            </w:tcBorders>
            <w:shd w:val="clear" w:color="auto" w:fill="auto"/>
            <w:noWrap/>
            <w:vAlign w:val="center"/>
            <w:hideMark/>
          </w:tcPr>
          <w:p w14:paraId="32209F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5086639000</w:t>
            </w:r>
          </w:p>
        </w:tc>
        <w:tc>
          <w:tcPr>
            <w:tcW w:w="1036" w:type="dxa"/>
            <w:tcBorders>
              <w:top w:val="nil"/>
              <w:left w:val="nil"/>
              <w:bottom w:val="single" w:sz="4" w:space="0" w:color="auto"/>
              <w:right w:val="single" w:sz="4" w:space="0" w:color="auto"/>
            </w:tcBorders>
            <w:shd w:val="clear" w:color="auto" w:fill="auto"/>
            <w:noWrap/>
            <w:vAlign w:val="center"/>
            <w:hideMark/>
          </w:tcPr>
          <w:p w14:paraId="28850E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27905918</w:t>
            </w:r>
          </w:p>
        </w:tc>
        <w:tc>
          <w:tcPr>
            <w:tcW w:w="160" w:type="dxa"/>
            <w:tcBorders>
              <w:top w:val="nil"/>
              <w:left w:val="nil"/>
              <w:bottom w:val="single" w:sz="4" w:space="0" w:color="auto"/>
              <w:right w:val="nil"/>
            </w:tcBorders>
            <w:vAlign w:val="center"/>
          </w:tcPr>
          <w:p w14:paraId="13864A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DF3C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LENART</w:t>
            </w:r>
          </w:p>
        </w:tc>
      </w:tr>
      <w:tr w:rsidR="00072A69" w:rsidRPr="00DC6DF9" w14:paraId="249FEB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733F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1253</w:t>
            </w:r>
          </w:p>
        </w:tc>
        <w:tc>
          <w:tcPr>
            <w:tcW w:w="1036" w:type="dxa"/>
            <w:tcBorders>
              <w:top w:val="nil"/>
              <w:left w:val="nil"/>
              <w:bottom w:val="single" w:sz="4" w:space="0" w:color="auto"/>
              <w:right w:val="single" w:sz="4" w:space="0" w:color="auto"/>
            </w:tcBorders>
            <w:shd w:val="clear" w:color="auto" w:fill="auto"/>
            <w:noWrap/>
            <w:vAlign w:val="center"/>
            <w:hideMark/>
          </w:tcPr>
          <w:p w14:paraId="2150E9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5610494000</w:t>
            </w:r>
          </w:p>
        </w:tc>
        <w:tc>
          <w:tcPr>
            <w:tcW w:w="1036" w:type="dxa"/>
            <w:tcBorders>
              <w:top w:val="nil"/>
              <w:left w:val="nil"/>
              <w:bottom w:val="single" w:sz="4" w:space="0" w:color="auto"/>
              <w:right w:val="single" w:sz="4" w:space="0" w:color="auto"/>
            </w:tcBorders>
            <w:shd w:val="clear" w:color="auto" w:fill="auto"/>
            <w:noWrap/>
            <w:vAlign w:val="center"/>
            <w:hideMark/>
          </w:tcPr>
          <w:p w14:paraId="381FB2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59613432</w:t>
            </w:r>
          </w:p>
        </w:tc>
        <w:tc>
          <w:tcPr>
            <w:tcW w:w="160" w:type="dxa"/>
            <w:tcBorders>
              <w:top w:val="nil"/>
              <w:left w:val="nil"/>
              <w:bottom w:val="single" w:sz="4" w:space="0" w:color="auto"/>
              <w:right w:val="nil"/>
            </w:tcBorders>
            <w:vAlign w:val="center"/>
          </w:tcPr>
          <w:p w14:paraId="33048A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45E6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LEONA ŠTUKLJA MARIBOR</w:t>
            </w:r>
          </w:p>
        </w:tc>
      </w:tr>
      <w:tr w:rsidR="00072A69" w:rsidRPr="00DC6DF9" w14:paraId="2268B2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142F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1254</w:t>
            </w:r>
          </w:p>
        </w:tc>
        <w:tc>
          <w:tcPr>
            <w:tcW w:w="1036" w:type="dxa"/>
            <w:tcBorders>
              <w:top w:val="nil"/>
              <w:left w:val="nil"/>
              <w:bottom w:val="single" w:sz="4" w:space="0" w:color="auto"/>
              <w:right w:val="single" w:sz="4" w:space="0" w:color="auto"/>
            </w:tcBorders>
            <w:shd w:val="clear" w:color="auto" w:fill="auto"/>
            <w:noWrap/>
            <w:vAlign w:val="center"/>
            <w:hideMark/>
          </w:tcPr>
          <w:p w14:paraId="6F6602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5087937000</w:t>
            </w:r>
          </w:p>
        </w:tc>
        <w:tc>
          <w:tcPr>
            <w:tcW w:w="1036" w:type="dxa"/>
            <w:tcBorders>
              <w:top w:val="nil"/>
              <w:left w:val="nil"/>
              <w:bottom w:val="single" w:sz="4" w:space="0" w:color="auto"/>
              <w:right w:val="single" w:sz="4" w:space="0" w:color="auto"/>
            </w:tcBorders>
            <w:shd w:val="clear" w:color="auto" w:fill="auto"/>
            <w:noWrap/>
            <w:vAlign w:val="center"/>
            <w:hideMark/>
          </w:tcPr>
          <w:p w14:paraId="376EFE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68680210</w:t>
            </w:r>
          </w:p>
        </w:tc>
        <w:tc>
          <w:tcPr>
            <w:tcW w:w="160" w:type="dxa"/>
            <w:tcBorders>
              <w:top w:val="nil"/>
              <w:left w:val="nil"/>
              <w:bottom w:val="single" w:sz="4" w:space="0" w:color="auto"/>
              <w:right w:val="nil"/>
            </w:tcBorders>
            <w:vAlign w:val="center"/>
          </w:tcPr>
          <w:p w14:paraId="382163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05ED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LESIČNO</w:t>
            </w:r>
          </w:p>
        </w:tc>
      </w:tr>
      <w:tr w:rsidR="00072A69" w:rsidRPr="00DC6DF9" w14:paraId="5FA59B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904E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1255</w:t>
            </w:r>
          </w:p>
        </w:tc>
        <w:tc>
          <w:tcPr>
            <w:tcW w:w="1036" w:type="dxa"/>
            <w:tcBorders>
              <w:top w:val="nil"/>
              <w:left w:val="nil"/>
              <w:bottom w:val="single" w:sz="4" w:space="0" w:color="auto"/>
              <w:right w:val="single" w:sz="4" w:space="0" w:color="auto"/>
            </w:tcBorders>
            <w:shd w:val="clear" w:color="auto" w:fill="auto"/>
            <w:noWrap/>
            <w:vAlign w:val="center"/>
            <w:hideMark/>
          </w:tcPr>
          <w:p w14:paraId="2C1199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5085047000</w:t>
            </w:r>
          </w:p>
        </w:tc>
        <w:tc>
          <w:tcPr>
            <w:tcW w:w="1036" w:type="dxa"/>
            <w:tcBorders>
              <w:top w:val="nil"/>
              <w:left w:val="nil"/>
              <w:bottom w:val="single" w:sz="4" w:space="0" w:color="auto"/>
              <w:right w:val="single" w:sz="4" w:space="0" w:color="auto"/>
            </w:tcBorders>
            <w:shd w:val="clear" w:color="auto" w:fill="auto"/>
            <w:noWrap/>
            <w:vAlign w:val="center"/>
            <w:hideMark/>
          </w:tcPr>
          <w:p w14:paraId="3A419E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76398137</w:t>
            </w:r>
          </w:p>
        </w:tc>
        <w:tc>
          <w:tcPr>
            <w:tcW w:w="160" w:type="dxa"/>
            <w:tcBorders>
              <w:top w:val="nil"/>
              <w:left w:val="nil"/>
              <w:bottom w:val="single" w:sz="4" w:space="0" w:color="auto"/>
              <w:right w:val="nil"/>
            </w:tcBorders>
            <w:vAlign w:val="center"/>
          </w:tcPr>
          <w:p w14:paraId="02710C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0C44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LESKOVEC PRI KRŠKEM</w:t>
            </w:r>
          </w:p>
        </w:tc>
      </w:tr>
      <w:tr w:rsidR="00072A69" w:rsidRPr="00DC6DF9" w14:paraId="628B37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442C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1256</w:t>
            </w:r>
          </w:p>
        </w:tc>
        <w:tc>
          <w:tcPr>
            <w:tcW w:w="1036" w:type="dxa"/>
            <w:tcBorders>
              <w:top w:val="nil"/>
              <w:left w:val="nil"/>
              <w:bottom w:val="single" w:sz="4" w:space="0" w:color="auto"/>
              <w:right w:val="single" w:sz="4" w:space="0" w:color="auto"/>
            </w:tcBorders>
            <w:shd w:val="clear" w:color="auto" w:fill="auto"/>
            <w:noWrap/>
            <w:vAlign w:val="center"/>
            <w:hideMark/>
          </w:tcPr>
          <w:p w14:paraId="256335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5689147000</w:t>
            </w:r>
          </w:p>
        </w:tc>
        <w:tc>
          <w:tcPr>
            <w:tcW w:w="1036" w:type="dxa"/>
            <w:tcBorders>
              <w:top w:val="nil"/>
              <w:left w:val="nil"/>
              <w:bottom w:val="single" w:sz="4" w:space="0" w:color="auto"/>
              <w:right w:val="single" w:sz="4" w:space="0" w:color="auto"/>
            </w:tcBorders>
            <w:shd w:val="clear" w:color="auto" w:fill="auto"/>
            <w:noWrap/>
            <w:vAlign w:val="center"/>
            <w:hideMark/>
          </w:tcPr>
          <w:p w14:paraId="6A0C03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17567734</w:t>
            </w:r>
          </w:p>
        </w:tc>
        <w:tc>
          <w:tcPr>
            <w:tcW w:w="160" w:type="dxa"/>
            <w:tcBorders>
              <w:top w:val="nil"/>
              <w:left w:val="nil"/>
              <w:bottom w:val="single" w:sz="4" w:space="0" w:color="auto"/>
              <w:right w:val="nil"/>
            </w:tcBorders>
            <w:vAlign w:val="center"/>
          </w:tcPr>
          <w:p w14:paraId="69DCF2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451D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LITIJA</w:t>
            </w:r>
          </w:p>
        </w:tc>
      </w:tr>
      <w:tr w:rsidR="00072A69" w:rsidRPr="00DC6DF9" w14:paraId="3ED10F2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CE10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1257</w:t>
            </w:r>
          </w:p>
        </w:tc>
        <w:tc>
          <w:tcPr>
            <w:tcW w:w="1036" w:type="dxa"/>
            <w:tcBorders>
              <w:top w:val="nil"/>
              <w:left w:val="nil"/>
              <w:bottom w:val="single" w:sz="4" w:space="0" w:color="auto"/>
              <w:right w:val="single" w:sz="4" w:space="0" w:color="auto"/>
            </w:tcBorders>
            <w:shd w:val="clear" w:color="auto" w:fill="auto"/>
            <w:noWrap/>
            <w:vAlign w:val="center"/>
            <w:hideMark/>
          </w:tcPr>
          <w:p w14:paraId="29543F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5375827000</w:t>
            </w:r>
          </w:p>
        </w:tc>
        <w:tc>
          <w:tcPr>
            <w:tcW w:w="1036" w:type="dxa"/>
            <w:tcBorders>
              <w:top w:val="nil"/>
              <w:left w:val="nil"/>
              <w:bottom w:val="single" w:sz="4" w:space="0" w:color="auto"/>
              <w:right w:val="single" w:sz="4" w:space="0" w:color="auto"/>
            </w:tcBorders>
            <w:shd w:val="clear" w:color="auto" w:fill="auto"/>
            <w:noWrap/>
            <w:vAlign w:val="center"/>
            <w:hideMark/>
          </w:tcPr>
          <w:p w14:paraId="201D8F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85566543</w:t>
            </w:r>
          </w:p>
        </w:tc>
        <w:tc>
          <w:tcPr>
            <w:tcW w:w="160" w:type="dxa"/>
            <w:tcBorders>
              <w:top w:val="nil"/>
              <w:left w:val="nil"/>
              <w:bottom w:val="single" w:sz="4" w:space="0" w:color="auto"/>
              <w:right w:val="nil"/>
            </w:tcBorders>
            <w:vAlign w:val="center"/>
          </w:tcPr>
          <w:p w14:paraId="291D8F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228E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LIVADA</w:t>
            </w:r>
          </w:p>
        </w:tc>
      </w:tr>
      <w:tr w:rsidR="00072A69" w:rsidRPr="00DC6DF9" w14:paraId="212A29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403A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1258</w:t>
            </w:r>
          </w:p>
        </w:tc>
        <w:tc>
          <w:tcPr>
            <w:tcW w:w="1036" w:type="dxa"/>
            <w:tcBorders>
              <w:top w:val="nil"/>
              <w:left w:val="nil"/>
              <w:bottom w:val="single" w:sz="4" w:space="0" w:color="auto"/>
              <w:right w:val="single" w:sz="4" w:space="0" w:color="auto"/>
            </w:tcBorders>
            <w:shd w:val="clear" w:color="auto" w:fill="auto"/>
            <w:noWrap/>
            <w:vAlign w:val="center"/>
            <w:hideMark/>
          </w:tcPr>
          <w:p w14:paraId="3C1E2F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5081939000</w:t>
            </w:r>
          </w:p>
        </w:tc>
        <w:tc>
          <w:tcPr>
            <w:tcW w:w="1036" w:type="dxa"/>
            <w:tcBorders>
              <w:top w:val="nil"/>
              <w:left w:val="nil"/>
              <w:bottom w:val="single" w:sz="4" w:space="0" w:color="auto"/>
              <w:right w:val="single" w:sz="4" w:space="0" w:color="auto"/>
            </w:tcBorders>
            <w:shd w:val="clear" w:color="auto" w:fill="auto"/>
            <w:noWrap/>
            <w:vAlign w:val="center"/>
            <w:hideMark/>
          </w:tcPr>
          <w:p w14:paraId="6D1ED8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45242372</w:t>
            </w:r>
          </w:p>
        </w:tc>
        <w:tc>
          <w:tcPr>
            <w:tcW w:w="160" w:type="dxa"/>
            <w:tcBorders>
              <w:top w:val="nil"/>
              <w:left w:val="nil"/>
              <w:bottom w:val="single" w:sz="4" w:space="0" w:color="auto"/>
              <w:right w:val="nil"/>
            </w:tcBorders>
            <w:vAlign w:val="center"/>
          </w:tcPr>
          <w:p w14:paraId="5357F43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41A3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LIVADA VELENJE</w:t>
            </w:r>
          </w:p>
        </w:tc>
      </w:tr>
      <w:tr w:rsidR="00072A69" w:rsidRPr="00DC6DF9" w14:paraId="3E567F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7704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1259</w:t>
            </w:r>
          </w:p>
        </w:tc>
        <w:tc>
          <w:tcPr>
            <w:tcW w:w="1036" w:type="dxa"/>
            <w:tcBorders>
              <w:top w:val="nil"/>
              <w:left w:val="nil"/>
              <w:bottom w:val="single" w:sz="4" w:space="0" w:color="auto"/>
              <w:right w:val="single" w:sz="4" w:space="0" w:color="auto"/>
            </w:tcBorders>
            <w:shd w:val="clear" w:color="auto" w:fill="auto"/>
            <w:noWrap/>
            <w:vAlign w:val="center"/>
            <w:hideMark/>
          </w:tcPr>
          <w:p w14:paraId="160169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5859921000</w:t>
            </w:r>
          </w:p>
        </w:tc>
        <w:tc>
          <w:tcPr>
            <w:tcW w:w="1036" w:type="dxa"/>
            <w:tcBorders>
              <w:top w:val="nil"/>
              <w:left w:val="nil"/>
              <w:bottom w:val="single" w:sz="4" w:space="0" w:color="auto"/>
              <w:right w:val="single" w:sz="4" w:space="0" w:color="auto"/>
            </w:tcBorders>
            <w:shd w:val="clear" w:color="auto" w:fill="auto"/>
            <w:noWrap/>
            <w:vAlign w:val="center"/>
            <w:hideMark/>
          </w:tcPr>
          <w:p w14:paraId="4F3537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17796989</w:t>
            </w:r>
          </w:p>
        </w:tc>
        <w:tc>
          <w:tcPr>
            <w:tcW w:w="160" w:type="dxa"/>
            <w:tcBorders>
              <w:top w:val="nil"/>
              <w:left w:val="nil"/>
              <w:bottom w:val="single" w:sz="4" w:space="0" w:color="auto"/>
              <w:right w:val="nil"/>
            </w:tcBorders>
            <w:vAlign w:val="center"/>
          </w:tcPr>
          <w:p w14:paraId="47ACC9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BC8C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LIVADE IZOLA</w:t>
            </w:r>
          </w:p>
        </w:tc>
      </w:tr>
      <w:tr w:rsidR="00072A69" w:rsidRPr="00DC6DF9" w14:paraId="03AC79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6D1A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1260</w:t>
            </w:r>
          </w:p>
        </w:tc>
        <w:tc>
          <w:tcPr>
            <w:tcW w:w="1036" w:type="dxa"/>
            <w:tcBorders>
              <w:top w:val="nil"/>
              <w:left w:val="nil"/>
              <w:bottom w:val="single" w:sz="4" w:space="0" w:color="auto"/>
              <w:right w:val="single" w:sz="4" w:space="0" w:color="auto"/>
            </w:tcBorders>
            <w:shd w:val="clear" w:color="auto" w:fill="auto"/>
            <w:noWrap/>
            <w:vAlign w:val="center"/>
            <w:hideMark/>
          </w:tcPr>
          <w:p w14:paraId="4FA5C2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1262823000</w:t>
            </w:r>
          </w:p>
        </w:tc>
        <w:tc>
          <w:tcPr>
            <w:tcW w:w="1036" w:type="dxa"/>
            <w:tcBorders>
              <w:top w:val="nil"/>
              <w:left w:val="nil"/>
              <w:bottom w:val="single" w:sz="4" w:space="0" w:color="auto"/>
              <w:right w:val="single" w:sz="4" w:space="0" w:color="auto"/>
            </w:tcBorders>
            <w:shd w:val="clear" w:color="auto" w:fill="auto"/>
            <w:noWrap/>
            <w:vAlign w:val="center"/>
            <w:hideMark/>
          </w:tcPr>
          <w:p w14:paraId="25117C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68305192</w:t>
            </w:r>
          </w:p>
        </w:tc>
        <w:tc>
          <w:tcPr>
            <w:tcW w:w="160" w:type="dxa"/>
            <w:tcBorders>
              <w:top w:val="nil"/>
              <w:left w:val="nil"/>
              <w:bottom w:val="single" w:sz="4" w:space="0" w:color="auto"/>
              <w:right w:val="nil"/>
            </w:tcBorders>
            <w:vAlign w:val="center"/>
          </w:tcPr>
          <w:p w14:paraId="2AE430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2B1A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LJUBEČNA</w:t>
            </w:r>
          </w:p>
        </w:tc>
      </w:tr>
      <w:tr w:rsidR="00072A69" w:rsidRPr="00DC6DF9" w14:paraId="035EE7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C7BF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1261</w:t>
            </w:r>
          </w:p>
        </w:tc>
        <w:tc>
          <w:tcPr>
            <w:tcW w:w="1036" w:type="dxa"/>
            <w:tcBorders>
              <w:top w:val="nil"/>
              <w:left w:val="nil"/>
              <w:bottom w:val="single" w:sz="4" w:space="0" w:color="auto"/>
              <w:right w:val="single" w:sz="4" w:space="0" w:color="auto"/>
            </w:tcBorders>
            <w:shd w:val="clear" w:color="auto" w:fill="auto"/>
            <w:noWrap/>
            <w:vAlign w:val="center"/>
            <w:hideMark/>
          </w:tcPr>
          <w:p w14:paraId="2C086C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5088941000</w:t>
            </w:r>
          </w:p>
        </w:tc>
        <w:tc>
          <w:tcPr>
            <w:tcW w:w="1036" w:type="dxa"/>
            <w:tcBorders>
              <w:top w:val="nil"/>
              <w:left w:val="nil"/>
              <w:bottom w:val="single" w:sz="4" w:space="0" w:color="auto"/>
              <w:right w:val="single" w:sz="4" w:space="0" w:color="auto"/>
            </w:tcBorders>
            <w:shd w:val="clear" w:color="auto" w:fill="auto"/>
            <w:noWrap/>
            <w:vAlign w:val="center"/>
            <w:hideMark/>
          </w:tcPr>
          <w:p w14:paraId="5A394B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67789943</w:t>
            </w:r>
          </w:p>
        </w:tc>
        <w:tc>
          <w:tcPr>
            <w:tcW w:w="160" w:type="dxa"/>
            <w:tcBorders>
              <w:top w:val="nil"/>
              <w:left w:val="nil"/>
              <w:bottom w:val="single" w:sz="4" w:space="0" w:color="auto"/>
              <w:right w:val="nil"/>
            </w:tcBorders>
            <w:vAlign w:val="center"/>
          </w:tcPr>
          <w:p w14:paraId="63214E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CE96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LJUBNO OB SAVINJI</w:t>
            </w:r>
          </w:p>
        </w:tc>
      </w:tr>
      <w:tr w:rsidR="00072A69" w:rsidRPr="00DC6DF9" w14:paraId="5F25836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DB93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1262</w:t>
            </w:r>
          </w:p>
        </w:tc>
        <w:tc>
          <w:tcPr>
            <w:tcW w:w="1036" w:type="dxa"/>
            <w:tcBorders>
              <w:top w:val="nil"/>
              <w:left w:val="nil"/>
              <w:bottom w:val="single" w:sz="4" w:space="0" w:color="auto"/>
              <w:right w:val="single" w:sz="4" w:space="0" w:color="auto"/>
            </w:tcBorders>
            <w:shd w:val="clear" w:color="auto" w:fill="auto"/>
            <w:noWrap/>
            <w:vAlign w:val="center"/>
            <w:hideMark/>
          </w:tcPr>
          <w:p w14:paraId="04B056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5087147000</w:t>
            </w:r>
          </w:p>
        </w:tc>
        <w:tc>
          <w:tcPr>
            <w:tcW w:w="1036" w:type="dxa"/>
            <w:tcBorders>
              <w:top w:val="nil"/>
              <w:left w:val="nil"/>
              <w:bottom w:val="single" w:sz="4" w:space="0" w:color="auto"/>
              <w:right w:val="single" w:sz="4" w:space="0" w:color="auto"/>
            </w:tcBorders>
            <w:shd w:val="clear" w:color="auto" w:fill="auto"/>
            <w:noWrap/>
            <w:vAlign w:val="center"/>
            <w:hideMark/>
          </w:tcPr>
          <w:p w14:paraId="7BFF13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86058932</w:t>
            </w:r>
          </w:p>
        </w:tc>
        <w:tc>
          <w:tcPr>
            <w:tcW w:w="160" w:type="dxa"/>
            <w:tcBorders>
              <w:top w:val="nil"/>
              <w:left w:val="nil"/>
              <w:bottom w:val="single" w:sz="4" w:space="0" w:color="auto"/>
              <w:right w:val="nil"/>
            </w:tcBorders>
            <w:vAlign w:val="center"/>
          </w:tcPr>
          <w:p w14:paraId="03A56A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ED71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LJUDSKI VRT</w:t>
            </w:r>
          </w:p>
        </w:tc>
      </w:tr>
      <w:tr w:rsidR="00072A69" w:rsidRPr="00DC6DF9" w14:paraId="3C50474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2E8C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1263</w:t>
            </w:r>
          </w:p>
        </w:tc>
        <w:tc>
          <w:tcPr>
            <w:tcW w:w="1036" w:type="dxa"/>
            <w:tcBorders>
              <w:top w:val="nil"/>
              <w:left w:val="nil"/>
              <w:bottom w:val="single" w:sz="4" w:space="0" w:color="auto"/>
              <w:right w:val="single" w:sz="4" w:space="0" w:color="auto"/>
            </w:tcBorders>
            <w:shd w:val="clear" w:color="auto" w:fill="auto"/>
            <w:noWrap/>
            <w:vAlign w:val="center"/>
            <w:hideMark/>
          </w:tcPr>
          <w:p w14:paraId="3DBF27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5089433000</w:t>
            </w:r>
          </w:p>
        </w:tc>
        <w:tc>
          <w:tcPr>
            <w:tcW w:w="1036" w:type="dxa"/>
            <w:tcBorders>
              <w:top w:val="nil"/>
              <w:left w:val="nil"/>
              <w:bottom w:val="single" w:sz="4" w:space="0" w:color="auto"/>
              <w:right w:val="single" w:sz="4" w:space="0" w:color="auto"/>
            </w:tcBorders>
            <w:shd w:val="clear" w:color="auto" w:fill="auto"/>
            <w:noWrap/>
            <w:vAlign w:val="center"/>
            <w:hideMark/>
          </w:tcPr>
          <w:p w14:paraId="69486D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49210220</w:t>
            </w:r>
          </w:p>
        </w:tc>
        <w:tc>
          <w:tcPr>
            <w:tcW w:w="160" w:type="dxa"/>
            <w:tcBorders>
              <w:top w:val="nil"/>
              <w:left w:val="nil"/>
              <w:bottom w:val="single" w:sz="4" w:space="0" w:color="auto"/>
              <w:right w:val="nil"/>
            </w:tcBorders>
            <w:vAlign w:val="center"/>
          </w:tcPr>
          <w:p w14:paraId="1AA108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E257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LOČE</w:t>
            </w:r>
          </w:p>
        </w:tc>
      </w:tr>
      <w:tr w:rsidR="00072A69" w:rsidRPr="00DC6DF9" w14:paraId="4F3D44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CAE1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1264</w:t>
            </w:r>
          </w:p>
        </w:tc>
        <w:tc>
          <w:tcPr>
            <w:tcW w:w="1036" w:type="dxa"/>
            <w:tcBorders>
              <w:top w:val="nil"/>
              <w:left w:val="nil"/>
              <w:bottom w:val="single" w:sz="4" w:space="0" w:color="auto"/>
              <w:right w:val="single" w:sz="4" w:space="0" w:color="auto"/>
            </w:tcBorders>
            <w:shd w:val="clear" w:color="auto" w:fill="auto"/>
            <w:noWrap/>
            <w:vAlign w:val="center"/>
            <w:hideMark/>
          </w:tcPr>
          <w:p w14:paraId="7829B3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5207045000</w:t>
            </w:r>
          </w:p>
        </w:tc>
        <w:tc>
          <w:tcPr>
            <w:tcW w:w="1036" w:type="dxa"/>
            <w:tcBorders>
              <w:top w:val="nil"/>
              <w:left w:val="nil"/>
              <w:bottom w:val="single" w:sz="4" w:space="0" w:color="auto"/>
              <w:right w:val="single" w:sz="4" w:space="0" w:color="auto"/>
            </w:tcBorders>
            <w:shd w:val="clear" w:color="auto" w:fill="auto"/>
            <w:noWrap/>
            <w:vAlign w:val="center"/>
            <w:hideMark/>
          </w:tcPr>
          <w:p w14:paraId="72CE89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49698125</w:t>
            </w:r>
          </w:p>
        </w:tc>
        <w:tc>
          <w:tcPr>
            <w:tcW w:w="160" w:type="dxa"/>
            <w:tcBorders>
              <w:top w:val="nil"/>
              <w:left w:val="nil"/>
              <w:bottom w:val="single" w:sz="4" w:space="0" w:color="auto"/>
              <w:right w:val="nil"/>
            </w:tcBorders>
            <w:vAlign w:val="center"/>
          </w:tcPr>
          <w:p w14:paraId="78713E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7C00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LOG - DRAGOMER</w:t>
            </w:r>
          </w:p>
        </w:tc>
      </w:tr>
      <w:tr w:rsidR="00072A69" w:rsidRPr="00DC6DF9" w14:paraId="7F095F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6B04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1265</w:t>
            </w:r>
          </w:p>
        </w:tc>
        <w:tc>
          <w:tcPr>
            <w:tcW w:w="1036" w:type="dxa"/>
            <w:tcBorders>
              <w:top w:val="nil"/>
              <w:left w:val="nil"/>
              <w:bottom w:val="single" w:sz="4" w:space="0" w:color="auto"/>
              <w:right w:val="single" w:sz="4" w:space="0" w:color="auto"/>
            </w:tcBorders>
            <w:shd w:val="clear" w:color="auto" w:fill="auto"/>
            <w:noWrap/>
            <w:vAlign w:val="center"/>
            <w:hideMark/>
          </w:tcPr>
          <w:p w14:paraId="309B2E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5289211000</w:t>
            </w:r>
          </w:p>
        </w:tc>
        <w:tc>
          <w:tcPr>
            <w:tcW w:w="1036" w:type="dxa"/>
            <w:tcBorders>
              <w:top w:val="nil"/>
              <w:left w:val="nil"/>
              <w:bottom w:val="single" w:sz="4" w:space="0" w:color="auto"/>
              <w:right w:val="single" w:sz="4" w:space="0" w:color="auto"/>
            </w:tcBorders>
            <w:shd w:val="clear" w:color="auto" w:fill="auto"/>
            <w:noWrap/>
            <w:vAlign w:val="center"/>
            <w:hideMark/>
          </w:tcPr>
          <w:p w14:paraId="4C5100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67958451</w:t>
            </w:r>
          </w:p>
        </w:tc>
        <w:tc>
          <w:tcPr>
            <w:tcW w:w="160" w:type="dxa"/>
            <w:tcBorders>
              <w:top w:val="nil"/>
              <w:left w:val="nil"/>
              <w:bottom w:val="single" w:sz="4" w:space="0" w:color="auto"/>
              <w:right w:val="nil"/>
            </w:tcBorders>
            <w:vAlign w:val="center"/>
          </w:tcPr>
          <w:p w14:paraId="5A83DD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C47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LOKA ČRNOMELJ</w:t>
            </w:r>
          </w:p>
        </w:tc>
      </w:tr>
      <w:tr w:rsidR="00072A69" w:rsidRPr="00DC6DF9" w14:paraId="05AC85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9CDD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1266</w:t>
            </w:r>
          </w:p>
        </w:tc>
        <w:tc>
          <w:tcPr>
            <w:tcW w:w="1036" w:type="dxa"/>
            <w:tcBorders>
              <w:top w:val="nil"/>
              <w:left w:val="nil"/>
              <w:bottom w:val="single" w:sz="4" w:space="0" w:color="auto"/>
              <w:right w:val="single" w:sz="4" w:space="0" w:color="auto"/>
            </w:tcBorders>
            <w:shd w:val="clear" w:color="auto" w:fill="auto"/>
            <w:noWrap/>
            <w:vAlign w:val="center"/>
            <w:hideMark/>
          </w:tcPr>
          <w:p w14:paraId="0DE02E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5085993000</w:t>
            </w:r>
          </w:p>
        </w:tc>
        <w:tc>
          <w:tcPr>
            <w:tcW w:w="1036" w:type="dxa"/>
            <w:tcBorders>
              <w:top w:val="nil"/>
              <w:left w:val="nil"/>
              <w:bottom w:val="single" w:sz="4" w:space="0" w:color="auto"/>
              <w:right w:val="single" w:sz="4" w:space="0" w:color="auto"/>
            </w:tcBorders>
            <w:shd w:val="clear" w:color="auto" w:fill="auto"/>
            <w:noWrap/>
            <w:vAlign w:val="center"/>
            <w:hideMark/>
          </w:tcPr>
          <w:p w14:paraId="6C5C07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29424445</w:t>
            </w:r>
          </w:p>
        </w:tc>
        <w:tc>
          <w:tcPr>
            <w:tcW w:w="160" w:type="dxa"/>
            <w:tcBorders>
              <w:top w:val="nil"/>
              <w:left w:val="nil"/>
              <w:bottom w:val="single" w:sz="4" w:space="0" w:color="auto"/>
              <w:right w:val="nil"/>
            </w:tcBorders>
            <w:vAlign w:val="center"/>
          </w:tcPr>
          <w:p w14:paraId="2192CB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A73B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LOUISA ADAMIČA GROSUPLJE</w:t>
            </w:r>
          </w:p>
        </w:tc>
      </w:tr>
      <w:tr w:rsidR="00072A69" w:rsidRPr="00DC6DF9" w14:paraId="4A2DA4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95DA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1267</w:t>
            </w:r>
          </w:p>
        </w:tc>
        <w:tc>
          <w:tcPr>
            <w:tcW w:w="1036" w:type="dxa"/>
            <w:tcBorders>
              <w:top w:val="nil"/>
              <w:left w:val="nil"/>
              <w:bottom w:val="single" w:sz="4" w:space="0" w:color="auto"/>
              <w:right w:val="single" w:sz="4" w:space="0" w:color="auto"/>
            </w:tcBorders>
            <w:shd w:val="clear" w:color="auto" w:fill="auto"/>
            <w:noWrap/>
            <w:vAlign w:val="center"/>
            <w:hideMark/>
          </w:tcPr>
          <w:p w14:paraId="7DF694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5085179000</w:t>
            </w:r>
          </w:p>
        </w:tc>
        <w:tc>
          <w:tcPr>
            <w:tcW w:w="1036" w:type="dxa"/>
            <w:tcBorders>
              <w:top w:val="nil"/>
              <w:left w:val="nil"/>
              <w:bottom w:val="single" w:sz="4" w:space="0" w:color="auto"/>
              <w:right w:val="single" w:sz="4" w:space="0" w:color="auto"/>
            </w:tcBorders>
            <w:shd w:val="clear" w:color="auto" w:fill="auto"/>
            <w:noWrap/>
            <w:vAlign w:val="center"/>
            <w:hideMark/>
          </w:tcPr>
          <w:p w14:paraId="77AAEF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89983882</w:t>
            </w:r>
          </w:p>
        </w:tc>
        <w:tc>
          <w:tcPr>
            <w:tcW w:w="160" w:type="dxa"/>
            <w:tcBorders>
              <w:top w:val="nil"/>
              <w:left w:val="nil"/>
              <w:bottom w:val="single" w:sz="4" w:space="0" w:color="auto"/>
              <w:right w:val="nil"/>
            </w:tcBorders>
            <w:vAlign w:val="center"/>
          </w:tcPr>
          <w:p w14:paraId="73A575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8B0A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LOVRENC NA POHORJU</w:t>
            </w:r>
          </w:p>
        </w:tc>
      </w:tr>
      <w:tr w:rsidR="00072A69" w:rsidRPr="00DC6DF9" w14:paraId="66481A7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0F43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1268</w:t>
            </w:r>
          </w:p>
        </w:tc>
        <w:tc>
          <w:tcPr>
            <w:tcW w:w="1036" w:type="dxa"/>
            <w:tcBorders>
              <w:top w:val="nil"/>
              <w:left w:val="nil"/>
              <w:bottom w:val="single" w:sz="4" w:space="0" w:color="auto"/>
              <w:right w:val="single" w:sz="4" w:space="0" w:color="auto"/>
            </w:tcBorders>
            <w:shd w:val="clear" w:color="auto" w:fill="auto"/>
            <w:noWrap/>
            <w:vAlign w:val="center"/>
            <w:hideMark/>
          </w:tcPr>
          <w:p w14:paraId="689A13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5089174000</w:t>
            </w:r>
          </w:p>
        </w:tc>
        <w:tc>
          <w:tcPr>
            <w:tcW w:w="1036" w:type="dxa"/>
            <w:tcBorders>
              <w:top w:val="nil"/>
              <w:left w:val="nil"/>
              <w:bottom w:val="single" w:sz="4" w:space="0" w:color="auto"/>
              <w:right w:val="single" w:sz="4" w:space="0" w:color="auto"/>
            </w:tcBorders>
            <w:shd w:val="clear" w:color="auto" w:fill="auto"/>
            <w:noWrap/>
            <w:vAlign w:val="center"/>
            <w:hideMark/>
          </w:tcPr>
          <w:p w14:paraId="79DF4F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11997907</w:t>
            </w:r>
          </w:p>
        </w:tc>
        <w:tc>
          <w:tcPr>
            <w:tcW w:w="160" w:type="dxa"/>
            <w:tcBorders>
              <w:top w:val="nil"/>
              <w:left w:val="nil"/>
              <w:bottom w:val="single" w:sz="4" w:space="0" w:color="auto"/>
              <w:right w:val="nil"/>
            </w:tcBorders>
            <w:vAlign w:val="center"/>
          </w:tcPr>
          <w:p w14:paraId="06F09E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0F8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LUCIJA</w:t>
            </w:r>
          </w:p>
        </w:tc>
      </w:tr>
      <w:tr w:rsidR="00072A69" w:rsidRPr="00DC6DF9" w14:paraId="1CB3B0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2D1E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1269</w:t>
            </w:r>
          </w:p>
        </w:tc>
        <w:tc>
          <w:tcPr>
            <w:tcW w:w="1036" w:type="dxa"/>
            <w:tcBorders>
              <w:top w:val="nil"/>
              <w:left w:val="nil"/>
              <w:bottom w:val="single" w:sz="4" w:space="0" w:color="auto"/>
              <w:right w:val="single" w:sz="4" w:space="0" w:color="auto"/>
            </w:tcBorders>
            <w:shd w:val="clear" w:color="auto" w:fill="auto"/>
            <w:noWrap/>
            <w:vAlign w:val="center"/>
            <w:hideMark/>
          </w:tcPr>
          <w:p w14:paraId="18F70B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5089034000</w:t>
            </w:r>
          </w:p>
        </w:tc>
        <w:tc>
          <w:tcPr>
            <w:tcW w:w="1036" w:type="dxa"/>
            <w:tcBorders>
              <w:top w:val="nil"/>
              <w:left w:val="nil"/>
              <w:bottom w:val="single" w:sz="4" w:space="0" w:color="auto"/>
              <w:right w:val="single" w:sz="4" w:space="0" w:color="auto"/>
            </w:tcBorders>
            <w:shd w:val="clear" w:color="auto" w:fill="auto"/>
            <w:noWrap/>
            <w:vAlign w:val="center"/>
            <w:hideMark/>
          </w:tcPr>
          <w:p w14:paraId="588DB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44215932</w:t>
            </w:r>
          </w:p>
        </w:tc>
        <w:tc>
          <w:tcPr>
            <w:tcW w:w="160" w:type="dxa"/>
            <w:tcBorders>
              <w:top w:val="nil"/>
              <w:left w:val="nil"/>
              <w:bottom w:val="single" w:sz="4" w:space="0" w:color="auto"/>
              <w:right w:val="nil"/>
            </w:tcBorders>
            <w:vAlign w:val="center"/>
          </w:tcPr>
          <w:p w14:paraId="4FE17E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C6C6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LUCIJANA BRATKOVIČA BRATUŠA RENČE</w:t>
            </w:r>
          </w:p>
        </w:tc>
      </w:tr>
      <w:tr w:rsidR="00072A69" w:rsidRPr="00DC6DF9" w14:paraId="3EE097F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7D6D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1270</w:t>
            </w:r>
          </w:p>
        </w:tc>
        <w:tc>
          <w:tcPr>
            <w:tcW w:w="1036" w:type="dxa"/>
            <w:tcBorders>
              <w:top w:val="nil"/>
              <w:left w:val="nil"/>
              <w:bottom w:val="single" w:sz="4" w:space="0" w:color="auto"/>
              <w:right w:val="single" w:sz="4" w:space="0" w:color="auto"/>
            </w:tcBorders>
            <w:shd w:val="clear" w:color="auto" w:fill="auto"/>
            <w:noWrap/>
            <w:vAlign w:val="center"/>
            <w:hideMark/>
          </w:tcPr>
          <w:p w14:paraId="4AD9EB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5086728000</w:t>
            </w:r>
          </w:p>
        </w:tc>
        <w:tc>
          <w:tcPr>
            <w:tcW w:w="1036" w:type="dxa"/>
            <w:tcBorders>
              <w:top w:val="nil"/>
              <w:left w:val="nil"/>
              <w:bottom w:val="single" w:sz="4" w:space="0" w:color="auto"/>
              <w:right w:val="single" w:sz="4" w:space="0" w:color="auto"/>
            </w:tcBorders>
            <w:shd w:val="clear" w:color="auto" w:fill="auto"/>
            <w:noWrap/>
            <w:vAlign w:val="center"/>
            <w:hideMark/>
          </w:tcPr>
          <w:p w14:paraId="253899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84740299</w:t>
            </w:r>
          </w:p>
        </w:tc>
        <w:tc>
          <w:tcPr>
            <w:tcW w:w="160" w:type="dxa"/>
            <w:tcBorders>
              <w:top w:val="nil"/>
              <w:left w:val="nil"/>
              <w:bottom w:val="single" w:sz="4" w:space="0" w:color="auto"/>
              <w:right w:val="nil"/>
            </w:tcBorders>
            <w:vAlign w:val="center"/>
          </w:tcPr>
          <w:p w14:paraId="07527A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2ACB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LUDVIKA PLIBERŠKA MARIBOR</w:t>
            </w:r>
          </w:p>
        </w:tc>
      </w:tr>
      <w:tr w:rsidR="00072A69" w:rsidRPr="00DC6DF9" w14:paraId="2A8E7E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324C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1271</w:t>
            </w:r>
          </w:p>
        </w:tc>
        <w:tc>
          <w:tcPr>
            <w:tcW w:w="1036" w:type="dxa"/>
            <w:tcBorders>
              <w:top w:val="nil"/>
              <w:left w:val="nil"/>
              <w:bottom w:val="single" w:sz="4" w:space="0" w:color="auto"/>
              <w:right w:val="single" w:sz="4" w:space="0" w:color="auto"/>
            </w:tcBorders>
            <w:shd w:val="clear" w:color="auto" w:fill="auto"/>
            <w:noWrap/>
            <w:vAlign w:val="center"/>
            <w:hideMark/>
          </w:tcPr>
          <w:p w14:paraId="29BA1B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5083486000</w:t>
            </w:r>
          </w:p>
        </w:tc>
        <w:tc>
          <w:tcPr>
            <w:tcW w:w="1036" w:type="dxa"/>
            <w:tcBorders>
              <w:top w:val="nil"/>
              <w:left w:val="nil"/>
              <w:bottom w:val="single" w:sz="4" w:space="0" w:color="auto"/>
              <w:right w:val="single" w:sz="4" w:space="0" w:color="auto"/>
            </w:tcBorders>
            <w:shd w:val="clear" w:color="auto" w:fill="auto"/>
            <w:noWrap/>
            <w:vAlign w:val="center"/>
            <w:hideMark/>
          </w:tcPr>
          <w:p w14:paraId="63C4EB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36181455</w:t>
            </w:r>
          </w:p>
        </w:tc>
        <w:tc>
          <w:tcPr>
            <w:tcW w:w="160" w:type="dxa"/>
            <w:tcBorders>
              <w:top w:val="nil"/>
              <w:left w:val="nil"/>
              <w:bottom w:val="single" w:sz="4" w:space="0" w:color="auto"/>
              <w:right w:val="nil"/>
            </w:tcBorders>
            <w:vAlign w:val="center"/>
          </w:tcPr>
          <w:p w14:paraId="14795F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4A25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MAJDE VRHOVNIK</w:t>
            </w:r>
          </w:p>
        </w:tc>
      </w:tr>
      <w:tr w:rsidR="00072A69" w:rsidRPr="00DC6DF9" w14:paraId="0B7AAD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AA8C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1272</w:t>
            </w:r>
          </w:p>
        </w:tc>
        <w:tc>
          <w:tcPr>
            <w:tcW w:w="1036" w:type="dxa"/>
            <w:tcBorders>
              <w:top w:val="nil"/>
              <w:left w:val="nil"/>
              <w:bottom w:val="single" w:sz="4" w:space="0" w:color="auto"/>
              <w:right w:val="single" w:sz="4" w:space="0" w:color="auto"/>
            </w:tcBorders>
            <w:shd w:val="clear" w:color="auto" w:fill="auto"/>
            <w:noWrap/>
            <w:vAlign w:val="center"/>
            <w:hideMark/>
          </w:tcPr>
          <w:p w14:paraId="24E377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5087074000</w:t>
            </w:r>
          </w:p>
        </w:tc>
        <w:tc>
          <w:tcPr>
            <w:tcW w:w="1036" w:type="dxa"/>
            <w:tcBorders>
              <w:top w:val="nil"/>
              <w:left w:val="nil"/>
              <w:bottom w:val="single" w:sz="4" w:space="0" w:color="auto"/>
              <w:right w:val="single" w:sz="4" w:space="0" w:color="auto"/>
            </w:tcBorders>
            <w:shd w:val="clear" w:color="auto" w:fill="auto"/>
            <w:noWrap/>
            <w:vAlign w:val="center"/>
            <w:hideMark/>
          </w:tcPr>
          <w:p w14:paraId="456796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57555559</w:t>
            </w:r>
          </w:p>
        </w:tc>
        <w:tc>
          <w:tcPr>
            <w:tcW w:w="160" w:type="dxa"/>
            <w:tcBorders>
              <w:top w:val="nil"/>
              <w:left w:val="nil"/>
              <w:bottom w:val="single" w:sz="4" w:space="0" w:color="auto"/>
              <w:right w:val="nil"/>
            </w:tcBorders>
            <w:vAlign w:val="center"/>
          </w:tcPr>
          <w:p w14:paraId="320024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7BD3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MAJŠPERK</w:t>
            </w:r>
          </w:p>
        </w:tc>
      </w:tr>
      <w:tr w:rsidR="00072A69" w:rsidRPr="00DC6DF9" w14:paraId="7B4B6F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4FC2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1273</w:t>
            </w:r>
          </w:p>
        </w:tc>
        <w:tc>
          <w:tcPr>
            <w:tcW w:w="1036" w:type="dxa"/>
            <w:tcBorders>
              <w:top w:val="nil"/>
              <w:left w:val="nil"/>
              <w:bottom w:val="single" w:sz="4" w:space="0" w:color="auto"/>
              <w:right w:val="single" w:sz="4" w:space="0" w:color="auto"/>
            </w:tcBorders>
            <w:shd w:val="clear" w:color="auto" w:fill="auto"/>
            <w:noWrap/>
            <w:vAlign w:val="center"/>
            <w:hideMark/>
          </w:tcPr>
          <w:p w14:paraId="1AD312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5085209000</w:t>
            </w:r>
          </w:p>
        </w:tc>
        <w:tc>
          <w:tcPr>
            <w:tcW w:w="1036" w:type="dxa"/>
            <w:tcBorders>
              <w:top w:val="nil"/>
              <w:left w:val="nil"/>
              <w:bottom w:val="single" w:sz="4" w:space="0" w:color="auto"/>
              <w:right w:val="single" w:sz="4" w:space="0" w:color="auto"/>
            </w:tcBorders>
            <w:shd w:val="clear" w:color="auto" w:fill="auto"/>
            <w:noWrap/>
            <w:vAlign w:val="center"/>
            <w:hideMark/>
          </w:tcPr>
          <w:p w14:paraId="2E6C68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81376847</w:t>
            </w:r>
          </w:p>
        </w:tc>
        <w:tc>
          <w:tcPr>
            <w:tcW w:w="160" w:type="dxa"/>
            <w:tcBorders>
              <w:top w:val="nil"/>
              <w:left w:val="nil"/>
              <w:bottom w:val="single" w:sz="4" w:space="0" w:color="auto"/>
              <w:right w:val="nil"/>
            </w:tcBorders>
            <w:vAlign w:val="center"/>
          </w:tcPr>
          <w:p w14:paraId="0FEC9D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7003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MAKSA DURJAVE MARIBOR</w:t>
            </w:r>
          </w:p>
        </w:tc>
      </w:tr>
      <w:tr w:rsidR="00072A69" w:rsidRPr="00DC6DF9" w14:paraId="171882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0824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1274</w:t>
            </w:r>
          </w:p>
        </w:tc>
        <w:tc>
          <w:tcPr>
            <w:tcW w:w="1036" w:type="dxa"/>
            <w:tcBorders>
              <w:top w:val="nil"/>
              <w:left w:val="nil"/>
              <w:bottom w:val="single" w:sz="4" w:space="0" w:color="auto"/>
              <w:right w:val="single" w:sz="4" w:space="0" w:color="auto"/>
            </w:tcBorders>
            <w:shd w:val="clear" w:color="auto" w:fill="auto"/>
            <w:noWrap/>
            <w:vAlign w:val="center"/>
            <w:hideMark/>
          </w:tcPr>
          <w:p w14:paraId="0B77B3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5082595000</w:t>
            </w:r>
          </w:p>
        </w:tc>
        <w:tc>
          <w:tcPr>
            <w:tcW w:w="1036" w:type="dxa"/>
            <w:tcBorders>
              <w:top w:val="nil"/>
              <w:left w:val="nil"/>
              <w:bottom w:val="single" w:sz="4" w:space="0" w:color="auto"/>
              <w:right w:val="single" w:sz="4" w:space="0" w:color="auto"/>
            </w:tcBorders>
            <w:shd w:val="clear" w:color="auto" w:fill="auto"/>
            <w:noWrap/>
            <w:vAlign w:val="center"/>
            <w:hideMark/>
          </w:tcPr>
          <w:p w14:paraId="0A2FBF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77693809</w:t>
            </w:r>
          </w:p>
        </w:tc>
        <w:tc>
          <w:tcPr>
            <w:tcW w:w="160" w:type="dxa"/>
            <w:tcBorders>
              <w:top w:val="nil"/>
              <w:left w:val="nil"/>
              <w:bottom w:val="single" w:sz="4" w:space="0" w:color="auto"/>
              <w:right w:val="nil"/>
            </w:tcBorders>
            <w:vAlign w:val="center"/>
          </w:tcPr>
          <w:p w14:paraId="64DC03F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8FEA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MAKSA PLETERŠNIKA PIŠECE</w:t>
            </w:r>
          </w:p>
        </w:tc>
      </w:tr>
      <w:tr w:rsidR="00072A69" w:rsidRPr="00DC6DF9" w14:paraId="64A1D5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51E4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1275</w:t>
            </w:r>
          </w:p>
        </w:tc>
        <w:tc>
          <w:tcPr>
            <w:tcW w:w="1036" w:type="dxa"/>
            <w:tcBorders>
              <w:top w:val="nil"/>
              <w:left w:val="nil"/>
              <w:bottom w:val="single" w:sz="4" w:space="0" w:color="auto"/>
              <w:right w:val="single" w:sz="4" w:space="0" w:color="auto"/>
            </w:tcBorders>
            <w:shd w:val="clear" w:color="auto" w:fill="auto"/>
            <w:noWrap/>
            <w:vAlign w:val="center"/>
            <w:hideMark/>
          </w:tcPr>
          <w:p w14:paraId="3AAC51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5084610000</w:t>
            </w:r>
          </w:p>
        </w:tc>
        <w:tc>
          <w:tcPr>
            <w:tcW w:w="1036" w:type="dxa"/>
            <w:tcBorders>
              <w:top w:val="nil"/>
              <w:left w:val="nil"/>
              <w:bottom w:val="single" w:sz="4" w:space="0" w:color="auto"/>
              <w:right w:val="single" w:sz="4" w:space="0" w:color="auto"/>
            </w:tcBorders>
            <w:shd w:val="clear" w:color="auto" w:fill="auto"/>
            <w:vAlign w:val="center"/>
            <w:hideMark/>
          </w:tcPr>
          <w:p w14:paraId="7FC3F3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36663417</w:t>
            </w:r>
          </w:p>
        </w:tc>
        <w:tc>
          <w:tcPr>
            <w:tcW w:w="160" w:type="dxa"/>
            <w:tcBorders>
              <w:top w:val="nil"/>
              <w:left w:val="nil"/>
              <w:bottom w:val="single" w:sz="4" w:space="0" w:color="auto"/>
              <w:right w:val="nil"/>
            </w:tcBorders>
            <w:vAlign w:val="center"/>
          </w:tcPr>
          <w:p w14:paraId="1B527BC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46632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MALA NEDELJA</w:t>
            </w:r>
          </w:p>
        </w:tc>
      </w:tr>
      <w:tr w:rsidR="00072A69" w:rsidRPr="00DC6DF9" w14:paraId="5C5E80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8D0A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1276</w:t>
            </w:r>
          </w:p>
        </w:tc>
        <w:tc>
          <w:tcPr>
            <w:tcW w:w="1036" w:type="dxa"/>
            <w:tcBorders>
              <w:top w:val="nil"/>
              <w:left w:val="nil"/>
              <w:bottom w:val="single" w:sz="4" w:space="0" w:color="auto"/>
              <w:right w:val="single" w:sz="4" w:space="0" w:color="auto"/>
            </w:tcBorders>
            <w:shd w:val="clear" w:color="auto" w:fill="auto"/>
            <w:noWrap/>
            <w:vAlign w:val="center"/>
            <w:hideMark/>
          </w:tcPr>
          <w:p w14:paraId="50E642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5206634000</w:t>
            </w:r>
          </w:p>
        </w:tc>
        <w:tc>
          <w:tcPr>
            <w:tcW w:w="1036" w:type="dxa"/>
            <w:tcBorders>
              <w:top w:val="nil"/>
              <w:left w:val="nil"/>
              <w:bottom w:val="single" w:sz="4" w:space="0" w:color="auto"/>
              <w:right w:val="single" w:sz="4" w:space="0" w:color="auto"/>
            </w:tcBorders>
            <w:shd w:val="clear" w:color="auto" w:fill="auto"/>
            <w:vAlign w:val="center"/>
            <w:hideMark/>
          </w:tcPr>
          <w:p w14:paraId="2C8207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79836682</w:t>
            </w:r>
          </w:p>
        </w:tc>
        <w:tc>
          <w:tcPr>
            <w:tcW w:w="160" w:type="dxa"/>
            <w:tcBorders>
              <w:top w:val="nil"/>
              <w:left w:val="nil"/>
              <w:bottom w:val="single" w:sz="4" w:space="0" w:color="auto"/>
              <w:right w:val="nil"/>
            </w:tcBorders>
            <w:vAlign w:val="center"/>
          </w:tcPr>
          <w:p w14:paraId="135D2A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78331F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MALEČNIK</w:t>
            </w:r>
          </w:p>
        </w:tc>
      </w:tr>
      <w:tr w:rsidR="00072A69" w:rsidRPr="00DC6DF9" w14:paraId="65D75B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6B0D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1277</w:t>
            </w:r>
          </w:p>
        </w:tc>
        <w:tc>
          <w:tcPr>
            <w:tcW w:w="1036" w:type="dxa"/>
            <w:tcBorders>
              <w:top w:val="nil"/>
              <w:left w:val="nil"/>
              <w:bottom w:val="single" w:sz="4" w:space="0" w:color="auto"/>
              <w:right w:val="single" w:sz="4" w:space="0" w:color="auto"/>
            </w:tcBorders>
            <w:shd w:val="clear" w:color="auto" w:fill="auto"/>
            <w:noWrap/>
            <w:vAlign w:val="center"/>
            <w:hideMark/>
          </w:tcPr>
          <w:p w14:paraId="15F41F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5268931000</w:t>
            </w:r>
          </w:p>
        </w:tc>
        <w:tc>
          <w:tcPr>
            <w:tcW w:w="1036" w:type="dxa"/>
            <w:tcBorders>
              <w:top w:val="nil"/>
              <w:left w:val="nil"/>
              <w:bottom w:val="single" w:sz="4" w:space="0" w:color="auto"/>
              <w:right w:val="single" w:sz="4" w:space="0" w:color="auto"/>
            </w:tcBorders>
            <w:shd w:val="clear" w:color="auto" w:fill="auto"/>
            <w:noWrap/>
            <w:vAlign w:val="center"/>
            <w:hideMark/>
          </w:tcPr>
          <w:p w14:paraId="517801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52634876</w:t>
            </w:r>
          </w:p>
        </w:tc>
        <w:tc>
          <w:tcPr>
            <w:tcW w:w="160" w:type="dxa"/>
            <w:tcBorders>
              <w:top w:val="nil"/>
              <w:left w:val="nil"/>
              <w:bottom w:val="single" w:sz="4" w:space="0" w:color="auto"/>
              <w:right w:val="nil"/>
            </w:tcBorders>
            <w:vAlign w:val="center"/>
          </w:tcPr>
          <w:p w14:paraId="03D9F6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C313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MARIJE VERE</w:t>
            </w:r>
          </w:p>
        </w:tc>
      </w:tr>
      <w:tr w:rsidR="00072A69" w:rsidRPr="00DC6DF9" w14:paraId="52EB0F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E77E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1278</w:t>
            </w:r>
          </w:p>
        </w:tc>
        <w:tc>
          <w:tcPr>
            <w:tcW w:w="1036" w:type="dxa"/>
            <w:tcBorders>
              <w:top w:val="nil"/>
              <w:left w:val="nil"/>
              <w:bottom w:val="single" w:sz="4" w:space="0" w:color="auto"/>
              <w:right w:val="single" w:sz="4" w:space="0" w:color="auto"/>
            </w:tcBorders>
            <w:shd w:val="clear" w:color="auto" w:fill="auto"/>
            <w:noWrap/>
            <w:vAlign w:val="center"/>
            <w:hideMark/>
          </w:tcPr>
          <w:p w14:paraId="78E0BC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5087104000</w:t>
            </w:r>
          </w:p>
        </w:tc>
        <w:tc>
          <w:tcPr>
            <w:tcW w:w="1036" w:type="dxa"/>
            <w:tcBorders>
              <w:top w:val="nil"/>
              <w:left w:val="nil"/>
              <w:bottom w:val="single" w:sz="4" w:space="0" w:color="auto"/>
              <w:right w:val="single" w:sz="4" w:space="0" w:color="auto"/>
            </w:tcBorders>
            <w:shd w:val="clear" w:color="auto" w:fill="auto"/>
            <w:noWrap/>
            <w:vAlign w:val="center"/>
            <w:hideMark/>
          </w:tcPr>
          <w:p w14:paraId="609BE7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19017910</w:t>
            </w:r>
          </w:p>
        </w:tc>
        <w:tc>
          <w:tcPr>
            <w:tcW w:w="160" w:type="dxa"/>
            <w:tcBorders>
              <w:top w:val="nil"/>
              <w:left w:val="nil"/>
              <w:bottom w:val="single" w:sz="4" w:space="0" w:color="auto"/>
              <w:right w:val="nil"/>
            </w:tcBorders>
            <w:vAlign w:val="center"/>
          </w:tcPr>
          <w:p w14:paraId="57FC39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3C00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MARKOVCI</w:t>
            </w:r>
          </w:p>
        </w:tc>
      </w:tr>
      <w:tr w:rsidR="00072A69" w:rsidRPr="00DC6DF9" w14:paraId="10234D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B031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1279</w:t>
            </w:r>
          </w:p>
        </w:tc>
        <w:tc>
          <w:tcPr>
            <w:tcW w:w="1036" w:type="dxa"/>
            <w:tcBorders>
              <w:top w:val="nil"/>
              <w:left w:val="nil"/>
              <w:bottom w:val="single" w:sz="4" w:space="0" w:color="auto"/>
              <w:right w:val="single" w:sz="4" w:space="0" w:color="auto"/>
            </w:tcBorders>
            <w:shd w:val="clear" w:color="auto" w:fill="auto"/>
            <w:noWrap/>
            <w:vAlign w:val="center"/>
            <w:hideMark/>
          </w:tcPr>
          <w:p w14:paraId="6864AA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5085268000</w:t>
            </w:r>
          </w:p>
        </w:tc>
        <w:tc>
          <w:tcPr>
            <w:tcW w:w="1036" w:type="dxa"/>
            <w:tcBorders>
              <w:top w:val="nil"/>
              <w:left w:val="nil"/>
              <w:bottom w:val="single" w:sz="4" w:space="0" w:color="auto"/>
              <w:right w:val="single" w:sz="4" w:space="0" w:color="auto"/>
            </w:tcBorders>
            <w:shd w:val="clear" w:color="auto" w:fill="auto"/>
            <w:vAlign w:val="center"/>
            <w:hideMark/>
          </w:tcPr>
          <w:p w14:paraId="78FAD3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53839773</w:t>
            </w:r>
          </w:p>
        </w:tc>
        <w:tc>
          <w:tcPr>
            <w:tcW w:w="160" w:type="dxa"/>
            <w:tcBorders>
              <w:top w:val="nil"/>
              <w:left w:val="nil"/>
              <w:bottom w:val="single" w:sz="4" w:space="0" w:color="auto"/>
              <w:right w:val="nil"/>
            </w:tcBorders>
            <w:vAlign w:val="center"/>
          </w:tcPr>
          <w:p w14:paraId="4984FDE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0E0C7C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MARTINA KONŠAKA MARIBOR</w:t>
            </w:r>
          </w:p>
        </w:tc>
      </w:tr>
      <w:tr w:rsidR="00072A69" w:rsidRPr="00DC6DF9" w14:paraId="3AC544E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594B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1280</w:t>
            </w:r>
          </w:p>
        </w:tc>
        <w:tc>
          <w:tcPr>
            <w:tcW w:w="1036" w:type="dxa"/>
            <w:tcBorders>
              <w:top w:val="nil"/>
              <w:left w:val="nil"/>
              <w:bottom w:val="single" w:sz="4" w:space="0" w:color="auto"/>
              <w:right w:val="single" w:sz="4" w:space="0" w:color="auto"/>
            </w:tcBorders>
            <w:shd w:val="clear" w:color="auto" w:fill="auto"/>
            <w:noWrap/>
            <w:vAlign w:val="center"/>
            <w:hideMark/>
          </w:tcPr>
          <w:p w14:paraId="3DB546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5236681000</w:t>
            </w:r>
          </w:p>
        </w:tc>
        <w:tc>
          <w:tcPr>
            <w:tcW w:w="1036" w:type="dxa"/>
            <w:tcBorders>
              <w:top w:val="nil"/>
              <w:left w:val="nil"/>
              <w:bottom w:val="single" w:sz="4" w:space="0" w:color="auto"/>
              <w:right w:val="single" w:sz="4" w:space="0" w:color="auto"/>
            </w:tcBorders>
            <w:shd w:val="clear" w:color="auto" w:fill="auto"/>
            <w:noWrap/>
            <w:vAlign w:val="center"/>
            <w:hideMark/>
          </w:tcPr>
          <w:p w14:paraId="6E70D9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98721089</w:t>
            </w:r>
          </w:p>
        </w:tc>
        <w:tc>
          <w:tcPr>
            <w:tcW w:w="160" w:type="dxa"/>
            <w:tcBorders>
              <w:top w:val="nil"/>
              <w:left w:val="nil"/>
              <w:bottom w:val="single" w:sz="4" w:space="0" w:color="auto"/>
              <w:right w:val="nil"/>
            </w:tcBorders>
            <w:vAlign w:val="center"/>
          </w:tcPr>
          <w:p w14:paraId="7A4E7D0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1F45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MARTINA KRPANA</w:t>
            </w:r>
          </w:p>
        </w:tc>
      </w:tr>
      <w:tr w:rsidR="00072A69" w:rsidRPr="00DC6DF9" w14:paraId="4C3F4F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F128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1281</w:t>
            </w:r>
          </w:p>
        </w:tc>
        <w:tc>
          <w:tcPr>
            <w:tcW w:w="1036" w:type="dxa"/>
            <w:tcBorders>
              <w:top w:val="nil"/>
              <w:left w:val="nil"/>
              <w:bottom w:val="single" w:sz="4" w:space="0" w:color="auto"/>
              <w:right w:val="single" w:sz="4" w:space="0" w:color="auto"/>
            </w:tcBorders>
            <w:shd w:val="clear" w:color="auto" w:fill="auto"/>
            <w:noWrap/>
            <w:vAlign w:val="center"/>
            <w:hideMark/>
          </w:tcPr>
          <w:p w14:paraId="0AB2A8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5279976000</w:t>
            </w:r>
          </w:p>
        </w:tc>
        <w:tc>
          <w:tcPr>
            <w:tcW w:w="1036" w:type="dxa"/>
            <w:tcBorders>
              <w:top w:val="nil"/>
              <w:left w:val="nil"/>
              <w:bottom w:val="single" w:sz="4" w:space="0" w:color="auto"/>
              <w:right w:val="single" w:sz="4" w:space="0" w:color="auto"/>
            </w:tcBorders>
            <w:shd w:val="clear" w:color="auto" w:fill="auto"/>
            <w:noWrap/>
            <w:vAlign w:val="center"/>
            <w:hideMark/>
          </w:tcPr>
          <w:p w14:paraId="02F52C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93323611</w:t>
            </w:r>
          </w:p>
        </w:tc>
        <w:tc>
          <w:tcPr>
            <w:tcW w:w="160" w:type="dxa"/>
            <w:tcBorders>
              <w:top w:val="nil"/>
              <w:left w:val="nil"/>
              <w:bottom w:val="single" w:sz="4" w:space="0" w:color="auto"/>
              <w:right w:val="nil"/>
            </w:tcBorders>
            <w:vAlign w:val="center"/>
          </w:tcPr>
          <w:p w14:paraId="12BFCE1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5197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MATIJE ČOPA KRANJ</w:t>
            </w:r>
          </w:p>
        </w:tc>
      </w:tr>
      <w:tr w:rsidR="00072A69" w:rsidRPr="00DC6DF9" w14:paraId="036A0B2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D7A0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1282</w:t>
            </w:r>
          </w:p>
        </w:tc>
        <w:tc>
          <w:tcPr>
            <w:tcW w:w="1036" w:type="dxa"/>
            <w:tcBorders>
              <w:top w:val="nil"/>
              <w:left w:val="nil"/>
              <w:bottom w:val="single" w:sz="4" w:space="0" w:color="auto"/>
              <w:right w:val="single" w:sz="4" w:space="0" w:color="auto"/>
            </w:tcBorders>
            <w:shd w:val="clear" w:color="auto" w:fill="auto"/>
            <w:noWrap/>
            <w:vAlign w:val="center"/>
            <w:hideMark/>
          </w:tcPr>
          <w:p w14:paraId="7227EC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5083214000</w:t>
            </w:r>
          </w:p>
        </w:tc>
        <w:tc>
          <w:tcPr>
            <w:tcW w:w="1036" w:type="dxa"/>
            <w:tcBorders>
              <w:top w:val="nil"/>
              <w:left w:val="nil"/>
              <w:bottom w:val="single" w:sz="4" w:space="0" w:color="auto"/>
              <w:right w:val="single" w:sz="4" w:space="0" w:color="auto"/>
            </w:tcBorders>
            <w:shd w:val="clear" w:color="auto" w:fill="auto"/>
            <w:noWrap/>
            <w:vAlign w:val="center"/>
            <w:hideMark/>
          </w:tcPr>
          <w:p w14:paraId="00B859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75535211</w:t>
            </w:r>
          </w:p>
        </w:tc>
        <w:tc>
          <w:tcPr>
            <w:tcW w:w="160" w:type="dxa"/>
            <w:tcBorders>
              <w:top w:val="nil"/>
              <w:left w:val="nil"/>
              <w:bottom w:val="single" w:sz="4" w:space="0" w:color="auto"/>
              <w:right w:val="nil"/>
            </w:tcBorders>
            <w:vAlign w:val="center"/>
          </w:tcPr>
          <w:p w14:paraId="3B6069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CB33E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MATIJE VALJAVCA PREDDVOR</w:t>
            </w:r>
          </w:p>
        </w:tc>
      </w:tr>
      <w:tr w:rsidR="00072A69" w:rsidRPr="00DC6DF9" w14:paraId="3B45E2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3AC8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1283</w:t>
            </w:r>
          </w:p>
        </w:tc>
        <w:tc>
          <w:tcPr>
            <w:tcW w:w="1036" w:type="dxa"/>
            <w:tcBorders>
              <w:top w:val="nil"/>
              <w:left w:val="nil"/>
              <w:bottom w:val="single" w:sz="4" w:space="0" w:color="auto"/>
              <w:right w:val="single" w:sz="4" w:space="0" w:color="auto"/>
            </w:tcBorders>
            <w:shd w:val="clear" w:color="auto" w:fill="auto"/>
            <w:noWrap/>
            <w:vAlign w:val="center"/>
            <w:hideMark/>
          </w:tcPr>
          <w:p w14:paraId="6831C2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5222575000</w:t>
            </w:r>
          </w:p>
        </w:tc>
        <w:tc>
          <w:tcPr>
            <w:tcW w:w="1036" w:type="dxa"/>
            <w:tcBorders>
              <w:top w:val="nil"/>
              <w:left w:val="nil"/>
              <w:bottom w:val="single" w:sz="4" w:space="0" w:color="auto"/>
              <w:right w:val="single" w:sz="4" w:space="0" w:color="auto"/>
            </w:tcBorders>
            <w:shd w:val="clear" w:color="auto" w:fill="auto"/>
            <w:noWrap/>
            <w:vAlign w:val="center"/>
            <w:hideMark/>
          </w:tcPr>
          <w:p w14:paraId="5800B6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26623404</w:t>
            </w:r>
          </w:p>
        </w:tc>
        <w:tc>
          <w:tcPr>
            <w:tcW w:w="160" w:type="dxa"/>
            <w:tcBorders>
              <w:top w:val="nil"/>
              <w:left w:val="nil"/>
              <w:bottom w:val="single" w:sz="4" w:space="0" w:color="auto"/>
              <w:right w:val="nil"/>
            </w:tcBorders>
            <w:vAlign w:val="center"/>
          </w:tcPr>
          <w:p w14:paraId="2E7540B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4077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MEDVODE</w:t>
            </w:r>
          </w:p>
        </w:tc>
      </w:tr>
      <w:tr w:rsidR="00072A69" w:rsidRPr="00DC6DF9" w14:paraId="255DCB5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0722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1284</w:t>
            </w:r>
          </w:p>
        </w:tc>
        <w:tc>
          <w:tcPr>
            <w:tcW w:w="1036" w:type="dxa"/>
            <w:tcBorders>
              <w:top w:val="nil"/>
              <w:left w:val="nil"/>
              <w:bottom w:val="single" w:sz="4" w:space="0" w:color="auto"/>
              <w:right w:val="single" w:sz="4" w:space="0" w:color="auto"/>
            </w:tcBorders>
            <w:shd w:val="clear" w:color="auto" w:fill="auto"/>
            <w:noWrap/>
            <w:vAlign w:val="center"/>
            <w:hideMark/>
          </w:tcPr>
          <w:p w14:paraId="43B9C4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5082820000</w:t>
            </w:r>
          </w:p>
        </w:tc>
        <w:tc>
          <w:tcPr>
            <w:tcW w:w="1036" w:type="dxa"/>
            <w:tcBorders>
              <w:top w:val="nil"/>
              <w:left w:val="nil"/>
              <w:bottom w:val="single" w:sz="4" w:space="0" w:color="auto"/>
              <w:right w:val="single" w:sz="4" w:space="0" w:color="auto"/>
            </w:tcBorders>
            <w:shd w:val="clear" w:color="auto" w:fill="auto"/>
            <w:noWrap/>
            <w:vAlign w:val="center"/>
            <w:hideMark/>
          </w:tcPr>
          <w:p w14:paraId="48AB6E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94625387</w:t>
            </w:r>
          </w:p>
        </w:tc>
        <w:tc>
          <w:tcPr>
            <w:tcW w:w="160" w:type="dxa"/>
            <w:tcBorders>
              <w:top w:val="nil"/>
              <w:left w:val="nil"/>
              <w:bottom w:val="single" w:sz="4" w:space="0" w:color="auto"/>
              <w:right w:val="nil"/>
            </w:tcBorders>
            <w:vAlign w:val="center"/>
          </w:tcPr>
          <w:p w14:paraId="73C66F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BF20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MENGEŠ</w:t>
            </w:r>
          </w:p>
        </w:tc>
      </w:tr>
      <w:tr w:rsidR="00072A69" w:rsidRPr="00DC6DF9" w14:paraId="4E6D5C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4E43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1285</w:t>
            </w:r>
          </w:p>
        </w:tc>
        <w:tc>
          <w:tcPr>
            <w:tcW w:w="1036" w:type="dxa"/>
            <w:tcBorders>
              <w:top w:val="nil"/>
              <w:left w:val="nil"/>
              <w:bottom w:val="single" w:sz="4" w:space="0" w:color="auto"/>
              <w:right w:val="single" w:sz="4" w:space="0" w:color="auto"/>
            </w:tcBorders>
            <w:shd w:val="clear" w:color="auto" w:fill="auto"/>
            <w:noWrap/>
            <w:vAlign w:val="center"/>
            <w:hideMark/>
          </w:tcPr>
          <w:p w14:paraId="476F85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5088925000</w:t>
            </w:r>
          </w:p>
        </w:tc>
        <w:tc>
          <w:tcPr>
            <w:tcW w:w="1036" w:type="dxa"/>
            <w:tcBorders>
              <w:top w:val="nil"/>
              <w:left w:val="nil"/>
              <w:bottom w:val="single" w:sz="4" w:space="0" w:color="auto"/>
              <w:right w:val="single" w:sz="4" w:space="0" w:color="auto"/>
            </w:tcBorders>
            <w:shd w:val="clear" w:color="auto" w:fill="auto"/>
            <w:noWrap/>
            <w:vAlign w:val="center"/>
            <w:hideMark/>
          </w:tcPr>
          <w:p w14:paraId="1C69B3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25802925</w:t>
            </w:r>
          </w:p>
        </w:tc>
        <w:tc>
          <w:tcPr>
            <w:tcW w:w="160" w:type="dxa"/>
            <w:tcBorders>
              <w:top w:val="nil"/>
              <w:left w:val="nil"/>
              <w:bottom w:val="single" w:sz="4" w:space="0" w:color="auto"/>
              <w:right w:val="nil"/>
            </w:tcBorders>
            <w:vAlign w:val="center"/>
          </w:tcPr>
          <w:p w14:paraId="1E1AA5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53D7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METLIKA</w:t>
            </w:r>
          </w:p>
        </w:tc>
      </w:tr>
      <w:tr w:rsidR="00072A69" w:rsidRPr="00DC6DF9" w14:paraId="185A16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8800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1286</w:t>
            </w:r>
          </w:p>
        </w:tc>
        <w:tc>
          <w:tcPr>
            <w:tcW w:w="1036" w:type="dxa"/>
            <w:tcBorders>
              <w:top w:val="nil"/>
              <w:left w:val="nil"/>
              <w:bottom w:val="single" w:sz="4" w:space="0" w:color="auto"/>
              <w:right w:val="single" w:sz="4" w:space="0" w:color="auto"/>
            </w:tcBorders>
            <w:shd w:val="clear" w:color="auto" w:fill="auto"/>
            <w:noWrap/>
            <w:vAlign w:val="center"/>
            <w:hideMark/>
          </w:tcPr>
          <w:p w14:paraId="0094AB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5087376000</w:t>
            </w:r>
          </w:p>
        </w:tc>
        <w:tc>
          <w:tcPr>
            <w:tcW w:w="1036" w:type="dxa"/>
            <w:tcBorders>
              <w:top w:val="nil"/>
              <w:left w:val="nil"/>
              <w:bottom w:val="single" w:sz="4" w:space="0" w:color="auto"/>
              <w:right w:val="single" w:sz="4" w:space="0" w:color="auto"/>
            </w:tcBorders>
            <w:shd w:val="clear" w:color="auto" w:fill="auto"/>
            <w:noWrap/>
            <w:vAlign w:val="center"/>
            <w:hideMark/>
          </w:tcPr>
          <w:p w14:paraId="6284D3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93869126</w:t>
            </w:r>
          </w:p>
        </w:tc>
        <w:tc>
          <w:tcPr>
            <w:tcW w:w="160" w:type="dxa"/>
            <w:tcBorders>
              <w:top w:val="nil"/>
              <w:left w:val="nil"/>
              <w:bottom w:val="single" w:sz="4" w:space="0" w:color="auto"/>
              <w:right w:val="nil"/>
            </w:tcBorders>
            <w:vAlign w:val="center"/>
          </w:tcPr>
          <w:p w14:paraId="1CADDD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116B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MEŽICA</w:t>
            </w:r>
          </w:p>
        </w:tc>
      </w:tr>
      <w:tr w:rsidR="00072A69" w:rsidRPr="00DC6DF9" w14:paraId="48AE6E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0D4E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1287</w:t>
            </w:r>
          </w:p>
        </w:tc>
        <w:tc>
          <w:tcPr>
            <w:tcW w:w="1036" w:type="dxa"/>
            <w:tcBorders>
              <w:top w:val="nil"/>
              <w:left w:val="nil"/>
              <w:bottom w:val="single" w:sz="4" w:space="0" w:color="auto"/>
              <w:right w:val="single" w:sz="4" w:space="0" w:color="auto"/>
            </w:tcBorders>
            <w:shd w:val="clear" w:color="auto" w:fill="auto"/>
            <w:noWrap/>
            <w:vAlign w:val="center"/>
            <w:hideMark/>
          </w:tcPr>
          <w:p w14:paraId="407E4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5088216000</w:t>
            </w:r>
          </w:p>
        </w:tc>
        <w:tc>
          <w:tcPr>
            <w:tcW w:w="1036" w:type="dxa"/>
            <w:tcBorders>
              <w:top w:val="nil"/>
              <w:left w:val="nil"/>
              <w:bottom w:val="single" w:sz="4" w:space="0" w:color="auto"/>
              <w:right w:val="single" w:sz="4" w:space="0" w:color="auto"/>
            </w:tcBorders>
            <w:shd w:val="clear" w:color="auto" w:fill="auto"/>
            <w:noWrap/>
            <w:vAlign w:val="center"/>
            <w:hideMark/>
          </w:tcPr>
          <w:p w14:paraId="4720A9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39145522</w:t>
            </w:r>
          </w:p>
        </w:tc>
        <w:tc>
          <w:tcPr>
            <w:tcW w:w="160" w:type="dxa"/>
            <w:tcBorders>
              <w:top w:val="nil"/>
              <w:left w:val="nil"/>
              <w:bottom w:val="single" w:sz="4" w:space="0" w:color="auto"/>
              <w:right w:val="nil"/>
            </w:tcBorders>
            <w:vAlign w:val="center"/>
          </w:tcPr>
          <w:p w14:paraId="4B2024A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2BC1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MIHE PINTARJA TOLEDA, VELENJE</w:t>
            </w:r>
          </w:p>
        </w:tc>
      </w:tr>
      <w:tr w:rsidR="00072A69" w:rsidRPr="00DC6DF9" w14:paraId="3B82249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E29F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1288</w:t>
            </w:r>
          </w:p>
        </w:tc>
        <w:tc>
          <w:tcPr>
            <w:tcW w:w="1036" w:type="dxa"/>
            <w:tcBorders>
              <w:top w:val="nil"/>
              <w:left w:val="nil"/>
              <w:bottom w:val="single" w:sz="4" w:space="0" w:color="auto"/>
              <w:right w:val="single" w:sz="4" w:space="0" w:color="auto"/>
            </w:tcBorders>
            <w:shd w:val="clear" w:color="auto" w:fill="auto"/>
            <w:noWrap/>
            <w:vAlign w:val="center"/>
            <w:hideMark/>
          </w:tcPr>
          <w:p w14:paraId="1F150D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5085276000</w:t>
            </w:r>
          </w:p>
        </w:tc>
        <w:tc>
          <w:tcPr>
            <w:tcW w:w="1036" w:type="dxa"/>
            <w:tcBorders>
              <w:top w:val="nil"/>
              <w:left w:val="nil"/>
              <w:bottom w:val="single" w:sz="4" w:space="0" w:color="auto"/>
              <w:right w:val="single" w:sz="4" w:space="0" w:color="auto"/>
            </w:tcBorders>
            <w:shd w:val="clear" w:color="auto" w:fill="auto"/>
            <w:noWrap/>
            <w:vAlign w:val="center"/>
            <w:hideMark/>
          </w:tcPr>
          <w:p w14:paraId="05A4D3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70073627</w:t>
            </w:r>
          </w:p>
        </w:tc>
        <w:tc>
          <w:tcPr>
            <w:tcW w:w="160" w:type="dxa"/>
            <w:tcBorders>
              <w:top w:val="nil"/>
              <w:left w:val="nil"/>
              <w:bottom w:val="single" w:sz="4" w:space="0" w:color="auto"/>
              <w:right w:val="nil"/>
            </w:tcBorders>
            <w:vAlign w:val="center"/>
          </w:tcPr>
          <w:p w14:paraId="1F5D1C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12EF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MIKLAVŽ NA DRAVSKEM POLJU</w:t>
            </w:r>
          </w:p>
        </w:tc>
      </w:tr>
      <w:tr w:rsidR="00072A69" w:rsidRPr="00DC6DF9" w14:paraId="1D9E7C9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C316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1289</w:t>
            </w:r>
          </w:p>
        </w:tc>
        <w:tc>
          <w:tcPr>
            <w:tcW w:w="1036" w:type="dxa"/>
            <w:tcBorders>
              <w:top w:val="nil"/>
              <w:left w:val="nil"/>
              <w:bottom w:val="single" w:sz="4" w:space="0" w:color="auto"/>
              <w:right w:val="single" w:sz="4" w:space="0" w:color="auto"/>
            </w:tcBorders>
            <w:shd w:val="clear" w:color="auto" w:fill="auto"/>
            <w:noWrap/>
            <w:vAlign w:val="center"/>
            <w:hideMark/>
          </w:tcPr>
          <w:p w14:paraId="795009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5089158000</w:t>
            </w:r>
          </w:p>
        </w:tc>
        <w:tc>
          <w:tcPr>
            <w:tcW w:w="1036" w:type="dxa"/>
            <w:tcBorders>
              <w:top w:val="nil"/>
              <w:left w:val="nil"/>
              <w:bottom w:val="single" w:sz="4" w:space="0" w:color="auto"/>
              <w:right w:val="single" w:sz="4" w:space="0" w:color="auto"/>
            </w:tcBorders>
            <w:shd w:val="clear" w:color="auto" w:fill="auto"/>
            <w:noWrap/>
            <w:vAlign w:val="center"/>
            <w:hideMark/>
          </w:tcPr>
          <w:p w14:paraId="0E8393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29832063</w:t>
            </w:r>
          </w:p>
        </w:tc>
        <w:tc>
          <w:tcPr>
            <w:tcW w:w="160" w:type="dxa"/>
            <w:tcBorders>
              <w:top w:val="nil"/>
              <w:left w:val="nil"/>
              <w:bottom w:val="single" w:sz="4" w:space="0" w:color="auto"/>
              <w:right w:val="nil"/>
            </w:tcBorders>
            <w:vAlign w:val="center"/>
          </w:tcPr>
          <w:p w14:paraId="68D055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72C9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MIKLAVŽ PRI ORMOŽU</w:t>
            </w:r>
          </w:p>
        </w:tc>
      </w:tr>
      <w:tr w:rsidR="00072A69" w:rsidRPr="00DC6DF9" w14:paraId="26EC9D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1E10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1290</w:t>
            </w:r>
          </w:p>
        </w:tc>
        <w:tc>
          <w:tcPr>
            <w:tcW w:w="1036" w:type="dxa"/>
            <w:tcBorders>
              <w:top w:val="nil"/>
              <w:left w:val="nil"/>
              <w:bottom w:val="single" w:sz="4" w:space="0" w:color="auto"/>
              <w:right w:val="single" w:sz="4" w:space="0" w:color="auto"/>
            </w:tcBorders>
            <w:shd w:val="clear" w:color="auto" w:fill="auto"/>
            <w:noWrap/>
            <w:vAlign w:val="center"/>
            <w:hideMark/>
          </w:tcPr>
          <w:p w14:paraId="7072D8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5089328000</w:t>
            </w:r>
          </w:p>
        </w:tc>
        <w:tc>
          <w:tcPr>
            <w:tcW w:w="1036" w:type="dxa"/>
            <w:tcBorders>
              <w:top w:val="nil"/>
              <w:left w:val="nil"/>
              <w:bottom w:val="single" w:sz="4" w:space="0" w:color="auto"/>
              <w:right w:val="single" w:sz="4" w:space="0" w:color="auto"/>
            </w:tcBorders>
            <w:shd w:val="clear" w:color="auto" w:fill="auto"/>
            <w:noWrap/>
            <w:vAlign w:val="center"/>
            <w:hideMark/>
          </w:tcPr>
          <w:p w14:paraId="00D63E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68625260</w:t>
            </w:r>
          </w:p>
        </w:tc>
        <w:tc>
          <w:tcPr>
            <w:tcW w:w="160" w:type="dxa"/>
            <w:tcBorders>
              <w:top w:val="nil"/>
              <w:left w:val="nil"/>
              <w:bottom w:val="single" w:sz="4" w:space="0" w:color="auto"/>
              <w:right w:val="nil"/>
            </w:tcBorders>
            <w:vAlign w:val="center"/>
          </w:tcPr>
          <w:p w14:paraId="36357DD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2A9D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MILANA MAJCNA ŠENTJANŽ</w:t>
            </w:r>
          </w:p>
        </w:tc>
      </w:tr>
      <w:tr w:rsidR="00072A69" w:rsidRPr="00DC6DF9" w14:paraId="3E7A63A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5F08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1291</w:t>
            </w:r>
          </w:p>
        </w:tc>
        <w:tc>
          <w:tcPr>
            <w:tcW w:w="1036" w:type="dxa"/>
            <w:tcBorders>
              <w:top w:val="nil"/>
              <w:left w:val="nil"/>
              <w:bottom w:val="single" w:sz="4" w:space="0" w:color="auto"/>
              <w:right w:val="single" w:sz="4" w:space="0" w:color="auto"/>
            </w:tcBorders>
            <w:shd w:val="clear" w:color="auto" w:fill="auto"/>
            <w:noWrap/>
            <w:vAlign w:val="center"/>
            <w:hideMark/>
          </w:tcPr>
          <w:p w14:paraId="7EE83E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5204291000</w:t>
            </w:r>
          </w:p>
        </w:tc>
        <w:tc>
          <w:tcPr>
            <w:tcW w:w="1036" w:type="dxa"/>
            <w:tcBorders>
              <w:top w:val="nil"/>
              <w:left w:val="nil"/>
              <w:bottom w:val="single" w:sz="4" w:space="0" w:color="auto"/>
              <w:right w:val="single" w:sz="4" w:space="0" w:color="auto"/>
            </w:tcBorders>
            <w:shd w:val="clear" w:color="auto" w:fill="auto"/>
            <w:noWrap/>
            <w:vAlign w:val="center"/>
            <w:hideMark/>
          </w:tcPr>
          <w:p w14:paraId="2EA453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11555050</w:t>
            </w:r>
          </w:p>
        </w:tc>
        <w:tc>
          <w:tcPr>
            <w:tcW w:w="160" w:type="dxa"/>
            <w:tcBorders>
              <w:top w:val="nil"/>
              <w:left w:val="nil"/>
              <w:bottom w:val="single" w:sz="4" w:space="0" w:color="auto"/>
              <w:right w:val="nil"/>
            </w:tcBorders>
            <w:vAlign w:val="center"/>
          </w:tcPr>
          <w:p w14:paraId="712900A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0B1D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MILANA ŠUŠTARŠIČA</w:t>
            </w:r>
          </w:p>
        </w:tc>
      </w:tr>
      <w:tr w:rsidR="00072A69" w:rsidRPr="00DC6DF9" w14:paraId="0A7A0A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4DA9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1292</w:t>
            </w:r>
          </w:p>
        </w:tc>
        <w:tc>
          <w:tcPr>
            <w:tcW w:w="1036" w:type="dxa"/>
            <w:tcBorders>
              <w:top w:val="nil"/>
              <w:left w:val="nil"/>
              <w:bottom w:val="single" w:sz="4" w:space="0" w:color="auto"/>
              <w:right w:val="single" w:sz="4" w:space="0" w:color="auto"/>
            </w:tcBorders>
            <w:shd w:val="clear" w:color="auto" w:fill="auto"/>
            <w:noWrap/>
            <w:vAlign w:val="center"/>
            <w:hideMark/>
          </w:tcPr>
          <w:p w14:paraId="566F57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5083729000</w:t>
            </w:r>
          </w:p>
        </w:tc>
        <w:tc>
          <w:tcPr>
            <w:tcW w:w="1036" w:type="dxa"/>
            <w:tcBorders>
              <w:top w:val="nil"/>
              <w:left w:val="nil"/>
              <w:bottom w:val="single" w:sz="4" w:space="0" w:color="auto"/>
              <w:right w:val="single" w:sz="4" w:space="0" w:color="auto"/>
            </w:tcBorders>
            <w:shd w:val="clear" w:color="auto" w:fill="auto"/>
            <w:noWrap/>
            <w:vAlign w:val="center"/>
            <w:hideMark/>
          </w:tcPr>
          <w:p w14:paraId="08702D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15995615</w:t>
            </w:r>
          </w:p>
        </w:tc>
        <w:tc>
          <w:tcPr>
            <w:tcW w:w="160" w:type="dxa"/>
            <w:tcBorders>
              <w:top w:val="nil"/>
              <w:left w:val="nil"/>
              <w:bottom w:val="single" w:sz="4" w:space="0" w:color="auto"/>
              <w:right w:val="nil"/>
            </w:tcBorders>
            <w:vAlign w:val="center"/>
          </w:tcPr>
          <w:p w14:paraId="527CD4B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F942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MILKE ŠOBAR-NATAŠE ČRNOMELJ</w:t>
            </w:r>
          </w:p>
        </w:tc>
      </w:tr>
      <w:tr w:rsidR="00072A69" w:rsidRPr="00DC6DF9" w14:paraId="35F454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016C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1293</w:t>
            </w:r>
          </w:p>
        </w:tc>
        <w:tc>
          <w:tcPr>
            <w:tcW w:w="1036" w:type="dxa"/>
            <w:tcBorders>
              <w:top w:val="nil"/>
              <w:left w:val="nil"/>
              <w:bottom w:val="single" w:sz="4" w:space="0" w:color="auto"/>
              <w:right w:val="single" w:sz="4" w:space="0" w:color="auto"/>
            </w:tcBorders>
            <w:shd w:val="clear" w:color="auto" w:fill="auto"/>
            <w:noWrap/>
            <w:vAlign w:val="center"/>
            <w:hideMark/>
          </w:tcPr>
          <w:p w14:paraId="5CB12A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5089352000</w:t>
            </w:r>
          </w:p>
        </w:tc>
        <w:tc>
          <w:tcPr>
            <w:tcW w:w="1036" w:type="dxa"/>
            <w:tcBorders>
              <w:top w:val="nil"/>
              <w:left w:val="nil"/>
              <w:bottom w:val="single" w:sz="4" w:space="0" w:color="auto"/>
              <w:right w:val="single" w:sz="4" w:space="0" w:color="auto"/>
            </w:tcBorders>
            <w:shd w:val="clear" w:color="auto" w:fill="auto"/>
            <w:noWrap/>
            <w:vAlign w:val="center"/>
            <w:hideMark/>
          </w:tcPr>
          <w:p w14:paraId="13A97B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96298197</w:t>
            </w:r>
          </w:p>
        </w:tc>
        <w:tc>
          <w:tcPr>
            <w:tcW w:w="160" w:type="dxa"/>
            <w:tcBorders>
              <w:top w:val="nil"/>
              <w:left w:val="nil"/>
              <w:bottom w:val="single" w:sz="4" w:space="0" w:color="auto"/>
              <w:right w:val="nil"/>
            </w:tcBorders>
            <w:vAlign w:val="center"/>
          </w:tcPr>
          <w:p w14:paraId="67EACC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B9DA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MILOJKE ŠTRUKELJ NOVA GORICA</w:t>
            </w:r>
          </w:p>
        </w:tc>
      </w:tr>
      <w:tr w:rsidR="00072A69" w:rsidRPr="00DC6DF9" w14:paraId="7865EF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4C57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1294</w:t>
            </w:r>
          </w:p>
        </w:tc>
        <w:tc>
          <w:tcPr>
            <w:tcW w:w="1036" w:type="dxa"/>
            <w:tcBorders>
              <w:top w:val="nil"/>
              <w:left w:val="nil"/>
              <w:bottom w:val="single" w:sz="4" w:space="0" w:color="auto"/>
              <w:right w:val="single" w:sz="4" w:space="0" w:color="auto"/>
            </w:tcBorders>
            <w:shd w:val="clear" w:color="auto" w:fill="auto"/>
            <w:noWrap/>
            <w:vAlign w:val="center"/>
            <w:hideMark/>
          </w:tcPr>
          <w:p w14:paraId="00B33D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5087694000</w:t>
            </w:r>
          </w:p>
        </w:tc>
        <w:tc>
          <w:tcPr>
            <w:tcW w:w="1036" w:type="dxa"/>
            <w:tcBorders>
              <w:top w:val="nil"/>
              <w:left w:val="nil"/>
              <w:bottom w:val="single" w:sz="4" w:space="0" w:color="auto"/>
              <w:right w:val="single" w:sz="4" w:space="0" w:color="auto"/>
            </w:tcBorders>
            <w:shd w:val="clear" w:color="auto" w:fill="auto"/>
            <w:noWrap/>
            <w:vAlign w:val="center"/>
            <w:hideMark/>
          </w:tcPr>
          <w:p w14:paraId="774273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86171275</w:t>
            </w:r>
          </w:p>
        </w:tc>
        <w:tc>
          <w:tcPr>
            <w:tcW w:w="160" w:type="dxa"/>
            <w:tcBorders>
              <w:top w:val="nil"/>
              <w:left w:val="nil"/>
              <w:bottom w:val="single" w:sz="4" w:space="0" w:color="auto"/>
              <w:right w:val="nil"/>
            </w:tcBorders>
            <w:vAlign w:val="center"/>
          </w:tcPr>
          <w:p w14:paraId="4B683DF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1D69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MINKE NAMESTNIK-SONJE SLOVENSKA BISTRICA</w:t>
            </w:r>
          </w:p>
        </w:tc>
      </w:tr>
      <w:tr w:rsidR="00072A69" w:rsidRPr="00DC6DF9" w14:paraId="42D563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AC84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1295</w:t>
            </w:r>
          </w:p>
        </w:tc>
        <w:tc>
          <w:tcPr>
            <w:tcW w:w="1036" w:type="dxa"/>
            <w:tcBorders>
              <w:top w:val="nil"/>
              <w:left w:val="nil"/>
              <w:bottom w:val="single" w:sz="4" w:space="0" w:color="auto"/>
              <w:right w:val="single" w:sz="4" w:space="0" w:color="auto"/>
            </w:tcBorders>
            <w:shd w:val="clear" w:color="auto" w:fill="auto"/>
            <w:noWrap/>
            <w:vAlign w:val="center"/>
            <w:hideMark/>
          </w:tcPr>
          <w:p w14:paraId="6A7083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5084105000</w:t>
            </w:r>
          </w:p>
        </w:tc>
        <w:tc>
          <w:tcPr>
            <w:tcW w:w="1036" w:type="dxa"/>
            <w:tcBorders>
              <w:top w:val="nil"/>
              <w:left w:val="nil"/>
              <w:bottom w:val="single" w:sz="4" w:space="0" w:color="auto"/>
              <w:right w:val="single" w:sz="4" w:space="0" w:color="auto"/>
            </w:tcBorders>
            <w:shd w:val="clear" w:color="auto" w:fill="auto"/>
            <w:noWrap/>
            <w:vAlign w:val="center"/>
            <w:hideMark/>
          </w:tcPr>
          <w:p w14:paraId="7968C8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32234945</w:t>
            </w:r>
          </w:p>
        </w:tc>
        <w:tc>
          <w:tcPr>
            <w:tcW w:w="160" w:type="dxa"/>
            <w:tcBorders>
              <w:top w:val="nil"/>
              <w:left w:val="nil"/>
              <w:bottom w:val="single" w:sz="4" w:space="0" w:color="auto"/>
              <w:right w:val="nil"/>
            </w:tcBorders>
            <w:vAlign w:val="center"/>
          </w:tcPr>
          <w:p w14:paraId="43D560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E171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MIRANA JARCA</w:t>
            </w:r>
          </w:p>
        </w:tc>
      </w:tr>
      <w:tr w:rsidR="00072A69" w:rsidRPr="00DC6DF9" w14:paraId="104CC2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5E0C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1296</w:t>
            </w:r>
          </w:p>
        </w:tc>
        <w:tc>
          <w:tcPr>
            <w:tcW w:w="1036" w:type="dxa"/>
            <w:tcBorders>
              <w:top w:val="nil"/>
              <w:left w:val="nil"/>
              <w:bottom w:val="single" w:sz="4" w:space="0" w:color="auto"/>
              <w:right w:val="single" w:sz="4" w:space="0" w:color="auto"/>
            </w:tcBorders>
            <w:shd w:val="clear" w:color="auto" w:fill="auto"/>
            <w:noWrap/>
            <w:vAlign w:val="center"/>
            <w:hideMark/>
          </w:tcPr>
          <w:p w14:paraId="2612D2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5082765000</w:t>
            </w:r>
          </w:p>
        </w:tc>
        <w:tc>
          <w:tcPr>
            <w:tcW w:w="1036" w:type="dxa"/>
            <w:tcBorders>
              <w:top w:val="nil"/>
              <w:left w:val="nil"/>
              <w:bottom w:val="single" w:sz="4" w:space="0" w:color="auto"/>
              <w:right w:val="single" w:sz="4" w:space="0" w:color="auto"/>
            </w:tcBorders>
            <w:shd w:val="clear" w:color="auto" w:fill="auto"/>
            <w:noWrap/>
            <w:vAlign w:val="center"/>
            <w:hideMark/>
          </w:tcPr>
          <w:p w14:paraId="3B2491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38693313</w:t>
            </w:r>
          </w:p>
        </w:tc>
        <w:tc>
          <w:tcPr>
            <w:tcW w:w="160" w:type="dxa"/>
            <w:tcBorders>
              <w:top w:val="nil"/>
              <w:left w:val="nil"/>
              <w:bottom w:val="single" w:sz="4" w:space="0" w:color="auto"/>
              <w:right w:val="nil"/>
            </w:tcBorders>
            <w:vAlign w:val="center"/>
          </w:tcPr>
          <w:p w14:paraId="04DD05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2303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MIRANA JARCA ČRNOMELJ</w:t>
            </w:r>
          </w:p>
        </w:tc>
      </w:tr>
      <w:tr w:rsidR="00072A69" w:rsidRPr="00DC6DF9" w14:paraId="742177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BCF30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1297</w:t>
            </w:r>
          </w:p>
        </w:tc>
        <w:tc>
          <w:tcPr>
            <w:tcW w:w="1036" w:type="dxa"/>
            <w:tcBorders>
              <w:top w:val="nil"/>
              <w:left w:val="nil"/>
              <w:bottom w:val="single" w:sz="4" w:space="0" w:color="auto"/>
              <w:right w:val="single" w:sz="4" w:space="0" w:color="auto"/>
            </w:tcBorders>
            <w:shd w:val="clear" w:color="auto" w:fill="auto"/>
            <w:noWrap/>
            <w:vAlign w:val="center"/>
            <w:hideMark/>
          </w:tcPr>
          <w:p w14:paraId="0694A7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5085829000</w:t>
            </w:r>
          </w:p>
        </w:tc>
        <w:tc>
          <w:tcPr>
            <w:tcW w:w="1036" w:type="dxa"/>
            <w:tcBorders>
              <w:top w:val="nil"/>
              <w:left w:val="nil"/>
              <w:bottom w:val="single" w:sz="4" w:space="0" w:color="auto"/>
              <w:right w:val="single" w:sz="4" w:space="0" w:color="auto"/>
            </w:tcBorders>
            <w:shd w:val="clear" w:color="auto" w:fill="auto"/>
            <w:noWrap/>
            <w:vAlign w:val="center"/>
            <w:hideMark/>
          </w:tcPr>
          <w:p w14:paraId="0FFBE3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57887411</w:t>
            </w:r>
          </w:p>
        </w:tc>
        <w:tc>
          <w:tcPr>
            <w:tcW w:w="160" w:type="dxa"/>
            <w:tcBorders>
              <w:top w:val="nil"/>
              <w:left w:val="nil"/>
              <w:bottom w:val="single" w:sz="4" w:space="0" w:color="auto"/>
              <w:right w:val="nil"/>
            </w:tcBorders>
            <w:vAlign w:val="center"/>
          </w:tcPr>
          <w:p w14:paraId="4D50B7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A5EA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MIREN</w:t>
            </w:r>
          </w:p>
        </w:tc>
      </w:tr>
      <w:tr w:rsidR="00072A69" w:rsidRPr="00DC6DF9" w14:paraId="0996238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F45A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1298</w:t>
            </w:r>
          </w:p>
        </w:tc>
        <w:tc>
          <w:tcPr>
            <w:tcW w:w="1036" w:type="dxa"/>
            <w:tcBorders>
              <w:top w:val="nil"/>
              <w:left w:val="nil"/>
              <w:bottom w:val="single" w:sz="4" w:space="0" w:color="auto"/>
              <w:right w:val="single" w:sz="4" w:space="0" w:color="auto"/>
            </w:tcBorders>
            <w:shd w:val="clear" w:color="auto" w:fill="auto"/>
            <w:noWrap/>
            <w:vAlign w:val="center"/>
            <w:hideMark/>
          </w:tcPr>
          <w:p w14:paraId="334596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5090083000</w:t>
            </w:r>
          </w:p>
        </w:tc>
        <w:tc>
          <w:tcPr>
            <w:tcW w:w="1036" w:type="dxa"/>
            <w:tcBorders>
              <w:top w:val="nil"/>
              <w:left w:val="nil"/>
              <w:bottom w:val="single" w:sz="4" w:space="0" w:color="auto"/>
              <w:right w:val="single" w:sz="4" w:space="0" w:color="auto"/>
            </w:tcBorders>
            <w:shd w:val="clear" w:color="auto" w:fill="auto"/>
            <w:noWrap/>
            <w:vAlign w:val="center"/>
            <w:hideMark/>
          </w:tcPr>
          <w:p w14:paraId="0FA989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49417398</w:t>
            </w:r>
          </w:p>
        </w:tc>
        <w:tc>
          <w:tcPr>
            <w:tcW w:w="160" w:type="dxa"/>
            <w:tcBorders>
              <w:top w:val="nil"/>
              <w:left w:val="nil"/>
              <w:bottom w:val="single" w:sz="4" w:space="0" w:color="auto"/>
              <w:right w:val="nil"/>
            </w:tcBorders>
            <w:vAlign w:val="center"/>
          </w:tcPr>
          <w:p w14:paraId="761E16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5BBE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MIRNA</w:t>
            </w:r>
          </w:p>
        </w:tc>
      </w:tr>
      <w:tr w:rsidR="00072A69" w:rsidRPr="00DC6DF9" w14:paraId="767F72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DDDE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1299</w:t>
            </w:r>
          </w:p>
        </w:tc>
        <w:tc>
          <w:tcPr>
            <w:tcW w:w="1036" w:type="dxa"/>
            <w:tcBorders>
              <w:top w:val="nil"/>
              <w:left w:val="nil"/>
              <w:bottom w:val="single" w:sz="4" w:space="0" w:color="auto"/>
              <w:right w:val="single" w:sz="4" w:space="0" w:color="auto"/>
            </w:tcBorders>
            <w:shd w:val="clear" w:color="auto" w:fill="auto"/>
            <w:noWrap/>
            <w:vAlign w:val="center"/>
            <w:hideMark/>
          </w:tcPr>
          <w:p w14:paraId="5DA0CF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5496837000</w:t>
            </w:r>
          </w:p>
        </w:tc>
        <w:tc>
          <w:tcPr>
            <w:tcW w:w="1036" w:type="dxa"/>
            <w:tcBorders>
              <w:top w:val="nil"/>
              <w:left w:val="nil"/>
              <w:bottom w:val="single" w:sz="4" w:space="0" w:color="auto"/>
              <w:right w:val="single" w:sz="4" w:space="0" w:color="auto"/>
            </w:tcBorders>
            <w:shd w:val="clear" w:color="auto" w:fill="auto"/>
            <w:noWrap/>
            <w:vAlign w:val="center"/>
            <w:hideMark/>
          </w:tcPr>
          <w:p w14:paraId="7D3A68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92694969</w:t>
            </w:r>
          </w:p>
        </w:tc>
        <w:tc>
          <w:tcPr>
            <w:tcW w:w="160" w:type="dxa"/>
            <w:tcBorders>
              <w:top w:val="nil"/>
              <w:left w:val="nil"/>
              <w:bottom w:val="single" w:sz="4" w:space="0" w:color="auto"/>
              <w:right w:val="nil"/>
            </w:tcBorders>
            <w:vAlign w:val="center"/>
          </w:tcPr>
          <w:p w14:paraId="44CD38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FCF6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MIROSLAVA VILHARJA POSTOJNA</w:t>
            </w:r>
          </w:p>
        </w:tc>
      </w:tr>
      <w:tr w:rsidR="00072A69" w:rsidRPr="00DC6DF9" w14:paraId="4CE049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54B7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1300</w:t>
            </w:r>
          </w:p>
        </w:tc>
        <w:tc>
          <w:tcPr>
            <w:tcW w:w="1036" w:type="dxa"/>
            <w:tcBorders>
              <w:top w:val="nil"/>
              <w:left w:val="nil"/>
              <w:bottom w:val="single" w:sz="4" w:space="0" w:color="auto"/>
              <w:right w:val="single" w:sz="4" w:space="0" w:color="auto"/>
            </w:tcBorders>
            <w:shd w:val="clear" w:color="auto" w:fill="auto"/>
            <w:noWrap/>
            <w:vAlign w:val="center"/>
            <w:hideMark/>
          </w:tcPr>
          <w:p w14:paraId="56FD76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5087589000</w:t>
            </w:r>
          </w:p>
        </w:tc>
        <w:tc>
          <w:tcPr>
            <w:tcW w:w="1036" w:type="dxa"/>
            <w:tcBorders>
              <w:top w:val="nil"/>
              <w:left w:val="nil"/>
              <w:bottom w:val="single" w:sz="4" w:space="0" w:color="auto"/>
              <w:right w:val="single" w:sz="4" w:space="0" w:color="auto"/>
            </w:tcBorders>
            <w:shd w:val="clear" w:color="auto" w:fill="auto"/>
            <w:noWrap/>
            <w:vAlign w:val="center"/>
            <w:hideMark/>
          </w:tcPr>
          <w:p w14:paraId="54AE94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53705181</w:t>
            </w:r>
          </w:p>
        </w:tc>
        <w:tc>
          <w:tcPr>
            <w:tcW w:w="160" w:type="dxa"/>
            <w:tcBorders>
              <w:top w:val="nil"/>
              <w:left w:val="nil"/>
              <w:bottom w:val="single" w:sz="4" w:space="0" w:color="auto"/>
              <w:right w:val="nil"/>
            </w:tcBorders>
            <w:vAlign w:val="center"/>
          </w:tcPr>
          <w:p w14:paraId="48745F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9096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MISLINJA</w:t>
            </w:r>
          </w:p>
        </w:tc>
      </w:tr>
      <w:tr w:rsidR="00072A69" w:rsidRPr="00DC6DF9" w14:paraId="5E303C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7BF4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1301</w:t>
            </w:r>
          </w:p>
        </w:tc>
        <w:tc>
          <w:tcPr>
            <w:tcW w:w="1036" w:type="dxa"/>
            <w:tcBorders>
              <w:top w:val="nil"/>
              <w:left w:val="nil"/>
              <w:bottom w:val="single" w:sz="4" w:space="0" w:color="auto"/>
              <w:right w:val="single" w:sz="4" w:space="0" w:color="auto"/>
            </w:tcBorders>
            <w:shd w:val="clear" w:color="auto" w:fill="auto"/>
            <w:noWrap/>
            <w:vAlign w:val="center"/>
            <w:hideMark/>
          </w:tcPr>
          <w:p w14:paraId="5558C6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5255279000</w:t>
            </w:r>
          </w:p>
        </w:tc>
        <w:tc>
          <w:tcPr>
            <w:tcW w:w="1036" w:type="dxa"/>
            <w:tcBorders>
              <w:top w:val="nil"/>
              <w:left w:val="nil"/>
              <w:bottom w:val="single" w:sz="4" w:space="0" w:color="auto"/>
              <w:right w:val="single" w:sz="4" w:space="0" w:color="auto"/>
            </w:tcBorders>
            <w:shd w:val="clear" w:color="auto" w:fill="auto"/>
            <w:noWrap/>
            <w:vAlign w:val="center"/>
            <w:hideMark/>
          </w:tcPr>
          <w:p w14:paraId="49B5BF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47126027</w:t>
            </w:r>
          </w:p>
        </w:tc>
        <w:tc>
          <w:tcPr>
            <w:tcW w:w="160" w:type="dxa"/>
            <w:tcBorders>
              <w:top w:val="nil"/>
              <w:left w:val="nil"/>
              <w:bottom w:val="single" w:sz="4" w:space="0" w:color="auto"/>
              <w:right w:val="nil"/>
            </w:tcBorders>
            <w:vAlign w:val="center"/>
          </w:tcPr>
          <w:p w14:paraId="5C89E17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9BA5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MIŠKA KRANJCA</w:t>
            </w:r>
          </w:p>
        </w:tc>
      </w:tr>
      <w:tr w:rsidR="00072A69" w:rsidRPr="00DC6DF9" w14:paraId="356C5AF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97C6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1302</w:t>
            </w:r>
          </w:p>
        </w:tc>
        <w:tc>
          <w:tcPr>
            <w:tcW w:w="1036" w:type="dxa"/>
            <w:tcBorders>
              <w:top w:val="nil"/>
              <w:left w:val="nil"/>
              <w:bottom w:val="single" w:sz="4" w:space="0" w:color="auto"/>
              <w:right w:val="single" w:sz="4" w:space="0" w:color="auto"/>
            </w:tcBorders>
            <w:shd w:val="clear" w:color="auto" w:fill="auto"/>
            <w:noWrap/>
            <w:vAlign w:val="center"/>
            <w:hideMark/>
          </w:tcPr>
          <w:p w14:paraId="08B753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5089760000</w:t>
            </w:r>
          </w:p>
        </w:tc>
        <w:tc>
          <w:tcPr>
            <w:tcW w:w="1036" w:type="dxa"/>
            <w:tcBorders>
              <w:top w:val="nil"/>
              <w:left w:val="nil"/>
              <w:bottom w:val="single" w:sz="4" w:space="0" w:color="auto"/>
              <w:right w:val="single" w:sz="4" w:space="0" w:color="auto"/>
            </w:tcBorders>
            <w:shd w:val="clear" w:color="auto" w:fill="auto"/>
            <w:noWrap/>
            <w:vAlign w:val="center"/>
            <w:hideMark/>
          </w:tcPr>
          <w:p w14:paraId="7C19BA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29619904</w:t>
            </w:r>
          </w:p>
        </w:tc>
        <w:tc>
          <w:tcPr>
            <w:tcW w:w="160" w:type="dxa"/>
            <w:tcBorders>
              <w:top w:val="nil"/>
              <w:left w:val="nil"/>
              <w:bottom w:val="single" w:sz="4" w:space="0" w:color="auto"/>
              <w:right w:val="nil"/>
            </w:tcBorders>
            <w:vAlign w:val="center"/>
          </w:tcPr>
          <w:p w14:paraId="020A14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C4D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MIŠKA KRANJCA VELIKA POLANA</w:t>
            </w:r>
          </w:p>
        </w:tc>
      </w:tr>
      <w:tr w:rsidR="00072A69" w:rsidRPr="00DC6DF9" w14:paraId="452723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EA24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1303</w:t>
            </w:r>
          </w:p>
        </w:tc>
        <w:tc>
          <w:tcPr>
            <w:tcW w:w="1036" w:type="dxa"/>
            <w:tcBorders>
              <w:top w:val="nil"/>
              <w:left w:val="nil"/>
              <w:bottom w:val="single" w:sz="4" w:space="0" w:color="auto"/>
              <w:right w:val="single" w:sz="4" w:space="0" w:color="auto"/>
            </w:tcBorders>
            <w:shd w:val="clear" w:color="auto" w:fill="auto"/>
            <w:noWrap/>
            <w:vAlign w:val="center"/>
            <w:hideMark/>
          </w:tcPr>
          <w:p w14:paraId="698CBE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5087163000</w:t>
            </w:r>
          </w:p>
        </w:tc>
        <w:tc>
          <w:tcPr>
            <w:tcW w:w="1036" w:type="dxa"/>
            <w:tcBorders>
              <w:top w:val="nil"/>
              <w:left w:val="nil"/>
              <w:bottom w:val="single" w:sz="4" w:space="0" w:color="auto"/>
              <w:right w:val="single" w:sz="4" w:space="0" w:color="auto"/>
            </w:tcBorders>
            <w:shd w:val="clear" w:color="auto" w:fill="auto"/>
            <w:noWrap/>
            <w:vAlign w:val="center"/>
            <w:hideMark/>
          </w:tcPr>
          <w:p w14:paraId="576BCE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80951147</w:t>
            </w:r>
          </w:p>
        </w:tc>
        <w:tc>
          <w:tcPr>
            <w:tcW w:w="160" w:type="dxa"/>
            <w:tcBorders>
              <w:top w:val="nil"/>
              <w:left w:val="nil"/>
              <w:bottom w:val="single" w:sz="4" w:space="0" w:color="auto"/>
              <w:right w:val="nil"/>
            </w:tcBorders>
            <w:vAlign w:val="center"/>
          </w:tcPr>
          <w:p w14:paraId="5DDF08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46BF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MLADIKA</w:t>
            </w:r>
          </w:p>
        </w:tc>
      </w:tr>
      <w:tr w:rsidR="00072A69" w:rsidRPr="00DC6DF9" w14:paraId="318341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9091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1304</w:t>
            </w:r>
          </w:p>
        </w:tc>
        <w:tc>
          <w:tcPr>
            <w:tcW w:w="1036" w:type="dxa"/>
            <w:tcBorders>
              <w:top w:val="nil"/>
              <w:left w:val="nil"/>
              <w:bottom w:val="single" w:sz="4" w:space="0" w:color="auto"/>
              <w:right w:val="single" w:sz="4" w:space="0" w:color="auto"/>
            </w:tcBorders>
            <w:shd w:val="clear" w:color="auto" w:fill="auto"/>
            <w:noWrap/>
            <w:vAlign w:val="center"/>
            <w:hideMark/>
          </w:tcPr>
          <w:p w14:paraId="0A1B19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5088062000</w:t>
            </w:r>
          </w:p>
        </w:tc>
        <w:tc>
          <w:tcPr>
            <w:tcW w:w="1036" w:type="dxa"/>
            <w:tcBorders>
              <w:top w:val="nil"/>
              <w:left w:val="nil"/>
              <w:bottom w:val="single" w:sz="4" w:space="0" w:color="auto"/>
              <w:right w:val="single" w:sz="4" w:space="0" w:color="auto"/>
            </w:tcBorders>
            <w:shd w:val="clear" w:color="auto" w:fill="auto"/>
            <w:noWrap/>
            <w:vAlign w:val="center"/>
            <w:hideMark/>
          </w:tcPr>
          <w:p w14:paraId="4C9F4D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11475064</w:t>
            </w:r>
          </w:p>
        </w:tc>
        <w:tc>
          <w:tcPr>
            <w:tcW w:w="160" w:type="dxa"/>
            <w:tcBorders>
              <w:top w:val="nil"/>
              <w:left w:val="nil"/>
              <w:bottom w:val="single" w:sz="4" w:space="0" w:color="auto"/>
              <w:right w:val="nil"/>
            </w:tcBorders>
            <w:vAlign w:val="center"/>
          </w:tcPr>
          <w:p w14:paraId="167654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969F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MOKRONOG</w:t>
            </w:r>
          </w:p>
        </w:tc>
      </w:tr>
      <w:tr w:rsidR="00072A69" w:rsidRPr="00DC6DF9" w14:paraId="0B6012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7CB6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1305</w:t>
            </w:r>
          </w:p>
        </w:tc>
        <w:tc>
          <w:tcPr>
            <w:tcW w:w="1036" w:type="dxa"/>
            <w:tcBorders>
              <w:top w:val="nil"/>
              <w:left w:val="nil"/>
              <w:bottom w:val="single" w:sz="4" w:space="0" w:color="auto"/>
              <w:right w:val="single" w:sz="4" w:space="0" w:color="auto"/>
            </w:tcBorders>
            <w:shd w:val="clear" w:color="auto" w:fill="auto"/>
            <w:noWrap/>
            <w:vAlign w:val="center"/>
            <w:hideMark/>
          </w:tcPr>
          <w:p w14:paraId="326FBF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5088950000</w:t>
            </w:r>
          </w:p>
        </w:tc>
        <w:tc>
          <w:tcPr>
            <w:tcW w:w="1036" w:type="dxa"/>
            <w:tcBorders>
              <w:top w:val="nil"/>
              <w:left w:val="nil"/>
              <w:bottom w:val="single" w:sz="4" w:space="0" w:color="auto"/>
              <w:right w:val="single" w:sz="4" w:space="0" w:color="auto"/>
            </w:tcBorders>
            <w:shd w:val="clear" w:color="auto" w:fill="auto"/>
            <w:noWrap/>
            <w:vAlign w:val="center"/>
            <w:hideMark/>
          </w:tcPr>
          <w:p w14:paraId="0422CD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86633619</w:t>
            </w:r>
          </w:p>
        </w:tc>
        <w:tc>
          <w:tcPr>
            <w:tcW w:w="160" w:type="dxa"/>
            <w:tcBorders>
              <w:top w:val="nil"/>
              <w:left w:val="nil"/>
              <w:bottom w:val="single" w:sz="4" w:space="0" w:color="auto"/>
              <w:right w:val="nil"/>
            </w:tcBorders>
            <w:vAlign w:val="center"/>
          </w:tcPr>
          <w:p w14:paraId="463C12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A7F4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MOZIRJE</w:t>
            </w:r>
          </w:p>
        </w:tc>
      </w:tr>
      <w:tr w:rsidR="00072A69" w:rsidRPr="00DC6DF9" w14:paraId="3B12EF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C43E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1306</w:t>
            </w:r>
          </w:p>
        </w:tc>
        <w:tc>
          <w:tcPr>
            <w:tcW w:w="1036" w:type="dxa"/>
            <w:tcBorders>
              <w:top w:val="nil"/>
              <w:left w:val="nil"/>
              <w:bottom w:val="single" w:sz="4" w:space="0" w:color="auto"/>
              <w:right w:val="single" w:sz="4" w:space="0" w:color="auto"/>
            </w:tcBorders>
            <w:shd w:val="clear" w:color="auto" w:fill="auto"/>
            <w:noWrap/>
            <w:vAlign w:val="center"/>
            <w:hideMark/>
          </w:tcPr>
          <w:p w14:paraId="26A784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5087287000</w:t>
            </w:r>
          </w:p>
        </w:tc>
        <w:tc>
          <w:tcPr>
            <w:tcW w:w="1036" w:type="dxa"/>
            <w:tcBorders>
              <w:top w:val="nil"/>
              <w:left w:val="nil"/>
              <w:bottom w:val="single" w:sz="4" w:space="0" w:color="auto"/>
              <w:right w:val="single" w:sz="4" w:space="0" w:color="auto"/>
            </w:tcBorders>
            <w:shd w:val="clear" w:color="auto" w:fill="auto"/>
            <w:noWrap/>
            <w:vAlign w:val="center"/>
            <w:hideMark/>
          </w:tcPr>
          <w:p w14:paraId="03873A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69843716</w:t>
            </w:r>
          </w:p>
        </w:tc>
        <w:tc>
          <w:tcPr>
            <w:tcW w:w="160" w:type="dxa"/>
            <w:tcBorders>
              <w:top w:val="nil"/>
              <w:left w:val="nil"/>
              <w:bottom w:val="single" w:sz="4" w:space="0" w:color="auto"/>
              <w:right w:val="nil"/>
            </w:tcBorders>
            <w:vAlign w:val="center"/>
          </w:tcPr>
          <w:p w14:paraId="75CF72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7484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MUTA</w:t>
            </w:r>
          </w:p>
        </w:tc>
      </w:tr>
      <w:tr w:rsidR="00072A69" w:rsidRPr="00DC6DF9" w14:paraId="5ED6B02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7868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1307</w:t>
            </w:r>
          </w:p>
        </w:tc>
        <w:tc>
          <w:tcPr>
            <w:tcW w:w="1036" w:type="dxa"/>
            <w:tcBorders>
              <w:top w:val="nil"/>
              <w:left w:val="nil"/>
              <w:bottom w:val="single" w:sz="4" w:space="0" w:color="auto"/>
              <w:right w:val="single" w:sz="4" w:space="0" w:color="auto"/>
            </w:tcBorders>
            <w:shd w:val="clear" w:color="auto" w:fill="auto"/>
            <w:noWrap/>
            <w:vAlign w:val="center"/>
            <w:hideMark/>
          </w:tcPr>
          <w:p w14:paraId="065044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5084091000</w:t>
            </w:r>
          </w:p>
        </w:tc>
        <w:tc>
          <w:tcPr>
            <w:tcW w:w="1036" w:type="dxa"/>
            <w:tcBorders>
              <w:top w:val="nil"/>
              <w:left w:val="nil"/>
              <w:bottom w:val="single" w:sz="4" w:space="0" w:color="auto"/>
              <w:right w:val="single" w:sz="4" w:space="0" w:color="auto"/>
            </w:tcBorders>
            <w:shd w:val="clear" w:color="auto" w:fill="auto"/>
            <w:noWrap/>
            <w:vAlign w:val="center"/>
            <w:hideMark/>
          </w:tcPr>
          <w:p w14:paraId="5050EF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79338119</w:t>
            </w:r>
          </w:p>
        </w:tc>
        <w:tc>
          <w:tcPr>
            <w:tcW w:w="160" w:type="dxa"/>
            <w:tcBorders>
              <w:top w:val="nil"/>
              <w:left w:val="nil"/>
              <w:bottom w:val="single" w:sz="4" w:space="0" w:color="auto"/>
              <w:right w:val="nil"/>
            </w:tcBorders>
            <w:vAlign w:val="center"/>
          </w:tcPr>
          <w:p w14:paraId="4C0BCC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A408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 H. MAKSA PEČARJA</w:t>
            </w:r>
          </w:p>
        </w:tc>
      </w:tr>
      <w:tr w:rsidR="00072A69" w:rsidRPr="00DC6DF9" w14:paraId="62CD73E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3157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1308</w:t>
            </w:r>
          </w:p>
        </w:tc>
        <w:tc>
          <w:tcPr>
            <w:tcW w:w="1036" w:type="dxa"/>
            <w:tcBorders>
              <w:top w:val="nil"/>
              <w:left w:val="nil"/>
              <w:bottom w:val="single" w:sz="4" w:space="0" w:color="auto"/>
              <w:right w:val="single" w:sz="4" w:space="0" w:color="auto"/>
            </w:tcBorders>
            <w:shd w:val="clear" w:color="auto" w:fill="auto"/>
            <w:noWrap/>
            <w:vAlign w:val="center"/>
            <w:hideMark/>
          </w:tcPr>
          <w:p w14:paraId="19017E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1193830000</w:t>
            </w:r>
          </w:p>
        </w:tc>
        <w:tc>
          <w:tcPr>
            <w:tcW w:w="1036" w:type="dxa"/>
            <w:tcBorders>
              <w:top w:val="nil"/>
              <w:left w:val="nil"/>
              <w:bottom w:val="single" w:sz="4" w:space="0" w:color="auto"/>
              <w:right w:val="single" w:sz="4" w:space="0" w:color="auto"/>
            </w:tcBorders>
            <w:shd w:val="clear" w:color="auto" w:fill="auto"/>
            <w:noWrap/>
            <w:vAlign w:val="center"/>
            <w:hideMark/>
          </w:tcPr>
          <w:p w14:paraId="6964B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53817753</w:t>
            </w:r>
          </w:p>
        </w:tc>
        <w:tc>
          <w:tcPr>
            <w:tcW w:w="160" w:type="dxa"/>
            <w:tcBorders>
              <w:top w:val="nil"/>
              <w:left w:val="nil"/>
              <w:bottom w:val="single" w:sz="4" w:space="0" w:color="auto"/>
              <w:right w:val="nil"/>
            </w:tcBorders>
            <w:vAlign w:val="center"/>
          </w:tcPr>
          <w:p w14:paraId="578801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B055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NAKLO</w:t>
            </w:r>
          </w:p>
        </w:tc>
      </w:tr>
      <w:tr w:rsidR="00072A69" w:rsidRPr="00DC6DF9" w14:paraId="4B5E69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E371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1309</w:t>
            </w:r>
          </w:p>
        </w:tc>
        <w:tc>
          <w:tcPr>
            <w:tcW w:w="1036" w:type="dxa"/>
            <w:tcBorders>
              <w:top w:val="nil"/>
              <w:left w:val="nil"/>
              <w:bottom w:val="single" w:sz="4" w:space="0" w:color="auto"/>
              <w:right w:val="single" w:sz="4" w:space="0" w:color="auto"/>
            </w:tcBorders>
            <w:shd w:val="clear" w:color="auto" w:fill="auto"/>
            <w:noWrap/>
            <w:vAlign w:val="center"/>
            <w:hideMark/>
          </w:tcPr>
          <w:p w14:paraId="7678CD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5089905000</w:t>
            </w:r>
          </w:p>
        </w:tc>
        <w:tc>
          <w:tcPr>
            <w:tcW w:w="1036" w:type="dxa"/>
            <w:tcBorders>
              <w:top w:val="nil"/>
              <w:left w:val="nil"/>
              <w:bottom w:val="single" w:sz="4" w:space="0" w:color="auto"/>
              <w:right w:val="single" w:sz="4" w:space="0" w:color="auto"/>
            </w:tcBorders>
            <w:shd w:val="clear" w:color="auto" w:fill="auto"/>
            <w:noWrap/>
            <w:vAlign w:val="center"/>
            <w:hideMark/>
          </w:tcPr>
          <w:p w14:paraId="135E09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90342593</w:t>
            </w:r>
          </w:p>
        </w:tc>
        <w:tc>
          <w:tcPr>
            <w:tcW w:w="160" w:type="dxa"/>
            <w:tcBorders>
              <w:top w:val="nil"/>
              <w:left w:val="nil"/>
              <w:bottom w:val="single" w:sz="4" w:space="0" w:color="auto"/>
              <w:right w:val="nil"/>
            </w:tcBorders>
            <w:vAlign w:val="center"/>
          </w:tcPr>
          <w:p w14:paraId="199A18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B6D0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NARODNEGA HEROJA RAJKA HRASTNIK</w:t>
            </w:r>
          </w:p>
        </w:tc>
      </w:tr>
      <w:tr w:rsidR="00072A69" w:rsidRPr="00DC6DF9" w14:paraId="514E53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0720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1310</w:t>
            </w:r>
          </w:p>
        </w:tc>
        <w:tc>
          <w:tcPr>
            <w:tcW w:w="1036" w:type="dxa"/>
            <w:tcBorders>
              <w:top w:val="nil"/>
              <w:left w:val="nil"/>
              <w:bottom w:val="single" w:sz="4" w:space="0" w:color="auto"/>
              <w:right w:val="single" w:sz="4" w:space="0" w:color="auto"/>
            </w:tcBorders>
            <w:shd w:val="clear" w:color="auto" w:fill="auto"/>
            <w:noWrap/>
            <w:vAlign w:val="center"/>
            <w:hideMark/>
          </w:tcPr>
          <w:p w14:paraId="2C6F09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1253484000</w:t>
            </w:r>
          </w:p>
        </w:tc>
        <w:tc>
          <w:tcPr>
            <w:tcW w:w="1036" w:type="dxa"/>
            <w:tcBorders>
              <w:top w:val="nil"/>
              <w:left w:val="nil"/>
              <w:bottom w:val="single" w:sz="4" w:space="0" w:color="auto"/>
              <w:right w:val="single" w:sz="4" w:space="0" w:color="auto"/>
            </w:tcBorders>
            <w:shd w:val="clear" w:color="auto" w:fill="auto"/>
            <w:noWrap/>
            <w:vAlign w:val="center"/>
            <w:hideMark/>
          </w:tcPr>
          <w:p w14:paraId="3ACC8A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34152563</w:t>
            </w:r>
          </w:p>
        </w:tc>
        <w:tc>
          <w:tcPr>
            <w:tcW w:w="160" w:type="dxa"/>
            <w:tcBorders>
              <w:top w:val="nil"/>
              <w:left w:val="nil"/>
              <w:bottom w:val="single" w:sz="4" w:space="0" w:color="auto"/>
              <w:right w:val="nil"/>
            </w:tcBorders>
            <w:vAlign w:val="center"/>
          </w:tcPr>
          <w:p w14:paraId="53E698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75C6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NAZARJE</w:t>
            </w:r>
          </w:p>
        </w:tc>
      </w:tr>
      <w:tr w:rsidR="00072A69" w:rsidRPr="00DC6DF9" w14:paraId="5F9416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EC1E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1311</w:t>
            </w:r>
          </w:p>
        </w:tc>
        <w:tc>
          <w:tcPr>
            <w:tcW w:w="1036" w:type="dxa"/>
            <w:tcBorders>
              <w:top w:val="nil"/>
              <w:left w:val="nil"/>
              <w:bottom w:val="single" w:sz="4" w:space="0" w:color="auto"/>
              <w:right w:val="single" w:sz="4" w:space="0" w:color="auto"/>
            </w:tcBorders>
            <w:shd w:val="clear" w:color="auto" w:fill="auto"/>
            <w:noWrap/>
            <w:vAlign w:val="center"/>
            <w:hideMark/>
          </w:tcPr>
          <w:p w14:paraId="315590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5082889000</w:t>
            </w:r>
          </w:p>
        </w:tc>
        <w:tc>
          <w:tcPr>
            <w:tcW w:w="1036" w:type="dxa"/>
            <w:tcBorders>
              <w:top w:val="nil"/>
              <w:left w:val="nil"/>
              <w:bottom w:val="single" w:sz="4" w:space="0" w:color="auto"/>
              <w:right w:val="single" w:sz="4" w:space="0" w:color="auto"/>
            </w:tcBorders>
            <w:shd w:val="clear" w:color="auto" w:fill="auto"/>
            <w:noWrap/>
            <w:vAlign w:val="center"/>
            <w:hideMark/>
          </w:tcPr>
          <w:p w14:paraId="3A9394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62927892</w:t>
            </w:r>
          </w:p>
        </w:tc>
        <w:tc>
          <w:tcPr>
            <w:tcW w:w="160" w:type="dxa"/>
            <w:tcBorders>
              <w:top w:val="nil"/>
              <w:left w:val="nil"/>
              <w:bottom w:val="single" w:sz="4" w:space="0" w:color="auto"/>
              <w:right w:val="nil"/>
            </w:tcBorders>
            <w:vAlign w:val="center"/>
          </w:tcPr>
          <w:p w14:paraId="4AB87E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EC55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NEZNANIH TALCEV DRAVOGRAD</w:t>
            </w:r>
          </w:p>
        </w:tc>
      </w:tr>
      <w:tr w:rsidR="00072A69" w:rsidRPr="00DC6DF9" w14:paraId="620C90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3C53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1312</w:t>
            </w:r>
          </w:p>
        </w:tc>
        <w:tc>
          <w:tcPr>
            <w:tcW w:w="1036" w:type="dxa"/>
            <w:tcBorders>
              <w:top w:val="nil"/>
              <w:left w:val="nil"/>
              <w:bottom w:val="single" w:sz="4" w:space="0" w:color="auto"/>
              <w:right w:val="single" w:sz="4" w:space="0" w:color="auto"/>
            </w:tcBorders>
            <w:shd w:val="clear" w:color="auto" w:fill="auto"/>
            <w:noWrap/>
            <w:vAlign w:val="center"/>
            <w:hideMark/>
          </w:tcPr>
          <w:p w14:paraId="584AEE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5082722000</w:t>
            </w:r>
          </w:p>
        </w:tc>
        <w:tc>
          <w:tcPr>
            <w:tcW w:w="1036" w:type="dxa"/>
            <w:tcBorders>
              <w:top w:val="nil"/>
              <w:left w:val="nil"/>
              <w:bottom w:val="single" w:sz="4" w:space="0" w:color="auto"/>
              <w:right w:val="single" w:sz="4" w:space="0" w:color="auto"/>
            </w:tcBorders>
            <w:shd w:val="clear" w:color="auto" w:fill="auto"/>
            <w:noWrap/>
            <w:vAlign w:val="center"/>
            <w:hideMark/>
          </w:tcPr>
          <w:p w14:paraId="4DB0F5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54018471</w:t>
            </w:r>
          </w:p>
        </w:tc>
        <w:tc>
          <w:tcPr>
            <w:tcW w:w="160" w:type="dxa"/>
            <w:tcBorders>
              <w:top w:val="nil"/>
              <w:left w:val="nil"/>
              <w:bottom w:val="single" w:sz="4" w:space="0" w:color="auto"/>
              <w:right w:val="nil"/>
            </w:tcBorders>
            <w:vAlign w:val="center"/>
          </w:tcPr>
          <w:p w14:paraId="18C7CC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EFD0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NOTRANJSKI ODRED CERKNICA</w:t>
            </w:r>
          </w:p>
        </w:tc>
      </w:tr>
      <w:tr w:rsidR="00072A69" w:rsidRPr="00DC6DF9" w14:paraId="2AD5EE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1FF1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1313</w:t>
            </w:r>
          </w:p>
        </w:tc>
        <w:tc>
          <w:tcPr>
            <w:tcW w:w="1036" w:type="dxa"/>
            <w:tcBorders>
              <w:top w:val="nil"/>
              <w:left w:val="nil"/>
              <w:bottom w:val="single" w:sz="4" w:space="0" w:color="auto"/>
              <w:right w:val="single" w:sz="4" w:space="0" w:color="auto"/>
            </w:tcBorders>
            <w:shd w:val="clear" w:color="auto" w:fill="auto"/>
            <w:noWrap/>
            <w:vAlign w:val="center"/>
            <w:hideMark/>
          </w:tcPr>
          <w:p w14:paraId="3F8047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5280052000</w:t>
            </w:r>
          </w:p>
        </w:tc>
        <w:tc>
          <w:tcPr>
            <w:tcW w:w="1036" w:type="dxa"/>
            <w:tcBorders>
              <w:top w:val="nil"/>
              <w:left w:val="nil"/>
              <w:bottom w:val="single" w:sz="4" w:space="0" w:color="auto"/>
              <w:right w:val="single" w:sz="4" w:space="0" w:color="auto"/>
            </w:tcBorders>
            <w:shd w:val="clear" w:color="auto" w:fill="auto"/>
            <w:noWrap/>
            <w:vAlign w:val="center"/>
            <w:hideMark/>
          </w:tcPr>
          <w:p w14:paraId="373503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59223332</w:t>
            </w:r>
          </w:p>
        </w:tc>
        <w:tc>
          <w:tcPr>
            <w:tcW w:w="160" w:type="dxa"/>
            <w:tcBorders>
              <w:top w:val="nil"/>
              <w:left w:val="nil"/>
              <w:bottom w:val="single" w:sz="4" w:space="0" w:color="auto"/>
              <w:right w:val="nil"/>
            </w:tcBorders>
            <w:vAlign w:val="center"/>
          </w:tcPr>
          <w:p w14:paraId="07CC33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DA0A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NOVE FUŽINE</w:t>
            </w:r>
          </w:p>
        </w:tc>
      </w:tr>
      <w:tr w:rsidR="00072A69" w:rsidRPr="00DC6DF9" w14:paraId="78AF76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2B40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1314</w:t>
            </w:r>
          </w:p>
        </w:tc>
        <w:tc>
          <w:tcPr>
            <w:tcW w:w="1036" w:type="dxa"/>
            <w:tcBorders>
              <w:top w:val="nil"/>
              <w:left w:val="nil"/>
              <w:bottom w:val="single" w:sz="4" w:space="0" w:color="auto"/>
              <w:right w:val="single" w:sz="4" w:space="0" w:color="auto"/>
            </w:tcBorders>
            <w:shd w:val="clear" w:color="auto" w:fill="auto"/>
            <w:noWrap/>
            <w:vAlign w:val="center"/>
            <w:hideMark/>
          </w:tcPr>
          <w:p w14:paraId="524BA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5273935000</w:t>
            </w:r>
          </w:p>
        </w:tc>
        <w:tc>
          <w:tcPr>
            <w:tcW w:w="1036" w:type="dxa"/>
            <w:tcBorders>
              <w:top w:val="nil"/>
              <w:left w:val="nil"/>
              <w:bottom w:val="single" w:sz="4" w:space="0" w:color="auto"/>
              <w:right w:val="single" w:sz="4" w:space="0" w:color="auto"/>
            </w:tcBorders>
            <w:shd w:val="clear" w:color="auto" w:fill="auto"/>
            <w:noWrap/>
            <w:vAlign w:val="center"/>
            <w:hideMark/>
          </w:tcPr>
          <w:p w14:paraId="3C2512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15729257</w:t>
            </w:r>
          </w:p>
        </w:tc>
        <w:tc>
          <w:tcPr>
            <w:tcW w:w="160" w:type="dxa"/>
            <w:tcBorders>
              <w:top w:val="nil"/>
              <w:left w:val="nil"/>
              <w:bottom w:val="single" w:sz="4" w:space="0" w:color="auto"/>
              <w:right w:val="nil"/>
            </w:tcBorders>
            <w:vAlign w:val="center"/>
          </w:tcPr>
          <w:p w14:paraId="7552D3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7871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NOVE JARŠE</w:t>
            </w:r>
          </w:p>
        </w:tc>
      </w:tr>
      <w:tr w:rsidR="00072A69" w:rsidRPr="00DC6DF9" w14:paraId="1CBC12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5D85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1315</w:t>
            </w:r>
          </w:p>
        </w:tc>
        <w:tc>
          <w:tcPr>
            <w:tcW w:w="1036" w:type="dxa"/>
            <w:tcBorders>
              <w:top w:val="nil"/>
              <w:left w:val="nil"/>
              <w:bottom w:val="single" w:sz="4" w:space="0" w:color="auto"/>
              <w:right w:val="single" w:sz="4" w:space="0" w:color="auto"/>
            </w:tcBorders>
            <w:shd w:val="clear" w:color="auto" w:fill="auto"/>
            <w:noWrap/>
            <w:vAlign w:val="center"/>
            <w:hideMark/>
          </w:tcPr>
          <w:p w14:paraId="64E817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5089441000</w:t>
            </w:r>
          </w:p>
        </w:tc>
        <w:tc>
          <w:tcPr>
            <w:tcW w:w="1036" w:type="dxa"/>
            <w:tcBorders>
              <w:top w:val="nil"/>
              <w:left w:val="nil"/>
              <w:bottom w:val="single" w:sz="4" w:space="0" w:color="auto"/>
              <w:right w:val="single" w:sz="4" w:space="0" w:color="auto"/>
            </w:tcBorders>
            <w:shd w:val="clear" w:color="auto" w:fill="auto"/>
            <w:noWrap/>
            <w:vAlign w:val="center"/>
            <w:hideMark/>
          </w:tcPr>
          <w:p w14:paraId="36D04A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11833173</w:t>
            </w:r>
          </w:p>
        </w:tc>
        <w:tc>
          <w:tcPr>
            <w:tcW w:w="160" w:type="dxa"/>
            <w:tcBorders>
              <w:top w:val="nil"/>
              <w:left w:val="nil"/>
              <w:bottom w:val="single" w:sz="4" w:space="0" w:color="auto"/>
              <w:right w:val="nil"/>
            </w:tcBorders>
            <w:vAlign w:val="center"/>
          </w:tcPr>
          <w:p w14:paraId="6FD6BE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69AA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OB DRAVINJI</w:t>
            </w:r>
          </w:p>
        </w:tc>
      </w:tr>
      <w:tr w:rsidR="00072A69" w:rsidRPr="00DC6DF9" w14:paraId="62A8B0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20AE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1316</w:t>
            </w:r>
          </w:p>
        </w:tc>
        <w:tc>
          <w:tcPr>
            <w:tcW w:w="1036" w:type="dxa"/>
            <w:tcBorders>
              <w:top w:val="nil"/>
              <w:left w:val="nil"/>
              <w:bottom w:val="single" w:sz="4" w:space="0" w:color="auto"/>
              <w:right w:val="single" w:sz="4" w:space="0" w:color="auto"/>
            </w:tcBorders>
            <w:shd w:val="clear" w:color="auto" w:fill="auto"/>
            <w:noWrap/>
            <w:vAlign w:val="center"/>
            <w:hideMark/>
          </w:tcPr>
          <w:p w14:paraId="5EC7A1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5621712000</w:t>
            </w:r>
          </w:p>
        </w:tc>
        <w:tc>
          <w:tcPr>
            <w:tcW w:w="1036" w:type="dxa"/>
            <w:tcBorders>
              <w:top w:val="nil"/>
              <w:left w:val="nil"/>
              <w:bottom w:val="single" w:sz="4" w:space="0" w:color="auto"/>
              <w:right w:val="single" w:sz="4" w:space="0" w:color="auto"/>
            </w:tcBorders>
            <w:shd w:val="clear" w:color="auto" w:fill="auto"/>
            <w:noWrap/>
            <w:vAlign w:val="center"/>
            <w:hideMark/>
          </w:tcPr>
          <w:p w14:paraId="2B8AEC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90536398</w:t>
            </w:r>
          </w:p>
        </w:tc>
        <w:tc>
          <w:tcPr>
            <w:tcW w:w="160" w:type="dxa"/>
            <w:tcBorders>
              <w:top w:val="nil"/>
              <w:left w:val="nil"/>
              <w:bottom w:val="single" w:sz="4" w:space="0" w:color="auto"/>
              <w:right w:val="nil"/>
            </w:tcBorders>
            <w:vAlign w:val="center"/>
          </w:tcPr>
          <w:p w14:paraId="0B9F34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9EA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OB RINŽI KOČEVJE</w:t>
            </w:r>
          </w:p>
        </w:tc>
      </w:tr>
      <w:tr w:rsidR="00072A69" w:rsidRPr="00DC6DF9" w14:paraId="18C0B8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8DF2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1317</w:t>
            </w:r>
          </w:p>
        </w:tc>
        <w:tc>
          <w:tcPr>
            <w:tcW w:w="1036" w:type="dxa"/>
            <w:tcBorders>
              <w:top w:val="nil"/>
              <w:left w:val="nil"/>
              <w:bottom w:val="single" w:sz="4" w:space="0" w:color="auto"/>
              <w:right w:val="single" w:sz="4" w:space="0" w:color="auto"/>
            </w:tcBorders>
            <w:shd w:val="clear" w:color="auto" w:fill="auto"/>
            <w:noWrap/>
            <w:vAlign w:val="center"/>
            <w:hideMark/>
          </w:tcPr>
          <w:p w14:paraId="6CAF21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5089743000</w:t>
            </w:r>
          </w:p>
        </w:tc>
        <w:tc>
          <w:tcPr>
            <w:tcW w:w="1036" w:type="dxa"/>
            <w:tcBorders>
              <w:top w:val="nil"/>
              <w:left w:val="nil"/>
              <w:bottom w:val="single" w:sz="4" w:space="0" w:color="auto"/>
              <w:right w:val="single" w:sz="4" w:space="0" w:color="auto"/>
            </w:tcBorders>
            <w:shd w:val="clear" w:color="auto" w:fill="auto"/>
            <w:noWrap/>
            <w:vAlign w:val="center"/>
            <w:hideMark/>
          </w:tcPr>
          <w:p w14:paraId="15A182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21296626</w:t>
            </w:r>
          </w:p>
        </w:tc>
        <w:tc>
          <w:tcPr>
            <w:tcW w:w="160" w:type="dxa"/>
            <w:tcBorders>
              <w:top w:val="nil"/>
              <w:left w:val="nil"/>
              <w:bottom w:val="single" w:sz="4" w:space="0" w:color="auto"/>
              <w:right w:val="nil"/>
            </w:tcBorders>
            <w:vAlign w:val="center"/>
          </w:tcPr>
          <w:p w14:paraId="7023BB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D288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ODRANCI</w:t>
            </w:r>
          </w:p>
        </w:tc>
      </w:tr>
      <w:tr w:rsidR="00072A69" w:rsidRPr="00DC6DF9" w14:paraId="242E99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7D0A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1318</w:t>
            </w:r>
          </w:p>
        </w:tc>
        <w:tc>
          <w:tcPr>
            <w:tcW w:w="1036" w:type="dxa"/>
            <w:tcBorders>
              <w:top w:val="nil"/>
              <w:left w:val="nil"/>
              <w:bottom w:val="single" w:sz="4" w:space="0" w:color="auto"/>
              <w:right w:val="single" w:sz="4" w:space="0" w:color="auto"/>
            </w:tcBorders>
            <w:shd w:val="clear" w:color="auto" w:fill="auto"/>
            <w:noWrap/>
            <w:vAlign w:val="center"/>
            <w:hideMark/>
          </w:tcPr>
          <w:p w14:paraId="3C0F4F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5174309000</w:t>
            </w:r>
          </w:p>
        </w:tc>
        <w:tc>
          <w:tcPr>
            <w:tcW w:w="1036" w:type="dxa"/>
            <w:tcBorders>
              <w:top w:val="nil"/>
              <w:left w:val="nil"/>
              <w:bottom w:val="single" w:sz="4" w:space="0" w:color="auto"/>
              <w:right w:val="single" w:sz="4" w:space="0" w:color="auto"/>
            </w:tcBorders>
            <w:shd w:val="clear" w:color="auto" w:fill="auto"/>
            <w:noWrap/>
            <w:vAlign w:val="center"/>
            <w:hideMark/>
          </w:tcPr>
          <w:p w14:paraId="326FE4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73389439</w:t>
            </w:r>
          </w:p>
        </w:tc>
        <w:tc>
          <w:tcPr>
            <w:tcW w:w="160" w:type="dxa"/>
            <w:tcBorders>
              <w:top w:val="nil"/>
              <w:left w:val="nil"/>
              <w:bottom w:val="single" w:sz="4" w:space="0" w:color="auto"/>
              <w:right w:val="nil"/>
            </w:tcBorders>
            <w:vAlign w:val="center"/>
          </w:tcPr>
          <w:p w14:paraId="09A9879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C323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OLGE MEGLIČ</w:t>
            </w:r>
          </w:p>
        </w:tc>
      </w:tr>
      <w:tr w:rsidR="00072A69" w:rsidRPr="00DC6DF9" w14:paraId="72D62A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B5D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1319</w:t>
            </w:r>
          </w:p>
        </w:tc>
        <w:tc>
          <w:tcPr>
            <w:tcW w:w="1036" w:type="dxa"/>
            <w:tcBorders>
              <w:top w:val="nil"/>
              <w:left w:val="nil"/>
              <w:bottom w:val="single" w:sz="4" w:space="0" w:color="auto"/>
              <w:right w:val="single" w:sz="4" w:space="0" w:color="auto"/>
            </w:tcBorders>
            <w:shd w:val="clear" w:color="auto" w:fill="auto"/>
            <w:noWrap/>
            <w:vAlign w:val="center"/>
            <w:hideMark/>
          </w:tcPr>
          <w:p w14:paraId="1CC08D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1319841000</w:t>
            </w:r>
          </w:p>
        </w:tc>
        <w:tc>
          <w:tcPr>
            <w:tcW w:w="1036" w:type="dxa"/>
            <w:tcBorders>
              <w:top w:val="nil"/>
              <w:left w:val="nil"/>
              <w:bottom w:val="single" w:sz="4" w:space="0" w:color="auto"/>
              <w:right w:val="single" w:sz="4" w:space="0" w:color="auto"/>
            </w:tcBorders>
            <w:shd w:val="clear" w:color="auto" w:fill="auto"/>
            <w:noWrap/>
            <w:vAlign w:val="center"/>
            <w:hideMark/>
          </w:tcPr>
          <w:p w14:paraId="220E77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72290480</w:t>
            </w:r>
          </w:p>
        </w:tc>
        <w:tc>
          <w:tcPr>
            <w:tcW w:w="160" w:type="dxa"/>
            <w:tcBorders>
              <w:top w:val="nil"/>
              <w:left w:val="nil"/>
              <w:bottom w:val="single" w:sz="4" w:space="0" w:color="auto"/>
              <w:right w:val="nil"/>
            </w:tcBorders>
            <w:vAlign w:val="center"/>
          </w:tcPr>
          <w:p w14:paraId="200C4A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982B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OREHEK KRANJ</w:t>
            </w:r>
          </w:p>
        </w:tc>
      </w:tr>
      <w:tr w:rsidR="00072A69" w:rsidRPr="00DC6DF9" w14:paraId="009F6A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3B6C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1320</w:t>
            </w:r>
          </w:p>
        </w:tc>
        <w:tc>
          <w:tcPr>
            <w:tcW w:w="1036" w:type="dxa"/>
            <w:tcBorders>
              <w:top w:val="nil"/>
              <w:left w:val="nil"/>
              <w:bottom w:val="single" w:sz="4" w:space="0" w:color="auto"/>
              <w:right w:val="single" w:sz="4" w:space="0" w:color="auto"/>
            </w:tcBorders>
            <w:shd w:val="clear" w:color="auto" w:fill="auto"/>
            <w:noWrap/>
            <w:vAlign w:val="center"/>
            <w:hideMark/>
          </w:tcPr>
          <w:p w14:paraId="0BCA90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5089875000</w:t>
            </w:r>
          </w:p>
        </w:tc>
        <w:tc>
          <w:tcPr>
            <w:tcW w:w="1036" w:type="dxa"/>
            <w:tcBorders>
              <w:top w:val="nil"/>
              <w:left w:val="nil"/>
              <w:bottom w:val="single" w:sz="4" w:space="0" w:color="auto"/>
              <w:right w:val="single" w:sz="4" w:space="0" w:color="auto"/>
            </w:tcBorders>
            <w:shd w:val="clear" w:color="auto" w:fill="auto"/>
            <w:noWrap/>
            <w:vAlign w:val="center"/>
            <w:hideMark/>
          </w:tcPr>
          <w:p w14:paraId="751755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59310197</w:t>
            </w:r>
          </w:p>
        </w:tc>
        <w:tc>
          <w:tcPr>
            <w:tcW w:w="160" w:type="dxa"/>
            <w:tcBorders>
              <w:top w:val="nil"/>
              <w:left w:val="nil"/>
              <w:bottom w:val="single" w:sz="4" w:space="0" w:color="auto"/>
              <w:right w:val="nil"/>
            </w:tcBorders>
            <w:vAlign w:val="center"/>
          </w:tcPr>
          <w:p w14:paraId="1B38BE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E8D0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ORMOŽ</w:t>
            </w:r>
          </w:p>
        </w:tc>
      </w:tr>
      <w:tr w:rsidR="00072A69" w:rsidRPr="00DC6DF9" w14:paraId="0DE25F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BE8C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1321</w:t>
            </w:r>
          </w:p>
        </w:tc>
        <w:tc>
          <w:tcPr>
            <w:tcW w:w="1036" w:type="dxa"/>
            <w:tcBorders>
              <w:top w:val="nil"/>
              <w:left w:val="nil"/>
              <w:bottom w:val="single" w:sz="4" w:space="0" w:color="auto"/>
              <w:right w:val="single" w:sz="4" w:space="0" w:color="auto"/>
            </w:tcBorders>
            <w:shd w:val="clear" w:color="auto" w:fill="auto"/>
            <w:noWrap/>
            <w:vAlign w:val="center"/>
            <w:hideMark/>
          </w:tcPr>
          <w:p w14:paraId="6F1F0E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5088798000</w:t>
            </w:r>
          </w:p>
        </w:tc>
        <w:tc>
          <w:tcPr>
            <w:tcW w:w="1036" w:type="dxa"/>
            <w:tcBorders>
              <w:top w:val="nil"/>
              <w:left w:val="nil"/>
              <w:bottom w:val="single" w:sz="4" w:space="0" w:color="auto"/>
              <w:right w:val="single" w:sz="4" w:space="0" w:color="auto"/>
            </w:tcBorders>
            <w:shd w:val="clear" w:color="auto" w:fill="auto"/>
            <w:noWrap/>
            <w:vAlign w:val="center"/>
            <w:hideMark/>
          </w:tcPr>
          <w:p w14:paraId="158085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81115997</w:t>
            </w:r>
          </w:p>
        </w:tc>
        <w:tc>
          <w:tcPr>
            <w:tcW w:w="160" w:type="dxa"/>
            <w:tcBorders>
              <w:top w:val="nil"/>
              <w:left w:val="nil"/>
              <w:bottom w:val="single" w:sz="4" w:space="0" w:color="auto"/>
              <w:right w:val="nil"/>
            </w:tcBorders>
            <w:vAlign w:val="center"/>
          </w:tcPr>
          <w:p w14:paraId="7E90A7C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813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OSKARJA KOVAČIČA</w:t>
            </w:r>
          </w:p>
        </w:tc>
      </w:tr>
      <w:tr w:rsidR="00072A69" w:rsidRPr="00DC6DF9" w14:paraId="1ADF33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806F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1322</w:t>
            </w:r>
          </w:p>
        </w:tc>
        <w:tc>
          <w:tcPr>
            <w:tcW w:w="1036" w:type="dxa"/>
            <w:tcBorders>
              <w:top w:val="nil"/>
              <w:left w:val="nil"/>
              <w:bottom w:val="single" w:sz="4" w:space="0" w:color="auto"/>
              <w:right w:val="single" w:sz="4" w:space="0" w:color="auto"/>
            </w:tcBorders>
            <w:shd w:val="clear" w:color="auto" w:fill="auto"/>
            <w:noWrap/>
            <w:vAlign w:val="center"/>
            <w:hideMark/>
          </w:tcPr>
          <w:p w14:paraId="1A4F67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5084822000</w:t>
            </w:r>
          </w:p>
        </w:tc>
        <w:tc>
          <w:tcPr>
            <w:tcW w:w="1036" w:type="dxa"/>
            <w:tcBorders>
              <w:top w:val="nil"/>
              <w:left w:val="nil"/>
              <w:bottom w:val="single" w:sz="4" w:space="0" w:color="auto"/>
              <w:right w:val="single" w:sz="4" w:space="0" w:color="auto"/>
            </w:tcBorders>
            <w:shd w:val="clear" w:color="auto" w:fill="auto"/>
            <w:noWrap/>
            <w:vAlign w:val="center"/>
            <w:hideMark/>
          </w:tcPr>
          <w:p w14:paraId="7336A5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39097293</w:t>
            </w:r>
          </w:p>
        </w:tc>
        <w:tc>
          <w:tcPr>
            <w:tcW w:w="160" w:type="dxa"/>
            <w:tcBorders>
              <w:top w:val="nil"/>
              <w:left w:val="nil"/>
              <w:bottom w:val="single" w:sz="4" w:space="0" w:color="auto"/>
              <w:right w:val="nil"/>
            </w:tcBorders>
            <w:vAlign w:val="center"/>
          </w:tcPr>
          <w:p w14:paraId="127FE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FEAA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OSKARJA KOVAČIČA ŠKOFIJE</w:t>
            </w:r>
          </w:p>
        </w:tc>
      </w:tr>
      <w:tr w:rsidR="00072A69" w:rsidRPr="00DC6DF9" w14:paraId="430FED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BC62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1323</w:t>
            </w:r>
          </w:p>
        </w:tc>
        <w:tc>
          <w:tcPr>
            <w:tcW w:w="1036" w:type="dxa"/>
            <w:tcBorders>
              <w:top w:val="nil"/>
              <w:left w:val="nil"/>
              <w:bottom w:val="single" w:sz="4" w:space="0" w:color="auto"/>
              <w:right w:val="single" w:sz="4" w:space="0" w:color="auto"/>
            </w:tcBorders>
            <w:shd w:val="clear" w:color="auto" w:fill="auto"/>
            <w:noWrap/>
            <w:vAlign w:val="center"/>
            <w:hideMark/>
          </w:tcPr>
          <w:p w14:paraId="790D58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5082536000</w:t>
            </w:r>
          </w:p>
        </w:tc>
        <w:tc>
          <w:tcPr>
            <w:tcW w:w="1036" w:type="dxa"/>
            <w:tcBorders>
              <w:top w:val="nil"/>
              <w:left w:val="nil"/>
              <w:bottom w:val="single" w:sz="4" w:space="0" w:color="auto"/>
              <w:right w:val="single" w:sz="4" w:space="0" w:color="auto"/>
            </w:tcBorders>
            <w:shd w:val="clear" w:color="auto" w:fill="auto"/>
            <w:noWrap/>
            <w:vAlign w:val="center"/>
            <w:hideMark/>
          </w:tcPr>
          <w:p w14:paraId="10113E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65681924</w:t>
            </w:r>
          </w:p>
        </w:tc>
        <w:tc>
          <w:tcPr>
            <w:tcW w:w="160" w:type="dxa"/>
            <w:tcBorders>
              <w:top w:val="nil"/>
              <w:left w:val="nil"/>
              <w:bottom w:val="single" w:sz="4" w:space="0" w:color="auto"/>
              <w:right w:val="nil"/>
            </w:tcBorders>
            <w:vAlign w:val="center"/>
          </w:tcPr>
          <w:p w14:paraId="0090A1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91E5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OTLICA</w:t>
            </w:r>
          </w:p>
        </w:tc>
      </w:tr>
      <w:tr w:rsidR="00072A69" w:rsidRPr="00DC6DF9" w14:paraId="4E0B55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0789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1324</w:t>
            </w:r>
          </w:p>
        </w:tc>
        <w:tc>
          <w:tcPr>
            <w:tcW w:w="1036" w:type="dxa"/>
            <w:tcBorders>
              <w:top w:val="nil"/>
              <w:left w:val="nil"/>
              <w:bottom w:val="single" w:sz="4" w:space="0" w:color="auto"/>
              <w:right w:val="single" w:sz="4" w:space="0" w:color="auto"/>
            </w:tcBorders>
            <w:shd w:val="clear" w:color="auto" w:fill="auto"/>
            <w:noWrap/>
            <w:vAlign w:val="center"/>
            <w:hideMark/>
          </w:tcPr>
          <w:p w14:paraId="1D2B82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5086264000</w:t>
            </w:r>
          </w:p>
        </w:tc>
        <w:tc>
          <w:tcPr>
            <w:tcW w:w="1036" w:type="dxa"/>
            <w:tcBorders>
              <w:top w:val="nil"/>
              <w:left w:val="nil"/>
              <w:bottom w:val="single" w:sz="4" w:space="0" w:color="auto"/>
              <w:right w:val="single" w:sz="4" w:space="0" w:color="auto"/>
            </w:tcBorders>
            <w:shd w:val="clear" w:color="auto" w:fill="auto"/>
            <w:noWrap/>
            <w:vAlign w:val="center"/>
            <w:hideMark/>
          </w:tcPr>
          <w:p w14:paraId="293A4A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95753443</w:t>
            </w:r>
          </w:p>
        </w:tc>
        <w:tc>
          <w:tcPr>
            <w:tcW w:w="160" w:type="dxa"/>
            <w:tcBorders>
              <w:top w:val="nil"/>
              <w:left w:val="nil"/>
              <w:bottom w:val="single" w:sz="4" w:space="0" w:color="auto"/>
              <w:right w:val="nil"/>
            </w:tcBorders>
            <w:vAlign w:val="center"/>
          </w:tcPr>
          <w:p w14:paraId="3C4647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2A8A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OTOČEC</w:t>
            </w:r>
          </w:p>
        </w:tc>
      </w:tr>
      <w:tr w:rsidR="00072A69" w:rsidRPr="00DC6DF9" w14:paraId="01ABA4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D054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1325</w:t>
            </w:r>
          </w:p>
        </w:tc>
        <w:tc>
          <w:tcPr>
            <w:tcW w:w="1036" w:type="dxa"/>
            <w:tcBorders>
              <w:top w:val="nil"/>
              <w:left w:val="nil"/>
              <w:bottom w:val="single" w:sz="4" w:space="0" w:color="auto"/>
              <w:right w:val="single" w:sz="4" w:space="0" w:color="auto"/>
            </w:tcBorders>
            <w:shd w:val="clear" w:color="auto" w:fill="auto"/>
            <w:noWrap/>
            <w:vAlign w:val="center"/>
            <w:hideMark/>
          </w:tcPr>
          <w:p w14:paraId="0A497D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5012554000</w:t>
            </w:r>
          </w:p>
        </w:tc>
        <w:tc>
          <w:tcPr>
            <w:tcW w:w="1036" w:type="dxa"/>
            <w:tcBorders>
              <w:top w:val="nil"/>
              <w:left w:val="nil"/>
              <w:bottom w:val="single" w:sz="4" w:space="0" w:color="auto"/>
              <w:right w:val="single" w:sz="4" w:space="0" w:color="auto"/>
            </w:tcBorders>
            <w:shd w:val="clear" w:color="auto" w:fill="auto"/>
            <w:noWrap/>
            <w:vAlign w:val="center"/>
            <w:hideMark/>
          </w:tcPr>
          <w:p w14:paraId="405E43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29406285</w:t>
            </w:r>
          </w:p>
        </w:tc>
        <w:tc>
          <w:tcPr>
            <w:tcW w:w="160" w:type="dxa"/>
            <w:tcBorders>
              <w:top w:val="nil"/>
              <w:left w:val="nil"/>
              <w:bottom w:val="single" w:sz="4" w:space="0" w:color="auto"/>
              <w:right w:val="nil"/>
            </w:tcBorders>
            <w:vAlign w:val="center"/>
          </w:tcPr>
          <w:p w14:paraId="7B4D6B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17D7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PARTIZANSKA BOLNIŠNICA JESEN TINJE</w:t>
            </w:r>
          </w:p>
        </w:tc>
      </w:tr>
      <w:tr w:rsidR="00072A69" w:rsidRPr="00DC6DF9" w14:paraId="1409E6A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D582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1326</w:t>
            </w:r>
          </w:p>
        </w:tc>
        <w:tc>
          <w:tcPr>
            <w:tcW w:w="1036" w:type="dxa"/>
            <w:tcBorders>
              <w:top w:val="nil"/>
              <w:left w:val="nil"/>
              <w:bottom w:val="single" w:sz="4" w:space="0" w:color="auto"/>
              <w:right w:val="single" w:sz="4" w:space="0" w:color="auto"/>
            </w:tcBorders>
            <w:shd w:val="clear" w:color="auto" w:fill="auto"/>
            <w:noWrap/>
            <w:vAlign w:val="center"/>
            <w:hideMark/>
          </w:tcPr>
          <w:p w14:paraId="09EB27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5088569000</w:t>
            </w:r>
          </w:p>
        </w:tc>
        <w:tc>
          <w:tcPr>
            <w:tcW w:w="1036" w:type="dxa"/>
            <w:tcBorders>
              <w:top w:val="nil"/>
              <w:left w:val="nil"/>
              <w:bottom w:val="single" w:sz="4" w:space="0" w:color="auto"/>
              <w:right w:val="single" w:sz="4" w:space="0" w:color="auto"/>
            </w:tcBorders>
            <w:shd w:val="clear" w:color="auto" w:fill="auto"/>
            <w:noWrap/>
            <w:vAlign w:val="center"/>
            <w:hideMark/>
          </w:tcPr>
          <w:p w14:paraId="1D4732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94658609</w:t>
            </w:r>
          </w:p>
        </w:tc>
        <w:tc>
          <w:tcPr>
            <w:tcW w:w="160" w:type="dxa"/>
            <w:tcBorders>
              <w:top w:val="nil"/>
              <w:left w:val="nil"/>
              <w:bottom w:val="single" w:sz="4" w:space="0" w:color="auto"/>
              <w:right w:val="nil"/>
            </w:tcBorders>
            <w:vAlign w:val="center"/>
          </w:tcPr>
          <w:p w14:paraId="4F7700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65D0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PETROVČE</w:t>
            </w:r>
          </w:p>
        </w:tc>
      </w:tr>
      <w:tr w:rsidR="00072A69" w:rsidRPr="00DC6DF9" w14:paraId="5066C6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E27B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1327</w:t>
            </w:r>
          </w:p>
        </w:tc>
        <w:tc>
          <w:tcPr>
            <w:tcW w:w="1036" w:type="dxa"/>
            <w:tcBorders>
              <w:top w:val="nil"/>
              <w:left w:val="nil"/>
              <w:bottom w:val="single" w:sz="4" w:space="0" w:color="auto"/>
              <w:right w:val="single" w:sz="4" w:space="0" w:color="auto"/>
            </w:tcBorders>
            <w:shd w:val="clear" w:color="auto" w:fill="auto"/>
            <w:noWrap/>
            <w:vAlign w:val="center"/>
            <w:hideMark/>
          </w:tcPr>
          <w:p w14:paraId="3DBBAB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5084849000</w:t>
            </w:r>
          </w:p>
        </w:tc>
        <w:tc>
          <w:tcPr>
            <w:tcW w:w="1036" w:type="dxa"/>
            <w:tcBorders>
              <w:top w:val="nil"/>
              <w:left w:val="nil"/>
              <w:bottom w:val="single" w:sz="4" w:space="0" w:color="auto"/>
              <w:right w:val="single" w:sz="4" w:space="0" w:color="auto"/>
            </w:tcBorders>
            <w:shd w:val="clear" w:color="auto" w:fill="auto"/>
            <w:noWrap/>
            <w:vAlign w:val="center"/>
            <w:hideMark/>
          </w:tcPr>
          <w:p w14:paraId="63B3BF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41881761</w:t>
            </w:r>
          </w:p>
        </w:tc>
        <w:tc>
          <w:tcPr>
            <w:tcW w:w="160" w:type="dxa"/>
            <w:tcBorders>
              <w:top w:val="nil"/>
              <w:left w:val="nil"/>
              <w:bottom w:val="single" w:sz="4" w:space="0" w:color="auto"/>
              <w:right w:val="nil"/>
            </w:tcBorders>
            <w:vAlign w:val="center"/>
          </w:tcPr>
          <w:p w14:paraId="01BD58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FE43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PIER PAOLO VERGERIO IL VECCHIO KOPER</w:t>
            </w:r>
          </w:p>
        </w:tc>
      </w:tr>
      <w:tr w:rsidR="00072A69" w:rsidRPr="00DC6DF9" w14:paraId="0A50BB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DAA5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1328</w:t>
            </w:r>
          </w:p>
        </w:tc>
        <w:tc>
          <w:tcPr>
            <w:tcW w:w="1036" w:type="dxa"/>
            <w:tcBorders>
              <w:top w:val="nil"/>
              <w:left w:val="nil"/>
              <w:bottom w:val="single" w:sz="4" w:space="0" w:color="auto"/>
              <w:right w:val="single" w:sz="4" w:space="0" w:color="auto"/>
            </w:tcBorders>
            <w:shd w:val="clear" w:color="auto" w:fill="auto"/>
            <w:noWrap/>
            <w:vAlign w:val="center"/>
            <w:hideMark/>
          </w:tcPr>
          <w:p w14:paraId="0C156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5084393000</w:t>
            </w:r>
          </w:p>
        </w:tc>
        <w:tc>
          <w:tcPr>
            <w:tcW w:w="1036" w:type="dxa"/>
            <w:tcBorders>
              <w:top w:val="nil"/>
              <w:left w:val="nil"/>
              <w:bottom w:val="single" w:sz="4" w:space="0" w:color="auto"/>
              <w:right w:val="single" w:sz="4" w:space="0" w:color="auto"/>
            </w:tcBorders>
            <w:shd w:val="clear" w:color="auto" w:fill="auto"/>
            <w:noWrap/>
            <w:vAlign w:val="center"/>
            <w:hideMark/>
          </w:tcPr>
          <w:p w14:paraId="2CA484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52479668</w:t>
            </w:r>
          </w:p>
        </w:tc>
        <w:tc>
          <w:tcPr>
            <w:tcW w:w="160" w:type="dxa"/>
            <w:tcBorders>
              <w:top w:val="nil"/>
              <w:left w:val="nil"/>
              <w:bottom w:val="single" w:sz="4" w:space="0" w:color="auto"/>
              <w:right w:val="nil"/>
            </w:tcBorders>
            <w:vAlign w:val="center"/>
          </w:tcPr>
          <w:p w14:paraId="3E716D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94DF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PIRNIČE</w:t>
            </w:r>
          </w:p>
        </w:tc>
      </w:tr>
      <w:tr w:rsidR="00072A69" w:rsidRPr="00DC6DF9" w14:paraId="4A7E4E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36F0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1329</w:t>
            </w:r>
          </w:p>
        </w:tc>
        <w:tc>
          <w:tcPr>
            <w:tcW w:w="1036" w:type="dxa"/>
            <w:tcBorders>
              <w:top w:val="nil"/>
              <w:left w:val="nil"/>
              <w:bottom w:val="single" w:sz="4" w:space="0" w:color="auto"/>
              <w:right w:val="single" w:sz="4" w:space="0" w:color="auto"/>
            </w:tcBorders>
            <w:shd w:val="clear" w:color="auto" w:fill="auto"/>
            <w:noWrap/>
            <w:vAlign w:val="center"/>
            <w:hideMark/>
          </w:tcPr>
          <w:p w14:paraId="14AE88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5089212000</w:t>
            </w:r>
          </w:p>
        </w:tc>
        <w:tc>
          <w:tcPr>
            <w:tcW w:w="1036" w:type="dxa"/>
            <w:tcBorders>
              <w:top w:val="nil"/>
              <w:left w:val="nil"/>
              <w:bottom w:val="single" w:sz="4" w:space="0" w:color="auto"/>
              <w:right w:val="single" w:sz="4" w:space="0" w:color="auto"/>
            </w:tcBorders>
            <w:shd w:val="clear" w:color="auto" w:fill="auto"/>
            <w:noWrap/>
            <w:vAlign w:val="center"/>
            <w:hideMark/>
          </w:tcPr>
          <w:p w14:paraId="06B87D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42909872</w:t>
            </w:r>
          </w:p>
        </w:tc>
        <w:tc>
          <w:tcPr>
            <w:tcW w:w="160" w:type="dxa"/>
            <w:tcBorders>
              <w:top w:val="nil"/>
              <w:left w:val="nil"/>
              <w:bottom w:val="single" w:sz="4" w:space="0" w:color="auto"/>
              <w:right w:val="nil"/>
            </w:tcBorders>
            <w:vAlign w:val="center"/>
          </w:tcPr>
          <w:p w14:paraId="6EC11A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12D4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PIVKA</w:t>
            </w:r>
          </w:p>
        </w:tc>
      </w:tr>
      <w:tr w:rsidR="00072A69" w:rsidRPr="00DC6DF9" w14:paraId="180318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A1E0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1330</w:t>
            </w:r>
          </w:p>
        </w:tc>
        <w:tc>
          <w:tcPr>
            <w:tcW w:w="1036" w:type="dxa"/>
            <w:tcBorders>
              <w:top w:val="nil"/>
              <w:left w:val="nil"/>
              <w:bottom w:val="single" w:sz="4" w:space="0" w:color="auto"/>
              <w:right w:val="single" w:sz="4" w:space="0" w:color="auto"/>
            </w:tcBorders>
            <w:shd w:val="clear" w:color="auto" w:fill="auto"/>
            <w:noWrap/>
            <w:vAlign w:val="center"/>
            <w:hideMark/>
          </w:tcPr>
          <w:p w14:paraId="5F37CF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5089450000</w:t>
            </w:r>
          </w:p>
        </w:tc>
        <w:tc>
          <w:tcPr>
            <w:tcW w:w="1036" w:type="dxa"/>
            <w:tcBorders>
              <w:top w:val="nil"/>
              <w:left w:val="nil"/>
              <w:bottom w:val="single" w:sz="4" w:space="0" w:color="auto"/>
              <w:right w:val="single" w:sz="4" w:space="0" w:color="auto"/>
            </w:tcBorders>
            <w:shd w:val="clear" w:color="auto" w:fill="auto"/>
            <w:noWrap/>
            <w:vAlign w:val="center"/>
            <w:hideMark/>
          </w:tcPr>
          <w:p w14:paraId="7B1708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18080774</w:t>
            </w:r>
          </w:p>
        </w:tc>
        <w:tc>
          <w:tcPr>
            <w:tcW w:w="160" w:type="dxa"/>
            <w:tcBorders>
              <w:top w:val="nil"/>
              <w:left w:val="nil"/>
              <w:bottom w:val="single" w:sz="4" w:space="0" w:color="auto"/>
              <w:right w:val="nil"/>
            </w:tcBorders>
            <w:vAlign w:val="center"/>
          </w:tcPr>
          <w:p w14:paraId="3DBEE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221E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PLANINA PRI SEVNICI</w:t>
            </w:r>
          </w:p>
        </w:tc>
      </w:tr>
      <w:tr w:rsidR="00072A69" w:rsidRPr="00DC6DF9" w14:paraId="6EC69D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E1E5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1331</w:t>
            </w:r>
          </w:p>
        </w:tc>
        <w:tc>
          <w:tcPr>
            <w:tcW w:w="1036" w:type="dxa"/>
            <w:tcBorders>
              <w:top w:val="nil"/>
              <w:left w:val="nil"/>
              <w:bottom w:val="single" w:sz="4" w:space="0" w:color="auto"/>
              <w:right w:val="single" w:sz="4" w:space="0" w:color="auto"/>
            </w:tcBorders>
            <w:shd w:val="clear" w:color="auto" w:fill="auto"/>
            <w:noWrap/>
            <w:vAlign w:val="center"/>
            <w:hideMark/>
          </w:tcPr>
          <w:p w14:paraId="7A208A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5087716000</w:t>
            </w:r>
          </w:p>
        </w:tc>
        <w:tc>
          <w:tcPr>
            <w:tcW w:w="1036" w:type="dxa"/>
            <w:tcBorders>
              <w:top w:val="nil"/>
              <w:left w:val="nil"/>
              <w:bottom w:val="single" w:sz="4" w:space="0" w:color="auto"/>
              <w:right w:val="single" w:sz="4" w:space="0" w:color="auto"/>
            </w:tcBorders>
            <w:shd w:val="clear" w:color="auto" w:fill="auto"/>
            <w:noWrap/>
            <w:vAlign w:val="center"/>
            <w:hideMark/>
          </w:tcPr>
          <w:p w14:paraId="4D690E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67612261</w:t>
            </w:r>
          </w:p>
        </w:tc>
        <w:tc>
          <w:tcPr>
            <w:tcW w:w="160" w:type="dxa"/>
            <w:tcBorders>
              <w:top w:val="nil"/>
              <w:left w:val="nil"/>
              <w:bottom w:val="single" w:sz="4" w:space="0" w:color="auto"/>
              <w:right w:val="nil"/>
            </w:tcBorders>
            <w:vAlign w:val="center"/>
          </w:tcPr>
          <w:p w14:paraId="5259EE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2D7A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POD GORO</w:t>
            </w:r>
          </w:p>
        </w:tc>
      </w:tr>
      <w:tr w:rsidR="00072A69" w:rsidRPr="00DC6DF9" w14:paraId="54DFE4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9CB7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w:t>
            </w:r>
          </w:p>
        </w:tc>
        <w:tc>
          <w:tcPr>
            <w:tcW w:w="1036" w:type="dxa"/>
            <w:tcBorders>
              <w:top w:val="nil"/>
              <w:left w:val="nil"/>
              <w:bottom w:val="single" w:sz="4" w:space="0" w:color="auto"/>
              <w:right w:val="single" w:sz="4" w:space="0" w:color="auto"/>
            </w:tcBorders>
            <w:shd w:val="clear" w:color="auto" w:fill="auto"/>
            <w:noWrap/>
            <w:vAlign w:val="center"/>
            <w:hideMark/>
          </w:tcPr>
          <w:p w14:paraId="1B41B4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5086051000</w:t>
            </w:r>
          </w:p>
        </w:tc>
        <w:tc>
          <w:tcPr>
            <w:tcW w:w="1036" w:type="dxa"/>
            <w:tcBorders>
              <w:top w:val="nil"/>
              <w:left w:val="nil"/>
              <w:bottom w:val="single" w:sz="4" w:space="0" w:color="auto"/>
              <w:right w:val="single" w:sz="4" w:space="0" w:color="auto"/>
            </w:tcBorders>
            <w:shd w:val="clear" w:color="auto" w:fill="auto"/>
            <w:noWrap/>
            <w:vAlign w:val="center"/>
            <w:hideMark/>
          </w:tcPr>
          <w:p w14:paraId="42A695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57625166</w:t>
            </w:r>
          </w:p>
        </w:tc>
        <w:tc>
          <w:tcPr>
            <w:tcW w:w="160" w:type="dxa"/>
            <w:tcBorders>
              <w:top w:val="nil"/>
              <w:left w:val="nil"/>
              <w:bottom w:val="single" w:sz="4" w:space="0" w:color="auto"/>
              <w:right w:val="nil"/>
            </w:tcBorders>
            <w:vAlign w:val="center"/>
          </w:tcPr>
          <w:p w14:paraId="0BC00E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E623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PODBOČJE</w:t>
            </w:r>
          </w:p>
        </w:tc>
      </w:tr>
      <w:tr w:rsidR="00072A69" w:rsidRPr="00DC6DF9" w14:paraId="0A41E7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41EE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1333</w:t>
            </w:r>
          </w:p>
        </w:tc>
        <w:tc>
          <w:tcPr>
            <w:tcW w:w="1036" w:type="dxa"/>
            <w:tcBorders>
              <w:top w:val="nil"/>
              <w:left w:val="nil"/>
              <w:bottom w:val="single" w:sz="4" w:space="0" w:color="auto"/>
              <w:right w:val="single" w:sz="4" w:space="0" w:color="auto"/>
            </w:tcBorders>
            <w:shd w:val="clear" w:color="auto" w:fill="auto"/>
            <w:noWrap/>
            <w:vAlign w:val="center"/>
            <w:hideMark/>
          </w:tcPr>
          <w:p w14:paraId="78727D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5087945000</w:t>
            </w:r>
          </w:p>
        </w:tc>
        <w:tc>
          <w:tcPr>
            <w:tcW w:w="1036" w:type="dxa"/>
            <w:tcBorders>
              <w:top w:val="nil"/>
              <w:left w:val="nil"/>
              <w:bottom w:val="single" w:sz="4" w:space="0" w:color="auto"/>
              <w:right w:val="single" w:sz="4" w:space="0" w:color="auto"/>
            </w:tcBorders>
            <w:shd w:val="clear" w:color="auto" w:fill="auto"/>
            <w:noWrap/>
            <w:vAlign w:val="center"/>
            <w:hideMark/>
          </w:tcPr>
          <w:p w14:paraId="5B4CE5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96126043</w:t>
            </w:r>
          </w:p>
        </w:tc>
        <w:tc>
          <w:tcPr>
            <w:tcW w:w="160" w:type="dxa"/>
            <w:tcBorders>
              <w:top w:val="nil"/>
              <w:left w:val="nil"/>
              <w:bottom w:val="single" w:sz="4" w:space="0" w:color="auto"/>
              <w:right w:val="nil"/>
            </w:tcBorders>
            <w:vAlign w:val="center"/>
          </w:tcPr>
          <w:p w14:paraId="301FE9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5F4E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PODČETRTEK</w:t>
            </w:r>
          </w:p>
        </w:tc>
      </w:tr>
      <w:tr w:rsidR="00072A69" w:rsidRPr="00DC6DF9" w14:paraId="4B246E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55E6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1334</w:t>
            </w:r>
          </w:p>
        </w:tc>
        <w:tc>
          <w:tcPr>
            <w:tcW w:w="1036" w:type="dxa"/>
            <w:tcBorders>
              <w:top w:val="nil"/>
              <w:left w:val="nil"/>
              <w:bottom w:val="single" w:sz="4" w:space="0" w:color="auto"/>
              <w:right w:val="single" w:sz="4" w:space="0" w:color="auto"/>
            </w:tcBorders>
            <w:shd w:val="clear" w:color="auto" w:fill="auto"/>
            <w:noWrap/>
            <w:vAlign w:val="center"/>
            <w:hideMark/>
          </w:tcPr>
          <w:p w14:paraId="036B3A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5086019000</w:t>
            </w:r>
          </w:p>
        </w:tc>
        <w:tc>
          <w:tcPr>
            <w:tcW w:w="1036" w:type="dxa"/>
            <w:tcBorders>
              <w:top w:val="nil"/>
              <w:left w:val="nil"/>
              <w:bottom w:val="single" w:sz="4" w:space="0" w:color="auto"/>
              <w:right w:val="single" w:sz="4" w:space="0" w:color="auto"/>
            </w:tcBorders>
            <w:shd w:val="clear" w:color="auto" w:fill="auto"/>
            <w:noWrap/>
            <w:vAlign w:val="center"/>
            <w:hideMark/>
          </w:tcPr>
          <w:p w14:paraId="43A8E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12391263</w:t>
            </w:r>
          </w:p>
        </w:tc>
        <w:tc>
          <w:tcPr>
            <w:tcW w:w="160" w:type="dxa"/>
            <w:tcBorders>
              <w:top w:val="nil"/>
              <w:left w:val="nil"/>
              <w:bottom w:val="single" w:sz="4" w:space="0" w:color="auto"/>
              <w:right w:val="nil"/>
            </w:tcBorders>
            <w:vAlign w:val="center"/>
          </w:tcPr>
          <w:p w14:paraId="41E1D8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453C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PODGORA KUTEŽEVO</w:t>
            </w:r>
          </w:p>
        </w:tc>
      </w:tr>
      <w:tr w:rsidR="00072A69" w:rsidRPr="00DC6DF9" w14:paraId="5D5405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A7D1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1335</w:t>
            </w:r>
          </w:p>
        </w:tc>
        <w:tc>
          <w:tcPr>
            <w:tcW w:w="1036" w:type="dxa"/>
            <w:tcBorders>
              <w:top w:val="nil"/>
              <w:left w:val="nil"/>
              <w:bottom w:val="single" w:sz="4" w:space="0" w:color="auto"/>
              <w:right w:val="single" w:sz="4" w:space="0" w:color="auto"/>
            </w:tcBorders>
            <w:shd w:val="clear" w:color="auto" w:fill="auto"/>
            <w:noWrap/>
            <w:vAlign w:val="center"/>
            <w:hideMark/>
          </w:tcPr>
          <w:p w14:paraId="742EDC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5087112000</w:t>
            </w:r>
          </w:p>
        </w:tc>
        <w:tc>
          <w:tcPr>
            <w:tcW w:w="1036" w:type="dxa"/>
            <w:tcBorders>
              <w:top w:val="nil"/>
              <w:left w:val="nil"/>
              <w:bottom w:val="single" w:sz="4" w:space="0" w:color="auto"/>
              <w:right w:val="single" w:sz="4" w:space="0" w:color="auto"/>
            </w:tcBorders>
            <w:shd w:val="clear" w:color="auto" w:fill="auto"/>
            <w:noWrap/>
            <w:vAlign w:val="center"/>
            <w:hideMark/>
          </w:tcPr>
          <w:p w14:paraId="44D5B5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88073106</w:t>
            </w:r>
          </w:p>
        </w:tc>
        <w:tc>
          <w:tcPr>
            <w:tcW w:w="160" w:type="dxa"/>
            <w:tcBorders>
              <w:top w:val="nil"/>
              <w:left w:val="nil"/>
              <w:bottom w:val="single" w:sz="4" w:space="0" w:color="auto"/>
              <w:right w:val="nil"/>
            </w:tcBorders>
            <w:vAlign w:val="center"/>
          </w:tcPr>
          <w:p w14:paraId="559D7D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D311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PODLEHNIK</w:t>
            </w:r>
          </w:p>
        </w:tc>
      </w:tr>
      <w:tr w:rsidR="00072A69" w:rsidRPr="00DC6DF9" w14:paraId="12ECB4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57F5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1336</w:t>
            </w:r>
          </w:p>
        </w:tc>
        <w:tc>
          <w:tcPr>
            <w:tcW w:w="1036" w:type="dxa"/>
            <w:tcBorders>
              <w:top w:val="nil"/>
              <w:left w:val="nil"/>
              <w:bottom w:val="single" w:sz="4" w:space="0" w:color="auto"/>
              <w:right w:val="single" w:sz="4" w:space="0" w:color="auto"/>
            </w:tcBorders>
            <w:shd w:val="clear" w:color="auto" w:fill="auto"/>
            <w:noWrap/>
            <w:vAlign w:val="center"/>
            <w:hideMark/>
          </w:tcPr>
          <w:p w14:paraId="787315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5085543000</w:t>
            </w:r>
          </w:p>
        </w:tc>
        <w:tc>
          <w:tcPr>
            <w:tcW w:w="1036" w:type="dxa"/>
            <w:tcBorders>
              <w:top w:val="nil"/>
              <w:left w:val="nil"/>
              <w:bottom w:val="single" w:sz="4" w:space="0" w:color="auto"/>
              <w:right w:val="single" w:sz="4" w:space="0" w:color="auto"/>
            </w:tcBorders>
            <w:shd w:val="clear" w:color="auto" w:fill="auto"/>
            <w:noWrap/>
            <w:vAlign w:val="center"/>
            <w:hideMark/>
          </w:tcPr>
          <w:p w14:paraId="721B50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68512902</w:t>
            </w:r>
          </w:p>
        </w:tc>
        <w:tc>
          <w:tcPr>
            <w:tcW w:w="160" w:type="dxa"/>
            <w:tcBorders>
              <w:top w:val="nil"/>
              <w:left w:val="nil"/>
              <w:bottom w:val="single" w:sz="4" w:space="0" w:color="auto"/>
              <w:right w:val="nil"/>
            </w:tcBorders>
            <w:vAlign w:val="center"/>
          </w:tcPr>
          <w:p w14:paraId="1CF975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1482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PODZEMELJ</w:t>
            </w:r>
          </w:p>
        </w:tc>
      </w:tr>
      <w:tr w:rsidR="00072A69" w:rsidRPr="00DC6DF9" w14:paraId="151529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C8C0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1337</w:t>
            </w:r>
          </w:p>
        </w:tc>
        <w:tc>
          <w:tcPr>
            <w:tcW w:w="1036" w:type="dxa"/>
            <w:tcBorders>
              <w:top w:val="nil"/>
              <w:left w:val="nil"/>
              <w:bottom w:val="single" w:sz="4" w:space="0" w:color="auto"/>
              <w:right w:val="single" w:sz="4" w:space="0" w:color="auto"/>
            </w:tcBorders>
            <w:shd w:val="clear" w:color="auto" w:fill="auto"/>
            <w:noWrap/>
            <w:vAlign w:val="center"/>
            <w:hideMark/>
          </w:tcPr>
          <w:p w14:paraId="399535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5087660000</w:t>
            </w:r>
          </w:p>
        </w:tc>
        <w:tc>
          <w:tcPr>
            <w:tcW w:w="1036" w:type="dxa"/>
            <w:tcBorders>
              <w:top w:val="nil"/>
              <w:left w:val="nil"/>
              <w:bottom w:val="single" w:sz="4" w:space="0" w:color="auto"/>
              <w:right w:val="single" w:sz="4" w:space="0" w:color="auto"/>
            </w:tcBorders>
            <w:shd w:val="clear" w:color="auto" w:fill="auto"/>
            <w:noWrap/>
            <w:vAlign w:val="center"/>
            <w:hideMark/>
          </w:tcPr>
          <w:p w14:paraId="2C3D91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12215279</w:t>
            </w:r>
          </w:p>
        </w:tc>
        <w:tc>
          <w:tcPr>
            <w:tcW w:w="160" w:type="dxa"/>
            <w:tcBorders>
              <w:top w:val="nil"/>
              <w:left w:val="nil"/>
              <w:bottom w:val="single" w:sz="4" w:space="0" w:color="auto"/>
              <w:right w:val="nil"/>
            </w:tcBorders>
            <w:vAlign w:val="center"/>
          </w:tcPr>
          <w:p w14:paraId="50FEE7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0586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POHORSKEGA BATALJONA OPLOTNICA</w:t>
            </w:r>
          </w:p>
        </w:tc>
      </w:tr>
      <w:tr w:rsidR="00072A69" w:rsidRPr="00DC6DF9" w14:paraId="1AA7206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EEAE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1338</w:t>
            </w:r>
          </w:p>
        </w:tc>
        <w:tc>
          <w:tcPr>
            <w:tcW w:w="1036" w:type="dxa"/>
            <w:tcBorders>
              <w:top w:val="nil"/>
              <w:left w:val="nil"/>
              <w:bottom w:val="single" w:sz="4" w:space="0" w:color="auto"/>
              <w:right w:val="single" w:sz="4" w:space="0" w:color="auto"/>
            </w:tcBorders>
            <w:shd w:val="clear" w:color="auto" w:fill="auto"/>
            <w:noWrap/>
            <w:vAlign w:val="center"/>
            <w:hideMark/>
          </w:tcPr>
          <w:p w14:paraId="4AA158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5087686000</w:t>
            </w:r>
          </w:p>
        </w:tc>
        <w:tc>
          <w:tcPr>
            <w:tcW w:w="1036" w:type="dxa"/>
            <w:tcBorders>
              <w:top w:val="nil"/>
              <w:left w:val="nil"/>
              <w:bottom w:val="single" w:sz="4" w:space="0" w:color="auto"/>
              <w:right w:val="single" w:sz="4" w:space="0" w:color="auto"/>
            </w:tcBorders>
            <w:shd w:val="clear" w:color="auto" w:fill="auto"/>
            <w:noWrap/>
            <w:vAlign w:val="center"/>
            <w:hideMark/>
          </w:tcPr>
          <w:p w14:paraId="2AC923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48238112</w:t>
            </w:r>
          </w:p>
        </w:tc>
        <w:tc>
          <w:tcPr>
            <w:tcW w:w="160" w:type="dxa"/>
            <w:tcBorders>
              <w:top w:val="nil"/>
              <w:left w:val="nil"/>
              <w:bottom w:val="single" w:sz="4" w:space="0" w:color="auto"/>
              <w:right w:val="nil"/>
            </w:tcBorders>
            <w:vAlign w:val="center"/>
          </w:tcPr>
          <w:p w14:paraId="0155C6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B23B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POHORSKEGA ODREDA SLOVENSKA BISTRICA</w:t>
            </w:r>
          </w:p>
        </w:tc>
      </w:tr>
      <w:tr w:rsidR="00072A69" w:rsidRPr="00DC6DF9" w14:paraId="787227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91FC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1339</w:t>
            </w:r>
          </w:p>
        </w:tc>
        <w:tc>
          <w:tcPr>
            <w:tcW w:w="1036" w:type="dxa"/>
            <w:tcBorders>
              <w:top w:val="nil"/>
              <w:left w:val="nil"/>
              <w:bottom w:val="single" w:sz="4" w:space="0" w:color="auto"/>
              <w:right w:val="single" w:sz="4" w:space="0" w:color="auto"/>
            </w:tcBorders>
            <w:shd w:val="clear" w:color="auto" w:fill="auto"/>
            <w:noWrap/>
            <w:vAlign w:val="center"/>
            <w:hideMark/>
          </w:tcPr>
          <w:p w14:paraId="339892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5084466000</w:t>
            </w:r>
          </w:p>
        </w:tc>
        <w:tc>
          <w:tcPr>
            <w:tcW w:w="1036" w:type="dxa"/>
            <w:tcBorders>
              <w:top w:val="nil"/>
              <w:left w:val="nil"/>
              <w:bottom w:val="single" w:sz="4" w:space="0" w:color="auto"/>
              <w:right w:val="single" w:sz="4" w:space="0" w:color="auto"/>
            </w:tcBorders>
            <w:shd w:val="clear" w:color="auto" w:fill="auto"/>
            <w:noWrap/>
            <w:vAlign w:val="center"/>
            <w:hideMark/>
          </w:tcPr>
          <w:p w14:paraId="7F4992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36290530</w:t>
            </w:r>
          </w:p>
        </w:tc>
        <w:tc>
          <w:tcPr>
            <w:tcW w:w="160" w:type="dxa"/>
            <w:tcBorders>
              <w:top w:val="nil"/>
              <w:left w:val="nil"/>
              <w:bottom w:val="single" w:sz="4" w:space="0" w:color="auto"/>
              <w:right w:val="nil"/>
            </w:tcBorders>
            <w:vAlign w:val="center"/>
          </w:tcPr>
          <w:p w14:paraId="449449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DE5B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POLHOV GRADEC</w:t>
            </w:r>
          </w:p>
        </w:tc>
      </w:tr>
      <w:tr w:rsidR="00072A69" w:rsidRPr="00DC6DF9" w14:paraId="5AA5DC9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5C31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1340</w:t>
            </w:r>
          </w:p>
        </w:tc>
        <w:tc>
          <w:tcPr>
            <w:tcW w:w="1036" w:type="dxa"/>
            <w:tcBorders>
              <w:top w:val="nil"/>
              <w:left w:val="nil"/>
              <w:bottom w:val="single" w:sz="4" w:space="0" w:color="auto"/>
              <w:right w:val="single" w:sz="4" w:space="0" w:color="auto"/>
            </w:tcBorders>
            <w:shd w:val="clear" w:color="auto" w:fill="auto"/>
            <w:noWrap/>
            <w:vAlign w:val="center"/>
            <w:hideMark/>
          </w:tcPr>
          <w:p w14:paraId="41F57F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5083494000</w:t>
            </w:r>
          </w:p>
        </w:tc>
        <w:tc>
          <w:tcPr>
            <w:tcW w:w="1036" w:type="dxa"/>
            <w:tcBorders>
              <w:top w:val="nil"/>
              <w:left w:val="nil"/>
              <w:bottom w:val="single" w:sz="4" w:space="0" w:color="auto"/>
              <w:right w:val="single" w:sz="4" w:space="0" w:color="auto"/>
            </w:tcBorders>
            <w:shd w:val="clear" w:color="auto" w:fill="auto"/>
            <w:noWrap/>
            <w:vAlign w:val="center"/>
            <w:hideMark/>
          </w:tcPr>
          <w:p w14:paraId="0236FE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73742309</w:t>
            </w:r>
          </w:p>
        </w:tc>
        <w:tc>
          <w:tcPr>
            <w:tcW w:w="160" w:type="dxa"/>
            <w:tcBorders>
              <w:top w:val="nil"/>
              <w:left w:val="nil"/>
              <w:bottom w:val="single" w:sz="4" w:space="0" w:color="auto"/>
              <w:right w:val="nil"/>
            </w:tcBorders>
            <w:vAlign w:val="center"/>
          </w:tcPr>
          <w:p w14:paraId="12CB7D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A70C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POLJANE</w:t>
            </w:r>
          </w:p>
        </w:tc>
      </w:tr>
      <w:tr w:rsidR="00072A69" w:rsidRPr="00DC6DF9" w14:paraId="118D18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0B95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1341</w:t>
            </w:r>
          </w:p>
        </w:tc>
        <w:tc>
          <w:tcPr>
            <w:tcW w:w="1036" w:type="dxa"/>
            <w:tcBorders>
              <w:top w:val="nil"/>
              <w:left w:val="nil"/>
              <w:bottom w:val="single" w:sz="4" w:space="0" w:color="auto"/>
              <w:right w:val="single" w:sz="4" w:space="0" w:color="auto"/>
            </w:tcBorders>
            <w:shd w:val="clear" w:color="auto" w:fill="auto"/>
            <w:noWrap/>
            <w:vAlign w:val="center"/>
            <w:hideMark/>
          </w:tcPr>
          <w:p w14:paraId="5F7E74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1199498000</w:t>
            </w:r>
          </w:p>
        </w:tc>
        <w:tc>
          <w:tcPr>
            <w:tcW w:w="1036" w:type="dxa"/>
            <w:tcBorders>
              <w:top w:val="nil"/>
              <w:left w:val="nil"/>
              <w:bottom w:val="single" w:sz="4" w:space="0" w:color="auto"/>
              <w:right w:val="single" w:sz="4" w:space="0" w:color="auto"/>
            </w:tcBorders>
            <w:shd w:val="clear" w:color="auto" w:fill="auto"/>
            <w:noWrap/>
            <w:vAlign w:val="center"/>
            <w:hideMark/>
          </w:tcPr>
          <w:p w14:paraId="115761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95058354</w:t>
            </w:r>
          </w:p>
        </w:tc>
        <w:tc>
          <w:tcPr>
            <w:tcW w:w="160" w:type="dxa"/>
            <w:tcBorders>
              <w:top w:val="nil"/>
              <w:left w:val="nil"/>
              <w:bottom w:val="single" w:sz="4" w:space="0" w:color="auto"/>
              <w:right w:val="nil"/>
            </w:tcBorders>
            <w:vAlign w:val="center"/>
          </w:tcPr>
          <w:p w14:paraId="6042D7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5C43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POLJANE, 4223 POLJANE</w:t>
            </w:r>
          </w:p>
        </w:tc>
      </w:tr>
      <w:tr w:rsidR="00072A69" w:rsidRPr="00DC6DF9" w14:paraId="7CA04E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F701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1342</w:t>
            </w:r>
          </w:p>
        </w:tc>
        <w:tc>
          <w:tcPr>
            <w:tcW w:w="1036" w:type="dxa"/>
            <w:tcBorders>
              <w:top w:val="nil"/>
              <w:left w:val="nil"/>
              <w:bottom w:val="single" w:sz="4" w:space="0" w:color="auto"/>
              <w:right w:val="single" w:sz="4" w:space="0" w:color="auto"/>
            </w:tcBorders>
            <w:shd w:val="clear" w:color="auto" w:fill="auto"/>
            <w:noWrap/>
            <w:vAlign w:val="center"/>
            <w:hideMark/>
          </w:tcPr>
          <w:p w14:paraId="5AF40A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5084288000</w:t>
            </w:r>
          </w:p>
        </w:tc>
        <w:tc>
          <w:tcPr>
            <w:tcW w:w="1036" w:type="dxa"/>
            <w:tcBorders>
              <w:top w:val="nil"/>
              <w:left w:val="nil"/>
              <w:bottom w:val="single" w:sz="4" w:space="0" w:color="auto"/>
              <w:right w:val="single" w:sz="4" w:space="0" w:color="auto"/>
            </w:tcBorders>
            <w:shd w:val="clear" w:color="auto" w:fill="auto"/>
            <w:noWrap/>
            <w:vAlign w:val="center"/>
            <w:hideMark/>
          </w:tcPr>
          <w:p w14:paraId="5F35B9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99728508</w:t>
            </w:r>
          </w:p>
        </w:tc>
        <w:tc>
          <w:tcPr>
            <w:tcW w:w="160" w:type="dxa"/>
            <w:tcBorders>
              <w:top w:val="nil"/>
              <w:left w:val="nil"/>
              <w:bottom w:val="single" w:sz="4" w:space="0" w:color="auto"/>
              <w:right w:val="nil"/>
            </w:tcBorders>
            <w:vAlign w:val="center"/>
          </w:tcPr>
          <w:p w14:paraId="2B2BAC4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7D8D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POLJE</w:t>
            </w:r>
          </w:p>
        </w:tc>
      </w:tr>
      <w:tr w:rsidR="00072A69" w:rsidRPr="00DC6DF9" w14:paraId="067B2F9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FA03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1343</w:t>
            </w:r>
          </w:p>
        </w:tc>
        <w:tc>
          <w:tcPr>
            <w:tcW w:w="1036" w:type="dxa"/>
            <w:tcBorders>
              <w:top w:val="nil"/>
              <w:left w:val="nil"/>
              <w:bottom w:val="single" w:sz="4" w:space="0" w:color="auto"/>
              <w:right w:val="single" w:sz="4" w:space="0" w:color="auto"/>
            </w:tcBorders>
            <w:shd w:val="clear" w:color="auto" w:fill="auto"/>
            <w:noWrap/>
            <w:vAlign w:val="center"/>
            <w:hideMark/>
          </w:tcPr>
          <w:p w14:paraId="0E6BDB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5088500000</w:t>
            </w:r>
          </w:p>
        </w:tc>
        <w:tc>
          <w:tcPr>
            <w:tcW w:w="1036" w:type="dxa"/>
            <w:tcBorders>
              <w:top w:val="nil"/>
              <w:left w:val="nil"/>
              <w:bottom w:val="single" w:sz="4" w:space="0" w:color="auto"/>
              <w:right w:val="single" w:sz="4" w:space="0" w:color="auto"/>
            </w:tcBorders>
            <w:shd w:val="clear" w:color="auto" w:fill="auto"/>
            <w:noWrap/>
            <w:vAlign w:val="center"/>
            <w:hideMark/>
          </w:tcPr>
          <w:p w14:paraId="5AC87E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33941688</w:t>
            </w:r>
          </w:p>
        </w:tc>
        <w:tc>
          <w:tcPr>
            <w:tcW w:w="160" w:type="dxa"/>
            <w:tcBorders>
              <w:top w:val="nil"/>
              <w:left w:val="nil"/>
              <w:bottom w:val="single" w:sz="4" w:space="0" w:color="auto"/>
              <w:right w:val="nil"/>
            </w:tcBorders>
            <w:vAlign w:val="center"/>
          </w:tcPr>
          <w:p w14:paraId="58B34F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0009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POLZELA</w:t>
            </w:r>
          </w:p>
        </w:tc>
      </w:tr>
      <w:tr w:rsidR="00072A69" w:rsidRPr="00DC6DF9" w14:paraId="7CCA6A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DD14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1344</w:t>
            </w:r>
          </w:p>
        </w:tc>
        <w:tc>
          <w:tcPr>
            <w:tcW w:w="1036" w:type="dxa"/>
            <w:tcBorders>
              <w:top w:val="nil"/>
              <w:left w:val="nil"/>
              <w:bottom w:val="single" w:sz="4" w:space="0" w:color="auto"/>
              <w:right w:val="single" w:sz="4" w:space="0" w:color="auto"/>
            </w:tcBorders>
            <w:shd w:val="clear" w:color="auto" w:fill="auto"/>
            <w:noWrap/>
            <w:vAlign w:val="center"/>
            <w:hideMark/>
          </w:tcPr>
          <w:p w14:paraId="425589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5088518000</w:t>
            </w:r>
          </w:p>
        </w:tc>
        <w:tc>
          <w:tcPr>
            <w:tcW w:w="1036" w:type="dxa"/>
            <w:tcBorders>
              <w:top w:val="nil"/>
              <w:left w:val="nil"/>
              <w:bottom w:val="single" w:sz="4" w:space="0" w:color="auto"/>
              <w:right w:val="single" w:sz="4" w:space="0" w:color="auto"/>
            </w:tcBorders>
            <w:shd w:val="clear" w:color="auto" w:fill="auto"/>
            <w:noWrap/>
            <w:vAlign w:val="center"/>
            <w:hideMark/>
          </w:tcPr>
          <w:p w14:paraId="668379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81995270</w:t>
            </w:r>
          </w:p>
        </w:tc>
        <w:tc>
          <w:tcPr>
            <w:tcW w:w="160" w:type="dxa"/>
            <w:tcBorders>
              <w:top w:val="nil"/>
              <w:left w:val="nil"/>
              <w:bottom w:val="single" w:sz="4" w:space="0" w:color="auto"/>
              <w:right w:val="nil"/>
            </w:tcBorders>
            <w:vAlign w:val="center"/>
          </w:tcPr>
          <w:p w14:paraId="5CCD46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215B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PREBOLD</w:t>
            </w:r>
          </w:p>
        </w:tc>
      </w:tr>
      <w:tr w:rsidR="00072A69" w:rsidRPr="00DC6DF9" w14:paraId="0C48B0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6D83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1345</w:t>
            </w:r>
          </w:p>
        </w:tc>
        <w:tc>
          <w:tcPr>
            <w:tcW w:w="1036" w:type="dxa"/>
            <w:tcBorders>
              <w:top w:val="nil"/>
              <w:left w:val="nil"/>
              <w:bottom w:val="single" w:sz="4" w:space="0" w:color="auto"/>
              <w:right w:val="single" w:sz="4" w:space="0" w:color="auto"/>
            </w:tcBorders>
            <w:shd w:val="clear" w:color="auto" w:fill="auto"/>
            <w:noWrap/>
            <w:vAlign w:val="center"/>
            <w:hideMark/>
          </w:tcPr>
          <w:p w14:paraId="1065BF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5083222000</w:t>
            </w:r>
          </w:p>
        </w:tc>
        <w:tc>
          <w:tcPr>
            <w:tcW w:w="1036" w:type="dxa"/>
            <w:tcBorders>
              <w:top w:val="nil"/>
              <w:left w:val="nil"/>
              <w:bottom w:val="single" w:sz="4" w:space="0" w:color="auto"/>
              <w:right w:val="single" w:sz="4" w:space="0" w:color="auto"/>
            </w:tcBorders>
            <w:shd w:val="clear" w:color="auto" w:fill="auto"/>
            <w:noWrap/>
            <w:vAlign w:val="center"/>
            <w:hideMark/>
          </w:tcPr>
          <w:p w14:paraId="2A8229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53580664</w:t>
            </w:r>
          </w:p>
        </w:tc>
        <w:tc>
          <w:tcPr>
            <w:tcW w:w="160" w:type="dxa"/>
            <w:tcBorders>
              <w:top w:val="nil"/>
              <w:left w:val="nil"/>
              <w:bottom w:val="single" w:sz="4" w:space="0" w:color="auto"/>
              <w:right w:val="nil"/>
            </w:tcBorders>
            <w:vAlign w:val="center"/>
          </w:tcPr>
          <w:p w14:paraId="5E845A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8876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PREDOSLJE KRANJ</w:t>
            </w:r>
          </w:p>
        </w:tc>
      </w:tr>
      <w:tr w:rsidR="00072A69" w:rsidRPr="00DC6DF9" w14:paraId="1F1FE2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A454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1346</w:t>
            </w:r>
          </w:p>
        </w:tc>
        <w:tc>
          <w:tcPr>
            <w:tcW w:w="1036" w:type="dxa"/>
            <w:tcBorders>
              <w:top w:val="nil"/>
              <w:left w:val="nil"/>
              <w:bottom w:val="single" w:sz="4" w:space="0" w:color="auto"/>
              <w:right w:val="single" w:sz="4" w:space="0" w:color="auto"/>
            </w:tcBorders>
            <w:shd w:val="clear" w:color="auto" w:fill="auto"/>
            <w:noWrap/>
            <w:vAlign w:val="center"/>
            <w:hideMark/>
          </w:tcPr>
          <w:p w14:paraId="4A5CFA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5084474000</w:t>
            </w:r>
          </w:p>
        </w:tc>
        <w:tc>
          <w:tcPr>
            <w:tcW w:w="1036" w:type="dxa"/>
            <w:tcBorders>
              <w:top w:val="nil"/>
              <w:left w:val="nil"/>
              <w:bottom w:val="single" w:sz="4" w:space="0" w:color="auto"/>
              <w:right w:val="single" w:sz="4" w:space="0" w:color="auto"/>
            </w:tcBorders>
            <w:shd w:val="clear" w:color="auto" w:fill="auto"/>
            <w:noWrap/>
            <w:vAlign w:val="center"/>
            <w:hideMark/>
          </w:tcPr>
          <w:p w14:paraId="6C0E47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92875602</w:t>
            </w:r>
          </w:p>
        </w:tc>
        <w:tc>
          <w:tcPr>
            <w:tcW w:w="160" w:type="dxa"/>
            <w:tcBorders>
              <w:top w:val="nil"/>
              <w:left w:val="nil"/>
              <w:bottom w:val="single" w:sz="4" w:space="0" w:color="auto"/>
              <w:right w:val="nil"/>
            </w:tcBorders>
            <w:vAlign w:val="center"/>
          </w:tcPr>
          <w:p w14:paraId="7ACFD4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27E2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PRESERJE</w:t>
            </w:r>
          </w:p>
        </w:tc>
      </w:tr>
      <w:tr w:rsidR="00072A69" w:rsidRPr="00DC6DF9" w14:paraId="1037016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39AC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1347</w:t>
            </w:r>
          </w:p>
        </w:tc>
        <w:tc>
          <w:tcPr>
            <w:tcW w:w="1036" w:type="dxa"/>
            <w:tcBorders>
              <w:top w:val="nil"/>
              <w:left w:val="nil"/>
              <w:bottom w:val="single" w:sz="4" w:space="0" w:color="auto"/>
              <w:right w:val="single" w:sz="4" w:space="0" w:color="auto"/>
            </w:tcBorders>
            <w:shd w:val="clear" w:color="auto" w:fill="auto"/>
            <w:noWrap/>
            <w:vAlign w:val="center"/>
            <w:hideMark/>
          </w:tcPr>
          <w:p w14:paraId="309B35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5084741000</w:t>
            </w:r>
          </w:p>
        </w:tc>
        <w:tc>
          <w:tcPr>
            <w:tcW w:w="1036" w:type="dxa"/>
            <w:tcBorders>
              <w:top w:val="nil"/>
              <w:left w:val="nil"/>
              <w:bottom w:val="single" w:sz="4" w:space="0" w:color="auto"/>
              <w:right w:val="single" w:sz="4" w:space="0" w:color="auto"/>
            </w:tcBorders>
            <w:shd w:val="clear" w:color="auto" w:fill="auto"/>
            <w:noWrap/>
            <w:vAlign w:val="center"/>
            <w:hideMark/>
          </w:tcPr>
          <w:p w14:paraId="4D6697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68428120</w:t>
            </w:r>
          </w:p>
        </w:tc>
        <w:tc>
          <w:tcPr>
            <w:tcW w:w="160" w:type="dxa"/>
            <w:tcBorders>
              <w:top w:val="nil"/>
              <w:left w:val="nil"/>
              <w:bottom w:val="single" w:sz="4" w:space="0" w:color="auto"/>
              <w:right w:val="nil"/>
            </w:tcBorders>
            <w:vAlign w:val="center"/>
          </w:tcPr>
          <w:p w14:paraId="73BE5E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4ED4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PRESERJE PRI RADOMLJAH</w:t>
            </w:r>
          </w:p>
        </w:tc>
      </w:tr>
      <w:tr w:rsidR="00072A69" w:rsidRPr="00DC6DF9" w14:paraId="5D41976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3EB1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1348</w:t>
            </w:r>
          </w:p>
        </w:tc>
        <w:tc>
          <w:tcPr>
            <w:tcW w:w="1036" w:type="dxa"/>
            <w:tcBorders>
              <w:top w:val="nil"/>
              <w:left w:val="nil"/>
              <w:bottom w:val="single" w:sz="4" w:space="0" w:color="auto"/>
              <w:right w:val="single" w:sz="4" w:space="0" w:color="auto"/>
            </w:tcBorders>
            <w:shd w:val="clear" w:color="auto" w:fill="auto"/>
            <w:noWrap/>
            <w:vAlign w:val="center"/>
            <w:hideMark/>
          </w:tcPr>
          <w:p w14:paraId="652D56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5084334000</w:t>
            </w:r>
          </w:p>
        </w:tc>
        <w:tc>
          <w:tcPr>
            <w:tcW w:w="1036" w:type="dxa"/>
            <w:tcBorders>
              <w:top w:val="nil"/>
              <w:left w:val="nil"/>
              <w:bottom w:val="single" w:sz="4" w:space="0" w:color="auto"/>
              <w:right w:val="single" w:sz="4" w:space="0" w:color="auto"/>
            </w:tcBorders>
            <w:shd w:val="clear" w:color="auto" w:fill="auto"/>
            <w:noWrap/>
            <w:vAlign w:val="center"/>
            <w:hideMark/>
          </w:tcPr>
          <w:p w14:paraId="175640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34416170</w:t>
            </w:r>
          </w:p>
        </w:tc>
        <w:tc>
          <w:tcPr>
            <w:tcW w:w="160" w:type="dxa"/>
            <w:tcBorders>
              <w:top w:val="nil"/>
              <w:left w:val="nil"/>
              <w:bottom w:val="single" w:sz="4" w:space="0" w:color="auto"/>
              <w:right w:val="nil"/>
            </w:tcBorders>
            <w:vAlign w:val="center"/>
          </w:tcPr>
          <w:p w14:paraId="62FC8E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E675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PRESKA</w:t>
            </w:r>
          </w:p>
        </w:tc>
      </w:tr>
      <w:tr w:rsidR="00072A69" w:rsidRPr="00DC6DF9" w14:paraId="07766B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594B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1349</w:t>
            </w:r>
          </w:p>
        </w:tc>
        <w:tc>
          <w:tcPr>
            <w:tcW w:w="1036" w:type="dxa"/>
            <w:tcBorders>
              <w:top w:val="nil"/>
              <w:left w:val="nil"/>
              <w:bottom w:val="single" w:sz="4" w:space="0" w:color="auto"/>
              <w:right w:val="single" w:sz="4" w:space="0" w:color="auto"/>
            </w:tcBorders>
            <w:shd w:val="clear" w:color="auto" w:fill="auto"/>
            <w:noWrap/>
            <w:vAlign w:val="center"/>
            <w:hideMark/>
          </w:tcPr>
          <w:p w14:paraId="54B79F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5086949000</w:t>
            </w:r>
          </w:p>
        </w:tc>
        <w:tc>
          <w:tcPr>
            <w:tcW w:w="1036" w:type="dxa"/>
            <w:tcBorders>
              <w:top w:val="nil"/>
              <w:left w:val="nil"/>
              <w:bottom w:val="single" w:sz="4" w:space="0" w:color="auto"/>
              <w:right w:val="single" w:sz="4" w:space="0" w:color="auto"/>
            </w:tcBorders>
            <w:shd w:val="clear" w:color="auto" w:fill="auto"/>
            <w:noWrap/>
            <w:vAlign w:val="center"/>
            <w:hideMark/>
          </w:tcPr>
          <w:p w14:paraId="236FEC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98956574</w:t>
            </w:r>
          </w:p>
        </w:tc>
        <w:tc>
          <w:tcPr>
            <w:tcW w:w="160" w:type="dxa"/>
            <w:tcBorders>
              <w:top w:val="nil"/>
              <w:left w:val="nil"/>
              <w:bottom w:val="single" w:sz="4" w:space="0" w:color="auto"/>
              <w:right w:val="nil"/>
            </w:tcBorders>
            <w:vAlign w:val="center"/>
          </w:tcPr>
          <w:p w14:paraId="17DBC6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624E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PRESTRANEK</w:t>
            </w:r>
          </w:p>
        </w:tc>
      </w:tr>
      <w:tr w:rsidR="00072A69" w:rsidRPr="00DC6DF9" w14:paraId="7AAAC6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0A34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1350</w:t>
            </w:r>
          </w:p>
        </w:tc>
        <w:tc>
          <w:tcPr>
            <w:tcW w:w="1036" w:type="dxa"/>
            <w:tcBorders>
              <w:top w:val="nil"/>
              <w:left w:val="nil"/>
              <w:bottom w:val="single" w:sz="4" w:space="0" w:color="auto"/>
              <w:right w:val="single" w:sz="4" w:space="0" w:color="auto"/>
            </w:tcBorders>
            <w:shd w:val="clear" w:color="auto" w:fill="auto"/>
            <w:noWrap/>
            <w:vAlign w:val="center"/>
            <w:hideMark/>
          </w:tcPr>
          <w:p w14:paraId="537FB4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5086272000</w:t>
            </w:r>
          </w:p>
        </w:tc>
        <w:tc>
          <w:tcPr>
            <w:tcW w:w="1036" w:type="dxa"/>
            <w:tcBorders>
              <w:top w:val="nil"/>
              <w:left w:val="nil"/>
              <w:bottom w:val="single" w:sz="4" w:space="0" w:color="auto"/>
              <w:right w:val="single" w:sz="4" w:space="0" w:color="auto"/>
            </w:tcBorders>
            <w:shd w:val="clear" w:color="auto" w:fill="auto"/>
            <w:noWrap/>
            <w:vAlign w:val="center"/>
            <w:hideMark/>
          </w:tcPr>
          <w:p w14:paraId="652E28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69795819</w:t>
            </w:r>
          </w:p>
        </w:tc>
        <w:tc>
          <w:tcPr>
            <w:tcW w:w="160" w:type="dxa"/>
            <w:tcBorders>
              <w:top w:val="nil"/>
              <w:left w:val="nil"/>
              <w:bottom w:val="single" w:sz="4" w:space="0" w:color="auto"/>
              <w:right w:val="nil"/>
            </w:tcBorders>
            <w:vAlign w:val="center"/>
          </w:tcPr>
          <w:p w14:paraId="36D1167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58AB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PREVOLE</w:t>
            </w:r>
          </w:p>
        </w:tc>
      </w:tr>
      <w:tr w:rsidR="00072A69" w:rsidRPr="00DC6DF9" w14:paraId="452D7C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945D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1351</w:t>
            </w:r>
          </w:p>
        </w:tc>
        <w:tc>
          <w:tcPr>
            <w:tcW w:w="1036" w:type="dxa"/>
            <w:tcBorders>
              <w:top w:val="nil"/>
              <w:left w:val="nil"/>
              <w:bottom w:val="single" w:sz="4" w:space="0" w:color="auto"/>
              <w:right w:val="single" w:sz="4" w:space="0" w:color="auto"/>
            </w:tcBorders>
            <w:shd w:val="clear" w:color="auto" w:fill="auto"/>
            <w:noWrap/>
            <w:vAlign w:val="center"/>
            <w:hideMark/>
          </w:tcPr>
          <w:p w14:paraId="4ACA0C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5084156000</w:t>
            </w:r>
          </w:p>
        </w:tc>
        <w:tc>
          <w:tcPr>
            <w:tcW w:w="1036" w:type="dxa"/>
            <w:tcBorders>
              <w:top w:val="nil"/>
              <w:left w:val="nil"/>
              <w:bottom w:val="single" w:sz="4" w:space="0" w:color="auto"/>
              <w:right w:val="single" w:sz="4" w:space="0" w:color="auto"/>
            </w:tcBorders>
            <w:shd w:val="clear" w:color="auto" w:fill="auto"/>
            <w:noWrap/>
            <w:vAlign w:val="center"/>
            <w:hideMark/>
          </w:tcPr>
          <w:p w14:paraId="444FA4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32732686</w:t>
            </w:r>
          </w:p>
        </w:tc>
        <w:tc>
          <w:tcPr>
            <w:tcW w:w="160" w:type="dxa"/>
            <w:tcBorders>
              <w:top w:val="nil"/>
              <w:left w:val="nil"/>
              <w:bottom w:val="single" w:sz="4" w:space="0" w:color="auto"/>
              <w:right w:val="nil"/>
            </w:tcBorders>
            <w:vAlign w:val="center"/>
          </w:tcPr>
          <w:p w14:paraId="3E6CA6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38DA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PREŽIHOVEGA VORANCA</w:t>
            </w:r>
          </w:p>
        </w:tc>
      </w:tr>
      <w:tr w:rsidR="00072A69" w:rsidRPr="00DC6DF9" w14:paraId="450049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FFB9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1352</w:t>
            </w:r>
          </w:p>
        </w:tc>
        <w:tc>
          <w:tcPr>
            <w:tcW w:w="1036" w:type="dxa"/>
            <w:tcBorders>
              <w:top w:val="nil"/>
              <w:left w:val="nil"/>
              <w:bottom w:val="single" w:sz="4" w:space="0" w:color="auto"/>
              <w:right w:val="single" w:sz="4" w:space="0" w:color="auto"/>
            </w:tcBorders>
            <w:shd w:val="clear" w:color="auto" w:fill="auto"/>
            <w:noWrap/>
            <w:vAlign w:val="center"/>
            <w:hideMark/>
          </w:tcPr>
          <w:p w14:paraId="797006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5089751000</w:t>
            </w:r>
          </w:p>
        </w:tc>
        <w:tc>
          <w:tcPr>
            <w:tcW w:w="1036" w:type="dxa"/>
            <w:tcBorders>
              <w:top w:val="nil"/>
              <w:left w:val="nil"/>
              <w:bottom w:val="single" w:sz="4" w:space="0" w:color="auto"/>
              <w:right w:val="single" w:sz="4" w:space="0" w:color="auto"/>
            </w:tcBorders>
            <w:shd w:val="clear" w:color="auto" w:fill="auto"/>
            <w:noWrap/>
            <w:vAlign w:val="center"/>
            <w:hideMark/>
          </w:tcPr>
          <w:p w14:paraId="59B959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94330522</w:t>
            </w:r>
          </w:p>
        </w:tc>
        <w:tc>
          <w:tcPr>
            <w:tcW w:w="160" w:type="dxa"/>
            <w:tcBorders>
              <w:top w:val="nil"/>
              <w:left w:val="nil"/>
              <w:bottom w:val="single" w:sz="4" w:space="0" w:color="auto"/>
              <w:right w:val="nil"/>
            </w:tcBorders>
            <w:vAlign w:val="center"/>
          </w:tcPr>
          <w:p w14:paraId="369CCF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DB02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PREŽIHOVEGA VORANCA BISTRICA</w:t>
            </w:r>
          </w:p>
        </w:tc>
      </w:tr>
      <w:tr w:rsidR="00072A69" w:rsidRPr="00DC6DF9" w14:paraId="77A2E8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1584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1353</w:t>
            </w:r>
          </w:p>
        </w:tc>
        <w:tc>
          <w:tcPr>
            <w:tcW w:w="1036" w:type="dxa"/>
            <w:tcBorders>
              <w:top w:val="nil"/>
              <w:left w:val="nil"/>
              <w:bottom w:val="single" w:sz="4" w:space="0" w:color="auto"/>
              <w:right w:val="single" w:sz="4" w:space="0" w:color="auto"/>
            </w:tcBorders>
            <w:shd w:val="clear" w:color="auto" w:fill="auto"/>
            <w:noWrap/>
            <w:vAlign w:val="center"/>
            <w:hideMark/>
          </w:tcPr>
          <w:p w14:paraId="4F8322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5719097000</w:t>
            </w:r>
          </w:p>
        </w:tc>
        <w:tc>
          <w:tcPr>
            <w:tcW w:w="1036" w:type="dxa"/>
            <w:tcBorders>
              <w:top w:val="nil"/>
              <w:left w:val="nil"/>
              <w:bottom w:val="single" w:sz="4" w:space="0" w:color="auto"/>
              <w:right w:val="single" w:sz="4" w:space="0" w:color="auto"/>
            </w:tcBorders>
            <w:shd w:val="clear" w:color="auto" w:fill="auto"/>
            <w:noWrap/>
            <w:vAlign w:val="center"/>
            <w:hideMark/>
          </w:tcPr>
          <w:p w14:paraId="74D040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71303103</w:t>
            </w:r>
          </w:p>
        </w:tc>
        <w:tc>
          <w:tcPr>
            <w:tcW w:w="160" w:type="dxa"/>
            <w:tcBorders>
              <w:top w:val="nil"/>
              <w:left w:val="nil"/>
              <w:bottom w:val="single" w:sz="4" w:space="0" w:color="auto"/>
              <w:right w:val="nil"/>
            </w:tcBorders>
            <w:vAlign w:val="center"/>
          </w:tcPr>
          <w:p w14:paraId="744755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B46C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PREŽIHOVEGA VORANCA JESENICE</w:t>
            </w:r>
          </w:p>
        </w:tc>
      </w:tr>
      <w:tr w:rsidR="00072A69" w:rsidRPr="00DC6DF9" w14:paraId="19A7A5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BC4B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1354</w:t>
            </w:r>
          </w:p>
        </w:tc>
        <w:tc>
          <w:tcPr>
            <w:tcW w:w="1036" w:type="dxa"/>
            <w:tcBorders>
              <w:top w:val="nil"/>
              <w:left w:val="nil"/>
              <w:bottom w:val="single" w:sz="4" w:space="0" w:color="auto"/>
              <w:right w:val="single" w:sz="4" w:space="0" w:color="auto"/>
            </w:tcBorders>
            <w:shd w:val="clear" w:color="auto" w:fill="auto"/>
            <w:noWrap/>
            <w:vAlign w:val="center"/>
            <w:hideMark/>
          </w:tcPr>
          <w:p w14:paraId="35AE67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5085101000</w:t>
            </w:r>
          </w:p>
        </w:tc>
        <w:tc>
          <w:tcPr>
            <w:tcW w:w="1036" w:type="dxa"/>
            <w:tcBorders>
              <w:top w:val="nil"/>
              <w:left w:val="nil"/>
              <w:bottom w:val="single" w:sz="4" w:space="0" w:color="auto"/>
              <w:right w:val="single" w:sz="4" w:space="0" w:color="auto"/>
            </w:tcBorders>
            <w:shd w:val="clear" w:color="auto" w:fill="auto"/>
            <w:noWrap/>
            <w:vAlign w:val="center"/>
            <w:hideMark/>
          </w:tcPr>
          <w:p w14:paraId="7EB94E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97870692</w:t>
            </w:r>
          </w:p>
        </w:tc>
        <w:tc>
          <w:tcPr>
            <w:tcW w:w="160" w:type="dxa"/>
            <w:tcBorders>
              <w:top w:val="nil"/>
              <w:left w:val="nil"/>
              <w:bottom w:val="single" w:sz="4" w:space="0" w:color="auto"/>
              <w:right w:val="nil"/>
            </w:tcBorders>
            <w:vAlign w:val="center"/>
          </w:tcPr>
          <w:p w14:paraId="25F3B8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09B6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PREŽIHOVEGA VORANCA MARIBOR</w:t>
            </w:r>
          </w:p>
        </w:tc>
      </w:tr>
      <w:tr w:rsidR="00072A69" w:rsidRPr="00DC6DF9" w14:paraId="477A68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9714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1355</w:t>
            </w:r>
          </w:p>
        </w:tc>
        <w:tc>
          <w:tcPr>
            <w:tcW w:w="1036" w:type="dxa"/>
            <w:tcBorders>
              <w:top w:val="nil"/>
              <w:left w:val="nil"/>
              <w:bottom w:val="single" w:sz="4" w:space="0" w:color="auto"/>
              <w:right w:val="single" w:sz="4" w:space="0" w:color="auto"/>
            </w:tcBorders>
            <w:shd w:val="clear" w:color="auto" w:fill="auto"/>
            <w:noWrap/>
            <w:vAlign w:val="center"/>
            <w:hideMark/>
          </w:tcPr>
          <w:p w14:paraId="71F690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5087392000</w:t>
            </w:r>
          </w:p>
        </w:tc>
        <w:tc>
          <w:tcPr>
            <w:tcW w:w="1036" w:type="dxa"/>
            <w:tcBorders>
              <w:top w:val="nil"/>
              <w:left w:val="nil"/>
              <w:bottom w:val="single" w:sz="4" w:space="0" w:color="auto"/>
              <w:right w:val="single" w:sz="4" w:space="0" w:color="auto"/>
            </w:tcBorders>
            <w:shd w:val="clear" w:color="auto" w:fill="auto"/>
            <w:noWrap/>
            <w:vAlign w:val="center"/>
            <w:hideMark/>
          </w:tcPr>
          <w:p w14:paraId="1B0609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26935465</w:t>
            </w:r>
          </w:p>
        </w:tc>
        <w:tc>
          <w:tcPr>
            <w:tcW w:w="160" w:type="dxa"/>
            <w:tcBorders>
              <w:top w:val="nil"/>
              <w:left w:val="nil"/>
              <w:bottom w:val="single" w:sz="4" w:space="0" w:color="auto"/>
              <w:right w:val="nil"/>
            </w:tcBorders>
            <w:vAlign w:val="center"/>
          </w:tcPr>
          <w:p w14:paraId="51AB51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62A5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PREŽIHOVEGA VORANCA RAVNE NA KOROŠKEM</w:t>
            </w:r>
          </w:p>
        </w:tc>
      </w:tr>
      <w:tr w:rsidR="00072A69" w:rsidRPr="00DC6DF9" w14:paraId="413856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15B4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1356</w:t>
            </w:r>
          </w:p>
        </w:tc>
        <w:tc>
          <w:tcPr>
            <w:tcW w:w="1036" w:type="dxa"/>
            <w:tcBorders>
              <w:top w:val="nil"/>
              <w:left w:val="nil"/>
              <w:bottom w:val="single" w:sz="4" w:space="0" w:color="auto"/>
              <w:right w:val="single" w:sz="4" w:space="0" w:color="auto"/>
            </w:tcBorders>
            <w:shd w:val="clear" w:color="auto" w:fill="auto"/>
            <w:noWrap/>
            <w:vAlign w:val="center"/>
            <w:hideMark/>
          </w:tcPr>
          <w:p w14:paraId="61C091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5924332000</w:t>
            </w:r>
          </w:p>
        </w:tc>
        <w:tc>
          <w:tcPr>
            <w:tcW w:w="1036" w:type="dxa"/>
            <w:tcBorders>
              <w:top w:val="nil"/>
              <w:left w:val="nil"/>
              <w:bottom w:val="single" w:sz="4" w:space="0" w:color="auto"/>
              <w:right w:val="single" w:sz="4" w:space="0" w:color="auto"/>
            </w:tcBorders>
            <w:shd w:val="clear" w:color="auto" w:fill="auto"/>
            <w:noWrap/>
            <w:vAlign w:val="center"/>
            <w:hideMark/>
          </w:tcPr>
          <w:p w14:paraId="338ABC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29610249</w:t>
            </w:r>
          </w:p>
        </w:tc>
        <w:tc>
          <w:tcPr>
            <w:tcW w:w="160" w:type="dxa"/>
            <w:tcBorders>
              <w:top w:val="nil"/>
              <w:left w:val="nil"/>
              <w:bottom w:val="single" w:sz="4" w:space="0" w:color="auto"/>
              <w:right w:val="nil"/>
            </w:tcBorders>
            <w:vAlign w:val="center"/>
          </w:tcPr>
          <w:p w14:paraId="6C770D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4251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PRIMOŽA TRUBARJA LAŠKO</w:t>
            </w:r>
          </w:p>
        </w:tc>
      </w:tr>
      <w:tr w:rsidR="00072A69" w:rsidRPr="00DC6DF9" w14:paraId="05E07E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4BB3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1357</w:t>
            </w:r>
          </w:p>
        </w:tc>
        <w:tc>
          <w:tcPr>
            <w:tcW w:w="1036" w:type="dxa"/>
            <w:tcBorders>
              <w:top w:val="nil"/>
              <w:left w:val="nil"/>
              <w:bottom w:val="single" w:sz="4" w:space="0" w:color="auto"/>
              <w:right w:val="single" w:sz="4" w:space="0" w:color="auto"/>
            </w:tcBorders>
            <w:shd w:val="clear" w:color="auto" w:fill="auto"/>
            <w:noWrap/>
            <w:vAlign w:val="center"/>
            <w:hideMark/>
          </w:tcPr>
          <w:p w14:paraId="58314A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5084539000</w:t>
            </w:r>
          </w:p>
        </w:tc>
        <w:tc>
          <w:tcPr>
            <w:tcW w:w="1036" w:type="dxa"/>
            <w:tcBorders>
              <w:top w:val="nil"/>
              <w:left w:val="nil"/>
              <w:bottom w:val="single" w:sz="4" w:space="0" w:color="auto"/>
              <w:right w:val="single" w:sz="4" w:space="0" w:color="auto"/>
            </w:tcBorders>
            <w:shd w:val="clear" w:color="auto" w:fill="auto"/>
            <w:noWrap/>
            <w:vAlign w:val="center"/>
            <w:hideMark/>
          </w:tcPr>
          <w:p w14:paraId="7606E1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21805865</w:t>
            </w:r>
          </w:p>
        </w:tc>
        <w:tc>
          <w:tcPr>
            <w:tcW w:w="160" w:type="dxa"/>
            <w:tcBorders>
              <w:top w:val="nil"/>
              <w:left w:val="nil"/>
              <w:bottom w:val="single" w:sz="4" w:space="0" w:color="auto"/>
              <w:right w:val="nil"/>
            </w:tcBorders>
            <w:vAlign w:val="center"/>
          </w:tcPr>
          <w:p w14:paraId="01149E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09CB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PRIMOŽA TRUBARJA VELIKE LAŠČE</w:t>
            </w:r>
          </w:p>
        </w:tc>
      </w:tr>
      <w:tr w:rsidR="00072A69" w:rsidRPr="00DC6DF9" w14:paraId="293028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6631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1358</w:t>
            </w:r>
          </w:p>
        </w:tc>
        <w:tc>
          <w:tcPr>
            <w:tcW w:w="1036" w:type="dxa"/>
            <w:tcBorders>
              <w:top w:val="nil"/>
              <w:left w:val="nil"/>
              <w:bottom w:val="single" w:sz="4" w:space="0" w:color="auto"/>
              <w:right w:val="single" w:sz="4" w:space="0" w:color="auto"/>
            </w:tcBorders>
            <w:shd w:val="clear" w:color="auto" w:fill="auto"/>
            <w:noWrap/>
            <w:vAlign w:val="center"/>
            <w:hideMark/>
          </w:tcPr>
          <w:p w14:paraId="3B8AAE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5087295000</w:t>
            </w:r>
          </w:p>
        </w:tc>
        <w:tc>
          <w:tcPr>
            <w:tcW w:w="1036" w:type="dxa"/>
            <w:tcBorders>
              <w:top w:val="nil"/>
              <w:left w:val="nil"/>
              <w:bottom w:val="single" w:sz="4" w:space="0" w:color="auto"/>
              <w:right w:val="single" w:sz="4" w:space="0" w:color="auto"/>
            </w:tcBorders>
            <w:shd w:val="clear" w:color="auto" w:fill="auto"/>
            <w:noWrap/>
            <w:vAlign w:val="center"/>
            <w:hideMark/>
          </w:tcPr>
          <w:p w14:paraId="5254CE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56918518</w:t>
            </w:r>
          </w:p>
        </w:tc>
        <w:tc>
          <w:tcPr>
            <w:tcW w:w="160" w:type="dxa"/>
            <w:tcBorders>
              <w:top w:val="nil"/>
              <w:left w:val="nil"/>
              <w:bottom w:val="single" w:sz="4" w:space="0" w:color="auto"/>
              <w:right w:val="nil"/>
            </w:tcBorders>
            <w:vAlign w:val="center"/>
          </w:tcPr>
          <w:p w14:paraId="1A71F3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8854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PROF. DR. JOSIPA PLEMLJA BLED</w:t>
            </w:r>
          </w:p>
        </w:tc>
      </w:tr>
      <w:tr w:rsidR="00072A69" w:rsidRPr="00DC6DF9" w14:paraId="32D479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8AB2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1359</w:t>
            </w:r>
          </w:p>
        </w:tc>
        <w:tc>
          <w:tcPr>
            <w:tcW w:w="1036" w:type="dxa"/>
            <w:tcBorders>
              <w:top w:val="nil"/>
              <w:left w:val="nil"/>
              <w:bottom w:val="single" w:sz="4" w:space="0" w:color="auto"/>
              <w:right w:val="single" w:sz="4" w:space="0" w:color="auto"/>
            </w:tcBorders>
            <w:shd w:val="clear" w:color="auto" w:fill="auto"/>
            <w:noWrap/>
            <w:vAlign w:val="center"/>
            <w:hideMark/>
          </w:tcPr>
          <w:p w14:paraId="5EEA57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5084164000</w:t>
            </w:r>
          </w:p>
        </w:tc>
        <w:tc>
          <w:tcPr>
            <w:tcW w:w="1036" w:type="dxa"/>
            <w:tcBorders>
              <w:top w:val="nil"/>
              <w:left w:val="nil"/>
              <w:bottom w:val="single" w:sz="4" w:space="0" w:color="auto"/>
              <w:right w:val="single" w:sz="4" w:space="0" w:color="auto"/>
            </w:tcBorders>
            <w:shd w:val="clear" w:color="auto" w:fill="auto"/>
            <w:noWrap/>
            <w:vAlign w:val="center"/>
            <w:hideMark/>
          </w:tcPr>
          <w:p w14:paraId="5F3C28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89177606</w:t>
            </w:r>
          </w:p>
        </w:tc>
        <w:tc>
          <w:tcPr>
            <w:tcW w:w="160" w:type="dxa"/>
            <w:tcBorders>
              <w:top w:val="nil"/>
              <w:left w:val="nil"/>
              <w:bottom w:val="single" w:sz="4" w:space="0" w:color="auto"/>
              <w:right w:val="nil"/>
            </w:tcBorders>
            <w:vAlign w:val="center"/>
          </w:tcPr>
          <w:p w14:paraId="21F3C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4017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PRULE</w:t>
            </w:r>
          </w:p>
        </w:tc>
      </w:tr>
      <w:tr w:rsidR="00072A69" w:rsidRPr="00DC6DF9" w14:paraId="7E4CF9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4BD8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1360</w:t>
            </w:r>
          </w:p>
        </w:tc>
        <w:tc>
          <w:tcPr>
            <w:tcW w:w="1036" w:type="dxa"/>
            <w:tcBorders>
              <w:top w:val="nil"/>
              <w:left w:val="nil"/>
              <w:bottom w:val="single" w:sz="4" w:space="0" w:color="auto"/>
              <w:right w:val="single" w:sz="4" w:space="0" w:color="auto"/>
            </w:tcBorders>
            <w:shd w:val="clear" w:color="auto" w:fill="auto"/>
            <w:noWrap/>
            <w:vAlign w:val="center"/>
            <w:hideMark/>
          </w:tcPr>
          <w:p w14:paraId="24AC69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5085691000</w:t>
            </w:r>
          </w:p>
        </w:tc>
        <w:tc>
          <w:tcPr>
            <w:tcW w:w="1036" w:type="dxa"/>
            <w:tcBorders>
              <w:top w:val="nil"/>
              <w:left w:val="nil"/>
              <w:bottom w:val="single" w:sz="4" w:space="0" w:color="auto"/>
              <w:right w:val="single" w:sz="4" w:space="0" w:color="auto"/>
            </w:tcBorders>
            <w:shd w:val="clear" w:color="auto" w:fill="auto"/>
            <w:noWrap/>
            <w:vAlign w:val="center"/>
            <w:hideMark/>
          </w:tcPr>
          <w:p w14:paraId="05583A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96341742</w:t>
            </w:r>
          </w:p>
        </w:tc>
        <w:tc>
          <w:tcPr>
            <w:tcW w:w="160" w:type="dxa"/>
            <w:tcBorders>
              <w:top w:val="nil"/>
              <w:left w:val="nil"/>
              <w:bottom w:val="single" w:sz="4" w:space="0" w:color="auto"/>
              <w:right w:val="nil"/>
            </w:tcBorders>
            <w:vAlign w:val="center"/>
          </w:tcPr>
          <w:p w14:paraId="24BE9E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C186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PUCONCI</w:t>
            </w:r>
          </w:p>
        </w:tc>
      </w:tr>
      <w:tr w:rsidR="00072A69" w:rsidRPr="00DC6DF9" w14:paraId="166359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0007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1361</w:t>
            </w:r>
          </w:p>
        </w:tc>
        <w:tc>
          <w:tcPr>
            <w:tcW w:w="1036" w:type="dxa"/>
            <w:tcBorders>
              <w:top w:val="nil"/>
              <w:left w:val="nil"/>
              <w:bottom w:val="single" w:sz="4" w:space="0" w:color="auto"/>
              <w:right w:val="single" w:sz="4" w:space="0" w:color="auto"/>
            </w:tcBorders>
            <w:shd w:val="clear" w:color="auto" w:fill="auto"/>
            <w:noWrap/>
            <w:vAlign w:val="center"/>
            <w:hideMark/>
          </w:tcPr>
          <w:p w14:paraId="1E20C6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5085292000</w:t>
            </w:r>
          </w:p>
        </w:tc>
        <w:tc>
          <w:tcPr>
            <w:tcW w:w="1036" w:type="dxa"/>
            <w:tcBorders>
              <w:top w:val="nil"/>
              <w:left w:val="nil"/>
              <w:bottom w:val="single" w:sz="4" w:space="0" w:color="auto"/>
              <w:right w:val="single" w:sz="4" w:space="0" w:color="auto"/>
            </w:tcBorders>
            <w:shd w:val="clear" w:color="auto" w:fill="auto"/>
            <w:noWrap/>
            <w:vAlign w:val="center"/>
            <w:hideMark/>
          </w:tcPr>
          <w:p w14:paraId="6A6D20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97890898</w:t>
            </w:r>
          </w:p>
        </w:tc>
        <w:tc>
          <w:tcPr>
            <w:tcW w:w="160" w:type="dxa"/>
            <w:tcBorders>
              <w:top w:val="nil"/>
              <w:left w:val="nil"/>
              <w:bottom w:val="single" w:sz="4" w:space="0" w:color="auto"/>
              <w:right w:val="nil"/>
            </w:tcBorders>
            <w:vAlign w:val="center"/>
          </w:tcPr>
          <w:p w14:paraId="777857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B665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RAČE</w:t>
            </w:r>
          </w:p>
        </w:tc>
      </w:tr>
      <w:tr w:rsidR="00072A69" w:rsidRPr="00DC6DF9" w14:paraId="42468B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6588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1362</w:t>
            </w:r>
          </w:p>
        </w:tc>
        <w:tc>
          <w:tcPr>
            <w:tcW w:w="1036" w:type="dxa"/>
            <w:tcBorders>
              <w:top w:val="nil"/>
              <w:left w:val="nil"/>
              <w:bottom w:val="single" w:sz="4" w:space="0" w:color="auto"/>
              <w:right w:val="single" w:sz="4" w:space="0" w:color="auto"/>
            </w:tcBorders>
            <w:shd w:val="clear" w:color="auto" w:fill="auto"/>
            <w:noWrap/>
            <w:vAlign w:val="center"/>
            <w:hideMark/>
          </w:tcPr>
          <w:p w14:paraId="5E31C8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5085845000</w:t>
            </w:r>
          </w:p>
        </w:tc>
        <w:tc>
          <w:tcPr>
            <w:tcW w:w="1036" w:type="dxa"/>
            <w:tcBorders>
              <w:top w:val="nil"/>
              <w:left w:val="nil"/>
              <w:bottom w:val="single" w:sz="4" w:space="0" w:color="auto"/>
              <w:right w:val="single" w:sz="4" w:space="0" w:color="auto"/>
            </w:tcBorders>
            <w:shd w:val="clear" w:color="auto" w:fill="auto"/>
            <w:noWrap/>
            <w:vAlign w:val="center"/>
            <w:hideMark/>
          </w:tcPr>
          <w:p w14:paraId="36EB6C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61528714</w:t>
            </w:r>
          </w:p>
        </w:tc>
        <w:tc>
          <w:tcPr>
            <w:tcW w:w="160" w:type="dxa"/>
            <w:tcBorders>
              <w:top w:val="nil"/>
              <w:left w:val="nil"/>
              <w:bottom w:val="single" w:sz="4" w:space="0" w:color="auto"/>
              <w:right w:val="nil"/>
            </w:tcBorders>
            <w:vAlign w:val="center"/>
          </w:tcPr>
          <w:p w14:paraId="00B924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C3A9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RADA ROBIČA LIMBUŠ</w:t>
            </w:r>
          </w:p>
        </w:tc>
      </w:tr>
      <w:tr w:rsidR="00072A69" w:rsidRPr="00DC6DF9" w14:paraId="7AB680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53D3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1363</w:t>
            </w:r>
          </w:p>
        </w:tc>
        <w:tc>
          <w:tcPr>
            <w:tcW w:w="1036" w:type="dxa"/>
            <w:tcBorders>
              <w:top w:val="nil"/>
              <w:left w:val="nil"/>
              <w:bottom w:val="single" w:sz="4" w:space="0" w:color="auto"/>
              <w:right w:val="single" w:sz="4" w:space="0" w:color="auto"/>
            </w:tcBorders>
            <w:shd w:val="clear" w:color="auto" w:fill="auto"/>
            <w:noWrap/>
            <w:vAlign w:val="center"/>
            <w:hideMark/>
          </w:tcPr>
          <w:p w14:paraId="55EFE6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5089271000</w:t>
            </w:r>
          </w:p>
        </w:tc>
        <w:tc>
          <w:tcPr>
            <w:tcW w:w="1036" w:type="dxa"/>
            <w:tcBorders>
              <w:top w:val="nil"/>
              <w:left w:val="nil"/>
              <w:bottom w:val="single" w:sz="4" w:space="0" w:color="auto"/>
              <w:right w:val="single" w:sz="4" w:space="0" w:color="auto"/>
            </w:tcBorders>
            <w:shd w:val="clear" w:color="auto" w:fill="auto"/>
            <w:noWrap/>
            <w:vAlign w:val="center"/>
            <w:hideMark/>
          </w:tcPr>
          <w:p w14:paraId="6F5E8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54093899</w:t>
            </w:r>
          </w:p>
        </w:tc>
        <w:tc>
          <w:tcPr>
            <w:tcW w:w="160" w:type="dxa"/>
            <w:tcBorders>
              <w:top w:val="nil"/>
              <w:left w:val="nil"/>
              <w:bottom w:val="single" w:sz="4" w:space="0" w:color="auto"/>
              <w:right w:val="nil"/>
            </w:tcBorders>
            <w:vAlign w:val="center"/>
          </w:tcPr>
          <w:p w14:paraId="19567F8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67E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RADLJE OB DRAVI</w:t>
            </w:r>
          </w:p>
        </w:tc>
      </w:tr>
      <w:tr w:rsidR="00072A69" w:rsidRPr="00DC6DF9" w14:paraId="115BA72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784B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1364</w:t>
            </w:r>
          </w:p>
        </w:tc>
        <w:tc>
          <w:tcPr>
            <w:tcW w:w="1036" w:type="dxa"/>
            <w:tcBorders>
              <w:top w:val="nil"/>
              <w:left w:val="nil"/>
              <w:bottom w:val="single" w:sz="4" w:space="0" w:color="auto"/>
              <w:right w:val="single" w:sz="4" w:space="0" w:color="auto"/>
            </w:tcBorders>
            <w:shd w:val="clear" w:color="auto" w:fill="auto"/>
            <w:noWrap/>
            <w:vAlign w:val="center"/>
            <w:hideMark/>
          </w:tcPr>
          <w:p w14:paraId="0FF1B6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5083281000</w:t>
            </w:r>
          </w:p>
        </w:tc>
        <w:tc>
          <w:tcPr>
            <w:tcW w:w="1036" w:type="dxa"/>
            <w:tcBorders>
              <w:top w:val="nil"/>
              <w:left w:val="nil"/>
              <w:bottom w:val="single" w:sz="4" w:space="0" w:color="auto"/>
              <w:right w:val="single" w:sz="4" w:space="0" w:color="auto"/>
            </w:tcBorders>
            <w:shd w:val="clear" w:color="auto" w:fill="auto"/>
            <w:noWrap/>
            <w:vAlign w:val="center"/>
            <w:hideMark/>
          </w:tcPr>
          <w:p w14:paraId="46EA0E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61576824</w:t>
            </w:r>
          </w:p>
        </w:tc>
        <w:tc>
          <w:tcPr>
            <w:tcW w:w="160" w:type="dxa"/>
            <w:tcBorders>
              <w:top w:val="nil"/>
              <w:left w:val="nil"/>
              <w:bottom w:val="single" w:sz="4" w:space="0" w:color="auto"/>
              <w:right w:val="nil"/>
            </w:tcBorders>
            <w:vAlign w:val="center"/>
          </w:tcPr>
          <w:p w14:paraId="1C313B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C6D1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RAKA</w:t>
            </w:r>
          </w:p>
        </w:tc>
      </w:tr>
      <w:tr w:rsidR="00072A69" w:rsidRPr="00DC6DF9" w14:paraId="45652D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280A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1365</w:t>
            </w:r>
          </w:p>
        </w:tc>
        <w:tc>
          <w:tcPr>
            <w:tcW w:w="1036" w:type="dxa"/>
            <w:tcBorders>
              <w:top w:val="nil"/>
              <w:left w:val="nil"/>
              <w:bottom w:val="single" w:sz="4" w:space="0" w:color="auto"/>
              <w:right w:val="single" w:sz="4" w:space="0" w:color="auto"/>
            </w:tcBorders>
            <w:shd w:val="clear" w:color="auto" w:fill="auto"/>
            <w:noWrap/>
            <w:vAlign w:val="center"/>
            <w:hideMark/>
          </w:tcPr>
          <w:p w14:paraId="0F2DD5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5087252000</w:t>
            </w:r>
          </w:p>
        </w:tc>
        <w:tc>
          <w:tcPr>
            <w:tcW w:w="1036" w:type="dxa"/>
            <w:tcBorders>
              <w:top w:val="nil"/>
              <w:left w:val="nil"/>
              <w:bottom w:val="single" w:sz="4" w:space="0" w:color="auto"/>
              <w:right w:val="single" w:sz="4" w:space="0" w:color="auto"/>
            </w:tcBorders>
            <w:shd w:val="clear" w:color="auto" w:fill="auto"/>
            <w:noWrap/>
            <w:vAlign w:val="center"/>
            <w:hideMark/>
          </w:tcPr>
          <w:p w14:paraId="6C6577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93310510</w:t>
            </w:r>
          </w:p>
        </w:tc>
        <w:tc>
          <w:tcPr>
            <w:tcW w:w="160" w:type="dxa"/>
            <w:tcBorders>
              <w:top w:val="nil"/>
              <w:left w:val="nil"/>
              <w:bottom w:val="single" w:sz="4" w:space="0" w:color="auto"/>
              <w:right w:val="nil"/>
            </w:tcBorders>
            <w:vAlign w:val="center"/>
          </w:tcPr>
          <w:p w14:paraId="0BAA4D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7778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RIBNICA NA POHORJU</w:t>
            </w:r>
          </w:p>
        </w:tc>
      </w:tr>
      <w:tr w:rsidR="00072A69" w:rsidRPr="00DC6DF9" w14:paraId="29AC1F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913D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1366</w:t>
            </w:r>
          </w:p>
        </w:tc>
        <w:tc>
          <w:tcPr>
            <w:tcW w:w="1036" w:type="dxa"/>
            <w:tcBorders>
              <w:top w:val="nil"/>
              <w:left w:val="nil"/>
              <w:bottom w:val="single" w:sz="4" w:space="0" w:color="auto"/>
              <w:right w:val="single" w:sz="4" w:space="0" w:color="auto"/>
            </w:tcBorders>
            <w:shd w:val="clear" w:color="auto" w:fill="auto"/>
            <w:noWrap/>
            <w:vAlign w:val="center"/>
            <w:hideMark/>
          </w:tcPr>
          <w:p w14:paraId="3FF462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5086132000</w:t>
            </w:r>
          </w:p>
        </w:tc>
        <w:tc>
          <w:tcPr>
            <w:tcW w:w="1036" w:type="dxa"/>
            <w:tcBorders>
              <w:top w:val="nil"/>
              <w:left w:val="nil"/>
              <w:bottom w:val="single" w:sz="4" w:space="0" w:color="auto"/>
              <w:right w:val="single" w:sz="4" w:space="0" w:color="auto"/>
            </w:tcBorders>
            <w:shd w:val="clear" w:color="auto" w:fill="auto"/>
            <w:noWrap/>
            <w:vAlign w:val="center"/>
            <w:hideMark/>
          </w:tcPr>
          <w:p w14:paraId="1D6B46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43483461</w:t>
            </w:r>
          </w:p>
        </w:tc>
        <w:tc>
          <w:tcPr>
            <w:tcW w:w="160" w:type="dxa"/>
            <w:tcBorders>
              <w:top w:val="nil"/>
              <w:left w:val="nil"/>
              <w:bottom w:val="single" w:sz="4" w:space="0" w:color="auto"/>
              <w:right w:val="nil"/>
            </w:tcBorders>
            <w:vAlign w:val="center"/>
          </w:tcPr>
          <w:p w14:paraId="377263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4FF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RIHARDA JAKOPIČA</w:t>
            </w:r>
          </w:p>
        </w:tc>
      </w:tr>
      <w:tr w:rsidR="00072A69" w:rsidRPr="00DC6DF9" w14:paraId="10F79E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500F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1367</w:t>
            </w:r>
          </w:p>
        </w:tc>
        <w:tc>
          <w:tcPr>
            <w:tcW w:w="1036" w:type="dxa"/>
            <w:tcBorders>
              <w:top w:val="nil"/>
              <w:left w:val="nil"/>
              <w:bottom w:val="single" w:sz="4" w:space="0" w:color="auto"/>
              <w:right w:val="single" w:sz="4" w:space="0" w:color="auto"/>
            </w:tcBorders>
            <w:shd w:val="clear" w:color="auto" w:fill="auto"/>
            <w:noWrap/>
            <w:vAlign w:val="center"/>
            <w:hideMark/>
          </w:tcPr>
          <w:p w14:paraId="596E5D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5083737000</w:t>
            </w:r>
          </w:p>
        </w:tc>
        <w:tc>
          <w:tcPr>
            <w:tcW w:w="1036" w:type="dxa"/>
            <w:tcBorders>
              <w:top w:val="nil"/>
              <w:left w:val="nil"/>
              <w:bottom w:val="single" w:sz="4" w:space="0" w:color="auto"/>
              <w:right w:val="single" w:sz="4" w:space="0" w:color="auto"/>
            </w:tcBorders>
            <w:shd w:val="clear" w:color="auto" w:fill="auto"/>
            <w:noWrap/>
            <w:vAlign w:val="center"/>
            <w:hideMark/>
          </w:tcPr>
          <w:p w14:paraId="7A10D7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34707735</w:t>
            </w:r>
          </w:p>
        </w:tc>
        <w:tc>
          <w:tcPr>
            <w:tcW w:w="160" w:type="dxa"/>
            <w:tcBorders>
              <w:top w:val="nil"/>
              <w:left w:val="nil"/>
              <w:bottom w:val="single" w:sz="4" w:space="0" w:color="auto"/>
              <w:right w:val="nil"/>
            </w:tcBorders>
            <w:vAlign w:val="center"/>
          </w:tcPr>
          <w:p w14:paraId="731A41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5DA7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RODICA</w:t>
            </w:r>
          </w:p>
        </w:tc>
      </w:tr>
      <w:tr w:rsidR="00072A69" w:rsidRPr="00DC6DF9" w14:paraId="49E68E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80B7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1368</w:t>
            </w:r>
          </w:p>
        </w:tc>
        <w:tc>
          <w:tcPr>
            <w:tcW w:w="1036" w:type="dxa"/>
            <w:tcBorders>
              <w:top w:val="nil"/>
              <w:left w:val="nil"/>
              <w:bottom w:val="single" w:sz="4" w:space="0" w:color="auto"/>
              <w:right w:val="single" w:sz="4" w:space="0" w:color="auto"/>
            </w:tcBorders>
            <w:shd w:val="clear" w:color="auto" w:fill="auto"/>
            <w:noWrap/>
            <w:vAlign w:val="center"/>
            <w:hideMark/>
          </w:tcPr>
          <w:p w14:paraId="131641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5082854000</w:t>
            </w:r>
          </w:p>
        </w:tc>
        <w:tc>
          <w:tcPr>
            <w:tcW w:w="1036" w:type="dxa"/>
            <w:tcBorders>
              <w:top w:val="nil"/>
              <w:left w:val="nil"/>
              <w:bottom w:val="single" w:sz="4" w:space="0" w:color="auto"/>
              <w:right w:val="single" w:sz="4" w:space="0" w:color="auto"/>
            </w:tcBorders>
            <w:shd w:val="clear" w:color="auto" w:fill="auto"/>
            <w:noWrap/>
            <w:vAlign w:val="center"/>
            <w:hideMark/>
          </w:tcPr>
          <w:p w14:paraId="57D7E1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21511489</w:t>
            </w:r>
          </w:p>
        </w:tc>
        <w:tc>
          <w:tcPr>
            <w:tcW w:w="160" w:type="dxa"/>
            <w:tcBorders>
              <w:top w:val="nil"/>
              <w:left w:val="nil"/>
              <w:bottom w:val="single" w:sz="4" w:space="0" w:color="auto"/>
              <w:right w:val="nil"/>
            </w:tcBorders>
            <w:vAlign w:val="center"/>
          </w:tcPr>
          <w:p w14:paraId="0FF42BC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4101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ROJE</w:t>
            </w:r>
          </w:p>
        </w:tc>
      </w:tr>
      <w:tr w:rsidR="00072A69" w:rsidRPr="00DC6DF9" w14:paraId="387FA0F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E6D8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1369</w:t>
            </w:r>
          </w:p>
        </w:tc>
        <w:tc>
          <w:tcPr>
            <w:tcW w:w="1036" w:type="dxa"/>
            <w:tcBorders>
              <w:top w:val="nil"/>
              <w:left w:val="nil"/>
              <w:bottom w:val="single" w:sz="4" w:space="0" w:color="auto"/>
              <w:right w:val="single" w:sz="4" w:space="0" w:color="auto"/>
            </w:tcBorders>
            <w:shd w:val="clear" w:color="auto" w:fill="auto"/>
            <w:noWrap/>
            <w:vAlign w:val="center"/>
            <w:hideMark/>
          </w:tcPr>
          <w:p w14:paraId="2F0621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5912792000</w:t>
            </w:r>
          </w:p>
        </w:tc>
        <w:tc>
          <w:tcPr>
            <w:tcW w:w="1036" w:type="dxa"/>
            <w:tcBorders>
              <w:top w:val="nil"/>
              <w:left w:val="nil"/>
              <w:bottom w:val="single" w:sz="4" w:space="0" w:color="auto"/>
              <w:right w:val="single" w:sz="4" w:space="0" w:color="auto"/>
            </w:tcBorders>
            <w:shd w:val="clear" w:color="auto" w:fill="auto"/>
            <w:noWrap/>
            <w:vAlign w:val="center"/>
            <w:hideMark/>
          </w:tcPr>
          <w:p w14:paraId="192CD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57121133</w:t>
            </w:r>
          </w:p>
        </w:tc>
        <w:tc>
          <w:tcPr>
            <w:tcW w:w="160" w:type="dxa"/>
            <w:tcBorders>
              <w:top w:val="nil"/>
              <w:left w:val="nil"/>
              <w:bottom w:val="single" w:sz="4" w:space="0" w:color="auto"/>
              <w:right w:val="nil"/>
            </w:tcBorders>
            <w:vAlign w:val="center"/>
          </w:tcPr>
          <w:p w14:paraId="68D8E0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2FB6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ROVTE</w:t>
            </w:r>
          </w:p>
        </w:tc>
      </w:tr>
      <w:tr w:rsidR="00072A69" w:rsidRPr="00DC6DF9" w14:paraId="084BB1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4E7A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1370</w:t>
            </w:r>
          </w:p>
        </w:tc>
        <w:tc>
          <w:tcPr>
            <w:tcW w:w="1036" w:type="dxa"/>
            <w:tcBorders>
              <w:top w:val="nil"/>
              <w:left w:val="nil"/>
              <w:bottom w:val="single" w:sz="4" w:space="0" w:color="auto"/>
              <w:right w:val="single" w:sz="4" w:space="0" w:color="auto"/>
            </w:tcBorders>
            <w:shd w:val="clear" w:color="auto" w:fill="auto"/>
            <w:noWrap/>
            <w:vAlign w:val="center"/>
            <w:hideMark/>
          </w:tcPr>
          <w:p w14:paraId="44BF1D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5090164000</w:t>
            </w:r>
          </w:p>
        </w:tc>
        <w:tc>
          <w:tcPr>
            <w:tcW w:w="1036" w:type="dxa"/>
            <w:tcBorders>
              <w:top w:val="nil"/>
              <w:left w:val="nil"/>
              <w:bottom w:val="single" w:sz="4" w:space="0" w:color="auto"/>
              <w:right w:val="single" w:sz="4" w:space="0" w:color="auto"/>
            </w:tcBorders>
            <w:shd w:val="clear" w:color="auto" w:fill="auto"/>
            <w:noWrap/>
            <w:vAlign w:val="center"/>
            <w:hideMark/>
          </w:tcPr>
          <w:p w14:paraId="72EAFB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75401665</w:t>
            </w:r>
          </w:p>
        </w:tc>
        <w:tc>
          <w:tcPr>
            <w:tcW w:w="160" w:type="dxa"/>
            <w:tcBorders>
              <w:top w:val="nil"/>
              <w:left w:val="nil"/>
              <w:bottom w:val="single" w:sz="4" w:space="0" w:color="auto"/>
              <w:right w:val="nil"/>
            </w:tcBorders>
            <w:vAlign w:val="center"/>
          </w:tcPr>
          <w:p w14:paraId="3BC84C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37A8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RUDIJA MAHNIČA BRKINCA PREGARJE</w:t>
            </w:r>
          </w:p>
        </w:tc>
      </w:tr>
      <w:tr w:rsidR="00072A69" w:rsidRPr="00DC6DF9" w14:paraId="07B00C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EC07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1371</w:t>
            </w:r>
          </w:p>
        </w:tc>
        <w:tc>
          <w:tcPr>
            <w:tcW w:w="1036" w:type="dxa"/>
            <w:tcBorders>
              <w:top w:val="nil"/>
              <w:left w:val="nil"/>
              <w:bottom w:val="single" w:sz="4" w:space="0" w:color="auto"/>
              <w:right w:val="single" w:sz="4" w:space="0" w:color="auto"/>
            </w:tcBorders>
            <w:shd w:val="clear" w:color="auto" w:fill="auto"/>
            <w:noWrap/>
            <w:vAlign w:val="center"/>
            <w:hideMark/>
          </w:tcPr>
          <w:p w14:paraId="2BDEEE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5086167000</w:t>
            </w:r>
          </w:p>
        </w:tc>
        <w:tc>
          <w:tcPr>
            <w:tcW w:w="1036" w:type="dxa"/>
            <w:tcBorders>
              <w:top w:val="nil"/>
              <w:left w:val="nil"/>
              <w:bottom w:val="single" w:sz="4" w:space="0" w:color="auto"/>
              <w:right w:val="single" w:sz="4" w:space="0" w:color="auto"/>
            </w:tcBorders>
            <w:shd w:val="clear" w:color="auto" w:fill="auto"/>
            <w:noWrap/>
            <w:vAlign w:val="center"/>
            <w:hideMark/>
          </w:tcPr>
          <w:p w14:paraId="226048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62160559</w:t>
            </w:r>
          </w:p>
        </w:tc>
        <w:tc>
          <w:tcPr>
            <w:tcW w:w="160" w:type="dxa"/>
            <w:tcBorders>
              <w:top w:val="nil"/>
              <w:left w:val="nil"/>
              <w:bottom w:val="single" w:sz="4" w:space="0" w:color="auto"/>
              <w:right w:val="nil"/>
            </w:tcBorders>
            <w:vAlign w:val="center"/>
          </w:tcPr>
          <w:p w14:paraId="62BF1C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B08A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RUDOLFA MAISTRA</w:t>
            </w:r>
          </w:p>
        </w:tc>
      </w:tr>
      <w:tr w:rsidR="00072A69" w:rsidRPr="00DC6DF9" w14:paraId="008881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DB5A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1372</w:t>
            </w:r>
          </w:p>
        </w:tc>
        <w:tc>
          <w:tcPr>
            <w:tcW w:w="1036" w:type="dxa"/>
            <w:tcBorders>
              <w:top w:val="nil"/>
              <w:left w:val="nil"/>
              <w:bottom w:val="single" w:sz="4" w:space="0" w:color="auto"/>
              <w:right w:val="single" w:sz="4" w:space="0" w:color="auto"/>
            </w:tcBorders>
            <w:shd w:val="clear" w:color="auto" w:fill="auto"/>
            <w:noWrap/>
            <w:vAlign w:val="center"/>
            <w:hideMark/>
          </w:tcPr>
          <w:p w14:paraId="0536F9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5083800000</w:t>
            </w:r>
          </w:p>
        </w:tc>
        <w:tc>
          <w:tcPr>
            <w:tcW w:w="1036" w:type="dxa"/>
            <w:tcBorders>
              <w:top w:val="nil"/>
              <w:left w:val="nil"/>
              <w:bottom w:val="single" w:sz="4" w:space="0" w:color="auto"/>
              <w:right w:val="single" w:sz="4" w:space="0" w:color="auto"/>
            </w:tcBorders>
            <w:shd w:val="clear" w:color="auto" w:fill="auto"/>
            <w:noWrap/>
            <w:vAlign w:val="center"/>
            <w:hideMark/>
          </w:tcPr>
          <w:p w14:paraId="2912A3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40184277</w:t>
            </w:r>
          </w:p>
        </w:tc>
        <w:tc>
          <w:tcPr>
            <w:tcW w:w="160" w:type="dxa"/>
            <w:tcBorders>
              <w:top w:val="nil"/>
              <w:left w:val="nil"/>
              <w:bottom w:val="single" w:sz="4" w:space="0" w:color="auto"/>
              <w:right w:val="nil"/>
            </w:tcBorders>
            <w:vAlign w:val="center"/>
          </w:tcPr>
          <w:p w14:paraId="4B1DDA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5BB7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RUDOLFA UKOVIČA PODGRAD</w:t>
            </w:r>
          </w:p>
        </w:tc>
      </w:tr>
      <w:tr w:rsidR="00072A69" w:rsidRPr="00DC6DF9" w14:paraId="6A5B32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CE61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1373</w:t>
            </w:r>
          </w:p>
        </w:tc>
        <w:tc>
          <w:tcPr>
            <w:tcW w:w="1036" w:type="dxa"/>
            <w:tcBorders>
              <w:top w:val="nil"/>
              <w:left w:val="nil"/>
              <w:bottom w:val="single" w:sz="4" w:space="0" w:color="auto"/>
              <w:right w:val="single" w:sz="4" w:space="0" w:color="auto"/>
            </w:tcBorders>
            <w:shd w:val="clear" w:color="auto" w:fill="auto"/>
            <w:noWrap/>
            <w:vAlign w:val="center"/>
            <w:hideMark/>
          </w:tcPr>
          <w:p w14:paraId="7B795A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5087490000</w:t>
            </w:r>
          </w:p>
        </w:tc>
        <w:tc>
          <w:tcPr>
            <w:tcW w:w="1036" w:type="dxa"/>
            <w:tcBorders>
              <w:top w:val="nil"/>
              <w:left w:val="nil"/>
              <w:bottom w:val="single" w:sz="4" w:space="0" w:color="auto"/>
              <w:right w:val="single" w:sz="4" w:space="0" w:color="auto"/>
            </w:tcBorders>
            <w:shd w:val="clear" w:color="auto" w:fill="auto"/>
            <w:noWrap/>
            <w:vAlign w:val="center"/>
            <w:hideMark/>
          </w:tcPr>
          <w:p w14:paraId="79810F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69230307</w:t>
            </w:r>
          </w:p>
        </w:tc>
        <w:tc>
          <w:tcPr>
            <w:tcW w:w="160" w:type="dxa"/>
            <w:tcBorders>
              <w:top w:val="nil"/>
              <w:left w:val="nil"/>
              <w:bottom w:val="single" w:sz="4" w:space="0" w:color="auto"/>
              <w:right w:val="nil"/>
            </w:tcBorders>
            <w:vAlign w:val="center"/>
          </w:tcPr>
          <w:p w14:paraId="672E82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53A7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SAVA KLADNIKA SEVNICA</w:t>
            </w:r>
          </w:p>
        </w:tc>
      </w:tr>
      <w:tr w:rsidR="00072A69" w:rsidRPr="00DC6DF9" w14:paraId="3EBED3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A7B7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1374</w:t>
            </w:r>
          </w:p>
        </w:tc>
        <w:tc>
          <w:tcPr>
            <w:tcW w:w="1036" w:type="dxa"/>
            <w:tcBorders>
              <w:top w:val="nil"/>
              <w:left w:val="nil"/>
              <w:bottom w:val="single" w:sz="4" w:space="0" w:color="auto"/>
              <w:right w:val="single" w:sz="4" w:space="0" w:color="auto"/>
            </w:tcBorders>
            <w:shd w:val="clear" w:color="auto" w:fill="auto"/>
            <w:noWrap/>
            <w:vAlign w:val="center"/>
            <w:hideMark/>
          </w:tcPr>
          <w:p w14:paraId="08277B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5083362000</w:t>
            </w:r>
          </w:p>
        </w:tc>
        <w:tc>
          <w:tcPr>
            <w:tcW w:w="1036" w:type="dxa"/>
            <w:tcBorders>
              <w:top w:val="nil"/>
              <w:left w:val="nil"/>
              <w:bottom w:val="single" w:sz="4" w:space="0" w:color="auto"/>
              <w:right w:val="single" w:sz="4" w:space="0" w:color="auto"/>
            </w:tcBorders>
            <w:shd w:val="clear" w:color="auto" w:fill="auto"/>
            <w:noWrap/>
            <w:vAlign w:val="center"/>
            <w:hideMark/>
          </w:tcPr>
          <w:p w14:paraId="6DB1BD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71148922</w:t>
            </w:r>
          </w:p>
        </w:tc>
        <w:tc>
          <w:tcPr>
            <w:tcW w:w="160" w:type="dxa"/>
            <w:tcBorders>
              <w:top w:val="nil"/>
              <w:left w:val="nil"/>
              <w:bottom w:val="single" w:sz="4" w:space="0" w:color="auto"/>
              <w:right w:val="nil"/>
            </w:tcBorders>
            <w:vAlign w:val="center"/>
          </w:tcPr>
          <w:p w14:paraId="56CCD9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CFD2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SAVSKO NASELJE</w:t>
            </w:r>
          </w:p>
        </w:tc>
      </w:tr>
      <w:tr w:rsidR="00072A69" w:rsidRPr="00DC6DF9" w14:paraId="5C8941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CD56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1375</w:t>
            </w:r>
          </w:p>
        </w:tc>
        <w:tc>
          <w:tcPr>
            <w:tcW w:w="1036" w:type="dxa"/>
            <w:tcBorders>
              <w:top w:val="nil"/>
              <w:left w:val="nil"/>
              <w:bottom w:val="single" w:sz="4" w:space="0" w:color="auto"/>
              <w:right w:val="single" w:sz="4" w:space="0" w:color="auto"/>
            </w:tcBorders>
            <w:shd w:val="clear" w:color="auto" w:fill="auto"/>
            <w:noWrap/>
            <w:vAlign w:val="center"/>
            <w:hideMark/>
          </w:tcPr>
          <w:p w14:paraId="156BBF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5086876000</w:t>
            </w:r>
          </w:p>
        </w:tc>
        <w:tc>
          <w:tcPr>
            <w:tcW w:w="1036" w:type="dxa"/>
            <w:tcBorders>
              <w:top w:val="nil"/>
              <w:left w:val="nil"/>
              <w:bottom w:val="single" w:sz="4" w:space="0" w:color="auto"/>
              <w:right w:val="single" w:sz="4" w:space="0" w:color="auto"/>
            </w:tcBorders>
            <w:shd w:val="clear" w:color="auto" w:fill="auto"/>
            <w:noWrap/>
            <w:vAlign w:val="center"/>
            <w:hideMark/>
          </w:tcPr>
          <w:p w14:paraId="61A4AF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93348428</w:t>
            </w:r>
          </w:p>
        </w:tc>
        <w:tc>
          <w:tcPr>
            <w:tcW w:w="160" w:type="dxa"/>
            <w:tcBorders>
              <w:top w:val="nil"/>
              <w:left w:val="nil"/>
              <w:bottom w:val="single" w:sz="4" w:space="0" w:color="auto"/>
              <w:right w:val="nil"/>
            </w:tcBorders>
            <w:vAlign w:val="center"/>
          </w:tcPr>
          <w:p w14:paraId="05E9E9A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B62A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SEČOVLJE</w:t>
            </w:r>
          </w:p>
        </w:tc>
      </w:tr>
      <w:tr w:rsidR="00072A69" w:rsidRPr="00DC6DF9" w14:paraId="11DCA7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942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1376</w:t>
            </w:r>
          </w:p>
        </w:tc>
        <w:tc>
          <w:tcPr>
            <w:tcW w:w="1036" w:type="dxa"/>
            <w:tcBorders>
              <w:top w:val="nil"/>
              <w:left w:val="nil"/>
              <w:bottom w:val="single" w:sz="4" w:space="0" w:color="auto"/>
              <w:right w:val="single" w:sz="4" w:space="0" w:color="auto"/>
            </w:tcBorders>
            <w:shd w:val="clear" w:color="auto" w:fill="auto"/>
            <w:noWrap/>
            <w:vAlign w:val="center"/>
            <w:hideMark/>
          </w:tcPr>
          <w:p w14:paraId="079645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5085136000</w:t>
            </w:r>
          </w:p>
        </w:tc>
        <w:tc>
          <w:tcPr>
            <w:tcW w:w="1036" w:type="dxa"/>
            <w:tcBorders>
              <w:top w:val="nil"/>
              <w:left w:val="nil"/>
              <w:bottom w:val="single" w:sz="4" w:space="0" w:color="auto"/>
              <w:right w:val="single" w:sz="4" w:space="0" w:color="auto"/>
            </w:tcBorders>
            <w:shd w:val="clear" w:color="auto" w:fill="auto"/>
            <w:noWrap/>
            <w:vAlign w:val="center"/>
            <w:hideMark/>
          </w:tcPr>
          <w:p w14:paraId="2AFA1E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21101736</w:t>
            </w:r>
          </w:p>
        </w:tc>
        <w:tc>
          <w:tcPr>
            <w:tcW w:w="160" w:type="dxa"/>
            <w:tcBorders>
              <w:top w:val="nil"/>
              <w:left w:val="nil"/>
              <w:bottom w:val="single" w:sz="4" w:space="0" w:color="auto"/>
              <w:right w:val="nil"/>
            </w:tcBorders>
            <w:vAlign w:val="center"/>
          </w:tcPr>
          <w:p w14:paraId="586B86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0D86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SELNICA OB DRAVI</w:t>
            </w:r>
          </w:p>
        </w:tc>
      </w:tr>
      <w:tr w:rsidR="00072A69" w:rsidRPr="00DC6DF9" w14:paraId="64A65D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1C0A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1377</w:t>
            </w:r>
          </w:p>
        </w:tc>
        <w:tc>
          <w:tcPr>
            <w:tcW w:w="1036" w:type="dxa"/>
            <w:tcBorders>
              <w:top w:val="nil"/>
              <w:left w:val="nil"/>
              <w:bottom w:val="single" w:sz="4" w:space="0" w:color="auto"/>
              <w:right w:val="single" w:sz="4" w:space="0" w:color="auto"/>
            </w:tcBorders>
            <w:shd w:val="clear" w:color="auto" w:fill="auto"/>
            <w:noWrap/>
            <w:vAlign w:val="center"/>
            <w:hideMark/>
          </w:tcPr>
          <w:p w14:paraId="23B884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5089832000</w:t>
            </w:r>
          </w:p>
        </w:tc>
        <w:tc>
          <w:tcPr>
            <w:tcW w:w="1036" w:type="dxa"/>
            <w:tcBorders>
              <w:top w:val="nil"/>
              <w:left w:val="nil"/>
              <w:bottom w:val="single" w:sz="4" w:space="0" w:color="auto"/>
              <w:right w:val="single" w:sz="4" w:space="0" w:color="auto"/>
            </w:tcBorders>
            <w:shd w:val="clear" w:color="auto" w:fill="auto"/>
            <w:noWrap/>
            <w:vAlign w:val="center"/>
            <w:hideMark/>
          </w:tcPr>
          <w:p w14:paraId="78AD0A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51971020</w:t>
            </w:r>
          </w:p>
        </w:tc>
        <w:tc>
          <w:tcPr>
            <w:tcW w:w="160" w:type="dxa"/>
            <w:tcBorders>
              <w:top w:val="nil"/>
              <w:left w:val="nil"/>
              <w:bottom w:val="single" w:sz="4" w:space="0" w:color="auto"/>
              <w:right w:val="nil"/>
            </w:tcBorders>
            <w:vAlign w:val="center"/>
          </w:tcPr>
          <w:p w14:paraId="217F99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3AC5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SIMONA GREGORČIČA KOBARID</w:t>
            </w:r>
          </w:p>
        </w:tc>
      </w:tr>
      <w:tr w:rsidR="00072A69" w:rsidRPr="00DC6DF9" w14:paraId="207F6A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51CF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1378</w:t>
            </w:r>
          </w:p>
        </w:tc>
        <w:tc>
          <w:tcPr>
            <w:tcW w:w="1036" w:type="dxa"/>
            <w:tcBorders>
              <w:top w:val="nil"/>
              <w:left w:val="nil"/>
              <w:bottom w:val="single" w:sz="4" w:space="0" w:color="auto"/>
              <w:right w:val="single" w:sz="4" w:space="0" w:color="auto"/>
            </w:tcBorders>
            <w:shd w:val="clear" w:color="auto" w:fill="auto"/>
            <w:noWrap/>
            <w:vAlign w:val="center"/>
            <w:hideMark/>
          </w:tcPr>
          <w:p w14:paraId="269741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5084385000</w:t>
            </w:r>
          </w:p>
        </w:tc>
        <w:tc>
          <w:tcPr>
            <w:tcW w:w="1036" w:type="dxa"/>
            <w:tcBorders>
              <w:top w:val="nil"/>
              <w:left w:val="nil"/>
              <w:bottom w:val="single" w:sz="4" w:space="0" w:color="auto"/>
              <w:right w:val="single" w:sz="4" w:space="0" w:color="auto"/>
            </w:tcBorders>
            <w:shd w:val="clear" w:color="auto" w:fill="auto"/>
            <w:noWrap/>
            <w:vAlign w:val="center"/>
            <w:hideMark/>
          </w:tcPr>
          <w:p w14:paraId="13B7FE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11413743</w:t>
            </w:r>
          </w:p>
        </w:tc>
        <w:tc>
          <w:tcPr>
            <w:tcW w:w="160" w:type="dxa"/>
            <w:tcBorders>
              <w:top w:val="nil"/>
              <w:left w:val="nil"/>
              <w:bottom w:val="single" w:sz="4" w:space="0" w:color="auto"/>
              <w:right w:val="nil"/>
            </w:tcBorders>
            <w:vAlign w:val="center"/>
          </w:tcPr>
          <w:p w14:paraId="14A76C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F704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SIMONA JENKA</w:t>
            </w:r>
          </w:p>
        </w:tc>
      </w:tr>
      <w:tr w:rsidR="00072A69" w:rsidRPr="00DC6DF9" w14:paraId="578024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26E9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1379</w:t>
            </w:r>
          </w:p>
        </w:tc>
        <w:tc>
          <w:tcPr>
            <w:tcW w:w="1036" w:type="dxa"/>
            <w:tcBorders>
              <w:top w:val="nil"/>
              <w:left w:val="nil"/>
              <w:bottom w:val="single" w:sz="4" w:space="0" w:color="auto"/>
              <w:right w:val="single" w:sz="4" w:space="0" w:color="auto"/>
            </w:tcBorders>
            <w:shd w:val="clear" w:color="auto" w:fill="auto"/>
            <w:noWrap/>
            <w:vAlign w:val="center"/>
            <w:hideMark/>
          </w:tcPr>
          <w:p w14:paraId="16DC9F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5083192000</w:t>
            </w:r>
          </w:p>
        </w:tc>
        <w:tc>
          <w:tcPr>
            <w:tcW w:w="1036" w:type="dxa"/>
            <w:tcBorders>
              <w:top w:val="nil"/>
              <w:left w:val="nil"/>
              <w:bottom w:val="single" w:sz="4" w:space="0" w:color="auto"/>
              <w:right w:val="single" w:sz="4" w:space="0" w:color="auto"/>
            </w:tcBorders>
            <w:shd w:val="clear" w:color="auto" w:fill="auto"/>
            <w:noWrap/>
            <w:vAlign w:val="center"/>
            <w:hideMark/>
          </w:tcPr>
          <w:p w14:paraId="28CC85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43026141</w:t>
            </w:r>
          </w:p>
        </w:tc>
        <w:tc>
          <w:tcPr>
            <w:tcW w:w="160" w:type="dxa"/>
            <w:tcBorders>
              <w:top w:val="nil"/>
              <w:left w:val="nil"/>
              <w:bottom w:val="single" w:sz="4" w:space="0" w:color="auto"/>
              <w:right w:val="nil"/>
            </w:tcBorders>
            <w:vAlign w:val="center"/>
          </w:tcPr>
          <w:p w14:paraId="492E9DD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6B32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SIMONA JENKA KRANJ</w:t>
            </w:r>
          </w:p>
        </w:tc>
      </w:tr>
      <w:tr w:rsidR="00072A69" w:rsidRPr="00DC6DF9" w14:paraId="56C0602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160E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1380</w:t>
            </w:r>
          </w:p>
        </w:tc>
        <w:tc>
          <w:tcPr>
            <w:tcW w:w="1036" w:type="dxa"/>
            <w:tcBorders>
              <w:top w:val="nil"/>
              <w:left w:val="nil"/>
              <w:bottom w:val="single" w:sz="4" w:space="0" w:color="auto"/>
              <w:right w:val="single" w:sz="4" w:space="0" w:color="auto"/>
            </w:tcBorders>
            <w:shd w:val="clear" w:color="auto" w:fill="auto"/>
            <w:noWrap/>
            <w:vAlign w:val="center"/>
            <w:hideMark/>
          </w:tcPr>
          <w:p w14:paraId="6B4407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5085144000</w:t>
            </w:r>
          </w:p>
        </w:tc>
        <w:tc>
          <w:tcPr>
            <w:tcW w:w="1036" w:type="dxa"/>
            <w:tcBorders>
              <w:top w:val="nil"/>
              <w:left w:val="nil"/>
              <w:bottom w:val="single" w:sz="4" w:space="0" w:color="auto"/>
              <w:right w:val="single" w:sz="4" w:space="0" w:color="auto"/>
            </w:tcBorders>
            <w:shd w:val="clear" w:color="auto" w:fill="auto"/>
            <w:noWrap/>
            <w:vAlign w:val="center"/>
            <w:hideMark/>
          </w:tcPr>
          <w:p w14:paraId="2BCF59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74840959</w:t>
            </w:r>
          </w:p>
        </w:tc>
        <w:tc>
          <w:tcPr>
            <w:tcW w:w="160" w:type="dxa"/>
            <w:tcBorders>
              <w:top w:val="nil"/>
              <w:left w:val="nil"/>
              <w:bottom w:val="single" w:sz="4" w:space="0" w:color="auto"/>
              <w:right w:val="nil"/>
            </w:tcBorders>
            <w:vAlign w:val="center"/>
          </w:tcPr>
          <w:p w14:paraId="4CA3FD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526A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SLADKI VRH</w:t>
            </w:r>
          </w:p>
        </w:tc>
      </w:tr>
      <w:tr w:rsidR="00072A69" w:rsidRPr="00DC6DF9" w14:paraId="228487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363C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1381</w:t>
            </w:r>
          </w:p>
        </w:tc>
        <w:tc>
          <w:tcPr>
            <w:tcW w:w="1036" w:type="dxa"/>
            <w:tcBorders>
              <w:top w:val="nil"/>
              <w:left w:val="nil"/>
              <w:bottom w:val="single" w:sz="4" w:space="0" w:color="auto"/>
              <w:right w:val="single" w:sz="4" w:space="0" w:color="auto"/>
            </w:tcBorders>
            <w:shd w:val="clear" w:color="auto" w:fill="auto"/>
            <w:noWrap/>
            <w:vAlign w:val="center"/>
            <w:hideMark/>
          </w:tcPr>
          <w:p w14:paraId="14B4E2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5085322000</w:t>
            </w:r>
          </w:p>
        </w:tc>
        <w:tc>
          <w:tcPr>
            <w:tcW w:w="1036" w:type="dxa"/>
            <w:tcBorders>
              <w:top w:val="nil"/>
              <w:left w:val="nil"/>
              <w:bottom w:val="single" w:sz="4" w:space="0" w:color="auto"/>
              <w:right w:val="single" w:sz="4" w:space="0" w:color="auto"/>
            </w:tcBorders>
            <w:shd w:val="clear" w:color="auto" w:fill="auto"/>
            <w:noWrap/>
            <w:vAlign w:val="center"/>
            <w:hideMark/>
          </w:tcPr>
          <w:p w14:paraId="7A5FDB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38028654</w:t>
            </w:r>
          </w:p>
        </w:tc>
        <w:tc>
          <w:tcPr>
            <w:tcW w:w="160" w:type="dxa"/>
            <w:tcBorders>
              <w:top w:val="nil"/>
              <w:left w:val="nil"/>
              <w:bottom w:val="single" w:sz="4" w:space="0" w:color="auto"/>
              <w:right w:val="nil"/>
            </w:tcBorders>
            <w:vAlign w:val="center"/>
          </w:tcPr>
          <w:p w14:paraId="4A84C2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278E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SLAVE KLAVORE MARIBOR</w:t>
            </w:r>
          </w:p>
        </w:tc>
      </w:tr>
      <w:tr w:rsidR="00072A69" w:rsidRPr="00DC6DF9" w14:paraId="50A9E2C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3E73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1382</w:t>
            </w:r>
          </w:p>
        </w:tc>
        <w:tc>
          <w:tcPr>
            <w:tcW w:w="1036" w:type="dxa"/>
            <w:tcBorders>
              <w:top w:val="nil"/>
              <w:left w:val="nil"/>
              <w:bottom w:val="single" w:sz="4" w:space="0" w:color="auto"/>
              <w:right w:val="single" w:sz="4" w:space="0" w:color="auto"/>
            </w:tcBorders>
            <w:shd w:val="clear" w:color="auto" w:fill="auto"/>
            <w:noWrap/>
            <w:vAlign w:val="center"/>
            <w:hideMark/>
          </w:tcPr>
          <w:p w14:paraId="63DE73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5087791000</w:t>
            </w:r>
          </w:p>
        </w:tc>
        <w:tc>
          <w:tcPr>
            <w:tcW w:w="1036" w:type="dxa"/>
            <w:tcBorders>
              <w:top w:val="nil"/>
              <w:left w:val="nil"/>
              <w:bottom w:val="single" w:sz="4" w:space="0" w:color="auto"/>
              <w:right w:val="single" w:sz="4" w:space="0" w:color="auto"/>
            </w:tcBorders>
            <w:shd w:val="clear" w:color="auto" w:fill="auto"/>
            <w:noWrap/>
            <w:vAlign w:val="center"/>
            <w:hideMark/>
          </w:tcPr>
          <w:p w14:paraId="681479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33404569</w:t>
            </w:r>
          </w:p>
        </w:tc>
        <w:tc>
          <w:tcPr>
            <w:tcW w:w="160" w:type="dxa"/>
            <w:tcBorders>
              <w:top w:val="nil"/>
              <w:left w:val="nil"/>
              <w:bottom w:val="single" w:sz="4" w:space="0" w:color="auto"/>
              <w:right w:val="nil"/>
            </w:tcBorders>
            <w:vAlign w:val="center"/>
          </w:tcPr>
          <w:p w14:paraId="748697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621A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SLIVNICA PRI CELJU</w:t>
            </w:r>
          </w:p>
        </w:tc>
      </w:tr>
      <w:tr w:rsidR="00072A69" w:rsidRPr="00DC6DF9" w14:paraId="3C631F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6E36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1383</w:t>
            </w:r>
          </w:p>
        </w:tc>
        <w:tc>
          <w:tcPr>
            <w:tcW w:w="1036" w:type="dxa"/>
            <w:tcBorders>
              <w:top w:val="nil"/>
              <w:left w:val="nil"/>
              <w:bottom w:val="single" w:sz="4" w:space="0" w:color="auto"/>
              <w:right w:val="single" w:sz="4" w:space="0" w:color="auto"/>
            </w:tcBorders>
            <w:shd w:val="clear" w:color="auto" w:fill="auto"/>
            <w:noWrap/>
            <w:vAlign w:val="center"/>
            <w:hideMark/>
          </w:tcPr>
          <w:p w14:paraId="3F2BB6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5089042000</w:t>
            </w:r>
          </w:p>
        </w:tc>
        <w:tc>
          <w:tcPr>
            <w:tcW w:w="1036" w:type="dxa"/>
            <w:tcBorders>
              <w:top w:val="nil"/>
              <w:left w:val="nil"/>
              <w:bottom w:val="single" w:sz="4" w:space="0" w:color="auto"/>
              <w:right w:val="single" w:sz="4" w:space="0" w:color="auto"/>
            </w:tcBorders>
            <w:shd w:val="clear" w:color="auto" w:fill="auto"/>
            <w:noWrap/>
            <w:vAlign w:val="center"/>
            <w:hideMark/>
          </w:tcPr>
          <w:p w14:paraId="0AF841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15978346</w:t>
            </w:r>
          </w:p>
        </w:tc>
        <w:tc>
          <w:tcPr>
            <w:tcW w:w="160" w:type="dxa"/>
            <w:tcBorders>
              <w:top w:val="nil"/>
              <w:left w:val="nil"/>
              <w:bottom w:val="single" w:sz="4" w:space="0" w:color="auto"/>
              <w:right w:val="nil"/>
            </w:tcBorders>
            <w:vAlign w:val="center"/>
          </w:tcPr>
          <w:p w14:paraId="70FC4A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B7D4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SOLKAN</w:t>
            </w:r>
          </w:p>
        </w:tc>
      </w:tr>
      <w:tr w:rsidR="00072A69" w:rsidRPr="00DC6DF9" w14:paraId="03DA43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B7E8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1384</w:t>
            </w:r>
          </w:p>
        </w:tc>
        <w:tc>
          <w:tcPr>
            <w:tcW w:w="1036" w:type="dxa"/>
            <w:tcBorders>
              <w:top w:val="nil"/>
              <w:left w:val="nil"/>
              <w:bottom w:val="single" w:sz="4" w:space="0" w:color="auto"/>
              <w:right w:val="single" w:sz="4" w:space="0" w:color="auto"/>
            </w:tcBorders>
            <w:shd w:val="clear" w:color="auto" w:fill="auto"/>
            <w:noWrap/>
            <w:vAlign w:val="center"/>
            <w:hideMark/>
          </w:tcPr>
          <w:p w14:paraId="476C4B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5086124000</w:t>
            </w:r>
          </w:p>
        </w:tc>
        <w:tc>
          <w:tcPr>
            <w:tcW w:w="1036" w:type="dxa"/>
            <w:tcBorders>
              <w:top w:val="nil"/>
              <w:left w:val="nil"/>
              <w:bottom w:val="single" w:sz="4" w:space="0" w:color="auto"/>
              <w:right w:val="single" w:sz="4" w:space="0" w:color="auto"/>
            </w:tcBorders>
            <w:shd w:val="clear" w:color="auto" w:fill="auto"/>
            <w:noWrap/>
            <w:vAlign w:val="center"/>
            <w:hideMark/>
          </w:tcPr>
          <w:p w14:paraId="20A143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19630646</w:t>
            </w:r>
          </w:p>
        </w:tc>
        <w:tc>
          <w:tcPr>
            <w:tcW w:w="160" w:type="dxa"/>
            <w:tcBorders>
              <w:top w:val="nil"/>
              <w:left w:val="nil"/>
              <w:bottom w:val="single" w:sz="4" w:space="0" w:color="auto"/>
              <w:right w:val="nil"/>
            </w:tcBorders>
            <w:vAlign w:val="center"/>
          </w:tcPr>
          <w:p w14:paraId="659A3E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6286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SOSTRO</w:t>
            </w:r>
          </w:p>
        </w:tc>
      </w:tr>
      <w:tr w:rsidR="00072A69" w:rsidRPr="00DC6DF9" w14:paraId="4F08D5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4F49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1385</w:t>
            </w:r>
          </w:p>
        </w:tc>
        <w:tc>
          <w:tcPr>
            <w:tcW w:w="1036" w:type="dxa"/>
            <w:tcBorders>
              <w:top w:val="nil"/>
              <w:left w:val="nil"/>
              <w:bottom w:val="single" w:sz="4" w:space="0" w:color="auto"/>
              <w:right w:val="single" w:sz="4" w:space="0" w:color="auto"/>
            </w:tcBorders>
            <w:shd w:val="clear" w:color="auto" w:fill="auto"/>
            <w:noWrap/>
            <w:vAlign w:val="center"/>
            <w:hideMark/>
          </w:tcPr>
          <w:p w14:paraId="67CFD3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5083788000</w:t>
            </w:r>
          </w:p>
        </w:tc>
        <w:tc>
          <w:tcPr>
            <w:tcW w:w="1036" w:type="dxa"/>
            <w:tcBorders>
              <w:top w:val="nil"/>
              <w:left w:val="nil"/>
              <w:bottom w:val="single" w:sz="4" w:space="0" w:color="auto"/>
              <w:right w:val="single" w:sz="4" w:space="0" w:color="auto"/>
            </w:tcBorders>
            <w:shd w:val="clear" w:color="auto" w:fill="auto"/>
            <w:noWrap/>
            <w:vAlign w:val="center"/>
            <w:hideMark/>
          </w:tcPr>
          <w:p w14:paraId="2AF2E4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10527397</w:t>
            </w:r>
          </w:p>
        </w:tc>
        <w:tc>
          <w:tcPr>
            <w:tcW w:w="160" w:type="dxa"/>
            <w:tcBorders>
              <w:top w:val="nil"/>
              <w:left w:val="nil"/>
              <w:bottom w:val="single" w:sz="4" w:space="0" w:color="auto"/>
              <w:right w:val="nil"/>
            </w:tcBorders>
            <w:vAlign w:val="center"/>
          </w:tcPr>
          <w:p w14:paraId="4342F80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322D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SPODNJA IDRIJA</w:t>
            </w:r>
          </w:p>
        </w:tc>
      </w:tr>
      <w:tr w:rsidR="00072A69" w:rsidRPr="00DC6DF9" w14:paraId="7B746C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03CF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1386</w:t>
            </w:r>
          </w:p>
        </w:tc>
        <w:tc>
          <w:tcPr>
            <w:tcW w:w="1036" w:type="dxa"/>
            <w:tcBorders>
              <w:top w:val="nil"/>
              <w:left w:val="nil"/>
              <w:bottom w:val="single" w:sz="4" w:space="0" w:color="auto"/>
              <w:right w:val="single" w:sz="4" w:space="0" w:color="auto"/>
            </w:tcBorders>
            <w:shd w:val="clear" w:color="auto" w:fill="auto"/>
            <w:noWrap/>
            <w:vAlign w:val="center"/>
            <w:hideMark/>
          </w:tcPr>
          <w:p w14:paraId="2A2DB2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5084326000</w:t>
            </w:r>
          </w:p>
        </w:tc>
        <w:tc>
          <w:tcPr>
            <w:tcW w:w="1036" w:type="dxa"/>
            <w:tcBorders>
              <w:top w:val="nil"/>
              <w:left w:val="nil"/>
              <w:bottom w:val="single" w:sz="4" w:space="0" w:color="auto"/>
              <w:right w:val="single" w:sz="4" w:space="0" w:color="auto"/>
            </w:tcBorders>
            <w:shd w:val="clear" w:color="auto" w:fill="auto"/>
            <w:noWrap/>
            <w:vAlign w:val="center"/>
            <w:hideMark/>
          </w:tcPr>
          <w:p w14:paraId="3635FF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94204390</w:t>
            </w:r>
          </w:p>
        </w:tc>
        <w:tc>
          <w:tcPr>
            <w:tcW w:w="160" w:type="dxa"/>
            <w:tcBorders>
              <w:top w:val="nil"/>
              <w:left w:val="nil"/>
              <w:bottom w:val="single" w:sz="4" w:space="0" w:color="auto"/>
              <w:right w:val="nil"/>
            </w:tcBorders>
            <w:vAlign w:val="center"/>
          </w:tcPr>
          <w:p w14:paraId="509F221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EB78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SPODNJA ŠIŠKA</w:t>
            </w:r>
          </w:p>
        </w:tc>
      </w:tr>
      <w:tr w:rsidR="00072A69" w:rsidRPr="00DC6DF9" w14:paraId="14B5AF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85CF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1387</w:t>
            </w:r>
          </w:p>
        </w:tc>
        <w:tc>
          <w:tcPr>
            <w:tcW w:w="1036" w:type="dxa"/>
            <w:tcBorders>
              <w:top w:val="nil"/>
              <w:left w:val="nil"/>
              <w:bottom w:val="single" w:sz="4" w:space="0" w:color="auto"/>
              <w:right w:val="single" w:sz="4" w:space="0" w:color="auto"/>
            </w:tcBorders>
            <w:shd w:val="clear" w:color="auto" w:fill="auto"/>
            <w:noWrap/>
            <w:vAlign w:val="center"/>
            <w:hideMark/>
          </w:tcPr>
          <w:p w14:paraId="7464CE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5086426000</w:t>
            </w:r>
          </w:p>
        </w:tc>
        <w:tc>
          <w:tcPr>
            <w:tcW w:w="1036" w:type="dxa"/>
            <w:tcBorders>
              <w:top w:val="nil"/>
              <w:left w:val="nil"/>
              <w:bottom w:val="single" w:sz="4" w:space="0" w:color="auto"/>
              <w:right w:val="single" w:sz="4" w:space="0" w:color="auto"/>
            </w:tcBorders>
            <w:shd w:val="clear" w:color="auto" w:fill="auto"/>
            <w:noWrap/>
            <w:vAlign w:val="center"/>
            <w:hideMark/>
          </w:tcPr>
          <w:p w14:paraId="5A551D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92129196</w:t>
            </w:r>
          </w:p>
        </w:tc>
        <w:tc>
          <w:tcPr>
            <w:tcW w:w="160" w:type="dxa"/>
            <w:tcBorders>
              <w:top w:val="nil"/>
              <w:left w:val="nil"/>
              <w:bottom w:val="single" w:sz="4" w:space="0" w:color="auto"/>
              <w:right w:val="nil"/>
            </w:tcBorders>
            <w:vAlign w:val="center"/>
          </w:tcPr>
          <w:p w14:paraId="0E5C007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89D4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SREDIŠČE OB DRAVI</w:t>
            </w:r>
          </w:p>
        </w:tc>
      </w:tr>
      <w:tr w:rsidR="00072A69" w:rsidRPr="00DC6DF9" w14:paraId="495EADC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2B60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1388</w:t>
            </w:r>
          </w:p>
        </w:tc>
        <w:tc>
          <w:tcPr>
            <w:tcW w:w="1036" w:type="dxa"/>
            <w:tcBorders>
              <w:top w:val="nil"/>
              <w:left w:val="nil"/>
              <w:bottom w:val="single" w:sz="4" w:space="0" w:color="auto"/>
              <w:right w:val="single" w:sz="4" w:space="0" w:color="auto"/>
            </w:tcBorders>
            <w:shd w:val="clear" w:color="auto" w:fill="auto"/>
            <w:noWrap/>
            <w:vAlign w:val="center"/>
            <w:hideMark/>
          </w:tcPr>
          <w:p w14:paraId="3024F8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5083206000</w:t>
            </w:r>
          </w:p>
        </w:tc>
        <w:tc>
          <w:tcPr>
            <w:tcW w:w="1036" w:type="dxa"/>
            <w:tcBorders>
              <w:top w:val="nil"/>
              <w:left w:val="nil"/>
              <w:bottom w:val="single" w:sz="4" w:space="0" w:color="auto"/>
              <w:right w:val="single" w:sz="4" w:space="0" w:color="auto"/>
            </w:tcBorders>
            <w:shd w:val="clear" w:color="auto" w:fill="auto"/>
            <w:noWrap/>
            <w:vAlign w:val="center"/>
            <w:hideMark/>
          </w:tcPr>
          <w:p w14:paraId="15513A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88156176</w:t>
            </w:r>
          </w:p>
        </w:tc>
        <w:tc>
          <w:tcPr>
            <w:tcW w:w="160" w:type="dxa"/>
            <w:tcBorders>
              <w:top w:val="nil"/>
              <w:left w:val="nil"/>
              <w:bottom w:val="single" w:sz="4" w:space="0" w:color="auto"/>
              <w:right w:val="nil"/>
            </w:tcBorders>
            <w:vAlign w:val="center"/>
          </w:tcPr>
          <w:p w14:paraId="683A3E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7916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STANETA ŽAGARJA KRANJ</w:t>
            </w:r>
          </w:p>
        </w:tc>
      </w:tr>
      <w:tr w:rsidR="00072A69" w:rsidRPr="00DC6DF9" w14:paraId="3A40AA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3DF5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1389</w:t>
            </w:r>
          </w:p>
        </w:tc>
        <w:tc>
          <w:tcPr>
            <w:tcW w:w="1036" w:type="dxa"/>
            <w:tcBorders>
              <w:top w:val="nil"/>
              <w:left w:val="nil"/>
              <w:bottom w:val="single" w:sz="4" w:space="0" w:color="auto"/>
              <w:right w:val="single" w:sz="4" w:space="0" w:color="auto"/>
            </w:tcBorders>
            <w:shd w:val="clear" w:color="auto" w:fill="auto"/>
            <w:noWrap/>
            <w:vAlign w:val="center"/>
            <w:hideMark/>
          </w:tcPr>
          <w:p w14:paraId="740C78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5087333000</w:t>
            </w:r>
          </w:p>
        </w:tc>
        <w:tc>
          <w:tcPr>
            <w:tcW w:w="1036" w:type="dxa"/>
            <w:tcBorders>
              <w:top w:val="nil"/>
              <w:left w:val="nil"/>
              <w:bottom w:val="single" w:sz="4" w:space="0" w:color="auto"/>
              <w:right w:val="single" w:sz="4" w:space="0" w:color="auto"/>
            </w:tcBorders>
            <w:shd w:val="clear" w:color="auto" w:fill="auto"/>
            <w:noWrap/>
            <w:vAlign w:val="center"/>
            <w:hideMark/>
          </w:tcPr>
          <w:p w14:paraId="1D784A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81968060</w:t>
            </w:r>
          </w:p>
        </w:tc>
        <w:tc>
          <w:tcPr>
            <w:tcW w:w="160" w:type="dxa"/>
            <w:tcBorders>
              <w:top w:val="nil"/>
              <w:left w:val="nil"/>
              <w:bottom w:val="single" w:sz="4" w:space="0" w:color="auto"/>
              <w:right w:val="nil"/>
            </w:tcBorders>
            <w:vAlign w:val="center"/>
          </w:tcPr>
          <w:p w14:paraId="2AC0964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52D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STANETA ŽAGARJA LIPNICA</w:t>
            </w:r>
          </w:p>
        </w:tc>
      </w:tr>
      <w:tr w:rsidR="00072A69" w:rsidRPr="00DC6DF9" w14:paraId="1CA51A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DFE1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1390</w:t>
            </w:r>
          </w:p>
        </w:tc>
        <w:tc>
          <w:tcPr>
            <w:tcW w:w="1036" w:type="dxa"/>
            <w:tcBorders>
              <w:top w:val="nil"/>
              <w:left w:val="nil"/>
              <w:bottom w:val="single" w:sz="4" w:space="0" w:color="auto"/>
              <w:right w:val="single" w:sz="4" w:space="0" w:color="auto"/>
            </w:tcBorders>
            <w:shd w:val="clear" w:color="auto" w:fill="auto"/>
            <w:noWrap/>
            <w:vAlign w:val="center"/>
            <w:hideMark/>
          </w:tcPr>
          <w:p w14:paraId="70CA5A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5171059000</w:t>
            </w:r>
          </w:p>
        </w:tc>
        <w:tc>
          <w:tcPr>
            <w:tcW w:w="1036" w:type="dxa"/>
            <w:tcBorders>
              <w:top w:val="nil"/>
              <w:left w:val="nil"/>
              <w:bottom w:val="single" w:sz="4" w:space="0" w:color="auto"/>
              <w:right w:val="single" w:sz="4" w:space="0" w:color="auto"/>
            </w:tcBorders>
            <w:shd w:val="clear" w:color="auto" w:fill="auto"/>
            <w:noWrap/>
            <w:vAlign w:val="center"/>
            <w:hideMark/>
          </w:tcPr>
          <w:p w14:paraId="1E0E81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10523677</w:t>
            </w:r>
          </w:p>
        </w:tc>
        <w:tc>
          <w:tcPr>
            <w:tcW w:w="160" w:type="dxa"/>
            <w:tcBorders>
              <w:top w:val="nil"/>
              <w:left w:val="nil"/>
              <w:bottom w:val="single" w:sz="4" w:space="0" w:color="auto"/>
              <w:right w:val="nil"/>
            </w:tcBorders>
            <w:vAlign w:val="center"/>
          </w:tcPr>
          <w:p w14:paraId="2D9091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28C1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STANKA VRAZA ORMOŽ</w:t>
            </w:r>
          </w:p>
        </w:tc>
      </w:tr>
      <w:tr w:rsidR="00072A69" w:rsidRPr="00DC6DF9" w14:paraId="3D56A5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EC47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1391</w:t>
            </w:r>
          </w:p>
        </w:tc>
        <w:tc>
          <w:tcPr>
            <w:tcW w:w="1036" w:type="dxa"/>
            <w:tcBorders>
              <w:top w:val="nil"/>
              <w:left w:val="nil"/>
              <w:bottom w:val="single" w:sz="4" w:space="0" w:color="auto"/>
              <w:right w:val="single" w:sz="4" w:space="0" w:color="auto"/>
            </w:tcBorders>
            <w:shd w:val="clear" w:color="auto" w:fill="auto"/>
            <w:noWrap/>
            <w:vAlign w:val="center"/>
            <w:hideMark/>
          </w:tcPr>
          <w:p w14:paraId="778FA6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5621739000</w:t>
            </w:r>
          </w:p>
        </w:tc>
        <w:tc>
          <w:tcPr>
            <w:tcW w:w="1036" w:type="dxa"/>
            <w:tcBorders>
              <w:top w:val="nil"/>
              <w:left w:val="nil"/>
              <w:bottom w:val="single" w:sz="4" w:space="0" w:color="auto"/>
              <w:right w:val="single" w:sz="4" w:space="0" w:color="auto"/>
            </w:tcBorders>
            <w:shd w:val="clear" w:color="auto" w:fill="auto"/>
            <w:noWrap/>
            <w:vAlign w:val="center"/>
            <w:hideMark/>
          </w:tcPr>
          <w:p w14:paraId="5D0131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72111763</w:t>
            </w:r>
          </w:p>
        </w:tc>
        <w:tc>
          <w:tcPr>
            <w:tcW w:w="160" w:type="dxa"/>
            <w:tcBorders>
              <w:top w:val="nil"/>
              <w:left w:val="nil"/>
              <w:bottom w:val="single" w:sz="4" w:space="0" w:color="auto"/>
              <w:right w:val="nil"/>
            </w:tcBorders>
            <w:vAlign w:val="center"/>
          </w:tcPr>
          <w:p w14:paraId="11CFCF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4F68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STARA CERKEV</w:t>
            </w:r>
          </w:p>
        </w:tc>
      </w:tr>
      <w:tr w:rsidR="00072A69" w:rsidRPr="00DC6DF9" w14:paraId="410C61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2506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1392</w:t>
            </w:r>
          </w:p>
        </w:tc>
        <w:tc>
          <w:tcPr>
            <w:tcW w:w="1036" w:type="dxa"/>
            <w:tcBorders>
              <w:top w:val="nil"/>
              <w:left w:val="nil"/>
              <w:bottom w:val="single" w:sz="4" w:space="0" w:color="auto"/>
              <w:right w:val="single" w:sz="4" w:space="0" w:color="auto"/>
            </w:tcBorders>
            <w:shd w:val="clear" w:color="auto" w:fill="auto"/>
            <w:noWrap/>
            <w:vAlign w:val="center"/>
            <w:hideMark/>
          </w:tcPr>
          <w:p w14:paraId="67678A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5085314000</w:t>
            </w:r>
          </w:p>
        </w:tc>
        <w:tc>
          <w:tcPr>
            <w:tcW w:w="1036" w:type="dxa"/>
            <w:tcBorders>
              <w:top w:val="nil"/>
              <w:left w:val="nil"/>
              <w:bottom w:val="single" w:sz="4" w:space="0" w:color="auto"/>
              <w:right w:val="single" w:sz="4" w:space="0" w:color="auto"/>
            </w:tcBorders>
            <w:shd w:val="clear" w:color="auto" w:fill="auto"/>
            <w:noWrap/>
            <w:vAlign w:val="center"/>
            <w:hideMark/>
          </w:tcPr>
          <w:p w14:paraId="0A2BE6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25722824</w:t>
            </w:r>
          </w:p>
        </w:tc>
        <w:tc>
          <w:tcPr>
            <w:tcW w:w="160" w:type="dxa"/>
            <w:tcBorders>
              <w:top w:val="nil"/>
              <w:left w:val="nil"/>
              <w:bottom w:val="single" w:sz="4" w:space="0" w:color="auto"/>
              <w:right w:val="nil"/>
            </w:tcBorders>
            <w:vAlign w:val="center"/>
          </w:tcPr>
          <w:p w14:paraId="512E8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5E69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STARŠE</w:t>
            </w:r>
          </w:p>
        </w:tc>
      </w:tr>
      <w:tr w:rsidR="00072A69" w:rsidRPr="00DC6DF9" w14:paraId="611C74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F678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1393</w:t>
            </w:r>
          </w:p>
        </w:tc>
        <w:tc>
          <w:tcPr>
            <w:tcW w:w="1036" w:type="dxa"/>
            <w:tcBorders>
              <w:top w:val="nil"/>
              <w:left w:val="nil"/>
              <w:bottom w:val="single" w:sz="4" w:space="0" w:color="auto"/>
              <w:right w:val="single" w:sz="4" w:space="0" w:color="auto"/>
            </w:tcBorders>
            <w:shd w:val="clear" w:color="auto" w:fill="auto"/>
            <w:noWrap/>
            <w:vAlign w:val="center"/>
            <w:hideMark/>
          </w:tcPr>
          <w:p w14:paraId="147486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5623677000</w:t>
            </w:r>
          </w:p>
        </w:tc>
        <w:tc>
          <w:tcPr>
            <w:tcW w:w="1036" w:type="dxa"/>
            <w:tcBorders>
              <w:top w:val="nil"/>
              <w:left w:val="nil"/>
              <w:bottom w:val="single" w:sz="4" w:space="0" w:color="auto"/>
              <w:right w:val="single" w:sz="4" w:space="0" w:color="auto"/>
            </w:tcBorders>
            <w:shd w:val="clear" w:color="auto" w:fill="auto"/>
            <w:noWrap/>
            <w:vAlign w:val="center"/>
            <w:hideMark/>
          </w:tcPr>
          <w:p w14:paraId="555569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67259375</w:t>
            </w:r>
          </w:p>
        </w:tc>
        <w:tc>
          <w:tcPr>
            <w:tcW w:w="160" w:type="dxa"/>
            <w:tcBorders>
              <w:top w:val="nil"/>
              <w:left w:val="nil"/>
              <w:bottom w:val="single" w:sz="4" w:space="0" w:color="auto"/>
              <w:right w:val="nil"/>
            </w:tcBorders>
            <w:vAlign w:val="center"/>
          </w:tcPr>
          <w:p w14:paraId="48B56B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F5F7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STIČNA</w:t>
            </w:r>
          </w:p>
        </w:tc>
      </w:tr>
      <w:tr w:rsidR="00072A69" w:rsidRPr="00DC6DF9" w14:paraId="505271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AE29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1394</w:t>
            </w:r>
          </w:p>
        </w:tc>
        <w:tc>
          <w:tcPr>
            <w:tcW w:w="1036" w:type="dxa"/>
            <w:tcBorders>
              <w:top w:val="nil"/>
              <w:left w:val="nil"/>
              <w:bottom w:val="single" w:sz="4" w:space="0" w:color="auto"/>
              <w:right w:val="single" w:sz="4" w:space="0" w:color="auto"/>
            </w:tcBorders>
            <w:shd w:val="clear" w:color="auto" w:fill="auto"/>
            <w:noWrap/>
            <w:vAlign w:val="center"/>
            <w:hideMark/>
          </w:tcPr>
          <w:p w14:paraId="0374DC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5086833000</w:t>
            </w:r>
          </w:p>
        </w:tc>
        <w:tc>
          <w:tcPr>
            <w:tcW w:w="1036" w:type="dxa"/>
            <w:tcBorders>
              <w:top w:val="nil"/>
              <w:left w:val="nil"/>
              <w:bottom w:val="single" w:sz="4" w:space="0" w:color="auto"/>
              <w:right w:val="single" w:sz="4" w:space="0" w:color="auto"/>
            </w:tcBorders>
            <w:shd w:val="clear" w:color="auto" w:fill="auto"/>
            <w:noWrap/>
            <w:vAlign w:val="center"/>
            <w:hideMark/>
          </w:tcPr>
          <w:p w14:paraId="353A0C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92232787</w:t>
            </w:r>
          </w:p>
        </w:tc>
        <w:tc>
          <w:tcPr>
            <w:tcW w:w="160" w:type="dxa"/>
            <w:tcBorders>
              <w:top w:val="nil"/>
              <w:left w:val="nil"/>
              <w:bottom w:val="single" w:sz="4" w:space="0" w:color="auto"/>
              <w:right w:val="nil"/>
            </w:tcBorders>
            <w:vAlign w:val="center"/>
          </w:tcPr>
          <w:p w14:paraId="0F0089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9BDB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STOPIČE</w:t>
            </w:r>
          </w:p>
        </w:tc>
      </w:tr>
      <w:tr w:rsidR="00072A69" w:rsidRPr="00DC6DF9" w14:paraId="06114B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D106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1395</w:t>
            </w:r>
          </w:p>
        </w:tc>
        <w:tc>
          <w:tcPr>
            <w:tcW w:w="1036" w:type="dxa"/>
            <w:tcBorders>
              <w:top w:val="nil"/>
              <w:left w:val="nil"/>
              <w:bottom w:val="single" w:sz="4" w:space="0" w:color="auto"/>
              <w:right w:val="single" w:sz="4" w:space="0" w:color="auto"/>
            </w:tcBorders>
            <w:shd w:val="clear" w:color="auto" w:fill="auto"/>
            <w:noWrap/>
            <w:vAlign w:val="center"/>
            <w:hideMark/>
          </w:tcPr>
          <w:p w14:paraId="3EF5A4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5083818000</w:t>
            </w:r>
          </w:p>
        </w:tc>
        <w:tc>
          <w:tcPr>
            <w:tcW w:w="1036" w:type="dxa"/>
            <w:tcBorders>
              <w:top w:val="nil"/>
              <w:left w:val="nil"/>
              <w:bottom w:val="single" w:sz="4" w:space="0" w:color="auto"/>
              <w:right w:val="single" w:sz="4" w:space="0" w:color="auto"/>
            </w:tcBorders>
            <w:shd w:val="clear" w:color="auto" w:fill="auto"/>
            <w:noWrap/>
            <w:vAlign w:val="center"/>
            <w:hideMark/>
          </w:tcPr>
          <w:p w14:paraId="70B927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21169012</w:t>
            </w:r>
          </w:p>
        </w:tc>
        <w:tc>
          <w:tcPr>
            <w:tcW w:w="160" w:type="dxa"/>
            <w:tcBorders>
              <w:top w:val="nil"/>
              <w:left w:val="nil"/>
              <w:bottom w:val="single" w:sz="4" w:space="0" w:color="auto"/>
              <w:right w:val="nil"/>
            </w:tcBorders>
            <w:vAlign w:val="center"/>
          </w:tcPr>
          <w:p w14:paraId="0A22B0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CC27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STRANJE</w:t>
            </w:r>
          </w:p>
        </w:tc>
      </w:tr>
      <w:tr w:rsidR="00072A69" w:rsidRPr="00DC6DF9" w14:paraId="4D9DEF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9C85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1396</w:t>
            </w:r>
          </w:p>
        </w:tc>
        <w:tc>
          <w:tcPr>
            <w:tcW w:w="1036" w:type="dxa"/>
            <w:tcBorders>
              <w:top w:val="nil"/>
              <w:left w:val="nil"/>
              <w:bottom w:val="single" w:sz="4" w:space="0" w:color="auto"/>
              <w:right w:val="single" w:sz="4" w:space="0" w:color="auto"/>
            </w:tcBorders>
            <w:shd w:val="clear" w:color="auto" w:fill="auto"/>
            <w:noWrap/>
            <w:vAlign w:val="center"/>
            <w:hideMark/>
          </w:tcPr>
          <w:p w14:paraId="6FB929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5085365000</w:t>
            </w:r>
          </w:p>
        </w:tc>
        <w:tc>
          <w:tcPr>
            <w:tcW w:w="1036" w:type="dxa"/>
            <w:tcBorders>
              <w:top w:val="nil"/>
              <w:left w:val="nil"/>
              <w:bottom w:val="single" w:sz="4" w:space="0" w:color="auto"/>
              <w:right w:val="single" w:sz="4" w:space="0" w:color="auto"/>
            </w:tcBorders>
            <w:shd w:val="clear" w:color="auto" w:fill="auto"/>
            <w:noWrap/>
            <w:vAlign w:val="center"/>
            <w:hideMark/>
          </w:tcPr>
          <w:p w14:paraId="2D7FDC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80750842</w:t>
            </w:r>
          </w:p>
        </w:tc>
        <w:tc>
          <w:tcPr>
            <w:tcW w:w="160" w:type="dxa"/>
            <w:tcBorders>
              <w:top w:val="nil"/>
              <w:left w:val="nil"/>
              <w:bottom w:val="single" w:sz="4" w:space="0" w:color="auto"/>
              <w:right w:val="nil"/>
            </w:tcBorders>
            <w:vAlign w:val="center"/>
          </w:tcPr>
          <w:p w14:paraId="1D3876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230C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STRAŽIŠČE KRANJ</w:t>
            </w:r>
          </w:p>
        </w:tc>
      </w:tr>
      <w:tr w:rsidR="00072A69" w:rsidRPr="00DC6DF9" w14:paraId="47F444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E99A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1397</w:t>
            </w:r>
          </w:p>
        </w:tc>
        <w:tc>
          <w:tcPr>
            <w:tcW w:w="1036" w:type="dxa"/>
            <w:tcBorders>
              <w:top w:val="nil"/>
              <w:left w:val="nil"/>
              <w:bottom w:val="single" w:sz="4" w:space="0" w:color="auto"/>
              <w:right w:val="single" w:sz="4" w:space="0" w:color="auto"/>
            </w:tcBorders>
            <w:shd w:val="clear" w:color="auto" w:fill="auto"/>
            <w:noWrap/>
            <w:vAlign w:val="center"/>
            <w:hideMark/>
          </w:tcPr>
          <w:p w14:paraId="22EA17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5085004000</w:t>
            </w:r>
          </w:p>
        </w:tc>
        <w:tc>
          <w:tcPr>
            <w:tcW w:w="1036" w:type="dxa"/>
            <w:tcBorders>
              <w:top w:val="nil"/>
              <w:left w:val="nil"/>
              <w:bottom w:val="single" w:sz="4" w:space="0" w:color="auto"/>
              <w:right w:val="single" w:sz="4" w:space="0" w:color="auto"/>
            </w:tcBorders>
            <w:shd w:val="clear" w:color="auto" w:fill="auto"/>
            <w:noWrap/>
            <w:vAlign w:val="center"/>
            <w:hideMark/>
          </w:tcPr>
          <w:p w14:paraId="0984E4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91516943</w:t>
            </w:r>
          </w:p>
        </w:tc>
        <w:tc>
          <w:tcPr>
            <w:tcW w:w="160" w:type="dxa"/>
            <w:tcBorders>
              <w:top w:val="nil"/>
              <w:left w:val="nil"/>
              <w:bottom w:val="single" w:sz="4" w:space="0" w:color="auto"/>
              <w:right w:val="nil"/>
            </w:tcBorders>
            <w:vAlign w:val="center"/>
          </w:tcPr>
          <w:p w14:paraId="4A2FF1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5806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STROČJA VAS</w:t>
            </w:r>
          </w:p>
        </w:tc>
      </w:tr>
      <w:tr w:rsidR="00072A69" w:rsidRPr="00DC6DF9" w14:paraId="16F30F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F1E3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1398</w:t>
            </w:r>
          </w:p>
        </w:tc>
        <w:tc>
          <w:tcPr>
            <w:tcW w:w="1036" w:type="dxa"/>
            <w:tcBorders>
              <w:top w:val="nil"/>
              <w:left w:val="nil"/>
              <w:bottom w:val="single" w:sz="4" w:space="0" w:color="auto"/>
              <w:right w:val="single" w:sz="4" w:space="0" w:color="auto"/>
            </w:tcBorders>
            <w:shd w:val="clear" w:color="auto" w:fill="auto"/>
            <w:noWrap/>
            <w:vAlign w:val="center"/>
            <w:hideMark/>
          </w:tcPr>
          <w:p w14:paraId="5AB1F1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5083753000</w:t>
            </w:r>
          </w:p>
        </w:tc>
        <w:tc>
          <w:tcPr>
            <w:tcW w:w="1036" w:type="dxa"/>
            <w:tcBorders>
              <w:top w:val="nil"/>
              <w:left w:val="nil"/>
              <w:bottom w:val="single" w:sz="4" w:space="0" w:color="auto"/>
              <w:right w:val="single" w:sz="4" w:space="0" w:color="auto"/>
            </w:tcBorders>
            <w:shd w:val="clear" w:color="auto" w:fill="auto"/>
            <w:noWrap/>
            <w:vAlign w:val="center"/>
            <w:hideMark/>
          </w:tcPr>
          <w:p w14:paraId="778039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19644051</w:t>
            </w:r>
          </w:p>
        </w:tc>
        <w:tc>
          <w:tcPr>
            <w:tcW w:w="160" w:type="dxa"/>
            <w:tcBorders>
              <w:top w:val="nil"/>
              <w:left w:val="nil"/>
              <w:bottom w:val="single" w:sz="4" w:space="0" w:color="auto"/>
              <w:right w:val="nil"/>
            </w:tcBorders>
            <w:vAlign w:val="center"/>
          </w:tcPr>
          <w:p w14:paraId="0D3288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A9B0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SV. JURIJ OB ŠČAVNICI</w:t>
            </w:r>
          </w:p>
        </w:tc>
      </w:tr>
      <w:tr w:rsidR="00072A69" w:rsidRPr="00DC6DF9" w14:paraId="41EFBD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AAC1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1399</w:t>
            </w:r>
          </w:p>
        </w:tc>
        <w:tc>
          <w:tcPr>
            <w:tcW w:w="1036" w:type="dxa"/>
            <w:tcBorders>
              <w:top w:val="nil"/>
              <w:left w:val="nil"/>
              <w:bottom w:val="single" w:sz="4" w:space="0" w:color="auto"/>
              <w:right w:val="single" w:sz="4" w:space="0" w:color="auto"/>
            </w:tcBorders>
            <w:shd w:val="clear" w:color="auto" w:fill="auto"/>
            <w:noWrap/>
            <w:vAlign w:val="center"/>
            <w:hideMark/>
          </w:tcPr>
          <w:p w14:paraId="02C06A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5084865000</w:t>
            </w:r>
          </w:p>
        </w:tc>
        <w:tc>
          <w:tcPr>
            <w:tcW w:w="1036" w:type="dxa"/>
            <w:tcBorders>
              <w:top w:val="nil"/>
              <w:left w:val="nil"/>
              <w:bottom w:val="single" w:sz="4" w:space="0" w:color="auto"/>
              <w:right w:val="single" w:sz="4" w:space="0" w:color="auto"/>
            </w:tcBorders>
            <w:shd w:val="clear" w:color="auto" w:fill="auto"/>
            <w:noWrap/>
            <w:vAlign w:val="center"/>
            <w:hideMark/>
          </w:tcPr>
          <w:p w14:paraId="2ABDDF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81069472</w:t>
            </w:r>
          </w:p>
        </w:tc>
        <w:tc>
          <w:tcPr>
            <w:tcW w:w="160" w:type="dxa"/>
            <w:tcBorders>
              <w:top w:val="nil"/>
              <w:left w:val="nil"/>
              <w:bottom w:val="single" w:sz="4" w:space="0" w:color="auto"/>
              <w:right w:val="nil"/>
            </w:tcBorders>
            <w:vAlign w:val="center"/>
          </w:tcPr>
          <w:p w14:paraId="51240C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F82D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SVETA ANA</w:t>
            </w:r>
          </w:p>
        </w:tc>
      </w:tr>
      <w:tr w:rsidR="00072A69" w:rsidRPr="00DC6DF9" w14:paraId="6D80411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350F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1400</w:t>
            </w:r>
          </w:p>
        </w:tc>
        <w:tc>
          <w:tcPr>
            <w:tcW w:w="1036" w:type="dxa"/>
            <w:tcBorders>
              <w:top w:val="nil"/>
              <w:left w:val="nil"/>
              <w:bottom w:val="single" w:sz="4" w:space="0" w:color="auto"/>
              <w:right w:val="single" w:sz="4" w:space="0" w:color="auto"/>
            </w:tcBorders>
            <w:shd w:val="clear" w:color="auto" w:fill="auto"/>
            <w:noWrap/>
            <w:vAlign w:val="center"/>
            <w:hideMark/>
          </w:tcPr>
          <w:p w14:paraId="7F8DDE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5085705000</w:t>
            </w:r>
          </w:p>
        </w:tc>
        <w:tc>
          <w:tcPr>
            <w:tcW w:w="1036" w:type="dxa"/>
            <w:tcBorders>
              <w:top w:val="nil"/>
              <w:left w:val="nil"/>
              <w:bottom w:val="single" w:sz="4" w:space="0" w:color="auto"/>
              <w:right w:val="single" w:sz="4" w:space="0" w:color="auto"/>
            </w:tcBorders>
            <w:shd w:val="clear" w:color="auto" w:fill="auto"/>
            <w:noWrap/>
            <w:vAlign w:val="center"/>
            <w:hideMark/>
          </w:tcPr>
          <w:p w14:paraId="008F4B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99951525</w:t>
            </w:r>
          </w:p>
        </w:tc>
        <w:tc>
          <w:tcPr>
            <w:tcW w:w="160" w:type="dxa"/>
            <w:tcBorders>
              <w:top w:val="nil"/>
              <w:left w:val="nil"/>
              <w:bottom w:val="single" w:sz="4" w:space="0" w:color="auto"/>
              <w:right w:val="nil"/>
            </w:tcBorders>
            <w:vAlign w:val="center"/>
          </w:tcPr>
          <w:p w14:paraId="143DA6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330C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SVETI JURIJ</w:t>
            </w:r>
          </w:p>
        </w:tc>
      </w:tr>
      <w:tr w:rsidR="00072A69" w:rsidRPr="00DC6DF9" w14:paraId="7405E4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4E4B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1401</w:t>
            </w:r>
          </w:p>
        </w:tc>
        <w:tc>
          <w:tcPr>
            <w:tcW w:w="1036" w:type="dxa"/>
            <w:tcBorders>
              <w:top w:val="nil"/>
              <w:left w:val="nil"/>
              <w:bottom w:val="single" w:sz="4" w:space="0" w:color="auto"/>
              <w:right w:val="single" w:sz="4" w:space="0" w:color="auto"/>
            </w:tcBorders>
            <w:shd w:val="clear" w:color="auto" w:fill="auto"/>
            <w:noWrap/>
            <w:vAlign w:val="center"/>
            <w:hideMark/>
          </w:tcPr>
          <w:p w14:paraId="12C5FA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5089166000</w:t>
            </w:r>
          </w:p>
        </w:tc>
        <w:tc>
          <w:tcPr>
            <w:tcW w:w="1036" w:type="dxa"/>
            <w:tcBorders>
              <w:top w:val="nil"/>
              <w:left w:val="nil"/>
              <w:bottom w:val="single" w:sz="4" w:space="0" w:color="auto"/>
              <w:right w:val="single" w:sz="4" w:space="0" w:color="auto"/>
            </w:tcBorders>
            <w:shd w:val="clear" w:color="auto" w:fill="auto"/>
            <w:noWrap/>
            <w:vAlign w:val="center"/>
            <w:hideMark/>
          </w:tcPr>
          <w:p w14:paraId="50225F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70846057</w:t>
            </w:r>
          </w:p>
        </w:tc>
        <w:tc>
          <w:tcPr>
            <w:tcW w:w="160" w:type="dxa"/>
            <w:tcBorders>
              <w:top w:val="nil"/>
              <w:left w:val="nil"/>
              <w:bottom w:val="single" w:sz="4" w:space="0" w:color="auto"/>
              <w:right w:val="nil"/>
            </w:tcBorders>
            <w:vAlign w:val="center"/>
          </w:tcPr>
          <w:p w14:paraId="51C901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549C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SVETI TOMAŽ</w:t>
            </w:r>
          </w:p>
        </w:tc>
      </w:tr>
      <w:tr w:rsidR="00072A69" w:rsidRPr="00DC6DF9" w14:paraId="6A7C5E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1512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1402</w:t>
            </w:r>
          </w:p>
        </w:tc>
        <w:tc>
          <w:tcPr>
            <w:tcW w:w="1036" w:type="dxa"/>
            <w:tcBorders>
              <w:top w:val="nil"/>
              <w:left w:val="nil"/>
              <w:bottom w:val="single" w:sz="4" w:space="0" w:color="auto"/>
              <w:right w:val="single" w:sz="4" w:space="0" w:color="auto"/>
            </w:tcBorders>
            <w:shd w:val="clear" w:color="auto" w:fill="auto"/>
            <w:noWrap/>
            <w:vAlign w:val="center"/>
            <w:hideMark/>
          </w:tcPr>
          <w:p w14:paraId="40777E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5278902000</w:t>
            </w:r>
          </w:p>
        </w:tc>
        <w:tc>
          <w:tcPr>
            <w:tcW w:w="1036" w:type="dxa"/>
            <w:tcBorders>
              <w:top w:val="nil"/>
              <w:left w:val="nil"/>
              <w:bottom w:val="single" w:sz="4" w:space="0" w:color="auto"/>
              <w:right w:val="single" w:sz="4" w:space="0" w:color="auto"/>
            </w:tcBorders>
            <w:shd w:val="clear" w:color="auto" w:fill="auto"/>
            <w:noWrap/>
            <w:vAlign w:val="center"/>
            <w:hideMark/>
          </w:tcPr>
          <w:p w14:paraId="43439F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85859966</w:t>
            </w:r>
          </w:p>
        </w:tc>
        <w:tc>
          <w:tcPr>
            <w:tcW w:w="160" w:type="dxa"/>
            <w:tcBorders>
              <w:top w:val="nil"/>
              <w:left w:val="nil"/>
              <w:bottom w:val="single" w:sz="4" w:space="0" w:color="auto"/>
              <w:right w:val="nil"/>
            </w:tcBorders>
            <w:vAlign w:val="center"/>
          </w:tcPr>
          <w:p w14:paraId="14560CA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2F6D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ŠALEK VELENJE</w:t>
            </w:r>
          </w:p>
        </w:tc>
      </w:tr>
      <w:tr w:rsidR="00072A69" w:rsidRPr="00DC6DF9" w14:paraId="192333D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4B81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1403</w:t>
            </w:r>
          </w:p>
        </w:tc>
        <w:tc>
          <w:tcPr>
            <w:tcW w:w="1036" w:type="dxa"/>
            <w:tcBorders>
              <w:top w:val="nil"/>
              <w:left w:val="nil"/>
              <w:bottom w:val="single" w:sz="4" w:space="0" w:color="auto"/>
              <w:right w:val="single" w:sz="4" w:space="0" w:color="auto"/>
            </w:tcBorders>
            <w:shd w:val="clear" w:color="auto" w:fill="auto"/>
            <w:noWrap/>
            <w:vAlign w:val="center"/>
            <w:hideMark/>
          </w:tcPr>
          <w:p w14:paraId="2BB319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5085713000</w:t>
            </w:r>
          </w:p>
        </w:tc>
        <w:tc>
          <w:tcPr>
            <w:tcW w:w="1036" w:type="dxa"/>
            <w:tcBorders>
              <w:top w:val="nil"/>
              <w:left w:val="nil"/>
              <w:bottom w:val="single" w:sz="4" w:space="0" w:color="auto"/>
              <w:right w:val="single" w:sz="4" w:space="0" w:color="auto"/>
            </w:tcBorders>
            <w:shd w:val="clear" w:color="auto" w:fill="auto"/>
            <w:noWrap/>
            <w:vAlign w:val="center"/>
            <w:hideMark/>
          </w:tcPr>
          <w:p w14:paraId="10D62C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81487754</w:t>
            </w:r>
          </w:p>
        </w:tc>
        <w:tc>
          <w:tcPr>
            <w:tcW w:w="160" w:type="dxa"/>
            <w:tcBorders>
              <w:top w:val="nil"/>
              <w:left w:val="nil"/>
              <w:bottom w:val="single" w:sz="4" w:space="0" w:color="auto"/>
              <w:right w:val="nil"/>
            </w:tcBorders>
            <w:vAlign w:val="center"/>
          </w:tcPr>
          <w:p w14:paraId="0382473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F3A5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ŠALOVCI</w:t>
            </w:r>
          </w:p>
        </w:tc>
      </w:tr>
      <w:tr w:rsidR="00072A69" w:rsidRPr="00DC6DF9" w14:paraId="6D92E3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88B7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1404</w:t>
            </w:r>
          </w:p>
        </w:tc>
        <w:tc>
          <w:tcPr>
            <w:tcW w:w="1036" w:type="dxa"/>
            <w:tcBorders>
              <w:top w:val="nil"/>
              <w:left w:val="nil"/>
              <w:bottom w:val="single" w:sz="4" w:space="0" w:color="auto"/>
              <w:right w:val="single" w:sz="4" w:space="0" w:color="auto"/>
            </w:tcBorders>
            <w:shd w:val="clear" w:color="auto" w:fill="auto"/>
            <w:noWrap/>
            <w:vAlign w:val="center"/>
            <w:hideMark/>
          </w:tcPr>
          <w:p w14:paraId="75F7F8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5086353000</w:t>
            </w:r>
          </w:p>
        </w:tc>
        <w:tc>
          <w:tcPr>
            <w:tcW w:w="1036" w:type="dxa"/>
            <w:tcBorders>
              <w:top w:val="nil"/>
              <w:left w:val="nil"/>
              <w:bottom w:val="single" w:sz="4" w:space="0" w:color="auto"/>
              <w:right w:val="single" w:sz="4" w:space="0" w:color="auto"/>
            </w:tcBorders>
            <w:shd w:val="clear" w:color="auto" w:fill="auto"/>
            <w:noWrap/>
            <w:vAlign w:val="center"/>
            <w:hideMark/>
          </w:tcPr>
          <w:p w14:paraId="450C7A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76094693</w:t>
            </w:r>
          </w:p>
        </w:tc>
        <w:tc>
          <w:tcPr>
            <w:tcW w:w="160" w:type="dxa"/>
            <w:tcBorders>
              <w:top w:val="nil"/>
              <w:left w:val="nil"/>
              <w:bottom w:val="single" w:sz="4" w:space="0" w:color="auto"/>
              <w:right w:val="nil"/>
            </w:tcBorders>
            <w:vAlign w:val="center"/>
          </w:tcPr>
          <w:p w14:paraId="0ABA4B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E3E9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ŠEMPAS</w:t>
            </w:r>
          </w:p>
        </w:tc>
      </w:tr>
      <w:tr w:rsidR="00072A69" w:rsidRPr="00DC6DF9" w14:paraId="197DA1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73CBE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1405</w:t>
            </w:r>
          </w:p>
        </w:tc>
        <w:tc>
          <w:tcPr>
            <w:tcW w:w="1036" w:type="dxa"/>
            <w:tcBorders>
              <w:top w:val="nil"/>
              <w:left w:val="nil"/>
              <w:bottom w:val="single" w:sz="4" w:space="0" w:color="auto"/>
              <w:right w:val="single" w:sz="4" w:space="0" w:color="auto"/>
            </w:tcBorders>
            <w:shd w:val="clear" w:color="auto" w:fill="auto"/>
            <w:noWrap/>
            <w:vAlign w:val="center"/>
            <w:hideMark/>
          </w:tcPr>
          <w:p w14:paraId="3069C7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5083249000</w:t>
            </w:r>
          </w:p>
        </w:tc>
        <w:tc>
          <w:tcPr>
            <w:tcW w:w="1036" w:type="dxa"/>
            <w:tcBorders>
              <w:top w:val="nil"/>
              <w:left w:val="nil"/>
              <w:bottom w:val="single" w:sz="4" w:space="0" w:color="auto"/>
              <w:right w:val="single" w:sz="4" w:space="0" w:color="auto"/>
            </w:tcBorders>
            <w:shd w:val="clear" w:color="auto" w:fill="auto"/>
            <w:noWrap/>
            <w:vAlign w:val="center"/>
            <w:hideMark/>
          </w:tcPr>
          <w:p w14:paraId="65074A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36605069</w:t>
            </w:r>
          </w:p>
        </w:tc>
        <w:tc>
          <w:tcPr>
            <w:tcW w:w="160" w:type="dxa"/>
            <w:tcBorders>
              <w:top w:val="nil"/>
              <w:left w:val="nil"/>
              <w:bottom w:val="single" w:sz="4" w:space="0" w:color="auto"/>
              <w:right w:val="nil"/>
            </w:tcBorders>
            <w:vAlign w:val="center"/>
          </w:tcPr>
          <w:p w14:paraId="63D4CE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FD82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ŠENČUR</w:t>
            </w:r>
          </w:p>
        </w:tc>
      </w:tr>
      <w:tr w:rsidR="00072A69" w:rsidRPr="00DC6DF9" w14:paraId="5F75CB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A446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1406</w:t>
            </w:r>
          </w:p>
        </w:tc>
        <w:tc>
          <w:tcPr>
            <w:tcW w:w="1036" w:type="dxa"/>
            <w:tcBorders>
              <w:top w:val="nil"/>
              <w:left w:val="nil"/>
              <w:bottom w:val="single" w:sz="4" w:space="0" w:color="auto"/>
              <w:right w:val="single" w:sz="4" w:space="0" w:color="auto"/>
            </w:tcBorders>
            <w:shd w:val="clear" w:color="auto" w:fill="auto"/>
            <w:noWrap/>
            <w:vAlign w:val="center"/>
            <w:hideMark/>
          </w:tcPr>
          <w:p w14:paraId="502ABA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5914183000</w:t>
            </w:r>
          </w:p>
        </w:tc>
        <w:tc>
          <w:tcPr>
            <w:tcW w:w="1036" w:type="dxa"/>
            <w:tcBorders>
              <w:top w:val="nil"/>
              <w:left w:val="nil"/>
              <w:bottom w:val="single" w:sz="4" w:space="0" w:color="auto"/>
              <w:right w:val="single" w:sz="4" w:space="0" w:color="auto"/>
            </w:tcBorders>
            <w:shd w:val="clear" w:color="auto" w:fill="auto"/>
            <w:noWrap/>
            <w:vAlign w:val="center"/>
            <w:hideMark/>
          </w:tcPr>
          <w:p w14:paraId="123A78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61137014</w:t>
            </w:r>
          </w:p>
        </w:tc>
        <w:tc>
          <w:tcPr>
            <w:tcW w:w="160" w:type="dxa"/>
            <w:tcBorders>
              <w:top w:val="nil"/>
              <w:left w:val="nil"/>
              <w:bottom w:val="single" w:sz="4" w:space="0" w:color="auto"/>
              <w:right w:val="nil"/>
            </w:tcBorders>
            <w:vAlign w:val="center"/>
          </w:tcPr>
          <w:p w14:paraId="683E5B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58F9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ŠENTJANŽ PRI DRAVOGRADU</w:t>
            </w:r>
          </w:p>
        </w:tc>
      </w:tr>
      <w:tr w:rsidR="00072A69" w:rsidRPr="00DC6DF9" w14:paraId="5AD6A3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0CED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1407</w:t>
            </w:r>
          </w:p>
        </w:tc>
        <w:tc>
          <w:tcPr>
            <w:tcW w:w="1036" w:type="dxa"/>
            <w:tcBorders>
              <w:top w:val="nil"/>
              <w:left w:val="nil"/>
              <w:bottom w:val="single" w:sz="4" w:space="0" w:color="auto"/>
              <w:right w:val="single" w:sz="4" w:space="0" w:color="auto"/>
            </w:tcBorders>
            <w:shd w:val="clear" w:color="auto" w:fill="auto"/>
            <w:noWrap/>
            <w:vAlign w:val="center"/>
            <w:hideMark/>
          </w:tcPr>
          <w:p w14:paraId="1BF6A4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5086299000</w:t>
            </w:r>
          </w:p>
        </w:tc>
        <w:tc>
          <w:tcPr>
            <w:tcW w:w="1036" w:type="dxa"/>
            <w:tcBorders>
              <w:top w:val="nil"/>
              <w:left w:val="nil"/>
              <w:bottom w:val="single" w:sz="4" w:space="0" w:color="auto"/>
              <w:right w:val="single" w:sz="4" w:space="0" w:color="auto"/>
            </w:tcBorders>
            <w:shd w:val="clear" w:color="auto" w:fill="auto"/>
            <w:noWrap/>
            <w:vAlign w:val="center"/>
            <w:hideMark/>
          </w:tcPr>
          <w:p w14:paraId="601E97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77005821</w:t>
            </w:r>
          </w:p>
        </w:tc>
        <w:tc>
          <w:tcPr>
            <w:tcW w:w="160" w:type="dxa"/>
            <w:tcBorders>
              <w:top w:val="nil"/>
              <w:left w:val="nil"/>
              <w:bottom w:val="single" w:sz="4" w:space="0" w:color="auto"/>
              <w:right w:val="nil"/>
            </w:tcBorders>
            <w:vAlign w:val="center"/>
          </w:tcPr>
          <w:p w14:paraId="10B49EE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C40BE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ŠENTJERNEJ</w:t>
            </w:r>
          </w:p>
        </w:tc>
      </w:tr>
      <w:tr w:rsidR="00072A69" w:rsidRPr="00DC6DF9" w14:paraId="67F7EC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3FFD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1408</w:t>
            </w:r>
          </w:p>
        </w:tc>
        <w:tc>
          <w:tcPr>
            <w:tcW w:w="1036" w:type="dxa"/>
            <w:tcBorders>
              <w:top w:val="nil"/>
              <w:left w:val="nil"/>
              <w:bottom w:val="single" w:sz="4" w:space="0" w:color="auto"/>
              <w:right w:val="single" w:sz="4" w:space="0" w:color="auto"/>
            </w:tcBorders>
            <w:shd w:val="clear" w:color="auto" w:fill="auto"/>
            <w:noWrap/>
            <w:vAlign w:val="center"/>
            <w:hideMark/>
          </w:tcPr>
          <w:p w14:paraId="6CFC2B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5090016000</w:t>
            </w:r>
          </w:p>
        </w:tc>
        <w:tc>
          <w:tcPr>
            <w:tcW w:w="1036" w:type="dxa"/>
            <w:tcBorders>
              <w:top w:val="nil"/>
              <w:left w:val="nil"/>
              <w:bottom w:val="single" w:sz="4" w:space="0" w:color="auto"/>
              <w:right w:val="single" w:sz="4" w:space="0" w:color="auto"/>
            </w:tcBorders>
            <w:shd w:val="clear" w:color="auto" w:fill="auto"/>
            <w:noWrap/>
            <w:vAlign w:val="center"/>
            <w:hideMark/>
          </w:tcPr>
          <w:p w14:paraId="2122B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51719070</w:t>
            </w:r>
          </w:p>
        </w:tc>
        <w:tc>
          <w:tcPr>
            <w:tcW w:w="160" w:type="dxa"/>
            <w:tcBorders>
              <w:top w:val="nil"/>
              <w:left w:val="nil"/>
              <w:bottom w:val="single" w:sz="4" w:space="0" w:color="auto"/>
              <w:right w:val="nil"/>
            </w:tcBorders>
            <w:vAlign w:val="center"/>
          </w:tcPr>
          <w:p w14:paraId="4D2C3A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CE43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ŠENTVID</w:t>
            </w:r>
          </w:p>
        </w:tc>
      </w:tr>
      <w:tr w:rsidR="00072A69" w:rsidRPr="00DC6DF9" w14:paraId="6C9DD1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42B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1409</w:t>
            </w:r>
          </w:p>
        </w:tc>
        <w:tc>
          <w:tcPr>
            <w:tcW w:w="1036" w:type="dxa"/>
            <w:tcBorders>
              <w:top w:val="nil"/>
              <w:left w:val="nil"/>
              <w:bottom w:val="single" w:sz="4" w:space="0" w:color="auto"/>
              <w:right w:val="single" w:sz="4" w:space="0" w:color="auto"/>
            </w:tcBorders>
            <w:shd w:val="clear" w:color="auto" w:fill="auto"/>
            <w:noWrap/>
            <w:vAlign w:val="center"/>
            <w:hideMark/>
          </w:tcPr>
          <w:p w14:paraId="72D54A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5089468000</w:t>
            </w:r>
          </w:p>
        </w:tc>
        <w:tc>
          <w:tcPr>
            <w:tcW w:w="1036" w:type="dxa"/>
            <w:tcBorders>
              <w:top w:val="nil"/>
              <w:left w:val="nil"/>
              <w:bottom w:val="single" w:sz="4" w:space="0" w:color="auto"/>
              <w:right w:val="single" w:sz="4" w:space="0" w:color="auto"/>
            </w:tcBorders>
            <w:shd w:val="clear" w:color="auto" w:fill="auto"/>
            <w:noWrap/>
            <w:vAlign w:val="center"/>
            <w:hideMark/>
          </w:tcPr>
          <w:p w14:paraId="7BA5D4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24921394</w:t>
            </w:r>
          </w:p>
        </w:tc>
        <w:tc>
          <w:tcPr>
            <w:tcW w:w="160" w:type="dxa"/>
            <w:tcBorders>
              <w:top w:val="nil"/>
              <w:left w:val="nil"/>
              <w:bottom w:val="single" w:sz="4" w:space="0" w:color="auto"/>
              <w:right w:val="nil"/>
            </w:tcBorders>
            <w:vAlign w:val="center"/>
          </w:tcPr>
          <w:p w14:paraId="23C4F9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B4AE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ŠKOFJA LOKA - MESTO</w:t>
            </w:r>
          </w:p>
        </w:tc>
      </w:tr>
      <w:tr w:rsidR="00072A69" w:rsidRPr="00DC6DF9" w14:paraId="4C27C3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792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1410</w:t>
            </w:r>
          </w:p>
        </w:tc>
        <w:tc>
          <w:tcPr>
            <w:tcW w:w="1036" w:type="dxa"/>
            <w:tcBorders>
              <w:top w:val="nil"/>
              <w:left w:val="nil"/>
              <w:bottom w:val="single" w:sz="4" w:space="0" w:color="auto"/>
              <w:right w:val="single" w:sz="4" w:space="0" w:color="auto"/>
            </w:tcBorders>
            <w:shd w:val="clear" w:color="auto" w:fill="auto"/>
            <w:noWrap/>
            <w:vAlign w:val="center"/>
            <w:hideMark/>
          </w:tcPr>
          <w:p w14:paraId="2C0938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5084482000</w:t>
            </w:r>
          </w:p>
        </w:tc>
        <w:tc>
          <w:tcPr>
            <w:tcW w:w="1036" w:type="dxa"/>
            <w:tcBorders>
              <w:top w:val="nil"/>
              <w:left w:val="nil"/>
              <w:bottom w:val="single" w:sz="4" w:space="0" w:color="auto"/>
              <w:right w:val="single" w:sz="4" w:space="0" w:color="auto"/>
            </w:tcBorders>
            <w:shd w:val="clear" w:color="auto" w:fill="auto"/>
            <w:noWrap/>
            <w:vAlign w:val="center"/>
            <w:hideMark/>
          </w:tcPr>
          <w:p w14:paraId="78BEC5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59782820</w:t>
            </w:r>
          </w:p>
        </w:tc>
        <w:tc>
          <w:tcPr>
            <w:tcW w:w="160" w:type="dxa"/>
            <w:tcBorders>
              <w:top w:val="nil"/>
              <w:left w:val="nil"/>
              <w:bottom w:val="single" w:sz="4" w:space="0" w:color="auto"/>
              <w:right w:val="nil"/>
            </w:tcBorders>
            <w:vAlign w:val="center"/>
          </w:tcPr>
          <w:p w14:paraId="49BE48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E61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ŠKOFLJICA</w:t>
            </w:r>
          </w:p>
        </w:tc>
      </w:tr>
      <w:tr w:rsidR="00072A69" w:rsidRPr="00DC6DF9" w14:paraId="386628F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9291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1411</w:t>
            </w:r>
          </w:p>
        </w:tc>
        <w:tc>
          <w:tcPr>
            <w:tcW w:w="1036" w:type="dxa"/>
            <w:tcBorders>
              <w:top w:val="nil"/>
              <w:left w:val="nil"/>
              <w:bottom w:val="single" w:sz="4" w:space="0" w:color="auto"/>
              <w:right w:val="single" w:sz="4" w:space="0" w:color="auto"/>
            </w:tcBorders>
            <w:shd w:val="clear" w:color="auto" w:fill="auto"/>
            <w:noWrap/>
            <w:vAlign w:val="center"/>
            <w:hideMark/>
          </w:tcPr>
          <w:p w14:paraId="0DE440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5087988000</w:t>
            </w:r>
          </w:p>
        </w:tc>
        <w:tc>
          <w:tcPr>
            <w:tcW w:w="1036" w:type="dxa"/>
            <w:tcBorders>
              <w:top w:val="nil"/>
              <w:left w:val="nil"/>
              <w:bottom w:val="single" w:sz="4" w:space="0" w:color="auto"/>
              <w:right w:val="single" w:sz="4" w:space="0" w:color="auto"/>
            </w:tcBorders>
            <w:shd w:val="clear" w:color="auto" w:fill="auto"/>
            <w:noWrap/>
            <w:vAlign w:val="center"/>
            <w:hideMark/>
          </w:tcPr>
          <w:p w14:paraId="0897C5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94363455</w:t>
            </w:r>
          </w:p>
        </w:tc>
        <w:tc>
          <w:tcPr>
            <w:tcW w:w="160" w:type="dxa"/>
            <w:tcBorders>
              <w:top w:val="nil"/>
              <w:left w:val="nil"/>
              <w:bottom w:val="single" w:sz="4" w:space="0" w:color="auto"/>
              <w:right w:val="nil"/>
            </w:tcBorders>
            <w:vAlign w:val="center"/>
          </w:tcPr>
          <w:p w14:paraId="417BF5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7A92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ŠMARJE PRI JELŠAH</w:t>
            </w:r>
          </w:p>
        </w:tc>
      </w:tr>
      <w:tr w:rsidR="00072A69" w:rsidRPr="00DC6DF9" w14:paraId="67559B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3D53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1412</w:t>
            </w:r>
          </w:p>
        </w:tc>
        <w:tc>
          <w:tcPr>
            <w:tcW w:w="1036" w:type="dxa"/>
            <w:tcBorders>
              <w:top w:val="nil"/>
              <w:left w:val="nil"/>
              <w:bottom w:val="single" w:sz="4" w:space="0" w:color="auto"/>
              <w:right w:val="single" w:sz="4" w:space="0" w:color="auto"/>
            </w:tcBorders>
            <w:shd w:val="clear" w:color="auto" w:fill="auto"/>
            <w:noWrap/>
            <w:vAlign w:val="center"/>
            <w:hideMark/>
          </w:tcPr>
          <w:p w14:paraId="45A73D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5083842000</w:t>
            </w:r>
          </w:p>
        </w:tc>
        <w:tc>
          <w:tcPr>
            <w:tcW w:w="1036" w:type="dxa"/>
            <w:tcBorders>
              <w:top w:val="nil"/>
              <w:left w:val="nil"/>
              <w:bottom w:val="single" w:sz="4" w:space="0" w:color="auto"/>
              <w:right w:val="single" w:sz="4" w:space="0" w:color="auto"/>
            </w:tcBorders>
            <w:shd w:val="clear" w:color="auto" w:fill="auto"/>
            <w:noWrap/>
            <w:vAlign w:val="center"/>
            <w:hideMark/>
          </w:tcPr>
          <w:p w14:paraId="3BF187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98962043</w:t>
            </w:r>
          </w:p>
        </w:tc>
        <w:tc>
          <w:tcPr>
            <w:tcW w:w="160" w:type="dxa"/>
            <w:tcBorders>
              <w:top w:val="nil"/>
              <w:left w:val="nil"/>
              <w:bottom w:val="single" w:sz="4" w:space="0" w:color="auto"/>
              <w:right w:val="nil"/>
            </w:tcBorders>
            <w:vAlign w:val="center"/>
          </w:tcPr>
          <w:p w14:paraId="3BD960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5880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ŠMARJE PRI KOPRU</w:t>
            </w:r>
          </w:p>
        </w:tc>
      </w:tr>
      <w:tr w:rsidR="00072A69" w:rsidRPr="00DC6DF9" w14:paraId="76045C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4D5D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1413</w:t>
            </w:r>
          </w:p>
        </w:tc>
        <w:tc>
          <w:tcPr>
            <w:tcW w:w="1036" w:type="dxa"/>
            <w:tcBorders>
              <w:top w:val="nil"/>
              <w:left w:val="nil"/>
              <w:bottom w:val="single" w:sz="4" w:space="0" w:color="auto"/>
              <w:right w:val="single" w:sz="4" w:space="0" w:color="auto"/>
            </w:tcBorders>
            <w:shd w:val="clear" w:color="auto" w:fill="auto"/>
            <w:noWrap/>
            <w:vAlign w:val="center"/>
            <w:hideMark/>
          </w:tcPr>
          <w:p w14:paraId="650B9A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5086302000</w:t>
            </w:r>
          </w:p>
        </w:tc>
        <w:tc>
          <w:tcPr>
            <w:tcW w:w="1036" w:type="dxa"/>
            <w:tcBorders>
              <w:top w:val="nil"/>
              <w:left w:val="nil"/>
              <w:bottom w:val="single" w:sz="4" w:space="0" w:color="auto"/>
              <w:right w:val="single" w:sz="4" w:space="0" w:color="auto"/>
            </w:tcBorders>
            <w:shd w:val="clear" w:color="auto" w:fill="auto"/>
            <w:noWrap/>
            <w:vAlign w:val="center"/>
            <w:hideMark/>
          </w:tcPr>
          <w:p w14:paraId="0924DA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73055956</w:t>
            </w:r>
          </w:p>
        </w:tc>
        <w:tc>
          <w:tcPr>
            <w:tcW w:w="160" w:type="dxa"/>
            <w:tcBorders>
              <w:top w:val="nil"/>
              <w:left w:val="nil"/>
              <w:bottom w:val="single" w:sz="4" w:space="0" w:color="auto"/>
              <w:right w:val="nil"/>
            </w:tcBorders>
            <w:vAlign w:val="center"/>
          </w:tcPr>
          <w:p w14:paraId="65CC0F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6AA3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ŠMARJETA</w:t>
            </w:r>
          </w:p>
        </w:tc>
      </w:tr>
      <w:tr w:rsidR="00072A69" w:rsidRPr="00DC6DF9" w14:paraId="646137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6FE7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1414</w:t>
            </w:r>
          </w:p>
        </w:tc>
        <w:tc>
          <w:tcPr>
            <w:tcW w:w="1036" w:type="dxa"/>
            <w:tcBorders>
              <w:top w:val="nil"/>
              <w:left w:val="nil"/>
              <w:bottom w:val="single" w:sz="4" w:space="0" w:color="auto"/>
              <w:right w:val="single" w:sz="4" w:space="0" w:color="auto"/>
            </w:tcBorders>
            <w:shd w:val="clear" w:color="auto" w:fill="auto"/>
            <w:noWrap/>
            <w:vAlign w:val="center"/>
            <w:hideMark/>
          </w:tcPr>
          <w:p w14:paraId="0011A7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5084083000</w:t>
            </w:r>
          </w:p>
        </w:tc>
        <w:tc>
          <w:tcPr>
            <w:tcW w:w="1036" w:type="dxa"/>
            <w:tcBorders>
              <w:top w:val="nil"/>
              <w:left w:val="nil"/>
              <w:bottom w:val="single" w:sz="4" w:space="0" w:color="auto"/>
              <w:right w:val="single" w:sz="4" w:space="0" w:color="auto"/>
            </w:tcBorders>
            <w:shd w:val="clear" w:color="auto" w:fill="auto"/>
            <w:noWrap/>
            <w:vAlign w:val="center"/>
            <w:hideMark/>
          </w:tcPr>
          <w:p w14:paraId="4046EB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76955052</w:t>
            </w:r>
          </w:p>
        </w:tc>
        <w:tc>
          <w:tcPr>
            <w:tcW w:w="160" w:type="dxa"/>
            <w:tcBorders>
              <w:top w:val="nil"/>
              <w:left w:val="nil"/>
              <w:bottom w:val="single" w:sz="4" w:space="0" w:color="auto"/>
              <w:right w:val="nil"/>
            </w:tcBorders>
            <w:vAlign w:val="center"/>
          </w:tcPr>
          <w:p w14:paraId="7BD490C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C2E8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ŠMARTNO</w:t>
            </w:r>
          </w:p>
        </w:tc>
      </w:tr>
      <w:tr w:rsidR="00072A69" w:rsidRPr="00DC6DF9" w14:paraId="6400D6D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AB67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1415</w:t>
            </w:r>
          </w:p>
        </w:tc>
        <w:tc>
          <w:tcPr>
            <w:tcW w:w="1036" w:type="dxa"/>
            <w:tcBorders>
              <w:top w:val="nil"/>
              <w:left w:val="nil"/>
              <w:bottom w:val="single" w:sz="4" w:space="0" w:color="auto"/>
              <w:right w:val="single" w:sz="4" w:space="0" w:color="auto"/>
            </w:tcBorders>
            <w:shd w:val="clear" w:color="auto" w:fill="auto"/>
            <w:noWrap/>
            <w:vAlign w:val="center"/>
            <w:hideMark/>
          </w:tcPr>
          <w:p w14:paraId="4ABBC7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5089425000</w:t>
            </w:r>
          </w:p>
        </w:tc>
        <w:tc>
          <w:tcPr>
            <w:tcW w:w="1036" w:type="dxa"/>
            <w:tcBorders>
              <w:top w:val="nil"/>
              <w:left w:val="nil"/>
              <w:bottom w:val="single" w:sz="4" w:space="0" w:color="auto"/>
              <w:right w:val="single" w:sz="4" w:space="0" w:color="auto"/>
            </w:tcBorders>
            <w:shd w:val="clear" w:color="auto" w:fill="auto"/>
            <w:noWrap/>
            <w:vAlign w:val="center"/>
            <w:hideMark/>
          </w:tcPr>
          <w:p w14:paraId="20D2E1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15317765</w:t>
            </w:r>
          </w:p>
        </w:tc>
        <w:tc>
          <w:tcPr>
            <w:tcW w:w="160" w:type="dxa"/>
            <w:tcBorders>
              <w:top w:val="nil"/>
              <w:left w:val="nil"/>
              <w:bottom w:val="single" w:sz="4" w:space="0" w:color="auto"/>
              <w:right w:val="nil"/>
            </w:tcBorders>
            <w:vAlign w:val="center"/>
          </w:tcPr>
          <w:p w14:paraId="5523DC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BFB1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ŠMARTNO NA POHORJU</w:t>
            </w:r>
          </w:p>
        </w:tc>
      </w:tr>
      <w:tr w:rsidR="00072A69" w:rsidRPr="00DC6DF9" w14:paraId="3F31352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3F05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1416</w:t>
            </w:r>
          </w:p>
        </w:tc>
        <w:tc>
          <w:tcPr>
            <w:tcW w:w="1036" w:type="dxa"/>
            <w:tcBorders>
              <w:top w:val="nil"/>
              <w:left w:val="nil"/>
              <w:bottom w:val="single" w:sz="4" w:space="0" w:color="auto"/>
              <w:right w:val="single" w:sz="4" w:space="0" w:color="auto"/>
            </w:tcBorders>
            <w:shd w:val="clear" w:color="auto" w:fill="auto"/>
            <w:noWrap/>
            <w:vAlign w:val="center"/>
            <w:hideMark/>
          </w:tcPr>
          <w:p w14:paraId="7FC0AC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5133785000</w:t>
            </w:r>
          </w:p>
        </w:tc>
        <w:tc>
          <w:tcPr>
            <w:tcW w:w="1036" w:type="dxa"/>
            <w:tcBorders>
              <w:top w:val="nil"/>
              <w:left w:val="nil"/>
              <w:bottom w:val="single" w:sz="4" w:space="0" w:color="auto"/>
              <w:right w:val="single" w:sz="4" w:space="0" w:color="auto"/>
            </w:tcBorders>
            <w:shd w:val="clear" w:color="auto" w:fill="auto"/>
            <w:noWrap/>
            <w:vAlign w:val="center"/>
            <w:hideMark/>
          </w:tcPr>
          <w:p w14:paraId="1D9CD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61510971</w:t>
            </w:r>
          </w:p>
        </w:tc>
        <w:tc>
          <w:tcPr>
            <w:tcW w:w="160" w:type="dxa"/>
            <w:tcBorders>
              <w:top w:val="nil"/>
              <w:left w:val="nil"/>
              <w:bottom w:val="single" w:sz="4" w:space="0" w:color="auto"/>
              <w:right w:val="nil"/>
            </w:tcBorders>
            <w:vAlign w:val="center"/>
          </w:tcPr>
          <w:p w14:paraId="242A0C2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C21FE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ŠMARTNO POD ŠMARNO GORO</w:t>
            </w:r>
          </w:p>
        </w:tc>
      </w:tr>
      <w:tr w:rsidR="00072A69" w:rsidRPr="00DC6DF9" w14:paraId="54FD2C8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D035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1417</w:t>
            </w:r>
          </w:p>
        </w:tc>
        <w:tc>
          <w:tcPr>
            <w:tcW w:w="1036" w:type="dxa"/>
            <w:tcBorders>
              <w:top w:val="nil"/>
              <w:left w:val="nil"/>
              <w:bottom w:val="single" w:sz="4" w:space="0" w:color="auto"/>
              <w:right w:val="single" w:sz="4" w:space="0" w:color="auto"/>
            </w:tcBorders>
            <w:shd w:val="clear" w:color="auto" w:fill="auto"/>
            <w:noWrap/>
            <w:vAlign w:val="center"/>
            <w:hideMark/>
          </w:tcPr>
          <w:p w14:paraId="179EEC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5089409000</w:t>
            </w:r>
          </w:p>
        </w:tc>
        <w:tc>
          <w:tcPr>
            <w:tcW w:w="1036" w:type="dxa"/>
            <w:tcBorders>
              <w:top w:val="nil"/>
              <w:left w:val="nil"/>
              <w:bottom w:val="single" w:sz="4" w:space="0" w:color="auto"/>
              <w:right w:val="single" w:sz="4" w:space="0" w:color="auto"/>
            </w:tcBorders>
            <w:shd w:val="clear" w:color="auto" w:fill="auto"/>
            <w:noWrap/>
            <w:vAlign w:val="center"/>
            <w:hideMark/>
          </w:tcPr>
          <w:p w14:paraId="46E754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15598586</w:t>
            </w:r>
          </w:p>
        </w:tc>
        <w:tc>
          <w:tcPr>
            <w:tcW w:w="160" w:type="dxa"/>
            <w:tcBorders>
              <w:top w:val="nil"/>
              <w:left w:val="nil"/>
              <w:bottom w:val="single" w:sz="4" w:space="0" w:color="auto"/>
              <w:right w:val="nil"/>
            </w:tcBorders>
            <w:vAlign w:val="center"/>
          </w:tcPr>
          <w:p w14:paraId="3390E9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600D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ŠMARTNO PRI SLOVENJ GRADCU</w:t>
            </w:r>
          </w:p>
        </w:tc>
      </w:tr>
      <w:tr w:rsidR="00072A69" w:rsidRPr="00DC6DF9" w14:paraId="7F34D3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A35C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1418</w:t>
            </w:r>
          </w:p>
        </w:tc>
        <w:tc>
          <w:tcPr>
            <w:tcW w:w="1036" w:type="dxa"/>
            <w:tcBorders>
              <w:top w:val="nil"/>
              <w:left w:val="nil"/>
              <w:bottom w:val="single" w:sz="4" w:space="0" w:color="auto"/>
              <w:right w:val="single" w:sz="4" w:space="0" w:color="auto"/>
            </w:tcBorders>
            <w:shd w:val="clear" w:color="auto" w:fill="auto"/>
            <w:noWrap/>
            <w:vAlign w:val="center"/>
            <w:hideMark/>
          </w:tcPr>
          <w:p w14:paraId="0926C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5950686000</w:t>
            </w:r>
          </w:p>
        </w:tc>
        <w:tc>
          <w:tcPr>
            <w:tcW w:w="1036" w:type="dxa"/>
            <w:tcBorders>
              <w:top w:val="nil"/>
              <w:left w:val="nil"/>
              <w:bottom w:val="single" w:sz="4" w:space="0" w:color="auto"/>
              <w:right w:val="single" w:sz="4" w:space="0" w:color="auto"/>
            </w:tcBorders>
            <w:shd w:val="clear" w:color="auto" w:fill="auto"/>
            <w:noWrap/>
            <w:vAlign w:val="center"/>
            <w:hideMark/>
          </w:tcPr>
          <w:p w14:paraId="2F183C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47328304</w:t>
            </w:r>
          </w:p>
        </w:tc>
        <w:tc>
          <w:tcPr>
            <w:tcW w:w="160" w:type="dxa"/>
            <w:tcBorders>
              <w:top w:val="nil"/>
              <w:left w:val="nil"/>
              <w:bottom w:val="single" w:sz="4" w:space="0" w:color="auto"/>
              <w:right w:val="nil"/>
            </w:tcBorders>
            <w:vAlign w:val="center"/>
          </w:tcPr>
          <w:p w14:paraId="4FC961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BC3B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ŠMARTNO V TUHINJU</w:t>
            </w:r>
          </w:p>
        </w:tc>
      </w:tr>
      <w:tr w:rsidR="00072A69" w:rsidRPr="00DC6DF9" w14:paraId="5118DB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B3FA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1419</w:t>
            </w:r>
          </w:p>
        </w:tc>
        <w:tc>
          <w:tcPr>
            <w:tcW w:w="1036" w:type="dxa"/>
            <w:tcBorders>
              <w:top w:val="nil"/>
              <w:left w:val="nil"/>
              <w:bottom w:val="single" w:sz="4" w:space="0" w:color="auto"/>
              <w:right w:val="single" w:sz="4" w:space="0" w:color="auto"/>
            </w:tcBorders>
            <w:shd w:val="clear" w:color="auto" w:fill="auto"/>
            <w:noWrap/>
            <w:vAlign w:val="center"/>
            <w:hideMark/>
          </w:tcPr>
          <w:p w14:paraId="1B9A15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5086841000</w:t>
            </w:r>
          </w:p>
        </w:tc>
        <w:tc>
          <w:tcPr>
            <w:tcW w:w="1036" w:type="dxa"/>
            <w:tcBorders>
              <w:top w:val="nil"/>
              <w:left w:val="nil"/>
              <w:bottom w:val="single" w:sz="4" w:space="0" w:color="auto"/>
              <w:right w:val="single" w:sz="4" w:space="0" w:color="auto"/>
            </w:tcBorders>
            <w:shd w:val="clear" w:color="auto" w:fill="auto"/>
            <w:noWrap/>
            <w:vAlign w:val="center"/>
            <w:hideMark/>
          </w:tcPr>
          <w:p w14:paraId="012E8F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39971953</w:t>
            </w:r>
          </w:p>
        </w:tc>
        <w:tc>
          <w:tcPr>
            <w:tcW w:w="160" w:type="dxa"/>
            <w:tcBorders>
              <w:top w:val="nil"/>
              <w:left w:val="nil"/>
              <w:bottom w:val="single" w:sz="4" w:space="0" w:color="auto"/>
              <w:right w:val="nil"/>
            </w:tcBorders>
            <w:vAlign w:val="center"/>
          </w:tcPr>
          <w:p w14:paraId="723096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0843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ŠMIHEL</w:t>
            </w:r>
          </w:p>
        </w:tc>
      </w:tr>
      <w:tr w:rsidR="00072A69" w:rsidRPr="00DC6DF9" w14:paraId="1E57E6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AD6C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1420</w:t>
            </w:r>
          </w:p>
        </w:tc>
        <w:tc>
          <w:tcPr>
            <w:tcW w:w="1036" w:type="dxa"/>
            <w:tcBorders>
              <w:top w:val="nil"/>
              <w:left w:val="nil"/>
              <w:bottom w:val="single" w:sz="4" w:space="0" w:color="auto"/>
              <w:right w:val="single" w:sz="4" w:space="0" w:color="auto"/>
            </w:tcBorders>
            <w:shd w:val="clear" w:color="auto" w:fill="auto"/>
            <w:noWrap/>
            <w:vAlign w:val="center"/>
            <w:hideMark/>
          </w:tcPr>
          <w:p w14:paraId="352EF8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5082676000</w:t>
            </w:r>
          </w:p>
        </w:tc>
        <w:tc>
          <w:tcPr>
            <w:tcW w:w="1036" w:type="dxa"/>
            <w:tcBorders>
              <w:top w:val="nil"/>
              <w:left w:val="nil"/>
              <w:bottom w:val="single" w:sz="4" w:space="0" w:color="auto"/>
              <w:right w:val="single" w:sz="4" w:space="0" w:color="auto"/>
            </w:tcBorders>
            <w:shd w:val="clear" w:color="auto" w:fill="auto"/>
            <w:noWrap/>
            <w:vAlign w:val="center"/>
            <w:hideMark/>
          </w:tcPr>
          <w:p w14:paraId="65FFFD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24735779</w:t>
            </w:r>
          </w:p>
        </w:tc>
        <w:tc>
          <w:tcPr>
            <w:tcW w:w="160" w:type="dxa"/>
            <w:tcBorders>
              <w:top w:val="nil"/>
              <w:left w:val="nil"/>
              <w:bottom w:val="single" w:sz="4" w:space="0" w:color="auto"/>
              <w:right w:val="nil"/>
            </w:tcBorders>
            <w:vAlign w:val="center"/>
          </w:tcPr>
          <w:p w14:paraId="28A157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B72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ŠTORE</w:t>
            </w:r>
          </w:p>
        </w:tc>
      </w:tr>
      <w:tr w:rsidR="00072A69" w:rsidRPr="00DC6DF9" w14:paraId="61B12C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2726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1421</w:t>
            </w:r>
          </w:p>
        </w:tc>
        <w:tc>
          <w:tcPr>
            <w:tcW w:w="1036" w:type="dxa"/>
            <w:tcBorders>
              <w:top w:val="nil"/>
              <w:left w:val="nil"/>
              <w:bottom w:val="single" w:sz="4" w:space="0" w:color="auto"/>
              <w:right w:val="single" w:sz="4" w:space="0" w:color="auto"/>
            </w:tcBorders>
            <w:shd w:val="clear" w:color="auto" w:fill="auto"/>
            <w:noWrap/>
            <w:vAlign w:val="center"/>
            <w:hideMark/>
          </w:tcPr>
          <w:p w14:paraId="520336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2294460000</w:t>
            </w:r>
          </w:p>
        </w:tc>
        <w:tc>
          <w:tcPr>
            <w:tcW w:w="1036" w:type="dxa"/>
            <w:tcBorders>
              <w:top w:val="nil"/>
              <w:left w:val="nil"/>
              <w:bottom w:val="single" w:sz="4" w:space="0" w:color="auto"/>
              <w:right w:val="single" w:sz="4" w:space="0" w:color="auto"/>
            </w:tcBorders>
            <w:shd w:val="clear" w:color="auto" w:fill="auto"/>
            <w:noWrap/>
            <w:vAlign w:val="center"/>
            <w:hideMark/>
          </w:tcPr>
          <w:p w14:paraId="604BD8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39855210</w:t>
            </w:r>
          </w:p>
        </w:tc>
        <w:tc>
          <w:tcPr>
            <w:tcW w:w="160" w:type="dxa"/>
            <w:tcBorders>
              <w:top w:val="nil"/>
              <w:left w:val="nil"/>
              <w:bottom w:val="single" w:sz="4" w:space="0" w:color="auto"/>
              <w:right w:val="nil"/>
            </w:tcBorders>
            <w:vAlign w:val="center"/>
          </w:tcPr>
          <w:p w14:paraId="58B5E0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768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ŠTURJE</w:t>
            </w:r>
          </w:p>
        </w:tc>
      </w:tr>
      <w:tr w:rsidR="00072A69" w:rsidRPr="00DC6DF9" w14:paraId="5C6AF5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F913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1422</w:t>
            </w:r>
          </w:p>
        </w:tc>
        <w:tc>
          <w:tcPr>
            <w:tcW w:w="1036" w:type="dxa"/>
            <w:tcBorders>
              <w:top w:val="nil"/>
              <w:left w:val="nil"/>
              <w:bottom w:val="single" w:sz="4" w:space="0" w:color="auto"/>
              <w:right w:val="single" w:sz="4" w:space="0" w:color="auto"/>
            </w:tcBorders>
            <w:shd w:val="clear" w:color="auto" w:fill="auto"/>
            <w:noWrap/>
            <w:vAlign w:val="center"/>
            <w:hideMark/>
          </w:tcPr>
          <w:p w14:paraId="42734B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5610508000</w:t>
            </w:r>
          </w:p>
        </w:tc>
        <w:tc>
          <w:tcPr>
            <w:tcW w:w="1036" w:type="dxa"/>
            <w:tcBorders>
              <w:top w:val="nil"/>
              <w:left w:val="nil"/>
              <w:bottom w:val="single" w:sz="4" w:space="0" w:color="auto"/>
              <w:right w:val="single" w:sz="4" w:space="0" w:color="auto"/>
            </w:tcBorders>
            <w:shd w:val="clear" w:color="auto" w:fill="auto"/>
            <w:noWrap/>
            <w:vAlign w:val="center"/>
            <w:hideMark/>
          </w:tcPr>
          <w:p w14:paraId="5C15EE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50654802</w:t>
            </w:r>
          </w:p>
        </w:tc>
        <w:tc>
          <w:tcPr>
            <w:tcW w:w="160" w:type="dxa"/>
            <w:tcBorders>
              <w:top w:val="nil"/>
              <w:left w:val="nil"/>
              <w:bottom w:val="single" w:sz="4" w:space="0" w:color="auto"/>
              <w:right w:val="nil"/>
            </w:tcBorders>
            <w:vAlign w:val="center"/>
          </w:tcPr>
          <w:p w14:paraId="506E89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9BA0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TABOR I MARIBOR</w:t>
            </w:r>
          </w:p>
        </w:tc>
      </w:tr>
      <w:tr w:rsidR="00072A69" w:rsidRPr="00DC6DF9" w14:paraId="36BB5E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5147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1423</w:t>
            </w:r>
          </w:p>
        </w:tc>
        <w:tc>
          <w:tcPr>
            <w:tcW w:w="1036" w:type="dxa"/>
            <w:tcBorders>
              <w:top w:val="nil"/>
              <w:left w:val="nil"/>
              <w:bottom w:val="single" w:sz="4" w:space="0" w:color="auto"/>
              <w:right w:val="single" w:sz="4" w:space="0" w:color="auto"/>
            </w:tcBorders>
            <w:shd w:val="clear" w:color="auto" w:fill="auto"/>
            <w:noWrap/>
            <w:vAlign w:val="center"/>
            <w:hideMark/>
          </w:tcPr>
          <w:p w14:paraId="5F3723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5085071000</w:t>
            </w:r>
          </w:p>
        </w:tc>
        <w:tc>
          <w:tcPr>
            <w:tcW w:w="1036" w:type="dxa"/>
            <w:tcBorders>
              <w:top w:val="nil"/>
              <w:left w:val="nil"/>
              <w:bottom w:val="single" w:sz="4" w:space="0" w:color="auto"/>
              <w:right w:val="single" w:sz="4" w:space="0" w:color="auto"/>
            </w:tcBorders>
            <w:shd w:val="clear" w:color="auto" w:fill="auto"/>
            <w:noWrap/>
            <w:vAlign w:val="center"/>
            <w:hideMark/>
          </w:tcPr>
          <w:p w14:paraId="615B5C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24675750</w:t>
            </w:r>
          </w:p>
        </w:tc>
        <w:tc>
          <w:tcPr>
            <w:tcW w:w="160" w:type="dxa"/>
            <w:tcBorders>
              <w:top w:val="nil"/>
              <w:left w:val="nil"/>
              <w:bottom w:val="single" w:sz="4" w:space="0" w:color="auto"/>
              <w:right w:val="nil"/>
            </w:tcBorders>
            <w:vAlign w:val="center"/>
          </w:tcPr>
          <w:p w14:paraId="0900D4C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F00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TABOR LOGATEC</w:t>
            </w:r>
          </w:p>
        </w:tc>
      </w:tr>
      <w:tr w:rsidR="00072A69" w:rsidRPr="00DC6DF9" w14:paraId="29C547E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36E4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1424</w:t>
            </w:r>
          </w:p>
        </w:tc>
        <w:tc>
          <w:tcPr>
            <w:tcW w:w="1036" w:type="dxa"/>
            <w:tcBorders>
              <w:top w:val="nil"/>
              <w:left w:val="nil"/>
              <w:bottom w:val="single" w:sz="4" w:space="0" w:color="auto"/>
              <w:right w:val="single" w:sz="4" w:space="0" w:color="auto"/>
            </w:tcBorders>
            <w:shd w:val="clear" w:color="auto" w:fill="auto"/>
            <w:noWrap/>
            <w:vAlign w:val="center"/>
            <w:hideMark/>
          </w:tcPr>
          <w:p w14:paraId="4DEABF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5085721000</w:t>
            </w:r>
          </w:p>
        </w:tc>
        <w:tc>
          <w:tcPr>
            <w:tcW w:w="1036" w:type="dxa"/>
            <w:tcBorders>
              <w:top w:val="nil"/>
              <w:left w:val="nil"/>
              <w:bottom w:val="single" w:sz="4" w:space="0" w:color="auto"/>
              <w:right w:val="single" w:sz="4" w:space="0" w:color="auto"/>
            </w:tcBorders>
            <w:shd w:val="clear" w:color="auto" w:fill="auto"/>
            <w:noWrap/>
            <w:vAlign w:val="center"/>
            <w:hideMark/>
          </w:tcPr>
          <w:p w14:paraId="41B7E5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56492987</w:t>
            </w:r>
          </w:p>
        </w:tc>
        <w:tc>
          <w:tcPr>
            <w:tcW w:w="160" w:type="dxa"/>
            <w:tcBorders>
              <w:top w:val="nil"/>
              <w:left w:val="nil"/>
              <w:bottom w:val="single" w:sz="4" w:space="0" w:color="auto"/>
              <w:right w:val="nil"/>
            </w:tcBorders>
            <w:vAlign w:val="center"/>
          </w:tcPr>
          <w:p w14:paraId="46F6A98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D1AC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TIŠINA</w:t>
            </w:r>
          </w:p>
        </w:tc>
      </w:tr>
      <w:tr w:rsidR="00072A69" w:rsidRPr="00DC6DF9" w14:paraId="34F555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6441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1425</w:t>
            </w:r>
          </w:p>
        </w:tc>
        <w:tc>
          <w:tcPr>
            <w:tcW w:w="1036" w:type="dxa"/>
            <w:tcBorders>
              <w:top w:val="nil"/>
              <w:left w:val="nil"/>
              <w:bottom w:val="single" w:sz="4" w:space="0" w:color="auto"/>
              <w:right w:val="single" w:sz="4" w:space="0" w:color="auto"/>
            </w:tcBorders>
            <w:shd w:val="clear" w:color="auto" w:fill="auto"/>
            <w:noWrap/>
            <w:vAlign w:val="center"/>
            <w:hideMark/>
          </w:tcPr>
          <w:p w14:paraId="7133E0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5083044000</w:t>
            </w:r>
          </w:p>
        </w:tc>
        <w:tc>
          <w:tcPr>
            <w:tcW w:w="1036" w:type="dxa"/>
            <w:tcBorders>
              <w:top w:val="nil"/>
              <w:left w:val="nil"/>
              <w:bottom w:val="single" w:sz="4" w:space="0" w:color="auto"/>
              <w:right w:val="single" w:sz="4" w:space="0" w:color="auto"/>
            </w:tcBorders>
            <w:shd w:val="clear" w:color="auto" w:fill="auto"/>
            <w:noWrap/>
            <w:vAlign w:val="center"/>
            <w:hideMark/>
          </w:tcPr>
          <w:p w14:paraId="6E2D92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31285805</w:t>
            </w:r>
          </w:p>
        </w:tc>
        <w:tc>
          <w:tcPr>
            <w:tcW w:w="160" w:type="dxa"/>
            <w:tcBorders>
              <w:top w:val="nil"/>
              <w:left w:val="nil"/>
              <w:bottom w:val="single" w:sz="4" w:space="0" w:color="auto"/>
              <w:right w:val="nil"/>
            </w:tcBorders>
            <w:vAlign w:val="center"/>
          </w:tcPr>
          <w:p w14:paraId="656B163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4047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TOMA BREJCA</w:t>
            </w:r>
          </w:p>
        </w:tc>
      </w:tr>
      <w:tr w:rsidR="00072A69" w:rsidRPr="00DC6DF9" w14:paraId="457EA6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EBE4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1426</w:t>
            </w:r>
          </w:p>
        </w:tc>
        <w:tc>
          <w:tcPr>
            <w:tcW w:w="1036" w:type="dxa"/>
            <w:tcBorders>
              <w:top w:val="nil"/>
              <w:left w:val="nil"/>
              <w:bottom w:val="single" w:sz="4" w:space="0" w:color="auto"/>
              <w:right w:val="single" w:sz="4" w:space="0" w:color="auto"/>
            </w:tcBorders>
            <w:shd w:val="clear" w:color="auto" w:fill="auto"/>
            <w:noWrap/>
            <w:vAlign w:val="center"/>
            <w:hideMark/>
          </w:tcPr>
          <w:p w14:paraId="6EB5DE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5899508000</w:t>
            </w:r>
          </w:p>
        </w:tc>
        <w:tc>
          <w:tcPr>
            <w:tcW w:w="1036" w:type="dxa"/>
            <w:tcBorders>
              <w:top w:val="nil"/>
              <w:left w:val="nil"/>
              <w:bottom w:val="single" w:sz="4" w:space="0" w:color="auto"/>
              <w:right w:val="single" w:sz="4" w:space="0" w:color="auto"/>
            </w:tcBorders>
            <w:shd w:val="clear" w:color="auto" w:fill="auto"/>
            <w:noWrap/>
            <w:vAlign w:val="center"/>
            <w:hideMark/>
          </w:tcPr>
          <w:p w14:paraId="52172D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96660902</w:t>
            </w:r>
          </w:p>
        </w:tc>
        <w:tc>
          <w:tcPr>
            <w:tcW w:w="160" w:type="dxa"/>
            <w:tcBorders>
              <w:top w:val="nil"/>
              <w:left w:val="nil"/>
              <w:bottom w:val="single" w:sz="4" w:space="0" w:color="auto"/>
              <w:right w:val="nil"/>
            </w:tcBorders>
            <w:vAlign w:val="center"/>
          </w:tcPr>
          <w:p w14:paraId="5E4A58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428F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TONČKE ČEČ</w:t>
            </w:r>
          </w:p>
        </w:tc>
      </w:tr>
      <w:tr w:rsidR="00072A69" w:rsidRPr="00DC6DF9" w14:paraId="56BE13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D6A4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1427</w:t>
            </w:r>
          </w:p>
        </w:tc>
        <w:tc>
          <w:tcPr>
            <w:tcW w:w="1036" w:type="dxa"/>
            <w:tcBorders>
              <w:top w:val="nil"/>
              <w:left w:val="nil"/>
              <w:bottom w:val="single" w:sz="4" w:space="0" w:color="auto"/>
              <w:right w:val="single" w:sz="4" w:space="0" w:color="auto"/>
            </w:tcBorders>
            <w:shd w:val="clear" w:color="auto" w:fill="auto"/>
            <w:noWrap/>
            <w:vAlign w:val="center"/>
            <w:hideMark/>
          </w:tcPr>
          <w:p w14:paraId="137814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5088755000</w:t>
            </w:r>
          </w:p>
        </w:tc>
        <w:tc>
          <w:tcPr>
            <w:tcW w:w="1036" w:type="dxa"/>
            <w:tcBorders>
              <w:top w:val="nil"/>
              <w:left w:val="nil"/>
              <w:bottom w:val="single" w:sz="4" w:space="0" w:color="auto"/>
              <w:right w:val="single" w:sz="4" w:space="0" w:color="auto"/>
            </w:tcBorders>
            <w:shd w:val="clear" w:color="auto" w:fill="auto"/>
            <w:noWrap/>
            <w:vAlign w:val="center"/>
            <w:hideMark/>
          </w:tcPr>
          <w:p w14:paraId="00B39C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98088742</w:t>
            </w:r>
          </w:p>
        </w:tc>
        <w:tc>
          <w:tcPr>
            <w:tcW w:w="160" w:type="dxa"/>
            <w:tcBorders>
              <w:top w:val="nil"/>
              <w:left w:val="nil"/>
              <w:bottom w:val="single" w:sz="4" w:space="0" w:color="auto"/>
              <w:right w:val="nil"/>
            </w:tcBorders>
            <w:vAlign w:val="center"/>
          </w:tcPr>
          <w:p w14:paraId="0597B3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D2A2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ČUFARJA</w:t>
            </w:r>
          </w:p>
        </w:tc>
      </w:tr>
      <w:tr w:rsidR="00072A69" w:rsidRPr="00DC6DF9" w14:paraId="41CDC0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0911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1428</w:t>
            </w:r>
          </w:p>
        </w:tc>
        <w:tc>
          <w:tcPr>
            <w:tcW w:w="1036" w:type="dxa"/>
            <w:tcBorders>
              <w:top w:val="nil"/>
              <w:left w:val="nil"/>
              <w:bottom w:val="single" w:sz="4" w:space="0" w:color="auto"/>
              <w:right w:val="single" w:sz="4" w:space="0" w:color="auto"/>
            </w:tcBorders>
            <w:shd w:val="clear" w:color="auto" w:fill="auto"/>
            <w:noWrap/>
            <w:vAlign w:val="center"/>
            <w:hideMark/>
          </w:tcPr>
          <w:p w14:paraId="57FE60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5719089000</w:t>
            </w:r>
          </w:p>
        </w:tc>
        <w:tc>
          <w:tcPr>
            <w:tcW w:w="1036" w:type="dxa"/>
            <w:tcBorders>
              <w:top w:val="nil"/>
              <w:left w:val="nil"/>
              <w:bottom w:val="single" w:sz="4" w:space="0" w:color="auto"/>
              <w:right w:val="single" w:sz="4" w:space="0" w:color="auto"/>
            </w:tcBorders>
            <w:shd w:val="clear" w:color="auto" w:fill="auto"/>
            <w:noWrap/>
            <w:vAlign w:val="center"/>
            <w:hideMark/>
          </w:tcPr>
          <w:p w14:paraId="54BB0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56149425</w:t>
            </w:r>
          </w:p>
        </w:tc>
        <w:tc>
          <w:tcPr>
            <w:tcW w:w="160" w:type="dxa"/>
            <w:tcBorders>
              <w:top w:val="nil"/>
              <w:left w:val="nil"/>
              <w:bottom w:val="single" w:sz="4" w:space="0" w:color="auto"/>
              <w:right w:val="nil"/>
            </w:tcBorders>
            <w:vAlign w:val="center"/>
          </w:tcPr>
          <w:p w14:paraId="2553E0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D650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ČUFARJA JESENICE</w:t>
            </w:r>
          </w:p>
        </w:tc>
      </w:tr>
      <w:tr w:rsidR="00072A69" w:rsidRPr="00DC6DF9" w14:paraId="7D35D7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67BA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1429</w:t>
            </w:r>
          </w:p>
        </w:tc>
        <w:tc>
          <w:tcPr>
            <w:tcW w:w="1036" w:type="dxa"/>
            <w:tcBorders>
              <w:top w:val="nil"/>
              <w:left w:val="nil"/>
              <w:bottom w:val="single" w:sz="4" w:space="0" w:color="auto"/>
              <w:right w:val="single" w:sz="4" w:space="0" w:color="auto"/>
            </w:tcBorders>
            <w:shd w:val="clear" w:color="auto" w:fill="auto"/>
            <w:noWrap/>
            <w:vAlign w:val="center"/>
            <w:hideMark/>
          </w:tcPr>
          <w:p w14:paraId="5F6E52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5085284000</w:t>
            </w:r>
          </w:p>
        </w:tc>
        <w:tc>
          <w:tcPr>
            <w:tcW w:w="1036" w:type="dxa"/>
            <w:tcBorders>
              <w:top w:val="nil"/>
              <w:left w:val="nil"/>
              <w:bottom w:val="single" w:sz="4" w:space="0" w:color="auto"/>
              <w:right w:val="single" w:sz="4" w:space="0" w:color="auto"/>
            </w:tcBorders>
            <w:shd w:val="clear" w:color="auto" w:fill="auto"/>
            <w:noWrap/>
            <w:vAlign w:val="center"/>
            <w:hideMark/>
          </w:tcPr>
          <w:p w14:paraId="265842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26804964</w:t>
            </w:r>
          </w:p>
        </w:tc>
        <w:tc>
          <w:tcPr>
            <w:tcW w:w="160" w:type="dxa"/>
            <w:tcBorders>
              <w:top w:val="nil"/>
              <w:left w:val="nil"/>
              <w:bottom w:val="single" w:sz="4" w:space="0" w:color="auto"/>
              <w:right w:val="nil"/>
            </w:tcBorders>
            <w:vAlign w:val="center"/>
          </w:tcPr>
          <w:p w14:paraId="22F033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E397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ČUFARJA MARIBOR</w:t>
            </w:r>
          </w:p>
        </w:tc>
      </w:tr>
      <w:tr w:rsidR="00072A69" w:rsidRPr="00DC6DF9" w14:paraId="63071F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A539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1430</w:t>
            </w:r>
          </w:p>
        </w:tc>
        <w:tc>
          <w:tcPr>
            <w:tcW w:w="1036" w:type="dxa"/>
            <w:tcBorders>
              <w:top w:val="nil"/>
              <w:left w:val="nil"/>
              <w:bottom w:val="single" w:sz="4" w:space="0" w:color="auto"/>
              <w:right w:val="single" w:sz="4" w:space="0" w:color="auto"/>
            </w:tcBorders>
            <w:shd w:val="clear" w:color="auto" w:fill="auto"/>
            <w:noWrap/>
            <w:vAlign w:val="center"/>
            <w:hideMark/>
          </w:tcPr>
          <w:p w14:paraId="7EAA3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5088399000</w:t>
            </w:r>
          </w:p>
        </w:tc>
        <w:tc>
          <w:tcPr>
            <w:tcW w:w="1036" w:type="dxa"/>
            <w:tcBorders>
              <w:top w:val="nil"/>
              <w:left w:val="nil"/>
              <w:bottom w:val="single" w:sz="4" w:space="0" w:color="auto"/>
              <w:right w:val="single" w:sz="4" w:space="0" w:color="auto"/>
            </w:tcBorders>
            <w:shd w:val="clear" w:color="auto" w:fill="auto"/>
            <w:noWrap/>
            <w:vAlign w:val="center"/>
            <w:hideMark/>
          </w:tcPr>
          <w:p w14:paraId="62C78B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62408534</w:t>
            </w:r>
          </w:p>
        </w:tc>
        <w:tc>
          <w:tcPr>
            <w:tcW w:w="160" w:type="dxa"/>
            <w:tcBorders>
              <w:top w:val="nil"/>
              <w:left w:val="nil"/>
              <w:bottom w:val="single" w:sz="4" w:space="0" w:color="auto"/>
              <w:right w:val="nil"/>
            </w:tcBorders>
            <w:vAlign w:val="center"/>
          </w:tcPr>
          <w:p w14:paraId="1C3D44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7D4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OKROGARJA</w:t>
            </w:r>
          </w:p>
        </w:tc>
      </w:tr>
      <w:tr w:rsidR="00072A69" w:rsidRPr="00DC6DF9" w14:paraId="19A7EAD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57FA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1431</w:t>
            </w:r>
          </w:p>
        </w:tc>
        <w:tc>
          <w:tcPr>
            <w:tcW w:w="1036" w:type="dxa"/>
            <w:tcBorders>
              <w:top w:val="nil"/>
              <w:left w:val="nil"/>
              <w:bottom w:val="single" w:sz="4" w:space="0" w:color="auto"/>
              <w:right w:val="single" w:sz="4" w:space="0" w:color="auto"/>
            </w:tcBorders>
            <w:shd w:val="clear" w:color="auto" w:fill="auto"/>
            <w:noWrap/>
            <w:vAlign w:val="center"/>
            <w:hideMark/>
          </w:tcPr>
          <w:p w14:paraId="012697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5086256000</w:t>
            </w:r>
          </w:p>
        </w:tc>
        <w:tc>
          <w:tcPr>
            <w:tcW w:w="1036" w:type="dxa"/>
            <w:tcBorders>
              <w:top w:val="nil"/>
              <w:left w:val="nil"/>
              <w:bottom w:val="single" w:sz="4" w:space="0" w:color="auto"/>
              <w:right w:val="single" w:sz="4" w:space="0" w:color="auto"/>
            </w:tcBorders>
            <w:shd w:val="clear" w:color="auto" w:fill="auto"/>
            <w:noWrap/>
            <w:vAlign w:val="center"/>
            <w:hideMark/>
          </w:tcPr>
          <w:p w14:paraId="408DDD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57013357</w:t>
            </w:r>
          </w:p>
        </w:tc>
        <w:tc>
          <w:tcPr>
            <w:tcW w:w="160" w:type="dxa"/>
            <w:tcBorders>
              <w:top w:val="nil"/>
              <w:left w:val="nil"/>
              <w:bottom w:val="single" w:sz="4" w:space="0" w:color="auto"/>
              <w:right w:val="nil"/>
            </w:tcBorders>
            <w:vAlign w:val="center"/>
          </w:tcPr>
          <w:p w14:paraId="1D6796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1599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PAVČKA</w:t>
            </w:r>
          </w:p>
        </w:tc>
      </w:tr>
      <w:tr w:rsidR="00072A69" w:rsidRPr="00DC6DF9" w14:paraId="4B2AC7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E8B3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1432</w:t>
            </w:r>
          </w:p>
        </w:tc>
        <w:tc>
          <w:tcPr>
            <w:tcW w:w="1036" w:type="dxa"/>
            <w:tcBorders>
              <w:top w:val="nil"/>
              <w:left w:val="nil"/>
              <w:bottom w:val="single" w:sz="4" w:space="0" w:color="auto"/>
              <w:right w:val="single" w:sz="4" w:space="0" w:color="auto"/>
            </w:tcBorders>
            <w:shd w:val="clear" w:color="auto" w:fill="auto"/>
            <w:noWrap/>
            <w:vAlign w:val="center"/>
            <w:hideMark/>
          </w:tcPr>
          <w:p w14:paraId="4F3B83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5082749000</w:t>
            </w:r>
          </w:p>
        </w:tc>
        <w:tc>
          <w:tcPr>
            <w:tcW w:w="1036" w:type="dxa"/>
            <w:tcBorders>
              <w:top w:val="nil"/>
              <w:left w:val="nil"/>
              <w:bottom w:val="single" w:sz="4" w:space="0" w:color="auto"/>
              <w:right w:val="single" w:sz="4" w:space="0" w:color="auto"/>
            </w:tcBorders>
            <w:shd w:val="clear" w:color="auto" w:fill="auto"/>
            <w:noWrap/>
            <w:vAlign w:val="center"/>
            <w:hideMark/>
          </w:tcPr>
          <w:p w14:paraId="391E86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22081453</w:t>
            </w:r>
          </w:p>
        </w:tc>
        <w:tc>
          <w:tcPr>
            <w:tcW w:w="160" w:type="dxa"/>
            <w:tcBorders>
              <w:top w:val="nil"/>
              <w:left w:val="nil"/>
              <w:bottom w:val="single" w:sz="4" w:space="0" w:color="auto"/>
              <w:right w:val="nil"/>
            </w:tcBorders>
            <w:vAlign w:val="center"/>
          </w:tcPr>
          <w:p w14:paraId="631E7A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493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ŠRAJA ALJOŠE</w:t>
            </w:r>
          </w:p>
        </w:tc>
      </w:tr>
      <w:tr w:rsidR="00072A69" w:rsidRPr="00DC6DF9" w14:paraId="25C4FC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3294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1433</w:t>
            </w:r>
          </w:p>
        </w:tc>
        <w:tc>
          <w:tcPr>
            <w:tcW w:w="1036" w:type="dxa"/>
            <w:tcBorders>
              <w:top w:val="nil"/>
              <w:left w:val="nil"/>
              <w:bottom w:val="single" w:sz="4" w:space="0" w:color="auto"/>
              <w:right w:val="single" w:sz="4" w:space="0" w:color="auto"/>
            </w:tcBorders>
            <w:shd w:val="clear" w:color="auto" w:fill="auto"/>
            <w:noWrap/>
            <w:vAlign w:val="center"/>
            <w:hideMark/>
          </w:tcPr>
          <w:p w14:paraId="066826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5083796000</w:t>
            </w:r>
          </w:p>
        </w:tc>
        <w:tc>
          <w:tcPr>
            <w:tcW w:w="1036" w:type="dxa"/>
            <w:tcBorders>
              <w:top w:val="nil"/>
              <w:left w:val="nil"/>
              <w:bottom w:val="single" w:sz="4" w:space="0" w:color="auto"/>
              <w:right w:val="single" w:sz="4" w:space="0" w:color="auto"/>
            </w:tcBorders>
            <w:shd w:val="clear" w:color="auto" w:fill="auto"/>
            <w:noWrap/>
            <w:vAlign w:val="center"/>
            <w:hideMark/>
          </w:tcPr>
          <w:p w14:paraId="648F39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46127356</w:t>
            </w:r>
          </w:p>
        </w:tc>
        <w:tc>
          <w:tcPr>
            <w:tcW w:w="160" w:type="dxa"/>
            <w:tcBorders>
              <w:top w:val="nil"/>
              <w:left w:val="nil"/>
              <w:bottom w:val="single" w:sz="4" w:space="0" w:color="auto"/>
              <w:right w:val="nil"/>
            </w:tcBorders>
            <w:vAlign w:val="center"/>
          </w:tcPr>
          <w:p w14:paraId="65A9C9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B6B8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TONETA TOMŠIČA KNEŽAK</w:t>
            </w:r>
          </w:p>
        </w:tc>
      </w:tr>
      <w:tr w:rsidR="00072A69" w:rsidRPr="00DC6DF9" w14:paraId="01E671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0481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1434</w:t>
            </w:r>
          </w:p>
        </w:tc>
        <w:tc>
          <w:tcPr>
            <w:tcW w:w="1036" w:type="dxa"/>
            <w:tcBorders>
              <w:top w:val="nil"/>
              <w:left w:val="nil"/>
              <w:bottom w:val="single" w:sz="4" w:space="0" w:color="auto"/>
              <w:right w:val="single" w:sz="4" w:space="0" w:color="auto"/>
            </w:tcBorders>
            <w:shd w:val="clear" w:color="auto" w:fill="auto"/>
            <w:noWrap/>
            <w:vAlign w:val="center"/>
            <w:hideMark/>
          </w:tcPr>
          <w:p w14:paraId="74F3EA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5889235000</w:t>
            </w:r>
          </w:p>
        </w:tc>
        <w:tc>
          <w:tcPr>
            <w:tcW w:w="1036" w:type="dxa"/>
            <w:tcBorders>
              <w:top w:val="nil"/>
              <w:left w:val="nil"/>
              <w:bottom w:val="single" w:sz="4" w:space="0" w:color="auto"/>
              <w:right w:val="single" w:sz="4" w:space="0" w:color="auto"/>
            </w:tcBorders>
            <w:shd w:val="clear" w:color="auto" w:fill="auto"/>
            <w:noWrap/>
            <w:vAlign w:val="center"/>
            <w:hideMark/>
          </w:tcPr>
          <w:p w14:paraId="4C7986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55876811</w:t>
            </w:r>
          </w:p>
        </w:tc>
        <w:tc>
          <w:tcPr>
            <w:tcW w:w="160" w:type="dxa"/>
            <w:tcBorders>
              <w:top w:val="nil"/>
              <w:left w:val="nil"/>
              <w:bottom w:val="single" w:sz="4" w:space="0" w:color="auto"/>
              <w:right w:val="nil"/>
            </w:tcBorders>
            <w:vAlign w:val="center"/>
          </w:tcPr>
          <w:p w14:paraId="6D390C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A480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TRBOVLJE</w:t>
            </w:r>
          </w:p>
        </w:tc>
      </w:tr>
      <w:tr w:rsidR="00072A69" w:rsidRPr="00DC6DF9" w14:paraId="011203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8D04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1435</w:t>
            </w:r>
          </w:p>
        </w:tc>
        <w:tc>
          <w:tcPr>
            <w:tcW w:w="1036" w:type="dxa"/>
            <w:tcBorders>
              <w:top w:val="nil"/>
              <w:left w:val="nil"/>
              <w:bottom w:val="single" w:sz="4" w:space="0" w:color="auto"/>
              <w:right w:val="single" w:sz="4" w:space="0" w:color="auto"/>
            </w:tcBorders>
            <w:shd w:val="clear" w:color="auto" w:fill="auto"/>
            <w:noWrap/>
            <w:vAlign w:val="center"/>
            <w:hideMark/>
          </w:tcPr>
          <w:p w14:paraId="3CDF57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5088097000</w:t>
            </w:r>
          </w:p>
        </w:tc>
        <w:tc>
          <w:tcPr>
            <w:tcW w:w="1036" w:type="dxa"/>
            <w:tcBorders>
              <w:top w:val="nil"/>
              <w:left w:val="nil"/>
              <w:bottom w:val="single" w:sz="4" w:space="0" w:color="auto"/>
              <w:right w:val="single" w:sz="4" w:space="0" w:color="auto"/>
            </w:tcBorders>
            <w:shd w:val="clear" w:color="auto" w:fill="auto"/>
            <w:noWrap/>
            <w:vAlign w:val="center"/>
            <w:hideMark/>
          </w:tcPr>
          <w:p w14:paraId="5F3B48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41249356</w:t>
            </w:r>
          </w:p>
        </w:tc>
        <w:tc>
          <w:tcPr>
            <w:tcW w:w="160" w:type="dxa"/>
            <w:tcBorders>
              <w:top w:val="nil"/>
              <w:left w:val="nil"/>
              <w:bottom w:val="single" w:sz="4" w:space="0" w:color="auto"/>
              <w:right w:val="nil"/>
            </w:tcBorders>
            <w:vAlign w:val="center"/>
          </w:tcPr>
          <w:p w14:paraId="005711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54F3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TREBNJE</w:t>
            </w:r>
          </w:p>
        </w:tc>
      </w:tr>
      <w:tr w:rsidR="00072A69" w:rsidRPr="00DC6DF9" w14:paraId="0AB8AB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27F7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1436</w:t>
            </w:r>
          </w:p>
        </w:tc>
        <w:tc>
          <w:tcPr>
            <w:tcW w:w="1036" w:type="dxa"/>
            <w:tcBorders>
              <w:top w:val="nil"/>
              <w:left w:val="nil"/>
              <w:bottom w:val="single" w:sz="4" w:space="0" w:color="auto"/>
              <w:right w:val="single" w:sz="4" w:space="0" w:color="auto"/>
            </w:tcBorders>
            <w:shd w:val="clear" w:color="auto" w:fill="auto"/>
            <w:noWrap/>
            <w:vAlign w:val="center"/>
            <w:hideMark/>
          </w:tcPr>
          <w:p w14:paraId="3754C6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5084440000</w:t>
            </w:r>
          </w:p>
        </w:tc>
        <w:tc>
          <w:tcPr>
            <w:tcW w:w="1036" w:type="dxa"/>
            <w:tcBorders>
              <w:top w:val="nil"/>
              <w:left w:val="nil"/>
              <w:bottom w:val="single" w:sz="4" w:space="0" w:color="auto"/>
              <w:right w:val="single" w:sz="4" w:space="0" w:color="auto"/>
            </w:tcBorders>
            <w:shd w:val="clear" w:color="auto" w:fill="auto"/>
            <w:noWrap/>
            <w:vAlign w:val="center"/>
            <w:hideMark/>
          </w:tcPr>
          <w:p w14:paraId="4A4ADD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67940650</w:t>
            </w:r>
          </w:p>
        </w:tc>
        <w:tc>
          <w:tcPr>
            <w:tcW w:w="160" w:type="dxa"/>
            <w:tcBorders>
              <w:top w:val="nil"/>
              <w:left w:val="nil"/>
              <w:bottom w:val="single" w:sz="4" w:space="0" w:color="auto"/>
              <w:right w:val="nil"/>
            </w:tcBorders>
            <w:vAlign w:val="center"/>
          </w:tcPr>
          <w:p w14:paraId="351D75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3217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TRNOVO</w:t>
            </w:r>
          </w:p>
        </w:tc>
      </w:tr>
      <w:tr w:rsidR="00072A69" w:rsidRPr="00DC6DF9" w14:paraId="6C00C0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87DD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1437</w:t>
            </w:r>
          </w:p>
        </w:tc>
        <w:tc>
          <w:tcPr>
            <w:tcW w:w="1036" w:type="dxa"/>
            <w:tcBorders>
              <w:top w:val="nil"/>
              <w:left w:val="nil"/>
              <w:bottom w:val="single" w:sz="4" w:space="0" w:color="auto"/>
              <w:right w:val="single" w:sz="4" w:space="0" w:color="auto"/>
            </w:tcBorders>
            <w:shd w:val="clear" w:color="auto" w:fill="auto"/>
            <w:noWrap/>
            <w:vAlign w:val="center"/>
            <w:hideMark/>
          </w:tcPr>
          <w:p w14:paraId="1C57E2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5255287000</w:t>
            </w:r>
          </w:p>
        </w:tc>
        <w:tc>
          <w:tcPr>
            <w:tcW w:w="1036" w:type="dxa"/>
            <w:tcBorders>
              <w:top w:val="nil"/>
              <w:left w:val="nil"/>
              <w:bottom w:val="single" w:sz="4" w:space="0" w:color="auto"/>
              <w:right w:val="single" w:sz="4" w:space="0" w:color="auto"/>
            </w:tcBorders>
            <w:shd w:val="clear" w:color="auto" w:fill="auto"/>
            <w:noWrap/>
            <w:vAlign w:val="center"/>
            <w:hideMark/>
          </w:tcPr>
          <w:p w14:paraId="72A283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54697751</w:t>
            </w:r>
          </w:p>
        </w:tc>
        <w:tc>
          <w:tcPr>
            <w:tcW w:w="160" w:type="dxa"/>
            <w:tcBorders>
              <w:top w:val="nil"/>
              <w:left w:val="nil"/>
              <w:bottom w:val="single" w:sz="4" w:space="0" w:color="auto"/>
              <w:right w:val="nil"/>
            </w:tcBorders>
            <w:vAlign w:val="center"/>
          </w:tcPr>
          <w:p w14:paraId="5F9585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2246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TRZIN</w:t>
            </w:r>
          </w:p>
        </w:tc>
      </w:tr>
      <w:tr w:rsidR="00072A69" w:rsidRPr="00DC6DF9" w14:paraId="45EFD4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E550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1438</w:t>
            </w:r>
          </w:p>
        </w:tc>
        <w:tc>
          <w:tcPr>
            <w:tcW w:w="1036" w:type="dxa"/>
            <w:tcBorders>
              <w:top w:val="nil"/>
              <w:left w:val="nil"/>
              <w:bottom w:val="single" w:sz="4" w:space="0" w:color="auto"/>
              <w:right w:val="single" w:sz="4" w:space="0" w:color="auto"/>
            </w:tcBorders>
            <w:shd w:val="clear" w:color="auto" w:fill="auto"/>
            <w:noWrap/>
            <w:vAlign w:val="center"/>
            <w:hideMark/>
          </w:tcPr>
          <w:p w14:paraId="3F5212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5088143000</w:t>
            </w:r>
          </w:p>
        </w:tc>
        <w:tc>
          <w:tcPr>
            <w:tcW w:w="1036" w:type="dxa"/>
            <w:tcBorders>
              <w:top w:val="nil"/>
              <w:left w:val="nil"/>
              <w:bottom w:val="single" w:sz="4" w:space="0" w:color="auto"/>
              <w:right w:val="single" w:sz="4" w:space="0" w:color="auto"/>
            </w:tcBorders>
            <w:shd w:val="clear" w:color="auto" w:fill="auto"/>
            <w:noWrap/>
            <w:vAlign w:val="center"/>
            <w:hideMark/>
          </w:tcPr>
          <w:p w14:paraId="4A89F6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41934911</w:t>
            </w:r>
          </w:p>
        </w:tc>
        <w:tc>
          <w:tcPr>
            <w:tcW w:w="160" w:type="dxa"/>
            <w:tcBorders>
              <w:top w:val="nil"/>
              <w:left w:val="nil"/>
              <w:bottom w:val="single" w:sz="4" w:space="0" w:color="auto"/>
              <w:right w:val="nil"/>
            </w:tcBorders>
            <w:vAlign w:val="center"/>
          </w:tcPr>
          <w:p w14:paraId="29CFC3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7A39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TRŽIČ</w:t>
            </w:r>
          </w:p>
        </w:tc>
      </w:tr>
      <w:tr w:rsidR="00072A69" w:rsidRPr="00DC6DF9" w14:paraId="0385D9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BCEC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1439</w:t>
            </w:r>
          </w:p>
        </w:tc>
        <w:tc>
          <w:tcPr>
            <w:tcW w:w="1036" w:type="dxa"/>
            <w:tcBorders>
              <w:top w:val="nil"/>
              <w:left w:val="nil"/>
              <w:bottom w:val="single" w:sz="4" w:space="0" w:color="auto"/>
              <w:right w:val="single" w:sz="4" w:space="0" w:color="auto"/>
            </w:tcBorders>
            <w:shd w:val="clear" w:color="auto" w:fill="auto"/>
            <w:noWrap/>
            <w:vAlign w:val="center"/>
            <w:hideMark/>
          </w:tcPr>
          <w:p w14:paraId="16BE0D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5087503000</w:t>
            </w:r>
          </w:p>
        </w:tc>
        <w:tc>
          <w:tcPr>
            <w:tcW w:w="1036" w:type="dxa"/>
            <w:tcBorders>
              <w:top w:val="nil"/>
              <w:left w:val="nil"/>
              <w:bottom w:val="single" w:sz="4" w:space="0" w:color="auto"/>
              <w:right w:val="single" w:sz="4" w:space="0" w:color="auto"/>
            </w:tcBorders>
            <w:shd w:val="clear" w:color="auto" w:fill="auto"/>
            <w:noWrap/>
            <w:vAlign w:val="center"/>
            <w:hideMark/>
          </w:tcPr>
          <w:p w14:paraId="141827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33629927</w:t>
            </w:r>
          </w:p>
        </w:tc>
        <w:tc>
          <w:tcPr>
            <w:tcW w:w="160" w:type="dxa"/>
            <w:tcBorders>
              <w:top w:val="nil"/>
              <w:left w:val="nil"/>
              <w:bottom w:val="single" w:sz="4" w:space="0" w:color="auto"/>
              <w:right w:val="nil"/>
            </w:tcBorders>
            <w:vAlign w:val="center"/>
          </w:tcPr>
          <w:p w14:paraId="7DA802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6825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TRŽIŠČE</w:t>
            </w:r>
          </w:p>
        </w:tc>
      </w:tr>
      <w:tr w:rsidR="00072A69" w:rsidRPr="00DC6DF9" w14:paraId="5DCFF2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F558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1440</w:t>
            </w:r>
          </w:p>
        </w:tc>
        <w:tc>
          <w:tcPr>
            <w:tcW w:w="1036" w:type="dxa"/>
            <w:tcBorders>
              <w:top w:val="nil"/>
              <w:left w:val="nil"/>
              <w:bottom w:val="single" w:sz="4" w:space="0" w:color="auto"/>
              <w:right w:val="single" w:sz="4" w:space="0" w:color="auto"/>
            </w:tcBorders>
            <w:shd w:val="clear" w:color="auto" w:fill="auto"/>
            <w:noWrap/>
            <w:vAlign w:val="center"/>
            <w:hideMark/>
          </w:tcPr>
          <w:p w14:paraId="1F61E8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5084059000</w:t>
            </w:r>
          </w:p>
        </w:tc>
        <w:tc>
          <w:tcPr>
            <w:tcW w:w="1036" w:type="dxa"/>
            <w:tcBorders>
              <w:top w:val="nil"/>
              <w:left w:val="nil"/>
              <w:bottom w:val="single" w:sz="4" w:space="0" w:color="auto"/>
              <w:right w:val="single" w:sz="4" w:space="0" w:color="auto"/>
            </w:tcBorders>
            <w:shd w:val="clear" w:color="auto" w:fill="auto"/>
            <w:noWrap/>
            <w:vAlign w:val="center"/>
            <w:hideMark/>
          </w:tcPr>
          <w:p w14:paraId="0A2CAC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12307572</w:t>
            </w:r>
          </w:p>
        </w:tc>
        <w:tc>
          <w:tcPr>
            <w:tcW w:w="160" w:type="dxa"/>
            <w:tcBorders>
              <w:top w:val="nil"/>
              <w:left w:val="nil"/>
              <w:bottom w:val="single" w:sz="4" w:space="0" w:color="auto"/>
              <w:right w:val="nil"/>
            </w:tcBorders>
            <w:vAlign w:val="center"/>
          </w:tcPr>
          <w:p w14:paraId="6EDDF0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4D76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TURNIŠČE</w:t>
            </w:r>
          </w:p>
        </w:tc>
      </w:tr>
      <w:tr w:rsidR="00072A69" w:rsidRPr="00DC6DF9" w14:paraId="57C3CE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A50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1441</w:t>
            </w:r>
          </w:p>
        </w:tc>
        <w:tc>
          <w:tcPr>
            <w:tcW w:w="1036" w:type="dxa"/>
            <w:tcBorders>
              <w:top w:val="nil"/>
              <w:left w:val="nil"/>
              <w:bottom w:val="single" w:sz="4" w:space="0" w:color="auto"/>
              <w:right w:val="single" w:sz="4" w:space="0" w:color="auto"/>
            </w:tcBorders>
            <w:shd w:val="clear" w:color="auto" w:fill="auto"/>
            <w:noWrap/>
            <w:vAlign w:val="center"/>
            <w:hideMark/>
          </w:tcPr>
          <w:p w14:paraId="0EB69B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5084342000</w:t>
            </w:r>
          </w:p>
        </w:tc>
        <w:tc>
          <w:tcPr>
            <w:tcW w:w="1036" w:type="dxa"/>
            <w:tcBorders>
              <w:top w:val="nil"/>
              <w:left w:val="nil"/>
              <w:bottom w:val="single" w:sz="4" w:space="0" w:color="auto"/>
              <w:right w:val="single" w:sz="4" w:space="0" w:color="auto"/>
            </w:tcBorders>
            <w:shd w:val="clear" w:color="auto" w:fill="auto"/>
            <w:noWrap/>
            <w:vAlign w:val="center"/>
            <w:hideMark/>
          </w:tcPr>
          <w:p w14:paraId="0E753B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94718164</w:t>
            </w:r>
          </w:p>
        </w:tc>
        <w:tc>
          <w:tcPr>
            <w:tcW w:w="160" w:type="dxa"/>
            <w:tcBorders>
              <w:top w:val="nil"/>
              <w:left w:val="nil"/>
              <w:bottom w:val="single" w:sz="4" w:space="0" w:color="auto"/>
              <w:right w:val="nil"/>
            </w:tcBorders>
            <w:vAlign w:val="center"/>
          </w:tcPr>
          <w:p w14:paraId="4273B4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D14E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VALENTINA VODNIKA</w:t>
            </w:r>
          </w:p>
        </w:tc>
      </w:tr>
      <w:tr w:rsidR="00072A69" w:rsidRPr="00DC6DF9" w14:paraId="1E55F6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CEA4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1442</w:t>
            </w:r>
          </w:p>
        </w:tc>
        <w:tc>
          <w:tcPr>
            <w:tcW w:w="1036" w:type="dxa"/>
            <w:tcBorders>
              <w:top w:val="nil"/>
              <w:left w:val="nil"/>
              <w:bottom w:val="single" w:sz="4" w:space="0" w:color="auto"/>
              <w:right w:val="single" w:sz="4" w:space="0" w:color="auto"/>
            </w:tcBorders>
            <w:shd w:val="clear" w:color="auto" w:fill="auto"/>
            <w:noWrap/>
            <w:vAlign w:val="center"/>
            <w:hideMark/>
          </w:tcPr>
          <w:p w14:paraId="4B9B39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5086329000</w:t>
            </w:r>
          </w:p>
        </w:tc>
        <w:tc>
          <w:tcPr>
            <w:tcW w:w="1036" w:type="dxa"/>
            <w:tcBorders>
              <w:top w:val="nil"/>
              <w:left w:val="nil"/>
              <w:bottom w:val="single" w:sz="4" w:space="0" w:color="auto"/>
              <w:right w:val="single" w:sz="4" w:space="0" w:color="auto"/>
            </w:tcBorders>
            <w:shd w:val="clear" w:color="auto" w:fill="auto"/>
            <w:noWrap/>
            <w:vAlign w:val="center"/>
            <w:hideMark/>
          </w:tcPr>
          <w:p w14:paraId="1CF200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86730738</w:t>
            </w:r>
          </w:p>
        </w:tc>
        <w:tc>
          <w:tcPr>
            <w:tcW w:w="160" w:type="dxa"/>
            <w:tcBorders>
              <w:top w:val="nil"/>
              <w:left w:val="nil"/>
              <w:bottom w:val="single" w:sz="4" w:space="0" w:color="auto"/>
              <w:right w:val="nil"/>
            </w:tcBorders>
            <w:vAlign w:val="center"/>
          </w:tcPr>
          <w:p w14:paraId="0B16DE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673B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VAVTA VAS</w:t>
            </w:r>
          </w:p>
        </w:tc>
      </w:tr>
      <w:tr w:rsidR="00072A69" w:rsidRPr="00DC6DF9" w14:paraId="39405A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E90A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1443</w:t>
            </w:r>
          </w:p>
        </w:tc>
        <w:tc>
          <w:tcPr>
            <w:tcW w:w="1036" w:type="dxa"/>
            <w:tcBorders>
              <w:top w:val="nil"/>
              <w:left w:val="nil"/>
              <w:bottom w:val="single" w:sz="4" w:space="0" w:color="auto"/>
              <w:right w:val="single" w:sz="4" w:space="0" w:color="auto"/>
            </w:tcBorders>
            <w:shd w:val="clear" w:color="auto" w:fill="auto"/>
            <w:noWrap/>
            <w:vAlign w:val="center"/>
            <w:hideMark/>
          </w:tcPr>
          <w:p w14:paraId="21420B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5083583000</w:t>
            </w:r>
          </w:p>
        </w:tc>
        <w:tc>
          <w:tcPr>
            <w:tcW w:w="1036" w:type="dxa"/>
            <w:tcBorders>
              <w:top w:val="nil"/>
              <w:left w:val="nil"/>
              <w:bottom w:val="single" w:sz="4" w:space="0" w:color="auto"/>
              <w:right w:val="single" w:sz="4" w:space="0" w:color="auto"/>
            </w:tcBorders>
            <w:shd w:val="clear" w:color="auto" w:fill="auto"/>
            <w:noWrap/>
            <w:vAlign w:val="center"/>
            <w:hideMark/>
          </w:tcPr>
          <w:p w14:paraId="7DC043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81190344</w:t>
            </w:r>
          </w:p>
        </w:tc>
        <w:tc>
          <w:tcPr>
            <w:tcW w:w="160" w:type="dxa"/>
            <w:tcBorders>
              <w:top w:val="nil"/>
              <w:left w:val="nil"/>
              <w:bottom w:val="single" w:sz="4" w:space="0" w:color="auto"/>
              <w:right w:val="nil"/>
            </w:tcBorders>
            <w:vAlign w:val="center"/>
          </w:tcPr>
          <w:p w14:paraId="53DC3F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6C9F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VELIKA DOLINA</w:t>
            </w:r>
          </w:p>
        </w:tc>
      </w:tr>
      <w:tr w:rsidR="00072A69" w:rsidRPr="00DC6DF9" w14:paraId="1161F5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CDA6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1444</w:t>
            </w:r>
          </w:p>
        </w:tc>
        <w:tc>
          <w:tcPr>
            <w:tcW w:w="1036" w:type="dxa"/>
            <w:tcBorders>
              <w:top w:val="nil"/>
              <w:left w:val="nil"/>
              <w:bottom w:val="single" w:sz="4" w:space="0" w:color="auto"/>
              <w:right w:val="single" w:sz="4" w:space="0" w:color="auto"/>
            </w:tcBorders>
            <w:shd w:val="clear" w:color="auto" w:fill="auto"/>
            <w:noWrap/>
            <w:vAlign w:val="center"/>
            <w:hideMark/>
          </w:tcPr>
          <w:p w14:paraId="106D33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5090148000</w:t>
            </w:r>
          </w:p>
        </w:tc>
        <w:tc>
          <w:tcPr>
            <w:tcW w:w="1036" w:type="dxa"/>
            <w:tcBorders>
              <w:top w:val="nil"/>
              <w:left w:val="nil"/>
              <w:bottom w:val="single" w:sz="4" w:space="0" w:color="auto"/>
              <w:right w:val="single" w:sz="4" w:space="0" w:color="auto"/>
            </w:tcBorders>
            <w:shd w:val="clear" w:color="auto" w:fill="auto"/>
            <w:noWrap/>
            <w:vAlign w:val="center"/>
            <w:hideMark/>
          </w:tcPr>
          <w:p w14:paraId="486C6B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82142211</w:t>
            </w:r>
          </w:p>
        </w:tc>
        <w:tc>
          <w:tcPr>
            <w:tcW w:w="160" w:type="dxa"/>
            <w:tcBorders>
              <w:top w:val="nil"/>
              <w:left w:val="nil"/>
              <w:bottom w:val="single" w:sz="4" w:space="0" w:color="auto"/>
              <w:right w:val="nil"/>
            </w:tcBorders>
            <w:vAlign w:val="center"/>
          </w:tcPr>
          <w:p w14:paraId="0251A9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D41C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VELIKA NEDELJA</w:t>
            </w:r>
          </w:p>
        </w:tc>
      </w:tr>
      <w:tr w:rsidR="00072A69" w:rsidRPr="00DC6DF9" w14:paraId="153B5C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156C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1445</w:t>
            </w:r>
          </w:p>
        </w:tc>
        <w:tc>
          <w:tcPr>
            <w:tcW w:w="1036" w:type="dxa"/>
            <w:tcBorders>
              <w:top w:val="nil"/>
              <w:left w:val="nil"/>
              <w:bottom w:val="single" w:sz="4" w:space="0" w:color="auto"/>
              <w:right w:val="single" w:sz="4" w:space="0" w:color="auto"/>
            </w:tcBorders>
            <w:shd w:val="clear" w:color="auto" w:fill="auto"/>
            <w:noWrap/>
            <w:vAlign w:val="center"/>
            <w:hideMark/>
          </w:tcPr>
          <w:p w14:paraId="2EED5B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5088119000</w:t>
            </w:r>
          </w:p>
        </w:tc>
        <w:tc>
          <w:tcPr>
            <w:tcW w:w="1036" w:type="dxa"/>
            <w:tcBorders>
              <w:top w:val="nil"/>
              <w:left w:val="nil"/>
              <w:bottom w:val="single" w:sz="4" w:space="0" w:color="auto"/>
              <w:right w:val="single" w:sz="4" w:space="0" w:color="auto"/>
            </w:tcBorders>
            <w:shd w:val="clear" w:color="auto" w:fill="auto"/>
            <w:noWrap/>
            <w:vAlign w:val="center"/>
            <w:hideMark/>
          </w:tcPr>
          <w:p w14:paraId="62D85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47660759</w:t>
            </w:r>
          </w:p>
        </w:tc>
        <w:tc>
          <w:tcPr>
            <w:tcW w:w="160" w:type="dxa"/>
            <w:tcBorders>
              <w:top w:val="nil"/>
              <w:left w:val="nil"/>
              <w:bottom w:val="single" w:sz="4" w:space="0" w:color="auto"/>
              <w:right w:val="nil"/>
            </w:tcBorders>
            <w:vAlign w:val="center"/>
          </w:tcPr>
          <w:p w14:paraId="2045F3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8B33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VELIKI GABER</w:t>
            </w:r>
          </w:p>
        </w:tc>
      </w:tr>
      <w:tr w:rsidR="00072A69" w:rsidRPr="00DC6DF9" w14:paraId="326F10F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5395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1446</w:t>
            </w:r>
          </w:p>
        </w:tc>
        <w:tc>
          <w:tcPr>
            <w:tcW w:w="1036" w:type="dxa"/>
            <w:tcBorders>
              <w:top w:val="nil"/>
              <w:left w:val="nil"/>
              <w:bottom w:val="single" w:sz="4" w:space="0" w:color="auto"/>
              <w:right w:val="single" w:sz="4" w:space="0" w:color="auto"/>
            </w:tcBorders>
            <w:shd w:val="clear" w:color="auto" w:fill="auto"/>
            <w:noWrap/>
            <w:vAlign w:val="center"/>
            <w:hideMark/>
          </w:tcPr>
          <w:p w14:paraId="1E8B28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5082811000</w:t>
            </w:r>
          </w:p>
        </w:tc>
        <w:tc>
          <w:tcPr>
            <w:tcW w:w="1036" w:type="dxa"/>
            <w:tcBorders>
              <w:top w:val="nil"/>
              <w:left w:val="nil"/>
              <w:bottom w:val="single" w:sz="4" w:space="0" w:color="auto"/>
              <w:right w:val="single" w:sz="4" w:space="0" w:color="auto"/>
            </w:tcBorders>
            <w:shd w:val="clear" w:color="auto" w:fill="auto"/>
            <w:noWrap/>
            <w:vAlign w:val="center"/>
            <w:hideMark/>
          </w:tcPr>
          <w:p w14:paraId="5B8BC0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16670884</w:t>
            </w:r>
          </w:p>
        </w:tc>
        <w:tc>
          <w:tcPr>
            <w:tcW w:w="160" w:type="dxa"/>
            <w:tcBorders>
              <w:top w:val="nil"/>
              <w:left w:val="nil"/>
              <w:bottom w:val="single" w:sz="4" w:space="0" w:color="auto"/>
              <w:right w:val="nil"/>
            </w:tcBorders>
            <w:vAlign w:val="center"/>
          </w:tcPr>
          <w:p w14:paraId="1B596A0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4642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VENCLJA PERKA</w:t>
            </w:r>
          </w:p>
        </w:tc>
      </w:tr>
      <w:tr w:rsidR="00072A69" w:rsidRPr="00DC6DF9" w14:paraId="7A07A1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E989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1447</w:t>
            </w:r>
          </w:p>
        </w:tc>
        <w:tc>
          <w:tcPr>
            <w:tcW w:w="1036" w:type="dxa"/>
            <w:tcBorders>
              <w:top w:val="nil"/>
              <w:left w:val="nil"/>
              <w:bottom w:val="single" w:sz="4" w:space="0" w:color="auto"/>
              <w:right w:val="single" w:sz="4" w:space="0" w:color="auto"/>
            </w:tcBorders>
            <w:shd w:val="clear" w:color="auto" w:fill="auto"/>
            <w:noWrap/>
            <w:vAlign w:val="center"/>
            <w:hideMark/>
          </w:tcPr>
          <w:p w14:paraId="3F5283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5051215000</w:t>
            </w:r>
          </w:p>
        </w:tc>
        <w:tc>
          <w:tcPr>
            <w:tcW w:w="1036" w:type="dxa"/>
            <w:tcBorders>
              <w:top w:val="nil"/>
              <w:left w:val="nil"/>
              <w:bottom w:val="single" w:sz="4" w:space="0" w:color="auto"/>
              <w:right w:val="single" w:sz="4" w:space="0" w:color="auto"/>
            </w:tcBorders>
            <w:shd w:val="clear" w:color="auto" w:fill="auto"/>
            <w:noWrap/>
            <w:vAlign w:val="center"/>
            <w:hideMark/>
          </w:tcPr>
          <w:p w14:paraId="5B8E18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32512864</w:t>
            </w:r>
          </w:p>
        </w:tc>
        <w:tc>
          <w:tcPr>
            <w:tcW w:w="160" w:type="dxa"/>
            <w:tcBorders>
              <w:top w:val="nil"/>
              <w:left w:val="nil"/>
              <w:bottom w:val="single" w:sz="4" w:space="0" w:color="auto"/>
              <w:right w:val="nil"/>
            </w:tcBorders>
            <w:vAlign w:val="center"/>
          </w:tcPr>
          <w:p w14:paraId="754E19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341B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VERŽEJ</w:t>
            </w:r>
          </w:p>
        </w:tc>
      </w:tr>
      <w:tr w:rsidR="00072A69" w:rsidRPr="00DC6DF9" w14:paraId="264D82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D521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1448</w:t>
            </w:r>
          </w:p>
        </w:tc>
        <w:tc>
          <w:tcPr>
            <w:tcW w:w="1036" w:type="dxa"/>
            <w:tcBorders>
              <w:top w:val="nil"/>
              <w:left w:val="nil"/>
              <w:bottom w:val="single" w:sz="4" w:space="0" w:color="auto"/>
              <w:right w:val="single" w:sz="4" w:space="0" w:color="auto"/>
            </w:tcBorders>
            <w:shd w:val="clear" w:color="auto" w:fill="auto"/>
            <w:noWrap/>
            <w:vAlign w:val="center"/>
            <w:hideMark/>
          </w:tcPr>
          <w:p w14:paraId="387736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5084458000</w:t>
            </w:r>
          </w:p>
        </w:tc>
        <w:tc>
          <w:tcPr>
            <w:tcW w:w="1036" w:type="dxa"/>
            <w:tcBorders>
              <w:top w:val="nil"/>
              <w:left w:val="nil"/>
              <w:bottom w:val="single" w:sz="4" w:space="0" w:color="auto"/>
              <w:right w:val="single" w:sz="4" w:space="0" w:color="auto"/>
            </w:tcBorders>
            <w:shd w:val="clear" w:color="auto" w:fill="auto"/>
            <w:noWrap/>
            <w:vAlign w:val="center"/>
            <w:hideMark/>
          </w:tcPr>
          <w:p w14:paraId="505FF0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35103086</w:t>
            </w:r>
          </w:p>
        </w:tc>
        <w:tc>
          <w:tcPr>
            <w:tcW w:w="160" w:type="dxa"/>
            <w:tcBorders>
              <w:top w:val="nil"/>
              <w:left w:val="nil"/>
              <w:bottom w:val="single" w:sz="4" w:space="0" w:color="auto"/>
              <w:right w:val="nil"/>
            </w:tcBorders>
            <w:vAlign w:val="center"/>
          </w:tcPr>
          <w:p w14:paraId="0BA793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E265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VIČ</w:t>
            </w:r>
          </w:p>
        </w:tc>
      </w:tr>
      <w:tr w:rsidR="00072A69" w:rsidRPr="00DC6DF9" w14:paraId="39FF74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8B53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1449</w:t>
            </w:r>
          </w:p>
        </w:tc>
        <w:tc>
          <w:tcPr>
            <w:tcW w:w="1036" w:type="dxa"/>
            <w:tcBorders>
              <w:top w:val="nil"/>
              <w:left w:val="nil"/>
              <w:bottom w:val="single" w:sz="4" w:space="0" w:color="auto"/>
              <w:right w:val="single" w:sz="4" w:space="0" w:color="auto"/>
            </w:tcBorders>
            <w:shd w:val="clear" w:color="auto" w:fill="auto"/>
            <w:noWrap/>
            <w:vAlign w:val="center"/>
            <w:hideMark/>
          </w:tcPr>
          <w:p w14:paraId="2A01E0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5087171000</w:t>
            </w:r>
          </w:p>
        </w:tc>
        <w:tc>
          <w:tcPr>
            <w:tcW w:w="1036" w:type="dxa"/>
            <w:tcBorders>
              <w:top w:val="nil"/>
              <w:left w:val="nil"/>
              <w:bottom w:val="single" w:sz="4" w:space="0" w:color="auto"/>
              <w:right w:val="single" w:sz="4" w:space="0" w:color="auto"/>
            </w:tcBorders>
            <w:shd w:val="clear" w:color="auto" w:fill="auto"/>
            <w:noWrap/>
            <w:vAlign w:val="center"/>
            <w:hideMark/>
          </w:tcPr>
          <w:p w14:paraId="251FA5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13592793</w:t>
            </w:r>
          </w:p>
        </w:tc>
        <w:tc>
          <w:tcPr>
            <w:tcW w:w="160" w:type="dxa"/>
            <w:tcBorders>
              <w:top w:val="nil"/>
              <w:left w:val="nil"/>
              <w:bottom w:val="single" w:sz="4" w:space="0" w:color="auto"/>
              <w:right w:val="nil"/>
            </w:tcBorders>
            <w:vAlign w:val="center"/>
          </w:tcPr>
          <w:p w14:paraId="4A2441D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FF3E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VIDEM</w:t>
            </w:r>
          </w:p>
        </w:tc>
      </w:tr>
      <w:tr w:rsidR="00072A69" w:rsidRPr="00DC6DF9" w14:paraId="233B503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2308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1450</w:t>
            </w:r>
          </w:p>
        </w:tc>
        <w:tc>
          <w:tcPr>
            <w:tcW w:w="1036" w:type="dxa"/>
            <w:tcBorders>
              <w:top w:val="nil"/>
              <w:left w:val="nil"/>
              <w:bottom w:val="single" w:sz="4" w:space="0" w:color="auto"/>
              <w:right w:val="single" w:sz="4" w:space="0" w:color="auto"/>
            </w:tcBorders>
            <w:shd w:val="clear" w:color="auto" w:fill="auto"/>
            <w:noWrap/>
            <w:vAlign w:val="center"/>
            <w:hideMark/>
          </w:tcPr>
          <w:p w14:paraId="12F749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5086442000</w:t>
            </w:r>
          </w:p>
        </w:tc>
        <w:tc>
          <w:tcPr>
            <w:tcW w:w="1036" w:type="dxa"/>
            <w:tcBorders>
              <w:top w:val="nil"/>
              <w:left w:val="nil"/>
              <w:bottom w:val="single" w:sz="4" w:space="0" w:color="auto"/>
              <w:right w:val="single" w:sz="4" w:space="0" w:color="auto"/>
            </w:tcBorders>
            <w:shd w:val="clear" w:color="auto" w:fill="auto"/>
            <w:noWrap/>
            <w:vAlign w:val="center"/>
            <w:hideMark/>
          </w:tcPr>
          <w:p w14:paraId="33D29C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53413440</w:t>
            </w:r>
          </w:p>
        </w:tc>
        <w:tc>
          <w:tcPr>
            <w:tcW w:w="160" w:type="dxa"/>
            <w:tcBorders>
              <w:top w:val="nil"/>
              <w:left w:val="nil"/>
              <w:bottom w:val="single" w:sz="4" w:space="0" w:color="auto"/>
              <w:right w:val="nil"/>
            </w:tcBorders>
            <w:vAlign w:val="center"/>
          </w:tcPr>
          <w:p w14:paraId="31C365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17FC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VINCENZO E DIEGO DE CASTRO PIRAN</w:t>
            </w:r>
          </w:p>
        </w:tc>
      </w:tr>
      <w:tr w:rsidR="00072A69" w:rsidRPr="00DC6DF9" w14:paraId="452539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8122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1451</w:t>
            </w:r>
          </w:p>
        </w:tc>
        <w:tc>
          <w:tcPr>
            <w:tcW w:w="1036" w:type="dxa"/>
            <w:tcBorders>
              <w:top w:val="nil"/>
              <w:left w:val="nil"/>
              <w:bottom w:val="single" w:sz="4" w:space="0" w:color="auto"/>
              <w:right w:val="single" w:sz="4" w:space="0" w:color="auto"/>
            </w:tcBorders>
            <w:shd w:val="clear" w:color="auto" w:fill="auto"/>
            <w:noWrap/>
            <w:vAlign w:val="center"/>
            <w:hideMark/>
          </w:tcPr>
          <w:p w14:paraId="36127E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5082781000</w:t>
            </w:r>
          </w:p>
        </w:tc>
        <w:tc>
          <w:tcPr>
            <w:tcW w:w="1036" w:type="dxa"/>
            <w:tcBorders>
              <w:top w:val="nil"/>
              <w:left w:val="nil"/>
              <w:bottom w:val="single" w:sz="4" w:space="0" w:color="auto"/>
              <w:right w:val="single" w:sz="4" w:space="0" w:color="auto"/>
            </w:tcBorders>
            <w:shd w:val="clear" w:color="auto" w:fill="auto"/>
            <w:noWrap/>
            <w:vAlign w:val="center"/>
            <w:hideMark/>
          </w:tcPr>
          <w:p w14:paraId="7E8312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75824973</w:t>
            </w:r>
          </w:p>
        </w:tc>
        <w:tc>
          <w:tcPr>
            <w:tcW w:w="160" w:type="dxa"/>
            <w:tcBorders>
              <w:top w:val="nil"/>
              <w:left w:val="nil"/>
              <w:bottom w:val="single" w:sz="4" w:space="0" w:color="auto"/>
              <w:right w:val="nil"/>
            </w:tcBorders>
            <w:vAlign w:val="center"/>
          </w:tcPr>
          <w:p w14:paraId="056E84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CEBC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VINICA</w:t>
            </w:r>
          </w:p>
        </w:tc>
      </w:tr>
      <w:tr w:rsidR="00072A69" w:rsidRPr="00DC6DF9" w14:paraId="0D1CB1A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0E80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1452</w:t>
            </w:r>
          </w:p>
        </w:tc>
        <w:tc>
          <w:tcPr>
            <w:tcW w:w="1036" w:type="dxa"/>
            <w:tcBorders>
              <w:top w:val="nil"/>
              <w:left w:val="nil"/>
              <w:bottom w:val="single" w:sz="4" w:space="0" w:color="auto"/>
              <w:right w:val="single" w:sz="4" w:space="0" w:color="auto"/>
            </w:tcBorders>
            <w:shd w:val="clear" w:color="auto" w:fill="auto"/>
            <w:noWrap/>
            <w:vAlign w:val="center"/>
            <w:hideMark/>
          </w:tcPr>
          <w:p w14:paraId="076F5C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5087724000</w:t>
            </w:r>
          </w:p>
        </w:tc>
        <w:tc>
          <w:tcPr>
            <w:tcW w:w="1036" w:type="dxa"/>
            <w:tcBorders>
              <w:top w:val="nil"/>
              <w:left w:val="nil"/>
              <w:bottom w:val="single" w:sz="4" w:space="0" w:color="auto"/>
              <w:right w:val="single" w:sz="4" w:space="0" w:color="auto"/>
            </w:tcBorders>
            <w:shd w:val="clear" w:color="auto" w:fill="auto"/>
            <w:noWrap/>
            <w:vAlign w:val="center"/>
            <w:hideMark/>
          </w:tcPr>
          <w:p w14:paraId="564C31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65089600</w:t>
            </w:r>
          </w:p>
        </w:tc>
        <w:tc>
          <w:tcPr>
            <w:tcW w:w="160" w:type="dxa"/>
            <w:tcBorders>
              <w:top w:val="nil"/>
              <w:left w:val="nil"/>
              <w:bottom w:val="single" w:sz="4" w:space="0" w:color="auto"/>
              <w:right w:val="nil"/>
            </w:tcBorders>
            <w:vAlign w:val="center"/>
          </w:tcPr>
          <w:p w14:paraId="4420946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E99C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VITANJE</w:t>
            </w:r>
          </w:p>
        </w:tc>
      </w:tr>
      <w:tr w:rsidR="00072A69" w:rsidRPr="00DC6DF9" w14:paraId="21E401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D8EC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1453</w:t>
            </w:r>
          </w:p>
        </w:tc>
        <w:tc>
          <w:tcPr>
            <w:tcW w:w="1036" w:type="dxa"/>
            <w:tcBorders>
              <w:top w:val="nil"/>
              <w:left w:val="nil"/>
              <w:bottom w:val="single" w:sz="4" w:space="0" w:color="auto"/>
              <w:right w:val="single" w:sz="4" w:space="0" w:color="auto"/>
            </w:tcBorders>
            <w:shd w:val="clear" w:color="auto" w:fill="auto"/>
            <w:noWrap/>
            <w:vAlign w:val="center"/>
            <w:hideMark/>
          </w:tcPr>
          <w:p w14:paraId="3CF89C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5084407000</w:t>
            </w:r>
          </w:p>
        </w:tc>
        <w:tc>
          <w:tcPr>
            <w:tcW w:w="1036" w:type="dxa"/>
            <w:tcBorders>
              <w:top w:val="nil"/>
              <w:left w:val="nil"/>
              <w:bottom w:val="single" w:sz="4" w:space="0" w:color="auto"/>
              <w:right w:val="single" w:sz="4" w:space="0" w:color="auto"/>
            </w:tcBorders>
            <w:shd w:val="clear" w:color="auto" w:fill="auto"/>
            <w:noWrap/>
            <w:vAlign w:val="center"/>
            <w:hideMark/>
          </w:tcPr>
          <w:p w14:paraId="288A07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31191070</w:t>
            </w:r>
          </w:p>
        </w:tc>
        <w:tc>
          <w:tcPr>
            <w:tcW w:w="160" w:type="dxa"/>
            <w:tcBorders>
              <w:top w:val="nil"/>
              <w:left w:val="nil"/>
              <w:bottom w:val="single" w:sz="4" w:space="0" w:color="auto"/>
              <w:right w:val="nil"/>
            </w:tcBorders>
            <w:vAlign w:val="center"/>
          </w:tcPr>
          <w:p w14:paraId="524094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820A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VIŽMARJE-BROD</w:t>
            </w:r>
          </w:p>
        </w:tc>
      </w:tr>
      <w:tr w:rsidR="00072A69" w:rsidRPr="00DC6DF9" w14:paraId="421DE4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252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1454</w:t>
            </w:r>
          </w:p>
        </w:tc>
        <w:tc>
          <w:tcPr>
            <w:tcW w:w="1036" w:type="dxa"/>
            <w:tcBorders>
              <w:top w:val="nil"/>
              <w:left w:val="nil"/>
              <w:bottom w:val="single" w:sz="4" w:space="0" w:color="auto"/>
              <w:right w:val="single" w:sz="4" w:space="0" w:color="auto"/>
            </w:tcBorders>
            <w:shd w:val="clear" w:color="auto" w:fill="auto"/>
            <w:noWrap/>
            <w:vAlign w:val="center"/>
            <w:hideMark/>
          </w:tcPr>
          <w:p w14:paraId="02DB80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5084377000</w:t>
            </w:r>
          </w:p>
        </w:tc>
        <w:tc>
          <w:tcPr>
            <w:tcW w:w="1036" w:type="dxa"/>
            <w:tcBorders>
              <w:top w:val="nil"/>
              <w:left w:val="nil"/>
              <w:bottom w:val="single" w:sz="4" w:space="0" w:color="auto"/>
              <w:right w:val="single" w:sz="4" w:space="0" w:color="auto"/>
            </w:tcBorders>
            <w:shd w:val="clear" w:color="auto" w:fill="auto"/>
            <w:noWrap/>
            <w:vAlign w:val="center"/>
            <w:hideMark/>
          </w:tcPr>
          <w:p w14:paraId="39F013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23124741</w:t>
            </w:r>
          </w:p>
        </w:tc>
        <w:tc>
          <w:tcPr>
            <w:tcW w:w="160" w:type="dxa"/>
            <w:tcBorders>
              <w:top w:val="nil"/>
              <w:left w:val="nil"/>
              <w:bottom w:val="single" w:sz="4" w:space="0" w:color="auto"/>
              <w:right w:val="nil"/>
            </w:tcBorders>
            <w:vAlign w:val="center"/>
          </w:tcPr>
          <w:p w14:paraId="4A2E81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2907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VODICE</w:t>
            </w:r>
          </w:p>
        </w:tc>
      </w:tr>
      <w:tr w:rsidR="00072A69" w:rsidRPr="00DC6DF9" w14:paraId="78EB02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D2C0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1455</w:t>
            </w:r>
          </w:p>
        </w:tc>
        <w:tc>
          <w:tcPr>
            <w:tcW w:w="1036" w:type="dxa"/>
            <w:tcBorders>
              <w:top w:val="nil"/>
              <w:left w:val="nil"/>
              <w:bottom w:val="single" w:sz="4" w:space="0" w:color="auto"/>
              <w:right w:val="single" w:sz="4" w:space="0" w:color="auto"/>
            </w:tcBorders>
            <w:shd w:val="clear" w:color="auto" w:fill="auto"/>
            <w:noWrap/>
            <w:vAlign w:val="center"/>
            <w:hideMark/>
          </w:tcPr>
          <w:p w14:paraId="231EF1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5083478000</w:t>
            </w:r>
          </w:p>
        </w:tc>
        <w:tc>
          <w:tcPr>
            <w:tcW w:w="1036" w:type="dxa"/>
            <w:tcBorders>
              <w:top w:val="nil"/>
              <w:left w:val="nil"/>
              <w:bottom w:val="single" w:sz="4" w:space="0" w:color="auto"/>
              <w:right w:val="single" w:sz="4" w:space="0" w:color="auto"/>
            </w:tcBorders>
            <w:shd w:val="clear" w:color="auto" w:fill="auto"/>
            <w:noWrap/>
            <w:vAlign w:val="center"/>
            <w:hideMark/>
          </w:tcPr>
          <w:p w14:paraId="753473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43102913</w:t>
            </w:r>
          </w:p>
        </w:tc>
        <w:tc>
          <w:tcPr>
            <w:tcW w:w="160" w:type="dxa"/>
            <w:tcBorders>
              <w:top w:val="nil"/>
              <w:left w:val="nil"/>
              <w:bottom w:val="single" w:sz="4" w:space="0" w:color="auto"/>
              <w:right w:val="nil"/>
            </w:tcBorders>
            <w:vAlign w:val="center"/>
          </w:tcPr>
          <w:p w14:paraId="782CE0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9A5C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VODMAT</w:t>
            </w:r>
          </w:p>
        </w:tc>
      </w:tr>
      <w:tr w:rsidR="00072A69" w:rsidRPr="00DC6DF9" w14:paraId="3B008FB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C526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1456</w:t>
            </w:r>
          </w:p>
        </w:tc>
        <w:tc>
          <w:tcPr>
            <w:tcW w:w="1036" w:type="dxa"/>
            <w:tcBorders>
              <w:top w:val="nil"/>
              <w:left w:val="nil"/>
              <w:bottom w:val="single" w:sz="4" w:space="0" w:color="auto"/>
              <w:right w:val="single" w:sz="4" w:space="0" w:color="auto"/>
            </w:tcBorders>
            <w:shd w:val="clear" w:color="auto" w:fill="auto"/>
            <w:noWrap/>
            <w:vAlign w:val="center"/>
            <w:hideMark/>
          </w:tcPr>
          <w:p w14:paraId="28613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5083028000</w:t>
            </w:r>
          </w:p>
        </w:tc>
        <w:tc>
          <w:tcPr>
            <w:tcW w:w="1036" w:type="dxa"/>
            <w:tcBorders>
              <w:top w:val="nil"/>
              <w:left w:val="nil"/>
              <w:bottom w:val="single" w:sz="4" w:space="0" w:color="auto"/>
              <w:right w:val="single" w:sz="4" w:space="0" w:color="auto"/>
            </w:tcBorders>
            <w:shd w:val="clear" w:color="auto" w:fill="auto"/>
            <w:noWrap/>
            <w:vAlign w:val="center"/>
            <w:hideMark/>
          </w:tcPr>
          <w:p w14:paraId="35825A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79063152</w:t>
            </w:r>
          </w:p>
        </w:tc>
        <w:tc>
          <w:tcPr>
            <w:tcW w:w="160" w:type="dxa"/>
            <w:tcBorders>
              <w:top w:val="nil"/>
              <w:left w:val="nil"/>
              <w:bottom w:val="single" w:sz="4" w:space="0" w:color="auto"/>
              <w:right w:val="nil"/>
            </w:tcBorders>
            <w:vAlign w:val="center"/>
          </w:tcPr>
          <w:p w14:paraId="64E826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1D7A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VOJKE ŠMUC IZOLA</w:t>
            </w:r>
          </w:p>
        </w:tc>
      </w:tr>
      <w:tr w:rsidR="00072A69" w:rsidRPr="00DC6DF9" w14:paraId="60CCBB7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952D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1457</w:t>
            </w:r>
          </w:p>
        </w:tc>
        <w:tc>
          <w:tcPr>
            <w:tcW w:w="1036" w:type="dxa"/>
            <w:tcBorders>
              <w:top w:val="nil"/>
              <w:left w:val="nil"/>
              <w:bottom w:val="single" w:sz="4" w:space="0" w:color="auto"/>
              <w:right w:val="single" w:sz="4" w:space="0" w:color="auto"/>
            </w:tcBorders>
            <w:shd w:val="clear" w:color="auto" w:fill="auto"/>
            <w:noWrap/>
            <w:vAlign w:val="center"/>
            <w:hideMark/>
          </w:tcPr>
          <w:p w14:paraId="38FA9E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5082684000</w:t>
            </w:r>
          </w:p>
        </w:tc>
        <w:tc>
          <w:tcPr>
            <w:tcW w:w="1036" w:type="dxa"/>
            <w:tcBorders>
              <w:top w:val="nil"/>
              <w:left w:val="nil"/>
              <w:bottom w:val="single" w:sz="4" w:space="0" w:color="auto"/>
              <w:right w:val="single" w:sz="4" w:space="0" w:color="auto"/>
            </w:tcBorders>
            <w:shd w:val="clear" w:color="auto" w:fill="auto"/>
            <w:noWrap/>
            <w:vAlign w:val="center"/>
            <w:hideMark/>
          </w:tcPr>
          <w:p w14:paraId="01AFEF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95289763</w:t>
            </w:r>
          </w:p>
        </w:tc>
        <w:tc>
          <w:tcPr>
            <w:tcW w:w="160" w:type="dxa"/>
            <w:tcBorders>
              <w:top w:val="nil"/>
              <w:left w:val="nil"/>
              <w:bottom w:val="single" w:sz="4" w:space="0" w:color="auto"/>
              <w:right w:val="nil"/>
            </w:tcBorders>
            <w:vAlign w:val="center"/>
          </w:tcPr>
          <w:p w14:paraId="557A1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88A9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VOJNIK</w:t>
            </w:r>
          </w:p>
        </w:tc>
      </w:tr>
      <w:tr w:rsidR="00072A69" w:rsidRPr="00DC6DF9" w14:paraId="3CBD9B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94191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1458</w:t>
            </w:r>
          </w:p>
        </w:tc>
        <w:tc>
          <w:tcPr>
            <w:tcW w:w="1036" w:type="dxa"/>
            <w:tcBorders>
              <w:top w:val="nil"/>
              <w:left w:val="nil"/>
              <w:bottom w:val="single" w:sz="4" w:space="0" w:color="auto"/>
              <w:right w:val="single" w:sz="4" w:space="0" w:color="auto"/>
            </w:tcBorders>
            <w:shd w:val="clear" w:color="auto" w:fill="auto"/>
            <w:noWrap/>
            <w:vAlign w:val="center"/>
            <w:hideMark/>
          </w:tcPr>
          <w:p w14:paraId="536CA6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5084008000</w:t>
            </w:r>
          </w:p>
        </w:tc>
        <w:tc>
          <w:tcPr>
            <w:tcW w:w="1036" w:type="dxa"/>
            <w:tcBorders>
              <w:top w:val="nil"/>
              <w:left w:val="nil"/>
              <w:bottom w:val="single" w:sz="4" w:space="0" w:color="auto"/>
              <w:right w:val="single" w:sz="4" w:space="0" w:color="auto"/>
            </w:tcBorders>
            <w:shd w:val="clear" w:color="auto" w:fill="auto"/>
            <w:noWrap/>
            <w:vAlign w:val="center"/>
            <w:hideMark/>
          </w:tcPr>
          <w:p w14:paraId="0A3E32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60776641</w:t>
            </w:r>
          </w:p>
        </w:tc>
        <w:tc>
          <w:tcPr>
            <w:tcW w:w="160" w:type="dxa"/>
            <w:tcBorders>
              <w:top w:val="nil"/>
              <w:left w:val="nil"/>
              <w:bottom w:val="single" w:sz="4" w:space="0" w:color="auto"/>
              <w:right w:val="nil"/>
            </w:tcBorders>
            <w:vAlign w:val="center"/>
          </w:tcPr>
          <w:p w14:paraId="0F1903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B891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VOLIČINA</w:t>
            </w:r>
          </w:p>
        </w:tc>
      </w:tr>
      <w:tr w:rsidR="00072A69" w:rsidRPr="00DC6DF9" w14:paraId="70BAE4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F2CD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1459</w:t>
            </w:r>
          </w:p>
        </w:tc>
        <w:tc>
          <w:tcPr>
            <w:tcW w:w="1036" w:type="dxa"/>
            <w:tcBorders>
              <w:top w:val="nil"/>
              <w:left w:val="nil"/>
              <w:bottom w:val="single" w:sz="4" w:space="0" w:color="auto"/>
              <w:right w:val="single" w:sz="4" w:space="0" w:color="auto"/>
            </w:tcBorders>
            <w:shd w:val="clear" w:color="auto" w:fill="auto"/>
            <w:noWrap/>
            <w:vAlign w:val="center"/>
            <w:hideMark/>
          </w:tcPr>
          <w:p w14:paraId="0DB7A2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5088526000</w:t>
            </w:r>
          </w:p>
        </w:tc>
        <w:tc>
          <w:tcPr>
            <w:tcW w:w="1036" w:type="dxa"/>
            <w:tcBorders>
              <w:top w:val="nil"/>
              <w:left w:val="nil"/>
              <w:bottom w:val="single" w:sz="4" w:space="0" w:color="auto"/>
              <w:right w:val="single" w:sz="4" w:space="0" w:color="auto"/>
            </w:tcBorders>
            <w:shd w:val="clear" w:color="auto" w:fill="auto"/>
            <w:noWrap/>
            <w:vAlign w:val="center"/>
            <w:hideMark/>
          </w:tcPr>
          <w:p w14:paraId="58DC3B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65135482</w:t>
            </w:r>
          </w:p>
        </w:tc>
        <w:tc>
          <w:tcPr>
            <w:tcW w:w="160" w:type="dxa"/>
            <w:tcBorders>
              <w:top w:val="nil"/>
              <w:left w:val="nil"/>
              <w:bottom w:val="single" w:sz="4" w:space="0" w:color="auto"/>
              <w:right w:val="nil"/>
            </w:tcBorders>
            <w:vAlign w:val="center"/>
          </w:tcPr>
          <w:p w14:paraId="13EB162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BE6F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VRANSKO - TABOR</w:t>
            </w:r>
          </w:p>
        </w:tc>
      </w:tr>
      <w:tr w:rsidR="00072A69" w:rsidRPr="00DC6DF9" w14:paraId="2B04626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DC67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1460</w:t>
            </w:r>
          </w:p>
        </w:tc>
        <w:tc>
          <w:tcPr>
            <w:tcW w:w="1036" w:type="dxa"/>
            <w:tcBorders>
              <w:top w:val="nil"/>
              <w:left w:val="nil"/>
              <w:bottom w:val="single" w:sz="4" w:space="0" w:color="auto"/>
              <w:right w:val="single" w:sz="4" w:space="0" w:color="auto"/>
            </w:tcBorders>
            <w:shd w:val="clear" w:color="auto" w:fill="auto"/>
            <w:noWrap/>
            <w:vAlign w:val="center"/>
            <w:hideMark/>
          </w:tcPr>
          <w:p w14:paraId="3E7C70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5084989000</w:t>
            </w:r>
          </w:p>
        </w:tc>
        <w:tc>
          <w:tcPr>
            <w:tcW w:w="1036" w:type="dxa"/>
            <w:tcBorders>
              <w:top w:val="nil"/>
              <w:left w:val="nil"/>
              <w:bottom w:val="single" w:sz="4" w:space="0" w:color="auto"/>
              <w:right w:val="single" w:sz="4" w:space="0" w:color="auto"/>
            </w:tcBorders>
            <w:shd w:val="clear" w:color="auto" w:fill="auto"/>
            <w:noWrap/>
            <w:vAlign w:val="center"/>
            <w:hideMark/>
          </w:tcPr>
          <w:p w14:paraId="4703EC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34317627</w:t>
            </w:r>
          </w:p>
        </w:tc>
        <w:tc>
          <w:tcPr>
            <w:tcW w:w="160" w:type="dxa"/>
            <w:tcBorders>
              <w:top w:val="nil"/>
              <w:left w:val="nil"/>
              <w:bottom w:val="single" w:sz="4" w:space="0" w:color="auto"/>
              <w:right w:val="nil"/>
            </w:tcBorders>
            <w:vAlign w:val="center"/>
          </w:tcPr>
          <w:p w14:paraId="7C9A15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2BA2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VRHOVCI</w:t>
            </w:r>
          </w:p>
        </w:tc>
      </w:tr>
      <w:tr w:rsidR="00072A69" w:rsidRPr="00DC6DF9" w14:paraId="0729BB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400B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1461</w:t>
            </w:r>
          </w:p>
        </w:tc>
        <w:tc>
          <w:tcPr>
            <w:tcW w:w="1036" w:type="dxa"/>
            <w:tcBorders>
              <w:top w:val="nil"/>
              <w:left w:val="nil"/>
              <w:bottom w:val="single" w:sz="4" w:space="0" w:color="auto"/>
              <w:right w:val="single" w:sz="4" w:space="0" w:color="auto"/>
            </w:tcBorders>
            <w:shd w:val="clear" w:color="auto" w:fill="auto"/>
            <w:noWrap/>
            <w:vAlign w:val="center"/>
            <w:hideMark/>
          </w:tcPr>
          <w:p w14:paraId="4E1706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5087279000</w:t>
            </w:r>
          </w:p>
        </w:tc>
        <w:tc>
          <w:tcPr>
            <w:tcW w:w="1036" w:type="dxa"/>
            <w:tcBorders>
              <w:top w:val="nil"/>
              <w:left w:val="nil"/>
              <w:bottom w:val="single" w:sz="4" w:space="0" w:color="auto"/>
              <w:right w:val="single" w:sz="4" w:space="0" w:color="auto"/>
            </w:tcBorders>
            <w:shd w:val="clear" w:color="auto" w:fill="auto"/>
            <w:noWrap/>
            <w:vAlign w:val="center"/>
            <w:hideMark/>
          </w:tcPr>
          <w:p w14:paraId="645E50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64020673</w:t>
            </w:r>
          </w:p>
        </w:tc>
        <w:tc>
          <w:tcPr>
            <w:tcW w:w="160" w:type="dxa"/>
            <w:tcBorders>
              <w:top w:val="nil"/>
              <w:left w:val="nil"/>
              <w:bottom w:val="single" w:sz="4" w:space="0" w:color="auto"/>
              <w:right w:val="nil"/>
            </w:tcBorders>
            <w:vAlign w:val="center"/>
          </w:tcPr>
          <w:p w14:paraId="113C59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5536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VUZENICA</w:t>
            </w:r>
          </w:p>
        </w:tc>
      </w:tr>
      <w:tr w:rsidR="00072A69" w:rsidRPr="00DC6DF9" w14:paraId="3C3BAD2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036D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1462</w:t>
            </w:r>
          </w:p>
        </w:tc>
        <w:tc>
          <w:tcPr>
            <w:tcW w:w="1036" w:type="dxa"/>
            <w:tcBorders>
              <w:top w:val="nil"/>
              <w:left w:val="nil"/>
              <w:bottom w:val="single" w:sz="4" w:space="0" w:color="auto"/>
              <w:right w:val="single" w:sz="4" w:space="0" w:color="auto"/>
            </w:tcBorders>
            <w:shd w:val="clear" w:color="auto" w:fill="auto"/>
            <w:noWrap/>
            <w:vAlign w:val="center"/>
            <w:hideMark/>
          </w:tcPr>
          <w:p w14:paraId="098EF9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5083966000</w:t>
            </w:r>
          </w:p>
        </w:tc>
        <w:tc>
          <w:tcPr>
            <w:tcW w:w="1036" w:type="dxa"/>
            <w:tcBorders>
              <w:top w:val="nil"/>
              <w:left w:val="nil"/>
              <w:bottom w:val="single" w:sz="4" w:space="0" w:color="auto"/>
              <w:right w:val="single" w:sz="4" w:space="0" w:color="auto"/>
            </w:tcBorders>
            <w:shd w:val="clear" w:color="auto" w:fill="auto"/>
            <w:noWrap/>
            <w:vAlign w:val="center"/>
            <w:hideMark/>
          </w:tcPr>
          <w:p w14:paraId="4CF5CD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26071240</w:t>
            </w:r>
          </w:p>
        </w:tc>
        <w:tc>
          <w:tcPr>
            <w:tcW w:w="160" w:type="dxa"/>
            <w:tcBorders>
              <w:top w:val="nil"/>
              <w:left w:val="nil"/>
              <w:bottom w:val="single" w:sz="4" w:space="0" w:color="auto"/>
              <w:right w:val="nil"/>
            </w:tcBorders>
            <w:vAlign w:val="center"/>
          </w:tcPr>
          <w:p w14:paraId="0CCC32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A8F1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XIV. DIVIZIJE SENOVO</w:t>
            </w:r>
          </w:p>
        </w:tc>
      </w:tr>
      <w:tr w:rsidR="00072A69" w:rsidRPr="00DC6DF9" w14:paraId="628CC19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6F15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1463</w:t>
            </w:r>
          </w:p>
        </w:tc>
        <w:tc>
          <w:tcPr>
            <w:tcW w:w="1036" w:type="dxa"/>
            <w:tcBorders>
              <w:top w:val="nil"/>
              <w:left w:val="nil"/>
              <w:bottom w:val="single" w:sz="4" w:space="0" w:color="auto"/>
              <w:right w:val="single" w:sz="4" w:space="0" w:color="auto"/>
            </w:tcBorders>
            <w:shd w:val="clear" w:color="auto" w:fill="auto"/>
            <w:noWrap/>
            <w:vAlign w:val="center"/>
            <w:hideMark/>
          </w:tcPr>
          <w:p w14:paraId="38A04E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5205239000</w:t>
            </w:r>
          </w:p>
        </w:tc>
        <w:tc>
          <w:tcPr>
            <w:tcW w:w="1036" w:type="dxa"/>
            <w:tcBorders>
              <w:top w:val="nil"/>
              <w:left w:val="nil"/>
              <w:bottom w:val="single" w:sz="4" w:space="0" w:color="auto"/>
              <w:right w:val="single" w:sz="4" w:space="0" w:color="auto"/>
            </w:tcBorders>
            <w:shd w:val="clear" w:color="auto" w:fill="auto"/>
            <w:noWrap/>
            <w:vAlign w:val="center"/>
            <w:hideMark/>
          </w:tcPr>
          <w:p w14:paraId="78DDCF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32930798</w:t>
            </w:r>
          </w:p>
        </w:tc>
        <w:tc>
          <w:tcPr>
            <w:tcW w:w="160" w:type="dxa"/>
            <w:tcBorders>
              <w:top w:val="nil"/>
              <w:left w:val="nil"/>
              <w:bottom w:val="single" w:sz="4" w:space="0" w:color="auto"/>
              <w:right w:val="nil"/>
            </w:tcBorders>
            <w:vAlign w:val="center"/>
          </w:tcPr>
          <w:p w14:paraId="705D6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B6D1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ZADOBROVA</w:t>
            </w:r>
          </w:p>
        </w:tc>
      </w:tr>
      <w:tr w:rsidR="00072A69" w:rsidRPr="00DC6DF9" w14:paraId="42A813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ECE3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1464</w:t>
            </w:r>
          </w:p>
        </w:tc>
        <w:tc>
          <w:tcPr>
            <w:tcW w:w="1036" w:type="dxa"/>
            <w:tcBorders>
              <w:top w:val="nil"/>
              <w:left w:val="nil"/>
              <w:bottom w:val="single" w:sz="4" w:space="0" w:color="auto"/>
              <w:right w:val="single" w:sz="4" w:space="0" w:color="auto"/>
            </w:tcBorders>
            <w:shd w:val="clear" w:color="auto" w:fill="auto"/>
            <w:noWrap/>
            <w:vAlign w:val="center"/>
            <w:hideMark/>
          </w:tcPr>
          <w:p w14:paraId="36D13D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5084296000</w:t>
            </w:r>
          </w:p>
        </w:tc>
        <w:tc>
          <w:tcPr>
            <w:tcW w:w="1036" w:type="dxa"/>
            <w:tcBorders>
              <w:top w:val="nil"/>
              <w:left w:val="nil"/>
              <w:bottom w:val="single" w:sz="4" w:space="0" w:color="auto"/>
              <w:right w:val="single" w:sz="4" w:space="0" w:color="auto"/>
            </w:tcBorders>
            <w:shd w:val="clear" w:color="auto" w:fill="auto"/>
            <w:noWrap/>
            <w:vAlign w:val="center"/>
            <w:hideMark/>
          </w:tcPr>
          <w:p w14:paraId="142A94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75894190</w:t>
            </w:r>
          </w:p>
        </w:tc>
        <w:tc>
          <w:tcPr>
            <w:tcW w:w="160" w:type="dxa"/>
            <w:tcBorders>
              <w:top w:val="nil"/>
              <w:left w:val="nil"/>
              <w:bottom w:val="single" w:sz="4" w:space="0" w:color="auto"/>
              <w:right w:val="nil"/>
            </w:tcBorders>
            <w:vAlign w:val="center"/>
          </w:tcPr>
          <w:p w14:paraId="407DF2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DCC6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ZALOG</w:t>
            </w:r>
          </w:p>
        </w:tc>
      </w:tr>
      <w:tr w:rsidR="00072A69" w:rsidRPr="00DC6DF9" w14:paraId="3E2C88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1363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1465</w:t>
            </w:r>
          </w:p>
        </w:tc>
        <w:tc>
          <w:tcPr>
            <w:tcW w:w="1036" w:type="dxa"/>
            <w:tcBorders>
              <w:top w:val="nil"/>
              <w:left w:val="nil"/>
              <w:bottom w:val="single" w:sz="4" w:space="0" w:color="auto"/>
              <w:right w:val="single" w:sz="4" w:space="0" w:color="auto"/>
            </w:tcBorders>
            <w:shd w:val="clear" w:color="auto" w:fill="auto"/>
            <w:noWrap/>
            <w:vAlign w:val="center"/>
            <w:hideMark/>
          </w:tcPr>
          <w:p w14:paraId="13E833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5084857000</w:t>
            </w:r>
          </w:p>
        </w:tc>
        <w:tc>
          <w:tcPr>
            <w:tcW w:w="1036" w:type="dxa"/>
            <w:tcBorders>
              <w:top w:val="nil"/>
              <w:left w:val="nil"/>
              <w:bottom w:val="single" w:sz="4" w:space="0" w:color="auto"/>
              <w:right w:val="single" w:sz="4" w:space="0" w:color="auto"/>
            </w:tcBorders>
            <w:shd w:val="clear" w:color="auto" w:fill="auto"/>
            <w:noWrap/>
            <w:vAlign w:val="center"/>
            <w:hideMark/>
          </w:tcPr>
          <w:p w14:paraId="4E1BA7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95886478</w:t>
            </w:r>
          </w:p>
        </w:tc>
        <w:tc>
          <w:tcPr>
            <w:tcW w:w="160" w:type="dxa"/>
            <w:tcBorders>
              <w:top w:val="nil"/>
              <w:left w:val="nil"/>
              <w:bottom w:val="single" w:sz="4" w:space="0" w:color="auto"/>
              <w:right w:val="nil"/>
            </w:tcBorders>
            <w:vAlign w:val="center"/>
          </w:tcPr>
          <w:p w14:paraId="15E8E1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1943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ZBORA ODPOSLANCEV</w:t>
            </w:r>
          </w:p>
        </w:tc>
      </w:tr>
      <w:tr w:rsidR="00072A69" w:rsidRPr="00DC6DF9" w14:paraId="683511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77E2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1466</w:t>
            </w:r>
          </w:p>
        </w:tc>
        <w:tc>
          <w:tcPr>
            <w:tcW w:w="1036" w:type="dxa"/>
            <w:tcBorders>
              <w:top w:val="nil"/>
              <w:left w:val="nil"/>
              <w:bottom w:val="single" w:sz="4" w:space="0" w:color="auto"/>
              <w:right w:val="single" w:sz="4" w:space="0" w:color="auto"/>
            </w:tcBorders>
            <w:shd w:val="clear" w:color="auto" w:fill="auto"/>
            <w:noWrap/>
            <w:vAlign w:val="center"/>
            <w:hideMark/>
          </w:tcPr>
          <w:p w14:paraId="0B41C0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5087732000</w:t>
            </w:r>
          </w:p>
        </w:tc>
        <w:tc>
          <w:tcPr>
            <w:tcW w:w="1036" w:type="dxa"/>
            <w:tcBorders>
              <w:top w:val="nil"/>
              <w:left w:val="nil"/>
              <w:bottom w:val="single" w:sz="4" w:space="0" w:color="auto"/>
              <w:right w:val="single" w:sz="4" w:space="0" w:color="auto"/>
            </w:tcBorders>
            <w:shd w:val="clear" w:color="auto" w:fill="auto"/>
            <w:noWrap/>
            <w:vAlign w:val="center"/>
            <w:hideMark/>
          </w:tcPr>
          <w:p w14:paraId="749514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69998558</w:t>
            </w:r>
          </w:p>
        </w:tc>
        <w:tc>
          <w:tcPr>
            <w:tcW w:w="160" w:type="dxa"/>
            <w:tcBorders>
              <w:top w:val="nil"/>
              <w:left w:val="nil"/>
              <w:bottom w:val="single" w:sz="4" w:space="0" w:color="auto"/>
              <w:right w:val="nil"/>
            </w:tcBorders>
            <w:vAlign w:val="center"/>
          </w:tcPr>
          <w:p w14:paraId="16454E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D65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ZREČE</w:t>
            </w:r>
          </w:p>
        </w:tc>
      </w:tr>
      <w:tr w:rsidR="00072A69" w:rsidRPr="00DC6DF9" w14:paraId="2A72C1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EDE8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1467</w:t>
            </w:r>
          </w:p>
        </w:tc>
        <w:tc>
          <w:tcPr>
            <w:tcW w:w="1036" w:type="dxa"/>
            <w:tcBorders>
              <w:top w:val="nil"/>
              <w:left w:val="nil"/>
              <w:bottom w:val="single" w:sz="4" w:space="0" w:color="auto"/>
              <w:right w:val="single" w:sz="4" w:space="0" w:color="auto"/>
            </w:tcBorders>
            <w:shd w:val="clear" w:color="auto" w:fill="auto"/>
            <w:noWrap/>
            <w:vAlign w:val="center"/>
            <w:hideMark/>
          </w:tcPr>
          <w:p w14:paraId="7FF467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5087830000</w:t>
            </w:r>
          </w:p>
        </w:tc>
        <w:tc>
          <w:tcPr>
            <w:tcW w:w="1036" w:type="dxa"/>
            <w:tcBorders>
              <w:top w:val="nil"/>
              <w:left w:val="nil"/>
              <w:bottom w:val="single" w:sz="4" w:space="0" w:color="auto"/>
              <w:right w:val="single" w:sz="4" w:space="0" w:color="auto"/>
            </w:tcBorders>
            <w:shd w:val="clear" w:color="auto" w:fill="auto"/>
            <w:noWrap/>
            <w:vAlign w:val="center"/>
            <w:hideMark/>
          </w:tcPr>
          <w:p w14:paraId="5E316C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36326020</w:t>
            </w:r>
          </w:p>
        </w:tc>
        <w:tc>
          <w:tcPr>
            <w:tcW w:w="160" w:type="dxa"/>
            <w:tcBorders>
              <w:top w:val="nil"/>
              <w:left w:val="nil"/>
              <w:bottom w:val="single" w:sz="4" w:space="0" w:color="auto"/>
              <w:right w:val="nil"/>
            </w:tcBorders>
            <w:vAlign w:val="center"/>
          </w:tcPr>
          <w:p w14:paraId="290C629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2EB8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ŽELEZNIKI</w:t>
            </w:r>
          </w:p>
        </w:tc>
      </w:tr>
      <w:tr w:rsidR="00072A69" w:rsidRPr="00DC6DF9" w14:paraId="730DFD5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63AE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1468</w:t>
            </w:r>
          </w:p>
        </w:tc>
        <w:tc>
          <w:tcPr>
            <w:tcW w:w="1036" w:type="dxa"/>
            <w:tcBorders>
              <w:top w:val="nil"/>
              <w:left w:val="nil"/>
              <w:bottom w:val="single" w:sz="4" w:space="0" w:color="auto"/>
              <w:right w:val="single" w:sz="4" w:space="0" w:color="auto"/>
            </w:tcBorders>
            <w:shd w:val="clear" w:color="auto" w:fill="auto"/>
            <w:noWrap/>
            <w:vAlign w:val="center"/>
            <w:hideMark/>
          </w:tcPr>
          <w:p w14:paraId="7E354A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5968330000</w:t>
            </w:r>
          </w:p>
        </w:tc>
        <w:tc>
          <w:tcPr>
            <w:tcW w:w="1036" w:type="dxa"/>
            <w:tcBorders>
              <w:top w:val="nil"/>
              <w:left w:val="nil"/>
              <w:bottom w:val="single" w:sz="4" w:space="0" w:color="auto"/>
              <w:right w:val="single" w:sz="4" w:space="0" w:color="auto"/>
            </w:tcBorders>
            <w:shd w:val="clear" w:color="auto" w:fill="auto"/>
            <w:noWrap/>
            <w:vAlign w:val="center"/>
            <w:hideMark/>
          </w:tcPr>
          <w:p w14:paraId="5D6F90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59442018</w:t>
            </w:r>
          </w:p>
        </w:tc>
        <w:tc>
          <w:tcPr>
            <w:tcW w:w="160" w:type="dxa"/>
            <w:tcBorders>
              <w:top w:val="nil"/>
              <w:left w:val="nil"/>
              <w:bottom w:val="single" w:sz="4" w:space="0" w:color="auto"/>
              <w:right w:val="nil"/>
            </w:tcBorders>
            <w:vAlign w:val="center"/>
          </w:tcPr>
          <w:p w14:paraId="1BFE2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41B0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ŽETALE</w:t>
            </w:r>
          </w:p>
        </w:tc>
      </w:tr>
      <w:tr w:rsidR="00072A69" w:rsidRPr="00DC6DF9" w14:paraId="39E56E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BD8E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1469</w:t>
            </w:r>
          </w:p>
        </w:tc>
        <w:tc>
          <w:tcPr>
            <w:tcW w:w="1036" w:type="dxa"/>
            <w:tcBorders>
              <w:top w:val="nil"/>
              <w:left w:val="nil"/>
              <w:bottom w:val="single" w:sz="4" w:space="0" w:color="auto"/>
              <w:right w:val="single" w:sz="4" w:space="0" w:color="auto"/>
            </w:tcBorders>
            <w:shd w:val="clear" w:color="auto" w:fill="auto"/>
            <w:noWrap/>
            <w:vAlign w:val="center"/>
            <w:hideMark/>
          </w:tcPr>
          <w:p w14:paraId="550E22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5089476000</w:t>
            </w:r>
          </w:p>
        </w:tc>
        <w:tc>
          <w:tcPr>
            <w:tcW w:w="1036" w:type="dxa"/>
            <w:tcBorders>
              <w:top w:val="nil"/>
              <w:left w:val="nil"/>
              <w:bottom w:val="single" w:sz="4" w:space="0" w:color="auto"/>
              <w:right w:val="single" w:sz="4" w:space="0" w:color="auto"/>
            </w:tcBorders>
            <w:shd w:val="clear" w:color="auto" w:fill="auto"/>
            <w:noWrap/>
            <w:vAlign w:val="center"/>
            <w:hideMark/>
          </w:tcPr>
          <w:p w14:paraId="1A540A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79208843</w:t>
            </w:r>
          </w:p>
        </w:tc>
        <w:tc>
          <w:tcPr>
            <w:tcW w:w="160" w:type="dxa"/>
            <w:tcBorders>
              <w:top w:val="nil"/>
              <w:left w:val="nil"/>
              <w:bottom w:val="single" w:sz="4" w:space="0" w:color="auto"/>
              <w:right w:val="nil"/>
            </w:tcBorders>
            <w:vAlign w:val="center"/>
          </w:tcPr>
          <w:p w14:paraId="2525B1A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1DBC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ŽIRI</w:t>
            </w:r>
          </w:p>
        </w:tc>
      </w:tr>
      <w:tr w:rsidR="00072A69" w:rsidRPr="00DC6DF9" w14:paraId="3D92E5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C7F4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1470</w:t>
            </w:r>
          </w:p>
        </w:tc>
        <w:tc>
          <w:tcPr>
            <w:tcW w:w="1036" w:type="dxa"/>
            <w:tcBorders>
              <w:top w:val="nil"/>
              <w:left w:val="nil"/>
              <w:bottom w:val="single" w:sz="4" w:space="0" w:color="auto"/>
              <w:right w:val="single" w:sz="4" w:space="0" w:color="auto"/>
            </w:tcBorders>
            <w:shd w:val="clear" w:color="auto" w:fill="auto"/>
            <w:noWrap/>
            <w:vAlign w:val="center"/>
            <w:hideMark/>
          </w:tcPr>
          <w:p w14:paraId="5F0253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5719062000</w:t>
            </w:r>
          </w:p>
        </w:tc>
        <w:tc>
          <w:tcPr>
            <w:tcW w:w="1036" w:type="dxa"/>
            <w:tcBorders>
              <w:top w:val="nil"/>
              <w:left w:val="nil"/>
              <w:bottom w:val="single" w:sz="4" w:space="0" w:color="auto"/>
              <w:right w:val="single" w:sz="4" w:space="0" w:color="auto"/>
            </w:tcBorders>
            <w:shd w:val="clear" w:color="auto" w:fill="auto"/>
            <w:noWrap/>
            <w:vAlign w:val="center"/>
            <w:hideMark/>
          </w:tcPr>
          <w:p w14:paraId="773FFC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55702759</w:t>
            </w:r>
          </w:p>
        </w:tc>
        <w:tc>
          <w:tcPr>
            <w:tcW w:w="160" w:type="dxa"/>
            <w:tcBorders>
              <w:top w:val="nil"/>
              <w:left w:val="nil"/>
              <w:bottom w:val="single" w:sz="4" w:space="0" w:color="auto"/>
              <w:right w:val="nil"/>
            </w:tcBorders>
            <w:vAlign w:val="center"/>
          </w:tcPr>
          <w:p w14:paraId="6CB6C9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54C1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ŽIROVNICA</w:t>
            </w:r>
          </w:p>
        </w:tc>
      </w:tr>
      <w:tr w:rsidR="00072A69" w:rsidRPr="00DC6DF9" w14:paraId="55B30A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8D0C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1471</w:t>
            </w:r>
          </w:p>
        </w:tc>
        <w:tc>
          <w:tcPr>
            <w:tcW w:w="1036" w:type="dxa"/>
            <w:tcBorders>
              <w:top w:val="nil"/>
              <w:left w:val="nil"/>
              <w:bottom w:val="single" w:sz="4" w:space="0" w:color="auto"/>
              <w:right w:val="single" w:sz="4" w:space="0" w:color="auto"/>
            </w:tcBorders>
            <w:shd w:val="clear" w:color="auto" w:fill="auto"/>
            <w:noWrap/>
            <w:vAlign w:val="center"/>
            <w:hideMark/>
          </w:tcPr>
          <w:p w14:paraId="0915EC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5086337000</w:t>
            </w:r>
          </w:p>
        </w:tc>
        <w:tc>
          <w:tcPr>
            <w:tcW w:w="1036" w:type="dxa"/>
            <w:tcBorders>
              <w:top w:val="nil"/>
              <w:left w:val="nil"/>
              <w:bottom w:val="single" w:sz="4" w:space="0" w:color="auto"/>
              <w:right w:val="single" w:sz="4" w:space="0" w:color="auto"/>
            </w:tcBorders>
            <w:shd w:val="clear" w:color="auto" w:fill="auto"/>
            <w:noWrap/>
            <w:vAlign w:val="center"/>
            <w:hideMark/>
          </w:tcPr>
          <w:p w14:paraId="293121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97836311</w:t>
            </w:r>
          </w:p>
        </w:tc>
        <w:tc>
          <w:tcPr>
            <w:tcW w:w="160" w:type="dxa"/>
            <w:tcBorders>
              <w:top w:val="nil"/>
              <w:left w:val="nil"/>
              <w:bottom w:val="single" w:sz="4" w:space="0" w:color="auto"/>
              <w:right w:val="nil"/>
            </w:tcBorders>
            <w:vAlign w:val="center"/>
          </w:tcPr>
          <w:p w14:paraId="5CD03D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DE2E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OSNOVNA ŠOLA ŽUŽEMBERK</w:t>
            </w:r>
          </w:p>
        </w:tc>
      </w:tr>
      <w:tr w:rsidR="00072A69" w:rsidRPr="00DC6DF9" w14:paraId="52FDE8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9D4F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1472</w:t>
            </w:r>
          </w:p>
        </w:tc>
        <w:tc>
          <w:tcPr>
            <w:tcW w:w="1036" w:type="dxa"/>
            <w:tcBorders>
              <w:top w:val="nil"/>
              <w:left w:val="nil"/>
              <w:bottom w:val="single" w:sz="4" w:space="0" w:color="auto"/>
              <w:right w:val="single" w:sz="4" w:space="0" w:color="auto"/>
            </w:tcBorders>
            <w:shd w:val="clear" w:color="auto" w:fill="auto"/>
            <w:noWrap/>
            <w:vAlign w:val="center"/>
            <w:hideMark/>
          </w:tcPr>
          <w:p w14:paraId="3DFC22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5165792000</w:t>
            </w:r>
          </w:p>
        </w:tc>
        <w:tc>
          <w:tcPr>
            <w:tcW w:w="1036" w:type="dxa"/>
            <w:tcBorders>
              <w:top w:val="nil"/>
              <w:left w:val="nil"/>
              <w:bottom w:val="single" w:sz="4" w:space="0" w:color="auto"/>
              <w:right w:val="single" w:sz="4" w:space="0" w:color="auto"/>
            </w:tcBorders>
            <w:shd w:val="clear" w:color="auto" w:fill="auto"/>
            <w:noWrap/>
            <w:vAlign w:val="center"/>
            <w:hideMark/>
          </w:tcPr>
          <w:p w14:paraId="0CD47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90714237</w:t>
            </w:r>
          </w:p>
        </w:tc>
        <w:tc>
          <w:tcPr>
            <w:tcW w:w="160" w:type="dxa"/>
            <w:tcBorders>
              <w:top w:val="nil"/>
              <w:left w:val="nil"/>
              <w:bottom w:val="single" w:sz="4" w:space="0" w:color="auto"/>
              <w:right w:val="nil"/>
            </w:tcBorders>
            <w:vAlign w:val="center"/>
          </w:tcPr>
          <w:p w14:paraId="4F15C6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6461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OSNOVNO ZDRAVSTVO GORENJSKE</w:t>
            </w:r>
          </w:p>
        </w:tc>
      </w:tr>
      <w:tr w:rsidR="00072A69" w:rsidRPr="00DC6DF9" w14:paraId="756C1F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DFD1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1473</w:t>
            </w:r>
          </w:p>
        </w:tc>
        <w:tc>
          <w:tcPr>
            <w:tcW w:w="1036" w:type="dxa"/>
            <w:tcBorders>
              <w:top w:val="nil"/>
              <w:left w:val="nil"/>
              <w:bottom w:val="single" w:sz="4" w:space="0" w:color="auto"/>
              <w:right w:val="single" w:sz="4" w:space="0" w:color="auto"/>
            </w:tcBorders>
            <w:shd w:val="clear" w:color="auto" w:fill="auto"/>
            <w:noWrap/>
            <w:vAlign w:val="center"/>
            <w:hideMark/>
          </w:tcPr>
          <w:p w14:paraId="32819A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5088836000</w:t>
            </w:r>
          </w:p>
        </w:tc>
        <w:tc>
          <w:tcPr>
            <w:tcW w:w="1036" w:type="dxa"/>
            <w:tcBorders>
              <w:top w:val="nil"/>
              <w:left w:val="nil"/>
              <w:bottom w:val="single" w:sz="4" w:space="0" w:color="auto"/>
              <w:right w:val="single" w:sz="4" w:space="0" w:color="auto"/>
            </w:tcBorders>
            <w:shd w:val="clear" w:color="auto" w:fill="auto"/>
            <w:noWrap/>
            <w:vAlign w:val="center"/>
            <w:hideMark/>
          </w:tcPr>
          <w:p w14:paraId="310CC9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10092293</w:t>
            </w:r>
          </w:p>
        </w:tc>
        <w:tc>
          <w:tcPr>
            <w:tcW w:w="160" w:type="dxa"/>
            <w:tcBorders>
              <w:top w:val="nil"/>
              <w:left w:val="nil"/>
              <w:bottom w:val="single" w:sz="4" w:space="0" w:color="auto"/>
              <w:right w:val="nil"/>
            </w:tcBorders>
            <w:vAlign w:val="center"/>
          </w:tcPr>
          <w:p w14:paraId="529029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9440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OSOVNA ŠOLA JAKOBSKI DOL</w:t>
            </w:r>
          </w:p>
        </w:tc>
      </w:tr>
      <w:tr w:rsidR="00072A69" w:rsidRPr="00DC6DF9" w14:paraId="12C125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F8CE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1474</w:t>
            </w:r>
          </w:p>
        </w:tc>
        <w:tc>
          <w:tcPr>
            <w:tcW w:w="1036" w:type="dxa"/>
            <w:tcBorders>
              <w:top w:val="nil"/>
              <w:left w:val="nil"/>
              <w:bottom w:val="single" w:sz="4" w:space="0" w:color="auto"/>
              <w:right w:val="single" w:sz="4" w:space="0" w:color="auto"/>
            </w:tcBorders>
            <w:shd w:val="clear" w:color="auto" w:fill="auto"/>
            <w:noWrap/>
            <w:vAlign w:val="center"/>
            <w:hideMark/>
          </w:tcPr>
          <w:p w14:paraId="170841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5055601000</w:t>
            </w:r>
          </w:p>
        </w:tc>
        <w:tc>
          <w:tcPr>
            <w:tcW w:w="1036" w:type="dxa"/>
            <w:tcBorders>
              <w:top w:val="nil"/>
              <w:left w:val="nil"/>
              <w:bottom w:val="single" w:sz="4" w:space="0" w:color="auto"/>
              <w:right w:val="single" w:sz="4" w:space="0" w:color="auto"/>
            </w:tcBorders>
            <w:shd w:val="clear" w:color="auto" w:fill="auto"/>
            <w:noWrap/>
            <w:vAlign w:val="center"/>
            <w:hideMark/>
          </w:tcPr>
          <w:p w14:paraId="32BEBA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50396714</w:t>
            </w:r>
          </w:p>
        </w:tc>
        <w:tc>
          <w:tcPr>
            <w:tcW w:w="160" w:type="dxa"/>
            <w:tcBorders>
              <w:top w:val="nil"/>
              <w:left w:val="nil"/>
              <w:bottom w:val="single" w:sz="4" w:space="0" w:color="auto"/>
              <w:right w:val="nil"/>
            </w:tcBorders>
            <w:vAlign w:val="center"/>
          </w:tcPr>
          <w:p w14:paraId="59FC5D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8E7F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OSREDNJA KNJIŽNICA CELJE</w:t>
            </w:r>
          </w:p>
        </w:tc>
      </w:tr>
      <w:tr w:rsidR="00072A69" w:rsidRPr="00DC6DF9" w14:paraId="685216E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6C8D6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1475</w:t>
            </w:r>
          </w:p>
        </w:tc>
        <w:tc>
          <w:tcPr>
            <w:tcW w:w="1036" w:type="dxa"/>
            <w:tcBorders>
              <w:top w:val="nil"/>
              <w:left w:val="nil"/>
              <w:bottom w:val="single" w:sz="4" w:space="0" w:color="auto"/>
              <w:right w:val="single" w:sz="4" w:space="0" w:color="auto"/>
            </w:tcBorders>
            <w:shd w:val="clear" w:color="auto" w:fill="auto"/>
            <w:noWrap/>
            <w:vAlign w:val="center"/>
            <w:hideMark/>
          </w:tcPr>
          <w:p w14:paraId="31E44F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5644585000</w:t>
            </w:r>
          </w:p>
        </w:tc>
        <w:tc>
          <w:tcPr>
            <w:tcW w:w="1036" w:type="dxa"/>
            <w:tcBorders>
              <w:top w:val="nil"/>
              <w:left w:val="nil"/>
              <w:bottom w:val="single" w:sz="4" w:space="0" w:color="auto"/>
              <w:right w:val="single" w:sz="4" w:space="0" w:color="auto"/>
            </w:tcBorders>
            <w:shd w:val="clear" w:color="auto" w:fill="auto"/>
            <w:noWrap/>
            <w:vAlign w:val="center"/>
            <w:hideMark/>
          </w:tcPr>
          <w:p w14:paraId="1EB7DA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92486835</w:t>
            </w:r>
          </w:p>
        </w:tc>
        <w:tc>
          <w:tcPr>
            <w:tcW w:w="160" w:type="dxa"/>
            <w:tcBorders>
              <w:top w:val="nil"/>
              <w:left w:val="nil"/>
              <w:bottom w:val="single" w:sz="4" w:space="0" w:color="auto"/>
              <w:right w:val="nil"/>
            </w:tcBorders>
            <w:vAlign w:val="center"/>
          </w:tcPr>
          <w:p w14:paraId="0E533F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AA74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OSREDNJA KNJIŽNICA MOZIRJE</w:t>
            </w:r>
          </w:p>
        </w:tc>
      </w:tr>
      <w:tr w:rsidR="00072A69" w:rsidRPr="00DC6DF9" w14:paraId="07A53C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4492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1476</w:t>
            </w:r>
          </w:p>
        </w:tc>
        <w:tc>
          <w:tcPr>
            <w:tcW w:w="1036" w:type="dxa"/>
            <w:tcBorders>
              <w:top w:val="nil"/>
              <w:left w:val="nil"/>
              <w:bottom w:val="single" w:sz="4" w:space="0" w:color="auto"/>
              <w:right w:val="single" w:sz="4" w:space="0" w:color="auto"/>
            </w:tcBorders>
            <w:shd w:val="clear" w:color="auto" w:fill="auto"/>
            <w:noWrap/>
            <w:vAlign w:val="center"/>
            <w:hideMark/>
          </w:tcPr>
          <w:p w14:paraId="51AF4D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5051967000</w:t>
            </w:r>
          </w:p>
        </w:tc>
        <w:tc>
          <w:tcPr>
            <w:tcW w:w="1036" w:type="dxa"/>
            <w:tcBorders>
              <w:top w:val="nil"/>
              <w:left w:val="nil"/>
              <w:bottom w:val="single" w:sz="4" w:space="0" w:color="auto"/>
              <w:right w:val="single" w:sz="4" w:space="0" w:color="auto"/>
            </w:tcBorders>
            <w:shd w:val="clear" w:color="auto" w:fill="auto"/>
            <w:noWrap/>
            <w:vAlign w:val="center"/>
            <w:hideMark/>
          </w:tcPr>
          <w:p w14:paraId="4D42DA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10908838</w:t>
            </w:r>
          </w:p>
        </w:tc>
        <w:tc>
          <w:tcPr>
            <w:tcW w:w="160" w:type="dxa"/>
            <w:tcBorders>
              <w:top w:val="nil"/>
              <w:left w:val="nil"/>
              <w:bottom w:val="single" w:sz="4" w:space="0" w:color="auto"/>
              <w:right w:val="nil"/>
            </w:tcBorders>
            <w:vAlign w:val="center"/>
          </w:tcPr>
          <w:p w14:paraId="18B340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D133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OSREDNJA KNJIŽNICA SREČKA VILHARJA KOPER</w:t>
            </w:r>
          </w:p>
        </w:tc>
      </w:tr>
      <w:tr w:rsidR="00072A69" w:rsidRPr="00DC6DF9" w14:paraId="0003306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1113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1477</w:t>
            </w:r>
          </w:p>
        </w:tc>
        <w:tc>
          <w:tcPr>
            <w:tcW w:w="1036" w:type="dxa"/>
            <w:tcBorders>
              <w:top w:val="nil"/>
              <w:left w:val="nil"/>
              <w:bottom w:val="single" w:sz="4" w:space="0" w:color="auto"/>
              <w:right w:val="single" w:sz="4" w:space="0" w:color="auto"/>
            </w:tcBorders>
            <w:shd w:val="clear" w:color="auto" w:fill="auto"/>
            <w:noWrap/>
            <w:vAlign w:val="center"/>
            <w:hideMark/>
          </w:tcPr>
          <w:p w14:paraId="4F229E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5050855000</w:t>
            </w:r>
          </w:p>
        </w:tc>
        <w:tc>
          <w:tcPr>
            <w:tcW w:w="1036" w:type="dxa"/>
            <w:tcBorders>
              <w:top w:val="nil"/>
              <w:left w:val="nil"/>
              <w:bottom w:val="single" w:sz="4" w:space="0" w:color="auto"/>
              <w:right w:val="single" w:sz="4" w:space="0" w:color="auto"/>
            </w:tcBorders>
            <w:shd w:val="clear" w:color="auto" w:fill="auto"/>
            <w:noWrap/>
            <w:vAlign w:val="center"/>
            <w:hideMark/>
          </w:tcPr>
          <w:p w14:paraId="7E2F27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59155388</w:t>
            </w:r>
          </w:p>
        </w:tc>
        <w:tc>
          <w:tcPr>
            <w:tcW w:w="160" w:type="dxa"/>
            <w:tcBorders>
              <w:top w:val="nil"/>
              <w:left w:val="nil"/>
              <w:bottom w:val="single" w:sz="4" w:space="0" w:color="auto"/>
              <w:right w:val="nil"/>
            </w:tcBorders>
            <w:vAlign w:val="center"/>
          </w:tcPr>
          <w:p w14:paraId="71F8DD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5787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OTROŠKI VRTEC AJDOVŠČINA</w:t>
            </w:r>
          </w:p>
        </w:tc>
      </w:tr>
      <w:tr w:rsidR="00072A69" w:rsidRPr="00DC6DF9" w14:paraId="367BE9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65A0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1478</w:t>
            </w:r>
          </w:p>
        </w:tc>
        <w:tc>
          <w:tcPr>
            <w:tcW w:w="1036" w:type="dxa"/>
            <w:tcBorders>
              <w:top w:val="nil"/>
              <w:left w:val="nil"/>
              <w:bottom w:val="single" w:sz="4" w:space="0" w:color="auto"/>
              <w:right w:val="single" w:sz="4" w:space="0" w:color="auto"/>
            </w:tcBorders>
            <w:shd w:val="clear" w:color="auto" w:fill="auto"/>
            <w:noWrap/>
            <w:vAlign w:val="center"/>
            <w:hideMark/>
          </w:tcPr>
          <w:p w14:paraId="76B95C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5166420000</w:t>
            </w:r>
          </w:p>
        </w:tc>
        <w:tc>
          <w:tcPr>
            <w:tcW w:w="1036" w:type="dxa"/>
            <w:tcBorders>
              <w:top w:val="nil"/>
              <w:left w:val="nil"/>
              <w:bottom w:val="single" w:sz="4" w:space="0" w:color="auto"/>
              <w:right w:val="single" w:sz="4" w:space="0" w:color="auto"/>
            </w:tcBorders>
            <w:shd w:val="clear" w:color="auto" w:fill="auto"/>
            <w:noWrap/>
            <w:vAlign w:val="center"/>
            <w:hideMark/>
          </w:tcPr>
          <w:p w14:paraId="4017C8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26699745</w:t>
            </w:r>
          </w:p>
        </w:tc>
        <w:tc>
          <w:tcPr>
            <w:tcW w:w="160" w:type="dxa"/>
            <w:tcBorders>
              <w:top w:val="nil"/>
              <w:left w:val="nil"/>
              <w:bottom w:val="single" w:sz="4" w:space="0" w:color="auto"/>
              <w:right w:val="nil"/>
            </w:tcBorders>
            <w:vAlign w:val="center"/>
          </w:tcPr>
          <w:p w14:paraId="6B7DB29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3904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OTROŠKI VRTEC METLIKA</w:t>
            </w:r>
          </w:p>
        </w:tc>
      </w:tr>
      <w:tr w:rsidR="00072A69" w:rsidRPr="00DC6DF9" w14:paraId="451689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B7BA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1479</w:t>
            </w:r>
          </w:p>
        </w:tc>
        <w:tc>
          <w:tcPr>
            <w:tcW w:w="1036" w:type="dxa"/>
            <w:tcBorders>
              <w:top w:val="nil"/>
              <w:left w:val="nil"/>
              <w:bottom w:val="single" w:sz="4" w:space="0" w:color="auto"/>
              <w:right w:val="single" w:sz="4" w:space="0" w:color="auto"/>
            </w:tcBorders>
            <w:shd w:val="clear" w:color="auto" w:fill="auto"/>
            <w:noWrap/>
            <w:vAlign w:val="center"/>
            <w:hideMark/>
          </w:tcPr>
          <w:p w14:paraId="0587B0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1121715000</w:t>
            </w:r>
          </w:p>
        </w:tc>
        <w:tc>
          <w:tcPr>
            <w:tcW w:w="1036" w:type="dxa"/>
            <w:tcBorders>
              <w:top w:val="nil"/>
              <w:left w:val="nil"/>
              <w:bottom w:val="single" w:sz="4" w:space="0" w:color="auto"/>
              <w:right w:val="single" w:sz="4" w:space="0" w:color="auto"/>
            </w:tcBorders>
            <w:shd w:val="clear" w:color="auto" w:fill="auto"/>
            <w:noWrap/>
            <w:vAlign w:val="center"/>
            <w:hideMark/>
          </w:tcPr>
          <w:p w14:paraId="4191F6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11690151</w:t>
            </w:r>
          </w:p>
        </w:tc>
        <w:tc>
          <w:tcPr>
            <w:tcW w:w="160" w:type="dxa"/>
            <w:tcBorders>
              <w:top w:val="nil"/>
              <w:left w:val="nil"/>
              <w:bottom w:val="single" w:sz="4" w:space="0" w:color="auto"/>
              <w:right w:val="nil"/>
            </w:tcBorders>
            <w:vAlign w:val="center"/>
          </w:tcPr>
          <w:p w14:paraId="17AE41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0BC1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PARK ŠKOCJANSKE JAME</w:t>
            </w:r>
          </w:p>
        </w:tc>
      </w:tr>
      <w:tr w:rsidR="00072A69" w:rsidRPr="00DC6DF9" w14:paraId="3FAD5A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B8E2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1480</w:t>
            </w:r>
          </w:p>
        </w:tc>
        <w:tc>
          <w:tcPr>
            <w:tcW w:w="1036" w:type="dxa"/>
            <w:tcBorders>
              <w:top w:val="nil"/>
              <w:left w:val="nil"/>
              <w:bottom w:val="single" w:sz="4" w:space="0" w:color="auto"/>
              <w:right w:val="single" w:sz="4" w:space="0" w:color="auto"/>
            </w:tcBorders>
            <w:shd w:val="clear" w:color="auto" w:fill="auto"/>
            <w:noWrap/>
            <w:vAlign w:val="center"/>
            <w:hideMark/>
          </w:tcPr>
          <w:p w14:paraId="2BC845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5051614000</w:t>
            </w:r>
          </w:p>
        </w:tc>
        <w:tc>
          <w:tcPr>
            <w:tcW w:w="1036" w:type="dxa"/>
            <w:tcBorders>
              <w:top w:val="nil"/>
              <w:left w:val="nil"/>
              <w:bottom w:val="single" w:sz="4" w:space="0" w:color="auto"/>
              <w:right w:val="single" w:sz="4" w:space="0" w:color="auto"/>
            </w:tcBorders>
            <w:shd w:val="clear" w:color="auto" w:fill="auto"/>
            <w:noWrap/>
            <w:vAlign w:val="center"/>
            <w:hideMark/>
          </w:tcPr>
          <w:p w14:paraId="3D1123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68705093</w:t>
            </w:r>
          </w:p>
        </w:tc>
        <w:tc>
          <w:tcPr>
            <w:tcW w:w="160" w:type="dxa"/>
            <w:tcBorders>
              <w:top w:val="nil"/>
              <w:left w:val="nil"/>
              <w:bottom w:val="single" w:sz="4" w:space="0" w:color="auto"/>
              <w:right w:val="nil"/>
            </w:tcBorders>
            <w:vAlign w:val="center"/>
          </w:tcPr>
          <w:p w14:paraId="557FA94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8CDA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PEDAGOŠKI INŠTITUT</w:t>
            </w:r>
          </w:p>
        </w:tc>
      </w:tr>
      <w:tr w:rsidR="00072A69" w:rsidRPr="00DC6DF9" w14:paraId="5D175AC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67DB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1481</w:t>
            </w:r>
          </w:p>
        </w:tc>
        <w:tc>
          <w:tcPr>
            <w:tcW w:w="1036" w:type="dxa"/>
            <w:tcBorders>
              <w:top w:val="nil"/>
              <w:left w:val="nil"/>
              <w:bottom w:val="single" w:sz="4" w:space="0" w:color="auto"/>
              <w:right w:val="single" w:sz="4" w:space="0" w:color="auto"/>
            </w:tcBorders>
            <w:shd w:val="clear" w:color="auto" w:fill="auto"/>
            <w:noWrap/>
            <w:vAlign w:val="center"/>
            <w:hideMark/>
          </w:tcPr>
          <w:p w14:paraId="43537E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1434284000</w:t>
            </w:r>
          </w:p>
        </w:tc>
        <w:tc>
          <w:tcPr>
            <w:tcW w:w="1036" w:type="dxa"/>
            <w:tcBorders>
              <w:top w:val="nil"/>
              <w:left w:val="nil"/>
              <w:bottom w:val="single" w:sz="4" w:space="0" w:color="auto"/>
              <w:right w:val="single" w:sz="4" w:space="0" w:color="auto"/>
            </w:tcBorders>
            <w:shd w:val="clear" w:color="auto" w:fill="auto"/>
            <w:noWrap/>
            <w:vAlign w:val="center"/>
            <w:hideMark/>
          </w:tcPr>
          <w:p w14:paraId="7525AA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66707790</w:t>
            </w:r>
          </w:p>
        </w:tc>
        <w:tc>
          <w:tcPr>
            <w:tcW w:w="160" w:type="dxa"/>
            <w:tcBorders>
              <w:top w:val="nil"/>
              <w:left w:val="nil"/>
              <w:bottom w:val="single" w:sz="4" w:space="0" w:color="auto"/>
              <w:right w:val="nil"/>
            </w:tcBorders>
            <w:vAlign w:val="center"/>
          </w:tcPr>
          <w:p w14:paraId="40F9D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B1D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PILONOVA GALERIJA AJDOVŠČINA</w:t>
            </w:r>
          </w:p>
        </w:tc>
      </w:tr>
      <w:tr w:rsidR="00072A69" w:rsidRPr="00DC6DF9" w14:paraId="7FBA8F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0369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1482</w:t>
            </w:r>
          </w:p>
        </w:tc>
        <w:tc>
          <w:tcPr>
            <w:tcW w:w="1036" w:type="dxa"/>
            <w:tcBorders>
              <w:top w:val="nil"/>
              <w:left w:val="nil"/>
              <w:bottom w:val="single" w:sz="4" w:space="0" w:color="auto"/>
              <w:right w:val="single" w:sz="4" w:space="0" w:color="auto"/>
            </w:tcBorders>
            <w:shd w:val="clear" w:color="auto" w:fill="auto"/>
            <w:noWrap/>
            <w:vAlign w:val="center"/>
            <w:hideMark/>
          </w:tcPr>
          <w:p w14:paraId="720381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5034477000</w:t>
            </w:r>
          </w:p>
        </w:tc>
        <w:tc>
          <w:tcPr>
            <w:tcW w:w="1036" w:type="dxa"/>
            <w:tcBorders>
              <w:top w:val="nil"/>
              <w:left w:val="nil"/>
              <w:bottom w:val="single" w:sz="4" w:space="0" w:color="auto"/>
              <w:right w:val="single" w:sz="4" w:space="0" w:color="auto"/>
            </w:tcBorders>
            <w:shd w:val="clear" w:color="auto" w:fill="auto"/>
            <w:noWrap/>
            <w:vAlign w:val="center"/>
            <w:hideMark/>
          </w:tcPr>
          <w:p w14:paraId="0B97E4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12048852</w:t>
            </w:r>
          </w:p>
        </w:tc>
        <w:tc>
          <w:tcPr>
            <w:tcW w:w="160" w:type="dxa"/>
            <w:tcBorders>
              <w:top w:val="nil"/>
              <w:left w:val="nil"/>
              <w:bottom w:val="single" w:sz="4" w:space="0" w:color="auto"/>
              <w:right w:val="nil"/>
            </w:tcBorders>
            <w:vAlign w:val="center"/>
          </w:tcPr>
          <w:p w14:paraId="5D31570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E477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PLINARNA MARIBOR, D. O. O. </w:t>
            </w:r>
          </w:p>
        </w:tc>
      </w:tr>
      <w:tr w:rsidR="00072A69" w:rsidRPr="00DC6DF9" w14:paraId="10387D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32D1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1483</w:t>
            </w:r>
          </w:p>
        </w:tc>
        <w:tc>
          <w:tcPr>
            <w:tcW w:w="1036" w:type="dxa"/>
            <w:tcBorders>
              <w:top w:val="nil"/>
              <w:left w:val="nil"/>
              <w:bottom w:val="single" w:sz="4" w:space="0" w:color="auto"/>
              <w:right w:val="single" w:sz="4" w:space="0" w:color="auto"/>
            </w:tcBorders>
            <w:shd w:val="clear" w:color="auto" w:fill="auto"/>
            <w:noWrap/>
            <w:vAlign w:val="center"/>
            <w:hideMark/>
          </w:tcPr>
          <w:p w14:paraId="3FA766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8005621000</w:t>
            </w:r>
          </w:p>
        </w:tc>
        <w:tc>
          <w:tcPr>
            <w:tcW w:w="1036" w:type="dxa"/>
            <w:tcBorders>
              <w:top w:val="nil"/>
              <w:left w:val="nil"/>
              <w:bottom w:val="single" w:sz="4" w:space="0" w:color="auto"/>
              <w:right w:val="single" w:sz="4" w:space="0" w:color="auto"/>
            </w:tcBorders>
            <w:shd w:val="clear" w:color="auto" w:fill="auto"/>
            <w:noWrap/>
            <w:vAlign w:val="center"/>
            <w:hideMark/>
          </w:tcPr>
          <w:p w14:paraId="141D1C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69856826</w:t>
            </w:r>
          </w:p>
        </w:tc>
        <w:tc>
          <w:tcPr>
            <w:tcW w:w="160" w:type="dxa"/>
            <w:tcBorders>
              <w:top w:val="nil"/>
              <w:left w:val="nil"/>
              <w:bottom w:val="single" w:sz="4" w:space="0" w:color="auto"/>
              <w:right w:val="nil"/>
            </w:tcBorders>
            <w:vAlign w:val="center"/>
          </w:tcPr>
          <w:p w14:paraId="3BCDE6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1275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PLINHOLD, D. O. O. </w:t>
            </w:r>
          </w:p>
        </w:tc>
      </w:tr>
      <w:tr w:rsidR="00072A69" w:rsidRPr="00DC6DF9" w14:paraId="03E568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45D8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1484</w:t>
            </w:r>
          </w:p>
        </w:tc>
        <w:tc>
          <w:tcPr>
            <w:tcW w:w="1036" w:type="dxa"/>
            <w:tcBorders>
              <w:top w:val="nil"/>
              <w:left w:val="nil"/>
              <w:bottom w:val="single" w:sz="4" w:space="0" w:color="auto"/>
              <w:right w:val="single" w:sz="4" w:space="0" w:color="auto"/>
            </w:tcBorders>
            <w:shd w:val="clear" w:color="auto" w:fill="auto"/>
            <w:noWrap/>
            <w:vAlign w:val="center"/>
            <w:hideMark/>
          </w:tcPr>
          <w:p w14:paraId="2C9944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1954288000</w:t>
            </w:r>
          </w:p>
        </w:tc>
        <w:tc>
          <w:tcPr>
            <w:tcW w:w="1036" w:type="dxa"/>
            <w:tcBorders>
              <w:top w:val="nil"/>
              <w:left w:val="nil"/>
              <w:bottom w:val="single" w:sz="4" w:space="0" w:color="auto"/>
              <w:right w:val="single" w:sz="4" w:space="0" w:color="auto"/>
            </w:tcBorders>
            <w:shd w:val="clear" w:color="auto" w:fill="auto"/>
            <w:noWrap/>
            <w:vAlign w:val="center"/>
            <w:hideMark/>
          </w:tcPr>
          <w:p w14:paraId="0EE1C0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31378285</w:t>
            </w:r>
          </w:p>
        </w:tc>
        <w:tc>
          <w:tcPr>
            <w:tcW w:w="160" w:type="dxa"/>
            <w:tcBorders>
              <w:top w:val="nil"/>
              <w:left w:val="nil"/>
              <w:bottom w:val="single" w:sz="4" w:space="0" w:color="auto"/>
              <w:right w:val="nil"/>
            </w:tcBorders>
            <w:vAlign w:val="center"/>
          </w:tcPr>
          <w:p w14:paraId="0596E8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5102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PLINOVODI, D. O. O. </w:t>
            </w:r>
          </w:p>
        </w:tc>
      </w:tr>
      <w:tr w:rsidR="00072A69" w:rsidRPr="00DC6DF9" w14:paraId="00DEAE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EBF9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1485</w:t>
            </w:r>
          </w:p>
        </w:tc>
        <w:tc>
          <w:tcPr>
            <w:tcW w:w="1036" w:type="dxa"/>
            <w:tcBorders>
              <w:top w:val="nil"/>
              <w:left w:val="nil"/>
              <w:bottom w:val="single" w:sz="4" w:space="0" w:color="auto"/>
              <w:right w:val="single" w:sz="4" w:space="0" w:color="auto"/>
            </w:tcBorders>
            <w:shd w:val="clear" w:color="auto" w:fill="auto"/>
            <w:noWrap/>
            <w:vAlign w:val="center"/>
            <w:hideMark/>
          </w:tcPr>
          <w:p w14:paraId="01DCE2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3397785000</w:t>
            </w:r>
          </w:p>
        </w:tc>
        <w:tc>
          <w:tcPr>
            <w:tcW w:w="1036" w:type="dxa"/>
            <w:tcBorders>
              <w:top w:val="nil"/>
              <w:left w:val="nil"/>
              <w:bottom w:val="single" w:sz="4" w:space="0" w:color="auto"/>
              <w:right w:val="single" w:sz="4" w:space="0" w:color="auto"/>
            </w:tcBorders>
            <w:shd w:val="clear" w:color="auto" w:fill="auto"/>
            <w:noWrap/>
            <w:vAlign w:val="center"/>
            <w:hideMark/>
          </w:tcPr>
          <w:p w14:paraId="11E4A5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36173673</w:t>
            </w:r>
          </w:p>
        </w:tc>
        <w:tc>
          <w:tcPr>
            <w:tcW w:w="160" w:type="dxa"/>
            <w:tcBorders>
              <w:top w:val="nil"/>
              <w:left w:val="nil"/>
              <w:bottom w:val="single" w:sz="4" w:space="0" w:color="auto"/>
              <w:right w:val="nil"/>
            </w:tcBorders>
            <w:vAlign w:val="center"/>
          </w:tcPr>
          <w:p w14:paraId="0BB9CD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0D3C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PODJETNIŠKI INKUBATOR KOČEVJE</w:t>
            </w:r>
          </w:p>
        </w:tc>
      </w:tr>
      <w:tr w:rsidR="00072A69" w:rsidRPr="00DC6DF9" w14:paraId="615A13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E271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1486</w:t>
            </w:r>
          </w:p>
        </w:tc>
        <w:tc>
          <w:tcPr>
            <w:tcW w:w="1036" w:type="dxa"/>
            <w:tcBorders>
              <w:top w:val="nil"/>
              <w:left w:val="nil"/>
              <w:bottom w:val="single" w:sz="4" w:space="0" w:color="auto"/>
              <w:right w:val="single" w:sz="4" w:space="0" w:color="auto"/>
            </w:tcBorders>
            <w:shd w:val="clear" w:color="auto" w:fill="auto"/>
            <w:noWrap/>
            <w:vAlign w:val="center"/>
            <w:hideMark/>
          </w:tcPr>
          <w:p w14:paraId="7F2880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3558398000</w:t>
            </w:r>
          </w:p>
        </w:tc>
        <w:tc>
          <w:tcPr>
            <w:tcW w:w="1036" w:type="dxa"/>
            <w:tcBorders>
              <w:top w:val="nil"/>
              <w:left w:val="nil"/>
              <w:bottom w:val="single" w:sz="4" w:space="0" w:color="auto"/>
              <w:right w:val="single" w:sz="4" w:space="0" w:color="auto"/>
            </w:tcBorders>
            <w:shd w:val="clear" w:color="auto" w:fill="auto"/>
            <w:noWrap/>
            <w:vAlign w:val="center"/>
            <w:hideMark/>
          </w:tcPr>
          <w:p w14:paraId="4FCF29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51705664</w:t>
            </w:r>
          </w:p>
        </w:tc>
        <w:tc>
          <w:tcPr>
            <w:tcW w:w="160" w:type="dxa"/>
            <w:tcBorders>
              <w:top w:val="nil"/>
              <w:left w:val="nil"/>
              <w:bottom w:val="single" w:sz="4" w:space="0" w:color="auto"/>
              <w:right w:val="nil"/>
            </w:tcBorders>
            <w:vAlign w:val="center"/>
          </w:tcPr>
          <w:p w14:paraId="59667C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CF0E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PODZEMLJE PECE, D. O. O. </w:t>
            </w:r>
          </w:p>
        </w:tc>
      </w:tr>
      <w:tr w:rsidR="00072A69" w:rsidRPr="00DC6DF9" w14:paraId="7909FE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BAA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1487</w:t>
            </w:r>
          </w:p>
        </w:tc>
        <w:tc>
          <w:tcPr>
            <w:tcW w:w="1036" w:type="dxa"/>
            <w:tcBorders>
              <w:top w:val="nil"/>
              <w:left w:val="nil"/>
              <w:bottom w:val="single" w:sz="4" w:space="0" w:color="auto"/>
              <w:right w:val="single" w:sz="4" w:space="0" w:color="auto"/>
            </w:tcBorders>
            <w:shd w:val="clear" w:color="auto" w:fill="auto"/>
            <w:noWrap/>
            <w:vAlign w:val="center"/>
            <w:hideMark/>
          </w:tcPr>
          <w:p w14:paraId="2E4BF1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5067928000</w:t>
            </w:r>
          </w:p>
        </w:tc>
        <w:tc>
          <w:tcPr>
            <w:tcW w:w="1036" w:type="dxa"/>
            <w:tcBorders>
              <w:top w:val="nil"/>
              <w:left w:val="nil"/>
              <w:bottom w:val="single" w:sz="4" w:space="0" w:color="auto"/>
              <w:right w:val="single" w:sz="4" w:space="0" w:color="auto"/>
            </w:tcBorders>
            <w:shd w:val="clear" w:color="auto" w:fill="auto"/>
            <w:noWrap/>
            <w:vAlign w:val="center"/>
            <w:hideMark/>
          </w:tcPr>
          <w:p w14:paraId="327C19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51546132</w:t>
            </w:r>
          </w:p>
        </w:tc>
        <w:tc>
          <w:tcPr>
            <w:tcW w:w="160" w:type="dxa"/>
            <w:tcBorders>
              <w:top w:val="nil"/>
              <w:left w:val="nil"/>
              <w:bottom w:val="single" w:sz="4" w:space="0" w:color="auto"/>
              <w:right w:val="nil"/>
            </w:tcBorders>
            <w:vAlign w:val="center"/>
          </w:tcPr>
          <w:p w14:paraId="5DDEF2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0CA4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POGREBNO PODJETJE MARIBOR, D. D. </w:t>
            </w:r>
          </w:p>
        </w:tc>
      </w:tr>
      <w:tr w:rsidR="00072A69" w:rsidRPr="00DC6DF9" w14:paraId="0C2F172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6E39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1488</w:t>
            </w:r>
          </w:p>
        </w:tc>
        <w:tc>
          <w:tcPr>
            <w:tcW w:w="1036" w:type="dxa"/>
            <w:tcBorders>
              <w:top w:val="nil"/>
              <w:left w:val="nil"/>
              <w:bottom w:val="single" w:sz="4" w:space="0" w:color="auto"/>
              <w:right w:val="single" w:sz="4" w:space="0" w:color="auto"/>
            </w:tcBorders>
            <w:shd w:val="clear" w:color="auto" w:fill="auto"/>
            <w:noWrap/>
            <w:vAlign w:val="center"/>
            <w:hideMark/>
          </w:tcPr>
          <w:p w14:paraId="12990A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5016193000</w:t>
            </w:r>
          </w:p>
        </w:tc>
        <w:tc>
          <w:tcPr>
            <w:tcW w:w="1036" w:type="dxa"/>
            <w:tcBorders>
              <w:top w:val="nil"/>
              <w:left w:val="nil"/>
              <w:bottom w:val="single" w:sz="4" w:space="0" w:color="auto"/>
              <w:right w:val="single" w:sz="4" w:space="0" w:color="auto"/>
            </w:tcBorders>
            <w:shd w:val="clear" w:color="auto" w:fill="auto"/>
            <w:noWrap/>
            <w:vAlign w:val="center"/>
            <w:hideMark/>
          </w:tcPr>
          <w:p w14:paraId="143D4D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45289522</w:t>
            </w:r>
          </w:p>
        </w:tc>
        <w:tc>
          <w:tcPr>
            <w:tcW w:w="160" w:type="dxa"/>
            <w:tcBorders>
              <w:top w:val="nil"/>
              <w:left w:val="nil"/>
              <w:bottom w:val="single" w:sz="4" w:space="0" w:color="auto"/>
              <w:right w:val="nil"/>
            </w:tcBorders>
            <w:vAlign w:val="center"/>
          </w:tcPr>
          <w:p w14:paraId="0ED4D4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F251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POKLICNA GASILSKA ENOTA CELJE</w:t>
            </w:r>
          </w:p>
        </w:tc>
      </w:tr>
      <w:tr w:rsidR="00072A69" w:rsidRPr="00DC6DF9" w14:paraId="71C68A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978B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1489</w:t>
            </w:r>
          </w:p>
        </w:tc>
        <w:tc>
          <w:tcPr>
            <w:tcW w:w="1036" w:type="dxa"/>
            <w:tcBorders>
              <w:top w:val="nil"/>
              <w:left w:val="nil"/>
              <w:bottom w:val="single" w:sz="4" w:space="0" w:color="auto"/>
              <w:right w:val="single" w:sz="4" w:space="0" w:color="auto"/>
            </w:tcBorders>
            <w:shd w:val="clear" w:color="auto" w:fill="auto"/>
            <w:noWrap/>
            <w:vAlign w:val="center"/>
            <w:hideMark/>
          </w:tcPr>
          <w:p w14:paraId="21C257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5274168000</w:t>
            </w:r>
          </w:p>
        </w:tc>
        <w:tc>
          <w:tcPr>
            <w:tcW w:w="1036" w:type="dxa"/>
            <w:tcBorders>
              <w:top w:val="nil"/>
              <w:left w:val="nil"/>
              <w:bottom w:val="single" w:sz="4" w:space="0" w:color="auto"/>
              <w:right w:val="single" w:sz="4" w:space="0" w:color="auto"/>
            </w:tcBorders>
            <w:shd w:val="clear" w:color="auto" w:fill="auto"/>
            <w:noWrap/>
            <w:vAlign w:val="center"/>
            <w:hideMark/>
          </w:tcPr>
          <w:p w14:paraId="37A468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87639815</w:t>
            </w:r>
          </w:p>
        </w:tc>
        <w:tc>
          <w:tcPr>
            <w:tcW w:w="160" w:type="dxa"/>
            <w:tcBorders>
              <w:top w:val="nil"/>
              <w:left w:val="nil"/>
              <w:bottom w:val="single" w:sz="4" w:space="0" w:color="auto"/>
              <w:right w:val="nil"/>
            </w:tcBorders>
            <w:vAlign w:val="center"/>
          </w:tcPr>
          <w:p w14:paraId="395A1D3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20C8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POKLICNA GASILSKA ENOTA KRŠKO</w:t>
            </w:r>
          </w:p>
        </w:tc>
      </w:tr>
      <w:tr w:rsidR="00072A69" w:rsidRPr="00DC6DF9" w14:paraId="22A3D3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CF21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1490</w:t>
            </w:r>
          </w:p>
        </w:tc>
        <w:tc>
          <w:tcPr>
            <w:tcW w:w="1036" w:type="dxa"/>
            <w:tcBorders>
              <w:top w:val="nil"/>
              <w:left w:val="nil"/>
              <w:bottom w:val="single" w:sz="4" w:space="0" w:color="auto"/>
              <w:right w:val="single" w:sz="4" w:space="0" w:color="auto"/>
            </w:tcBorders>
            <w:shd w:val="clear" w:color="auto" w:fill="auto"/>
            <w:noWrap/>
            <w:vAlign w:val="center"/>
            <w:hideMark/>
          </w:tcPr>
          <w:p w14:paraId="6D4F40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5676274000</w:t>
            </w:r>
          </w:p>
        </w:tc>
        <w:tc>
          <w:tcPr>
            <w:tcW w:w="1036" w:type="dxa"/>
            <w:tcBorders>
              <w:top w:val="nil"/>
              <w:left w:val="nil"/>
              <w:bottom w:val="single" w:sz="4" w:space="0" w:color="auto"/>
              <w:right w:val="single" w:sz="4" w:space="0" w:color="auto"/>
            </w:tcBorders>
            <w:shd w:val="clear" w:color="auto" w:fill="auto"/>
            <w:noWrap/>
            <w:vAlign w:val="center"/>
            <w:hideMark/>
          </w:tcPr>
          <w:p w14:paraId="147703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18974961</w:t>
            </w:r>
          </w:p>
        </w:tc>
        <w:tc>
          <w:tcPr>
            <w:tcW w:w="160" w:type="dxa"/>
            <w:tcBorders>
              <w:top w:val="nil"/>
              <w:left w:val="nil"/>
              <w:bottom w:val="single" w:sz="4" w:space="0" w:color="auto"/>
              <w:right w:val="nil"/>
            </w:tcBorders>
            <w:vAlign w:val="center"/>
          </w:tcPr>
          <w:p w14:paraId="34BCAA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F5BE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POKRAJINSKA IN ŠTUDIJSKA KNJIŽNICA MURSKA SOBOTA</w:t>
            </w:r>
          </w:p>
        </w:tc>
      </w:tr>
      <w:tr w:rsidR="00072A69" w:rsidRPr="00DC6DF9" w14:paraId="5201BF4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F954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1491</w:t>
            </w:r>
          </w:p>
        </w:tc>
        <w:tc>
          <w:tcPr>
            <w:tcW w:w="1036" w:type="dxa"/>
            <w:tcBorders>
              <w:top w:val="nil"/>
              <w:left w:val="nil"/>
              <w:bottom w:val="single" w:sz="4" w:space="0" w:color="auto"/>
              <w:right w:val="single" w:sz="4" w:space="0" w:color="auto"/>
            </w:tcBorders>
            <w:shd w:val="clear" w:color="auto" w:fill="auto"/>
            <w:noWrap/>
            <w:vAlign w:val="center"/>
            <w:hideMark/>
          </w:tcPr>
          <w:p w14:paraId="551D04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5051975000</w:t>
            </w:r>
          </w:p>
        </w:tc>
        <w:tc>
          <w:tcPr>
            <w:tcW w:w="1036" w:type="dxa"/>
            <w:tcBorders>
              <w:top w:val="nil"/>
              <w:left w:val="nil"/>
              <w:bottom w:val="single" w:sz="4" w:space="0" w:color="auto"/>
              <w:right w:val="single" w:sz="4" w:space="0" w:color="auto"/>
            </w:tcBorders>
            <w:shd w:val="clear" w:color="auto" w:fill="auto"/>
            <w:noWrap/>
            <w:vAlign w:val="center"/>
            <w:hideMark/>
          </w:tcPr>
          <w:p w14:paraId="553ACC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89089782</w:t>
            </w:r>
          </w:p>
        </w:tc>
        <w:tc>
          <w:tcPr>
            <w:tcW w:w="160" w:type="dxa"/>
            <w:tcBorders>
              <w:top w:val="nil"/>
              <w:left w:val="nil"/>
              <w:bottom w:val="single" w:sz="4" w:space="0" w:color="auto"/>
              <w:right w:val="nil"/>
            </w:tcBorders>
            <w:vAlign w:val="center"/>
          </w:tcPr>
          <w:p w14:paraId="4BB2E38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D016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ARHIV KOPER</w:t>
            </w:r>
          </w:p>
        </w:tc>
      </w:tr>
      <w:tr w:rsidR="00072A69" w:rsidRPr="00DC6DF9" w14:paraId="6788628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1348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1492</w:t>
            </w:r>
          </w:p>
        </w:tc>
        <w:tc>
          <w:tcPr>
            <w:tcW w:w="1036" w:type="dxa"/>
            <w:tcBorders>
              <w:top w:val="nil"/>
              <w:left w:val="nil"/>
              <w:bottom w:val="single" w:sz="4" w:space="0" w:color="auto"/>
              <w:right w:val="single" w:sz="4" w:space="0" w:color="auto"/>
            </w:tcBorders>
            <w:shd w:val="clear" w:color="auto" w:fill="auto"/>
            <w:noWrap/>
            <w:vAlign w:val="center"/>
            <w:hideMark/>
          </w:tcPr>
          <w:p w14:paraId="06DDBE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5057183000</w:t>
            </w:r>
          </w:p>
        </w:tc>
        <w:tc>
          <w:tcPr>
            <w:tcW w:w="1036" w:type="dxa"/>
            <w:tcBorders>
              <w:top w:val="nil"/>
              <w:left w:val="nil"/>
              <w:bottom w:val="single" w:sz="4" w:space="0" w:color="auto"/>
              <w:right w:val="single" w:sz="4" w:space="0" w:color="auto"/>
            </w:tcBorders>
            <w:shd w:val="clear" w:color="auto" w:fill="auto"/>
            <w:noWrap/>
            <w:vAlign w:val="center"/>
            <w:hideMark/>
          </w:tcPr>
          <w:p w14:paraId="03E37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68464193</w:t>
            </w:r>
          </w:p>
        </w:tc>
        <w:tc>
          <w:tcPr>
            <w:tcW w:w="160" w:type="dxa"/>
            <w:tcBorders>
              <w:top w:val="nil"/>
              <w:left w:val="nil"/>
              <w:bottom w:val="single" w:sz="4" w:space="0" w:color="auto"/>
              <w:right w:val="nil"/>
            </w:tcBorders>
            <w:vAlign w:val="center"/>
          </w:tcPr>
          <w:p w14:paraId="49A273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476F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ARHIV MARIBOR</w:t>
            </w:r>
          </w:p>
        </w:tc>
      </w:tr>
      <w:tr w:rsidR="00072A69" w:rsidRPr="00DC6DF9" w14:paraId="45FF2E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38DF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1493</w:t>
            </w:r>
          </w:p>
        </w:tc>
        <w:tc>
          <w:tcPr>
            <w:tcW w:w="1036" w:type="dxa"/>
            <w:tcBorders>
              <w:top w:val="nil"/>
              <w:left w:val="nil"/>
              <w:bottom w:val="single" w:sz="4" w:space="0" w:color="auto"/>
              <w:right w:val="single" w:sz="4" w:space="0" w:color="auto"/>
            </w:tcBorders>
            <w:shd w:val="clear" w:color="auto" w:fill="auto"/>
            <w:noWrap/>
            <w:vAlign w:val="center"/>
            <w:hideMark/>
          </w:tcPr>
          <w:p w14:paraId="7ED512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5052203000</w:t>
            </w:r>
          </w:p>
        </w:tc>
        <w:tc>
          <w:tcPr>
            <w:tcW w:w="1036" w:type="dxa"/>
            <w:tcBorders>
              <w:top w:val="nil"/>
              <w:left w:val="nil"/>
              <w:bottom w:val="single" w:sz="4" w:space="0" w:color="auto"/>
              <w:right w:val="single" w:sz="4" w:space="0" w:color="auto"/>
            </w:tcBorders>
            <w:shd w:val="clear" w:color="auto" w:fill="auto"/>
            <w:noWrap/>
            <w:vAlign w:val="center"/>
            <w:hideMark/>
          </w:tcPr>
          <w:p w14:paraId="4F3318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63913445</w:t>
            </w:r>
          </w:p>
        </w:tc>
        <w:tc>
          <w:tcPr>
            <w:tcW w:w="160" w:type="dxa"/>
            <w:tcBorders>
              <w:top w:val="nil"/>
              <w:left w:val="nil"/>
              <w:bottom w:val="single" w:sz="4" w:space="0" w:color="auto"/>
              <w:right w:val="nil"/>
            </w:tcBorders>
            <w:vAlign w:val="center"/>
          </w:tcPr>
          <w:p w14:paraId="762EB8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6580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ARHIV V NOVI GORICI</w:t>
            </w:r>
          </w:p>
        </w:tc>
      </w:tr>
      <w:tr w:rsidR="00072A69" w:rsidRPr="00DC6DF9" w14:paraId="0F28FC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A4DE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1494</w:t>
            </w:r>
          </w:p>
        </w:tc>
        <w:tc>
          <w:tcPr>
            <w:tcW w:w="1036" w:type="dxa"/>
            <w:tcBorders>
              <w:top w:val="nil"/>
              <w:left w:val="nil"/>
              <w:bottom w:val="single" w:sz="4" w:space="0" w:color="auto"/>
              <w:right w:val="single" w:sz="4" w:space="0" w:color="auto"/>
            </w:tcBorders>
            <w:shd w:val="clear" w:color="auto" w:fill="auto"/>
            <w:noWrap/>
            <w:vAlign w:val="center"/>
            <w:hideMark/>
          </w:tcPr>
          <w:p w14:paraId="74FA57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5051819000</w:t>
            </w:r>
          </w:p>
        </w:tc>
        <w:tc>
          <w:tcPr>
            <w:tcW w:w="1036" w:type="dxa"/>
            <w:tcBorders>
              <w:top w:val="nil"/>
              <w:left w:val="nil"/>
              <w:bottom w:val="single" w:sz="4" w:space="0" w:color="auto"/>
              <w:right w:val="single" w:sz="4" w:space="0" w:color="auto"/>
            </w:tcBorders>
            <w:shd w:val="clear" w:color="auto" w:fill="auto"/>
            <w:noWrap/>
            <w:vAlign w:val="center"/>
            <w:hideMark/>
          </w:tcPr>
          <w:p w14:paraId="42F253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94566895</w:t>
            </w:r>
          </w:p>
        </w:tc>
        <w:tc>
          <w:tcPr>
            <w:tcW w:w="160" w:type="dxa"/>
            <w:tcBorders>
              <w:top w:val="nil"/>
              <w:left w:val="nil"/>
              <w:bottom w:val="single" w:sz="4" w:space="0" w:color="auto"/>
              <w:right w:val="nil"/>
            </w:tcBorders>
            <w:vAlign w:val="center"/>
          </w:tcPr>
          <w:p w14:paraId="658864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7929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MUZEJ CELJE</w:t>
            </w:r>
          </w:p>
        </w:tc>
      </w:tr>
      <w:tr w:rsidR="00072A69" w:rsidRPr="00DC6DF9" w14:paraId="139CF92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5FB2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1495</w:t>
            </w:r>
          </w:p>
        </w:tc>
        <w:tc>
          <w:tcPr>
            <w:tcW w:w="1036" w:type="dxa"/>
            <w:tcBorders>
              <w:top w:val="nil"/>
              <w:left w:val="nil"/>
              <w:bottom w:val="single" w:sz="4" w:space="0" w:color="auto"/>
              <w:right w:val="single" w:sz="4" w:space="0" w:color="auto"/>
            </w:tcBorders>
            <w:shd w:val="clear" w:color="auto" w:fill="auto"/>
            <w:noWrap/>
            <w:vAlign w:val="center"/>
            <w:hideMark/>
          </w:tcPr>
          <w:p w14:paraId="1C4342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5051932000</w:t>
            </w:r>
          </w:p>
        </w:tc>
        <w:tc>
          <w:tcPr>
            <w:tcW w:w="1036" w:type="dxa"/>
            <w:tcBorders>
              <w:top w:val="nil"/>
              <w:left w:val="nil"/>
              <w:bottom w:val="single" w:sz="4" w:space="0" w:color="auto"/>
              <w:right w:val="single" w:sz="4" w:space="0" w:color="auto"/>
            </w:tcBorders>
            <w:shd w:val="clear" w:color="auto" w:fill="auto"/>
            <w:noWrap/>
            <w:vAlign w:val="center"/>
            <w:hideMark/>
          </w:tcPr>
          <w:p w14:paraId="5B493D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91629438</w:t>
            </w:r>
          </w:p>
        </w:tc>
        <w:tc>
          <w:tcPr>
            <w:tcW w:w="160" w:type="dxa"/>
            <w:tcBorders>
              <w:top w:val="nil"/>
              <w:left w:val="nil"/>
              <w:bottom w:val="single" w:sz="4" w:space="0" w:color="auto"/>
              <w:right w:val="nil"/>
            </w:tcBorders>
            <w:vAlign w:val="center"/>
          </w:tcPr>
          <w:p w14:paraId="23C420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2A66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MUZEJ KOPER</w:t>
            </w:r>
          </w:p>
        </w:tc>
      </w:tr>
      <w:tr w:rsidR="00072A69" w:rsidRPr="00DC6DF9" w14:paraId="1A264E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0EF5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1496</w:t>
            </w:r>
          </w:p>
        </w:tc>
        <w:tc>
          <w:tcPr>
            <w:tcW w:w="1036" w:type="dxa"/>
            <w:tcBorders>
              <w:top w:val="nil"/>
              <w:left w:val="nil"/>
              <w:bottom w:val="single" w:sz="4" w:space="0" w:color="auto"/>
              <w:right w:val="single" w:sz="4" w:space="0" w:color="auto"/>
            </w:tcBorders>
            <w:shd w:val="clear" w:color="auto" w:fill="auto"/>
            <w:noWrap/>
            <w:vAlign w:val="center"/>
            <w:hideMark/>
          </w:tcPr>
          <w:p w14:paraId="40F1FE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5055920000</w:t>
            </w:r>
          </w:p>
        </w:tc>
        <w:tc>
          <w:tcPr>
            <w:tcW w:w="1036" w:type="dxa"/>
            <w:tcBorders>
              <w:top w:val="nil"/>
              <w:left w:val="nil"/>
              <w:bottom w:val="single" w:sz="4" w:space="0" w:color="auto"/>
              <w:right w:val="single" w:sz="4" w:space="0" w:color="auto"/>
            </w:tcBorders>
            <w:shd w:val="clear" w:color="auto" w:fill="auto"/>
            <w:noWrap/>
            <w:vAlign w:val="center"/>
            <w:hideMark/>
          </w:tcPr>
          <w:p w14:paraId="1EC211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24100978</w:t>
            </w:r>
          </w:p>
        </w:tc>
        <w:tc>
          <w:tcPr>
            <w:tcW w:w="160" w:type="dxa"/>
            <w:tcBorders>
              <w:top w:val="nil"/>
              <w:left w:val="nil"/>
              <w:bottom w:val="single" w:sz="4" w:space="0" w:color="auto"/>
              <w:right w:val="nil"/>
            </w:tcBorders>
            <w:vAlign w:val="center"/>
          </w:tcPr>
          <w:p w14:paraId="162619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9A8D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MUZEJ MARIBOR</w:t>
            </w:r>
          </w:p>
        </w:tc>
      </w:tr>
      <w:tr w:rsidR="00072A69" w:rsidRPr="00DC6DF9" w14:paraId="342768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9ED1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1497</w:t>
            </w:r>
          </w:p>
        </w:tc>
        <w:tc>
          <w:tcPr>
            <w:tcW w:w="1036" w:type="dxa"/>
            <w:tcBorders>
              <w:top w:val="nil"/>
              <w:left w:val="nil"/>
              <w:bottom w:val="single" w:sz="4" w:space="0" w:color="auto"/>
              <w:right w:val="single" w:sz="4" w:space="0" w:color="auto"/>
            </w:tcBorders>
            <w:shd w:val="clear" w:color="auto" w:fill="auto"/>
            <w:noWrap/>
            <w:vAlign w:val="center"/>
            <w:hideMark/>
          </w:tcPr>
          <w:p w14:paraId="49DDDA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5052823000</w:t>
            </w:r>
          </w:p>
        </w:tc>
        <w:tc>
          <w:tcPr>
            <w:tcW w:w="1036" w:type="dxa"/>
            <w:tcBorders>
              <w:top w:val="nil"/>
              <w:left w:val="nil"/>
              <w:bottom w:val="single" w:sz="4" w:space="0" w:color="auto"/>
              <w:right w:val="single" w:sz="4" w:space="0" w:color="auto"/>
            </w:tcBorders>
            <w:shd w:val="clear" w:color="auto" w:fill="auto"/>
            <w:noWrap/>
            <w:vAlign w:val="center"/>
            <w:hideMark/>
          </w:tcPr>
          <w:p w14:paraId="5F0A6F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89285492</w:t>
            </w:r>
          </w:p>
        </w:tc>
        <w:tc>
          <w:tcPr>
            <w:tcW w:w="160" w:type="dxa"/>
            <w:tcBorders>
              <w:top w:val="nil"/>
              <w:left w:val="nil"/>
              <w:bottom w:val="single" w:sz="4" w:space="0" w:color="auto"/>
              <w:right w:val="nil"/>
            </w:tcBorders>
            <w:vAlign w:val="center"/>
          </w:tcPr>
          <w:p w14:paraId="2E7433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E311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POKRAJINSKI MUZEJ PTUJ - ORMOŽ</w:t>
            </w:r>
          </w:p>
        </w:tc>
      </w:tr>
      <w:tr w:rsidR="00072A69" w:rsidRPr="00DC6DF9" w14:paraId="2DF816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E31C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1498</w:t>
            </w:r>
          </w:p>
        </w:tc>
        <w:tc>
          <w:tcPr>
            <w:tcW w:w="1036" w:type="dxa"/>
            <w:tcBorders>
              <w:top w:val="nil"/>
              <w:left w:val="nil"/>
              <w:bottom w:val="single" w:sz="4" w:space="0" w:color="auto"/>
              <w:right w:val="single" w:sz="4" w:space="0" w:color="auto"/>
            </w:tcBorders>
            <w:shd w:val="clear" w:color="auto" w:fill="auto"/>
            <w:noWrap/>
            <w:vAlign w:val="center"/>
            <w:hideMark/>
          </w:tcPr>
          <w:p w14:paraId="31C754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1332813000</w:t>
            </w:r>
          </w:p>
        </w:tc>
        <w:tc>
          <w:tcPr>
            <w:tcW w:w="1036" w:type="dxa"/>
            <w:tcBorders>
              <w:top w:val="nil"/>
              <w:left w:val="nil"/>
              <w:bottom w:val="single" w:sz="4" w:space="0" w:color="auto"/>
              <w:right w:val="single" w:sz="4" w:space="0" w:color="auto"/>
            </w:tcBorders>
            <w:shd w:val="clear" w:color="auto" w:fill="auto"/>
            <w:noWrap/>
            <w:vAlign w:val="center"/>
            <w:hideMark/>
          </w:tcPr>
          <w:p w14:paraId="46F5FB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65D14C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7CA5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POLICIJA</w:t>
            </w:r>
          </w:p>
        </w:tc>
      </w:tr>
      <w:tr w:rsidR="00072A69" w:rsidRPr="00DC6DF9" w14:paraId="4C3468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788D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1499</w:t>
            </w:r>
          </w:p>
        </w:tc>
        <w:tc>
          <w:tcPr>
            <w:tcW w:w="1036" w:type="dxa"/>
            <w:tcBorders>
              <w:top w:val="nil"/>
              <w:left w:val="nil"/>
              <w:bottom w:val="single" w:sz="4" w:space="0" w:color="auto"/>
              <w:right w:val="single" w:sz="4" w:space="0" w:color="auto"/>
            </w:tcBorders>
            <w:shd w:val="clear" w:color="auto" w:fill="auto"/>
            <w:noWrap/>
            <w:vAlign w:val="center"/>
            <w:hideMark/>
          </w:tcPr>
          <w:p w14:paraId="28C8F6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1332813008</w:t>
            </w:r>
          </w:p>
        </w:tc>
        <w:tc>
          <w:tcPr>
            <w:tcW w:w="1036" w:type="dxa"/>
            <w:tcBorders>
              <w:top w:val="nil"/>
              <w:left w:val="nil"/>
              <w:bottom w:val="single" w:sz="4" w:space="0" w:color="auto"/>
              <w:right w:val="single" w:sz="4" w:space="0" w:color="auto"/>
            </w:tcBorders>
            <w:shd w:val="clear" w:color="auto" w:fill="auto"/>
            <w:noWrap/>
            <w:vAlign w:val="center"/>
            <w:hideMark/>
          </w:tcPr>
          <w:p w14:paraId="40B7D6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67A4F6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9744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CELJE</w:t>
            </w:r>
          </w:p>
        </w:tc>
      </w:tr>
      <w:tr w:rsidR="00072A69" w:rsidRPr="00DC6DF9" w14:paraId="11BA5C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8CEF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1500</w:t>
            </w:r>
          </w:p>
        </w:tc>
        <w:tc>
          <w:tcPr>
            <w:tcW w:w="1036" w:type="dxa"/>
            <w:tcBorders>
              <w:top w:val="nil"/>
              <w:left w:val="nil"/>
              <w:bottom w:val="single" w:sz="4" w:space="0" w:color="auto"/>
              <w:right w:val="single" w:sz="4" w:space="0" w:color="auto"/>
            </w:tcBorders>
            <w:shd w:val="clear" w:color="auto" w:fill="auto"/>
            <w:noWrap/>
            <w:vAlign w:val="center"/>
            <w:hideMark/>
          </w:tcPr>
          <w:p w14:paraId="66DB04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1332813027</w:t>
            </w:r>
          </w:p>
        </w:tc>
        <w:tc>
          <w:tcPr>
            <w:tcW w:w="1036" w:type="dxa"/>
            <w:tcBorders>
              <w:top w:val="nil"/>
              <w:left w:val="nil"/>
              <w:bottom w:val="single" w:sz="4" w:space="0" w:color="auto"/>
              <w:right w:val="single" w:sz="4" w:space="0" w:color="auto"/>
            </w:tcBorders>
            <w:shd w:val="clear" w:color="auto" w:fill="auto"/>
            <w:noWrap/>
            <w:vAlign w:val="center"/>
            <w:hideMark/>
          </w:tcPr>
          <w:p w14:paraId="7B5A78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58CBFC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A60F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KOPER</w:t>
            </w:r>
          </w:p>
        </w:tc>
      </w:tr>
      <w:tr w:rsidR="00072A69" w:rsidRPr="00DC6DF9" w14:paraId="381810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7DAF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1501</w:t>
            </w:r>
          </w:p>
        </w:tc>
        <w:tc>
          <w:tcPr>
            <w:tcW w:w="1036" w:type="dxa"/>
            <w:tcBorders>
              <w:top w:val="nil"/>
              <w:left w:val="nil"/>
              <w:bottom w:val="single" w:sz="4" w:space="0" w:color="auto"/>
              <w:right w:val="single" w:sz="4" w:space="0" w:color="auto"/>
            </w:tcBorders>
            <w:shd w:val="clear" w:color="auto" w:fill="auto"/>
            <w:noWrap/>
            <w:vAlign w:val="center"/>
            <w:hideMark/>
          </w:tcPr>
          <w:p w14:paraId="31BAA5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1332813054</w:t>
            </w:r>
          </w:p>
        </w:tc>
        <w:tc>
          <w:tcPr>
            <w:tcW w:w="1036" w:type="dxa"/>
            <w:tcBorders>
              <w:top w:val="nil"/>
              <w:left w:val="nil"/>
              <w:bottom w:val="single" w:sz="4" w:space="0" w:color="auto"/>
              <w:right w:val="single" w:sz="4" w:space="0" w:color="auto"/>
            </w:tcBorders>
            <w:shd w:val="clear" w:color="auto" w:fill="auto"/>
            <w:noWrap/>
            <w:vAlign w:val="center"/>
            <w:hideMark/>
          </w:tcPr>
          <w:p w14:paraId="607807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77B2C2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D7E2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LJUBLJANA</w:t>
            </w:r>
          </w:p>
        </w:tc>
      </w:tr>
      <w:tr w:rsidR="00072A69" w:rsidRPr="00DC6DF9" w14:paraId="695BDE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458D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1502</w:t>
            </w:r>
          </w:p>
        </w:tc>
        <w:tc>
          <w:tcPr>
            <w:tcW w:w="1036" w:type="dxa"/>
            <w:tcBorders>
              <w:top w:val="nil"/>
              <w:left w:val="nil"/>
              <w:bottom w:val="single" w:sz="4" w:space="0" w:color="auto"/>
              <w:right w:val="single" w:sz="4" w:space="0" w:color="auto"/>
            </w:tcBorders>
            <w:shd w:val="clear" w:color="auto" w:fill="auto"/>
            <w:noWrap/>
            <w:vAlign w:val="center"/>
            <w:hideMark/>
          </w:tcPr>
          <w:p w14:paraId="1D552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1332813077</w:t>
            </w:r>
          </w:p>
        </w:tc>
        <w:tc>
          <w:tcPr>
            <w:tcW w:w="1036" w:type="dxa"/>
            <w:tcBorders>
              <w:top w:val="nil"/>
              <w:left w:val="nil"/>
              <w:bottom w:val="single" w:sz="4" w:space="0" w:color="auto"/>
              <w:right w:val="single" w:sz="4" w:space="0" w:color="auto"/>
            </w:tcBorders>
            <w:shd w:val="clear" w:color="auto" w:fill="auto"/>
            <w:noWrap/>
            <w:vAlign w:val="center"/>
            <w:hideMark/>
          </w:tcPr>
          <w:p w14:paraId="668BBA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1989F9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D282D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MARIBOR</w:t>
            </w:r>
          </w:p>
        </w:tc>
      </w:tr>
      <w:tr w:rsidR="00072A69" w:rsidRPr="00DC6DF9" w14:paraId="0B5A0F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79FC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1503</w:t>
            </w:r>
          </w:p>
        </w:tc>
        <w:tc>
          <w:tcPr>
            <w:tcW w:w="1036" w:type="dxa"/>
            <w:tcBorders>
              <w:top w:val="nil"/>
              <w:left w:val="nil"/>
              <w:bottom w:val="single" w:sz="4" w:space="0" w:color="auto"/>
              <w:right w:val="single" w:sz="4" w:space="0" w:color="auto"/>
            </w:tcBorders>
            <w:shd w:val="clear" w:color="auto" w:fill="auto"/>
            <w:noWrap/>
            <w:vAlign w:val="center"/>
            <w:hideMark/>
          </w:tcPr>
          <w:p w14:paraId="56D38F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1332813095</w:t>
            </w:r>
          </w:p>
        </w:tc>
        <w:tc>
          <w:tcPr>
            <w:tcW w:w="1036" w:type="dxa"/>
            <w:tcBorders>
              <w:top w:val="nil"/>
              <w:left w:val="nil"/>
              <w:bottom w:val="single" w:sz="4" w:space="0" w:color="auto"/>
              <w:right w:val="single" w:sz="4" w:space="0" w:color="auto"/>
            </w:tcBorders>
            <w:shd w:val="clear" w:color="auto" w:fill="auto"/>
            <w:noWrap/>
            <w:vAlign w:val="center"/>
            <w:hideMark/>
          </w:tcPr>
          <w:p w14:paraId="0D33C8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16B13B1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34C4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MURSKA SOBOTA</w:t>
            </w:r>
          </w:p>
        </w:tc>
      </w:tr>
      <w:tr w:rsidR="00072A69" w:rsidRPr="00DC6DF9" w14:paraId="04E32A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057D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1504</w:t>
            </w:r>
          </w:p>
        </w:tc>
        <w:tc>
          <w:tcPr>
            <w:tcW w:w="1036" w:type="dxa"/>
            <w:tcBorders>
              <w:top w:val="nil"/>
              <w:left w:val="nil"/>
              <w:bottom w:val="single" w:sz="4" w:space="0" w:color="auto"/>
              <w:right w:val="single" w:sz="4" w:space="0" w:color="auto"/>
            </w:tcBorders>
            <w:shd w:val="clear" w:color="auto" w:fill="auto"/>
            <w:noWrap/>
            <w:vAlign w:val="center"/>
            <w:hideMark/>
          </w:tcPr>
          <w:p w14:paraId="02BBDC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1332813104</w:t>
            </w:r>
          </w:p>
        </w:tc>
        <w:tc>
          <w:tcPr>
            <w:tcW w:w="1036" w:type="dxa"/>
            <w:tcBorders>
              <w:top w:val="nil"/>
              <w:left w:val="nil"/>
              <w:bottom w:val="single" w:sz="4" w:space="0" w:color="auto"/>
              <w:right w:val="single" w:sz="4" w:space="0" w:color="auto"/>
            </w:tcBorders>
            <w:shd w:val="clear" w:color="auto" w:fill="auto"/>
            <w:noWrap/>
            <w:vAlign w:val="center"/>
            <w:hideMark/>
          </w:tcPr>
          <w:p w14:paraId="7BF80C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75F799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DAD9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NOVA GORICA</w:t>
            </w:r>
          </w:p>
        </w:tc>
      </w:tr>
      <w:tr w:rsidR="00072A69" w:rsidRPr="00DC6DF9" w14:paraId="73AC31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E528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1505</w:t>
            </w:r>
          </w:p>
        </w:tc>
        <w:tc>
          <w:tcPr>
            <w:tcW w:w="1036" w:type="dxa"/>
            <w:tcBorders>
              <w:top w:val="nil"/>
              <w:left w:val="nil"/>
              <w:bottom w:val="single" w:sz="4" w:space="0" w:color="auto"/>
              <w:right w:val="single" w:sz="4" w:space="0" w:color="auto"/>
            </w:tcBorders>
            <w:shd w:val="clear" w:color="auto" w:fill="auto"/>
            <w:noWrap/>
            <w:vAlign w:val="center"/>
            <w:hideMark/>
          </w:tcPr>
          <w:p w14:paraId="0757A9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1332813112</w:t>
            </w:r>
          </w:p>
        </w:tc>
        <w:tc>
          <w:tcPr>
            <w:tcW w:w="1036" w:type="dxa"/>
            <w:tcBorders>
              <w:top w:val="nil"/>
              <w:left w:val="nil"/>
              <w:bottom w:val="single" w:sz="4" w:space="0" w:color="auto"/>
              <w:right w:val="single" w:sz="4" w:space="0" w:color="auto"/>
            </w:tcBorders>
            <w:shd w:val="clear" w:color="auto" w:fill="auto"/>
            <w:noWrap/>
            <w:vAlign w:val="center"/>
            <w:hideMark/>
          </w:tcPr>
          <w:p w14:paraId="491830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47429518</w:t>
            </w:r>
          </w:p>
        </w:tc>
        <w:tc>
          <w:tcPr>
            <w:tcW w:w="160" w:type="dxa"/>
            <w:tcBorders>
              <w:top w:val="nil"/>
              <w:left w:val="nil"/>
              <w:bottom w:val="single" w:sz="4" w:space="0" w:color="auto"/>
              <w:right w:val="nil"/>
            </w:tcBorders>
            <w:vAlign w:val="center"/>
          </w:tcPr>
          <w:p w14:paraId="400C3A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3170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POLICIJSKA UPRAVA NOVO MESTO</w:t>
            </w:r>
          </w:p>
        </w:tc>
      </w:tr>
      <w:tr w:rsidR="00072A69" w:rsidRPr="00DC6DF9" w14:paraId="2A8EC4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F6A4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1506</w:t>
            </w:r>
          </w:p>
        </w:tc>
        <w:tc>
          <w:tcPr>
            <w:tcW w:w="1036" w:type="dxa"/>
            <w:tcBorders>
              <w:top w:val="nil"/>
              <w:left w:val="nil"/>
              <w:bottom w:val="single" w:sz="4" w:space="0" w:color="auto"/>
              <w:right w:val="single" w:sz="4" w:space="0" w:color="auto"/>
            </w:tcBorders>
            <w:shd w:val="clear" w:color="auto" w:fill="auto"/>
            <w:noWrap/>
            <w:vAlign w:val="center"/>
            <w:hideMark/>
          </w:tcPr>
          <w:p w14:paraId="241483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5052238000</w:t>
            </w:r>
          </w:p>
        </w:tc>
        <w:tc>
          <w:tcPr>
            <w:tcW w:w="1036" w:type="dxa"/>
            <w:tcBorders>
              <w:top w:val="nil"/>
              <w:left w:val="nil"/>
              <w:bottom w:val="single" w:sz="4" w:space="0" w:color="auto"/>
              <w:right w:val="single" w:sz="4" w:space="0" w:color="auto"/>
            </w:tcBorders>
            <w:shd w:val="clear" w:color="auto" w:fill="auto"/>
            <w:noWrap/>
            <w:vAlign w:val="center"/>
            <w:hideMark/>
          </w:tcPr>
          <w:p w14:paraId="41F385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19410735</w:t>
            </w:r>
          </w:p>
        </w:tc>
        <w:tc>
          <w:tcPr>
            <w:tcW w:w="160" w:type="dxa"/>
            <w:tcBorders>
              <w:top w:val="nil"/>
              <w:left w:val="nil"/>
              <w:bottom w:val="single" w:sz="4" w:space="0" w:color="auto"/>
              <w:right w:val="nil"/>
            </w:tcBorders>
            <w:vAlign w:val="center"/>
          </w:tcPr>
          <w:p w14:paraId="36517C7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1F9B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POMORSKI MUZEJ PIRAN</w:t>
            </w:r>
          </w:p>
        </w:tc>
      </w:tr>
      <w:tr w:rsidR="00072A69" w:rsidRPr="00DC6DF9" w14:paraId="786F77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0A1E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1507</w:t>
            </w:r>
          </w:p>
        </w:tc>
        <w:tc>
          <w:tcPr>
            <w:tcW w:w="1036" w:type="dxa"/>
            <w:tcBorders>
              <w:top w:val="nil"/>
              <w:left w:val="nil"/>
              <w:bottom w:val="single" w:sz="4" w:space="0" w:color="auto"/>
              <w:right w:val="single" w:sz="4" w:space="0" w:color="auto"/>
            </w:tcBorders>
            <w:shd w:val="clear" w:color="auto" w:fill="auto"/>
            <w:noWrap/>
            <w:vAlign w:val="center"/>
            <w:hideMark/>
          </w:tcPr>
          <w:p w14:paraId="1937D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5782384000</w:t>
            </w:r>
          </w:p>
        </w:tc>
        <w:tc>
          <w:tcPr>
            <w:tcW w:w="1036" w:type="dxa"/>
            <w:tcBorders>
              <w:top w:val="nil"/>
              <w:left w:val="nil"/>
              <w:bottom w:val="single" w:sz="4" w:space="0" w:color="auto"/>
              <w:right w:val="single" w:sz="4" w:space="0" w:color="auto"/>
            </w:tcBorders>
            <w:shd w:val="clear" w:color="auto" w:fill="auto"/>
            <w:noWrap/>
            <w:vAlign w:val="center"/>
            <w:hideMark/>
          </w:tcPr>
          <w:p w14:paraId="0E56A1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79384820</w:t>
            </w:r>
          </w:p>
        </w:tc>
        <w:tc>
          <w:tcPr>
            <w:tcW w:w="160" w:type="dxa"/>
            <w:tcBorders>
              <w:top w:val="nil"/>
              <w:left w:val="nil"/>
              <w:bottom w:val="single" w:sz="4" w:space="0" w:color="auto"/>
              <w:right w:val="nil"/>
            </w:tcBorders>
            <w:vAlign w:val="center"/>
          </w:tcPr>
          <w:p w14:paraId="2C744B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7E32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POMURSKA MADŽARSKA SAMOUPRAVNA NARODNA SKUPNOST MURAVIDEKI</w:t>
            </w:r>
          </w:p>
        </w:tc>
      </w:tr>
      <w:tr w:rsidR="00072A69" w:rsidRPr="00DC6DF9" w14:paraId="0646F5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40B1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1508</w:t>
            </w:r>
          </w:p>
        </w:tc>
        <w:tc>
          <w:tcPr>
            <w:tcW w:w="1036" w:type="dxa"/>
            <w:tcBorders>
              <w:top w:val="nil"/>
              <w:left w:val="nil"/>
              <w:bottom w:val="single" w:sz="4" w:space="0" w:color="auto"/>
              <w:right w:val="single" w:sz="4" w:space="0" w:color="auto"/>
            </w:tcBorders>
            <w:shd w:val="clear" w:color="auto" w:fill="auto"/>
            <w:noWrap/>
            <w:vAlign w:val="center"/>
            <w:hideMark/>
          </w:tcPr>
          <w:p w14:paraId="37F382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5054516000</w:t>
            </w:r>
          </w:p>
        </w:tc>
        <w:tc>
          <w:tcPr>
            <w:tcW w:w="1036" w:type="dxa"/>
            <w:tcBorders>
              <w:top w:val="nil"/>
              <w:left w:val="nil"/>
              <w:bottom w:val="single" w:sz="4" w:space="0" w:color="auto"/>
              <w:right w:val="single" w:sz="4" w:space="0" w:color="auto"/>
            </w:tcBorders>
            <w:shd w:val="clear" w:color="auto" w:fill="auto"/>
            <w:noWrap/>
            <w:vAlign w:val="center"/>
            <w:hideMark/>
          </w:tcPr>
          <w:p w14:paraId="13E0BE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96617756</w:t>
            </w:r>
          </w:p>
        </w:tc>
        <w:tc>
          <w:tcPr>
            <w:tcW w:w="160" w:type="dxa"/>
            <w:tcBorders>
              <w:top w:val="nil"/>
              <w:left w:val="nil"/>
              <w:bottom w:val="single" w:sz="4" w:space="0" w:color="auto"/>
              <w:right w:val="nil"/>
            </w:tcBorders>
            <w:vAlign w:val="center"/>
          </w:tcPr>
          <w:p w14:paraId="2FF0D3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DDA6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POMURSKE LEKARNE</w:t>
            </w:r>
          </w:p>
        </w:tc>
      </w:tr>
      <w:tr w:rsidR="00072A69" w:rsidRPr="00DC6DF9" w14:paraId="36EA79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B3874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1509</w:t>
            </w:r>
          </w:p>
        </w:tc>
        <w:tc>
          <w:tcPr>
            <w:tcW w:w="1036" w:type="dxa"/>
            <w:tcBorders>
              <w:top w:val="nil"/>
              <w:left w:val="nil"/>
              <w:bottom w:val="single" w:sz="4" w:space="0" w:color="auto"/>
              <w:right w:val="single" w:sz="4" w:space="0" w:color="auto"/>
            </w:tcBorders>
            <w:shd w:val="clear" w:color="auto" w:fill="auto"/>
            <w:noWrap/>
            <w:vAlign w:val="center"/>
            <w:hideMark/>
          </w:tcPr>
          <w:p w14:paraId="6FE1B7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5676282000</w:t>
            </w:r>
          </w:p>
        </w:tc>
        <w:tc>
          <w:tcPr>
            <w:tcW w:w="1036" w:type="dxa"/>
            <w:tcBorders>
              <w:top w:val="nil"/>
              <w:left w:val="nil"/>
              <w:bottom w:val="single" w:sz="4" w:space="0" w:color="auto"/>
              <w:right w:val="single" w:sz="4" w:space="0" w:color="auto"/>
            </w:tcBorders>
            <w:shd w:val="clear" w:color="auto" w:fill="auto"/>
            <w:noWrap/>
            <w:vAlign w:val="center"/>
            <w:hideMark/>
          </w:tcPr>
          <w:p w14:paraId="4139D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57725845</w:t>
            </w:r>
          </w:p>
        </w:tc>
        <w:tc>
          <w:tcPr>
            <w:tcW w:w="160" w:type="dxa"/>
            <w:tcBorders>
              <w:top w:val="nil"/>
              <w:left w:val="nil"/>
              <w:bottom w:val="single" w:sz="4" w:space="0" w:color="auto"/>
              <w:right w:val="nil"/>
            </w:tcBorders>
            <w:vAlign w:val="center"/>
          </w:tcPr>
          <w:p w14:paraId="625C06B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7B43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POMURSKI MUZEJ MURSKA SOBOTA</w:t>
            </w:r>
          </w:p>
        </w:tc>
      </w:tr>
      <w:tr w:rsidR="00072A69" w:rsidRPr="00DC6DF9" w14:paraId="26F40A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349A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1510</w:t>
            </w:r>
          </w:p>
        </w:tc>
        <w:tc>
          <w:tcPr>
            <w:tcW w:w="1036" w:type="dxa"/>
            <w:tcBorders>
              <w:top w:val="nil"/>
              <w:left w:val="nil"/>
              <w:bottom w:val="single" w:sz="4" w:space="0" w:color="auto"/>
              <w:right w:val="single" w:sz="4" w:space="0" w:color="auto"/>
            </w:tcBorders>
            <w:shd w:val="clear" w:color="auto" w:fill="auto"/>
            <w:noWrap/>
            <w:vAlign w:val="center"/>
            <w:hideMark/>
          </w:tcPr>
          <w:p w14:paraId="691292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5051797000</w:t>
            </w:r>
          </w:p>
        </w:tc>
        <w:tc>
          <w:tcPr>
            <w:tcW w:w="1036" w:type="dxa"/>
            <w:tcBorders>
              <w:top w:val="nil"/>
              <w:left w:val="nil"/>
              <w:bottom w:val="single" w:sz="4" w:space="0" w:color="auto"/>
              <w:right w:val="single" w:sz="4" w:space="0" w:color="auto"/>
            </w:tcBorders>
            <w:shd w:val="clear" w:color="auto" w:fill="auto"/>
            <w:noWrap/>
            <w:vAlign w:val="center"/>
            <w:hideMark/>
          </w:tcPr>
          <w:p w14:paraId="089BE1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90721179</w:t>
            </w:r>
          </w:p>
        </w:tc>
        <w:tc>
          <w:tcPr>
            <w:tcW w:w="160" w:type="dxa"/>
            <w:tcBorders>
              <w:top w:val="nil"/>
              <w:left w:val="nil"/>
              <w:bottom w:val="single" w:sz="4" w:space="0" w:color="auto"/>
              <w:right w:val="nil"/>
            </w:tcBorders>
            <w:vAlign w:val="center"/>
          </w:tcPr>
          <w:p w14:paraId="5F1462D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21C7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POSAVSKI MUZEJ BREŽICE</w:t>
            </w:r>
          </w:p>
        </w:tc>
      </w:tr>
      <w:tr w:rsidR="00072A69" w:rsidRPr="00DC6DF9" w14:paraId="651FB54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553D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1511</w:t>
            </w:r>
          </w:p>
        </w:tc>
        <w:tc>
          <w:tcPr>
            <w:tcW w:w="1036" w:type="dxa"/>
            <w:tcBorders>
              <w:top w:val="nil"/>
              <w:left w:val="nil"/>
              <w:bottom w:val="single" w:sz="4" w:space="0" w:color="auto"/>
              <w:right w:val="single" w:sz="4" w:space="0" w:color="auto"/>
            </w:tcBorders>
            <w:shd w:val="clear" w:color="auto" w:fill="auto"/>
            <w:noWrap/>
            <w:vAlign w:val="center"/>
            <w:hideMark/>
          </w:tcPr>
          <w:p w14:paraId="1035C7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1414933000</w:t>
            </w:r>
          </w:p>
        </w:tc>
        <w:tc>
          <w:tcPr>
            <w:tcW w:w="1036" w:type="dxa"/>
            <w:tcBorders>
              <w:top w:val="nil"/>
              <w:left w:val="nil"/>
              <w:bottom w:val="single" w:sz="4" w:space="0" w:color="auto"/>
              <w:right w:val="single" w:sz="4" w:space="0" w:color="auto"/>
            </w:tcBorders>
            <w:shd w:val="clear" w:color="auto" w:fill="auto"/>
            <w:noWrap/>
            <w:vAlign w:val="center"/>
            <w:hideMark/>
          </w:tcPr>
          <w:p w14:paraId="7A2028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32155425</w:t>
            </w:r>
          </w:p>
        </w:tc>
        <w:tc>
          <w:tcPr>
            <w:tcW w:w="160" w:type="dxa"/>
            <w:tcBorders>
              <w:top w:val="nil"/>
              <w:left w:val="nil"/>
              <w:bottom w:val="single" w:sz="4" w:space="0" w:color="auto"/>
              <w:right w:val="nil"/>
            </w:tcBorders>
            <w:vAlign w:val="center"/>
          </w:tcPr>
          <w:p w14:paraId="3EBC17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E10F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POSOŠKI RAZVOJNI CENTER</w:t>
            </w:r>
          </w:p>
        </w:tc>
      </w:tr>
      <w:tr w:rsidR="00072A69" w:rsidRPr="00DC6DF9" w14:paraId="4A82AA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7A18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1512</w:t>
            </w:r>
          </w:p>
        </w:tc>
        <w:tc>
          <w:tcPr>
            <w:tcW w:w="1036" w:type="dxa"/>
            <w:tcBorders>
              <w:top w:val="nil"/>
              <w:left w:val="nil"/>
              <w:bottom w:val="single" w:sz="4" w:space="0" w:color="auto"/>
              <w:right w:val="single" w:sz="4" w:space="0" w:color="auto"/>
            </w:tcBorders>
            <w:shd w:val="clear" w:color="auto" w:fill="auto"/>
            <w:noWrap/>
            <w:vAlign w:val="center"/>
            <w:hideMark/>
          </w:tcPr>
          <w:p w14:paraId="43131F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5981751000</w:t>
            </w:r>
          </w:p>
        </w:tc>
        <w:tc>
          <w:tcPr>
            <w:tcW w:w="1036" w:type="dxa"/>
            <w:tcBorders>
              <w:top w:val="nil"/>
              <w:left w:val="nil"/>
              <w:bottom w:val="single" w:sz="4" w:space="0" w:color="auto"/>
              <w:right w:val="single" w:sz="4" w:space="0" w:color="auto"/>
            </w:tcBorders>
            <w:shd w:val="clear" w:color="auto" w:fill="auto"/>
            <w:noWrap/>
            <w:vAlign w:val="center"/>
            <w:hideMark/>
          </w:tcPr>
          <w:p w14:paraId="4FBE07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99965941</w:t>
            </w:r>
          </w:p>
        </w:tc>
        <w:tc>
          <w:tcPr>
            <w:tcW w:w="160" w:type="dxa"/>
            <w:tcBorders>
              <w:top w:val="nil"/>
              <w:left w:val="nil"/>
              <w:bottom w:val="single" w:sz="4" w:space="0" w:color="auto"/>
              <w:right w:val="nil"/>
            </w:tcBorders>
            <w:vAlign w:val="center"/>
          </w:tcPr>
          <w:p w14:paraId="482E7E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AAEE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POSVETOVALNICA ZA UČENCE IN STARŠE NOVO MESTO</w:t>
            </w:r>
          </w:p>
        </w:tc>
      </w:tr>
      <w:tr w:rsidR="00072A69" w:rsidRPr="00DC6DF9" w14:paraId="34DAF6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CCF7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1513</w:t>
            </w:r>
          </w:p>
        </w:tc>
        <w:tc>
          <w:tcPr>
            <w:tcW w:w="1036" w:type="dxa"/>
            <w:tcBorders>
              <w:top w:val="nil"/>
              <w:left w:val="nil"/>
              <w:bottom w:val="single" w:sz="4" w:space="0" w:color="auto"/>
              <w:right w:val="single" w:sz="4" w:space="0" w:color="auto"/>
            </w:tcBorders>
            <w:shd w:val="clear" w:color="auto" w:fill="auto"/>
            <w:noWrap/>
            <w:vAlign w:val="center"/>
            <w:hideMark/>
          </w:tcPr>
          <w:p w14:paraId="7F4F83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5881447000</w:t>
            </w:r>
          </w:p>
        </w:tc>
        <w:tc>
          <w:tcPr>
            <w:tcW w:w="1036" w:type="dxa"/>
            <w:tcBorders>
              <w:top w:val="nil"/>
              <w:left w:val="nil"/>
              <w:bottom w:val="single" w:sz="4" w:space="0" w:color="auto"/>
              <w:right w:val="single" w:sz="4" w:space="0" w:color="auto"/>
            </w:tcBorders>
            <w:shd w:val="clear" w:color="auto" w:fill="auto"/>
            <w:noWrap/>
            <w:vAlign w:val="center"/>
            <w:hideMark/>
          </w:tcPr>
          <w:p w14:paraId="2878A2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25028022</w:t>
            </w:r>
          </w:p>
        </w:tc>
        <w:tc>
          <w:tcPr>
            <w:tcW w:w="160" w:type="dxa"/>
            <w:tcBorders>
              <w:top w:val="nil"/>
              <w:left w:val="nil"/>
              <w:bottom w:val="single" w:sz="4" w:space="0" w:color="auto"/>
              <w:right w:val="nil"/>
            </w:tcBorders>
            <w:vAlign w:val="center"/>
          </w:tcPr>
          <w:p w14:paraId="3702F1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EFB4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POŠTA SLOVENIJE, D. O. O. </w:t>
            </w:r>
          </w:p>
        </w:tc>
      </w:tr>
      <w:tr w:rsidR="00072A69" w:rsidRPr="00DC6DF9" w14:paraId="64464D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20BA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1514</w:t>
            </w:r>
          </w:p>
        </w:tc>
        <w:tc>
          <w:tcPr>
            <w:tcW w:w="1036" w:type="dxa"/>
            <w:tcBorders>
              <w:top w:val="nil"/>
              <w:left w:val="nil"/>
              <w:bottom w:val="single" w:sz="4" w:space="0" w:color="auto"/>
              <w:right w:val="single" w:sz="4" w:space="0" w:color="auto"/>
            </w:tcBorders>
            <w:shd w:val="clear" w:color="auto" w:fill="auto"/>
            <w:noWrap/>
            <w:vAlign w:val="center"/>
            <w:hideMark/>
          </w:tcPr>
          <w:p w14:paraId="35AD5B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5040361000</w:t>
            </w:r>
          </w:p>
        </w:tc>
        <w:tc>
          <w:tcPr>
            <w:tcW w:w="1036" w:type="dxa"/>
            <w:tcBorders>
              <w:top w:val="nil"/>
              <w:left w:val="nil"/>
              <w:bottom w:val="single" w:sz="4" w:space="0" w:color="auto"/>
              <w:right w:val="single" w:sz="4" w:space="0" w:color="auto"/>
            </w:tcBorders>
            <w:shd w:val="clear" w:color="auto" w:fill="auto"/>
            <w:noWrap/>
            <w:vAlign w:val="center"/>
            <w:hideMark/>
          </w:tcPr>
          <w:p w14:paraId="569150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92231217</w:t>
            </w:r>
          </w:p>
        </w:tc>
        <w:tc>
          <w:tcPr>
            <w:tcW w:w="160" w:type="dxa"/>
            <w:tcBorders>
              <w:top w:val="nil"/>
              <w:left w:val="nil"/>
              <w:bottom w:val="single" w:sz="4" w:space="0" w:color="auto"/>
              <w:right w:val="nil"/>
            </w:tcBorders>
            <w:vAlign w:val="center"/>
          </w:tcPr>
          <w:p w14:paraId="1FC0B07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3DCF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PREMOGOVNIK VELENJE, D. O. O. </w:t>
            </w:r>
          </w:p>
        </w:tc>
      </w:tr>
      <w:tr w:rsidR="00072A69" w:rsidRPr="00DC6DF9" w14:paraId="25AFBC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24B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1515</w:t>
            </w:r>
          </w:p>
        </w:tc>
        <w:tc>
          <w:tcPr>
            <w:tcW w:w="1036" w:type="dxa"/>
            <w:tcBorders>
              <w:top w:val="nil"/>
              <w:left w:val="nil"/>
              <w:bottom w:val="single" w:sz="4" w:space="0" w:color="auto"/>
              <w:right w:val="single" w:sz="4" w:space="0" w:color="auto"/>
            </w:tcBorders>
            <w:shd w:val="clear" w:color="auto" w:fill="auto"/>
            <w:noWrap/>
            <w:vAlign w:val="center"/>
            <w:hideMark/>
          </w:tcPr>
          <w:p w14:paraId="33E1A4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5053153000</w:t>
            </w:r>
          </w:p>
        </w:tc>
        <w:tc>
          <w:tcPr>
            <w:tcW w:w="1036" w:type="dxa"/>
            <w:tcBorders>
              <w:top w:val="nil"/>
              <w:left w:val="nil"/>
              <w:bottom w:val="single" w:sz="4" w:space="0" w:color="auto"/>
              <w:right w:val="single" w:sz="4" w:space="0" w:color="auto"/>
            </w:tcBorders>
            <w:shd w:val="clear" w:color="auto" w:fill="auto"/>
            <w:noWrap/>
            <w:vAlign w:val="center"/>
            <w:hideMark/>
          </w:tcPr>
          <w:p w14:paraId="727788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51413906</w:t>
            </w:r>
          </w:p>
        </w:tc>
        <w:tc>
          <w:tcPr>
            <w:tcW w:w="160" w:type="dxa"/>
            <w:tcBorders>
              <w:top w:val="nil"/>
              <w:left w:val="nil"/>
              <w:bottom w:val="single" w:sz="4" w:space="0" w:color="auto"/>
              <w:right w:val="nil"/>
            </w:tcBorders>
            <w:vAlign w:val="center"/>
          </w:tcPr>
          <w:p w14:paraId="6EB294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0A2E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PREŠERNOVO GLEDALIŠČE KRANJ</w:t>
            </w:r>
          </w:p>
        </w:tc>
      </w:tr>
      <w:tr w:rsidR="00072A69" w:rsidRPr="00DC6DF9" w14:paraId="4507D7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D15C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1516</w:t>
            </w:r>
          </w:p>
        </w:tc>
        <w:tc>
          <w:tcPr>
            <w:tcW w:w="1036" w:type="dxa"/>
            <w:tcBorders>
              <w:top w:val="nil"/>
              <w:left w:val="nil"/>
              <w:bottom w:val="single" w:sz="4" w:space="0" w:color="auto"/>
              <w:right w:val="single" w:sz="4" w:space="0" w:color="auto"/>
            </w:tcBorders>
            <w:shd w:val="clear" w:color="auto" w:fill="auto"/>
            <w:noWrap/>
            <w:vAlign w:val="center"/>
            <w:hideMark/>
          </w:tcPr>
          <w:p w14:paraId="37D21B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5052670000</w:t>
            </w:r>
          </w:p>
        </w:tc>
        <w:tc>
          <w:tcPr>
            <w:tcW w:w="1036" w:type="dxa"/>
            <w:tcBorders>
              <w:top w:val="nil"/>
              <w:left w:val="nil"/>
              <w:bottom w:val="single" w:sz="4" w:space="0" w:color="auto"/>
              <w:right w:val="single" w:sz="4" w:space="0" w:color="auto"/>
            </w:tcBorders>
            <w:shd w:val="clear" w:color="auto" w:fill="auto"/>
            <w:noWrap/>
            <w:vAlign w:val="center"/>
            <w:hideMark/>
          </w:tcPr>
          <w:p w14:paraId="127040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64821323</w:t>
            </w:r>
          </w:p>
        </w:tc>
        <w:tc>
          <w:tcPr>
            <w:tcW w:w="160" w:type="dxa"/>
            <w:tcBorders>
              <w:top w:val="nil"/>
              <w:left w:val="nil"/>
              <w:bottom w:val="single" w:sz="4" w:space="0" w:color="auto"/>
              <w:right w:val="nil"/>
            </w:tcBorders>
            <w:vAlign w:val="center"/>
          </w:tcPr>
          <w:p w14:paraId="775EFC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00D5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PRIRODOSLOVNI MUZEJ SLOVENIJE</w:t>
            </w:r>
          </w:p>
        </w:tc>
      </w:tr>
      <w:tr w:rsidR="00072A69" w:rsidRPr="00DC6DF9" w14:paraId="017D86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EF29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1517</w:t>
            </w:r>
          </w:p>
        </w:tc>
        <w:tc>
          <w:tcPr>
            <w:tcW w:w="1036" w:type="dxa"/>
            <w:tcBorders>
              <w:top w:val="nil"/>
              <w:left w:val="nil"/>
              <w:bottom w:val="single" w:sz="4" w:space="0" w:color="auto"/>
              <w:right w:val="single" w:sz="4" w:space="0" w:color="auto"/>
            </w:tcBorders>
            <w:shd w:val="clear" w:color="auto" w:fill="auto"/>
            <w:noWrap/>
            <w:vAlign w:val="center"/>
            <w:hideMark/>
          </w:tcPr>
          <w:p w14:paraId="6A0572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5496365000</w:t>
            </w:r>
          </w:p>
        </w:tc>
        <w:tc>
          <w:tcPr>
            <w:tcW w:w="1036" w:type="dxa"/>
            <w:tcBorders>
              <w:top w:val="nil"/>
              <w:left w:val="nil"/>
              <w:bottom w:val="single" w:sz="4" w:space="0" w:color="auto"/>
              <w:right w:val="single" w:sz="4" w:space="0" w:color="auto"/>
            </w:tcBorders>
            <w:shd w:val="clear" w:color="auto" w:fill="auto"/>
            <w:noWrap/>
            <w:vAlign w:val="center"/>
            <w:hideMark/>
          </w:tcPr>
          <w:p w14:paraId="6DFB9A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23017236</w:t>
            </w:r>
          </w:p>
        </w:tc>
        <w:tc>
          <w:tcPr>
            <w:tcW w:w="160" w:type="dxa"/>
            <w:tcBorders>
              <w:top w:val="nil"/>
              <w:left w:val="nil"/>
              <w:bottom w:val="single" w:sz="4" w:space="0" w:color="auto"/>
              <w:right w:val="nil"/>
            </w:tcBorders>
            <w:vAlign w:val="center"/>
          </w:tcPr>
          <w:p w14:paraId="68565C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37F3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PRIZMA PONIKVE</w:t>
            </w:r>
          </w:p>
        </w:tc>
      </w:tr>
      <w:tr w:rsidR="00072A69" w:rsidRPr="00DC6DF9" w14:paraId="343D9A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9C9D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1518</w:t>
            </w:r>
          </w:p>
        </w:tc>
        <w:tc>
          <w:tcPr>
            <w:tcW w:w="1036" w:type="dxa"/>
            <w:tcBorders>
              <w:top w:val="nil"/>
              <w:left w:val="nil"/>
              <w:bottom w:val="single" w:sz="4" w:space="0" w:color="auto"/>
              <w:right w:val="single" w:sz="4" w:space="0" w:color="auto"/>
            </w:tcBorders>
            <w:shd w:val="clear" w:color="auto" w:fill="auto"/>
            <w:noWrap/>
            <w:vAlign w:val="center"/>
            <w:hideMark/>
          </w:tcPr>
          <w:p w14:paraId="5E649D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3637905000</w:t>
            </w:r>
          </w:p>
        </w:tc>
        <w:tc>
          <w:tcPr>
            <w:tcW w:w="1036" w:type="dxa"/>
            <w:tcBorders>
              <w:top w:val="nil"/>
              <w:left w:val="nil"/>
              <w:bottom w:val="single" w:sz="4" w:space="0" w:color="auto"/>
              <w:right w:val="single" w:sz="4" w:space="0" w:color="auto"/>
            </w:tcBorders>
            <w:shd w:val="clear" w:color="auto" w:fill="auto"/>
            <w:noWrap/>
            <w:vAlign w:val="center"/>
            <w:hideMark/>
          </w:tcPr>
          <w:p w14:paraId="54F02A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34813144</w:t>
            </w:r>
          </w:p>
        </w:tc>
        <w:tc>
          <w:tcPr>
            <w:tcW w:w="160" w:type="dxa"/>
            <w:tcBorders>
              <w:top w:val="nil"/>
              <w:left w:val="nil"/>
              <w:bottom w:val="single" w:sz="4" w:space="0" w:color="auto"/>
              <w:right w:val="nil"/>
            </w:tcBorders>
            <w:vAlign w:val="center"/>
          </w:tcPr>
          <w:p w14:paraId="1CA638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DC5F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PRLEKIJA, D. O. O. </w:t>
            </w:r>
          </w:p>
        </w:tc>
      </w:tr>
      <w:tr w:rsidR="00072A69" w:rsidRPr="00DC6DF9" w14:paraId="249246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637C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1519</w:t>
            </w:r>
          </w:p>
        </w:tc>
        <w:tc>
          <w:tcPr>
            <w:tcW w:w="1036" w:type="dxa"/>
            <w:tcBorders>
              <w:top w:val="nil"/>
              <w:left w:val="nil"/>
              <w:bottom w:val="single" w:sz="4" w:space="0" w:color="auto"/>
              <w:right w:val="single" w:sz="4" w:space="0" w:color="auto"/>
            </w:tcBorders>
            <w:shd w:val="clear" w:color="auto" w:fill="auto"/>
            <w:noWrap/>
            <w:vAlign w:val="center"/>
            <w:hideMark/>
          </w:tcPr>
          <w:p w14:paraId="15A151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5803918000</w:t>
            </w:r>
          </w:p>
        </w:tc>
        <w:tc>
          <w:tcPr>
            <w:tcW w:w="1036" w:type="dxa"/>
            <w:tcBorders>
              <w:top w:val="nil"/>
              <w:left w:val="nil"/>
              <w:bottom w:val="single" w:sz="4" w:space="0" w:color="auto"/>
              <w:right w:val="single" w:sz="4" w:space="0" w:color="auto"/>
            </w:tcBorders>
            <w:shd w:val="clear" w:color="auto" w:fill="auto"/>
            <w:noWrap/>
            <w:vAlign w:val="center"/>
            <w:hideMark/>
          </w:tcPr>
          <w:p w14:paraId="68D2B1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80302157</w:t>
            </w:r>
          </w:p>
        </w:tc>
        <w:tc>
          <w:tcPr>
            <w:tcW w:w="160" w:type="dxa"/>
            <w:tcBorders>
              <w:top w:val="nil"/>
              <w:left w:val="nil"/>
              <w:bottom w:val="single" w:sz="4" w:space="0" w:color="auto"/>
              <w:right w:val="nil"/>
            </w:tcBorders>
            <w:vAlign w:val="center"/>
          </w:tcPr>
          <w:p w14:paraId="75E883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05FB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PROJEKTNA RAZVOJNA AGENCIJA IN KOMUNIKACIJA, D. O. O. </w:t>
            </w:r>
          </w:p>
        </w:tc>
      </w:tr>
      <w:tr w:rsidR="00072A69" w:rsidRPr="00DC6DF9" w14:paraId="2F5FC0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A554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1520</w:t>
            </w:r>
          </w:p>
        </w:tc>
        <w:tc>
          <w:tcPr>
            <w:tcW w:w="1036" w:type="dxa"/>
            <w:tcBorders>
              <w:top w:val="nil"/>
              <w:left w:val="nil"/>
              <w:bottom w:val="single" w:sz="4" w:space="0" w:color="auto"/>
              <w:right w:val="single" w:sz="4" w:space="0" w:color="auto"/>
            </w:tcBorders>
            <w:shd w:val="clear" w:color="auto" w:fill="auto"/>
            <w:noWrap/>
            <w:vAlign w:val="center"/>
            <w:hideMark/>
          </w:tcPr>
          <w:p w14:paraId="53B566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5183120000</w:t>
            </w:r>
          </w:p>
        </w:tc>
        <w:tc>
          <w:tcPr>
            <w:tcW w:w="1036" w:type="dxa"/>
            <w:tcBorders>
              <w:top w:val="nil"/>
              <w:left w:val="nil"/>
              <w:bottom w:val="single" w:sz="4" w:space="0" w:color="auto"/>
              <w:right w:val="single" w:sz="4" w:space="0" w:color="auto"/>
            </w:tcBorders>
            <w:shd w:val="clear" w:color="auto" w:fill="auto"/>
            <w:noWrap/>
            <w:vAlign w:val="center"/>
            <w:hideMark/>
          </w:tcPr>
          <w:p w14:paraId="71346E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49707728</w:t>
            </w:r>
          </w:p>
        </w:tc>
        <w:tc>
          <w:tcPr>
            <w:tcW w:w="160" w:type="dxa"/>
            <w:tcBorders>
              <w:top w:val="nil"/>
              <w:left w:val="nil"/>
              <w:bottom w:val="single" w:sz="4" w:space="0" w:color="auto"/>
              <w:right w:val="nil"/>
            </w:tcBorders>
            <w:vAlign w:val="center"/>
          </w:tcPr>
          <w:p w14:paraId="0372BF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1C5E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PROMETNA ŠOLA MARIBOR</w:t>
            </w:r>
          </w:p>
        </w:tc>
      </w:tr>
      <w:tr w:rsidR="00072A69" w:rsidRPr="00DC6DF9" w14:paraId="65BB7D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6EE2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1521</w:t>
            </w:r>
          </w:p>
        </w:tc>
        <w:tc>
          <w:tcPr>
            <w:tcW w:w="1036" w:type="dxa"/>
            <w:tcBorders>
              <w:top w:val="nil"/>
              <w:left w:val="nil"/>
              <w:bottom w:val="single" w:sz="4" w:space="0" w:color="auto"/>
              <w:right w:val="single" w:sz="4" w:space="0" w:color="auto"/>
            </w:tcBorders>
            <w:shd w:val="clear" w:color="auto" w:fill="auto"/>
            <w:noWrap/>
            <w:vAlign w:val="center"/>
            <w:hideMark/>
          </w:tcPr>
          <w:p w14:paraId="43EC3B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5674522000</w:t>
            </w:r>
          </w:p>
        </w:tc>
        <w:tc>
          <w:tcPr>
            <w:tcW w:w="1036" w:type="dxa"/>
            <w:tcBorders>
              <w:top w:val="nil"/>
              <w:left w:val="nil"/>
              <w:bottom w:val="single" w:sz="4" w:space="0" w:color="auto"/>
              <w:right w:val="single" w:sz="4" w:space="0" w:color="auto"/>
            </w:tcBorders>
            <w:shd w:val="clear" w:color="auto" w:fill="auto"/>
            <w:noWrap/>
            <w:vAlign w:val="center"/>
            <w:hideMark/>
          </w:tcPr>
          <w:p w14:paraId="58ADB8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34722645</w:t>
            </w:r>
          </w:p>
        </w:tc>
        <w:tc>
          <w:tcPr>
            <w:tcW w:w="160" w:type="dxa"/>
            <w:tcBorders>
              <w:top w:val="nil"/>
              <w:left w:val="nil"/>
              <w:bottom w:val="single" w:sz="4" w:space="0" w:color="auto"/>
              <w:right w:val="nil"/>
            </w:tcBorders>
            <w:vAlign w:val="center"/>
          </w:tcPr>
          <w:p w14:paraId="1B9D00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1C4C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PROMETNI INSTITUT LJUBLJANA, D. O. O. </w:t>
            </w:r>
          </w:p>
        </w:tc>
      </w:tr>
      <w:tr w:rsidR="00072A69" w:rsidRPr="00DC6DF9" w14:paraId="44A5F0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BF5C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1522</w:t>
            </w:r>
          </w:p>
        </w:tc>
        <w:tc>
          <w:tcPr>
            <w:tcW w:w="1036" w:type="dxa"/>
            <w:tcBorders>
              <w:top w:val="nil"/>
              <w:left w:val="nil"/>
              <w:bottom w:val="single" w:sz="4" w:space="0" w:color="auto"/>
              <w:right w:val="single" w:sz="4" w:space="0" w:color="auto"/>
            </w:tcBorders>
            <w:shd w:val="clear" w:color="auto" w:fill="auto"/>
            <w:noWrap/>
            <w:vAlign w:val="center"/>
            <w:hideMark/>
          </w:tcPr>
          <w:p w14:paraId="1C4E88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2145863000</w:t>
            </w:r>
          </w:p>
        </w:tc>
        <w:tc>
          <w:tcPr>
            <w:tcW w:w="1036" w:type="dxa"/>
            <w:tcBorders>
              <w:top w:val="nil"/>
              <w:left w:val="nil"/>
              <w:bottom w:val="single" w:sz="4" w:space="0" w:color="auto"/>
              <w:right w:val="single" w:sz="4" w:space="0" w:color="auto"/>
            </w:tcBorders>
            <w:shd w:val="clear" w:color="auto" w:fill="auto"/>
            <w:noWrap/>
            <w:vAlign w:val="center"/>
            <w:hideMark/>
          </w:tcPr>
          <w:p w14:paraId="0BD988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87585995</w:t>
            </w:r>
          </w:p>
        </w:tc>
        <w:tc>
          <w:tcPr>
            <w:tcW w:w="160" w:type="dxa"/>
            <w:tcBorders>
              <w:top w:val="nil"/>
              <w:left w:val="nil"/>
              <w:bottom w:val="single" w:sz="4" w:space="0" w:color="auto"/>
              <w:right w:val="nil"/>
            </w:tcBorders>
            <w:vAlign w:val="center"/>
          </w:tcPr>
          <w:p w14:paraId="335D2D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A9C9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PROMOCIJSKO, KULTURNO, IZOBRAŽEVALNO IN RAZVOJNO ITALIJANSKO SREDIŠČE CARLO COMBI - KOPER</w:t>
            </w:r>
          </w:p>
        </w:tc>
      </w:tr>
      <w:tr w:rsidR="00072A69" w:rsidRPr="00DC6DF9" w14:paraId="78C82A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0FF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1523</w:t>
            </w:r>
          </w:p>
        </w:tc>
        <w:tc>
          <w:tcPr>
            <w:tcW w:w="1036" w:type="dxa"/>
            <w:tcBorders>
              <w:top w:val="nil"/>
              <w:left w:val="nil"/>
              <w:bottom w:val="single" w:sz="4" w:space="0" w:color="auto"/>
              <w:right w:val="single" w:sz="4" w:space="0" w:color="auto"/>
            </w:tcBorders>
            <w:shd w:val="clear" w:color="auto" w:fill="auto"/>
            <w:noWrap/>
            <w:vAlign w:val="center"/>
            <w:hideMark/>
          </w:tcPr>
          <w:p w14:paraId="57C39D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5133629000</w:t>
            </w:r>
          </w:p>
        </w:tc>
        <w:tc>
          <w:tcPr>
            <w:tcW w:w="1036" w:type="dxa"/>
            <w:tcBorders>
              <w:top w:val="nil"/>
              <w:left w:val="nil"/>
              <w:bottom w:val="single" w:sz="4" w:space="0" w:color="auto"/>
              <w:right w:val="single" w:sz="4" w:space="0" w:color="auto"/>
            </w:tcBorders>
            <w:shd w:val="clear" w:color="auto" w:fill="auto"/>
            <w:noWrap/>
            <w:vAlign w:val="center"/>
            <w:hideMark/>
          </w:tcPr>
          <w:p w14:paraId="068B82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10202706</w:t>
            </w:r>
          </w:p>
        </w:tc>
        <w:tc>
          <w:tcPr>
            <w:tcW w:w="160" w:type="dxa"/>
            <w:tcBorders>
              <w:top w:val="nil"/>
              <w:left w:val="nil"/>
              <w:bottom w:val="single" w:sz="4" w:space="0" w:color="auto"/>
              <w:right w:val="nil"/>
            </w:tcBorders>
            <w:vAlign w:val="center"/>
          </w:tcPr>
          <w:p w14:paraId="311455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122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BLED</w:t>
            </w:r>
          </w:p>
        </w:tc>
      </w:tr>
      <w:tr w:rsidR="00072A69" w:rsidRPr="00DC6DF9" w14:paraId="0B6B44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05A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1524</w:t>
            </w:r>
          </w:p>
        </w:tc>
        <w:tc>
          <w:tcPr>
            <w:tcW w:w="1036" w:type="dxa"/>
            <w:tcBorders>
              <w:top w:val="nil"/>
              <w:left w:val="nil"/>
              <w:bottom w:val="single" w:sz="4" w:space="0" w:color="auto"/>
              <w:right w:val="single" w:sz="4" w:space="0" w:color="auto"/>
            </w:tcBorders>
            <w:shd w:val="clear" w:color="auto" w:fill="auto"/>
            <w:noWrap/>
            <w:vAlign w:val="center"/>
            <w:hideMark/>
          </w:tcPr>
          <w:p w14:paraId="1DAA4A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5010799000</w:t>
            </w:r>
          </w:p>
        </w:tc>
        <w:tc>
          <w:tcPr>
            <w:tcW w:w="1036" w:type="dxa"/>
            <w:tcBorders>
              <w:top w:val="nil"/>
              <w:left w:val="nil"/>
              <w:bottom w:val="single" w:sz="4" w:space="0" w:color="auto"/>
              <w:right w:val="single" w:sz="4" w:space="0" w:color="auto"/>
            </w:tcBorders>
            <w:shd w:val="clear" w:color="auto" w:fill="auto"/>
            <w:noWrap/>
            <w:vAlign w:val="center"/>
            <w:hideMark/>
          </w:tcPr>
          <w:p w14:paraId="28E5FE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25581724</w:t>
            </w:r>
          </w:p>
        </w:tc>
        <w:tc>
          <w:tcPr>
            <w:tcW w:w="160" w:type="dxa"/>
            <w:tcBorders>
              <w:top w:val="nil"/>
              <w:left w:val="nil"/>
              <w:bottom w:val="single" w:sz="4" w:space="0" w:color="auto"/>
              <w:right w:val="nil"/>
            </w:tcBorders>
            <w:vAlign w:val="center"/>
          </w:tcPr>
          <w:p w14:paraId="1A70A5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77F7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BOČNA</w:t>
            </w:r>
          </w:p>
        </w:tc>
      </w:tr>
      <w:tr w:rsidR="00072A69" w:rsidRPr="00DC6DF9" w14:paraId="0625D50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271D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1525</w:t>
            </w:r>
          </w:p>
        </w:tc>
        <w:tc>
          <w:tcPr>
            <w:tcW w:w="1036" w:type="dxa"/>
            <w:tcBorders>
              <w:top w:val="nil"/>
              <w:left w:val="nil"/>
              <w:bottom w:val="single" w:sz="4" w:space="0" w:color="auto"/>
              <w:right w:val="single" w:sz="4" w:space="0" w:color="auto"/>
            </w:tcBorders>
            <w:shd w:val="clear" w:color="auto" w:fill="auto"/>
            <w:noWrap/>
            <w:vAlign w:val="center"/>
            <w:hideMark/>
          </w:tcPr>
          <w:p w14:paraId="50A588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5258774000</w:t>
            </w:r>
          </w:p>
        </w:tc>
        <w:tc>
          <w:tcPr>
            <w:tcW w:w="1036" w:type="dxa"/>
            <w:tcBorders>
              <w:top w:val="nil"/>
              <w:left w:val="nil"/>
              <w:bottom w:val="single" w:sz="4" w:space="0" w:color="auto"/>
              <w:right w:val="single" w:sz="4" w:space="0" w:color="auto"/>
            </w:tcBorders>
            <w:shd w:val="clear" w:color="auto" w:fill="auto"/>
            <w:noWrap/>
            <w:vAlign w:val="center"/>
            <w:hideMark/>
          </w:tcPr>
          <w:p w14:paraId="796644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52544052</w:t>
            </w:r>
          </w:p>
        </w:tc>
        <w:tc>
          <w:tcPr>
            <w:tcW w:w="160" w:type="dxa"/>
            <w:tcBorders>
              <w:top w:val="nil"/>
              <w:left w:val="nil"/>
              <w:bottom w:val="single" w:sz="4" w:space="0" w:color="auto"/>
              <w:right w:val="nil"/>
            </w:tcBorders>
            <w:vAlign w:val="center"/>
          </w:tcPr>
          <w:p w14:paraId="6359CD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2A8B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BOROVNICA</w:t>
            </w:r>
          </w:p>
        </w:tc>
      </w:tr>
      <w:tr w:rsidR="00072A69" w:rsidRPr="00DC6DF9" w14:paraId="5269C4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6B57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1526</w:t>
            </w:r>
          </w:p>
        </w:tc>
        <w:tc>
          <w:tcPr>
            <w:tcW w:w="1036" w:type="dxa"/>
            <w:tcBorders>
              <w:top w:val="nil"/>
              <w:left w:val="nil"/>
              <w:bottom w:val="single" w:sz="4" w:space="0" w:color="auto"/>
              <w:right w:val="single" w:sz="4" w:space="0" w:color="auto"/>
            </w:tcBorders>
            <w:shd w:val="clear" w:color="auto" w:fill="auto"/>
            <w:noWrap/>
            <w:vAlign w:val="center"/>
            <w:hideMark/>
          </w:tcPr>
          <w:p w14:paraId="550F36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5129001000</w:t>
            </w:r>
          </w:p>
        </w:tc>
        <w:tc>
          <w:tcPr>
            <w:tcW w:w="1036" w:type="dxa"/>
            <w:tcBorders>
              <w:top w:val="nil"/>
              <w:left w:val="nil"/>
              <w:bottom w:val="single" w:sz="4" w:space="0" w:color="auto"/>
              <w:right w:val="single" w:sz="4" w:space="0" w:color="auto"/>
            </w:tcBorders>
            <w:shd w:val="clear" w:color="auto" w:fill="auto"/>
            <w:noWrap/>
            <w:vAlign w:val="center"/>
            <w:hideMark/>
          </w:tcPr>
          <w:p w14:paraId="43A319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73796590</w:t>
            </w:r>
          </w:p>
        </w:tc>
        <w:tc>
          <w:tcPr>
            <w:tcW w:w="160" w:type="dxa"/>
            <w:tcBorders>
              <w:top w:val="nil"/>
              <w:left w:val="nil"/>
              <w:bottom w:val="single" w:sz="4" w:space="0" w:color="auto"/>
              <w:right w:val="nil"/>
            </w:tcBorders>
            <w:vAlign w:val="center"/>
          </w:tcPr>
          <w:p w14:paraId="6315B1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423E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BREG OB SAVI</w:t>
            </w:r>
          </w:p>
        </w:tc>
      </w:tr>
      <w:tr w:rsidR="00072A69" w:rsidRPr="00DC6DF9" w14:paraId="010A1D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AD52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1527</w:t>
            </w:r>
          </w:p>
        </w:tc>
        <w:tc>
          <w:tcPr>
            <w:tcW w:w="1036" w:type="dxa"/>
            <w:tcBorders>
              <w:top w:val="nil"/>
              <w:left w:val="nil"/>
              <w:bottom w:val="single" w:sz="4" w:space="0" w:color="auto"/>
              <w:right w:val="single" w:sz="4" w:space="0" w:color="auto"/>
            </w:tcBorders>
            <w:shd w:val="clear" w:color="auto" w:fill="auto"/>
            <w:noWrap/>
            <w:vAlign w:val="center"/>
            <w:hideMark/>
          </w:tcPr>
          <w:p w14:paraId="1A33F9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5060354000</w:t>
            </w:r>
          </w:p>
        </w:tc>
        <w:tc>
          <w:tcPr>
            <w:tcW w:w="1036" w:type="dxa"/>
            <w:tcBorders>
              <w:top w:val="nil"/>
              <w:left w:val="nil"/>
              <w:bottom w:val="single" w:sz="4" w:space="0" w:color="auto"/>
              <w:right w:val="single" w:sz="4" w:space="0" w:color="auto"/>
            </w:tcBorders>
            <w:shd w:val="clear" w:color="auto" w:fill="auto"/>
            <w:noWrap/>
            <w:vAlign w:val="center"/>
            <w:hideMark/>
          </w:tcPr>
          <w:p w14:paraId="56E466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36077585</w:t>
            </w:r>
          </w:p>
        </w:tc>
        <w:tc>
          <w:tcPr>
            <w:tcW w:w="160" w:type="dxa"/>
            <w:tcBorders>
              <w:top w:val="nil"/>
              <w:left w:val="nil"/>
              <w:bottom w:val="single" w:sz="4" w:space="0" w:color="auto"/>
              <w:right w:val="nil"/>
            </w:tcBorders>
            <w:vAlign w:val="center"/>
          </w:tcPr>
          <w:p w14:paraId="1337F72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1210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COL</w:t>
            </w:r>
          </w:p>
        </w:tc>
      </w:tr>
      <w:tr w:rsidR="00072A69" w:rsidRPr="00DC6DF9" w14:paraId="73ACF2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1957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1528</w:t>
            </w:r>
          </w:p>
        </w:tc>
        <w:tc>
          <w:tcPr>
            <w:tcW w:w="1036" w:type="dxa"/>
            <w:tcBorders>
              <w:top w:val="nil"/>
              <w:left w:val="nil"/>
              <w:bottom w:val="single" w:sz="4" w:space="0" w:color="auto"/>
              <w:right w:val="single" w:sz="4" w:space="0" w:color="auto"/>
            </w:tcBorders>
            <w:shd w:val="clear" w:color="auto" w:fill="auto"/>
            <w:noWrap/>
            <w:vAlign w:val="center"/>
            <w:hideMark/>
          </w:tcPr>
          <w:p w14:paraId="732EE6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5061865000</w:t>
            </w:r>
          </w:p>
        </w:tc>
        <w:tc>
          <w:tcPr>
            <w:tcW w:w="1036" w:type="dxa"/>
            <w:tcBorders>
              <w:top w:val="nil"/>
              <w:left w:val="nil"/>
              <w:bottom w:val="single" w:sz="4" w:space="0" w:color="auto"/>
              <w:right w:val="single" w:sz="4" w:space="0" w:color="auto"/>
            </w:tcBorders>
            <w:shd w:val="clear" w:color="auto" w:fill="auto"/>
            <w:noWrap/>
            <w:vAlign w:val="center"/>
            <w:hideMark/>
          </w:tcPr>
          <w:p w14:paraId="695427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85440299</w:t>
            </w:r>
          </w:p>
        </w:tc>
        <w:tc>
          <w:tcPr>
            <w:tcW w:w="160" w:type="dxa"/>
            <w:tcBorders>
              <w:top w:val="nil"/>
              <w:left w:val="nil"/>
              <w:bottom w:val="single" w:sz="4" w:space="0" w:color="auto"/>
              <w:right w:val="nil"/>
            </w:tcBorders>
            <w:vAlign w:val="center"/>
          </w:tcPr>
          <w:p w14:paraId="5C73C4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3531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ČOLNIŠČE</w:t>
            </w:r>
          </w:p>
        </w:tc>
      </w:tr>
      <w:tr w:rsidR="00072A69" w:rsidRPr="00DC6DF9" w14:paraId="4974BB0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CEC0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1529</w:t>
            </w:r>
          </w:p>
        </w:tc>
        <w:tc>
          <w:tcPr>
            <w:tcW w:w="1036" w:type="dxa"/>
            <w:tcBorders>
              <w:top w:val="nil"/>
              <w:left w:val="nil"/>
              <w:bottom w:val="single" w:sz="4" w:space="0" w:color="auto"/>
              <w:right w:val="single" w:sz="4" w:space="0" w:color="auto"/>
            </w:tcBorders>
            <w:shd w:val="clear" w:color="auto" w:fill="auto"/>
            <w:noWrap/>
            <w:vAlign w:val="center"/>
            <w:hideMark/>
          </w:tcPr>
          <w:p w14:paraId="32CE12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5203180000</w:t>
            </w:r>
          </w:p>
        </w:tc>
        <w:tc>
          <w:tcPr>
            <w:tcW w:w="1036" w:type="dxa"/>
            <w:tcBorders>
              <w:top w:val="nil"/>
              <w:left w:val="nil"/>
              <w:bottom w:val="single" w:sz="4" w:space="0" w:color="auto"/>
              <w:right w:val="single" w:sz="4" w:space="0" w:color="auto"/>
            </w:tcBorders>
            <w:shd w:val="clear" w:color="auto" w:fill="auto"/>
            <w:noWrap/>
            <w:vAlign w:val="center"/>
            <w:hideMark/>
          </w:tcPr>
          <w:p w14:paraId="269B72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55927297</w:t>
            </w:r>
          </w:p>
        </w:tc>
        <w:tc>
          <w:tcPr>
            <w:tcW w:w="160" w:type="dxa"/>
            <w:tcBorders>
              <w:top w:val="nil"/>
              <w:left w:val="nil"/>
              <w:bottom w:val="single" w:sz="4" w:space="0" w:color="auto"/>
              <w:right w:val="nil"/>
            </w:tcBorders>
            <w:vAlign w:val="center"/>
          </w:tcPr>
          <w:p w14:paraId="3483AC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78DA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DORNBERK</w:t>
            </w:r>
          </w:p>
        </w:tc>
      </w:tr>
      <w:tr w:rsidR="00072A69" w:rsidRPr="00DC6DF9" w14:paraId="120B4B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38B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1530</w:t>
            </w:r>
          </w:p>
        </w:tc>
        <w:tc>
          <w:tcPr>
            <w:tcW w:w="1036" w:type="dxa"/>
            <w:tcBorders>
              <w:top w:val="nil"/>
              <w:left w:val="nil"/>
              <w:bottom w:val="single" w:sz="4" w:space="0" w:color="auto"/>
              <w:right w:val="single" w:sz="4" w:space="0" w:color="auto"/>
            </w:tcBorders>
            <w:shd w:val="clear" w:color="auto" w:fill="auto"/>
            <w:noWrap/>
            <w:vAlign w:val="center"/>
            <w:hideMark/>
          </w:tcPr>
          <w:p w14:paraId="00E7FB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5082218000</w:t>
            </w:r>
          </w:p>
        </w:tc>
        <w:tc>
          <w:tcPr>
            <w:tcW w:w="1036" w:type="dxa"/>
            <w:tcBorders>
              <w:top w:val="nil"/>
              <w:left w:val="nil"/>
              <w:bottom w:val="single" w:sz="4" w:space="0" w:color="auto"/>
              <w:right w:val="single" w:sz="4" w:space="0" w:color="auto"/>
            </w:tcBorders>
            <w:shd w:val="clear" w:color="auto" w:fill="auto"/>
            <w:noWrap/>
            <w:vAlign w:val="center"/>
            <w:hideMark/>
          </w:tcPr>
          <w:p w14:paraId="5EB534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43978061</w:t>
            </w:r>
          </w:p>
        </w:tc>
        <w:tc>
          <w:tcPr>
            <w:tcW w:w="160" w:type="dxa"/>
            <w:tcBorders>
              <w:top w:val="nil"/>
              <w:left w:val="nil"/>
              <w:bottom w:val="single" w:sz="4" w:space="0" w:color="auto"/>
              <w:right w:val="nil"/>
            </w:tcBorders>
            <w:vAlign w:val="center"/>
          </w:tcPr>
          <w:p w14:paraId="68B4CA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CFD4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GOSTEČE</w:t>
            </w:r>
          </w:p>
        </w:tc>
      </w:tr>
      <w:tr w:rsidR="00072A69" w:rsidRPr="00DC6DF9" w14:paraId="054C68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5BDA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1531</w:t>
            </w:r>
          </w:p>
        </w:tc>
        <w:tc>
          <w:tcPr>
            <w:tcW w:w="1036" w:type="dxa"/>
            <w:tcBorders>
              <w:top w:val="nil"/>
              <w:left w:val="nil"/>
              <w:bottom w:val="single" w:sz="4" w:space="0" w:color="auto"/>
              <w:right w:val="single" w:sz="4" w:space="0" w:color="auto"/>
            </w:tcBorders>
            <w:shd w:val="clear" w:color="auto" w:fill="auto"/>
            <w:noWrap/>
            <w:vAlign w:val="center"/>
            <w:hideMark/>
          </w:tcPr>
          <w:p w14:paraId="1CDBE2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5137519000</w:t>
            </w:r>
          </w:p>
        </w:tc>
        <w:tc>
          <w:tcPr>
            <w:tcW w:w="1036" w:type="dxa"/>
            <w:tcBorders>
              <w:top w:val="nil"/>
              <w:left w:val="nil"/>
              <w:bottom w:val="single" w:sz="4" w:space="0" w:color="auto"/>
              <w:right w:val="single" w:sz="4" w:space="0" w:color="auto"/>
            </w:tcBorders>
            <w:shd w:val="clear" w:color="auto" w:fill="auto"/>
            <w:noWrap/>
            <w:vAlign w:val="center"/>
            <w:hideMark/>
          </w:tcPr>
          <w:p w14:paraId="3A7C31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53644166</w:t>
            </w:r>
          </w:p>
        </w:tc>
        <w:tc>
          <w:tcPr>
            <w:tcW w:w="160" w:type="dxa"/>
            <w:tcBorders>
              <w:top w:val="nil"/>
              <w:left w:val="nil"/>
              <w:bottom w:val="single" w:sz="4" w:space="0" w:color="auto"/>
              <w:right w:val="nil"/>
            </w:tcBorders>
            <w:vAlign w:val="center"/>
          </w:tcPr>
          <w:p w14:paraId="4994B1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7901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HRVATINI</w:t>
            </w:r>
          </w:p>
        </w:tc>
      </w:tr>
      <w:tr w:rsidR="00072A69" w:rsidRPr="00DC6DF9" w14:paraId="1B70EF4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4DCF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1532</w:t>
            </w:r>
          </w:p>
        </w:tc>
        <w:tc>
          <w:tcPr>
            <w:tcW w:w="1036" w:type="dxa"/>
            <w:tcBorders>
              <w:top w:val="nil"/>
              <w:left w:val="nil"/>
              <w:bottom w:val="single" w:sz="4" w:space="0" w:color="auto"/>
              <w:right w:val="single" w:sz="4" w:space="0" w:color="auto"/>
            </w:tcBorders>
            <w:shd w:val="clear" w:color="auto" w:fill="auto"/>
            <w:noWrap/>
            <w:vAlign w:val="center"/>
            <w:hideMark/>
          </w:tcPr>
          <w:p w14:paraId="471D14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5162050000</w:t>
            </w:r>
          </w:p>
        </w:tc>
        <w:tc>
          <w:tcPr>
            <w:tcW w:w="1036" w:type="dxa"/>
            <w:tcBorders>
              <w:top w:val="nil"/>
              <w:left w:val="nil"/>
              <w:bottom w:val="single" w:sz="4" w:space="0" w:color="auto"/>
              <w:right w:val="single" w:sz="4" w:space="0" w:color="auto"/>
            </w:tcBorders>
            <w:shd w:val="clear" w:color="auto" w:fill="auto"/>
            <w:noWrap/>
            <w:vAlign w:val="center"/>
            <w:hideMark/>
          </w:tcPr>
          <w:p w14:paraId="419CA7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44862741</w:t>
            </w:r>
          </w:p>
        </w:tc>
        <w:tc>
          <w:tcPr>
            <w:tcW w:w="160" w:type="dxa"/>
            <w:tcBorders>
              <w:top w:val="nil"/>
              <w:left w:val="nil"/>
              <w:bottom w:val="single" w:sz="4" w:space="0" w:color="auto"/>
              <w:right w:val="nil"/>
            </w:tcBorders>
            <w:vAlign w:val="center"/>
          </w:tcPr>
          <w:p w14:paraId="31DA0F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9F4D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ILIRSKA BISTRICA</w:t>
            </w:r>
          </w:p>
        </w:tc>
      </w:tr>
      <w:tr w:rsidR="00072A69" w:rsidRPr="00DC6DF9" w14:paraId="7BF2B3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9750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1533</w:t>
            </w:r>
          </w:p>
        </w:tc>
        <w:tc>
          <w:tcPr>
            <w:tcW w:w="1036" w:type="dxa"/>
            <w:tcBorders>
              <w:top w:val="nil"/>
              <w:left w:val="nil"/>
              <w:bottom w:val="single" w:sz="4" w:space="0" w:color="auto"/>
              <w:right w:val="single" w:sz="4" w:space="0" w:color="auto"/>
            </w:tcBorders>
            <w:shd w:val="clear" w:color="auto" w:fill="auto"/>
            <w:noWrap/>
            <w:vAlign w:val="center"/>
            <w:hideMark/>
          </w:tcPr>
          <w:p w14:paraId="05E7E3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5130859000</w:t>
            </w:r>
          </w:p>
        </w:tc>
        <w:tc>
          <w:tcPr>
            <w:tcW w:w="1036" w:type="dxa"/>
            <w:tcBorders>
              <w:top w:val="nil"/>
              <w:left w:val="nil"/>
              <w:bottom w:val="single" w:sz="4" w:space="0" w:color="auto"/>
              <w:right w:val="single" w:sz="4" w:space="0" w:color="auto"/>
            </w:tcBorders>
            <w:shd w:val="clear" w:color="auto" w:fill="auto"/>
            <w:noWrap/>
            <w:vAlign w:val="center"/>
            <w:hideMark/>
          </w:tcPr>
          <w:p w14:paraId="2C092C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98835173</w:t>
            </w:r>
          </w:p>
        </w:tc>
        <w:tc>
          <w:tcPr>
            <w:tcW w:w="160" w:type="dxa"/>
            <w:tcBorders>
              <w:top w:val="nil"/>
              <w:left w:val="nil"/>
              <w:bottom w:val="single" w:sz="4" w:space="0" w:color="auto"/>
              <w:right w:val="nil"/>
            </w:tcBorders>
            <w:vAlign w:val="center"/>
          </w:tcPr>
          <w:p w14:paraId="76FAA8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1EC1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IVANJKOVCI</w:t>
            </w:r>
          </w:p>
        </w:tc>
      </w:tr>
      <w:tr w:rsidR="00072A69" w:rsidRPr="00DC6DF9" w14:paraId="5DF331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D957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1534</w:t>
            </w:r>
          </w:p>
        </w:tc>
        <w:tc>
          <w:tcPr>
            <w:tcW w:w="1036" w:type="dxa"/>
            <w:tcBorders>
              <w:top w:val="nil"/>
              <w:left w:val="nil"/>
              <w:bottom w:val="single" w:sz="4" w:space="0" w:color="auto"/>
              <w:right w:val="single" w:sz="4" w:space="0" w:color="auto"/>
            </w:tcBorders>
            <w:shd w:val="clear" w:color="auto" w:fill="auto"/>
            <w:noWrap/>
            <w:vAlign w:val="center"/>
            <w:hideMark/>
          </w:tcPr>
          <w:p w14:paraId="34EE5A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5204488000</w:t>
            </w:r>
          </w:p>
        </w:tc>
        <w:tc>
          <w:tcPr>
            <w:tcW w:w="1036" w:type="dxa"/>
            <w:tcBorders>
              <w:top w:val="nil"/>
              <w:left w:val="nil"/>
              <w:bottom w:val="single" w:sz="4" w:space="0" w:color="auto"/>
              <w:right w:val="single" w:sz="4" w:space="0" w:color="auto"/>
            </w:tcBorders>
            <w:shd w:val="clear" w:color="auto" w:fill="auto"/>
            <w:noWrap/>
            <w:vAlign w:val="center"/>
            <w:hideMark/>
          </w:tcPr>
          <w:p w14:paraId="3700AE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98176358</w:t>
            </w:r>
          </w:p>
        </w:tc>
        <w:tc>
          <w:tcPr>
            <w:tcW w:w="160" w:type="dxa"/>
            <w:tcBorders>
              <w:top w:val="nil"/>
              <w:left w:val="nil"/>
              <w:bottom w:val="single" w:sz="4" w:space="0" w:color="auto"/>
              <w:right w:val="nil"/>
            </w:tcBorders>
            <w:vAlign w:val="center"/>
          </w:tcPr>
          <w:p w14:paraId="3032B3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0E91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KOBARID</w:t>
            </w:r>
          </w:p>
        </w:tc>
      </w:tr>
      <w:tr w:rsidR="00072A69" w:rsidRPr="00DC6DF9" w14:paraId="5DE18CE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B852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1535</w:t>
            </w:r>
          </w:p>
        </w:tc>
        <w:tc>
          <w:tcPr>
            <w:tcW w:w="1036" w:type="dxa"/>
            <w:tcBorders>
              <w:top w:val="nil"/>
              <w:left w:val="nil"/>
              <w:bottom w:val="single" w:sz="4" w:space="0" w:color="auto"/>
              <w:right w:val="single" w:sz="4" w:space="0" w:color="auto"/>
            </w:tcBorders>
            <w:shd w:val="clear" w:color="auto" w:fill="auto"/>
            <w:noWrap/>
            <w:vAlign w:val="center"/>
            <w:hideMark/>
          </w:tcPr>
          <w:p w14:paraId="1B441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5154545000</w:t>
            </w:r>
          </w:p>
        </w:tc>
        <w:tc>
          <w:tcPr>
            <w:tcW w:w="1036" w:type="dxa"/>
            <w:tcBorders>
              <w:top w:val="nil"/>
              <w:left w:val="nil"/>
              <w:bottom w:val="single" w:sz="4" w:space="0" w:color="auto"/>
              <w:right w:val="single" w:sz="4" w:space="0" w:color="auto"/>
            </w:tcBorders>
            <w:shd w:val="clear" w:color="auto" w:fill="auto"/>
            <w:noWrap/>
            <w:vAlign w:val="center"/>
            <w:hideMark/>
          </w:tcPr>
          <w:p w14:paraId="1E84F7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83368701</w:t>
            </w:r>
          </w:p>
        </w:tc>
        <w:tc>
          <w:tcPr>
            <w:tcW w:w="160" w:type="dxa"/>
            <w:tcBorders>
              <w:top w:val="nil"/>
              <w:left w:val="nil"/>
              <w:bottom w:val="single" w:sz="4" w:space="0" w:color="auto"/>
              <w:right w:val="nil"/>
            </w:tcBorders>
            <w:vAlign w:val="center"/>
          </w:tcPr>
          <w:p w14:paraId="6E132F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1C18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LEŠE</w:t>
            </w:r>
          </w:p>
        </w:tc>
      </w:tr>
      <w:tr w:rsidR="00072A69" w:rsidRPr="00DC6DF9" w14:paraId="5E992A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E821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1536</w:t>
            </w:r>
          </w:p>
        </w:tc>
        <w:tc>
          <w:tcPr>
            <w:tcW w:w="1036" w:type="dxa"/>
            <w:tcBorders>
              <w:top w:val="nil"/>
              <w:left w:val="nil"/>
              <w:bottom w:val="single" w:sz="4" w:space="0" w:color="auto"/>
              <w:right w:val="single" w:sz="4" w:space="0" w:color="auto"/>
            </w:tcBorders>
            <w:shd w:val="clear" w:color="auto" w:fill="auto"/>
            <w:noWrap/>
            <w:vAlign w:val="center"/>
            <w:hideMark/>
          </w:tcPr>
          <w:p w14:paraId="546027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5135834000</w:t>
            </w:r>
          </w:p>
        </w:tc>
        <w:tc>
          <w:tcPr>
            <w:tcW w:w="1036" w:type="dxa"/>
            <w:tcBorders>
              <w:top w:val="nil"/>
              <w:left w:val="nil"/>
              <w:bottom w:val="single" w:sz="4" w:space="0" w:color="auto"/>
              <w:right w:val="single" w:sz="4" w:space="0" w:color="auto"/>
            </w:tcBorders>
            <w:shd w:val="clear" w:color="auto" w:fill="auto"/>
            <w:noWrap/>
            <w:vAlign w:val="center"/>
            <w:hideMark/>
          </w:tcPr>
          <w:p w14:paraId="07E235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54774845</w:t>
            </w:r>
          </w:p>
        </w:tc>
        <w:tc>
          <w:tcPr>
            <w:tcW w:w="160" w:type="dxa"/>
            <w:tcBorders>
              <w:top w:val="nil"/>
              <w:left w:val="nil"/>
              <w:bottom w:val="single" w:sz="4" w:space="0" w:color="auto"/>
              <w:right w:val="nil"/>
            </w:tcBorders>
            <w:vAlign w:val="center"/>
          </w:tcPr>
          <w:p w14:paraId="0C345B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AA98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LJUBLJANA-VIČ</w:t>
            </w:r>
          </w:p>
        </w:tc>
      </w:tr>
      <w:tr w:rsidR="00072A69" w:rsidRPr="00DC6DF9" w14:paraId="187662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007E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1537</w:t>
            </w:r>
          </w:p>
        </w:tc>
        <w:tc>
          <w:tcPr>
            <w:tcW w:w="1036" w:type="dxa"/>
            <w:tcBorders>
              <w:top w:val="nil"/>
              <w:left w:val="nil"/>
              <w:bottom w:val="single" w:sz="4" w:space="0" w:color="auto"/>
              <w:right w:val="single" w:sz="4" w:space="0" w:color="auto"/>
            </w:tcBorders>
            <w:shd w:val="clear" w:color="auto" w:fill="auto"/>
            <w:noWrap/>
            <w:vAlign w:val="center"/>
            <w:hideMark/>
          </w:tcPr>
          <w:p w14:paraId="6F0723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5119111000</w:t>
            </w:r>
          </w:p>
        </w:tc>
        <w:tc>
          <w:tcPr>
            <w:tcW w:w="1036" w:type="dxa"/>
            <w:tcBorders>
              <w:top w:val="nil"/>
              <w:left w:val="nil"/>
              <w:bottom w:val="single" w:sz="4" w:space="0" w:color="auto"/>
              <w:right w:val="single" w:sz="4" w:space="0" w:color="auto"/>
            </w:tcBorders>
            <w:shd w:val="clear" w:color="auto" w:fill="auto"/>
            <w:noWrap/>
            <w:vAlign w:val="center"/>
            <w:hideMark/>
          </w:tcPr>
          <w:p w14:paraId="7FD6DD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14421038</w:t>
            </w:r>
          </w:p>
        </w:tc>
        <w:tc>
          <w:tcPr>
            <w:tcW w:w="160" w:type="dxa"/>
            <w:tcBorders>
              <w:top w:val="nil"/>
              <w:left w:val="nil"/>
              <w:bottom w:val="single" w:sz="4" w:space="0" w:color="auto"/>
              <w:right w:val="nil"/>
            </w:tcBorders>
            <w:vAlign w:val="center"/>
          </w:tcPr>
          <w:p w14:paraId="710A54E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6818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MATKE</w:t>
            </w:r>
          </w:p>
        </w:tc>
      </w:tr>
      <w:tr w:rsidR="00072A69" w:rsidRPr="00DC6DF9" w14:paraId="168221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9D80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1538</w:t>
            </w:r>
          </w:p>
        </w:tc>
        <w:tc>
          <w:tcPr>
            <w:tcW w:w="1036" w:type="dxa"/>
            <w:tcBorders>
              <w:top w:val="nil"/>
              <w:left w:val="nil"/>
              <w:bottom w:val="single" w:sz="4" w:space="0" w:color="auto"/>
              <w:right w:val="single" w:sz="4" w:space="0" w:color="auto"/>
            </w:tcBorders>
            <w:shd w:val="clear" w:color="auto" w:fill="auto"/>
            <w:noWrap/>
            <w:vAlign w:val="center"/>
            <w:hideMark/>
          </w:tcPr>
          <w:p w14:paraId="05582D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5136849000</w:t>
            </w:r>
          </w:p>
        </w:tc>
        <w:tc>
          <w:tcPr>
            <w:tcW w:w="1036" w:type="dxa"/>
            <w:tcBorders>
              <w:top w:val="nil"/>
              <w:left w:val="nil"/>
              <w:bottom w:val="single" w:sz="4" w:space="0" w:color="auto"/>
              <w:right w:val="single" w:sz="4" w:space="0" w:color="auto"/>
            </w:tcBorders>
            <w:shd w:val="clear" w:color="auto" w:fill="auto"/>
            <w:noWrap/>
            <w:vAlign w:val="center"/>
            <w:hideMark/>
          </w:tcPr>
          <w:p w14:paraId="22CFE6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60069643</w:t>
            </w:r>
          </w:p>
        </w:tc>
        <w:tc>
          <w:tcPr>
            <w:tcW w:w="160" w:type="dxa"/>
            <w:tcBorders>
              <w:top w:val="nil"/>
              <w:left w:val="nil"/>
              <w:bottom w:val="single" w:sz="4" w:space="0" w:color="auto"/>
              <w:right w:val="nil"/>
            </w:tcBorders>
            <w:vAlign w:val="center"/>
          </w:tcPr>
          <w:p w14:paraId="1CCAA76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85BB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NOVA GORICA</w:t>
            </w:r>
          </w:p>
        </w:tc>
      </w:tr>
      <w:tr w:rsidR="00072A69" w:rsidRPr="00DC6DF9" w14:paraId="784863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4291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1539</w:t>
            </w:r>
          </w:p>
        </w:tc>
        <w:tc>
          <w:tcPr>
            <w:tcW w:w="1036" w:type="dxa"/>
            <w:tcBorders>
              <w:top w:val="nil"/>
              <w:left w:val="nil"/>
              <w:bottom w:val="single" w:sz="4" w:space="0" w:color="auto"/>
              <w:right w:val="single" w:sz="4" w:space="0" w:color="auto"/>
            </w:tcBorders>
            <w:shd w:val="clear" w:color="auto" w:fill="auto"/>
            <w:noWrap/>
            <w:vAlign w:val="center"/>
            <w:hideMark/>
          </w:tcPr>
          <w:p w14:paraId="29D5DC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5195209000</w:t>
            </w:r>
          </w:p>
        </w:tc>
        <w:tc>
          <w:tcPr>
            <w:tcW w:w="1036" w:type="dxa"/>
            <w:tcBorders>
              <w:top w:val="nil"/>
              <w:left w:val="nil"/>
              <w:bottom w:val="single" w:sz="4" w:space="0" w:color="auto"/>
              <w:right w:val="single" w:sz="4" w:space="0" w:color="auto"/>
            </w:tcBorders>
            <w:shd w:val="clear" w:color="auto" w:fill="auto"/>
            <w:noWrap/>
            <w:vAlign w:val="center"/>
            <w:hideMark/>
          </w:tcPr>
          <w:p w14:paraId="0C869E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19758871</w:t>
            </w:r>
          </w:p>
        </w:tc>
        <w:tc>
          <w:tcPr>
            <w:tcW w:w="160" w:type="dxa"/>
            <w:tcBorders>
              <w:top w:val="nil"/>
              <w:left w:val="nil"/>
              <w:bottom w:val="single" w:sz="4" w:space="0" w:color="auto"/>
              <w:right w:val="nil"/>
            </w:tcBorders>
            <w:vAlign w:val="center"/>
          </w:tcPr>
          <w:p w14:paraId="237089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695E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POBEGI-ČEŽARJI</w:t>
            </w:r>
          </w:p>
        </w:tc>
      </w:tr>
      <w:tr w:rsidR="00072A69" w:rsidRPr="00DC6DF9" w14:paraId="46030F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0C81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1540</w:t>
            </w:r>
          </w:p>
        </w:tc>
        <w:tc>
          <w:tcPr>
            <w:tcW w:w="1036" w:type="dxa"/>
            <w:tcBorders>
              <w:top w:val="nil"/>
              <w:left w:val="nil"/>
              <w:bottom w:val="single" w:sz="4" w:space="0" w:color="auto"/>
              <w:right w:val="single" w:sz="4" w:space="0" w:color="auto"/>
            </w:tcBorders>
            <w:shd w:val="clear" w:color="auto" w:fill="auto"/>
            <w:noWrap/>
            <w:vAlign w:val="center"/>
            <w:hideMark/>
          </w:tcPr>
          <w:p w14:paraId="56D2CF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5225531000</w:t>
            </w:r>
          </w:p>
        </w:tc>
        <w:tc>
          <w:tcPr>
            <w:tcW w:w="1036" w:type="dxa"/>
            <w:tcBorders>
              <w:top w:val="nil"/>
              <w:left w:val="nil"/>
              <w:bottom w:val="single" w:sz="4" w:space="0" w:color="auto"/>
              <w:right w:val="single" w:sz="4" w:space="0" w:color="auto"/>
            </w:tcBorders>
            <w:shd w:val="clear" w:color="auto" w:fill="auto"/>
            <w:noWrap/>
            <w:vAlign w:val="center"/>
            <w:hideMark/>
          </w:tcPr>
          <w:p w14:paraId="705EBF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35230525</w:t>
            </w:r>
          </w:p>
        </w:tc>
        <w:tc>
          <w:tcPr>
            <w:tcW w:w="160" w:type="dxa"/>
            <w:tcBorders>
              <w:top w:val="nil"/>
              <w:left w:val="nil"/>
              <w:bottom w:val="single" w:sz="4" w:space="0" w:color="auto"/>
              <w:right w:val="nil"/>
            </w:tcBorders>
            <w:vAlign w:val="center"/>
          </w:tcPr>
          <w:p w14:paraId="7DD25E8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825B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PODKUM</w:t>
            </w:r>
          </w:p>
        </w:tc>
      </w:tr>
      <w:tr w:rsidR="00072A69" w:rsidRPr="00DC6DF9" w14:paraId="3F19DD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73A8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1541</w:t>
            </w:r>
          </w:p>
        </w:tc>
        <w:tc>
          <w:tcPr>
            <w:tcW w:w="1036" w:type="dxa"/>
            <w:tcBorders>
              <w:top w:val="nil"/>
              <w:left w:val="nil"/>
              <w:bottom w:val="single" w:sz="4" w:space="0" w:color="auto"/>
              <w:right w:val="single" w:sz="4" w:space="0" w:color="auto"/>
            </w:tcBorders>
            <w:shd w:val="clear" w:color="auto" w:fill="auto"/>
            <w:noWrap/>
            <w:vAlign w:val="center"/>
            <w:hideMark/>
          </w:tcPr>
          <w:p w14:paraId="361FC9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5160120000</w:t>
            </w:r>
          </w:p>
        </w:tc>
        <w:tc>
          <w:tcPr>
            <w:tcW w:w="1036" w:type="dxa"/>
            <w:tcBorders>
              <w:top w:val="nil"/>
              <w:left w:val="nil"/>
              <w:bottom w:val="single" w:sz="4" w:space="0" w:color="auto"/>
              <w:right w:val="single" w:sz="4" w:space="0" w:color="auto"/>
            </w:tcBorders>
            <w:shd w:val="clear" w:color="auto" w:fill="auto"/>
            <w:noWrap/>
            <w:vAlign w:val="center"/>
            <w:hideMark/>
          </w:tcPr>
          <w:p w14:paraId="7C7CE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30492033</w:t>
            </w:r>
          </w:p>
        </w:tc>
        <w:tc>
          <w:tcPr>
            <w:tcW w:w="160" w:type="dxa"/>
            <w:tcBorders>
              <w:top w:val="nil"/>
              <w:left w:val="nil"/>
              <w:bottom w:val="single" w:sz="4" w:space="0" w:color="auto"/>
              <w:right w:val="nil"/>
            </w:tcBorders>
            <w:vAlign w:val="center"/>
          </w:tcPr>
          <w:p w14:paraId="600068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C4E8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PONIKVA PRI ŽALCU</w:t>
            </w:r>
          </w:p>
        </w:tc>
      </w:tr>
      <w:tr w:rsidR="00072A69" w:rsidRPr="00DC6DF9" w14:paraId="428503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5A5D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1542</w:t>
            </w:r>
          </w:p>
        </w:tc>
        <w:tc>
          <w:tcPr>
            <w:tcW w:w="1036" w:type="dxa"/>
            <w:tcBorders>
              <w:top w:val="nil"/>
              <w:left w:val="nil"/>
              <w:bottom w:val="single" w:sz="4" w:space="0" w:color="auto"/>
              <w:right w:val="single" w:sz="4" w:space="0" w:color="auto"/>
            </w:tcBorders>
            <w:shd w:val="clear" w:color="auto" w:fill="auto"/>
            <w:noWrap/>
            <w:vAlign w:val="center"/>
            <w:hideMark/>
          </w:tcPr>
          <w:p w14:paraId="4BC05E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5115701000</w:t>
            </w:r>
          </w:p>
        </w:tc>
        <w:tc>
          <w:tcPr>
            <w:tcW w:w="1036" w:type="dxa"/>
            <w:tcBorders>
              <w:top w:val="nil"/>
              <w:left w:val="nil"/>
              <w:bottom w:val="single" w:sz="4" w:space="0" w:color="auto"/>
              <w:right w:val="single" w:sz="4" w:space="0" w:color="auto"/>
            </w:tcBorders>
            <w:shd w:val="clear" w:color="auto" w:fill="auto"/>
            <w:noWrap/>
            <w:vAlign w:val="center"/>
            <w:hideMark/>
          </w:tcPr>
          <w:p w14:paraId="2DF128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11694548</w:t>
            </w:r>
          </w:p>
        </w:tc>
        <w:tc>
          <w:tcPr>
            <w:tcW w:w="160" w:type="dxa"/>
            <w:tcBorders>
              <w:top w:val="nil"/>
              <w:left w:val="nil"/>
              <w:bottom w:val="single" w:sz="4" w:space="0" w:color="auto"/>
              <w:right w:val="nil"/>
            </w:tcBorders>
            <w:vAlign w:val="center"/>
          </w:tcPr>
          <w:p w14:paraId="17AE3C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542E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PROŽINSKA VAS</w:t>
            </w:r>
          </w:p>
        </w:tc>
      </w:tr>
      <w:tr w:rsidR="00072A69" w:rsidRPr="00DC6DF9" w14:paraId="43715F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F0B0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1543</w:t>
            </w:r>
          </w:p>
        </w:tc>
        <w:tc>
          <w:tcPr>
            <w:tcW w:w="1036" w:type="dxa"/>
            <w:tcBorders>
              <w:top w:val="nil"/>
              <w:left w:val="nil"/>
              <w:bottom w:val="single" w:sz="4" w:space="0" w:color="auto"/>
              <w:right w:val="single" w:sz="4" w:space="0" w:color="auto"/>
            </w:tcBorders>
            <w:shd w:val="clear" w:color="auto" w:fill="auto"/>
            <w:noWrap/>
            <w:vAlign w:val="center"/>
            <w:hideMark/>
          </w:tcPr>
          <w:p w14:paraId="43B9ED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5126240000</w:t>
            </w:r>
          </w:p>
        </w:tc>
        <w:tc>
          <w:tcPr>
            <w:tcW w:w="1036" w:type="dxa"/>
            <w:tcBorders>
              <w:top w:val="nil"/>
              <w:left w:val="nil"/>
              <w:bottom w:val="single" w:sz="4" w:space="0" w:color="auto"/>
              <w:right w:val="single" w:sz="4" w:space="0" w:color="auto"/>
            </w:tcBorders>
            <w:shd w:val="clear" w:color="auto" w:fill="auto"/>
            <w:noWrap/>
            <w:vAlign w:val="center"/>
            <w:hideMark/>
          </w:tcPr>
          <w:p w14:paraId="4EC6E4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38004526</w:t>
            </w:r>
          </w:p>
        </w:tc>
        <w:tc>
          <w:tcPr>
            <w:tcW w:w="160" w:type="dxa"/>
            <w:tcBorders>
              <w:top w:val="nil"/>
              <w:left w:val="nil"/>
              <w:bottom w:val="single" w:sz="4" w:space="0" w:color="auto"/>
              <w:right w:val="nil"/>
            </w:tcBorders>
            <w:vAlign w:val="center"/>
          </w:tcPr>
          <w:p w14:paraId="3F2F93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2AAE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RADLJE OB DRAVI</w:t>
            </w:r>
          </w:p>
        </w:tc>
      </w:tr>
      <w:tr w:rsidR="00072A69" w:rsidRPr="00DC6DF9" w14:paraId="6CD2138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5AB0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1544</w:t>
            </w:r>
          </w:p>
        </w:tc>
        <w:tc>
          <w:tcPr>
            <w:tcW w:w="1036" w:type="dxa"/>
            <w:tcBorders>
              <w:top w:val="nil"/>
              <w:left w:val="nil"/>
              <w:bottom w:val="single" w:sz="4" w:space="0" w:color="auto"/>
              <w:right w:val="single" w:sz="4" w:space="0" w:color="auto"/>
            </w:tcBorders>
            <w:shd w:val="clear" w:color="auto" w:fill="auto"/>
            <w:noWrap/>
            <w:vAlign w:val="center"/>
            <w:hideMark/>
          </w:tcPr>
          <w:p w14:paraId="0523BE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5120900000</w:t>
            </w:r>
          </w:p>
        </w:tc>
        <w:tc>
          <w:tcPr>
            <w:tcW w:w="1036" w:type="dxa"/>
            <w:tcBorders>
              <w:top w:val="nil"/>
              <w:left w:val="nil"/>
              <w:bottom w:val="single" w:sz="4" w:space="0" w:color="auto"/>
              <w:right w:val="single" w:sz="4" w:space="0" w:color="auto"/>
            </w:tcBorders>
            <w:shd w:val="clear" w:color="auto" w:fill="auto"/>
            <w:noWrap/>
            <w:vAlign w:val="center"/>
            <w:hideMark/>
          </w:tcPr>
          <w:p w14:paraId="4753E0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72063203</w:t>
            </w:r>
          </w:p>
        </w:tc>
        <w:tc>
          <w:tcPr>
            <w:tcW w:w="160" w:type="dxa"/>
            <w:tcBorders>
              <w:top w:val="nil"/>
              <w:left w:val="nil"/>
              <w:bottom w:val="single" w:sz="4" w:space="0" w:color="auto"/>
              <w:right w:val="nil"/>
            </w:tcBorders>
            <w:vAlign w:val="center"/>
          </w:tcPr>
          <w:p w14:paraId="77E7D8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611E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RUŠE</w:t>
            </w:r>
          </w:p>
        </w:tc>
      </w:tr>
      <w:tr w:rsidR="00072A69" w:rsidRPr="00DC6DF9" w14:paraId="778301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4313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1545</w:t>
            </w:r>
          </w:p>
        </w:tc>
        <w:tc>
          <w:tcPr>
            <w:tcW w:w="1036" w:type="dxa"/>
            <w:tcBorders>
              <w:top w:val="nil"/>
              <w:left w:val="nil"/>
              <w:bottom w:val="single" w:sz="4" w:space="0" w:color="auto"/>
              <w:right w:val="single" w:sz="4" w:space="0" w:color="auto"/>
            </w:tcBorders>
            <w:shd w:val="clear" w:color="auto" w:fill="auto"/>
            <w:noWrap/>
            <w:vAlign w:val="center"/>
            <w:hideMark/>
          </w:tcPr>
          <w:p w14:paraId="7256CF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5115868000</w:t>
            </w:r>
          </w:p>
        </w:tc>
        <w:tc>
          <w:tcPr>
            <w:tcW w:w="1036" w:type="dxa"/>
            <w:tcBorders>
              <w:top w:val="nil"/>
              <w:left w:val="nil"/>
              <w:bottom w:val="single" w:sz="4" w:space="0" w:color="auto"/>
              <w:right w:val="single" w:sz="4" w:space="0" w:color="auto"/>
            </w:tcBorders>
            <w:shd w:val="clear" w:color="auto" w:fill="auto"/>
            <w:noWrap/>
            <w:vAlign w:val="center"/>
            <w:hideMark/>
          </w:tcPr>
          <w:p w14:paraId="076550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40912183</w:t>
            </w:r>
          </w:p>
        </w:tc>
        <w:tc>
          <w:tcPr>
            <w:tcW w:w="160" w:type="dxa"/>
            <w:tcBorders>
              <w:top w:val="nil"/>
              <w:left w:val="nil"/>
              <w:bottom w:val="single" w:sz="4" w:space="0" w:color="auto"/>
              <w:right w:val="nil"/>
            </w:tcBorders>
            <w:vAlign w:val="center"/>
          </w:tcPr>
          <w:p w14:paraId="54C0D2C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637B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SELO NA VIPAVSKEM</w:t>
            </w:r>
          </w:p>
        </w:tc>
      </w:tr>
      <w:tr w:rsidR="00072A69" w:rsidRPr="00DC6DF9" w14:paraId="643DDA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EEC3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1546</w:t>
            </w:r>
          </w:p>
        </w:tc>
        <w:tc>
          <w:tcPr>
            <w:tcW w:w="1036" w:type="dxa"/>
            <w:tcBorders>
              <w:top w:val="nil"/>
              <w:left w:val="nil"/>
              <w:bottom w:val="single" w:sz="4" w:space="0" w:color="auto"/>
              <w:right w:val="single" w:sz="4" w:space="0" w:color="auto"/>
            </w:tcBorders>
            <w:shd w:val="clear" w:color="auto" w:fill="auto"/>
            <w:noWrap/>
            <w:vAlign w:val="center"/>
            <w:hideMark/>
          </w:tcPr>
          <w:p w14:paraId="1DBDF2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5202892000</w:t>
            </w:r>
          </w:p>
        </w:tc>
        <w:tc>
          <w:tcPr>
            <w:tcW w:w="1036" w:type="dxa"/>
            <w:tcBorders>
              <w:top w:val="nil"/>
              <w:left w:val="nil"/>
              <w:bottom w:val="single" w:sz="4" w:space="0" w:color="auto"/>
              <w:right w:val="single" w:sz="4" w:space="0" w:color="auto"/>
            </w:tcBorders>
            <w:shd w:val="clear" w:color="auto" w:fill="auto"/>
            <w:noWrap/>
            <w:vAlign w:val="center"/>
            <w:hideMark/>
          </w:tcPr>
          <w:p w14:paraId="1B1F93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26244349</w:t>
            </w:r>
          </w:p>
        </w:tc>
        <w:tc>
          <w:tcPr>
            <w:tcW w:w="160" w:type="dxa"/>
            <w:tcBorders>
              <w:top w:val="nil"/>
              <w:left w:val="nil"/>
              <w:bottom w:val="single" w:sz="4" w:space="0" w:color="auto"/>
              <w:right w:val="nil"/>
            </w:tcBorders>
            <w:vAlign w:val="center"/>
          </w:tcPr>
          <w:p w14:paraId="257C9C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9C6E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ŠEMPETER PRI GORICI</w:t>
            </w:r>
          </w:p>
        </w:tc>
      </w:tr>
      <w:tr w:rsidR="00072A69" w:rsidRPr="00DC6DF9" w14:paraId="13A567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F801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1547</w:t>
            </w:r>
          </w:p>
        </w:tc>
        <w:tc>
          <w:tcPr>
            <w:tcW w:w="1036" w:type="dxa"/>
            <w:tcBorders>
              <w:top w:val="nil"/>
              <w:left w:val="nil"/>
              <w:bottom w:val="single" w:sz="4" w:space="0" w:color="auto"/>
              <w:right w:val="single" w:sz="4" w:space="0" w:color="auto"/>
            </w:tcBorders>
            <w:shd w:val="clear" w:color="auto" w:fill="auto"/>
            <w:noWrap/>
            <w:vAlign w:val="center"/>
            <w:hideMark/>
          </w:tcPr>
          <w:p w14:paraId="4C5EE7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5116961000</w:t>
            </w:r>
          </w:p>
        </w:tc>
        <w:tc>
          <w:tcPr>
            <w:tcW w:w="1036" w:type="dxa"/>
            <w:tcBorders>
              <w:top w:val="nil"/>
              <w:left w:val="nil"/>
              <w:bottom w:val="single" w:sz="4" w:space="0" w:color="auto"/>
              <w:right w:val="single" w:sz="4" w:space="0" w:color="auto"/>
            </w:tcBorders>
            <w:shd w:val="clear" w:color="auto" w:fill="auto"/>
            <w:noWrap/>
            <w:vAlign w:val="center"/>
            <w:hideMark/>
          </w:tcPr>
          <w:p w14:paraId="6FF4CA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59922591</w:t>
            </w:r>
          </w:p>
        </w:tc>
        <w:tc>
          <w:tcPr>
            <w:tcW w:w="160" w:type="dxa"/>
            <w:tcBorders>
              <w:top w:val="nil"/>
              <w:left w:val="nil"/>
              <w:bottom w:val="single" w:sz="4" w:space="0" w:color="auto"/>
              <w:right w:val="nil"/>
            </w:tcBorders>
            <w:vAlign w:val="center"/>
          </w:tcPr>
          <w:p w14:paraId="1D1750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7C3F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ŠEVNICA</w:t>
            </w:r>
          </w:p>
        </w:tc>
      </w:tr>
      <w:tr w:rsidR="00072A69" w:rsidRPr="00DC6DF9" w14:paraId="0CCF72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8F34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1548</w:t>
            </w:r>
          </w:p>
        </w:tc>
        <w:tc>
          <w:tcPr>
            <w:tcW w:w="1036" w:type="dxa"/>
            <w:tcBorders>
              <w:top w:val="nil"/>
              <w:left w:val="nil"/>
              <w:bottom w:val="single" w:sz="4" w:space="0" w:color="auto"/>
              <w:right w:val="single" w:sz="4" w:space="0" w:color="auto"/>
            </w:tcBorders>
            <w:shd w:val="clear" w:color="auto" w:fill="auto"/>
            <w:noWrap/>
            <w:vAlign w:val="center"/>
            <w:hideMark/>
          </w:tcPr>
          <w:p w14:paraId="4FDCE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5233844000</w:t>
            </w:r>
          </w:p>
        </w:tc>
        <w:tc>
          <w:tcPr>
            <w:tcW w:w="1036" w:type="dxa"/>
            <w:tcBorders>
              <w:top w:val="nil"/>
              <w:left w:val="nil"/>
              <w:bottom w:val="single" w:sz="4" w:space="0" w:color="auto"/>
              <w:right w:val="single" w:sz="4" w:space="0" w:color="auto"/>
            </w:tcBorders>
            <w:shd w:val="clear" w:color="auto" w:fill="auto"/>
            <w:noWrap/>
            <w:vAlign w:val="center"/>
            <w:hideMark/>
          </w:tcPr>
          <w:p w14:paraId="692EB3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60301953</w:t>
            </w:r>
          </w:p>
        </w:tc>
        <w:tc>
          <w:tcPr>
            <w:tcW w:w="160" w:type="dxa"/>
            <w:tcBorders>
              <w:top w:val="nil"/>
              <w:left w:val="nil"/>
              <w:bottom w:val="single" w:sz="4" w:space="0" w:color="auto"/>
              <w:right w:val="nil"/>
            </w:tcBorders>
            <w:vAlign w:val="center"/>
          </w:tcPr>
          <w:p w14:paraId="3FA981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E3A8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ŠMARTNO V ROŽNI DOLINI</w:t>
            </w:r>
          </w:p>
        </w:tc>
      </w:tr>
      <w:tr w:rsidR="00072A69" w:rsidRPr="00DC6DF9" w14:paraId="4CAC876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5DE5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1549</w:t>
            </w:r>
          </w:p>
        </w:tc>
        <w:tc>
          <w:tcPr>
            <w:tcW w:w="1036" w:type="dxa"/>
            <w:tcBorders>
              <w:top w:val="nil"/>
              <w:left w:val="nil"/>
              <w:bottom w:val="single" w:sz="4" w:space="0" w:color="auto"/>
              <w:right w:val="single" w:sz="4" w:space="0" w:color="auto"/>
            </w:tcBorders>
            <w:shd w:val="clear" w:color="auto" w:fill="auto"/>
            <w:noWrap/>
            <w:vAlign w:val="center"/>
            <w:hideMark/>
          </w:tcPr>
          <w:p w14:paraId="664A7A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5239281000</w:t>
            </w:r>
          </w:p>
        </w:tc>
        <w:tc>
          <w:tcPr>
            <w:tcW w:w="1036" w:type="dxa"/>
            <w:tcBorders>
              <w:top w:val="nil"/>
              <w:left w:val="nil"/>
              <w:bottom w:val="single" w:sz="4" w:space="0" w:color="auto"/>
              <w:right w:val="single" w:sz="4" w:space="0" w:color="auto"/>
            </w:tcBorders>
            <w:shd w:val="clear" w:color="auto" w:fill="auto"/>
            <w:noWrap/>
            <w:vAlign w:val="center"/>
            <w:hideMark/>
          </w:tcPr>
          <w:p w14:paraId="523E22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32367210</w:t>
            </w:r>
          </w:p>
        </w:tc>
        <w:tc>
          <w:tcPr>
            <w:tcW w:w="160" w:type="dxa"/>
            <w:tcBorders>
              <w:top w:val="nil"/>
              <w:left w:val="nil"/>
              <w:bottom w:val="single" w:sz="4" w:space="0" w:color="auto"/>
              <w:right w:val="nil"/>
            </w:tcBorders>
            <w:vAlign w:val="center"/>
          </w:tcPr>
          <w:p w14:paraId="34C5639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8ABE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VRHPOLJE</w:t>
            </w:r>
          </w:p>
        </w:tc>
      </w:tr>
      <w:tr w:rsidR="00072A69" w:rsidRPr="00DC6DF9" w14:paraId="1ADC2C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D424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1550</w:t>
            </w:r>
          </w:p>
        </w:tc>
        <w:tc>
          <w:tcPr>
            <w:tcW w:w="1036" w:type="dxa"/>
            <w:tcBorders>
              <w:top w:val="nil"/>
              <w:left w:val="nil"/>
              <w:bottom w:val="single" w:sz="4" w:space="0" w:color="auto"/>
              <w:right w:val="single" w:sz="4" w:space="0" w:color="auto"/>
            </w:tcBorders>
            <w:shd w:val="clear" w:color="auto" w:fill="auto"/>
            <w:noWrap/>
            <w:vAlign w:val="center"/>
            <w:hideMark/>
          </w:tcPr>
          <w:p w14:paraId="127A12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5060737000</w:t>
            </w:r>
          </w:p>
        </w:tc>
        <w:tc>
          <w:tcPr>
            <w:tcW w:w="1036" w:type="dxa"/>
            <w:tcBorders>
              <w:top w:val="nil"/>
              <w:left w:val="nil"/>
              <w:bottom w:val="single" w:sz="4" w:space="0" w:color="auto"/>
              <w:right w:val="single" w:sz="4" w:space="0" w:color="auto"/>
            </w:tcBorders>
            <w:shd w:val="clear" w:color="auto" w:fill="auto"/>
            <w:noWrap/>
            <w:vAlign w:val="center"/>
            <w:hideMark/>
          </w:tcPr>
          <w:p w14:paraId="7033DB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81494742</w:t>
            </w:r>
          </w:p>
        </w:tc>
        <w:tc>
          <w:tcPr>
            <w:tcW w:w="160" w:type="dxa"/>
            <w:tcBorders>
              <w:top w:val="nil"/>
              <w:left w:val="nil"/>
              <w:bottom w:val="single" w:sz="4" w:space="0" w:color="auto"/>
              <w:right w:val="nil"/>
            </w:tcBorders>
            <w:vAlign w:val="center"/>
          </w:tcPr>
          <w:p w14:paraId="107483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E060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PROSTOVOLJNO GASILSKO DRUŠTVO VRHPOLJE PRI VIPAVI</w:t>
            </w:r>
          </w:p>
        </w:tc>
      </w:tr>
      <w:tr w:rsidR="00072A69" w:rsidRPr="00DC6DF9" w14:paraId="4DEAC6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9CE2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1551</w:t>
            </w:r>
          </w:p>
        </w:tc>
        <w:tc>
          <w:tcPr>
            <w:tcW w:w="1036" w:type="dxa"/>
            <w:tcBorders>
              <w:top w:val="nil"/>
              <w:left w:val="nil"/>
              <w:bottom w:val="single" w:sz="4" w:space="0" w:color="auto"/>
              <w:right w:val="single" w:sz="4" w:space="0" w:color="auto"/>
            </w:tcBorders>
            <w:shd w:val="clear" w:color="auto" w:fill="auto"/>
            <w:noWrap/>
            <w:vAlign w:val="center"/>
            <w:hideMark/>
          </w:tcPr>
          <w:p w14:paraId="1CBADD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1685953000</w:t>
            </w:r>
          </w:p>
        </w:tc>
        <w:tc>
          <w:tcPr>
            <w:tcW w:w="1036" w:type="dxa"/>
            <w:tcBorders>
              <w:top w:val="nil"/>
              <w:left w:val="nil"/>
              <w:bottom w:val="single" w:sz="4" w:space="0" w:color="auto"/>
              <w:right w:val="single" w:sz="4" w:space="0" w:color="auto"/>
            </w:tcBorders>
            <w:shd w:val="clear" w:color="auto" w:fill="auto"/>
            <w:noWrap/>
            <w:vAlign w:val="center"/>
            <w:hideMark/>
          </w:tcPr>
          <w:p w14:paraId="47E033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17471257</w:t>
            </w:r>
          </w:p>
        </w:tc>
        <w:tc>
          <w:tcPr>
            <w:tcW w:w="160" w:type="dxa"/>
            <w:tcBorders>
              <w:top w:val="nil"/>
              <w:left w:val="nil"/>
              <w:bottom w:val="single" w:sz="4" w:space="0" w:color="auto"/>
              <w:right w:val="nil"/>
            </w:tcBorders>
            <w:vAlign w:val="center"/>
          </w:tcPr>
          <w:p w14:paraId="7F31DD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0B77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PROTOKOLARNE STORITVE REPUBLIKE SLOVENIJE</w:t>
            </w:r>
          </w:p>
        </w:tc>
      </w:tr>
      <w:tr w:rsidR="00072A69" w:rsidRPr="00DC6DF9" w14:paraId="4E883D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2DDD1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1552</w:t>
            </w:r>
          </w:p>
        </w:tc>
        <w:tc>
          <w:tcPr>
            <w:tcW w:w="1036" w:type="dxa"/>
            <w:tcBorders>
              <w:top w:val="nil"/>
              <w:left w:val="nil"/>
              <w:bottom w:val="single" w:sz="4" w:space="0" w:color="auto"/>
              <w:right w:val="single" w:sz="4" w:space="0" w:color="auto"/>
            </w:tcBorders>
            <w:shd w:val="clear" w:color="auto" w:fill="auto"/>
            <w:noWrap/>
            <w:vAlign w:val="center"/>
            <w:hideMark/>
          </w:tcPr>
          <w:p w14:paraId="52C3BA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5085535000</w:t>
            </w:r>
          </w:p>
        </w:tc>
        <w:tc>
          <w:tcPr>
            <w:tcW w:w="1036" w:type="dxa"/>
            <w:tcBorders>
              <w:top w:val="nil"/>
              <w:left w:val="nil"/>
              <w:bottom w:val="single" w:sz="4" w:space="0" w:color="auto"/>
              <w:right w:val="single" w:sz="4" w:space="0" w:color="auto"/>
            </w:tcBorders>
            <w:shd w:val="clear" w:color="auto" w:fill="auto"/>
            <w:noWrap/>
            <w:vAlign w:val="center"/>
            <w:hideMark/>
          </w:tcPr>
          <w:p w14:paraId="39E1B8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41623878</w:t>
            </w:r>
          </w:p>
        </w:tc>
        <w:tc>
          <w:tcPr>
            <w:tcW w:w="160" w:type="dxa"/>
            <w:tcBorders>
              <w:top w:val="nil"/>
              <w:left w:val="nil"/>
              <w:bottom w:val="single" w:sz="4" w:space="0" w:color="auto"/>
              <w:right w:val="nil"/>
            </w:tcBorders>
            <w:vAlign w:val="center"/>
          </w:tcPr>
          <w:p w14:paraId="23753C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A1BA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PRVA GIMNAZIJA MARIBOR</w:t>
            </w:r>
          </w:p>
        </w:tc>
      </w:tr>
      <w:tr w:rsidR="00072A69" w:rsidRPr="00DC6DF9" w14:paraId="09BEC8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B736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1553</w:t>
            </w:r>
          </w:p>
        </w:tc>
        <w:tc>
          <w:tcPr>
            <w:tcW w:w="1036" w:type="dxa"/>
            <w:tcBorders>
              <w:top w:val="nil"/>
              <w:left w:val="nil"/>
              <w:bottom w:val="single" w:sz="4" w:space="0" w:color="auto"/>
              <w:right w:val="single" w:sz="4" w:space="0" w:color="auto"/>
            </w:tcBorders>
            <w:shd w:val="clear" w:color="auto" w:fill="auto"/>
            <w:noWrap/>
            <w:vAlign w:val="center"/>
            <w:hideMark/>
          </w:tcPr>
          <w:p w14:paraId="1EBCC2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5089395000</w:t>
            </w:r>
          </w:p>
        </w:tc>
        <w:tc>
          <w:tcPr>
            <w:tcW w:w="1036" w:type="dxa"/>
            <w:tcBorders>
              <w:top w:val="nil"/>
              <w:left w:val="nil"/>
              <w:bottom w:val="single" w:sz="4" w:space="0" w:color="auto"/>
              <w:right w:val="single" w:sz="4" w:space="0" w:color="auto"/>
            </w:tcBorders>
            <w:shd w:val="clear" w:color="auto" w:fill="auto"/>
            <w:noWrap/>
            <w:vAlign w:val="center"/>
            <w:hideMark/>
          </w:tcPr>
          <w:p w14:paraId="4A7EF6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23083972</w:t>
            </w:r>
          </w:p>
        </w:tc>
        <w:tc>
          <w:tcPr>
            <w:tcW w:w="160" w:type="dxa"/>
            <w:tcBorders>
              <w:top w:val="nil"/>
              <w:left w:val="nil"/>
              <w:bottom w:val="single" w:sz="4" w:space="0" w:color="auto"/>
              <w:right w:val="nil"/>
            </w:tcBorders>
            <w:vAlign w:val="center"/>
          </w:tcPr>
          <w:p w14:paraId="03B42D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412F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PRVA OSNOVNA ŠOLA SLOVENJ GRADEC</w:t>
            </w:r>
          </w:p>
        </w:tc>
      </w:tr>
      <w:tr w:rsidR="00072A69" w:rsidRPr="00DC6DF9" w14:paraId="5215FB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2181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1554</w:t>
            </w:r>
          </w:p>
        </w:tc>
        <w:tc>
          <w:tcPr>
            <w:tcW w:w="1036" w:type="dxa"/>
            <w:tcBorders>
              <w:top w:val="nil"/>
              <w:left w:val="nil"/>
              <w:bottom w:val="single" w:sz="4" w:space="0" w:color="auto"/>
              <w:right w:val="single" w:sz="4" w:space="0" w:color="auto"/>
            </w:tcBorders>
            <w:shd w:val="clear" w:color="auto" w:fill="auto"/>
            <w:noWrap/>
            <w:vAlign w:val="center"/>
            <w:hideMark/>
          </w:tcPr>
          <w:p w14:paraId="5B7E4D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5054818000</w:t>
            </w:r>
          </w:p>
        </w:tc>
        <w:tc>
          <w:tcPr>
            <w:tcW w:w="1036" w:type="dxa"/>
            <w:tcBorders>
              <w:top w:val="nil"/>
              <w:left w:val="nil"/>
              <w:bottom w:val="single" w:sz="4" w:space="0" w:color="auto"/>
              <w:right w:val="single" w:sz="4" w:space="0" w:color="auto"/>
            </w:tcBorders>
            <w:shd w:val="clear" w:color="auto" w:fill="auto"/>
            <w:noWrap/>
            <w:vAlign w:val="center"/>
            <w:hideMark/>
          </w:tcPr>
          <w:p w14:paraId="178321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94700699</w:t>
            </w:r>
          </w:p>
        </w:tc>
        <w:tc>
          <w:tcPr>
            <w:tcW w:w="160" w:type="dxa"/>
            <w:tcBorders>
              <w:top w:val="nil"/>
              <w:left w:val="nil"/>
              <w:bottom w:val="single" w:sz="4" w:space="0" w:color="auto"/>
              <w:right w:val="nil"/>
            </w:tcBorders>
            <w:vAlign w:val="center"/>
          </w:tcPr>
          <w:p w14:paraId="1CA735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C06C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PSIHIATRIČNA BOLNIŠNICA BEGUNJE</w:t>
            </w:r>
          </w:p>
        </w:tc>
      </w:tr>
      <w:tr w:rsidR="00072A69" w:rsidRPr="00DC6DF9" w14:paraId="7737FD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6C57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1555</w:t>
            </w:r>
          </w:p>
        </w:tc>
        <w:tc>
          <w:tcPr>
            <w:tcW w:w="1036" w:type="dxa"/>
            <w:tcBorders>
              <w:top w:val="nil"/>
              <w:left w:val="nil"/>
              <w:bottom w:val="single" w:sz="4" w:space="0" w:color="auto"/>
              <w:right w:val="single" w:sz="4" w:space="0" w:color="auto"/>
            </w:tcBorders>
            <w:shd w:val="clear" w:color="auto" w:fill="auto"/>
            <w:noWrap/>
            <w:vAlign w:val="center"/>
            <w:hideMark/>
          </w:tcPr>
          <w:p w14:paraId="4760F5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5053668000</w:t>
            </w:r>
          </w:p>
        </w:tc>
        <w:tc>
          <w:tcPr>
            <w:tcW w:w="1036" w:type="dxa"/>
            <w:tcBorders>
              <w:top w:val="nil"/>
              <w:left w:val="nil"/>
              <w:bottom w:val="single" w:sz="4" w:space="0" w:color="auto"/>
              <w:right w:val="single" w:sz="4" w:space="0" w:color="auto"/>
            </w:tcBorders>
            <w:shd w:val="clear" w:color="auto" w:fill="auto"/>
            <w:noWrap/>
            <w:vAlign w:val="center"/>
            <w:hideMark/>
          </w:tcPr>
          <w:p w14:paraId="6DA446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73393789</w:t>
            </w:r>
          </w:p>
        </w:tc>
        <w:tc>
          <w:tcPr>
            <w:tcW w:w="160" w:type="dxa"/>
            <w:tcBorders>
              <w:top w:val="nil"/>
              <w:left w:val="nil"/>
              <w:bottom w:val="single" w:sz="4" w:space="0" w:color="auto"/>
              <w:right w:val="nil"/>
            </w:tcBorders>
            <w:vAlign w:val="center"/>
          </w:tcPr>
          <w:p w14:paraId="5234C1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FBE9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PSIHIATRIČNA BOLNIŠNICA IDRIJA</w:t>
            </w:r>
          </w:p>
        </w:tc>
      </w:tr>
      <w:tr w:rsidR="00072A69" w:rsidRPr="00DC6DF9" w14:paraId="5BD442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003D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1556</w:t>
            </w:r>
          </w:p>
        </w:tc>
        <w:tc>
          <w:tcPr>
            <w:tcW w:w="1036" w:type="dxa"/>
            <w:tcBorders>
              <w:top w:val="nil"/>
              <w:left w:val="nil"/>
              <w:bottom w:val="single" w:sz="4" w:space="0" w:color="auto"/>
              <w:right w:val="single" w:sz="4" w:space="0" w:color="auto"/>
            </w:tcBorders>
            <w:shd w:val="clear" w:color="auto" w:fill="auto"/>
            <w:noWrap/>
            <w:vAlign w:val="center"/>
            <w:hideMark/>
          </w:tcPr>
          <w:p w14:paraId="365145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5054788000</w:t>
            </w:r>
          </w:p>
        </w:tc>
        <w:tc>
          <w:tcPr>
            <w:tcW w:w="1036" w:type="dxa"/>
            <w:tcBorders>
              <w:top w:val="nil"/>
              <w:left w:val="nil"/>
              <w:bottom w:val="single" w:sz="4" w:space="0" w:color="auto"/>
              <w:right w:val="single" w:sz="4" w:space="0" w:color="auto"/>
            </w:tcBorders>
            <w:shd w:val="clear" w:color="auto" w:fill="auto"/>
            <w:noWrap/>
            <w:vAlign w:val="center"/>
            <w:hideMark/>
          </w:tcPr>
          <w:p w14:paraId="66E755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98922904</w:t>
            </w:r>
          </w:p>
        </w:tc>
        <w:tc>
          <w:tcPr>
            <w:tcW w:w="160" w:type="dxa"/>
            <w:tcBorders>
              <w:top w:val="nil"/>
              <w:left w:val="nil"/>
              <w:bottom w:val="single" w:sz="4" w:space="0" w:color="auto"/>
              <w:right w:val="nil"/>
            </w:tcBorders>
            <w:vAlign w:val="center"/>
          </w:tcPr>
          <w:p w14:paraId="53BD3B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D9AEF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PSIHIATRIČNA BOLNIŠNICA ORMOŽ</w:t>
            </w:r>
          </w:p>
        </w:tc>
      </w:tr>
      <w:tr w:rsidR="00072A69" w:rsidRPr="00DC6DF9" w14:paraId="7E5FDD3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0E5B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1557</w:t>
            </w:r>
          </w:p>
        </w:tc>
        <w:tc>
          <w:tcPr>
            <w:tcW w:w="1036" w:type="dxa"/>
            <w:tcBorders>
              <w:top w:val="nil"/>
              <w:left w:val="nil"/>
              <w:bottom w:val="single" w:sz="4" w:space="0" w:color="auto"/>
              <w:right w:val="single" w:sz="4" w:space="0" w:color="auto"/>
            </w:tcBorders>
            <w:shd w:val="clear" w:color="auto" w:fill="auto"/>
            <w:noWrap/>
            <w:vAlign w:val="center"/>
            <w:hideMark/>
          </w:tcPr>
          <w:p w14:paraId="36E2F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5685800000</w:t>
            </w:r>
          </w:p>
        </w:tc>
        <w:tc>
          <w:tcPr>
            <w:tcW w:w="1036" w:type="dxa"/>
            <w:tcBorders>
              <w:top w:val="nil"/>
              <w:left w:val="nil"/>
              <w:bottom w:val="single" w:sz="4" w:space="0" w:color="auto"/>
              <w:right w:val="single" w:sz="4" w:space="0" w:color="auto"/>
            </w:tcBorders>
            <w:shd w:val="clear" w:color="auto" w:fill="auto"/>
            <w:noWrap/>
            <w:vAlign w:val="center"/>
            <w:hideMark/>
          </w:tcPr>
          <w:p w14:paraId="3D7C9C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44691025</w:t>
            </w:r>
          </w:p>
        </w:tc>
        <w:tc>
          <w:tcPr>
            <w:tcW w:w="160" w:type="dxa"/>
            <w:tcBorders>
              <w:top w:val="nil"/>
              <w:left w:val="nil"/>
              <w:bottom w:val="single" w:sz="4" w:space="0" w:color="auto"/>
              <w:right w:val="nil"/>
            </w:tcBorders>
            <w:vAlign w:val="center"/>
          </w:tcPr>
          <w:p w14:paraId="70895D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DFA2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PSIHIATRIČNA BOLNIŠNICA VOJNIK</w:t>
            </w:r>
          </w:p>
        </w:tc>
      </w:tr>
      <w:tr w:rsidR="00072A69" w:rsidRPr="00DC6DF9" w14:paraId="425BAB0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B78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1558</w:t>
            </w:r>
          </w:p>
        </w:tc>
        <w:tc>
          <w:tcPr>
            <w:tcW w:w="1036" w:type="dxa"/>
            <w:tcBorders>
              <w:top w:val="nil"/>
              <w:left w:val="nil"/>
              <w:bottom w:val="single" w:sz="4" w:space="0" w:color="auto"/>
              <w:right w:val="single" w:sz="4" w:space="0" w:color="auto"/>
            </w:tcBorders>
            <w:shd w:val="clear" w:color="auto" w:fill="auto"/>
            <w:noWrap/>
            <w:vAlign w:val="center"/>
            <w:hideMark/>
          </w:tcPr>
          <w:p w14:paraId="20CE19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1491083000</w:t>
            </w:r>
          </w:p>
        </w:tc>
        <w:tc>
          <w:tcPr>
            <w:tcW w:w="1036" w:type="dxa"/>
            <w:tcBorders>
              <w:top w:val="nil"/>
              <w:left w:val="nil"/>
              <w:bottom w:val="single" w:sz="4" w:space="0" w:color="auto"/>
              <w:right w:val="single" w:sz="4" w:space="0" w:color="auto"/>
            </w:tcBorders>
            <w:shd w:val="clear" w:color="auto" w:fill="auto"/>
            <w:noWrap/>
            <w:vAlign w:val="center"/>
            <w:hideMark/>
          </w:tcPr>
          <w:p w14:paraId="1DAA61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71583475</w:t>
            </w:r>
          </w:p>
        </w:tc>
        <w:tc>
          <w:tcPr>
            <w:tcW w:w="160" w:type="dxa"/>
            <w:tcBorders>
              <w:top w:val="nil"/>
              <w:left w:val="nil"/>
              <w:bottom w:val="single" w:sz="4" w:space="0" w:color="auto"/>
              <w:right w:val="nil"/>
            </w:tcBorders>
            <w:vAlign w:val="center"/>
          </w:tcPr>
          <w:p w14:paraId="2C768A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AD38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PUNGRAD, D. O. O. </w:t>
            </w:r>
          </w:p>
        </w:tc>
      </w:tr>
      <w:tr w:rsidR="00072A69" w:rsidRPr="00DC6DF9" w14:paraId="095E9B5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BE2E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1559</w:t>
            </w:r>
          </w:p>
        </w:tc>
        <w:tc>
          <w:tcPr>
            <w:tcW w:w="1036" w:type="dxa"/>
            <w:tcBorders>
              <w:top w:val="nil"/>
              <w:left w:val="nil"/>
              <w:bottom w:val="single" w:sz="4" w:space="0" w:color="auto"/>
              <w:right w:val="single" w:sz="4" w:space="0" w:color="auto"/>
            </w:tcBorders>
            <w:shd w:val="clear" w:color="auto" w:fill="auto"/>
            <w:noWrap/>
            <w:vAlign w:val="center"/>
            <w:hideMark/>
          </w:tcPr>
          <w:p w14:paraId="07F87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5874742000</w:t>
            </w:r>
          </w:p>
        </w:tc>
        <w:tc>
          <w:tcPr>
            <w:tcW w:w="1036" w:type="dxa"/>
            <w:tcBorders>
              <w:top w:val="nil"/>
              <w:left w:val="nil"/>
              <w:bottom w:val="single" w:sz="4" w:space="0" w:color="auto"/>
              <w:right w:val="single" w:sz="4" w:space="0" w:color="auto"/>
            </w:tcBorders>
            <w:shd w:val="clear" w:color="auto" w:fill="auto"/>
            <w:noWrap/>
            <w:vAlign w:val="center"/>
            <w:hideMark/>
          </w:tcPr>
          <w:p w14:paraId="6144B5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72434295</w:t>
            </w:r>
          </w:p>
        </w:tc>
        <w:tc>
          <w:tcPr>
            <w:tcW w:w="160" w:type="dxa"/>
            <w:tcBorders>
              <w:top w:val="nil"/>
              <w:left w:val="nil"/>
              <w:bottom w:val="single" w:sz="4" w:space="0" w:color="auto"/>
              <w:right w:val="nil"/>
            </w:tcBorders>
            <w:vAlign w:val="center"/>
          </w:tcPr>
          <w:p w14:paraId="240539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72C7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RAČUNSKO SODIŠČE REPUBLIKE SLOVENIJE</w:t>
            </w:r>
          </w:p>
        </w:tc>
      </w:tr>
      <w:tr w:rsidR="00072A69" w:rsidRPr="00DC6DF9" w14:paraId="3FE952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79D2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1560</w:t>
            </w:r>
          </w:p>
        </w:tc>
        <w:tc>
          <w:tcPr>
            <w:tcW w:w="1036" w:type="dxa"/>
            <w:tcBorders>
              <w:top w:val="nil"/>
              <w:left w:val="nil"/>
              <w:bottom w:val="single" w:sz="4" w:space="0" w:color="auto"/>
              <w:right w:val="single" w:sz="4" w:space="0" w:color="auto"/>
            </w:tcBorders>
            <w:shd w:val="clear" w:color="auto" w:fill="auto"/>
            <w:noWrap/>
            <w:vAlign w:val="center"/>
            <w:hideMark/>
          </w:tcPr>
          <w:p w14:paraId="1588F6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5056497000</w:t>
            </w:r>
          </w:p>
        </w:tc>
        <w:tc>
          <w:tcPr>
            <w:tcW w:w="1036" w:type="dxa"/>
            <w:tcBorders>
              <w:top w:val="nil"/>
              <w:left w:val="nil"/>
              <w:bottom w:val="single" w:sz="4" w:space="0" w:color="auto"/>
              <w:right w:val="single" w:sz="4" w:space="0" w:color="auto"/>
            </w:tcBorders>
            <w:shd w:val="clear" w:color="auto" w:fill="auto"/>
            <w:noWrap/>
            <w:vAlign w:val="center"/>
            <w:hideMark/>
          </w:tcPr>
          <w:p w14:paraId="42740A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29865174</w:t>
            </w:r>
          </w:p>
        </w:tc>
        <w:tc>
          <w:tcPr>
            <w:tcW w:w="160" w:type="dxa"/>
            <w:tcBorders>
              <w:top w:val="nil"/>
              <w:left w:val="nil"/>
              <w:bottom w:val="single" w:sz="4" w:space="0" w:color="auto"/>
              <w:right w:val="nil"/>
            </w:tcBorders>
            <w:vAlign w:val="center"/>
          </w:tcPr>
          <w:p w14:paraId="78C5A3E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2CD4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RADIOTELEVIZIJA SLOVENIJA</w:t>
            </w:r>
          </w:p>
        </w:tc>
      </w:tr>
      <w:tr w:rsidR="00072A69" w:rsidRPr="00DC6DF9" w14:paraId="50CECB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112F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1561</w:t>
            </w:r>
          </w:p>
        </w:tc>
        <w:tc>
          <w:tcPr>
            <w:tcW w:w="1036" w:type="dxa"/>
            <w:tcBorders>
              <w:top w:val="nil"/>
              <w:left w:val="nil"/>
              <w:bottom w:val="single" w:sz="4" w:space="0" w:color="auto"/>
              <w:right w:val="single" w:sz="4" w:space="0" w:color="auto"/>
            </w:tcBorders>
            <w:shd w:val="clear" w:color="auto" w:fill="auto"/>
            <w:noWrap/>
            <w:vAlign w:val="center"/>
            <w:hideMark/>
          </w:tcPr>
          <w:p w14:paraId="2F4DF1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1900145000</w:t>
            </w:r>
          </w:p>
        </w:tc>
        <w:tc>
          <w:tcPr>
            <w:tcW w:w="1036" w:type="dxa"/>
            <w:tcBorders>
              <w:top w:val="nil"/>
              <w:left w:val="nil"/>
              <w:bottom w:val="single" w:sz="4" w:space="0" w:color="auto"/>
              <w:right w:val="single" w:sz="4" w:space="0" w:color="auto"/>
            </w:tcBorders>
            <w:shd w:val="clear" w:color="auto" w:fill="auto"/>
            <w:noWrap/>
            <w:vAlign w:val="center"/>
            <w:hideMark/>
          </w:tcPr>
          <w:p w14:paraId="5C2C35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36541028</w:t>
            </w:r>
          </w:p>
        </w:tc>
        <w:tc>
          <w:tcPr>
            <w:tcW w:w="160" w:type="dxa"/>
            <w:tcBorders>
              <w:top w:val="nil"/>
              <w:left w:val="nil"/>
              <w:bottom w:val="single" w:sz="4" w:space="0" w:color="auto"/>
              <w:right w:val="nil"/>
            </w:tcBorders>
            <w:vAlign w:val="center"/>
          </w:tcPr>
          <w:p w14:paraId="271064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DD2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RAZISKOVALNO IZOBRAŽEVALNO SREDIŠČE DVOREC RAKIČAN</w:t>
            </w:r>
          </w:p>
        </w:tc>
      </w:tr>
      <w:tr w:rsidR="00072A69" w:rsidRPr="00DC6DF9" w14:paraId="1AE4EF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5FB9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1562</w:t>
            </w:r>
          </w:p>
        </w:tc>
        <w:tc>
          <w:tcPr>
            <w:tcW w:w="1036" w:type="dxa"/>
            <w:tcBorders>
              <w:top w:val="nil"/>
              <w:left w:val="nil"/>
              <w:bottom w:val="single" w:sz="4" w:space="0" w:color="auto"/>
              <w:right w:val="single" w:sz="4" w:space="0" w:color="auto"/>
            </w:tcBorders>
            <w:shd w:val="clear" w:color="auto" w:fill="auto"/>
            <w:noWrap/>
            <w:vAlign w:val="center"/>
            <w:hideMark/>
          </w:tcPr>
          <w:p w14:paraId="7B4AB2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1469100000</w:t>
            </w:r>
          </w:p>
        </w:tc>
        <w:tc>
          <w:tcPr>
            <w:tcW w:w="1036" w:type="dxa"/>
            <w:tcBorders>
              <w:top w:val="nil"/>
              <w:left w:val="nil"/>
              <w:bottom w:val="single" w:sz="4" w:space="0" w:color="auto"/>
              <w:right w:val="single" w:sz="4" w:space="0" w:color="auto"/>
            </w:tcBorders>
            <w:shd w:val="clear" w:color="auto" w:fill="auto"/>
            <w:noWrap/>
            <w:vAlign w:val="center"/>
            <w:hideMark/>
          </w:tcPr>
          <w:p w14:paraId="7BB4EB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65950704</w:t>
            </w:r>
          </w:p>
        </w:tc>
        <w:tc>
          <w:tcPr>
            <w:tcW w:w="160" w:type="dxa"/>
            <w:tcBorders>
              <w:top w:val="nil"/>
              <w:left w:val="nil"/>
              <w:bottom w:val="single" w:sz="4" w:space="0" w:color="auto"/>
              <w:right w:val="nil"/>
            </w:tcBorders>
            <w:vAlign w:val="center"/>
          </w:tcPr>
          <w:p w14:paraId="66AE88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A9BD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RAZVOJNA AGENCIJA ROD AJDOVŠČINA</w:t>
            </w:r>
          </w:p>
        </w:tc>
      </w:tr>
      <w:tr w:rsidR="00072A69" w:rsidRPr="00DC6DF9" w14:paraId="11E0800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C3AC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1563</w:t>
            </w:r>
          </w:p>
        </w:tc>
        <w:tc>
          <w:tcPr>
            <w:tcW w:w="1036" w:type="dxa"/>
            <w:tcBorders>
              <w:top w:val="nil"/>
              <w:left w:val="nil"/>
              <w:bottom w:val="single" w:sz="4" w:space="0" w:color="auto"/>
              <w:right w:val="single" w:sz="4" w:space="0" w:color="auto"/>
            </w:tcBorders>
            <w:shd w:val="clear" w:color="auto" w:fill="auto"/>
            <w:noWrap/>
            <w:vAlign w:val="center"/>
            <w:hideMark/>
          </w:tcPr>
          <w:p w14:paraId="7CCDF4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2333813000</w:t>
            </w:r>
          </w:p>
        </w:tc>
        <w:tc>
          <w:tcPr>
            <w:tcW w:w="1036" w:type="dxa"/>
            <w:tcBorders>
              <w:top w:val="nil"/>
              <w:left w:val="nil"/>
              <w:bottom w:val="single" w:sz="4" w:space="0" w:color="auto"/>
              <w:right w:val="single" w:sz="4" w:space="0" w:color="auto"/>
            </w:tcBorders>
            <w:shd w:val="clear" w:color="auto" w:fill="auto"/>
            <w:noWrap/>
            <w:vAlign w:val="center"/>
            <w:hideMark/>
          </w:tcPr>
          <w:p w14:paraId="041F90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89110528</w:t>
            </w:r>
          </w:p>
        </w:tc>
        <w:tc>
          <w:tcPr>
            <w:tcW w:w="160" w:type="dxa"/>
            <w:tcBorders>
              <w:top w:val="nil"/>
              <w:left w:val="nil"/>
              <w:bottom w:val="single" w:sz="4" w:space="0" w:color="auto"/>
              <w:right w:val="nil"/>
            </w:tcBorders>
            <w:vAlign w:val="center"/>
          </w:tcPr>
          <w:p w14:paraId="49F60A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EAD4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RAZVOJNA AGENCIJA SLOVENSKE GORICE, D. O. O. </w:t>
            </w:r>
          </w:p>
        </w:tc>
      </w:tr>
      <w:tr w:rsidR="00072A69" w:rsidRPr="00DC6DF9" w14:paraId="103350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9D04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1564</w:t>
            </w:r>
          </w:p>
        </w:tc>
        <w:tc>
          <w:tcPr>
            <w:tcW w:w="1036" w:type="dxa"/>
            <w:tcBorders>
              <w:top w:val="nil"/>
              <w:left w:val="nil"/>
              <w:bottom w:val="single" w:sz="4" w:space="0" w:color="auto"/>
              <w:right w:val="single" w:sz="4" w:space="0" w:color="auto"/>
            </w:tcBorders>
            <w:shd w:val="clear" w:color="auto" w:fill="auto"/>
            <w:noWrap/>
            <w:vAlign w:val="center"/>
            <w:hideMark/>
          </w:tcPr>
          <w:p w14:paraId="5EC77E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1490460000</w:t>
            </w:r>
          </w:p>
        </w:tc>
        <w:tc>
          <w:tcPr>
            <w:tcW w:w="1036" w:type="dxa"/>
            <w:tcBorders>
              <w:top w:val="nil"/>
              <w:left w:val="nil"/>
              <w:bottom w:val="single" w:sz="4" w:space="0" w:color="auto"/>
              <w:right w:val="single" w:sz="4" w:space="0" w:color="auto"/>
            </w:tcBorders>
            <w:shd w:val="clear" w:color="auto" w:fill="auto"/>
            <w:noWrap/>
            <w:vAlign w:val="center"/>
            <w:hideMark/>
          </w:tcPr>
          <w:p w14:paraId="263EE3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74303759</w:t>
            </w:r>
          </w:p>
        </w:tc>
        <w:tc>
          <w:tcPr>
            <w:tcW w:w="160" w:type="dxa"/>
            <w:tcBorders>
              <w:top w:val="nil"/>
              <w:left w:val="nil"/>
              <w:bottom w:val="single" w:sz="4" w:space="0" w:color="auto"/>
              <w:right w:val="nil"/>
            </w:tcBorders>
            <w:vAlign w:val="center"/>
          </w:tcPr>
          <w:p w14:paraId="559937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F2F1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RAZVOJNA AGENCIJA SORA, D. O. O. </w:t>
            </w:r>
          </w:p>
        </w:tc>
      </w:tr>
      <w:tr w:rsidR="00072A69" w:rsidRPr="00DC6DF9" w14:paraId="2F133C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A59C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1565</w:t>
            </w:r>
          </w:p>
        </w:tc>
        <w:tc>
          <w:tcPr>
            <w:tcW w:w="1036" w:type="dxa"/>
            <w:tcBorders>
              <w:top w:val="nil"/>
              <w:left w:val="nil"/>
              <w:bottom w:val="single" w:sz="4" w:space="0" w:color="auto"/>
              <w:right w:val="single" w:sz="4" w:space="0" w:color="auto"/>
            </w:tcBorders>
            <w:shd w:val="clear" w:color="auto" w:fill="auto"/>
            <w:noWrap/>
            <w:vAlign w:val="center"/>
            <w:hideMark/>
          </w:tcPr>
          <w:p w14:paraId="3B7BF4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1587609000</w:t>
            </w:r>
          </w:p>
        </w:tc>
        <w:tc>
          <w:tcPr>
            <w:tcW w:w="1036" w:type="dxa"/>
            <w:tcBorders>
              <w:top w:val="nil"/>
              <w:left w:val="nil"/>
              <w:bottom w:val="single" w:sz="4" w:space="0" w:color="auto"/>
              <w:right w:val="single" w:sz="4" w:space="0" w:color="auto"/>
            </w:tcBorders>
            <w:shd w:val="clear" w:color="auto" w:fill="auto"/>
            <w:noWrap/>
            <w:vAlign w:val="center"/>
            <w:hideMark/>
          </w:tcPr>
          <w:p w14:paraId="1D6D2D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54935580</w:t>
            </w:r>
          </w:p>
        </w:tc>
        <w:tc>
          <w:tcPr>
            <w:tcW w:w="160" w:type="dxa"/>
            <w:tcBorders>
              <w:top w:val="nil"/>
              <w:left w:val="nil"/>
              <w:bottom w:val="single" w:sz="4" w:space="0" w:color="auto"/>
              <w:right w:val="nil"/>
            </w:tcBorders>
            <w:vAlign w:val="center"/>
          </w:tcPr>
          <w:p w14:paraId="0072C87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8067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RAZVOJNA AGENCIJA SOTLA</w:t>
            </w:r>
          </w:p>
        </w:tc>
      </w:tr>
      <w:tr w:rsidR="00072A69" w:rsidRPr="00DC6DF9" w14:paraId="4CD606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0644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1566</w:t>
            </w:r>
          </w:p>
        </w:tc>
        <w:tc>
          <w:tcPr>
            <w:tcW w:w="1036" w:type="dxa"/>
            <w:tcBorders>
              <w:top w:val="nil"/>
              <w:left w:val="nil"/>
              <w:bottom w:val="single" w:sz="4" w:space="0" w:color="auto"/>
              <w:right w:val="single" w:sz="4" w:space="0" w:color="auto"/>
            </w:tcBorders>
            <w:shd w:val="clear" w:color="auto" w:fill="auto"/>
            <w:noWrap/>
            <w:vAlign w:val="center"/>
            <w:hideMark/>
          </w:tcPr>
          <w:p w14:paraId="5B8E8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1540114000</w:t>
            </w:r>
          </w:p>
        </w:tc>
        <w:tc>
          <w:tcPr>
            <w:tcW w:w="1036" w:type="dxa"/>
            <w:tcBorders>
              <w:top w:val="nil"/>
              <w:left w:val="nil"/>
              <w:bottom w:val="single" w:sz="4" w:space="0" w:color="auto"/>
              <w:right w:val="single" w:sz="4" w:space="0" w:color="auto"/>
            </w:tcBorders>
            <w:shd w:val="clear" w:color="auto" w:fill="auto"/>
            <w:noWrap/>
            <w:vAlign w:val="center"/>
            <w:hideMark/>
          </w:tcPr>
          <w:p w14:paraId="05492C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99442809</w:t>
            </w:r>
          </w:p>
        </w:tc>
        <w:tc>
          <w:tcPr>
            <w:tcW w:w="160" w:type="dxa"/>
            <w:tcBorders>
              <w:top w:val="nil"/>
              <w:left w:val="nil"/>
              <w:bottom w:val="single" w:sz="4" w:space="0" w:color="auto"/>
              <w:right w:val="nil"/>
            </w:tcBorders>
            <w:vAlign w:val="center"/>
          </w:tcPr>
          <w:p w14:paraId="63376E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9EF2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RAZVOJNA AGENCIJA ZGORNJE GORENJSKE</w:t>
            </w:r>
          </w:p>
        </w:tc>
      </w:tr>
      <w:tr w:rsidR="00072A69" w:rsidRPr="00DC6DF9" w14:paraId="128BC8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BDAC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1567</w:t>
            </w:r>
          </w:p>
        </w:tc>
        <w:tc>
          <w:tcPr>
            <w:tcW w:w="1036" w:type="dxa"/>
            <w:tcBorders>
              <w:top w:val="nil"/>
              <w:left w:val="nil"/>
              <w:bottom w:val="single" w:sz="4" w:space="0" w:color="auto"/>
              <w:right w:val="single" w:sz="4" w:space="0" w:color="auto"/>
            </w:tcBorders>
            <w:shd w:val="clear" w:color="auto" w:fill="auto"/>
            <w:noWrap/>
            <w:vAlign w:val="center"/>
            <w:hideMark/>
          </w:tcPr>
          <w:p w14:paraId="0C902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1839578000</w:t>
            </w:r>
          </w:p>
        </w:tc>
        <w:tc>
          <w:tcPr>
            <w:tcW w:w="1036" w:type="dxa"/>
            <w:tcBorders>
              <w:top w:val="nil"/>
              <w:left w:val="nil"/>
              <w:bottom w:val="single" w:sz="4" w:space="0" w:color="auto"/>
              <w:right w:val="single" w:sz="4" w:space="0" w:color="auto"/>
            </w:tcBorders>
            <w:shd w:val="clear" w:color="auto" w:fill="auto"/>
            <w:noWrap/>
            <w:vAlign w:val="center"/>
            <w:hideMark/>
          </w:tcPr>
          <w:p w14:paraId="10803E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86869744</w:t>
            </w:r>
          </w:p>
        </w:tc>
        <w:tc>
          <w:tcPr>
            <w:tcW w:w="160" w:type="dxa"/>
            <w:tcBorders>
              <w:top w:val="nil"/>
              <w:left w:val="nil"/>
              <w:bottom w:val="single" w:sz="4" w:space="0" w:color="auto"/>
              <w:right w:val="nil"/>
            </w:tcBorders>
            <w:vAlign w:val="center"/>
          </w:tcPr>
          <w:p w14:paraId="22F0A1B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7834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RAZVOJNI CENTER DIVAČA ZAVOD ZA RAZVOJ PODEŽELJA</w:t>
            </w:r>
          </w:p>
        </w:tc>
      </w:tr>
      <w:tr w:rsidR="00072A69" w:rsidRPr="00DC6DF9" w14:paraId="4D98107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9A4C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1568</w:t>
            </w:r>
          </w:p>
        </w:tc>
        <w:tc>
          <w:tcPr>
            <w:tcW w:w="1036" w:type="dxa"/>
            <w:tcBorders>
              <w:top w:val="nil"/>
              <w:left w:val="nil"/>
              <w:bottom w:val="single" w:sz="4" w:space="0" w:color="auto"/>
              <w:right w:val="single" w:sz="4" w:space="0" w:color="auto"/>
            </w:tcBorders>
            <w:shd w:val="clear" w:color="auto" w:fill="auto"/>
            <w:noWrap/>
            <w:vAlign w:val="center"/>
            <w:hideMark/>
          </w:tcPr>
          <w:p w14:paraId="156EEA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5948193000</w:t>
            </w:r>
          </w:p>
        </w:tc>
        <w:tc>
          <w:tcPr>
            <w:tcW w:w="1036" w:type="dxa"/>
            <w:tcBorders>
              <w:top w:val="nil"/>
              <w:left w:val="nil"/>
              <w:bottom w:val="single" w:sz="4" w:space="0" w:color="auto"/>
              <w:right w:val="single" w:sz="4" w:space="0" w:color="auto"/>
            </w:tcBorders>
            <w:shd w:val="clear" w:color="auto" w:fill="auto"/>
            <w:noWrap/>
            <w:vAlign w:val="center"/>
            <w:hideMark/>
          </w:tcPr>
          <w:p w14:paraId="5B20CB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19252048</w:t>
            </w:r>
          </w:p>
        </w:tc>
        <w:tc>
          <w:tcPr>
            <w:tcW w:w="160" w:type="dxa"/>
            <w:tcBorders>
              <w:top w:val="nil"/>
              <w:left w:val="nil"/>
              <w:bottom w:val="single" w:sz="4" w:space="0" w:color="auto"/>
              <w:right w:val="nil"/>
            </w:tcBorders>
            <w:vAlign w:val="center"/>
          </w:tcPr>
          <w:p w14:paraId="1429A4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AA55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RAZVOJNI CENTER MURSKA SOBOTA</w:t>
            </w:r>
          </w:p>
        </w:tc>
      </w:tr>
      <w:tr w:rsidR="00072A69" w:rsidRPr="00DC6DF9" w14:paraId="6DE1E4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BC91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1569</w:t>
            </w:r>
          </w:p>
        </w:tc>
        <w:tc>
          <w:tcPr>
            <w:tcW w:w="1036" w:type="dxa"/>
            <w:tcBorders>
              <w:top w:val="nil"/>
              <w:left w:val="nil"/>
              <w:bottom w:val="single" w:sz="4" w:space="0" w:color="auto"/>
              <w:right w:val="single" w:sz="4" w:space="0" w:color="auto"/>
            </w:tcBorders>
            <w:shd w:val="clear" w:color="auto" w:fill="auto"/>
            <w:noWrap/>
            <w:vAlign w:val="center"/>
            <w:hideMark/>
          </w:tcPr>
          <w:p w14:paraId="262F67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1227319000</w:t>
            </w:r>
          </w:p>
        </w:tc>
        <w:tc>
          <w:tcPr>
            <w:tcW w:w="1036" w:type="dxa"/>
            <w:tcBorders>
              <w:top w:val="nil"/>
              <w:left w:val="nil"/>
              <w:bottom w:val="single" w:sz="4" w:space="0" w:color="auto"/>
              <w:right w:val="single" w:sz="4" w:space="0" w:color="auto"/>
            </w:tcBorders>
            <w:shd w:val="clear" w:color="auto" w:fill="auto"/>
            <w:noWrap/>
            <w:vAlign w:val="center"/>
            <w:hideMark/>
          </w:tcPr>
          <w:p w14:paraId="038F9A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77074963</w:t>
            </w:r>
          </w:p>
        </w:tc>
        <w:tc>
          <w:tcPr>
            <w:tcW w:w="160" w:type="dxa"/>
            <w:tcBorders>
              <w:top w:val="nil"/>
              <w:left w:val="nil"/>
              <w:bottom w:val="single" w:sz="4" w:space="0" w:color="auto"/>
              <w:right w:val="nil"/>
            </w:tcBorders>
            <w:vAlign w:val="center"/>
          </w:tcPr>
          <w:p w14:paraId="3731C9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09C5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RAZVOJNI CENTER NOVO MESTO, D. O. O. </w:t>
            </w:r>
          </w:p>
        </w:tc>
      </w:tr>
      <w:tr w:rsidR="00072A69" w:rsidRPr="00DC6DF9" w14:paraId="28814D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02F7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1570</w:t>
            </w:r>
          </w:p>
        </w:tc>
        <w:tc>
          <w:tcPr>
            <w:tcW w:w="1036" w:type="dxa"/>
            <w:tcBorders>
              <w:top w:val="nil"/>
              <w:left w:val="nil"/>
              <w:bottom w:val="single" w:sz="4" w:space="0" w:color="auto"/>
              <w:right w:val="single" w:sz="4" w:space="0" w:color="auto"/>
            </w:tcBorders>
            <w:shd w:val="clear" w:color="auto" w:fill="auto"/>
            <w:noWrap/>
            <w:vAlign w:val="center"/>
            <w:hideMark/>
          </w:tcPr>
          <w:p w14:paraId="22DC59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1489208000</w:t>
            </w:r>
          </w:p>
        </w:tc>
        <w:tc>
          <w:tcPr>
            <w:tcW w:w="1036" w:type="dxa"/>
            <w:tcBorders>
              <w:top w:val="nil"/>
              <w:left w:val="nil"/>
              <w:bottom w:val="single" w:sz="4" w:space="0" w:color="auto"/>
              <w:right w:val="single" w:sz="4" w:space="0" w:color="auto"/>
            </w:tcBorders>
            <w:shd w:val="clear" w:color="auto" w:fill="auto"/>
            <w:noWrap/>
            <w:vAlign w:val="center"/>
            <w:hideMark/>
          </w:tcPr>
          <w:p w14:paraId="7A7122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35375701</w:t>
            </w:r>
          </w:p>
        </w:tc>
        <w:tc>
          <w:tcPr>
            <w:tcW w:w="160" w:type="dxa"/>
            <w:tcBorders>
              <w:top w:val="nil"/>
              <w:left w:val="nil"/>
              <w:bottom w:val="single" w:sz="4" w:space="0" w:color="auto"/>
              <w:right w:val="nil"/>
            </w:tcBorders>
            <w:vAlign w:val="center"/>
          </w:tcPr>
          <w:p w14:paraId="6137C6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CBB2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RAZVOJNI CENTER SRCA SLOVENIJE, D. O. O. </w:t>
            </w:r>
          </w:p>
        </w:tc>
      </w:tr>
      <w:tr w:rsidR="00072A69" w:rsidRPr="00DC6DF9" w14:paraId="722675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8955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1571</w:t>
            </w:r>
          </w:p>
        </w:tc>
        <w:tc>
          <w:tcPr>
            <w:tcW w:w="1036" w:type="dxa"/>
            <w:tcBorders>
              <w:top w:val="nil"/>
              <w:left w:val="nil"/>
              <w:bottom w:val="single" w:sz="4" w:space="0" w:color="auto"/>
              <w:right w:val="single" w:sz="4" w:space="0" w:color="auto"/>
            </w:tcBorders>
            <w:shd w:val="clear" w:color="auto" w:fill="auto"/>
            <w:noWrap/>
            <w:vAlign w:val="center"/>
            <w:hideMark/>
          </w:tcPr>
          <w:p w14:paraId="46AC3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1518399000</w:t>
            </w:r>
          </w:p>
        </w:tc>
        <w:tc>
          <w:tcPr>
            <w:tcW w:w="1036" w:type="dxa"/>
            <w:tcBorders>
              <w:top w:val="nil"/>
              <w:left w:val="nil"/>
              <w:bottom w:val="single" w:sz="4" w:space="0" w:color="auto"/>
              <w:right w:val="single" w:sz="4" w:space="0" w:color="auto"/>
            </w:tcBorders>
            <w:shd w:val="clear" w:color="auto" w:fill="auto"/>
            <w:noWrap/>
            <w:vAlign w:val="center"/>
            <w:hideMark/>
          </w:tcPr>
          <w:p w14:paraId="57275E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71124101</w:t>
            </w:r>
          </w:p>
        </w:tc>
        <w:tc>
          <w:tcPr>
            <w:tcW w:w="160" w:type="dxa"/>
            <w:tcBorders>
              <w:top w:val="nil"/>
              <w:left w:val="nil"/>
              <w:bottom w:val="single" w:sz="4" w:space="0" w:color="auto"/>
              <w:right w:val="nil"/>
            </w:tcBorders>
            <w:vAlign w:val="center"/>
          </w:tcPr>
          <w:p w14:paraId="1C6F085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9F08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RAZVOJNO INFORMACIJSKI CENTER BELA KRAJINA</w:t>
            </w:r>
          </w:p>
        </w:tc>
      </w:tr>
      <w:tr w:rsidR="00072A69" w:rsidRPr="00DC6DF9" w14:paraId="3F7F56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82A7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1572</w:t>
            </w:r>
          </w:p>
        </w:tc>
        <w:tc>
          <w:tcPr>
            <w:tcW w:w="1036" w:type="dxa"/>
            <w:tcBorders>
              <w:top w:val="nil"/>
              <w:left w:val="nil"/>
              <w:bottom w:val="single" w:sz="4" w:space="0" w:color="auto"/>
              <w:right w:val="single" w:sz="4" w:space="0" w:color="auto"/>
            </w:tcBorders>
            <w:shd w:val="clear" w:color="auto" w:fill="auto"/>
            <w:noWrap/>
            <w:vAlign w:val="center"/>
            <w:hideMark/>
          </w:tcPr>
          <w:p w14:paraId="5755F6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1510045000</w:t>
            </w:r>
          </w:p>
        </w:tc>
        <w:tc>
          <w:tcPr>
            <w:tcW w:w="1036" w:type="dxa"/>
            <w:tcBorders>
              <w:top w:val="nil"/>
              <w:left w:val="nil"/>
              <w:bottom w:val="single" w:sz="4" w:space="0" w:color="auto"/>
              <w:right w:val="single" w:sz="4" w:space="0" w:color="auto"/>
            </w:tcBorders>
            <w:shd w:val="clear" w:color="auto" w:fill="auto"/>
            <w:noWrap/>
            <w:vAlign w:val="center"/>
            <w:hideMark/>
          </w:tcPr>
          <w:p w14:paraId="17DF2A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72326018</w:t>
            </w:r>
          </w:p>
        </w:tc>
        <w:tc>
          <w:tcPr>
            <w:tcW w:w="160" w:type="dxa"/>
            <w:tcBorders>
              <w:top w:val="nil"/>
              <w:left w:val="nil"/>
              <w:bottom w:val="single" w:sz="4" w:space="0" w:color="auto"/>
              <w:right w:val="nil"/>
            </w:tcBorders>
            <w:vAlign w:val="center"/>
          </w:tcPr>
          <w:p w14:paraId="6776F6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D445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RAZVOJNO INFORMACIJSKI CENTER SLOVENSKA BISTRICA</w:t>
            </w:r>
          </w:p>
        </w:tc>
      </w:tr>
      <w:tr w:rsidR="00072A69" w:rsidRPr="00DC6DF9" w14:paraId="09D36F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2FDE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1573</w:t>
            </w:r>
          </w:p>
        </w:tc>
        <w:tc>
          <w:tcPr>
            <w:tcW w:w="1036" w:type="dxa"/>
            <w:tcBorders>
              <w:top w:val="nil"/>
              <w:left w:val="nil"/>
              <w:bottom w:val="single" w:sz="4" w:space="0" w:color="auto"/>
              <w:right w:val="single" w:sz="4" w:space="0" w:color="auto"/>
            </w:tcBorders>
            <w:shd w:val="clear" w:color="auto" w:fill="auto"/>
            <w:noWrap/>
            <w:vAlign w:val="center"/>
            <w:hideMark/>
          </w:tcPr>
          <w:p w14:paraId="2E8599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5051738000</w:t>
            </w:r>
          </w:p>
        </w:tc>
        <w:tc>
          <w:tcPr>
            <w:tcW w:w="1036" w:type="dxa"/>
            <w:tcBorders>
              <w:top w:val="nil"/>
              <w:left w:val="nil"/>
              <w:bottom w:val="single" w:sz="4" w:space="0" w:color="auto"/>
              <w:right w:val="single" w:sz="4" w:space="0" w:color="auto"/>
            </w:tcBorders>
            <w:shd w:val="clear" w:color="auto" w:fill="auto"/>
            <w:noWrap/>
            <w:vAlign w:val="center"/>
            <w:hideMark/>
          </w:tcPr>
          <w:p w14:paraId="56580B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53990129</w:t>
            </w:r>
          </w:p>
        </w:tc>
        <w:tc>
          <w:tcPr>
            <w:tcW w:w="160" w:type="dxa"/>
            <w:tcBorders>
              <w:top w:val="nil"/>
              <w:left w:val="nil"/>
              <w:bottom w:val="single" w:sz="4" w:space="0" w:color="auto"/>
              <w:right w:val="nil"/>
            </w:tcBorders>
            <w:vAlign w:val="center"/>
          </w:tcPr>
          <w:p w14:paraId="0AC0DB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9E45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RAZVOJNO IZOBRAŽEVALNI CENTER NOVO MESTO</w:t>
            </w:r>
          </w:p>
        </w:tc>
      </w:tr>
      <w:tr w:rsidR="00072A69" w:rsidRPr="00DC6DF9" w14:paraId="3CB345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5E1E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1574</w:t>
            </w:r>
          </w:p>
        </w:tc>
        <w:tc>
          <w:tcPr>
            <w:tcW w:w="1036" w:type="dxa"/>
            <w:tcBorders>
              <w:top w:val="nil"/>
              <w:left w:val="nil"/>
              <w:bottom w:val="single" w:sz="4" w:space="0" w:color="auto"/>
              <w:right w:val="single" w:sz="4" w:space="0" w:color="auto"/>
            </w:tcBorders>
            <w:shd w:val="clear" w:color="auto" w:fill="auto"/>
            <w:noWrap/>
            <w:vAlign w:val="center"/>
            <w:hideMark/>
          </w:tcPr>
          <w:p w14:paraId="28C96F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5232210000</w:t>
            </w:r>
          </w:p>
        </w:tc>
        <w:tc>
          <w:tcPr>
            <w:tcW w:w="1036" w:type="dxa"/>
            <w:tcBorders>
              <w:top w:val="nil"/>
              <w:left w:val="nil"/>
              <w:bottom w:val="single" w:sz="4" w:space="0" w:color="auto"/>
              <w:right w:val="single" w:sz="4" w:space="0" w:color="auto"/>
            </w:tcBorders>
            <w:shd w:val="clear" w:color="auto" w:fill="auto"/>
            <w:noWrap/>
            <w:vAlign w:val="center"/>
            <w:hideMark/>
          </w:tcPr>
          <w:p w14:paraId="52C6CA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69628955</w:t>
            </w:r>
          </w:p>
        </w:tc>
        <w:tc>
          <w:tcPr>
            <w:tcW w:w="160" w:type="dxa"/>
            <w:tcBorders>
              <w:top w:val="nil"/>
              <w:left w:val="nil"/>
              <w:bottom w:val="single" w:sz="4" w:space="0" w:color="auto"/>
              <w:right w:val="nil"/>
            </w:tcBorders>
            <w:vAlign w:val="center"/>
          </w:tcPr>
          <w:p w14:paraId="2F64C37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AC6B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RDEČA DVORANA ŠPORTNO REKREACIJSKI ZAVOD</w:t>
            </w:r>
          </w:p>
        </w:tc>
      </w:tr>
      <w:tr w:rsidR="00072A69" w:rsidRPr="00DC6DF9" w14:paraId="592E6E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80B9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1575</w:t>
            </w:r>
          </w:p>
        </w:tc>
        <w:tc>
          <w:tcPr>
            <w:tcW w:w="1036" w:type="dxa"/>
            <w:tcBorders>
              <w:top w:val="nil"/>
              <w:left w:val="nil"/>
              <w:bottom w:val="single" w:sz="4" w:space="0" w:color="auto"/>
              <w:right w:val="single" w:sz="4" w:space="0" w:color="auto"/>
            </w:tcBorders>
            <w:shd w:val="clear" w:color="auto" w:fill="auto"/>
            <w:noWrap/>
            <w:vAlign w:val="center"/>
            <w:hideMark/>
          </w:tcPr>
          <w:p w14:paraId="195FC7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5128374000</w:t>
            </w:r>
          </w:p>
        </w:tc>
        <w:tc>
          <w:tcPr>
            <w:tcW w:w="1036" w:type="dxa"/>
            <w:tcBorders>
              <w:top w:val="nil"/>
              <w:left w:val="nil"/>
              <w:bottom w:val="single" w:sz="4" w:space="0" w:color="auto"/>
              <w:right w:val="single" w:sz="4" w:space="0" w:color="auto"/>
            </w:tcBorders>
            <w:shd w:val="clear" w:color="auto" w:fill="auto"/>
            <w:noWrap/>
            <w:vAlign w:val="center"/>
            <w:hideMark/>
          </w:tcPr>
          <w:p w14:paraId="0A823A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16635477</w:t>
            </w:r>
          </w:p>
        </w:tc>
        <w:tc>
          <w:tcPr>
            <w:tcW w:w="160" w:type="dxa"/>
            <w:tcBorders>
              <w:top w:val="nil"/>
              <w:left w:val="nil"/>
              <w:bottom w:val="single" w:sz="4" w:space="0" w:color="auto"/>
              <w:right w:val="nil"/>
            </w:tcBorders>
            <w:vAlign w:val="center"/>
          </w:tcPr>
          <w:p w14:paraId="40FBDDB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75D9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RDEČI KRIŽ SLOVENIJE - OBMOČNO ZDRUŽENJE KOPER</w:t>
            </w:r>
          </w:p>
        </w:tc>
      </w:tr>
      <w:tr w:rsidR="00072A69" w:rsidRPr="00DC6DF9" w14:paraId="2A9CFD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405B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1576</w:t>
            </w:r>
          </w:p>
        </w:tc>
        <w:tc>
          <w:tcPr>
            <w:tcW w:w="1036" w:type="dxa"/>
            <w:tcBorders>
              <w:top w:val="nil"/>
              <w:left w:val="nil"/>
              <w:bottom w:val="single" w:sz="4" w:space="0" w:color="auto"/>
              <w:right w:val="single" w:sz="4" w:space="0" w:color="auto"/>
            </w:tcBorders>
            <w:shd w:val="clear" w:color="auto" w:fill="auto"/>
            <w:noWrap/>
            <w:vAlign w:val="center"/>
            <w:hideMark/>
          </w:tcPr>
          <w:p w14:paraId="710A31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1686674000</w:t>
            </w:r>
          </w:p>
        </w:tc>
        <w:tc>
          <w:tcPr>
            <w:tcW w:w="1036" w:type="dxa"/>
            <w:tcBorders>
              <w:top w:val="nil"/>
              <w:left w:val="nil"/>
              <w:bottom w:val="single" w:sz="4" w:space="0" w:color="auto"/>
              <w:right w:val="single" w:sz="4" w:space="0" w:color="auto"/>
            </w:tcBorders>
            <w:shd w:val="clear" w:color="auto" w:fill="auto"/>
            <w:noWrap/>
            <w:vAlign w:val="center"/>
            <w:hideMark/>
          </w:tcPr>
          <w:p w14:paraId="2F1BB4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90717163</w:t>
            </w:r>
          </w:p>
        </w:tc>
        <w:tc>
          <w:tcPr>
            <w:tcW w:w="160" w:type="dxa"/>
            <w:tcBorders>
              <w:top w:val="nil"/>
              <w:left w:val="nil"/>
              <w:bottom w:val="single" w:sz="4" w:space="0" w:color="auto"/>
              <w:right w:val="nil"/>
            </w:tcBorders>
            <w:vAlign w:val="center"/>
          </w:tcPr>
          <w:p w14:paraId="54D7620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D800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REGIJSKO VIŠJE IN VISOKOŠOLSKO SREDIŠČE</w:t>
            </w:r>
          </w:p>
        </w:tc>
      </w:tr>
      <w:tr w:rsidR="00072A69" w:rsidRPr="00DC6DF9" w14:paraId="7BEA41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C074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1577</w:t>
            </w:r>
          </w:p>
        </w:tc>
        <w:tc>
          <w:tcPr>
            <w:tcW w:w="1036" w:type="dxa"/>
            <w:tcBorders>
              <w:top w:val="nil"/>
              <w:left w:val="nil"/>
              <w:bottom w:val="single" w:sz="4" w:space="0" w:color="auto"/>
              <w:right w:val="single" w:sz="4" w:space="0" w:color="auto"/>
            </w:tcBorders>
            <w:shd w:val="clear" w:color="auto" w:fill="auto"/>
            <w:noWrap/>
            <w:vAlign w:val="center"/>
            <w:hideMark/>
          </w:tcPr>
          <w:p w14:paraId="693823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1584758000</w:t>
            </w:r>
          </w:p>
        </w:tc>
        <w:tc>
          <w:tcPr>
            <w:tcW w:w="1036" w:type="dxa"/>
            <w:tcBorders>
              <w:top w:val="nil"/>
              <w:left w:val="nil"/>
              <w:bottom w:val="single" w:sz="4" w:space="0" w:color="auto"/>
              <w:right w:val="single" w:sz="4" w:space="0" w:color="auto"/>
            </w:tcBorders>
            <w:shd w:val="clear" w:color="auto" w:fill="auto"/>
            <w:noWrap/>
            <w:vAlign w:val="center"/>
            <w:hideMark/>
          </w:tcPr>
          <w:p w14:paraId="29C228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36213250</w:t>
            </w:r>
          </w:p>
        </w:tc>
        <w:tc>
          <w:tcPr>
            <w:tcW w:w="160" w:type="dxa"/>
            <w:tcBorders>
              <w:top w:val="nil"/>
              <w:left w:val="nil"/>
              <w:bottom w:val="single" w:sz="4" w:space="0" w:color="auto"/>
              <w:right w:val="nil"/>
            </w:tcBorders>
            <w:vAlign w:val="center"/>
          </w:tcPr>
          <w:p w14:paraId="189B2C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FD6A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REGIONALNA RAZVOJNA AGENCIJA - LJUBLJANSKE URBANE REGIJE</w:t>
            </w:r>
          </w:p>
        </w:tc>
      </w:tr>
      <w:tr w:rsidR="00072A69" w:rsidRPr="00DC6DF9" w14:paraId="370143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E1B4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1578</w:t>
            </w:r>
          </w:p>
        </w:tc>
        <w:tc>
          <w:tcPr>
            <w:tcW w:w="1036" w:type="dxa"/>
            <w:tcBorders>
              <w:top w:val="nil"/>
              <w:left w:val="nil"/>
              <w:bottom w:val="single" w:sz="4" w:space="0" w:color="auto"/>
              <w:right w:val="single" w:sz="4" w:space="0" w:color="auto"/>
            </w:tcBorders>
            <w:shd w:val="clear" w:color="auto" w:fill="auto"/>
            <w:noWrap/>
            <w:vAlign w:val="center"/>
            <w:hideMark/>
          </w:tcPr>
          <w:p w14:paraId="41E05E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1338811000</w:t>
            </w:r>
          </w:p>
        </w:tc>
        <w:tc>
          <w:tcPr>
            <w:tcW w:w="1036" w:type="dxa"/>
            <w:tcBorders>
              <w:top w:val="nil"/>
              <w:left w:val="nil"/>
              <w:bottom w:val="single" w:sz="4" w:space="0" w:color="auto"/>
              <w:right w:val="single" w:sz="4" w:space="0" w:color="auto"/>
            </w:tcBorders>
            <w:shd w:val="clear" w:color="auto" w:fill="auto"/>
            <w:noWrap/>
            <w:vAlign w:val="center"/>
            <w:hideMark/>
          </w:tcPr>
          <w:p w14:paraId="5786ED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12235016</w:t>
            </w:r>
          </w:p>
        </w:tc>
        <w:tc>
          <w:tcPr>
            <w:tcW w:w="160" w:type="dxa"/>
            <w:tcBorders>
              <w:top w:val="nil"/>
              <w:left w:val="nil"/>
              <w:bottom w:val="single" w:sz="4" w:space="0" w:color="auto"/>
              <w:right w:val="nil"/>
            </w:tcBorders>
            <w:vAlign w:val="center"/>
          </w:tcPr>
          <w:p w14:paraId="6E4A85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EABA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REGIONALNA RAZVOJNA AGENCIJA POSAVJE</w:t>
            </w:r>
          </w:p>
        </w:tc>
      </w:tr>
      <w:tr w:rsidR="00072A69" w:rsidRPr="00DC6DF9" w14:paraId="11E118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8FE2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1579</w:t>
            </w:r>
          </w:p>
        </w:tc>
        <w:tc>
          <w:tcPr>
            <w:tcW w:w="1036" w:type="dxa"/>
            <w:tcBorders>
              <w:top w:val="nil"/>
              <w:left w:val="nil"/>
              <w:bottom w:val="single" w:sz="4" w:space="0" w:color="auto"/>
              <w:right w:val="single" w:sz="4" w:space="0" w:color="auto"/>
            </w:tcBorders>
            <w:shd w:val="clear" w:color="auto" w:fill="auto"/>
            <w:noWrap/>
            <w:vAlign w:val="center"/>
            <w:hideMark/>
          </w:tcPr>
          <w:p w14:paraId="18FBCC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5513065000</w:t>
            </w:r>
          </w:p>
        </w:tc>
        <w:tc>
          <w:tcPr>
            <w:tcW w:w="1036" w:type="dxa"/>
            <w:tcBorders>
              <w:top w:val="nil"/>
              <w:left w:val="nil"/>
              <w:bottom w:val="single" w:sz="4" w:space="0" w:color="auto"/>
              <w:right w:val="single" w:sz="4" w:space="0" w:color="auto"/>
            </w:tcBorders>
            <w:shd w:val="clear" w:color="auto" w:fill="auto"/>
            <w:noWrap/>
            <w:vAlign w:val="center"/>
            <w:hideMark/>
          </w:tcPr>
          <w:p w14:paraId="0EE40C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81182791</w:t>
            </w:r>
          </w:p>
        </w:tc>
        <w:tc>
          <w:tcPr>
            <w:tcW w:w="160" w:type="dxa"/>
            <w:tcBorders>
              <w:top w:val="nil"/>
              <w:left w:val="nil"/>
              <w:bottom w:val="single" w:sz="4" w:space="0" w:color="auto"/>
              <w:right w:val="nil"/>
            </w:tcBorders>
            <w:vAlign w:val="center"/>
          </w:tcPr>
          <w:p w14:paraId="5DCFCA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8B9B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RGP, D. O. O.</w:t>
            </w:r>
          </w:p>
        </w:tc>
      </w:tr>
      <w:tr w:rsidR="00072A69" w:rsidRPr="00DC6DF9" w14:paraId="3669BB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69D4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1580</w:t>
            </w:r>
          </w:p>
        </w:tc>
        <w:tc>
          <w:tcPr>
            <w:tcW w:w="1036" w:type="dxa"/>
            <w:tcBorders>
              <w:top w:val="nil"/>
              <w:left w:val="nil"/>
              <w:bottom w:val="single" w:sz="4" w:space="0" w:color="auto"/>
              <w:right w:val="single" w:sz="4" w:space="0" w:color="auto"/>
            </w:tcBorders>
            <w:shd w:val="clear" w:color="auto" w:fill="auto"/>
            <w:noWrap/>
            <w:vAlign w:val="center"/>
            <w:hideMark/>
          </w:tcPr>
          <w:p w14:paraId="0E078E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3824187000</w:t>
            </w:r>
          </w:p>
        </w:tc>
        <w:tc>
          <w:tcPr>
            <w:tcW w:w="1036" w:type="dxa"/>
            <w:tcBorders>
              <w:top w:val="nil"/>
              <w:left w:val="nil"/>
              <w:bottom w:val="single" w:sz="4" w:space="0" w:color="auto"/>
              <w:right w:val="single" w:sz="4" w:space="0" w:color="auto"/>
            </w:tcBorders>
            <w:shd w:val="clear" w:color="auto" w:fill="auto"/>
            <w:noWrap/>
            <w:vAlign w:val="center"/>
            <w:hideMark/>
          </w:tcPr>
          <w:p w14:paraId="530003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48383791</w:t>
            </w:r>
          </w:p>
        </w:tc>
        <w:tc>
          <w:tcPr>
            <w:tcW w:w="160" w:type="dxa"/>
            <w:tcBorders>
              <w:top w:val="nil"/>
              <w:left w:val="nil"/>
              <w:bottom w:val="single" w:sz="4" w:space="0" w:color="auto"/>
              <w:right w:val="nil"/>
            </w:tcBorders>
            <w:vAlign w:val="center"/>
          </w:tcPr>
          <w:p w14:paraId="4296426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7EF4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ROKODELSKI CENTER RIBNICA</w:t>
            </w:r>
          </w:p>
        </w:tc>
      </w:tr>
      <w:tr w:rsidR="00072A69" w:rsidRPr="00DC6DF9" w14:paraId="5E9EDF4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43AD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1581</w:t>
            </w:r>
          </w:p>
        </w:tc>
        <w:tc>
          <w:tcPr>
            <w:tcW w:w="1036" w:type="dxa"/>
            <w:tcBorders>
              <w:top w:val="nil"/>
              <w:left w:val="nil"/>
              <w:bottom w:val="single" w:sz="4" w:space="0" w:color="auto"/>
              <w:right w:val="single" w:sz="4" w:space="0" w:color="auto"/>
            </w:tcBorders>
            <w:shd w:val="clear" w:color="auto" w:fill="auto"/>
            <w:noWrap/>
            <w:vAlign w:val="center"/>
            <w:hideMark/>
          </w:tcPr>
          <w:p w14:paraId="6C65CA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1660616000</w:t>
            </w:r>
          </w:p>
        </w:tc>
        <w:tc>
          <w:tcPr>
            <w:tcW w:w="1036" w:type="dxa"/>
            <w:tcBorders>
              <w:top w:val="nil"/>
              <w:left w:val="nil"/>
              <w:bottom w:val="single" w:sz="4" w:space="0" w:color="auto"/>
              <w:right w:val="single" w:sz="4" w:space="0" w:color="auto"/>
            </w:tcBorders>
            <w:shd w:val="clear" w:color="auto" w:fill="auto"/>
            <w:noWrap/>
            <w:vAlign w:val="center"/>
            <w:hideMark/>
          </w:tcPr>
          <w:p w14:paraId="181B0B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58273069</w:t>
            </w:r>
          </w:p>
        </w:tc>
        <w:tc>
          <w:tcPr>
            <w:tcW w:w="160" w:type="dxa"/>
            <w:tcBorders>
              <w:top w:val="nil"/>
              <w:left w:val="nil"/>
              <w:bottom w:val="single" w:sz="4" w:space="0" w:color="auto"/>
              <w:right w:val="nil"/>
            </w:tcBorders>
            <w:vAlign w:val="center"/>
          </w:tcPr>
          <w:p w14:paraId="609FBF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7766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RRA KOROŠKA, D. O. O. </w:t>
            </w:r>
          </w:p>
        </w:tc>
      </w:tr>
      <w:tr w:rsidR="00072A69" w:rsidRPr="00DC6DF9" w14:paraId="5152E98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E819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1582</w:t>
            </w:r>
          </w:p>
        </w:tc>
        <w:tc>
          <w:tcPr>
            <w:tcW w:w="1036" w:type="dxa"/>
            <w:tcBorders>
              <w:top w:val="nil"/>
              <w:left w:val="nil"/>
              <w:bottom w:val="single" w:sz="4" w:space="0" w:color="auto"/>
              <w:right w:val="single" w:sz="4" w:space="0" w:color="auto"/>
            </w:tcBorders>
            <w:shd w:val="clear" w:color="auto" w:fill="auto"/>
            <w:noWrap/>
            <w:vAlign w:val="center"/>
            <w:hideMark/>
          </w:tcPr>
          <w:p w14:paraId="562E0A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1461974000</w:t>
            </w:r>
          </w:p>
        </w:tc>
        <w:tc>
          <w:tcPr>
            <w:tcW w:w="1036" w:type="dxa"/>
            <w:tcBorders>
              <w:top w:val="nil"/>
              <w:left w:val="nil"/>
              <w:bottom w:val="single" w:sz="4" w:space="0" w:color="auto"/>
              <w:right w:val="single" w:sz="4" w:space="0" w:color="auto"/>
            </w:tcBorders>
            <w:shd w:val="clear" w:color="auto" w:fill="auto"/>
            <w:noWrap/>
            <w:vAlign w:val="center"/>
            <w:hideMark/>
          </w:tcPr>
          <w:p w14:paraId="3F4AD0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95877835</w:t>
            </w:r>
          </w:p>
        </w:tc>
        <w:tc>
          <w:tcPr>
            <w:tcW w:w="160" w:type="dxa"/>
            <w:tcBorders>
              <w:top w:val="nil"/>
              <w:left w:val="nil"/>
              <w:bottom w:val="single" w:sz="4" w:space="0" w:color="auto"/>
              <w:right w:val="nil"/>
            </w:tcBorders>
            <w:vAlign w:val="center"/>
          </w:tcPr>
          <w:p w14:paraId="3425D8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E293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RRA SEVERNE PRIMORSKE, D. O. O. </w:t>
            </w:r>
          </w:p>
        </w:tc>
      </w:tr>
      <w:tr w:rsidR="00072A69" w:rsidRPr="00DC6DF9" w14:paraId="1BA1FF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D5E3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1583</w:t>
            </w:r>
          </w:p>
        </w:tc>
        <w:tc>
          <w:tcPr>
            <w:tcW w:w="1036" w:type="dxa"/>
            <w:tcBorders>
              <w:top w:val="nil"/>
              <w:left w:val="nil"/>
              <w:bottom w:val="single" w:sz="4" w:space="0" w:color="auto"/>
              <w:right w:val="single" w:sz="4" w:space="0" w:color="auto"/>
            </w:tcBorders>
            <w:shd w:val="clear" w:color="auto" w:fill="auto"/>
            <w:noWrap/>
            <w:vAlign w:val="center"/>
            <w:hideMark/>
          </w:tcPr>
          <w:p w14:paraId="4C929C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1550225000</w:t>
            </w:r>
          </w:p>
        </w:tc>
        <w:tc>
          <w:tcPr>
            <w:tcW w:w="1036" w:type="dxa"/>
            <w:tcBorders>
              <w:top w:val="nil"/>
              <w:left w:val="nil"/>
              <w:bottom w:val="single" w:sz="4" w:space="0" w:color="auto"/>
              <w:right w:val="single" w:sz="4" w:space="0" w:color="auto"/>
            </w:tcBorders>
            <w:shd w:val="clear" w:color="auto" w:fill="auto"/>
            <w:noWrap/>
            <w:vAlign w:val="center"/>
            <w:hideMark/>
          </w:tcPr>
          <w:p w14:paraId="2F84FC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42185866</w:t>
            </w:r>
          </w:p>
        </w:tc>
        <w:tc>
          <w:tcPr>
            <w:tcW w:w="160" w:type="dxa"/>
            <w:tcBorders>
              <w:top w:val="nil"/>
              <w:left w:val="nil"/>
              <w:bottom w:val="single" w:sz="4" w:space="0" w:color="auto"/>
              <w:right w:val="nil"/>
            </w:tcBorders>
            <w:vAlign w:val="center"/>
          </w:tcPr>
          <w:p w14:paraId="1BCD9E4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3EF0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RRA ZELENI KRAS, D. O. O. </w:t>
            </w:r>
          </w:p>
        </w:tc>
      </w:tr>
      <w:tr w:rsidR="00072A69" w:rsidRPr="00DC6DF9" w14:paraId="1B15D1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C9D4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1584</w:t>
            </w:r>
          </w:p>
        </w:tc>
        <w:tc>
          <w:tcPr>
            <w:tcW w:w="1036" w:type="dxa"/>
            <w:tcBorders>
              <w:top w:val="nil"/>
              <w:left w:val="nil"/>
              <w:bottom w:val="single" w:sz="4" w:space="0" w:color="auto"/>
              <w:right w:val="single" w:sz="4" w:space="0" w:color="auto"/>
            </w:tcBorders>
            <w:shd w:val="clear" w:color="auto" w:fill="auto"/>
            <w:noWrap/>
            <w:vAlign w:val="center"/>
            <w:hideMark/>
          </w:tcPr>
          <w:p w14:paraId="49EBF5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5521688000</w:t>
            </w:r>
          </w:p>
        </w:tc>
        <w:tc>
          <w:tcPr>
            <w:tcW w:w="1036" w:type="dxa"/>
            <w:tcBorders>
              <w:top w:val="nil"/>
              <w:left w:val="nil"/>
              <w:bottom w:val="single" w:sz="4" w:space="0" w:color="auto"/>
              <w:right w:val="single" w:sz="4" w:space="0" w:color="auto"/>
            </w:tcBorders>
            <w:shd w:val="clear" w:color="auto" w:fill="auto"/>
            <w:noWrap/>
            <w:vAlign w:val="center"/>
            <w:hideMark/>
          </w:tcPr>
          <w:p w14:paraId="7C3D8A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87045729</w:t>
            </w:r>
          </w:p>
        </w:tc>
        <w:tc>
          <w:tcPr>
            <w:tcW w:w="160" w:type="dxa"/>
            <w:tcBorders>
              <w:top w:val="nil"/>
              <w:left w:val="nil"/>
              <w:bottom w:val="single" w:sz="4" w:space="0" w:color="auto"/>
              <w:right w:val="nil"/>
            </w:tcBorders>
            <w:vAlign w:val="center"/>
          </w:tcPr>
          <w:p w14:paraId="5FFCEC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FA8D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RUDAR SENOVO, D. O. O. </w:t>
            </w:r>
          </w:p>
        </w:tc>
      </w:tr>
      <w:tr w:rsidR="00072A69" w:rsidRPr="00DC6DF9" w14:paraId="6EF8A2A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182B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1585</w:t>
            </w:r>
          </w:p>
        </w:tc>
        <w:tc>
          <w:tcPr>
            <w:tcW w:w="1036" w:type="dxa"/>
            <w:tcBorders>
              <w:top w:val="nil"/>
              <w:left w:val="nil"/>
              <w:bottom w:val="single" w:sz="4" w:space="0" w:color="auto"/>
              <w:right w:val="single" w:sz="4" w:space="0" w:color="auto"/>
            </w:tcBorders>
            <w:shd w:val="clear" w:color="auto" w:fill="auto"/>
            <w:noWrap/>
            <w:vAlign w:val="center"/>
            <w:hideMark/>
          </w:tcPr>
          <w:p w14:paraId="4D4A1D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5920850000</w:t>
            </w:r>
          </w:p>
        </w:tc>
        <w:tc>
          <w:tcPr>
            <w:tcW w:w="1036" w:type="dxa"/>
            <w:tcBorders>
              <w:top w:val="nil"/>
              <w:left w:val="nil"/>
              <w:bottom w:val="single" w:sz="4" w:space="0" w:color="auto"/>
              <w:right w:val="single" w:sz="4" w:space="0" w:color="auto"/>
            </w:tcBorders>
            <w:shd w:val="clear" w:color="auto" w:fill="auto"/>
            <w:noWrap/>
            <w:vAlign w:val="center"/>
            <w:hideMark/>
          </w:tcPr>
          <w:p w14:paraId="2F5A9A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61120073</w:t>
            </w:r>
          </w:p>
        </w:tc>
        <w:tc>
          <w:tcPr>
            <w:tcW w:w="160" w:type="dxa"/>
            <w:tcBorders>
              <w:top w:val="nil"/>
              <w:left w:val="nil"/>
              <w:bottom w:val="single" w:sz="4" w:space="0" w:color="auto"/>
              <w:right w:val="nil"/>
            </w:tcBorders>
            <w:vAlign w:val="center"/>
          </w:tcPr>
          <w:p w14:paraId="41DF78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2888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RUDNIK TRBOVLJE-HRASTNIK, D. O. O. -V LIKVIDACIJI</w:t>
            </w:r>
          </w:p>
        </w:tc>
      </w:tr>
      <w:tr w:rsidR="00072A69" w:rsidRPr="00DC6DF9" w14:paraId="0848A4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83EC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1586</w:t>
            </w:r>
          </w:p>
        </w:tc>
        <w:tc>
          <w:tcPr>
            <w:tcW w:w="1036" w:type="dxa"/>
            <w:tcBorders>
              <w:top w:val="nil"/>
              <w:left w:val="nil"/>
              <w:bottom w:val="single" w:sz="4" w:space="0" w:color="auto"/>
              <w:right w:val="single" w:sz="4" w:space="0" w:color="auto"/>
            </w:tcBorders>
            <w:shd w:val="clear" w:color="auto" w:fill="auto"/>
            <w:noWrap/>
            <w:vAlign w:val="center"/>
            <w:hideMark/>
          </w:tcPr>
          <w:p w14:paraId="0701C3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2482924000</w:t>
            </w:r>
          </w:p>
        </w:tc>
        <w:tc>
          <w:tcPr>
            <w:tcW w:w="1036" w:type="dxa"/>
            <w:tcBorders>
              <w:top w:val="nil"/>
              <w:left w:val="nil"/>
              <w:bottom w:val="single" w:sz="4" w:space="0" w:color="auto"/>
              <w:right w:val="single" w:sz="4" w:space="0" w:color="auto"/>
            </w:tcBorders>
            <w:shd w:val="clear" w:color="auto" w:fill="auto"/>
            <w:noWrap/>
            <w:vAlign w:val="center"/>
            <w:hideMark/>
          </w:tcPr>
          <w:p w14:paraId="69B1DC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95657754</w:t>
            </w:r>
          </w:p>
        </w:tc>
        <w:tc>
          <w:tcPr>
            <w:tcW w:w="160" w:type="dxa"/>
            <w:tcBorders>
              <w:top w:val="nil"/>
              <w:left w:val="nil"/>
              <w:bottom w:val="single" w:sz="4" w:space="0" w:color="auto"/>
              <w:right w:val="nil"/>
            </w:tcBorders>
            <w:vAlign w:val="center"/>
          </w:tcPr>
          <w:p w14:paraId="67576B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B89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SAMOUPRAVNA SKUPNOST ITALIJANSKE NARODNOSTI ANKARAN</w:t>
            </w:r>
          </w:p>
        </w:tc>
      </w:tr>
      <w:tr w:rsidR="00072A69" w:rsidRPr="00DC6DF9" w14:paraId="002038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DE78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1587</w:t>
            </w:r>
          </w:p>
        </w:tc>
        <w:tc>
          <w:tcPr>
            <w:tcW w:w="1036" w:type="dxa"/>
            <w:tcBorders>
              <w:top w:val="nil"/>
              <w:left w:val="nil"/>
              <w:bottom w:val="single" w:sz="4" w:space="0" w:color="auto"/>
              <w:right w:val="single" w:sz="4" w:space="0" w:color="auto"/>
            </w:tcBorders>
            <w:shd w:val="clear" w:color="auto" w:fill="auto"/>
            <w:noWrap/>
            <w:vAlign w:val="center"/>
            <w:hideMark/>
          </w:tcPr>
          <w:p w14:paraId="22B4B8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5167167000</w:t>
            </w:r>
          </w:p>
        </w:tc>
        <w:tc>
          <w:tcPr>
            <w:tcW w:w="1036" w:type="dxa"/>
            <w:tcBorders>
              <w:top w:val="nil"/>
              <w:left w:val="nil"/>
              <w:bottom w:val="single" w:sz="4" w:space="0" w:color="auto"/>
              <w:right w:val="single" w:sz="4" w:space="0" w:color="auto"/>
            </w:tcBorders>
            <w:shd w:val="clear" w:color="auto" w:fill="auto"/>
            <w:noWrap/>
            <w:vAlign w:val="center"/>
            <w:hideMark/>
          </w:tcPr>
          <w:p w14:paraId="0A098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99678004</w:t>
            </w:r>
          </w:p>
        </w:tc>
        <w:tc>
          <w:tcPr>
            <w:tcW w:w="160" w:type="dxa"/>
            <w:tcBorders>
              <w:top w:val="nil"/>
              <w:left w:val="nil"/>
              <w:bottom w:val="single" w:sz="4" w:space="0" w:color="auto"/>
              <w:right w:val="nil"/>
            </w:tcBorders>
            <w:vAlign w:val="center"/>
          </w:tcPr>
          <w:p w14:paraId="29D82D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5EC7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SAMOUPRAVNA SKUPNOST ITALIJANSKE NARODNOSTI KOPER</w:t>
            </w:r>
          </w:p>
        </w:tc>
      </w:tr>
      <w:tr w:rsidR="00072A69" w:rsidRPr="00DC6DF9" w14:paraId="2F6719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2E21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1588</w:t>
            </w:r>
          </w:p>
        </w:tc>
        <w:tc>
          <w:tcPr>
            <w:tcW w:w="1036" w:type="dxa"/>
            <w:tcBorders>
              <w:top w:val="nil"/>
              <w:left w:val="nil"/>
              <w:bottom w:val="single" w:sz="4" w:space="0" w:color="auto"/>
              <w:right w:val="single" w:sz="4" w:space="0" w:color="auto"/>
            </w:tcBorders>
            <w:shd w:val="clear" w:color="auto" w:fill="auto"/>
            <w:noWrap/>
            <w:vAlign w:val="center"/>
            <w:hideMark/>
          </w:tcPr>
          <w:p w14:paraId="57C145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2332655000</w:t>
            </w:r>
          </w:p>
        </w:tc>
        <w:tc>
          <w:tcPr>
            <w:tcW w:w="1036" w:type="dxa"/>
            <w:tcBorders>
              <w:top w:val="nil"/>
              <w:left w:val="nil"/>
              <w:bottom w:val="single" w:sz="4" w:space="0" w:color="auto"/>
              <w:right w:val="single" w:sz="4" w:space="0" w:color="auto"/>
            </w:tcBorders>
            <w:shd w:val="clear" w:color="auto" w:fill="auto"/>
            <w:noWrap/>
            <w:vAlign w:val="center"/>
            <w:hideMark/>
          </w:tcPr>
          <w:p w14:paraId="2C93E0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16705327</w:t>
            </w:r>
          </w:p>
        </w:tc>
        <w:tc>
          <w:tcPr>
            <w:tcW w:w="160" w:type="dxa"/>
            <w:tcBorders>
              <w:top w:val="nil"/>
              <w:left w:val="nil"/>
              <w:bottom w:val="single" w:sz="4" w:space="0" w:color="auto"/>
              <w:right w:val="nil"/>
            </w:tcBorders>
            <w:vAlign w:val="center"/>
          </w:tcPr>
          <w:p w14:paraId="402B518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E39F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SAŠA INKUBATOR, D. O. O. </w:t>
            </w:r>
          </w:p>
        </w:tc>
      </w:tr>
      <w:tr w:rsidR="00072A69" w:rsidRPr="00DC6DF9" w14:paraId="02CEB6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565A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1589</w:t>
            </w:r>
          </w:p>
        </w:tc>
        <w:tc>
          <w:tcPr>
            <w:tcW w:w="1036" w:type="dxa"/>
            <w:tcBorders>
              <w:top w:val="nil"/>
              <w:left w:val="nil"/>
              <w:bottom w:val="single" w:sz="4" w:space="0" w:color="auto"/>
              <w:right w:val="single" w:sz="4" w:space="0" w:color="auto"/>
            </w:tcBorders>
            <w:shd w:val="clear" w:color="auto" w:fill="auto"/>
            <w:noWrap/>
            <w:vAlign w:val="center"/>
            <w:hideMark/>
          </w:tcPr>
          <w:p w14:paraId="08D0C4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5044405000</w:t>
            </w:r>
          </w:p>
        </w:tc>
        <w:tc>
          <w:tcPr>
            <w:tcW w:w="1036" w:type="dxa"/>
            <w:tcBorders>
              <w:top w:val="nil"/>
              <w:left w:val="nil"/>
              <w:bottom w:val="single" w:sz="4" w:space="0" w:color="auto"/>
              <w:right w:val="single" w:sz="4" w:space="0" w:color="auto"/>
            </w:tcBorders>
            <w:shd w:val="clear" w:color="auto" w:fill="auto"/>
            <w:noWrap/>
            <w:vAlign w:val="center"/>
            <w:hideMark/>
          </w:tcPr>
          <w:p w14:paraId="4C1EBD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74887351</w:t>
            </w:r>
          </w:p>
        </w:tc>
        <w:tc>
          <w:tcPr>
            <w:tcW w:w="160" w:type="dxa"/>
            <w:tcBorders>
              <w:top w:val="nil"/>
              <w:left w:val="nil"/>
              <w:bottom w:val="single" w:sz="4" w:space="0" w:color="auto"/>
              <w:right w:val="nil"/>
            </w:tcBorders>
            <w:vAlign w:val="center"/>
          </w:tcPr>
          <w:p w14:paraId="525C24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EC14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SAVSKE ELEKTRARNE LJUBLJANA D. O. O. </w:t>
            </w:r>
          </w:p>
        </w:tc>
      </w:tr>
      <w:tr w:rsidR="00072A69" w:rsidRPr="00DC6DF9" w14:paraId="3EC5A9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41CF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1590</w:t>
            </w:r>
          </w:p>
        </w:tc>
        <w:tc>
          <w:tcPr>
            <w:tcW w:w="1036" w:type="dxa"/>
            <w:tcBorders>
              <w:top w:val="nil"/>
              <w:left w:val="nil"/>
              <w:bottom w:val="single" w:sz="4" w:space="0" w:color="auto"/>
              <w:right w:val="single" w:sz="4" w:space="0" w:color="auto"/>
            </w:tcBorders>
            <w:shd w:val="clear" w:color="auto" w:fill="auto"/>
            <w:noWrap/>
            <w:vAlign w:val="center"/>
            <w:hideMark/>
          </w:tcPr>
          <w:p w14:paraId="2AD1A3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5665493000</w:t>
            </w:r>
          </w:p>
        </w:tc>
        <w:tc>
          <w:tcPr>
            <w:tcW w:w="1036" w:type="dxa"/>
            <w:tcBorders>
              <w:top w:val="nil"/>
              <w:left w:val="nil"/>
              <w:bottom w:val="single" w:sz="4" w:space="0" w:color="auto"/>
              <w:right w:val="single" w:sz="4" w:space="0" w:color="auto"/>
            </w:tcBorders>
            <w:shd w:val="clear" w:color="auto" w:fill="auto"/>
            <w:noWrap/>
            <w:vAlign w:val="center"/>
            <w:hideMark/>
          </w:tcPr>
          <w:p w14:paraId="477429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82155135</w:t>
            </w:r>
          </w:p>
        </w:tc>
        <w:tc>
          <w:tcPr>
            <w:tcW w:w="160" w:type="dxa"/>
            <w:tcBorders>
              <w:top w:val="nil"/>
              <w:left w:val="nil"/>
              <w:bottom w:val="single" w:sz="4" w:space="0" w:color="auto"/>
              <w:right w:val="nil"/>
            </w:tcBorders>
            <w:vAlign w:val="center"/>
          </w:tcPr>
          <w:p w14:paraId="4E7A5E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8119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SID, D. D. </w:t>
            </w:r>
          </w:p>
        </w:tc>
      </w:tr>
      <w:tr w:rsidR="00072A69" w:rsidRPr="00DC6DF9" w14:paraId="5AA344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0FE9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1591</w:t>
            </w:r>
          </w:p>
        </w:tc>
        <w:tc>
          <w:tcPr>
            <w:tcW w:w="1036" w:type="dxa"/>
            <w:tcBorders>
              <w:top w:val="nil"/>
              <w:left w:val="nil"/>
              <w:bottom w:val="single" w:sz="4" w:space="0" w:color="auto"/>
              <w:right w:val="single" w:sz="4" w:space="0" w:color="auto"/>
            </w:tcBorders>
            <w:shd w:val="clear" w:color="auto" w:fill="auto"/>
            <w:noWrap/>
            <w:vAlign w:val="center"/>
            <w:hideMark/>
          </w:tcPr>
          <w:p w14:paraId="3D7042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5914523000</w:t>
            </w:r>
          </w:p>
        </w:tc>
        <w:tc>
          <w:tcPr>
            <w:tcW w:w="1036" w:type="dxa"/>
            <w:tcBorders>
              <w:top w:val="nil"/>
              <w:left w:val="nil"/>
              <w:bottom w:val="single" w:sz="4" w:space="0" w:color="auto"/>
              <w:right w:val="single" w:sz="4" w:space="0" w:color="auto"/>
            </w:tcBorders>
            <w:shd w:val="clear" w:color="auto" w:fill="auto"/>
            <w:noWrap/>
            <w:vAlign w:val="center"/>
            <w:hideMark/>
          </w:tcPr>
          <w:p w14:paraId="16A79D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54123135</w:t>
            </w:r>
          </w:p>
        </w:tc>
        <w:tc>
          <w:tcPr>
            <w:tcW w:w="160" w:type="dxa"/>
            <w:tcBorders>
              <w:top w:val="nil"/>
              <w:left w:val="nil"/>
              <w:bottom w:val="single" w:sz="4" w:space="0" w:color="auto"/>
              <w:right w:val="nil"/>
            </w:tcBorders>
            <w:vAlign w:val="center"/>
          </w:tcPr>
          <w:p w14:paraId="374C59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1F66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SIMBIO, D. O. O. </w:t>
            </w:r>
          </w:p>
        </w:tc>
      </w:tr>
      <w:tr w:rsidR="00072A69" w:rsidRPr="00DC6DF9" w14:paraId="37BB38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9151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1592</w:t>
            </w:r>
          </w:p>
        </w:tc>
        <w:tc>
          <w:tcPr>
            <w:tcW w:w="1036" w:type="dxa"/>
            <w:tcBorders>
              <w:top w:val="nil"/>
              <w:left w:val="nil"/>
              <w:bottom w:val="single" w:sz="4" w:space="0" w:color="auto"/>
              <w:right w:val="single" w:sz="4" w:space="0" w:color="auto"/>
            </w:tcBorders>
            <w:shd w:val="clear" w:color="auto" w:fill="auto"/>
            <w:noWrap/>
            <w:vAlign w:val="center"/>
            <w:hideMark/>
          </w:tcPr>
          <w:p w14:paraId="15FE7C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5729963000</w:t>
            </w:r>
          </w:p>
        </w:tc>
        <w:tc>
          <w:tcPr>
            <w:tcW w:w="1036" w:type="dxa"/>
            <w:tcBorders>
              <w:top w:val="nil"/>
              <w:left w:val="nil"/>
              <w:bottom w:val="single" w:sz="4" w:space="0" w:color="auto"/>
              <w:right w:val="single" w:sz="4" w:space="0" w:color="auto"/>
            </w:tcBorders>
            <w:shd w:val="clear" w:color="auto" w:fill="auto"/>
            <w:noWrap/>
            <w:vAlign w:val="center"/>
            <w:hideMark/>
          </w:tcPr>
          <w:p w14:paraId="5EFB25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26279266</w:t>
            </w:r>
          </w:p>
        </w:tc>
        <w:tc>
          <w:tcPr>
            <w:tcW w:w="160" w:type="dxa"/>
            <w:tcBorders>
              <w:top w:val="nil"/>
              <w:left w:val="nil"/>
              <w:bottom w:val="single" w:sz="4" w:space="0" w:color="auto"/>
              <w:right w:val="nil"/>
            </w:tcBorders>
            <w:vAlign w:val="center"/>
          </w:tcPr>
          <w:p w14:paraId="63EBA0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87F4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SKLAD KMETIJSKIH ZEMLJIŠČ IN GOZDOV REPUBLIKE SLOVENIJE</w:t>
            </w:r>
          </w:p>
        </w:tc>
      </w:tr>
      <w:tr w:rsidR="00072A69" w:rsidRPr="00DC6DF9" w14:paraId="0D8C9E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849E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1593</w:t>
            </w:r>
          </w:p>
        </w:tc>
        <w:tc>
          <w:tcPr>
            <w:tcW w:w="1036" w:type="dxa"/>
            <w:tcBorders>
              <w:top w:val="nil"/>
              <w:left w:val="nil"/>
              <w:bottom w:val="single" w:sz="4" w:space="0" w:color="auto"/>
              <w:right w:val="single" w:sz="4" w:space="0" w:color="auto"/>
            </w:tcBorders>
            <w:shd w:val="clear" w:color="auto" w:fill="auto"/>
            <w:noWrap/>
            <w:vAlign w:val="center"/>
            <w:hideMark/>
          </w:tcPr>
          <w:p w14:paraId="0EBF18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2197189000</w:t>
            </w:r>
          </w:p>
        </w:tc>
        <w:tc>
          <w:tcPr>
            <w:tcW w:w="1036" w:type="dxa"/>
            <w:tcBorders>
              <w:top w:val="nil"/>
              <w:left w:val="nil"/>
              <w:bottom w:val="single" w:sz="4" w:space="0" w:color="auto"/>
              <w:right w:val="single" w:sz="4" w:space="0" w:color="auto"/>
            </w:tcBorders>
            <w:shd w:val="clear" w:color="auto" w:fill="auto"/>
            <w:noWrap/>
            <w:vAlign w:val="center"/>
            <w:hideMark/>
          </w:tcPr>
          <w:p w14:paraId="541E19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66700094</w:t>
            </w:r>
          </w:p>
        </w:tc>
        <w:tc>
          <w:tcPr>
            <w:tcW w:w="160" w:type="dxa"/>
            <w:tcBorders>
              <w:top w:val="nil"/>
              <w:left w:val="nil"/>
              <w:bottom w:val="single" w:sz="4" w:space="0" w:color="auto"/>
              <w:right w:val="nil"/>
            </w:tcBorders>
            <w:vAlign w:val="center"/>
          </w:tcPr>
          <w:p w14:paraId="21B36E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A1E9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SKLAD REPUBLIKE SLOVENIJE ZA NASLEDSTVO</w:t>
            </w:r>
          </w:p>
        </w:tc>
      </w:tr>
      <w:tr w:rsidR="00072A69" w:rsidRPr="00DC6DF9" w14:paraId="5C9099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B7EC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1594</w:t>
            </w:r>
          </w:p>
        </w:tc>
        <w:tc>
          <w:tcPr>
            <w:tcW w:w="1036" w:type="dxa"/>
            <w:tcBorders>
              <w:top w:val="nil"/>
              <w:left w:val="nil"/>
              <w:bottom w:val="single" w:sz="4" w:space="0" w:color="auto"/>
              <w:right w:val="single" w:sz="4" w:space="0" w:color="auto"/>
            </w:tcBorders>
            <w:shd w:val="clear" w:color="auto" w:fill="auto"/>
            <w:noWrap/>
            <w:vAlign w:val="center"/>
            <w:hideMark/>
          </w:tcPr>
          <w:p w14:paraId="38E70E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5888298000</w:t>
            </w:r>
          </w:p>
        </w:tc>
        <w:tc>
          <w:tcPr>
            <w:tcW w:w="1036" w:type="dxa"/>
            <w:tcBorders>
              <w:top w:val="nil"/>
              <w:left w:val="nil"/>
              <w:bottom w:val="single" w:sz="4" w:space="0" w:color="auto"/>
              <w:right w:val="single" w:sz="4" w:space="0" w:color="auto"/>
            </w:tcBorders>
            <w:shd w:val="clear" w:color="auto" w:fill="auto"/>
            <w:noWrap/>
            <w:vAlign w:val="center"/>
            <w:hideMark/>
          </w:tcPr>
          <w:p w14:paraId="131E80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76367029</w:t>
            </w:r>
          </w:p>
        </w:tc>
        <w:tc>
          <w:tcPr>
            <w:tcW w:w="160" w:type="dxa"/>
            <w:tcBorders>
              <w:top w:val="nil"/>
              <w:left w:val="nil"/>
              <w:bottom w:val="single" w:sz="4" w:space="0" w:color="auto"/>
              <w:right w:val="nil"/>
            </w:tcBorders>
            <w:vAlign w:val="center"/>
          </w:tcPr>
          <w:p w14:paraId="144472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E06B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SKLAD ZA FINANCIRANJE RAZGRADNJE NUKLEARNE ELEKTRARNE KRŠKO IN ZA ODLAGANJE RADIOAKTIVNIH ODPADKOV IZ NUKLEARNE ELEKTRARNE KRŠKO</w:t>
            </w:r>
          </w:p>
        </w:tc>
      </w:tr>
      <w:tr w:rsidR="00072A69" w:rsidRPr="00DC6DF9" w14:paraId="3F96EC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5ADD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1595</w:t>
            </w:r>
          </w:p>
        </w:tc>
        <w:tc>
          <w:tcPr>
            <w:tcW w:w="1036" w:type="dxa"/>
            <w:tcBorders>
              <w:top w:val="nil"/>
              <w:left w:val="nil"/>
              <w:bottom w:val="single" w:sz="4" w:space="0" w:color="auto"/>
              <w:right w:val="single" w:sz="4" w:space="0" w:color="auto"/>
            </w:tcBorders>
            <w:shd w:val="clear" w:color="auto" w:fill="auto"/>
            <w:noWrap/>
            <w:vAlign w:val="center"/>
            <w:hideMark/>
          </w:tcPr>
          <w:p w14:paraId="630022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1429353000</w:t>
            </w:r>
          </w:p>
        </w:tc>
        <w:tc>
          <w:tcPr>
            <w:tcW w:w="1036" w:type="dxa"/>
            <w:tcBorders>
              <w:top w:val="nil"/>
              <w:left w:val="nil"/>
              <w:bottom w:val="single" w:sz="4" w:space="0" w:color="auto"/>
              <w:right w:val="single" w:sz="4" w:space="0" w:color="auto"/>
            </w:tcBorders>
            <w:shd w:val="clear" w:color="auto" w:fill="auto"/>
            <w:noWrap/>
            <w:vAlign w:val="center"/>
            <w:hideMark/>
          </w:tcPr>
          <w:p w14:paraId="17341B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84131110</w:t>
            </w:r>
          </w:p>
        </w:tc>
        <w:tc>
          <w:tcPr>
            <w:tcW w:w="160" w:type="dxa"/>
            <w:tcBorders>
              <w:top w:val="nil"/>
              <w:left w:val="nil"/>
              <w:bottom w:val="single" w:sz="4" w:space="0" w:color="auto"/>
              <w:right w:val="nil"/>
            </w:tcBorders>
            <w:vAlign w:val="center"/>
          </w:tcPr>
          <w:p w14:paraId="451516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15C7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SKUPNA OBČINSKA UPRAVA OBČIN V SPODNJEM PODRAVJU</w:t>
            </w:r>
          </w:p>
        </w:tc>
      </w:tr>
      <w:tr w:rsidR="00072A69" w:rsidRPr="00DC6DF9" w14:paraId="630B87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0A6B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1596</w:t>
            </w:r>
          </w:p>
        </w:tc>
        <w:tc>
          <w:tcPr>
            <w:tcW w:w="1036" w:type="dxa"/>
            <w:tcBorders>
              <w:top w:val="nil"/>
              <w:left w:val="nil"/>
              <w:bottom w:val="single" w:sz="4" w:space="0" w:color="auto"/>
              <w:right w:val="single" w:sz="4" w:space="0" w:color="auto"/>
            </w:tcBorders>
            <w:shd w:val="clear" w:color="auto" w:fill="auto"/>
            <w:noWrap/>
            <w:vAlign w:val="center"/>
            <w:hideMark/>
          </w:tcPr>
          <w:p w14:paraId="56D284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5828821000</w:t>
            </w:r>
          </w:p>
        </w:tc>
        <w:tc>
          <w:tcPr>
            <w:tcW w:w="1036" w:type="dxa"/>
            <w:tcBorders>
              <w:top w:val="nil"/>
              <w:left w:val="nil"/>
              <w:bottom w:val="single" w:sz="4" w:space="0" w:color="auto"/>
              <w:right w:val="single" w:sz="4" w:space="0" w:color="auto"/>
            </w:tcBorders>
            <w:shd w:val="clear" w:color="auto" w:fill="auto"/>
            <w:noWrap/>
            <w:vAlign w:val="center"/>
            <w:hideMark/>
          </w:tcPr>
          <w:p w14:paraId="653002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12655368</w:t>
            </w:r>
          </w:p>
        </w:tc>
        <w:tc>
          <w:tcPr>
            <w:tcW w:w="160" w:type="dxa"/>
            <w:tcBorders>
              <w:top w:val="nil"/>
              <w:left w:val="nil"/>
              <w:bottom w:val="single" w:sz="4" w:space="0" w:color="auto"/>
              <w:right w:val="nil"/>
            </w:tcBorders>
            <w:vAlign w:val="center"/>
          </w:tcPr>
          <w:p w14:paraId="7DCE51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0662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SKUPNOST OBČIN SLOVENIJE</w:t>
            </w:r>
          </w:p>
        </w:tc>
      </w:tr>
      <w:tr w:rsidR="00072A69" w:rsidRPr="00DC6DF9" w14:paraId="2C31FA5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5979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1597</w:t>
            </w:r>
          </w:p>
        </w:tc>
        <w:tc>
          <w:tcPr>
            <w:tcW w:w="1036" w:type="dxa"/>
            <w:tcBorders>
              <w:top w:val="nil"/>
              <w:left w:val="nil"/>
              <w:bottom w:val="single" w:sz="4" w:space="0" w:color="auto"/>
              <w:right w:val="single" w:sz="4" w:space="0" w:color="auto"/>
            </w:tcBorders>
            <w:shd w:val="clear" w:color="auto" w:fill="auto"/>
            <w:noWrap/>
            <w:vAlign w:val="center"/>
            <w:hideMark/>
          </w:tcPr>
          <w:p w14:paraId="1FA00B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5683122000</w:t>
            </w:r>
          </w:p>
        </w:tc>
        <w:tc>
          <w:tcPr>
            <w:tcW w:w="1036" w:type="dxa"/>
            <w:tcBorders>
              <w:top w:val="nil"/>
              <w:left w:val="nil"/>
              <w:bottom w:val="single" w:sz="4" w:space="0" w:color="auto"/>
              <w:right w:val="single" w:sz="4" w:space="0" w:color="auto"/>
            </w:tcBorders>
            <w:shd w:val="clear" w:color="auto" w:fill="auto"/>
            <w:noWrap/>
            <w:vAlign w:val="center"/>
            <w:hideMark/>
          </w:tcPr>
          <w:p w14:paraId="59E203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43103375</w:t>
            </w:r>
          </w:p>
        </w:tc>
        <w:tc>
          <w:tcPr>
            <w:tcW w:w="160" w:type="dxa"/>
            <w:tcBorders>
              <w:top w:val="nil"/>
              <w:left w:val="nil"/>
              <w:bottom w:val="single" w:sz="4" w:space="0" w:color="auto"/>
              <w:right w:val="nil"/>
            </w:tcBorders>
            <w:vAlign w:val="center"/>
          </w:tcPr>
          <w:p w14:paraId="4EA654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0977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SKUPNOST ZAVODOV OSNOVNE ZDRAVSTVENE DEJAVNOSTI CELJSKE REGIJE</w:t>
            </w:r>
          </w:p>
        </w:tc>
      </w:tr>
      <w:tr w:rsidR="00072A69" w:rsidRPr="00DC6DF9" w14:paraId="7B38616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5DDF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1598</w:t>
            </w:r>
          </w:p>
        </w:tc>
        <w:tc>
          <w:tcPr>
            <w:tcW w:w="1036" w:type="dxa"/>
            <w:tcBorders>
              <w:top w:val="nil"/>
              <w:left w:val="nil"/>
              <w:bottom w:val="single" w:sz="4" w:space="0" w:color="auto"/>
              <w:right w:val="single" w:sz="4" w:space="0" w:color="auto"/>
            </w:tcBorders>
            <w:shd w:val="clear" w:color="auto" w:fill="auto"/>
            <w:noWrap/>
            <w:vAlign w:val="center"/>
            <w:hideMark/>
          </w:tcPr>
          <w:p w14:paraId="7044E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5051444000</w:t>
            </w:r>
          </w:p>
        </w:tc>
        <w:tc>
          <w:tcPr>
            <w:tcW w:w="1036" w:type="dxa"/>
            <w:tcBorders>
              <w:top w:val="nil"/>
              <w:left w:val="nil"/>
              <w:bottom w:val="single" w:sz="4" w:space="0" w:color="auto"/>
              <w:right w:val="single" w:sz="4" w:space="0" w:color="auto"/>
            </w:tcBorders>
            <w:shd w:val="clear" w:color="auto" w:fill="auto"/>
            <w:noWrap/>
            <w:vAlign w:val="center"/>
            <w:hideMark/>
          </w:tcPr>
          <w:p w14:paraId="1D5928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54785758</w:t>
            </w:r>
          </w:p>
        </w:tc>
        <w:tc>
          <w:tcPr>
            <w:tcW w:w="160" w:type="dxa"/>
            <w:tcBorders>
              <w:top w:val="nil"/>
              <w:left w:val="nil"/>
              <w:bottom w:val="single" w:sz="4" w:space="0" w:color="auto"/>
              <w:right w:val="nil"/>
            </w:tcBorders>
            <w:vAlign w:val="center"/>
          </w:tcPr>
          <w:p w14:paraId="007707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6CEF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SLOVENSKA AKADEMIJA ZNANOSTI IN UMETNOSTI</w:t>
            </w:r>
          </w:p>
        </w:tc>
      </w:tr>
      <w:tr w:rsidR="00072A69" w:rsidRPr="00DC6DF9" w14:paraId="458A3EE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FE12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1599</w:t>
            </w:r>
          </w:p>
        </w:tc>
        <w:tc>
          <w:tcPr>
            <w:tcW w:w="1036" w:type="dxa"/>
            <w:tcBorders>
              <w:top w:val="nil"/>
              <w:left w:val="nil"/>
              <w:bottom w:val="single" w:sz="4" w:space="0" w:color="auto"/>
              <w:right w:val="single" w:sz="4" w:space="0" w:color="auto"/>
            </w:tcBorders>
            <w:shd w:val="clear" w:color="auto" w:fill="auto"/>
            <w:noWrap/>
            <w:vAlign w:val="center"/>
            <w:hideMark/>
          </w:tcPr>
          <w:p w14:paraId="7A0832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1555669000</w:t>
            </w:r>
          </w:p>
        </w:tc>
        <w:tc>
          <w:tcPr>
            <w:tcW w:w="1036" w:type="dxa"/>
            <w:tcBorders>
              <w:top w:val="nil"/>
              <w:left w:val="nil"/>
              <w:bottom w:val="single" w:sz="4" w:space="0" w:color="auto"/>
              <w:right w:val="single" w:sz="4" w:space="0" w:color="auto"/>
            </w:tcBorders>
            <w:shd w:val="clear" w:color="auto" w:fill="auto"/>
            <w:noWrap/>
            <w:vAlign w:val="center"/>
            <w:hideMark/>
          </w:tcPr>
          <w:p w14:paraId="278268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97967602</w:t>
            </w:r>
          </w:p>
        </w:tc>
        <w:tc>
          <w:tcPr>
            <w:tcW w:w="160" w:type="dxa"/>
            <w:tcBorders>
              <w:top w:val="nil"/>
              <w:left w:val="nil"/>
              <w:bottom w:val="single" w:sz="4" w:space="0" w:color="auto"/>
              <w:right w:val="nil"/>
            </w:tcBorders>
            <w:vAlign w:val="center"/>
          </w:tcPr>
          <w:p w14:paraId="50F16F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419F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SLOVENSKA AKREDITACIJA</w:t>
            </w:r>
          </w:p>
        </w:tc>
      </w:tr>
      <w:tr w:rsidR="00072A69" w:rsidRPr="00DC6DF9" w14:paraId="7CCE93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9BA7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1600</w:t>
            </w:r>
          </w:p>
        </w:tc>
        <w:tc>
          <w:tcPr>
            <w:tcW w:w="1036" w:type="dxa"/>
            <w:tcBorders>
              <w:top w:val="nil"/>
              <w:left w:val="nil"/>
              <w:bottom w:val="single" w:sz="4" w:space="0" w:color="auto"/>
              <w:right w:val="single" w:sz="4" w:space="0" w:color="auto"/>
            </w:tcBorders>
            <w:shd w:val="clear" w:color="auto" w:fill="auto"/>
            <w:noWrap/>
            <w:vAlign w:val="center"/>
            <w:hideMark/>
          </w:tcPr>
          <w:p w14:paraId="6581C1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5053242000</w:t>
            </w:r>
          </w:p>
        </w:tc>
        <w:tc>
          <w:tcPr>
            <w:tcW w:w="1036" w:type="dxa"/>
            <w:tcBorders>
              <w:top w:val="nil"/>
              <w:left w:val="nil"/>
              <w:bottom w:val="single" w:sz="4" w:space="0" w:color="auto"/>
              <w:right w:val="single" w:sz="4" w:space="0" w:color="auto"/>
            </w:tcBorders>
            <w:shd w:val="clear" w:color="auto" w:fill="auto"/>
            <w:noWrap/>
            <w:vAlign w:val="center"/>
            <w:hideMark/>
          </w:tcPr>
          <w:p w14:paraId="3DE893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85684198</w:t>
            </w:r>
          </w:p>
        </w:tc>
        <w:tc>
          <w:tcPr>
            <w:tcW w:w="160" w:type="dxa"/>
            <w:tcBorders>
              <w:top w:val="nil"/>
              <w:left w:val="nil"/>
              <w:bottom w:val="single" w:sz="4" w:space="0" w:color="auto"/>
              <w:right w:val="nil"/>
            </w:tcBorders>
            <w:vAlign w:val="center"/>
          </w:tcPr>
          <w:p w14:paraId="1E7367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6293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SLOVENSKA FILHARMONIJA</w:t>
            </w:r>
          </w:p>
        </w:tc>
      </w:tr>
      <w:tr w:rsidR="00072A69" w:rsidRPr="00DC6DF9" w14:paraId="6E6B5E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0D7F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1601</w:t>
            </w:r>
          </w:p>
        </w:tc>
        <w:tc>
          <w:tcPr>
            <w:tcW w:w="1036" w:type="dxa"/>
            <w:tcBorders>
              <w:top w:val="nil"/>
              <w:left w:val="nil"/>
              <w:bottom w:val="single" w:sz="4" w:space="0" w:color="auto"/>
              <w:right w:val="single" w:sz="4" w:space="0" w:color="auto"/>
            </w:tcBorders>
            <w:shd w:val="clear" w:color="auto" w:fill="auto"/>
            <w:noWrap/>
            <w:vAlign w:val="center"/>
            <w:hideMark/>
          </w:tcPr>
          <w:p w14:paraId="4CCF15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5971683000</w:t>
            </w:r>
          </w:p>
        </w:tc>
        <w:tc>
          <w:tcPr>
            <w:tcW w:w="1036" w:type="dxa"/>
            <w:tcBorders>
              <w:top w:val="nil"/>
              <w:left w:val="nil"/>
              <w:bottom w:val="single" w:sz="4" w:space="0" w:color="auto"/>
              <w:right w:val="single" w:sz="4" w:space="0" w:color="auto"/>
            </w:tcBorders>
            <w:shd w:val="clear" w:color="auto" w:fill="auto"/>
            <w:noWrap/>
            <w:vAlign w:val="center"/>
            <w:hideMark/>
          </w:tcPr>
          <w:p w14:paraId="3F7F31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45044309</w:t>
            </w:r>
          </w:p>
        </w:tc>
        <w:tc>
          <w:tcPr>
            <w:tcW w:w="160" w:type="dxa"/>
            <w:tcBorders>
              <w:top w:val="nil"/>
              <w:left w:val="nil"/>
              <w:bottom w:val="single" w:sz="4" w:space="0" w:color="auto"/>
              <w:right w:val="nil"/>
            </w:tcBorders>
            <w:vAlign w:val="center"/>
          </w:tcPr>
          <w:p w14:paraId="0D8A1A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365B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SLOVENSKA KINOTEKA</w:t>
            </w:r>
          </w:p>
        </w:tc>
      </w:tr>
      <w:tr w:rsidR="00072A69" w:rsidRPr="00DC6DF9" w14:paraId="2DCCDD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0A79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1602</w:t>
            </w:r>
          </w:p>
        </w:tc>
        <w:tc>
          <w:tcPr>
            <w:tcW w:w="1036" w:type="dxa"/>
            <w:tcBorders>
              <w:top w:val="nil"/>
              <w:left w:val="nil"/>
              <w:bottom w:val="single" w:sz="4" w:space="0" w:color="auto"/>
              <w:right w:val="single" w:sz="4" w:space="0" w:color="auto"/>
            </w:tcBorders>
            <w:shd w:val="clear" w:color="auto" w:fill="auto"/>
            <w:noWrap/>
            <w:vAlign w:val="center"/>
            <w:hideMark/>
          </w:tcPr>
          <w:p w14:paraId="34DFAC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5488745000</w:t>
            </w:r>
          </w:p>
        </w:tc>
        <w:tc>
          <w:tcPr>
            <w:tcW w:w="1036" w:type="dxa"/>
            <w:tcBorders>
              <w:top w:val="nil"/>
              <w:left w:val="nil"/>
              <w:bottom w:val="single" w:sz="4" w:space="0" w:color="auto"/>
              <w:right w:val="single" w:sz="4" w:space="0" w:color="auto"/>
            </w:tcBorders>
            <w:shd w:val="clear" w:color="auto" w:fill="auto"/>
            <w:noWrap/>
            <w:vAlign w:val="center"/>
            <w:hideMark/>
          </w:tcPr>
          <w:p w14:paraId="03E1B7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73929948</w:t>
            </w:r>
          </w:p>
        </w:tc>
        <w:tc>
          <w:tcPr>
            <w:tcW w:w="160" w:type="dxa"/>
            <w:tcBorders>
              <w:top w:val="nil"/>
              <w:left w:val="nil"/>
              <w:bottom w:val="single" w:sz="4" w:space="0" w:color="auto"/>
              <w:right w:val="nil"/>
            </w:tcBorders>
            <w:vAlign w:val="center"/>
          </w:tcPr>
          <w:p w14:paraId="054C65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E5B7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SLOVENSKA TISKOVNA AGENCIJA, D. O. O.</w:t>
            </w:r>
          </w:p>
        </w:tc>
      </w:tr>
      <w:tr w:rsidR="00072A69" w:rsidRPr="00DC6DF9" w14:paraId="422F11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64F2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1603</w:t>
            </w:r>
          </w:p>
        </w:tc>
        <w:tc>
          <w:tcPr>
            <w:tcW w:w="1036" w:type="dxa"/>
            <w:tcBorders>
              <w:top w:val="nil"/>
              <w:left w:val="nil"/>
              <w:bottom w:val="single" w:sz="4" w:space="0" w:color="auto"/>
              <w:right w:val="single" w:sz="4" w:space="0" w:color="auto"/>
            </w:tcBorders>
            <w:shd w:val="clear" w:color="auto" w:fill="auto"/>
            <w:noWrap/>
            <w:vAlign w:val="center"/>
            <w:hideMark/>
          </w:tcPr>
          <w:p w14:paraId="66B28F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6017177000</w:t>
            </w:r>
          </w:p>
        </w:tc>
        <w:tc>
          <w:tcPr>
            <w:tcW w:w="1036" w:type="dxa"/>
            <w:tcBorders>
              <w:top w:val="nil"/>
              <w:left w:val="nil"/>
              <w:bottom w:val="single" w:sz="4" w:space="0" w:color="auto"/>
              <w:right w:val="single" w:sz="4" w:space="0" w:color="auto"/>
            </w:tcBorders>
            <w:shd w:val="clear" w:color="auto" w:fill="auto"/>
            <w:noWrap/>
            <w:vAlign w:val="center"/>
            <w:hideMark/>
          </w:tcPr>
          <w:p w14:paraId="6B43D0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94995737</w:t>
            </w:r>
          </w:p>
        </w:tc>
        <w:tc>
          <w:tcPr>
            <w:tcW w:w="160" w:type="dxa"/>
            <w:tcBorders>
              <w:top w:val="nil"/>
              <w:left w:val="nil"/>
              <w:bottom w:val="single" w:sz="4" w:space="0" w:color="auto"/>
              <w:right w:val="nil"/>
            </w:tcBorders>
            <w:vAlign w:val="center"/>
          </w:tcPr>
          <w:p w14:paraId="23A6FD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61FC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SLOVENSKE ŽELEZNICE - INFRASTRUKTURA, D. O. O. </w:t>
            </w:r>
          </w:p>
        </w:tc>
      </w:tr>
      <w:tr w:rsidR="00072A69" w:rsidRPr="00DC6DF9" w14:paraId="3C9F53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CB3C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1604</w:t>
            </w:r>
          </w:p>
        </w:tc>
        <w:tc>
          <w:tcPr>
            <w:tcW w:w="1036" w:type="dxa"/>
            <w:tcBorders>
              <w:top w:val="nil"/>
              <w:left w:val="nil"/>
              <w:bottom w:val="single" w:sz="4" w:space="0" w:color="auto"/>
              <w:right w:val="single" w:sz="4" w:space="0" w:color="auto"/>
            </w:tcBorders>
            <w:shd w:val="clear" w:color="auto" w:fill="auto"/>
            <w:noWrap/>
            <w:vAlign w:val="center"/>
            <w:hideMark/>
          </w:tcPr>
          <w:p w14:paraId="69E619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6017274000</w:t>
            </w:r>
          </w:p>
        </w:tc>
        <w:tc>
          <w:tcPr>
            <w:tcW w:w="1036" w:type="dxa"/>
            <w:tcBorders>
              <w:top w:val="nil"/>
              <w:left w:val="nil"/>
              <w:bottom w:val="single" w:sz="4" w:space="0" w:color="auto"/>
              <w:right w:val="single" w:sz="4" w:space="0" w:color="auto"/>
            </w:tcBorders>
            <w:shd w:val="clear" w:color="auto" w:fill="auto"/>
            <w:noWrap/>
            <w:vAlign w:val="center"/>
            <w:hideMark/>
          </w:tcPr>
          <w:p w14:paraId="3B633F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89393686</w:t>
            </w:r>
          </w:p>
        </w:tc>
        <w:tc>
          <w:tcPr>
            <w:tcW w:w="160" w:type="dxa"/>
            <w:tcBorders>
              <w:top w:val="nil"/>
              <w:left w:val="nil"/>
              <w:bottom w:val="single" w:sz="4" w:space="0" w:color="auto"/>
              <w:right w:val="nil"/>
            </w:tcBorders>
            <w:vAlign w:val="center"/>
          </w:tcPr>
          <w:p w14:paraId="698DEB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93FE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SLOVENSKE ŽELEZNICE - POTNIŠKI PROMET, D. O. O. </w:t>
            </w:r>
          </w:p>
        </w:tc>
      </w:tr>
      <w:tr w:rsidR="00072A69" w:rsidRPr="00DC6DF9" w14:paraId="0D7EA70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5139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1605</w:t>
            </w:r>
          </w:p>
        </w:tc>
        <w:tc>
          <w:tcPr>
            <w:tcW w:w="1036" w:type="dxa"/>
            <w:tcBorders>
              <w:top w:val="nil"/>
              <w:left w:val="nil"/>
              <w:bottom w:val="single" w:sz="4" w:space="0" w:color="auto"/>
              <w:right w:val="single" w:sz="4" w:space="0" w:color="auto"/>
            </w:tcBorders>
            <w:shd w:val="clear" w:color="auto" w:fill="auto"/>
            <w:noWrap/>
            <w:vAlign w:val="center"/>
            <w:hideMark/>
          </w:tcPr>
          <w:p w14:paraId="121C50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6017231000</w:t>
            </w:r>
          </w:p>
        </w:tc>
        <w:tc>
          <w:tcPr>
            <w:tcW w:w="1036" w:type="dxa"/>
            <w:tcBorders>
              <w:top w:val="nil"/>
              <w:left w:val="nil"/>
              <w:bottom w:val="single" w:sz="4" w:space="0" w:color="auto"/>
              <w:right w:val="single" w:sz="4" w:space="0" w:color="auto"/>
            </w:tcBorders>
            <w:shd w:val="clear" w:color="auto" w:fill="auto"/>
            <w:noWrap/>
            <w:vAlign w:val="center"/>
            <w:hideMark/>
          </w:tcPr>
          <w:p w14:paraId="633F3F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84667044</w:t>
            </w:r>
          </w:p>
        </w:tc>
        <w:tc>
          <w:tcPr>
            <w:tcW w:w="160" w:type="dxa"/>
            <w:tcBorders>
              <w:top w:val="nil"/>
              <w:left w:val="nil"/>
              <w:bottom w:val="single" w:sz="4" w:space="0" w:color="auto"/>
              <w:right w:val="nil"/>
            </w:tcBorders>
            <w:vAlign w:val="center"/>
          </w:tcPr>
          <w:p w14:paraId="0C6C52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A8B6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SLOVENSKE ŽELEZNICE - TOVORNI PROMET, D. O. O. </w:t>
            </w:r>
          </w:p>
        </w:tc>
      </w:tr>
      <w:tr w:rsidR="00072A69" w:rsidRPr="00DC6DF9" w14:paraId="592BBB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DA4D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1606</w:t>
            </w:r>
          </w:p>
        </w:tc>
        <w:tc>
          <w:tcPr>
            <w:tcW w:w="1036" w:type="dxa"/>
            <w:tcBorders>
              <w:top w:val="nil"/>
              <w:left w:val="nil"/>
              <w:bottom w:val="single" w:sz="4" w:space="0" w:color="auto"/>
              <w:right w:val="single" w:sz="4" w:space="0" w:color="auto"/>
            </w:tcBorders>
            <w:shd w:val="clear" w:color="auto" w:fill="auto"/>
            <w:noWrap/>
            <w:vAlign w:val="center"/>
            <w:hideMark/>
          </w:tcPr>
          <w:p w14:paraId="27DBE3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5865824000</w:t>
            </w:r>
          </w:p>
        </w:tc>
        <w:tc>
          <w:tcPr>
            <w:tcW w:w="1036" w:type="dxa"/>
            <w:tcBorders>
              <w:top w:val="nil"/>
              <w:left w:val="nil"/>
              <w:bottom w:val="single" w:sz="4" w:space="0" w:color="auto"/>
              <w:right w:val="single" w:sz="4" w:space="0" w:color="auto"/>
            </w:tcBorders>
            <w:shd w:val="clear" w:color="auto" w:fill="auto"/>
            <w:noWrap/>
            <w:vAlign w:val="center"/>
            <w:hideMark/>
          </w:tcPr>
          <w:p w14:paraId="39B14B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99181762</w:t>
            </w:r>
          </w:p>
        </w:tc>
        <w:tc>
          <w:tcPr>
            <w:tcW w:w="160" w:type="dxa"/>
            <w:tcBorders>
              <w:top w:val="nil"/>
              <w:left w:val="nil"/>
              <w:bottom w:val="single" w:sz="4" w:space="0" w:color="auto"/>
              <w:right w:val="nil"/>
            </w:tcBorders>
            <w:vAlign w:val="center"/>
          </w:tcPr>
          <w:p w14:paraId="61B8CA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4939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SLOVENSKE ŽELEZNICE - VLEKA IN TEHNIKA, D. O. O. </w:t>
            </w:r>
          </w:p>
        </w:tc>
      </w:tr>
      <w:tr w:rsidR="00072A69" w:rsidRPr="00DC6DF9" w14:paraId="78D0CB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C4CE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1607</w:t>
            </w:r>
          </w:p>
        </w:tc>
        <w:tc>
          <w:tcPr>
            <w:tcW w:w="1036" w:type="dxa"/>
            <w:tcBorders>
              <w:top w:val="nil"/>
              <w:left w:val="nil"/>
              <w:bottom w:val="single" w:sz="4" w:space="0" w:color="auto"/>
              <w:right w:val="single" w:sz="4" w:space="0" w:color="auto"/>
            </w:tcBorders>
            <w:shd w:val="clear" w:color="auto" w:fill="auto"/>
            <w:noWrap/>
            <w:vAlign w:val="center"/>
            <w:hideMark/>
          </w:tcPr>
          <w:p w14:paraId="02415C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5142733000</w:t>
            </w:r>
          </w:p>
        </w:tc>
        <w:tc>
          <w:tcPr>
            <w:tcW w:w="1036" w:type="dxa"/>
            <w:tcBorders>
              <w:top w:val="nil"/>
              <w:left w:val="nil"/>
              <w:bottom w:val="single" w:sz="4" w:space="0" w:color="auto"/>
              <w:right w:val="single" w:sz="4" w:space="0" w:color="auto"/>
            </w:tcBorders>
            <w:shd w:val="clear" w:color="auto" w:fill="auto"/>
            <w:noWrap/>
            <w:vAlign w:val="center"/>
            <w:hideMark/>
          </w:tcPr>
          <w:p w14:paraId="20779E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18190995</w:t>
            </w:r>
          </w:p>
        </w:tc>
        <w:tc>
          <w:tcPr>
            <w:tcW w:w="160" w:type="dxa"/>
            <w:tcBorders>
              <w:top w:val="nil"/>
              <w:left w:val="nil"/>
              <w:bottom w:val="single" w:sz="4" w:space="0" w:color="auto"/>
              <w:right w:val="nil"/>
            </w:tcBorders>
            <w:vAlign w:val="center"/>
          </w:tcPr>
          <w:p w14:paraId="28039A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4CDD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SLOVENSKE ŽELEZNICE, D. O. O. </w:t>
            </w:r>
          </w:p>
        </w:tc>
      </w:tr>
      <w:tr w:rsidR="00072A69" w:rsidRPr="00DC6DF9" w14:paraId="190A07E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2637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1608</w:t>
            </w:r>
          </w:p>
        </w:tc>
        <w:tc>
          <w:tcPr>
            <w:tcW w:w="1036" w:type="dxa"/>
            <w:tcBorders>
              <w:top w:val="nil"/>
              <w:left w:val="nil"/>
              <w:bottom w:val="single" w:sz="4" w:space="0" w:color="auto"/>
              <w:right w:val="single" w:sz="4" w:space="0" w:color="auto"/>
            </w:tcBorders>
            <w:shd w:val="clear" w:color="auto" w:fill="auto"/>
            <w:noWrap/>
            <w:vAlign w:val="center"/>
            <w:hideMark/>
          </w:tcPr>
          <w:p w14:paraId="3E2C42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7035845000</w:t>
            </w:r>
          </w:p>
        </w:tc>
        <w:tc>
          <w:tcPr>
            <w:tcW w:w="1036" w:type="dxa"/>
            <w:tcBorders>
              <w:top w:val="nil"/>
              <w:left w:val="nil"/>
              <w:bottom w:val="single" w:sz="4" w:space="0" w:color="auto"/>
              <w:right w:val="single" w:sz="4" w:space="0" w:color="auto"/>
            </w:tcBorders>
            <w:shd w:val="clear" w:color="auto" w:fill="auto"/>
            <w:noWrap/>
            <w:vAlign w:val="center"/>
            <w:hideMark/>
          </w:tcPr>
          <w:p w14:paraId="42F785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75204878</w:t>
            </w:r>
          </w:p>
        </w:tc>
        <w:tc>
          <w:tcPr>
            <w:tcW w:w="160" w:type="dxa"/>
            <w:tcBorders>
              <w:top w:val="nil"/>
              <w:left w:val="nil"/>
              <w:bottom w:val="single" w:sz="4" w:space="0" w:color="auto"/>
              <w:right w:val="nil"/>
            </w:tcBorders>
            <w:vAlign w:val="center"/>
          </w:tcPr>
          <w:p w14:paraId="2CD1BB3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07D8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SLOVENSKI DRŽAVNI GOZDOVI, D. O. O.</w:t>
            </w:r>
          </w:p>
        </w:tc>
      </w:tr>
      <w:tr w:rsidR="00072A69" w:rsidRPr="00DC6DF9" w14:paraId="14DC18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DD51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1609</w:t>
            </w:r>
          </w:p>
        </w:tc>
        <w:tc>
          <w:tcPr>
            <w:tcW w:w="1036" w:type="dxa"/>
            <w:tcBorders>
              <w:top w:val="nil"/>
              <w:left w:val="nil"/>
              <w:bottom w:val="single" w:sz="4" w:space="0" w:color="auto"/>
              <w:right w:val="single" w:sz="4" w:space="0" w:color="auto"/>
            </w:tcBorders>
            <w:shd w:val="clear" w:color="auto" w:fill="auto"/>
            <w:noWrap/>
            <w:vAlign w:val="center"/>
            <w:hideMark/>
          </w:tcPr>
          <w:p w14:paraId="3585D0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5727847000</w:t>
            </w:r>
          </w:p>
        </w:tc>
        <w:tc>
          <w:tcPr>
            <w:tcW w:w="1036" w:type="dxa"/>
            <w:tcBorders>
              <w:top w:val="nil"/>
              <w:left w:val="nil"/>
              <w:bottom w:val="single" w:sz="4" w:space="0" w:color="auto"/>
              <w:right w:val="single" w:sz="4" w:space="0" w:color="auto"/>
            </w:tcBorders>
            <w:shd w:val="clear" w:color="auto" w:fill="auto"/>
            <w:noWrap/>
            <w:vAlign w:val="center"/>
            <w:hideMark/>
          </w:tcPr>
          <w:p w14:paraId="699874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46130373</w:t>
            </w:r>
          </w:p>
        </w:tc>
        <w:tc>
          <w:tcPr>
            <w:tcW w:w="160" w:type="dxa"/>
            <w:tcBorders>
              <w:top w:val="nil"/>
              <w:left w:val="nil"/>
              <w:bottom w:val="single" w:sz="4" w:space="0" w:color="auto"/>
              <w:right w:val="nil"/>
            </w:tcBorders>
            <w:vAlign w:val="center"/>
          </w:tcPr>
          <w:p w14:paraId="18AAF9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2873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SLOVENSKI DRŽAVNI HOLDING, D. D. </w:t>
            </w:r>
          </w:p>
        </w:tc>
      </w:tr>
      <w:tr w:rsidR="00072A69" w:rsidRPr="00DC6DF9" w14:paraId="718481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977F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1610</w:t>
            </w:r>
          </w:p>
        </w:tc>
        <w:tc>
          <w:tcPr>
            <w:tcW w:w="1036" w:type="dxa"/>
            <w:tcBorders>
              <w:top w:val="nil"/>
              <w:left w:val="nil"/>
              <w:bottom w:val="single" w:sz="4" w:space="0" w:color="auto"/>
              <w:right w:val="single" w:sz="4" w:space="0" w:color="auto"/>
            </w:tcBorders>
            <w:shd w:val="clear" w:color="auto" w:fill="auto"/>
            <w:noWrap/>
            <w:vAlign w:val="center"/>
            <w:hideMark/>
          </w:tcPr>
          <w:p w14:paraId="01067B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5052653000</w:t>
            </w:r>
          </w:p>
        </w:tc>
        <w:tc>
          <w:tcPr>
            <w:tcW w:w="1036" w:type="dxa"/>
            <w:tcBorders>
              <w:top w:val="nil"/>
              <w:left w:val="nil"/>
              <w:bottom w:val="single" w:sz="4" w:space="0" w:color="auto"/>
              <w:right w:val="single" w:sz="4" w:space="0" w:color="auto"/>
            </w:tcBorders>
            <w:shd w:val="clear" w:color="auto" w:fill="auto"/>
            <w:noWrap/>
            <w:vAlign w:val="center"/>
            <w:hideMark/>
          </w:tcPr>
          <w:p w14:paraId="70AF62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99955407</w:t>
            </w:r>
          </w:p>
        </w:tc>
        <w:tc>
          <w:tcPr>
            <w:tcW w:w="160" w:type="dxa"/>
            <w:tcBorders>
              <w:top w:val="nil"/>
              <w:left w:val="nil"/>
              <w:bottom w:val="single" w:sz="4" w:space="0" w:color="auto"/>
              <w:right w:val="nil"/>
            </w:tcBorders>
            <w:vAlign w:val="center"/>
          </w:tcPr>
          <w:p w14:paraId="1374180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CAFE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SLOVENSKI ETNOGRAFSKI MUZEJ</w:t>
            </w:r>
          </w:p>
        </w:tc>
      </w:tr>
      <w:tr w:rsidR="00072A69" w:rsidRPr="00DC6DF9" w14:paraId="065184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7BE2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1611</w:t>
            </w:r>
          </w:p>
        </w:tc>
        <w:tc>
          <w:tcPr>
            <w:tcW w:w="1036" w:type="dxa"/>
            <w:tcBorders>
              <w:top w:val="nil"/>
              <w:left w:val="nil"/>
              <w:bottom w:val="single" w:sz="4" w:space="0" w:color="auto"/>
              <w:right w:val="single" w:sz="4" w:space="0" w:color="auto"/>
            </w:tcBorders>
            <w:shd w:val="clear" w:color="auto" w:fill="auto"/>
            <w:noWrap/>
            <w:vAlign w:val="center"/>
            <w:hideMark/>
          </w:tcPr>
          <w:p w14:paraId="429D46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5860725000</w:t>
            </w:r>
          </w:p>
        </w:tc>
        <w:tc>
          <w:tcPr>
            <w:tcW w:w="1036" w:type="dxa"/>
            <w:tcBorders>
              <w:top w:val="nil"/>
              <w:left w:val="nil"/>
              <w:bottom w:val="single" w:sz="4" w:space="0" w:color="auto"/>
              <w:right w:val="single" w:sz="4" w:space="0" w:color="auto"/>
            </w:tcBorders>
            <w:shd w:val="clear" w:color="auto" w:fill="auto"/>
            <w:noWrap/>
            <w:vAlign w:val="center"/>
            <w:hideMark/>
          </w:tcPr>
          <w:p w14:paraId="26AF14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74184946</w:t>
            </w:r>
          </w:p>
        </w:tc>
        <w:tc>
          <w:tcPr>
            <w:tcW w:w="160" w:type="dxa"/>
            <w:tcBorders>
              <w:top w:val="nil"/>
              <w:left w:val="nil"/>
              <w:bottom w:val="single" w:sz="4" w:space="0" w:color="auto"/>
              <w:right w:val="nil"/>
            </w:tcBorders>
            <w:vAlign w:val="center"/>
          </w:tcPr>
          <w:p w14:paraId="25A4FA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19B5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SLOVENSKI FILMSKI CENTER</w:t>
            </w:r>
          </w:p>
        </w:tc>
      </w:tr>
      <w:tr w:rsidR="00072A69" w:rsidRPr="00DC6DF9" w14:paraId="4BE42D4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5684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1612</w:t>
            </w:r>
          </w:p>
        </w:tc>
        <w:tc>
          <w:tcPr>
            <w:tcW w:w="1036" w:type="dxa"/>
            <w:tcBorders>
              <w:top w:val="nil"/>
              <w:left w:val="nil"/>
              <w:bottom w:val="single" w:sz="4" w:space="0" w:color="auto"/>
              <w:right w:val="single" w:sz="4" w:space="0" w:color="auto"/>
            </w:tcBorders>
            <w:shd w:val="clear" w:color="auto" w:fill="auto"/>
            <w:noWrap/>
            <w:vAlign w:val="center"/>
            <w:hideMark/>
          </w:tcPr>
          <w:p w14:paraId="122962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5985854000</w:t>
            </w:r>
          </w:p>
        </w:tc>
        <w:tc>
          <w:tcPr>
            <w:tcW w:w="1036" w:type="dxa"/>
            <w:tcBorders>
              <w:top w:val="nil"/>
              <w:left w:val="nil"/>
              <w:bottom w:val="single" w:sz="4" w:space="0" w:color="auto"/>
              <w:right w:val="single" w:sz="4" w:space="0" w:color="auto"/>
            </w:tcBorders>
            <w:shd w:val="clear" w:color="auto" w:fill="auto"/>
            <w:noWrap/>
            <w:vAlign w:val="center"/>
            <w:hideMark/>
          </w:tcPr>
          <w:p w14:paraId="58AB49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52285944</w:t>
            </w:r>
          </w:p>
        </w:tc>
        <w:tc>
          <w:tcPr>
            <w:tcW w:w="160" w:type="dxa"/>
            <w:tcBorders>
              <w:top w:val="nil"/>
              <w:left w:val="nil"/>
              <w:bottom w:val="single" w:sz="4" w:space="0" w:color="auto"/>
              <w:right w:val="nil"/>
            </w:tcBorders>
            <w:vAlign w:val="center"/>
          </w:tcPr>
          <w:p w14:paraId="3E3B45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D8A2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SLOVENSKI GLEDALIŠKI INŠTITUT</w:t>
            </w:r>
          </w:p>
        </w:tc>
      </w:tr>
      <w:tr w:rsidR="00072A69" w:rsidRPr="00DC6DF9" w14:paraId="71E115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A972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1613</w:t>
            </w:r>
          </w:p>
        </w:tc>
        <w:tc>
          <w:tcPr>
            <w:tcW w:w="1036" w:type="dxa"/>
            <w:tcBorders>
              <w:top w:val="nil"/>
              <w:left w:val="nil"/>
              <w:bottom w:val="single" w:sz="4" w:space="0" w:color="auto"/>
              <w:right w:val="single" w:sz="4" w:space="0" w:color="auto"/>
            </w:tcBorders>
            <w:shd w:val="clear" w:color="auto" w:fill="auto"/>
            <w:noWrap/>
            <w:vAlign w:val="center"/>
            <w:hideMark/>
          </w:tcPr>
          <w:p w14:paraId="7EA15A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1593781000</w:t>
            </w:r>
          </w:p>
        </w:tc>
        <w:tc>
          <w:tcPr>
            <w:tcW w:w="1036" w:type="dxa"/>
            <w:tcBorders>
              <w:top w:val="nil"/>
              <w:left w:val="nil"/>
              <w:bottom w:val="single" w:sz="4" w:space="0" w:color="auto"/>
              <w:right w:val="single" w:sz="4" w:space="0" w:color="auto"/>
            </w:tcBorders>
            <w:shd w:val="clear" w:color="auto" w:fill="auto"/>
            <w:noWrap/>
            <w:vAlign w:val="center"/>
            <w:hideMark/>
          </w:tcPr>
          <w:p w14:paraId="0F085A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83093931</w:t>
            </w:r>
          </w:p>
        </w:tc>
        <w:tc>
          <w:tcPr>
            <w:tcW w:w="160" w:type="dxa"/>
            <w:tcBorders>
              <w:top w:val="nil"/>
              <w:left w:val="nil"/>
              <w:bottom w:val="single" w:sz="4" w:space="0" w:color="auto"/>
              <w:right w:val="nil"/>
            </w:tcBorders>
            <w:vAlign w:val="center"/>
          </w:tcPr>
          <w:p w14:paraId="4E7A0AD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FF5E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SLOVENSKI INŠTITUT ZA STANDARDIZACIJO</w:t>
            </w:r>
          </w:p>
        </w:tc>
      </w:tr>
      <w:tr w:rsidR="00072A69" w:rsidRPr="00DC6DF9" w14:paraId="1A78BD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102C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1614</w:t>
            </w:r>
          </w:p>
        </w:tc>
        <w:tc>
          <w:tcPr>
            <w:tcW w:w="1036" w:type="dxa"/>
            <w:tcBorders>
              <w:top w:val="nil"/>
              <w:left w:val="nil"/>
              <w:bottom w:val="single" w:sz="4" w:space="0" w:color="auto"/>
              <w:right w:val="single" w:sz="4" w:space="0" w:color="auto"/>
            </w:tcBorders>
            <w:shd w:val="clear" w:color="auto" w:fill="auto"/>
            <w:noWrap/>
            <w:vAlign w:val="center"/>
            <w:hideMark/>
          </w:tcPr>
          <w:p w14:paraId="7E8FCD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5052033000</w:t>
            </w:r>
          </w:p>
        </w:tc>
        <w:tc>
          <w:tcPr>
            <w:tcW w:w="1036" w:type="dxa"/>
            <w:tcBorders>
              <w:top w:val="nil"/>
              <w:left w:val="nil"/>
              <w:bottom w:val="single" w:sz="4" w:space="0" w:color="auto"/>
              <w:right w:val="single" w:sz="4" w:space="0" w:color="auto"/>
            </w:tcBorders>
            <w:shd w:val="clear" w:color="auto" w:fill="auto"/>
            <w:noWrap/>
            <w:vAlign w:val="center"/>
            <w:hideMark/>
          </w:tcPr>
          <w:p w14:paraId="6DC8DF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38442663</w:t>
            </w:r>
          </w:p>
        </w:tc>
        <w:tc>
          <w:tcPr>
            <w:tcW w:w="160" w:type="dxa"/>
            <w:tcBorders>
              <w:top w:val="nil"/>
              <w:left w:val="nil"/>
              <w:bottom w:val="single" w:sz="4" w:space="0" w:color="auto"/>
              <w:right w:val="nil"/>
            </w:tcBorders>
            <w:vAlign w:val="center"/>
          </w:tcPr>
          <w:p w14:paraId="4E27E3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619A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SLOVENSKI ŠOLSKI MUZEJ</w:t>
            </w:r>
          </w:p>
        </w:tc>
      </w:tr>
      <w:tr w:rsidR="00072A69" w:rsidRPr="00DC6DF9" w14:paraId="5F21F1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10E7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1615</w:t>
            </w:r>
          </w:p>
        </w:tc>
        <w:tc>
          <w:tcPr>
            <w:tcW w:w="1036" w:type="dxa"/>
            <w:tcBorders>
              <w:top w:val="nil"/>
              <w:left w:val="nil"/>
              <w:bottom w:val="single" w:sz="4" w:space="0" w:color="auto"/>
              <w:right w:val="single" w:sz="4" w:space="0" w:color="auto"/>
            </w:tcBorders>
            <w:shd w:val="clear" w:color="auto" w:fill="auto"/>
            <w:noWrap/>
            <w:vAlign w:val="center"/>
            <w:hideMark/>
          </w:tcPr>
          <w:p w14:paraId="1486EF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5055750000</w:t>
            </w:r>
          </w:p>
        </w:tc>
        <w:tc>
          <w:tcPr>
            <w:tcW w:w="1036" w:type="dxa"/>
            <w:tcBorders>
              <w:top w:val="nil"/>
              <w:left w:val="nil"/>
              <w:bottom w:val="single" w:sz="4" w:space="0" w:color="auto"/>
              <w:right w:val="single" w:sz="4" w:space="0" w:color="auto"/>
            </w:tcBorders>
            <w:shd w:val="clear" w:color="auto" w:fill="auto"/>
            <w:noWrap/>
            <w:vAlign w:val="center"/>
            <w:hideMark/>
          </w:tcPr>
          <w:p w14:paraId="17B15D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21436762</w:t>
            </w:r>
          </w:p>
        </w:tc>
        <w:tc>
          <w:tcPr>
            <w:tcW w:w="160" w:type="dxa"/>
            <w:tcBorders>
              <w:top w:val="nil"/>
              <w:left w:val="nil"/>
              <w:bottom w:val="single" w:sz="4" w:space="0" w:color="auto"/>
              <w:right w:val="nil"/>
            </w:tcBorders>
            <w:vAlign w:val="center"/>
          </w:tcPr>
          <w:p w14:paraId="0A4BB9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0529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SLOVENSKO LJUDSKO GLEDALIŠČE CELJE</w:t>
            </w:r>
          </w:p>
        </w:tc>
      </w:tr>
      <w:tr w:rsidR="00072A69" w:rsidRPr="00DC6DF9" w14:paraId="2079EA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2FD7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1616</w:t>
            </w:r>
          </w:p>
        </w:tc>
        <w:tc>
          <w:tcPr>
            <w:tcW w:w="1036" w:type="dxa"/>
            <w:tcBorders>
              <w:top w:val="nil"/>
              <w:left w:val="nil"/>
              <w:bottom w:val="single" w:sz="4" w:space="0" w:color="auto"/>
              <w:right w:val="single" w:sz="4" w:space="0" w:color="auto"/>
            </w:tcBorders>
            <w:shd w:val="clear" w:color="auto" w:fill="auto"/>
            <w:noWrap/>
            <w:vAlign w:val="center"/>
            <w:hideMark/>
          </w:tcPr>
          <w:p w14:paraId="2A6446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5055997000</w:t>
            </w:r>
          </w:p>
        </w:tc>
        <w:tc>
          <w:tcPr>
            <w:tcW w:w="1036" w:type="dxa"/>
            <w:tcBorders>
              <w:top w:val="nil"/>
              <w:left w:val="nil"/>
              <w:bottom w:val="single" w:sz="4" w:space="0" w:color="auto"/>
              <w:right w:val="single" w:sz="4" w:space="0" w:color="auto"/>
            </w:tcBorders>
            <w:shd w:val="clear" w:color="auto" w:fill="auto"/>
            <w:noWrap/>
            <w:vAlign w:val="center"/>
            <w:hideMark/>
          </w:tcPr>
          <w:p w14:paraId="63FCCA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19061978</w:t>
            </w:r>
          </w:p>
        </w:tc>
        <w:tc>
          <w:tcPr>
            <w:tcW w:w="160" w:type="dxa"/>
            <w:tcBorders>
              <w:top w:val="nil"/>
              <w:left w:val="nil"/>
              <w:bottom w:val="single" w:sz="4" w:space="0" w:color="auto"/>
              <w:right w:val="nil"/>
            </w:tcBorders>
            <w:vAlign w:val="center"/>
          </w:tcPr>
          <w:p w14:paraId="73E0AC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4162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SLOVENSKO MLADINSKO GLEDALIŠČE LJUBLJANA</w:t>
            </w:r>
          </w:p>
        </w:tc>
      </w:tr>
      <w:tr w:rsidR="00072A69" w:rsidRPr="00DC6DF9" w14:paraId="0E8CDE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2388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1617</w:t>
            </w:r>
          </w:p>
        </w:tc>
        <w:tc>
          <w:tcPr>
            <w:tcW w:w="1036" w:type="dxa"/>
            <w:tcBorders>
              <w:top w:val="nil"/>
              <w:left w:val="nil"/>
              <w:bottom w:val="single" w:sz="4" w:space="0" w:color="auto"/>
              <w:right w:val="single" w:sz="4" w:space="0" w:color="auto"/>
            </w:tcBorders>
            <w:shd w:val="clear" w:color="auto" w:fill="auto"/>
            <w:noWrap/>
            <w:vAlign w:val="center"/>
            <w:hideMark/>
          </w:tcPr>
          <w:p w14:paraId="6E4130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5053358000</w:t>
            </w:r>
          </w:p>
        </w:tc>
        <w:tc>
          <w:tcPr>
            <w:tcW w:w="1036" w:type="dxa"/>
            <w:tcBorders>
              <w:top w:val="nil"/>
              <w:left w:val="nil"/>
              <w:bottom w:val="single" w:sz="4" w:space="0" w:color="auto"/>
              <w:right w:val="single" w:sz="4" w:space="0" w:color="auto"/>
            </w:tcBorders>
            <w:shd w:val="clear" w:color="auto" w:fill="auto"/>
            <w:noWrap/>
            <w:vAlign w:val="center"/>
            <w:hideMark/>
          </w:tcPr>
          <w:p w14:paraId="55F5F0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86431587</w:t>
            </w:r>
          </w:p>
        </w:tc>
        <w:tc>
          <w:tcPr>
            <w:tcW w:w="160" w:type="dxa"/>
            <w:tcBorders>
              <w:top w:val="nil"/>
              <w:left w:val="nil"/>
              <w:bottom w:val="single" w:sz="4" w:space="0" w:color="auto"/>
              <w:right w:val="nil"/>
            </w:tcBorders>
            <w:vAlign w:val="center"/>
          </w:tcPr>
          <w:p w14:paraId="5715B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0FBB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SLOVENSKO NARODNO GLEDALIŠČE NOVA GORICA</w:t>
            </w:r>
          </w:p>
        </w:tc>
      </w:tr>
      <w:tr w:rsidR="00072A69" w:rsidRPr="00DC6DF9" w14:paraId="06AC9D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4877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1618</w:t>
            </w:r>
          </w:p>
        </w:tc>
        <w:tc>
          <w:tcPr>
            <w:tcW w:w="1036" w:type="dxa"/>
            <w:tcBorders>
              <w:top w:val="nil"/>
              <w:left w:val="nil"/>
              <w:bottom w:val="single" w:sz="4" w:space="0" w:color="auto"/>
              <w:right w:val="single" w:sz="4" w:space="0" w:color="auto"/>
            </w:tcBorders>
            <w:shd w:val="clear" w:color="auto" w:fill="auto"/>
            <w:noWrap/>
            <w:vAlign w:val="center"/>
            <w:hideMark/>
          </w:tcPr>
          <w:p w14:paraId="700F21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2482550000</w:t>
            </w:r>
          </w:p>
        </w:tc>
        <w:tc>
          <w:tcPr>
            <w:tcW w:w="1036" w:type="dxa"/>
            <w:tcBorders>
              <w:top w:val="nil"/>
              <w:left w:val="nil"/>
              <w:bottom w:val="single" w:sz="4" w:space="0" w:color="auto"/>
              <w:right w:val="single" w:sz="4" w:space="0" w:color="auto"/>
            </w:tcBorders>
            <w:shd w:val="clear" w:color="auto" w:fill="auto"/>
            <w:noWrap/>
            <w:vAlign w:val="center"/>
            <w:hideMark/>
          </w:tcPr>
          <w:p w14:paraId="0F8DB6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18640494</w:t>
            </w:r>
          </w:p>
        </w:tc>
        <w:tc>
          <w:tcPr>
            <w:tcW w:w="160" w:type="dxa"/>
            <w:tcBorders>
              <w:top w:val="nil"/>
              <w:left w:val="nil"/>
              <w:bottom w:val="single" w:sz="4" w:space="0" w:color="auto"/>
              <w:right w:val="nil"/>
            </w:tcBorders>
            <w:vAlign w:val="center"/>
          </w:tcPr>
          <w:p w14:paraId="4A95EC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9156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SLUŽBA VLADE REPUBLIKE SLOVENIJE ZA RAZVOJ IN EVROPSKO KOHEZIJSKO POLITIKO</w:t>
            </w:r>
          </w:p>
        </w:tc>
      </w:tr>
      <w:tr w:rsidR="00072A69" w:rsidRPr="00DC6DF9" w14:paraId="7833B7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151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1619</w:t>
            </w:r>
          </w:p>
        </w:tc>
        <w:tc>
          <w:tcPr>
            <w:tcW w:w="1036" w:type="dxa"/>
            <w:tcBorders>
              <w:top w:val="nil"/>
              <w:left w:val="nil"/>
              <w:bottom w:val="single" w:sz="4" w:space="0" w:color="auto"/>
              <w:right w:val="single" w:sz="4" w:space="0" w:color="auto"/>
            </w:tcBorders>
            <w:shd w:val="clear" w:color="auto" w:fill="auto"/>
            <w:noWrap/>
            <w:vAlign w:val="center"/>
            <w:hideMark/>
          </w:tcPr>
          <w:p w14:paraId="6FB821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5067855000</w:t>
            </w:r>
          </w:p>
        </w:tc>
        <w:tc>
          <w:tcPr>
            <w:tcW w:w="1036" w:type="dxa"/>
            <w:tcBorders>
              <w:top w:val="nil"/>
              <w:left w:val="nil"/>
              <w:bottom w:val="single" w:sz="4" w:space="0" w:color="auto"/>
              <w:right w:val="single" w:sz="4" w:space="0" w:color="auto"/>
            </w:tcBorders>
            <w:shd w:val="clear" w:color="auto" w:fill="auto"/>
            <w:noWrap/>
            <w:vAlign w:val="center"/>
            <w:hideMark/>
          </w:tcPr>
          <w:p w14:paraId="05EF54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22223576</w:t>
            </w:r>
          </w:p>
        </w:tc>
        <w:tc>
          <w:tcPr>
            <w:tcW w:w="160" w:type="dxa"/>
            <w:tcBorders>
              <w:top w:val="nil"/>
              <w:left w:val="nil"/>
              <w:bottom w:val="single" w:sz="4" w:space="0" w:color="auto"/>
              <w:right w:val="nil"/>
            </w:tcBorders>
            <w:vAlign w:val="center"/>
          </w:tcPr>
          <w:p w14:paraId="499C4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8DAD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SNAGA, DRUŽBA ZA RAVNANJE Z ODPADKI IN DRUGE KOMUNALNE STORITVE, D. O. O. </w:t>
            </w:r>
          </w:p>
        </w:tc>
      </w:tr>
      <w:tr w:rsidR="00072A69" w:rsidRPr="00DC6DF9" w14:paraId="0A6A47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16F1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1620</w:t>
            </w:r>
          </w:p>
        </w:tc>
        <w:tc>
          <w:tcPr>
            <w:tcW w:w="1036" w:type="dxa"/>
            <w:tcBorders>
              <w:top w:val="nil"/>
              <w:left w:val="nil"/>
              <w:bottom w:val="single" w:sz="4" w:space="0" w:color="auto"/>
              <w:right w:val="single" w:sz="4" w:space="0" w:color="auto"/>
            </w:tcBorders>
            <w:shd w:val="clear" w:color="auto" w:fill="auto"/>
            <w:noWrap/>
            <w:vAlign w:val="center"/>
            <w:hideMark/>
          </w:tcPr>
          <w:p w14:paraId="524426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5015545000</w:t>
            </w:r>
          </w:p>
        </w:tc>
        <w:tc>
          <w:tcPr>
            <w:tcW w:w="1036" w:type="dxa"/>
            <w:tcBorders>
              <w:top w:val="nil"/>
              <w:left w:val="nil"/>
              <w:bottom w:val="single" w:sz="4" w:space="0" w:color="auto"/>
              <w:right w:val="single" w:sz="4" w:space="0" w:color="auto"/>
            </w:tcBorders>
            <w:shd w:val="clear" w:color="auto" w:fill="auto"/>
            <w:noWrap/>
            <w:vAlign w:val="center"/>
            <w:hideMark/>
          </w:tcPr>
          <w:p w14:paraId="1B7FB3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30543517</w:t>
            </w:r>
          </w:p>
        </w:tc>
        <w:tc>
          <w:tcPr>
            <w:tcW w:w="160" w:type="dxa"/>
            <w:tcBorders>
              <w:top w:val="nil"/>
              <w:left w:val="nil"/>
              <w:bottom w:val="single" w:sz="4" w:space="0" w:color="auto"/>
              <w:right w:val="nil"/>
            </w:tcBorders>
            <w:vAlign w:val="center"/>
          </w:tcPr>
          <w:p w14:paraId="0D0C30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BFF6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SNAGA, JAVNO PODJETJE, D. O. O. </w:t>
            </w:r>
          </w:p>
        </w:tc>
      </w:tr>
      <w:tr w:rsidR="00072A69" w:rsidRPr="00DC6DF9" w14:paraId="4F1B3EA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4D3B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1621</w:t>
            </w:r>
          </w:p>
        </w:tc>
        <w:tc>
          <w:tcPr>
            <w:tcW w:w="1036" w:type="dxa"/>
            <w:tcBorders>
              <w:top w:val="nil"/>
              <w:left w:val="nil"/>
              <w:bottom w:val="single" w:sz="4" w:space="0" w:color="auto"/>
              <w:right w:val="single" w:sz="4" w:space="0" w:color="auto"/>
            </w:tcBorders>
            <w:shd w:val="clear" w:color="auto" w:fill="auto"/>
            <w:noWrap/>
            <w:vAlign w:val="center"/>
            <w:hideMark/>
          </w:tcPr>
          <w:p w14:paraId="6FF539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5698375000</w:t>
            </w:r>
          </w:p>
        </w:tc>
        <w:tc>
          <w:tcPr>
            <w:tcW w:w="1036" w:type="dxa"/>
            <w:tcBorders>
              <w:top w:val="nil"/>
              <w:left w:val="nil"/>
              <w:bottom w:val="single" w:sz="4" w:space="0" w:color="auto"/>
              <w:right w:val="single" w:sz="4" w:space="0" w:color="auto"/>
            </w:tcBorders>
            <w:shd w:val="clear" w:color="auto" w:fill="auto"/>
            <w:noWrap/>
            <w:vAlign w:val="center"/>
            <w:hideMark/>
          </w:tcPr>
          <w:p w14:paraId="2DA400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59617055</w:t>
            </w:r>
          </w:p>
        </w:tc>
        <w:tc>
          <w:tcPr>
            <w:tcW w:w="160" w:type="dxa"/>
            <w:tcBorders>
              <w:top w:val="nil"/>
              <w:left w:val="nil"/>
              <w:bottom w:val="single" w:sz="4" w:space="0" w:color="auto"/>
              <w:right w:val="nil"/>
            </w:tcBorders>
            <w:vAlign w:val="center"/>
          </w:tcPr>
          <w:p w14:paraId="07A41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6BF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SNG DRAMA LJUBLJANA</w:t>
            </w:r>
          </w:p>
        </w:tc>
      </w:tr>
      <w:tr w:rsidR="00072A69" w:rsidRPr="00DC6DF9" w14:paraId="43A90F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3EF0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1622</w:t>
            </w:r>
          </w:p>
        </w:tc>
        <w:tc>
          <w:tcPr>
            <w:tcW w:w="1036" w:type="dxa"/>
            <w:tcBorders>
              <w:top w:val="nil"/>
              <w:left w:val="nil"/>
              <w:bottom w:val="single" w:sz="4" w:space="0" w:color="auto"/>
              <w:right w:val="single" w:sz="4" w:space="0" w:color="auto"/>
            </w:tcBorders>
            <w:shd w:val="clear" w:color="auto" w:fill="auto"/>
            <w:noWrap/>
            <w:vAlign w:val="center"/>
            <w:hideMark/>
          </w:tcPr>
          <w:p w14:paraId="00AE45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5698359000</w:t>
            </w:r>
          </w:p>
        </w:tc>
        <w:tc>
          <w:tcPr>
            <w:tcW w:w="1036" w:type="dxa"/>
            <w:tcBorders>
              <w:top w:val="nil"/>
              <w:left w:val="nil"/>
              <w:bottom w:val="single" w:sz="4" w:space="0" w:color="auto"/>
              <w:right w:val="single" w:sz="4" w:space="0" w:color="auto"/>
            </w:tcBorders>
            <w:shd w:val="clear" w:color="auto" w:fill="auto"/>
            <w:noWrap/>
            <w:vAlign w:val="center"/>
            <w:hideMark/>
          </w:tcPr>
          <w:p w14:paraId="38B904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48596604</w:t>
            </w:r>
          </w:p>
        </w:tc>
        <w:tc>
          <w:tcPr>
            <w:tcW w:w="160" w:type="dxa"/>
            <w:tcBorders>
              <w:top w:val="nil"/>
              <w:left w:val="nil"/>
              <w:bottom w:val="single" w:sz="4" w:space="0" w:color="auto"/>
              <w:right w:val="nil"/>
            </w:tcBorders>
            <w:vAlign w:val="center"/>
          </w:tcPr>
          <w:p w14:paraId="2CEE3E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CD5E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SNG OPERA IN BALET LJUBLJANA</w:t>
            </w:r>
          </w:p>
        </w:tc>
      </w:tr>
      <w:tr w:rsidR="00072A69" w:rsidRPr="00DC6DF9" w14:paraId="5AA2E09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BF41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1623</w:t>
            </w:r>
          </w:p>
        </w:tc>
        <w:tc>
          <w:tcPr>
            <w:tcW w:w="1036" w:type="dxa"/>
            <w:tcBorders>
              <w:top w:val="nil"/>
              <w:left w:val="nil"/>
              <w:bottom w:val="single" w:sz="4" w:space="0" w:color="auto"/>
              <w:right w:val="single" w:sz="4" w:space="0" w:color="auto"/>
            </w:tcBorders>
            <w:shd w:val="clear" w:color="auto" w:fill="auto"/>
            <w:noWrap/>
            <w:vAlign w:val="center"/>
            <w:hideMark/>
          </w:tcPr>
          <w:p w14:paraId="0F4ECE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3568369000</w:t>
            </w:r>
          </w:p>
        </w:tc>
        <w:tc>
          <w:tcPr>
            <w:tcW w:w="1036" w:type="dxa"/>
            <w:tcBorders>
              <w:top w:val="nil"/>
              <w:left w:val="nil"/>
              <w:bottom w:val="single" w:sz="4" w:space="0" w:color="auto"/>
              <w:right w:val="single" w:sz="4" w:space="0" w:color="auto"/>
            </w:tcBorders>
            <w:shd w:val="clear" w:color="auto" w:fill="auto"/>
            <w:noWrap/>
            <w:vAlign w:val="center"/>
            <w:hideMark/>
          </w:tcPr>
          <w:p w14:paraId="5D5E3A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10883959</w:t>
            </w:r>
          </w:p>
        </w:tc>
        <w:tc>
          <w:tcPr>
            <w:tcW w:w="160" w:type="dxa"/>
            <w:tcBorders>
              <w:top w:val="nil"/>
              <w:left w:val="nil"/>
              <w:bottom w:val="single" w:sz="4" w:space="0" w:color="auto"/>
              <w:right w:val="nil"/>
            </w:tcBorders>
            <w:vAlign w:val="center"/>
          </w:tcPr>
          <w:p w14:paraId="030458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D411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SOCIALNO VARSTVENI CENTER LITIJA, D. O. O. </w:t>
            </w:r>
          </w:p>
        </w:tc>
      </w:tr>
      <w:tr w:rsidR="00072A69" w:rsidRPr="00DC6DF9" w14:paraId="3A4C6E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8E95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1624</w:t>
            </w:r>
          </w:p>
        </w:tc>
        <w:tc>
          <w:tcPr>
            <w:tcW w:w="1036" w:type="dxa"/>
            <w:tcBorders>
              <w:top w:val="nil"/>
              <w:left w:val="nil"/>
              <w:bottom w:val="single" w:sz="4" w:space="0" w:color="auto"/>
              <w:right w:val="single" w:sz="4" w:space="0" w:color="auto"/>
            </w:tcBorders>
            <w:shd w:val="clear" w:color="auto" w:fill="auto"/>
            <w:noWrap/>
            <w:vAlign w:val="center"/>
            <w:hideMark/>
          </w:tcPr>
          <w:p w14:paraId="3A1147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5049903000</w:t>
            </w:r>
          </w:p>
        </w:tc>
        <w:tc>
          <w:tcPr>
            <w:tcW w:w="1036" w:type="dxa"/>
            <w:tcBorders>
              <w:top w:val="nil"/>
              <w:left w:val="nil"/>
              <w:bottom w:val="single" w:sz="4" w:space="0" w:color="auto"/>
              <w:right w:val="single" w:sz="4" w:space="0" w:color="auto"/>
            </w:tcBorders>
            <w:shd w:val="clear" w:color="auto" w:fill="auto"/>
            <w:noWrap/>
            <w:vAlign w:val="center"/>
            <w:hideMark/>
          </w:tcPr>
          <w:p w14:paraId="43EEB7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10220704</w:t>
            </w:r>
          </w:p>
        </w:tc>
        <w:tc>
          <w:tcPr>
            <w:tcW w:w="160" w:type="dxa"/>
            <w:tcBorders>
              <w:top w:val="nil"/>
              <w:left w:val="nil"/>
              <w:bottom w:val="single" w:sz="4" w:space="0" w:color="auto"/>
              <w:right w:val="nil"/>
            </w:tcBorders>
            <w:vAlign w:val="center"/>
          </w:tcPr>
          <w:p w14:paraId="37FC065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8BA5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SOCIALNO VARSTVENI ZAVOD HRASTOVEC</w:t>
            </w:r>
          </w:p>
        </w:tc>
      </w:tr>
      <w:tr w:rsidR="00072A69" w:rsidRPr="00DC6DF9" w14:paraId="4C54B7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49B5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1625</w:t>
            </w:r>
          </w:p>
        </w:tc>
        <w:tc>
          <w:tcPr>
            <w:tcW w:w="1036" w:type="dxa"/>
            <w:tcBorders>
              <w:top w:val="nil"/>
              <w:left w:val="nil"/>
              <w:bottom w:val="single" w:sz="4" w:space="0" w:color="auto"/>
              <w:right w:val="single" w:sz="4" w:space="0" w:color="auto"/>
            </w:tcBorders>
            <w:shd w:val="clear" w:color="auto" w:fill="auto"/>
            <w:noWrap/>
            <w:vAlign w:val="center"/>
            <w:hideMark/>
          </w:tcPr>
          <w:p w14:paraId="23BFED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2346516000</w:t>
            </w:r>
          </w:p>
        </w:tc>
        <w:tc>
          <w:tcPr>
            <w:tcW w:w="1036" w:type="dxa"/>
            <w:tcBorders>
              <w:top w:val="nil"/>
              <w:left w:val="nil"/>
              <w:bottom w:val="single" w:sz="4" w:space="0" w:color="auto"/>
              <w:right w:val="single" w:sz="4" w:space="0" w:color="auto"/>
            </w:tcBorders>
            <w:shd w:val="clear" w:color="auto" w:fill="auto"/>
            <w:noWrap/>
            <w:vAlign w:val="center"/>
            <w:hideMark/>
          </w:tcPr>
          <w:p w14:paraId="1513C2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61966851</w:t>
            </w:r>
          </w:p>
        </w:tc>
        <w:tc>
          <w:tcPr>
            <w:tcW w:w="160" w:type="dxa"/>
            <w:tcBorders>
              <w:top w:val="nil"/>
              <w:left w:val="nil"/>
              <w:bottom w:val="single" w:sz="4" w:space="0" w:color="auto"/>
              <w:right w:val="nil"/>
            </w:tcBorders>
            <w:vAlign w:val="center"/>
          </w:tcPr>
          <w:p w14:paraId="321C2B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C6BD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SOCIALNOVARSTVENI ZAVOD TABER</w:t>
            </w:r>
          </w:p>
        </w:tc>
      </w:tr>
      <w:tr w:rsidR="00072A69" w:rsidRPr="00DC6DF9" w14:paraId="0BBF9D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1ED3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w:t>
            </w:r>
          </w:p>
        </w:tc>
        <w:tc>
          <w:tcPr>
            <w:tcW w:w="1036" w:type="dxa"/>
            <w:tcBorders>
              <w:top w:val="nil"/>
              <w:left w:val="nil"/>
              <w:bottom w:val="single" w:sz="4" w:space="0" w:color="auto"/>
              <w:right w:val="single" w:sz="4" w:space="0" w:color="auto"/>
            </w:tcBorders>
            <w:shd w:val="clear" w:color="auto" w:fill="auto"/>
            <w:noWrap/>
            <w:vAlign w:val="center"/>
            <w:hideMark/>
          </w:tcPr>
          <w:p w14:paraId="5E9E3E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5888174000</w:t>
            </w:r>
          </w:p>
        </w:tc>
        <w:tc>
          <w:tcPr>
            <w:tcW w:w="1036" w:type="dxa"/>
            <w:tcBorders>
              <w:top w:val="nil"/>
              <w:left w:val="nil"/>
              <w:bottom w:val="single" w:sz="4" w:space="0" w:color="auto"/>
              <w:right w:val="single" w:sz="4" w:space="0" w:color="auto"/>
            </w:tcBorders>
            <w:shd w:val="clear" w:color="auto" w:fill="auto"/>
            <w:noWrap/>
            <w:vAlign w:val="center"/>
            <w:hideMark/>
          </w:tcPr>
          <w:p w14:paraId="77C6AC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70654441</w:t>
            </w:r>
          </w:p>
        </w:tc>
        <w:tc>
          <w:tcPr>
            <w:tcW w:w="160" w:type="dxa"/>
            <w:tcBorders>
              <w:top w:val="nil"/>
              <w:left w:val="nil"/>
              <w:bottom w:val="single" w:sz="4" w:space="0" w:color="auto"/>
              <w:right w:val="nil"/>
            </w:tcBorders>
            <w:vAlign w:val="center"/>
          </w:tcPr>
          <w:p w14:paraId="1BD8BF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3A61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SODNI SVET REPUBLIKE SLOVENIJE</w:t>
            </w:r>
          </w:p>
        </w:tc>
      </w:tr>
      <w:tr w:rsidR="00072A69" w:rsidRPr="00DC6DF9" w14:paraId="1FC7B2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0A0C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w:t>
            </w:r>
          </w:p>
        </w:tc>
        <w:tc>
          <w:tcPr>
            <w:tcW w:w="1036" w:type="dxa"/>
            <w:tcBorders>
              <w:top w:val="nil"/>
              <w:left w:val="nil"/>
              <w:bottom w:val="single" w:sz="4" w:space="0" w:color="auto"/>
              <w:right w:val="single" w:sz="4" w:space="0" w:color="auto"/>
            </w:tcBorders>
            <w:shd w:val="clear" w:color="auto" w:fill="auto"/>
            <w:noWrap/>
            <w:vAlign w:val="center"/>
            <w:hideMark/>
          </w:tcPr>
          <w:p w14:paraId="0995D0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2294389000</w:t>
            </w:r>
          </w:p>
        </w:tc>
        <w:tc>
          <w:tcPr>
            <w:tcW w:w="1036" w:type="dxa"/>
            <w:tcBorders>
              <w:top w:val="nil"/>
              <w:left w:val="nil"/>
              <w:bottom w:val="single" w:sz="4" w:space="0" w:color="auto"/>
              <w:right w:val="single" w:sz="4" w:space="0" w:color="auto"/>
            </w:tcBorders>
            <w:shd w:val="clear" w:color="auto" w:fill="auto"/>
            <w:noWrap/>
            <w:vAlign w:val="center"/>
            <w:hideMark/>
          </w:tcPr>
          <w:p w14:paraId="5364BF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45603057</w:t>
            </w:r>
          </w:p>
        </w:tc>
        <w:tc>
          <w:tcPr>
            <w:tcW w:w="160" w:type="dxa"/>
            <w:tcBorders>
              <w:top w:val="nil"/>
              <w:left w:val="nil"/>
              <w:bottom w:val="single" w:sz="4" w:space="0" w:color="auto"/>
              <w:right w:val="nil"/>
            </w:tcBorders>
            <w:vAlign w:val="center"/>
          </w:tcPr>
          <w:p w14:paraId="5B251D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F24E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SODO, D. O. O. </w:t>
            </w:r>
          </w:p>
        </w:tc>
      </w:tr>
      <w:tr w:rsidR="00072A69" w:rsidRPr="00DC6DF9" w14:paraId="0EF828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11E0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1628</w:t>
            </w:r>
          </w:p>
        </w:tc>
        <w:tc>
          <w:tcPr>
            <w:tcW w:w="1036" w:type="dxa"/>
            <w:tcBorders>
              <w:top w:val="nil"/>
              <w:left w:val="nil"/>
              <w:bottom w:val="single" w:sz="4" w:space="0" w:color="auto"/>
              <w:right w:val="single" w:sz="4" w:space="0" w:color="auto"/>
            </w:tcBorders>
            <w:shd w:val="clear" w:color="auto" w:fill="auto"/>
            <w:noWrap/>
            <w:vAlign w:val="center"/>
            <w:hideMark/>
          </w:tcPr>
          <w:p w14:paraId="07D19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5044421000</w:t>
            </w:r>
          </w:p>
        </w:tc>
        <w:tc>
          <w:tcPr>
            <w:tcW w:w="1036" w:type="dxa"/>
            <w:tcBorders>
              <w:top w:val="nil"/>
              <w:left w:val="nil"/>
              <w:bottom w:val="single" w:sz="4" w:space="0" w:color="auto"/>
              <w:right w:val="single" w:sz="4" w:space="0" w:color="auto"/>
            </w:tcBorders>
            <w:shd w:val="clear" w:color="auto" w:fill="auto"/>
            <w:noWrap/>
            <w:vAlign w:val="center"/>
            <w:hideMark/>
          </w:tcPr>
          <w:p w14:paraId="0DC06C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74100475</w:t>
            </w:r>
          </w:p>
        </w:tc>
        <w:tc>
          <w:tcPr>
            <w:tcW w:w="160" w:type="dxa"/>
            <w:tcBorders>
              <w:top w:val="nil"/>
              <w:left w:val="nil"/>
              <w:bottom w:val="single" w:sz="4" w:space="0" w:color="auto"/>
              <w:right w:val="nil"/>
            </w:tcBorders>
            <w:vAlign w:val="center"/>
          </w:tcPr>
          <w:p w14:paraId="2A15EE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726E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SOŠKE ELEKTRARNE NOVA GORICA, D. O. O. </w:t>
            </w:r>
          </w:p>
        </w:tc>
      </w:tr>
      <w:tr w:rsidR="00072A69" w:rsidRPr="00DC6DF9" w14:paraId="4E7908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2D22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1629</w:t>
            </w:r>
          </w:p>
        </w:tc>
        <w:tc>
          <w:tcPr>
            <w:tcW w:w="1036" w:type="dxa"/>
            <w:tcBorders>
              <w:top w:val="nil"/>
              <w:left w:val="nil"/>
              <w:bottom w:val="single" w:sz="4" w:space="0" w:color="auto"/>
              <w:right w:val="single" w:sz="4" w:space="0" w:color="auto"/>
            </w:tcBorders>
            <w:shd w:val="clear" w:color="auto" w:fill="auto"/>
            <w:noWrap/>
            <w:vAlign w:val="center"/>
            <w:hideMark/>
          </w:tcPr>
          <w:p w14:paraId="1BA0B0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2399318000</w:t>
            </w:r>
          </w:p>
        </w:tc>
        <w:tc>
          <w:tcPr>
            <w:tcW w:w="1036" w:type="dxa"/>
            <w:tcBorders>
              <w:top w:val="nil"/>
              <w:left w:val="nil"/>
              <w:bottom w:val="single" w:sz="4" w:space="0" w:color="auto"/>
              <w:right w:val="single" w:sz="4" w:space="0" w:color="auto"/>
            </w:tcBorders>
            <w:shd w:val="clear" w:color="auto" w:fill="auto"/>
            <w:noWrap/>
            <w:vAlign w:val="center"/>
            <w:hideMark/>
          </w:tcPr>
          <w:p w14:paraId="7EADE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84952571</w:t>
            </w:r>
          </w:p>
        </w:tc>
        <w:tc>
          <w:tcPr>
            <w:tcW w:w="160" w:type="dxa"/>
            <w:tcBorders>
              <w:top w:val="nil"/>
              <w:left w:val="nil"/>
              <w:bottom w:val="single" w:sz="4" w:space="0" w:color="auto"/>
              <w:right w:val="nil"/>
            </w:tcBorders>
            <w:vAlign w:val="center"/>
          </w:tcPr>
          <w:p w14:paraId="70F3E2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395B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SPECIALIZIRANO DRŽAVNO TOŽILSTVO REPUBLIKE SLOVENIJE</w:t>
            </w:r>
          </w:p>
        </w:tc>
      </w:tr>
      <w:tr w:rsidR="00072A69" w:rsidRPr="00DC6DF9" w14:paraId="6A0AF1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5795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1630</w:t>
            </w:r>
          </w:p>
        </w:tc>
        <w:tc>
          <w:tcPr>
            <w:tcW w:w="1036" w:type="dxa"/>
            <w:tcBorders>
              <w:top w:val="nil"/>
              <w:left w:val="nil"/>
              <w:bottom w:val="single" w:sz="4" w:space="0" w:color="auto"/>
              <w:right w:val="single" w:sz="4" w:space="0" w:color="auto"/>
            </w:tcBorders>
            <w:shd w:val="clear" w:color="auto" w:fill="auto"/>
            <w:noWrap/>
            <w:vAlign w:val="center"/>
            <w:hideMark/>
          </w:tcPr>
          <w:p w14:paraId="7F08AA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5105323000</w:t>
            </w:r>
          </w:p>
        </w:tc>
        <w:tc>
          <w:tcPr>
            <w:tcW w:w="1036" w:type="dxa"/>
            <w:tcBorders>
              <w:top w:val="nil"/>
              <w:left w:val="nil"/>
              <w:bottom w:val="single" w:sz="4" w:space="0" w:color="auto"/>
              <w:right w:val="single" w:sz="4" w:space="0" w:color="auto"/>
            </w:tcBorders>
            <w:shd w:val="clear" w:color="auto" w:fill="auto"/>
            <w:noWrap/>
            <w:vAlign w:val="center"/>
            <w:hideMark/>
          </w:tcPr>
          <w:p w14:paraId="0A88B6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58152784</w:t>
            </w:r>
          </w:p>
        </w:tc>
        <w:tc>
          <w:tcPr>
            <w:tcW w:w="160" w:type="dxa"/>
            <w:tcBorders>
              <w:top w:val="nil"/>
              <w:left w:val="nil"/>
              <w:bottom w:val="single" w:sz="4" w:space="0" w:color="auto"/>
              <w:right w:val="nil"/>
            </w:tcBorders>
            <w:vAlign w:val="center"/>
          </w:tcPr>
          <w:p w14:paraId="39BBAB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AA0E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BREŽICE</w:t>
            </w:r>
          </w:p>
        </w:tc>
      </w:tr>
      <w:tr w:rsidR="00072A69" w:rsidRPr="00DC6DF9" w14:paraId="7E5A11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E7B0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1631</w:t>
            </w:r>
          </w:p>
        </w:tc>
        <w:tc>
          <w:tcPr>
            <w:tcW w:w="1036" w:type="dxa"/>
            <w:tcBorders>
              <w:top w:val="nil"/>
              <w:left w:val="nil"/>
              <w:bottom w:val="single" w:sz="4" w:space="0" w:color="auto"/>
              <w:right w:val="single" w:sz="4" w:space="0" w:color="auto"/>
            </w:tcBorders>
            <w:shd w:val="clear" w:color="auto" w:fill="auto"/>
            <w:noWrap/>
            <w:vAlign w:val="center"/>
            <w:hideMark/>
          </w:tcPr>
          <w:p w14:paraId="1372BE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5064716000</w:t>
            </w:r>
          </w:p>
        </w:tc>
        <w:tc>
          <w:tcPr>
            <w:tcW w:w="1036" w:type="dxa"/>
            <w:tcBorders>
              <w:top w:val="nil"/>
              <w:left w:val="nil"/>
              <w:bottom w:val="single" w:sz="4" w:space="0" w:color="auto"/>
              <w:right w:val="single" w:sz="4" w:space="0" w:color="auto"/>
            </w:tcBorders>
            <w:shd w:val="clear" w:color="auto" w:fill="auto"/>
            <w:noWrap/>
            <w:vAlign w:val="center"/>
            <w:hideMark/>
          </w:tcPr>
          <w:p w14:paraId="33F7E8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42119022</w:t>
            </w:r>
          </w:p>
        </w:tc>
        <w:tc>
          <w:tcPr>
            <w:tcW w:w="160" w:type="dxa"/>
            <w:tcBorders>
              <w:top w:val="nil"/>
              <w:left w:val="nil"/>
              <w:bottom w:val="single" w:sz="4" w:space="0" w:color="auto"/>
              <w:right w:val="nil"/>
            </w:tcBorders>
            <w:vAlign w:val="center"/>
          </w:tcPr>
          <w:p w14:paraId="48A9A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9926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CELJE</w:t>
            </w:r>
          </w:p>
        </w:tc>
      </w:tr>
      <w:tr w:rsidR="00072A69" w:rsidRPr="00DC6DF9" w14:paraId="223EEA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5083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1632</w:t>
            </w:r>
          </w:p>
        </w:tc>
        <w:tc>
          <w:tcPr>
            <w:tcW w:w="1036" w:type="dxa"/>
            <w:tcBorders>
              <w:top w:val="nil"/>
              <w:left w:val="nil"/>
              <w:bottom w:val="single" w:sz="4" w:space="0" w:color="auto"/>
              <w:right w:val="single" w:sz="4" w:space="0" w:color="auto"/>
            </w:tcBorders>
            <w:shd w:val="clear" w:color="auto" w:fill="auto"/>
            <w:noWrap/>
            <w:vAlign w:val="center"/>
            <w:hideMark/>
          </w:tcPr>
          <w:p w14:paraId="0BE0BE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5055695000</w:t>
            </w:r>
          </w:p>
        </w:tc>
        <w:tc>
          <w:tcPr>
            <w:tcW w:w="1036" w:type="dxa"/>
            <w:tcBorders>
              <w:top w:val="nil"/>
              <w:left w:val="nil"/>
              <w:bottom w:val="single" w:sz="4" w:space="0" w:color="auto"/>
              <w:right w:val="single" w:sz="4" w:space="0" w:color="auto"/>
            </w:tcBorders>
            <w:shd w:val="clear" w:color="auto" w:fill="auto"/>
            <w:noWrap/>
            <w:vAlign w:val="center"/>
            <w:hideMark/>
          </w:tcPr>
          <w:p w14:paraId="480204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11427205</w:t>
            </w:r>
          </w:p>
        </w:tc>
        <w:tc>
          <w:tcPr>
            <w:tcW w:w="160" w:type="dxa"/>
            <w:tcBorders>
              <w:top w:val="nil"/>
              <w:left w:val="nil"/>
              <w:bottom w:val="single" w:sz="4" w:space="0" w:color="auto"/>
              <w:right w:val="nil"/>
            </w:tcBorders>
            <w:vAlign w:val="center"/>
          </w:tcPr>
          <w:p w14:paraId="106A9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A17C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DR. FRANCA DERGANCA NOVA GORICA</w:t>
            </w:r>
          </w:p>
        </w:tc>
      </w:tr>
      <w:tr w:rsidR="00072A69" w:rsidRPr="00DC6DF9" w14:paraId="43ED2B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C9F6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1633</w:t>
            </w:r>
          </w:p>
        </w:tc>
        <w:tc>
          <w:tcPr>
            <w:tcW w:w="1036" w:type="dxa"/>
            <w:tcBorders>
              <w:top w:val="nil"/>
              <w:left w:val="nil"/>
              <w:bottom w:val="single" w:sz="4" w:space="0" w:color="auto"/>
              <w:right w:val="single" w:sz="4" w:space="0" w:color="auto"/>
            </w:tcBorders>
            <w:shd w:val="clear" w:color="auto" w:fill="auto"/>
            <w:noWrap/>
            <w:vAlign w:val="center"/>
            <w:hideMark/>
          </w:tcPr>
          <w:p w14:paraId="790374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5054796000</w:t>
            </w:r>
          </w:p>
        </w:tc>
        <w:tc>
          <w:tcPr>
            <w:tcW w:w="1036" w:type="dxa"/>
            <w:tcBorders>
              <w:top w:val="nil"/>
              <w:left w:val="nil"/>
              <w:bottom w:val="single" w:sz="4" w:space="0" w:color="auto"/>
              <w:right w:val="single" w:sz="4" w:space="0" w:color="auto"/>
            </w:tcBorders>
            <w:shd w:val="clear" w:color="auto" w:fill="auto"/>
            <w:noWrap/>
            <w:vAlign w:val="center"/>
            <w:hideMark/>
          </w:tcPr>
          <w:p w14:paraId="148ED7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35767294</w:t>
            </w:r>
          </w:p>
        </w:tc>
        <w:tc>
          <w:tcPr>
            <w:tcW w:w="160" w:type="dxa"/>
            <w:tcBorders>
              <w:top w:val="nil"/>
              <w:left w:val="nil"/>
              <w:bottom w:val="single" w:sz="4" w:space="0" w:color="auto"/>
              <w:right w:val="nil"/>
            </w:tcBorders>
            <w:vAlign w:val="center"/>
          </w:tcPr>
          <w:p w14:paraId="46EC0C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A2AD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DR. JOŽETA POTRČA PTUJ</w:t>
            </w:r>
          </w:p>
        </w:tc>
      </w:tr>
      <w:tr w:rsidR="00072A69" w:rsidRPr="00DC6DF9" w14:paraId="4E3281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B7FC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1634</w:t>
            </w:r>
          </w:p>
        </w:tc>
        <w:tc>
          <w:tcPr>
            <w:tcW w:w="1036" w:type="dxa"/>
            <w:tcBorders>
              <w:top w:val="nil"/>
              <w:left w:val="nil"/>
              <w:bottom w:val="single" w:sz="4" w:space="0" w:color="auto"/>
              <w:right w:val="single" w:sz="4" w:space="0" w:color="auto"/>
            </w:tcBorders>
            <w:shd w:val="clear" w:color="auto" w:fill="auto"/>
            <w:noWrap/>
            <w:vAlign w:val="center"/>
            <w:hideMark/>
          </w:tcPr>
          <w:p w14:paraId="396063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1399632000</w:t>
            </w:r>
          </w:p>
        </w:tc>
        <w:tc>
          <w:tcPr>
            <w:tcW w:w="1036" w:type="dxa"/>
            <w:tcBorders>
              <w:top w:val="nil"/>
              <w:left w:val="nil"/>
              <w:bottom w:val="single" w:sz="4" w:space="0" w:color="auto"/>
              <w:right w:val="single" w:sz="4" w:space="0" w:color="auto"/>
            </w:tcBorders>
            <w:shd w:val="clear" w:color="auto" w:fill="auto"/>
            <w:noWrap/>
            <w:vAlign w:val="center"/>
            <w:hideMark/>
          </w:tcPr>
          <w:p w14:paraId="41C680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79007589</w:t>
            </w:r>
          </w:p>
        </w:tc>
        <w:tc>
          <w:tcPr>
            <w:tcW w:w="160" w:type="dxa"/>
            <w:tcBorders>
              <w:top w:val="nil"/>
              <w:left w:val="nil"/>
              <w:bottom w:val="single" w:sz="4" w:space="0" w:color="auto"/>
              <w:right w:val="nil"/>
            </w:tcBorders>
            <w:vAlign w:val="center"/>
          </w:tcPr>
          <w:p w14:paraId="7741BC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F467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IZOLA</w:t>
            </w:r>
          </w:p>
        </w:tc>
      </w:tr>
      <w:tr w:rsidR="00072A69" w:rsidRPr="00DC6DF9" w14:paraId="040986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AF02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1635</w:t>
            </w:r>
          </w:p>
        </w:tc>
        <w:tc>
          <w:tcPr>
            <w:tcW w:w="1036" w:type="dxa"/>
            <w:tcBorders>
              <w:top w:val="nil"/>
              <w:left w:val="nil"/>
              <w:bottom w:val="single" w:sz="4" w:space="0" w:color="auto"/>
              <w:right w:val="single" w:sz="4" w:space="0" w:color="auto"/>
            </w:tcBorders>
            <w:shd w:val="clear" w:color="auto" w:fill="auto"/>
            <w:noWrap/>
            <w:vAlign w:val="center"/>
            <w:hideMark/>
          </w:tcPr>
          <w:p w14:paraId="0F119B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5053692000</w:t>
            </w:r>
          </w:p>
        </w:tc>
        <w:tc>
          <w:tcPr>
            <w:tcW w:w="1036" w:type="dxa"/>
            <w:tcBorders>
              <w:top w:val="nil"/>
              <w:left w:val="nil"/>
              <w:bottom w:val="single" w:sz="4" w:space="0" w:color="auto"/>
              <w:right w:val="single" w:sz="4" w:space="0" w:color="auto"/>
            </w:tcBorders>
            <w:shd w:val="clear" w:color="auto" w:fill="auto"/>
            <w:noWrap/>
            <w:vAlign w:val="center"/>
            <w:hideMark/>
          </w:tcPr>
          <w:p w14:paraId="318606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86143824</w:t>
            </w:r>
          </w:p>
        </w:tc>
        <w:tc>
          <w:tcPr>
            <w:tcW w:w="160" w:type="dxa"/>
            <w:tcBorders>
              <w:top w:val="nil"/>
              <w:left w:val="nil"/>
              <w:bottom w:val="single" w:sz="4" w:space="0" w:color="auto"/>
              <w:right w:val="nil"/>
            </w:tcBorders>
            <w:vAlign w:val="center"/>
          </w:tcPr>
          <w:p w14:paraId="7DC6F1D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3804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JESENICE</w:t>
            </w:r>
          </w:p>
        </w:tc>
      </w:tr>
      <w:tr w:rsidR="00072A69" w:rsidRPr="00DC6DF9" w14:paraId="46A0C4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7D24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1636</w:t>
            </w:r>
          </w:p>
        </w:tc>
        <w:tc>
          <w:tcPr>
            <w:tcW w:w="1036" w:type="dxa"/>
            <w:tcBorders>
              <w:top w:val="nil"/>
              <w:left w:val="nil"/>
              <w:bottom w:val="single" w:sz="4" w:space="0" w:color="auto"/>
              <w:right w:val="single" w:sz="4" w:space="0" w:color="auto"/>
            </w:tcBorders>
            <w:shd w:val="clear" w:color="auto" w:fill="auto"/>
            <w:noWrap/>
            <w:vAlign w:val="center"/>
            <w:hideMark/>
          </w:tcPr>
          <w:p w14:paraId="67EB2D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1122517000</w:t>
            </w:r>
          </w:p>
        </w:tc>
        <w:tc>
          <w:tcPr>
            <w:tcW w:w="1036" w:type="dxa"/>
            <w:tcBorders>
              <w:top w:val="nil"/>
              <w:left w:val="nil"/>
              <w:bottom w:val="single" w:sz="4" w:space="0" w:color="auto"/>
              <w:right w:val="single" w:sz="4" w:space="0" w:color="auto"/>
            </w:tcBorders>
            <w:shd w:val="clear" w:color="auto" w:fill="auto"/>
            <w:noWrap/>
            <w:vAlign w:val="center"/>
            <w:hideMark/>
          </w:tcPr>
          <w:p w14:paraId="444556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30946034</w:t>
            </w:r>
          </w:p>
        </w:tc>
        <w:tc>
          <w:tcPr>
            <w:tcW w:w="160" w:type="dxa"/>
            <w:tcBorders>
              <w:top w:val="nil"/>
              <w:left w:val="nil"/>
              <w:bottom w:val="single" w:sz="4" w:space="0" w:color="auto"/>
              <w:right w:val="nil"/>
            </w:tcBorders>
            <w:vAlign w:val="center"/>
          </w:tcPr>
          <w:p w14:paraId="33251B6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989B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MURSKA SOBOTA</w:t>
            </w:r>
          </w:p>
        </w:tc>
      </w:tr>
      <w:tr w:rsidR="00072A69" w:rsidRPr="00DC6DF9" w14:paraId="23563C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98B0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1637</w:t>
            </w:r>
          </w:p>
        </w:tc>
        <w:tc>
          <w:tcPr>
            <w:tcW w:w="1036" w:type="dxa"/>
            <w:tcBorders>
              <w:top w:val="nil"/>
              <w:left w:val="nil"/>
              <w:bottom w:val="single" w:sz="4" w:space="0" w:color="auto"/>
              <w:right w:val="single" w:sz="4" w:space="0" w:color="auto"/>
            </w:tcBorders>
            <w:shd w:val="clear" w:color="auto" w:fill="auto"/>
            <w:noWrap/>
            <w:vAlign w:val="center"/>
            <w:hideMark/>
          </w:tcPr>
          <w:p w14:paraId="1CAC34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5054621000</w:t>
            </w:r>
          </w:p>
        </w:tc>
        <w:tc>
          <w:tcPr>
            <w:tcW w:w="1036" w:type="dxa"/>
            <w:tcBorders>
              <w:top w:val="nil"/>
              <w:left w:val="nil"/>
              <w:bottom w:val="single" w:sz="4" w:space="0" w:color="auto"/>
              <w:right w:val="single" w:sz="4" w:space="0" w:color="auto"/>
            </w:tcBorders>
            <w:shd w:val="clear" w:color="auto" w:fill="auto"/>
            <w:noWrap/>
            <w:vAlign w:val="center"/>
            <w:hideMark/>
          </w:tcPr>
          <w:p w14:paraId="155F22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82657106</w:t>
            </w:r>
          </w:p>
        </w:tc>
        <w:tc>
          <w:tcPr>
            <w:tcW w:w="160" w:type="dxa"/>
            <w:tcBorders>
              <w:top w:val="nil"/>
              <w:left w:val="nil"/>
              <w:bottom w:val="single" w:sz="4" w:space="0" w:color="auto"/>
              <w:right w:val="nil"/>
            </w:tcBorders>
            <w:vAlign w:val="center"/>
          </w:tcPr>
          <w:p w14:paraId="7DAA09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3806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NOVO MESTO</w:t>
            </w:r>
          </w:p>
        </w:tc>
      </w:tr>
      <w:tr w:rsidR="00072A69" w:rsidRPr="00DC6DF9" w14:paraId="1CF858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5D7D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1638</w:t>
            </w:r>
          </w:p>
        </w:tc>
        <w:tc>
          <w:tcPr>
            <w:tcW w:w="1036" w:type="dxa"/>
            <w:tcBorders>
              <w:top w:val="nil"/>
              <w:left w:val="nil"/>
              <w:bottom w:val="single" w:sz="4" w:space="0" w:color="auto"/>
              <w:right w:val="single" w:sz="4" w:space="0" w:color="auto"/>
            </w:tcBorders>
            <w:shd w:val="clear" w:color="auto" w:fill="auto"/>
            <w:noWrap/>
            <w:vAlign w:val="center"/>
            <w:hideMark/>
          </w:tcPr>
          <w:p w14:paraId="23A3C1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5054958000</w:t>
            </w:r>
          </w:p>
        </w:tc>
        <w:tc>
          <w:tcPr>
            <w:tcW w:w="1036" w:type="dxa"/>
            <w:tcBorders>
              <w:top w:val="nil"/>
              <w:left w:val="nil"/>
              <w:bottom w:val="single" w:sz="4" w:space="0" w:color="auto"/>
              <w:right w:val="single" w:sz="4" w:space="0" w:color="auto"/>
            </w:tcBorders>
            <w:shd w:val="clear" w:color="auto" w:fill="auto"/>
            <w:noWrap/>
            <w:vAlign w:val="center"/>
            <w:hideMark/>
          </w:tcPr>
          <w:p w14:paraId="5C4277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34697390</w:t>
            </w:r>
          </w:p>
        </w:tc>
        <w:tc>
          <w:tcPr>
            <w:tcW w:w="160" w:type="dxa"/>
            <w:tcBorders>
              <w:top w:val="nil"/>
              <w:left w:val="nil"/>
              <w:bottom w:val="single" w:sz="4" w:space="0" w:color="auto"/>
              <w:right w:val="nil"/>
            </w:tcBorders>
            <w:vAlign w:val="center"/>
          </w:tcPr>
          <w:p w14:paraId="7CFAF7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011E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SLOVENJ GRADEC</w:t>
            </w:r>
          </w:p>
        </w:tc>
      </w:tr>
      <w:tr w:rsidR="00072A69" w:rsidRPr="00DC6DF9" w14:paraId="2C1B52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7241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1639</w:t>
            </w:r>
          </w:p>
        </w:tc>
        <w:tc>
          <w:tcPr>
            <w:tcW w:w="1036" w:type="dxa"/>
            <w:tcBorders>
              <w:top w:val="nil"/>
              <w:left w:val="nil"/>
              <w:bottom w:val="single" w:sz="4" w:space="0" w:color="auto"/>
              <w:right w:val="single" w:sz="4" w:space="0" w:color="auto"/>
            </w:tcBorders>
            <w:shd w:val="clear" w:color="auto" w:fill="auto"/>
            <w:noWrap/>
            <w:vAlign w:val="center"/>
            <w:hideMark/>
          </w:tcPr>
          <w:p w14:paraId="003489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5055121000</w:t>
            </w:r>
          </w:p>
        </w:tc>
        <w:tc>
          <w:tcPr>
            <w:tcW w:w="1036" w:type="dxa"/>
            <w:tcBorders>
              <w:top w:val="nil"/>
              <w:left w:val="nil"/>
              <w:bottom w:val="single" w:sz="4" w:space="0" w:color="auto"/>
              <w:right w:val="single" w:sz="4" w:space="0" w:color="auto"/>
            </w:tcBorders>
            <w:shd w:val="clear" w:color="auto" w:fill="auto"/>
            <w:noWrap/>
            <w:vAlign w:val="center"/>
            <w:hideMark/>
          </w:tcPr>
          <w:p w14:paraId="7A7D48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99756650</w:t>
            </w:r>
          </w:p>
        </w:tc>
        <w:tc>
          <w:tcPr>
            <w:tcW w:w="160" w:type="dxa"/>
            <w:tcBorders>
              <w:top w:val="nil"/>
              <w:left w:val="nil"/>
              <w:bottom w:val="single" w:sz="4" w:space="0" w:color="auto"/>
              <w:right w:val="nil"/>
            </w:tcBorders>
            <w:vAlign w:val="center"/>
          </w:tcPr>
          <w:p w14:paraId="334B63E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436F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BOLNIŠNICA TRBOVLJE</w:t>
            </w:r>
          </w:p>
        </w:tc>
      </w:tr>
      <w:tr w:rsidR="00072A69" w:rsidRPr="00DC6DF9" w14:paraId="3A72DB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3DE5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1640</w:t>
            </w:r>
          </w:p>
        </w:tc>
        <w:tc>
          <w:tcPr>
            <w:tcW w:w="1036" w:type="dxa"/>
            <w:tcBorders>
              <w:top w:val="nil"/>
              <w:left w:val="nil"/>
              <w:bottom w:val="single" w:sz="4" w:space="0" w:color="auto"/>
              <w:right w:val="single" w:sz="4" w:space="0" w:color="auto"/>
            </w:tcBorders>
            <w:shd w:val="clear" w:color="auto" w:fill="auto"/>
            <w:noWrap/>
            <w:vAlign w:val="center"/>
            <w:hideMark/>
          </w:tcPr>
          <w:p w14:paraId="749DE2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5052432000</w:t>
            </w:r>
          </w:p>
        </w:tc>
        <w:tc>
          <w:tcPr>
            <w:tcW w:w="1036" w:type="dxa"/>
            <w:tcBorders>
              <w:top w:val="nil"/>
              <w:left w:val="nil"/>
              <w:bottom w:val="single" w:sz="4" w:space="0" w:color="auto"/>
              <w:right w:val="single" w:sz="4" w:space="0" w:color="auto"/>
            </w:tcBorders>
            <w:shd w:val="clear" w:color="auto" w:fill="auto"/>
            <w:noWrap/>
            <w:vAlign w:val="center"/>
            <w:hideMark/>
          </w:tcPr>
          <w:p w14:paraId="68115E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14865483</w:t>
            </w:r>
          </w:p>
        </w:tc>
        <w:tc>
          <w:tcPr>
            <w:tcW w:w="160" w:type="dxa"/>
            <w:tcBorders>
              <w:top w:val="nil"/>
              <w:left w:val="nil"/>
              <w:bottom w:val="single" w:sz="4" w:space="0" w:color="auto"/>
              <w:right w:val="nil"/>
            </w:tcBorders>
            <w:vAlign w:val="center"/>
          </w:tcPr>
          <w:p w14:paraId="7D5ACB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37CA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SPLOŠNA KNJIŽNICA LJUTOMER</w:t>
            </w:r>
          </w:p>
        </w:tc>
      </w:tr>
      <w:tr w:rsidR="00072A69" w:rsidRPr="00DC6DF9" w14:paraId="2FC21E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4D09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1641</w:t>
            </w:r>
          </w:p>
        </w:tc>
        <w:tc>
          <w:tcPr>
            <w:tcW w:w="1036" w:type="dxa"/>
            <w:tcBorders>
              <w:top w:val="nil"/>
              <w:left w:val="nil"/>
              <w:bottom w:val="single" w:sz="4" w:space="0" w:color="auto"/>
              <w:right w:val="single" w:sz="4" w:space="0" w:color="auto"/>
            </w:tcBorders>
            <w:shd w:val="clear" w:color="auto" w:fill="auto"/>
            <w:noWrap/>
            <w:vAlign w:val="center"/>
            <w:hideMark/>
          </w:tcPr>
          <w:p w14:paraId="1D67F5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5085527000</w:t>
            </w:r>
          </w:p>
        </w:tc>
        <w:tc>
          <w:tcPr>
            <w:tcW w:w="1036" w:type="dxa"/>
            <w:tcBorders>
              <w:top w:val="nil"/>
              <w:left w:val="nil"/>
              <w:bottom w:val="single" w:sz="4" w:space="0" w:color="auto"/>
              <w:right w:val="single" w:sz="4" w:space="0" w:color="auto"/>
            </w:tcBorders>
            <w:shd w:val="clear" w:color="auto" w:fill="auto"/>
            <w:noWrap/>
            <w:vAlign w:val="center"/>
            <w:hideMark/>
          </w:tcPr>
          <w:p w14:paraId="3842EE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39643735</w:t>
            </w:r>
          </w:p>
        </w:tc>
        <w:tc>
          <w:tcPr>
            <w:tcW w:w="160" w:type="dxa"/>
            <w:tcBorders>
              <w:top w:val="nil"/>
              <w:left w:val="nil"/>
              <w:bottom w:val="single" w:sz="4" w:space="0" w:color="auto"/>
              <w:right w:val="nil"/>
            </w:tcBorders>
            <w:vAlign w:val="center"/>
          </w:tcPr>
          <w:p w14:paraId="7AC074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5298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EKONOMSKA ŠOLA IN GIMNAZIJA MARIBOR</w:t>
            </w:r>
          </w:p>
        </w:tc>
      </w:tr>
      <w:tr w:rsidR="00072A69" w:rsidRPr="00DC6DF9" w14:paraId="4CC3C5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117E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1642</w:t>
            </w:r>
          </w:p>
        </w:tc>
        <w:tc>
          <w:tcPr>
            <w:tcW w:w="1036" w:type="dxa"/>
            <w:tcBorders>
              <w:top w:val="nil"/>
              <w:left w:val="nil"/>
              <w:bottom w:val="single" w:sz="4" w:space="0" w:color="auto"/>
              <w:right w:val="single" w:sz="4" w:space="0" w:color="auto"/>
            </w:tcBorders>
            <w:shd w:val="clear" w:color="auto" w:fill="auto"/>
            <w:noWrap/>
            <w:vAlign w:val="center"/>
            <w:hideMark/>
          </w:tcPr>
          <w:p w14:paraId="4B2E47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5084199000</w:t>
            </w:r>
          </w:p>
        </w:tc>
        <w:tc>
          <w:tcPr>
            <w:tcW w:w="1036" w:type="dxa"/>
            <w:tcBorders>
              <w:top w:val="nil"/>
              <w:left w:val="nil"/>
              <w:bottom w:val="single" w:sz="4" w:space="0" w:color="auto"/>
              <w:right w:val="single" w:sz="4" w:space="0" w:color="auto"/>
            </w:tcBorders>
            <w:shd w:val="clear" w:color="auto" w:fill="auto"/>
            <w:noWrap/>
            <w:vAlign w:val="center"/>
            <w:hideMark/>
          </w:tcPr>
          <w:p w14:paraId="4972DA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43787991</w:t>
            </w:r>
          </w:p>
        </w:tc>
        <w:tc>
          <w:tcPr>
            <w:tcW w:w="160" w:type="dxa"/>
            <w:tcBorders>
              <w:top w:val="nil"/>
              <w:left w:val="nil"/>
              <w:bottom w:val="single" w:sz="4" w:space="0" w:color="auto"/>
              <w:right w:val="nil"/>
            </w:tcBorders>
            <w:vAlign w:val="center"/>
          </w:tcPr>
          <w:p w14:paraId="562E6B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D3AD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EKONOMSKA ŠOLA LJUBLJANA</w:t>
            </w:r>
          </w:p>
        </w:tc>
      </w:tr>
      <w:tr w:rsidR="00072A69" w:rsidRPr="00DC6DF9" w14:paraId="65E9FC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87EA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1643</w:t>
            </w:r>
          </w:p>
        </w:tc>
        <w:tc>
          <w:tcPr>
            <w:tcW w:w="1036" w:type="dxa"/>
            <w:tcBorders>
              <w:top w:val="nil"/>
              <w:left w:val="nil"/>
              <w:bottom w:val="single" w:sz="4" w:space="0" w:color="auto"/>
              <w:right w:val="single" w:sz="4" w:space="0" w:color="auto"/>
            </w:tcBorders>
            <w:shd w:val="clear" w:color="auto" w:fill="auto"/>
            <w:noWrap/>
            <w:vAlign w:val="center"/>
            <w:hideMark/>
          </w:tcPr>
          <w:p w14:paraId="322E48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5088712000</w:t>
            </w:r>
          </w:p>
        </w:tc>
        <w:tc>
          <w:tcPr>
            <w:tcW w:w="1036" w:type="dxa"/>
            <w:tcBorders>
              <w:top w:val="nil"/>
              <w:left w:val="nil"/>
              <w:bottom w:val="single" w:sz="4" w:space="0" w:color="auto"/>
              <w:right w:val="single" w:sz="4" w:space="0" w:color="auto"/>
            </w:tcBorders>
            <w:shd w:val="clear" w:color="auto" w:fill="auto"/>
            <w:noWrap/>
            <w:vAlign w:val="center"/>
            <w:hideMark/>
          </w:tcPr>
          <w:p w14:paraId="349CBC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26806088</w:t>
            </w:r>
          </w:p>
        </w:tc>
        <w:tc>
          <w:tcPr>
            <w:tcW w:w="160" w:type="dxa"/>
            <w:tcBorders>
              <w:top w:val="nil"/>
              <w:left w:val="nil"/>
              <w:bottom w:val="single" w:sz="4" w:space="0" w:color="auto"/>
              <w:right w:val="nil"/>
            </w:tcBorders>
            <w:vAlign w:val="center"/>
          </w:tcPr>
          <w:p w14:paraId="7BE961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4C6C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EKONOMSKO - POSLOVNA ŠOLA KOPER</w:t>
            </w:r>
          </w:p>
        </w:tc>
      </w:tr>
      <w:tr w:rsidR="00072A69" w:rsidRPr="00DC6DF9" w14:paraId="31D1C0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86C5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1644</w:t>
            </w:r>
          </w:p>
        </w:tc>
        <w:tc>
          <w:tcPr>
            <w:tcW w:w="1036" w:type="dxa"/>
            <w:tcBorders>
              <w:top w:val="nil"/>
              <w:left w:val="nil"/>
              <w:bottom w:val="single" w:sz="4" w:space="0" w:color="auto"/>
              <w:right w:val="single" w:sz="4" w:space="0" w:color="auto"/>
            </w:tcBorders>
            <w:shd w:val="clear" w:color="auto" w:fill="auto"/>
            <w:noWrap/>
            <w:vAlign w:val="center"/>
            <w:hideMark/>
          </w:tcPr>
          <w:p w14:paraId="39485E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6430856000</w:t>
            </w:r>
          </w:p>
        </w:tc>
        <w:tc>
          <w:tcPr>
            <w:tcW w:w="1036" w:type="dxa"/>
            <w:tcBorders>
              <w:top w:val="nil"/>
              <w:left w:val="nil"/>
              <w:bottom w:val="single" w:sz="4" w:space="0" w:color="auto"/>
              <w:right w:val="single" w:sz="4" w:space="0" w:color="auto"/>
            </w:tcBorders>
            <w:shd w:val="clear" w:color="auto" w:fill="auto"/>
            <w:noWrap/>
            <w:vAlign w:val="center"/>
            <w:hideMark/>
          </w:tcPr>
          <w:p w14:paraId="28639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58751009</w:t>
            </w:r>
          </w:p>
        </w:tc>
        <w:tc>
          <w:tcPr>
            <w:tcW w:w="160" w:type="dxa"/>
            <w:tcBorders>
              <w:top w:val="nil"/>
              <w:left w:val="nil"/>
              <w:bottom w:val="single" w:sz="4" w:space="0" w:color="auto"/>
              <w:right w:val="nil"/>
            </w:tcBorders>
            <w:vAlign w:val="center"/>
          </w:tcPr>
          <w:p w14:paraId="0EE4A4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746E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ELEKTRO-RAČUNALNIŠKA ŠOLA MARIBOR</w:t>
            </w:r>
          </w:p>
        </w:tc>
      </w:tr>
      <w:tr w:rsidR="00072A69" w:rsidRPr="00DC6DF9" w14:paraId="5E33ED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DFBA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1645</w:t>
            </w:r>
          </w:p>
        </w:tc>
        <w:tc>
          <w:tcPr>
            <w:tcW w:w="1036" w:type="dxa"/>
            <w:tcBorders>
              <w:top w:val="nil"/>
              <w:left w:val="nil"/>
              <w:bottom w:val="single" w:sz="4" w:space="0" w:color="auto"/>
              <w:right w:val="single" w:sz="4" w:space="0" w:color="auto"/>
            </w:tcBorders>
            <w:shd w:val="clear" w:color="auto" w:fill="auto"/>
            <w:noWrap/>
            <w:vAlign w:val="center"/>
            <w:hideMark/>
          </w:tcPr>
          <w:p w14:paraId="5FF3EB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5921678000</w:t>
            </w:r>
          </w:p>
        </w:tc>
        <w:tc>
          <w:tcPr>
            <w:tcW w:w="1036" w:type="dxa"/>
            <w:tcBorders>
              <w:top w:val="nil"/>
              <w:left w:val="nil"/>
              <w:bottom w:val="single" w:sz="4" w:space="0" w:color="auto"/>
              <w:right w:val="single" w:sz="4" w:space="0" w:color="auto"/>
            </w:tcBorders>
            <w:shd w:val="clear" w:color="auto" w:fill="auto"/>
            <w:vAlign w:val="center"/>
            <w:hideMark/>
          </w:tcPr>
          <w:p w14:paraId="2BA684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29929610</w:t>
            </w:r>
          </w:p>
        </w:tc>
        <w:tc>
          <w:tcPr>
            <w:tcW w:w="160" w:type="dxa"/>
            <w:tcBorders>
              <w:top w:val="nil"/>
              <w:left w:val="nil"/>
              <w:bottom w:val="single" w:sz="4" w:space="0" w:color="auto"/>
              <w:right w:val="nil"/>
            </w:tcBorders>
            <w:vAlign w:val="center"/>
          </w:tcPr>
          <w:p w14:paraId="2E3BC4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45FB8B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GOSTINSKA IN TURISTIČNA ŠOLA RADOVLJICA</w:t>
            </w:r>
          </w:p>
        </w:tc>
      </w:tr>
      <w:tr w:rsidR="00072A69" w:rsidRPr="00DC6DF9" w14:paraId="38537E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3677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1646</w:t>
            </w:r>
          </w:p>
        </w:tc>
        <w:tc>
          <w:tcPr>
            <w:tcW w:w="1036" w:type="dxa"/>
            <w:tcBorders>
              <w:top w:val="nil"/>
              <w:left w:val="nil"/>
              <w:bottom w:val="single" w:sz="4" w:space="0" w:color="auto"/>
              <w:right w:val="single" w:sz="4" w:space="0" w:color="auto"/>
            </w:tcBorders>
            <w:shd w:val="clear" w:color="auto" w:fill="auto"/>
            <w:noWrap/>
            <w:vAlign w:val="center"/>
            <w:hideMark/>
          </w:tcPr>
          <w:p w14:paraId="099D46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5089808000</w:t>
            </w:r>
          </w:p>
        </w:tc>
        <w:tc>
          <w:tcPr>
            <w:tcW w:w="1036" w:type="dxa"/>
            <w:tcBorders>
              <w:top w:val="nil"/>
              <w:left w:val="nil"/>
              <w:bottom w:val="single" w:sz="4" w:space="0" w:color="auto"/>
              <w:right w:val="single" w:sz="4" w:space="0" w:color="auto"/>
            </w:tcBorders>
            <w:shd w:val="clear" w:color="auto" w:fill="auto"/>
            <w:noWrap/>
            <w:vAlign w:val="center"/>
            <w:hideMark/>
          </w:tcPr>
          <w:p w14:paraId="71AE89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55477232</w:t>
            </w:r>
          </w:p>
        </w:tc>
        <w:tc>
          <w:tcPr>
            <w:tcW w:w="160" w:type="dxa"/>
            <w:tcBorders>
              <w:top w:val="nil"/>
              <w:left w:val="nil"/>
              <w:bottom w:val="single" w:sz="4" w:space="0" w:color="auto"/>
              <w:right w:val="nil"/>
            </w:tcBorders>
            <w:vAlign w:val="center"/>
          </w:tcPr>
          <w:p w14:paraId="4FED88A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A08D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GOZDARSKA IN LESARSKA ŠOLA POSTOJNA</w:t>
            </w:r>
          </w:p>
        </w:tc>
      </w:tr>
      <w:tr w:rsidR="00072A69" w:rsidRPr="00DC6DF9" w14:paraId="628CFB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2658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1647</w:t>
            </w:r>
          </w:p>
        </w:tc>
        <w:tc>
          <w:tcPr>
            <w:tcW w:w="1036" w:type="dxa"/>
            <w:tcBorders>
              <w:top w:val="nil"/>
              <w:left w:val="nil"/>
              <w:bottom w:val="single" w:sz="4" w:space="0" w:color="auto"/>
              <w:right w:val="single" w:sz="4" w:space="0" w:color="auto"/>
            </w:tcBorders>
            <w:shd w:val="clear" w:color="auto" w:fill="auto"/>
            <w:noWrap/>
            <w:vAlign w:val="center"/>
            <w:hideMark/>
          </w:tcPr>
          <w:p w14:paraId="38292F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5084130000</w:t>
            </w:r>
          </w:p>
        </w:tc>
        <w:tc>
          <w:tcPr>
            <w:tcW w:w="1036" w:type="dxa"/>
            <w:tcBorders>
              <w:top w:val="nil"/>
              <w:left w:val="nil"/>
              <w:bottom w:val="single" w:sz="4" w:space="0" w:color="auto"/>
              <w:right w:val="single" w:sz="4" w:space="0" w:color="auto"/>
            </w:tcBorders>
            <w:shd w:val="clear" w:color="auto" w:fill="auto"/>
            <w:noWrap/>
            <w:vAlign w:val="center"/>
            <w:hideMark/>
          </w:tcPr>
          <w:p w14:paraId="1F1E6C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54108411</w:t>
            </w:r>
          </w:p>
        </w:tc>
        <w:tc>
          <w:tcPr>
            <w:tcW w:w="160" w:type="dxa"/>
            <w:tcBorders>
              <w:top w:val="nil"/>
              <w:left w:val="nil"/>
              <w:bottom w:val="single" w:sz="4" w:space="0" w:color="auto"/>
              <w:right w:val="nil"/>
            </w:tcBorders>
            <w:vAlign w:val="center"/>
          </w:tcPr>
          <w:p w14:paraId="6D41F3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2D4A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GRADBENA, GEODETSKA IN OKOLJEVARSTVENA ŠOLA LJUBLJANA</w:t>
            </w:r>
          </w:p>
        </w:tc>
      </w:tr>
      <w:tr w:rsidR="00072A69" w:rsidRPr="00DC6DF9" w14:paraId="4B730F6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A12C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1648</w:t>
            </w:r>
          </w:p>
        </w:tc>
        <w:tc>
          <w:tcPr>
            <w:tcW w:w="1036" w:type="dxa"/>
            <w:tcBorders>
              <w:top w:val="nil"/>
              <w:left w:val="nil"/>
              <w:bottom w:val="single" w:sz="4" w:space="0" w:color="auto"/>
              <w:right w:val="single" w:sz="4" w:space="0" w:color="auto"/>
            </w:tcBorders>
            <w:shd w:val="clear" w:color="auto" w:fill="auto"/>
            <w:noWrap/>
            <w:vAlign w:val="center"/>
            <w:hideMark/>
          </w:tcPr>
          <w:p w14:paraId="2342F9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5086671000</w:t>
            </w:r>
          </w:p>
        </w:tc>
        <w:tc>
          <w:tcPr>
            <w:tcW w:w="1036" w:type="dxa"/>
            <w:tcBorders>
              <w:top w:val="nil"/>
              <w:left w:val="nil"/>
              <w:bottom w:val="single" w:sz="4" w:space="0" w:color="auto"/>
              <w:right w:val="single" w:sz="4" w:space="0" w:color="auto"/>
            </w:tcBorders>
            <w:shd w:val="clear" w:color="auto" w:fill="auto"/>
            <w:noWrap/>
            <w:vAlign w:val="center"/>
            <w:hideMark/>
          </w:tcPr>
          <w:p w14:paraId="5B6B37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77459849</w:t>
            </w:r>
          </w:p>
        </w:tc>
        <w:tc>
          <w:tcPr>
            <w:tcW w:w="160" w:type="dxa"/>
            <w:tcBorders>
              <w:top w:val="nil"/>
              <w:left w:val="nil"/>
              <w:bottom w:val="single" w:sz="4" w:space="0" w:color="auto"/>
              <w:right w:val="nil"/>
            </w:tcBorders>
            <w:vAlign w:val="center"/>
          </w:tcPr>
          <w:p w14:paraId="3B4FA2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0B8E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MEDIJSKA IN GRAFIČNA ŠOLA LJUBLJANA</w:t>
            </w:r>
          </w:p>
        </w:tc>
      </w:tr>
      <w:tr w:rsidR="00072A69" w:rsidRPr="00DC6DF9" w14:paraId="70F181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2247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1649</w:t>
            </w:r>
          </w:p>
        </w:tc>
        <w:tc>
          <w:tcPr>
            <w:tcW w:w="1036" w:type="dxa"/>
            <w:tcBorders>
              <w:top w:val="nil"/>
              <w:left w:val="nil"/>
              <w:bottom w:val="single" w:sz="4" w:space="0" w:color="auto"/>
              <w:right w:val="single" w:sz="4" w:space="0" w:color="auto"/>
            </w:tcBorders>
            <w:shd w:val="clear" w:color="auto" w:fill="auto"/>
            <w:noWrap/>
            <w:vAlign w:val="center"/>
            <w:hideMark/>
          </w:tcPr>
          <w:p w14:paraId="762FCA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5508550000</w:t>
            </w:r>
          </w:p>
        </w:tc>
        <w:tc>
          <w:tcPr>
            <w:tcW w:w="1036" w:type="dxa"/>
            <w:tcBorders>
              <w:top w:val="nil"/>
              <w:left w:val="nil"/>
              <w:bottom w:val="single" w:sz="4" w:space="0" w:color="auto"/>
              <w:right w:val="single" w:sz="4" w:space="0" w:color="auto"/>
            </w:tcBorders>
            <w:shd w:val="clear" w:color="auto" w:fill="auto"/>
            <w:noWrap/>
            <w:vAlign w:val="center"/>
            <w:hideMark/>
          </w:tcPr>
          <w:p w14:paraId="227320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54021839</w:t>
            </w:r>
          </w:p>
        </w:tc>
        <w:tc>
          <w:tcPr>
            <w:tcW w:w="160" w:type="dxa"/>
            <w:tcBorders>
              <w:top w:val="nil"/>
              <w:left w:val="nil"/>
              <w:bottom w:val="single" w:sz="4" w:space="0" w:color="auto"/>
              <w:right w:val="nil"/>
            </w:tcBorders>
            <w:vAlign w:val="center"/>
          </w:tcPr>
          <w:p w14:paraId="35AE3E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97C1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POKLICNA IN TEHNIŠKA ŠOLA MURSKA SOBOTA</w:t>
            </w:r>
          </w:p>
        </w:tc>
      </w:tr>
      <w:tr w:rsidR="00072A69" w:rsidRPr="00DC6DF9" w14:paraId="020822C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F66B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1650</w:t>
            </w:r>
          </w:p>
        </w:tc>
        <w:tc>
          <w:tcPr>
            <w:tcW w:w="1036" w:type="dxa"/>
            <w:tcBorders>
              <w:top w:val="nil"/>
              <w:left w:val="nil"/>
              <w:bottom w:val="single" w:sz="4" w:space="0" w:color="auto"/>
              <w:right w:val="single" w:sz="4" w:space="0" w:color="auto"/>
            </w:tcBorders>
            <w:shd w:val="clear" w:color="auto" w:fill="auto"/>
            <w:noWrap/>
            <w:vAlign w:val="center"/>
            <w:hideMark/>
          </w:tcPr>
          <w:p w14:paraId="377D5B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5085934000</w:t>
            </w:r>
          </w:p>
        </w:tc>
        <w:tc>
          <w:tcPr>
            <w:tcW w:w="1036" w:type="dxa"/>
            <w:tcBorders>
              <w:top w:val="nil"/>
              <w:left w:val="nil"/>
              <w:bottom w:val="single" w:sz="4" w:space="0" w:color="auto"/>
              <w:right w:val="single" w:sz="4" w:space="0" w:color="auto"/>
            </w:tcBorders>
            <w:shd w:val="clear" w:color="auto" w:fill="auto"/>
            <w:noWrap/>
            <w:vAlign w:val="center"/>
            <w:hideMark/>
          </w:tcPr>
          <w:p w14:paraId="5F2B40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72429968</w:t>
            </w:r>
          </w:p>
        </w:tc>
        <w:tc>
          <w:tcPr>
            <w:tcW w:w="160" w:type="dxa"/>
            <w:tcBorders>
              <w:top w:val="nil"/>
              <w:left w:val="nil"/>
              <w:bottom w:val="single" w:sz="4" w:space="0" w:color="auto"/>
              <w:right w:val="nil"/>
            </w:tcBorders>
            <w:vAlign w:val="center"/>
          </w:tcPr>
          <w:p w14:paraId="195429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BCCC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ČRNOMELJ</w:t>
            </w:r>
          </w:p>
        </w:tc>
      </w:tr>
      <w:tr w:rsidR="00072A69" w:rsidRPr="00DC6DF9" w14:paraId="2CF1A0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2A8F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1651</w:t>
            </w:r>
          </w:p>
        </w:tc>
        <w:tc>
          <w:tcPr>
            <w:tcW w:w="1036" w:type="dxa"/>
            <w:tcBorders>
              <w:top w:val="nil"/>
              <w:left w:val="nil"/>
              <w:bottom w:val="single" w:sz="4" w:space="0" w:color="auto"/>
              <w:right w:val="single" w:sz="4" w:space="0" w:color="auto"/>
            </w:tcBorders>
            <w:shd w:val="clear" w:color="auto" w:fill="auto"/>
            <w:noWrap/>
            <w:vAlign w:val="center"/>
            <w:hideMark/>
          </w:tcPr>
          <w:p w14:paraId="34CDE4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5084750000</w:t>
            </w:r>
          </w:p>
        </w:tc>
        <w:tc>
          <w:tcPr>
            <w:tcW w:w="1036" w:type="dxa"/>
            <w:tcBorders>
              <w:top w:val="nil"/>
              <w:left w:val="nil"/>
              <w:bottom w:val="single" w:sz="4" w:space="0" w:color="auto"/>
              <w:right w:val="single" w:sz="4" w:space="0" w:color="auto"/>
            </w:tcBorders>
            <w:shd w:val="clear" w:color="auto" w:fill="auto"/>
            <w:noWrap/>
            <w:vAlign w:val="center"/>
            <w:hideMark/>
          </w:tcPr>
          <w:p w14:paraId="59D25B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28922026</w:t>
            </w:r>
          </w:p>
        </w:tc>
        <w:tc>
          <w:tcPr>
            <w:tcW w:w="160" w:type="dxa"/>
            <w:tcBorders>
              <w:top w:val="nil"/>
              <w:left w:val="nil"/>
              <w:bottom w:val="single" w:sz="4" w:space="0" w:color="auto"/>
              <w:right w:val="nil"/>
            </w:tcBorders>
            <w:vAlign w:val="center"/>
          </w:tcPr>
          <w:p w14:paraId="7616C5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9FF1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DOMŽALE</w:t>
            </w:r>
          </w:p>
        </w:tc>
      </w:tr>
      <w:tr w:rsidR="00072A69" w:rsidRPr="00DC6DF9" w14:paraId="661758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9BCD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1652</w:t>
            </w:r>
          </w:p>
        </w:tc>
        <w:tc>
          <w:tcPr>
            <w:tcW w:w="1036" w:type="dxa"/>
            <w:tcBorders>
              <w:top w:val="nil"/>
              <w:left w:val="nil"/>
              <w:bottom w:val="single" w:sz="4" w:space="0" w:color="auto"/>
              <w:right w:val="single" w:sz="4" w:space="0" w:color="auto"/>
            </w:tcBorders>
            <w:shd w:val="clear" w:color="auto" w:fill="auto"/>
            <w:noWrap/>
            <w:vAlign w:val="center"/>
            <w:hideMark/>
          </w:tcPr>
          <w:p w14:paraId="10219C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6285996000</w:t>
            </w:r>
          </w:p>
        </w:tc>
        <w:tc>
          <w:tcPr>
            <w:tcW w:w="1036" w:type="dxa"/>
            <w:tcBorders>
              <w:top w:val="nil"/>
              <w:left w:val="nil"/>
              <w:bottom w:val="single" w:sz="4" w:space="0" w:color="auto"/>
              <w:right w:val="single" w:sz="4" w:space="0" w:color="auto"/>
            </w:tcBorders>
            <w:shd w:val="clear" w:color="auto" w:fill="auto"/>
            <w:noWrap/>
            <w:vAlign w:val="center"/>
            <w:hideMark/>
          </w:tcPr>
          <w:p w14:paraId="7486A4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83800280</w:t>
            </w:r>
          </w:p>
        </w:tc>
        <w:tc>
          <w:tcPr>
            <w:tcW w:w="160" w:type="dxa"/>
            <w:tcBorders>
              <w:top w:val="nil"/>
              <w:left w:val="nil"/>
              <w:bottom w:val="single" w:sz="4" w:space="0" w:color="auto"/>
              <w:right w:val="nil"/>
            </w:tcBorders>
            <w:vAlign w:val="center"/>
          </w:tcPr>
          <w:p w14:paraId="6C53329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C7E7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IZOLA</w:t>
            </w:r>
          </w:p>
        </w:tc>
      </w:tr>
      <w:tr w:rsidR="00072A69" w:rsidRPr="00DC6DF9" w14:paraId="2EFF27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A3CA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1653</w:t>
            </w:r>
          </w:p>
        </w:tc>
        <w:tc>
          <w:tcPr>
            <w:tcW w:w="1036" w:type="dxa"/>
            <w:tcBorders>
              <w:top w:val="nil"/>
              <w:left w:val="nil"/>
              <w:bottom w:val="single" w:sz="4" w:space="0" w:color="auto"/>
              <w:right w:val="single" w:sz="4" w:space="0" w:color="auto"/>
            </w:tcBorders>
            <w:shd w:val="clear" w:color="auto" w:fill="auto"/>
            <w:noWrap/>
            <w:vAlign w:val="center"/>
            <w:hideMark/>
          </w:tcPr>
          <w:p w14:paraId="2E8A6D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5623685000</w:t>
            </w:r>
          </w:p>
        </w:tc>
        <w:tc>
          <w:tcPr>
            <w:tcW w:w="1036" w:type="dxa"/>
            <w:tcBorders>
              <w:top w:val="nil"/>
              <w:left w:val="nil"/>
              <w:bottom w:val="single" w:sz="4" w:space="0" w:color="auto"/>
              <w:right w:val="single" w:sz="4" w:space="0" w:color="auto"/>
            </w:tcBorders>
            <w:shd w:val="clear" w:color="auto" w:fill="auto"/>
            <w:noWrap/>
            <w:vAlign w:val="center"/>
            <w:hideMark/>
          </w:tcPr>
          <w:p w14:paraId="0FAAA8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11898852</w:t>
            </w:r>
          </w:p>
        </w:tc>
        <w:tc>
          <w:tcPr>
            <w:tcW w:w="160" w:type="dxa"/>
            <w:tcBorders>
              <w:top w:val="nil"/>
              <w:left w:val="nil"/>
              <w:bottom w:val="single" w:sz="4" w:space="0" w:color="auto"/>
              <w:right w:val="nil"/>
            </w:tcBorders>
            <w:vAlign w:val="center"/>
          </w:tcPr>
          <w:p w14:paraId="210960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D87B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JOSIPA JURČIČA IVANČNA GORICA</w:t>
            </w:r>
          </w:p>
        </w:tc>
      </w:tr>
      <w:tr w:rsidR="00072A69" w:rsidRPr="00DC6DF9" w14:paraId="6556CD0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AC22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1654</w:t>
            </w:r>
          </w:p>
        </w:tc>
        <w:tc>
          <w:tcPr>
            <w:tcW w:w="1036" w:type="dxa"/>
            <w:tcBorders>
              <w:top w:val="nil"/>
              <w:left w:val="nil"/>
              <w:bottom w:val="single" w:sz="4" w:space="0" w:color="auto"/>
              <w:right w:val="single" w:sz="4" w:space="0" w:color="auto"/>
            </w:tcBorders>
            <w:shd w:val="clear" w:color="auto" w:fill="auto"/>
            <w:noWrap/>
            <w:vAlign w:val="center"/>
            <w:hideMark/>
          </w:tcPr>
          <w:p w14:paraId="1FC167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5083893000</w:t>
            </w:r>
          </w:p>
        </w:tc>
        <w:tc>
          <w:tcPr>
            <w:tcW w:w="1036" w:type="dxa"/>
            <w:tcBorders>
              <w:top w:val="nil"/>
              <w:left w:val="nil"/>
              <w:bottom w:val="single" w:sz="4" w:space="0" w:color="auto"/>
              <w:right w:val="single" w:sz="4" w:space="0" w:color="auto"/>
            </w:tcBorders>
            <w:shd w:val="clear" w:color="auto" w:fill="auto"/>
            <w:noWrap/>
            <w:vAlign w:val="center"/>
            <w:hideMark/>
          </w:tcPr>
          <w:p w14:paraId="59A1DC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47081961</w:t>
            </w:r>
          </w:p>
        </w:tc>
        <w:tc>
          <w:tcPr>
            <w:tcW w:w="160" w:type="dxa"/>
            <w:tcBorders>
              <w:top w:val="nil"/>
              <w:left w:val="nil"/>
              <w:bottom w:val="single" w:sz="4" w:space="0" w:color="auto"/>
              <w:right w:val="nil"/>
            </w:tcBorders>
            <w:vAlign w:val="center"/>
          </w:tcPr>
          <w:p w14:paraId="319DE8C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F7AA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PIETRO COPPO IZOLA</w:t>
            </w:r>
          </w:p>
        </w:tc>
      </w:tr>
      <w:tr w:rsidR="00072A69" w:rsidRPr="00DC6DF9" w14:paraId="6C7C5F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0424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1655</w:t>
            </w:r>
          </w:p>
        </w:tc>
        <w:tc>
          <w:tcPr>
            <w:tcW w:w="1036" w:type="dxa"/>
            <w:tcBorders>
              <w:top w:val="nil"/>
              <w:left w:val="nil"/>
              <w:bottom w:val="single" w:sz="4" w:space="0" w:color="auto"/>
              <w:right w:val="single" w:sz="4" w:space="0" w:color="auto"/>
            </w:tcBorders>
            <w:shd w:val="clear" w:color="auto" w:fill="auto"/>
            <w:noWrap/>
            <w:vAlign w:val="center"/>
            <w:hideMark/>
          </w:tcPr>
          <w:p w14:paraId="1009E9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1429221000</w:t>
            </w:r>
          </w:p>
        </w:tc>
        <w:tc>
          <w:tcPr>
            <w:tcW w:w="1036" w:type="dxa"/>
            <w:tcBorders>
              <w:top w:val="nil"/>
              <w:left w:val="nil"/>
              <w:bottom w:val="single" w:sz="4" w:space="0" w:color="auto"/>
              <w:right w:val="single" w:sz="4" w:space="0" w:color="auto"/>
            </w:tcBorders>
            <w:shd w:val="clear" w:color="auto" w:fill="auto"/>
            <w:noWrap/>
            <w:vAlign w:val="center"/>
            <w:hideMark/>
          </w:tcPr>
          <w:p w14:paraId="674228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10927140</w:t>
            </w:r>
          </w:p>
        </w:tc>
        <w:tc>
          <w:tcPr>
            <w:tcW w:w="160" w:type="dxa"/>
            <w:tcBorders>
              <w:top w:val="nil"/>
              <w:left w:val="nil"/>
              <w:bottom w:val="single" w:sz="4" w:space="0" w:color="auto"/>
              <w:right w:val="nil"/>
            </w:tcBorders>
            <w:vAlign w:val="center"/>
          </w:tcPr>
          <w:p w14:paraId="70094A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766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SLOVENSKA BISTRICA</w:t>
            </w:r>
          </w:p>
        </w:tc>
      </w:tr>
      <w:tr w:rsidR="00072A69" w:rsidRPr="00DC6DF9" w14:paraId="49F07DF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7360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1656</w:t>
            </w:r>
          </w:p>
        </w:tc>
        <w:tc>
          <w:tcPr>
            <w:tcW w:w="1036" w:type="dxa"/>
            <w:tcBorders>
              <w:top w:val="nil"/>
              <w:left w:val="nil"/>
              <w:bottom w:val="single" w:sz="4" w:space="0" w:color="auto"/>
              <w:right w:val="single" w:sz="4" w:space="0" w:color="auto"/>
            </w:tcBorders>
            <w:shd w:val="clear" w:color="auto" w:fill="auto"/>
            <w:noWrap/>
            <w:vAlign w:val="center"/>
            <w:hideMark/>
          </w:tcPr>
          <w:p w14:paraId="373EC8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5631564000</w:t>
            </w:r>
          </w:p>
        </w:tc>
        <w:tc>
          <w:tcPr>
            <w:tcW w:w="1036" w:type="dxa"/>
            <w:tcBorders>
              <w:top w:val="nil"/>
              <w:left w:val="nil"/>
              <w:bottom w:val="single" w:sz="4" w:space="0" w:color="auto"/>
              <w:right w:val="single" w:sz="4" w:space="0" w:color="auto"/>
            </w:tcBorders>
            <w:shd w:val="clear" w:color="auto" w:fill="auto"/>
            <w:noWrap/>
            <w:vAlign w:val="center"/>
            <w:hideMark/>
          </w:tcPr>
          <w:p w14:paraId="7E9D56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57726612</w:t>
            </w:r>
          </w:p>
        </w:tc>
        <w:tc>
          <w:tcPr>
            <w:tcW w:w="160" w:type="dxa"/>
            <w:tcBorders>
              <w:top w:val="nil"/>
              <w:left w:val="nil"/>
              <w:bottom w:val="single" w:sz="4" w:space="0" w:color="auto"/>
              <w:right w:val="nil"/>
            </w:tcBorders>
            <w:vAlign w:val="center"/>
          </w:tcPr>
          <w:p w14:paraId="75169F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FA8C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TEHNIŠKIH STROK ŠIŠKA</w:t>
            </w:r>
          </w:p>
        </w:tc>
      </w:tr>
      <w:tr w:rsidR="00072A69" w:rsidRPr="00DC6DF9" w14:paraId="4415B3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1CF8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1657</w:t>
            </w:r>
          </w:p>
        </w:tc>
        <w:tc>
          <w:tcPr>
            <w:tcW w:w="1036" w:type="dxa"/>
            <w:tcBorders>
              <w:top w:val="nil"/>
              <w:left w:val="nil"/>
              <w:bottom w:val="single" w:sz="4" w:space="0" w:color="auto"/>
              <w:right w:val="single" w:sz="4" w:space="0" w:color="auto"/>
            </w:tcBorders>
            <w:shd w:val="clear" w:color="auto" w:fill="auto"/>
            <w:noWrap/>
            <w:vAlign w:val="center"/>
            <w:hideMark/>
          </w:tcPr>
          <w:p w14:paraId="347BA7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5084997000</w:t>
            </w:r>
          </w:p>
        </w:tc>
        <w:tc>
          <w:tcPr>
            <w:tcW w:w="1036" w:type="dxa"/>
            <w:tcBorders>
              <w:top w:val="nil"/>
              <w:left w:val="nil"/>
              <w:bottom w:val="single" w:sz="4" w:space="0" w:color="auto"/>
              <w:right w:val="single" w:sz="4" w:space="0" w:color="auto"/>
            </w:tcBorders>
            <w:shd w:val="clear" w:color="auto" w:fill="auto"/>
            <w:noWrap/>
            <w:vAlign w:val="center"/>
            <w:hideMark/>
          </w:tcPr>
          <w:p w14:paraId="06CA9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13997360</w:t>
            </w:r>
          </w:p>
        </w:tc>
        <w:tc>
          <w:tcPr>
            <w:tcW w:w="160" w:type="dxa"/>
            <w:tcBorders>
              <w:top w:val="nil"/>
              <w:left w:val="nil"/>
              <w:bottom w:val="single" w:sz="4" w:space="0" w:color="auto"/>
              <w:right w:val="nil"/>
            </w:tcBorders>
            <w:vAlign w:val="center"/>
          </w:tcPr>
          <w:p w14:paraId="2431D9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74BA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VENO PILON AJDOVŠČINA</w:t>
            </w:r>
          </w:p>
        </w:tc>
      </w:tr>
      <w:tr w:rsidR="00072A69" w:rsidRPr="00DC6DF9" w14:paraId="66EF629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92EB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1658</w:t>
            </w:r>
          </w:p>
        </w:tc>
        <w:tc>
          <w:tcPr>
            <w:tcW w:w="1036" w:type="dxa"/>
            <w:tcBorders>
              <w:top w:val="nil"/>
              <w:left w:val="nil"/>
              <w:bottom w:val="single" w:sz="4" w:space="0" w:color="auto"/>
              <w:right w:val="single" w:sz="4" w:space="0" w:color="auto"/>
            </w:tcBorders>
            <w:shd w:val="clear" w:color="auto" w:fill="auto"/>
            <w:noWrap/>
            <w:vAlign w:val="center"/>
            <w:hideMark/>
          </w:tcPr>
          <w:p w14:paraId="126F85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5084911000</w:t>
            </w:r>
          </w:p>
        </w:tc>
        <w:tc>
          <w:tcPr>
            <w:tcW w:w="1036" w:type="dxa"/>
            <w:tcBorders>
              <w:top w:val="nil"/>
              <w:left w:val="nil"/>
              <w:bottom w:val="single" w:sz="4" w:space="0" w:color="auto"/>
              <w:right w:val="single" w:sz="4" w:space="0" w:color="auto"/>
            </w:tcBorders>
            <w:shd w:val="clear" w:color="auto" w:fill="auto"/>
            <w:noWrap/>
            <w:vAlign w:val="center"/>
            <w:hideMark/>
          </w:tcPr>
          <w:p w14:paraId="5B5BC8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45091501</w:t>
            </w:r>
          </w:p>
        </w:tc>
        <w:tc>
          <w:tcPr>
            <w:tcW w:w="160" w:type="dxa"/>
            <w:tcBorders>
              <w:top w:val="nil"/>
              <w:left w:val="nil"/>
              <w:bottom w:val="single" w:sz="4" w:space="0" w:color="auto"/>
              <w:right w:val="nil"/>
            </w:tcBorders>
            <w:vAlign w:val="center"/>
          </w:tcPr>
          <w:p w14:paraId="6B27CB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B83C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 FARMACIJO, KOZMETIKO IN ZDRAVSTVO</w:t>
            </w:r>
          </w:p>
        </w:tc>
      </w:tr>
      <w:tr w:rsidR="00072A69" w:rsidRPr="00DC6DF9" w14:paraId="753DEEC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A53E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1659</w:t>
            </w:r>
          </w:p>
        </w:tc>
        <w:tc>
          <w:tcPr>
            <w:tcW w:w="1036" w:type="dxa"/>
            <w:tcBorders>
              <w:top w:val="nil"/>
              <w:left w:val="nil"/>
              <w:bottom w:val="single" w:sz="4" w:space="0" w:color="auto"/>
              <w:right w:val="single" w:sz="4" w:space="0" w:color="auto"/>
            </w:tcBorders>
            <w:shd w:val="clear" w:color="auto" w:fill="auto"/>
            <w:noWrap/>
            <w:vAlign w:val="center"/>
            <w:hideMark/>
          </w:tcPr>
          <w:p w14:paraId="4668F3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5085900000</w:t>
            </w:r>
          </w:p>
        </w:tc>
        <w:tc>
          <w:tcPr>
            <w:tcW w:w="1036" w:type="dxa"/>
            <w:tcBorders>
              <w:top w:val="nil"/>
              <w:left w:val="nil"/>
              <w:bottom w:val="single" w:sz="4" w:space="0" w:color="auto"/>
              <w:right w:val="single" w:sz="4" w:space="0" w:color="auto"/>
            </w:tcBorders>
            <w:shd w:val="clear" w:color="auto" w:fill="auto"/>
            <w:vAlign w:val="center"/>
            <w:hideMark/>
          </w:tcPr>
          <w:p w14:paraId="434FB2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16722841</w:t>
            </w:r>
          </w:p>
        </w:tc>
        <w:tc>
          <w:tcPr>
            <w:tcW w:w="160" w:type="dxa"/>
            <w:tcBorders>
              <w:top w:val="nil"/>
              <w:left w:val="nil"/>
              <w:bottom w:val="single" w:sz="4" w:space="0" w:color="auto"/>
              <w:right w:val="nil"/>
            </w:tcBorders>
            <w:vAlign w:val="center"/>
          </w:tcPr>
          <w:p w14:paraId="638690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3C5DCA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 GOSTINSTVO IN TURIZEM CELJE</w:t>
            </w:r>
          </w:p>
        </w:tc>
      </w:tr>
      <w:tr w:rsidR="00072A69" w:rsidRPr="00DC6DF9" w14:paraId="39FCAE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FF74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1660</w:t>
            </w:r>
          </w:p>
        </w:tc>
        <w:tc>
          <w:tcPr>
            <w:tcW w:w="1036" w:type="dxa"/>
            <w:tcBorders>
              <w:top w:val="nil"/>
              <w:left w:val="nil"/>
              <w:bottom w:val="single" w:sz="4" w:space="0" w:color="auto"/>
              <w:right w:val="single" w:sz="4" w:space="0" w:color="auto"/>
            </w:tcBorders>
            <w:shd w:val="clear" w:color="auto" w:fill="auto"/>
            <w:noWrap/>
            <w:vAlign w:val="center"/>
            <w:hideMark/>
          </w:tcPr>
          <w:p w14:paraId="5A30FB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5086752000</w:t>
            </w:r>
          </w:p>
        </w:tc>
        <w:tc>
          <w:tcPr>
            <w:tcW w:w="1036" w:type="dxa"/>
            <w:tcBorders>
              <w:top w:val="nil"/>
              <w:left w:val="nil"/>
              <w:bottom w:val="single" w:sz="4" w:space="0" w:color="auto"/>
              <w:right w:val="single" w:sz="4" w:space="0" w:color="auto"/>
            </w:tcBorders>
            <w:shd w:val="clear" w:color="auto" w:fill="auto"/>
            <w:noWrap/>
            <w:vAlign w:val="center"/>
            <w:hideMark/>
          </w:tcPr>
          <w:p w14:paraId="242EF5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79487491</w:t>
            </w:r>
          </w:p>
        </w:tc>
        <w:tc>
          <w:tcPr>
            <w:tcW w:w="160" w:type="dxa"/>
            <w:tcBorders>
              <w:top w:val="nil"/>
              <w:left w:val="nil"/>
              <w:bottom w:val="single" w:sz="4" w:space="0" w:color="auto"/>
              <w:right w:val="nil"/>
            </w:tcBorders>
            <w:vAlign w:val="center"/>
          </w:tcPr>
          <w:p w14:paraId="3882F4A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F0C6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 GOSTINSTVO IN TURIZEM MARIBOR</w:t>
            </w:r>
          </w:p>
        </w:tc>
      </w:tr>
      <w:tr w:rsidR="00072A69" w:rsidRPr="00DC6DF9" w14:paraId="048143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D0FA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1661</w:t>
            </w:r>
          </w:p>
        </w:tc>
        <w:tc>
          <w:tcPr>
            <w:tcW w:w="1036" w:type="dxa"/>
            <w:tcBorders>
              <w:top w:val="nil"/>
              <w:left w:val="nil"/>
              <w:bottom w:val="single" w:sz="4" w:space="0" w:color="auto"/>
              <w:right w:val="single" w:sz="4" w:space="0" w:color="auto"/>
            </w:tcBorders>
            <w:shd w:val="clear" w:color="auto" w:fill="auto"/>
            <w:noWrap/>
            <w:vAlign w:val="center"/>
            <w:hideMark/>
          </w:tcPr>
          <w:p w14:paraId="452B64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5084784000</w:t>
            </w:r>
          </w:p>
        </w:tc>
        <w:tc>
          <w:tcPr>
            <w:tcW w:w="1036" w:type="dxa"/>
            <w:tcBorders>
              <w:top w:val="nil"/>
              <w:left w:val="nil"/>
              <w:bottom w:val="single" w:sz="4" w:space="0" w:color="auto"/>
              <w:right w:val="single" w:sz="4" w:space="0" w:color="auto"/>
            </w:tcBorders>
            <w:shd w:val="clear" w:color="auto" w:fill="auto"/>
            <w:noWrap/>
            <w:vAlign w:val="center"/>
            <w:hideMark/>
          </w:tcPr>
          <w:p w14:paraId="2CC5F6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90515781</w:t>
            </w:r>
          </w:p>
        </w:tc>
        <w:tc>
          <w:tcPr>
            <w:tcW w:w="160" w:type="dxa"/>
            <w:tcBorders>
              <w:top w:val="nil"/>
              <w:left w:val="nil"/>
              <w:bottom w:val="single" w:sz="4" w:space="0" w:color="auto"/>
              <w:right w:val="nil"/>
            </w:tcBorders>
            <w:vAlign w:val="center"/>
          </w:tcPr>
          <w:p w14:paraId="419E59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ECE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 GOSTINSTVO IN TURIZEM RADENCI</w:t>
            </w:r>
          </w:p>
        </w:tc>
      </w:tr>
      <w:tr w:rsidR="00072A69" w:rsidRPr="00DC6DF9" w14:paraId="55A199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009E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1662</w:t>
            </w:r>
          </w:p>
        </w:tc>
        <w:tc>
          <w:tcPr>
            <w:tcW w:w="1036" w:type="dxa"/>
            <w:tcBorders>
              <w:top w:val="nil"/>
              <w:left w:val="nil"/>
              <w:bottom w:val="single" w:sz="4" w:space="0" w:color="auto"/>
              <w:right w:val="single" w:sz="4" w:space="0" w:color="auto"/>
            </w:tcBorders>
            <w:shd w:val="clear" w:color="auto" w:fill="auto"/>
            <w:noWrap/>
            <w:vAlign w:val="center"/>
            <w:hideMark/>
          </w:tcPr>
          <w:p w14:paraId="28BFC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5084890000</w:t>
            </w:r>
          </w:p>
        </w:tc>
        <w:tc>
          <w:tcPr>
            <w:tcW w:w="1036" w:type="dxa"/>
            <w:tcBorders>
              <w:top w:val="nil"/>
              <w:left w:val="nil"/>
              <w:bottom w:val="single" w:sz="4" w:space="0" w:color="auto"/>
              <w:right w:val="single" w:sz="4" w:space="0" w:color="auto"/>
            </w:tcBorders>
            <w:shd w:val="clear" w:color="auto" w:fill="auto"/>
            <w:noWrap/>
            <w:vAlign w:val="center"/>
            <w:hideMark/>
          </w:tcPr>
          <w:p w14:paraId="603CC2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65441419</w:t>
            </w:r>
          </w:p>
        </w:tc>
        <w:tc>
          <w:tcPr>
            <w:tcW w:w="160" w:type="dxa"/>
            <w:tcBorders>
              <w:top w:val="nil"/>
              <w:left w:val="nil"/>
              <w:bottom w:val="single" w:sz="4" w:space="0" w:color="auto"/>
              <w:right w:val="nil"/>
            </w:tcBorders>
            <w:vAlign w:val="center"/>
          </w:tcPr>
          <w:p w14:paraId="15FCE8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7DF8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 GOSTINSTVO IN TURIZEM V LJUBLJANI</w:t>
            </w:r>
          </w:p>
        </w:tc>
      </w:tr>
      <w:tr w:rsidR="00072A69" w:rsidRPr="00DC6DF9" w14:paraId="432D80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929B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1663</w:t>
            </w:r>
          </w:p>
        </w:tc>
        <w:tc>
          <w:tcPr>
            <w:tcW w:w="1036" w:type="dxa"/>
            <w:tcBorders>
              <w:top w:val="nil"/>
              <w:left w:val="nil"/>
              <w:bottom w:val="single" w:sz="4" w:space="0" w:color="auto"/>
              <w:right w:val="single" w:sz="4" w:space="0" w:color="auto"/>
            </w:tcBorders>
            <w:shd w:val="clear" w:color="auto" w:fill="auto"/>
            <w:noWrap/>
            <w:vAlign w:val="center"/>
            <w:hideMark/>
          </w:tcPr>
          <w:p w14:paraId="1A5819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5086736000</w:t>
            </w:r>
          </w:p>
        </w:tc>
        <w:tc>
          <w:tcPr>
            <w:tcW w:w="1036" w:type="dxa"/>
            <w:tcBorders>
              <w:top w:val="nil"/>
              <w:left w:val="nil"/>
              <w:bottom w:val="single" w:sz="4" w:space="0" w:color="auto"/>
              <w:right w:val="single" w:sz="4" w:space="0" w:color="auto"/>
            </w:tcBorders>
            <w:shd w:val="clear" w:color="auto" w:fill="auto"/>
            <w:noWrap/>
            <w:vAlign w:val="center"/>
            <w:hideMark/>
          </w:tcPr>
          <w:p w14:paraId="40CA37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72453117</w:t>
            </w:r>
          </w:p>
        </w:tc>
        <w:tc>
          <w:tcPr>
            <w:tcW w:w="160" w:type="dxa"/>
            <w:tcBorders>
              <w:top w:val="nil"/>
              <w:left w:val="nil"/>
              <w:bottom w:val="single" w:sz="4" w:space="0" w:color="auto"/>
              <w:right w:val="nil"/>
            </w:tcBorders>
            <w:vAlign w:val="center"/>
          </w:tcPr>
          <w:p w14:paraId="28CD66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E736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 OBLIKOVANJE MARIBOR</w:t>
            </w:r>
          </w:p>
        </w:tc>
      </w:tr>
      <w:tr w:rsidR="00072A69" w:rsidRPr="00DC6DF9" w14:paraId="63391A6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948F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1664</w:t>
            </w:r>
          </w:p>
        </w:tc>
        <w:tc>
          <w:tcPr>
            <w:tcW w:w="1036" w:type="dxa"/>
            <w:tcBorders>
              <w:top w:val="nil"/>
              <w:left w:val="nil"/>
              <w:bottom w:val="single" w:sz="4" w:space="0" w:color="auto"/>
              <w:right w:val="single" w:sz="4" w:space="0" w:color="auto"/>
            </w:tcBorders>
            <w:shd w:val="clear" w:color="auto" w:fill="auto"/>
            <w:noWrap/>
            <w:vAlign w:val="center"/>
            <w:hideMark/>
          </w:tcPr>
          <w:p w14:paraId="354602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5263603000</w:t>
            </w:r>
          </w:p>
        </w:tc>
        <w:tc>
          <w:tcPr>
            <w:tcW w:w="1036" w:type="dxa"/>
            <w:tcBorders>
              <w:top w:val="nil"/>
              <w:left w:val="nil"/>
              <w:bottom w:val="single" w:sz="4" w:space="0" w:color="auto"/>
              <w:right w:val="single" w:sz="4" w:space="0" w:color="auto"/>
            </w:tcBorders>
            <w:shd w:val="clear" w:color="auto" w:fill="auto"/>
            <w:noWrap/>
            <w:vAlign w:val="center"/>
            <w:hideMark/>
          </w:tcPr>
          <w:p w14:paraId="59E253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62434934</w:t>
            </w:r>
          </w:p>
        </w:tc>
        <w:tc>
          <w:tcPr>
            <w:tcW w:w="160" w:type="dxa"/>
            <w:tcBorders>
              <w:top w:val="nil"/>
              <w:left w:val="nil"/>
              <w:bottom w:val="single" w:sz="4" w:space="0" w:color="auto"/>
              <w:right w:val="nil"/>
            </w:tcBorders>
            <w:vAlign w:val="center"/>
          </w:tcPr>
          <w:p w14:paraId="5AB705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4E26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ŠOLA ZAGORJE</w:t>
            </w:r>
          </w:p>
        </w:tc>
      </w:tr>
      <w:tr w:rsidR="00072A69" w:rsidRPr="00DC6DF9" w14:paraId="6AB37E5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B7EC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1665</w:t>
            </w:r>
          </w:p>
        </w:tc>
        <w:tc>
          <w:tcPr>
            <w:tcW w:w="1036" w:type="dxa"/>
            <w:tcBorders>
              <w:top w:val="nil"/>
              <w:left w:val="nil"/>
              <w:bottom w:val="single" w:sz="4" w:space="0" w:color="auto"/>
              <w:right w:val="single" w:sz="4" w:space="0" w:color="auto"/>
            </w:tcBorders>
            <w:shd w:val="clear" w:color="auto" w:fill="auto"/>
            <w:noWrap/>
            <w:vAlign w:val="center"/>
            <w:hideMark/>
          </w:tcPr>
          <w:p w14:paraId="4AEDD6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5243297000</w:t>
            </w:r>
          </w:p>
        </w:tc>
        <w:tc>
          <w:tcPr>
            <w:tcW w:w="1036" w:type="dxa"/>
            <w:tcBorders>
              <w:top w:val="nil"/>
              <w:left w:val="nil"/>
              <w:bottom w:val="single" w:sz="4" w:space="0" w:color="auto"/>
              <w:right w:val="single" w:sz="4" w:space="0" w:color="auto"/>
            </w:tcBorders>
            <w:shd w:val="clear" w:color="auto" w:fill="auto"/>
            <w:noWrap/>
            <w:vAlign w:val="center"/>
            <w:hideMark/>
          </w:tcPr>
          <w:p w14:paraId="2142CC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15203298</w:t>
            </w:r>
          </w:p>
        </w:tc>
        <w:tc>
          <w:tcPr>
            <w:tcW w:w="160" w:type="dxa"/>
            <w:tcBorders>
              <w:top w:val="nil"/>
              <w:left w:val="nil"/>
              <w:bottom w:val="single" w:sz="4" w:space="0" w:color="auto"/>
              <w:right w:val="nil"/>
            </w:tcBorders>
            <w:vAlign w:val="center"/>
          </w:tcPr>
          <w:p w14:paraId="1AB38D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3AC5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TEHNIŠKA IN POKLICNA ŠOLA TRBOVLJE</w:t>
            </w:r>
          </w:p>
        </w:tc>
      </w:tr>
      <w:tr w:rsidR="00072A69" w:rsidRPr="00DC6DF9" w14:paraId="06FEF7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01E6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1666</w:t>
            </w:r>
          </w:p>
        </w:tc>
        <w:tc>
          <w:tcPr>
            <w:tcW w:w="1036" w:type="dxa"/>
            <w:tcBorders>
              <w:top w:val="nil"/>
              <w:left w:val="nil"/>
              <w:bottom w:val="single" w:sz="4" w:space="0" w:color="auto"/>
              <w:right w:val="single" w:sz="4" w:space="0" w:color="auto"/>
            </w:tcBorders>
            <w:shd w:val="clear" w:color="auto" w:fill="auto"/>
            <w:noWrap/>
            <w:vAlign w:val="center"/>
            <w:hideMark/>
          </w:tcPr>
          <w:p w14:paraId="7AEE1C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5083176000</w:t>
            </w:r>
          </w:p>
        </w:tc>
        <w:tc>
          <w:tcPr>
            <w:tcW w:w="1036" w:type="dxa"/>
            <w:tcBorders>
              <w:top w:val="nil"/>
              <w:left w:val="nil"/>
              <w:bottom w:val="single" w:sz="4" w:space="0" w:color="auto"/>
              <w:right w:val="single" w:sz="4" w:space="0" w:color="auto"/>
            </w:tcBorders>
            <w:shd w:val="clear" w:color="auto" w:fill="auto"/>
            <w:noWrap/>
            <w:vAlign w:val="center"/>
            <w:hideMark/>
          </w:tcPr>
          <w:p w14:paraId="1BD5A6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67914063</w:t>
            </w:r>
          </w:p>
        </w:tc>
        <w:tc>
          <w:tcPr>
            <w:tcW w:w="160" w:type="dxa"/>
            <w:tcBorders>
              <w:top w:val="nil"/>
              <w:left w:val="nil"/>
              <w:bottom w:val="single" w:sz="4" w:space="0" w:color="auto"/>
              <w:right w:val="nil"/>
            </w:tcBorders>
            <w:vAlign w:val="center"/>
          </w:tcPr>
          <w:p w14:paraId="6E51E1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65146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TEHNIŠKA ŠOLA KOPER</w:t>
            </w:r>
          </w:p>
        </w:tc>
      </w:tr>
      <w:tr w:rsidR="00072A69" w:rsidRPr="00DC6DF9" w14:paraId="4738E5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7390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1667</w:t>
            </w:r>
          </w:p>
        </w:tc>
        <w:tc>
          <w:tcPr>
            <w:tcW w:w="1036" w:type="dxa"/>
            <w:tcBorders>
              <w:top w:val="nil"/>
              <w:left w:val="nil"/>
              <w:bottom w:val="single" w:sz="4" w:space="0" w:color="auto"/>
              <w:right w:val="single" w:sz="4" w:space="0" w:color="auto"/>
            </w:tcBorders>
            <w:shd w:val="clear" w:color="auto" w:fill="auto"/>
            <w:noWrap/>
            <w:vAlign w:val="center"/>
            <w:hideMark/>
          </w:tcPr>
          <w:p w14:paraId="326E68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5086647000</w:t>
            </w:r>
          </w:p>
        </w:tc>
        <w:tc>
          <w:tcPr>
            <w:tcW w:w="1036" w:type="dxa"/>
            <w:tcBorders>
              <w:top w:val="nil"/>
              <w:left w:val="nil"/>
              <w:bottom w:val="single" w:sz="4" w:space="0" w:color="auto"/>
              <w:right w:val="single" w:sz="4" w:space="0" w:color="auto"/>
            </w:tcBorders>
            <w:shd w:val="clear" w:color="auto" w:fill="auto"/>
            <w:noWrap/>
            <w:vAlign w:val="center"/>
            <w:hideMark/>
          </w:tcPr>
          <w:p w14:paraId="509AE8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95740791</w:t>
            </w:r>
          </w:p>
        </w:tc>
        <w:tc>
          <w:tcPr>
            <w:tcW w:w="160" w:type="dxa"/>
            <w:tcBorders>
              <w:top w:val="nil"/>
              <w:left w:val="nil"/>
              <w:bottom w:val="single" w:sz="4" w:space="0" w:color="auto"/>
              <w:right w:val="nil"/>
            </w:tcBorders>
            <w:vAlign w:val="center"/>
          </w:tcPr>
          <w:p w14:paraId="61CFD9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D3F3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TRGOVSKA ŠOLA LJUBLJANA</w:t>
            </w:r>
          </w:p>
        </w:tc>
      </w:tr>
      <w:tr w:rsidR="00072A69" w:rsidRPr="00DC6DF9" w14:paraId="615040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BA16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1668</w:t>
            </w:r>
          </w:p>
        </w:tc>
        <w:tc>
          <w:tcPr>
            <w:tcW w:w="1036" w:type="dxa"/>
            <w:tcBorders>
              <w:top w:val="nil"/>
              <w:left w:val="nil"/>
              <w:bottom w:val="single" w:sz="4" w:space="0" w:color="auto"/>
              <w:right w:val="single" w:sz="4" w:space="0" w:color="auto"/>
            </w:tcBorders>
            <w:shd w:val="clear" w:color="auto" w:fill="auto"/>
            <w:noWrap/>
            <w:vAlign w:val="center"/>
            <w:hideMark/>
          </w:tcPr>
          <w:p w14:paraId="3A0F2F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5086744000</w:t>
            </w:r>
          </w:p>
        </w:tc>
        <w:tc>
          <w:tcPr>
            <w:tcW w:w="1036" w:type="dxa"/>
            <w:tcBorders>
              <w:top w:val="nil"/>
              <w:left w:val="nil"/>
              <w:bottom w:val="single" w:sz="4" w:space="0" w:color="auto"/>
              <w:right w:val="single" w:sz="4" w:space="0" w:color="auto"/>
            </w:tcBorders>
            <w:shd w:val="clear" w:color="auto" w:fill="auto"/>
            <w:noWrap/>
            <w:vAlign w:val="center"/>
            <w:hideMark/>
          </w:tcPr>
          <w:p w14:paraId="739C8A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17683785</w:t>
            </w:r>
          </w:p>
        </w:tc>
        <w:tc>
          <w:tcPr>
            <w:tcW w:w="160" w:type="dxa"/>
            <w:tcBorders>
              <w:top w:val="nil"/>
              <w:left w:val="nil"/>
              <w:bottom w:val="single" w:sz="4" w:space="0" w:color="auto"/>
              <w:right w:val="nil"/>
            </w:tcBorders>
            <w:vAlign w:val="center"/>
          </w:tcPr>
          <w:p w14:paraId="578A5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2DC7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TRGOVSKA ŠOLA MARIBOR</w:t>
            </w:r>
          </w:p>
        </w:tc>
      </w:tr>
      <w:tr w:rsidR="00072A69" w:rsidRPr="00DC6DF9" w14:paraId="2A29C9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C5A1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1669</w:t>
            </w:r>
          </w:p>
        </w:tc>
        <w:tc>
          <w:tcPr>
            <w:tcW w:w="1036" w:type="dxa"/>
            <w:tcBorders>
              <w:top w:val="nil"/>
              <w:left w:val="nil"/>
              <w:bottom w:val="single" w:sz="4" w:space="0" w:color="auto"/>
              <w:right w:val="single" w:sz="4" w:space="0" w:color="auto"/>
            </w:tcBorders>
            <w:shd w:val="clear" w:color="auto" w:fill="auto"/>
            <w:noWrap/>
            <w:vAlign w:val="center"/>
            <w:hideMark/>
          </w:tcPr>
          <w:p w14:paraId="5EDADC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5086094000</w:t>
            </w:r>
          </w:p>
        </w:tc>
        <w:tc>
          <w:tcPr>
            <w:tcW w:w="1036" w:type="dxa"/>
            <w:tcBorders>
              <w:top w:val="nil"/>
              <w:left w:val="nil"/>
              <w:bottom w:val="single" w:sz="4" w:space="0" w:color="auto"/>
              <w:right w:val="single" w:sz="4" w:space="0" w:color="auto"/>
            </w:tcBorders>
            <w:shd w:val="clear" w:color="auto" w:fill="auto"/>
            <w:noWrap/>
            <w:vAlign w:val="center"/>
            <w:hideMark/>
          </w:tcPr>
          <w:p w14:paraId="0D50AC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50498720</w:t>
            </w:r>
          </w:p>
        </w:tc>
        <w:tc>
          <w:tcPr>
            <w:tcW w:w="160" w:type="dxa"/>
            <w:tcBorders>
              <w:top w:val="nil"/>
              <w:left w:val="nil"/>
              <w:bottom w:val="single" w:sz="4" w:space="0" w:color="auto"/>
              <w:right w:val="nil"/>
            </w:tcBorders>
            <w:vAlign w:val="center"/>
          </w:tcPr>
          <w:p w14:paraId="6B03A5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F885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UPRAVNO ADMINISTRATIVNA ŠOLA LJUBLJANA</w:t>
            </w:r>
          </w:p>
        </w:tc>
      </w:tr>
      <w:tr w:rsidR="00072A69" w:rsidRPr="00DC6DF9" w14:paraId="084A87B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1C41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1670</w:t>
            </w:r>
          </w:p>
        </w:tc>
        <w:tc>
          <w:tcPr>
            <w:tcW w:w="1036" w:type="dxa"/>
            <w:tcBorders>
              <w:top w:val="nil"/>
              <w:left w:val="nil"/>
              <w:bottom w:val="single" w:sz="4" w:space="0" w:color="auto"/>
              <w:right w:val="single" w:sz="4" w:space="0" w:color="auto"/>
            </w:tcBorders>
            <w:shd w:val="clear" w:color="auto" w:fill="auto"/>
            <w:noWrap/>
            <w:vAlign w:val="center"/>
            <w:hideMark/>
          </w:tcPr>
          <w:p w14:paraId="7708A9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5084903000</w:t>
            </w:r>
          </w:p>
        </w:tc>
        <w:tc>
          <w:tcPr>
            <w:tcW w:w="1036" w:type="dxa"/>
            <w:tcBorders>
              <w:top w:val="nil"/>
              <w:left w:val="nil"/>
              <w:bottom w:val="single" w:sz="4" w:space="0" w:color="auto"/>
              <w:right w:val="single" w:sz="4" w:space="0" w:color="auto"/>
            </w:tcBorders>
            <w:shd w:val="clear" w:color="auto" w:fill="auto"/>
            <w:noWrap/>
            <w:vAlign w:val="center"/>
            <w:hideMark/>
          </w:tcPr>
          <w:p w14:paraId="224D3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47364220</w:t>
            </w:r>
          </w:p>
        </w:tc>
        <w:tc>
          <w:tcPr>
            <w:tcW w:w="160" w:type="dxa"/>
            <w:tcBorders>
              <w:top w:val="nil"/>
              <w:left w:val="nil"/>
              <w:bottom w:val="single" w:sz="4" w:space="0" w:color="auto"/>
              <w:right w:val="nil"/>
            </w:tcBorders>
            <w:vAlign w:val="center"/>
          </w:tcPr>
          <w:p w14:paraId="088D4D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D7E3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VZGOJITELJSKA ŠOLA, GIMNAZIJA IN UMETNIŠKA GIMNAZIJA LJUBLJANA</w:t>
            </w:r>
          </w:p>
        </w:tc>
      </w:tr>
      <w:tr w:rsidR="00072A69" w:rsidRPr="00DC6DF9" w14:paraId="470D65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4433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1671</w:t>
            </w:r>
          </w:p>
        </w:tc>
        <w:tc>
          <w:tcPr>
            <w:tcW w:w="1036" w:type="dxa"/>
            <w:tcBorders>
              <w:top w:val="nil"/>
              <w:left w:val="nil"/>
              <w:bottom w:val="single" w:sz="4" w:space="0" w:color="auto"/>
              <w:right w:val="single" w:sz="4" w:space="0" w:color="auto"/>
            </w:tcBorders>
            <w:shd w:val="clear" w:color="auto" w:fill="auto"/>
            <w:noWrap/>
            <w:vAlign w:val="center"/>
            <w:hideMark/>
          </w:tcPr>
          <w:p w14:paraId="097755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5088895000</w:t>
            </w:r>
          </w:p>
        </w:tc>
        <w:tc>
          <w:tcPr>
            <w:tcW w:w="1036" w:type="dxa"/>
            <w:tcBorders>
              <w:top w:val="nil"/>
              <w:left w:val="nil"/>
              <w:bottom w:val="single" w:sz="4" w:space="0" w:color="auto"/>
              <w:right w:val="single" w:sz="4" w:space="0" w:color="auto"/>
            </w:tcBorders>
            <w:shd w:val="clear" w:color="auto" w:fill="auto"/>
            <w:noWrap/>
            <w:vAlign w:val="center"/>
            <w:hideMark/>
          </w:tcPr>
          <w:p w14:paraId="4224EB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86411462</w:t>
            </w:r>
          </w:p>
        </w:tc>
        <w:tc>
          <w:tcPr>
            <w:tcW w:w="160" w:type="dxa"/>
            <w:tcBorders>
              <w:top w:val="nil"/>
              <w:left w:val="nil"/>
              <w:bottom w:val="single" w:sz="4" w:space="0" w:color="auto"/>
              <w:right w:val="nil"/>
            </w:tcBorders>
            <w:vAlign w:val="center"/>
          </w:tcPr>
          <w:p w14:paraId="1D66AC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FA2F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ZDRAVSTVENA IN KOZMETIČNA ŠOLA MARIBOR</w:t>
            </w:r>
          </w:p>
        </w:tc>
      </w:tr>
      <w:tr w:rsidR="00072A69" w:rsidRPr="00DC6DF9" w14:paraId="4C96F8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090B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1672</w:t>
            </w:r>
          </w:p>
        </w:tc>
        <w:tc>
          <w:tcPr>
            <w:tcW w:w="1036" w:type="dxa"/>
            <w:tcBorders>
              <w:top w:val="nil"/>
              <w:left w:val="nil"/>
              <w:bottom w:val="single" w:sz="4" w:space="0" w:color="auto"/>
              <w:right w:val="single" w:sz="4" w:space="0" w:color="auto"/>
            </w:tcBorders>
            <w:shd w:val="clear" w:color="auto" w:fill="auto"/>
            <w:noWrap/>
            <w:vAlign w:val="center"/>
            <w:hideMark/>
          </w:tcPr>
          <w:p w14:paraId="3E1E31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5242045000</w:t>
            </w:r>
          </w:p>
        </w:tc>
        <w:tc>
          <w:tcPr>
            <w:tcW w:w="1036" w:type="dxa"/>
            <w:tcBorders>
              <w:top w:val="nil"/>
              <w:left w:val="nil"/>
              <w:bottom w:val="single" w:sz="4" w:space="0" w:color="auto"/>
              <w:right w:val="single" w:sz="4" w:space="0" w:color="auto"/>
            </w:tcBorders>
            <w:shd w:val="clear" w:color="auto" w:fill="auto"/>
            <w:noWrap/>
            <w:vAlign w:val="center"/>
            <w:hideMark/>
          </w:tcPr>
          <w:p w14:paraId="275D92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31987249</w:t>
            </w:r>
          </w:p>
        </w:tc>
        <w:tc>
          <w:tcPr>
            <w:tcW w:w="160" w:type="dxa"/>
            <w:tcBorders>
              <w:top w:val="nil"/>
              <w:left w:val="nil"/>
              <w:bottom w:val="single" w:sz="4" w:space="0" w:color="auto"/>
              <w:right w:val="nil"/>
            </w:tcBorders>
            <w:vAlign w:val="center"/>
          </w:tcPr>
          <w:p w14:paraId="4BC1900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BF15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ZDRAVSTVENA ŠOLA LJUBLJANA</w:t>
            </w:r>
          </w:p>
        </w:tc>
      </w:tr>
      <w:tr w:rsidR="00072A69" w:rsidRPr="00DC6DF9" w14:paraId="4B284A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D488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1673</w:t>
            </w:r>
          </w:p>
        </w:tc>
        <w:tc>
          <w:tcPr>
            <w:tcW w:w="1036" w:type="dxa"/>
            <w:tcBorders>
              <w:top w:val="nil"/>
              <w:left w:val="nil"/>
              <w:bottom w:val="single" w:sz="4" w:space="0" w:color="auto"/>
              <w:right w:val="single" w:sz="4" w:space="0" w:color="auto"/>
            </w:tcBorders>
            <w:shd w:val="clear" w:color="auto" w:fill="auto"/>
            <w:noWrap/>
            <w:vAlign w:val="center"/>
            <w:hideMark/>
          </w:tcPr>
          <w:p w14:paraId="328471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5085748000</w:t>
            </w:r>
          </w:p>
        </w:tc>
        <w:tc>
          <w:tcPr>
            <w:tcW w:w="1036" w:type="dxa"/>
            <w:tcBorders>
              <w:top w:val="nil"/>
              <w:left w:val="nil"/>
              <w:bottom w:val="single" w:sz="4" w:space="0" w:color="auto"/>
              <w:right w:val="single" w:sz="4" w:space="0" w:color="auto"/>
            </w:tcBorders>
            <w:shd w:val="clear" w:color="auto" w:fill="auto"/>
            <w:noWrap/>
            <w:vAlign w:val="center"/>
            <w:hideMark/>
          </w:tcPr>
          <w:p w14:paraId="1DFAC3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45797781</w:t>
            </w:r>
          </w:p>
        </w:tc>
        <w:tc>
          <w:tcPr>
            <w:tcW w:w="160" w:type="dxa"/>
            <w:tcBorders>
              <w:top w:val="nil"/>
              <w:left w:val="nil"/>
              <w:bottom w:val="single" w:sz="4" w:space="0" w:color="auto"/>
              <w:right w:val="nil"/>
            </w:tcBorders>
            <w:vAlign w:val="center"/>
          </w:tcPr>
          <w:p w14:paraId="382AF8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86F3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SREDNJA ZDRAVSTVENA ŠOLA MURSKA SOBOTA</w:t>
            </w:r>
          </w:p>
        </w:tc>
      </w:tr>
      <w:tr w:rsidR="00072A69" w:rsidRPr="00DC6DF9" w14:paraId="64E572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C534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1674</w:t>
            </w:r>
          </w:p>
        </w:tc>
        <w:tc>
          <w:tcPr>
            <w:tcW w:w="1036" w:type="dxa"/>
            <w:tcBorders>
              <w:top w:val="nil"/>
              <w:left w:val="nil"/>
              <w:bottom w:val="single" w:sz="4" w:space="0" w:color="auto"/>
              <w:right w:val="single" w:sz="4" w:space="0" w:color="auto"/>
            </w:tcBorders>
            <w:shd w:val="clear" w:color="auto" w:fill="auto"/>
            <w:noWrap/>
            <w:vAlign w:val="center"/>
            <w:hideMark/>
          </w:tcPr>
          <w:p w14:paraId="1F69A2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5921279000</w:t>
            </w:r>
          </w:p>
        </w:tc>
        <w:tc>
          <w:tcPr>
            <w:tcW w:w="1036" w:type="dxa"/>
            <w:tcBorders>
              <w:top w:val="nil"/>
              <w:left w:val="nil"/>
              <w:bottom w:val="single" w:sz="4" w:space="0" w:color="auto"/>
              <w:right w:val="single" w:sz="4" w:space="0" w:color="auto"/>
            </w:tcBorders>
            <w:shd w:val="clear" w:color="auto" w:fill="auto"/>
            <w:noWrap/>
            <w:vAlign w:val="center"/>
            <w:hideMark/>
          </w:tcPr>
          <w:p w14:paraId="329DE7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24822868</w:t>
            </w:r>
          </w:p>
        </w:tc>
        <w:tc>
          <w:tcPr>
            <w:tcW w:w="160" w:type="dxa"/>
            <w:tcBorders>
              <w:top w:val="nil"/>
              <w:left w:val="nil"/>
              <w:bottom w:val="single" w:sz="4" w:space="0" w:color="auto"/>
              <w:right w:val="nil"/>
            </w:tcBorders>
            <w:vAlign w:val="center"/>
          </w:tcPr>
          <w:p w14:paraId="6EBF3B5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53F4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STANOVANJSKI SKLAD MESTNE OBČINE NOVA GORICA JAVNI SKLAD</w:t>
            </w:r>
          </w:p>
        </w:tc>
      </w:tr>
      <w:tr w:rsidR="00072A69" w:rsidRPr="00DC6DF9" w14:paraId="4CFAF2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7090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1675</w:t>
            </w:r>
          </w:p>
        </w:tc>
        <w:tc>
          <w:tcPr>
            <w:tcW w:w="1036" w:type="dxa"/>
            <w:tcBorders>
              <w:top w:val="nil"/>
              <w:left w:val="nil"/>
              <w:bottom w:val="single" w:sz="4" w:space="0" w:color="auto"/>
              <w:right w:val="single" w:sz="4" w:space="0" w:color="auto"/>
            </w:tcBorders>
            <w:shd w:val="clear" w:color="auto" w:fill="auto"/>
            <w:noWrap/>
            <w:vAlign w:val="center"/>
            <w:hideMark/>
          </w:tcPr>
          <w:p w14:paraId="666B6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5539153000</w:t>
            </w:r>
          </w:p>
        </w:tc>
        <w:tc>
          <w:tcPr>
            <w:tcW w:w="1036" w:type="dxa"/>
            <w:tcBorders>
              <w:top w:val="nil"/>
              <w:left w:val="nil"/>
              <w:bottom w:val="single" w:sz="4" w:space="0" w:color="auto"/>
              <w:right w:val="single" w:sz="4" w:space="0" w:color="auto"/>
            </w:tcBorders>
            <w:shd w:val="clear" w:color="auto" w:fill="auto"/>
            <w:noWrap/>
            <w:vAlign w:val="center"/>
            <w:hideMark/>
          </w:tcPr>
          <w:p w14:paraId="42755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79034217</w:t>
            </w:r>
          </w:p>
        </w:tc>
        <w:tc>
          <w:tcPr>
            <w:tcW w:w="160" w:type="dxa"/>
            <w:tcBorders>
              <w:top w:val="nil"/>
              <w:left w:val="nil"/>
              <w:bottom w:val="single" w:sz="4" w:space="0" w:color="auto"/>
              <w:right w:val="nil"/>
            </w:tcBorders>
            <w:vAlign w:val="center"/>
          </w:tcPr>
          <w:p w14:paraId="2AC941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D4BA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STANOVANJSKI SKLAD REPUBLIKE SLOVENIJE, JAVNI SKLAD</w:t>
            </w:r>
          </w:p>
        </w:tc>
      </w:tr>
      <w:tr w:rsidR="00072A69" w:rsidRPr="00DC6DF9" w14:paraId="764572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26FE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1676</w:t>
            </w:r>
          </w:p>
        </w:tc>
        <w:tc>
          <w:tcPr>
            <w:tcW w:w="1036" w:type="dxa"/>
            <w:tcBorders>
              <w:top w:val="nil"/>
              <w:left w:val="nil"/>
              <w:bottom w:val="single" w:sz="4" w:space="0" w:color="auto"/>
              <w:right w:val="single" w:sz="4" w:space="0" w:color="auto"/>
            </w:tcBorders>
            <w:shd w:val="clear" w:color="auto" w:fill="auto"/>
            <w:noWrap/>
            <w:vAlign w:val="center"/>
            <w:hideMark/>
          </w:tcPr>
          <w:p w14:paraId="3CFD74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5089883000</w:t>
            </w:r>
          </w:p>
        </w:tc>
        <w:tc>
          <w:tcPr>
            <w:tcW w:w="1036" w:type="dxa"/>
            <w:tcBorders>
              <w:top w:val="nil"/>
              <w:left w:val="nil"/>
              <w:bottom w:val="single" w:sz="4" w:space="0" w:color="auto"/>
              <w:right w:val="single" w:sz="4" w:space="0" w:color="auto"/>
            </w:tcBorders>
            <w:shd w:val="clear" w:color="auto" w:fill="auto"/>
            <w:noWrap/>
            <w:vAlign w:val="center"/>
            <w:hideMark/>
          </w:tcPr>
          <w:p w14:paraId="625DA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55517951</w:t>
            </w:r>
          </w:p>
        </w:tc>
        <w:tc>
          <w:tcPr>
            <w:tcW w:w="160" w:type="dxa"/>
            <w:tcBorders>
              <w:top w:val="nil"/>
              <w:left w:val="nil"/>
              <w:bottom w:val="single" w:sz="4" w:space="0" w:color="auto"/>
              <w:right w:val="nil"/>
            </w:tcBorders>
            <w:vAlign w:val="center"/>
          </w:tcPr>
          <w:p w14:paraId="3E4AC8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FD6C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STROKOVNI IZOBRAŽEVALNI CENTER LJUBLJANA</w:t>
            </w:r>
          </w:p>
        </w:tc>
      </w:tr>
      <w:tr w:rsidR="00072A69" w:rsidRPr="00DC6DF9" w14:paraId="1F233E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3B4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1677</w:t>
            </w:r>
          </w:p>
        </w:tc>
        <w:tc>
          <w:tcPr>
            <w:tcW w:w="1036" w:type="dxa"/>
            <w:tcBorders>
              <w:top w:val="nil"/>
              <w:left w:val="nil"/>
              <w:bottom w:val="single" w:sz="4" w:space="0" w:color="auto"/>
              <w:right w:val="single" w:sz="4" w:space="0" w:color="auto"/>
            </w:tcBorders>
            <w:shd w:val="clear" w:color="auto" w:fill="auto"/>
            <w:noWrap/>
            <w:vAlign w:val="center"/>
            <w:hideMark/>
          </w:tcPr>
          <w:p w14:paraId="3B789D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5050243000</w:t>
            </w:r>
          </w:p>
        </w:tc>
        <w:tc>
          <w:tcPr>
            <w:tcW w:w="1036" w:type="dxa"/>
            <w:tcBorders>
              <w:top w:val="nil"/>
              <w:left w:val="nil"/>
              <w:bottom w:val="single" w:sz="4" w:space="0" w:color="auto"/>
              <w:right w:val="single" w:sz="4" w:space="0" w:color="auto"/>
            </w:tcBorders>
            <w:shd w:val="clear" w:color="auto" w:fill="auto"/>
            <w:noWrap/>
            <w:vAlign w:val="center"/>
            <w:hideMark/>
          </w:tcPr>
          <w:p w14:paraId="1D3033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60489332</w:t>
            </w:r>
          </w:p>
        </w:tc>
        <w:tc>
          <w:tcPr>
            <w:tcW w:w="160" w:type="dxa"/>
            <w:tcBorders>
              <w:top w:val="nil"/>
              <w:left w:val="nil"/>
              <w:bottom w:val="single" w:sz="4" w:space="0" w:color="auto"/>
              <w:right w:val="nil"/>
            </w:tcBorders>
            <w:vAlign w:val="center"/>
          </w:tcPr>
          <w:p w14:paraId="5D2951A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2DF5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SVETOVALNI CENTER ZA OTROKE, MLADOSTNIKE IN STARŠE LJUBLJANA</w:t>
            </w:r>
          </w:p>
        </w:tc>
      </w:tr>
      <w:tr w:rsidR="00072A69" w:rsidRPr="00DC6DF9" w14:paraId="427642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1CB4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1678</w:t>
            </w:r>
          </w:p>
        </w:tc>
        <w:tc>
          <w:tcPr>
            <w:tcW w:w="1036" w:type="dxa"/>
            <w:tcBorders>
              <w:top w:val="nil"/>
              <w:left w:val="nil"/>
              <w:bottom w:val="single" w:sz="4" w:space="0" w:color="auto"/>
              <w:right w:val="single" w:sz="4" w:space="0" w:color="auto"/>
            </w:tcBorders>
            <w:shd w:val="clear" w:color="auto" w:fill="auto"/>
            <w:noWrap/>
            <w:vAlign w:val="center"/>
            <w:hideMark/>
          </w:tcPr>
          <w:p w14:paraId="3652F0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5050375000</w:t>
            </w:r>
          </w:p>
        </w:tc>
        <w:tc>
          <w:tcPr>
            <w:tcW w:w="1036" w:type="dxa"/>
            <w:tcBorders>
              <w:top w:val="nil"/>
              <w:left w:val="nil"/>
              <w:bottom w:val="single" w:sz="4" w:space="0" w:color="auto"/>
              <w:right w:val="single" w:sz="4" w:space="0" w:color="auto"/>
            </w:tcBorders>
            <w:shd w:val="clear" w:color="auto" w:fill="auto"/>
            <w:noWrap/>
            <w:vAlign w:val="center"/>
            <w:hideMark/>
          </w:tcPr>
          <w:p w14:paraId="26D103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50635905</w:t>
            </w:r>
          </w:p>
        </w:tc>
        <w:tc>
          <w:tcPr>
            <w:tcW w:w="160" w:type="dxa"/>
            <w:tcBorders>
              <w:top w:val="nil"/>
              <w:left w:val="nil"/>
              <w:bottom w:val="single" w:sz="4" w:space="0" w:color="auto"/>
              <w:right w:val="nil"/>
            </w:tcBorders>
            <w:vAlign w:val="center"/>
          </w:tcPr>
          <w:p w14:paraId="3B8B0B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4B4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SVETOVALNI CENTER ZA OTROKE, MLADOSTNIKE IN STARŠE MARIBOR</w:t>
            </w:r>
          </w:p>
        </w:tc>
      </w:tr>
      <w:tr w:rsidR="00072A69" w:rsidRPr="00DC6DF9" w14:paraId="090B19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EADF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1679</w:t>
            </w:r>
          </w:p>
        </w:tc>
        <w:tc>
          <w:tcPr>
            <w:tcW w:w="1036" w:type="dxa"/>
            <w:tcBorders>
              <w:top w:val="nil"/>
              <w:left w:val="nil"/>
              <w:bottom w:val="single" w:sz="4" w:space="0" w:color="auto"/>
              <w:right w:val="single" w:sz="4" w:space="0" w:color="auto"/>
            </w:tcBorders>
            <w:shd w:val="clear" w:color="auto" w:fill="auto"/>
            <w:noWrap/>
            <w:vAlign w:val="center"/>
            <w:hideMark/>
          </w:tcPr>
          <w:p w14:paraId="468EA8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3372421000</w:t>
            </w:r>
          </w:p>
        </w:tc>
        <w:tc>
          <w:tcPr>
            <w:tcW w:w="1036" w:type="dxa"/>
            <w:tcBorders>
              <w:top w:val="nil"/>
              <w:left w:val="nil"/>
              <w:bottom w:val="single" w:sz="4" w:space="0" w:color="auto"/>
              <w:right w:val="single" w:sz="4" w:space="0" w:color="auto"/>
            </w:tcBorders>
            <w:shd w:val="clear" w:color="auto" w:fill="auto"/>
            <w:noWrap/>
            <w:vAlign w:val="center"/>
            <w:hideMark/>
          </w:tcPr>
          <w:p w14:paraId="69E890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58270574</w:t>
            </w:r>
          </w:p>
        </w:tc>
        <w:tc>
          <w:tcPr>
            <w:tcW w:w="160" w:type="dxa"/>
            <w:tcBorders>
              <w:top w:val="nil"/>
              <w:left w:val="nil"/>
              <w:bottom w:val="single" w:sz="4" w:space="0" w:color="auto"/>
              <w:right w:val="nil"/>
            </w:tcBorders>
            <w:vAlign w:val="center"/>
          </w:tcPr>
          <w:p w14:paraId="1A0C4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CF8A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ŠKTM ZA ŠPORT, KULTURO, TURIZEM IN MLADINO RADLJE OB DRAVI</w:t>
            </w:r>
          </w:p>
        </w:tc>
      </w:tr>
      <w:tr w:rsidR="00072A69" w:rsidRPr="00DC6DF9" w14:paraId="414A54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CEF8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1680</w:t>
            </w:r>
          </w:p>
        </w:tc>
        <w:tc>
          <w:tcPr>
            <w:tcW w:w="1036" w:type="dxa"/>
            <w:tcBorders>
              <w:top w:val="nil"/>
              <w:left w:val="nil"/>
              <w:bottom w:val="single" w:sz="4" w:space="0" w:color="auto"/>
              <w:right w:val="single" w:sz="4" w:space="0" w:color="auto"/>
            </w:tcBorders>
            <w:shd w:val="clear" w:color="auto" w:fill="auto"/>
            <w:noWrap/>
            <w:vAlign w:val="center"/>
            <w:hideMark/>
          </w:tcPr>
          <w:p w14:paraId="641F27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1201794000</w:t>
            </w:r>
          </w:p>
        </w:tc>
        <w:tc>
          <w:tcPr>
            <w:tcW w:w="1036" w:type="dxa"/>
            <w:tcBorders>
              <w:top w:val="nil"/>
              <w:left w:val="nil"/>
              <w:bottom w:val="single" w:sz="4" w:space="0" w:color="auto"/>
              <w:right w:val="single" w:sz="4" w:space="0" w:color="auto"/>
            </w:tcBorders>
            <w:shd w:val="clear" w:color="auto" w:fill="auto"/>
            <w:noWrap/>
            <w:vAlign w:val="center"/>
            <w:hideMark/>
          </w:tcPr>
          <w:p w14:paraId="1A43E8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83625950</w:t>
            </w:r>
          </w:p>
        </w:tc>
        <w:tc>
          <w:tcPr>
            <w:tcW w:w="160" w:type="dxa"/>
            <w:tcBorders>
              <w:top w:val="nil"/>
              <w:left w:val="nil"/>
              <w:bottom w:val="single" w:sz="4" w:space="0" w:color="auto"/>
              <w:right w:val="nil"/>
            </w:tcBorders>
            <w:vAlign w:val="center"/>
          </w:tcPr>
          <w:p w14:paraId="3A36B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AF5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ŠOLA ZA HORTIKULTURO IN VIZUALNE UMETNOSTI CELJE</w:t>
            </w:r>
          </w:p>
        </w:tc>
      </w:tr>
      <w:tr w:rsidR="00072A69" w:rsidRPr="00DC6DF9" w14:paraId="1A345CE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949D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1681</w:t>
            </w:r>
          </w:p>
        </w:tc>
        <w:tc>
          <w:tcPr>
            <w:tcW w:w="1036" w:type="dxa"/>
            <w:tcBorders>
              <w:top w:val="nil"/>
              <w:left w:val="nil"/>
              <w:bottom w:val="single" w:sz="4" w:space="0" w:color="auto"/>
              <w:right w:val="single" w:sz="4" w:space="0" w:color="auto"/>
            </w:tcBorders>
            <w:shd w:val="clear" w:color="auto" w:fill="auto"/>
            <w:noWrap/>
            <w:vAlign w:val="center"/>
            <w:hideMark/>
          </w:tcPr>
          <w:p w14:paraId="6F7D60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5918243000</w:t>
            </w:r>
          </w:p>
        </w:tc>
        <w:tc>
          <w:tcPr>
            <w:tcW w:w="1036" w:type="dxa"/>
            <w:tcBorders>
              <w:top w:val="nil"/>
              <w:left w:val="nil"/>
              <w:bottom w:val="single" w:sz="4" w:space="0" w:color="auto"/>
              <w:right w:val="single" w:sz="4" w:space="0" w:color="auto"/>
            </w:tcBorders>
            <w:shd w:val="clear" w:color="auto" w:fill="auto"/>
            <w:noWrap/>
            <w:vAlign w:val="center"/>
            <w:hideMark/>
          </w:tcPr>
          <w:p w14:paraId="37E26E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73297216</w:t>
            </w:r>
          </w:p>
        </w:tc>
        <w:tc>
          <w:tcPr>
            <w:tcW w:w="160" w:type="dxa"/>
            <w:tcBorders>
              <w:top w:val="nil"/>
              <w:left w:val="nil"/>
              <w:bottom w:val="single" w:sz="4" w:space="0" w:color="auto"/>
              <w:right w:val="nil"/>
            </w:tcBorders>
            <w:vAlign w:val="center"/>
          </w:tcPr>
          <w:p w14:paraId="04BD1E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385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ŠOLA ZA RAVNATELJE</w:t>
            </w:r>
          </w:p>
        </w:tc>
      </w:tr>
      <w:tr w:rsidR="00072A69" w:rsidRPr="00DC6DF9" w14:paraId="48E3C02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DDB2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1682</w:t>
            </w:r>
          </w:p>
        </w:tc>
        <w:tc>
          <w:tcPr>
            <w:tcW w:w="1036" w:type="dxa"/>
            <w:tcBorders>
              <w:top w:val="nil"/>
              <w:left w:val="nil"/>
              <w:bottom w:val="single" w:sz="4" w:space="0" w:color="auto"/>
              <w:right w:val="single" w:sz="4" w:space="0" w:color="auto"/>
            </w:tcBorders>
            <w:shd w:val="clear" w:color="auto" w:fill="auto"/>
            <w:noWrap/>
            <w:vAlign w:val="center"/>
            <w:hideMark/>
          </w:tcPr>
          <w:p w14:paraId="051AD6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1429680000</w:t>
            </w:r>
          </w:p>
        </w:tc>
        <w:tc>
          <w:tcPr>
            <w:tcW w:w="1036" w:type="dxa"/>
            <w:tcBorders>
              <w:top w:val="nil"/>
              <w:left w:val="nil"/>
              <w:bottom w:val="single" w:sz="4" w:space="0" w:color="auto"/>
              <w:right w:val="single" w:sz="4" w:space="0" w:color="auto"/>
            </w:tcBorders>
            <w:shd w:val="clear" w:color="auto" w:fill="auto"/>
            <w:noWrap/>
            <w:vAlign w:val="center"/>
            <w:hideMark/>
          </w:tcPr>
          <w:p w14:paraId="7193A6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39631265</w:t>
            </w:r>
          </w:p>
        </w:tc>
        <w:tc>
          <w:tcPr>
            <w:tcW w:w="160" w:type="dxa"/>
            <w:tcBorders>
              <w:top w:val="nil"/>
              <w:left w:val="nil"/>
              <w:bottom w:val="single" w:sz="4" w:space="0" w:color="auto"/>
              <w:right w:val="nil"/>
            </w:tcBorders>
            <w:vAlign w:val="center"/>
          </w:tcPr>
          <w:p w14:paraId="48603E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4017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ŠOLSKE STORITVENE DEJAVNOSTI "PETKA" ŽALEC</w:t>
            </w:r>
          </w:p>
        </w:tc>
      </w:tr>
      <w:tr w:rsidR="00072A69" w:rsidRPr="00DC6DF9" w14:paraId="54AAF64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4FBA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1683</w:t>
            </w:r>
          </w:p>
        </w:tc>
        <w:tc>
          <w:tcPr>
            <w:tcW w:w="1036" w:type="dxa"/>
            <w:tcBorders>
              <w:top w:val="nil"/>
              <w:left w:val="nil"/>
              <w:bottom w:val="single" w:sz="4" w:space="0" w:color="auto"/>
              <w:right w:val="single" w:sz="4" w:space="0" w:color="auto"/>
            </w:tcBorders>
            <w:shd w:val="clear" w:color="auto" w:fill="auto"/>
            <w:noWrap/>
            <w:vAlign w:val="center"/>
            <w:hideMark/>
          </w:tcPr>
          <w:p w14:paraId="61B40B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5082692000</w:t>
            </w:r>
          </w:p>
        </w:tc>
        <w:tc>
          <w:tcPr>
            <w:tcW w:w="1036" w:type="dxa"/>
            <w:tcBorders>
              <w:top w:val="nil"/>
              <w:left w:val="nil"/>
              <w:bottom w:val="single" w:sz="4" w:space="0" w:color="auto"/>
              <w:right w:val="single" w:sz="4" w:space="0" w:color="auto"/>
            </w:tcBorders>
            <w:shd w:val="clear" w:color="auto" w:fill="auto"/>
            <w:noWrap/>
            <w:vAlign w:val="center"/>
            <w:hideMark/>
          </w:tcPr>
          <w:p w14:paraId="531EF0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76965007</w:t>
            </w:r>
          </w:p>
        </w:tc>
        <w:tc>
          <w:tcPr>
            <w:tcW w:w="160" w:type="dxa"/>
            <w:tcBorders>
              <w:top w:val="nil"/>
              <w:left w:val="nil"/>
              <w:bottom w:val="single" w:sz="4" w:space="0" w:color="auto"/>
              <w:right w:val="nil"/>
            </w:tcBorders>
            <w:vAlign w:val="center"/>
          </w:tcPr>
          <w:p w14:paraId="650149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7D8D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CELJE</w:t>
            </w:r>
          </w:p>
        </w:tc>
      </w:tr>
      <w:tr w:rsidR="00072A69" w:rsidRPr="00DC6DF9" w14:paraId="354A54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B760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1684</w:t>
            </w:r>
          </w:p>
        </w:tc>
        <w:tc>
          <w:tcPr>
            <w:tcW w:w="1036" w:type="dxa"/>
            <w:tcBorders>
              <w:top w:val="nil"/>
              <w:left w:val="nil"/>
              <w:bottom w:val="single" w:sz="4" w:space="0" w:color="auto"/>
              <w:right w:val="single" w:sz="4" w:space="0" w:color="auto"/>
            </w:tcBorders>
            <w:shd w:val="clear" w:color="auto" w:fill="auto"/>
            <w:noWrap/>
            <w:vAlign w:val="center"/>
            <w:hideMark/>
          </w:tcPr>
          <w:p w14:paraId="3EEEC2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6286259000</w:t>
            </w:r>
          </w:p>
        </w:tc>
        <w:tc>
          <w:tcPr>
            <w:tcW w:w="1036" w:type="dxa"/>
            <w:tcBorders>
              <w:top w:val="nil"/>
              <w:left w:val="nil"/>
              <w:bottom w:val="single" w:sz="4" w:space="0" w:color="auto"/>
              <w:right w:val="single" w:sz="4" w:space="0" w:color="auto"/>
            </w:tcBorders>
            <w:shd w:val="clear" w:color="auto" w:fill="auto"/>
            <w:noWrap/>
            <w:vAlign w:val="center"/>
            <w:hideMark/>
          </w:tcPr>
          <w:p w14:paraId="68B6E7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12782076</w:t>
            </w:r>
          </w:p>
        </w:tc>
        <w:tc>
          <w:tcPr>
            <w:tcW w:w="160" w:type="dxa"/>
            <w:tcBorders>
              <w:top w:val="nil"/>
              <w:left w:val="nil"/>
              <w:bottom w:val="single" w:sz="4" w:space="0" w:color="auto"/>
              <w:right w:val="nil"/>
            </w:tcBorders>
            <w:vAlign w:val="center"/>
          </w:tcPr>
          <w:p w14:paraId="4BE5FC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0B30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KRANJ</w:t>
            </w:r>
          </w:p>
        </w:tc>
      </w:tr>
      <w:tr w:rsidR="00072A69" w:rsidRPr="00DC6DF9" w14:paraId="1A997A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9B2C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1685</w:t>
            </w:r>
          </w:p>
        </w:tc>
        <w:tc>
          <w:tcPr>
            <w:tcW w:w="1036" w:type="dxa"/>
            <w:tcBorders>
              <w:top w:val="nil"/>
              <w:left w:val="nil"/>
              <w:bottom w:val="single" w:sz="4" w:space="0" w:color="auto"/>
              <w:right w:val="single" w:sz="4" w:space="0" w:color="auto"/>
            </w:tcBorders>
            <w:shd w:val="clear" w:color="auto" w:fill="auto"/>
            <w:noWrap/>
            <w:vAlign w:val="center"/>
            <w:hideMark/>
          </w:tcPr>
          <w:p w14:paraId="7EF96F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5083982000</w:t>
            </w:r>
          </w:p>
        </w:tc>
        <w:tc>
          <w:tcPr>
            <w:tcW w:w="1036" w:type="dxa"/>
            <w:tcBorders>
              <w:top w:val="nil"/>
              <w:left w:val="nil"/>
              <w:bottom w:val="single" w:sz="4" w:space="0" w:color="auto"/>
              <w:right w:val="single" w:sz="4" w:space="0" w:color="auto"/>
            </w:tcBorders>
            <w:shd w:val="clear" w:color="auto" w:fill="auto"/>
            <w:noWrap/>
            <w:vAlign w:val="center"/>
            <w:hideMark/>
          </w:tcPr>
          <w:p w14:paraId="42409F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36867578</w:t>
            </w:r>
          </w:p>
        </w:tc>
        <w:tc>
          <w:tcPr>
            <w:tcW w:w="160" w:type="dxa"/>
            <w:tcBorders>
              <w:top w:val="nil"/>
              <w:left w:val="nil"/>
              <w:bottom w:val="single" w:sz="4" w:space="0" w:color="auto"/>
              <w:right w:val="nil"/>
            </w:tcBorders>
            <w:vAlign w:val="center"/>
          </w:tcPr>
          <w:p w14:paraId="4441EB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EFB9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KRŠKO-SEVNICA</w:t>
            </w:r>
          </w:p>
        </w:tc>
      </w:tr>
      <w:tr w:rsidR="00072A69" w:rsidRPr="00DC6DF9" w14:paraId="65A35D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00A5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1686</w:t>
            </w:r>
          </w:p>
        </w:tc>
        <w:tc>
          <w:tcPr>
            <w:tcW w:w="1036" w:type="dxa"/>
            <w:tcBorders>
              <w:top w:val="nil"/>
              <w:left w:val="nil"/>
              <w:bottom w:val="single" w:sz="4" w:space="0" w:color="auto"/>
              <w:right w:val="single" w:sz="4" w:space="0" w:color="auto"/>
            </w:tcBorders>
            <w:shd w:val="clear" w:color="auto" w:fill="auto"/>
            <w:noWrap/>
            <w:vAlign w:val="center"/>
            <w:hideMark/>
          </w:tcPr>
          <w:p w14:paraId="6CE5BD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5089085000</w:t>
            </w:r>
          </w:p>
        </w:tc>
        <w:tc>
          <w:tcPr>
            <w:tcW w:w="1036" w:type="dxa"/>
            <w:tcBorders>
              <w:top w:val="nil"/>
              <w:left w:val="nil"/>
              <w:bottom w:val="single" w:sz="4" w:space="0" w:color="auto"/>
              <w:right w:val="single" w:sz="4" w:space="0" w:color="auto"/>
            </w:tcBorders>
            <w:shd w:val="clear" w:color="auto" w:fill="auto"/>
            <w:noWrap/>
            <w:vAlign w:val="center"/>
            <w:hideMark/>
          </w:tcPr>
          <w:p w14:paraId="44A201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69993211</w:t>
            </w:r>
          </w:p>
        </w:tc>
        <w:tc>
          <w:tcPr>
            <w:tcW w:w="160" w:type="dxa"/>
            <w:tcBorders>
              <w:top w:val="nil"/>
              <w:left w:val="nil"/>
              <w:bottom w:val="single" w:sz="4" w:space="0" w:color="auto"/>
              <w:right w:val="nil"/>
            </w:tcBorders>
            <w:vAlign w:val="center"/>
          </w:tcPr>
          <w:p w14:paraId="161BB1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8829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NOVA GORICA</w:t>
            </w:r>
          </w:p>
        </w:tc>
      </w:tr>
      <w:tr w:rsidR="00072A69" w:rsidRPr="00DC6DF9" w14:paraId="0E4AAF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38B5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1687</w:t>
            </w:r>
          </w:p>
        </w:tc>
        <w:tc>
          <w:tcPr>
            <w:tcW w:w="1036" w:type="dxa"/>
            <w:tcBorders>
              <w:top w:val="nil"/>
              <w:left w:val="nil"/>
              <w:bottom w:val="single" w:sz="4" w:space="0" w:color="auto"/>
              <w:right w:val="single" w:sz="4" w:space="0" w:color="auto"/>
            </w:tcBorders>
            <w:shd w:val="clear" w:color="auto" w:fill="auto"/>
            <w:noWrap/>
            <w:vAlign w:val="center"/>
            <w:hideMark/>
          </w:tcPr>
          <w:p w14:paraId="65A601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5258782000</w:t>
            </w:r>
          </w:p>
        </w:tc>
        <w:tc>
          <w:tcPr>
            <w:tcW w:w="1036" w:type="dxa"/>
            <w:tcBorders>
              <w:top w:val="nil"/>
              <w:left w:val="nil"/>
              <w:bottom w:val="single" w:sz="4" w:space="0" w:color="auto"/>
              <w:right w:val="single" w:sz="4" w:space="0" w:color="auto"/>
            </w:tcBorders>
            <w:shd w:val="clear" w:color="auto" w:fill="auto"/>
            <w:noWrap/>
            <w:vAlign w:val="center"/>
            <w:hideMark/>
          </w:tcPr>
          <w:p w14:paraId="2C9A55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68565127</w:t>
            </w:r>
          </w:p>
        </w:tc>
        <w:tc>
          <w:tcPr>
            <w:tcW w:w="160" w:type="dxa"/>
            <w:tcBorders>
              <w:top w:val="nil"/>
              <w:left w:val="nil"/>
              <w:bottom w:val="single" w:sz="4" w:space="0" w:color="auto"/>
              <w:right w:val="nil"/>
            </w:tcBorders>
            <w:vAlign w:val="center"/>
          </w:tcPr>
          <w:p w14:paraId="37BFED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8FA1D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NOVO MESTO</w:t>
            </w:r>
          </w:p>
        </w:tc>
      </w:tr>
      <w:tr w:rsidR="00072A69" w:rsidRPr="00DC6DF9" w14:paraId="617E26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28D5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1688</w:t>
            </w:r>
          </w:p>
        </w:tc>
        <w:tc>
          <w:tcPr>
            <w:tcW w:w="1036" w:type="dxa"/>
            <w:tcBorders>
              <w:top w:val="nil"/>
              <w:left w:val="nil"/>
              <w:bottom w:val="single" w:sz="4" w:space="0" w:color="auto"/>
              <w:right w:val="single" w:sz="4" w:space="0" w:color="auto"/>
            </w:tcBorders>
            <w:shd w:val="clear" w:color="auto" w:fill="auto"/>
            <w:noWrap/>
            <w:vAlign w:val="center"/>
            <w:hideMark/>
          </w:tcPr>
          <w:p w14:paraId="5382B1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5086957000</w:t>
            </w:r>
          </w:p>
        </w:tc>
        <w:tc>
          <w:tcPr>
            <w:tcW w:w="1036" w:type="dxa"/>
            <w:tcBorders>
              <w:top w:val="nil"/>
              <w:left w:val="nil"/>
              <w:bottom w:val="single" w:sz="4" w:space="0" w:color="auto"/>
              <w:right w:val="single" w:sz="4" w:space="0" w:color="auto"/>
            </w:tcBorders>
            <w:shd w:val="clear" w:color="auto" w:fill="auto"/>
            <w:noWrap/>
            <w:vAlign w:val="center"/>
            <w:hideMark/>
          </w:tcPr>
          <w:p w14:paraId="57EF1A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17067006</w:t>
            </w:r>
          </w:p>
        </w:tc>
        <w:tc>
          <w:tcPr>
            <w:tcW w:w="160" w:type="dxa"/>
            <w:tcBorders>
              <w:top w:val="nil"/>
              <w:left w:val="nil"/>
              <w:bottom w:val="single" w:sz="4" w:space="0" w:color="auto"/>
              <w:right w:val="nil"/>
            </w:tcBorders>
            <w:vAlign w:val="center"/>
          </w:tcPr>
          <w:p w14:paraId="0ADC1D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71E5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POSTOJNA</w:t>
            </w:r>
          </w:p>
        </w:tc>
      </w:tr>
      <w:tr w:rsidR="00072A69" w:rsidRPr="00DC6DF9" w14:paraId="17FFAB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A770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1689</w:t>
            </w:r>
          </w:p>
        </w:tc>
        <w:tc>
          <w:tcPr>
            <w:tcW w:w="1036" w:type="dxa"/>
            <w:tcBorders>
              <w:top w:val="nil"/>
              <w:left w:val="nil"/>
              <w:bottom w:val="single" w:sz="4" w:space="0" w:color="auto"/>
              <w:right w:val="single" w:sz="4" w:space="0" w:color="auto"/>
            </w:tcBorders>
            <w:shd w:val="clear" w:color="auto" w:fill="auto"/>
            <w:noWrap/>
            <w:vAlign w:val="center"/>
            <w:hideMark/>
          </w:tcPr>
          <w:p w14:paraId="15840C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5064678000</w:t>
            </w:r>
          </w:p>
        </w:tc>
        <w:tc>
          <w:tcPr>
            <w:tcW w:w="1036" w:type="dxa"/>
            <w:tcBorders>
              <w:top w:val="nil"/>
              <w:left w:val="nil"/>
              <w:bottom w:val="single" w:sz="4" w:space="0" w:color="auto"/>
              <w:right w:val="single" w:sz="4" w:space="0" w:color="auto"/>
            </w:tcBorders>
            <w:shd w:val="clear" w:color="auto" w:fill="auto"/>
            <w:noWrap/>
            <w:vAlign w:val="center"/>
            <w:hideMark/>
          </w:tcPr>
          <w:p w14:paraId="05D040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23369809</w:t>
            </w:r>
          </w:p>
        </w:tc>
        <w:tc>
          <w:tcPr>
            <w:tcW w:w="160" w:type="dxa"/>
            <w:tcBorders>
              <w:top w:val="nil"/>
              <w:left w:val="nil"/>
              <w:bottom w:val="single" w:sz="4" w:space="0" w:color="auto"/>
              <w:right w:val="nil"/>
            </w:tcBorders>
            <w:vAlign w:val="center"/>
          </w:tcPr>
          <w:p w14:paraId="21442A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30A3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PTUJ</w:t>
            </w:r>
          </w:p>
        </w:tc>
      </w:tr>
      <w:tr w:rsidR="00072A69" w:rsidRPr="00DC6DF9" w14:paraId="6A5EE6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6C8F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1690</w:t>
            </w:r>
          </w:p>
        </w:tc>
        <w:tc>
          <w:tcPr>
            <w:tcW w:w="1036" w:type="dxa"/>
            <w:tcBorders>
              <w:top w:val="nil"/>
              <w:left w:val="nil"/>
              <w:bottom w:val="single" w:sz="4" w:space="0" w:color="auto"/>
              <w:right w:val="single" w:sz="4" w:space="0" w:color="auto"/>
            </w:tcBorders>
            <w:shd w:val="clear" w:color="auto" w:fill="auto"/>
            <w:noWrap/>
            <w:vAlign w:val="center"/>
            <w:hideMark/>
          </w:tcPr>
          <w:p w14:paraId="4DC86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2345188000</w:t>
            </w:r>
          </w:p>
        </w:tc>
        <w:tc>
          <w:tcPr>
            <w:tcW w:w="1036" w:type="dxa"/>
            <w:tcBorders>
              <w:top w:val="nil"/>
              <w:left w:val="nil"/>
              <w:bottom w:val="single" w:sz="4" w:space="0" w:color="auto"/>
              <w:right w:val="single" w:sz="4" w:space="0" w:color="auto"/>
            </w:tcBorders>
            <w:shd w:val="clear" w:color="auto" w:fill="auto"/>
            <w:noWrap/>
            <w:vAlign w:val="center"/>
            <w:hideMark/>
          </w:tcPr>
          <w:p w14:paraId="1C927F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27201163</w:t>
            </w:r>
          </w:p>
        </w:tc>
        <w:tc>
          <w:tcPr>
            <w:tcW w:w="160" w:type="dxa"/>
            <w:tcBorders>
              <w:top w:val="nil"/>
              <w:left w:val="nil"/>
              <w:bottom w:val="single" w:sz="4" w:space="0" w:color="auto"/>
              <w:right w:val="nil"/>
            </w:tcBorders>
            <w:vAlign w:val="center"/>
          </w:tcPr>
          <w:p w14:paraId="3B26DD0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F97D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RAVNE NA KOROŠKEM</w:t>
            </w:r>
          </w:p>
        </w:tc>
      </w:tr>
      <w:tr w:rsidR="00072A69" w:rsidRPr="00DC6DF9" w14:paraId="7606179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C33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1691</w:t>
            </w:r>
          </w:p>
        </w:tc>
        <w:tc>
          <w:tcPr>
            <w:tcW w:w="1036" w:type="dxa"/>
            <w:tcBorders>
              <w:top w:val="nil"/>
              <w:left w:val="nil"/>
              <w:bottom w:val="single" w:sz="4" w:space="0" w:color="auto"/>
              <w:right w:val="single" w:sz="4" w:space="0" w:color="auto"/>
            </w:tcBorders>
            <w:shd w:val="clear" w:color="auto" w:fill="auto"/>
            <w:noWrap/>
            <w:vAlign w:val="center"/>
            <w:hideMark/>
          </w:tcPr>
          <w:p w14:paraId="3CA888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5087996000</w:t>
            </w:r>
          </w:p>
        </w:tc>
        <w:tc>
          <w:tcPr>
            <w:tcW w:w="1036" w:type="dxa"/>
            <w:tcBorders>
              <w:top w:val="nil"/>
              <w:left w:val="nil"/>
              <w:bottom w:val="single" w:sz="4" w:space="0" w:color="auto"/>
              <w:right w:val="single" w:sz="4" w:space="0" w:color="auto"/>
            </w:tcBorders>
            <w:shd w:val="clear" w:color="auto" w:fill="auto"/>
            <w:noWrap/>
            <w:vAlign w:val="center"/>
            <w:hideMark/>
          </w:tcPr>
          <w:p w14:paraId="287C6A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21344205</w:t>
            </w:r>
          </w:p>
        </w:tc>
        <w:tc>
          <w:tcPr>
            <w:tcW w:w="160" w:type="dxa"/>
            <w:tcBorders>
              <w:top w:val="nil"/>
              <w:left w:val="nil"/>
              <w:bottom w:val="single" w:sz="4" w:space="0" w:color="auto"/>
              <w:right w:val="nil"/>
            </w:tcBorders>
            <w:vAlign w:val="center"/>
          </w:tcPr>
          <w:p w14:paraId="4810A5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A51A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ROGAŠKA SLATINA</w:t>
            </w:r>
          </w:p>
        </w:tc>
      </w:tr>
      <w:tr w:rsidR="00072A69" w:rsidRPr="00DC6DF9" w14:paraId="54FB89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C4BA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1692</w:t>
            </w:r>
          </w:p>
        </w:tc>
        <w:tc>
          <w:tcPr>
            <w:tcW w:w="1036" w:type="dxa"/>
            <w:tcBorders>
              <w:top w:val="nil"/>
              <w:left w:val="nil"/>
              <w:bottom w:val="single" w:sz="4" w:space="0" w:color="auto"/>
              <w:right w:val="single" w:sz="4" w:space="0" w:color="auto"/>
            </w:tcBorders>
            <w:shd w:val="clear" w:color="auto" w:fill="auto"/>
            <w:noWrap/>
            <w:vAlign w:val="center"/>
            <w:hideMark/>
          </w:tcPr>
          <w:p w14:paraId="302075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5089417000</w:t>
            </w:r>
          </w:p>
        </w:tc>
        <w:tc>
          <w:tcPr>
            <w:tcW w:w="1036" w:type="dxa"/>
            <w:tcBorders>
              <w:top w:val="nil"/>
              <w:left w:val="nil"/>
              <w:bottom w:val="single" w:sz="4" w:space="0" w:color="auto"/>
              <w:right w:val="single" w:sz="4" w:space="0" w:color="auto"/>
            </w:tcBorders>
            <w:shd w:val="clear" w:color="auto" w:fill="auto"/>
            <w:noWrap/>
            <w:vAlign w:val="center"/>
            <w:hideMark/>
          </w:tcPr>
          <w:p w14:paraId="6845D8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73346276</w:t>
            </w:r>
          </w:p>
        </w:tc>
        <w:tc>
          <w:tcPr>
            <w:tcW w:w="160" w:type="dxa"/>
            <w:tcBorders>
              <w:top w:val="nil"/>
              <w:left w:val="nil"/>
              <w:bottom w:val="single" w:sz="4" w:space="0" w:color="auto"/>
              <w:right w:val="nil"/>
            </w:tcBorders>
            <w:vAlign w:val="center"/>
          </w:tcPr>
          <w:p w14:paraId="5A84E5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6C68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SLOVENJ GRADEC</w:t>
            </w:r>
          </w:p>
        </w:tc>
      </w:tr>
      <w:tr w:rsidR="00072A69" w:rsidRPr="00DC6DF9" w14:paraId="32A11BC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D523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1693</w:t>
            </w:r>
          </w:p>
        </w:tc>
        <w:tc>
          <w:tcPr>
            <w:tcW w:w="1036" w:type="dxa"/>
            <w:tcBorders>
              <w:top w:val="nil"/>
              <w:left w:val="nil"/>
              <w:bottom w:val="single" w:sz="4" w:space="0" w:color="auto"/>
              <w:right w:val="single" w:sz="4" w:space="0" w:color="auto"/>
            </w:tcBorders>
            <w:shd w:val="clear" w:color="auto" w:fill="auto"/>
            <w:noWrap/>
            <w:vAlign w:val="center"/>
            <w:hideMark/>
          </w:tcPr>
          <w:p w14:paraId="1BAF54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5052343000</w:t>
            </w:r>
          </w:p>
        </w:tc>
        <w:tc>
          <w:tcPr>
            <w:tcW w:w="1036" w:type="dxa"/>
            <w:tcBorders>
              <w:top w:val="nil"/>
              <w:left w:val="nil"/>
              <w:bottom w:val="single" w:sz="4" w:space="0" w:color="auto"/>
              <w:right w:val="single" w:sz="4" w:space="0" w:color="auto"/>
            </w:tcBorders>
            <w:shd w:val="clear" w:color="auto" w:fill="auto"/>
            <w:noWrap/>
            <w:vAlign w:val="center"/>
            <w:hideMark/>
          </w:tcPr>
          <w:p w14:paraId="3036D5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93550049</w:t>
            </w:r>
          </w:p>
        </w:tc>
        <w:tc>
          <w:tcPr>
            <w:tcW w:w="160" w:type="dxa"/>
            <w:tcBorders>
              <w:top w:val="nil"/>
              <w:left w:val="nil"/>
              <w:bottom w:val="single" w:sz="4" w:space="0" w:color="auto"/>
              <w:right w:val="nil"/>
            </w:tcBorders>
            <w:vAlign w:val="center"/>
          </w:tcPr>
          <w:p w14:paraId="429DE4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5DE1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SLOVENSKE KONJICE - ZREČE</w:t>
            </w:r>
          </w:p>
        </w:tc>
      </w:tr>
      <w:tr w:rsidR="00072A69" w:rsidRPr="00DC6DF9" w14:paraId="6B9A2F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B497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1694</w:t>
            </w:r>
          </w:p>
        </w:tc>
        <w:tc>
          <w:tcPr>
            <w:tcW w:w="1036" w:type="dxa"/>
            <w:tcBorders>
              <w:top w:val="nil"/>
              <w:left w:val="nil"/>
              <w:bottom w:val="single" w:sz="4" w:space="0" w:color="auto"/>
              <w:right w:val="single" w:sz="4" w:space="0" w:color="auto"/>
            </w:tcBorders>
            <w:shd w:val="clear" w:color="auto" w:fill="auto"/>
            <w:noWrap/>
            <w:vAlign w:val="center"/>
            <w:hideMark/>
          </w:tcPr>
          <w:p w14:paraId="50130F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5009189000</w:t>
            </w:r>
          </w:p>
        </w:tc>
        <w:tc>
          <w:tcPr>
            <w:tcW w:w="1036" w:type="dxa"/>
            <w:tcBorders>
              <w:top w:val="nil"/>
              <w:left w:val="nil"/>
              <w:bottom w:val="single" w:sz="4" w:space="0" w:color="auto"/>
              <w:right w:val="single" w:sz="4" w:space="0" w:color="auto"/>
            </w:tcBorders>
            <w:shd w:val="clear" w:color="auto" w:fill="auto"/>
            <w:noWrap/>
            <w:vAlign w:val="center"/>
            <w:hideMark/>
          </w:tcPr>
          <w:p w14:paraId="06339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74080601</w:t>
            </w:r>
          </w:p>
        </w:tc>
        <w:tc>
          <w:tcPr>
            <w:tcW w:w="160" w:type="dxa"/>
            <w:tcBorders>
              <w:top w:val="nil"/>
              <w:left w:val="nil"/>
              <w:bottom w:val="single" w:sz="4" w:space="0" w:color="auto"/>
              <w:right w:val="nil"/>
            </w:tcBorders>
            <w:vAlign w:val="center"/>
          </w:tcPr>
          <w:p w14:paraId="046643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3A24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SREČKA KOSOVELA SEŽANA</w:t>
            </w:r>
          </w:p>
        </w:tc>
      </w:tr>
      <w:tr w:rsidR="00072A69" w:rsidRPr="00DC6DF9" w14:paraId="132283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2FB7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1695</w:t>
            </w:r>
          </w:p>
        </w:tc>
        <w:tc>
          <w:tcPr>
            <w:tcW w:w="1036" w:type="dxa"/>
            <w:tcBorders>
              <w:top w:val="nil"/>
              <w:left w:val="nil"/>
              <w:bottom w:val="single" w:sz="4" w:space="0" w:color="auto"/>
              <w:right w:val="single" w:sz="4" w:space="0" w:color="auto"/>
            </w:tcBorders>
            <w:shd w:val="clear" w:color="auto" w:fill="auto"/>
            <w:noWrap/>
            <w:vAlign w:val="center"/>
            <w:hideMark/>
          </w:tcPr>
          <w:p w14:paraId="62AB2A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1214438000</w:t>
            </w:r>
          </w:p>
        </w:tc>
        <w:tc>
          <w:tcPr>
            <w:tcW w:w="1036" w:type="dxa"/>
            <w:tcBorders>
              <w:top w:val="nil"/>
              <w:left w:val="nil"/>
              <w:bottom w:val="single" w:sz="4" w:space="0" w:color="auto"/>
              <w:right w:val="single" w:sz="4" w:space="0" w:color="auto"/>
            </w:tcBorders>
            <w:shd w:val="clear" w:color="auto" w:fill="auto"/>
            <w:noWrap/>
            <w:vAlign w:val="center"/>
            <w:hideMark/>
          </w:tcPr>
          <w:p w14:paraId="5B9CD4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11775823</w:t>
            </w:r>
          </w:p>
        </w:tc>
        <w:tc>
          <w:tcPr>
            <w:tcW w:w="160" w:type="dxa"/>
            <w:tcBorders>
              <w:top w:val="nil"/>
              <w:left w:val="nil"/>
              <w:bottom w:val="single" w:sz="4" w:space="0" w:color="auto"/>
              <w:right w:val="nil"/>
            </w:tcBorders>
            <w:vAlign w:val="center"/>
          </w:tcPr>
          <w:p w14:paraId="2A91DD6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E70E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ŠENTJUR</w:t>
            </w:r>
          </w:p>
        </w:tc>
      </w:tr>
      <w:tr w:rsidR="00072A69" w:rsidRPr="00DC6DF9" w14:paraId="6D5C5F1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0D87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1696</w:t>
            </w:r>
          </w:p>
        </w:tc>
        <w:tc>
          <w:tcPr>
            <w:tcW w:w="1036" w:type="dxa"/>
            <w:tcBorders>
              <w:top w:val="nil"/>
              <w:left w:val="nil"/>
              <w:bottom w:val="single" w:sz="4" w:space="0" w:color="auto"/>
              <w:right w:val="single" w:sz="4" w:space="0" w:color="auto"/>
            </w:tcBorders>
            <w:shd w:val="clear" w:color="auto" w:fill="auto"/>
            <w:noWrap/>
            <w:vAlign w:val="center"/>
            <w:hideMark/>
          </w:tcPr>
          <w:p w14:paraId="580192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5087872000</w:t>
            </w:r>
          </w:p>
        </w:tc>
        <w:tc>
          <w:tcPr>
            <w:tcW w:w="1036" w:type="dxa"/>
            <w:tcBorders>
              <w:top w:val="nil"/>
              <w:left w:val="nil"/>
              <w:bottom w:val="single" w:sz="4" w:space="0" w:color="auto"/>
              <w:right w:val="single" w:sz="4" w:space="0" w:color="auto"/>
            </w:tcBorders>
            <w:shd w:val="clear" w:color="auto" w:fill="auto"/>
            <w:noWrap/>
            <w:vAlign w:val="center"/>
            <w:hideMark/>
          </w:tcPr>
          <w:p w14:paraId="4F5372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13129635</w:t>
            </w:r>
          </w:p>
        </w:tc>
        <w:tc>
          <w:tcPr>
            <w:tcW w:w="160" w:type="dxa"/>
            <w:tcBorders>
              <w:top w:val="nil"/>
              <w:left w:val="nil"/>
              <w:bottom w:val="single" w:sz="4" w:space="0" w:color="auto"/>
              <w:right w:val="nil"/>
            </w:tcBorders>
            <w:vAlign w:val="center"/>
          </w:tcPr>
          <w:p w14:paraId="4F5D1BA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FBA1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ŠKOFJA LOKA</w:t>
            </w:r>
          </w:p>
        </w:tc>
      </w:tr>
      <w:tr w:rsidR="00072A69" w:rsidRPr="00DC6DF9" w14:paraId="3503C4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B879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1697</w:t>
            </w:r>
          </w:p>
        </w:tc>
        <w:tc>
          <w:tcPr>
            <w:tcW w:w="1036" w:type="dxa"/>
            <w:tcBorders>
              <w:top w:val="nil"/>
              <w:left w:val="nil"/>
              <w:bottom w:val="single" w:sz="4" w:space="0" w:color="auto"/>
              <w:right w:val="single" w:sz="4" w:space="0" w:color="auto"/>
            </w:tcBorders>
            <w:shd w:val="clear" w:color="auto" w:fill="auto"/>
            <w:noWrap/>
            <w:vAlign w:val="center"/>
            <w:hideMark/>
          </w:tcPr>
          <w:p w14:paraId="3F1BF6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5243050000</w:t>
            </w:r>
          </w:p>
        </w:tc>
        <w:tc>
          <w:tcPr>
            <w:tcW w:w="1036" w:type="dxa"/>
            <w:tcBorders>
              <w:top w:val="nil"/>
              <w:left w:val="nil"/>
              <w:bottom w:val="single" w:sz="4" w:space="0" w:color="auto"/>
              <w:right w:val="single" w:sz="4" w:space="0" w:color="auto"/>
            </w:tcBorders>
            <w:shd w:val="clear" w:color="auto" w:fill="auto"/>
            <w:noWrap/>
            <w:vAlign w:val="center"/>
            <w:hideMark/>
          </w:tcPr>
          <w:p w14:paraId="2ED25C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98282522</w:t>
            </w:r>
          </w:p>
        </w:tc>
        <w:tc>
          <w:tcPr>
            <w:tcW w:w="160" w:type="dxa"/>
            <w:tcBorders>
              <w:top w:val="nil"/>
              <w:left w:val="nil"/>
              <w:bottom w:val="single" w:sz="4" w:space="0" w:color="auto"/>
              <w:right w:val="nil"/>
            </w:tcBorders>
            <w:vAlign w:val="center"/>
          </w:tcPr>
          <w:p w14:paraId="57243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B0FD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VELENJE</w:t>
            </w:r>
          </w:p>
        </w:tc>
      </w:tr>
      <w:tr w:rsidR="00072A69" w:rsidRPr="00DC6DF9" w14:paraId="3A6ADA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8BF3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1698</w:t>
            </w:r>
          </w:p>
        </w:tc>
        <w:tc>
          <w:tcPr>
            <w:tcW w:w="1036" w:type="dxa"/>
            <w:tcBorders>
              <w:top w:val="nil"/>
              <w:left w:val="nil"/>
              <w:bottom w:val="single" w:sz="4" w:space="0" w:color="auto"/>
              <w:right w:val="single" w:sz="4" w:space="0" w:color="auto"/>
            </w:tcBorders>
            <w:shd w:val="clear" w:color="auto" w:fill="auto"/>
            <w:noWrap/>
            <w:vAlign w:val="center"/>
            <w:hideMark/>
          </w:tcPr>
          <w:p w14:paraId="500C87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5083435000</w:t>
            </w:r>
          </w:p>
        </w:tc>
        <w:tc>
          <w:tcPr>
            <w:tcW w:w="1036" w:type="dxa"/>
            <w:tcBorders>
              <w:top w:val="nil"/>
              <w:left w:val="nil"/>
              <w:bottom w:val="single" w:sz="4" w:space="0" w:color="auto"/>
              <w:right w:val="single" w:sz="4" w:space="0" w:color="auto"/>
            </w:tcBorders>
            <w:shd w:val="clear" w:color="auto" w:fill="auto"/>
            <w:noWrap/>
            <w:vAlign w:val="center"/>
            <w:hideMark/>
          </w:tcPr>
          <w:p w14:paraId="0BB340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76893375</w:t>
            </w:r>
          </w:p>
        </w:tc>
        <w:tc>
          <w:tcPr>
            <w:tcW w:w="160" w:type="dxa"/>
            <w:tcBorders>
              <w:top w:val="nil"/>
              <w:left w:val="nil"/>
              <w:bottom w:val="single" w:sz="4" w:space="0" w:color="auto"/>
              <w:right w:val="nil"/>
            </w:tcBorders>
            <w:vAlign w:val="center"/>
          </w:tcPr>
          <w:p w14:paraId="76AC1C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D0C0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ŠOLSKI CENTER ZA POŠTO, EKONOMIJO IN TELEKOMUNIKACIJE LJUBLJANA</w:t>
            </w:r>
          </w:p>
        </w:tc>
      </w:tr>
      <w:tr w:rsidR="00072A69" w:rsidRPr="00DC6DF9" w14:paraId="0A4EC0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4260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1699</w:t>
            </w:r>
          </w:p>
        </w:tc>
        <w:tc>
          <w:tcPr>
            <w:tcW w:w="1036" w:type="dxa"/>
            <w:tcBorders>
              <w:top w:val="nil"/>
              <w:left w:val="nil"/>
              <w:bottom w:val="single" w:sz="4" w:space="0" w:color="auto"/>
              <w:right w:val="single" w:sz="4" w:space="0" w:color="auto"/>
            </w:tcBorders>
            <w:shd w:val="clear" w:color="auto" w:fill="auto"/>
            <w:noWrap/>
            <w:vAlign w:val="center"/>
            <w:hideMark/>
          </w:tcPr>
          <w:p w14:paraId="7D8947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5145414000</w:t>
            </w:r>
          </w:p>
        </w:tc>
        <w:tc>
          <w:tcPr>
            <w:tcW w:w="1036" w:type="dxa"/>
            <w:tcBorders>
              <w:top w:val="nil"/>
              <w:left w:val="nil"/>
              <w:bottom w:val="single" w:sz="4" w:space="0" w:color="auto"/>
              <w:right w:val="single" w:sz="4" w:space="0" w:color="auto"/>
            </w:tcBorders>
            <w:shd w:val="clear" w:color="auto" w:fill="auto"/>
            <w:noWrap/>
            <w:vAlign w:val="center"/>
            <w:hideMark/>
          </w:tcPr>
          <w:p w14:paraId="167F89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63489767</w:t>
            </w:r>
          </w:p>
        </w:tc>
        <w:tc>
          <w:tcPr>
            <w:tcW w:w="160" w:type="dxa"/>
            <w:tcBorders>
              <w:top w:val="nil"/>
              <w:left w:val="nil"/>
              <w:bottom w:val="single" w:sz="4" w:space="0" w:color="auto"/>
              <w:right w:val="nil"/>
            </w:tcBorders>
            <w:vAlign w:val="center"/>
          </w:tcPr>
          <w:p w14:paraId="35BEEA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4857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ŠPORT LJUBLJANA</w:t>
            </w:r>
          </w:p>
        </w:tc>
      </w:tr>
      <w:tr w:rsidR="00072A69" w:rsidRPr="00DC6DF9" w14:paraId="66123B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434D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1700</w:t>
            </w:r>
          </w:p>
        </w:tc>
        <w:tc>
          <w:tcPr>
            <w:tcW w:w="1036" w:type="dxa"/>
            <w:tcBorders>
              <w:top w:val="nil"/>
              <w:left w:val="nil"/>
              <w:bottom w:val="single" w:sz="4" w:space="0" w:color="auto"/>
              <w:right w:val="single" w:sz="4" w:space="0" w:color="auto"/>
            </w:tcBorders>
            <w:shd w:val="clear" w:color="auto" w:fill="auto"/>
            <w:noWrap/>
            <w:vAlign w:val="center"/>
            <w:hideMark/>
          </w:tcPr>
          <w:p w14:paraId="52F748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5915376000</w:t>
            </w:r>
          </w:p>
        </w:tc>
        <w:tc>
          <w:tcPr>
            <w:tcW w:w="1036" w:type="dxa"/>
            <w:tcBorders>
              <w:top w:val="nil"/>
              <w:left w:val="nil"/>
              <w:bottom w:val="single" w:sz="4" w:space="0" w:color="auto"/>
              <w:right w:val="single" w:sz="4" w:space="0" w:color="auto"/>
            </w:tcBorders>
            <w:shd w:val="clear" w:color="auto" w:fill="auto"/>
            <w:noWrap/>
            <w:vAlign w:val="center"/>
            <w:hideMark/>
          </w:tcPr>
          <w:p w14:paraId="73B45F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37238221</w:t>
            </w:r>
          </w:p>
        </w:tc>
        <w:tc>
          <w:tcPr>
            <w:tcW w:w="160" w:type="dxa"/>
            <w:tcBorders>
              <w:top w:val="nil"/>
              <w:left w:val="nil"/>
              <w:bottom w:val="single" w:sz="4" w:space="0" w:color="auto"/>
              <w:right w:val="nil"/>
            </w:tcBorders>
            <w:vAlign w:val="center"/>
          </w:tcPr>
          <w:p w14:paraId="69B996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CA7C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ŠPORTNI IN MLADINSKI CENTER PIRAN</w:t>
            </w:r>
          </w:p>
        </w:tc>
      </w:tr>
      <w:tr w:rsidR="00072A69" w:rsidRPr="00DC6DF9" w14:paraId="6CBDF7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8B1C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1701</w:t>
            </w:r>
          </w:p>
        </w:tc>
        <w:tc>
          <w:tcPr>
            <w:tcW w:w="1036" w:type="dxa"/>
            <w:tcBorders>
              <w:top w:val="nil"/>
              <w:left w:val="nil"/>
              <w:bottom w:val="single" w:sz="4" w:space="0" w:color="auto"/>
              <w:right w:val="single" w:sz="4" w:space="0" w:color="auto"/>
            </w:tcBorders>
            <w:shd w:val="clear" w:color="auto" w:fill="auto"/>
            <w:noWrap/>
            <w:vAlign w:val="center"/>
            <w:hideMark/>
          </w:tcPr>
          <w:p w14:paraId="47D230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3388042000</w:t>
            </w:r>
          </w:p>
        </w:tc>
        <w:tc>
          <w:tcPr>
            <w:tcW w:w="1036" w:type="dxa"/>
            <w:tcBorders>
              <w:top w:val="nil"/>
              <w:left w:val="nil"/>
              <w:bottom w:val="single" w:sz="4" w:space="0" w:color="auto"/>
              <w:right w:val="single" w:sz="4" w:space="0" w:color="auto"/>
            </w:tcBorders>
            <w:shd w:val="clear" w:color="auto" w:fill="auto"/>
            <w:noWrap/>
            <w:vAlign w:val="center"/>
            <w:hideMark/>
          </w:tcPr>
          <w:p w14:paraId="659A6C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10663924</w:t>
            </w:r>
          </w:p>
        </w:tc>
        <w:tc>
          <w:tcPr>
            <w:tcW w:w="160" w:type="dxa"/>
            <w:tcBorders>
              <w:top w:val="nil"/>
              <w:left w:val="nil"/>
              <w:bottom w:val="single" w:sz="4" w:space="0" w:color="auto"/>
              <w:right w:val="nil"/>
            </w:tcBorders>
            <w:vAlign w:val="center"/>
          </w:tcPr>
          <w:p w14:paraId="7031C2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F673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ŠPORTNI OBJEKTI MARIBOR</w:t>
            </w:r>
          </w:p>
        </w:tc>
      </w:tr>
      <w:tr w:rsidR="00072A69" w:rsidRPr="00DC6DF9" w14:paraId="485ADD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CBA1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1702</w:t>
            </w:r>
          </w:p>
        </w:tc>
        <w:tc>
          <w:tcPr>
            <w:tcW w:w="1036" w:type="dxa"/>
            <w:tcBorders>
              <w:top w:val="nil"/>
              <w:left w:val="nil"/>
              <w:bottom w:val="single" w:sz="4" w:space="0" w:color="auto"/>
              <w:right w:val="single" w:sz="4" w:space="0" w:color="auto"/>
            </w:tcBorders>
            <w:shd w:val="clear" w:color="auto" w:fill="auto"/>
            <w:noWrap/>
            <w:vAlign w:val="center"/>
            <w:hideMark/>
          </w:tcPr>
          <w:p w14:paraId="750306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1411004000</w:t>
            </w:r>
          </w:p>
        </w:tc>
        <w:tc>
          <w:tcPr>
            <w:tcW w:w="1036" w:type="dxa"/>
            <w:tcBorders>
              <w:top w:val="nil"/>
              <w:left w:val="nil"/>
              <w:bottom w:val="single" w:sz="4" w:space="0" w:color="auto"/>
              <w:right w:val="single" w:sz="4" w:space="0" w:color="auto"/>
            </w:tcBorders>
            <w:shd w:val="clear" w:color="auto" w:fill="auto"/>
            <w:noWrap/>
            <w:vAlign w:val="center"/>
            <w:hideMark/>
          </w:tcPr>
          <w:p w14:paraId="10189F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62792601</w:t>
            </w:r>
          </w:p>
        </w:tc>
        <w:tc>
          <w:tcPr>
            <w:tcW w:w="160" w:type="dxa"/>
            <w:tcBorders>
              <w:top w:val="nil"/>
              <w:left w:val="nil"/>
              <w:bottom w:val="single" w:sz="4" w:space="0" w:color="auto"/>
              <w:right w:val="nil"/>
            </w:tcBorders>
            <w:vAlign w:val="center"/>
          </w:tcPr>
          <w:p w14:paraId="1BBE84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E849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ŠTUDENTSKA ORGANIZACIJA SLOVENIJE</w:t>
            </w:r>
          </w:p>
        </w:tc>
      </w:tr>
      <w:tr w:rsidR="00072A69" w:rsidRPr="00DC6DF9" w14:paraId="78190C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E1D6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1703</w:t>
            </w:r>
          </w:p>
        </w:tc>
        <w:tc>
          <w:tcPr>
            <w:tcW w:w="1036" w:type="dxa"/>
            <w:tcBorders>
              <w:top w:val="nil"/>
              <w:left w:val="nil"/>
              <w:bottom w:val="single" w:sz="4" w:space="0" w:color="auto"/>
              <w:right w:val="single" w:sz="4" w:space="0" w:color="auto"/>
            </w:tcBorders>
            <w:shd w:val="clear" w:color="auto" w:fill="auto"/>
            <w:noWrap/>
            <w:vAlign w:val="center"/>
            <w:hideMark/>
          </w:tcPr>
          <w:p w14:paraId="52FF85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6280722000</w:t>
            </w:r>
          </w:p>
        </w:tc>
        <w:tc>
          <w:tcPr>
            <w:tcW w:w="1036" w:type="dxa"/>
            <w:tcBorders>
              <w:top w:val="nil"/>
              <w:left w:val="nil"/>
              <w:bottom w:val="single" w:sz="4" w:space="0" w:color="auto"/>
              <w:right w:val="single" w:sz="4" w:space="0" w:color="auto"/>
            </w:tcBorders>
            <w:shd w:val="clear" w:color="auto" w:fill="auto"/>
            <w:noWrap/>
            <w:vAlign w:val="center"/>
            <w:hideMark/>
          </w:tcPr>
          <w:p w14:paraId="2FB1C1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13258664</w:t>
            </w:r>
          </w:p>
        </w:tc>
        <w:tc>
          <w:tcPr>
            <w:tcW w:w="160" w:type="dxa"/>
            <w:tcBorders>
              <w:top w:val="nil"/>
              <w:left w:val="nil"/>
              <w:bottom w:val="single" w:sz="4" w:space="0" w:color="auto"/>
              <w:right w:val="nil"/>
            </w:tcBorders>
            <w:vAlign w:val="center"/>
          </w:tcPr>
          <w:p w14:paraId="515E7C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D1B4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ŠTUDENTSKI DOM LJUBLJANA</w:t>
            </w:r>
          </w:p>
        </w:tc>
      </w:tr>
      <w:tr w:rsidR="00072A69" w:rsidRPr="00DC6DF9" w14:paraId="00DA59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0351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1704</w:t>
            </w:r>
          </w:p>
        </w:tc>
        <w:tc>
          <w:tcPr>
            <w:tcW w:w="1036" w:type="dxa"/>
            <w:tcBorders>
              <w:top w:val="nil"/>
              <w:left w:val="nil"/>
              <w:bottom w:val="single" w:sz="4" w:space="0" w:color="auto"/>
              <w:right w:val="single" w:sz="4" w:space="0" w:color="auto"/>
            </w:tcBorders>
            <w:shd w:val="clear" w:color="auto" w:fill="auto"/>
            <w:noWrap/>
            <w:vAlign w:val="center"/>
            <w:hideMark/>
          </w:tcPr>
          <w:p w14:paraId="3E555C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5052602000</w:t>
            </w:r>
          </w:p>
        </w:tc>
        <w:tc>
          <w:tcPr>
            <w:tcW w:w="1036" w:type="dxa"/>
            <w:tcBorders>
              <w:top w:val="nil"/>
              <w:left w:val="nil"/>
              <w:bottom w:val="single" w:sz="4" w:space="0" w:color="auto"/>
              <w:right w:val="single" w:sz="4" w:space="0" w:color="auto"/>
            </w:tcBorders>
            <w:shd w:val="clear" w:color="auto" w:fill="auto"/>
            <w:noWrap/>
            <w:vAlign w:val="center"/>
            <w:hideMark/>
          </w:tcPr>
          <w:p w14:paraId="6BC628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96599944</w:t>
            </w:r>
          </w:p>
        </w:tc>
        <w:tc>
          <w:tcPr>
            <w:tcW w:w="160" w:type="dxa"/>
            <w:tcBorders>
              <w:top w:val="nil"/>
              <w:left w:val="nil"/>
              <w:bottom w:val="single" w:sz="4" w:space="0" w:color="auto"/>
              <w:right w:val="nil"/>
            </w:tcBorders>
            <w:vAlign w:val="center"/>
          </w:tcPr>
          <w:p w14:paraId="2C13E9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E89C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TEHNIŠKI MUZEJ SLOVENIJE</w:t>
            </w:r>
          </w:p>
        </w:tc>
      </w:tr>
      <w:tr w:rsidR="00072A69" w:rsidRPr="00DC6DF9" w14:paraId="7F1EF9E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9E6B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1705</w:t>
            </w:r>
          </w:p>
        </w:tc>
        <w:tc>
          <w:tcPr>
            <w:tcW w:w="1036" w:type="dxa"/>
            <w:tcBorders>
              <w:top w:val="nil"/>
              <w:left w:val="nil"/>
              <w:bottom w:val="single" w:sz="4" w:space="0" w:color="auto"/>
              <w:right w:val="single" w:sz="4" w:space="0" w:color="auto"/>
            </w:tcBorders>
            <w:shd w:val="clear" w:color="auto" w:fill="auto"/>
            <w:noWrap/>
            <w:vAlign w:val="center"/>
            <w:hideMark/>
          </w:tcPr>
          <w:p w14:paraId="7F808F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6669107000</w:t>
            </w:r>
          </w:p>
        </w:tc>
        <w:tc>
          <w:tcPr>
            <w:tcW w:w="1036" w:type="dxa"/>
            <w:tcBorders>
              <w:top w:val="nil"/>
              <w:left w:val="nil"/>
              <w:bottom w:val="single" w:sz="4" w:space="0" w:color="auto"/>
              <w:right w:val="single" w:sz="4" w:space="0" w:color="auto"/>
            </w:tcBorders>
            <w:shd w:val="clear" w:color="auto" w:fill="auto"/>
            <w:noWrap/>
            <w:vAlign w:val="center"/>
            <w:hideMark/>
          </w:tcPr>
          <w:p w14:paraId="01FBF4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95675680</w:t>
            </w:r>
          </w:p>
        </w:tc>
        <w:tc>
          <w:tcPr>
            <w:tcW w:w="160" w:type="dxa"/>
            <w:tcBorders>
              <w:top w:val="nil"/>
              <w:left w:val="nil"/>
              <w:bottom w:val="single" w:sz="4" w:space="0" w:color="auto"/>
              <w:right w:val="nil"/>
            </w:tcBorders>
            <w:vAlign w:val="center"/>
          </w:tcPr>
          <w:p w14:paraId="39D188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5F3F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TEHNIŠKI ŠOLSKI CENTER MARIBOR</w:t>
            </w:r>
          </w:p>
        </w:tc>
      </w:tr>
      <w:tr w:rsidR="00072A69" w:rsidRPr="00DC6DF9" w14:paraId="6073E9D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6604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1706</w:t>
            </w:r>
          </w:p>
        </w:tc>
        <w:tc>
          <w:tcPr>
            <w:tcW w:w="1036" w:type="dxa"/>
            <w:tcBorders>
              <w:top w:val="nil"/>
              <w:left w:val="nil"/>
              <w:bottom w:val="single" w:sz="4" w:space="0" w:color="auto"/>
              <w:right w:val="single" w:sz="4" w:space="0" w:color="auto"/>
            </w:tcBorders>
            <w:shd w:val="clear" w:color="auto" w:fill="auto"/>
            <w:noWrap/>
            <w:vAlign w:val="center"/>
            <w:hideMark/>
          </w:tcPr>
          <w:p w14:paraId="7ED076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5911508000</w:t>
            </w:r>
          </w:p>
        </w:tc>
        <w:tc>
          <w:tcPr>
            <w:tcW w:w="1036" w:type="dxa"/>
            <w:tcBorders>
              <w:top w:val="nil"/>
              <w:left w:val="nil"/>
              <w:bottom w:val="single" w:sz="4" w:space="0" w:color="auto"/>
              <w:right w:val="single" w:sz="4" w:space="0" w:color="auto"/>
            </w:tcBorders>
            <w:shd w:val="clear" w:color="auto" w:fill="auto"/>
            <w:noWrap/>
            <w:vAlign w:val="center"/>
            <w:hideMark/>
          </w:tcPr>
          <w:p w14:paraId="1E6BE8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44444656</w:t>
            </w:r>
          </w:p>
        </w:tc>
        <w:tc>
          <w:tcPr>
            <w:tcW w:w="160" w:type="dxa"/>
            <w:tcBorders>
              <w:top w:val="nil"/>
              <w:left w:val="nil"/>
              <w:bottom w:val="single" w:sz="4" w:space="0" w:color="auto"/>
              <w:right w:val="nil"/>
            </w:tcBorders>
            <w:vAlign w:val="center"/>
          </w:tcPr>
          <w:p w14:paraId="2CB316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6BED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TEHNOLOŠKI PARK LJUBLJANA, D. O. O. </w:t>
            </w:r>
          </w:p>
        </w:tc>
      </w:tr>
      <w:tr w:rsidR="00072A69" w:rsidRPr="00DC6DF9" w14:paraId="0A295E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DDDC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1707</w:t>
            </w:r>
          </w:p>
        </w:tc>
        <w:tc>
          <w:tcPr>
            <w:tcW w:w="1036" w:type="dxa"/>
            <w:tcBorders>
              <w:top w:val="nil"/>
              <w:left w:val="nil"/>
              <w:bottom w:val="single" w:sz="4" w:space="0" w:color="auto"/>
              <w:right w:val="single" w:sz="4" w:space="0" w:color="auto"/>
            </w:tcBorders>
            <w:shd w:val="clear" w:color="auto" w:fill="auto"/>
            <w:noWrap/>
            <w:vAlign w:val="center"/>
            <w:hideMark/>
          </w:tcPr>
          <w:p w14:paraId="2F4DED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5033772000</w:t>
            </w:r>
          </w:p>
        </w:tc>
        <w:tc>
          <w:tcPr>
            <w:tcW w:w="1036" w:type="dxa"/>
            <w:tcBorders>
              <w:top w:val="nil"/>
              <w:left w:val="nil"/>
              <w:bottom w:val="single" w:sz="4" w:space="0" w:color="auto"/>
              <w:right w:val="single" w:sz="4" w:space="0" w:color="auto"/>
            </w:tcBorders>
            <w:shd w:val="clear" w:color="auto" w:fill="auto"/>
            <w:noWrap/>
            <w:vAlign w:val="center"/>
            <w:hideMark/>
          </w:tcPr>
          <w:p w14:paraId="5B9C36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49407783</w:t>
            </w:r>
          </w:p>
        </w:tc>
        <w:tc>
          <w:tcPr>
            <w:tcW w:w="160" w:type="dxa"/>
            <w:tcBorders>
              <w:top w:val="nil"/>
              <w:left w:val="nil"/>
              <w:bottom w:val="single" w:sz="4" w:space="0" w:color="auto"/>
              <w:right w:val="nil"/>
            </w:tcBorders>
            <w:vAlign w:val="center"/>
          </w:tcPr>
          <w:p w14:paraId="12DE6D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28CC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TERMOELEKTRARNA BRESTANICA, D. O. O. </w:t>
            </w:r>
          </w:p>
        </w:tc>
      </w:tr>
      <w:tr w:rsidR="00072A69" w:rsidRPr="00DC6DF9" w14:paraId="34F67BB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1842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1708</w:t>
            </w:r>
          </w:p>
        </w:tc>
        <w:tc>
          <w:tcPr>
            <w:tcW w:w="1036" w:type="dxa"/>
            <w:tcBorders>
              <w:top w:val="nil"/>
              <w:left w:val="nil"/>
              <w:bottom w:val="single" w:sz="4" w:space="0" w:color="auto"/>
              <w:right w:val="single" w:sz="4" w:space="0" w:color="auto"/>
            </w:tcBorders>
            <w:shd w:val="clear" w:color="auto" w:fill="auto"/>
            <w:noWrap/>
            <w:vAlign w:val="center"/>
            <w:hideMark/>
          </w:tcPr>
          <w:p w14:paraId="6DBE1B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5040388000</w:t>
            </w:r>
          </w:p>
        </w:tc>
        <w:tc>
          <w:tcPr>
            <w:tcW w:w="1036" w:type="dxa"/>
            <w:tcBorders>
              <w:top w:val="nil"/>
              <w:left w:val="nil"/>
              <w:bottom w:val="single" w:sz="4" w:space="0" w:color="auto"/>
              <w:right w:val="single" w:sz="4" w:space="0" w:color="auto"/>
            </w:tcBorders>
            <w:shd w:val="clear" w:color="auto" w:fill="auto"/>
            <w:noWrap/>
            <w:vAlign w:val="center"/>
            <w:hideMark/>
          </w:tcPr>
          <w:p w14:paraId="314315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92189903</w:t>
            </w:r>
          </w:p>
        </w:tc>
        <w:tc>
          <w:tcPr>
            <w:tcW w:w="160" w:type="dxa"/>
            <w:tcBorders>
              <w:top w:val="nil"/>
              <w:left w:val="nil"/>
              <w:bottom w:val="single" w:sz="4" w:space="0" w:color="auto"/>
              <w:right w:val="nil"/>
            </w:tcBorders>
            <w:vAlign w:val="center"/>
          </w:tcPr>
          <w:p w14:paraId="759D338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CDD1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TERMOELEKTRARNA ŠOŠTANJ, D. O. O. </w:t>
            </w:r>
          </w:p>
        </w:tc>
      </w:tr>
      <w:tr w:rsidR="00072A69" w:rsidRPr="00DC6DF9" w14:paraId="734ED6D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F4F7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1709</w:t>
            </w:r>
          </w:p>
        </w:tc>
        <w:tc>
          <w:tcPr>
            <w:tcW w:w="1036" w:type="dxa"/>
            <w:tcBorders>
              <w:top w:val="nil"/>
              <w:left w:val="nil"/>
              <w:bottom w:val="single" w:sz="4" w:space="0" w:color="auto"/>
              <w:right w:val="single" w:sz="4" w:space="0" w:color="auto"/>
            </w:tcBorders>
            <w:shd w:val="clear" w:color="auto" w:fill="auto"/>
            <w:noWrap/>
            <w:vAlign w:val="center"/>
            <w:hideMark/>
          </w:tcPr>
          <w:p w14:paraId="46D8B7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1510592000</w:t>
            </w:r>
          </w:p>
        </w:tc>
        <w:tc>
          <w:tcPr>
            <w:tcW w:w="1036" w:type="dxa"/>
            <w:tcBorders>
              <w:top w:val="nil"/>
              <w:left w:val="nil"/>
              <w:bottom w:val="single" w:sz="4" w:space="0" w:color="auto"/>
              <w:right w:val="single" w:sz="4" w:space="0" w:color="auto"/>
            </w:tcBorders>
            <w:shd w:val="clear" w:color="auto" w:fill="auto"/>
            <w:noWrap/>
            <w:vAlign w:val="center"/>
            <w:hideMark/>
          </w:tcPr>
          <w:p w14:paraId="03152E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65295609</w:t>
            </w:r>
          </w:p>
        </w:tc>
        <w:tc>
          <w:tcPr>
            <w:tcW w:w="160" w:type="dxa"/>
            <w:tcBorders>
              <w:top w:val="nil"/>
              <w:left w:val="nil"/>
              <w:bottom w:val="single" w:sz="4" w:space="0" w:color="auto"/>
              <w:right w:val="nil"/>
            </w:tcBorders>
            <w:vAlign w:val="center"/>
          </w:tcPr>
          <w:p w14:paraId="5EA5ED2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8870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TOLMINSKI MUZEJ</w:t>
            </w:r>
          </w:p>
        </w:tc>
      </w:tr>
      <w:tr w:rsidR="00072A69" w:rsidRPr="00DC6DF9" w14:paraId="16CF58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9532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1710</w:t>
            </w:r>
          </w:p>
        </w:tc>
        <w:tc>
          <w:tcPr>
            <w:tcW w:w="1036" w:type="dxa"/>
            <w:tcBorders>
              <w:top w:val="nil"/>
              <w:left w:val="nil"/>
              <w:bottom w:val="single" w:sz="4" w:space="0" w:color="auto"/>
              <w:right w:val="single" w:sz="4" w:space="0" w:color="auto"/>
            </w:tcBorders>
            <w:shd w:val="clear" w:color="auto" w:fill="auto"/>
            <w:noWrap/>
            <w:vAlign w:val="center"/>
            <w:hideMark/>
          </w:tcPr>
          <w:p w14:paraId="20B87E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5163846000</w:t>
            </w:r>
          </w:p>
        </w:tc>
        <w:tc>
          <w:tcPr>
            <w:tcW w:w="1036" w:type="dxa"/>
            <w:tcBorders>
              <w:top w:val="nil"/>
              <w:left w:val="nil"/>
              <w:bottom w:val="single" w:sz="4" w:space="0" w:color="auto"/>
              <w:right w:val="single" w:sz="4" w:space="0" w:color="auto"/>
            </w:tcBorders>
            <w:shd w:val="clear" w:color="auto" w:fill="auto"/>
            <w:noWrap/>
            <w:vAlign w:val="center"/>
            <w:hideMark/>
          </w:tcPr>
          <w:p w14:paraId="60E496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79422837</w:t>
            </w:r>
          </w:p>
        </w:tc>
        <w:tc>
          <w:tcPr>
            <w:tcW w:w="160" w:type="dxa"/>
            <w:tcBorders>
              <w:top w:val="nil"/>
              <w:left w:val="nil"/>
              <w:bottom w:val="single" w:sz="4" w:space="0" w:color="auto"/>
              <w:right w:val="nil"/>
            </w:tcBorders>
            <w:vAlign w:val="center"/>
          </w:tcPr>
          <w:p w14:paraId="3C67B5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AD0C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TRIGLAVSKI NARODNI PARK</w:t>
            </w:r>
          </w:p>
        </w:tc>
      </w:tr>
      <w:tr w:rsidR="00072A69" w:rsidRPr="00DC6DF9" w14:paraId="247D4B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7781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1711</w:t>
            </w:r>
          </w:p>
        </w:tc>
        <w:tc>
          <w:tcPr>
            <w:tcW w:w="1036" w:type="dxa"/>
            <w:tcBorders>
              <w:top w:val="nil"/>
              <w:left w:val="nil"/>
              <w:bottom w:val="single" w:sz="4" w:space="0" w:color="auto"/>
              <w:right w:val="single" w:sz="4" w:space="0" w:color="auto"/>
            </w:tcBorders>
            <w:shd w:val="clear" w:color="auto" w:fill="auto"/>
            <w:noWrap/>
            <w:vAlign w:val="center"/>
            <w:hideMark/>
          </w:tcPr>
          <w:p w14:paraId="22B9B2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5055814000</w:t>
            </w:r>
          </w:p>
        </w:tc>
        <w:tc>
          <w:tcPr>
            <w:tcW w:w="1036" w:type="dxa"/>
            <w:tcBorders>
              <w:top w:val="nil"/>
              <w:left w:val="nil"/>
              <w:bottom w:val="single" w:sz="4" w:space="0" w:color="auto"/>
              <w:right w:val="single" w:sz="4" w:space="0" w:color="auto"/>
            </w:tcBorders>
            <w:shd w:val="clear" w:color="auto" w:fill="auto"/>
            <w:noWrap/>
            <w:vAlign w:val="center"/>
            <w:hideMark/>
          </w:tcPr>
          <w:p w14:paraId="48F4C2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83235434</w:t>
            </w:r>
          </w:p>
        </w:tc>
        <w:tc>
          <w:tcPr>
            <w:tcW w:w="160" w:type="dxa"/>
            <w:tcBorders>
              <w:top w:val="nil"/>
              <w:left w:val="nil"/>
              <w:bottom w:val="single" w:sz="4" w:space="0" w:color="auto"/>
              <w:right w:val="nil"/>
            </w:tcBorders>
            <w:vAlign w:val="center"/>
          </w:tcPr>
          <w:p w14:paraId="70C59A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BBA3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TRUBARJEV DOM UPOKOJENCEV</w:t>
            </w:r>
          </w:p>
        </w:tc>
      </w:tr>
      <w:tr w:rsidR="00072A69" w:rsidRPr="00DC6DF9" w14:paraId="116D61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D4EE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1712</w:t>
            </w:r>
          </w:p>
        </w:tc>
        <w:tc>
          <w:tcPr>
            <w:tcW w:w="1036" w:type="dxa"/>
            <w:tcBorders>
              <w:top w:val="nil"/>
              <w:left w:val="nil"/>
              <w:bottom w:val="single" w:sz="4" w:space="0" w:color="auto"/>
              <w:right w:val="single" w:sz="4" w:space="0" w:color="auto"/>
            </w:tcBorders>
            <w:shd w:val="clear" w:color="auto" w:fill="auto"/>
            <w:noWrap/>
            <w:vAlign w:val="center"/>
            <w:hideMark/>
          </w:tcPr>
          <w:p w14:paraId="04D8FB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5875099000</w:t>
            </w:r>
          </w:p>
        </w:tc>
        <w:tc>
          <w:tcPr>
            <w:tcW w:w="1036" w:type="dxa"/>
            <w:tcBorders>
              <w:top w:val="nil"/>
              <w:left w:val="nil"/>
              <w:bottom w:val="single" w:sz="4" w:space="0" w:color="auto"/>
              <w:right w:val="single" w:sz="4" w:space="0" w:color="auto"/>
            </w:tcBorders>
            <w:shd w:val="clear" w:color="auto" w:fill="auto"/>
            <w:noWrap/>
            <w:vAlign w:val="center"/>
            <w:hideMark/>
          </w:tcPr>
          <w:p w14:paraId="132E47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44287135</w:t>
            </w:r>
          </w:p>
        </w:tc>
        <w:tc>
          <w:tcPr>
            <w:tcW w:w="160" w:type="dxa"/>
            <w:tcBorders>
              <w:top w:val="nil"/>
              <w:left w:val="nil"/>
              <w:bottom w:val="single" w:sz="4" w:space="0" w:color="auto"/>
              <w:right w:val="nil"/>
            </w:tcBorders>
            <w:vAlign w:val="center"/>
          </w:tcPr>
          <w:p w14:paraId="716A101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F797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TRŽNI INŠPEKTORAT REPUBLIKE SLOVENIJE</w:t>
            </w:r>
          </w:p>
        </w:tc>
      </w:tr>
      <w:tr w:rsidR="00072A69" w:rsidRPr="00DC6DF9" w14:paraId="545304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45DC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1713</w:t>
            </w:r>
          </w:p>
        </w:tc>
        <w:tc>
          <w:tcPr>
            <w:tcW w:w="1036" w:type="dxa"/>
            <w:tcBorders>
              <w:top w:val="nil"/>
              <w:left w:val="nil"/>
              <w:bottom w:val="single" w:sz="4" w:space="0" w:color="auto"/>
              <w:right w:val="single" w:sz="4" w:space="0" w:color="auto"/>
            </w:tcBorders>
            <w:shd w:val="clear" w:color="auto" w:fill="auto"/>
            <w:noWrap/>
            <w:vAlign w:val="center"/>
            <w:hideMark/>
          </w:tcPr>
          <w:p w14:paraId="0F1CDA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1511319000</w:t>
            </w:r>
          </w:p>
        </w:tc>
        <w:tc>
          <w:tcPr>
            <w:tcW w:w="1036" w:type="dxa"/>
            <w:tcBorders>
              <w:top w:val="nil"/>
              <w:left w:val="nil"/>
              <w:bottom w:val="single" w:sz="4" w:space="0" w:color="auto"/>
              <w:right w:val="single" w:sz="4" w:space="0" w:color="auto"/>
            </w:tcBorders>
            <w:shd w:val="clear" w:color="auto" w:fill="auto"/>
            <w:noWrap/>
            <w:vAlign w:val="center"/>
            <w:hideMark/>
          </w:tcPr>
          <w:p w14:paraId="60F1A2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22640762</w:t>
            </w:r>
          </w:p>
        </w:tc>
        <w:tc>
          <w:tcPr>
            <w:tcW w:w="160" w:type="dxa"/>
            <w:tcBorders>
              <w:top w:val="nil"/>
              <w:left w:val="nil"/>
              <w:bottom w:val="single" w:sz="4" w:space="0" w:color="auto"/>
              <w:right w:val="nil"/>
            </w:tcBorders>
            <w:vAlign w:val="center"/>
          </w:tcPr>
          <w:p w14:paraId="30EF74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6199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TURISTIČNO INFORMACIJSKI CENTER ILIRSKA BISTRICA</w:t>
            </w:r>
          </w:p>
        </w:tc>
      </w:tr>
      <w:tr w:rsidR="00072A69" w:rsidRPr="00DC6DF9" w14:paraId="4E5F2A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D623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1714</w:t>
            </w:r>
          </w:p>
        </w:tc>
        <w:tc>
          <w:tcPr>
            <w:tcW w:w="1036" w:type="dxa"/>
            <w:tcBorders>
              <w:top w:val="nil"/>
              <w:left w:val="nil"/>
              <w:bottom w:val="single" w:sz="4" w:space="0" w:color="auto"/>
              <w:right w:val="single" w:sz="4" w:space="0" w:color="auto"/>
            </w:tcBorders>
            <w:shd w:val="clear" w:color="auto" w:fill="auto"/>
            <w:noWrap/>
            <w:vAlign w:val="center"/>
            <w:hideMark/>
          </w:tcPr>
          <w:p w14:paraId="252D02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5956803000</w:t>
            </w:r>
          </w:p>
        </w:tc>
        <w:tc>
          <w:tcPr>
            <w:tcW w:w="1036" w:type="dxa"/>
            <w:tcBorders>
              <w:top w:val="nil"/>
              <w:left w:val="nil"/>
              <w:bottom w:val="single" w:sz="4" w:space="0" w:color="auto"/>
              <w:right w:val="single" w:sz="4" w:space="0" w:color="auto"/>
            </w:tcBorders>
            <w:shd w:val="clear" w:color="auto" w:fill="auto"/>
            <w:noWrap/>
            <w:vAlign w:val="center"/>
            <w:hideMark/>
          </w:tcPr>
          <w:p w14:paraId="4AC30C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30513219</w:t>
            </w:r>
          </w:p>
        </w:tc>
        <w:tc>
          <w:tcPr>
            <w:tcW w:w="160" w:type="dxa"/>
            <w:tcBorders>
              <w:top w:val="nil"/>
              <w:left w:val="nil"/>
              <w:bottom w:val="single" w:sz="4" w:space="0" w:color="auto"/>
              <w:right w:val="nil"/>
            </w:tcBorders>
            <w:vAlign w:val="center"/>
          </w:tcPr>
          <w:p w14:paraId="37CF02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98C2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TURISTIČNO-INFORMATIVNI CENTER MORAVSKE TOPLICE</w:t>
            </w:r>
          </w:p>
        </w:tc>
      </w:tr>
      <w:tr w:rsidR="00072A69" w:rsidRPr="00DC6DF9" w14:paraId="12F5D0C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EE09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1715</w:t>
            </w:r>
          </w:p>
        </w:tc>
        <w:tc>
          <w:tcPr>
            <w:tcW w:w="1036" w:type="dxa"/>
            <w:tcBorders>
              <w:top w:val="nil"/>
              <w:left w:val="nil"/>
              <w:bottom w:val="single" w:sz="4" w:space="0" w:color="auto"/>
              <w:right w:val="single" w:sz="4" w:space="0" w:color="auto"/>
            </w:tcBorders>
            <w:shd w:val="clear" w:color="auto" w:fill="auto"/>
            <w:noWrap/>
            <w:vAlign w:val="center"/>
            <w:hideMark/>
          </w:tcPr>
          <w:p w14:paraId="4DE7A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1510614000</w:t>
            </w:r>
          </w:p>
        </w:tc>
        <w:tc>
          <w:tcPr>
            <w:tcW w:w="1036" w:type="dxa"/>
            <w:tcBorders>
              <w:top w:val="nil"/>
              <w:left w:val="nil"/>
              <w:bottom w:val="single" w:sz="4" w:space="0" w:color="auto"/>
              <w:right w:val="single" w:sz="4" w:space="0" w:color="auto"/>
            </w:tcBorders>
            <w:shd w:val="clear" w:color="auto" w:fill="auto"/>
            <w:noWrap/>
            <w:vAlign w:val="center"/>
            <w:hideMark/>
          </w:tcPr>
          <w:p w14:paraId="4BF91D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84521147</w:t>
            </w:r>
          </w:p>
        </w:tc>
        <w:tc>
          <w:tcPr>
            <w:tcW w:w="160" w:type="dxa"/>
            <w:tcBorders>
              <w:top w:val="nil"/>
              <w:left w:val="nil"/>
              <w:bottom w:val="single" w:sz="4" w:space="0" w:color="auto"/>
              <w:right w:val="nil"/>
            </w:tcBorders>
            <w:vAlign w:val="center"/>
          </w:tcPr>
          <w:p w14:paraId="2EDDB74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ACDC4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TURIZEM BOHINJ - ZAVOD ZA POSPEŠEVANJE TURIZMA</w:t>
            </w:r>
          </w:p>
        </w:tc>
      </w:tr>
      <w:tr w:rsidR="00072A69" w:rsidRPr="00DC6DF9" w14:paraId="470D9F4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5674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1716</w:t>
            </w:r>
          </w:p>
        </w:tc>
        <w:tc>
          <w:tcPr>
            <w:tcW w:w="1036" w:type="dxa"/>
            <w:tcBorders>
              <w:top w:val="nil"/>
              <w:left w:val="nil"/>
              <w:bottom w:val="single" w:sz="4" w:space="0" w:color="auto"/>
              <w:right w:val="single" w:sz="4" w:space="0" w:color="auto"/>
            </w:tcBorders>
            <w:shd w:val="clear" w:color="auto" w:fill="auto"/>
            <w:noWrap/>
            <w:vAlign w:val="center"/>
            <w:hideMark/>
          </w:tcPr>
          <w:p w14:paraId="3EC6CE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3683516000</w:t>
            </w:r>
          </w:p>
        </w:tc>
        <w:tc>
          <w:tcPr>
            <w:tcW w:w="1036" w:type="dxa"/>
            <w:tcBorders>
              <w:top w:val="nil"/>
              <w:left w:val="nil"/>
              <w:bottom w:val="single" w:sz="4" w:space="0" w:color="auto"/>
              <w:right w:val="single" w:sz="4" w:space="0" w:color="auto"/>
            </w:tcBorders>
            <w:shd w:val="clear" w:color="auto" w:fill="auto"/>
            <w:noWrap/>
            <w:vAlign w:val="center"/>
            <w:hideMark/>
          </w:tcPr>
          <w:p w14:paraId="6BE4C4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71535586</w:t>
            </w:r>
          </w:p>
        </w:tc>
        <w:tc>
          <w:tcPr>
            <w:tcW w:w="160" w:type="dxa"/>
            <w:tcBorders>
              <w:top w:val="nil"/>
              <w:left w:val="nil"/>
              <w:bottom w:val="single" w:sz="4" w:space="0" w:color="auto"/>
              <w:right w:val="nil"/>
            </w:tcBorders>
            <w:vAlign w:val="center"/>
          </w:tcPr>
          <w:p w14:paraId="4257FC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7E94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TURIZEM IN KULTURA RADOVLJICA</w:t>
            </w:r>
          </w:p>
        </w:tc>
      </w:tr>
      <w:tr w:rsidR="00072A69" w:rsidRPr="00DC6DF9" w14:paraId="229931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A44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1717</w:t>
            </w:r>
          </w:p>
        </w:tc>
        <w:tc>
          <w:tcPr>
            <w:tcW w:w="1036" w:type="dxa"/>
            <w:tcBorders>
              <w:top w:val="nil"/>
              <w:left w:val="nil"/>
              <w:bottom w:val="single" w:sz="4" w:space="0" w:color="auto"/>
              <w:right w:val="single" w:sz="4" w:space="0" w:color="auto"/>
            </w:tcBorders>
            <w:shd w:val="clear" w:color="auto" w:fill="auto"/>
            <w:noWrap/>
            <w:vAlign w:val="center"/>
            <w:hideMark/>
          </w:tcPr>
          <w:p w14:paraId="683F19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1201727000</w:t>
            </w:r>
          </w:p>
        </w:tc>
        <w:tc>
          <w:tcPr>
            <w:tcW w:w="1036" w:type="dxa"/>
            <w:tcBorders>
              <w:top w:val="nil"/>
              <w:left w:val="nil"/>
              <w:bottom w:val="single" w:sz="4" w:space="0" w:color="auto"/>
              <w:right w:val="single" w:sz="4" w:space="0" w:color="auto"/>
            </w:tcBorders>
            <w:shd w:val="clear" w:color="auto" w:fill="auto"/>
            <w:noWrap/>
            <w:vAlign w:val="center"/>
            <w:hideMark/>
          </w:tcPr>
          <w:p w14:paraId="57BA6A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66559286</w:t>
            </w:r>
          </w:p>
        </w:tc>
        <w:tc>
          <w:tcPr>
            <w:tcW w:w="160" w:type="dxa"/>
            <w:tcBorders>
              <w:top w:val="nil"/>
              <w:left w:val="nil"/>
              <w:bottom w:val="single" w:sz="4" w:space="0" w:color="auto"/>
              <w:right w:val="nil"/>
            </w:tcBorders>
            <w:vAlign w:val="center"/>
          </w:tcPr>
          <w:p w14:paraId="259D2D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E934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TURIZEM KRANJSKA GORA</w:t>
            </w:r>
          </w:p>
        </w:tc>
      </w:tr>
      <w:tr w:rsidR="00072A69" w:rsidRPr="00DC6DF9" w14:paraId="036CA8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0E77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1718</w:t>
            </w:r>
          </w:p>
        </w:tc>
        <w:tc>
          <w:tcPr>
            <w:tcW w:w="1036" w:type="dxa"/>
            <w:tcBorders>
              <w:top w:val="nil"/>
              <w:left w:val="nil"/>
              <w:bottom w:val="single" w:sz="4" w:space="0" w:color="auto"/>
              <w:right w:val="single" w:sz="4" w:space="0" w:color="auto"/>
            </w:tcBorders>
            <w:shd w:val="clear" w:color="auto" w:fill="auto"/>
            <w:noWrap/>
            <w:vAlign w:val="center"/>
            <w:hideMark/>
          </w:tcPr>
          <w:p w14:paraId="47FD6B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1622935000</w:t>
            </w:r>
          </w:p>
        </w:tc>
        <w:tc>
          <w:tcPr>
            <w:tcW w:w="1036" w:type="dxa"/>
            <w:tcBorders>
              <w:top w:val="nil"/>
              <w:left w:val="nil"/>
              <w:bottom w:val="single" w:sz="4" w:space="0" w:color="auto"/>
              <w:right w:val="single" w:sz="4" w:space="0" w:color="auto"/>
            </w:tcBorders>
            <w:shd w:val="clear" w:color="auto" w:fill="auto"/>
            <w:noWrap/>
            <w:vAlign w:val="center"/>
            <w:hideMark/>
          </w:tcPr>
          <w:p w14:paraId="6004B7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85321389</w:t>
            </w:r>
          </w:p>
        </w:tc>
        <w:tc>
          <w:tcPr>
            <w:tcW w:w="160" w:type="dxa"/>
            <w:tcBorders>
              <w:top w:val="nil"/>
              <w:left w:val="nil"/>
              <w:bottom w:val="single" w:sz="4" w:space="0" w:color="auto"/>
              <w:right w:val="nil"/>
            </w:tcBorders>
            <w:vAlign w:val="center"/>
          </w:tcPr>
          <w:p w14:paraId="300148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577D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TURIZEM LJUBLJANA</w:t>
            </w:r>
          </w:p>
        </w:tc>
      </w:tr>
      <w:tr w:rsidR="00072A69" w:rsidRPr="00DC6DF9" w14:paraId="3458DF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96EA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1719</w:t>
            </w:r>
          </w:p>
        </w:tc>
        <w:tc>
          <w:tcPr>
            <w:tcW w:w="1036" w:type="dxa"/>
            <w:tcBorders>
              <w:top w:val="nil"/>
              <w:left w:val="nil"/>
              <w:bottom w:val="single" w:sz="4" w:space="0" w:color="auto"/>
              <w:right w:val="single" w:sz="4" w:space="0" w:color="auto"/>
            </w:tcBorders>
            <w:shd w:val="clear" w:color="auto" w:fill="auto"/>
            <w:noWrap/>
            <w:vAlign w:val="center"/>
            <w:hideMark/>
          </w:tcPr>
          <w:p w14:paraId="0AC201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3683516001</w:t>
            </w:r>
          </w:p>
        </w:tc>
        <w:tc>
          <w:tcPr>
            <w:tcW w:w="1036" w:type="dxa"/>
            <w:tcBorders>
              <w:top w:val="nil"/>
              <w:left w:val="nil"/>
              <w:bottom w:val="single" w:sz="4" w:space="0" w:color="auto"/>
              <w:right w:val="single" w:sz="4" w:space="0" w:color="auto"/>
            </w:tcBorders>
            <w:shd w:val="clear" w:color="auto" w:fill="auto"/>
            <w:noWrap/>
            <w:vAlign w:val="center"/>
            <w:hideMark/>
          </w:tcPr>
          <w:p w14:paraId="4FCAA0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71535586</w:t>
            </w:r>
          </w:p>
        </w:tc>
        <w:tc>
          <w:tcPr>
            <w:tcW w:w="160" w:type="dxa"/>
            <w:tcBorders>
              <w:top w:val="nil"/>
              <w:left w:val="nil"/>
              <w:bottom w:val="single" w:sz="4" w:space="0" w:color="auto"/>
              <w:right w:val="nil"/>
            </w:tcBorders>
            <w:vAlign w:val="center"/>
          </w:tcPr>
          <w:p w14:paraId="2B88E3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7B0A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TURIZEM RADOVLJICA - TURISTIČNO INFORMACIJSKI CENTER RADOVLJICA</w:t>
            </w:r>
          </w:p>
        </w:tc>
      </w:tr>
      <w:tr w:rsidR="00072A69" w:rsidRPr="00DC6DF9" w14:paraId="09EE40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705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1720</w:t>
            </w:r>
          </w:p>
        </w:tc>
        <w:tc>
          <w:tcPr>
            <w:tcW w:w="1036" w:type="dxa"/>
            <w:tcBorders>
              <w:top w:val="nil"/>
              <w:left w:val="nil"/>
              <w:bottom w:val="single" w:sz="4" w:space="0" w:color="auto"/>
              <w:right w:val="single" w:sz="4" w:space="0" w:color="auto"/>
            </w:tcBorders>
            <w:shd w:val="clear" w:color="auto" w:fill="auto"/>
            <w:noWrap/>
            <w:vAlign w:val="center"/>
            <w:hideMark/>
          </w:tcPr>
          <w:p w14:paraId="021893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1810014000</w:t>
            </w:r>
          </w:p>
        </w:tc>
        <w:tc>
          <w:tcPr>
            <w:tcW w:w="1036" w:type="dxa"/>
            <w:tcBorders>
              <w:top w:val="nil"/>
              <w:left w:val="nil"/>
              <w:bottom w:val="single" w:sz="4" w:space="0" w:color="auto"/>
              <w:right w:val="single" w:sz="4" w:space="0" w:color="auto"/>
            </w:tcBorders>
            <w:shd w:val="clear" w:color="auto" w:fill="auto"/>
            <w:noWrap/>
            <w:vAlign w:val="center"/>
            <w:hideMark/>
          </w:tcPr>
          <w:p w14:paraId="03E7B5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71633065</w:t>
            </w:r>
          </w:p>
        </w:tc>
        <w:tc>
          <w:tcPr>
            <w:tcW w:w="160" w:type="dxa"/>
            <w:tcBorders>
              <w:top w:val="nil"/>
              <w:left w:val="nil"/>
              <w:bottom w:val="single" w:sz="4" w:space="0" w:color="auto"/>
              <w:right w:val="nil"/>
            </w:tcBorders>
            <w:vAlign w:val="center"/>
          </w:tcPr>
          <w:p w14:paraId="6B2D26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20C3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NA PRIMORSKEM</w:t>
            </w:r>
          </w:p>
        </w:tc>
      </w:tr>
      <w:tr w:rsidR="00072A69" w:rsidRPr="00DC6DF9" w14:paraId="520AA4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3E32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1721</w:t>
            </w:r>
          </w:p>
        </w:tc>
        <w:tc>
          <w:tcPr>
            <w:tcW w:w="1036" w:type="dxa"/>
            <w:tcBorders>
              <w:top w:val="nil"/>
              <w:left w:val="nil"/>
              <w:bottom w:val="single" w:sz="4" w:space="0" w:color="auto"/>
              <w:right w:val="single" w:sz="4" w:space="0" w:color="auto"/>
            </w:tcBorders>
            <w:shd w:val="clear" w:color="auto" w:fill="auto"/>
            <w:noWrap/>
            <w:vAlign w:val="center"/>
            <w:hideMark/>
          </w:tcPr>
          <w:p w14:paraId="311971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5085063000</w:t>
            </w:r>
          </w:p>
        </w:tc>
        <w:tc>
          <w:tcPr>
            <w:tcW w:w="1036" w:type="dxa"/>
            <w:tcBorders>
              <w:top w:val="nil"/>
              <w:left w:val="nil"/>
              <w:bottom w:val="single" w:sz="4" w:space="0" w:color="auto"/>
              <w:right w:val="single" w:sz="4" w:space="0" w:color="auto"/>
            </w:tcBorders>
            <w:shd w:val="clear" w:color="auto" w:fill="auto"/>
            <w:noWrap/>
            <w:vAlign w:val="center"/>
            <w:hideMark/>
          </w:tcPr>
          <w:p w14:paraId="383453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54162513</w:t>
            </w:r>
          </w:p>
        </w:tc>
        <w:tc>
          <w:tcPr>
            <w:tcW w:w="160" w:type="dxa"/>
            <w:tcBorders>
              <w:top w:val="nil"/>
              <w:left w:val="nil"/>
              <w:bottom w:val="single" w:sz="4" w:space="0" w:color="auto"/>
              <w:right w:val="nil"/>
            </w:tcBorders>
            <w:vAlign w:val="center"/>
          </w:tcPr>
          <w:p w14:paraId="4A84D2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8EB6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w:t>
            </w:r>
          </w:p>
        </w:tc>
      </w:tr>
      <w:tr w:rsidR="00072A69" w:rsidRPr="00DC6DF9" w14:paraId="7E40E5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43E6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1722</w:t>
            </w:r>
          </w:p>
        </w:tc>
        <w:tc>
          <w:tcPr>
            <w:tcW w:w="1036" w:type="dxa"/>
            <w:tcBorders>
              <w:top w:val="nil"/>
              <w:left w:val="nil"/>
              <w:bottom w:val="single" w:sz="4" w:space="0" w:color="auto"/>
              <w:right w:val="single" w:sz="4" w:space="0" w:color="auto"/>
            </w:tcBorders>
            <w:shd w:val="clear" w:color="auto" w:fill="auto"/>
            <w:noWrap/>
            <w:vAlign w:val="center"/>
            <w:hideMark/>
          </w:tcPr>
          <w:p w14:paraId="30E8F8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1626809000</w:t>
            </w:r>
          </w:p>
        </w:tc>
        <w:tc>
          <w:tcPr>
            <w:tcW w:w="1036" w:type="dxa"/>
            <w:tcBorders>
              <w:top w:val="nil"/>
              <w:left w:val="nil"/>
              <w:bottom w:val="single" w:sz="4" w:space="0" w:color="auto"/>
              <w:right w:val="single" w:sz="4" w:space="0" w:color="auto"/>
            </w:tcBorders>
            <w:shd w:val="clear" w:color="auto" w:fill="auto"/>
            <w:noWrap/>
            <w:vAlign w:val="center"/>
            <w:hideMark/>
          </w:tcPr>
          <w:p w14:paraId="74A20A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89735552</w:t>
            </w:r>
          </w:p>
        </w:tc>
        <w:tc>
          <w:tcPr>
            <w:tcW w:w="160" w:type="dxa"/>
            <w:tcBorders>
              <w:top w:val="nil"/>
              <w:left w:val="nil"/>
              <w:bottom w:val="single" w:sz="4" w:space="0" w:color="auto"/>
              <w:right w:val="nil"/>
            </w:tcBorders>
            <w:vAlign w:val="center"/>
          </w:tcPr>
          <w:p w14:paraId="077383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8B5B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AKADEMIJA ZA GLASBO</w:t>
            </w:r>
          </w:p>
        </w:tc>
      </w:tr>
      <w:tr w:rsidR="00072A69" w:rsidRPr="00DC6DF9" w14:paraId="156627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BEE5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1723</w:t>
            </w:r>
          </w:p>
        </w:tc>
        <w:tc>
          <w:tcPr>
            <w:tcW w:w="1036" w:type="dxa"/>
            <w:tcBorders>
              <w:top w:val="nil"/>
              <w:left w:val="nil"/>
              <w:bottom w:val="single" w:sz="4" w:space="0" w:color="auto"/>
              <w:right w:val="single" w:sz="4" w:space="0" w:color="auto"/>
            </w:tcBorders>
            <w:shd w:val="clear" w:color="auto" w:fill="auto"/>
            <w:noWrap/>
            <w:vAlign w:val="center"/>
            <w:hideMark/>
          </w:tcPr>
          <w:p w14:paraId="287E76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1626892000</w:t>
            </w:r>
          </w:p>
        </w:tc>
        <w:tc>
          <w:tcPr>
            <w:tcW w:w="1036" w:type="dxa"/>
            <w:tcBorders>
              <w:top w:val="nil"/>
              <w:left w:val="nil"/>
              <w:bottom w:val="single" w:sz="4" w:space="0" w:color="auto"/>
              <w:right w:val="single" w:sz="4" w:space="0" w:color="auto"/>
            </w:tcBorders>
            <w:shd w:val="clear" w:color="auto" w:fill="auto"/>
            <w:noWrap/>
            <w:vAlign w:val="center"/>
            <w:hideMark/>
          </w:tcPr>
          <w:p w14:paraId="169F11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44328451</w:t>
            </w:r>
          </w:p>
        </w:tc>
        <w:tc>
          <w:tcPr>
            <w:tcW w:w="160" w:type="dxa"/>
            <w:tcBorders>
              <w:top w:val="nil"/>
              <w:left w:val="nil"/>
              <w:bottom w:val="single" w:sz="4" w:space="0" w:color="auto"/>
              <w:right w:val="nil"/>
            </w:tcBorders>
            <w:vAlign w:val="center"/>
          </w:tcPr>
          <w:p w14:paraId="6F667CA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C7E9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AKADEMIJA ZA GLEDALIŠČE, RADIO, FILM IN TELEVIZIJO</w:t>
            </w:r>
          </w:p>
        </w:tc>
      </w:tr>
      <w:tr w:rsidR="00072A69" w:rsidRPr="00DC6DF9" w14:paraId="1F179C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FAC4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1724</w:t>
            </w:r>
          </w:p>
        </w:tc>
        <w:tc>
          <w:tcPr>
            <w:tcW w:w="1036" w:type="dxa"/>
            <w:tcBorders>
              <w:top w:val="nil"/>
              <w:left w:val="nil"/>
              <w:bottom w:val="single" w:sz="4" w:space="0" w:color="auto"/>
              <w:right w:val="single" w:sz="4" w:space="0" w:color="auto"/>
            </w:tcBorders>
            <w:shd w:val="clear" w:color="auto" w:fill="auto"/>
            <w:noWrap/>
            <w:vAlign w:val="center"/>
            <w:hideMark/>
          </w:tcPr>
          <w:p w14:paraId="51483E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1626906000</w:t>
            </w:r>
          </w:p>
        </w:tc>
        <w:tc>
          <w:tcPr>
            <w:tcW w:w="1036" w:type="dxa"/>
            <w:tcBorders>
              <w:top w:val="nil"/>
              <w:left w:val="nil"/>
              <w:bottom w:val="single" w:sz="4" w:space="0" w:color="auto"/>
              <w:right w:val="single" w:sz="4" w:space="0" w:color="auto"/>
            </w:tcBorders>
            <w:shd w:val="clear" w:color="auto" w:fill="auto"/>
            <w:noWrap/>
            <w:vAlign w:val="center"/>
            <w:hideMark/>
          </w:tcPr>
          <w:p w14:paraId="5B8E6C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36546151</w:t>
            </w:r>
          </w:p>
        </w:tc>
        <w:tc>
          <w:tcPr>
            <w:tcW w:w="160" w:type="dxa"/>
            <w:tcBorders>
              <w:top w:val="nil"/>
              <w:left w:val="nil"/>
              <w:bottom w:val="single" w:sz="4" w:space="0" w:color="auto"/>
              <w:right w:val="nil"/>
            </w:tcBorders>
            <w:vAlign w:val="center"/>
          </w:tcPr>
          <w:p w14:paraId="01E273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6B6B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AKADEMIJA ZA LIKOVNO UMETNOST IN OBLIKOVANJE</w:t>
            </w:r>
          </w:p>
        </w:tc>
      </w:tr>
      <w:tr w:rsidR="00072A69" w:rsidRPr="00DC6DF9" w14:paraId="4A6678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D980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1725</w:t>
            </w:r>
          </w:p>
        </w:tc>
        <w:tc>
          <w:tcPr>
            <w:tcW w:w="1036" w:type="dxa"/>
            <w:tcBorders>
              <w:top w:val="nil"/>
              <w:left w:val="nil"/>
              <w:bottom w:val="single" w:sz="4" w:space="0" w:color="auto"/>
              <w:right w:val="single" w:sz="4" w:space="0" w:color="auto"/>
            </w:tcBorders>
            <w:shd w:val="clear" w:color="auto" w:fill="auto"/>
            <w:noWrap/>
            <w:vAlign w:val="center"/>
            <w:hideMark/>
          </w:tcPr>
          <w:p w14:paraId="1E320B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1626914000</w:t>
            </w:r>
          </w:p>
        </w:tc>
        <w:tc>
          <w:tcPr>
            <w:tcW w:w="1036" w:type="dxa"/>
            <w:tcBorders>
              <w:top w:val="nil"/>
              <w:left w:val="nil"/>
              <w:bottom w:val="single" w:sz="4" w:space="0" w:color="auto"/>
              <w:right w:val="single" w:sz="4" w:space="0" w:color="auto"/>
            </w:tcBorders>
            <w:shd w:val="clear" w:color="auto" w:fill="auto"/>
            <w:noWrap/>
            <w:vAlign w:val="center"/>
            <w:hideMark/>
          </w:tcPr>
          <w:p w14:paraId="00FBD6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94761795</w:t>
            </w:r>
          </w:p>
        </w:tc>
        <w:tc>
          <w:tcPr>
            <w:tcW w:w="160" w:type="dxa"/>
            <w:tcBorders>
              <w:top w:val="nil"/>
              <w:left w:val="nil"/>
              <w:bottom w:val="single" w:sz="4" w:space="0" w:color="auto"/>
              <w:right w:val="nil"/>
            </w:tcBorders>
            <w:vAlign w:val="center"/>
          </w:tcPr>
          <w:p w14:paraId="585CC4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EB13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BIOTEHNIŠKA FAKULTETA</w:t>
            </w:r>
          </w:p>
        </w:tc>
      </w:tr>
      <w:tr w:rsidR="00072A69" w:rsidRPr="00DC6DF9" w14:paraId="0F17519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2C97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1726</w:t>
            </w:r>
          </w:p>
        </w:tc>
        <w:tc>
          <w:tcPr>
            <w:tcW w:w="1036" w:type="dxa"/>
            <w:tcBorders>
              <w:top w:val="nil"/>
              <w:left w:val="nil"/>
              <w:bottom w:val="single" w:sz="4" w:space="0" w:color="auto"/>
              <w:right w:val="single" w:sz="4" w:space="0" w:color="auto"/>
            </w:tcBorders>
            <w:shd w:val="clear" w:color="auto" w:fill="auto"/>
            <w:noWrap/>
            <w:vAlign w:val="center"/>
            <w:hideMark/>
          </w:tcPr>
          <w:p w14:paraId="41BD5C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1626922000</w:t>
            </w:r>
          </w:p>
        </w:tc>
        <w:tc>
          <w:tcPr>
            <w:tcW w:w="1036" w:type="dxa"/>
            <w:tcBorders>
              <w:top w:val="nil"/>
              <w:left w:val="nil"/>
              <w:bottom w:val="single" w:sz="4" w:space="0" w:color="auto"/>
              <w:right w:val="single" w:sz="4" w:space="0" w:color="auto"/>
            </w:tcBorders>
            <w:shd w:val="clear" w:color="auto" w:fill="auto"/>
            <w:noWrap/>
            <w:vAlign w:val="center"/>
            <w:hideMark/>
          </w:tcPr>
          <w:p w14:paraId="18A3A0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28186745</w:t>
            </w:r>
          </w:p>
        </w:tc>
        <w:tc>
          <w:tcPr>
            <w:tcW w:w="160" w:type="dxa"/>
            <w:tcBorders>
              <w:top w:val="nil"/>
              <w:left w:val="nil"/>
              <w:bottom w:val="single" w:sz="4" w:space="0" w:color="auto"/>
              <w:right w:val="nil"/>
            </w:tcBorders>
            <w:vAlign w:val="center"/>
          </w:tcPr>
          <w:p w14:paraId="584C9B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DFF1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EKONOMSKA FAKULTETA</w:t>
            </w:r>
          </w:p>
        </w:tc>
      </w:tr>
      <w:tr w:rsidR="00072A69" w:rsidRPr="00DC6DF9" w14:paraId="5219677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A27D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1727</w:t>
            </w:r>
          </w:p>
        </w:tc>
        <w:tc>
          <w:tcPr>
            <w:tcW w:w="1036" w:type="dxa"/>
            <w:tcBorders>
              <w:top w:val="nil"/>
              <w:left w:val="nil"/>
              <w:bottom w:val="single" w:sz="4" w:space="0" w:color="auto"/>
              <w:right w:val="single" w:sz="4" w:space="0" w:color="auto"/>
            </w:tcBorders>
            <w:shd w:val="clear" w:color="auto" w:fill="auto"/>
            <w:noWrap/>
            <w:vAlign w:val="center"/>
            <w:hideMark/>
          </w:tcPr>
          <w:p w14:paraId="50BD26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1626949000</w:t>
            </w:r>
          </w:p>
        </w:tc>
        <w:tc>
          <w:tcPr>
            <w:tcW w:w="1036" w:type="dxa"/>
            <w:tcBorders>
              <w:top w:val="nil"/>
              <w:left w:val="nil"/>
              <w:bottom w:val="single" w:sz="4" w:space="0" w:color="auto"/>
              <w:right w:val="single" w:sz="4" w:space="0" w:color="auto"/>
            </w:tcBorders>
            <w:shd w:val="clear" w:color="auto" w:fill="auto"/>
            <w:noWrap/>
            <w:vAlign w:val="center"/>
            <w:hideMark/>
          </w:tcPr>
          <w:p w14:paraId="0377FA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48046167</w:t>
            </w:r>
          </w:p>
        </w:tc>
        <w:tc>
          <w:tcPr>
            <w:tcW w:w="160" w:type="dxa"/>
            <w:tcBorders>
              <w:top w:val="nil"/>
              <w:left w:val="nil"/>
              <w:bottom w:val="single" w:sz="4" w:space="0" w:color="auto"/>
              <w:right w:val="nil"/>
            </w:tcBorders>
            <w:vAlign w:val="center"/>
          </w:tcPr>
          <w:p w14:paraId="2CDB08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CF55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ARHITEKTURO</w:t>
            </w:r>
          </w:p>
        </w:tc>
      </w:tr>
      <w:tr w:rsidR="00072A69" w:rsidRPr="00DC6DF9" w14:paraId="7B16D3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A3FD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1728</w:t>
            </w:r>
          </w:p>
        </w:tc>
        <w:tc>
          <w:tcPr>
            <w:tcW w:w="1036" w:type="dxa"/>
            <w:tcBorders>
              <w:top w:val="nil"/>
              <w:left w:val="nil"/>
              <w:bottom w:val="single" w:sz="4" w:space="0" w:color="auto"/>
              <w:right w:val="single" w:sz="4" w:space="0" w:color="auto"/>
            </w:tcBorders>
            <w:shd w:val="clear" w:color="auto" w:fill="auto"/>
            <w:noWrap/>
            <w:vAlign w:val="center"/>
            <w:hideMark/>
          </w:tcPr>
          <w:p w14:paraId="354E6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1626957000</w:t>
            </w:r>
          </w:p>
        </w:tc>
        <w:tc>
          <w:tcPr>
            <w:tcW w:w="1036" w:type="dxa"/>
            <w:tcBorders>
              <w:top w:val="nil"/>
              <w:left w:val="nil"/>
              <w:bottom w:val="single" w:sz="4" w:space="0" w:color="auto"/>
              <w:right w:val="single" w:sz="4" w:space="0" w:color="auto"/>
            </w:tcBorders>
            <w:shd w:val="clear" w:color="auto" w:fill="auto"/>
            <w:noWrap/>
            <w:vAlign w:val="center"/>
            <w:hideMark/>
          </w:tcPr>
          <w:p w14:paraId="1CBAC2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47607807</w:t>
            </w:r>
          </w:p>
        </w:tc>
        <w:tc>
          <w:tcPr>
            <w:tcW w:w="160" w:type="dxa"/>
            <w:tcBorders>
              <w:top w:val="nil"/>
              <w:left w:val="nil"/>
              <w:bottom w:val="single" w:sz="4" w:space="0" w:color="auto"/>
              <w:right w:val="nil"/>
            </w:tcBorders>
            <w:vAlign w:val="center"/>
          </w:tcPr>
          <w:p w14:paraId="43C936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3757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DRUŽBENE VEDE</w:t>
            </w:r>
          </w:p>
        </w:tc>
      </w:tr>
      <w:tr w:rsidR="00072A69" w:rsidRPr="00DC6DF9" w14:paraId="799E49D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B309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1729</w:t>
            </w:r>
          </w:p>
        </w:tc>
        <w:tc>
          <w:tcPr>
            <w:tcW w:w="1036" w:type="dxa"/>
            <w:tcBorders>
              <w:top w:val="nil"/>
              <w:left w:val="nil"/>
              <w:bottom w:val="single" w:sz="4" w:space="0" w:color="auto"/>
              <w:right w:val="single" w:sz="4" w:space="0" w:color="auto"/>
            </w:tcBorders>
            <w:shd w:val="clear" w:color="auto" w:fill="auto"/>
            <w:noWrap/>
            <w:vAlign w:val="center"/>
            <w:hideMark/>
          </w:tcPr>
          <w:p w14:paraId="308255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1626965000</w:t>
            </w:r>
          </w:p>
        </w:tc>
        <w:tc>
          <w:tcPr>
            <w:tcW w:w="1036" w:type="dxa"/>
            <w:tcBorders>
              <w:top w:val="nil"/>
              <w:left w:val="nil"/>
              <w:bottom w:val="single" w:sz="4" w:space="0" w:color="auto"/>
              <w:right w:val="single" w:sz="4" w:space="0" w:color="auto"/>
            </w:tcBorders>
            <w:shd w:val="clear" w:color="auto" w:fill="auto"/>
            <w:noWrap/>
            <w:vAlign w:val="center"/>
            <w:hideMark/>
          </w:tcPr>
          <w:p w14:paraId="130B13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11015489</w:t>
            </w:r>
          </w:p>
        </w:tc>
        <w:tc>
          <w:tcPr>
            <w:tcW w:w="160" w:type="dxa"/>
            <w:tcBorders>
              <w:top w:val="nil"/>
              <w:left w:val="nil"/>
              <w:bottom w:val="single" w:sz="4" w:space="0" w:color="auto"/>
              <w:right w:val="nil"/>
            </w:tcBorders>
            <w:vAlign w:val="center"/>
          </w:tcPr>
          <w:p w14:paraId="2AE54E9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A0555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ELEKTROTEHNIKO</w:t>
            </w:r>
          </w:p>
        </w:tc>
      </w:tr>
      <w:tr w:rsidR="00072A69" w:rsidRPr="00DC6DF9" w14:paraId="0CEECD2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82B7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1730</w:t>
            </w:r>
          </w:p>
        </w:tc>
        <w:tc>
          <w:tcPr>
            <w:tcW w:w="1036" w:type="dxa"/>
            <w:tcBorders>
              <w:top w:val="nil"/>
              <w:left w:val="nil"/>
              <w:bottom w:val="single" w:sz="4" w:space="0" w:color="auto"/>
              <w:right w:val="single" w:sz="4" w:space="0" w:color="auto"/>
            </w:tcBorders>
            <w:shd w:val="clear" w:color="auto" w:fill="auto"/>
            <w:noWrap/>
            <w:vAlign w:val="center"/>
            <w:hideMark/>
          </w:tcPr>
          <w:p w14:paraId="59C3F5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1626973000</w:t>
            </w:r>
          </w:p>
        </w:tc>
        <w:tc>
          <w:tcPr>
            <w:tcW w:w="1036" w:type="dxa"/>
            <w:tcBorders>
              <w:top w:val="nil"/>
              <w:left w:val="nil"/>
              <w:bottom w:val="single" w:sz="4" w:space="0" w:color="auto"/>
              <w:right w:val="single" w:sz="4" w:space="0" w:color="auto"/>
            </w:tcBorders>
            <w:shd w:val="clear" w:color="auto" w:fill="auto"/>
            <w:noWrap/>
            <w:vAlign w:val="center"/>
            <w:hideMark/>
          </w:tcPr>
          <w:p w14:paraId="4DA8DB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11690682</w:t>
            </w:r>
          </w:p>
        </w:tc>
        <w:tc>
          <w:tcPr>
            <w:tcW w:w="160" w:type="dxa"/>
            <w:tcBorders>
              <w:top w:val="nil"/>
              <w:left w:val="nil"/>
              <w:bottom w:val="single" w:sz="4" w:space="0" w:color="auto"/>
              <w:right w:val="nil"/>
            </w:tcBorders>
            <w:vAlign w:val="center"/>
          </w:tcPr>
          <w:p w14:paraId="61E7B1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905A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FARMACIJO</w:t>
            </w:r>
          </w:p>
        </w:tc>
      </w:tr>
      <w:tr w:rsidR="00072A69" w:rsidRPr="00DC6DF9" w14:paraId="4BC310D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405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1731</w:t>
            </w:r>
          </w:p>
        </w:tc>
        <w:tc>
          <w:tcPr>
            <w:tcW w:w="1036" w:type="dxa"/>
            <w:tcBorders>
              <w:top w:val="nil"/>
              <w:left w:val="nil"/>
              <w:bottom w:val="single" w:sz="4" w:space="0" w:color="auto"/>
              <w:right w:val="single" w:sz="4" w:space="0" w:color="auto"/>
            </w:tcBorders>
            <w:shd w:val="clear" w:color="auto" w:fill="auto"/>
            <w:noWrap/>
            <w:vAlign w:val="center"/>
            <w:hideMark/>
          </w:tcPr>
          <w:p w14:paraId="7FA847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1626981000</w:t>
            </w:r>
          </w:p>
        </w:tc>
        <w:tc>
          <w:tcPr>
            <w:tcW w:w="1036" w:type="dxa"/>
            <w:tcBorders>
              <w:top w:val="nil"/>
              <w:left w:val="nil"/>
              <w:bottom w:val="single" w:sz="4" w:space="0" w:color="auto"/>
              <w:right w:val="single" w:sz="4" w:space="0" w:color="auto"/>
            </w:tcBorders>
            <w:shd w:val="clear" w:color="auto" w:fill="auto"/>
            <w:noWrap/>
            <w:vAlign w:val="center"/>
            <w:hideMark/>
          </w:tcPr>
          <w:p w14:paraId="75D133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98643339</w:t>
            </w:r>
          </w:p>
        </w:tc>
        <w:tc>
          <w:tcPr>
            <w:tcW w:w="160" w:type="dxa"/>
            <w:tcBorders>
              <w:top w:val="nil"/>
              <w:left w:val="nil"/>
              <w:bottom w:val="single" w:sz="4" w:space="0" w:color="auto"/>
              <w:right w:val="nil"/>
            </w:tcBorders>
            <w:vAlign w:val="center"/>
          </w:tcPr>
          <w:p w14:paraId="75B91AB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41C8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GRADBENIŠTVO IN GEODEZIJO</w:t>
            </w:r>
          </w:p>
        </w:tc>
      </w:tr>
      <w:tr w:rsidR="00072A69" w:rsidRPr="00DC6DF9" w14:paraId="71AF63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6AB4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1732</w:t>
            </w:r>
          </w:p>
        </w:tc>
        <w:tc>
          <w:tcPr>
            <w:tcW w:w="1036" w:type="dxa"/>
            <w:tcBorders>
              <w:top w:val="nil"/>
              <w:left w:val="nil"/>
              <w:bottom w:val="single" w:sz="4" w:space="0" w:color="auto"/>
              <w:right w:val="single" w:sz="4" w:space="0" w:color="auto"/>
            </w:tcBorders>
            <w:shd w:val="clear" w:color="auto" w:fill="auto"/>
            <w:noWrap/>
            <w:vAlign w:val="center"/>
            <w:hideMark/>
          </w:tcPr>
          <w:p w14:paraId="399E07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1626990000</w:t>
            </w:r>
          </w:p>
        </w:tc>
        <w:tc>
          <w:tcPr>
            <w:tcW w:w="1036" w:type="dxa"/>
            <w:tcBorders>
              <w:top w:val="nil"/>
              <w:left w:val="nil"/>
              <w:bottom w:val="single" w:sz="4" w:space="0" w:color="auto"/>
              <w:right w:val="single" w:sz="4" w:space="0" w:color="auto"/>
            </w:tcBorders>
            <w:shd w:val="clear" w:color="auto" w:fill="auto"/>
            <w:noWrap/>
            <w:vAlign w:val="center"/>
            <w:hideMark/>
          </w:tcPr>
          <w:p w14:paraId="7E8158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65565754</w:t>
            </w:r>
          </w:p>
        </w:tc>
        <w:tc>
          <w:tcPr>
            <w:tcW w:w="160" w:type="dxa"/>
            <w:tcBorders>
              <w:top w:val="nil"/>
              <w:left w:val="nil"/>
              <w:bottom w:val="single" w:sz="4" w:space="0" w:color="auto"/>
              <w:right w:val="nil"/>
            </w:tcBorders>
            <w:vAlign w:val="center"/>
          </w:tcPr>
          <w:p w14:paraId="432E5F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0AFD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KEMIJO IN KEMIJSKO TEHNOLOGIJO</w:t>
            </w:r>
          </w:p>
        </w:tc>
      </w:tr>
      <w:tr w:rsidR="00072A69" w:rsidRPr="00DC6DF9" w14:paraId="6599CC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9914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1733</w:t>
            </w:r>
          </w:p>
        </w:tc>
        <w:tc>
          <w:tcPr>
            <w:tcW w:w="1036" w:type="dxa"/>
            <w:tcBorders>
              <w:top w:val="nil"/>
              <w:left w:val="nil"/>
              <w:bottom w:val="single" w:sz="4" w:space="0" w:color="auto"/>
              <w:right w:val="single" w:sz="4" w:space="0" w:color="auto"/>
            </w:tcBorders>
            <w:shd w:val="clear" w:color="auto" w:fill="auto"/>
            <w:noWrap/>
            <w:vAlign w:val="center"/>
            <w:hideMark/>
          </w:tcPr>
          <w:p w14:paraId="3BC57B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1627007000</w:t>
            </w:r>
          </w:p>
        </w:tc>
        <w:tc>
          <w:tcPr>
            <w:tcW w:w="1036" w:type="dxa"/>
            <w:tcBorders>
              <w:top w:val="nil"/>
              <w:left w:val="nil"/>
              <w:bottom w:val="single" w:sz="4" w:space="0" w:color="auto"/>
              <w:right w:val="single" w:sz="4" w:space="0" w:color="auto"/>
            </w:tcBorders>
            <w:shd w:val="clear" w:color="auto" w:fill="auto"/>
            <w:noWrap/>
            <w:vAlign w:val="center"/>
            <w:hideMark/>
          </w:tcPr>
          <w:p w14:paraId="221B0E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55332862</w:t>
            </w:r>
          </w:p>
        </w:tc>
        <w:tc>
          <w:tcPr>
            <w:tcW w:w="160" w:type="dxa"/>
            <w:tcBorders>
              <w:top w:val="nil"/>
              <w:left w:val="nil"/>
              <w:bottom w:val="single" w:sz="4" w:space="0" w:color="auto"/>
              <w:right w:val="nil"/>
            </w:tcBorders>
            <w:vAlign w:val="center"/>
          </w:tcPr>
          <w:p w14:paraId="030D20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B37B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MATEMATIKO IN FIZIKO</w:t>
            </w:r>
          </w:p>
        </w:tc>
      </w:tr>
      <w:tr w:rsidR="00072A69" w:rsidRPr="00DC6DF9" w14:paraId="131466B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4D81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1734</w:t>
            </w:r>
          </w:p>
        </w:tc>
        <w:tc>
          <w:tcPr>
            <w:tcW w:w="1036" w:type="dxa"/>
            <w:tcBorders>
              <w:top w:val="nil"/>
              <w:left w:val="nil"/>
              <w:bottom w:val="single" w:sz="4" w:space="0" w:color="auto"/>
              <w:right w:val="single" w:sz="4" w:space="0" w:color="auto"/>
            </w:tcBorders>
            <w:shd w:val="clear" w:color="auto" w:fill="auto"/>
            <w:noWrap/>
            <w:vAlign w:val="center"/>
            <w:hideMark/>
          </w:tcPr>
          <w:p w14:paraId="305CD4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1627015000</w:t>
            </w:r>
          </w:p>
        </w:tc>
        <w:tc>
          <w:tcPr>
            <w:tcW w:w="1036" w:type="dxa"/>
            <w:tcBorders>
              <w:top w:val="nil"/>
              <w:left w:val="nil"/>
              <w:bottom w:val="single" w:sz="4" w:space="0" w:color="auto"/>
              <w:right w:val="single" w:sz="4" w:space="0" w:color="auto"/>
            </w:tcBorders>
            <w:shd w:val="clear" w:color="auto" w:fill="auto"/>
            <w:noWrap/>
            <w:vAlign w:val="center"/>
            <w:hideMark/>
          </w:tcPr>
          <w:p w14:paraId="744281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99219778</w:t>
            </w:r>
          </w:p>
        </w:tc>
        <w:tc>
          <w:tcPr>
            <w:tcW w:w="160" w:type="dxa"/>
            <w:tcBorders>
              <w:top w:val="nil"/>
              <w:left w:val="nil"/>
              <w:bottom w:val="single" w:sz="4" w:space="0" w:color="auto"/>
              <w:right w:val="nil"/>
            </w:tcBorders>
            <w:vAlign w:val="center"/>
          </w:tcPr>
          <w:p w14:paraId="366FF0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76FE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POMORSTVO IN PROMET</w:t>
            </w:r>
          </w:p>
        </w:tc>
      </w:tr>
      <w:tr w:rsidR="00072A69" w:rsidRPr="00DC6DF9" w14:paraId="0A15AF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B58C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1735</w:t>
            </w:r>
          </w:p>
        </w:tc>
        <w:tc>
          <w:tcPr>
            <w:tcW w:w="1036" w:type="dxa"/>
            <w:tcBorders>
              <w:top w:val="nil"/>
              <w:left w:val="nil"/>
              <w:bottom w:val="single" w:sz="4" w:space="0" w:color="auto"/>
              <w:right w:val="single" w:sz="4" w:space="0" w:color="auto"/>
            </w:tcBorders>
            <w:shd w:val="clear" w:color="auto" w:fill="auto"/>
            <w:noWrap/>
            <w:vAlign w:val="center"/>
            <w:hideMark/>
          </w:tcPr>
          <w:p w14:paraId="1FCB3F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1627023000</w:t>
            </w:r>
          </w:p>
        </w:tc>
        <w:tc>
          <w:tcPr>
            <w:tcW w:w="1036" w:type="dxa"/>
            <w:tcBorders>
              <w:top w:val="nil"/>
              <w:left w:val="nil"/>
              <w:bottom w:val="single" w:sz="4" w:space="0" w:color="auto"/>
              <w:right w:val="single" w:sz="4" w:space="0" w:color="auto"/>
            </w:tcBorders>
            <w:shd w:val="clear" w:color="auto" w:fill="auto"/>
            <w:noWrap/>
            <w:vAlign w:val="center"/>
            <w:hideMark/>
          </w:tcPr>
          <w:p w14:paraId="534609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67909027</w:t>
            </w:r>
          </w:p>
        </w:tc>
        <w:tc>
          <w:tcPr>
            <w:tcW w:w="160" w:type="dxa"/>
            <w:tcBorders>
              <w:top w:val="nil"/>
              <w:left w:val="nil"/>
              <w:bottom w:val="single" w:sz="4" w:space="0" w:color="auto"/>
              <w:right w:val="nil"/>
            </w:tcBorders>
            <w:vAlign w:val="center"/>
          </w:tcPr>
          <w:p w14:paraId="40F708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FD0E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RAČUNALNIŠTVO IN INFORMATIKO</w:t>
            </w:r>
          </w:p>
        </w:tc>
      </w:tr>
      <w:tr w:rsidR="00072A69" w:rsidRPr="00DC6DF9" w14:paraId="3AA50C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F357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1736</w:t>
            </w:r>
          </w:p>
        </w:tc>
        <w:tc>
          <w:tcPr>
            <w:tcW w:w="1036" w:type="dxa"/>
            <w:tcBorders>
              <w:top w:val="nil"/>
              <w:left w:val="nil"/>
              <w:bottom w:val="single" w:sz="4" w:space="0" w:color="auto"/>
              <w:right w:val="single" w:sz="4" w:space="0" w:color="auto"/>
            </w:tcBorders>
            <w:shd w:val="clear" w:color="auto" w:fill="auto"/>
            <w:noWrap/>
            <w:vAlign w:val="center"/>
            <w:hideMark/>
          </w:tcPr>
          <w:p w14:paraId="1E63F4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1627147000</w:t>
            </w:r>
          </w:p>
        </w:tc>
        <w:tc>
          <w:tcPr>
            <w:tcW w:w="1036" w:type="dxa"/>
            <w:tcBorders>
              <w:top w:val="nil"/>
              <w:left w:val="nil"/>
              <w:bottom w:val="single" w:sz="4" w:space="0" w:color="auto"/>
              <w:right w:val="single" w:sz="4" w:space="0" w:color="auto"/>
            </w:tcBorders>
            <w:shd w:val="clear" w:color="auto" w:fill="auto"/>
            <w:noWrap/>
            <w:vAlign w:val="center"/>
            <w:hideMark/>
          </w:tcPr>
          <w:p w14:paraId="7BB7D5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80139574</w:t>
            </w:r>
          </w:p>
        </w:tc>
        <w:tc>
          <w:tcPr>
            <w:tcW w:w="160" w:type="dxa"/>
            <w:tcBorders>
              <w:top w:val="nil"/>
              <w:left w:val="nil"/>
              <w:bottom w:val="single" w:sz="4" w:space="0" w:color="auto"/>
              <w:right w:val="nil"/>
            </w:tcBorders>
            <w:vAlign w:val="center"/>
          </w:tcPr>
          <w:p w14:paraId="568972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1F763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SOCIALNO DELO</w:t>
            </w:r>
          </w:p>
        </w:tc>
      </w:tr>
      <w:tr w:rsidR="00072A69" w:rsidRPr="00DC6DF9" w14:paraId="0C10CD1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F03D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1737</w:t>
            </w:r>
          </w:p>
        </w:tc>
        <w:tc>
          <w:tcPr>
            <w:tcW w:w="1036" w:type="dxa"/>
            <w:tcBorders>
              <w:top w:val="nil"/>
              <w:left w:val="nil"/>
              <w:bottom w:val="single" w:sz="4" w:space="0" w:color="auto"/>
              <w:right w:val="single" w:sz="4" w:space="0" w:color="auto"/>
            </w:tcBorders>
            <w:shd w:val="clear" w:color="auto" w:fill="auto"/>
            <w:noWrap/>
            <w:vAlign w:val="center"/>
            <w:hideMark/>
          </w:tcPr>
          <w:p w14:paraId="6365A7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1627031000</w:t>
            </w:r>
          </w:p>
        </w:tc>
        <w:tc>
          <w:tcPr>
            <w:tcW w:w="1036" w:type="dxa"/>
            <w:tcBorders>
              <w:top w:val="nil"/>
              <w:left w:val="nil"/>
              <w:bottom w:val="single" w:sz="4" w:space="0" w:color="auto"/>
              <w:right w:val="single" w:sz="4" w:space="0" w:color="auto"/>
            </w:tcBorders>
            <w:shd w:val="clear" w:color="auto" w:fill="auto"/>
            <w:noWrap/>
            <w:vAlign w:val="center"/>
            <w:hideMark/>
          </w:tcPr>
          <w:p w14:paraId="4DE05F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28118081</w:t>
            </w:r>
          </w:p>
        </w:tc>
        <w:tc>
          <w:tcPr>
            <w:tcW w:w="160" w:type="dxa"/>
            <w:tcBorders>
              <w:top w:val="nil"/>
              <w:left w:val="nil"/>
              <w:bottom w:val="single" w:sz="4" w:space="0" w:color="auto"/>
              <w:right w:val="nil"/>
            </w:tcBorders>
            <w:vAlign w:val="center"/>
          </w:tcPr>
          <w:p w14:paraId="33C6A9D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6E43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STROJNIŠTVO</w:t>
            </w:r>
          </w:p>
        </w:tc>
      </w:tr>
      <w:tr w:rsidR="00072A69" w:rsidRPr="00DC6DF9" w14:paraId="41552E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985E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1738</w:t>
            </w:r>
          </w:p>
        </w:tc>
        <w:tc>
          <w:tcPr>
            <w:tcW w:w="1036" w:type="dxa"/>
            <w:tcBorders>
              <w:top w:val="nil"/>
              <w:left w:val="nil"/>
              <w:bottom w:val="single" w:sz="4" w:space="0" w:color="auto"/>
              <w:right w:val="single" w:sz="4" w:space="0" w:color="auto"/>
            </w:tcBorders>
            <w:shd w:val="clear" w:color="auto" w:fill="auto"/>
            <w:noWrap/>
            <w:vAlign w:val="center"/>
            <w:hideMark/>
          </w:tcPr>
          <w:p w14:paraId="1F6FD2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1627040000</w:t>
            </w:r>
          </w:p>
        </w:tc>
        <w:tc>
          <w:tcPr>
            <w:tcW w:w="1036" w:type="dxa"/>
            <w:tcBorders>
              <w:top w:val="nil"/>
              <w:left w:val="nil"/>
              <w:bottom w:val="single" w:sz="4" w:space="0" w:color="auto"/>
              <w:right w:val="single" w:sz="4" w:space="0" w:color="auto"/>
            </w:tcBorders>
            <w:shd w:val="clear" w:color="auto" w:fill="auto"/>
            <w:noWrap/>
            <w:vAlign w:val="center"/>
            <w:hideMark/>
          </w:tcPr>
          <w:p w14:paraId="1FD89C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96040289</w:t>
            </w:r>
          </w:p>
        </w:tc>
        <w:tc>
          <w:tcPr>
            <w:tcW w:w="160" w:type="dxa"/>
            <w:tcBorders>
              <w:top w:val="nil"/>
              <w:left w:val="nil"/>
              <w:bottom w:val="single" w:sz="4" w:space="0" w:color="auto"/>
              <w:right w:val="nil"/>
            </w:tcBorders>
            <w:vAlign w:val="center"/>
          </w:tcPr>
          <w:p w14:paraId="5408EF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E3DA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ŠPORT</w:t>
            </w:r>
          </w:p>
        </w:tc>
      </w:tr>
      <w:tr w:rsidR="00072A69" w:rsidRPr="00DC6DF9" w14:paraId="3C7FDD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E496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1739</w:t>
            </w:r>
          </w:p>
        </w:tc>
        <w:tc>
          <w:tcPr>
            <w:tcW w:w="1036" w:type="dxa"/>
            <w:tcBorders>
              <w:top w:val="nil"/>
              <w:left w:val="nil"/>
              <w:bottom w:val="single" w:sz="4" w:space="0" w:color="auto"/>
              <w:right w:val="single" w:sz="4" w:space="0" w:color="auto"/>
            </w:tcBorders>
            <w:shd w:val="clear" w:color="auto" w:fill="auto"/>
            <w:noWrap/>
            <w:vAlign w:val="center"/>
            <w:hideMark/>
          </w:tcPr>
          <w:p w14:paraId="0B6F5F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1627163000</w:t>
            </w:r>
          </w:p>
        </w:tc>
        <w:tc>
          <w:tcPr>
            <w:tcW w:w="1036" w:type="dxa"/>
            <w:tcBorders>
              <w:top w:val="nil"/>
              <w:left w:val="nil"/>
              <w:bottom w:val="single" w:sz="4" w:space="0" w:color="auto"/>
              <w:right w:val="single" w:sz="4" w:space="0" w:color="auto"/>
            </w:tcBorders>
            <w:shd w:val="clear" w:color="auto" w:fill="auto"/>
            <w:noWrap/>
            <w:vAlign w:val="center"/>
            <w:hideMark/>
          </w:tcPr>
          <w:p w14:paraId="4ABD31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14629763</w:t>
            </w:r>
          </w:p>
        </w:tc>
        <w:tc>
          <w:tcPr>
            <w:tcW w:w="160" w:type="dxa"/>
            <w:tcBorders>
              <w:top w:val="nil"/>
              <w:left w:val="nil"/>
              <w:bottom w:val="single" w:sz="4" w:space="0" w:color="auto"/>
              <w:right w:val="nil"/>
            </w:tcBorders>
            <w:vAlign w:val="center"/>
          </w:tcPr>
          <w:p w14:paraId="5733CA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ED23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FAKULTETA ZA UPRAVO</w:t>
            </w:r>
          </w:p>
        </w:tc>
      </w:tr>
      <w:tr w:rsidR="00072A69" w:rsidRPr="00DC6DF9" w14:paraId="28694D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5A9B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1740</w:t>
            </w:r>
          </w:p>
        </w:tc>
        <w:tc>
          <w:tcPr>
            <w:tcW w:w="1036" w:type="dxa"/>
            <w:tcBorders>
              <w:top w:val="nil"/>
              <w:left w:val="nil"/>
              <w:bottom w:val="single" w:sz="4" w:space="0" w:color="auto"/>
              <w:right w:val="single" w:sz="4" w:space="0" w:color="auto"/>
            </w:tcBorders>
            <w:shd w:val="clear" w:color="auto" w:fill="auto"/>
            <w:noWrap/>
            <w:vAlign w:val="center"/>
            <w:hideMark/>
          </w:tcPr>
          <w:p w14:paraId="7F135C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1627058000</w:t>
            </w:r>
          </w:p>
        </w:tc>
        <w:tc>
          <w:tcPr>
            <w:tcW w:w="1036" w:type="dxa"/>
            <w:tcBorders>
              <w:top w:val="nil"/>
              <w:left w:val="nil"/>
              <w:bottom w:val="single" w:sz="4" w:space="0" w:color="auto"/>
              <w:right w:val="single" w:sz="4" w:space="0" w:color="auto"/>
            </w:tcBorders>
            <w:shd w:val="clear" w:color="auto" w:fill="auto"/>
            <w:noWrap/>
            <w:vAlign w:val="center"/>
            <w:hideMark/>
          </w:tcPr>
          <w:p w14:paraId="24E177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55382657</w:t>
            </w:r>
          </w:p>
        </w:tc>
        <w:tc>
          <w:tcPr>
            <w:tcW w:w="160" w:type="dxa"/>
            <w:tcBorders>
              <w:top w:val="nil"/>
              <w:left w:val="nil"/>
              <w:bottom w:val="single" w:sz="4" w:space="0" w:color="auto"/>
              <w:right w:val="nil"/>
            </w:tcBorders>
            <w:vAlign w:val="center"/>
          </w:tcPr>
          <w:p w14:paraId="78B6E2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0EF8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FILOZOFSKA FAKULTETA</w:t>
            </w:r>
          </w:p>
        </w:tc>
      </w:tr>
      <w:tr w:rsidR="00072A69" w:rsidRPr="00DC6DF9" w14:paraId="01A9CA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C325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1741</w:t>
            </w:r>
          </w:p>
        </w:tc>
        <w:tc>
          <w:tcPr>
            <w:tcW w:w="1036" w:type="dxa"/>
            <w:tcBorders>
              <w:top w:val="nil"/>
              <w:left w:val="nil"/>
              <w:bottom w:val="single" w:sz="4" w:space="0" w:color="auto"/>
              <w:right w:val="single" w:sz="4" w:space="0" w:color="auto"/>
            </w:tcBorders>
            <w:shd w:val="clear" w:color="auto" w:fill="auto"/>
            <w:noWrap/>
            <w:vAlign w:val="center"/>
            <w:hideMark/>
          </w:tcPr>
          <w:p w14:paraId="5B75D0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1627066000</w:t>
            </w:r>
          </w:p>
        </w:tc>
        <w:tc>
          <w:tcPr>
            <w:tcW w:w="1036" w:type="dxa"/>
            <w:tcBorders>
              <w:top w:val="nil"/>
              <w:left w:val="nil"/>
              <w:bottom w:val="single" w:sz="4" w:space="0" w:color="auto"/>
              <w:right w:val="single" w:sz="4" w:space="0" w:color="auto"/>
            </w:tcBorders>
            <w:shd w:val="clear" w:color="auto" w:fill="auto"/>
            <w:noWrap/>
            <w:vAlign w:val="center"/>
            <w:hideMark/>
          </w:tcPr>
          <w:p w14:paraId="51D3E9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44752385</w:t>
            </w:r>
          </w:p>
        </w:tc>
        <w:tc>
          <w:tcPr>
            <w:tcW w:w="160" w:type="dxa"/>
            <w:tcBorders>
              <w:top w:val="nil"/>
              <w:left w:val="nil"/>
              <w:bottom w:val="single" w:sz="4" w:space="0" w:color="auto"/>
              <w:right w:val="nil"/>
            </w:tcBorders>
            <w:vAlign w:val="center"/>
          </w:tcPr>
          <w:p w14:paraId="49B652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74B0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MEDICINSKA FAKULTETA</w:t>
            </w:r>
          </w:p>
        </w:tc>
      </w:tr>
      <w:tr w:rsidR="00072A69" w:rsidRPr="00DC6DF9" w14:paraId="7B0BAAD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D0A7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1742</w:t>
            </w:r>
          </w:p>
        </w:tc>
        <w:tc>
          <w:tcPr>
            <w:tcW w:w="1036" w:type="dxa"/>
            <w:tcBorders>
              <w:top w:val="nil"/>
              <w:left w:val="nil"/>
              <w:bottom w:val="single" w:sz="4" w:space="0" w:color="auto"/>
              <w:right w:val="single" w:sz="4" w:space="0" w:color="auto"/>
            </w:tcBorders>
            <w:shd w:val="clear" w:color="auto" w:fill="auto"/>
            <w:noWrap/>
            <w:vAlign w:val="center"/>
            <w:hideMark/>
          </w:tcPr>
          <w:p w14:paraId="04A5D9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1627074000</w:t>
            </w:r>
          </w:p>
        </w:tc>
        <w:tc>
          <w:tcPr>
            <w:tcW w:w="1036" w:type="dxa"/>
            <w:tcBorders>
              <w:top w:val="nil"/>
              <w:left w:val="nil"/>
              <w:bottom w:val="single" w:sz="4" w:space="0" w:color="auto"/>
              <w:right w:val="single" w:sz="4" w:space="0" w:color="auto"/>
            </w:tcBorders>
            <w:shd w:val="clear" w:color="auto" w:fill="auto"/>
            <w:noWrap/>
            <w:vAlign w:val="center"/>
            <w:hideMark/>
          </w:tcPr>
          <w:p w14:paraId="698FE3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24405388</w:t>
            </w:r>
          </w:p>
        </w:tc>
        <w:tc>
          <w:tcPr>
            <w:tcW w:w="160" w:type="dxa"/>
            <w:tcBorders>
              <w:top w:val="nil"/>
              <w:left w:val="nil"/>
              <w:bottom w:val="single" w:sz="4" w:space="0" w:color="auto"/>
              <w:right w:val="nil"/>
            </w:tcBorders>
            <w:vAlign w:val="center"/>
          </w:tcPr>
          <w:p w14:paraId="501E54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9B33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NARAVOSLOVNOTEHNIŠKA FAKULTETA</w:t>
            </w:r>
          </w:p>
        </w:tc>
      </w:tr>
      <w:tr w:rsidR="00072A69" w:rsidRPr="00DC6DF9" w14:paraId="059CF2A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A52D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1743</w:t>
            </w:r>
          </w:p>
        </w:tc>
        <w:tc>
          <w:tcPr>
            <w:tcW w:w="1036" w:type="dxa"/>
            <w:tcBorders>
              <w:top w:val="nil"/>
              <w:left w:val="nil"/>
              <w:bottom w:val="single" w:sz="4" w:space="0" w:color="auto"/>
              <w:right w:val="single" w:sz="4" w:space="0" w:color="auto"/>
            </w:tcBorders>
            <w:shd w:val="clear" w:color="auto" w:fill="auto"/>
            <w:noWrap/>
            <w:vAlign w:val="center"/>
            <w:hideMark/>
          </w:tcPr>
          <w:p w14:paraId="20D63B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1627082000</w:t>
            </w:r>
          </w:p>
        </w:tc>
        <w:tc>
          <w:tcPr>
            <w:tcW w:w="1036" w:type="dxa"/>
            <w:tcBorders>
              <w:top w:val="nil"/>
              <w:left w:val="nil"/>
              <w:bottom w:val="single" w:sz="4" w:space="0" w:color="auto"/>
              <w:right w:val="single" w:sz="4" w:space="0" w:color="auto"/>
            </w:tcBorders>
            <w:shd w:val="clear" w:color="auto" w:fill="auto"/>
            <w:noWrap/>
            <w:vAlign w:val="center"/>
            <w:hideMark/>
          </w:tcPr>
          <w:p w14:paraId="55B7C4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61412198</w:t>
            </w:r>
          </w:p>
        </w:tc>
        <w:tc>
          <w:tcPr>
            <w:tcW w:w="160" w:type="dxa"/>
            <w:tcBorders>
              <w:top w:val="nil"/>
              <w:left w:val="nil"/>
              <w:bottom w:val="single" w:sz="4" w:space="0" w:color="auto"/>
              <w:right w:val="nil"/>
            </w:tcBorders>
            <w:vAlign w:val="center"/>
          </w:tcPr>
          <w:p w14:paraId="05FA3D6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11E5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PEDAGOŠKA FAKULTETA</w:t>
            </w:r>
          </w:p>
        </w:tc>
      </w:tr>
      <w:tr w:rsidR="00072A69" w:rsidRPr="00DC6DF9" w14:paraId="68ECFD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15C4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1744</w:t>
            </w:r>
          </w:p>
        </w:tc>
        <w:tc>
          <w:tcPr>
            <w:tcW w:w="1036" w:type="dxa"/>
            <w:tcBorders>
              <w:top w:val="nil"/>
              <w:left w:val="nil"/>
              <w:bottom w:val="single" w:sz="4" w:space="0" w:color="auto"/>
              <w:right w:val="single" w:sz="4" w:space="0" w:color="auto"/>
            </w:tcBorders>
            <w:shd w:val="clear" w:color="auto" w:fill="auto"/>
            <w:noWrap/>
            <w:vAlign w:val="center"/>
            <w:hideMark/>
          </w:tcPr>
          <w:p w14:paraId="6B1539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1627104000</w:t>
            </w:r>
          </w:p>
        </w:tc>
        <w:tc>
          <w:tcPr>
            <w:tcW w:w="1036" w:type="dxa"/>
            <w:tcBorders>
              <w:top w:val="nil"/>
              <w:left w:val="nil"/>
              <w:bottom w:val="single" w:sz="4" w:space="0" w:color="auto"/>
              <w:right w:val="single" w:sz="4" w:space="0" w:color="auto"/>
            </w:tcBorders>
            <w:shd w:val="clear" w:color="auto" w:fill="auto"/>
            <w:noWrap/>
            <w:vAlign w:val="center"/>
            <w:hideMark/>
          </w:tcPr>
          <w:p w14:paraId="2855C8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13125427</w:t>
            </w:r>
          </w:p>
        </w:tc>
        <w:tc>
          <w:tcPr>
            <w:tcW w:w="160" w:type="dxa"/>
            <w:tcBorders>
              <w:top w:val="nil"/>
              <w:left w:val="nil"/>
              <w:bottom w:val="single" w:sz="4" w:space="0" w:color="auto"/>
              <w:right w:val="nil"/>
            </w:tcBorders>
            <w:vAlign w:val="center"/>
          </w:tcPr>
          <w:p w14:paraId="7DF12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A1F9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PRAVNA FAKULTETA</w:t>
            </w:r>
          </w:p>
        </w:tc>
      </w:tr>
      <w:tr w:rsidR="00072A69" w:rsidRPr="00DC6DF9" w14:paraId="10EEEE8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CC20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1745</w:t>
            </w:r>
          </w:p>
        </w:tc>
        <w:tc>
          <w:tcPr>
            <w:tcW w:w="1036" w:type="dxa"/>
            <w:tcBorders>
              <w:top w:val="nil"/>
              <w:left w:val="nil"/>
              <w:bottom w:val="single" w:sz="4" w:space="0" w:color="auto"/>
              <w:right w:val="single" w:sz="4" w:space="0" w:color="auto"/>
            </w:tcBorders>
            <w:shd w:val="clear" w:color="auto" w:fill="auto"/>
            <w:noWrap/>
            <w:vAlign w:val="center"/>
            <w:hideMark/>
          </w:tcPr>
          <w:p w14:paraId="400D5B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1627139000</w:t>
            </w:r>
          </w:p>
        </w:tc>
        <w:tc>
          <w:tcPr>
            <w:tcW w:w="1036" w:type="dxa"/>
            <w:tcBorders>
              <w:top w:val="nil"/>
              <w:left w:val="nil"/>
              <w:bottom w:val="single" w:sz="4" w:space="0" w:color="auto"/>
              <w:right w:val="single" w:sz="4" w:space="0" w:color="auto"/>
            </w:tcBorders>
            <w:shd w:val="clear" w:color="auto" w:fill="auto"/>
            <w:noWrap/>
            <w:vAlign w:val="center"/>
            <w:hideMark/>
          </w:tcPr>
          <w:p w14:paraId="5B7BCC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59676418</w:t>
            </w:r>
          </w:p>
        </w:tc>
        <w:tc>
          <w:tcPr>
            <w:tcW w:w="160" w:type="dxa"/>
            <w:tcBorders>
              <w:top w:val="nil"/>
              <w:left w:val="nil"/>
              <w:bottom w:val="single" w:sz="4" w:space="0" w:color="auto"/>
              <w:right w:val="nil"/>
            </w:tcBorders>
            <w:vAlign w:val="center"/>
          </w:tcPr>
          <w:p w14:paraId="376C16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B989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VETERINARSKA FAKULTETA</w:t>
            </w:r>
          </w:p>
        </w:tc>
      </w:tr>
      <w:tr w:rsidR="00072A69" w:rsidRPr="00DC6DF9" w14:paraId="0942B0A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4249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1746</w:t>
            </w:r>
          </w:p>
        </w:tc>
        <w:tc>
          <w:tcPr>
            <w:tcW w:w="1036" w:type="dxa"/>
            <w:tcBorders>
              <w:top w:val="nil"/>
              <w:left w:val="nil"/>
              <w:bottom w:val="single" w:sz="4" w:space="0" w:color="auto"/>
              <w:right w:val="single" w:sz="4" w:space="0" w:color="auto"/>
            </w:tcBorders>
            <w:shd w:val="clear" w:color="auto" w:fill="auto"/>
            <w:noWrap/>
            <w:vAlign w:val="center"/>
            <w:hideMark/>
          </w:tcPr>
          <w:p w14:paraId="3F0D68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1627155000</w:t>
            </w:r>
          </w:p>
        </w:tc>
        <w:tc>
          <w:tcPr>
            <w:tcW w:w="1036" w:type="dxa"/>
            <w:tcBorders>
              <w:top w:val="nil"/>
              <w:left w:val="nil"/>
              <w:bottom w:val="single" w:sz="4" w:space="0" w:color="auto"/>
              <w:right w:val="single" w:sz="4" w:space="0" w:color="auto"/>
            </w:tcBorders>
            <w:shd w:val="clear" w:color="auto" w:fill="auto"/>
            <w:noWrap/>
            <w:vAlign w:val="center"/>
            <w:hideMark/>
          </w:tcPr>
          <w:p w14:paraId="007426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23997788</w:t>
            </w:r>
          </w:p>
        </w:tc>
        <w:tc>
          <w:tcPr>
            <w:tcW w:w="160" w:type="dxa"/>
            <w:tcBorders>
              <w:top w:val="nil"/>
              <w:left w:val="nil"/>
              <w:bottom w:val="single" w:sz="4" w:space="0" w:color="auto"/>
              <w:right w:val="nil"/>
            </w:tcBorders>
            <w:vAlign w:val="center"/>
          </w:tcPr>
          <w:p w14:paraId="02E4D6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F4B1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LJUBLJANI, ZDRAVSTVENA FAKULTETA</w:t>
            </w:r>
          </w:p>
        </w:tc>
      </w:tr>
      <w:tr w:rsidR="00072A69" w:rsidRPr="00DC6DF9" w14:paraId="171307C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7EA6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1747</w:t>
            </w:r>
          </w:p>
        </w:tc>
        <w:tc>
          <w:tcPr>
            <w:tcW w:w="1036" w:type="dxa"/>
            <w:tcBorders>
              <w:top w:val="nil"/>
              <w:left w:val="nil"/>
              <w:bottom w:val="single" w:sz="4" w:space="0" w:color="auto"/>
              <w:right w:val="single" w:sz="4" w:space="0" w:color="auto"/>
            </w:tcBorders>
            <w:shd w:val="clear" w:color="auto" w:fill="auto"/>
            <w:noWrap/>
            <w:vAlign w:val="center"/>
            <w:hideMark/>
          </w:tcPr>
          <w:p w14:paraId="3BC86F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5089638000</w:t>
            </w:r>
          </w:p>
        </w:tc>
        <w:tc>
          <w:tcPr>
            <w:tcW w:w="1036" w:type="dxa"/>
            <w:tcBorders>
              <w:top w:val="nil"/>
              <w:left w:val="nil"/>
              <w:bottom w:val="single" w:sz="4" w:space="0" w:color="auto"/>
              <w:right w:val="single" w:sz="4" w:space="0" w:color="auto"/>
            </w:tcBorders>
            <w:shd w:val="clear" w:color="auto" w:fill="auto"/>
            <w:noWrap/>
            <w:vAlign w:val="center"/>
            <w:hideMark/>
          </w:tcPr>
          <w:p w14:paraId="135D6A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01D29FE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4D43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w:t>
            </w:r>
          </w:p>
        </w:tc>
      </w:tr>
      <w:tr w:rsidR="00072A69" w:rsidRPr="00DC6DF9" w14:paraId="28466E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1EEA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1748</w:t>
            </w:r>
          </w:p>
        </w:tc>
        <w:tc>
          <w:tcPr>
            <w:tcW w:w="1036" w:type="dxa"/>
            <w:tcBorders>
              <w:top w:val="nil"/>
              <w:left w:val="nil"/>
              <w:bottom w:val="single" w:sz="4" w:space="0" w:color="auto"/>
              <w:right w:val="single" w:sz="4" w:space="0" w:color="auto"/>
            </w:tcBorders>
            <w:shd w:val="clear" w:color="auto" w:fill="auto"/>
            <w:noWrap/>
            <w:vAlign w:val="center"/>
            <w:hideMark/>
          </w:tcPr>
          <w:p w14:paraId="4D05D4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5089638001</w:t>
            </w:r>
          </w:p>
        </w:tc>
        <w:tc>
          <w:tcPr>
            <w:tcW w:w="1036" w:type="dxa"/>
            <w:tcBorders>
              <w:top w:val="nil"/>
              <w:left w:val="nil"/>
              <w:bottom w:val="single" w:sz="4" w:space="0" w:color="auto"/>
              <w:right w:val="single" w:sz="4" w:space="0" w:color="auto"/>
            </w:tcBorders>
            <w:shd w:val="clear" w:color="auto" w:fill="auto"/>
            <w:noWrap/>
            <w:vAlign w:val="center"/>
            <w:hideMark/>
          </w:tcPr>
          <w:p w14:paraId="73AB42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0C19B6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7FA0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EKONOMSKO-POSLOVNA FAKULTETA</w:t>
            </w:r>
          </w:p>
        </w:tc>
      </w:tr>
      <w:tr w:rsidR="00072A69" w:rsidRPr="00DC6DF9" w14:paraId="278350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0D81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1749</w:t>
            </w:r>
          </w:p>
        </w:tc>
        <w:tc>
          <w:tcPr>
            <w:tcW w:w="1036" w:type="dxa"/>
            <w:tcBorders>
              <w:top w:val="nil"/>
              <w:left w:val="nil"/>
              <w:bottom w:val="single" w:sz="4" w:space="0" w:color="auto"/>
              <w:right w:val="single" w:sz="4" w:space="0" w:color="auto"/>
            </w:tcBorders>
            <w:shd w:val="clear" w:color="auto" w:fill="auto"/>
            <w:noWrap/>
            <w:vAlign w:val="center"/>
            <w:hideMark/>
          </w:tcPr>
          <w:p w14:paraId="6E2751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5089638003</w:t>
            </w:r>
          </w:p>
        </w:tc>
        <w:tc>
          <w:tcPr>
            <w:tcW w:w="1036" w:type="dxa"/>
            <w:tcBorders>
              <w:top w:val="nil"/>
              <w:left w:val="nil"/>
              <w:bottom w:val="single" w:sz="4" w:space="0" w:color="auto"/>
              <w:right w:val="single" w:sz="4" w:space="0" w:color="auto"/>
            </w:tcBorders>
            <w:shd w:val="clear" w:color="auto" w:fill="auto"/>
            <w:noWrap/>
            <w:vAlign w:val="center"/>
            <w:hideMark/>
          </w:tcPr>
          <w:p w14:paraId="757346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625F0C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6291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ELEKTROTEHNIKO, RAČUNALNIŠTVO IN INFORMATIKO</w:t>
            </w:r>
          </w:p>
        </w:tc>
      </w:tr>
      <w:tr w:rsidR="00072A69" w:rsidRPr="00DC6DF9" w14:paraId="0CEA68C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BF06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1750</w:t>
            </w:r>
          </w:p>
        </w:tc>
        <w:tc>
          <w:tcPr>
            <w:tcW w:w="1036" w:type="dxa"/>
            <w:tcBorders>
              <w:top w:val="nil"/>
              <w:left w:val="nil"/>
              <w:bottom w:val="single" w:sz="4" w:space="0" w:color="auto"/>
              <w:right w:val="single" w:sz="4" w:space="0" w:color="auto"/>
            </w:tcBorders>
            <w:shd w:val="clear" w:color="auto" w:fill="auto"/>
            <w:noWrap/>
            <w:vAlign w:val="center"/>
            <w:hideMark/>
          </w:tcPr>
          <w:p w14:paraId="025C36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5089638052</w:t>
            </w:r>
          </w:p>
        </w:tc>
        <w:tc>
          <w:tcPr>
            <w:tcW w:w="1036" w:type="dxa"/>
            <w:tcBorders>
              <w:top w:val="nil"/>
              <w:left w:val="nil"/>
              <w:bottom w:val="single" w:sz="4" w:space="0" w:color="auto"/>
              <w:right w:val="single" w:sz="4" w:space="0" w:color="auto"/>
            </w:tcBorders>
            <w:shd w:val="clear" w:color="auto" w:fill="auto"/>
            <w:noWrap/>
            <w:vAlign w:val="center"/>
            <w:hideMark/>
          </w:tcPr>
          <w:p w14:paraId="269A09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7E72C0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49A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ENERGETIKO</w:t>
            </w:r>
          </w:p>
        </w:tc>
      </w:tr>
      <w:tr w:rsidR="00072A69" w:rsidRPr="00DC6DF9" w14:paraId="0485383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C14B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1751</w:t>
            </w:r>
          </w:p>
        </w:tc>
        <w:tc>
          <w:tcPr>
            <w:tcW w:w="1036" w:type="dxa"/>
            <w:tcBorders>
              <w:top w:val="nil"/>
              <w:left w:val="nil"/>
              <w:bottom w:val="single" w:sz="4" w:space="0" w:color="auto"/>
              <w:right w:val="single" w:sz="4" w:space="0" w:color="auto"/>
            </w:tcBorders>
            <w:shd w:val="clear" w:color="auto" w:fill="auto"/>
            <w:noWrap/>
            <w:vAlign w:val="center"/>
            <w:hideMark/>
          </w:tcPr>
          <w:p w14:paraId="6D742E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5089638012</w:t>
            </w:r>
          </w:p>
        </w:tc>
        <w:tc>
          <w:tcPr>
            <w:tcW w:w="1036" w:type="dxa"/>
            <w:tcBorders>
              <w:top w:val="nil"/>
              <w:left w:val="nil"/>
              <w:bottom w:val="single" w:sz="4" w:space="0" w:color="auto"/>
              <w:right w:val="single" w:sz="4" w:space="0" w:color="auto"/>
            </w:tcBorders>
            <w:shd w:val="clear" w:color="auto" w:fill="auto"/>
            <w:noWrap/>
            <w:vAlign w:val="center"/>
            <w:hideMark/>
          </w:tcPr>
          <w:p w14:paraId="1D206C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7FF51D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6A77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KEMIJO IN KEMIJSKO TEHNOLOGIJO</w:t>
            </w:r>
          </w:p>
        </w:tc>
      </w:tr>
      <w:tr w:rsidR="00072A69" w:rsidRPr="00DC6DF9" w14:paraId="5FE853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CA9B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1752</w:t>
            </w:r>
          </w:p>
        </w:tc>
        <w:tc>
          <w:tcPr>
            <w:tcW w:w="1036" w:type="dxa"/>
            <w:tcBorders>
              <w:top w:val="nil"/>
              <w:left w:val="nil"/>
              <w:bottom w:val="single" w:sz="4" w:space="0" w:color="auto"/>
              <w:right w:val="single" w:sz="4" w:space="0" w:color="auto"/>
            </w:tcBorders>
            <w:shd w:val="clear" w:color="auto" w:fill="auto"/>
            <w:noWrap/>
            <w:vAlign w:val="center"/>
            <w:hideMark/>
          </w:tcPr>
          <w:p w14:paraId="48BF51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5089638004</w:t>
            </w:r>
          </w:p>
        </w:tc>
        <w:tc>
          <w:tcPr>
            <w:tcW w:w="1036" w:type="dxa"/>
            <w:tcBorders>
              <w:top w:val="nil"/>
              <w:left w:val="nil"/>
              <w:bottom w:val="single" w:sz="4" w:space="0" w:color="auto"/>
              <w:right w:val="single" w:sz="4" w:space="0" w:color="auto"/>
            </w:tcBorders>
            <w:shd w:val="clear" w:color="auto" w:fill="auto"/>
            <w:noWrap/>
            <w:vAlign w:val="center"/>
            <w:hideMark/>
          </w:tcPr>
          <w:p w14:paraId="6EA3F2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22AA71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C266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KMETIJSTVO IN BIOSISTEMSKE VEDE</w:t>
            </w:r>
          </w:p>
        </w:tc>
      </w:tr>
      <w:tr w:rsidR="00072A69" w:rsidRPr="00DC6DF9" w14:paraId="11E91A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E2EE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1753</w:t>
            </w:r>
          </w:p>
        </w:tc>
        <w:tc>
          <w:tcPr>
            <w:tcW w:w="1036" w:type="dxa"/>
            <w:tcBorders>
              <w:top w:val="nil"/>
              <w:left w:val="nil"/>
              <w:bottom w:val="single" w:sz="4" w:space="0" w:color="auto"/>
              <w:right w:val="single" w:sz="4" w:space="0" w:color="auto"/>
            </w:tcBorders>
            <w:shd w:val="clear" w:color="auto" w:fill="auto"/>
            <w:noWrap/>
            <w:vAlign w:val="center"/>
            <w:hideMark/>
          </w:tcPr>
          <w:p w14:paraId="12D562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5089638049</w:t>
            </w:r>
          </w:p>
        </w:tc>
        <w:tc>
          <w:tcPr>
            <w:tcW w:w="1036" w:type="dxa"/>
            <w:tcBorders>
              <w:top w:val="nil"/>
              <w:left w:val="nil"/>
              <w:bottom w:val="single" w:sz="4" w:space="0" w:color="auto"/>
              <w:right w:val="single" w:sz="4" w:space="0" w:color="auto"/>
            </w:tcBorders>
            <w:shd w:val="clear" w:color="auto" w:fill="auto"/>
            <w:noWrap/>
            <w:vAlign w:val="center"/>
            <w:hideMark/>
          </w:tcPr>
          <w:p w14:paraId="1F2F55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75EA74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710C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LOGISTIKO</w:t>
            </w:r>
          </w:p>
        </w:tc>
      </w:tr>
      <w:tr w:rsidR="00072A69" w:rsidRPr="00DC6DF9" w14:paraId="6633E8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A20C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1754</w:t>
            </w:r>
          </w:p>
        </w:tc>
        <w:tc>
          <w:tcPr>
            <w:tcW w:w="1036" w:type="dxa"/>
            <w:tcBorders>
              <w:top w:val="nil"/>
              <w:left w:val="nil"/>
              <w:bottom w:val="single" w:sz="4" w:space="0" w:color="auto"/>
              <w:right w:val="single" w:sz="4" w:space="0" w:color="auto"/>
            </w:tcBorders>
            <w:shd w:val="clear" w:color="auto" w:fill="auto"/>
            <w:noWrap/>
            <w:vAlign w:val="center"/>
            <w:hideMark/>
          </w:tcPr>
          <w:p w14:paraId="01D119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5089638051</w:t>
            </w:r>
          </w:p>
        </w:tc>
        <w:tc>
          <w:tcPr>
            <w:tcW w:w="1036" w:type="dxa"/>
            <w:tcBorders>
              <w:top w:val="nil"/>
              <w:left w:val="nil"/>
              <w:bottom w:val="single" w:sz="4" w:space="0" w:color="auto"/>
              <w:right w:val="single" w:sz="4" w:space="0" w:color="auto"/>
            </w:tcBorders>
            <w:shd w:val="clear" w:color="auto" w:fill="auto"/>
            <w:noWrap/>
            <w:vAlign w:val="center"/>
            <w:hideMark/>
          </w:tcPr>
          <w:p w14:paraId="4DC134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080958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9A79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NARAVOSLOVJE IN MATEMATIKO</w:t>
            </w:r>
          </w:p>
        </w:tc>
      </w:tr>
      <w:tr w:rsidR="00072A69" w:rsidRPr="00DC6DF9" w14:paraId="15CF8B9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7A07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1755</w:t>
            </w:r>
          </w:p>
        </w:tc>
        <w:tc>
          <w:tcPr>
            <w:tcW w:w="1036" w:type="dxa"/>
            <w:tcBorders>
              <w:top w:val="nil"/>
              <w:left w:val="nil"/>
              <w:bottom w:val="single" w:sz="4" w:space="0" w:color="auto"/>
              <w:right w:val="single" w:sz="4" w:space="0" w:color="auto"/>
            </w:tcBorders>
            <w:shd w:val="clear" w:color="auto" w:fill="auto"/>
            <w:noWrap/>
            <w:vAlign w:val="center"/>
            <w:hideMark/>
          </w:tcPr>
          <w:p w14:paraId="1481C5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5089638018</w:t>
            </w:r>
          </w:p>
        </w:tc>
        <w:tc>
          <w:tcPr>
            <w:tcW w:w="1036" w:type="dxa"/>
            <w:tcBorders>
              <w:top w:val="nil"/>
              <w:left w:val="nil"/>
              <w:bottom w:val="single" w:sz="4" w:space="0" w:color="auto"/>
              <w:right w:val="single" w:sz="4" w:space="0" w:color="auto"/>
            </w:tcBorders>
            <w:shd w:val="clear" w:color="auto" w:fill="auto"/>
            <w:noWrap/>
            <w:vAlign w:val="center"/>
            <w:hideMark/>
          </w:tcPr>
          <w:p w14:paraId="51709E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688E77F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9E09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ORGANIZACIJSKE VEDE</w:t>
            </w:r>
          </w:p>
        </w:tc>
      </w:tr>
      <w:tr w:rsidR="00072A69" w:rsidRPr="00DC6DF9" w14:paraId="2AF68A9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2A66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1756</w:t>
            </w:r>
          </w:p>
        </w:tc>
        <w:tc>
          <w:tcPr>
            <w:tcW w:w="1036" w:type="dxa"/>
            <w:tcBorders>
              <w:top w:val="nil"/>
              <w:left w:val="nil"/>
              <w:bottom w:val="single" w:sz="4" w:space="0" w:color="auto"/>
              <w:right w:val="single" w:sz="4" w:space="0" w:color="auto"/>
            </w:tcBorders>
            <w:shd w:val="clear" w:color="auto" w:fill="auto"/>
            <w:noWrap/>
            <w:vAlign w:val="center"/>
            <w:hideMark/>
          </w:tcPr>
          <w:p w14:paraId="33AC71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5089638010</w:t>
            </w:r>
          </w:p>
        </w:tc>
        <w:tc>
          <w:tcPr>
            <w:tcW w:w="1036" w:type="dxa"/>
            <w:tcBorders>
              <w:top w:val="nil"/>
              <w:left w:val="nil"/>
              <w:bottom w:val="single" w:sz="4" w:space="0" w:color="auto"/>
              <w:right w:val="single" w:sz="4" w:space="0" w:color="auto"/>
            </w:tcBorders>
            <w:shd w:val="clear" w:color="auto" w:fill="auto"/>
            <w:noWrap/>
            <w:vAlign w:val="center"/>
            <w:hideMark/>
          </w:tcPr>
          <w:p w14:paraId="7984A2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7055DDD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2C7E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STROJNIŠTVO</w:t>
            </w:r>
          </w:p>
        </w:tc>
      </w:tr>
      <w:tr w:rsidR="00072A69" w:rsidRPr="00DC6DF9" w14:paraId="059FE5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30BB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1757</w:t>
            </w:r>
          </w:p>
        </w:tc>
        <w:tc>
          <w:tcPr>
            <w:tcW w:w="1036" w:type="dxa"/>
            <w:tcBorders>
              <w:top w:val="nil"/>
              <w:left w:val="nil"/>
              <w:bottom w:val="single" w:sz="4" w:space="0" w:color="auto"/>
              <w:right w:val="single" w:sz="4" w:space="0" w:color="auto"/>
            </w:tcBorders>
            <w:shd w:val="clear" w:color="auto" w:fill="auto"/>
            <w:noWrap/>
            <w:vAlign w:val="center"/>
            <w:hideMark/>
          </w:tcPr>
          <w:p w14:paraId="1B885B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5089638054</w:t>
            </w:r>
          </w:p>
        </w:tc>
        <w:tc>
          <w:tcPr>
            <w:tcW w:w="1036" w:type="dxa"/>
            <w:tcBorders>
              <w:top w:val="nil"/>
              <w:left w:val="nil"/>
              <w:bottom w:val="single" w:sz="4" w:space="0" w:color="auto"/>
              <w:right w:val="single" w:sz="4" w:space="0" w:color="auto"/>
            </w:tcBorders>
            <w:shd w:val="clear" w:color="auto" w:fill="auto"/>
            <w:noWrap/>
            <w:vAlign w:val="center"/>
            <w:hideMark/>
          </w:tcPr>
          <w:p w14:paraId="593B52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53DE124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6F15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TURIZEM</w:t>
            </w:r>
          </w:p>
        </w:tc>
      </w:tr>
      <w:tr w:rsidR="00072A69" w:rsidRPr="00DC6DF9" w14:paraId="30C3AA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2584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1758</w:t>
            </w:r>
          </w:p>
        </w:tc>
        <w:tc>
          <w:tcPr>
            <w:tcW w:w="1036" w:type="dxa"/>
            <w:tcBorders>
              <w:top w:val="nil"/>
              <w:left w:val="nil"/>
              <w:bottom w:val="single" w:sz="4" w:space="0" w:color="auto"/>
              <w:right w:val="single" w:sz="4" w:space="0" w:color="auto"/>
            </w:tcBorders>
            <w:shd w:val="clear" w:color="auto" w:fill="auto"/>
            <w:noWrap/>
            <w:vAlign w:val="center"/>
            <w:hideMark/>
          </w:tcPr>
          <w:p w14:paraId="544A53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5089638047</w:t>
            </w:r>
          </w:p>
        </w:tc>
        <w:tc>
          <w:tcPr>
            <w:tcW w:w="1036" w:type="dxa"/>
            <w:tcBorders>
              <w:top w:val="nil"/>
              <w:left w:val="nil"/>
              <w:bottom w:val="single" w:sz="4" w:space="0" w:color="auto"/>
              <w:right w:val="single" w:sz="4" w:space="0" w:color="auto"/>
            </w:tcBorders>
            <w:shd w:val="clear" w:color="auto" w:fill="auto"/>
            <w:noWrap/>
            <w:vAlign w:val="center"/>
            <w:hideMark/>
          </w:tcPr>
          <w:p w14:paraId="426035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7FF0151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65B4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VARNOSTNE VEDE</w:t>
            </w:r>
          </w:p>
        </w:tc>
      </w:tr>
      <w:tr w:rsidR="00072A69" w:rsidRPr="00DC6DF9" w14:paraId="7E083FB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83C0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1759</w:t>
            </w:r>
          </w:p>
        </w:tc>
        <w:tc>
          <w:tcPr>
            <w:tcW w:w="1036" w:type="dxa"/>
            <w:tcBorders>
              <w:top w:val="nil"/>
              <w:left w:val="nil"/>
              <w:bottom w:val="single" w:sz="4" w:space="0" w:color="auto"/>
              <w:right w:val="single" w:sz="4" w:space="0" w:color="auto"/>
            </w:tcBorders>
            <w:shd w:val="clear" w:color="auto" w:fill="auto"/>
            <w:noWrap/>
            <w:vAlign w:val="center"/>
            <w:hideMark/>
          </w:tcPr>
          <w:p w14:paraId="226E23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5089638016</w:t>
            </w:r>
          </w:p>
        </w:tc>
        <w:tc>
          <w:tcPr>
            <w:tcW w:w="1036" w:type="dxa"/>
            <w:tcBorders>
              <w:top w:val="nil"/>
              <w:left w:val="nil"/>
              <w:bottom w:val="single" w:sz="4" w:space="0" w:color="auto"/>
              <w:right w:val="single" w:sz="4" w:space="0" w:color="auto"/>
            </w:tcBorders>
            <w:shd w:val="clear" w:color="auto" w:fill="auto"/>
            <w:noWrap/>
            <w:vAlign w:val="center"/>
            <w:hideMark/>
          </w:tcPr>
          <w:p w14:paraId="765B89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30B4E6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F41C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FAKULTETA ZA ZDRAVSTVENE VEDE</w:t>
            </w:r>
          </w:p>
        </w:tc>
      </w:tr>
      <w:tr w:rsidR="00072A69" w:rsidRPr="00DC6DF9" w14:paraId="75781E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823A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1760</w:t>
            </w:r>
          </w:p>
        </w:tc>
        <w:tc>
          <w:tcPr>
            <w:tcW w:w="1036" w:type="dxa"/>
            <w:tcBorders>
              <w:top w:val="nil"/>
              <w:left w:val="nil"/>
              <w:bottom w:val="single" w:sz="4" w:space="0" w:color="auto"/>
              <w:right w:val="single" w:sz="4" w:space="0" w:color="auto"/>
            </w:tcBorders>
            <w:shd w:val="clear" w:color="auto" w:fill="auto"/>
            <w:noWrap/>
            <w:vAlign w:val="center"/>
            <w:hideMark/>
          </w:tcPr>
          <w:p w14:paraId="27FFE9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5089638050</w:t>
            </w:r>
          </w:p>
        </w:tc>
        <w:tc>
          <w:tcPr>
            <w:tcW w:w="1036" w:type="dxa"/>
            <w:tcBorders>
              <w:top w:val="nil"/>
              <w:left w:val="nil"/>
              <w:bottom w:val="single" w:sz="4" w:space="0" w:color="auto"/>
              <w:right w:val="single" w:sz="4" w:space="0" w:color="auto"/>
            </w:tcBorders>
            <w:shd w:val="clear" w:color="auto" w:fill="auto"/>
            <w:noWrap/>
            <w:vAlign w:val="center"/>
            <w:hideMark/>
          </w:tcPr>
          <w:p w14:paraId="1FAEDD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12848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12B4E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FILOZOFSKA FAKULTETA</w:t>
            </w:r>
          </w:p>
        </w:tc>
      </w:tr>
      <w:tr w:rsidR="00072A69" w:rsidRPr="00DC6DF9" w14:paraId="79C0078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C38A6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1761</w:t>
            </w:r>
          </w:p>
        </w:tc>
        <w:tc>
          <w:tcPr>
            <w:tcW w:w="1036" w:type="dxa"/>
            <w:tcBorders>
              <w:top w:val="nil"/>
              <w:left w:val="nil"/>
              <w:bottom w:val="single" w:sz="4" w:space="0" w:color="auto"/>
              <w:right w:val="single" w:sz="4" w:space="0" w:color="auto"/>
            </w:tcBorders>
            <w:shd w:val="clear" w:color="auto" w:fill="auto"/>
            <w:noWrap/>
            <w:vAlign w:val="center"/>
            <w:hideMark/>
          </w:tcPr>
          <w:p w14:paraId="445FC4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5089638048</w:t>
            </w:r>
          </w:p>
        </w:tc>
        <w:tc>
          <w:tcPr>
            <w:tcW w:w="1036" w:type="dxa"/>
            <w:tcBorders>
              <w:top w:val="nil"/>
              <w:left w:val="nil"/>
              <w:bottom w:val="single" w:sz="4" w:space="0" w:color="auto"/>
              <w:right w:val="single" w:sz="4" w:space="0" w:color="auto"/>
            </w:tcBorders>
            <w:shd w:val="clear" w:color="auto" w:fill="auto"/>
            <w:noWrap/>
            <w:vAlign w:val="center"/>
            <w:hideMark/>
          </w:tcPr>
          <w:p w14:paraId="290C85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6071C61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CA5F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MEDICINSKA FAKULTETA</w:t>
            </w:r>
          </w:p>
        </w:tc>
      </w:tr>
      <w:tr w:rsidR="00072A69" w:rsidRPr="00DC6DF9" w14:paraId="76ADB7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ED8A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1762</w:t>
            </w:r>
          </w:p>
        </w:tc>
        <w:tc>
          <w:tcPr>
            <w:tcW w:w="1036" w:type="dxa"/>
            <w:tcBorders>
              <w:top w:val="nil"/>
              <w:left w:val="nil"/>
              <w:bottom w:val="single" w:sz="4" w:space="0" w:color="auto"/>
              <w:right w:val="single" w:sz="4" w:space="0" w:color="auto"/>
            </w:tcBorders>
            <w:shd w:val="clear" w:color="auto" w:fill="auto"/>
            <w:noWrap/>
            <w:vAlign w:val="center"/>
            <w:hideMark/>
          </w:tcPr>
          <w:p w14:paraId="71D6F8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5089638013</w:t>
            </w:r>
          </w:p>
        </w:tc>
        <w:tc>
          <w:tcPr>
            <w:tcW w:w="1036" w:type="dxa"/>
            <w:tcBorders>
              <w:top w:val="nil"/>
              <w:left w:val="nil"/>
              <w:bottom w:val="single" w:sz="4" w:space="0" w:color="auto"/>
              <w:right w:val="single" w:sz="4" w:space="0" w:color="auto"/>
            </w:tcBorders>
            <w:shd w:val="clear" w:color="auto" w:fill="auto"/>
            <w:noWrap/>
            <w:vAlign w:val="center"/>
            <w:hideMark/>
          </w:tcPr>
          <w:p w14:paraId="5F0491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4D40C0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18B3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PEDAGOŠKA FAKULTETA</w:t>
            </w:r>
          </w:p>
        </w:tc>
      </w:tr>
      <w:tr w:rsidR="00072A69" w:rsidRPr="00DC6DF9" w14:paraId="4FF0FF4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5B78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1763</w:t>
            </w:r>
          </w:p>
        </w:tc>
        <w:tc>
          <w:tcPr>
            <w:tcW w:w="1036" w:type="dxa"/>
            <w:tcBorders>
              <w:top w:val="nil"/>
              <w:left w:val="nil"/>
              <w:bottom w:val="single" w:sz="4" w:space="0" w:color="auto"/>
              <w:right w:val="single" w:sz="4" w:space="0" w:color="auto"/>
            </w:tcBorders>
            <w:shd w:val="clear" w:color="auto" w:fill="auto"/>
            <w:noWrap/>
            <w:vAlign w:val="center"/>
            <w:hideMark/>
          </w:tcPr>
          <w:p w14:paraId="2D3527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5089638015</w:t>
            </w:r>
          </w:p>
        </w:tc>
        <w:tc>
          <w:tcPr>
            <w:tcW w:w="1036" w:type="dxa"/>
            <w:tcBorders>
              <w:top w:val="nil"/>
              <w:left w:val="nil"/>
              <w:bottom w:val="single" w:sz="4" w:space="0" w:color="auto"/>
              <w:right w:val="single" w:sz="4" w:space="0" w:color="auto"/>
            </w:tcBorders>
            <w:shd w:val="clear" w:color="auto" w:fill="auto"/>
            <w:noWrap/>
            <w:vAlign w:val="center"/>
            <w:hideMark/>
          </w:tcPr>
          <w:p w14:paraId="6B2850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71674705</w:t>
            </w:r>
          </w:p>
        </w:tc>
        <w:tc>
          <w:tcPr>
            <w:tcW w:w="160" w:type="dxa"/>
            <w:tcBorders>
              <w:top w:val="nil"/>
              <w:left w:val="nil"/>
              <w:bottom w:val="single" w:sz="4" w:space="0" w:color="auto"/>
              <w:right w:val="nil"/>
            </w:tcBorders>
            <w:vAlign w:val="center"/>
          </w:tcPr>
          <w:p w14:paraId="0499B3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87CD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PRAVNA FAKULTETA</w:t>
            </w:r>
          </w:p>
        </w:tc>
      </w:tr>
      <w:tr w:rsidR="00072A69" w:rsidRPr="00DC6DF9" w14:paraId="22698A2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B7F4E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1764</w:t>
            </w:r>
          </w:p>
        </w:tc>
        <w:tc>
          <w:tcPr>
            <w:tcW w:w="1036" w:type="dxa"/>
            <w:tcBorders>
              <w:top w:val="nil"/>
              <w:left w:val="nil"/>
              <w:bottom w:val="single" w:sz="4" w:space="0" w:color="auto"/>
              <w:right w:val="single" w:sz="4" w:space="0" w:color="auto"/>
            </w:tcBorders>
            <w:shd w:val="clear" w:color="auto" w:fill="auto"/>
            <w:noWrap/>
            <w:vAlign w:val="center"/>
            <w:hideMark/>
          </w:tcPr>
          <w:p w14:paraId="0DFCAF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5050332000</w:t>
            </w:r>
          </w:p>
        </w:tc>
        <w:tc>
          <w:tcPr>
            <w:tcW w:w="1036" w:type="dxa"/>
            <w:tcBorders>
              <w:top w:val="nil"/>
              <w:left w:val="nil"/>
              <w:bottom w:val="single" w:sz="4" w:space="0" w:color="auto"/>
              <w:right w:val="single" w:sz="4" w:space="0" w:color="auto"/>
            </w:tcBorders>
            <w:shd w:val="clear" w:color="auto" w:fill="auto"/>
            <w:noWrap/>
            <w:vAlign w:val="center"/>
            <w:hideMark/>
          </w:tcPr>
          <w:p w14:paraId="31D58D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50213091</w:t>
            </w:r>
          </w:p>
        </w:tc>
        <w:tc>
          <w:tcPr>
            <w:tcW w:w="160" w:type="dxa"/>
            <w:tcBorders>
              <w:top w:val="nil"/>
              <w:left w:val="nil"/>
              <w:bottom w:val="single" w:sz="4" w:space="0" w:color="auto"/>
              <w:right w:val="nil"/>
            </w:tcBorders>
            <w:vAlign w:val="center"/>
          </w:tcPr>
          <w:p w14:paraId="689D600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7B04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ŠTUDENTSKI DOMOVI</w:t>
            </w:r>
          </w:p>
        </w:tc>
      </w:tr>
      <w:tr w:rsidR="00072A69" w:rsidRPr="00DC6DF9" w14:paraId="2923C8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E5F5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1765</w:t>
            </w:r>
          </w:p>
        </w:tc>
        <w:tc>
          <w:tcPr>
            <w:tcW w:w="1036" w:type="dxa"/>
            <w:tcBorders>
              <w:top w:val="nil"/>
              <w:left w:val="nil"/>
              <w:bottom w:val="single" w:sz="4" w:space="0" w:color="auto"/>
              <w:right w:val="single" w:sz="4" w:space="0" w:color="auto"/>
            </w:tcBorders>
            <w:shd w:val="clear" w:color="auto" w:fill="auto"/>
            <w:noWrap/>
            <w:vAlign w:val="center"/>
            <w:hideMark/>
          </w:tcPr>
          <w:p w14:paraId="220AE8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5052114000</w:t>
            </w:r>
          </w:p>
        </w:tc>
        <w:tc>
          <w:tcPr>
            <w:tcW w:w="1036" w:type="dxa"/>
            <w:tcBorders>
              <w:top w:val="nil"/>
              <w:left w:val="nil"/>
              <w:bottom w:val="single" w:sz="4" w:space="0" w:color="auto"/>
              <w:right w:val="single" w:sz="4" w:space="0" w:color="auto"/>
            </w:tcBorders>
            <w:shd w:val="clear" w:color="auto" w:fill="auto"/>
            <w:noWrap/>
            <w:vAlign w:val="center"/>
            <w:hideMark/>
          </w:tcPr>
          <w:p w14:paraId="1784CB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11537213</w:t>
            </w:r>
          </w:p>
        </w:tc>
        <w:tc>
          <w:tcPr>
            <w:tcW w:w="160" w:type="dxa"/>
            <w:tcBorders>
              <w:top w:val="nil"/>
              <w:left w:val="nil"/>
              <w:bottom w:val="single" w:sz="4" w:space="0" w:color="auto"/>
              <w:right w:val="nil"/>
            </w:tcBorders>
            <w:vAlign w:val="center"/>
          </w:tcPr>
          <w:p w14:paraId="5C7E4A7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FC17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MARIBORU, UNIVERZITETNA KNJIŽNICA MARIBOR</w:t>
            </w:r>
          </w:p>
        </w:tc>
      </w:tr>
      <w:tr w:rsidR="00072A69" w:rsidRPr="00DC6DF9" w14:paraId="151D51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CE0A1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1766</w:t>
            </w:r>
          </w:p>
        </w:tc>
        <w:tc>
          <w:tcPr>
            <w:tcW w:w="1036" w:type="dxa"/>
            <w:tcBorders>
              <w:top w:val="nil"/>
              <w:left w:val="nil"/>
              <w:bottom w:val="single" w:sz="4" w:space="0" w:color="auto"/>
              <w:right w:val="single" w:sz="4" w:space="0" w:color="auto"/>
            </w:tcBorders>
            <w:shd w:val="clear" w:color="auto" w:fill="auto"/>
            <w:noWrap/>
            <w:vAlign w:val="center"/>
            <w:hideMark/>
          </w:tcPr>
          <w:p w14:paraId="30AB8C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5920884000</w:t>
            </w:r>
          </w:p>
        </w:tc>
        <w:tc>
          <w:tcPr>
            <w:tcW w:w="1036" w:type="dxa"/>
            <w:tcBorders>
              <w:top w:val="nil"/>
              <w:left w:val="nil"/>
              <w:bottom w:val="single" w:sz="4" w:space="0" w:color="auto"/>
              <w:right w:val="single" w:sz="4" w:space="0" w:color="auto"/>
            </w:tcBorders>
            <w:shd w:val="clear" w:color="auto" w:fill="auto"/>
            <w:noWrap/>
            <w:vAlign w:val="center"/>
            <w:hideMark/>
          </w:tcPr>
          <w:p w14:paraId="4047C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29880068</w:t>
            </w:r>
          </w:p>
        </w:tc>
        <w:tc>
          <w:tcPr>
            <w:tcW w:w="160" w:type="dxa"/>
            <w:tcBorders>
              <w:top w:val="nil"/>
              <w:left w:val="nil"/>
              <w:bottom w:val="single" w:sz="4" w:space="0" w:color="auto"/>
              <w:right w:val="nil"/>
            </w:tcBorders>
            <w:vAlign w:val="center"/>
          </w:tcPr>
          <w:p w14:paraId="1C0C7F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7297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UNIVERZA V NOVI GORICI</w:t>
            </w:r>
          </w:p>
        </w:tc>
      </w:tr>
      <w:tr w:rsidR="00072A69" w:rsidRPr="00DC6DF9" w14:paraId="550FF2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CFDD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1767</w:t>
            </w:r>
          </w:p>
        </w:tc>
        <w:tc>
          <w:tcPr>
            <w:tcW w:w="1036" w:type="dxa"/>
            <w:tcBorders>
              <w:top w:val="nil"/>
              <w:left w:val="nil"/>
              <w:bottom w:val="single" w:sz="4" w:space="0" w:color="auto"/>
              <w:right w:val="single" w:sz="4" w:space="0" w:color="auto"/>
            </w:tcBorders>
            <w:shd w:val="clear" w:color="auto" w:fill="auto"/>
            <w:noWrap/>
            <w:vAlign w:val="center"/>
            <w:hideMark/>
          </w:tcPr>
          <w:p w14:paraId="6182BA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1190997000</w:t>
            </w:r>
          </w:p>
        </w:tc>
        <w:tc>
          <w:tcPr>
            <w:tcW w:w="1036" w:type="dxa"/>
            <w:tcBorders>
              <w:top w:val="nil"/>
              <w:left w:val="nil"/>
              <w:bottom w:val="single" w:sz="4" w:space="0" w:color="auto"/>
              <w:right w:val="single" w:sz="4" w:space="0" w:color="auto"/>
            </w:tcBorders>
            <w:shd w:val="clear" w:color="auto" w:fill="auto"/>
            <w:noWrap/>
            <w:vAlign w:val="center"/>
            <w:hideMark/>
          </w:tcPr>
          <w:p w14:paraId="6F2C1B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66719585</w:t>
            </w:r>
          </w:p>
        </w:tc>
        <w:tc>
          <w:tcPr>
            <w:tcW w:w="160" w:type="dxa"/>
            <w:tcBorders>
              <w:top w:val="nil"/>
              <w:left w:val="nil"/>
              <w:bottom w:val="single" w:sz="4" w:space="0" w:color="auto"/>
              <w:right w:val="nil"/>
            </w:tcBorders>
            <w:vAlign w:val="center"/>
          </w:tcPr>
          <w:p w14:paraId="0A3517B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DBB7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UNIVERZITETNA KLINIKA ZA PLJUČNE BOLEZNI IN ALERGIJO GOLNIK</w:t>
            </w:r>
          </w:p>
        </w:tc>
      </w:tr>
      <w:tr w:rsidR="00072A69" w:rsidRPr="00DC6DF9" w14:paraId="0EE45E9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DE88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1768</w:t>
            </w:r>
          </w:p>
        </w:tc>
        <w:tc>
          <w:tcPr>
            <w:tcW w:w="1036" w:type="dxa"/>
            <w:tcBorders>
              <w:top w:val="nil"/>
              <w:left w:val="nil"/>
              <w:bottom w:val="single" w:sz="4" w:space="0" w:color="auto"/>
              <w:right w:val="single" w:sz="4" w:space="0" w:color="auto"/>
            </w:tcBorders>
            <w:shd w:val="clear" w:color="auto" w:fill="auto"/>
            <w:noWrap/>
            <w:vAlign w:val="center"/>
            <w:hideMark/>
          </w:tcPr>
          <w:p w14:paraId="7720ED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1191004000</w:t>
            </w:r>
          </w:p>
        </w:tc>
        <w:tc>
          <w:tcPr>
            <w:tcW w:w="1036" w:type="dxa"/>
            <w:tcBorders>
              <w:top w:val="nil"/>
              <w:left w:val="nil"/>
              <w:bottom w:val="single" w:sz="4" w:space="0" w:color="auto"/>
              <w:right w:val="single" w:sz="4" w:space="0" w:color="auto"/>
            </w:tcBorders>
            <w:shd w:val="clear" w:color="auto" w:fill="auto"/>
            <w:noWrap/>
            <w:vAlign w:val="center"/>
            <w:hideMark/>
          </w:tcPr>
          <w:p w14:paraId="4540A8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82546193</w:t>
            </w:r>
          </w:p>
        </w:tc>
        <w:tc>
          <w:tcPr>
            <w:tcW w:w="160" w:type="dxa"/>
            <w:tcBorders>
              <w:top w:val="nil"/>
              <w:left w:val="nil"/>
              <w:bottom w:val="single" w:sz="4" w:space="0" w:color="auto"/>
              <w:right w:val="nil"/>
            </w:tcBorders>
            <w:vAlign w:val="center"/>
          </w:tcPr>
          <w:p w14:paraId="5C88D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A076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UNIVERZITETNA PSIHIATRIČNA KLINIKA LJUBLJANA</w:t>
            </w:r>
          </w:p>
        </w:tc>
      </w:tr>
      <w:tr w:rsidR="00072A69" w:rsidRPr="00DC6DF9" w14:paraId="093C01B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0CD6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1769</w:t>
            </w:r>
          </w:p>
        </w:tc>
        <w:tc>
          <w:tcPr>
            <w:tcW w:w="1036" w:type="dxa"/>
            <w:tcBorders>
              <w:top w:val="nil"/>
              <w:left w:val="nil"/>
              <w:bottom w:val="single" w:sz="4" w:space="0" w:color="auto"/>
              <w:right w:val="single" w:sz="4" w:space="0" w:color="auto"/>
            </w:tcBorders>
            <w:shd w:val="clear" w:color="auto" w:fill="auto"/>
            <w:noWrap/>
            <w:vAlign w:val="center"/>
            <w:hideMark/>
          </w:tcPr>
          <w:p w14:paraId="0980DB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5057272000</w:t>
            </w:r>
          </w:p>
        </w:tc>
        <w:tc>
          <w:tcPr>
            <w:tcW w:w="1036" w:type="dxa"/>
            <w:tcBorders>
              <w:top w:val="nil"/>
              <w:left w:val="nil"/>
              <w:bottom w:val="single" w:sz="4" w:space="0" w:color="auto"/>
              <w:right w:val="single" w:sz="4" w:space="0" w:color="auto"/>
            </w:tcBorders>
            <w:shd w:val="clear" w:color="auto" w:fill="auto"/>
            <w:noWrap/>
            <w:vAlign w:val="center"/>
            <w:hideMark/>
          </w:tcPr>
          <w:p w14:paraId="2F8114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52111776</w:t>
            </w:r>
          </w:p>
        </w:tc>
        <w:tc>
          <w:tcPr>
            <w:tcW w:w="160" w:type="dxa"/>
            <w:tcBorders>
              <w:top w:val="nil"/>
              <w:left w:val="nil"/>
              <w:bottom w:val="single" w:sz="4" w:space="0" w:color="auto"/>
              <w:right w:val="nil"/>
            </w:tcBorders>
            <w:vAlign w:val="center"/>
          </w:tcPr>
          <w:p w14:paraId="05EF9B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1A1F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UNIVERZITETNI KLINIČNI CENTER LJUBLJANA</w:t>
            </w:r>
          </w:p>
        </w:tc>
      </w:tr>
      <w:tr w:rsidR="00072A69" w:rsidRPr="00DC6DF9" w14:paraId="1CA7CA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1978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1770</w:t>
            </w:r>
          </w:p>
        </w:tc>
        <w:tc>
          <w:tcPr>
            <w:tcW w:w="1036" w:type="dxa"/>
            <w:tcBorders>
              <w:top w:val="nil"/>
              <w:left w:val="nil"/>
              <w:bottom w:val="single" w:sz="4" w:space="0" w:color="auto"/>
              <w:right w:val="single" w:sz="4" w:space="0" w:color="auto"/>
            </w:tcBorders>
            <w:shd w:val="clear" w:color="auto" w:fill="auto"/>
            <w:noWrap/>
            <w:vAlign w:val="center"/>
            <w:hideMark/>
          </w:tcPr>
          <w:p w14:paraId="12227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5054150000</w:t>
            </w:r>
          </w:p>
        </w:tc>
        <w:tc>
          <w:tcPr>
            <w:tcW w:w="1036" w:type="dxa"/>
            <w:tcBorders>
              <w:top w:val="nil"/>
              <w:left w:val="nil"/>
              <w:bottom w:val="single" w:sz="4" w:space="0" w:color="auto"/>
              <w:right w:val="single" w:sz="4" w:space="0" w:color="auto"/>
            </w:tcBorders>
            <w:shd w:val="clear" w:color="auto" w:fill="auto"/>
            <w:noWrap/>
            <w:vAlign w:val="center"/>
            <w:hideMark/>
          </w:tcPr>
          <w:p w14:paraId="4F36AC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56644817</w:t>
            </w:r>
          </w:p>
        </w:tc>
        <w:tc>
          <w:tcPr>
            <w:tcW w:w="160" w:type="dxa"/>
            <w:tcBorders>
              <w:top w:val="nil"/>
              <w:left w:val="nil"/>
              <w:bottom w:val="single" w:sz="4" w:space="0" w:color="auto"/>
              <w:right w:val="nil"/>
            </w:tcBorders>
            <w:vAlign w:val="center"/>
          </w:tcPr>
          <w:p w14:paraId="7F9182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4A62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UNIVERZITETNI KLINIČNI CENTER MARIBOR</w:t>
            </w:r>
          </w:p>
        </w:tc>
      </w:tr>
      <w:tr w:rsidR="00072A69" w:rsidRPr="00DC6DF9" w14:paraId="21C898F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1632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1771</w:t>
            </w:r>
          </w:p>
        </w:tc>
        <w:tc>
          <w:tcPr>
            <w:tcW w:w="1036" w:type="dxa"/>
            <w:tcBorders>
              <w:top w:val="nil"/>
              <w:left w:val="nil"/>
              <w:bottom w:val="single" w:sz="4" w:space="0" w:color="auto"/>
              <w:right w:val="single" w:sz="4" w:space="0" w:color="auto"/>
            </w:tcBorders>
            <w:shd w:val="clear" w:color="auto" w:fill="auto"/>
            <w:noWrap/>
            <w:vAlign w:val="center"/>
            <w:hideMark/>
          </w:tcPr>
          <w:p w14:paraId="2A9282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5053919000</w:t>
            </w:r>
          </w:p>
        </w:tc>
        <w:tc>
          <w:tcPr>
            <w:tcW w:w="1036" w:type="dxa"/>
            <w:tcBorders>
              <w:top w:val="nil"/>
              <w:left w:val="nil"/>
              <w:bottom w:val="single" w:sz="4" w:space="0" w:color="auto"/>
              <w:right w:val="single" w:sz="4" w:space="0" w:color="auto"/>
            </w:tcBorders>
            <w:shd w:val="clear" w:color="auto" w:fill="auto"/>
            <w:noWrap/>
            <w:vAlign w:val="center"/>
            <w:hideMark/>
          </w:tcPr>
          <w:p w14:paraId="51B6FC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73541346</w:t>
            </w:r>
          </w:p>
        </w:tc>
        <w:tc>
          <w:tcPr>
            <w:tcW w:w="160" w:type="dxa"/>
            <w:tcBorders>
              <w:top w:val="nil"/>
              <w:left w:val="nil"/>
              <w:bottom w:val="single" w:sz="4" w:space="0" w:color="auto"/>
              <w:right w:val="nil"/>
            </w:tcBorders>
            <w:vAlign w:val="center"/>
          </w:tcPr>
          <w:p w14:paraId="740AFC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72C3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UNIVERZITETNI REHABILITACIJSKI INŠTITUT REPUBLIKE SLOVENIJE - SOČA</w:t>
            </w:r>
          </w:p>
        </w:tc>
      </w:tr>
      <w:tr w:rsidR="00072A69" w:rsidRPr="00DC6DF9" w14:paraId="52FE54E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9FFC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1772</w:t>
            </w:r>
          </w:p>
        </w:tc>
        <w:tc>
          <w:tcPr>
            <w:tcW w:w="1036" w:type="dxa"/>
            <w:tcBorders>
              <w:top w:val="nil"/>
              <w:left w:val="nil"/>
              <w:bottom w:val="single" w:sz="4" w:space="0" w:color="auto"/>
              <w:right w:val="single" w:sz="4" w:space="0" w:color="auto"/>
            </w:tcBorders>
            <w:shd w:val="clear" w:color="auto" w:fill="auto"/>
            <w:noWrap/>
            <w:vAlign w:val="center"/>
            <w:hideMark/>
          </w:tcPr>
          <w:p w14:paraId="3FACD8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1572814000</w:t>
            </w:r>
          </w:p>
        </w:tc>
        <w:tc>
          <w:tcPr>
            <w:tcW w:w="1036" w:type="dxa"/>
            <w:tcBorders>
              <w:top w:val="nil"/>
              <w:left w:val="nil"/>
              <w:bottom w:val="single" w:sz="4" w:space="0" w:color="auto"/>
              <w:right w:val="single" w:sz="4" w:space="0" w:color="auto"/>
            </w:tcBorders>
            <w:shd w:val="clear" w:color="auto" w:fill="auto"/>
            <w:noWrap/>
            <w:vAlign w:val="center"/>
            <w:hideMark/>
          </w:tcPr>
          <w:p w14:paraId="64FC8E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10641424</w:t>
            </w:r>
          </w:p>
        </w:tc>
        <w:tc>
          <w:tcPr>
            <w:tcW w:w="160" w:type="dxa"/>
            <w:tcBorders>
              <w:top w:val="nil"/>
              <w:left w:val="nil"/>
              <w:bottom w:val="single" w:sz="4" w:space="0" w:color="auto"/>
              <w:right w:val="nil"/>
            </w:tcBorders>
            <w:vAlign w:val="center"/>
          </w:tcPr>
          <w:p w14:paraId="47F02F4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52AE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REPUBLIKE SLOVENIJE ZA JAVNA PLAČILA</w:t>
            </w:r>
          </w:p>
        </w:tc>
      </w:tr>
      <w:tr w:rsidR="00072A69" w:rsidRPr="00DC6DF9" w14:paraId="0E3789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0CC0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1773</w:t>
            </w:r>
          </w:p>
        </w:tc>
        <w:tc>
          <w:tcPr>
            <w:tcW w:w="1036" w:type="dxa"/>
            <w:tcBorders>
              <w:top w:val="nil"/>
              <w:left w:val="nil"/>
              <w:bottom w:val="single" w:sz="4" w:space="0" w:color="auto"/>
              <w:right w:val="single" w:sz="4" w:space="0" w:color="auto"/>
            </w:tcBorders>
            <w:shd w:val="clear" w:color="auto" w:fill="auto"/>
            <w:noWrap/>
            <w:vAlign w:val="center"/>
            <w:hideMark/>
          </w:tcPr>
          <w:p w14:paraId="3E3F9F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2482860000</w:t>
            </w:r>
          </w:p>
        </w:tc>
        <w:tc>
          <w:tcPr>
            <w:tcW w:w="1036" w:type="dxa"/>
            <w:tcBorders>
              <w:top w:val="nil"/>
              <w:left w:val="nil"/>
              <w:bottom w:val="single" w:sz="4" w:space="0" w:color="auto"/>
              <w:right w:val="single" w:sz="4" w:space="0" w:color="auto"/>
            </w:tcBorders>
            <w:shd w:val="clear" w:color="auto" w:fill="auto"/>
            <w:noWrap/>
            <w:vAlign w:val="center"/>
            <w:hideMark/>
          </w:tcPr>
          <w:p w14:paraId="29DD3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85030791</w:t>
            </w:r>
          </w:p>
        </w:tc>
        <w:tc>
          <w:tcPr>
            <w:tcW w:w="160" w:type="dxa"/>
            <w:tcBorders>
              <w:top w:val="nil"/>
              <w:left w:val="nil"/>
              <w:bottom w:val="single" w:sz="4" w:space="0" w:color="auto"/>
              <w:right w:val="nil"/>
            </w:tcBorders>
            <w:vAlign w:val="center"/>
          </w:tcPr>
          <w:p w14:paraId="278131A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5ABD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REPUBLIKE SLOVENIJE ZA JEDRSKO VARNOST</w:t>
            </w:r>
          </w:p>
        </w:tc>
      </w:tr>
      <w:tr w:rsidR="00072A69" w:rsidRPr="00DC6DF9" w14:paraId="3B69E1F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A0C1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1774</w:t>
            </w:r>
          </w:p>
        </w:tc>
        <w:tc>
          <w:tcPr>
            <w:tcW w:w="1036" w:type="dxa"/>
            <w:tcBorders>
              <w:top w:val="nil"/>
              <w:left w:val="nil"/>
              <w:bottom w:val="single" w:sz="4" w:space="0" w:color="auto"/>
              <w:right w:val="single" w:sz="4" w:space="0" w:color="auto"/>
            </w:tcBorders>
            <w:shd w:val="clear" w:color="auto" w:fill="auto"/>
            <w:noWrap/>
            <w:vAlign w:val="center"/>
            <w:hideMark/>
          </w:tcPr>
          <w:p w14:paraId="493B1B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5022592000</w:t>
            </w:r>
          </w:p>
        </w:tc>
        <w:tc>
          <w:tcPr>
            <w:tcW w:w="1036" w:type="dxa"/>
            <w:tcBorders>
              <w:top w:val="nil"/>
              <w:left w:val="nil"/>
              <w:bottom w:val="single" w:sz="4" w:space="0" w:color="auto"/>
              <w:right w:val="single" w:sz="4" w:space="0" w:color="auto"/>
            </w:tcBorders>
            <w:shd w:val="clear" w:color="auto" w:fill="auto"/>
            <w:noWrap/>
            <w:vAlign w:val="center"/>
            <w:hideMark/>
          </w:tcPr>
          <w:p w14:paraId="7BA459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95586377</w:t>
            </w:r>
          </w:p>
        </w:tc>
        <w:tc>
          <w:tcPr>
            <w:tcW w:w="160" w:type="dxa"/>
            <w:tcBorders>
              <w:top w:val="nil"/>
              <w:left w:val="nil"/>
              <w:bottom w:val="single" w:sz="4" w:space="0" w:color="auto"/>
              <w:right w:val="nil"/>
            </w:tcBorders>
            <w:vAlign w:val="center"/>
          </w:tcPr>
          <w:p w14:paraId="6AF78DC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06BC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REPUBLIKE SLOVENIJE ZA POMORSTVO</w:t>
            </w:r>
          </w:p>
        </w:tc>
      </w:tr>
      <w:tr w:rsidR="00072A69" w:rsidRPr="00DC6DF9" w14:paraId="39BD0D7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0EC2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1775</w:t>
            </w:r>
          </w:p>
        </w:tc>
        <w:tc>
          <w:tcPr>
            <w:tcW w:w="1036" w:type="dxa"/>
            <w:tcBorders>
              <w:top w:val="nil"/>
              <w:left w:val="nil"/>
              <w:bottom w:val="single" w:sz="4" w:space="0" w:color="auto"/>
              <w:right w:val="single" w:sz="4" w:space="0" w:color="auto"/>
            </w:tcBorders>
            <w:shd w:val="clear" w:color="auto" w:fill="auto"/>
            <w:noWrap/>
            <w:vAlign w:val="center"/>
            <w:hideMark/>
          </w:tcPr>
          <w:p w14:paraId="194300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2516268000</w:t>
            </w:r>
          </w:p>
        </w:tc>
        <w:tc>
          <w:tcPr>
            <w:tcW w:w="1036" w:type="dxa"/>
            <w:tcBorders>
              <w:top w:val="nil"/>
              <w:left w:val="nil"/>
              <w:bottom w:val="single" w:sz="4" w:space="0" w:color="auto"/>
              <w:right w:val="single" w:sz="4" w:space="0" w:color="auto"/>
            </w:tcBorders>
            <w:shd w:val="clear" w:color="auto" w:fill="auto"/>
            <w:noWrap/>
            <w:vAlign w:val="center"/>
            <w:hideMark/>
          </w:tcPr>
          <w:p w14:paraId="3A6557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93314272</w:t>
            </w:r>
          </w:p>
        </w:tc>
        <w:tc>
          <w:tcPr>
            <w:tcW w:w="160" w:type="dxa"/>
            <w:tcBorders>
              <w:top w:val="nil"/>
              <w:left w:val="nil"/>
              <w:bottom w:val="single" w:sz="4" w:space="0" w:color="auto"/>
              <w:right w:val="nil"/>
            </w:tcBorders>
            <w:vAlign w:val="center"/>
          </w:tcPr>
          <w:p w14:paraId="5CD8AC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4FF6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REPUBLIKE SLOVENIJE ZA PROBACIJO</w:t>
            </w:r>
          </w:p>
        </w:tc>
      </w:tr>
      <w:tr w:rsidR="00072A69" w:rsidRPr="00DC6DF9" w14:paraId="42E58ED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BB52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1776</w:t>
            </w:r>
          </w:p>
        </w:tc>
        <w:tc>
          <w:tcPr>
            <w:tcW w:w="1036" w:type="dxa"/>
            <w:tcBorders>
              <w:top w:val="nil"/>
              <w:left w:val="nil"/>
              <w:bottom w:val="single" w:sz="4" w:space="0" w:color="auto"/>
              <w:right w:val="single" w:sz="4" w:space="0" w:color="auto"/>
            </w:tcBorders>
            <w:shd w:val="clear" w:color="auto" w:fill="auto"/>
            <w:noWrap/>
            <w:vAlign w:val="center"/>
            <w:hideMark/>
          </w:tcPr>
          <w:p w14:paraId="415C77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2399334000</w:t>
            </w:r>
          </w:p>
        </w:tc>
        <w:tc>
          <w:tcPr>
            <w:tcW w:w="1036" w:type="dxa"/>
            <w:tcBorders>
              <w:top w:val="nil"/>
              <w:left w:val="nil"/>
              <w:bottom w:val="single" w:sz="4" w:space="0" w:color="auto"/>
              <w:right w:val="single" w:sz="4" w:space="0" w:color="auto"/>
            </w:tcBorders>
            <w:shd w:val="clear" w:color="auto" w:fill="auto"/>
            <w:noWrap/>
            <w:vAlign w:val="center"/>
            <w:hideMark/>
          </w:tcPr>
          <w:p w14:paraId="135E3A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59739746</w:t>
            </w:r>
          </w:p>
        </w:tc>
        <w:tc>
          <w:tcPr>
            <w:tcW w:w="160" w:type="dxa"/>
            <w:tcBorders>
              <w:top w:val="nil"/>
              <w:left w:val="nil"/>
              <w:bottom w:val="single" w:sz="4" w:space="0" w:color="auto"/>
              <w:right w:val="nil"/>
            </w:tcBorders>
            <w:vAlign w:val="center"/>
          </w:tcPr>
          <w:p w14:paraId="2101EE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2BBC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REPUBLIKE SLOVENIJE ZA VARNO HRANO, VETERINARSTVO IN VARSTVO RASTLIN</w:t>
            </w:r>
          </w:p>
        </w:tc>
      </w:tr>
      <w:tr w:rsidR="00072A69" w:rsidRPr="00DC6DF9" w14:paraId="79C36F6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A535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1777</w:t>
            </w:r>
          </w:p>
        </w:tc>
        <w:tc>
          <w:tcPr>
            <w:tcW w:w="1036" w:type="dxa"/>
            <w:tcBorders>
              <w:top w:val="nil"/>
              <w:left w:val="nil"/>
              <w:bottom w:val="single" w:sz="4" w:space="0" w:color="auto"/>
              <w:right w:val="single" w:sz="4" w:space="0" w:color="auto"/>
            </w:tcBorders>
            <w:shd w:val="clear" w:color="auto" w:fill="auto"/>
            <w:noWrap/>
            <w:vAlign w:val="center"/>
            <w:hideMark/>
          </w:tcPr>
          <w:p w14:paraId="0C0086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1729489000</w:t>
            </w:r>
          </w:p>
        </w:tc>
        <w:tc>
          <w:tcPr>
            <w:tcW w:w="1036" w:type="dxa"/>
            <w:tcBorders>
              <w:top w:val="nil"/>
              <w:left w:val="nil"/>
              <w:bottom w:val="single" w:sz="4" w:space="0" w:color="auto"/>
              <w:right w:val="single" w:sz="4" w:space="0" w:color="auto"/>
            </w:tcBorders>
            <w:shd w:val="clear" w:color="auto" w:fill="auto"/>
            <w:noWrap/>
            <w:vAlign w:val="center"/>
            <w:hideMark/>
          </w:tcPr>
          <w:p w14:paraId="0B290B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19179766</w:t>
            </w:r>
          </w:p>
        </w:tc>
        <w:tc>
          <w:tcPr>
            <w:tcW w:w="160" w:type="dxa"/>
            <w:tcBorders>
              <w:top w:val="nil"/>
              <w:left w:val="nil"/>
              <w:bottom w:val="single" w:sz="4" w:space="0" w:color="auto"/>
              <w:right w:val="nil"/>
            </w:tcBorders>
            <w:vAlign w:val="center"/>
          </w:tcPr>
          <w:p w14:paraId="409B9D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EC213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REPUBLIKE SLOVENIJE ZA VARSTVO PRED SEVANJI</w:t>
            </w:r>
          </w:p>
        </w:tc>
      </w:tr>
      <w:tr w:rsidR="00072A69" w:rsidRPr="00DC6DF9" w14:paraId="058502D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95D1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1778</w:t>
            </w:r>
          </w:p>
        </w:tc>
        <w:tc>
          <w:tcPr>
            <w:tcW w:w="1036" w:type="dxa"/>
            <w:tcBorders>
              <w:top w:val="nil"/>
              <w:left w:val="nil"/>
              <w:bottom w:val="single" w:sz="4" w:space="0" w:color="auto"/>
              <w:right w:val="single" w:sz="4" w:space="0" w:color="auto"/>
            </w:tcBorders>
            <w:shd w:val="clear" w:color="auto" w:fill="auto"/>
            <w:noWrap/>
            <w:vAlign w:val="center"/>
            <w:hideMark/>
          </w:tcPr>
          <w:p w14:paraId="639705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5888093000</w:t>
            </w:r>
          </w:p>
        </w:tc>
        <w:tc>
          <w:tcPr>
            <w:tcW w:w="1036" w:type="dxa"/>
            <w:tcBorders>
              <w:top w:val="nil"/>
              <w:left w:val="nil"/>
              <w:bottom w:val="single" w:sz="4" w:space="0" w:color="auto"/>
              <w:right w:val="single" w:sz="4" w:space="0" w:color="auto"/>
            </w:tcBorders>
            <w:shd w:val="clear" w:color="auto" w:fill="auto"/>
            <w:noWrap/>
            <w:vAlign w:val="center"/>
            <w:hideMark/>
          </w:tcPr>
          <w:p w14:paraId="33C058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26731622</w:t>
            </w:r>
          </w:p>
        </w:tc>
        <w:tc>
          <w:tcPr>
            <w:tcW w:w="160" w:type="dxa"/>
            <w:tcBorders>
              <w:top w:val="nil"/>
              <w:left w:val="nil"/>
              <w:bottom w:val="single" w:sz="4" w:space="0" w:color="auto"/>
              <w:right w:val="nil"/>
            </w:tcBorders>
            <w:vAlign w:val="center"/>
          </w:tcPr>
          <w:p w14:paraId="751853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13ABD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UPRAVA RS ZA IZVRŠEVANJE KAZENSKIH SANKCIJ</w:t>
            </w:r>
          </w:p>
        </w:tc>
      </w:tr>
      <w:tr w:rsidR="00072A69" w:rsidRPr="00DC6DF9" w14:paraId="1442B1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CB9B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1779</w:t>
            </w:r>
          </w:p>
        </w:tc>
        <w:tc>
          <w:tcPr>
            <w:tcW w:w="1036" w:type="dxa"/>
            <w:tcBorders>
              <w:top w:val="nil"/>
              <w:left w:val="nil"/>
              <w:bottom w:val="single" w:sz="4" w:space="0" w:color="auto"/>
              <w:right w:val="single" w:sz="4" w:space="0" w:color="auto"/>
            </w:tcBorders>
            <w:shd w:val="clear" w:color="auto" w:fill="auto"/>
            <w:noWrap/>
            <w:vAlign w:val="center"/>
            <w:hideMark/>
          </w:tcPr>
          <w:p w14:paraId="501C0E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5886392000</w:t>
            </w:r>
          </w:p>
        </w:tc>
        <w:tc>
          <w:tcPr>
            <w:tcW w:w="1036" w:type="dxa"/>
            <w:tcBorders>
              <w:top w:val="nil"/>
              <w:left w:val="nil"/>
              <w:bottom w:val="single" w:sz="4" w:space="0" w:color="auto"/>
              <w:right w:val="single" w:sz="4" w:space="0" w:color="auto"/>
            </w:tcBorders>
            <w:shd w:val="clear" w:color="auto" w:fill="auto"/>
            <w:noWrap/>
            <w:vAlign w:val="center"/>
            <w:hideMark/>
          </w:tcPr>
          <w:p w14:paraId="5F5A86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35332409</w:t>
            </w:r>
          </w:p>
        </w:tc>
        <w:tc>
          <w:tcPr>
            <w:tcW w:w="160" w:type="dxa"/>
            <w:tcBorders>
              <w:top w:val="nil"/>
              <w:left w:val="nil"/>
              <w:bottom w:val="single" w:sz="4" w:space="0" w:color="auto"/>
              <w:right w:val="nil"/>
            </w:tcBorders>
            <w:vAlign w:val="center"/>
          </w:tcPr>
          <w:p w14:paraId="2EF6693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2E60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AJDOVŠČINA</w:t>
            </w:r>
          </w:p>
        </w:tc>
      </w:tr>
      <w:tr w:rsidR="00072A69" w:rsidRPr="00DC6DF9" w14:paraId="6BBE15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DAB7E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1780</w:t>
            </w:r>
          </w:p>
        </w:tc>
        <w:tc>
          <w:tcPr>
            <w:tcW w:w="1036" w:type="dxa"/>
            <w:tcBorders>
              <w:top w:val="nil"/>
              <w:left w:val="nil"/>
              <w:bottom w:val="single" w:sz="4" w:space="0" w:color="auto"/>
              <w:right w:val="single" w:sz="4" w:space="0" w:color="auto"/>
            </w:tcBorders>
            <w:shd w:val="clear" w:color="auto" w:fill="auto"/>
            <w:noWrap/>
            <w:vAlign w:val="center"/>
            <w:hideMark/>
          </w:tcPr>
          <w:p w14:paraId="172F58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5886384000</w:t>
            </w:r>
          </w:p>
        </w:tc>
        <w:tc>
          <w:tcPr>
            <w:tcW w:w="1036" w:type="dxa"/>
            <w:tcBorders>
              <w:top w:val="nil"/>
              <w:left w:val="nil"/>
              <w:bottom w:val="single" w:sz="4" w:space="0" w:color="auto"/>
              <w:right w:val="single" w:sz="4" w:space="0" w:color="auto"/>
            </w:tcBorders>
            <w:shd w:val="clear" w:color="auto" w:fill="auto"/>
            <w:noWrap/>
            <w:vAlign w:val="center"/>
            <w:hideMark/>
          </w:tcPr>
          <w:p w14:paraId="0E5699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79369502</w:t>
            </w:r>
          </w:p>
        </w:tc>
        <w:tc>
          <w:tcPr>
            <w:tcW w:w="160" w:type="dxa"/>
            <w:tcBorders>
              <w:top w:val="nil"/>
              <w:left w:val="nil"/>
              <w:bottom w:val="single" w:sz="4" w:space="0" w:color="auto"/>
              <w:right w:val="nil"/>
            </w:tcBorders>
            <w:vAlign w:val="center"/>
          </w:tcPr>
          <w:p w14:paraId="2B47E3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E413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BREŽICE</w:t>
            </w:r>
          </w:p>
        </w:tc>
      </w:tr>
      <w:tr w:rsidR="00072A69" w:rsidRPr="00DC6DF9" w14:paraId="26FDE5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4AD0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1781</w:t>
            </w:r>
          </w:p>
        </w:tc>
        <w:tc>
          <w:tcPr>
            <w:tcW w:w="1036" w:type="dxa"/>
            <w:tcBorders>
              <w:top w:val="nil"/>
              <w:left w:val="nil"/>
              <w:bottom w:val="single" w:sz="4" w:space="0" w:color="auto"/>
              <w:right w:val="single" w:sz="4" w:space="0" w:color="auto"/>
            </w:tcBorders>
            <w:shd w:val="clear" w:color="auto" w:fill="auto"/>
            <w:noWrap/>
            <w:vAlign w:val="center"/>
            <w:hideMark/>
          </w:tcPr>
          <w:p w14:paraId="2F27B6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5886376000</w:t>
            </w:r>
          </w:p>
        </w:tc>
        <w:tc>
          <w:tcPr>
            <w:tcW w:w="1036" w:type="dxa"/>
            <w:tcBorders>
              <w:top w:val="nil"/>
              <w:left w:val="nil"/>
              <w:bottom w:val="single" w:sz="4" w:space="0" w:color="auto"/>
              <w:right w:val="single" w:sz="4" w:space="0" w:color="auto"/>
            </w:tcBorders>
            <w:shd w:val="clear" w:color="auto" w:fill="auto"/>
            <w:noWrap/>
            <w:vAlign w:val="center"/>
            <w:hideMark/>
          </w:tcPr>
          <w:p w14:paraId="219FB9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69982163</w:t>
            </w:r>
          </w:p>
        </w:tc>
        <w:tc>
          <w:tcPr>
            <w:tcW w:w="160" w:type="dxa"/>
            <w:tcBorders>
              <w:top w:val="nil"/>
              <w:left w:val="nil"/>
              <w:bottom w:val="single" w:sz="4" w:space="0" w:color="auto"/>
              <w:right w:val="nil"/>
            </w:tcBorders>
            <w:vAlign w:val="center"/>
          </w:tcPr>
          <w:p w14:paraId="07A680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A9ED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CELJE</w:t>
            </w:r>
          </w:p>
        </w:tc>
      </w:tr>
      <w:tr w:rsidR="00072A69" w:rsidRPr="00DC6DF9" w14:paraId="2B1031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499C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1782</w:t>
            </w:r>
          </w:p>
        </w:tc>
        <w:tc>
          <w:tcPr>
            <w:tcW w:w="1036" w:type="dxa"/>
            <w:tcBorders>
              <w:top w:val="nil"/>
              <w:left w:val="nil"/>
              <w:bottom w:val="single" w:sz="4" w:space="0" w:color="auto"/>
              <w:right w:val="single" w:sz="4" w:space="0" w:color="auto"/>
            </w:tcBorders>
            <w:shd w:val="clear" w:color="auto" w:fill="auto"/>
            <w:noWrap/>
            <w:vAlign w:val="center"/>
            <w:hideMark/>
          </w:tcPr>
          <w:p w14:paraId="240DBC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5886368000</w:t>
            </w:r>
          </w:p>
        </w:tc>
        <w:tc>
          <w:tcPr>
            <w:tcW w:w="1036" w:type="dxa"/>
            <w:tcBorders>
              <w:top w:val="nil"/>
              <w:left w:val="nil"/>
              <w:bottom w:val="single" w:sz="4" w:space="0" w:color="auto"/>
              <w:right w:val="single" w:sz="4" w:space="0" w:color="auto"/>
            </w:tcBorders>
            <w:shd w:val="clear" w:color="auto" w:fill="auto"/>
            <w:noWrap/>
            <w:vAlign w:val="center"/>
            <w:hideMark/>
          </w:tcPr>
          <w:p w14:paraId="3DFD82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85085502</w:t>
            </w:r>
          </w:p>
        </w:tc>
        <w:tc>
          <w:tcPr>
            <w:tcW w:w="160" w:type="dxa"/>
            <w:tcBorders>
              <w:top w:val="nil"/>
              <w:left w:val="nil"/>
              <w:bottom w:val="single" w:sz="4" w:space="0" w:color="auto"/>
              <w:right w:val="nil"/>
            </w:tcBorders>
            <w:vAlign w:val="center"/>
          </w:tcPr>
          <w:p w14:paraId="4191DDD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F7F8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CERKNICA</w:t>
            </w:r>
          </w:p>
        </w:tc>
      </w:tr>
      <w:tr w:rsidR="00072A69" w:rsidRPr="00DC6DF9" w14:paraId="42296F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34C2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1783</w:t>
            </w:r>
          </w:p>
        </w:tc>
        <w:tc>
          <w:tcPr>
            <w:tcW w:w="1036" w:type="dxa"/>
            <w:tcBorders>
              <w:top w:val="nil"/>
              <w:left w:val="nil"/>
              <w:bottom w:val="single" w:sz="4" w:space="0" w:color="auto"/>
              <w:right w:val="single" w:sz="4" w:space="0" w:color="auto"/>
            </w:tcBorders>
            <w:shd w:val="clear" w:color="auto" w:fill="auto"/>
            <w:noWrap/>
            <w:vAlign w:val="center"/>
            <w:hideMark/>
          </w:tcPr>
          <w:p w14:paraId="2E07A8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5886287000</w:t>
            </w:r>
          </w:p>
        </w:tc>
        <w:tc>
          <w:tcPr>
            <w:tcW w:w="1036" w:type="dxa"/>
            <w:tcBorders>
              <w:top w:val="nil"/>
              <w:left w:val="nil"/>
              <w:bottom w:val="single" w:sz="4" w:space="0" w:color="auto"/>
              <w:right w:val="single" w:sz="4" w:space="0" w:color="auto"/>
            </w:tcBorders>
            <w:shd w:val="clear" w:color="auto" w:fill="auto"/>
            <w:noWrap/>
            <w:vAlign w:val="center"/>
            <w:hideMark/>
          </w:tcPr>
          <w:p w14:paraId="76DFD6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87096170</w:t>
            </w:r>
          </w:p>
        </w:tc>
        <w:tc>
          <w:tcPr>
            <w:tcW w:w="160" w:type="dxa"/>
            <w:tcBorders>
              <w:top w:val="nil"/>
              <w:left w:val="nil"/>
              <w:bottom w:val="single" w:sz="4" w:space="0" w:color="auto"/>
              <w:right w:val="nil"/>
            </w:tcBorders>
            <w:vAlign w:val="center"/>
          </w:tcPr>
          <w:p w14:paraId="04437F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833F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ČRNOMELJ</w:t>
            </w:r>
          </w:p>
        </w:tc>
      </w:tr>
      <w:tr w:rsidR="00072A69" w:rsidRPr="00DC6DF9" w14:paraId="7E9414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BA3B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1784</w:t>
            </w:r>
          </w:p>
        </w:tc>
        <w:tc>
          <w:tcPr>
            <w:tcW w:w="1036" w:type="dxa"/>
            <w:tcBorders>
              <w:top w:val="nil"/>
              <w:left w:val="nil"/>
              <w:bottom w:val="single" w:sz="4" w:space="0" w:color="auto"/>
              <w:right w:val="single" w:sz="4" w:space="0" w:color="auto"/>
            </w:tcBorders>
            <w:shd w:val="clear" w:color="auto" w:fill="auto"/>
            <w:noWrap/>
            <w:vAlign w:val="center"/>
            <w:hideMark/>
          </w:tcPr>
          <w:p w14:paraId="658816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5886350000</w:t>
            </w:r>
          </w:p>
        </w:tc>
        <w:tc>
          <w:tcPr>
            <w:tcW w:w="1036" w:type="dxa"/>
            <w:tcBorders>
              <w:top w:val="nil"/>
              <w:left w:val="nil"/>
              <w:bottom w:val="single" w:sz="4" w:space="0" w:color="auto"/>
              <w:right w:val="single" w:sz="4" w:space="0" w:color="auto"/>
            </w:tcBorders>
            <w:shd w:val="clear" w:color="auto" w:fill="auto"/>
            <w:noWrap/>
            <w:vAlign w:val="center"/>
            <w:hideMark/>
          </w:tcPr>
          <w:p w14:paraId="30C2D8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57545871</w:t>
            </w:r>
          </w:p>
        </w:tc>
        <w:tc>
          <w:tcPr>
            <w:tcW w:w="160" w:type="dxa"/>
            <w:tcBorders>
              <w:top w:val="nil"/>
              <w:left w:val="nil"/>
              <w:bottom w:val="single" w:sz="4" w:space="0" w:color="auto"/>
              <w:right w:val="nil"/>
            </w:tcBorders>
            <w:vAlign w:val="center"/>
          </w:tcPr>
          <w:p w14:paraId="3DE730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445C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DOMŽALE</w:t>
            </w:r>
          </w:p>
        </w:tc>
      </w:tr>
      <w:tr w:rsidR="00072A69" w:rsidRPr="00DC6DF9" w14:paraId="12DD59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F30C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1785</w:t>
            </w:r>
          </w:p>
        </w:tc>
        <w:tc>
          <w:tcPr>
            <w:tcW w:w="1036" w:type="dxa"/>
            <w:tcBorders>
              <w:top w:val="nil"/>
              <w:left w:val="nil"/>
              <w:bottom w:val="single" w:sz="4" w:space="0" w:color="auto"/>
              <w:right w:val="single" w:sz="4" w:space="0" w:color="auto"/>
            </w:tcBorders>
            <w:shd w:val="clear" w:color="auto" w:fill="auto"/>
            <w:noWrap/>
            <w:vAlign w:val="center"/>
            <w:hideMark/>
          </w:tcPr>
          <w:p w14:paraId="343A47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5886341000</w:t>
            </w:r>
          </w:p>
        </w:tc>
        <w:tc>
          <w:tcPr>
            <w:tcW w:w="1036" w:type="dxa"/>
            <w:tcBorders>
              <w:top w:val="nil"/>
              <w:left w:val="nil"/>
              <w:bottom w:val="single" w:sz="4" w:space="0" w:color="auto"/>
              <w:right w:val="single" w:sz="4" w:space="0" w:color="auto"/>
            </w:tcBorders>
            <w:shd w:val="clear" w:color="auto" w:fill="auto"/>
            <w:noWrap/>
            <w:vAlign w:val="center"/>
            <w:hideMark/>
          </w:tcPr>
          <w:p w14:paraId="3AD7CB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84280654</w:t>
            </w:r>
          </w:p>
        </w:tc>
        <w:tc>
          <w:tcPr>
            <w:tcW w:w="160" w:type="dxa"/>
            <w:tcBorders>
              <w:top w:val="nil"/>
              <w:left w:val="nil"/>
              <w:bottom w:val="single" w:sz="4" w:space="0" w:color="auto"/>
              <w:right w:val="nil"/>
            </w:tcBorders>
            <w:vAlign w:val="center"/>
          </w:tcPr>
          <w:p w14:paraId="03B93B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238C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DRAVOGRAD</w:t>
            </w:r>
          </w:p>
        </w:tc>
      </w:tr>
      <w:tr w:rsidR="00072A69" w:rsidRPr="00DC6DF9" w14:paraId="7EFDE6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0CFE7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1786</w:t>
            </w:r>
          </w:p>
        </w:tc>
        <w:tc>
          <w:tcPr>
            <w:tcW w:w="1036" w:type="dxa"/>
            <w:tcBorders>
              <w:top w:val="nil"/>
              <w:left w:val="nil"/>
              <w:bottom w:val="single" w:sz="4" w:space="0" w:color="auto"/>
              <w:right w:val="single" w:sz="4" w:space="0" w:color="auto"/>
            </w:tcBorders>
            <w:shd w:val="clear" w:color="auto" w:fill="auto"/>
            <w:noWrap/>
            <w:vAlign w:val="center"/>
            <w:hideMark/>
          </w:tcPr>
          <w:p w14:paraId="530397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5886333000</w:t>
            </w:r>
          </w:p>
        </w:tc>
        <w:tc>
          <w:tcPr>
            <w:tcW w:w="1036" w:type="dxa"/>
            <w:tcBorders>
              <w:top w:val="nil"/>
              <w:left w:val="nil"/>
              <w:bottom w:val="single" w:sz="4" w:space="0" w:color="auto"/>
              <w:right w:val="single" w:sz="4" w:space="0" w:color="auto"/>
            </w:tcBorders>
            <w:shd w:val="clear" w:color="auto" w:fill="auto"/>
            <w:noWrap/>
            <w:vAlign w:val="center"/>
            <w:hideMark/>
          </w:tcPr>
          <w:p w14:paraId="4BD015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20797460</w:t>
            </w:r>
          </w:p>
        </w:tc>
        <w:tc>
          <w:tcPr>
            <w:tcW w:w="160" w:type="dxa"/>
            <w:tcBorders>
              <w:top w:val="nil"/>
              <w:left w:val="nil"/>
              <w:bottom w:val="single" w:sz="4" w:space="0" w:color="auto"/>
              <w:right w:val="nil"/>
            </w:tcBorders>
            <w:vAlign w:val="center"/>
          </w:tcPr>
          <w:p w14:paraId="08E509D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B795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GORNJA RADGONA</w:t>
            </w:r>
          </w:p>
        </w:tc>
      </w:tr>
      <w:tr w:rsidR="00072A69" w:rsidRPr="00DC6DF9" w14:paraId="062B8C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91EF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1787</w:t>
            </w:r>
          </w:p>
        </w:tc>
        <w:tc>
          <w:tcPr>
            <w:tcW w:w="1036" w:type="dxa"/>
            <w:tcBorders>
              <w:top w:val="nil"/>
              <w:left w:val="nil"/>
              <w:bottom w:val="single" w:sz="4" w:space="0" w:color="auto"/>
              <w:right w:val="single" w:sz="4" w:space="0" w:color="auto"/>
            </w:tcBorders>
            <w:shd w:val="clear" w:color="auto" w:fill="auto"/>
            <w:noWrap/>
            <w:vAlign w:val="center"/>
            <w:hideMark/>
          </w:tcPr>
          <w:p w14:paraId="128C28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5886325000</w:t>
            </w:r>
          </w:p>
        </w:tc>
        <w:tc>
          <w:tcPr>
            <w:tcW w:w="1036" w:type="dxa"/>
            <w:tcBorders>
              <w:top w:val="nil"/>
              <w:left w:val="nil"/>
              <w:bottom w:val="single" w:sz="4" w:space="0" w:color="auto"/>
              <w:right w:val="single" w:sz="4" w:space="0" w:color="auto"/>
            </w:tcBorders>
            <w:shd w:val="clear" w:color="auto" w:fill="auto"/>
            <w:noWrap/>
            <w:vAlign w:val="center"/>
            <w:hideMark/>
          </w:tcPr>
          <w:p w14:paraId="260336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19031548</w:t>
            </w:r>
          </w:p>
        </w:tc>
        <w:tc>
          <w:tcPr>
            <w:tcW w:w="160" w:type="dxa"/>
            <w:tcBorders>
              <w:top w:val="nil"/>
              <w:left w:val="nil"/>
              <w:bottom w:val="single" w:sz="4" w:space="0" w:color="auto"/>
              <w:right w:val="nil"/>
            </w:tcBorders>
            <w:vAlign w:val="center"/>
          </w:tcPr>
          <w:p w14:paraId="6441FE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C261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GROSUPLJE</w:t>
            </w:r>
          </w:p>
        </w:tc>
      </w:tr>
      <w:tr w:rsidR="00072A69" w:rsidRPr="00DC6DF9" w14:paraId="6904CD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AFC3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1788</w:t>
            </w:r>
          </w:p>
        </w:tc>
        <w:tc>
          <w:tcPr>
            <w:tcW w:w="1036" w:type="dxa"/>
            <w:tcBorders>
              <w:top w:val="nil"/>
              <w:left w:val="nil"/>
              <w:bottom w:val="single" w:sz="4" w:space="0" w:color="auto"/>
              <w:right w:val="single" w:sz="4" w:space="0" w:color="auto"/>
            </w:tcBorders>
            <w:shd w:val="clear" w:color="auto" w:fill="auto"/>
            <w:noWrap/>
            <w:vAlign w:val="center"/>
            <w:hideMark/>
          </w:tcPr>
          <w:p w14:paraId="24DB6B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5886317000</w:t>
            </w:r>
          </w:p>
        </w:tc>
        <w:tc>
          <w:tcPr>
            <w:tcW w:w="1036" w:type="dxa"/>
            <w:tcBorders>
              <w:top w:val="nil"/>
              <w:left w:val="nil"/>
              <w:bottom w:val="single" w:sz="4" w:space="0" w:color="auto"/>
              <w:right w:val="single" w:sz="4" w:space="0" w:color="auto"/>
            </w:tcBorders>
            <w:shd w:val="clear" w:color="auto" w:fill="auto"/>
            <w:noWrap/>
            <w:vAlign w:val="center"/>
            <w:hideMark/>
          </w:tcPr>
          <w:p w14:paraId="10AE24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93837232</w:t>
            </w:r>
          </w:p>
        </w:tc>
        <w:tc>
          <w:tcPr>
            <w:tcW w:w="160" w:type="dxa"/>
            <w:tcBorders>
              <w:top w:val="nil"/>
              <w:left w:val="nil"/>
              <w:bottom w:val="single" w:sz="4" w:space="0" w:color="auto"/>
              <w:right w:val="nil"/>
            </w:tcBorders>
            <w:vAlign w:val="center"/>
          </w:tcPr>
          <w:p w14:paraId="03B49F8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59D9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HRASTNIK</w:t>
            </w:r>
          </w:p>
        </w:tc>
      </w:tr>
      <w:tr w:rsidR="00072A69" w:rsidRPr="00DC6DF9" w14:paraId="1B7AAC9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51A2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1789</w:t>
            </w:r>
          </w:p>
        </w:tc>
        <w:tc>
          <w:tcPr>
            <w:tcW w:w="1036" w:type="dxa"/>
            <w:tcBorders>
              <w:top w:val="nil"/>
              <w:left w:val="nil"/>
              <w:bottom w:val="single" w:sz="4" w:space="0" w:color="auto"/>
              <w:right w:val="single" w:sz="4" w:space="0" w:color="auto"/>
            </w:tcBorders>
            <w:shd w:val="clear" w:color="auto" w:fill="auto"/>
            <w:noWrap/>
            <w:vAlign w:val="center"/>
            <w:hideMark/>
          </w:tcPr>
          <w:p w14:paraId="6EE65C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5886309000</w:t>
            </w:r>
          </w:p>
        </w:tc>
        <w:tc>
          <w:tcPr>
            <w:tcW w:w="1036" w:type="dxa"/>
            <w:tcBorders>
              <w:top w:val="nil"/>
              <w:left w:val="nil"/>
              <w:bottom w:val="single" w:sz="4" w:space="0" w:color="auto"/>
              <w:right w:val="single" w:sz="4" w:space="0" w:color="auto"/>
            </w:tcBorders>
            <w:shd w:val="clear" w:color="auto" w:fill="auto"/>
            <w:noWrap/>
            <w:vAlign w:val="center"/>
            <w:hideMark/>
          </w:tcPr>
          <w:p w14:paraId="168830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73258270</w:t>
            </w:r>
          </w:p>
        </w:tc>
        <w:tc>
          <w:tcPr>
            <w:tcW w:w="160" w:type="dxa"/>
            <w:tcBorders>
              <w:top w:val="nil"/>
              <w:left w:val="nil"/>
              <w:bottom w:val="single" w:sz="4" w:space="0" w:color="auto"/>
              <w:right w:val="nil"/>
            </w:tcBorders>
            <w:vAlign w:val="center"/>
          </w:tcPr>
          <w:p w14:paraId="01B71D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E104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IDRIJA</w:t>
            </w:r>
          </w:p>
        </w:tc>
      </w:tr>
      <w:tr w:rsidR="00072A69" w:rsidRPr="00DC6DF9" w14:paraId="692E3B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3B03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1790</w:t>
            </w:r>
          </w:p>
        </w:tc>
        <w:tc>
          <w:tcPr>
            <w:tcW w:w="1036" w:type="dxa"/>
            <w:tcBorders>
              <w:top w:val="nil"/>
              <w:left w:val="nil"/>
              <w:bottom w:val="single" w:sz="4" w:space="0" w:color="auto"/>
              <w:right w:val="single" w:sz="4" w:space="0" w:color="auto"/>
            </w:tcBorders>
            <w:shd w:val="clear" w:color="auto" w:fill="auto"/>
            <w:noWrap/>
            <w:vAlign w:val="center"/>
            <w:hideMark/>
          </w:tcPr>
          <w:p w14:paraId="0F06FF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5886295000</w:t>
            </w:r>
          </w:p>
        </w:tc>
        <w:tc>
          <w:tcPr>
            <w:tcW w:w="1036" w:type="dxa"/>
            <w:tcBorders>
              <w:top w:val="nil"/>
              <w:left w:val="nil"/>
              <w:bottom w:val="single" w:sz="4" w:space="0" w:color="auto"/>
              <w:right w:val="single" w:sz="4" w:space="0" w:color="auto"/>
            </w:tcBorders>
            <w:shd w:val="clear" w:color="auto" w:fill="auto"/>
            <w:noWrap/>
            <w:vAlign w:val="center"/>
            <w:hideMark/>
          </w:tcPr>
          <w:p w14:paraId="1A92D3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54833809</w:t>
            </w:r>
          </w:p>
        </w:tc>
        <w:tc>
          <w:tcPr>
            <w:tcW w:w="160" w:type="dxa"/>
            <w:tcBorders>
              <w:top w:val="nil"/>
              <w:left w:val="nil"/>
              <w:bottom w:val="single" w:sz="4" w:space="0" w:color="auto"/>
              <w:right w:val="nil"/>
            </w:tcBorders>
            <w:vAlign w:val="center"/>
          </w:tcPr>
          <w:p w14:paraId="0DC1CB4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A132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ILIRSKA BISTRICA</w:t>
            </w:r>
          </w:p>
        </w:tc>
      </w:tr>
      <w:tr w:rsidR="00072A69" w:rsidRPr="00DC6DF9" w14:paraId="64201FD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A5CA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1791</w:t>
            </w:r>
          </w:p>
        </w:tc>
        <w:tc>
          <w:tcPr>
            <w:tcW w:w="1036" w:type="dxa"/>
            <w:tcBorders>
              <w:top w:val="nil"/>
              <w:left w:val="nil"/>
              <w:bottom w:val="single" w:sz="4" w:space="0" w:color="auto"/>
              <w:right w:val="single" w:sz="4" w:space="0" w:color="auto"/>
            </w:tcBorders>
            <w:shd w:val="clear" w:color="auto" w:fill="auto"/>
            <w:noWrap/>
            <w:vAlign w:val="center"/>
            <w:hideMark/>
          </w:tcPr>
          <w:p w14:paraId="4C5915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5874807000</w:t>
            </w:r>
          </w:p>
        </w:tc>
        <w:tc>
          <w:tcPr>
            <w:tcW w:w="1036" w:type="dxa"/>
            <w:tcBorders>
              <w:top w:val="nil"/>
              <w:left w:val="nil"/>
              <w:bottom w:val="single" w:sz="4" w:space="0" w:color="auto"/>
              <w:right w:val="single" w:sz="4" w:space="0" w:color="auto"/>
            </w:tcBorders>
            <w:shd w:val="clear" w:color="auto" w:fill="auto"/>
            <w:noWrap/>
            <w:vAlign w:val="center"/>
            <w:hideMark/>
          </w:tcPr>
          <w:p w14:paraId="109922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66485185</w:t>
            </w:r>
          </w:p>
        </w:tc>
        <w:tc>
          <w:tcPr>
            <w:tcW w:w="160" w:type="dxa"/>
            <w:tcBorders>
              <w:top w:val="nil"/>
              <w:left w:val="nil"/>
              <w:bottom w:val="single" w:sz="4" w:space="0" w:color="auto"/>
              <w:right w:val="nil"/>
            </w:tcBorders>
            <w:vAlign w:val="center"/>
          </w:tcPr>
          <w:p w14:paraId="5DC263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6A8F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IZOLA</w:t>
            </w:r>
          </w:p>
        </w:tc>
      </w:tr>
      <w:tr w:rsidR="00072A69" w:rsidRPr="00DC6DF9" w14:paraId="17564A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730D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1792</w:t>
            </w:r>
          </w:p>
        </w:tc>
        <w:tc>
          <w:tcPr>
            <w:tcW w:w="1036" w:type="dxa"/>
            <w:tcBorders>
              <w:top w:val="nil"/>
              <w:left w:val="nil"/>
              <w:bottom w:val="single" w:sz="4" w:space="0" w:color="auto"/>
              <w:right w:val="single" w:sz="4" w:space="0" w:color="auto"/>
            </w:tcBorders>
            <w:shd w:val="clear" w:color="auto" w:fill="auto"/>
            <w:noWrap/>
            <w:vAlign w:val="center"/>
            <w:hideMark/>
          </w:tcPr>
          <w:p w14:paraId="3BDC5A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5874815000</w:t>
            </w:r>
          </w:p>
        </w:tc>
        <w:tc>
          <w:tcPr>
            <w:tcW w:w="1036" w:type="dxa"/>
            <w:tcBorders>
              <w:top w:val="nil"/>
              <w:left w:val="nil"/>
              <w:bottom w:val="single" w:sz="4" w:space="0" w:color="auto"/>
              <w:right w:val="single" w:sz="4" w:space="0" w:color="auto"/>
            </w:tcBorders>
            <w:shd w:val="clear" w:color="auto" w:fill="auto"/>
            <w:noWrap/>
            <w:vAlign w:val="center"/>
            <w:hideMark/>
          </w:tcPr>
          <w:p w14:paraId="0F991B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81615949</w:t>
            </w:r>
          </w:p>
        </w:tc>
        <w:tc>
          <w:tcPr>
            <w:tcW w:w="160" w:type="dxa"/>
            <w:tcBorders>
              <w:top w:val="nil"/>
              <w:left w:val="nil"/>
              <w:bottom w:val="single" w:sz="4" w:space="0" w:color="auto"/>
              <w:right w:val="nil"/>
            </w:tcBorders>
            <w:vAlign w:val="center"/>
          </w:tcPr>
          <w:p w14:paraId="7FBFE7F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31F3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JESENICE</w:t>
            </w:r>
          </w:p>
        </w:tc>
      </w:tr>
      <w:tr w:rsidR="00072A69" w:rsidRPr="00DC6DF9" w14:paraId="14022D2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7850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1793</w:t>
            </w:r>
          </w:p>
        </w:tc>
        <w:tc>
          <w:tcPr>
            <w:tcW w:w="1036" w:type="dxa"/>
            <w:tcBorders>
              <w:top w:val="nil"/>
              <w:left w:val="nil"/>
              <w:bottom w:val="single" w:sz="4" w:space="0" w:color="auto"/>
              <w:right w:val="single" w:sz="4" w:space="0" w:color="auto"/>
            </w:tcBorders>
            <w:shd w:val="clear" w:color="auto" w:fill="auto"/>
            <w:noWrap/>
            <w:vAlign w:val="center"/>
            <w:hideMark/>
          </w:tcPr>
          <w:p w14:paraId="76AEAE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5874823000</w:t>
            </w:r>
          </w:p>
        </w:tc>
        <w:tc>
          <w:tcPr>
            <w:tcW w:w="1036" w:type="dxa"/>
            <w:tcBorders>
              <w:top w:val="nil"/>
              <w:left w:val="nil"/>
              <w:bottom w:val="single" w:sz="4" w:space="0" w:color="auto"/>
              <w:right w:val="single" w:sz="4" w:space="0" w:color="auto"/>
            </w:tcBorders>
            <w:shd w:val="clear" w:color="auto" w:fill="auto"/>
            <w:noWrap/>
            <w:vAlign w:val="center"/>
            <w:hideMark/>
          </w:tcPr>
          <w:p w14:paraId="2657AD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69738688</w:t>
            </w:r>
          </w:p>
        </w:tc>
        <w:tc>
          <w:tcPr>
            <w:tcW w:w="160" w:type="dxa"/>
            <w:tcBorders>
              <w:top w:val="nil"/>
              <w:left w:val="nil"/>
              <w:bottom w:val="single" w:sz="4" w:space="0" w:color="auto"/>
              <w:right w:val="nil"/>
            </w:tcBorders>
            <w:vAlign w:val="center"/>
          </w:tcPr>
          <w:p w14:paraId="0CB6F2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7657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KAMNIK</w:t>
            </w:r>
          </w:p>
        </w:tc>
      </w:tr>
      <w:tr w:rsidR="00072A69" w:rsidRPr="00DC6DF9" w14:paraId="10F577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8BFF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1794</w:t>
            </w:r>
          </w:p>
        </w:tc>
        <w:tc>
          <w:tcPr>
            <w:tcW w:w="1036" w:type="dxa"/>
            <w:tcBorders>
              <w:top w:val="nil"/>
              <w:left w:val="nil"/>
              <w:bottom w:val="single" w:sz="4" w:space="0" w:color="auto"/>
              <w:right w:val="single" w:sz="4" w:space="0" w:color="auto"/>
            </w:tcBorders>
            <w:shd w:val="clear" w:color="auto" w:fill="auto"/>
            <w:noWrap/>
            <w:vAlign w:val="center"/>
            <w:hideMark/>
          </w:tcPr>
          <w:p w14:paraId="3FD597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5874831000</w:t>
            </w:r>
          </w:p>
        </w:tc>
        <w:tc>
          <w:tcPr>
            <w:tcW w:w="1036" w:type="dxa"/>
            <w:tcBorders>
              <w:top w:val="nil"/>
              <w:left w:val="nil"/>
              <w:bottom w:val="single" w:sz="4" w:space="0" w:color="auto"/>
              <w:right w:val="single" w:sz="4" w:space="0" w:color="auto"/>
            </w:tcBorders>
            <w:shd w:val="clear" w:color="auto" w:fill="auto"/>
            <w:noWrap/>
            <w:vAlign w:val="center"/>
            <w:hideMark/>
          </w:tcPr>
          <w:p w14:paraId="001E5C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51131455</w:t>
            </w:r>
          </w:p>
        </w:tc>
        <w:tc>
          <w:tcPr>
            <w:tcW w:w="160" w:type="dxa"/>
            <w:tcBorders>
              <w:top w:val="nil"/>
              <w:left w:val="nil"/>
              <w:bottom w:val="single" w:sz="4" w:space="0" w:color="auto"/>
              <w:right w:val="nil"/>
            </w:tcBorders>
            <w:vAlign w:val="center"/>
          </w:tcPr>
          <w:p w14:paraId="27D648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29F36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KOČEVJE</w:t>
            </w:r>
          </w:p>
        </w:tc>
      </w:tr>
      <w:tr w:rsidR="00072A69" w:rsidRPr="00DC6DF9" w14:paraId="5DC7C8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07DA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1795</w:t>
            </w:r>
          </w:p>
        </w:tc>
        <w:tc>
          <w:tcPr>
            <w:tcW w:w="1036" w:type="dxa"/>
            <w:tcBorders>
              <w:top w:val="nil"/>
              <w:left w:val="nil"/>
              <w:bottom w:val="single" w:sz="4" w:space="0" w:color="auto"/>
              <w:right w:val="single" w:sz="4" w:space="0" w:color="auto"/>
            </w:tcBorders>
            <w:shd w:val="clear" w:color="auto" w:fill="auto"/>
            <w:noWrap/>
            <w:vAlign w:val="center"/>
            <w:hideMark/>
          </w:tcPr>
          <w:p w14:paraId="2C5A35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5874882000</w:t>
            </w:r>
          </w:p>
        </w:tc>
        <w:tc>
          <w:tcPr>
            <w:tcW w:w="1036" w:type="dxa"/>
            <w:tcBorders>
              <w:top w:val="nil"/>
              <w:left w:val="nil"/>
              <w:bottom w:val="single" w:sz="4" w:space="0" w:color="auto"/>
              <w:right w:val="single" w:sz="4" w:space="0" w:color="auto"/>
            </w:tcBorders>
            <w:shd w:val="clear" w:color="auto" w:fill="auto"/>
            <w:noWrap/>
            <w:vAlign w:val="center"/>
            <w:hideMark/>
          </w:tcPr>
          <w:p w14:paraId="1BC98D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56695080</w:t>
            </w:r>
          </w:p>
        </w:tc>
        <w:tc>
          <w:tcPr>
            <w:tcW w:w="160" w:type="dxa"/>
            <w:tcBorders>
              <w:top w:val="nil"/>
              <w:left w:val="nil"/>
              <w:bottom w:val="single" w:sz="4" w:space="0" w:color="auto"/>
              <w:right w:val="nil"/>
            </w:tcBorders>
            <w:vAlign w:val="center"/>
          </w:tcPr>
          <w:p w14:paraId="1E56AE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7B5D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KOPER</w:t>
            </w:r>
          </w:p>
        </w:tc>
      </w:tr>
      <w:tr w:rsidR="00072A69" w:rsidRPr="00DC6DF9" w14:paraId="2715E7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654E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1796</w:t>
            </w:r>
          </w:p>
        </w:tc>
        <w:tc>
          <w:tcPr>
            <w:tcW w:w="1036" w:type="dxa"/>
            <w:tcBorders>
              <w:top w:val="nil"/>
              <w:left w:val="nil"/>
              <w:bottom w:val="single" w:sz="4" w:space="0" w:color="auto"/>
              <w:right w:val="single" w:sz="4" w:space="0" w:color="auto"/>
            </w:tcBorders>
            <w:shd w:val="clear" w:color="auto" w:fill="auto"/>
            <w:noWrap/>
            <w:vAlign w:val="center"/>
            <w:hideMark/>
          </w:tcPr>
          <w:p w14:paraId="4D8E7F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5874840000</w:t>
            </w:r>
          </w:p>
        </w:tc>
        <w:tc>
          <w:tcPr>
            <w:tcW w:w="1036" w:type="dxa"/>
            <w:tcBorders>
              <w:top w:val="nil"/>
              <w:left w:val="nil"/>
              <w:bottom w:val="single" w:sz="4" w:space="0" w:color="auto"/>
              <w:right w:val="single" w:sz="4" w:space="0" w:color="auto"/>
            </w:tcBorders>
            <w:shd w:val="clear" w:color="auto" w:fill="auto"/>
            <w:noWrap/>
            <w:vAlign w:val="center"/>
            <w:hideMark/>
          </w:tcPr>
          <w:p w14:paraId="6ECB77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36601098</w:t>
            </w:r>
          </w:p>
        </w:tc>
        <w:tc>
          <w:tcPr>
            <w:tcW w:w="160" w:type="dxa"/>
            <w:tcBorders>
              <w:top w:val="nil"/>
              <w:left w:val="nil"/>
              <w:bottom w:val="single" w:sz="4" w:space="0" w:color="auto"/>
              <w:right w:val="nil"/>
            </w:tcBorders>
            <w:vAlign w:val="center"/>
          </w:tcPr>
          <w:p w14:paraId="0EADC7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B844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KRANJ</w:t>
            </w:r>
          </w:p>
        </w:tc>
      </w:tr>
      <w:tr w:rsidR="00072A69" w:rsidRPr="00DC6DF9" w14:paraId="67684B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7147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1797</w:t>
            </w:r>
          </w:p>
        </w:tc>
        <w:tc>
          <w:tcPr>
            <w:tcW w:w="1036" w:type="dxa"/>
            <w:tcBorders>
              <w:top w:val="nil"/>
              <w:left w:val="nil"/>
              <w:bottom w:val="single" w:sz="4" w:space="0" w:color="auto"/>
              <w:right w:val="single" w:sz="4" w:space="0" w:color="auto"/>
            </w:tcBorders>
            <w:shd w:val="clear" w:color="auto" w:fill="auto"/>
            <w:noWrap/>
            <w:vAlign w:val="center"/>
            <w:hideMark/>
          </w:tcPr>
          <w:p w14:paraId="2AC540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5874904000</w:t>
            </w:r>
          </w:p>
        </w:tc>
        <w:tc>
          <w:tcPr>
            <w:tcW w:w="1036" w:type="dxa"/>
            <w:tcBorders>
              <w:top w:val="nil"/>
              <w:left w:val="nil"/>
              <w:bottom w:val="single" w:sz="4" w:space="0" w:color="auto"/>
              <w:right w:val="single" w:sz="4" w:space="0" w:color="auto"/>
            </w:tcBorders>
            <w:shd w:val="clear" w:color="auto" w:fill="auto"/>
            <w:noWrap/>
            <w:vAlign w:val="center"/>
            <w:hideMark/>
          </w:tcPr>
          <w:p w14:paraId="6C3ADC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92136648</w:t>
            </w:r>
          </w:p>
        </w:tc>
        <w:tc>
          <w:tcPr>
            <w:tcW w:w="160" w:type="dxa"/>
            <w:tcBorders>
              <w:top w:val="nil"/>
              <w:left w:val="nil"/>
              <w:bottom w:val="single" w:sz="4" w:space="0" w:color="auto"/>
              <w:right w:val="nil"/>
            </w:tcBorders>
            <w:vAlign w:val="center"/>
          </w:tcPr>
          <w:p w14:paraId="2932AD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2891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KRŠKO</w:t>
            </w:r>
          </w:p>
        </w:tc>
      </w:tr>
      <w:tr w:rsidR="00072A69" w:rsidRPr="00DC6DF9" w14:paraId="2E7BF2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3097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1798</w:t>
            </w:r>
          </w:p>
        </w:tc>
        <w:tc>
          <w:tcPr>
            <w:tcW w:w="1036" w:type="dxa"/>
            <w:tcBorders>
              <w:top w:val="nil"/>
              <w:left w:val="nil"/>
              <w:bottom w:val="single" w:sz="4" w:space="0" w:color="auto"/>
              <w:right w:val="single" w:sz="4" w:space="0" w:color="auto"/>
            </w:tcBorders>
            <w:shd w:val="clear" w:color="auto" w:fill="auto"/>
            <w:noWrap/>
            <w:vAlign w:val="center"/>
            <w:hideMark/>
          </w:tcPr>
          <w:p w14:paraId="0E29DF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5874858000</w:t>
            </w:r>
          </w:p>
        </w:tc>
        <w:tc>
          <w:tcPr>
            <w:tcW w:w="1036" w:type="dxa"/>
            <w:tcBorders>
              <w:top w:val="nil"/>
              <w:left w:val="nil"/>
              <w:bottom w:val="single" w:sz="4" w:space="0" w:color="auto"/>
              <w:right w:val="single" w:sz="4" w:space="0" w:color="auto"/>
            </w:tcBorders>
            <w:shd w:val="clear" w:color="auto" w:fill="auto"/>
            <w:noWrap/>
            <w:vAlign w:val="center"/>
            <w:hideMark/>
          </w:tcPr>
          <w:p w14:paraId="777CCD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68476531</w:t>
            </w:r>
          </w:p>
        </w:tc>
        <w:tc>
          <w:tcPr>
            <w:tcW w:w="160" w:type="dxa"/>
            <w:tcBorders>
              <w:top w:val="nil"/>
              <w:left w:val="nil"/>
              <w:bottom w:val="single" w:sz="4" w:space="0" w:color="auto"/>
              <w:right w:val="nil"/>
            </w:tcBorders>
            <w:vAlign w:val="center"/>
          </w:tcPr>
          <w:p w14:paraId="09DD553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1B39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LAŠKO</w:t>
            </w:r>
          </w:p>
        </w:tc>
      </w:tr>
      <w:tr w:rsidR="00072A69" w:rsidRPr="00DC6DF9" w14:paraId="75D702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0855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1799</w:t>
            </w:r>
          </w:p>
        </w:tc>
        <w:tc>
          <w:tcPr>
            <w:tcW w:w="1036" w:type="dxa"/>
            <w:tcBorders>
              <w:top w:val="nil"/>
              <w:left w:val="nil"/>
              <w:bottom w:val="single" w:sz="4" w:space="0" w:color="auto"/>
              <w:right w:val="single" w:sz="4" w:space="0" w:color="auto"/>
            </w:tcBorders>
            <w:shd w:val="clear" w:color="auto" w:fill="auto"/>
            <w:noWrap/>
            <w:vAlign w:val="center"/>
            <w:hideMark/>
          </w:tcPr>
          <w:p w14:paraId="2EBCD6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5874912000</w:t>
            </w:r>
          </w:p>
        </w:tc>
        <w:tc>
          <w:tcPr>
            <w:tcW w:w="1036" w:type="dxa"/>
            <w:tcBorders>
              <w:top w:val="nil"/>
              <w:left w:val="nil"/>
              <w:bottom w:val="single" w:sz="4" w:space="0" w:color="auto"/>
              <w:right w:val="single" w:sz="4" w:space="0" w:color="auto"/>
            </w:tcBorders>
            <w:shd w:val="clear" w:color="auto" w:fill="auto"/>
            <w:noWrap/>
            <w:vAlign w:val="center"/>
            <w:hideMark/>
          </w:tcPr>
          <w:p w14:paraId="1D8CCE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79812414</w:t>
            </w:r>
          </w:p>
        </w:tc>
        <w:tc>
          <w:tcPr>
            <w:tcW w:w="160" w:type="dxa"/>
            <w:tcBorders>
              <w:top w:val="nil"/>
              <w:left w:val="nil"/>
              <w:bottom w:val="single" w:sz="4" w:space="0" w:color="auto"/>
              <w:right w:val="nil"/>
            </w:tcBorders>
            <w:vAlign w:val="center"/>
          </w:tcPr>
          <w:p w14:paraId="3DEC569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C27A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LENART</w:t>
            </w:r>
          </w:p>
        </w:tc>
      </w:tr>
      <w:tr w:rsidR="00072A69" w:rsidRPr="00DC6DF9" w14:paraId="1F77BF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7C0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1800</w:t>
            </w:r>
          </w:p>
        </w:tc>
        <w:tc>
          <w:tcPr>
            <w:tcW w:w="1036" w:type="dxa"/>
            <w:tcBorders>
              <w:top w:val="nil"/>
              <w:left w:val="nil"/>
              <w:bottom w:val="single" w:sz="4" w:space="0" w:color="auto"/>
              <w:right w:val="single" w:sz="4" w:space="0" w:color="auto"/>
            </w:tcBorders>
            <w:shd w:val="clear" w:color="auto" w:fill="auto"/>
            <w:noWrap/>
            <w:vAlign w:val="center"/>
            <w:hideMark/>
          </w:tcPr>
          <w:p w14:paraId="345E9E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5874874000</w:t>
            </w:r>
          </w:p>
        </w:tc>
        <w:tc>
          <w:tcPr>
            <w:tcW w:w="1036" w:type="dxa"/>
            <w:tcBorders>
              <w:top w:val="nil"/>
              <w:left w:val="nil"/>
              <w:bottom w:val="single" w:sz="4" w:space="0" w:color="auto"/>
              <w:right w:val="single" w:sz="4" w:space="0" w:color="auto"/>
            </w:tcBorders>
            <w:shd w:val="clear" w:color="auto" w:fill="auto"/>
            <w:noWrap/>
            <w:vAlign w:val="center"/>
            <w:hideMark/>
          </w:tcPr>
          <w:p w14:paraId="2CE1F4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36000248</w:t>
            </w:r>
          </w:p>
        </w:tc>
        <w:tc>
          <w:tcPr>
            <w:tcW w:w="160" w:type="dxa"/>
            <w:tcBorders>
              <w:top w:val="nil"/>
              <w:left w:val="nil"/>
              <w:bottom w:val="single" w:sz="4" w:space="0" w:color="auto"/>
              <w:right w:val="nil"/>
            </w:tcBorders>
            <w:vAlign w:val="center"/>
          </w:tcPr>
          <w:p w14:paraId="73601BB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1401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LENDAVA</w:t>
            </w:r>
          </w:p>
        </w:tc>
      </w:tr>
      <w:tr w:rsidR="00072A69" w:rsidRPr="00DC6DF9" w14:paraId="60922D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FABB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1801</w:t>
            </w:r>
          </w:p>
        </w:tc>
        <w:tc>
          <w:tcPr>
            <w:tcW w:w="1036" w:type="dxa"/>
            <w:tcBorders>
              <w:top w:val="nil"/>
              <w:left w:val="nil"/>
              <w:bottom w:val="single" w:sz="4" w:space="0" w:color="auto"/>
              <w:right w:val="single" w:sz="4" w:space="0" w:color="auto"/>
            </w:tcBorders>
            <w:shd w:val="clear" w:color="auto" w:fill="auto"/>
            <w:noWrap/>
            <w:vAlign w:val="center"/>
            <w:hideMark/>
          </w:tcPr>
          <w:p w14:paraId="6106CF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5874866000</w:t>
            </w:r>
          </w:p>
        </w:tc>
        <w:tc>
          <w:tcPr>
            <w:tcW w:w="1036" w:type="dxa"/>
            <w:tcBorders>
              <w:top w:val="nil"/>
              <w:left w:val="nil"/>
              <w:bottom w:val="single" w:sz="4" w:space="0" w:color="auto"/>
              <w:right w:val="single" w:sz="4" w:space="0" w:color="auto"/>
            </w:tcBorders>
            <w:shd w:val="clear" w:color="auto" w:fill="auto"/>
            <w:noWrap/>
            <w:vAlign w:val="center"/>
            <w:hideMark/>
          </w:tcPr>
          <w:p w14:paraId="5D49B7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23945656</w:t>
            </w:r>
          </w:p>
        </w:tc>
        <w:tc>
          <w:tcPr>
            <w:tcW w:w="160" w:type="dxa"/>
            <w:tcBorders>
              <w:top w:val="nil"/>
              <w:left w:val="nil"/>
              <w:bottom w:val="single" w:sz="4" w:space="0" w:color="auto"/>
              <w:right w:val="nil"/>
            </w:tcBorders>
            <w:vAlign w:val="center"/>
          </w:tcPr>
          <w:p w14:paraId="701716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0BE53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LITIJA</w:t>
            </w:r>
          </w:p>
        </w:tc>
      </w:tr>
      <w:tr w:rsidR="00072A69" w:rsidRPr="00DC6DF9" w14:paraId="36FF14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D9D9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1802</w:t>
            </w:r>
          </w:p>
        </w:tc>
        <w:tc>
          <w:tcPr>
            <w:tcW w:w="1036" w:type="dxa"/>
            <w:tcBorders>
              <w:top w:val="nil"/>
              <w:left w:val="nil"/>
              <w:bottom w:val="single" w:sz="4" w:space="0" w:color="auto"/>
              <w:right w:val="single" w:sz="4" w:space="0" w:color="auto"/>
            </w:tcBorders>
            <w:shd w:val="clear" w:color="auto" w:fill="auto"/>
            <w:noWrap/>
            <w:vAlign w:val="center"/>
            <w:hideMark/>
          </w:tcPr>
          <w:p w14:paraId="5A7ACC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5874939000</w:t>
            </w:r>
          </w:p>
        </w:tc>
        <w:tc>
          <w:tcPr>
            <w:tcW w:w="1036" w:type="dxa"/>
            <w:tcBorders>
              <w:top w:val="nil"/>
              <w:left w:val="nil"/>
              <w:bottom w:val="single" w:sz="4" w:space="0" w:color="auto"/>
              <w:right w:val="single" w:sz="4" w:space="0" w:color="auto"/>
            </w:tcBorders>
            <w:shd w:val="clear" w:color="auto" w:fill="auto"/>
            <w:noWrap/>
            <w:vAlign w:val="center"/>
            <w:hideMark/>
          </w:tcPr>
          <w:p w14:paraId="340A47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35325089</w:t>
            </w:r>
          </w:p>
        </w:tc>
        <w:tc>
          <w:tcPr>
            <w:tcW w:w="160" w:type="dxa"/>
            <w:tcBorders>
              <w:top w:val="nil"/>
              <w:left w:val="nil"/>
              <w:bottom w:val="single" w:sz="4" w:space="0" w:color="auto"/>
              <w:right w:val="nil"/>
            </w:tcBorders>
            <w:vAlign w:val="center"/>
          </w:tcPr>
          <w:p w14:paraId="095AB7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502D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LJUBLJANA</w:t>
            </w:r>
          </w:p>
        </w:tc>
      </w:tr>
      <w:tr w:rsidR="00072A69" w:rsidRPr="00DC6DF9" w14:paraId="0FB4B2C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BA85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1803</w:t>
            </w:r>
          </w:p>
        </w:tc>
        <w:tc>
          <w:tcPr>
            <w:tcW w:w="1036" w:type="dxa"/>
            <w:tcBorders>
              <w:top w:val="nil"/>
              <w:left w:val="nil"/>
              <w:bottom w:val="single" w:sz="4" w:space="0" w:color="auto"/>
              <w:right w:val="single" w:sz="4" w:space="0" w:color="auto"/>
            </w:tcBorders>
            <w:shd w:val="clear" w:color="auto" w:fill="auto"/>
            <w:noWrap/>
            <w:vAlign w:val="center"/>
            <w:hideMark/>
          </w:tcPr>
          <w:p w14:paraId="78ABA2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5874947000</w:t>
            </w:r>
          </w:p>
        </w:tc>
        <w:tc>
          <w:tcPr>
            <w:tcW w:w="1036" w:type="dxa"/>
            <w:tcBorders>
              <w:top w:val="nil"/>
              <w:left w:val="nil"/>
              <w:bottom w:val="single" w:sz="4" w:space="0" w:color="auto"/>
              <w:right w:val="single" w:sz="4" w:space="0" w:color="auto"/>
            </w:tcBorders>
            <w:shd w:val="clear" w:color="auto" w:fill="auto"/>
            <w:noWrap/>
            <w:vAlign w:val="center"/>
            <w:hideMark/>
          </w:tcPr>
          <w:p w14:paraId="6B9714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97983853</w:t>
            </w:r>
          </w:p>
        </w:tc>
        <w:tc>
          <w:tcPr>
            <w:tcW w:w="160" w:type="dxa"/>
            <w:tcBorders>
              <w:top w:val="nil"/>
              <w:left w:val="nil"/>
              <w:bottom w:val="single" w:sz="4" w:space="0" w:color="auto"/>
              <w:right w:val="nil"/>
            </w:tcBorders>
            <w:vAlign w:val="center"/>
          </w:tcPr>
          <w:p w14:paraId="1E06C6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00ED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LJUTOMER</w:t>
            </w:r>
          </w:p>
        </w:tc>
      </w:tr>
      <w:tr w:rsidR="00072A69" w:rsidRPr="00DC6DF9" w14:paraId="07429D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3C5F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1804</w:t>
            </w:r>
          </w:p>
        </w:tc>
        <w:tc>
          <w:tcPr>
            <w:tcW w:w="1036" w:type="dxa"/>
            <w:tcBorders>
              <w:top w:val="nil"/>
              <w:left w:val="nil"/>
              <w:bottom w:val="single" w:sz="4" w:space="0" w:color="auto"/>
              <w:right w:val="single" w:sz="4" w:space="0" w:color="auto"/>
            </w:tcBorders>
            <w:shd w:val="clear" w:color="auto" w:fill="auto"/>
            <w:noWrap/>
            <w:vAlign w:val="center"/>
            <w:hideMark/>
          </w:tcPr>
          <w:p w14:paraId="01299D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5874955000</w:t>
            </w:r>
          </w:p>
        </w:tc>
        <w:tc>
          <w:tcPr>
            <w:tcW w:w="1036" w:type="dxa"/>
            <w:tcBorders>
              <w:top w:val="nil"/>
              <w:left w:val="nil"/>
              <w:bottom w:val="single" w:sz="4" w:space="0" w:color="auto"/>
              <w:right w:val="single" w:sz="4" w:space="0" w:color="auto"/>
            </w:tcBorders>
            <w:shd w:val="clear" w:color="auto" w:fill="auto"/>
            <w:noWrap/>
            <w:vAlign w:val="center"/>
            <w:hideMark/>
          </w:tcPr>
          <w:p w14:paraId="349D60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40911799</w:t>
            </w:r>
          </w:p>
        </w:tc>
        <w:tc>
          <w:tcPr>
            <w:tcW w:w="160" w:type="dxa"/>
            <w:tcBorders>
              <w:top w:val="nil"/>
              <w:left w:val="nil"/>
              <w:bottom w:val="single" w:sz="4" w:space="0" w:color="auto"/>
              <w:right w:val="nil"/>
            </w:tcBorders>
            <w:vAlign w:val="center"/>
          </w:tcPr>
          <w:p w14:paraId="1484287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D112E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LOGATEC</w:t>
            </w:r>
          </w:p>
        </w:tc>
      </w:tr>
      <w:tr w:rsidR="00072A69" w:rsidRPr="00DC6DF9" w14:paraId="6E56AA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9732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1805</w:t>
            </w:r>
          </w:p>
        </w:tc>
        <w:tc>
          <w:tcPr>
            <w:tcW w:w="1036" w:type="dxa"/>
            <w:tcBorders>
              <w:top w:val="nil"/>
              <w:left w:val="nil"/>
              <w:bottom w:val="single" w:sz="4" w:space="0" w:color="auto"/>
              <w:right w:val="single" w:sz="4" w:space="0" w:color="auto"/>
            </w:tcBorders>
            <w:shd w:val="clear" w:color="auto" w:fill="auto"/>
            <w:noWrap/>
            <w:vAlign w:val="center"/>
            <w:hideMark/>
          </w:tcPr>
          <w:p w14:paraId="408760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5886422000</w:t>
            </w:r>
          </w:p>
        </w:tc>
        <w:tc>
          <w:tcPr>
            <w:tcW w:w="1036" w:type="dxa"/>
            <w:tcBorders>
              <w:top w:val="nil"/>
              <w:left w:val="nil"/>
              <w:bottom w:val="single" w:sz="4" w:space="0" w:color="auto"/>
              <w:right w:val="single" w:sz="4" w:space="0" w:color="auto"/>
            </w:tcBorders>
            <w:shd w:val="clear" w:color="auto" w:fill="auto"/>
            <w:noWrap/>
            <w:vAlign w:val="center"/>
            <w:hideMark/>
          </w:tcPr>
          <w:p w14:paraId="249F3A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23328797</w:t>
            </w:r>
          </w:p>
        </w:tc>
        <w:tc>
          <w:tcPr>
            <w:tcW w:w="160" w:type="dxa"/>
            <w:tcBorders>
              <w:top w:val="nil"/>
              <w:left w:val="nil"/>
              <w:bottom w:val="single" w:sz="4" w:space="0" w:color="auto"/>
              <w:right w:val="nil"/>
            </w:tcBorders>
            <w:vAlign w:val="center"/>
          </w:tcPr>
          <w:p w14:paraId="0BA1CD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5008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MARIBOR</w:t>
            </w:r>
          </w:p>
        </w:tc>
      </w:tr>
      <w:tr w:rsidR="00072A69" w:rsidRPr="00DC6DF9" w14:paraId="34F2FBE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DE59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1806</w:t>
            </w:r>
          </w:p>
        </w:tc>
        <w:tc>
          <w:tcPr>
            <w:tcW w:w="1036" w:type="dxa"/>
            <w:tcBorders>
              <w:top w:val="nil"/>
              <w:left w:val="nil"/>
              <w:bottom w:val="single" w:sz="4" w:space="0" w:color="auto"/>
              <w:right w:val="single" w:sz="4" w:space="0" w:color="auto"/>
            </w:tcBorders>
            <w:shd w:val="clear" w:color="auto" w:fill="auto"/>
            <w:noWrap/>
            <w:vAlign w:val="center"/>
            <w:hideMark/>
          </w:tcPr>
          <w:p w14:paraId="26272A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5886759000</w:t>
            </w:r>
          </w:p>
        </w:tc>
        <w:tc>
          <w:tcPr>
            <w:tcW w:w="1036" w:type="dxa"/>
            <w:tcBorders>
              <w:top w:val="nil"/>
              <w:left w:val="nil"/>
              <w:bottom w:val="single" w:sz="4" w:space="0" w:color="auto"/>
              <w:right w:val="single" w:sz="4" w:space="0" w:color="auto"/>
            </w:tcBorders>
            <w:shd w:val="clear" w:color="auto" w:fill="auto"/>
            <w:noWrap/>
            <w:vAlign w:val="center"/>
            <w:hideMark/>
          </w:tcPr>
          <w:p w14:paraId="479BBF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73170658</w:t>
            </w:r>
          </w:p>
        </w:tc>
        <w:tc>
          <w:tcPr>
            <w:tcW w:w="160" w:type="dxa"/>
            <w:tcBorders>
              <w:top w:val="nil"/>
              <w:left w:val="nil"/>
              <w:bottom w:val="single" w:sz="4" w:space="0" w:color="auto"/>
              <w:right w:val="nil"/>
            </w:tcBorders>
            <w:vAlign w:val="center"/>
          </w:tcPr>
          <w:p w14:paraId="3D09B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FE61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METLIKA</w:t>
            </w:r>
          </w:p>
        </w:tc>
      </w:tr>
      <w:tr w:rsidR="00072A69" w:rsidRPr="00DC6DF9" w14:paraId="580785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B5C3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1807</w:t>
            </w:r>
          </w:p>
        </w:tc>
        <w:tc>
          <w:tcPr>
            <w:tcW w:w="1036" w:type="dxa"/>
            <w:tcBorders>
              <w:top w:val="nil"/>
              <w:left w:val="nil"/>
              <w:bottom w:val="single" w:sz="4" w:space="0" w:color="auto"/>
              <w:right w:val="single" w:sz="4" w:space="0" w:color="auto"/>
            </w:tcBorders>
            <w:shd w:val="clear" w:color="auto" w:fill="auto"/>
            <w:noWrap/>
            <w:vAlign w:val="center"/>
            <w:hideMark/>
          </w:tcPr>
          <w:p w14:paraId="201F9A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5886732000</w:t>
            </w:r>
          </w:p>
        </w:tc>
        <w:tc>
          <w:tcPr>
            <w:tcW w:w="1036" w:type="dxa"/>
            <w:tcBorders>
              <w:top w:val="nil"/>
              <w:left w:val="nil"/>
              <w:bottom w:val="single" w:sz="4" w:space="0" w:color="auto"/>
              <w:right w:val="single" w:sz="4" w:space="0" w:color="auto"/>
            </w:tcBorders>
            <w:shd w:val="clear" w:color="auto" w:fill="auto"/>
            <w:noWrap/>
            <w:vAlign w:val="center"/>
            <w:hideMark/>
          </w:tcPr>
          <w:p w14:paraId="7768FA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96327499</w:t>
            </w:r>
          </w:p>
        </w:tc>
        <w:tc>
          <w:tcPr>
            <w:tcW w:w="160" w:type="dxa"/>
            <w:tcBorders>
              <w:top w:val="nil"/>
              <w:left w:val="nil"/>
              <w:bottom w:val="single" w:sz="4" w:space="0" w:color="auto"/>
              <w:right w:val="nil"/>
            </w:tcBorders>
            <w:vAlign w:val="center"/>
          </w:tcPr>
          <w:p w14:paraId="116276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7491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MOZIRJE</w:t>
            </w:r>
          </w:p>
        </w:tc>
      </w:tr>
      <w:tr w:rsidR="00072A69" w:rsidRPr="00DC6DF9" w14:paraId="4C7557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8846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1808</w:t>
            </w:r>
          </w:p>
        </w:tc>
        <w:tc>
          <w:tcPr>
            <w:tcW w:w="1036" w:type="dxa"/>
            <w:tcBorders>
              <w:top w:val="nil"/>
              <w:left w:val="nil"/>
              <w:bottom w:val="single" w:sz="4" w:space="0" w:color="auto"/>
              <w:right w:val="single" w:sz="4" w:space="0" w:color="auto"/>
            </w:tcBorders>
            <w:shd w:val="clear" w:color="auto" w:fill="auto"/>
            <w:noWrap/>
            <w:vAlign w:val="center"/>
            <w:hideMark/>
          </w:tcPr>
          <w:p w14:paraId="0E15A7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5886724000</w:t>
            </w:r>
          </w:p>
        </w:tc>
        <w:tc>
          <w:tcPr>
            <w:tcW w:w="1036" w:type="dxa"/>
            <w:tcBorders>
              <w:top w:val="nil"/>
              <w:left w:val="nil"/>
              <w:bottom w:val="single" w:sz="4" w:space="0" w:color="auto"/>
              <w:right w:val="single" w:sz="4" w:space="0" w:color="auto"/>
            </w:tcBorders>
            <w:shd w:val="clear" w:color="auto" w:fill="auto"/>
            <w:noWrap/>
            <w:vAlign w:val="center"/>
            <w:hideMark/>
          </w:tcPr>
          <w:p w14:paraId="6FCB66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24052965</w:t>
            </w:r>
          </w:p>
        </w:tc>
        <w:tc>
          <w:tcPr>
            <w:tcW w:w="160" w:type="dxa"/>
            <w:tcBorders>
              <w:top w:val="nil"/>
              <w:left w:val="nil"/>
              <w:bottom w:val="single" w:sz="4" w:space="0" w:color="auto"/>
              <w:right w:val="nil"/>
            </w:tcBorders>
            <w:vAlign w:val="center"/>
          </w:tcPr>
          <w:p w14:paraId="692B3F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29C4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MURSKA SOBOTA</w:t>
            </w:r>
          </w:p>
        </w:tc>
      </w:tr>
      <w:tr w:rsidR="00072A69" w:rsidRPr="00DC6DF9" w14:paraId="3666E0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B140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1809</w:t>
            </w:r>
          </w:p>
        </w:tc>
        <w:tc>
          <w:tcPr>
            <w:tcW w:w="1036" w:type="dxa"/>
            <w:tcBorders>
              <w:top w:val="nil"/>
              <w:left w:val="nil"/>
              <w:bottom w:val="single" w:sz="4" w:space="0" w:color="auto"/>
              <w:right w:val="single" w:sz="4" w:space="0" w:color="auto"/>
            </w:tcBorders>
            <w:shd w:val="clear" w:color="auto" w:fill="auto"/>
            <w:noWrap/>
            <w:vAlign w:val="center"/>
            <w:hideMark/>
          </w:tcPr>
          <w:p w14:paraId="4706E7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5886716000</w:t>
            </w:r>
          </w:p>
        </w:tc>
        <w:tc>
          <w:tcPr>
            <w:tcW w:w="1036" w:type="dxa"/>
            <w:tcBorders>
              <w:top w:val="nil"/>
              <w:left w:val="nil"/>
              <w:bottom w:val="single" w:sz="4" w:space="0" w:color="auto"/>
              <w:right w:val="single" w:sz="4" w:space="0" w:color="auto"/>
            </w:tcBorders>
            <w:shd w:val="clear" w:color="auto" w:fill="auto"/>
            <w:noWrap/>
            <w:vAlign w:val="center"/>
            <w:hideMark/>
          </w:tcPr>
          <w:p w14:paraId="6EF65C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76002128</w:t>
            </w:r>
          </w:p>
        </w:tc>
        <w:tc>
          <w:tcPr>
            <w:tcW w:w="160" w:type="dxa"/>
            <w:tcBorders>
              <w:top w:val="nil"/>
              <w:left w:val="nil"/>
              <w:bottom w:val="single" w:sz="4" w:space="0" w:color="auto"/>
              <w:right w:val="nil"/>
            </w:tcBorders>
            <w:vAlign w:val="center"/>
          </w:tcPr>
          <w:p w14:paraId="7C432A6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BF06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NOVA GORICA</w:t>
            </w:r>
          </w:p>
        </w:tc>
      </w:tr>
      <w:tr w:rsidR="00072A69" w:rsidRPr="00DC6DF9" w14:paraId="704A358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B081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1810</w:t>
            </w:r>
          </w:p>
        </w:tc>
        <w:tc>
          <w:tcPr>
            <w:tcW w:w="1036" w:type="dxa"/>
            <w:tcBorders>
              <w:top w:val="nil"/>
              <w:left w:val="nil"/>
              <w:bottom w:val="single" w:sz="4" w:space="0" w:color="auto"/>
              <w:right w:val="single" w:sz="4" w:space="0" w:color="auto"/>
            </w:tcBorders>
            <w:shd w:val="clear" w:color="auto" w:fill="auto"/>
            <w:noWrap/>
            <w:vAlign w:val="center"/>
            <w:hideMark/>
          </w:tcPr>
          <w:p w14:paraId="4570FB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5886708000</w:t>
            </w:r>
          </w:p>
        </w:tc>
        <w:tc>
          <w:tcPr>
            <w:tcW w:w="1036" w:type="dxa"/>
            <w:tcBorders>
              <w:top w:val="nil"/>
              <w:left w:val="nil"/>
              <w:bottom w:val="single" w:sz="4" w:space="0" w:color="auto"/>
              <w:right w:val="single" w:sz="4" w:space="0" w:color="auto"/>
            </w:tcBorders>
            <w:shd w:val="clear" w:color="auto" w:fill="auto"/>
            <w:noWrap/>
            <w:vAlign w:val="center"/>
            <w:hideMark/>
          </w:tcPr>
          <w:p w14:paraId="1A5EF0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15328228</w:t>
            </w:r>
          </w:p>
        </w:tc>
        <w:tc>
          <w:tcPr>
            <w:tcW w:w="160" w:type="dxa"/>
            <w:tcBorders>
              <w:top w:val="nil"/>
              <w:left w:val="nil"/>
              <w:bottom w:val="single" w:sz="4" w:space="0" w:color="auto"/>
              <w:right w:val="nil"/>
            </w:tcBorders>
            <w:vAlign w:val="center"/>
          </w:tcPr>
          <w:p w14:paraId="4739DA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8682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NOVO MESTO</w:t>
            </w:r>
          </w:p>
        </w:tc>
      </w:tr>
      <w:tr w:rsidR="00072A69" w:rsidRPr="00DC6DF9" w14:paraId="1530A8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F571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1811</w:t>
            </w:r>
          </w:p>
        </w:tc>
        <w:tc>
          <w:tcPr>
            <w:tcW w:w="1036" w:type="dxa"/>
            <w:tcBorders>
              <w:top w:val="nil"/>
              <w:left w:val="nil"/>
              <w:bottom w:val="single" w:sz="4" w:space="0" w:color="auto"/>
              <w:right w:val="single" w:sz="4" w:space="0" w:color="auto"/>
            </w:tcBorders>
            <w:shd w:val="clear" w:color="auto" w:fill="auto"/>
            <w:noWrap/>
            <w:vAlign w:val="center"/>
            <w:hideMark/>
          </w:tcPr>
          <w:p w14:paraId="080F87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5886694000</w:t>
            </w:r>
          </w:p>
        </w:tc>
        <w:tc>
          <w:tcPr>
            <w:tcW w:w="1036" w:type="dxa"/>
            <w:tcBorders>
              <w:top w:val="nil"/>
              <w:left w:val="nil"/>
              <w:bottom w:val="single" w:sz="4" w:space="0" w:color="auto"/>
              <w:right w:val="single" w:sz="4" w:space="0" w:color="auto"/>
            </w:tcBorders>
            <w:shd w:val="clear" w:color="auto" w:fill="auto"/>
            <w:noWrap/>
            <w:vAlign w:val="center"/>
            <w:hideMark/>
          </w:tcPr>
          <w:p w14:paraId="56C571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61241202</w:t>
            </w:r>
          </w:p>
        </w:tc>
        <w:tc>
          <w:tcPr>
            <w:tcW w:w="160" w:type="dxa"/>
            <w:tcBorders>
              <w:top w:val="nil"/>
              <w:left w:val="nil"/>
              <w:bottom w:val="single" w:sz="4" w:space="0" w:color="auto"/>
              <w:right w:val="nil"/>
            </w:tcBorders>
            <w:vAlign w:val="center"/>
          </w:tcPr>
          <w:p w14:paraId="6F9F48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AC9D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ORMOŽ</w:t>
            </w:r>
          </w:p>
        </w:tc>
      </w:tr>
      <w:tr w:rsidR="00072A69" w:rsidRPr="00DC6DF9" w14:paraId="77DA6C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6AE13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1812</w:t>
            </w:r>
          </w:p>
        </w:tc>
        <w:tc>
          <w:tcPr>
            <w:tcW w:w="1036" w:type="dxa"/>
            <w:tcBorders>
              <w:top w:val="nil"/>
              <w:left w:val="nil"/>
              <w:bottom w:val="single" w:sz="4" w:space="0" w:color="auto"/>
              <w:right w:val="single" w:sz="4" w:space="0" w:color="auto"/>
            </w:tcBorders>
            <w:shd w:val="clear" w:color="auto" w:fill="auto"/>
            <w:noWrap/>
            <w:vAlign w:val="center"/>
            <w:hideMark/>
          </w:tcPr>
          <w:p w14:paraId="5F3FA8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5886414000</w:t>
            </w:r>
          </w:p>
        </w:tc>
        <w:tc>
          <w:tcPr>
            <w:tcW w:w="1036" w:type="dxa"/>
            <w:tcBorders>
              <w:top w:val="nil"/>
              <w:left w:val="nil"/>
              <w:bottom w:val="single" w:sz="4" w:space="0" w:color="auto"/>
              <w:right w:val="single" w:sz="4" w:space="0" w:color="auto"/>
            </w:tcBorders>
            <w:shd w:val="clear" w:color="auto" w:fill="auto"/>
            <w:noWrap/>
            <w:vAlign w:val="center"/>
            <w:hideMark/>
          </w:tcPr>
          <w:p w14:paraId="283F10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78585147</w:t>
            </w:r>
          </w:p>
        </w:tc>
        <w:tc>
          <w:tcPr>
            <w:tcW w:w="160" w:type="dxa"/>
            <w:tcBorders>
              <w:top w:val="nil"/>
              <w:left w:val="nil"/>
              <w:bottom w:val="single" w:sz="4" w:space="0" w:color="auto"/>
              <w:right w:val="nil"/>
            </w:tcBorders>
            <w:vAlign w:val="center"/>
          </w:tcPr>
          <w:p w14:paraId="1662A7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BF02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PESNICA</w:t>
            </w:r>
          </w:p>
        </w:tc>
      </w:tr>
      <w:tr w:rsidR="00072A69" w:rsidRPr="00DC6DF9" w14:paraId="40182F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8FAC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1813</w:t>
            </w:r>
          </w:p>
        </w:tc>
        <w:tc>
          <w:tcPr>
            <w:tcW w:w="1036" w:type="dxa"/>
            <w:tcBorders>
              <w:top w:val="nil"/>
              <w:left w:val="nil"/>
              <w:bottom w:val="single" w:sz="4" w:space="0" w:color="auto"/>
              <w:right w:val="single" w:sz="4" w:space="0" w:color="auto"/>
            </w:tcBorders>
            <w:shd w:val="clear" w:color="auto" w:fill="auto"/>
            <w:noWrap/>
            <w:vAlign w:val="center"/>
            <w:hideMark/>
          </w:tcPr>
          <w:p w14:paraId="4FD511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5886686000</w:t>
            </w:r>
          </w:p>
        </w:tc>
        <w:tc>
          <w:tcPr>
            <w:tcW w:w="1036" w:type="dxa"/>
            <w:tcBorders>
              <w:top w:val="nil"/>
              <w:left w:val="nil"/>
              <w:bottom w:val="single" w:sz="4" w:space="0" w:color="auto"/>
              <w:right w:val="single" w:sz="4" w:space="0" w:color="auto"/>
            </w:tcBorders>
            <w:shd w:val="clear" w:color="auto" w:fill="auto"/>
            <w:noWrap/>
            <w:vAlign w:val="center"/>
            <w:hideMark/>
          </w:tcPr>
          <w:p w14:paraId="3C15FC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16986784</w:t>
            </w:r>
          </w:p>
        </w:tc>
        <w:tc>
          <w:tcPr>
            <w:tcW w:w="160" w:type="dxa"/>
            <w:tcBorders>
              <w:top w:val="nil"/>
              <w:left w:val="nil"/>
              <w:bottom w:val="single" w:sz="4" w:space="0" w:color="auto"/>
              <w:right w:val="nil"/>
            </w:tcBorders>
            <w:vAlign w:val="center"/>
          </w:tcPr>
          <w:p w14:paraId="328515A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9D00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PIRAN</w:t>
            </w:r>
          </w:p>
        </w:tc>
      </w:tr>
      <w:tr w:rsidR="00072A69" w:rsidRPr="00DC6DF9" w14:paraId="71761E6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E1D7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1814</w:t>
            </w:r>
          </w:p>
        </w:tc>
        <w:tc>
          <w:tcPr>
            <w:tcW w:w="1036" w:type="dxa"/>
            <w:tcBorders>
              <w:top w:val="nil"/>
              <w:left w:val="nil"/>
              <w:bottom w:val="single" w:sz="4" w:space="0" w:color="auto"/>
              <w:right w:val="single" w:sz="4" w:space="0" w:color="auto"/>
            </w:tcBorders>
            <w:shd w:val="clear" w:color="auto" w:fill="auto"/>
            <w:noWrap/>
            <w:vAlign w:val="center"/>
            <w:hideMark/>
          </w:tcPr>
          <w:p w14:paraId="450C79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5886678000</w:t>
            </w:r>
          </w:p>
        </w:tc>
        <w:tc>
          <w:tcPr>
            <w:tcW w:w="1036" w:type="dxa"/>
            <w:tcBorders>
              <w:top w:val="nil"/>
              <w:left w:val="nil"/>
              <w:bottom w:val="single" w:sz="4" w:space="0" w:color="auto"/>
              <w:right w:val="single" w:sz="4" w:space="0" w:color="auto"/>
            </w:tcBorders>
            <w:shd w:val="clear" w:color="auto" w:fill="auto"/>
            <w:noWrap/>
            <w:vAlign w:val="center"/>
            <w:hideMark/>
          </w:tcPr>
          <w:p w14:paraId="0AA246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81782586</w:t>
            </w:r>
          </w:p>
        </w:tc>
        <w:tc>
          <w:tcPr>
            <w:tcW w:w="160" w:type="dxa"/>
            <w:tcBorders>
              <w:top w:val="nil"/>
              <w:left w:val="nil"/>
              <w:bottom w:val="single" w:sz="4" w:space="0" w:color="auto"/>
              <w:right w:val="nil"/>
            </w:tcBorders>
            <w:vAlign w:val="center"/>
          </w:tcPr>
          <w:p w14:paraId="0E699F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0D7C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POSTOJNA</w:t>
            </w:r>
          </w:p>
        </w:tc>
      </w:tr>
      <w:tr w:rsidR="00072A69" w:rsidRPr="00DC6DF9" w14:paraId="57525E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78DF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1815</w:t>
            </w:r>
          </w:p>
        </w:tc>
        <w:tc>
          <w:tcPr>
            <w:tcW w:w="1036" w:type="dxa"/>
            <w:tcBorders>
              <w:top w:val="nil"/>
              <w:left w:val="nil"/>
              <w:bottom w:val="single" w:sz="4" w:space="0" w:color="auto"/>
              <w:right w:val="single" w:sz="4" w:space="0" w:color="auto"/>
            </w:tcBorders>
            <w:shd w:val="clear" w:color="auto" w:fill="auto"/>
            <w:noWrap/>
            <w:vAlign w:val="center"/>
            <w:hideMark/>
          </w:tcPr>
          <w:p w14:paraId="471313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5886660000</w:t>
            </w:r>
          </w:p>
        </w:tc>
        <w:tc>
          <w:tcPr>
            <w:tcW w:w="1036" w:type="dxa"/>
            <w:tcBorders>
              <w:top w:val="nil"/>
              <w:left w:val="nil"/>
              <w:bottom w:val="single" w:sz="4" w:space="0" w:color="auto"/>
              <w:right w:val="single" w:sz="4" w:space="0" w:color="auto"/>
            </w:tcBorders>
            <w:shd w:val="clear" w:color="auto" w:fill="auto"/>
            <w:noWrap/>
            <w:vAlign w:val="center"/>
            <w:hideMark/>
          </w:tcPr>
          <w:p w14:paraId="41D0AA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98166158</w:t>
            </w:r>
          </w:p>
        </w:tc>
        <w:tc>
          <w:tcPr>
            <w:tcW w:w="160" w:type="dxa"/>
            <w:tcBorders>
              <w:top w:val="nil"/>
              <w:left w:val="nil"/>
              <w:bottom w:val="single" w:sz="4" w:space="0" w:color="auto"/>
              <w:right w:val="nil"/>
            </w:tcBorders>
            <w:vAlign w:val="center"/>
          </w:tcPr>
          <w:p w14:paraId="7D2BE8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8F94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PTUJ</w:t>
            </w:r>
          </w:p>
        </w:tc>
      </w:tr>
      <w:tr w:rsidR="00072A69" w:rsidRPr="00DC6DF9" w14:paraId="42B7E5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0923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1816</w:t>
            </w:r>
          </w:p>
        </w:tc>
        <w:tc>
          <w:tcPr>
            <w:tcW w:w="1036" w:type="dxa"/>
            <w:tcBorders>
              <w:top w:val="nil"/>
              <w:left w:val="nil"/>
              <w:bottom w:val="single" w:sz="4" w:space="0" w:color="auto"/>
              <w:right w:val="single" w:sz="4" w:space="0" w:color="auto"/>
            </w:tcBorders>
            <w:shd w:val="clear" w:color="auto" w:fill="auto"/>
            <w:noWrap/>
            <w:vAlign w:val="center"/>
            <w:hideMark/>
          </w:tcPr>
          <w:p w14:paraId="0F933C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5886651000</w:t>
            </w:r>
          </w:p>
        </w:tc>
        <w:tc>
          <w:tcPr>
            <w:tcW w:w="1036" w:type="dxa"/>
            <w:tcBorders>
              <w:top w:val="nil"/>
              <w:left w:val="nil"/>
              <w:bottom w:val="single" w:sz="4" w:space="0" w:color="auto"/>
              <w:right w:val="single" w:sz="4" w:space="0" w:color="auto"/>
            </w:tcBorders>
            <w:shd w:val="clear" w:color="auto" w:fill="auto"/>
            <w:noWrap/>
            <w:vAlign w:val="center"/>
            <w:hideMark/>
          </w:tcPr>
          <w:p w14:paraId="1E72FE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74984012</w:t>
            </w:r>
          </w:p>
        </w:tc>
        <w:tc>
          <w:tcPr>
            <w:tcW w:w="160" w:type="dxa"/>
            <w:tcBorders>
              <w:top w:val="nil"/>
              <w:left w:val="nil"/>
              <w:bottom w:val="single" w:sz="4" w:space="0" w:color="auto"/>
              <w:right w:val="nil"/>
            </w:tcBorders>
            <w:vAlign w:val="center"/>
          </w:tcPr>
          <w:p w14:paraId="3C9D87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6DA0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RADLJE OB DRAVI</w:t>
            </w:r>
          </w:p>
        </w:tc>
      </w:tr>
      <w:tr w:rsidR="00072A69" w:rsidRPr="00DC6DF9" w14:paraId="52D1344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F4F4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1817</w:t>
            </w:r>
          </w:p>
        </w:tc>
        <w:tc>
          <w:tcPr>
            <w:tcW w:w="1036" w:type="dxa"/>
            <w:tcBorders>
              <w:top w:val="nil"/>
              <w:left w:val="nil"/>
              <w:bottom w:val="single" w:sz="4" w:space="0" w:color="auto"/>
              <w:right w:val="single" w:sz="4" w:space="0" w:color="auto"/>
            </w:tcBorders>
            <w:shd w:val="clear" w:color="auto" w:fill="auto"/>
            <w:noWrap/>
            <w:vAlign w:val="center"/>
            <w:hideMark/>
          </w:tcPr>
          <w:p w14:paraId="0766F4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5886643000</w:t>
            </w:r>
          </w:p>
        </w:tc>
        <w:tc>
          <w:tcPr>
            <w:tcW w:w="1036" w:type="dxa"/>
            <w:tcBorders>
              <w:top w:val="nil"/>
              <w:left w:val="nil"/>
              <w:bottom w:val="single" w:sz="4" w:space="0" w:color="auto"/>
              <w:right w:val="single" w:sz="4" w:space="0" w:color="auto"/>
            </w:tcBorders>
            <w:shd w:val="clear" w:color="auto" w:fill="auto"/>
            <w:noWrap/>
            <w:vAlign w:val="center"/>
            <w:hideMark/>
          </w:tcPr>
          <w:p w14:paraId="13C1E9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57100071</w:t>
            </w:r>
          </w:p>
        </w:tc>
        <w:tc>
          <w:tcPr>
            <w:tcW w:w="160" w:type="dxa"/>
            <w:tcBorders>
              <w:top w:val="nil"/>
              <w:left w:val="nil"/>
              <w:bottom w:val="single" w:sz="4" w:space="0" w:color="auto"/>
              <w:right w:val="nil"/>
            </w:tcBorders>
            <w:vAlign w:val="center"/>
          </w:tcPr>
          <w:p w14:paraId="111C00A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52BA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RADOVLJICA</w:t>
            </w:r>
          </w:p>
        </w:tc>
      </w:tr>
      <w:tr w:rsidR="00072A69" w:rsidRPr="00DC6DF9" w14:paraId="1D0B3B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D04E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1818</w:t>
            </w:r>
          </w:p>
        </w:tc>
        <w:tc>
          <w:tcPr>
            <w:tcW w:w="1036" w:type="dxa"/>
            <w:tcBorders>
              <w:top w:val="nil"/>
              <w:left w:val="nil"/>
              <w:bottom w:val="single" w:sz="4" w:space="0" w:color="auto"/>
              <w:right w:val="single" w:sz="4" w:space="0" w:color="auto"/>
            </w:tcBorders>
            <w:shd w:val="clear" w:color="auto" w:fill="auto"/>
            <w:noWrap/>
            <w:vAlign w:val="center"/>
            <w:hideMark/>
          </w:tcPr>
          <w:p w14:paraId="58683C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5886635000</w:t>
            </w:r>
          </w:p>
        </w:tc>
        <w:tc>
          <w:tcPr>
            <w:tcW w:w="1036" w:type="dxa"/>
            <w:tcBorders>
              <w:top w:val="nil"/>
              <w:left w:val="nil"/>
              <w:bottom w:val="single" w:sz="4" w:space="0" w:color="auto"/>
              <w:right w:val="single" w:sz="4" w:space="0" w:color="auto"/>
            </w:tcBorders>
            <w:shd w:val="clear" w:color="auto" w:fill="auto"/>
            <w:noWrap/>
            <w:vAlign w:val="center"/>
            <w:hideMark/>
          </w:tcPr>
          <w:p w14:paraId="31DF8D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15491331</w:t>
            </w:r>
          </w:p>
        </w:tc>
        <w:tc>
          <w:tcPr>
            <w:tcW w:w="160" w:type="dxa"/>
            <w:tcBorders>
              <w:top w:val="nil"/>
              <w:left w:val="nil"/>
              <w:bottom w:val="single" w:sz="4" w:space="0" w:color="auto"/>
              <w:right w:val="nil"/>
            </w:tcBorders>
            <w:vAlign w:val="center"/>
          </w:tcPr>
          <w:p w14:paraId="6835F55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1105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RAVNE NA KOROŠKEM</w:t>
            </w:r>
          </w:p>
        </w:tc>
      </w:tr>
      <w:tr w:rsidR="00072A69" w:rsidRPr="00DC6DF9" w14:paraId="31C2AD2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30819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1819</w:t>
            </w:r>
          </w:p>
        </w:tc>
        <w:tc>
          <w:tcPr>
            <w:tcW w:w="1036" w:type="dxa"/>
            <w:tcBorders>
              <w:top w:val="nil"/>
              <w:left w:val="nil"/>
              <w:bottom w:val="single" w:sz="4" w:space="0" w:color="auto"/>
              <w:right w:val="single" w:sz="4" w:space="0" w:color="auto"/>
            </w:tcBorders>
            <w:shd w:val="clear" w:color="auto" w:fill="auto"/>
            <w:noWrap/>
            <w:vAlign w:val="center"/>
            <w:hideMark/>
          </w:tcPr>
          <w:p w14:paraId="78D726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5886627000</w:t>
            </w:r>
          </w:p>
        </w:tc>
        <w:tc>
          <w:tcPr>
            <w:tcW w:w="1036" w:type="dxa"/>
            <w:tcBorders>
              <w:top w:val="nil"/>
              <w:left w:val="nil"/>
              <w:bottom w:val="single" w:sz="4" w:space="0" w:color="auto"/>
              <w:right w:val="single" w:sz="4" w:space="0" w:color="auto"/>
            </w:tcBorders>
            <w:shd w:val="clear" w:color="auto" w:fill="auto"/>
            <w:noWrap/>
            <w:vAlign w:val="center"/>
            <w:hideMark/>
          </w:tcPr>
          <w:p w14:paraId="70DED7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93034148</w:t>
            </w:r>
          </w:p>
        </w:tc>
        <w:tc>
          <w:tcPr>
            <w:tcW w:w="160" w:type="dxa"/>
            <w:tcBorders>
              <w:top w:val="nil"/>
              <w:left w:val="nil"/>
              <w:bottom w:val="single" w:sz="4" w:space="0" w:color="auto"/>
              <w:right w:val="nil"/>
            </w:tcBorders>
            <w:vAlign w:val="center"/>
          </w:tcPr>
          <w:p w14:paraId="2FFB01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73BA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RIBNICA</w:t>
            </w:r>
          </w:p>
        </w:tc>
      </w:tr>
      <w:tr w:rsidR="00072A69" w:rsidRPr="00DC6DF9" w14:paraId="2C7072C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7A74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1820</w:t>
            </w:r>
          </w:p>
        </w:tc>
        <w:tc>
          <w:tcPr>
            <w:tcW w:w="1036" w:type="dxa"/>
            <w:tcBorders>
              <w:top w:val="nil"/>
              <w:left w:val="nil"/>
              <w:bottom w:val="single" w:sz="4" w:space="0" w:color="auto"/>
              <w:right w:val="single" w:sz="4" w:space="0" w:color="auto"/>
            </w:tcBorders>
            <w:shd w:val="clear" w:color="auto" w:fill="auto"/>
            <w:noWrap/>
            <w:vAlign w:val="center"/>
            <w:hideMark/>
          </w:tcPr>
          <w:p w14:paraId="38C80A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5886406000</w:t>
            </w:r>
          </w:p>
        </w:tc>
        <w:tc>
          <w:tcPr>
            <w:tcW w:w="1036" w:type="dxa"/>
            <w:tcBorders>
              <w:top w:val="nil"/>
              <w:left w:val="nil"/>
              <w:bottom w:val="single" w:sz="4" w:space="0" w:color="auto"/>
              <w:right w:val="single" w:sz="4" w:space="0" w:color="auto"/>
            </w:tcBorders>
            <w:shd w:val="clear" w:color="auto" w:fill="auto"/>
            <w:vAlign w:val="center"/>
            <w:hideMark/>
          </w:tcPr>
          <w:p w14:paraId="6D5867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28876946</w:t>
            </w:r>
          </w:p>
        </w:tc>
        <w:tc>
          <w:tcPr>
            <w:tcW w:w="160" w:type="dxa"/>
            <w:tcBorders>
              <w:top w:val="nil"/>
              <w:left w:val="nil"/>
              <w:bottom w:val="single" w:sz="4" w:space="0" w:color="auto"/>
              <w:right w:val="nil"/>
            </w:tcBorders>
            <w:vAlign w:val="center"/>
          </w:tcPr>
          <w:p w14:paraId="737B79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62F6AD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RUŠE</w:t>
            </w:r>
          </w:p>
        </w:tc>
      </w:tr>
      <w:tr w:rsidR="00072A69" w:rsidRPr="00DC6DF9" w14:paraId="38E0846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EFFB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1821</w:t>
            </w:r>
          </w:p>
        </w:tc>
        <w:tc>
          <w:tcPr>
            <w:tcW w:w="1036" w:type="dxa"/>
            <w:tcBorders>
              <w:top w:val="nil"/>
              <w:left w:val="nil"/>
              <w:bottom w:val="single" w:sz="4" w:space="0" w:color="auto"/>
              <w:right w:val="single" w:sz="4" w:space="0" w:color="auto"/>
            </w:tcBorders>
            <w:shd w:val="clear" w:color="auto" w:fill="auto"/>
            <w:noWrap/>
            <w:vAlign w:val="center"/>
            <w:hideMark/>
          </w:tcPr>
          <w:p w14:paraId="41A2B5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5886619000</w:t>
            </w:r>
          </w:p>
        </w:tc>
        <w:tc>
          <w:tcPr>
            <w:tcW w:w="1036" w:type="dxa"/>
            <w:tcBorders>
              <w:top w:val="nil"/>
              <w:left w:val="nil"/>
              <w:bottom w:val="single" w:sz="4" w:space="0" w:color="auto"/>
              <w:right w:val="single" w:sz="4" w:space="0" w:color="auto"/>
            </w:tcBorders>
            <w:shd w:val="clear" w:color="auto" w:fill="auto"/>
            <w:noWrap/>
            <w:vAlign w:val="center"/>
            <w:hideMark/>
          </w:tcPr>
          <w:p w14:paraId="1A0CAB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58994742</w:t>
            </w:r>
          </w:p>
        </w:tc>
        <w:tc>
          <w:tcPr>
            <w:tcW w:w="160" w:type="dxa"/>
            <w:tcBorders>
              <w:top w:val="nil"/>
              <w:left w:val="nil"/>
              <w:bottom w:val="single" w:sz="4" w:space="0" w:color="auto"/>
              <w:right w:val="nil"/>
            </w:tcBorders>
            <w:vAlign w:val="center"/>
          </w:tcPr>
          <w:p w14:paraId="7327C35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7EDC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SEVNICA</w:t>
            </w:r>
          </w:p>
        </w:tc>
      </w:tr>
      <w:tr w:rsidR="00072A69" w:rsidRPr="00DC6DF9" w14:paraId="16F5DD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4492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1822</w:t>
            </w:r>
          </w:p>
        </w:tc>
        <w:tc>
          <w:tcPr>
            <w:tcW w:w="1036" w:type="dxa"/>
            <w:tcBorders>
              <w:top w:val="nil"/>
              <w:left w:val="nil"/>
              <w:bottom w:val="single" w:sz="4" w:space="0" w:color="auto"/>
              <w:right w:val="single" w:sz="4" w:space="0" w:color="auto"/>
            </w:tcBorders>
            <w:shd w:val="clear" w:color="auto" w:fill="auto"/>
            <w:noWrap/>
            <w:vAlign w:val="center"/>
            <w:hideMark/>
          </w:tcPr>
          <w:p w14:paraId="19C46A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5886597000</w:t>
            </w:r>
          </w:p>
        </w:tc>
        <w:tc>
          <w:tcPr>
            <w:tcW w:w="1036" w:type="dxa"/>
            <w:tcBorders>
              <w:top w:val="nil"/>
              <w:left w:val="nil"/>
              <w:bottom w:val="single" w:sz="4" w:space="0" w:color="auto"/>
              <w:right w:val="single" w:sz="4" w:space="0" w:color="auto"/>
            </w:tcBorders>
            <w:shd w:val="clear" w:color="auto" w:fill="auto"/>
            <w:noWrap/>
            <w:vAlign w:val="center"/>
            <w:hideMark/>
          </w:tcPr>
          <w:p w14:paraId="1F4328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89030010</w:t>
            </w:r>
          </w:p>
        </w:tc>
        <w:tc>
          <w:tcPr>
            <w:tcW w:w="160" w:type="dxa"/>
            <w:tcBorders>
              <w:top w:val="nil"/>
              <w:left w:val="nil"/>
              <w:bottom w:val="single" w:sz="4" w:space="0" w:color="auto"/>
              <w:right w:val="nil"/>
            </w:tcBorders>
            <w:vAlign w:val="center"/>
          </w:tcPr>
          <w:p w14:paraId="6E7E15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1176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SEŽANA</w:t>
            </w:r>
          </w:p>
        </w:tc>
      </w:tr>
      <w:tr w:rsidR="00072A69" w:rsidRPr="00DC6DF9" w14:paraId="185FA9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3854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1823</w:t>
            </w:r>
          </w:p>
        </w:tc>
        <w:tc>
          <w:tcPr>
            <w:tcW w:w="1036" w:type="dxa"/>
            <w:tcBorders>
              <w:top w:val="nil"/>
              <w:left w:val="nil"/>
              <w:bottom w:val="single" w:sz="4" w:space="0" w:color="auto"/>
              <w:right w:val="single" w:sz="4" w:space="0" w:color="auto"/>
            </w:tcBorders>
            <w:shd w:val="clear" w:color="auto" w:fill="auto"/>
            <w:noWrap/>
            <w:vAlign w:val="center"/>
            <w:hideMark/>
          </w:tcPr>
          <w:p w14:paraId="18FD58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5886589000</w:t>
            </w:r>
          </w:p>
        </w:tc>
        <w:tc>
          <w:tcPr>
            <w:tcW w:w="1036" w:type="dxa"/>
            <w:tcBorders>
              <w:top w:val="nil"/>
              <w:left w:val="nil"/>
              <w:bottom w:val="single" w:sz="4" w:space="0" w:color="auto"/>
              <w:right w:val="single" w:sz="4" w:space="0" w:color="auto"/>
            </w:tcBorders>
            <w:shd w:val="clear" w:color="auto" w:fill="auto"/>
            <w:noWrap/>
            <w:vAlign w:val="center"/>
            <w:hideMark/>
          </w:tcPr>
          <w:p w14:paraId="4A3C08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89565649</w:t>
            </w:r>
          </w:p>
        </w:tc>
        <w:tc>
          <w:tcPr>
            <w:tcW w:w="160" w:type="dxa"/>
            <w:tcBorders>
              <w:top w:val="nil"/>
              <w:left w:val="nil"/>
              <w:bottom w:val="single" w:sz="4" w:space="0" w:color="auto"/>
              <w:right w:val="nil"/>
            </w:tcBorders>
            <w:vAlign w:val="center"/>
          </w:tcPr>
          <w:p w14:paraId="7C171FF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32A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SLOVENJ GRADEC</w:t>
            </w:r>
          </w:p>
        </w:tc>
      </w:tr>
      <w:tr w:rsidR="00072A69" w:rsidRPr="00DC6DF9" w14:paraId="575166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EBCF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1824</w:t>
            </w:r>
          </w:p>
        </w:tc>
        <w:tc>
          <w:tcPr>
            <w:tcW w:w="1036" w:type="dxa"/>
            <w:tcBorders>
              <w:top w:val="nil"/>
              <w:left w:val="nil"/>
              <w:bottom w:val="single" w:sz="4" w:space="0" w:color="auto"/>
              <w:right w:val="single" w:sz="4" w:space="0" w:color="auto"/>
            </w:tcBorders>
            <w:shd w:val="clear" w:color="auto" w:fill="auto"/>
            <w:noWrap/>
            <w:vAlign w:val="center"/>
            <w:hideMark/>
          </w:tcPr>
          <w:p w14:paraId="799426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5886562000</w:t>
            </w:r>
          </w:p>
        </w:tc>
        <w:tc>
          <w:tcPr>
            <w:tcW w:w="1036" w:type="dxa"/>
            <w:tcBorders>
              <w:top w:val="nil"/>
              <w:left w:val="nil"/>
              <w:bottom w:val="single" w:sz="4" w:space="0" w:color="auto"/>
              <w:right w:val="single" w:sz="4" w:space="0" w:color="auto"/>
            </w:tcBorders>
            <w:shd w:val="clear" w:color="auto" w:fill="auto"/>
            <w:noWrap/>
            <w:vAlign w:val="center"/>
            <w:hideMark/>
          </w:tcPr>
          <w:p w14:paraId="439750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36456128</w:t>
            </w:r>
          </w:p>
        </w:tc>
        <w:tc>
          <w:tcPr>
            <w:tcW w:w="160" w:type="dxa"/>
            <w:tcBorders>
              <w:top w:val="nil"/>
              <w:left w:val="nil"/>
              <w:bottom w:val="single" w:sz="4" w:space="0" w:color="auto"/>
              <w:right w:val="nil"/>
            </w:tcBorders>
            <w:vAlign w:val="center"/>
          </w:tcPr>
          <w:p w14:paraId="1EF82CB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1D870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SLOVENSKA BISTRICA</w:t>
            </w:r>
          </w:p>
        </w:tc>
      </w:tr>
      <w:tr w:rsidR="00072A69" w:rsidRPr="00DC6DF9" w14:paraId="1E8EA4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D3E4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1825</w:t>
            </w:r>
          </w:p>
        </w:tc>
        <w:tc>
          <w:tcPr>
            <w:tcW w:w="1036" w:type="dxa"/>
            <w:tcBorders>
              <w:top w:val="nil"/>
              <w:left w:val="nil"/>
              <w:bottom w:val="single" w:sz="4" w:space="0" w:color="auto"/>
              <w:right w:val="single" w:sz="4" w:space="0" w:color="auto"/>
            </w:tcBorders>
            <w:shd w:val="clear" w:color="auto" w:fill="auto"/>
            <w:noWrap/>
            <w:vAlign w:val="center"/>
            <w:hideMark/>
          </w:tcPr>
          <w:p w14:paraId="23F003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5886554000</w:t>
            </w:r>
          </w:p>
        </w:tc>
        <w:tc>
          <w:tcPr>
            <w:tcW w:w="1036" w:type="dxa"/>
            <w:tcBorders>
              <w:top w:val="nil"/>
              <w:left w:val="nil"/>
              <w:bottom w:val="single" w:sz="4" w:space="0" w:color="auto"/>
              <w:right w:val="single" w:sz="4" w:space="0" w:color="auto"/>
            </w:tcBorders>
            <w:shd w:val="clear" w:color="auto" w:fill="auto"/>
            <w:noWrap/>
            <w:vAlign w:val="center"/>
            <w:hideMark/>
          </w:tcPr>
          <w:p w14:paraId="49B378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98034715</w:t>
            </w:r>
          </w:p>
        </w:tc>
        <w:tc>
          <w:tcPr>
            <w:tcW w:w="160" w:type="dxa"/>
            <w:tcBorders>
              <w:top w:val="nil"/>
              <w:left w:val="nil"/>
              <w:bottom w:val="single" w:sz="4" w:space="0" w:color="auto"/>
              <w:right w:val="nil"/>
            </w:tcBorders>
            <w:vAlign w:val="center"/>
          </w:tcPr>
          <w:p w14:paraId="051342C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F4C0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SLOVENSKE KONJICE</w:t>
            </w:r>
          </w:p>
        </w:tc>
      </w:tr>
      <w:tr w:rsidR="00072A69" w:rsidRPr="00DC6DF9" w14:paraId="0CCD4C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3C20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1826</w:t>
            </w:r>
          </w:p>
        </w:tc>
        <w:tc>
          <w:tcPr>
            <w:tcW w:w="1036" w:type="dxa"/>
            <w:tcBorders>
              <w:top w:val="nil"/>
              <w:left w:val="nil"/>
              <w:bottom w:val="single" w:sz="4" w:space="0" w:color="auto"/>
              <w:right w:val="single" w:sz="4" w:space="0" w:color="auto"/>
            </w:tcBorders>
            <w:shd w:val="clear" w:color="auto" w:fill="auto"/>
            <w:noWrap/>
            <w:vAlign w:val="center"/>
            <w:hideMark/>
          </w:tcPr>
          <w:p w14:paraId="5AB66D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5886546000</w:t>
            </w:r>
          </w:p>
        </w:tc>
        <w:tc>
          <w:tcPr>
            <w:tcW w:w="1036" w:type="dxa"/>
            <w:tcBorders>
              <w:top w:val="nil"/>
              <w:left w:val="nil"/>
              <w:bottom w:val="single" w:sz="4" w:space="0" w:color="auto"/>
              <w:right w:val="single" w:sz="4" w:space="0" w:color="auto"/>
            </w:tcBorders>
            <w:shd w:val="clear" w:color="auto" w:fill="auto"/>
            <w:noWrap/>
            <w:vAlign w:val="center"/>
            <w:hideMark/>
          </w:tcPr>
          <w:p w14:paraId="2387C3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43837522</w:t>
            </w:r>
          </w:p>
        </w:tc>
        <w:tc>
          <w:tcPr>
            <w:tcW w:w="160" w:type="dxa"/>
            <w:tcBorders>
              <w:top w:val="nil"/>
              <w:left w:val="nil"/>
              <w:bottom w:val="single" w:sz="4" w:space="0" w:color="auto"/>
              <w:right w:val="nil"/>
            </w:tcBorders>
            <w:vAlign w:val="center"/>
          </w:tcPr>
          <w:p w14:paraId="2A5934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2EC8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ŠENTJUR PRI CELJU</w:t>
            </w:r>
          </w:p>
        </w:tc>
      </w:tr>
      <w:tr w:rsidR="00072A69" w:rsidRPr="00DC6DF9" w14:paraId="7DC993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0571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1827</w:t>
            </w:r>
          </w:p>
        </w:tc>
        <w:tc>
          <w:tcPr>
            <w:tcW w:w="1036" w:type="dxa"/>
            <w:tcBorders>
              <w:top w:val="nil"/>
              <w:left w:val="nil"/>
              <w:bottom w:val="single" w:sz="4" w:space="0" w:color="auto"/>
              <w:right w:val="single" w:sz="4" w:space="0" w:color="auto"/>
            </w:tcBorders>
            <w:shd w:val="clear" w:color="auto" w:fill="auto"/>
            <w:noWrap/>
            <w:vAlign w:val="center"/>
            <w:hideMark/>
          </w:tcPr>
          <w:p w14:paraId="5ACF1F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5886538000</w:t>
            </w:r>
          </w:p>
        </w:tc>
        <w:tc>
          <w:tcPr>
            <w:tcW w:w="1036" w:type="dxa"/>
            <w:tcBorders>
              <w:top w:val="nil"/>
              <w:left w:val="nil"/>
              <w:bottom w:val="single" w:sz="4" w:space="0" w:color="auto"/>
              <w:right w:val="single" w:sz="4" w:space="0" w:color="auto"/>
            </w:tcBorders>
            <w:shd w:val="clear" w:color="auto" w:fill="auto"/>
            <w:noWrap/>
            <w:vAlign w:val="center"/>
            <w:hideMark/>
          </w:tcPr>
          <w:p w14:paraId="56E8C2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48700789</w:t>
            </w:r>
          </w:p>
        </w:tc>
        <w:tc>
          <w:tcPr>
            <w:tcW w:w="160" w:type="dxa"/>
            <w:tcBorders>
              <w:top w:val="nil"/>
              <w:left w:val="nil"/>
              <w:bottom w:val="single" w:sz="4" w:space="0" w:color="auto"/>
              <w:right w:val="nil"/>
            </w:tcBorders>
            <w:vAlign w:val="center"/>
          </w:tcPr>
          <w:p w14:paraId="3A8C89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82B7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ŠKOFJA LOKA</w:t>
            </w:r>
          </w:p>
        </w:tc>
      </w:tr>
      <w:tr w:rsidR="00072A69" w:rsidRPr="00DC6DF9" w14:paraId="38E28B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33A8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1828</w:t>
            </w:r>
          </w:p>
        </w:tc>
        <w:tc>
          <w:tcPr>
            <w:tcW w:w="1036" w:type="dxa"/>
            <w:tcBorders>
              <w:top w:val="nil"/>
              <w:left w:val="nil"/>
              <w:bottom w:val="single" w:sz="4" w:space="0" w:color="auto"/>
              <w:right w:val="single" w:sz="4" w:space="0" w:color="auto"/>
            </w:tcBorders>
            <w:shd w:val="clear" w:color="auto" w:fill="auto"/>
            <w:noWrap/>
            <w:vAlign w:val="center"/>
            <w:hideMark/>
          </w:tcPr>
          <w:p w14:paraId="0DD3D6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5886520000</w:t>
            </w:r>
          </w:p>
        </w:tc>
        <w:tc>
          <w:tcPr>
            <w:tcW w:w="1036" w:type="dxa"/>
            <w:tcBorders>
              <w:top w:val="nil"/>
              <w:left w:val="nil"/>
              <w:bottom w:val="single" w:sz="4" w:space="0" w:color="auto"/>
              <w:right w:val="single" w:sz="4" w:space="0" w:color="auto"/>
            </w:tcBorders>
            <w:shd w:val="clear" w:color="auto" w:fill="auto"/>
            <w:noWrap/>
            <w:vAlign w:val="center"/>
            <w:hideMark/>
          </w:tcPr>
          <w:p w14:paraId="12E40E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54166268</w:t>
            </w:r>
          </w:p>
        </w:tc>
        <w:tc>
          <w:tcPr>
            <w:tcW w:w="160" w:type="dxa"/>
            <w:tcBorders>
              <w:top w:val="nil"/>
              <w:left w:val="nil"/>
              <w:bottom w:val="single" w:sz="4" w:space="0" w:color="auto"/>
              <w:right w:val="nil"/>
            </w:tcBorders>
            <w:vAlign w:val="center"/>
          </w:tcPr>
          <w:p w14:paraId="5210F02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D9E9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ŠMARJE PRI JELŠAH</w:t>
            </w:r>
          </w:p>
        </w:tc>
      </w:tr>
      <w:tr w:rsidR="00072A69" w:rsidRPr="00DC6DF9" w14:paraId="6723D1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0841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1829</w:t>
            </w:r>
          </w:p>
        </w:tc>
        <w:tc>
          <w:tcPr>
            <w:tcW w:w="1036" w:type="dxa"/>
            <w:tcBorders>
              <w:top w:val="nil"/>
              <w:left w:val="nil"/>
              <w:bottom w:val="single" w:sz="4" w:space="0" w:color="auto"/>
              <w:right w:val="single" w:sz="4" w:space="0" w:color="auto"/>
            </w:tcBorders>
            <w:shd w:val="clear" w:color="auto" w:fill="auto"/>
            <w:noWrap/>
            <w:vAlign w:val="center"/>
            <w:hideMark/>
          </w:tcPr>
          <w:p w14:paraId="65C4B9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5886511000</w:t>
            </w:r>
          </w:p>
        </w:tc>
        <w:tc>
          <w:tcPr>
            <w:tcW w:w="1036" w:type="dxa"/>
            <w:tcBorders>
              <w:top w:val="nil"/>
              <w:left w:val="nil"/>
              <w:bottom w:val="single" w:sz="4" w:space="0" w:color="auto"/>
              <w:right w:val="single" w:sz="4" w:space="0" w:color="auto"/>
            </w:tcBorders>
            <w:shd w:val="clear" w:color="auto" w:fill="auto"/>
            <w:noWrap/>
            <w:vAlign w:val="center"/>
            <w:hideMark/>
          </w:tcPr>
          <w:p w14:paraId="472002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45214271</w:t>
            </w:r>
          </w:p>
        </w:tc>
        <w:tc>
          <w:tcPr>
            <w:tcW w:w="160" w:type="dxa"/>
            <w:tcBorders>
              <w:top w:val="nil"/>
              <w:left w:val="nil"/>
              <w:bottom w:val="single" w:sz="4" w:space="0" w:color="auto"/>
              <w:right w:val="nil"/>
            </w:tcBorders>
            <w:vAlign w:val="center"/>
          </w:tcPr>
          <w:p w14:paraId="320C5E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9661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TOLMIN</w:t>
            </w:r>
          </w:p>
        </w:tc>
      </w:tr>
      <w:tr w:rsidR="00072A69" w:rsidRPr="00DC6DF9" w14:paraId="1A4AA0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3101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1830</w:t>
            </w:r>
          </w:p>
        </w:tc>
        <w:tc>
          <w:tcPr>
            <w:tcW w:w="1036" w:type="dxa"/>
            <w:tcBorders>
              <w:top w:val="nil"/>
              <w:left w:val="nil"/>
              <w:bottom w:val="single" w:sz="4" w:space="0" w:color="auto"/>
              <w:right w:val="single" w:sz="4" w:space="0" w:color="auto"/>
            </w:tcBorders>
            <w:shd w:val="clear" w:color="auto" w:fill="auto"/>
            <w:noWrap/>
            <w:vAlign w:val="center"/>
            <w:hideMark/>
          </w:tcPr>
          <w:p w14:paraId="471038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5886503000</w:t>
            </w:r>
          </w:p>
        </w:tc>
        <w:tc>
          <w:tcPr>
            <w:tcW w:w="1036" w:type="dxa"/>
            <w:tcBorders>
              <w:top w:val="nil"/>
              <w:left w:val="nil"/>
              <w:bottom w:val="single" w:sz="4" w:space="0" w:color="auto"/>
              <w:right w:val="single" w:sz="4" w:space="0" w:color="auto"/>
            </w:tcBorders>
            <w:shd w:val="clear" w:color="auto" w:fill="auto"/>
            <w:noWrap/>
            <w:vAlign w:val="center"/>
            <w:hideMark/>
          </w:tcPr>
          <w:p w14:paraId="5457E7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14739798</w:t>
            </w:r>
          </w:p>
        </w:tc>
        <w:tc>
          <w:tcPr>
            <w:tcW w:w="160" w:type="dxa"/>
            <w:tcBorders>
              <w:top w:val="nil"/>
              <w:left w:val="nil"/>
              <w:bottom w:val="single" w:sz="4" w:space="0" w:color="auto"/>
              <w:right w:val="nil"/>
            </w:tcBorders>
            <w:vAlign w:val="center"/>
          </w:tcPr>
          <w:p w14:paraId="4B48A5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F4E6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TRBOVLJE</w:t>
            </w:r>
          </w:p>
        </w:tc>
      </w:tr>
      <w:tr w:rsidR="00072A69" w:rsidRPr="00DC6DF9" w14:paraId="50C926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F1C4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1831</w:t>
            </w:r>
          </w:p>
        </w:tc>
        <w:tc>
          <w:tcPr>
            <w:tcW w:w="1036" w:type="dxa"/>
            <w:tcBorders>
              <w:top w:val="nil"/>
              <w:left w:val="nil"/>
              <w:bottom w:val="single" w:sz="4" w:space="0" w:color="auto"/>
              <w:right w:val="single" w:sz="4" w:space="0" w:color="auto"/>
            </w:tcBorders>
            <w:shd w:val="clear" w:color="auto" w:fill="auto"/>
            <w:noWrap/>
            <w:vAlign w:val="center"/>
            <w:hideMark/>
          </w:tcPr>
          <w:p w14:paraId="4507D2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5886490000</w:t>
            </w:r>
          </w:p>
        </w:tc>
        <w:tc>
          <w:tcPr>
            <w:tcW w:w="1036" w:type="dxa"/>
            <w:tcBorders>
              <w:top w:val="nil"/>
              <w:left w:val="nil"/>
              <w:bottom w:val="single" w:sz="4" w:space="0" w:color="auto"/>
              <w:right w:val="single" w:sz="4" w:space="0" w:color="auto"/>
            </w:tcBorders>
            <w:shd w:val="clear" w:color="auto" w:fill="auto"/>
            <w:noWrap/>
            <w:vAlign w:val="center"/>
            <w:hideMark/>
          </w:tcPr>
          <w:p w14:paraId="581D65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50471996</w:t>
            </w:r>
          </w:p>
        </w:tc>
        <w:tc>
          <w:tcPr>
            <w:tcW w:w="160" w:type="dxa"/>
            <w:tcBorders>
              <w:top w:val="nil"/>
              <w:left w:val="nil"/>
              <w:bottom w:val="single" w:sz="4" w:space="0" w:color="auto"/>
              <w:right w:val="nil"/>
            </w:tcBorders>
            <w:vAlign w:val="center"/>
          </w:tcPr>
          <w:p w14:paraId="7AD11F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A29F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TREBNJE</w:t>
            </w:r>
          </w:p>
        </w:tc>
      </w:tr>
      <w:tr w:rsidR="00072A69" w:rsidRPr="00DC6DF9" w14:paraId="7BC502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E91D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1832</w:t>
            </w:r>
          </w:p>
        </w:tc>
        <w:tc>
          <w:tcPr>
            <w:tcW w:w="1036" w:type="dxa"/>
            <w:tcBorders>
              <w:top w:val="nil"/>
              <w:left w:val="nil"/>
              <w:bottom w:val="single" w:sz="4" w:space="0" w:color="auto"/>
              <w:right w:val="single" w:sz="4" w:space="0" w:color="auto"/>
            </w:tcBorders>
            <w:shd w:val="clear" w:color="auto" w:fill="auto"/>
            <w:noWrap/>
            <w:vAlign w:val="center"/>
            <w:hideMark/>
          </w:tcPr>
          <w:p w14:paraId="3D192D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5886481000</w:t>
            </w:r>
          </w:p>
        </w:tc>
        <w:tc>
          <w:tcPr>
            <w:tcW w:w="1036" w:type="dxa"/>
            <w:tcBorders>
              <w:top w:val="nil"/>
              <w:left w:val="nil"/>
              <w:bottom w:val="single" w:sz="4" w:space="0" w:color="auto"/>
              <w:right w:val="single" w:sz="4" w:space="0" w:color="auto"/>
            </w:tcBorders>
            <w:shd w:val="clear" w:color="auto" w:fill="auto"/>
            <w:noWrap/>
            <w:vAlign w:val="center"/>
            <w:hideMark/>
          </w:tcPr>
          <w:p w14:paraId="09EA5C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94057532</w:t>
            </w:r>
          </w:p>
        </w:tc>
        <w:tc>
          <w:tcPr>
            <w:tcW w:w="160" w:type="dxa"/>
            <w:tcBorders>
              <w:top w:val="nil"/>
              <w:left w:val="nil"/>
              <w:bottom w:val="single" w:sz="4" w:space="0" w:color="auto"/>
              <w:right w:val="nil"/>
            </w:tcBorders>
            <w:vAlign w:val="center"/>
          </w:tcPr>
          <w:p w14:paraId="7EE889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EE08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TRŽIČ</w:t>
            </w:r>
          </w:p>
        </w:tc>
      </w:tr>
      <w:tr w:rsidR="00072A69" w:rsidRPr="00DC6DF9" w14:paraId="47BEC56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F253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1833</w:t>
            </w:r>
          </w:p>
        </w:tc>
        <w:tc>
          <w:tcPr>
            <w:tcW w:w="1036" w:type="dxa"/>
            <w:tcBorders>
              <w:top w:val="nil"/>
              <w:left w:val="nil"/>
              <w:bottom w:val="single" w:sz="4" w:space="0" w:color="auto"/>
              <w:right w:val="single" w:sz="4" w:space="0" w:color="auto"/>
            </w:tcBorders>
            <w:shd w:val="clear" w:color="auto" w:fill="auto"/>
            <w:noWrap/>
            <w:vAlign w:val="center"/>
            <w:hideMark/>
          </w:tcPr>
          <w:p w14:paraId="1E8830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5886473000</w:t>
            </w:r>
          </w:p>
        </w:tc>
        <w:tc>
          <w:tcPr>
            <w:tcW w:w="1036" w:type="dxa"/>
            <w:tcBorders>
              <w:top w:val="nil"/>
              <w:left w:val="nil"/>
              <w:bottom w:val="single" w:sz="4" w:space="0" w:color="auto"/>
              <w:right w:val="single" w:sz="4" w:space="0" w:color="auto"/>
            </w:tcBorders>
            <w:shd w:val="clear" w:color="auto" w:fill="auto"/>
            <w:noWrap/>
            <w:vAlign w:val="center"/>
            <w:hideMark/>
          </w:tcPr>
          <w:p w14:paraId="69B9C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56482574</w:t>
            </w:r>
          </w:p>
        </w:tc>
        <w:tc>
          <w:tcPr>
            <w:tcW w:w="160" w:type="dxa"/>
            <w:tcBorders>
              <w:top w:val="nil"/>
              <w:left w:val="nil"/>
              <w:bottom w:val="single" w:sz="4" w:space="0" w:color="auto"/>
              <w:right w:val="nil"/>
            </w:tcBorders>
            <w:vAlign w:val="center"/>
          </w:tcPr>
          <w:p w14:paraId="165F93A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AF86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VELENJE</w:t>
            </w:r>
          </w:p>
        </w:tc>
      </w:tr>
      <w:tr w:rsidR="00072A69" w:rsidRPr="00DC6DF9" w14:paraId="36D1710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A8E7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1834</w:t>
            </w:r>
          </w:p>
        </w:tc>
        <w:tc>
          <w:tcPr>
            <w:tcW w:w="1036" w:type="dxa"/>
            <w:tcBorders>
              <w:top w:val="nil"/>
              <w:left w:val="nil"/>
              <w:bottom w:val="single" w:sz="4" w:space="0" w:color="auto"/>
              <w:right w:val="single" w:sz="4" w:space="0" w:color="auto"/>
            </w:tcBorders>
            <w:shd w:val="clear" w:color="auto" w:fill="auto"/>
            <w:noWrap/>
            <w:vAlign w:val="center"/>
            <w:hideMark/>
          </w:tcPr>
          <w:p w14:paraId="76D916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5886465000</w:t>
            </w:r>
          </w:p>
        </w:tc>
        <w:tc>
          <w:tcPr>
            <w:tcW w:w="1036" w:type="dxa"/>
            <w:tcBorders>
              <w:top w:val="nil"/>
              <w:left w:val="nil"/>
              <w:bottom w:val="single" w:sz="4" w:space="0" w:color="auto"/>
              <w:right w:val="single" w:sz="4" w:space="0" w:color="auto"/>
            </w:tcBorders>
            <w:shd w:val="clear" w:color="auto" w:fill="auto"/>
            <w:noWrap/>
            <w:vAlign w:val="center"/>
            <w:hideMark/>
          </w:tcPr>
          <w:p w14:paraId="0130BB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42955335</w:t>
            </w:r>
          </w:p>
        </w:tc>
        <w:tc>
          <w:tcPr>
            <w:tcW w:w="160" w:type="dxa"/>
            <w:tcBorders>
              <w:top w:val="nil"/>
              <w:left w:val="nil"/>
              <w:bottom w:val="single" w:sz="4" w:space="0" w:color="auto"/>
              <w:right w:val="nil"/>
            </w:tcBorders>
            <w:vAlign w:val="center"/>
          </w:tcPr>
          <w:p w14:paraId="458BA8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D260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VRHNIKA</w:t>
            </w:r>
          </w:p>
        </w:tc>
      </w:tr>
      <w:tr w:rsidR="00072A69" w:rsidRPr="00DC6DF9" w14:paraId="6477016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EAEF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1835</w:t>
            </w:r>
          </w:p>
        </w:tc>
        <w:tc>
          <w:tcPr>
            <w:tcW w:w="1036" w:type="dxa"/>
            <w:tcBorders>
              <w:top w:val="nil"/>
              <w:left w:val="nil"/>
              <w:bottom w:val="single" w:sz="4" w:space="0" w:color="auto"/>
              <w:right w:val="single" w:sz="4" w:space="0" w:color="auto"/>
            </w:tcBorders>
            <w:shd w:val="clear" w:color="auto" w:fill="auto"/>
            <w:noWrap/>
            <w:vAlign w:val="center"/>
            <w:hideMark/>
          </w:tcPr>
          <w:p w14:paraId="1F01D47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5886457000</w:t>
            </w:r>
          </w:p>
        </w:tc>
        <w:tc>
          <w:tcPr>
            <w:tcW w:w="1036" w:type="dxa"/>
            <w:tcBorders>
              <w:top w:val="nil"/>
              <w:left w:val="nil"/>
              <w:bottom w:val="single" w:sz="4" w:space="0" w:color="auto"/>
              <w:right w:val="single" w:sz="4" w:space="0" w:color="auto"/>
            </w:tcBorders>
            <w:shd w:val="clear" w:color="auto" w:fill="auto"/>
            <w:noWrap/>
            <w:vAlign w:val="center"/>
            <w:hideMark/>
          </w:tcPr>
          <w:p w14:paraId="243FF2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19950411</w:t>
            </w:r>
          </w:p>
        </w:tc>
        <w:tc>
          <w:tcPr>
            <w:tcW w:w="160" w:type="dxa"/>
            <w:tcBorders>
              <w:top w:val="nil"/>
              <w:left w:val="nil"/>
              <w:bottom w:val="single" w:sz="4" w:space="0" w:color="auto"/>
              <w:right w:val="nil"/>
            </w:tcBorders>
            <w:vAlign w:val="center"/>
          </w:tcPr>
          <w:p w14:paraId="444157D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D39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ZAGORJE OB SAVI</w:t>
            </w:r>
          </w:p>
        </w:tc>
      </w:tr>
      <w:tr w:rsidR="00072A69" w:rsidRPr="00DC6DF9" w14:paraId="09041DB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7EF5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1836</w:t>
            </w:r>
          </w:p>
        </w:tc>
        <w:tc>
          <w:tcPr>
            <w:tcW w:w="1036" w:type="dxa"/>
            <w:tcBorders>
              <w:top w:val="nil"/>
              <w:left w:val="nil"/>
              <w:bottom w:val="single" w:sz="4" w:space="0" w:color="auto"/>
              <w:right w:val="single" w:sz="4" w:space="0" w:color="auto"/>
            </w:tcBorders>
            <w:shd w:val="clear" w:color="auto" w:fill="auto"/>
            <w:noWrap/>
            <w:vAlign w:val="center"/>
            <w:hideMark/>
          </w:tcPr>
          <w:p w14:paraId="5596C1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5886449000</w:t>
            </w:r>
          </w:p>
        </w:tc>
        <w:tc>
          <w:tcPr>
            <w:tcW w:w="1036" w:type="dxa"/>
            <w:tcBorders>
              <w:top w:val="nil"/>
              <w:left w:val="nil"/>
              <w:bottom w:val="single" w:sz="4" w:space="0" w:color="auto"/>
              <w:right w:val="single" w:sz="4" w:space="0" w:color="auto"/>
            </w:tcBorders>
            <w:shd w:val="clear" w:color="auto" w:fill="auto"/>
            <w:noWrap/>
            <w:vAlign w:val="center"/>
            <w:hideMark/>
          </w:tcPr>
          <w:p w14:paraId="138297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28291948</w:t>
            </w:r>
          </w:p>
        </w:tc>
        <w:tc>
          <w:tcPr>
            <w:tcW w:w="160" w:type="dxa"/>
            <w:tcBorders>
              <w:top w:val="nil"/>
              <w:left w:val="nil"/>
              <w:bottom w:val="single" w:sz="4" w:space="0" w:color="auto"/>
              <w:right w:val="nil"/>
            </w:tcBorders>
            <w:vAlign w:val="center"/>
          </w:tcPr>
          <w:p w14:paraId="140415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BFD2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UPRAVNA ENOTA ŽALEC</w:t>
            </w:r>
          </w:p>
        </w:tc>
      </w:tr>
      <w:tr w:rsidR="00072A69" w:rsidRPr="00DC6DF9" w14:paraId="1A6249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DF497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1837</w:t>
            </w:r>
          </w:p>
        </w:tc>
        <w:tc>
          <w:tcPr>
            <w:tcW w:w="1036" w:type="dxa"/>
            <w:tcBorders>
              <w:top w:val="nil"/>
              <w:left w:val="nil"/>
              <w:bottom w:val="single" w:sz="4" w:space="0" w:color="auto"/>
              <w:right w:val="single" w:sz="4" w:space="0" w:color="auto"/>
            </w:tcBorders>
            <w:shd w:val="clear" w:color="auto" w:fill="auto"/>
            <w:noWrap/>
            <w:vAlign w:val="center"/>
            <w:hideMark/>
          </w:tcPr>
          <w:p w14:paraId="2B67AE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1190989000</w:t>
            </w:r>
          </w:p>
        </w:tc>
        <w:tc>
          <w:tcPr>
            <w:tcW w:w="1036" w:type="dxa"/>
            <w:tcBorders>
              <w:top w:val="nil"/>
              <w:left w:val="nil"/>
              <w:bottom w:val="single" w:sz="4" w:space="0" w:color="auto"/>
              <w:right w:val="single" w:sz="4" w:space="0" w:color="auto"/>
            </w:tcBorders>
            <w:shd w:val="clear" w:color="auto" w:fill="auto"/>
            <w:noWrap/>
            <w:vAlign w:val="center"/>
            <w:hideMark/>
          </w:tcPr>
          <w:p w14:paraId="43A51F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79787975</w:t>
            </w:r>
          </w:p>
        </w:tc>
        <w:tc>
          <w:tcPr>
            <w:tcW w:w="160" w:type="dxa"/>
            <w:tcBorders>
              <w:top w:val="nil"/>
              <w:left w:val="nil"/>
              <w:bottom w:val="single" w:sz="4" w:space="0" w:color="auto"/>
              <w:right w:val="nil"/>
            </w:tcBorders>
            <w:vAlign w:val="center"/>
          </w:tcPr>
          <w:p w14:paraId="30C0011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0F67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UPRAVNO SODIŠČE REPUBLIKE SLOVENIJE</w:t>
            </w:r>
          </w:p>
        </w:tc>
      </w:tr>
      <w:tr w:rsidR="00072A69" w:rsidRPr="00DC6DF9" w14:paraId="375E6E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BB23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1838</w:t>
            </w:r>
          </w:p>
        </w:tc>
        <w:tc>
          <w:tcPr>
            <w:tcW w:w="1036" w:type="dxa"/>
            <w:tcBorders>
              <w:top w:val="nil"/>
              <w:left w:val="nil"/>
              <w:bottom w:val="single" w:sz="4" w:space="0" w:color="auto"/>
              <w:right w:val="single" w:sz="4" w:space="0" w:color="auto"/>
            </w:tcBorders>
            <w:shd w:val="clear" w:color="auto" w:fill="auto"/>
            <w:noWrap/>
            <w:vAlign w:val="center"/>
            <w:hideMark/>
          </w:tcPr>
          <w:p w14:paraId="713D74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5065402000</w:t>
            </w:r>
          </w:p>
        </w:tc>
        <w:tc>
          <w:tcPr>
            <w:tcW w:w="1036" w:type="dxa"/>
            <w:tcBorders>
              <w:top w:val="nil"/>
              <w:left w:val="nil"/>
              <w:bottom w:val="single" w:sz="4" w:space="0" w:color="auto"/>
              <w:right w:val="single" w:sz="4" w:space="0" w:color="auto"/>
            </w:tcBorders>
            <w:shd w:val="clear" w:color="auto" w:fill="auto"/>
            <w:noWrap/>
            <w:vAlign w:val="center"/>
            <w:hideMark/>
          </w:tcPr>
          <w:p w14:paraId="5D9DFD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45181276</w:t>
            </w:r>
          </w:p>
        </w:tc>
        <w:tc>
          <w:tcPr>
            <w:tcW w:w="160" w:type="dxa"/>
            <w:tcBorders>
              <w:top w:val="nil"/>
              <w:left w:val="nil"/>
              <w:bottom w:val="single" w:sz="4" w:space="0" w:color="auto"/>
              <w:right w:val="nil"/>
            </w:tcBorders>
            <w:vAlign w:val="center"/>
          </w:tcPr>
          <w:p w14:paraId="111B57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0928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PREDSEDNIKA REPUBLIKE SLOVENIJE</w:t>
            </w:r>
          </w:p>
        </w:tc>
      </w:tr>
      <w:tr w:rsidR="00072A69" w:rsidRPr="00DC6DF9" w14:paraId="16441D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D506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1839</w:t>
            </w:r>
          </w:p>
        </w:tc>
        <w:tc>
          <w:tcPr>
            <w:tcW w:w="1036" w:type="dxa"/>
            <w:tcBorders>
              <w:top w:val="nil"/>
              <w:left w:val="nil"/>
              <w:bottom w:val="single" w:sz="4" w:space="0" w:color="auto"/>
              <w:right w:val="single" w:sz="4" w:space="0" w:color="auto"/>
            </w:tcBorders>
            <w:shd w:val="clear" w:color="auto" w:fill="auto"/>
            <w:noWrap/>
            <w:vAlign w:val="center"/>
            <w:hideMark/>
          </w:tcPr>
          <w:p w14:paraId="5357E8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5521858000</w:t>
            </w:r>
          </w:p>
        </w:tc>
        <w:tc>
          <w:tcPr>
            <w:tcW w:w="1036" w:type="dxa"/>
            <w:tcBorders>
              <w:top w:val="nil"/>
              <w:left w:val="nil"/>
              <w:bottom w:val="single" w:sz="4" w:space="0" w:color="auto"/>
              <w:right w:val="single" w:sz="4" w:space="0" w:color="auto"/>
            </w:tcBorders>
            <w:shd w:val="clear" w:color="auto" w:fill="auto"/>
            <w:noWrap/>
            <w:vAlign w:val="center"/>
            <w:hideMark/>
          </w:tcPr>
          <w:p w14:paraId="6E84A3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41705211</w:t>
            </w:r>
          </w:p>
        </w:tc>
        <w:tc>
          <w:tcPr>
            <w:tcW w:w="160" w:type="dxa"/>
            <w:tcBorders>
              <w:top w:val="nil"/>
              <w:left w:val="nil"/>
              <w:bottom w:val="single" w:sz="4" w:space="0" w:color="auto"/>
              <w:right w:val="nil"/>
            </w:tcBorders>
            <w:vAlign w:val="center"/>
          </w:tcPr>
          <w:p w14:paraId="71761AF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F579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INTELEKTUALNO LASTNINO</w:t>
            </w:r>
          </w:p>
        </w:tc>
      </w:tr>
      <w:tr w:rsidR="00072A69" w:rsidRPr="00DC6DF9" w14:paraId="5BFCC7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2753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1840</w:t>
            </w:r>
          </w:p>
        </w:tc>
        <w:tc>
          <w:tcPr>
            <w:tcW w:w="1036" w:type="dxa"/>
            <w:tcBorders>
              <w:top w:val="nil"/>
              <w:left w:val="nil"/>
              <w:bottom w:val="single" w:sz="4" w:space="0" w:color="auto"/>
              <w:right w:val="single" w:sz="4" w:space="0" w:color="auto"/>
            </w:tcBorders>
            <w:shd w:val="clear" w:color="auto" w:fill="auto"/>
            <w:noWrap/>
            <w:vAlign w:val="center"/>
            <w:hideMark/>
          </w:tcPr>
          <w:p w14:paraId="55ADB4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1332511000</w:t>
            </w:r>
          </w:p>
        </w:tc>
        <w:tc>
          <w:tcPr>
            <w:tcW w:w="1036" w:type="dxa"/>
            <w:tcBorders>
              <w:top w:val="nil"/>
              <w:left w:val="nil"/>
              <w:bottom w:val="single" w:sz="4" w:space="0" w:color="auto"/>
              <w:right w:val="single" w:sz="4" w:space="0" w:color="auto"/>
            </w:tcBorders>
            <w:shd w:val="clear" w:color="auto" w:fill="auto"/>
            <w:noWrap/>
            <w:vAlign w:val="center"/>
            <w:hideMark/>
          </w:tcPr>
          <w:p w14:paraId="040171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58667334</w:t>
            </w:r>
          </w:p>
        </w:tc>
        <w:tc>
          <w:tcPr>
            <w:tcW w:w="160" w:type="dxa"/>
            <w:tcBorders>
              <w:top w:val="nil"/>
              <w:left w:val="nil"/>
              <w:bottom w:val="single" w:sz="4" w:space="0" w:color="auto"/>
              <w:right w:val="nil"/>
            </w:tcBorders>
            <w:vAlign w:val="center"/>
          </w:tcPr>
          <w:p w14:paraId="46750A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1306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KEMIKALIJE</w:t>
            </w:r>
          </w:p>
        </w:tc>
      </w:tr>
      <w:tr w:rsidR="00072A69" w:rsidRPr="00DC6DF9" w14:paraId="7E709DB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7D5A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1841</w:t>
            </w:r>
          </w:p>
        </w:tc>
        <w:tc>
          <w:tcPr>
            <w:tcW w:w="1036" w:type="dxa"/>
            <w:tcBorders>
              <w:top w:val="nil"/>
              <w:left w:val="nil"/>
              <w:bottom w:val="single" w:sz="4" w:space="0" w:color="auto"/>
              <w:right w:val="single" w:sz="4" w:space="0" w:color="auto"/>
            </w:tcBorders>
            <w:shd w:val="clear" w:color="auto" w:fill="auto"/>
            <w:noWrap/>
            <w:vAlign w:val="center"/>
            <w:hideMark/>
          </w:tcPr>
          <w:p w14:paraId="63170E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5026407000</w:t>
            </w:r>
          </w:p>
        </w:tc>
        <w:tc>
          <w:tcPr>
            <w:tcW w:w="1036" w:type="dxa"/>
            <w:tcBorders>
              <w:top w:val="nil"/>
              <w:left w:val="nil"/>
              <w:bottom w:val="single" w:sz="4" w:space="0" w:color="auto"/>
              <w:right w:val="single" w:sz="4" w:space="0" w:color="auto"/>
            </w:tcBorders>
            <w:shd w:val="clear" w:color="auto" w:fill="auto"/>
            <w:noWrap/>
            <w:vAlign w:val="center"/>
            <w:hideMark/>
          </w:tcPr>
          <w:p w14:paraId="06A703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66679567</w:t>
            </w:r>
          </w:p>
        </w:tc>
        <w:tc>
          <w:tcPr>
            <w:tcW w:w="160" w:type="dxa"/>
            <w:tcBorders>
              <w:top w:val="nil"/>
              <w:left w:val="nil"/>
              <w:bottom w:val="single" w:sz="4" w:space="0" w:color="auto"/>
              <w:right w:val="nil"/>
            </w:tcBorders>
            <w:vAlign w:val="center"/>
          </w:tcPr>
          <w:p w14:paraId="504344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997D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MAKROEKONOMSKE ANALIZE IN RAZVOJ</w:t>
            </w:r>
          </w:p>
        </w:tc>
      </w:tr>
      <w:tr w:rsidR="00072A69" w:rsidRPr="00DC6DF9" w14:paraId="4455D3E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5E9B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1842</w:t>
            </w:r>
          </w:p>
        </w:tc>
        <w:tc>
          <w:tcPr>
            <w:tcW w:w="1036" w:type="dxa"/>
            <w:tcBorders>
              <w:top w:val="nil"/>
              <w:left w:val="nil"/>
              <w:bottom w:val="single" w:sz="4" w:space="0" w:color="auto"/>
              <w:right w:val="single" w:sz="4" w:space="0" w:color="auto"/>
            </w:tcBorders>
            <w:shd w:val="clear" w:color="auto" w:fill="auto"/>
            <w:noWrap/>
            <w:vAlign w:val="center"/>
            <w:hideMark/>
          </w:tcPr>
          <w:p w14:paraId="6588A4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5518016000</w:t>
            </w:r>
          </w:p>
        </w:tc>
        <w:tc>
          <w:tcPr>
            <w:tcW w:w="1036" w:type="dxa"/>
            <w:tcBorders>
              <w:top w:val="nil"/>
              <w:left w:val="nil"/>
              <w:bottom w:val="single" w:sz="4" w:space="0" w:color="auto"/>
              <w:right w:val="single" w:sz="4" w:space="0" w:color="auto"/>
            </w:tcBorders>
            <w:shd w:val="clear" w:color="auto" w:fill="auto"/>
            <w:noWrap/>
            <w:vAlign w:val="center"/>
            <w:hideMark/>
          </w:tcPr>
          <w:p w14:paraId="461FA2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75839172</w:t>
            </w:r>
          </w:p>
        </w:tc>
        <w:tc>
          <w:tcPr>
            <w:tcW w:w="160" w:type="dxa"/>
            <w:tcBorders>
              <w:top w:val="nil"/>
              <w:left w:val="nil"/>
              <w:bottom w:val="single" w:sz="4" w:space="0" w:color="auto"/>
              <w:right w:val="nil"/>
            </w:tcBorders>
            <w:vAlign w:val="center"/>
          </w:tcPr>
          <w:p w14:paraId="4699B5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E61F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MEROSLOVJE</w:t>
            </w:r>
          </w:p>
        </w:tc>
      </w:tr>
      <w:tr w:rsidR="00072A69" w:rsidRPr="00DC6DF9" w14:paraId="2B032C9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AFBA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1843</w:t>
            </w:r>
          </w:p>
        </w:tc>
        <w:tc>
          <w:tcPr>
            <w:tcW w:w="1036" w:type="dxa"/>
            <w:tcBorders>
              <w:top w:val="nil"/>
              <w:left w:val="nil"/>
              <w:bottom w:val="single" w:sz="4" w:space="0" w:color="auto"/>
              <w:right w:val="single" w:sz="4" w:space="0" w:color="auto"/>
            </w:tcBorders>
            <w:shd w:val="clear" w:color="auto" w:fill="auto"/>
            <w:noWrap/>
            <w:vAlign w:val="center"/>
            <w:hideMark/>
          </w:tcPr>
          <w:p w14:paraId="0F9F5C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5543363000</w:t>
            </w:r>
          </w:p>
        </w:tc>
        <w:tc>
          <w:tcPr>
            <w:tcW w:w="1036" w:type="dxa"/>
            <w:tcBorders>
              <w:top w:val="nil"/>
              <w:left w:val="nil"/>
              <w:bottom w:val="single" w:sz="4" w:space="0" w:color="auto"/>
              <w:right w:val="single" w:sz="4" w:space="0" w:color="auto"/>
            </w:tcBorders>
            <w:shd w:val="clear" w:color="auto" w:fill="auto"/>
            <w:noWrap/>
            <w:vAlign w:val="center"/>
            <w:hideMark/>
          </w:tcPr>
          <w:p w14:paraId="6FB687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67767664</w:t>
            </w:r>
          </w:p>
        </w:tc>
        <w:tc>
          <w:tcPr>
            <w:tcW w:w="160" w:type="dxa"/>
            <w:tcBorders>
              <w:top w:val="nil"/>
              <w:left w:val="nil"/>
              <w:bottom w:val="single" w:sz="4" w:space="0" w:color="auto"/>
              <w:right w:val="nil"/>
            </w:tcBorders>
            <w:vAlign w:val="center"/>
          </w:tcPr>
          <w:p w14:paraId="4876FBC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A4DE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MLADINO</w:t>
            </w:r>
          </w:p>
        </w:tc>
      </w:tr>
      <w:tr w:rsidR="00072A69" w:rsidRPr="00DC6DF9" w14:paraId="75EFA02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D294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1844</w:t>
            </w:r>
          </w:p>
        </w:tc>
        <w:tc>
          <w:tcPr>
            <w:tcW w:w="1036" w:type="dxa"/>
            <w:tcBorders>
              <w:top w:val="nil"/>
              <w:left w:val="nil"/>
              <w:bottom w:val="single" w:sz="4" w:space="0" w:color="auto"/>
              <w:right w:val="single" w:sz="4" w:space="0" w:color="auto"/>
            </w:tcBorders>
            <w:shd w:val="clear" w:color="auto" w:fill="auto"/>
            <w:noWrap/>
            <w:vAlign w:val="center"/>
            <w:hideMark/>
          </w:tcPr>
          <w:p w14:paraId="30A3E8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1870491000</w:t>
            </w:r>
          </w:p>
        </w:tc>
        <w:tc>
          <w:tcPr>
            <w:tcW w:w="1036" w:type="dxa"/>
            <w:tcBorders>
              <w:top w:val="nil"/>
              <w:left w:val="nil"/>
              <w:bottom w:val="single" w:sz="4" w:space="0" w:color="auto"/>
              <w:right w:val="single" w:sz="4" w:space="0" w:color="auto"/>
            </w:tcBorders>
            <w:shd w:val="clear" w:color="auto" w:fill="auto"/>
            <w:noWrap/>
            <w:vAlign w:val="center"/>
            <w:hideMark/>
          </w:tcPr>
          <w:p w14:paraId="1B1570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29066042</w:t>
            </w:r>
          </w:p>
        </w:tc>
        <w:tc>
          <w:tcPr>
            <w:tcW w:w="160" w:type="dxa"/>
            <w:tcBorders>
              <w:top w:val="nil"/>
              <w:left w:val="nil"/>
              <w:bottom w:val="single" w:sz="4" w:space="0" w:color="auto"/>
              <w:right w:val="nil"/>
            </w:tcBorders>
            <w:vAlign w:val="center"/>
          </w:tcPr>
          <w:p w14:paraId="20908E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BB06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NADZOR PRORAČUNA</w:t>
            </w:r>
          </w:p>
        </w:tc>
      </w:tr>
      <w:tr w:rsidR="00072A69" w:rsidRPr="00DC6DF9" w14:paraId="429D19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E0FD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1845</w:t>
            </w:r>
          </w:p>
        </w:tc>
        <w:tc>
          <w:tcPr>
            <w:tcW w:w="1036" w:type="dxa"/>
            <w:tcBorders>
              <w:top w:val="nil"/>
              <w:left w:val="nil"/>
              <w:bottom w:val="single" w:sz="4" w:space="0" w:color="auto"/>
              <w:right w:val="single" w:sz="4" w:space="0" w:color="auto"/>
            </w:tcBorders>
            <w:shd w:val="clear" w:color="auto" w:fill="auto"/>
            <w:noWrap/>
            <w:vAlign w:val="center"/>
            <w:hideMark/>
          </w:tcPr>
          <w:p w14:paraId="467263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5875021000</w:t>
            </w:r>
          </w:p>
        </w:tc>
        <w:tc>
          <w:tcPr>
            <w:tcW w:w="1036" w:type="dxa"/>
            <w:tcBorders>
              <w:top w:val="nil"/>
              <w:left w:val="nil"/>
              <w:bottom w:val="single" w:sz="4" w:space="0" w:color="auto"/>
              <w:right w:val="single" w:sz="4" w:space="0" w:color="auto"/>
            </w:tcBorders>
            <w:shd w:val="clear" w:color="auto" w:fill="auto"/>
            <w:noWrap/>
            <w:vAlign w:val="center"/>
            <w:hideMark/>
          </w:tcPr>
          <w:p w14:paraId="2D5354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60330279</w:t>
            </w:r>
          </w:p>
        </w:tc>
        <w:tc>
          <w:tcPr>
            <w:tcW w:w="160" w:type="dxa"/>
            <w:tcBorders>
              <w:top w:val="nil"/>
              <w:left w:val="nil"/>
              <w:bottom w:val="single" w:sz="4" w:space="0" w:color="auto"/>
              <w:right w:val="nil"/>
            </w:tcBorders>
            <w:vAlign w:val="center"/>
          </w:tcPr>
          <w:p w14:paraId="70EF7A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3F04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REPUBLIKE SLOVENIJE ZA PREPREČEVANJE PRANJA DENARJA</w:t>
            </w:r>
          </w:p>
        </w:tc>
      </w:tr>
      <w:tr w:rsidR="00072A69" w:rsidRPr="00DC6DF9" w14:paraId="51E021B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FFAD7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1846</w:t>
            </w:r>
          </w:p>
        </w:tc>
        <w:tc>
          <w:tcPr>
            <w:tcW w:w="1036" w:type="dxa"/>
            <w:tcBorders>
              <w:top w:val="nil"/>
              <w:left w:val="nil"/>
              <w:bottom w:val="single" w:sz="4" w:space="0" w:color="auto"/>
              <w:right w:val="single" w:sz="4" w:space="0" w:color="auto"/>
            </w:tcBorders>
            <w:shd w:val="clear" w:color="auto" w:fill="auto"/>
            <w:noWrap/>
            <w:vAlign w:val="center"/>
            <w:hideMark/>
          </w:tcPr>
          <w:p w14:paraId="751DB2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5186757000</w:t>
            </w:r>
          </w:p>
        </w:tc>
        <w:tc>
          <w:tcPr>
            <w:tcW w:w="1036" w:type="dxa"/>
            <w:tcBorders>
              <w:top w:val="nil"/>
              <w:left w:val="nil"/>
              <w:bottom w:val="single" w:sz="4" w:space="0" w:color="auto"/>
              <w:right w:val="single" w:sz="4" w:space="0" w:color="auto"/>
            </w:tcBorders>
            <w:shd w:val="clear" w:color="auto" w:fill="auto"/>
            <w:noWrap/>
            <w:vAlign w:val="center"/>
            <w:hideMark/>
          </w:tcPr>
          <w:p w14:paraId="0F47CB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21386889</w:t>
            </w:r>
          </w:p>
        </w:tc>
        <w:tc>
          <w:tcPr>
            <w:tcW w:w="160" w:type="dxa"/>
            <w:tcBorders>
              <w:top w:val="nil"/>
              <w:left w:val="nil"/>
              <w:bottom w:val="single" w:sz="4" w:space="0" w:color="auto"/>
              <w:right w:val="nil"/>
            </w:tcBorders>
            <w:vAlign w:val="center"/>
          </w:tcPr>
          <w:p w14:paraId="5066E31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22D8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VLADE REPUBLIKE SLOVENIJE ZA KOMUNICIRANJE</w:t>
            </w:r>
          </w:p>
        </w:tc>
      </w:tr>
      <w:tr w:rsidR="00072A69" w:rsidRPr="00DC6DF9" w14:paraId="26997B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E7A6F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1847</w:t>
            </w:r>
          </w:p>
        </w:tc>
        <w:tc>
          <w:tcPr>
            <w:tcW w:w="1036" w:type="dxa"/>
            <w:tcBorders>
              <w:top w:val="nil"/>
              <w:left w:val="nil"/>
              <w:bottom w:val="single" w:sz="4" w:space="0" w:color="auto"/>
              <w:right w:val="single" w:sz="4" w:space="0" w:color="auto"/>
            </w:tcBorders>
            <w:shd w:val="clear" w:color="auto" w:fill="auto"/>
            <w:noWrap/>
            <w:vAlign w:val="center"/>
            <w:hideMark/>
          </w:tcPr>
          <w:p w14:paraId="5A1E05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2399385000</w:t>
            </w:r>
          </w:p>
        </w:tc>
        <w:tc>
          <w:tcPr>
            <w:tcW w:w="1036" w:type="dxa"/>
            <w:tcBorders>
              <w:top w:val="nil"/>
              <w:left w:val="nil"/>
              <w:bottom w:val="single" w:sz="4" w:space="0" w:color="auto"/>
              <w:right w:val="single" w:sz="4" w:space="0" w:color="auto"/>
            </w:tcBorders>
            <w:shd w:val="clear" w:color="auto" w:fill="auto"/>
            <w:noWrap/>
            <w:vAlign w:val="center"/>
            <w:hideMark/>
          </w:tcPr>
          <w:p w14:paraId="4CD03B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61004278</w:t>
            </w:r>
          </w:p>
        </w:tc>
        <w:tc>
          <w:tcPr>
            <w:tcW w:w="160" w:type="dxa"/>
            <w:tcBorders>
              <w:top w:val="nil"/>
              <w:left w:val="nil"/>
              <w:bottom w:val="single" w:sz="4" w:space="0" w:color="auto"/>
              <w:right w:val="nil"/>
            </w:tcBorders>
            <w:vAlign w:val="center"/>
          </w:tcPr>
          <w:p w14:paraId="6B8464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0E24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VLADE REPUBLIKE SLOVENIJE ZA NARODNOSTI</w:t>
            </w:r>
          </w:p>
        </w:tc>
      </w:tr>
      <w:tr w:rsidR="00072A69" w:rsidRPr="00DC6DF9" w14:paraId="6E3221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2156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1848</w:t>
            </w:r>
          </w:p>
        </w:tc>
        <w:tc>
          <w:tcPr>
            <w:tcW w:w="1036" w:type="dxa"/>
            <w:tcBorders>
              <w:top w:val="nil"/>
              <w:left w:val="nil"/>
              <w:bottom w:val="single" w:sz="4" w:space="0" w:color="auto"/>
              <w:right w:val="single" w:sz="4" w:space="0" w:color="auto"/>
            </w:tcBorders>
            <w:shd w:val="clear" w:color="auto" w:fill="auto"/>
            <w:noWrap/>
            <w:vAlign w:val="center"/>
            <w:hideMark/>
          </w:tcPr>
          <w:p w14:paraId="3F0D90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2516250000</w:t>
            </w:r>
          </w:p>
        </w:tc>
        <w:tc>
          <w:tcPr>
            <w:tcW w:w="1036" w:type="dxa"/>
            <w:tcBorders>
              <w:top w:val="nil"/>
              <w:left w:val="nil"/>
              <w:bottom w:val="single" w:sz="4" w:space="0" w:color="auto"/>
              <w:right w:val="single" w:sz="4" w:space="0" w:color="auto"/>
            </w:tcBorders>
            <w:shd w:val="clear" w:color="auto" w:fill="auto"/>
            <w:noWrap/>
            <w:vAlign w:val="center"/>
            <w:hideMark/>
          </w:tcPr>
          <w:p w14:paraId="066E99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36389633</w:t>
            </w:r>
          </w:p>
        </w:tc>
        <w:tc>
          <w:tcPr>
            <w:tcW w:w="160" w:type="dxa"/>
            <w:tcBorders>
              <w:top w:val="nil"/>
              <w:left w:val="nil"/>
              <w:bottom w:val="single" w:sz="4" w:space="0" w:color="auto"/>
              <w:right w:val="nil"/>
            </w:tcBorders>
            <w:vAlign w:val="center"/>
          </w:tcPr>
          <w:p w14:paraId="5BF489A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50EA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VLADE REPUBLIKE SLOVENIJE ZA OSKRBO IN INTEGRACIJO MIGRANTOV</w:t>
            </w:r>
          </w:p>
        </w:tc>
      </w:tr>
      <w:tr w:rsidR="00072A69" w:rsidRPr="00DC6DF9" w14:paraId="2D1E52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35F9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1849</w:t>
            </w:r>
          </w:p>
        </w:tc>
        <w:tc>
          <w:tcPr>
            <w:tcW w:w="1036" w:type="dxa"/>
            <w:tcBorders>
              <w:top w:val="nil"/>
              <w:left w:val="nil"/>
              <w:bottom w:val="single" w:sz="4" w:space="0" w:color="auto"/>
              <w:right w:val="single" w:sz="4" w:space="0" w:color="auto"/>
            </w:tcBorders>
            <w:shd w:val="clear" w:color="auto" w:fill="auto"/>
            <w:noWrap/>
            <w:vAlign w:val="center"/>
            <w:hideMark/>
          </w:tcPr>
          <w:p w14:paraId="75AD7C0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1991892000</w:t>
            </w:r>
          </w:p>
        </w:tc>
        <w:tc>
          <w:tcPr>
            <w:tcW w:w="1036" w:type="dxa"/>
            <w:tcBorders>
              <w:top w:val="nil"/>
              <w:left w:val="nil"/>
              <w:bottom w:val="single" w:sz="4" w:space="0" w:color="auto"/>
              <w:right w:val="single" w:sz="4" w:space="0" w:color="auto"/>
            </w:tcBorders>
            <w:shd w:val="clear" w:color="auto" w:fill="auto"/>
            <w:noWrap/>
            <w:vAlign w:val="center"/>
            <w:hideMark/>
          </w:tcPr>
          <w:p w14:paraId="1B7BAD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59081040</w:t>
            </w:r>
          </w:p>
        </w:tc>
        <w:tc>
          <w:tcPr>
            <w:tcW w:w="160" w:type="dxa"/>
            <w:tcBorders>
              <w:top w:val="nil"/>
              <w:left w:val="nil"/>
              <w:bottom w:val="single" w:sz="4" w:space="0" w:color="auto"/>
              <w:right w:val="nil"/>
            </w:tcBorders>
            <w:vAlign w:val="center"/>
          </w:tcPr>
          <w:p w14:paraId="72CE01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1C4F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VLADE REPUBLIKE SLOVENIJE ZA SLOVENCE V ZAMEJSTVU IN PO SVETU</w:t>
            </w:r>
          </w:p>
        </w:tc>
      </w:tr>
      <w:tr w:rsidR="00072A69" w:rsidRPr="00DC6DF9" w14:paraId="7E8F3C9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48E6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1850</w:t>
            </w:r>
          </w:p>
        </w:tc>
        <w:tc>
          <w:tcPr>
            <w:tcW w:w="1036" w:type="dxa"/>
            <w:tcBorders>
              <w:top w:val="nil"/>
              <w:left w:val="nil"/>
              <w:bottom w:val="single" w:sz="4" w:space="0" w:color="auto"/>
              <w:right w:val="single" w:sz="4" w:space="0" w:color="auto"/>
            </w:tcBorders>
            <w:shd w:val="clear" w:color="auto" w:fill="auto"/>
            <w:noWrap/>
            <w:vAlign w:val="center"/>
            <w:hideMark/>
          </w:tcPr>
          <w:p w14:paraId="2AD136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1332961000</w:t>
            </w:r>
          </w:p>
        </w:tc>
        <w:tc>
          <w:tcPr>
            <w:tcW w:w="1036" w:type="dxa"/>
            <w:tcBorders>
              <w:top w:val="nil"/>
              <w:left w:val="nil"/>
              <w:bottom w:val="single" w:sz="4" w:space="0" w:color="auto"/>
              <w:right w:val="single" w:sz="4" w:space="0" w:color="auto"/>
            </w:tcBorders>
            <w:shd w:val="clear" w:color="auto" w:fill="auto"/>
            <w:noWrap/>
            <w:vAlign w:val="center"/>
            <w:hideMark/>
          </w:tcPr>
          <w:p w14:paraId="372B2D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83110585</w:t>
            </w:r>
          </w:p>
        </w:tc>
        <w:tc>
          <w:tcPr>
            <w:tcW w:w="160" w:type="dxa"/>
            <w:tcBorders>
              <w:top w:val="nil"/>
              <w:left w:val="nil"/>
              <w:bottom w:val="single" w:sz="4" w:space="0" w:color="auto"/>
              <w:right w:val="nil"/>
            </w:tcBorders>
            <w:vAlign w:val="center"/>
          </w:tcPr>
          <w:p w14:paraId="0E6DA5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75A0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URAD VLADE REPUBLIKE SLOVENIJE ZA VAROVANJE TAJNIH PODATKOV</w:t>
            </w:r>
          </w:p>
        </w:tc>
      </w:tr>
      <w:tr w:rsidR="00072A69" w:rsidRPr="00DC6DF9" w14:paraId="01352D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1416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1851</w:t>
            </w:r>
          </w:p>
        </w:tc>
        <w:tc>
          <w:tcPr>
            <w:tcW w:w="1036" w:type="dxa"/>
            <w:tcBorders>
              <w:top w:val="nil"/>
              <w:left w:val="nil"/>
              <w:bottom w:val="single" w:sz="4" w:space="0" w:color="auto"/>
              <w:right w:val="single" w:sz="4" w:space="0" w:color="auto"/>
            </w:tcBorders>
            <w:shd w:val="clear" w:color="auto" w:fill="auto"/>
            <w:noWrap/>
            <w:vAlign w:val="center"/>
            <w:hideMark/>
          </w:tcPr>
          <w:p w14:paraId="15B37F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5033284000</w:t>
            </w:r>
          </w:p>
        </w:tc>
        <w:tc>
          <w:tcPr>
            <w:tcW w:w="1036" w:type="dxa"/>
            <w:tcBorders>
              <w:top w:val="nil"/>
              <w:left w:val="nil"/>
              <w:bottom w:val="single" w:sz="4" w:space="0" w:color="auto"/>
              <w:right w:val="single" w:sz="4" w:space="0" w:color="auto"/>
            </w:tcBorders>
            <w:shd w:val="clear" w:color="auto" w:fill="auto"/>
            <w:noWrap/>
            <w:vAlign w:val="center"/>
            <w:hideMark/>
          </w:tcPr>
          <w:p w14:paraId="222CCA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85360040</w:t>
            </w:r>
          </w:p>
        </w:tc>
        <w:tc>
          <w:tcPr>
            <w:tcW w:w="160" w:type="dxa"/>
            <w:tcBorders>
              <w:top w:val="nil"/>
              <w:left w:val="nil"/>
              <w:bottom w:val="single" w:sz="4" w:space="0" w:color="auto"/>
              <w:right w:val="nil"/>
            </w:tcBorders>
            <w:vAlign w:val="center"/>
          </w:tcPr>
          <w:p w14:paraId="2B68F4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483D9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URADNI LIST REPUBLIKE SLOVENIJE, D. O. O. </w:t>
            </w:r>
          </w:p>
        </w:tc>
      </w:tr>
      <w:tr w:rsidR="00072A69" w:rsidRPr="00DC6DF9" w14:paraId="0122F8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14EF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1852</w:t>
            </w:r>
          </w:p>
        </w:tc>
        <w:tc>
          <w:tcPr>
            <w:tcW w:w="1036" w:type="dxa"/>
            <w:tcBorders>
              <w:top w:val="nil"/>
              <w:left w:val="nil"/>
              <w:bottom w:val="single" w:sz="4" w:space="0" w:color="auto"/>
              <w:right w:val="single" w:sz="4" w:space="0" w:color="auto"/>
            </w:tcBorders>
            <w:shd w:val="clear" w:color="auto" w:fill="auto"/>
            <w:noWrap/>
            <w:vAlign w:val="center"/>
            <w:hideMark/>
          </w:tcPr>
          <w:p w14:paraId="6E32DF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5051703000</w:t>
            </w:r>
          </w:p>
        </w:tc>
        <w:tc>
          <w:tcPr>
            <w:tcW w:w="1036" w:type="dxa"/>
            <w:tcBorders>
              <w:top w:val="nil"/>
              <w:left w:val="nil"/>
              <w:bottom w:val="single" w:sz="4" w:space="0" w:color="auto"/>
              <w:right w:val="single" w:sz="4" w:space="0" w:color="auto"/>
            </w:tcBorders>
            <w:shd w:val="clear" w:color="auto" w:fill="auto"/>
            <w:noWrap/>
            <w:vAlign w:val="center"/>
            <w:hideMark/>
          </w:tcPr>
          <w:p w14:paraId="30B142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38747669</w:t>
            </w:r>
          </w:p>
        </w:tc>
        <w:tc>
          <w:tcPr>
            <w:tcW w:w="160" w:type="dxa"/>
            <w:tcBorders>
              <w:top w:val="nil"/>
              <w:left w:val="nil"/>
              <w:bottom w:val="single" w:sz="4" w:space="0" w:color="auto"/>
              <w:right w:val="nil"/>
            </w:tcBorders>
            <w:vAlign w:val="center"/>
          </w:tcPr>
          <w:p w14:paraId="1B51A2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D540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URBANISTIČNI INŠTITUT REPUBLIKE SLOVENIJE</w:t>
            </w:r>
          </w:p>
        </w:tc>
      </w:tr>
      <w:tr w:rsidR="00072A69" w:rsidRPr="00DC6DF9" w14:paraId="2DF209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A110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1853</w:t>
            </w:r>
          </w:p>
        </w:tc>
        <w:tc>
          <w:tcPr>
            <w:tcW w:w="1036" w:type="dxa"/>
            <w:tcBorders>
              <w:top w:val="nil"/>
              <w:left w:val="nil"/>
              <w:bottom w:val="single" w:sz="4" w:space="0" w:color="auto"/>
              <w:right w:val="single" w:sz="4" w:space="0" w:color="auto"/>
            </w:tcBorders>
            <w:shd w:val="clear" w:color="auto" w:fill="auto"/>
            <w:noWrap/>
            <w:vAlign w:val="center"/>
            <w:hideMark/>
          </w:tcPr>
          <w:p w14:paraId="7F0EE3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1118587000</w:t>
            </w:r>
          </w:p>
        </w:tc>
        <w:tc>
          <w:tcPr>
            <w:tcW w:w="1036" w:type="dxa"/>
            <w:tcBorders>
              <w:top w:val="nil"/>
              <w:left w:val="nil"/>
              <w:bottom w:val="single" w:sz="4" w:space="0" w:color="auto"/>
              <w:right w:val="single" w:sz="4" w:space="0" w:color="auto"/>
            </w:tcBorders>
            <w:shd w:val="clear" w:color="auto" w:fill="auto"/>
            <w:noWrap/>
            <w:vAlign w:val="center"/>
            <w:hideMark/>
          </w:tcPr>
          <w:p w14:paraId="793FD4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17945933</w:t>
            </w:r>
          </w:p>
        </w:tc>
        <w:tc>
          <w:tcPr>
            <w:tcW w:w="160" w:type="dxa"/>
            <w:tcBorders>
              <w:top w:val="nil"/>
              <w:left w:val="nil"/>
              <w:bottom w:val="single" w:sz="4" w:space="0" w:color="auto"/>
              <w:right w:val="nil"/>
            </w:tcBorders>
            <w:vAlign w:val="center"/>
          </w:tcPr>
          <w:p w14:paraId="20DA89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D08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USTANOVA DR.</w:t>
            </w:r>
            <w:r>
              <w:rPr>
                <w:rFonts w:ascii="Arial" w:eastAsia="Times New Roman" w:hAnsi="Arial" w:cs="Arial"/>
                <w:color w:val="000000"/>
                <w:sz w:val="16"/>
                <w:szCs w:val="16"/>
                <w:lang w:eastAsia="sl-SI"/>
              </w:rPr>
              <w:t xml:space="preserve"> </w:t>
            </w:r>
            <w:r w:rsidRPr="00DC6DF9">
              <w:rPr>
                <w:rFonts w:ascii="Arial" w:eastAsia="Times New Roman" w:hAnsi="Arial" w:cs="Arial"/>
                <w:color w:val="000000"/>
                <w:sz w:val="16"/>
                <w:szCs w:val="16"/>
                <w:lang w:eastAsia="sl-SI"/>
              </w:rPr>
              <w:t>ŠIFTARJEVA FUNDACIJA</w:t>
            </w:r>
          </w:p>
        </w:tc>
      </w:tr>
      <w:tr w:rsidR="00072A69" w:rsidRPr="00DC6DF9" w14:paraId="4E576D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6A43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1854</w:t>
            </w:r>
          </w:p>
        </w:tc>
        <w:tc>
          <w:tcPr>
            <w:tcW w:w="1036" w:type="dxa"/>
            <w:tcBorders>
              <w:top w:val="nil"/>
              <w:left w:val="nil"/>
              <w:bottom w:val="single" w:sz="4" w:space="0" w:color="auto"/>
              <w:right w:val="single" w:sz="4" w:space="0" w:color="auto"/>
            </w:tcBorders>
            <w:shd w:val="clear" w:color="auto" w:fill="auto"/>
            <w:noWrap/>
            <w:vAlign w:val="center"/>
            <w:hideMark/>
          </w:tcPr>
          <w:p w14:paraId="3C9E50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5024234000</w:t>
            </w:r>
          </w:p>
        </w:tc>
        <w:tc>
          <w:tcPr>
            <w:tcW w:w="1036" w:type="dxa"/>
            <w:tcBorders>
              <w:top w:val="nil"/>
              <w:left w:val="nil"/>
              <w:bottom w:val="single" w:sz="4" w:space="0" w:color="auto"/>
              <w:right w:val="single" w:sz="4" w:space="0" w:color="auto"/>
            </w:tcBorders>
            <w:shd w:val="clear" w:color="auto" w:fill="auto"/>
            <w:noWrap/>
            <w:vAlign w:val="center"/>
            <w:hideMark/>
          </w:tcPr>
          <w:p w14:paraId="2092C1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96331151</w:t>
            </w:r>
          </w:p>
        </w:tc>
        <w:tc>
          <w:tcPr>
            <w:tcW w:w="160" w:type="dxa"/>
            <w:tcBorders>
              <w:top w:val="nil"/>
              <w:left w:val="nil"/>
              <w:bottom w:val="single" w:sz="4" w:space="0" w:color="auto"/>
              <w:right w:val="nil"/>
            </w:tcBorders>
            <w:vAlign w:val="center"/>
          </w:tcPr>
          <w:p w14:paraId="3908CC1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8A36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USTAVNO SODIŠČE REPUBLIKE SLOVENIJE</w:t>
            </w:r>
          </w:p>
        </w:tc>
      </w:tr>
      <w:tr w:rsidR="00072A69" w:rsidRPr="00DC6DF9" w14:paraId="3AC9A29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189E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1855</w:t>
            </w:r>
          </w:p>
        </w:tc>
        <w:tc>
          <w:tcPr>
            <w:tcW w:w="1036" w:type="dxa"/>
            <w:tcBorders>
              <w:top w:val="nil"/>
              <w:left w:val="nil"/>
              <w:bottom w:val="single" w:sz="4" w:space="0" w:color="auto"/>
              <w:right w:val="single" w:sz="4" w:space="0" w:color="auto"/>
            </w:tcBorders>
            <w:shd w:val="clear" w:color="auto" w:fill="auto"/>
            <w:noWrap/>
            <w:vAlign w:val="center"/>
            <w:hideMark/>
          </w:tcPr>
          <w:p w14:paraId="4A8E4D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5642973000</w:t>
            </w:r>
          </w:p>
        </w:tc>
        <w:tc>
          <w:tcPr>
            <w:tcW w:w="1036" w:type="dxa"/>
            <w:tcBorders>
              <w:top w:val="nil"/>
              <w:left w:val="nil"/>
              <w:bottom w:val="single" w:sz="4" w:space="0" w:color="auto"/>
              <w:right w:val="single" w:sz="4" w:space="0" w:color="auto"/>
            </w:tcBorders>
            <w:shd w:val="clear" w:color="auto" w:fill="auto"/>
            <w:noWrap/>
            <w:vAlign w:val="center"/>
            <w:hideMark/>
          </w:tcPr>
          <w:p w14:paraId="5050E0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45354391</w:t>
            </w:r>
          </w:p>
        </w:tc>
        <w:tc>
          <w:tcPr>
            <w:tcW w:w="160" w:type="dxa"/>
            <w:tcBorders>
              <w:top w:val="nil"/>
              <w:left w:val="nil"/>
              <w:bottom w:val="single" w:sz="4" w:space="0" w:color="auto"/>
              <w:right w:val="nil"/>
            </w:tcBorders>
            <w:vAlign w:val="center"/>
          </w:tcPr>
          <w:p w14:paraId="49C199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276E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VALVASORJEVA KNJIŽNICA KRŠKO</w:t>
            </w:r>
          </w:p>
        </w:tc>
      </w:tr>
      <w:tr w:rsidR="00072A69" w:rsidRPr="00DC6DF9" w14:paraId="13EF0A8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6E72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1856</w:t>
            </w:r>
          </w:p>
        </w:tc>
        <w:tc>
          <w:tcPr>
            <w:tcW w:w="1036" w:type="dxa"/>
            <w:tcBorders>
              <w:top w:val="nil"/>
              <w:left w:val="nil"/>
              <w:bottom w:val="single" w:sz="4" w:space="0" w:color="auto"/>
              <w:right w:val="single" w:sz="4" w:space="0" w:color="auto"/>
            </w:tcBorders>
            <w:shd w:val="clear" w:color="auto" w:fill="auto"/>
            <w:noWrap/>
            <w:vAlign w:val="center"/>
            <w:hideMark/>
          </w:tcPr>
          <w:p w14:paraId="7C1C89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3956601000</w:t>
            </w:r>
          </w:p>
        </w:tc>
        <w:tc>
          <w:tcPr>
            <w:tcW w:w="1036" w:type="dxa"/>
            <w:tcBorders>
              <w:top w:val="nil"/>
              <w:left w:val="nil"/>
              <w:bottom w:val="single" w:sz="4" w:space="0" w:color="auto"/>
              <w:right w:val="single" w:sz="4" w:space="0" w:color="auto"/>
            </w:tcBorders>
            <w:shd w:val="clear" w:color="auto" w:fill="auto"/>
            <w:noWrap/>
            <w:vAlign w:val="center"/>
            <w:hideMark/>
          </w:tcPr>
          <w:p w14:paraId="6DD0A1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97308285</w:t>
            </w:r>
          </w:p>
        </w:tc>
        <w:tc>
          <w:tcPr>
            <w:tcW w:w="160" w:type="dxa"/>
            <w:tcBorders>
              <w:top w:val="nil"/>
              <w:left w:val="nil"/>
              <w:bottom w:val="single" w:sz="4" w:space="0" w:color="auto"/>
              <w:right w:val="nil"/>
            </w:tcBorders>
            <w:vAlign w:val="center"/>
          </w:tcPr>
          <w:p w14:paraId="77C78DF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D9EE6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VARAŠ, D. O. O. </w:t>
            </w:r>
          </w:p>
        </w:tc>
      </w:tr>
      <w:tr w:rsidR="00072A69" w:rsidRPr="00DC6DF9" w14:paraId="0690EA8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74B4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1857</w:t>
            </w:r>
          </w:p>
        </w:tc>
        <w:tc>
          <w:tcPr>
            <w:tcW w:w="1036" w:type="dxa"/>
            <w:tcBorders>
              <w:top w:val="nil"/>
              <w:left w:val="nil"/>
              <w:bottom w:val="single" w:sz="4" w:space="0" w:color="auto"/>
              <w:right w:val="single" w:sz="4" w:space="0" w:color="auto"/>
            </w:tcBorders>
            <w:shd w:val="clear" w:color="auto" w:fill="auto"/>
            <w:noWrap/>
            <w:vAlign w:val="center"/>
            <w:hideMark/>
          </w:tcPr>
          <w:p w14:paraId="1C3DF8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2210665000</w:t>
            </w:r>
          </w:p>
        </w:tc>
        <w:tc>
          <w:tcPr>
            <w:tcW w:w="1036" w:type="dxa"/>
            <w:tcBorders>
              <w:top w:val="nil"/>
              <w:left w:val="nil"/>
              <w:bottom w:val="single" w:sz="4" w:space="0" w:color="auto"/>
              <w:right w:val="single" w:sz="4" w:space="0" w:color="auto"/>
            </w:tcBorders>
            <w:shd w:val="clear" w:color="auto" w:fill="auto"/>
            <w:noWrap/>
            <w:vAlign w:val="center"/>
            <w:hideMark/>
          </w:tcPr>
          <w:p w14:paraId="106026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56891407</w:t>
            </w:r>
          </w:p>
        </w:tc>
        <w:tc>
          <w:tcPr>
            <w:tcW w:w="160" w:type="dxa"/>
            <w:tcBorders>
              <w:top w:val="nil"/>
              <w:left w:val="nil"/>
              <w:bottom w:val="single" w:sz="4" w:space="0" w:color="auto"/>
              <w:right w:val="nil"/>
            </w:tcBorders>
            <w:vAlign w:val="center"/>
          </w:tcPr>
          <w:p w14:paraId="53A6DC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614B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AJDOVŠČINA-VIPAVA</w:t>
            </w:r>
          </w:p>
        </w:tc>
      </w:tr>
      <w:tr w:rsidR="00072A69" w:rsidRPr="00DC6DF9" w14:paraId="516D511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824F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1858</w:t>
            </w:r>
          </w:p>
        </w:tc>
        <w:tc>
          <w:tcPr>
            <w:tcW w:w="1036" w:type="dxa"/>
            <w:tcBorders>
              <w:top w:val="nil"/>
              <w:left w:val="nil"/>
              <w:bottom w:val="single" w:sz="4" w:space="0" w:color="auto"/>
              <w:right w:val="single" w:sz="4" w:space="0" w:color="auto"/>
            </w:tcBorders>
            <w:shd w:val="clear" w:color="auto" w:fill="auto"/>
            <w:noWrap/>
            <w:vAlign w:val="center"/>
            <w:hideMark/>
          </w:tcPr>
          <w:p w14:paraId="22236C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1657674000</w:t>
            </w:r>
          </w:p>
        </w:tc>
        <w:tc>
          <w:tcPr>
            <w:tcW w:w="1036" w:type="dxa"/>
            <w:tcBorders>
              <w:top w:val="nil"/>
              <w:left w:val="nil"/>
              <w:bottom w:val="single" w:sz="4" w:space="0" w:color="auto"/>
              <w:right w:val="single" w:sz="4" w:space="0" w:color="auto"/>
            </w:tcBorders>
            <w:shd w:val="clear" w:color="auto" w:fill="auto"/>
            <w:noWrap/>
            <w:vAlign w:val="center"/>
            <w:hideMark/>
          </w:tcPr>
          <w:p w14:paraId="440C02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98463756</w:t>
            </w:r>
          </w:p>
        </w:tc>
        <w:tc>
          <w:tcPr>
            <w:tcW w:w="160" w:type="dxa"/>
            <w:tcBorders>
              <w:top w:val="nil"/>
              <w:left w:val="nil"/>
              <w:bottom w:val="single" w:sz="4" w:space="0" w:color="auto"/>
              <w:right w:val="nil"/>
            </w:tcBorders>
            <w:vAlign w:val="center"/>
          </w:tcPr>
          <w:p w14:paraId="1BBD91C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28EF5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ČRNOMELJ</w:t>
            </w:r>
          </w:p>
        </w:tc>
      </w:tr>
      <w:tr w:rsidR="00072A69" w:rsidRPr="00DC6DF9" w14:paraId="7CE9B5B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CDE4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1859</w:t>
            </w:r>
          </w:p>
        </w:tc>
        <w:tc>
          <w:tcPr>
            <w:tcW w:w="1036" w:type="dxa"/>
            <w:tcBorders>
              <w:top w:val="nil"/>
              <w:left w:val="nil"/>
              <w:bottom w:val="single" w:sz="4" w:space="0" w:color="auto"/>
              <w:right w:val="single" w:sz="4" w:space="0" w:color="auto"/>
            </w:tcBorders>
            <w:shd w:val="clear" w:color="auto" w:fill="auto"/>
            <w:noWrap/>
            <w:vAlign w:val="center"/>
            <w:hideMark/>
          </w:tcPr>
          <w:p w14:paraId="1ABF60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5110742000</w:t>
            </w:r>
          </w:p>
        </w:tc>
        <w:tc>
          <w:tcPr>
            <w:tcW w:w="1036" w:type="dxa"/>
            <w:tcBorders>
              <w:top w:val="nil"/>
              <w:left w:val="nil"/>
              <w:bottom w:val="single" w:sz="4" w:space="0" w:color="auto"/>
              <w:right w:val="single" w:sz="4" w:space="0" w:color="auto"/>
            </w:tcBorders>
            <w:shd w:val="clear" w:color="auto" w:fill="auto"/>
            <w:noWrap/>
            <w:vAlign w:val="center"/>
            <w:hideMark/>
          </w:tcPr>
          <w:p w14:paraId="3AE384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82673438</w:t>
            </w:r>
          </w:p>
        </w:tc>
        <w:tc>
          <w:tcPr>
            <w:tcW w:w="160" w:type="dxa"/>
            <w:tcBorders>
              <w:top w:val="nil"/>
              <w:left w:val="nil"/>
              <w:bottom w:val="single" w:sz="4" w:space="0" w:color="auto"/>
              <w:right w:val="nil"/>
            </w:tcBorders>
            <w:vAlign w:val="center"/>
          </w:tcPr>
          <w:p w14:paraId="4560E33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0F9DE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INCE</w:t>
            </w:r>
          </w:p>
        </w:tc>
      </w:tr>
      <w:tr w:rsidR="00072A69" w:rsidRPr="00DC6DF9" w14:paraId="6A32782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ECE6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1860</w:t>
            </w:r>
          </w:p>
        </w:tc>
        <w:tc>
          <w:tcPr>
            <w:tcW w:w="1036" w:type="dxa"/>
            <w:tcBorders>
              <w:top w:val="nil"/>
              <w:left w:val="nil"/>
              <w:bottom w:val="single" w:sz="4" w:space="0" w:color="auto"/>
              <w:right w:val="single" w:sz="4" w:space="0" w:color="auto"/>
            </w:tcBorders>
            <w:shd w:val="clear" w:color="auto" w:fill="auto"/>
            <w:noWrap/>
            <w:vAlign w:val="center"/>
            <w:hideMark/>
          </w:tcPr>
          <w:p w14:paraId="1761FE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1673939000</w:t>
            </w:r>
          </w:p>
        </w:tc>
        <w:tc>
          <w:tcPr>
            <w:tcW w:w="1036" w:type="dxa"/>
            <w:tcBorders>
              <w:top w:val="nil"/>
              <w:left w:val="nil"/>
              <w:bottom w:val="single" w:sz="4" w:space="0" w:color="auto"/>
              <w:right w:val="single" w:sz="4" w:space="0" w:color="auto"/>
            </w:tcBorders>
            <w:shd w:val="clear" w:color="auto" w:fill="auto"/>
            <w:noWrap/>
            <w:vAlign w:val="center"/>
            <w:hideMark/>
          </w:tcPr>
          <w:p w14:paraId="25717B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36349208</w:t>
            </w:r>
          </w:p>
        </w:tc>
        <w:tc>
          <w:tcPr>
            <w:tcW w:w="160" w:type="dxa"/>
            <w:tcBorders>
              <w:top w:val="nil"/>
              <w:left w:val="nil"/>
              <w:bottom w:val="single" w:sz="4" w:space="0" w:color="auto"/>
              <w:right w:val="nil"/>
            </w:tcBorders>
            <w:vAlign w:val="center"/>
          </w:tcPr>
          <w:p w14:paraId="0D959C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95A0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KOPER</w:t>
            </w:r>
          </w:p>
        </w:tc>
      </w:tr>
      <w:tr w:rsidR="00072A69" w:rsidRPr="00DC6DF9" w14:paraId="437ABF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38E2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1861</w:t>
            </w:r>
          </w:p>
        </w:tc>
        <w:tc>
          <w:tcPr>
            <w:tcW w:w="1036" w:type="dxa"/>
            <w:tcBorders>
              <w:top w:val="nil"/>
              <w:left w:val="nil"/>
              <w:bottom w:val="single" w:sz="4" w:space="0" w:color="auto"/>
              <w:right w:val="single" w:sz="4" w:space="0" w:color="auto"/>
            </w:tcBorders>
            <w:shd w:val="clear" w:color="auto" w:fill="auto"/>
            <w:noWrap/>
            <w:vAlign w:val="center"/>
            <w:hideMark/>
          </w:tcPr>
          <w:p w14:paraId="7A4A19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1459546000</w:t>
            </w:r>
          </w:p>
        </w:tc>
        <w:tc>
          <w:tcPr>
            <w:tcW w:w="1036" w:type="dxa"/>
            <w:tcBorders>
              <w:top w:val="nil"/>
              <w:left w:val="nil"/>
              <w:bottom w:val="single" w:sz="4" w:space="0" w:color="auto"/>
              <w:right w:val="single" w:sz="4" w:space="0" w:color="auto"/>
            </w:tcBorders>
            <w:shd w:val="clear" w:color="auto" w:fill="auto"/>
            <w:noWrap/>
            <w:vAlign w:val="center"/>
            <w:hideMark/>
          </w:tcPr>
          <w:p w14:paraId="07CA3A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52134075</w:t>
            </w:r>
          </w:p>
        </w:tc>
        <w:tc>
          <w:tcPr>
            <w:tcW w:w="160" w:type="dxa"/>
            <w:tcBorders>
              <w:top w:val="nil"/>
              <w:left w:val="nil"/>
              <w:bottom w:val="single" w:sz="4" w:space="0" w:color="auto"/>
              <w:right w:val="nil"/>
            </w:tcBorders>
            <w:vAlign w:val="center"/>
          </w:tcPr>
          <w:p w14:paraId="742E89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5C2E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KRANJ</w:t>
            </w:r>
          </w:p>
        </w:tc>
      </w:tr>
      <w:tr w:rsidR="00072A69" w:rsidRPr="00DC6DF9" w14:paraId="2ADCEF5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241B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1862</w:t>
            </w:r>
          </w:p>
        </w:tc>
        <w:tc>
          <w:tcPr>
            <w:tcW w:w="1036" w:type="dxa"/>
            <w:tcBorders>
              <w:top w:val="nil"/>
              <w:left w:val="nil"/>
              <w:bottom w:val="single" w:sz="4" w:space="0" w:color="auto"/>
              <w:right w:val="single" w:sz="4" w:space="0" w:color="auto"/>
            </w:tcBorders>
            <w:shd w:val="clear" w:color="auto" w:fill="auto"/>
            <w:noWrap/>
            <w:vAlign w:val="center"/>
            <w:hideMark/>
          </w:tcPr>
          <w:p w14:paraId="1F4E98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1483366000</w:t>
            </w:r>
          </w:p>
        </w:tc>
        <w:tc>
          <w:tcPr>
            <w:tcW w:w="1036" w:type="dxa"/>
            <w:tcBorders>
              <w:top w:val="nil"/>
              <w:left w:val="nil"/>
              <w:bottom w:val="single" w:sz="4" w:space="0" w:color="auto"/>
              <w:right w:val="single" w:sz="4" w:space="0" w:color="auto"/>
            </w:tcBorders>
            <w:shd w:val="clear" w:color="auto" w:fill="auto"/>
            <w:noWrap/>
            <w:vAlign w:val="center"/>
            <w:hideMark/>
          </w:tcPr>
          <w:p w14:paraId="2530BF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90278445</w:t>
            </w:r>
          </w:p>
        </w:tc>
        <w:tc>
          <w:tcPr>
            <w:tcW w:w="160" w:type="dxa"/>
            <w:tcBorders>
              <w:top w:val="nil"/>
              <w:left w:val="nil"/>
              <w:bottom w:val="single" w:sz="4" w:space="0" w:color="auto"/>
              <w:right w:val="nil"/>
            </w:tcBorders>
            <w:vAlign w:val="center"/>
          </w:tcPr>
          <w:p w14:paraId="5A2E8FF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5534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KRŠKO-LESKOVEC</w:t>
            </w:r>
          </w:p>
        </w:tc>
      </w:tr>
      <w:tr w:rsidR="00072A69" w:rsidRPr="00DC6DF9" w14:paraId="5F75AE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D5FA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1863</w:t>
            </w:r>
          </w:p>
        </w:tc>
        <w:tc>
          <w:tcPr>
            <w:tcW w:w="1036" w:type="dxa"/>
            <w:tcBorders>
              <w:top w:val="nil"/>
              <w:left w:val="nil"/>
              <w:bottom w:val="single" w:sz="4" w:space="0" w:color="auto"/>
              <w:right w:val="single" w:sz="4" w:space="0" w:color="auto"/>
            </w:tcBorders>
            <w:shd w:val="clear" w:color="auto" w:fill="auto"/>
            <w:noWrap/>
            <w:vAlign w:val="center"/>
            <w:hideMark/>
          </w:tcPr>
          <w:p w14:paraId="43FBA9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1491407000</w:t>
            </w:r>
          </w:p>
        </w:tc>
        <w:tc>
          <w:tcPr>
            <w:tcW w:w="1036" w:type="dxa"/>
            <w:tcBorders>
              <w:top w:val="nil"/>
              <w:left w:val="nil"/>
              <w:bottom w:val="single" w:sz="4" w:space="0" w:color="auto"/>
              <w:right w:val="single" w:sz="4" w:space="0" w:color="auto"/>
            </w:tcBorders>
            <w:shd w:val="clear" w:color="auto" w:fill="auto"/>
            <w:noWrap/>
            <w:vAlign w:val="center"/>
            <w:hideMark/>
          </w:tcPr>
          <w:p w14:paraId="289AFA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17110424</w:t>
            </w:r>
          </w:p>
        </w:tc>
        <w:tc>
          <w:tcPr>
            <w:tcW w:w="160" w:type="dxa"/>
            <w:tcBorders>
              <w:top w:val="nil"/>
              <w:left w:val="nil"/>
              <w:bottom w:val="single" w:sz="4" w:space="0" w:color="auto"/>
              <w:right w:val="nil"/>
            </w:tcBorders>
            <w:vAlign w:val="center"/>
          </w:tcPr>
          <w:p w14:paraId="5C8B4F5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706F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MURSKA SOBOTA</w:t>
            </w:r>
          </w:p>
        </w:tc>
      </w:tr>
      <w:tr w:rsidR="00072A69" w:rsidRPr="00DC6DF9" w14:paraId="77F83DE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AC8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1864</w:t>
            </w:r>
          </w:p>
        </w:tc>
        <w:tc>
          <w:tcPr>
            <w:tcW w:w="1036" w:type="dxa"/>
            <w:tcBorders>
              <w:top w:val="nil"/>
              <w:left w:val="nil"/>
              <w:bottom w:val="single" w:sz="4" w:space="0" w:color="auto"/>
              <w:right w:val="single" w:sz="4" w:space="0" w:color="auto"/>
            </w:tcBorders>
            <w:shd w:val="clear" w:color="auto" w:fill="auto"/>
            <w:noWrap/>
            <w:vAlign w:val="center"/>
            <w:hideMark/>
          </w:tcPr>
          <w:p w14:paraId="36BE27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2192993000</w:t>
            </w:r>
          </w:p>
        </w:tc>
        <w:tc>
          <w:tcPr>
            <w:tcW w:w="1036" w:type="dxa"/>
            <w:tcBorders>
              <w:top w:val="nil"/>
              <w:left w:val="nil"/>
              <w:bottom w:val="single" w:sz="4" w:space="0" w:color="auto"/>
              <w:right w:val="single" w:sz="4" w:space="0" w:color="auto"/>
            </w:tcBorders>
            <w:shd w:val="clear" w:color="auto" w:fill="auto"/>
            <w:noWrap/>
            <w:vAlign w:val="center"/>
            <w:hideMark/>
          </w:tcPr>
          <w:p w14:paraId="37FC0B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59761750</w:t>
            </w:r>
          </w:p>
        </w:tc>
        <w:tc>
          <w:tcPr>
            <w:tcW w:w="160" w:type="dxa"/>
            <w:tcBorders>
              <w:top w:val="nil"/>
              <w:left w:val="nil"/>
              <w:bottom w:val="single" w:sz="4" w:space="0" w:color="auto"/>
              <w:right w:val="nil"/>
            </w:tcBorders>
            <w:vAlign w:val="center"/>
          </w:tcPr>
          <w:p w14:paraId="5B435B6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1698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NOVA GORICA</w:t>
            </w:r>
          </w:p>
        </w:tc>
      </w:tr>
      <w:tr w:rsidR="00072A69" w:rsidRPr="00DC6DF9" w14:paraId="398A3DE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6BF4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1865</w:t>
            </w:r>
          </w:p>
        </w:tc>
        <w:tc>
          <w:tcPr>
            <w:tcW w:w="1036" w:type="dxa"/>
            <w:tcBorders>
              <w:top w:val="nil"/>
              <w:left w:val="nil"/>
              <w:bottom w:val="single" w:sz="4" w:space="0" w:color="auto"/>
              <w:right w:val="single" w:sz="4" w:space="0" w:color="auto"/>
            </w:tcBorders>
            <w:shd w:val="clear" w:color="auto" w:fill="auto"/>
            <w:noWrap/>
            <w:vAlign w:val="center"/>
            <w:hideMark/>
          </w:tcPr>
          <w:p w14:paraId="0D8534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1462407000</w:t>
            </w:r>
          </w:p>
        </w:tc>
        <w:tc>
          <w:tcPr>
            <w:tcW w:w="1036" w:type="dxa"/>
            <w:tcBorders>
              <w:top w:val="nil"/>
              <w:left w:val="nil"/>
              <w:bottom w:val="single" w:sz="4" w:space="0" w:color="auto"/>
              <w:right w:val="single" w:sz="4" w:space="0" w:color="auto"/>
            </w:tcBorders>
            <w:shd w:val="clear" w:color="auto" w:fill="auto"/>
            <w:noWrap/>
            <w:vAlign w:val="center"/>
            <w:hideMark/>
          </w:tcPr>
          <w:p w14:paraId="4A2EA9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47830719</w:t>
            </w:r>
          </w:p>
        </w:tc>
        <w:tc>
          <w:tcPr>
            <w:tcW w:w="160" w:type="dxa"/>
            <w:tcBorders>
              <w:top w:val="nil"/>
              <w:left w:val="nil"/>
              <w:bottom w:val="single" w:sz="4" w:space="0" w:color="auto"/>
              <w:right w:val="nil"/>
            </w:tcBorders>
            <w:vAlign w:val="center"/>
          </w:tcPr>
          <w:p w14:paraId="7B205B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561C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NOVO MESTO</w:t>
            </w:r>
          </w:p>
        </w:tc>
      </w:tr>
      <w:tr w:rsidR="00072A69" w:rsidRPr="00DC6DF9" w14:paraId="6B568A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7589E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1866</w:t>
            </w:r>
          </w:p>
        </w:tc>
        <w:tc>
          <w:tcPr>
            <w:tcW w:w="1036" w:type="dxa"/>
            <w:tcBorders>
              <w:top w:val="nil"/>
              <w:left w:val="nil"/>
              <w:bottom w:val="single" w:sz="4" w:space="0" w:color="auto"/>
              <w:right w:val="single" w:sz="4" w:space="0" w:color="auto"/>
            </w:tcBorders>
            <w:shd w:val="clear" w:color="auto" w:fill="auto"/>
            <w:noWrap/>
            <w:vAlign w:val="center"/>
            <w:hideMark/>
          </w:tcPr>
          <w:p w14:paraId="43384B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5821401000</w:t>
            </w:r>
          </w:p>
        </w:tc>
        <w:tc>
          <w:tcPr>
            <w:tcW w:w="1036" w:type="dxa"/>
            <w:tcBorders>
              <w:top w:val="nil"/>
              <w:left w:val="nil"/>
              <w:bottom w:val="single" w:sz="4" w:space="0" w:color="auto"/>
              <w:right w:val="single" w:sz="4" w:space="0" w:color="auto"/>
            </w:tcBorders>
            <w:shd w:val="clear" w:color="auto" w:fill="auto"/>
            <w:noWrap/>
            <w:vAlign w:val="center"/>
            <w:hideMark/>
          </w:tcPr>
          <w:p w14:paraId="61B8D6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95649379</w:t>
            </w:r>
          </w:p>
        </w:tc>
        <w:tc>
          <w:tcPr>
            <w:tcW w:w="160" w:type="dxa"/>
            <w:tcBorders>
              <w:top w:val="nil"/>
              <w:left w:val="nil"/>
              <w:bottom w:val="single" w:sz="4" w:space="0" w:color="auto"/>
              <w:right w:val="nil"/>
            </w:tcBorders>
            <w:vAlign w:val="center"/>
          </w:tcPr>
          <w:p w14:paraId="0B0B618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AA03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POLŽ MARIBOR</w:t>
            </w:r>
          </w:p>
        </w:tc>
      </w:tr>
      <w:tr w:rsidR="00072A69" w:rsidRPr="00DC6DF9" w14:paraId="669383D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FE6C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1867</w:t>
            </w:r>
          </w:p>
        </w:tc>
        <w:tc>
          <w:tcPr>
            <w:tcW w:w="1036" w:type="dxa"/>
            <w:tcBorders>
              <w:top w:val="nil"/>
              <w:left w:val="nil"/>
              <w:bottom w:val="single" w:sz="4" w:space="0" w:color="auto"/>
              <w:right w:val="single" w:sz="4" w:space="0" w:color="auto"/>
            </w:tcBorders>
            <w:shd w:val="clear" w:color="auto" w:fill="auto"/>
            <w:noWrap/>
            <w:vAlign w:val="center"/>
            <w:hideMark/>
          </w:tcPr>
          <w:p w14:paraId="488535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1821474000</w:t>
            </w:r>
          </w:p>
        </w:tc>
        <w:tc>
          <w:tcPr>
            <w:tcW w:w="1036" w:type="dxa"/>
            <w:tcBorders>
              <w:top w:val="nil"/>
              <w:left w:val="nil"/>
              <w:bottom w:val="single" w:sz="4" w:space="0" w:color="auto"/>
              <w:right w:val="single" w:sz="4" w:space="0" w:color="auto"/>
            </w:tcBorders>
            <w:shd w:val="clear" w:color="auto" w:fill="auto"/>
            <w:noWrap/>
            <w:vAlign w:val="center"/>
            <w:hideMark/>
          </w:tcPr>
          <w:p w14:paraId="396CC6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50456717</w:t>
            </w:r>
          </w:p>
        </w:tc>
        <w:tc>
          <w:tcPr>
            <w:tcW w:w="160" w:type="dxa"/>
            <w:tcBorders>
              <w:top w:val="nil"/>
              <w:left w:val="nil"/>
              <w:bottom w:val="single" w:sz="4" w:space="0" w:color="auto"/>
              <w:right w:val="nil"/>
            </w:tcBorders>
            <w:vAlign w:val="center"/>
          </w:tcPr>
          <w:p w14:paraId="1CFB464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C3BF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SAŠA</w:t>
            </w:r>
          </w:p>
        </w:tc>
      </w:tr>
      <w:tr w:rsidR="00072A69" w:rsidRPr="00DC6DF9" w14:paraId="2A98F71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351D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1868</w:t>
            </w:r>
          </w:p>
        </w:tc>
        <w:tc>
          <w:tcPr>
            <w:tcW w:w="1036" w:type="dxa"/>
            <w:tcBorders>
              <w:top w:val="nil"/>
              <w:left w:val="nil"/>
              <w:bottom w:val="single" w:sz="4" w:space="0" w:color="auto"/>
              <w:right w:val="single" w:sz="4" w:space="0" w:color="auto"/>
            </w:tcBorders>
            <w:shd w:val="clear" w:color="auto" w:fill="auto"/>
            <w:noWrap/>
            <w:vAlign w:val="center"/>
            <w:hideMark/>
          </w:tcPr>
          <w:p w14:paraId="44BC8E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1781740000</w:t>
            </w:r>
          </w:p>
        </w:tc>
        <w:tc>
          <w:tcPr>
            <w:tcW w:w="1036" w:type="dxa"/>
            <w:tcBorders>
              <w:top w:val="nil"/>
              <w:left w:val="nil"/>
              <w:bottom w:val="single" w:sz="4" w:space="0" w:color="auto"/>
              <w:right w:val="single" w:sz="4" w:space="0" w:color="auto"/>
            </w:tcBorders>
            <w:shd w:val="clear" w:color="auto" w:fill="auto"/>
            <w:noWrap/>
            <w:vAlign w:val="center"/>
            <w:hideMark/>
          </w:tcPr>
          <w:p w14:paraId="10A580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59634979</w:t>
            </w:r>
          </w:p>
        </w:tc>
        <w:tc>
          <w:tcPr>
            <w:tcW w:w="160" w:type="dxa"/>
            <w:tcBorders>
              <w:top w:val="nil"/>
              <w:left w:val="nil"/>
              <w:bottom w:val="single" w:sz="4" w:space="0" w:color="auto"/>
              <w:right w:val="nil"/>
            </w:tcBorders>
            <w:vAlign w:val="center"/>
          </w:tcPr>
          <w:p w14:paraId="3835DF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BFCF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ŠENTJUR</w:t>
            </w:r>
          </w:p>
        </w:tc>
      </w:tr>
      <w:tr w:rsidR="00072A69" w:rsidRPr="00DC6DF9" w14:paraId="26A742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4B08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1869</w:t>
            </w:r>
          </w:p>
        </w:tc>
        <w:tc>
          <w:tcPr>
            <w:tcW w:w="1036" w:type="dxa"/>
            <w:tcBorders>
              <w:top w:val="nil"/>
              <w:left w:val="nil"/>
              <w:bottom w:val="single" w:sz="4" w:space="0" w:color="auto"/>
              <w:right w:val="single" w:sz="4" w:space="0" w:color="auto"/>
            </w:tcBorders>
            <w:shd w:val="clear" w:color="auto" w:fill="auto"/>
            <w:noWrap/>
            <w:vAlign w:val="center"/>
            <w:hideMark/>
          </w:tcPr>
          <w:p w14:paraId="5E9552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1614452000</w:t>
            </w:r>
          </w:p>
        </w:tc>
        <w:tc>
          <w:tcPr>
            <w:tcW w:w="1036" w:type="dxa"/>
            <w:tcBorders>
              <w:top w:val="nil"/>
              <w:left w:val="nil"/>
              <w:bottom w:val="single" w:sz="4" w:space="0" w:color="auto"/>
              <w:right w:val="single" w:sz="4" w:space="0" w:color="auto"/>
            </w:tcBorders>
            <w:shd w:val="clear" w:color="auto" w:fill="auto"/>
            <w:noWrap/>
            <w:vAlign w:val="center"/>
            <w:hideMark/>
          </w:tcPr>
          <w:p w14:paraId="218294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88373584</w:t>
            </w:r>
          </w:p>
        </w:tc>
        <w:tc>
          <w:tcPr>
            <w:tcW w:w="160" w:type="dxa"/>
            <w:tcBorders>
              <w:top w:val="nil"/>
              <w:left w:val="nil"/>
              <w:bottom w:val="single" w:sz="4" w:space="0" w:color="auto"/>
              <w:right w:val="nil"/>
            </w:tcBorders>
            <w:vAlign w:val="center"/>
          </w:tcPr>
          <w:p w14:paraId="298DDE9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A09C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TOLMIN</w:t>
            </w:r>
          </w:p>
        </w:tc>
      </w:tr>
      <w:tr w:rsidR="00072A69" w:rsidRPr="00DC6DF9" w14:paraId="49F337F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A3CF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1870</w:t>
            </w:r>
          </w:p>
        </w:tc>
        <w:tc>
          <w:tcPr>
            <w:tcW w:w="1036" w:type="dxa"/>
            <w:tcBorders>
              <w:top w:val="nil"/>
              <w:left w:val="nil"/>
              <w:bottom w:val="single" w:sz="4" w:space="0" w:color="auto"/>
              <w:right w:val="single" w:sz="4" w:space="0" w:color="auto"/>
            </w:tcBorders>
            <w:shd w:val="clear" w:color="auto" w:fill="auto"/>
            <w:noWrap/>
            <w:vAlign w:val="center"/>
            <w:hideMark/>
          </w:tcPr>
          <w:p w14:paraId="1C53E9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5055342000</w:t>
            </w:r>
          </w:p>
        </w:tc>
        <w:tc>
          <w:tcPr>
            <w:tcW w:w="1036" w:type="dxa"/>
            <w:tcBorders>
              <w:top w:val="nil"/>
              <w:left w:val="nil"/>
              <w:bottom w:val="single" w:sz="4" w:space="0" w:color="auto"/>
              <w:right w:val="single" w:sz="4" w:space="0" w:color="auto"/>
            </w:tcBorders>
            <w:shd w:val="clear" w:color="auto" w:fill="auto"/>
            <w:noWrap/>
            <w:vAlign w:val="center"/>
            <w:hideMark/>
          </w:tcPr>
          <w:p w14:paraId="5A3D45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13423983</w:t>
            </w:r>
          </w:p>
        </w:tc>
        <w:tc>
          <w:tcPr>
            <w:tcW w:w="160" w:type="dxa"/>
            <w:tcBorders>
              <w:top w:val="nil"/>
              <w:left w:val="nil"/>
              <w:bottom w:val="single" w:sz="4" w:space="0" w:color="auto"/>
              <w:right w:val="nil"/>
            </w:tcBorders>
            <w:vAlign w:val="center"/>
          </w:tcPr>
          <w:p w14:paraId="7BB330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541D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TONČKE HOČEVAR</w:t>
            </w:r>
          </w:p>
        </w:tc>
      </w:tr>
      <w:tr w:rsidR="00072A69" w:rsidRPr="00DC6DF9" w14:paraId="32AA03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B76B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1871</w:t>
            </w:r>
          </w:p>
        </w:tc>
        <w:tc>
          <w:tcPr>
            <w:tcW w:w="1036" w:type="dxa"/>
            <w:tcBorders>
              <w:top w:val="nil"/>
              <w:left w:val="nil"/>
              <w:bottom w:val="single" w:sz="4" w:space="0" w:color="auto"/>
              <w:right w:val="single" w:sz="4" w:space="0" w:color="auto"/>
            </w:tcBorders>
            <w:shd w:val="clear" w:color="auto" w:fill="auto"/>
            <w:noWrap/>
            <w:vAlign w:val="center"/>
            <w:hideMark/>
          </w:tcPr>
          <w:p w14:paraId="21988D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2025949000</w:t>
            </w:r>
          </w:p>
        </w:tc>
        <w:tc>
          <w:tcPr>
            <w:tcW w:w="1036" w:type="dxa"/>
            <w:tcBorders>
              <w:top w:val="nil"/>
              <w:left w:val="nil"/>
              <w:bottom w:val="single" w:sz="4" w:space="0" w:color="auto"/>
              <w:right w:val="single" w:sz="4" w:space="0" w:color="auto"/>
            </w:tcBorders>
            <w:shd w:val="clear" w:color="auto" w:fill="auto"/>
            <w:noWrap/>
            <w:vAlign w:val="center"/>
            <w:hideMark/>
          </w:tcPr>
          <w:p w14:paraId="747DD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29071879</w:t>
            </w:r>
          </w:p>
        </w:tc>
        <w:tc>
          <w:tcPr>
            <w:tcW w:w="160" w:type="dxa"/>
            <w:tcBorders>
              <w:top w:val="nil"/>
              <w:left w:val="nil"/>
              <w:bottom w:val="single" w:sz="4" w:space="0" w:color="auto"/>
              <w:right w:val="nil"/>
            </w:tcBorders>
            <w:vAlign w:val="center"/>
          </w:tcPr>
          <w:p w14:paraId="1BA8A34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8C41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VRHNIKA-IDRIJA</w:t>
            </w:r>
          </w:p>
        </w:tc>
      </w:tr>
      <w:tr w:rsidR="00072A69" w:rsidRPr="00DC6DF9" w14:paraId="4ECD65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6626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1872</w:t>
            </w:r>
          </w:p>
        </w:tc>
        <w:tc>
          <w:tcPr>
            <w:tcW w:w="1036" w:type="dxa"/>
            <w:tcBorders>
              <w:top w:val="nil"/>
              <w:left w:val="nil"/>
              <w:bottom w:val="single" w:sz="4" w:space="0" w:color="auto"/>
              <w:right w:val="single" w:sz="4" w:space="0" w:color="auto"/>
            </w:tcBorders>
            <w:shd w:val="clear" w:color="auto" w:fill="auto"/>
            <w:noWrap/>
            <w:vAlign w:val="center"/>
            <w:hideMark/>
          </w:tcPr>
          <w:p w14:paraId="4CE63A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5549612000</w:t>
            </w:r>
          </w:p>
        </w:tc>
        <w:tc>
          <w:tcPr>
            <w:tcW w:w="1036" w:type="dxa"/>
            <w:tcBorders>
              <w:top w:val="nil"/>
              <w:left w:val="nil"/>
              <w:bottom w:val="single" w:sz="4" w:space="0" w:color="auto"/>
              <w:right w:val="single" w:sz="4" w:space="0" w:color="auto"/>
            </w:tcBorders>
            <w:shd w:val="clear" w:color="auto" w:fill="auto"/>
            <w:noWrap/>
            <w:vAlign w:val="center"/>
            <w:hideMark/>
          </w:tcPr>
          <w:p w14:paraId="374FB1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13699539</w:t>
            </w:r>
          </w:p>
        </w:tc>
        <w:tc>
          <w:tcPr>
            <w:tcW w:w="160" w:type="dxa"/>
            <w:tcBorders>
              <w:top w:val="nil"/>
              <w:left w:val="nil"/>
              <w:bottom w:val="single" w:sz="4" w:space="0" w:color="auto"/>
              <w:right w:val="nil"/>
            </w:tcBorders>
            <w:vAlign w:val="center"/>
          </w:tcPr>
          <w:p w14:paraId="076B254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80DD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VARSTVENO DELOVNI CENTER ZAGORJE OB SAVI</w:t>
            </w:r>
          </w:p>
        </w:tc>
      </w:tr>
      <w:tr w:rsidR="00072A69" w:rsidRPr="00DC6DF9" w14:paraId="3D59FE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B2E2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1873</w:t>
            </w:r>
          </w:p>
        </w:tc>
        <w:tc>
          <w:tcPr>
            <w:tcW w:w="1036" w:type="dxa"/>
            <w:tcBorders>
              <w:top w:val="nil"/>
              <w:left w:val="nil"/>
              <w:bottom w:val="single" w:sz="4" w:space="0" w:color="auto"/>
              <w:right w:val="single" w:sz="4" w:space="0" w:color="auto"/>
            </w:tcBorders>
            <w:shd w:val="clear" w:color="auto" w:fill="auto"/>
            <w:noWrap/>
            <w:vAlign w:val="center"/>
            <w:hideMark/>
          </w:tcPr>
          <w:p w14:paraId="419712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5855012000</w:t>
            </w:r>
          </w:p>
        </w:tc>
        <w:tc>
          <w:tcPr>
            <w:tcW w:w="1036" w:type="dxa"/>
            <w:tcBorders>
              <w:top w:val="nil"/>
              <w:left w:val="nil"/>
              <w:bottom w:val="single" w:sz="4" w:space="0" w:color="auto"/>
              <w:right w:val="single" w:sz="4" w:space="0" w:color="auto"/>
            </w:tcBorders>
            <w:shd w:val="clear" w:color="auto" w:fill="auto"/>
            <w:noWrap/>
            <w:vAlign w:val="center"/>
            <w:hideMark/>
          </w:tcPr>
          <w:p w14:paraId="5BB507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57006229</w:t>
            </w:r>
          </w:p>
        </w:tc>
        <w:tc>
          <w:tcPr>
            <w:tcW w:w="160" w:type="dxa"/>
            <w:tcBorders>
              <w:top w:val="nil"/>
              <w:left w:val="nil"/>
              <w:bottom w:val="single" w:sz="4" w:space="0" w:color="auto"/>
              <w:right w:val="nil"/>
            </w:tcBorders>
            <w:vAlign w:val="center"/>
          </w:tcPr>
          <w:p w14:paraId="4AF985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84C3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VARUH ČLOVEKOVIH PRAVIC</w:t>
            </w:r>
          </w:p>
        </w:tc>
      </w:tr>
      <w:tr w:rsidR="00072A69" w:rsidRPr="00DC6DF9" w14:paraId="0706548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8918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1874</w:t>
            </w:r>
          </w:p>
        </w:tc>
        <w:tc>
          <w:tcPr>
            <w:tcW w:w="1036" w:type="dxa"/>
            <w:tcBorders>
              <w:top w:val="nil"/>
              <w:left w:val="nil"/>
              <w:bottom w:val="single" w:sz="4" w:space="0" w:color="auto"/>
              <w:right w:val="single" w:sz="4" w:space="0" w:color="auto"/>
            </w:tcBorders>
            <w:shd w:val="clear" w:color="auto" w:fill="auto"/>
            <w:noWrap/>
            <w:vAlign w:val="center"/>
            <w:hideMark/>
          </w:tcPr>
          <w:p w14:paraId="6672A7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7067216000</w:t>
            </w:r>
          </w:p>
        </w:tc>
        <w:tc>
          <w:tcPr>
            <w:tcW w:w="1036" w:type="dxa"/>
            <w:tcBorders>
              <w:top w:val="nil"/>
              <w:left w:val="nil"/>
              <w:bottom w:val="single" w:sz="4" w:space="0" w:color="auto"/>
              <w:right w:val="single" w:sz="4" w:space="0" w:color="auto"/>
            </w:tcBorders>
            <w:shd w:val="clear" w:color="auto" w:fill="auto"/>
            <w:noWrap/>
            <w:vAlign w:val="center"/>
            <w:hideMark/>
          </w:tcPr>
          <w:p w14:paraId="578862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53705041</w:t>
            </w:r>
          </w:p>
        </w:tc>
        <w:tc>
          <w:tcPr>
            <w:tcW w:w="160" w:type="dxa"/>
            <w:tcBorders>
              <w:top w:val="nil"/>
              <w:left w:val="nil"/>
              <w:bottom w:val="single" w:sz="4" w:space="0" w:color="auto"/>
              <w:right w:val="nil"/>
            </w:tcBorders>
            <w:vAlign w:val="center"/>
          </w:tcPr>
          <w:p w14:paraId="2647FBE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297DD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VINARSKA ZADRUGA HALOZE, Z. O. O.</w:t>
            </w:r>
          </w:p>
        </w:tc>
      </w:tr>
      <w:tr w:rsidR="00072A69" w:rsidRPr="00DC6DF9" w14:paraId="082BC5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E52E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1875</w:t>
            </w:r>
          </w:p>
        </w:tc>
        <w:tc>
          <w:tcPr>
            <w:tcW w:w="1036" w:type="dxa"/>
            <w:tcBorders>
              <w:top w:val="nil"/>
              <w:left w:val="nil"/>
              <w:bottom w:val="single" w:sz="4" w:space="0" w:color="auto"/>
              <w:right w:val="single" w:sz="4" w:space="0" w:color="auto"/>
            </w:tcBorders>
            <w:shd w:val="clear" w:color="auto" w:fill="auto"/>
            <w:noWrap/>
            <w:vAlign w:val="center"/>
            <w:hideMark/>
          </w:tcPr>
          <w:p w14:paraId="2B23E0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1278096000</w:t>
            </w:r>
          </w:p>
        </w:tc>
        <w:tc>
          <w:tcPr>
            <w:tcW w:w="1036" w:type="dxa"/>
            <w:tcBorders>
              <w:top w:val="nil"/>
              <w:left w:val="nil"/>
              <w:bottom w:val="single" w:sz="4" w:space="0" w:color="auto"/>
              <w:right w:val="single" w:sz="4" w:space="0" w:color="auto"/>
            </w:tcBorders>
            <w:shd w:val="clear" w:color="auto" w:fill="auto"/>
            <w:noWrap/>
            <w:vAlign w:val="center"/>
            <w:hideMark/>
          </w:tcPr>
          <w:p w14:paraId="1A5C98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72005297</w:t>
            </w:r>
          </w:p>
        </w:tc>
        <w:tc>
          <w:tcPr>
            <w:tcW w:w="160" w:type="dxa"/>
            <w:tcBorders>
              <w:top w:val="nil"/>
              <w:left w:val="nil"/>
              <w:bottom w:val="single" w:sz="4" w:space="0" w:color="auto"/>
              <w:right w:val="nil"/>
            </w:tcBorders>
            <w:vAlign w:val="center"/>
          </w:tcPr>
          <w:p w14:paraId="6D4906D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996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VIŠJA STROKOVNA ŠOLA ZA GOSTINSTVO IN TURIZEM MARIBOR</w:t>
            </w:r>
          </w:p>
        </w:tc>
      </w:tr>
      <w:tr w:rsidR="00072A69" w:rsidRPr="00DC6DF9" w14:paraId="5379DBB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24D19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1876</w:t>
            </w:r>
          </w:p>
        </w:tc>
        <w:tc>
          <w:tcPr>
            <w:tcW w:w="1036" w:type="dxa"/>
            <w:tcBorders>
              <w:top w:val="nil"/>
              <w:left w:val="nil"/>
              <w:bottom w:val="single" w:sz="4" w:space="0" w:color="auto"/>
              <w:right w:val="single" w:sz="4" w:space="0" w:color="auto"/>
            </w:tcBorders>
            <w:shd w:val="clear" w:color="auto" w:fill="auto"/>
            <w:noWrap/>
            <w:vAlign w:val="center"/>
            <w:hideMark/>
          </w:tcPr>
          <w:p w14:paraId="32E8A3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5957656000</w:t>
            </w:r>
          </w:p>
        </w:tc>
        <w:tc>
          <w:tcPr>
            <w:tcW w:w="1036" w:type="dxa"/>
            <w:tcBorders>
              <w:top w:val="nil"/>
              <w:left w:val="nil"/>
              <w:bottom w:val="single" w:sz="4" w:space="0" w:color="auto"/>
              <w:right w:val="single" w:sz="4" w:space="0" w:color="auto"/>
            </w:tcBorders>
            <w:shd w:val="clear" w:color="auto" w:fill="auto"/>
            <w:noWrap/>
            <w:vAlign w:val="center"/>
            <w:hideMark/>
          </w:tcPr>
          <w:p w14:paraId="21D4DF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51691051</w:t>
            </w:r>
          </w:p>
        </w:tc>
        <w:tc>
          <w:tcPr>
            <w:tcW w:w="160" w:type="dxa"/>
            <w:tcBorders>
              <w:top w:val="nil"/>
              <w:left w:val="nil"/>
              <w:bottom w:val="single" w:sz="4" w:space="0" w:color="auto"/>
              <w:right w:val="nil"/>
            </w:tcBorders>
            <w:vAlign w:val="center"/>
          </w:tcPr>
          <w:p w14:paraId="7E7E047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7DF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VIŠJA STROKOVNA ŠOLA ZA GOSTINSTVO, VELNES IN TURIZEM BLED</w:t>
            </w:r>
          </w:p>
        </w:tc>
      </w:tr>
      <w:tr w:rsidR="00072A69" w:rsidRPr="00DC6DF9" w14:paraId="6B8D8B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EFF8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1877</w:t>
            </w:r>
          </w:p>
        </w:tc>
        <w:tc>
          <w:tcPr>
            <w:tcW w:w="1036" w:type="dxa"/>
            <w:tcBorders>
              <w:top w:val="nil"/>
              <w:left w:val="nil"/>
              <w:bottom w:val="single" w:sz="4" w:space="0" w:color="auto"/>
              <w:right w:val="single" w:sz="4" w:space="0" w:color="auto"/>
            </w:tcBorders>
            <w:shd w:val="clear" w:color="auto" w:fill="auto"/>
            <w:noWrap/>
            <w:vAlign w:val="center"/>
            <w:hideMark/>
          </w:tcPr>
          <w:p w14:paraId="051FA5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5840503000</w:t>
            </w:r>
          </w:p>
        </w:tc>
        <w:tc>
          <w:tcPr>
            <w:tcW w:w="1036" w:type="dxa"/>
            <w:tcBorders>
              <w:top w:val="nil"/>
              <w:left w:val="nil"/>
              <w:bottom w:val="single" w:sz="4" w:space="0" w:color="auto"/>
              <w:right w:val="single" w:sz="4" w:space="0" w:color="auto"/>
            </w:tcBorders>
            <w:shd w:val="clear" w:color="auto" w:fill="auto"/>
            <w:noWrap/>
            <w:vAlign w:val="center"/>
            <w:hideMark/>
          </w:tcPr>
          <w:p w14:paraId="2A2761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63389126</w:t>
            </w:r>
          </w:p>
        </w:tc>
        <w:tc>
          <w:tcPr>
            <w:tcW w:w="160" w:type="dxa"/>
            <w:tcBorders>
              <w:top w:val="nil"/>
              <w:left w:val="nil"/>
              <w:bottom w:val="single" w:sz="4" w:space="0" w:color="auto"/>
              <w:right w:val="nil"/>
            </w:tcBorders>
            <w:vAlign w:val="center"/>
          </w:tcPr>
          <w:p w14:paraId="43CB3A5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8A87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VIŠJE DELOVNO IN SOCIALNO SODIŠČE</w:t>
            </w:r>
          </w:p>
        </w:tc>
      </w:tr>
      <w:tr w:rsidR="00072A69" w:rsidRPr="00DC6DF9" w14:paraId="6641E23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2415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1878</w:t>
            </w:r>
          </w:p>
        </w:tc>
        <w:tc>
          <w:tcPr>
            <w:tcW w:w="1036" w:type="dxa"/>
            <w:tcBorders>
              <w:top w:val="nil"/>
              <w:left w:val="nil"/>
              <w:bottom w:val="single" w:sz="4" w:space="0" w:color="auto"/>
              <w:right w:val="single" w:sz="4" w:space="0" w:color="auto"/>
            </w:tcBorders>
            <w:shd w:val="clear" w:color="auto" w:fill="auto"/>
            <w:noWrap/>
            <w:vAlign w:val="center"/>
            <w:hideMark/>
          </w:tcPr>
          <w:p w14:paraId="735E93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5111773000</w:t>
            </w:r>
          </w:p>
        </w:tc>
        <w:tc>
          <w:tcPr>
            <w:tcW w:w="1036" w:type="dxa"/>
            <w:tcBorders>
              <w:top w:val="nil"/>
              <w:left w:val="nil"/>
              <w:bottom w:val="single" w:sz="4" w:space="0" w:color="auto"/>
              <w:right w:val="single" w:sz="4" w:space="0" w:color="auto"/>
            </w:tcBorders>
            <w:shd w:val="clear" w:color="auto" w:fill="auto"/>
            <w:noWrap/>
            <w:vAlign w:val="center"/>
            <w:hideMark/>
          </w:tcPr>
          <w:p w14:paraId="0E4345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82308853</w:t>
            </w:r>
          </w:p>
        </w:tc>
        <w:tc>
          <w:tcPr>
            <w:tcW w:w="160" w:type="dxa"/>
            <w:tcBorders>
              <w:top w:val="nil"/>
              <w:left w:val="nil"/>
              <w:bottom w:val="single" w:sz="4" w:space="0" w:color="auto"/>
              <w:right w:val="nil"/>
            </w:tcBorders>
            <w:vAlign w:val="center"/>
          </w:tcPr>
          <w:p w14:paraId="45C0D9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6FCE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VIŠJE SODIŠČE V CELJU</w:t>
            </w:r>
          </w:p>
        </w:tc>
      </w:tr>
      <w:tr w:rsidR="00072A69" w:rsidRPr="00DC6DF9" w14:paraId="68D1FB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8FD8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1879</w:t>
            </w:r>
          </w:p>
        </w:tc>
        <w:tc>
          <w:tcPr>
            <w:tcW w:w="1036" w:type="dxa"/>
            <w:tcBorders>
              <w:top w:val="nil"/>
              <w:left w:val="nil"/>
              <w:bottom w:val="single" w:sz="4" w:space="0" w:color="auto"/>
              <w:right w:val="single" w:sz="4" w:space="0" w:color="auto"/>
            </w:tcBorders>
            <w:shd w:val="clear" w:color="auto" w:fill="auto"/>
            <w:noWrap/>
            <w:vAlign w:val="center"/>
            <w:hideMark/>
          </w:tcPr>
          <w:p w14:paraId="116911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5105340000</w:t>
            </w:r>
          </w:p>
        </w:tc>
        <w:tc>
          <w:tcPr>
            <w:tcW w:w="1036" w:type="dxa"/>
            <w:tcBorders>
              <w:top w:val="nil"/>
              <w:left w:val="nil"/>
              <w:bottom w:val="single" w:sz="4" w:space="0" w:color="auto"/>
              <w:right w:val="single" w:sz="4" w:space="0" w:color="auto"/>
            </w:tcBorders>
            <w:shd w:val="clear" w:color="auto" w:fill="auto"/>
            <w:noWrap/>
            <w:vAlign w:val="center"/>
            <w:hideMark/>
          </w:tcPr>
          <w:p w14:paraId="06D169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82659214</w:t>
            </w:r>
          </w:p>
        </w:tc>
        <w:tc>
          <w:tcPr>
            <w:tcW w:w="160" w:type="dxa"/>
            <w:tcBorders>
              <w:top w:val="nil"/>
              <w:left w:val="nil"/>
              <w:bottom w:val="single" w:sz="4" w:space="0" w:color="auto"/>
              <w:right w:val="nil"/>
            </w:tcBorders>
            <w:vAlign w:val="center"/>
          </w:tcPr>
          <w:p w14:paraId="2AC5E26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8B233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VIŠJE SODIŠČE V KOPRU</w:t>
            </w:r>
          </w:p>
        </w:tc>
      </w:tr>
      <w:tr w:rsidR="00072A69" w:rsidRPr="00DC6DF9" w14:paraId="3EA632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9F8D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1880</w:t>
            </w:r>
          </w:p>
        </w:tc>
        <w:tc>
          <w:tcPr>
            <w:tcW w:w="1036" w:type="dxa"/>
            <w:tcBorders>
              <w:top w:val="nil"/>
              <w:left w:val="nil"/>
              <w:bottom w:val="single" w:sz="4" w:space="0" w:color="auto"/>
              <w:right w:val="single" w:sz="4" w:space="0" w:color="auto"/>
            </w:tcBorders>
            <w:shd w:val="clear" w:color="auto" w:fill="auto"/>
            <w:noWrap/>
            <w:vAlign w:val="center"/>
            <w:hideMark/>
          </w:tcPr>
          <w:p w14:paraId="35F7D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5105331000</w:t>
            </w:r>
          </w:p>
        </w:tc>
        <w:tc>
          <w:tcPr>
            <w:tcW w:w="1036" w:type="dxa"/>
            <w:tcBorders>
              <w:top w:val="nil"/>
              <w:left w:val="nil"/>
              <w:bottom w:val="single" w:sz="4" w:space="0" w:color="auto"/>
              <w:right w:val="single" w:sz="4" w:space="0" w:color="auto"/>
            </w:tcBorders>
            <w:shd w:val="clear" w:color="auto" w:fill="auto"/>
            <w:noWrap/>
            <w:vAlign w:val="center"/>
            <w:hideMark/>
          </w:tcPr>
          <w:p w14:paraId="012099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12478407</w:t>
            </w:r>
          </w:p>
        </w:tc>
        <w:tc>
          <w:tcPr>
            <w:tcW w:w="160" w:type="dxa"/>
            <w:tcBorders>
              <w:top w:val="nil"/>
              <w:left w:val="nil"/>
              <w:bottom w:val="single" w:sz="4" w:space="0" w:color="auto"/>
              <w:right w:val="nil"/>
            </w:tcBorders>
            <w:vAlign w:val="center"/>
          </w:tcPr>
          <w:p w14:paraId="5A9DDC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51195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VIŠJE SODIŠČE V LJUBLJANI</w:t>
            </w:r>
          </w:p>
        </w:tc>
      </w:tr>
      <w:tr w:rsidR="00072A69" w:rsidRPr="00DC6DF9" w14:paraId="213FE8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DA30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1881</w:t>
            </w:r>
          </w:p>
        </w:tc>
        <w:tc>
          <w:tcPr>
            <w:tcW w:w="1036" w:type="dxa"/>
            <w:tcBorders>
              <w:top w:val="nil"/>
              <w:left w:val="nil"/>
              <w:bottom w:val="single" w:sz="4" w:space="0" w:color="auto"/>
              <w:right w:val="single" w:sz="4" w:space="0" w:color="auto"/>
            </w:tcBorders>
            <w:shd w:val="clear" w:color="auto" w:fill="auto"/>
            <w:noWrap/>
            <w:vAlign w:val="center"/>
            <w:hideMark/>
          </w:tcPr>
          <w:p w14:paraId="35761A7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5105358000</w:t>
            </w:r>
          </w:p>
        </w:tc>
        <w:tc>
          <w:tcPr>
            <w:tcW w:w="1036" w:type="dxa"/>
            <w:tcBorders>
              <w:top w:val="nil"/>
              <w:left w:val="nil"/>
              <w:bottom w:val="single" w:sz="4" w:space="0" w:color="auto"/>
              <w:right w:val="single" w:sz="4" w:space="0" w:color="auto"/>
            </w:tcBorders>
            <w:shd w:val="clear" w:color="auto" w:fill="auto"/>
            <w:noWrap/>
            <w:vAlign w:val="center"/>
            <w:hideMark/>
          </w:tcPr>
          <w:p w14:paraId="0EE125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76493121</w:t>
            </w:r>
          </w:p>
        </w:tc>
        <w:tc>
          <w:tcPr>
            <w:tcW w:w="160" w:type="dxa"/>
            <w:tcBorders>
              <w:top w:val="nil"/>
              <w:left w:val="nil"/>
              <w:bottom w:val="single" w:sz="4" w:space="0" w:color="auto"/>
              <w:right w:val="nil"/>
            </w:tcBorders>
            <w:vAlign w:val="center"/>
          </w:tcPr>
          <w:p w14:paraId="6E66F3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97D1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VIŠJE SODIŠČE V MARIBORU</w:t>
            </w:r>
          </w:p>
        </w:tc>
      </w:tr>
      <w:tr w:rsidR="00072A69" w:rsidRPr="00DC6DF9" w14:paraId="5B3A816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B963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1882</w:t>
            </w:r>
          </w:p>
        </w:tc>
        <w:tc>
          <w:tcPr>
            <w:tcW w:w="1036" w:type="dxa"/>
            <w:tcBorders>
              <w:top w:val="nil"/>
              <w:left w:val="nil"/>
              <w:bottom w:val="single" w:sz="4" w:space="0" w:color="auto"/>
              <w:right w:val="single" w:sz="4" w:space="0" w:color="auto"/>
            </w:tcBorders>
            <w:shd w:val="clear" w:color="auto" w:fill="auto"/>
            <w:noWrap/>
            <w:vAlign w:val="center"/>
            <w:hideMark/>
          </w:tcPr>
          <w:p w14:paraId="022174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5227798000</w:t>
            </w:r>
          </w:p>
        </w:tc>
        <w:tc>
          <w:tcPr>
            <w:tcW w:w="1036" w:type="dxa"/>
            <w:tcBorders>
              <w:top w:val="nil"/>
              <w:left w:val="nil"/>
              <w:bottom w:val="single" w:sz="4" w:space="0" w:color="auto"/>
              <w:right w:val="single" w:sz="4" w:space="0" w:color="auto"/>
            </w:tcBorders>
            <w:shd w:val="clear" w:color="auto" w:fill="auto"/>
            <w:noWrap/>
            <w:vAlign w:val="center"/>
            <w:hideMark/>
          </w:tcPr>
          <w:p w14:paraId="588316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97924482</w:t>
            </w:r>
          </w:p>
        </w:tc>
        <w:tc>
          <w:tcPr>
            <w:tcW w:w="160" w:type="dxa"/>
            <w:tcBorders>
              <w:top w:val="nil"/>
              <w:left w:val="nil"/>
              <w:bottom w:val="single" w:sz="4" w:space="0" w:color="auto"/>
              <w:right w:val="nil"/>
            </w:tcBorders>
            <w:vAlign w:val="center"/>
          </w:tcPr>
          <w:p w14:paraId="380055A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FE3A4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VIŠKI VRTCI</w:t>
            </w:r>
          </w:p>
        </w:tc>
      </w:tr>
      <w:tr w:rsidR="00072A69" w:rsidRPr="00DC6DF9" w14:paraId="0F7E839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E82D8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1883</w:t>
            </w:r>
          </w:p>
        </w:tc>
        <w:tc>
          <w:tcPr>
            <w:tcW w:w="1036" w:type="dxa"/>
            <w:tcBorders>
              <w:top w:val="nil"/>
              <w:left w:val="nil"/>
              <w:bottom w:val="single" w:sz="4" w:space="0" w:color="auto"/>
              <w:right w:val="single" w:sz="4" w:space="0" w:color="auto"/>
            </w:tcBorders>
            <w:shd w:val="clear" w:color="auto" w:fill="auto"/>
            <w:noWrap/>
            <w:vAlign w:val="center"/>
            <w:hideMark/>
          </w:tcPr>
          <w:p w14:paraId="2CAC4A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5028345000</w:t>
            </w:r>
          </w:p>
        </w:tc>
        <w:tc>
          <w:tcPr>
            <w:tcW w:w="1036" w:type="dxa"/>
            <w:tcBorders>
              <w:top w:val="nil"/>
              <w:left w:val="nil"/>
              <w:bottom w:val="single" w:sz="4" w:space="0" w:color="auto"/>
              <w:right w:val="single" w:sz="4" w:space="0" w:color="auto"/>
            </w:tcBorders>
            <w:shd w:val="clear" w:color="auto" w:fill="auto"/>
            <w:noWrap/>
            <w:vAlign w:val="center"/>
            <w:hideMark/>
          </w:tcPr>
          <w:p w14:paraId="68AF4E9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92197876</w:t>
            </w:r>
          </w:p>
        </w:tc>
        <w:tc>
          <w:tcPr>
            <w:tcW w:w="160" w:type="dxa"/>
            <w:tcBorders>
              <w:top w:val="nil"/>
              <w:left w:val="nil"/>
              <w:bottom w:val="single" w:sz="4" w:space="0" w:color="auto"/>
              <w:right w:val="nil"/>
            </w:tcBorders>
            <w:vAlign w:val="center"/>
          </w:tcPr>
          <w:p w14:paraId="2868179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5E7A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VLADA REPUBLIKE SLOVENIJE PROTOKOL</w:t>
            </w:r>
          </w:p>
        </w:tc>
      </w:tr>
      <w:tr w:rsidR="00072A69" w:rsidRPr="00DC6DF9" w14:paraId="69ECA4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38B43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1884</w:t>
            </w:r>
          </w:p>
        </w:tc>
        <w:tc>
          <w:tcPr>
            <w:tcW w:w="1036" w:type="dxa"/>
            <w:tcBorders>
              <w:top w:val="nil"/>
              <w:left w:val="nil"/>
              <w:bottom w:val="single" w:sz="4" w:space="0" w:color="auto"/>
              <w:right w:val="single" w:sz="4" w:space="0" w:color="auto"/>
            </w:tcBorders>
            <w:shd w:val="clear" w:color="auto" w:fill="auto"/>
            <w:noWrap/>
            <w:vAlign w:val="center"/>
            <w:hideMark/>
          </w:tcPr>
          <w:p w14:paraId="10B2D4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5186765000</w:t>
            </w:r>
          </w:p>
        </w:tc>
        <w:tc>
          <w:tcPr>
            <w:tcW w:w="1036" w:type="dxa"/>
            <w:tcBorders>
              <w:top w:val="nil"/>
              <w:left w:val="nil"/>
              <w:bottom w:val="single" w:sz="4" w:space="0" w:color="auto"/>
              <w:right w:val="single" w:sz="4" w:space="0" w:color="auto"/>
            </w:tcBorders>
            <w:shd w:val="clear" w:color="auto" w:fill="auto"/>
            <w:noWrap/>
            <w:vAlign w:val="center"/>
            <w:hideMark/>
          </w:tcPr>
          <w:p w14:paraId="37A02A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99681595</w:t>
            </w:r>
          </w:p>
        </w:tc>
        <w:tc>
          <w:tcPr>
            <w:tcW w:w="160" w:type="dxa"/>
            <w:tcBorders>
              <w:top w:val="nil"/>
              <w:left w:val="nil"/>
              <w:bottom w:val="single" w:sz="4" w:space="0" w:color="auto"/>
              <w:right w:val="nil"/>
            </w:tcBorders>
            <w:vAlign w:val="center"/>
          </w:tcPr>
          <w:p w14:paraId="168EEB8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EE59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VLADA REPUBLIKE SLOVENIJE SLUŽBA ZA ZAKONODAJO</w:t>
            </w:r>
          </w:p>
        </w:tc>
      </w:tr>
      <w:tr w:rsidR="00072A69" w:rsidRPr="00DC6DF9" w14:paraId="2FB4A8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67C9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1885</w:t>
            </w:r>
          </w:p>
        </w:tc>
        <w:tc>
          <w:tcPr>
            <w:tcW w:w="1036" w:type="dxa"/>
            <w:tcBorders>
              <w:top w:val="nil"/>
              <w:left w:val="nil"/>
              <w:bottom w:val="single" w:sz="4" w:space="0" w:color="auto"/>
              <w:right w:val="single" w:sz="4" w:space="0" w:color="auto"/>
            </w:tcBorders>
            <w:shd w:val="clear" w:color="auto" w:fill="auto"/>
            <w:noWrap/>
            <w:vAlign w:val="center"/>
            <w:hideMark/>
          </w:tcPr>
          <w:p w14:paraId="46B5C7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5022932000</w:t>
            </w:r>
          </w:p>
        </w:tc>
        <w:tc>
          <w:tcPr>
            <w:tcW w:w="1036" w:type="dxa"/>
            <w:tcBorders>
              <w:top w:val="nil"/>
              <w:left w:val="nil"/>
              <w:bottom w:val="single" w:sz="4" w:space="0" w:color="auto"/>
              <w:right w:val="single" w:sz="4" w:space="0" w:color="auto"/>
            </w:tcBorders>
            <w:shd w:val="clear" w:color="auto" w:fill="auto"/>
            <w:noWrap/>
            <w:vAlign w:val="center"/>
            <w:hideMark/>
          </w:tcPr>
          <w:p w14:paraId="46B8B6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97093726</w:t>
            </w:r>
          </w:p>
        </w:tc>
        <w:tc>
          <w:tcPr>
            <w:tcW w:w="160" w:type="dxa"/>
            <w:tcBorders>
              <w:top w:val="nil"/>
              <w:left w:val="nil"/>
              <w:bottom w:val="single" w:sz="4" w:space="0" w:color="auto"/>
              <w:right w:val="nil"/>
            </w:tcBorders>
            <w:vAlign w:val="center"/>
          </w:tcPr>
          <w:p w14:paraId="3737362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25C2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VLADA REPUBLIKE SLOVENIJE STATISTIČNI URAD REPUBLIKE SLOVENIJE</w:t>
            </w:r>
          </w:p>
        </w:tc>
      </w:tr>
      <w:tr w:rsidR="00072A69" w:rsidRPr="00DC6DF9" w14:paraId="079E8B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9E5C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1886</w:t>
            </w:r>
          </w:p>
        </w:tc>
        <w:tc>
          <w:tcPr>
            <w:tcW w:w="1036" w:type="dxa"/>
            <w:tcBorders>
              <w:top w:val="nil"/>
              <w:left w:val="nil"/>
              <w:bottom w:val="single" w:sz="4" w:space="0" w:color="auto"/>
              <w:right w:val="single" w:sz="4" w:space="0" w:color="auto"/>
            </w:tcBorders>
            <w:shd w:val="clear" w:color="auto" w:fill="auto"/>
            <w:noWrap/>
            <w:vAlign w:val="center"/>
            <w:hideMark/>
          </w:tcPr>
          <w:p w14:paraId="1657F2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5914540000</w:t>
            </w:r>
          </w:p>
        </w:tc>
        <w:tc>
          <w:tcPr>
            <w:tcW w:w="1036" w:type="dxa"/>
            <w:tcBorders>
              <w:top w:val="nil"/>
              <w:left w:val="nil"/>
              <w:bottom w:val="single" w:sz="4" w:space="0" w:color="auto"/>
              <w:right w:val="single" w:sz="4" w:space="0" w:color="auto"/>
            </w:tcBorders>
            <w:shd w:val="clear" w:color="auto" w:fill="auto"/>
            <w:noWrap/>
            <w:vAlign w:val="center"/>
            <w:hideMark/>
          </w:tcPr>
          <w:p w14:paraId="4705F6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45804109</w:t>
            </w:r>
          </w:p>
        </w:tc>
        <w:tc>
          <w:tcPr>
            <w:tcW w:w="160" w:type="dxa"/>
            <w:tcBorders>
              <w:top w:val="nil"/>
              <w:left w:val="nil"/>
              <w:bottom w:val="single" w:sz="4" w:space="0" w:color="auto"/>
              <w:right w:val="nil"/>
            </w:tcBorders>
            <w:vAlign w:val="center"/>
          </w:tcPr>
          <w:p w14:paraId="4AC969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BDAE5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VODOVOD - KANALIZACIJA, D. O. O. </w:t>
            </w:r>
          </w:p>
        </w:tc>
      </w:tr>
      <w:tr w:rsidR="00072A69" w:rsidRPr="00DC6DF9" w14:paraId="4CDAEC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85EC3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1887</w:t>
            </w:r>
          </w:p>
        </w:tc>
        <w:tc>
          <w:tcPr>
            <w:tcW w:w="1036" w:type="dxa"/>
            <w:tcBorders>
              <w:top w:val="nil"/>
              <w:left w:val="nil"/>
              <w:bottom w:val="single" w:sz="4" w:space="0" w:color="auto"/>
              <w:right w:val="single" w:sz="4" w:space="0" w:color="auto"/>
            </w:tcBorders>
            <w:shd w:val="clear" w:color="auto" w:fill="auto"/>
            <w:noWrap/>
            <w:vAlign w:val="center"/>
            <w:hideMark/>
          </w:tcPr>
          <w:p w14:paraId="1680D6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1550144000</w:t>
            </w:r>
          </w:p>
        </w:tc>
        <w:tc>
          <w:tcPr>
            <w:tcW w:w="1036" w:type="dxa"/>
            <w:tcBorders>
              <w:top w:val="nil"/>
              <w:left w:val="nil"/>
              <w:bottom w:val="single" w:sz="4" w:space="0" w:color="auto"/>
              <w:right w:val="single" w:sz="4" w:space="0" w:color="auto"/>
            </w:tcBorders>
            <w:shd w:val="clear" w:color="auto" w:fill="auto"/>
            <w:noWrap/>
            <w:vAlign w:val="center"/>
            <w:hideMark/>
          </w:tcPr>
          <w:p w14:paraId="67C259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91503027</w:t>
            </w:r>
          </w:p>
        </w:tc>
        <w:tc>
          <w:tcPr>
            <w:tcW w:w="160" w:type="dxa"/>
            <w:tcBorders>
              <w:top w:val="nil"/>
              <w:left w:val="nil"/>
              <w:bottom w:val="single" w:sz="4" w:space="0" w:color="auto"/>
              <w:right w:val="nil"/>
            </w:tcBorders>
            <w:vAlign w:val="center"/>
          </w:tcPr>
          <w:p w14:paraId="25E02E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5E33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VODOVODI IN KANALIZACIJA NOVA GORICA D. D. </w:t>
            </w:r>
          </w:p>
        </w:tc>
      </w:tr>
      <w:tr w:rsidR="00072A69" w:rsidRPr="00DC6DF9" w14:paraId="7C683C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5B92AB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1888</w:t>
            </w:r>
          </w:p>
        </w:tc>
        <w:tc>
          <w:tcPr>
            <w:tcW w:w="1036" w:type="dxa"/>
            <w:tcBorders>
              <w:top w:val="nil"/>
              <w:left w:val="nil"/>
              <w:bottom w:val="single" w:sz="4" w:space="0" w:color="auto"/>
              <w:right w:val="single" w:sz="4" w:space="0" w:color="auto"/>
            </w:tcBorders>
            <w:shd w:val="clear" w:color="auto" w:fill="auto"/>
            <w:noWrap/>
            <w:vAlign w:val="center"/>
            <w:hideMark/>
          </w:tcPr>
          <w:p w14:paraId="2BA955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5046688000</w:t>
            </w:r>
          </w:p>
        </w:tc>
        <w:tc>
          <w:tcPr>
            <w:tcW w:w="1036" w:type="dxa"/>
            <w:tcBorders>
              <w:top w:val="nil"/>
              <w:left w:val="nil"/>
              <w:bottom w:val="single" w:sz="4" w:space="0" w:color="auto"/>
              <w:right w:val="single" w:sz="4" w:space="0" w:color="auto"/>
            </w:tcBorders>
            <w:shd w:val="clear" w:color="auto" w:fill="auto"/>
            <w:noWrap/>
            <w:vAlign w:val="center"/>
            <w:hideMark/>
          </w:tcPr>
          <w:p w14:paraId="1A4F40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64520463</w:t>
            </w:r>
          </w:p>
        </w:tc>
        <w:tc>
          <w:tcPr>
            <w:tcW w:w="160" w:type="dxa"/>
            <w:tcBorders>
              <w:top w:val="nil"/>
              <w:left w:val="nil"/>
              <w:bottom w:val="single" w:sz="4" w:space="0" w:color="auto"/>
              <w:right w:val="nil"/>
            </w:tcBorders>
            <w:vAlign w:val="center"/>
          </w:tcPr>
          <w:p w14:paraId="6D72B95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3D51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VODOVOD-KANALIZACIJA, D. O. O. </w:t>
            </w:r>
          </w:p>
        </w:tc>
      </w:tr>
      <w:tr w:rsidR="00072A69" w:rsidRPr="00DC6DF9" w14:paraId="5C5E29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F425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1889</w:t>
            </w:r>
          </w:p>
        </w:tc>
        <w:tc>
          <w:tcPr>
            <w:tcW w:w="1036" w:type="dxa"/>
            <w:tcBorders>
              <w:top w:val="nil"/>
              <w:left w:val="nil"/>
              <w:bottom w:val="single" w:sz="4" w:space="0" w:color="auto"/>
              <w:right w:val="single" w:sz="4" w:space="0" w:color="auto"/>
            </w:tcBorders>
            <w:shd w:val="clear" w:color="auto" w:fill="auto"/>
            <w:noWrap/>
            <w:vAlign w:val="center"/>
            <w:hideMark/>
          </w:tcPr>
          <w:p w14:paraId="424249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5022754000</w:t>
            </w:r>
          </w:p>
        </w:tc>
        <w:tc>
          <w:tcPr>
            <w:tcW w:w="1036" w:type="dxa"/>
            <w:tcBorders>
              <w:top w:val="nil"/>
              <w:left w:val="nil"/>
              <w:bottom w:val="single" w:sz="4" w:space="0" w:color="auto"/>
              <w:right w:val="single" w:sz="4" w:space="0" w:color="auto"/>
            </w:tcBorders>
            <w:shd w:val="clear" w:color="auto" w:fill="auto"/>
            <w:noWrap/>
            <w:vAlign w:val="center"/>
            <w:hideMark/>
          </w:tcPr>
          <w:p w14:paraId="041C92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14966344</w:t>
            </w:r>
          </w:p>
        </w:tc>
        <w:tc>
          <w:tcPr>
            <w:tcW w:w="160" w:type="dxa"/>
            <w:tcBorders>
              <w:top w:val="nil"/>
              <w:left w:val="nil"/>
              <w:bottom w:val="single" w:sz="4" w:space="0" w:color="auto"/>
              <w:right w:val="nil"/>
            </w:tcBorders>
            <w:vAlign w:val="center"/>
          </w:tcPr>
          <w:p w14:paraId="571F9A9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7A64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VRHOVNO DRŽAVNO TOŽILSTVO REPUBLIKE SLOVENIJE</w:t>
            </w:r>
          </w:p>
        </w:tc>
      </w:tr>
      <w:tr w:rsidR="00072A69" w:rsidRPr="00DC6DF9" w14:paraId="70E19AC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5FBD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1890</w:t>
            </w:r>
          </w:p>
        </w:tc>
        <w:tc>
          <w:tcPr>
            <w:tcW w:w="1036" w:type="dxa"/>
            <w:tcBorders>
              <w:top w:val="nil"/>
              <w:left w:val="nil"/>
              <w:bottom w:val="single" w:sz="4" w:space="0" w:color="auto"/>
              <w:right w:val="single" w:sz="4" w:space="0" w:color="auto"/>
            </w:tcBorders>
            <w:shd w:val="clear" w:color="auto" w:fill="auto"/>
            <w:noWrap/>
            <w:vAlign w:val="center"/>
            <w:hideMark/>
          </w:tcPr>
          <w:p w14:paraId="2AED43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5022789000</w:t>
            </w:r>
          </w:p>
        </w:tc>
        <w:tc>
          <w:tcPr>
            <w:tcW w:w="1036" w:type="dxa"/>
            <w:tcBorders>
              <w:top w:val="nil"/>
              <w:left w:val="nil"/>
              <w:bottom w:val="single" w:sz="4" w:space="0" w:color="auto"/>
              <w:right w:val="single" w:sz="4" w:space="0" w:color="auto"/>
            </w:tcBorders>
            <w:shd w:val="clear" w:color="auto" w:fill="auto"/>
            <w:noWrap/>
            <w:vAlign w:val="center"/>
            <w:hideMark/>
          </w:tcPr>
          <w:p w14:paraId="6B4854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79182119</w:t>
            </w:r>
          </w:p>
        </w:tc>
        <w:tc>
          <w:tcPr>
            <w:tcW w:w="160" w:type="dxa"/>
            <w:tcBorders>
              <w:top w:val="nil"/>
              <w:left w:val="nil"/>
              <w:bottom w:val="single" w:sz="4" w:space="0" w:color="auto"/>
              <w:right w:val="nil"/>
            </w:tcBorders>
            <w:vAlign w:val="center"/>
          </w:tcPr>
          <w:p w14:paraId="50DD8F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EE0CB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VRHOVNO SODIŠČE REPUBLIKE SLOVENIJE</w:t>
            </w:r>
          </w:p>
        </w:tc>
      </w:tr>
      <w:tr w:rsidR="00072A69" w:rsidRPr="00DC6DF9" w14:paraId="1B044E0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FAD5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1891</w:t>
            </w:r>
          </w:p>
        </w:tc>
        <w:tc>
          <w:tcPr>
            <w:tcW w:w="1036" w:type="dxa"/>
            <w:tcBorders>
              <w:top w:val="nil"/>
              <w:left w:val="nil"/>
              <w:bottom w:val="single" w:sz="4" w:space="0" w:color="auto"/>
              <w:right w:val="single" w:sz="4" w:space="0" w:color="auto"/>
            </w:tcBorders>
            <w:shd w:val="clear" w:color="auto" w:fill="auto"/>
            <w:noWrap/>
            <w:vAlign w:val="center"/>
            <w:hideMark/>
          </w:tcPr>
          <w:p w14:paraId="46E7E9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5968224000</w:t>
            </w:r>
          </w:p>
        </w:tc>
        <w:tc>
          <w:tcPr>
            <w:tcW w:w="1036" w:type="dxa"/>
            <w:tcBorders>
              <w:top w:val="nil"/>
              <w:left w:val="nil"/>
              <w:bottom w:val="single" w:sz="4" w:space="0" w:color="auto"/>
              <w:right w:val="single" w:sz="4" w:space="0" w:color="auto"/>
            </w:tcBorders>
            <w:shd w:val="clear" w:color="auto" w:fill="auto"/>
            <w:noWrap/>
            <w:vAlign w:val="center"/>
            <w:hideMark/>
          </w:tcPr>
          <w:p w14:paraId="4A059F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74716468</w:t>
            </w:r>
          </w:p>
        </w:tc>
        <w:tc>
          <w:tcPr>
            <w:tcW w:w="160" w:type="dxa"/>
            <w:tcBorders>
              <w:top w:val="nil"/>
              <w:left w:val="nil"/>
              <w:bottom w:val="single" w:sz="4" w:space="0" w:color="auto"/>
              <w:right w:val="nil"/>
            </w:tcBorders>
            <w:vAlign w:val="center"/>
          </w:tcPr>
          <w:p w14:paraId="54D08D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E2CD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VRTCI OBČINE MORAVSKE TOPLICE</w:t>
            </w:r>
          </w:p>
        </w:tc>
      </w:tr>
      <w:tr w:rsidR="00072A69" w:rsidRPr="00DC6DF9" w14:paraId="58356A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323F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1892</w:t>
            </w:r>
          </w:p>
        </w:tc>
        <w:tc>
          <w:tcPr>
            <w:tcW w:w="1036" w:type="dxa"/>
            <w:tcBorders>
              <w:top w:val="nil"/>
              <w:left w:val="nil"/>
              <w:bottom w:val="single" w:sz="4" w:space="0" w:color="auto"/>
              <w:right w:val="single" w:sz="4" w:space="0" w:color="auto"/>
            </w:tcBorders>
            <w:shd w:val="clear" w:color="auto" w:fill="auto"/>
            <w:noWrap/>
            <w:vAlign w:val="center"/>
            <w:hideMark/>
          </w:tcPr>
          <w:p w14:paraId="15B927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5055423000</w:t>
            </w:r>
          </w:p>
        </w:tc>
        <w:tc>
          <w:tcPr>
            <w:tcW w:w="1036" w:type="dxa"/>
            <w:tcBorders>
              <w:top w:val="nil"/>
              <w:left w:val="nil"/>
              <w:bottom w:val="single" w:sz="4" w:space="0" w:color="auto"/>
              <w:right w:val="single" w:sz="4" w:space="0" w:color="auto"/>
            </w:tcBorders>
            <w:shd w:val="clear" w:color="auto" w:fill="auto"/>
            <w:noWrap/>
            <w:vAlign w:val="center"/>
            <w:hideMark/>
          </w:tcPr>
          <w:p w14:paraId="7B3F45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38396742</w:t>
            </w:r>
          </w:p>
        </w:tc>
        <w:tc>
          <w:tcPr>
            <w:tcW w:w="160" w:type="dxa"/>
            <w:tcBorders>
              <w:top w:val="nil"/>
              <w:left w:val="nil"/>
              <w:bottom w:val="single" w:sz="4" w:space="0" w:color="auto"/>
              <w:right w:val="nil"/>
            </w:tcBorders>
            <w:vAlign w:val="center"/>
          </w:tcPr>
          <w:p w14:paraId="4553D1D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A586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VRTCI OBČINE ŽALEC</w:t>
            </w:r>
          </w:p>
        </w:tc>
      </w:tr>
      <w:tr w:rsidR="00072A69" w:rsidRPr="00DC6DF9" w14:paraId="7B22A6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4DBE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1893</w:t>
            </w:r>
          </w:p>
        </w:tc>
        <w:tc>
          <w:tcPr>
            <w:tcW w:w="1036" w:type="dxa"/>
            <w:tcBorders>
              <w:top w:val="nil"/>
              <w:left w:val="nil"/>
              <w:bottom w:val="single" w:sz="4" w:space="0" w:color="auto"/>
              <w:right w:val="single" w:sz="4" w:space="0" w:color="auto"/>
            </w:tcBorders>
            <w:shd w:val="clear" w:color="auto" w:fill="auto"/>
            <w:noWrap/>
            <w:vAlign w:val="center"/>
            <w:hideMark/>
          </w:tcPr>
          <w:p w14:paraId="058061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5055539000</w:t>
            </w:r>
          </w:p>
        </w:tc>
        <w:tc>
          <w:tcPr>
            <w:tcW w:w="1036" w:type="dxa"/>
            <w:tcBorders>
              <w:top w:val="nil"/>
              <w:left w:val="nil"/>
              <w:bottom w:val="single" w:sz="4" w:space="0" w:color="auto"/>
              <w:right w:val="single" w:sz="4" w:space="0" w:color="auto"/>
            </w:tcBorders>
            <w:shd w:val="clear" w:color="auto" w:fill="auto"/>
            <w:noWrap/>
            <w:vAlign w:val="center"/>
            <w:hideMark/>
          </w:tcPr>
          <w:p w14:paraId="292913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72213558</w:t>
            </w:r>
          </w:p>
        </w:tc>
        <w:tc>
          <w:tcPr>
            <w:tcW w:w="160" w:type="dxa"/>
            <w:tcBorders>
              <w:top w:val="nil"/>
              <w:left w:val="nil"/>
              <w:bottom w:val="single" w:sz="4" w:space="0" w:color="auto"/>
              <w:right w:val="nil"/>
            </w:tcBorders>
            <w:vAlign w:val="center"/>
          </w:tcPr>
          <w:p w14:paraId="27D002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20D16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ANICE ČERNEJEVE</w:t>
            </w:r>
          </w:p>
        </w:tc>
      </w:tr>
      <w:tr w:rsidR="00072A69" w:rsidRPr="00DC6DF9" w14:paraId="64E65F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5842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1894</w:t>
            </w:r>
          </w:p>
        </w:tc>
        <w:tc>
          <w:tcPr>
            <w:tcW w:w="1036" w:type="dxa"/>
            <w:tcBorders>
              <w:top w:val="nil"/>
              <w:left w:val="nil"/>
              <w:bottom w:val="single" w:sz="4" w:space="0" w:color="auto"/>
              <w:right w:val="single" w:sz="4" w:space="0" w:color="auto"/>
            </w:tcBorders>
            <w:shd w:val="clear" w:color="auto" w:fill="auto"/>
            <w:noWrap/>
            <w:vAlign w:val="center"/>
            <w:hideMark/>
          </w:tcPr>
          <w:p w14:paraId="0401AF0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5050952000</w:t>
            </w:r>
          </w:p>
        </w:tc>
        <w:tc>
          <w:tcPr>
            <w:tcW w:w="1036" w:type="dxa"/>
            <w:tcBorders>
              <w:top w:val="nil"/>
              <w:left w:val="nil"/>
              <w:bottom w:val="single" w:sz="4" w:space="0" w:color="auto"/>
              <w:right w:val="single" w:sz="4" w:space="0" w:color="auto"/>
            </w:tcBorders>
            <w:shd w:val="clear" w:color="auto" w:fill="auto"/>
            <w:noWrap/>
            <w:vAlign w:val="center"/>
            <w:hideMark/>
          </w:tcPr>
          <w:p w14:paraId="4FA549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19727615</w:t>
            </w:r>
          </w:p>
        </w:tc>
        <w:tc>
          <w:tcPr>
            <w:tcW w:w="160" w:type="dxa"/>
            <w:tcBorders>
              <w:top w:val="nil"/>
              <w:left w:val="nil"/>
              <w:bottom w:val="single" w:sz="4" w:space="0" w:color="auto"/>
              <w:right w:val="nil"/>
            </w:tcBorders>
            <w:vAlign w:val="center"/>
          </w:tcPr>
          <w:p w14:paraId="13140E3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72C4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ANTONA MEDVEDA KAMNIK</w:t>
            </w:r>
          </w:p>
        </w:tc>
      </w:tr>
      <w:tr w:rsidR="00072A69" w:rsidRPr="00DC6DF9" w14:paraId="491E15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D7F8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1895</w:t>
            </w:r>
          </w:p>
        </w:tc>
        <w:tc>
          <w:tcPr>
            <w:tcW w:w="1036" w:type="dxa"/>
            <w:tcBorders>
              <w:top w:val="nil"/>
              <w:left w:val="nil"/>
              <w:bottom w:val="single" w:sz="4" w:space="0" w:color="auto"/>
              <w:right w:val="single" w:sz="4" w:space="0" w:color="auto"/>
            </w:tcBorders>
            <w:shd w:val="clear" w:color="auto" w:fill="auto"/>
            <w:noWrap/>
            <w:vAlign w:val="center"/>
            <w:hideMark/>
          </w:tcPr>
          <w:p w14:paraId="1C77E8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1122657000</w:t>
            </w:r>
          </w:p>
        </w:tc>
        <w:tc>
          <w:tcPr>
            <w:tcW w:w="1036" w:type="dxa"/>
            <w:tcBorders>
              <w:top w:val="nil"/>
              <w:left w:val="nil"/>
              <w:bottom w:val="single" w:sz="4" w:space="0" w:color="auto"/>
              <w:right w:val="single" w:sz="4" w:space="0" w:color="auto"/>
            </w:tcBorders>
            <w:shd w:val="clear" w:color="auto" w:fill="auto"/>
            <w:noWrap/>
            <w:vAlign w:val="center"/>
            <w:hideMark/>
          </w:tcPr>
          <w:p w14:paraId="3F1630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47292067</w:t>
            </w:r>
          </w:p>
        </w:tc>
        <w:tc>
          <w:tcPr>
            <w:tcW w:w="160" w:type="dxa"/>
            <w:tcBorders>
              <w:top w:val="nil"/>
              <w:left w:val="nil"/>
              <w:bottom w:val="single" w:sz="4" w:space="0" w:color="auto"/>
              <w:right w:val="nil"/>
            </w:tcBorders>
            <w:vAlign w:val="center"/>
          </w:tcPr>
          <w:p w14:paraId="5161AA1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C7AB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BELTINCI</w:t>
            </w:r>
          </w:p>
        </w:tc>
      </w:tr>
      <w:tr w:rsidR="00072A69" w:rsidRPr="00DC6DF9" w14:paraId="639A55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2AB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1896</w:t>
            </w:r>
          </w:p>
        </w:tc>
        <w:tc>
          <w:tcPr>
            <w:tcW w:w="1036" w:type="dxa"/>
            <w:tcBorders>
              <w:top w:val="nil"/>
              <w:left w:val="nil"/>
              <w:bottom w:val="single" w:sz="4" w:space="0" w:color="auto"/>
              <w:right w:val="single" w:sz="4" w:space="0" w:color="auto"/>
            </w:tcBorders>
            <w:shd w:val="clear" w:color="auto" w:fill="auto"/>
            <w:noWrap/>
            <w:vAlign w:val="center"/>
            <w:hideMark/>
          </w:tcPr>
          <w:p w14:paraId="5C295D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1226827000</w:t>
            </w:r>
          </w:p>
        </w:tc>
        <w:tc>
          <w:tcPr>
            <w:tcW w:w="1036" w:type="dxa"/>
            <w:tcBorders>
              <w:top w:val="nil"/>
              <w:left w:val="nil"/>
              <w:bottom w:val="single" w:sz="4" w:space="0" w:color="auto"/>
              <w:right w:val="single" w:sz="4" w:space="0" w:color="auto"/>
            </w:tcBorders>
            <w:shd w:val="clear" w:color="auto" w:fill="auto"/>
            <w:noWrap/>
            <w:vAlign w:val="center"/>
            <w:hideMark/>
          </w:tcPr>
          <w:p w14:paraId="39F8C2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71708103</w:t>
            </w:r>
          </w:p>
        </w:tc>
        <w:tc>
          <w:tcPr>
            <w:tcW w:w="160" w:type="dxa"/>
            <w:tcBorders>
              <w:top w:val="nil"/>
              <w:left w:val="nil"/>
              <w:bottom w:val="single" w:sz="4" w:space="0" w:color="auto"/>
              <w:right w:val="nil"/>
            </w:tcBorders>
            <w:vAlign w:val="center"/>
          </w:tcPr>
          <w:p w14:paraId="174F3A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7AD0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BLED</w:t>
            </w:r>
          </w:p>
        </w:tc>
      </w:tr>
      <w:tr w:rsidR="00072A69" w:rsidRPr="00DC6DF9" w14:paraId="7D2236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2D154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1897</w:t>
            </w:r>
          </w:p>
        </w:tc>
        <w:tc>
          <w:tcPr>
            <w:tcW w:w="1036" w:type="dxa"/>
            <w:tcBorders>
              <w:top w:val="nil"/>
              <w:left w:val="nil"/>
              <w:bottom w:val="single" w:sz="4" w:space="0" w:color="auto"/>
              <w:right w:val="single" w:sz="4" w:space="0" w:color="auto"/>
            </w:tcBorders>
            <w:shd w:val="clear" w:color="auto" w:fill="auto"/>
            <w:noWrap/>
            <w:vAlign w:val="center"/>
            <w:hideMark/>
          </w:tcPr>
          <w:p w14:paraId="239414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5050308000</w:t>
            </w:r>
          </w:p>
        </w:tc>
        <w:tc>
          <w:tcPr>
            <w:tcW w:w="1036" w:type="dxa"/>
            <w:tcBorders>
              <w:top w:val="nil"/>
              <w:left w:val="nil"/>
              <w:bottom w:val="single" w:sz="4" w:space="0" w:color="auto"/>
              <w:right w:val="single" w:sz="4" w:space="0" w:color="auto"/>
            </w:tcBorders>
            <w:shd w:val="clear" w:color="auto" w:fill="auto"/>
            <w:noWrap/>
            <w:vAlign w:val="center"/>
            <w:hideMark/>
          </w:tcPr>
          <w:p w14:paraId="02DBCA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53089758</w:t>
            </w:r>
          </w:p>
        </w:tc>
        <w:tc>
          <w:tcPr>
            <w:tcW w:w="160" w:type="dxa"/>
            <w:tcBorders>
              <w:top w:val="nil"/>
              <w:left w:val="nil"/>
              <w:bottom w:val="single" w:sz="4" w:space="0" w:color="auto"/>
              <w:right w:val="nil"/>
            </w:tcBorders>
            <w:vAlign w:val="center"/>
          </w:tcPr>
          <w:p w14:paraId="44EBECB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E624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BORISA PEČETA MARIBOR</w:t>
            </w:r>
          </w:p>
        </w:tc>
      </w:tr>
      <w:tr w:rsidR="00072A69" w:rsidRPr="00DC6DF9" w14:paraId="770D2D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4A275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1898</w:t>
            </w:r>
          </w:p>
        </w:tc>
        <w:tc>
          <w:tcPr>
            <w:tcW w:w="1036" w:type="dxa"/>
            <w:tcBorders>
              <w:top w:val="nil"/>
              <w:left w:val="nil"/>
              <w:bottom w:val="single" w:sz="4" w:space="0" w:color="auto"/>
              <w:right w:val="single" w:sz="4" w:space="0" w:color="auto"/>
            </w:tcBorders>
            <w:shd w:val="clear" w:color="auto" w:fill="auto"/>
            <w:noWrap/>
            <w:vAlign w:val="center"/>
            <w:hideMark/>
          </w:tcPr>
          <w:p w14:paraId="078446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5049962000</w:t>
            </w:r>
          </w:p>
        </w:tc>
        <w:tc>
          <w:tcPr>
            <w:tcW w:w="1036" w:type="dxa"/>
            <w:tcBorders>
              <w:top w:val="nil"/>
              <w:left w:val="nil"/>
              <w:bottom w:val="single" w:sz="4" w:space="0" w:color="auto"/>
              <w:right w:val="single" w:sz="4" w:space="0" w:color="auto"/>
            </w:tcBorders>
            <w:shd w:val="clear" w:color="auto" w:fill="auto"/>
            <w:noWrap/>
            <w:vAlign w:val="center"/>
            <w:hideMark/>
          </w:tcPr>
          <w:p w14:paraId="7882A0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17206421</w:t>
            </w:r>
          </w:p>
        </w:tc>
        <w:tc>
          <w:tcPr>
            <w:tcW w:w="160" w:type="dxa"/>
            <w:tcBorders>
              <w:top w:val="nil"/>
              <w:left w:val="nil"/>
              <w:bottom w:val="single" w:sz="4" w:space="0" w:color="auto"/>
              <w:right w:val="nil"/>
            </w:tcBorders>
            <w:vAlign w:val="center"/>
          </w:tcPr>
          <w:p w14:paraId="4657F42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73E95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CICIBAN</w:t>
            </w:r>
          </w:p>
        </w:tc>
      </w:tr>
      <w:tr w:rsidR="00072A69" w:rsidRPr="00DC6DF9" w14:paraId="5E838D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A8CD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1899</w:t>
            </w:r>
          </w:p>
        </w:tc>
        <w:tc>
          <w:tcPr>
            <w:tcW w:w="1036" w:type="dxa"/>
            <w:tcBorders>
              <w:top w:val="nil"/>
              <w:left w:val="nil"/>
              <w:bottom w:val="single" w:sz="4" w:space="0" w:color="auto"/>
              <w:right w:val="single" w:sz="4" w:space="0" w:color="auto"/>
            </w:tcBorders>
            <w:shd w:val="clear" w:color="auto" w:fill="auto"/>
            <w:noWrap/>
            <w:vAlign w:val="center"/>
            <w:hideMark/>
          </w:tcPr>
          <w:p w14:paraId="19D006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5055911000</w:t>
            </w:r>
          </w:p>
        </w:tc>
        <w:tc>
          <w:tcPr>
            <w:tcW w:w="1036" w:type="dxa"/>
            <w:tcBorders>
              <w:top w:val="nil"/>
              <w:left w:val="nil"/>
              <w:bottom w:val="single" w:sz="4" w:space="0" w:color="auto"/>
              <w:right w:val="single" w:sz="4" w:space="0" w:color="auto"/>
            </w:tcBorders>
            <w:shd w:val="clear" w:color="auto" w:fill="auto"/>
            <w:noWrap/>
            <w:vAlign w:val="center"/>
            <w:hideMark/>
          </w:tcPr>
          <w:p w14:paraId="5CA4A9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43385966</w:t>
            </w:r>
          </w:p>
        </w:tc>
        <w:tc>
          <w:tcPr>
            <w:tcW w:w="160" w:type="dxa"/>
            <w:tcBorders>
              <w:top w:val="nil"/>
              <w:left w:val="nil"/>
              <w:bottom w:val="single" w:sz="4" w:space="0" w:color="auto"/>
              <w:right w:val="nil"/>
            </w:tcBorders>
            <w:vAlign w:val="center"/>
          </w:tcPr>
          <w:p w14:paraId="3400A8D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5A62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CICIBAN NOVO MESTO</w:t>
            </w:r>
          </w:p>
        </w:tc>
      </w:tr>
      <w:tr w:rsidR="00072A69" w:rsidRPr="00DC6DF9" w14:paraId="03F7D6F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7CF65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1900</w:t>
            </w:r>
          </w:p>
        </w:tc>
        <w:tc>
          <w:tcPr>
            <w:tcW w:w="1036" w:type="dxa"/>
            <w:tcBorders>
              <w:top w:val="nil"/>
              <w:left w:val="nil"/>
              <w:bottom w:val="single" w:sz="4" w:space="0" w:color="auto"/>
              <w:right w:val="single" w:sz="4" w:space="0" w:color="auto"/>
            </w:tcBorders>
            <w:shd w:val="clear" w:color="auto" w:fill="auto"/>
            <w:noWrap/>
            <w:vAlign w:val="center"/>
            <w:hideMark/>
          </w:tcPr>
          <w:p w14:paraId="6A8661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5055806000</w:t>
            </w:r>
          </w:p>
        </w:tc>
        <w:tc>
          <w:tcPr>
            <w:tcW w:w="1036" w:type="dxa"/>
            <w:tcBorders>
              <w:top w:val="nil"/>
              <w:left w:val="nil"/>
              <w:bottom w:val="single" w:sz="4" w:space="0" w:color="auto"/>
              <w:right w:val="single" w:sz="4" w:space="0" w:color="auto"/>
            </w:tcBorders>
            <w:shd w:val="clear" w:color="auto" w:fill="auto"/>
            <w:noWrap/>
            <w:vAlign w:val="center"/>
            <w:hideMark/>
          </w:tcPr>
          <w:p w14:paraId="40630F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44269536</w:t>
            </w:r>
          </w:p>
        </w:tc>
        <w:tc>
          <w:tcPr>
            <w:tcW w:w="160" w:type="dxa"/>
            <w:tcBorders>
              <w:top w:val="nil"/>
              <w:left w:val="nil"/>
              <w:bottom w:val="single" w:sz="4" w:space="0" w:color="auto"/>
              <w:right w:val="nil"/>
            </w:tcBorders>
            <w:vAlign w:val="center"/>
          </w:tcPr>
          <w:p w14:paraId="3365D2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43FF07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CICIBAN SEVNICA</w:t>
            </w:r>
          </w:p>
        </w:tc>
      </w:tr>
      <w:tr w:rsidR="00072A69" w:rsidRPr="00DC6DF9" w14:paraId="3BFF90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5FDEF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1901</w:t>
            </w:r>
          </w:p>
        </w:tc>
        <w:tc>
          <w:tcPr>
            <w:tcW w:w="1036" w:type="dxa"/>
            <w:tcBorders>
              <w:top w:val="nil"/>
              <w:left w:val="nil"/>
              <w:bottom w:val="single" w:sz="4" w:space="0" w:color="auto"/>
              <w:right w:val="single" w:sz="4" w:space="0" w:color="auto"/>
            </w:tcBorders>
            <w:shd w:val="clear" w:color="auto" w:fill="auto"/>
            <w:noWrap/>
            <w:vAlign w:val="center"/>
            <w:hideMark/>
          </w:tcPr>
          <w:p w14:paraId="09C9EB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6228186000</w:t>
            </w:r>
          </w:p>
        </w:tc>
        <w:tc>
          <w:tcPr>
            <w:tcW w:w="1036" w:type="dxa"/>
            <w:tcBorders>
              <w:top w:val="nil"/>
              <w:left w:val="nil"/>
              <w:bottom w:val="single" w:sz="4" w:space="0" w:color="auto"/>
              <w:right w:val="single" w:sz="4" w:space="0" w:color="auto"/>
            </w:tcBorders>
            <w:shd w:val="clear" w:color="auto" w:fill="auto"/>
            <w:noWrap/>
            <w:vAlign w:val="center"/>
            <w:hideMark/>
          </w:tcPr>
          <w:p w14:paraId="22594C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99604132</w:t>
            </w:r>
          </w:p>
        </w:tc>
        <w:tc>
          <w:tcPr>
            <w:tcW w:w="160" w:type="dxa"/>
            <w:tcBorders>
              <w:top w:val="nil"/>
              <w:left w:val="nil"/>
              <w:bottom w:val="single" w:sz="4" w:space="0" w:color="auto"/>
              <w:right w:val="nil"/>
            </w:tcBorders>
            <w:vAlign w:val="center"/>
          </w:tcPr>
          <w:p w14:paraId="56CD22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6B86B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ČEBELICA ŠENTJERNEJ</w:t>
            </w:r>
          </w:p>
        </w:tc>
      </w:tr>
      <w:tr w:rsidR="00072A69" w:rsidRPr="00DC6DF9" w14:paraId="303D4D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58F5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1902</w:t>
            </w:r>
          </w:p>
        </w:tc>
        <w:tc>
          <w:tcPr>
            <w:tcW w:w="1036" w:type="dxa"/>
            <w:tcBorders>
              <w:top w:val="nil"/>
              <w:left w:val="nil"/>
              <w:bottom w:val="single" w:sz="4" w:space="0" w:color="auto"/>
              <w:right w:val="single" w:sz="4" w:space="0" w:color="auto"/>
            </w:tcBorders>
            <w:shd w:val="clear" w:color="auto" w:fill="auto"/>
            <w:noWrap/>
            <w:vAlign w:val="center"/>
            <w:hideMark/>
          </w:tcPr>
          <w:p w14:paraId="2DE009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5049938000</w:t>
            </w:r>
          </w:p>
        </w:tc>
        <w:tc>
          <w:tcPr>
            <w:tcW w:w="1036" w:type="dxa"/>
            <w:tcBorders>
              <w:top w:val="nil"/>
              <w:left w:val="nil"/>
              <w:bottom w:val="single" w:sz="4" w:space="0" w:color="auto"/>
              <w:right w:val="single" w:sz="4" w:space="0" w:color="auto"/>
            </w:tcBorders>
            <w:shd w:val="clear" w:color="auto" w:fill="auto"/>
            <w:noWrap/>
            <w:vAlign w:val="center"/>
            <w:hideMark/>
          </w:tcPr>
          <w:p w14:paraId="06D568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30552001</w:t>
            </w:r>
          </w:p>
        </w:tc>
        <w:tc>
          <w:tcPr>
            <w:tcW w:w="160" w:type="dxa"/>
            <w:tcBorders>
              <w:top w:val="nil"/>
              <w:left w:val="nil"/>
              <w:bottom w:val="single" w:sz="4" w:space="0" w:color="auto"/>
              <w:right w:val="nil"/>
            </w:tcBorders>
            <w:vAlign w:val="center"/>
          </w:tcPr>
          <w:p w14:paraId="441C4C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B253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ČRNUČE</w:t>
            </w:r>
          </w:p>
        </w:tc>
      </w:tr>
      <w:tr w:rsidR="00072A69" w:rsidRPr="00DC6DF9" w14:paraId="6E784E0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C3AD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1903</w:t>
            </w:r>
          </w:p>
        </w:tc>
        <w:tc>
          <w:tcPr>
            <w:tcW w:w="1036" w:type="dxa"/>
            <w:tcBorders>
              <w:top w:val="nil"/>
              <w:left w:val="nil"/>
              <w:bottom w:val="single" w:sz="4" w:space="0" w:color="auto"/>
              <w:right w:val="single" w:sz="4" w:space="0" w:color="auto"/>
            </w:tcBorders>
            <w:shd w:val="clear" w:color="auto" w:fill="auto"/>
            <w:noWrap/>
            <w:vAlign w:val="center"/>
            <w:hideMark/>
          </w:tcPr>
          <w:p w14:paraId="7FDDED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5816491000</w:t>
            </w:r>
          </w:p>
        </w:tc>
        <w:tc>
          <w:tcPr>
            <w:tcW w:w="1036" w:type="dxa"/>
            <w:tcBorders>
              <w:top w:val="nil"/>
              <w:left w:val="nil"/>
              <w:bottom w:val="single" w:sz="4" w:space="0" w:color="auto"/>
              <w:right w:val="single" w:sz="4" w:space="0" w:color="auto"/>
            </w:tcBorders>
            <w:shd w:val="clear" w:color="auto" w:fill="auto"/>
            <w:noWrap/>
            <w:vAlign w:val="center"/>
            <w:hideMark/>
          </w:tcPr>
          <w:p w14:paraId="7FDCBF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42037123</w:t>
            </w:r>
          </w:p>
        </w:tc>
        <w:tc>
          <w:tcPr>
            <w:tcW w:w="160" w:type="dxa"/>
            <w:tcBorders>
              <w:top w:val="nil"/>
              <w:left w:val="nil"/>
              <w:bottom w:val="single" w:sz="4" w:space="0" w:color="auto"/>
              <w:right w:val="nil"/>
            </w:tcBorders>
            <w:vAlign w:val="center"/>
          </w:tcPr>
          <w:p w14:paraId="529E1F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2B2D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DELFINO BLU KOPER</w:t>
            </w:r>
          </w:p>
        </w:tc>
      </w:tr>
      <w:tr w:rsidR="00072A69" w:rsidRPr="00DC6DF9" w14:paraId="755FDA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557A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1904</w:t>
            </w:r>
          </w:p>
        </w:tc>
        <w:tc>
          <w:tcPr>
            <w:tcW w:w="1036" w:type="dxa"/>
            <w:tcBorders>
              <w:top w:val="nil"/>
              <w:left w:val="nil"/>
              <w:bottom w:val="single" w:sz="4" w:space="0" w:color="auto"/>
              <w:right w:val="single" w:sz="4" w:space="0" w:color="auto"/>
            </w:tcBorders>
            <w:shd w:val="clear" w:color="auto" w:fill="auto"/>
            <w:noWrap/>
            <w:vAlign w:val="center"/>
            <w:hideMark/>
          </w:tcPr>
          <w:p w14:paraId="22595B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5056675000</w:t>
            </w:r>
          </w:p>
        </w:tc>
        <w:tc>
          <w:tcPr>
            <w:tcW w:w="1036" w:type="dxa"/>
            <w:tcBorders>
              <w:top w:val="nil"/>
              <w:left w:val="nil"/>
              <w:bottom w:val="single" w:sz="4" w:space="0" w:color="auto"/>
              <w:right w:val="single" w:sz="4" w:space="0" w:color="auto"/>
            </w:tcBorders>
            <w:shd w:val="clear" w:color="auto" w:fill="auto"/>
            <w:noWrap/>
            <w:vAlign w:val="center"/>
            <w:hideMark/>
          </w:tcPr>
          <w:p w14:paraId="590F2D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50500406</w:t>
            </w:r>
          </w:p>
        </w:tc>
        <w:tc>
          <w:tcPr>
            <w:tcW w:w="160" w:type="dxa"/>
            <w:tcBorders>
              <w:top w:val="nil"/>
              <w:left w:val="nil"/>
              <w:bottom w:val="single" w:sz="4" w:space="0" w:color="auto"/>
              <w:right w:val="nil"/>
            </w:tcBorders>
            <w:vAlign w:val="center"/>
          </w:tcPr>
          <w:p w14:paraId="366477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5726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DOMŽALE</w:t>
            </w:r>
          </w:p>
        </w:tc>
      </w:tr>
      <w:tr w:rsidR="00072A69" w:rsidRPr="00DC6DF9" w14:paraId="1698734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54C1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1905</w:t>
            </w:r>
          </w:p>
        </w:tc>
        <w:tc>
          <w:tcPr>
            <w:tcW w:w="1036" w:type="dxa"/>
            <w:tcBorders>
              <w:top w:val="nil"/>
              <w:left w:val="nil"/>
              <w:bottom w:val="single" w:sz="4" w:space="0" w:color="auto"/>
              <w:right w:val="single" w:sz="4" w:space="0" w:color="auto"/>
            </w:tcBorders>
            <w:shd w:val="clear" w:color="auto" w:fill="auto"/>
            <w:noWrap/>
            <w:vAlign w:val="center"/>
            <w:hideMark/>
          </w:tcPr>
          <w:p w14:paraId="43A008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1942913000</w:t>
            </w:r>
          </w:p>
        </w:tc>
        <w:tc>
          <w:tcPr>
            <w:tcW w:w="1036" w:type="dxa"/>
            <w:tcBorders>
              <w:top w:val="nil"/>
              <w:left w:val="nil"/>
              <w:bottom w:val="single" w:sz="4" w:space="0" w:color="auto"/>
              <w:right w:val="single" w:sz="4" w:space="0" w:color="auto"/>
            </w:tcBorders>
            <w:shd w:val="clear" w:color="auto" w:fill="auto"/>
            <w:noWrap/>
            <w:vAlign w:val="center"/>
            <w:hideMark/>
          </w:tcPr>
          <w:p w14:paraId="6D6561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80998232</w:t>
            </w:r>
          </w:p>
        </w:tc>
        <w:tc>
          <w:tcPr>
            <w:tcW w:w="160" w:type="dxa"/>
            <w:tcBorders>
              <w:top w:val="nil"/>
              <w:left w:val="nil"/>
              <w:bottom w:val="single" w:sz="4" w:space="0" w:color="auto"/>
              <w:right w:val="nil"/>
            </w:tcBorders>
            <w:vAlign w:val="center"/>
          </w:tcPr>
          <w:p w14:paraId="654972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C195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DR. FRANCE PREŠEREN</w:t>
            </w:r>
          </w:p>
        </w:tc>
      </w:tr>
      <w:tr w:rsidR="00072A69" w:rsidRPr="00DC6DF9" w14:paraId="1F5A08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8B4B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1906</w:t>
            </w:r>
          </w:p>
        </w:tc>
        <w:tc>
          <w:tcPr>
            <w:tcW w:w="1036" w:type="dxa"/>
            <w:tcBorders>
              <w:top w:val="nil"/>
              <w:left w:val="nil"/>
              <w:bottom w:val="single" w:sz="4" w:space="0" w:color="auto"/>
              <w:right w:val="single" w:sz="4" w:space="0" w:color="auto"/>
            </w:tcBorders>
            <w:shd w:val="clear" w:color="auto" w:fill="auto"/>
            <w:noWrap/>
            <w:vAlign w:val="center"/>
            <w:hideMark/>
          </w:tcPr>
          <w:p w14:paraId="07E300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5049539000</w:t>
            </w:r>
          </w:p>
        </w:tc>
        <w:tc>
          <w:tcPr>
            <w:tcW w:w="1036" w:type="dxa"/>
            <w:tcBorders>
              <w:top w:val="nil"/>
              <w:left w:val="nil"/>
              <w:bottom w:val="single" w:sz="4" w:space="0" w:color="auto"/>
              <w:right w:val="single" w:sz="4" w:space="0" w:color="auto"/>
            </w:tcBorders>
            <w:shd w:val="clear" w:color="auto" w:fill="auto"/>
            <w:noWrap/>
            <w:vAlign w:val="center"/>
            <w:hideMark/>
          </w:tcPr>
          <w:p w14:paraId="2A91EB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88392082</w:t>
            </w:r>
          </w:p>
        </w:tc>
        <w:tc>
          <w:tcPr>
            <w:tcW w:w="160" w:type="dxa"/>
            <w:tcBorders>
              <w:top w:val="nil"/>
              <w:left w:val="nil"/>
              <w:bottom w:val="single" w:sz="4" w:space="0" w:color="auto"/>
              <w:right w:val="nil"/>
            </w:tcBorders>
            <w:vAlign w:val="center"/>
          </w:tcPr>
          <w:p w14:paraId="3B0F95D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F399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DRAVOGRAD</w:t>
            </w:r>
          </w:p>
        </w:tc>
      </w:tr>
      <w:tr w:rsidR="00072A69" w:rsidRPr="00DC6DF9" w14:paraId="56AF6A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BF8EA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1907</w:t>
            </w:r>
          </w:p>
        </w:tc>
        <w:tc>
          <w:tcPr>
            <w:tcW w:w="1036" w:type="dxa"/>
            <w:tcBorders>
              <w:top w:val="nil"/>
              <w:left w:val="nil"/>
              <w:bottom w:val="single" w:sz="4" w:space="0" w:color="auto"/>
              <w:right w:val="single" w:sz="4" w:space="0" w:color="auto"/>
            </w:tcBorders>
            <w:shd w:val="clear" w:color="auto" w:fill="auto"/>
            <w:noWrap/>
            <w:vAlign w:val="center"/>
            <w:hideMark/>
          </w:tcPr>
          <w:p w14:paraId="774C4B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1943332000</w:t>
            </w:r>
          </w:p>
        </w:tc>
        <w:tc>
          <w:tcPr>
            <w:tcW w:w="1036" w:type="dxa"/>
            <w:tcBorders>
              <w:top w:val="nil"/>
              <w:left w:val="nil"/>
              <w:bottom w:val="single" w:sz="4" w:space="0" w:color="auto"/>
              <w:right w:val="single" w:sz="4" w:space="0" w:color="auto"/>
            </w:tcBorders>
            <w:shd w:val="clear" w:color="auto" w:fill="auto"/>
            <w:noWrap/>
            <w:vAlign w:val="center"/>
            <w:hideMark/>
          </w:tcPr>
          <w:p w14:paraId="44F7FF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64056732</w:t>
            </w:r>
          </w:p>
        </w:tc>
        <w:tc>
          <w:tcPr>
            <w:tcW w:w="160" w:type="dxa"/>
            <w:tcBorders>
              <w:top w:val="nil"/>
              <w:left w:val="nil"/>
              <w:bottom w:val="single" w:sz="4" w:space="0" w:color="auto"/>
              <w:right w:val="nil"/>
            </w:tcBorders>
            <w:vAlign w:val="center"/>
          </w:tcPr>
          <w:p w14:paraId="790A1C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F5C5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GALJEVICA</w:t>
            </w:r>
          </w:p>
        </w:tc>
      </w:tr>
      <w:tr w:rsidR="00072A69" w:rsidRPr="00DC6DF9" w14:paraId="2AA4DE9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94B8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1908</w:t>
            </w:r>
          </w:p>
        </w:tc>
        <w:tc>
          <w:tcPr>
            <w:tcW w:w="1036" w:type="dxa"/>
            <w:tcBorders>
              <w:top w:val="nil"/>
              <w:left w:val="nil"/>
              <w:bottom w:val="single" w:sz="4" w:space="0" w:color="auto"/>
              <w:right w:val="single" w:sz="4" w:space="0" w:color="auto"/>
            </w:tcBorders>
            <w:shd w:val="clear" w:color="auto" w:fill="auto"/>
            <w:noWrap/>
            <w:vAlign w:val="center"/>
            <w:hideMark/>
          </w:tcPr>
          <w:p w14:paraId="3E7587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5057035000</w:t>
            </w:r>
          </w:p>
        </w:tc>
        <w:tc>
          <w:tcPr>
            <w:tcW w:w="1036" w:type="dxa"/>
            <w:tcBorders>
              <w:top w:val="nil"/>
              <w:left w:val="nil"/>
              <w:bottom w:val="single" w:sz="4" w:space="0" w:color="auto"/>
              <w:right w:val="single" w:sz="4" w:space="0" w:color="auto"/>
            </w:tcBorders>
            <w:shd w:val="clear" w:color="auto" w:fill="auto"/>
            <w:noWrap/>
            <w:vAlign w:val="center"/>
            <w:hideMark/>
          </w:tcPr>
          <w:p w14:paraId="3DDCCE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32580053</w:t>
            </w:r>
          </w:p>
        </w:tc>
        <w:tc>
          <w:tcPr>
            <w:tcW w:w="160" w:type="dxa"/>
            <w:tcBorders>
              <w:top w:val="nil"/>
              <w:left w:val="nil"/>
              <w:bottom w:val="single" w:sz="4" w:space="0" w:color="auto"/>
              <w:right w:val="nil"/>
            </w:tcBorders>
            <w:vAlign w:val="center"/>
          </w:tcPr>
          <w:p w14:paraId="5AE85F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9ED0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HANSA CHRISTIANA ANDERSENA</w:t>
            </w:r>
          </w:p>
        </w:tc>
      </w:tr>
      <w:tr w:rsidR="00072A69" w:rsidRPr="00DC6DF9" w14:paraId="05F4BD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FCCA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1909</w:t>
            </w:r>
          </w:p>
        </w:tc>
        <w:tc>
          <w:tcPr>
            <w:tcW w:w="1036" w:type="dxa"/>
            <w:tcBorders>
              <w:top w:val="nil"/>
              <w:left w:val="nil"/>
              <w:bottom w:val="single" w:sz="4" w:space="0" w:color="auto"/>
              <w:right w:val="single" w:sz="4" w:space="0" w:color="auto"/>
            </w:tcBorders>
            <w:shd w:val="clear" w:color="auto" w:fill="auto"/>
            <w:noWrap/>
            <w:vAlign w:val="center"/>
            <w:hideMark/>
          </w:tcPr>
          <w:p w14:paraId="29E259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5050936000</w:t>
            </w:r>
          </w:p>
        </w:tc>
        <w:tc>
          <w:tcPr>
            <w:tcW w:w="1036" w:type="dxa"/>
            <w:tcBorders>
              <w:top w:val="nil"/>
              <w:left w:val="nil"/>
              <w:bottom w:val="single" w:sz="4" w:space="0" w:color="auto"/>
              <w:right w:val="single" w:sz="4" w:space="0" w:color="auto"/>
            </w:tcBorders>
            <w:shd w:val="clear" w:color="auto" w:fill="auto"/>
            <w:noWrap/>
            <w:vAlign w:val="center"/>
            <w:hideMark/>
          </w:tcPr>
          <w:p w14:paraId="6BA0DD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26285312</w:t>
            </w:r>
          </w:p>
        </w:tc>
        <w:tc>
          <w:tcPr>
            <w:tcW w:w="160" w:type="dxa"/>
            <w:tcBorders>
              <w:top w:val="nil"/>
              <w:left w:val="nil"/>
              <w:bottom w:val="single" w:sz="4" w:space="0" w:color="auto"/>
              <w:right w:val="nil"/>
            </w:tcBorders>
            <w:vAlign w:val="center"/>
          </w:tcPr>
          <w:p w14:paraId="155B498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20C3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HRASTNIK</w:t>
            </w:r>
          </w:p>
        </w:tc>
      </w:tr>
      <w:tr w:rsidR="00072A69" w:rsidRPr="00DC6DF9" w14:paraId="1F4C2C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0860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1910</w:t>
            </w:r>
          </w:p>
        </w:tc>
        <w:tc>
          <w:tcPr>
            <w:tcW w:w="1036" w:type="dxa"/>
            <w:tcBorders>
              <w:top w:val="nil"/>
              <w:left w:val="nil"/>
              <w:bottom w:val="single" w:sz="4" w:space="0" w:color="auto"/>
              <w:right w:val="single" w:sz="4" w:space="0" w:color="auto"/>
            </w:tcBorders>
            <w:shd w:val="clear" w:color="auto" w:fill="auto"/>
            <w:noWrap/>
            <w:vAlign w:val="center"/>
            <w:hideMark/>
          </w:tcPr>
          <w:p w14:paraId="71745D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5050944000</w:t>
            </w:r>
          </w:p>
        </w:tc>
        <w:tc>
          <w:tcPr>
            <w:tcW w:w="1036" w:type="dxa"/>
            <w:tcBorders>
              <w:top w:val="nil"/>
              <w:left w:val="nil"/>
              <w:bottom w:val="single" w:sz="4" w:space="0" w:color="auto"/>
              <w:right w:val="single" w:sz="4" w:space="0" w:color="auto"/>
            </w:tcBorders>
            <w:shd w:val="clear" w:color="auto" w:fill="auto"/>
            <w:noWrap/>
            <w:vAlign w:val="center"/>
            <w:hideMark/>
          </w:tcPr>
          <w:p w14:paraId="182DF0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18831001</w:t>
            </w:r>
          </w:p>
        </w:tc>
        <w:tc>
          <w:tcPr>
            <w:tcW w:w="160" w:type="dxa"/>
            <w:tcBorders>
              <w:top w:val="nil"/>
              <w:left w:val="nil"/>
              <w:bottom w:val="single" w:sz="4" w:space="0" w:color="auto"/>
              <w:right w:val="nil"/>
            </w:tcBorders>
            <w:vAlign w:val="center"/>
          </w:tcPr>
          <w:p w14:paraId="35752D7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5E64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IDRIJA</w:t>
            </w:r>
          </w:p>
        </w:tc>
      </w:tr>
      <w:tr w:rsidR="00072A69" w:rsidRPr="00DC6DF9" w14:paraId="134939A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49D7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1911</w:t>
            </w:r>
          </w:p>
        </w:tc>
        <w:tc>
          <w:tcPr>
            <w:tcW w:w="1036" w:type="dxa"/>
            <w:tcBorders>
              <w:top w:val="nil"/>
              <w:left w:val="nil"/>
              <w:bottom w:val="single" w:sz="4" w:space="0" w:color="auto"/>
              <w:right w:val="single" w:sz="4" w:space="0" w:color="auto"/>
            </w:tcBorders>
            <w:shd w:val="clear" w:color="auto" w:fill="auto"/>
            <w:noWrap/>
            <w:vAlign w:val="center"/>
            <w:hideMark/>
          </w:tcPr>
          <w:p w14:paraId="53E9DE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1123823000</w:t>
            </w:r>
          </w:p>
        </w:tc>
        <w:tc>
          <w:tcPr>
            <w:tcW w:w="1036" w:type="dxa"/>
            <w:tcBorders>
              <w:top w:val="nil"/>
              <w:left w:val="nil"/>
              <w:bottom w:val="single" w:sz="4" w:space="0" w:color="auto"/>
              <w:right w:val="single" w:sz="4" w:space="0" w:color="auto"/>
            </w:tcBorders>
            <w:shd w:val="clear" w:color="auto" w:fill="auto"/>
            <w:noWrap/>
            <w:vAlign w:val="center"/>
            <w:hideMark/>
          </w:tcPr>
          <w:p w14:paraId="4E0F38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71573399</w:t>
            </w:r>
          </w:p>
        </w:tc>
        <w:tc>
          <w:tcPr>
            <w:tcW w:w="160" w:type="dxa"/>
            <w:tcBorders>
              <w:top w:val="nil"/>
              <w:left w:val="nil"/>
              <w:bottom w:val="single" w:sz="4" w:space="0" w:color="auto"/>
              <w:right w:val="nil"/>
            </w:tcBorders>
            <w:vAlign w:val="center"/>
          </w:tcPr>
          <w:p w14:paraId="3900412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CFC8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IG</w:t>
            </w:r>
          </w:p>
        </w:tc>
      </w:tr>
      <w:tr w:rsidR="00072A69" w:rsidRPr="00DC6DF9" w14:paraId="396F1CA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362B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1912</w:t>
            </w:r>
          </w:p>
        </w:tc>
        <w:tc>
          <w:tcPr>
            <w:tcW w:w="1036" w:type="dxa"/>
            <w:tcBorders>
              <w:top w:val="nil"/>
              <w:left w:val="nil"/>
              <w:bottom w:val="single" w:sz="4" w:space="0" w:color="auto"/>
              <w:right w:val="single" w:sz="4" w:space="0" w:color="auto"/>
            </w:tcBorders>
            <w:shd w:val="clear" w:color="auto" w:fill="auto"/>
            <w:noWrap/>
            <w:vAlign w:val="center"/>
            <w:hideMark/>
          </w:tcPr>
          <w:p w14:paraId="683BAA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5050413000</w:t>
            </w:r>
          </w:p>
        </w:tc>
        <w:tc>
          <w:tcPr>
            <w:tcW w:w="1036" w:type="dxa"/>
            <w:tcBorders>
              <w:top w:val="nil"/>
              <w:left w:val="nil"/>
              <w:bottom w:val="single" w:sz="4" w:space="0" w:color="auto"/>
              <w:right w:val="single" w:sz="4" w:space="0" w:color="auto"/>
            </w:tcBorders>
            <w:shd w:val="clear" w:color="auto" w:fill="auto"/>
            <w:noWrap/>
            <w:vAlign w:val="center"/>
            <w:hideMark/>
          </w:tcPr>
          <w:p w14:paraId="5407AA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82775214</w:t>
            </w:r>
          </w:p>
        </w:tc>
        <w:tc>
          <w:tcPr>
            <w:tcW w:w="160" w:type="dxa"/>
            <w:tcBorders>
              <w:top w:val="nil"/>
              <w:left w:val="nil"/>
              <w:bottom w:val="single" w:sz="4" w:space="0" w:color="auto"/>
              <w:right w:val="nil"/>
            </w:tcBorders>
            <w:vAlign w:val="center"/>
          </w:tcPr>
          <w:p w14:paraId="45292DE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D24A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IVANA GLINŠKA MARIBOR</w:t>
            </w:r>
          </w:p>
        </w:tc>
      </w:tr>
      <w:tr w:rsidR="00072A69" w:rsidRPr="00DC6DF9" w14:paraId="662747F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ABF7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1913</w:t>
            </w:r>
          </w:p>
        </w:tc>
        <w:tc>
          <w:tcPr>
            <w:tcW w:w="1036" w:type="dxa"/>
            <w:tcBorders>
              <w:top w:val="nil"/>
              <w:left w:val="nil"/>
              <w:bottom w:val="single" w:sz="4" w:space="0" w:color="auto"/>
              <w:right w:val="single" w:sz="4" w:space="0" w:color="auto"/>
            </w:tcBorders>
            <w:shd w:val="clear" w:color="auto" w:fill="auto"/>
            <w:noWrap/>
            <w:vAlign w:val="center"/>
            <w:hideMark/>
          </w:tcPr>
          <w:p w14:paraId="3E4D92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1125559000</w:t>
            </w:r>
          </w:p>
        </w:tc>
        <w:tc>
          <w:tcPr>
            <w:tcW w:w="1036" w:type="dxa"/>
            <w:tcBorders>
              <w:top w:val="nil"/>
              <w:left w:val="nil"/>
              <w:bottom w:val="single" w:sz="4" w:space="0" w:color="auto"/>
              <w:right w:val="single" w:sz="4" w:space="0" w:color="auto"/>
            </w:tcBorders>
            <w:shd w:val="clear" w:color="auto" w:fill="auto"/>
            <w:noWrap/>
            <w:vAlign w:val="center"/>
            <w:hideMark/>
          </w:tcPr>
          <w:p w14:paraId="410629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94144583</w:t>
            </w:r>
          </w:p>
        </w:tc>
        <w:tc>
          <w:tcPr>
            <w:tcW w:w="160" w:type="dxa"/>
            <w:tcBorders>
              <w:top w:val="nil"/>
              <w:left w:val="nil"/>
              <w:bottom w:val="single" w:sz="4" w:space="0" w:color="auto"/>
              <w:right w:val="nil"/>
            </w:tcBorders>
            <w:vAlign w:val="center"/>
          </w:tcPr>
          <w:p w14:paraId="247D8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EA049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IVANČNA GORICA</w:t>
            </w:r>
          </w:p>
        </w:tc>
      </w:tr>
      <w:tr w:rsidR="00072A69" w:rsidRPr="00DC6DF9" w14:paraId="7B1F29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0174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1914</w:t>
            </w:r>
          </w:p>
        </w:tc>
        <w:tc>
          <w:tcPr>
            <w:tcW w:w="1036" w:type="dxa"/>
            <w:tcBorders>
              <w:top w:val="nil"/>
              <w:left w:val="nil"/>
              <w:bottom w:val="single" w:sz="4" w:space="0" w:color="auto"/>
              <w:right w:val="single" w:sz="4" w:space="0" w:color="auto"/>
            </w:tcBorders>
            <w:shd w:val="clear" w:color="auto" w:fill="auto"/>
            <w:noWrap/>
            <w:vAlign w:val="center"/>
            <w:hideMark/>
          </w:tcPr>
          <w:p w14:paraId="2EE5DA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5050430000</w:t>
            </w:r>
          </w:p>
        </w:tc>
        <w:tc>
          <w:tcPr>
            <w:tcW w:w="1036" w:type="dxa"/>
            <w:tcBorders>
              <w:top w:val="nil"/>
              <w:left w:val="nil"/>
              <w:bottom w:val="single" w:sz="4" w:space="0" w:color="auto"/>
              <w:right w:val="single" w:sz="4" w:space="0" w:color="auto"/>
            </w:tcBorders>
            <w:shd w:val="clear" w:color="auto" w:fill="auto"/>
            <w:noWrap/>
            <w:vAlign w:val="center"/>
            <w:hideMark/>
          </w:tcPr>
          <w:p w14:paraId="42F96F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61694797</w:t>
            </w:r>
          </w:p>
        </w:tc>
        <w:tc>
          <w:tcPr>
            <w:tcW w:w="160" w:type="dxa"/>
            <w:tcBorders>
              <w:top w:val="nil"/>
              <w:left w:val="nil"/>
              <w:bottom w:val="single" w:sz="4" w:space="0" w:color="auto"/>
              <w:right w:val="nil"/>
            </w:tcBorders>
            <w:vAlign w:val="center"/>
          </w:tcPr>
          <w:p w14:paraId="763DFEC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6455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JADVIGE GOLEŽ MARIBOR</w:t>
            </w:r>
          </w:p>
        </w:tc>
      </w:tr>
      <w:tr w:rsidR="00072A69" w:rsidRPr="00DC6DF9" w14:paraId="5051E9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83A3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1915</w:t>
            </w:r>
          </w:p>
        </w:tc>
        <w:tc>
          <w:tcPr>
            <w:tcW w:w="1036" w:type="dxa"/>
            <w:tcBorders>
              <w:top w:val="nil"/>
              <w:left w:val="nil"/>
              <w:bottom w:val="single" w:sz="4" w:space="0" w:color="auto"/>
              <w:right w:val="single" w:sz="4" w:space="0" w:color="auto"/>
            </w:tcBorders>
            <w:shd w:val="clear" w:color="auto" w:fill="auto"/>
            <w:noWrap/>
            <w:vAlign w:val="center"/>
            <w:hideMark/>
          </w:tcPr>
          <w:p w14:paraId="56157B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5050146000</w:t>
            </w:r>
          </w:p>
        </w:tc>
        <w:tc>
          <w:tcPr>
            <w:tcW w:w="1036" w:type="dxa"/>
            <w:tcBorders>
              <w:top w:val="nil"/>
              <w:left w:val="nil"/>
              <w:bottom w:val="single" w:sz="4" w:space="0" w:color="auto"/>
              <w:right w:val="single" w:sz="4" w:space="0" w:color="auto"/>
            </w:tcBorders>
            <w:shd w:val="clear" w:color="auto" w:fill="auto"/>
            <w:noWrap/>
            <w:vAlign w:val="center"/>
            <w:hideMark/>
          </w:tcPr>
          <w:p w14:paraId="114139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74027654</w:t>
            </w:r>
          </w:p>
        </w:tc>
        <w:tc>
          <w:tcPr>
            <w:tcW w:w="160" w:type="dxa"/>
            <w:tcBorders>
              <w:top w:val="nil"/>
              <w:left w:val="nil"/>
              <w:bottom w:val="single" w:sz="4" w:space="0" w:color="auto"/>
              <w:right w:val="nil"/>
            </w:tcBorders>
            <w:vAlign w:val="center"/>
          </w:tcPr>
          <w:p w14:paraId="0E499E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93F66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JARŠE</w:t>
            </w:r>
          </w:p>
        </w:tc>
      </w:tr>
      <w:tr w:rsidR="00072A69" w:rsidRPr="00DC6DF9" w14:paraId="53A4499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182AB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1916</w:t>
            </w:r>
          </w:p>
        </w:tc>
        <w:tc>
          <w:tcPr>
            <w:tcW w:w="1036" w:type="dxa"/>
            <w:tcBorders>
              <w:top w:val="nil"/>
              <w:left w:val="nil"/>
              <w:bottom w:val="single" w:sz="4" w:space="0" w:color="auto"/>
              <w:right w:val="single" w:sz="4" w:space="0" w:color="auto"/>
            </w:tcBorders>
            <w:shd w:val="clear" w:color="auto" w:fill="auto"/>
            <w:noWrap/>
            <w:vAlign w:val="center"/>
            <w:hideMark/>
          </w:tcPr>
          <w:p w14:paraId="3CE8BB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5049946000</w:t>
            </w:r>
          </w:p>
        </w:tc>
        <w:tc>
          <w:tcPr>
            <w:tcW w:w="1036" w:type="dxa"/>
            <w:tcBorders>
              <w:top w:val="nil"/>
              <w:left w:val="nil"/>
              <w:bottom w:val="single" w:sz="4" w:space="0" w:color="auto"/>
              <w:right w:val="single" w:sz="4" w:space="0" w:color="auto"/>
            </w:tcBorders>
            <w:shd w:val="clear" w:color="auto" w:fill="auto"/>
            <w:noWrap/>
            <w:vAlign w:val="center"/>
            <w:hideMark/>
          </w:tcPr>
          <w:p w14:paraId="477AB7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39675335</w:t>
            </w:r>
          </w:p>
        </w:tc>
        <w:tc>
          <w:tcPr>
            <w:tcW w:w="160" w:type="dxa"/>
            <w:tcBorders>
              <w:top w:val="nil"/>
              <w:left w:val="nil"/>
              <w:bottom w:val="single" w:sz="4" w:space="0" w:color="auto"/>
              <w:right w:val="nil"/>
            </w:tcBorders>
            <w:vAlign w:val="center"/>
          </w:tcPr>
          <w:p w14:paraId="49DF145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1B98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JELKA</w:t>
            </w:r>
          </w:p>
        </w:tc>
      </w:tr>
      <w:tr w:rsidR="00072A69" w:rsidRPr="00DC6DF9" w14:paraId="7A38B8E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A8FC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1917</w:t>
            </w:r>
          </w:p>
        </w:tc>
        <w:tc>
          <w:tcPr>
            <w:tcW w:w="1036" w:type="dxa"/>
            <w:tcBorders>
              <w:top w:val="nil"/>
              <w:left w:val="nil"/>
              <w:bottom w:val="single" w:sz="4" w:space="0" w:color="auto"/>
              <w:right w:val="single" w:sz="4" w:space="0" w:color="auto"/>
            </w:tcBorders>
            <w:shd w:val="clear" w:color="auto" w:fill="auto"/>
            <w:noWrap/>
            <w:vAlign w:val="center"/>
            <w:hideMark/>
          </w:tcPr>
          <w:p w14:paraId="4DF16C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5719135000</w:t>
            </w:r>
          </w:p>
        </w:tc>
        <w:tc>
          <w:tcPr>
            <w:tcW w:w="1036" w:type="dxa"/>
            <w:tcBorders>
              <w:top w:val="nil"/>
              <w:left w:val="nil"/>
              <w:bottom w:val="single" w:sz="4" w:space="0" w:color="auto"/>
              <w:right w:val="single" w:sz="4" w:space="0" w:color="auto"/>
            </w:tcBorders>
            <w:shd w:val="clear" w:color="auto" w:fill="auto"/>
            <w:noWrap/>
            <w:vAlign w:val="center"/>
            <w:hideMark/>
          </w:tcPr>
          <w:p w14:paraId="41E528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43475809</w:t>
            </w:r>
          </w:p>
        </w:tc>
        <w:tc>
          <w:tcPr>
            <w:tcW w:w="160" w:type="dxa"/>
            <w:tcBorders>
              <w:top w:val="nil"/>
              <w:left w:val="nil"/>
              <w:bottom w:val="single" w:sz="4" w:space="0" w:color="auto"/>
              <w:right w:val="nil"/>
            </w:tcBorders>
            <w:vAlign w:val="center"/>
          </w:tcPr>
          <w:p w14:paraId="0F4FF6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B4DA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JESENICE</w:t>
            </w:r>
          </w:p>
        </w:tc>
      </w:tr>
      <w:tr w:rsidR="00072A69" w:rsidRPr="00DC6DF9" w14:paraId="595F64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1BAA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1918</w:t>
            </w:r>
          </w:p>
        </w:tc>
        <w:tc>
          <w:tcPr>
            <w:tcW w:w="1036" w:type="dxa"/>
            <w:tcBorders>
              <w:top w:val="nil"/>
              <w:left w:val="nil"/>
              <w:bottom w:val="single" w:sz="4" w:space="0" w:color="auto"/>
              <w:right w:val="single" w:sz="4" w:space="0" w:color="auto"/>
            </w:tcBorders>
            <w:shd w:val="clear" w:color="auto" w:fill="auto"/>
            <w:noWrap/>
            <w:vAlign w:val="center"/>
            <w:hideMark/>
          </w:tcPr>
          <w:p w14:paraId="595881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3792480000</w:t>
            </w:r>
          </w:p>
        </w:tc>
        <w:tc>
          <w:tcPr>
            <w:tcW w:w="1036" w:type="dxa"/>
            <w:tcBorders>
              <w:top w:val="nil"/>
              <w:left w:val="nil"/>
              <w:bottom w:val="single" w:sz="4" w:space="0" w:color="auto"/>
              <w:right w:val="single" w:sz="4" w:space="0" w:color="auto"/>
            </w:tcBorders>
            <w:shd w:val="clear" w:color="auto" w:fill="auto"/>
            <w:noWrap/>
            <w:vAlign w:val="center"/>
            <w:hideMark/>
          </w:tcPr>
          <w:p w14:paraId="336C18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38671492</w:t>
            </w:r>
          </w:p>
        </w:tc>
        <w:tc>
          <w:tcPr>
            <w:tcW w:w="160" w:type="dxa"/>
            <w:tcBorders>
              <w:top w:val="nil"/>
              <w:left w:val="nil"/>
              <w:bottom w:val="single" w:sz="4" w:space="0" w:color="auto"/>
              <w:right w:val="nil"/>
            </w:tcBorders>
            <w:vAlign w:val="center"/>
          </w:tcPr>
          <w:p w14:paraId="54FFAD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A99F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JOŽEFE MASLO ILIRSKA BISTRICA</w:t>
            </w:r>
          </w:p>
        </w:tc>
      </w:tr>
      <w:tr w:rsidR="00072A69" w:rsidRPr="00DC6DF9" w14:paraId="584CF41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BA8D6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1919</w:t>
            </w:r>
          </w:p>
        </w:tc>
        <w:tc>
          <w:tcPr>
            <w:tcW w:w="1036" w:type="dxa"/>
            <w:tcBorders>
              <w:top w:val="nil"/>
              <w:left w:val="nil"/>
              <w:bottom w:val="single" w:sz="4" w:space="0" w:color="auto"/>
              <w:right w:val="single" w:sz="4" w:space="0" w:color="auto"/>
            </w:tcBorders>
            <w:shd w:val="clear" w:color="auto" w:fill="auto"/>
            <w:noWrap/>
            <w:vAlign w:val="center"/>
            <w:hideMark/>
          </w:tcPr>
          <w:p w14:paraId="573A6B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5051266000</w:t>
            </w:r>
          </w:p>
        </w:tc>
        <w:tc>
          <w:tcPr>
            <w:tcW w:w="1036" w:type="dxa"/>
            <w:tcBorders>
              <w:top w:val="nil"/>
              <w:left w:val="nil"/>
              <w:bottom w:val="single" w:sz="4" w:space="0" w:color="auto"/>
              <w:right w:val="single" w:sz="4" w:space="0" w:color="auto"/>
            </w:tcBorders>
            <w:shd w:val="clear" w:color="auto" w:fill="auto"/>
            <w:noWrap/>
            <w:vAlign w:val="center"/>
            <w:hideMark/>
          </w:tcPr>
          <w:p w14:paraId="7742CB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73536130</w:t>
            </w:r>
          </w:p>
        </w:tc>
        <w:tc>
          <w:tcPr>
            <w:tcW w:w="160" w:type="dxa"/>
            <w:tcBorders>
              <w:top w:val="nil"/>
              <w:left w:val="nil"/>
              <w:bottom w:val="single" w:sz="4" w:space="0" w:color="auto"/>
              <w:right w:val="nil"/>
            </w:tcBorders>
            <w:vAlign w:val="center"/>
          </w:tcPr>
          <w:p w14:paraId="589366E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9DE82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JOŽICE FLANDER MARIBOR</w:t>
            </w:r>
          </w:p>
        </w:tc>
      </w:tr>
      <w:tr w:rsidR="00072A69" w:rsidRPr="00DC6DF9" w14:paraId="62EE8E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3D46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1920</w:t>
            </w:r>
          </w:p>
        </w:tc>
        <w:tc>
          <w:tcPr>
            <w:tcW w:w="1036" w:type="dxa"/>
            <w:tcBorders>
              <w:top w:val="nil"/>
              <w:left w:val="nil"/>
              <w:bottom w:val="single" w:sz="4" w:space="0" w:color="auto"/>
              <w:right w:val="single" w:sz="4" w:space="0" w:color="auto"/>
            </w:tcBorders>
            <w:shd w:val="clear" w:color="auto" w:fill="auto"/>
            <w:noWrap/>
            <w:vAlign w:val="center"/>
            <w:hideMark/>
          </w:tcPr>
          <w:p w14:paraId="18B5AB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5055717000</w:t>
            </w:r>
          </w:p>
        </w:tc>
        <w:tc>
          <w:tcPr>
            <w:tcW w:w="1036" w:type="dxa"/>
            <w:tcBorders>
              <w:top w:val="nil"/>
              <w:left w:val="nil"/>
              <w:bottom w:val="single" w:sz="4" w:space="0" w:color="auto"/>
              <w:right w:val="single" w:sz="4" w:space="0" w:color="auto"/>
            </w:tcBorders>
            <w:shd w:val="clear" w:color="auto" w:fill="auto"/>
            <w:noWrap/>
            <w:vAlign w:val="center"/>
            <w:hideMark/>
          </w:tcPr>
          <w:p w14:paraId="0C8614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10033823</w:t>
            </w:r>
          </w:p>
        </w:tc>
        <w:tc>
          <w:tcPr>
            <w:tcW w:w="160" w:type="dxa"/>
            <w:tcBorders>
              <w:top w:val="nil"/>
              <w:left w:val="nil"/>
              <w:bottom w:val="single" w:sz="4" w:space="0" w:color="auto"/>
              <w:right w:val="nil"/>
            </w:tcBorders>
            <w:vAlign w:val="center"/>
          </w:tcPr>
          <w:p w14:paraId="0EDA04F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FCA2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KOČEVJE</w:t>
            </w:r>
          </w:p>
        </w:tc>
      </w:tr>
      <w:tr w:rsidR="00072A69" w:rsidRPr="00DC6DF9" w14:paraId="56C5BED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CD4E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1921</w:t>
            </w:r>
          </w:p>
        </w:tc>
        <w:tc>
          <w:tcPr>
            <w:tcW w:w="1036" w:type="dxa"/>
            <w:tcBorders>
              <w:top w:val="nil"/>
              <w:left w:val="nil"/>
              <w:bottom w:val="single" w:sz="4" w:space="0" w:color="auto"/>
              <w:right w:val="single" w:sz="4" w:space="0" w:color="auto"/>
            </w:tcBorders>
            <w:shd w:val="clear" w:color="auto" w:fill="auto"/>
            <w:noWrap/>
            <w:vAlign w:val="center"/>
            <w:hideMark/>
          </w:tcPr>
          <w:p w14:paraId="033B69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1943219000</w:t>
            </w:r>
          </w:p>
        </w:tc>
        <w:tc>
          <w:tcPr>
            <w:tcW w:w="1036" w:type="dxa"/>
            <w:tcBorders>
              <w:top w:val="nil"/>
              <w:left w:val="nil"/>
              <w:bottom w:val="single" w:sz="4" w:space="0" w:color="auto"/>
              <w:right w:val="single" w:sz="4" w:space="0" w:color="auto"/>
            </w:tcBorders>
            <w:shd w:val="clear" w:color="auto" w:fill="auto"/>
            <w:noWrap/>
            <w:vAlign w:val="center"/>
            <w:hideMark/>
          </w:tcPr>
          <w:p w14:paraId="1946B8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11760290</w:t>
            </w:r>
          </w:p>
        </w:tc>
        <w:tc>
          <w:tcPr>
            <w:tcW w:w="160" w:type="dxa"/>
            <w:tcBorders>
              <w:top w:val="nil"/>
              <w:left w:val="nil"/>
              <w:bottom w:val="single" w:sz="4" w:space="0" w:color="auto"/>
              <w:right w:val="nil"/>
            </w:tcBorders>
            <w:vAlign w:val="center"/>
          </w:tcPr>
          <w:p w14:paraId="491A65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BAA12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KOLEZIJA</w:t>
            </w:r>
          </w:p>
        </w:tc>
      </w:tr>
      <w:tr w:rsidR="00072A69" w:rsidRPr="00DC6DF9" w14:paraId="7E3DB83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3839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1922</w:t>
            </w:r>
          </w:p>
        </w:tc>
        <w:tc>
          <w:tcPr>
            <w:tcW w:w="1036" w:type="dxa"/>
            <w:tcBorders>
              <w:top w:val="nil"/>
              <w:left w:val="nil"/>
              <w:bottom w:val="single" w:sz="4" w:space="0" w:color="auto"/>
              <w:right w:val="single" w:sz="4" w:space="0" w:color="auto"/>
            </w:tcBorders>
            <w:shd w:val="clear" w:color="auto" w:fill="auto"/>
            <w:noWrap/>
            <w:vAlign w:val="center"/>
            <w:hideMark/>
          </w:tcPr>
          <w:p w14:paraId="36F31D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5049806000</w:t>
            </w:r>
          </w:p>
        </w:tc>
        <w:tc>
          <w:tcPr>
            <w:tcW w:w="1036" w:type="dxa"/>
            <w:tcBorders>
              <w:top w:val="nil"/>
              <w:left w:val="nil"/>
              <w:bottom w:val="single" w:sz="4" w:space="0" w:color="auto"/>
              <w:right w:val="single" w:sz="4" w:space="0" w:color="auto"/>
            </w:tcBorders>
            <w:shd w:val="clear" w:color="auto" w:fill="auto"/>
            <w:noWrap/>
            <w:vAlign w:val="center"/>
            <w:hideMark/>
          </w:tcPr>
          <w:p w14:paraId="27C03C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33963878</w:t>
            </w:r>
          </w:p>
        </w:tc>
        <w:tc>
          <w:tcPr>
            <w:tcW w:w="160" w:type="dxa"/>
            <w:tcBorders>
              <w:top w:val="nil"/>
              <w:left w:val="nil"/>
              <w:bottom w:val="single" w:sz="4" w:space="0" w:color="auto"/>
              <w:right w:val="nil"/>
            </w:tcBorders>
            <w:vAlign w:val="center"/>
          </w:tcPr>
          <w:p w14:paraId="14CBA1A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0628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KOPER</w:t>
            </w:r>
          </w:p>
        </w:tc>
      </w:tr>
      <w:tr w:rsidR="00072A69" w:rsidRPr="00DC6DF9" w14:paraId="106F4E8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0D06A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1923</w:t>
            </w:r>
          </w:p>
        </w:tc>
        <w:tc>
          <w:tcPr>
            <w:tcW w:w="1036" w:type="dxa"/>
            <w:tcBorders>
              <w:top w:val="nil"/>
              <w:left w:val="nil"/>
              <w:bottom w:val="single" w:sz="4" w:space="0" w:color="auto"/>
              <w:right w:val="single" w:sz="4" w:space="0" w:color="auto"/>
            </w:tcBorders>
            <w:shd w:val="clear" w:color="auto" w:fill="auto"/>
            <w:noWrap/>
            <w:vAlign w:val="center"/>
            <w:hideMark/>
          </w:tcPr>
          <w:p w14:paraId="768AC3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5114055000</w:t>
            </w:r>
          </w:p>
        </w:tc>
        <w:tc>
          <w:tcPr>
            <w:tcW w:w="1036" w:type="dxa"/>
            <w:tcBorders>
              <w:top w:val="nil"/>
              <w:left w:val="nil"/>
              <w:bottom w:val="single" w:sz="4" w:space="0" w:color="auto"/>
              <w:right w:val="single" w:sz="4" w:space="0" w:color="auto"/>
            </w:tcBorders>
            <w:shd w:val="clear" w:color="auto" w:fill="auto"/>
            <w:noWrap/>
            <w:vAlign w:val="center"/>
            <w:hideMark/>
          </w:tcPr>
          <w:p w14:paraId="447AA9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92607870</w:t>
            </w:r>
          </w:p>
        </w:tc>
        <w:tc>
          <w:tcPr>
            <w:tcW w:w="160" w:type="dxa"/>
            <w:tcBorders>
              <w:top w:val="nil"/>
              <w:left w:val="nil"/>
              <w:bottom w:val="single" w:sz="4" w:space="0" w:color="auto"/>
              <w:right w:val="nil"/>
            </w:tcBorders>
            <w:vAlign w:val="center"/>
          </w:tcPr>
          <w:p w14:paraId="30C41B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56BB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KRŠKO</w:t>
            </w:r>
          </w:p>
        </w:tc>
      </w:tr>
      <w:tr w:rsidR="00072A69" w:rsidRPr="00DC6DF9" w14:paraId="1DC903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923C3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1924</w:t>
            </w:r>
          </w:p>
        </w:tc>
        <w:tc>
          <w:tcPr>
            <w:tcW w:w="1036" w:type="dxa"/>
            <w:tcBorders>
              <w:top w:val="nil"/>
              <w:left w:val="nil"/>
              <w:bottom w:val="single" w:sz="4" w:space="0" w:color="auto"/>
              <w:right w:val="single" w:sz="4" w:space="0" w:color="auto"/>
            </w:tcBorders>
            <w:shd w:val="clear" w:color="auto" w:fill="auto"/>
            <w:noWrap/>
            <w:vAlign w:val="center"/>
            <w:hideMark/>
          </w:tcPr>
          <w:p w14:paraId="0C0F92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5244145000</w:t>
            </w:r>
          </w:p>
        </w:tc>
        <w:tc>
          <w:tcPr>
            <w:tcW w:w="1036" w:type="dxa"/>
            <w:tcBorders>
              <w:top w:val="nil"/>
              <w:left w:val="nil"/>
              <w:bottom w:val="single" w:sz="4" w:space="0" w:color="auto"/>
              <w:right w:val="single" w:sz="4" w:space="0" w:color="auto"/>
            </w:tcBorders>
            <w:shd w:val="clear" w:color="auto" w:fill="auto"/>
            <w:noWrap/>
            <w:vAlign w:val="center"/>
            <w:hideMark/>
          </w:tcPr>
          <w:p w14:paraId="4C7B429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20679785</w:t>
            </w:r>
          </w:p>
        </w:tc>
        <w:tc>
          <w:tcPr>
            <w:tcW w:w="160" w:type="dxa"/>
            <w:tcBorders>
              <w:top w:val="nil"/>
              <w:left w:val="nil"/>
              <w:bottom w:val="single" w:sz="4" w:space="0" w:color="auto"/>
              <w:right w:val="nil"/>
            </w:tcBorders>
            <w:vAlign w:val="center"/>
          </w:tcPr>
          <w:p w14:paraId="2FB5FD0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B910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LA COCCINELLA PIRAN</w:t>
            </w:r>
          </w:p>
        </w:tc>
      </w:tr>
      <w:tr w:rsidR="00072A69" w:rsidRPr="00DC6DF9" w14:paraId="069CCD3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38E3F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1925</w:t>
            </w:r>
          </w:p>
        </w:tc>
        <w:tc>
          <w:tcPr>
            <w:tcW w:w="1036" w:type="dxa"/>
            <w:tcBorders>
              <w:top w:val="nil"/>
              <w:left w:val="nil"/>
              <w:bottom w:val="single" w:sz="4" w:space="0" w:color="auto"/>
              <w:right w:val="single" w:sz="4" w:space="0" w:color="auto"/>
            </w:tcBorders>
            <w:shd w:val="clear" w:color="auto" w:fill="auto"/>
            <w:noWrap/>
            <w:vAlign w:val="center"/>
            <w:hideMark/>
          </w:tcPr>
          <w:p w14:paraId="431DA9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5924324000</w:t>
            </w:r>
          </w:p>
        </w:tc>
        <w:tc>
          <w:tcPr>
            <w:tcW w:w="1036" w:type="dxa"/>
            <w:tcBorders>
              <w:top w:val="nil"/>
              <w:left w:val="nil"/>
              <w:bottom w:val="single" w:sz="4" w:space="0" w:color="auto"/>
              <w:right w:val="single" w:sz="4" w:space="0" w:color="auto"/>
            </w:tcBorders>
            <w:shd w:val="clear" w:color="auto" w:fill="auto"/>
            <w:noWrap/>
            <w:vAlign w:val="center"/>
            <w:hideMark/>
          </w:tcPr>
          <w:p w14:paraId="640554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61249734</w:t>
            </w:r>
          </w:p>
        </w:tc>
        <w:tc>
          <w:tcPr>
            <w:tcW w:w="160" w:type="dxa"/>
            <w:tcBorders>
              <w:top w:val="nil"/>
              <w:left w:val="nil"/>
              <w:bottom w:val="single" w:sz="4" w:space="0" w:color="auto"/>
              <w:right w:val="nil"/>
            </w:tcBorders>
            <w:vAlign w:val="center"/>
          </w:tcPr>
          <w:p w14:paraId="3B7C56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20EF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LAŠKO</w:t>
            </w:r>
          </w:p>
        </w:tc>
      </w:tr>
      <w:tr w:rsidR="00072A69" w:rsidRPr="00DC6DF9" w14:paraId="1F67034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7A6C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1926</w:t>
            </w:r>
          </w:p>
        </w:tc>
        <w:tc>
          <w:tcPr>
            <w:tcW w:w="1036" w:type="dxa"/>
            <w:tcBorders>
              <w:top w:val="nil"/>
              <w:left w:val="nil"/>
              <w:bottom w:val="single" w:sz="4" w:space="0" w:color="auto"/>
              <w:right w:val="single" w:sz="4" w:space="0" w:color="auto"/>
            </w:tcBorders>
            <w:shd w:val="clear" w:color="auto" w:fill="auto"/>
            <w:noWrap/>
            <w:vAlign w:val="center"/>
            <w:hideMark/>
          </w:tcPr>
          <w:p w14:paraId="1B9BDF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1942905000</w:t>
            </w:r>
          </w:p>
        </w:tc>
        <w:tc>
          <w:tcPr>
            <w:tcW w:w="1036" w:type="dxa"/>
            <w:tcBorders>
              <w:top w:val="nil"/>
              <w:left w:val="nil"/>
              <w:bottom w:val="single" w:sz="4" w:space="0" w:color="auto"/>
              <w:right w:val="single" w:sz="4" w:space="0" w:color="auto"/>
            </w:tcBorders>
            <w:shd w:val="clear" w:color="auto" w:fill="auto"/>
            <w:noWrap/>
            <w:vAlign w:val="center"/>
            <w:hideMark/>
          </w:tcPr>
          <w:p w14:paraId="45C83F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34025561</w:t>
            </w:r>
          </w:p>
        </w:tc>
        <w:tc>
          <w:tcPr>
            <w:tcW w:w="160" w:type="dxa"/>
            <w:tcBorders>
              <w:top w:val="nil"/>
              <w:left w:val="nil"/>
              <w:bottom w:val="single" w:sz="4" w:space="0" w:color="auto"/>
              <w:right w:val="nil"/>
            </w:tcBorders>
            <w:vAlign w:val="center"/>
          </w:tcPr>
          <w:p w14:paraId="2E3511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F8FF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LEDINA</w:t>
            </w:r>
          </w:p>
        </w:tc>
      </w:tr>
      <w:tr w:rsidR="00072A69" w:rsidRPr="00DC6DF9" w14:paraId="11F2D53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DF611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1927</w:t>
            </w:r>
          </w:p>
        </w:tc>
        <w:tc>
          <w:tcPr>
            <w:tcW w:w="1036" w:type="dxa"/>
            <w:tcBorders>
              <w:top w:val="nil"/>
              <w:left w:val="nil"/>
              <w:bottom w:val="single" w:sz="4" w:space="0" w:color="auto"/>
              <w:right w:val="single" w:sz="4" w:space="0" w:color="auto"/>
            </w:tcBorders>
            <w:shd w:val="clear" w:color="auto" w:fill="auto"/>
            <w:noWrap/>
            <w:vAlign w:val="center"/>
            <w:hideMark/>
          </w:tcPr>
          <w:p w14:paraId="740305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5089786000</w:t>
            </w:r>
          </w:p>
        </w:tc>
        <w:tc>
          <w:tcPr>
            <w:tcW w:w="1036" w:type="dxa"/>
            <w:tcBorders>
              <w:top w:val="nil"/>
              <w:left w:val="nil"/>
              <w:bottom w:val="single" w:sz="4" w:space="0" w:color="auto"/>
              <w:right w:val="single" w:sz="4" w:space="0" w:color="auto"/>
            </w:tcBorders>
            <w:shd w:val="clear" w:color="auto" w:fill="auto"/>
            <w:noWrap/>
            <w:vAlign w:val="center"/>
            <w:hideMark/>
          </w:tcPr>
          <w:p w14:paraId="32F024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10849076</w:t>
            </w:r>
          </w:p>
        </w:tc>
        <w:tc>
          <w:tcPr>
            <w:tcW w:w="160" w:type="dxa"/>
            <w:tcBorders>
              <w:top w:val="nil"/>
              <w:left w:val="nil"/>
              <w:bottom w:val="single" w:sz="4" w:space="0" w:color="auto"/>
              <w:right w:val="nil"/>
            </w:tcBorders>
            <w:vAlign w:val="center"/>
          </w:tcPr>
          <w:p w14:paraId="41A7043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5A9A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LENDAVA</w:t>
            </w:r>
          </w:p>
        </w:tc>
      </w:tr>
      <w:tr w:rsidR="00072A69" w:rsidRPr="00DC6DF9" w14:paraId="41E8AA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E97D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1928</w:t>
            </w:r>
          </w:p>
        </w:tc>
        <w:tc>
          <w:tcPr>
            <w:tcW w:w="1036" w:type="dxa"/>
            <w:tcBorders>
              <w:top w:val="nil"/>
              <w:left w:val="nil"/>
              <w:bottom w:val="single" w:sz="4" w:space="0" w:color="auto"/>
              <w:right w:val="single" w:sz="4" w:space="0" w:color="auto"/>
            </w:tcBorders>
            <w:shd w:val="clear" w:color="auto" w:fill="auto"/>
            <w:noWrap/>
            <w:vAlign w:val="center"/>
            <w:hideMark/>
          </w:tcPr>
          <w:p w14:paraId="377834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5049911000</w:t>
            </w:r>
          </w:p>
        </w:tc>
        <w:tc>
          <w:tcPr>
            <w:tcW w:w="1036" w:type="dxa"/>
            <w:tcBorders>
              <w:top w:val="nil"/>
              <w:left w:val="nil"/>
              <w:bottom w:val="single" w:sz="4" w:space="0" w:color="auto"/>
              <w:right w:val="single" w:sz="4" w:space="0" w:color="auto"/>
            </w:tcBorders>
            <w:shd w:val="clear" w:color="auto" w:fill="auto"/>
            <w:noWrap/>
            <w:vAlign w:val="center"/>
            <w:hideMark/>
          </w:tcPr>
          <w:p w14:paraId="1973E0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72197196</w:t>
            </w:r>
          </w:p>
        </w:tc>
        <w:tc>
          <w:tcPr>
            <w:tcW w:w="160" w:type="dxa"/>
            <w:tcBorders>
              <w:top w:val="nil"/>
              <w:left w:val="nil"/>
              <w:bottom w:val="single" w:sz="4" w:space="0" w:color="auto"/>
              <w:right w:val="nil"/>
            </w:tcBorders>
            <w:vAlign w:val="center"/>
          </w:tcPr>
          <w:p w14:paraId="0D83EF0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9753E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LITIJA</w:t>
            </w:r>
          </w:p>
        </w:tc>
      </w:tr>
      <w:tr w:rsidR="00072A69" w:rsidRPr="00DC6DF9" w14:paraId="005229A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E1AE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1929</w:t>
            </w:r>
          </w:p>
        </w:tc>
        <w:tc>
          <w:tcPr>
            <w:tcW w:w="1036" w:type="dxa"/>
            <w:tcBorders>
              <w:top w:val="nil"/>
              <w:left w:val="nil"/>
              <w:bottom w:val="single" w:sz="4" w:space="0" w:color="auto"/>
              <w:right w:val="single" w:sz="4" w:space="0" w:color="auto"/>
            </w:tcBorders>
            <w:shd w:val="clear" w:color="auto" w:fill="auto"/>
            <w:noWrap/>
            <w:vAlign w:val="center"/>
            <w:hideMark/>
          </w:tcPr>
          <w:p w14:paraId="0DE64D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5051193000</w:t>
            </w:r>
          </w:p>
        </w:tc>
        <w:tc>
          <w:tcPr>
            <w:tcW w:w="1036" w:type="dxa"/>
            <w:tcBorders>
              <w:top w:val="nil"/>
              <w:left w:val="nil"/>
              <w:bottom w:val="single" w:sz="4" w:space="0" w:color="auto"/>
              <w:right w:val="single" w:sz="4" w:space="0" w:color="auto"/>
            </w:tcBorders>
            <w:shd w:val="clear" w:color="auto" w:fill="auto"/>
            <w:noWrap/>
            <w:vAlign w:val="center"/>
            <w:hideMark/>
          </w:tcPr>
          <w:p w14:paraId="574289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49209124</w:t>
            </w:r>
          </w:p>
        </w:tc>
        <w:tc>
          <w:tcPr>
            <w:tcW w:w="160" w:type="dxa"/>
            <w:tcBorders>
              <w:top w:val="nil"/>
              <w:left w:val="nil"/>
              <w:bottom w:val="single" w:sz="4" w:space="0" w:color="auto"/>
              <w:right w:val="nil"/>
            </w:tcBorders>
            <w:vAlign w:val="center"/>
          </w:tcPr>
          <w:p w14:paraId="2E95AB4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D805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LJUTOMER</w:t>
            </w:r>
          </w:p>
        </w:tc>
      </w:tr>
      <w:tr w:rsidR="00072A69" w:rsidRPr="00DC6DF9" w14:paraId="0B3919F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B1400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1930</w:t>
            </w:r>
          </w:p>
        </w:tc>
        <w:tc>
          <w:tcPr>
            <w:tcW w:w="1036" w:type="dxa"/>
            <w:tcBorders>
              <w:top w:val="nil"/>
              <w:left w:val="nil"/>
              <w:bottom w:val="single" w:sz="4" w:space="0" w:color="auto"/>
              <w:right w:val="single" w:sz="4" w:space="0" w:color="auto"/>
            </w:tcBorders>
            <w:shd w:val="clear" w:color="auto" w:fill="auto"/>
            <w:noWrap/>
            <w:vAlign w:val="center"/>
            <w:hideMark/>
          </w:tcPr>
          <w:p w14:paraId="797051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5050880000</w:t>
            </w:r>
          </w:p>
        </w:tc>
        <w:tc>
          <w:tcPr>
            <w:tcW w:w="1036" w:type="dxa"/>
            <w:tcBorders>
              <w:top w:val="nil"/>
              <w:left w:val="nil"/>
              <w:bottom w:val="single" w:sz="4" w:space="0" w:color="auto"/>
              <w:right w:val="single" w:sz="4" w:space="0" w:color="auto"/>
            </w:tcBorders>
            <w:shd w:val="clear" w:color="auto" w:fill="auto"/>
            <w:noWrap/>
            <w:vAlign w:val="center"/>
            <w:hideMark/>
          </w:tcPr>
          <w:p w14:paraId="64EEDD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35404370</w:t>
            </w:r>
          </w:p>
        </w:tc>
        <w:tc>
          <w:tcPr>
            <w:tcW w:w="160" w:type="dxa"/>
            <w:tcBorders>
              <w:top w:val="nil"/>
              <w:left w:val="nil"/>
              <w:bottom w:val="single" w:sz="4" w:space="0" w:color="auto"/>
              <w:right w:val="nil"/>
            </w:tcBorders>
            <w:vAlign w:val="center"/>
          </w:tcPr>
          <w:p w14:paraId="3AB109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D930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MANKA GOLARJA GORNJA RADGONA</w:t>
            </w:r>
          </w:p>
        </w:tc>
      </w:tr>
      <w:tr w:rsidR="00072A69" w:rsidRPr="00DC6DF9" w14:paraId="3D55C0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A64A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1931</w:t>
            </w:r>
          </w:p>
        </w:tc>
        <w:tc>
          <w:tcPr>
            <w:tcW w:w="1036" w:type="dxa"/>
            <w:tcBorders>
              <w:top w:val="nil"/>
              <w:left w:val="nil"/>
              <w:bottom w:val="single" w:sz="4" w:space="0" w:color="auto"/>
              <w:right w:val="single" w:sz="4" w:space="0" w:color="auto"/>
            </w:tcBorders>
            <w:shd w:val="clear" w:color="auto" w:fill="auto"/>
            <w:noWrap/>
            <w:vAlign w:val="center"/>
            <w:hideMark/>
          </w:tcPr>
          <w:p w14:paraId="0E94A4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5214106000</w:t>
            </w:r>
          </w:p>
        </w:tc>
        <w:tc>
          <w:tcPr>
            <w:tcW w:w="1036" w:type="dxa"/>
            <w:tcBorders>
              <w:top w:val="nil"/>
              <w:left w:val="nil"/>
              <w:bottom w:val="single" w:sz="4" w:space="0" w:color="auto"/>
              <w:right w:val="single" w:sz="4" w:space="0" w:color="auto"/>
            </w:tcBorders>
            <w:shd w:val="clear" w:color="auto" w:fill="auto"/>
            <w:noWrap/>
            <w:vAlign w:val="center"/>
            <w:hideMark/>
          </w:tcPr>
          <w:p w14:paraId="776D78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56491875</w:t>
            </w:r>
          </w:p>
        </w:tc>
        <w:tc>
          <w:tcPr>
            <w:tcW w:w="160" w:type="dxa"/>
            <w:tcBorders>
              <w:top w:val="nil"/>
              <w:left w:val="nil"/>
              <w:bottom w:val="single" w:sz="4" w:space="0" w:color="auto"/>
              <w:right w:val="nil"/>
            </w:tcBorders>
            <w:vAlign w:val="center"/>
          </w:tcPr>
          <w:p w14:paraId="3DB8678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667F6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MARTIN KRPAN CERKNICA</w:t>
            </w:r>
          </w:p>
        </w:tc>
      </w:tr>
      <w:tr w:rsidR="00072A69" w:rsidRPr="00DC6DF9" w14:paraId="224E86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CFB8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1932</w:t>
            </w:r>
          </w:p>
        </w:tc>
        <w:tc>
          <w:tcPr>
            <w:tcW w:w="1036" w:type="dxa"/>
            <w:tcBorders>
              <w:top w:val="nil"/>
              <w:left w:val="nil"/>
              <w:bottom w:val="single" w:sz="4" w:space="0" w:color="auto"/>
              <w:right w:val="single" w:sz="4" w:space="0" w:color="auto"/>
            </w:tcBorders>
            <w:shd w:val="clear" w:color="auto" w:fill="auto"/>
            <w:noWrap/>
            <w:vAlign w:val="center"/>
            <w:hideMark/>
          </w:tcPr>
          <w:p w14:paraId="44E5D5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5049555000</w:t>
            </w:r>
          </w:p>
        </w:tc>
        <w:tc>
          <w:tcPr>
            <w:tcW w:w="1036" w:type="dxa"/>
            <w:tcBorders>
              <w:top w:val="nil"/>
              <w:left w:val="nil"/>
              <w:bottom w:val="single" w:sz="4" w:space="0" w:color="auto"/>
              <w:right w:val="single" w:sz="4" w:space="0" w:color="auto"/>
            </w:tcBorders>
            <w:shd w:val="clear" w:color="auto" w:fill="auto"/>
            <w:noWrap/>
            <w:vAlign w:val="center"/>
            <w:hideMark/>
          </w:tcPr>
          <w:p w14:paraId="404CAD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25225952</w:t>
            </w:r>
          </w:p>
        </w:tc>
        <w:tc>
          <w:tcPr>
            <w:tcW w:w="160" w:type="dxa"/>
            <w:tcBorders>
              <w:top w:val="nil"/>
              <w:left w:val="nil"/>
              <w:bottom w:val="single" w:sz="4" w:space="0" w:color="auto"/>
              <w:right w:val="nil"/>
            </w:tcBorders>
            <w:vAlign w:val="center"/>
          </w:tcPr>
          <w:p w14:paraId="589F6D6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3409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MAVRICA BREŽICE</w:t>
            </w:r>
          </w:p>
        </w:tc>
      </w:tr>
      <w:tr w:rsidR="00072A69" w:rsidRPr="00DC6DF9" w14:paraId="6EA58FA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8835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1933</w:t>
            </w:r>
          </w:p>
        </w:tc>
        <w:tc>
          <w:tcPr>
            <w:tcW w:w="1036" w:type="dxa"/>
            <w:tcBorders>
              <w:top w:val="nil"/>
              <w:left w:val="nil"/>
              <w:bottom w:val="single" w:sz="4" w:space="0" w:color="auto"/>
              <w:right w:val="single" w:sz="4" w:space="0" w:color="auto"/>
            </w:tcBorders>
            <w:shd w:val="clear" w:color="auto" w:fill="auto"/>
            <w:noWrap/>
            <w:vAlign w:val="center"/>
            <w:hideMark/>
          </w:tcPr>
          <w:p w14:paraId="397B4B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5992346000</w:t>
            </w:r>
          </w:p>
        </w:tc>
        <w:tc>
          <w:tcPr>
            <w:tcW w:w="1036" w:type="dxa"/>
            <w:tcBorders>
              <w:top w:val="nil"/>
              <w:left w:val="nil"/>
              <w:bottom w:val="single" w:sz="4" w:space="0" w:color="auto"/>
              <w:right w:val="single" w:sz="4" w:space="0" w:color="auto"/>
            </w:tcBorders>
            <w:shd w:val="clear" w:color="auto" w:fill="auto"/>
            <w:noWrap/>
            <w:vAlign w:val="center"/>
            <w:hideMark/>
          </w:tcPr>
          <w:p w14:paraId="4A03893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33127760</w:t>
            </w:r>
          </w:p>
        </w:tc>
        <w:tc>
          <w:tcPr>
            <w:tcW w:w="160" w:type="dxa"/>
            <w:tcBorders>
              <w:top w:val="nil"/>
              <w:left w:val="nil"/>
              <w:bottom w:val="single" w:sz="4" w:space="0" w:color="auto"/>
              <w:right w:val="nil"/>
            </w:tcBorders>
            <w:vAlign w:val="center"/>
          </w:tcPr>
          <w:p w14:paraId="04B47D3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B3581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MAVRICA VOJNIK</w:t>
            </w:r>
          </w:p>
        </w:tc>
      </w:tr>
      <w:tr w:rsidR="00072A69" w:rsidRPr="00DC6DF9" w14:paraId="200A89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855D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1934</w:t>
            </w:r>
          </w:p>
        </w:tc>
        <w:tc>
          <w:tcPr>
            <w:tcW w:w="1036" w:type="dxa"/>
            <w:tcBorders>
              <w:top w:val="nil"/>
              <w:left w:val="nil"/>
              <w:bottom w:val="single" w:sz="4" w:space="0" w:color="auto"/>
              <w:right w:val="single" w:sz="4" w:space="0" w:color="auto"/>
            </w:tcBorders>
            <w:shd w:val="clear" w:color="auto" w:fill="auto"/>
            <w:noWrap/>
            <w:vAlign w:val="center"/>
            <w:hideMark/>
          </w:tcPr>
          <w:p w14:paraId="776D45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5996503000</w:t>
            </w:r>
          </w:p>
        </w:tc>
        <w:tc>
          <w:tcPr>
            <w:tcW w:w="1036" w:type="dxa"/>
            <w:tcBorders>
              <w:top w:val="nil"/>
              <w:left w:val="nil"/>
              <w:bottom w:val="single" w:sz="4" w:space="0" w:color="auto"/>
              <w:right w:val="single" w:sz="4" w:space="0" w:color="auto"/>
            </w:tcBorders>
            <w:shd w:val="clear" w:color="auto" w:fill="auto"/>
            <w:noWrap/>
            <w:vAlign w:val="center"/>
            <w:hideMark/>
          </w:tcPr>
          <w:p w14:paraId="360609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55787738</w:t>
            </w:r>
          </w:p>
        </w:tc>
        <w:tc>
          <w:tcPr>
            <w:tcW w:w="160" w:type="dxa"/>
            <w:tcBorders>
              <w:top w:val="nil"/>
              <w:left w:val="nil"/>
              <w:bottom w:val="single" w:sz="4" w:space="0" w:color="auto"/>
              <w:right w:val="nil"/>
            </w:tcBorders>
            <w:vAlign w:val="center"/>
          </w:tcPr>
          <w:p w14:paraId="20B9AD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E3B9D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MEDVODE</w:t>
            </w:r>
          </w:p>
        </w:tc>
      </w:tr>
      <w:tr w:rsidR="00072A69" w:rsidRPr="00DC6DF9" w14:paraId="2A7803B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F372F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1935</w:t>
            </w:r>
          </w:p>
        </w:tc>
        <w:tc>
          <w:tcPr>
            <w:tcW w:w="1036" w:type="dxa"/>
            <w:tcBorders>
              <w:top w:val="nil"/>
              <w:left w:val="nil"/>
              <w:bottom w:val="single" w:sz="4" w:space="0" w:color="auto"/>
              <w:right w:val="single" w:sz="4" w:space="0" w:color="auto"/>
            </w:tcBorders>
            <w:shd w:val="clear" w:color="auto" w:fill="auto"/>
            <w:noWrap/>
            <w:vAlign w:val="center"/>
            <w:hideMark/>
          </w:tcPr>
          <w:p w14:paraId="133855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6665764000</w:t>
            </w:r>
          </w:p>
        </w:tc>
        <w:tc>
          <w:tcPr>
            <w:tcW w:w="1036" w:type="dxa"/>
            <w:tcBorders>
              <w:top w:val="nil"/>
              <w:left w:val="nil"/>
              <w:bottom w:val="single" w:sz="4" w:space="0" w:color="auto"/>
              <w:right w:val="single" w:sz="4" w:space="0" w:color="auto"/>
            </w:tcBorders>
            <w:shd w:val="clear" w:color="auto" w:fill="auto"/>
            <w:noWrap/>
            <w:vAlign w:val="center"/>
            <w:hideMark/>
          </w:tcPr>
          <w:p w14:paraId="732C34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67782949</w:t>
            </w:r>
          </w:p>
        </w:tc>
        <w:tc>
          <w:tcPr>
            <w:tcW w:w="160" w:type="dxa"/>
            <w:tcBorders>
              <w:top w:val="nil"/>
              <w:left w:val="nil"/>
              <w:bottom w:val="single" w:sz="4" w:space="0" w:color="auto"/>
              <w:right w:val="nil"/>
            </w:tcBorders>
            <w:vAlign w:val="center"/>
          </w:tcPr>
          <w:p w14:paraId="01F626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320F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MEHURČKI</w:t>
            </w:r>
          </w:p>
        </w:tc>
      </w:tr>
      <w:tr w:rsidR="00072A69" w:rsidRPr="00DC6DF9" w14:paraId="77E4BE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32A7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1936</w:t>
            </w:r>
          </w:p>
        </w:tc>
        <w:tc>
          <w:tcPr>
            <w:tcW w:w="1036" w:type="dxa"/>
            <w:tcBorders>
              <w:top w:val="nil"/>
              <w:left w:val="nil"/>
              <w:bottom w:val="single" w:sz="4" w:space="0" w:color="auto"/>
              <w:right w:val="single" w:sz="4" w:space="0" w:color="auto"/>
            </w:tcBorders>
            <w:shd w:val="clear" w:color="auto" w:fill="auto"/>
            <w:noWrap/>
            <w:vAlign w:val="center"/>
            <w:hideMark/>
          </w:tcPr>
          <w:p w14:paraId="0749BE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1201387000</w:t>
            </w:r>
          </w:p>
        </w:tc>
        <w:tc>
          <w:tcPr>
            <w:tcW w:w="1036" w:type="dxa"/>
            <w:tcBorders>
              <w:top w:val="nil"/>
              <w:left w:val="nil"/>
              <w:bottom w:val="single" w:sz="4" w:space="0" w:color="auto"/>
              <w:right w:val="single" w:sz="4" w:space="0" w:color="auto"/>
            </w:tcBorders>
            <w:shd w:val="clear" w:color="auto" w:fill="auto"/>
            <w:noWrap/>
            <w:vAlign w:val="center"/>
            <w:hideMark/>
          </w:tcPr>
          <w:p w14:paraId="3321A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25929399</w:t>
            </w:r>
          </w:p>
        </w:tc>
        <w:tc>
          <w:tcPr>
            <w:tcW w:w="160" w:type="dxa"/>
            <w:tcBorders>
              <w:top w:val="nil"/>
              <w:left w:val="nil"/>
              <w:bottom w:val="single" w:sz="4" w:space="0" w:color="auto"/>
              <w:right w:val="nil"/>
            </w:tcBorders>
            <w:vAlign w:val="center"/>
          </w:tcPr>
          <w:p w14:paraId="2C9721A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F401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MENGEŠ</w:t>
            </w:r>
          </w:p>
        </w:tc>
      </w:tr>
      <w:tr w:rsidR="00072A69" w:rsidRPr="00DC6DF9" w14:paraId="6AB7768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608E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1937</w:t>
            </w:r>
          </w:p>
        </w:tc>
        <w:tc>
          <w:tcPr>
            <w:tcW w:w="1036" w:type="dxa"/>
            <w:tcBorders>
              <w:top w:val="nil"/>
              <w:left w:val="nil"/>
              <w:bottom w:val="single" w:sz="4" w:space="0" w:color="auto"/>
              <w:right w:val="single" w:sz="4" w:space="0" w:color="auto"/>
            </w:tcBorders>
            <w:shd w:val="clear" w:color="auto" w:fill="auto"/>
            <w:noWrap/>
            <w:vAlign w:val="center"/>
            <w:hideMark/>
          </w:tcPr>
          <w:p w14:paraId="1C3764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1940872000</w:t>
            </w:r>
          </w:p>
        </w:tc>
        <w:tc>
          <w:tcPr>
            <w:tcW w:w="1036" w:type="dxa"/>
            <w:tcBorders>
              <w:top w:val="nil"/>
              <w:left w:val="nil"/>
              <w:bottom w:val="single" w:sz="4" w:space="0" w:color="auto"/>
              <w:right w:val="single" w:sz="4" w:space="0" w:color="auto"/>
            </w:tcBorders>
            <w:shd w:val="clear" w:color="auto" w:fill="auto"/>
            <w:noWrap/>
            <w:vAlign w:val="center"/>
            <w:hideMark/>
          </w:tcPr>
          <w:p w14:paraId="142742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55342779</w:t>
            </w:r>
          </w:p>
        </w:tc>
        <w:tc>
          <w:tcPr>
            <w:tcW w:w="160" w:type="dxa"/>
            <w:tcBorders>
              <w:top w:val="nil"/>
              <w:left w:val="nil"/>
              <w:bottom w:val="single" w:sz="4" w:space="0" w:color="auto"/>
              <w:right w:val="nil"/>
            </w:tcBorders>
            <w:vAlign w:val="center"/>
          </w:tcPr>
          <w:p w14:paraId="411E76F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C5E3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MIŠKOLIN</w:t>
            </w:r>
          </w:p>
        </w:tc>
      </w:tr>
      <w:tr w:rsidR="00072A69" w:rsidRPr="00DC6DF9" w14:paraId="7F9735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4C19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1938</w:t>
            </w:r>
          </w:p>
        </w:tc>
        <w:tc>
          <w:tcPr>
            <w:tcW w:w="1036" w:type="dxa"/>
            <w:tcBorders>
              <w:top w:val="nil"/>
              <w:left w:val="nil"/>
              <w:bottom w:val="single" w:sz="4" w:space="0" w:color="auto"/>
              <w:right w:val="single" w:sz="4" w:space="0" w:color="auto"/>
            </w:tcBorders>
            <w:shd w:val="clear" w:color="auto" w:fill="auto"/>
            <w:noWrap/>
            <w:vAlign w:val="center"/>
            <w:hideMark/>
          </w:tcPr>
          <w:p w14:paraId="5183BC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5049954000</w:t>
            </w:r>
          </w:p>
        </w:tc>
        <w:tc>
          <w:tcPr>
            <w:tcW w:w="1036" w:type="dxa"/>
            <w:tcBorders>
              <w:top w:val="nil"/>
              <w:left w:val="nil"/>
              <w:bottom w:val="single" w:sz="4" w:space="0" w:color="auto"/>
              <w:right w:val="single" w:sz="4" w:space="0" w:color="auto"/>
            </w:tcBorders>
            <w:shd w:val="clear" w:color="auto" w:fill="auto"/>
            <w:noWrap/>
            <w:vAlign w:val="center"/>
            <w:hideMark/>
          </w:tcPr>
          <w:p w14:paraId="45F1C2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64554970</w:t>
            </w:r>
          </w:p>
        </w:tc>
        <w:tc>
          <w:tcPr>
            <w:tcW w:w="160" w:type="dxa"/>
            <w:tcBorders>
              <w:top w:val="nil"/>
              <w:left w:val="nil"/>
              <w:bottom w:val="single" w:sz="4" w:space="0" w:color="auto"/>
              <w:right w:val="nil"/>
            </w:tcBorders>
            <w:vAlign w:val="center"/>
          </w:tcPr>
          <w:p w14:paraId="66AF57E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CBFC3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MLADI ROD</w:t>
            </w:r>
          </w:p>
        </w:tc>
      </w:tr>
      <w:tr w:rsidR="00072A69" w:rsidRPr="00DC6DF9" w14:paraId="00105D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DC00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1939</w:t>
            </w:r>
          </w:p>
        </w:tc>
        <w:tc>
          <w:tcPr>
            <w:tcW w:w="1036" w:type="dxa"/>
            <w:tcBorders>
              <w:top w:val="nil"/>
              <w:left w:val="nil"/>
              <w:bottom w:val="single" w:sz="4" w:space="0" w:color="auto"/>
              <w:right w:val="single" w:sz="4" w:space="0" w:color="auto"/>
            </w:tcBorders>
            <w:shd w:val="clear" w:color="auto" w:fill="auto"/>
            <w:noWrap/>
            <w:vAlign w:val="center"/>
            <w:hideMark/>
          </w:tcPr>
          <w:p w14:paraId="20FFBC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5102324000</w:t>
            </w:r>
          </w:p>
        </w:tc>
        <w:tc>
          <w:tcPr>
            <w:tcW w:w="1036" w:type="dxa"/>
            <w:tcBorders>
              <w:top w:val="nil"/>
              <w:left w:val="nil"/>
              <w:bottom w:val="single" w:sz="4" w:space="0" w:color="auto"/>
              <w:right w:val="single" w:sz="4" w:space="0" w:color="auto"/>
            </w:tcBorders>
            <w:shd w:val="clear" w:color="auto" w:fill="auto"/>
            <w:noWrap/>
            <w:vAlign w:val="center"/>
            <w:hideMark/>
          </w:tcPr>
          <w:p w14:paraId="0DE7BC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33375801</w:t>
            </w:r>
          </w:p>
        </w:tc>
        <w:tc>
          <w:tcPr>
            <w:tcW w:w="160" w:type="dxa"/>
            <w:tcBorders>
              <w:top w:val="nil"/>
              <w:left w:val="nil"/>
              <w:bottom w:val="single" w:sz="4" w:space="0" w:color="auto"/>
              <w:right w:val="nil"/>
            </w:tcBorders>
            <w:vAlign w:val="center"/>
          </w:tcPr>
          <w:p w14:paraId="0E41D9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4FB64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MOJCA</w:t>
            </w:r>
          </w:p>
        </w:tc>
      </w:tr>
      <w:tr w:rsidR="00072A69" w:rsidRPr="00DC6DF9" w14:paraId="5B9E5A0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E912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1940</w:t>
            </w:r>
          </w:p>
        </w:tc>
        <w:tc>
          <w:tcPr>
            <w:tcW w:w="1036" w:type="dxa"/>
            <w:tcBorders>
              <w:top w:val="nil"/>
              <w:left w:val="nil"/>
              <w:bottom w:val="single" w:sz="4" w:space="0" w:color="auto"/>
              <w:right w:val="single" w:sz="4" w:space="0" w:color="auto"/>
            </w:tcBorders>
            <w:shd w:val="clear" w:color="auto" w:fill="auto"/>
            <w:noWrap/>
            <w:vAlign w:val="center"/>
            <w:hideMark/>
          </w:tcPr>
          <w:p w14:paraId="1E71AF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5182140000</w:t>
            </w:r>
          </w:p>
        </w:tc>
        <w:tc>
          <w:tcPr>
            <w:tcW w:w="1036" w:type="dxa"/>
            <w:tcBorders>
              <w:top w:val="nil"/>
              <w:left w:val="nil"/>
              <w:bottom w:val="single" w:sz="4" w:space="0" w:color="auto"/>
              <w:right w:val="single" w:sz="4" w:space="0" w:color="auto"/>
            </w:tcBorders>
            <w:shd w:val="clear" w:color="auto" w:fill="auto"/>
            <w:noWrap/>
            <w:vAlign w:val="center"/>
            <w:hideMark/>
          </w:tcPr>
          <w:p w14:paraId="0A621B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68069987</w:t>
            </w:r>
          </w:p>
        </w:tc>
        <w:tc>
          <w:tcPr>
            <w:tcW w:w="160" w:type="dxa"/>
            <w:tcBorders>
              <w:top w:val="nil"/>
              <w:left w:val="nil"/>
              <w:bottom w:val="single" w:sz="4" w:space="0" w:color="auto"/>
              <w:right w:val="nil"/>
            </w:tcBorders>
            <w:vAlign w:val="center"/>
          </w:tcPr>
          <w:p w14:paraId="70D685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0CF4B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MORJE LUCIJA</w:t>
            </w:r>
          </w:p>
        </w:tc>
      </w:tr>
      <w:tr w:rsidR="00072A69" w:rsidRPr="00DC6DF9" w14:paraId="22DC75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F11C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1941</w:t>
            </w:r>
          </w:p>
        </w:tc>
        <w:tc>
          <w:tcPr>
            <w:tcW w:w="1036" w:type="dxa"/>
            <w:tcBorders>
              <w:top w:val="nil"/>
              <w:left w:val="nil"/>
              <w:bottom w:val="single" w:sz="4" w:space="0" w:color="auto"/>
              <w:right w:val="single" w:sz="4" w:space="0" w:color="auto"/>
            </w:tcBorders>
            <w:shd w:val="clear" w:color="auto" w:fill="auto"/>
            <w:noWrap/>
            <w:vAlign w:val="center"/>
            <w:hideMark/>
          </w:tcPr>
          <w:p w14:paraId="10D015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5055415000</w:t>
            </w:r>
          </w:p>
        </w:tc>
        <w:tc>
          <w:tcPr>
            <w:tcW w:w="1036" w:type="dxa"/>
            <w:tcBorders>
              <w:top w:val="nil"/>
              <w:left w:val="nil"/>
              <w:bottom w:val="single" w:sz="4" w:space="0" w:color="auto"/>
              <w:right w:val="single" w:sz="4" w:space="0" w:color="auto"/>
            </w:tcBorders>
            <w:shd w:val="clear" w:color="auto" w:fill="auto"/>
            <w:noWrap/>
            <w:vAlign w:val="center"/>
            <w:hideMark/>
          </w:tcPr>
          <w:p w14:paraId="19E5B7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34830065</w:t>
            </w:r>
          </w:p>
        </w:tc>
        <w:tc>
          <w:tcPr>
            <w:tcW w:w="160" w:type="dxa"/>
            <w:tcBorders>
              <w:top w:val="nil"/>
              <w:left w:val="nil"/>
              <w:bottom w:val="single" w:sz="4" w:space="0" w:color="auto"/>
              <w:right w:val="nil"/>
            </w:tcBorders>
            <w:vAlign w:val="center"/>
          </w:tcPr>
          <w:p w14:paraId="1CC189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D71F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MORNARČEK PIRAN</w:t>
            </w:r>
          </w:p>
        </w:tc>
      </w:tr>
      <w:tr w:rsidR="00072A69" w:rsidRPr="00DC6DF9" w14:paraId="28528BA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8B19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1942</w:t>
            </w:r>
          </w:p>
        </w:tc>
        <w:tc>
          <w:tcPr>
            <w:tcW w:w="1036" w:type="dxa"/>
            <w:tcBorders>
              <w:top w:val="nil"/>
              <w:left w:val="nil"/>
              <w:bottom w:val="single" w:sz="4" w:space="0" w:color="auto"/>
              <w:right w:val="single" w:sz="4" w:space="0" w:color="auto"/>
            </w:tcBorders>
            <w:shd w:val="clear" w:color="auto" w:fill="auto"/>
            <w:noWrap/>
            <w:vAlign w:val="center"/>
            <w:hideMark/>
          </w:tcPr>
          <w:p w14:paraId="39586A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5051304000</w:t>
            </w:r>
          </w:p>
        </w:tc>
        <w:tc>
          <w:tcPr>
            <w:tcW w:w="1036" w:type="dxa"/>
            <w:tcBorders>
              <w:top w:val="nil"/>
              <w:left w:val="nil"/>
              <w:bottom w:val="single" w:sz="4" w:space="0" w:color="auto"/>
              <w:right w:val="single" w:sz="4" w:space="0" w:color="auto"/>
            </w:tcBorders>
            <w:shd w:val="clear" w:color="auto" w:fill="auto"/>
            <w:noWrap/>
            <w:vAlign w:val="center"/>
            <w:hideMark/>
          </w:tcPr>
          <w:p w14:paraId="0FF15A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97605794</w:t>
            </w:r>
          </w:p>
        </w:tc>
        <w:tc>
          <w:tcPr>
            <w:tcW w:w="160" w:type="dxa"/>
            <w:tcBorders>
              <w:top w:val="nil"/>
              <w:left w:val="nil"/>
              <w:bottom w:val="single" w:sz="4" w:space="0" w:color="auto"/>
              <w:right w:val="nil"/>
            </w:tcBorders>
            <w:vAlign w:val="center"/>
          </w:tcPr>
          <w:p w14:paraId="3934D8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50DD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MURSKA SOBOTA</w:t>
            </w:r>
          </w:p>
        </w:tc>
      </w:tr>
      <w:tr w:rsidR="00072A69" w:rsidRPr="00DC6DF9" w14:paraId="764950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C55C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1943</w:t>
            </w:r>
          </w:p>
        </w:tc>
        <w:tc>
          <w:tcPr>
            <w:tcW w:w="1036" w:type="dxa"/>
            <w:tcBorders>
              <w:top w:val="nil"/>
              <w:left w:val="nil"/>
              <w:bottom w:val="single" w:sz="4" w:space="0" w:color="auto"/>
              <w:right w:val="single" w:sz="4" w:space="0" w:color="auto"/>
            </w:tcBorders>
            <w:shd w:val="clear" w:color="auto" w:fill="auto"/>
            <w:noWrap/>
            <w:vAlign w:val="center"/>
            <w:hideMark/>
          </w:tcPr>
          <w:p w14:paraId="0B6D9B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5050219000</w:t>
            </w:r>
          </w:p>
        </w:tc>
        <w:tc>
          <w:tcPr>
            <w:tcW w:w="1036" w:type="dxa"/>
            <w:tcBorders>
              <w:top w:val="nil"/>
              <w:left w:val="nil"/>
              <w:bottom w:val="single" w:sz="4" w:space="0" w:color="auto"/>
              <w:right w:val="single" w:sz="4" w:space="0" w:color="auto"/>
            </w:tcBorders>
            <w:shd w:val="clear" w:color="auto" w:fill="auto"/>
            <w:noWrap/>
            <w:vAlign w:val="center"/>
            <w:hideMark/>
          </w:tcPr>
          <w:p w14:paraId="06FF4B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13051571</w:t>
            </w:r>
          </w:p>
        </w:tc>
        <w:tc>
          <w:tcPr>
            <w:tcW w:w="160" w:type="dxa"/>
            <w:tcBorders>
              <w:top w:val="nil"/>
              <w:left w:val="nil"/>
              <w:bottom w:val="single" w:sz="4" w:space="0" w:color="auto"/>
              <w:right w:val="nil"/>
            </w:tcBorders>
            <w:vAlign w:val="center"/>
          </w:tcPr>
          <w:p w14:paraId="0AF72B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5A82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NAJDIHOJCA</w:t>
            </w:r>
          </w:p>
        </w:tc>
      </w:tr>
      <w:tr w:rsidR="00072A69" w:rsidRPr="00DC6DF9" w14:paraId="0A3E70B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591A8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1944</w:t>
            </w:r>
          </w:p>
        </w:tc>
        <w:tc>
          <w:tcPr>
            <w:tcW w:w="1036" w:type="dxa"/>
            <w:tcBorders>
              <w:top w:val="nil"/>
              <w:left w:val="nil"/>
              <w:bottom w:val="single" w:sz="4" w:space="0" w:color="auto"/>
              <w:right w:val="single" w:sz="4" w:space="0" w:color="auto"/>
            </w:tcBorders>
            <w:shd w:val="clear" w:color="auto" w:fill="auto"/>
            <w:noWrap/>
            <w:vAlign w:val="center"/>
            <w:hideMark/>
          </w:tcPr>
          <w:p w14:paraId="700BF1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5056055000</w:t>
            </w:r>
          </w:p>
        </w:tc>
        <w:tc>
          <w:tcPr>
            <w:tcW w:w="1036" w:type="dxa"/>
            <w:tcBorders>
              <w:top w:val="nil"/>
              <w:left w:val="nil"/>
              <w:bottom w:val="single" w:sz="4" w:space="0" w:color="auto"/>
              <w:right w:val="single" w:sz="4" w:space="0" w:color="auto"/>
            </w:tcBorders>
            <w:shd w:val="clear" w:color="auto" w:fill="auto"/>
            <w:noWrap/>
            <w:vAlign w:val="center"/>
            <w:hideMark/>
          </w:tcPr>
          <w:p w14:paraId="15334F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55172849</w:t>
            </w:r>
          </w:p>
        </w:tc>
        <w:tc>
          <w:tcPr>
            <w:tcW w:w="160" w:type="dxa"/>
            <w:tcBorders>
              <w:top w:val="nil"/>
              <w:left w:val="nil"/>
              <w:bottom w:val="single" w:sz="4" w:space="0" w:color="auto"/>
              <w:right w:val="nil"/>
            </w:tcBorders>
            <w:vAlign w:val="center"/>
          </w:tcPr>
          <w:p w14:paraId="6C81FD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E2F0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NOVA GORICA</w:t>
            </w:r>
          </w:p>
        </w:tc>
      </w:tr>
      <w:tr w:rsidR="00072A69" w:rsidRPr="00DC6DF9" w14:paraId="5ECA79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7661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1945</w:t>
            </w:r>
          </w:p>
        </w:tc>
        <w:tc>
          <w:tcPr>
            <w:tcW w:w="1036" w:type="dxa"/>
            <w:tcBorders>
              <w:top w:val="nil"/>
              <w:left w:val="nil"/>
              <w:bottom w:val="single" w:sz="4" w:space="0" w:color="auto"/>
              <w:right w:val="single" w:sz="4" w:space="0" w:color="auto"/>
            </w:tcBorders>
            <w:shd w:val="clear" w:color="auto" w:fill="auto"/>
            <w:noWrap/>
            <w:vAlign w:val="center"/>
            <w:hideMark/>
          </w:tcPr>
          <w:p w14:paraId="109619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5055563000</w:t>
            </w:r>
          </w:p>
        </w:tc>
        <w:tc>
          <w:tcPr>
            <w:tcW w:w="1036" w:type="dxa"/>
            <w:tcBorders>
              <w:top w:val="nil"/>
              <w:left w:val="nil"/>
              <w:bottom w:val="single" w:sz="4" w:space="0" w:color="auto"/>
              <w:right w:val="single" w:sz="4" w:space="0" w:color="auto"/>
            </w:tcBorders>
            <w:shd w:val="clear" w:color="auto" w:fill="auto"/>
            <w:noWrap/>
            <w:vAlign w:val="center"/>
            <w:hideMark/>
          </w:tcPr>
          <w:p w14:paraId="696313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69160058</w:t>
            </w:r>
          </w:p>
        </w:tc>
        <w:tc>
          <w:tcPr>
            <w:tcW w:w="160" w:type="dxa"/>
            <w:tcBorders>
              <w:top w:val="nil"/>
              <w:left w:val="nil"/>
              <w:bottom w:val="single" w:sz="4" w:space="0" w:color="auto"/>
              <w:right w:val="nil"/>
            </w:tcBorders>
            <w:vAlign w:val="center"/>
          </w:tcPr>
          <w:p w14:paraId="18FD79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2BCF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OTONA ŽUPANČIČA</w:t>
            </w:r>
          </w:p>
        </w:tc>
      </w:tr>
      <w:tr w:rsidR="00072A69" w:rsidRPr="00DC6DF9" w14:paraId="4005E1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9AC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1946</w:t>
            </w:r>
          </w:p>
        </w:tc>
        <w:tc>
          <w:tcPr>
            <w:tcW w:w="1036" w:type="dxa"/>
            <w:tcBorders>
              <w:top w:val="nil"/>
              <w:left w:val="nil"/>
              <w:bottom w:val="single" w:sz="4" w:space="0" w:color="auto"/>
              <w:right w:val="single" w:sz="4" w:space="0" w:color="auto"/>
            </w:tcBorders>
            <w:shd w:val="clear" w:color="auto" w:fill="auto"/>
            <w:noWrap/>
            <w:vAlign w:val="center"/>
            <w:hideMark/>
          </w:tcPr>
          <w:p w14:paraId="04688F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5057019000</w:t>
            </w:r>
          </w:p>
        </w:tc>
        <w:tc>
          <w:tcPr>
            <w:tcW w:w="1036" w:type="dxa"/>
            <w:tcBorders>
              <w:top w:val="nil"/>
              <w:left w:val="nil"/>
              <w:bottom w:val="single" w:sz="4" w:space="0" w:color="auto"/>
              <w:right w:val="single" w:sz="4" w:space="0" w:color="auto"/>
            </w:tcBorders>
            <w:shd w:val="clear" w:color="auto" w:fill="auto"/>
            <w:noWrap/>
            <w:vAlign w:val="center"/>
            <w:hideMark/>
          </w:tcPr>
          <w:p w14:paraId="3A54A0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20802684</w:t>
            </w:r>
          </w:p>
        </w:tc>
        <w:tc>
          <w:tcPr>
            <w:tcW w:w="160" w:type="dxa"/>
            <w:tcBorders>
              <w:top w:val="nil"/>
              <w:left w:val="nil"/>
              <w:bottom w:val="single" w:sz="4" w:space="0" w:color="auto"/>
              <w:right w:val="nil"/>
            </w:tcBorders>
            <w:vAlign w:val="center"/>
          </w:tcPr>
          <w:p w14:paraId="5B9E00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9667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OTONA ŽUPANČIČA ČRNOMELJ</w:t>
            </w:r>
          </w:p>
        </w:tc>
      </w:tr>
      <w:tr w:rsidR="00072A69" w:rsidRPr="00DC6DF9" w14:paraId="7EEA617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B032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1947</w:t>
            </w:r>
          </w:p>
        </w:tc>
        <w:tc>
          <w:tcPr>
            <w:tcW w:w="1036" w:type="dxa"/>
            <w:tcBorders>
              <w:top w:val="nil"/>
              <w:left w:val="nil"/>
              <w:bottom w:val="single" w:sz="4" w:space="0" w:color="auto"/>
              <w:right w:val="single" w:sz="4" w:space="0" w:color="auto"/>
            </w:tcBorders>
            <w:shd w:val="clear" w:color="auto" w:fill="auto"/>
            <w:noWrap/>
            <w:vAlign w:val="center"/>
            <w:hideMark/>
          </w:tcPr>
          <w:p w14:paraId="4E93BA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5007704000</w:t>
            </w:r>
          </w:p>
        </w:tc>
        <w:tc>
          <w:tcPr>
            <w:tcW w:w="1036" w:type="dxa"/>
            <w:tcBorders>
              <w:top w:val="nil"/>
              <w:left w:val="nil"/>
              <w:bottom w:val="single" w:sz="4" w:space="0" w:color="auto"/>
              <w:right w:val="single" w:sz="4" w:space="0" w:color="auto"/>
            </w:tcBorders>
            <w:shd w:val="clear" w:color="auto" w:fill="auto"/>
            <w:noWrap/>
            <w:vAlign w:val="center"/>
            <w:hideMark/>
          </w:tcPr>
          <w:p w14:paraId="146BB8C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98887793</w:t>
            </w:r>
          </w:p>
        </w:tc>
        <w:tc>
          <w:tcPr>
            <w:tcW w:w="160" w:type="dxa"/>
            <w:tcBorders>
              <w:top w:val="nil"/>
              <w:left w:val="nil"/>
              <w:bottom w:val="single" w:sz="4" w:space="0" w:color="auto"/>
              <w:right w:val="nil"/>
            </w:tcBorders>
            <w:vAlign w:val="center"/>
          </w:tcPr>
          <w:p w14:paraId="039BD78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A707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OTONA ŽUPANČIČA MARIBOR</w:t>
            </w:r>
          </w:p>
        </w:tc>
      </w:tr>
      <w:tr w:rsidR="00072A69" w:rsidRPr="00DC6DF9" w14:paraId="2BF12DA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AA8D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1948</w:t>
            </w:r>
          </w:p>
        </w:tc>
        <w:tc>
          <w:tcPr>
            <w:tcW w:w="1036" w:type="dxa"/>
            <w:tcBorders>
              <w:top w:val="nil"/>
              <w:left w:val="nil"/>
              <w:bottom w:val="single" w:sz="4" w:space="0" w:color="auto"/>
              <w:right w:val="single" w:sz="4" w:space="0" w:color="auto"/>
            </w:tcBorders>
            <w:shd w:val="clear" w:color="auto" w:fill="auto"/>
            <w:noWrap/>
            <w:vAlign w:val="center"/>
            <w:hideMark/>
          </w:tcPr>
          <w:p w14:paraId="29F38A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5050685000</w:t>
            </w:r>
          </w:p>
        </w:tc>
        <w:tc>
          <w:tcPr>
            <w:tcW w:w="1036" w:type="dxa"/>
            <w:tcBorders>
              <w:top w:val="nil"/>
              <w:left w:val="nil"/>
              <w:bottom w:val="single" w:sz="4" w:space="0" w:color="auto"/>
              <w:right w:val="single" w:sz="4" w:space="0" w:color="auto"/>
            </w:tcBorders>
            <w:shd w:val="clear" w:color="auto" w:fill="auto"/>
            <w:noWrap/>
            <w:vAlign w:val="center"/>
            <w:hideMark/>
          </w:tcPr>
          <w:p w14:paraId="7F0D18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22183876</w:t>
            </w:r>
          </w:p>
        </w:tc>
        <w:tc>
          <w:tcPr>
            <w:tcW w:w="160" w:type="dxa"/>
            <w:tcBorders>
              <w:top w:val="nil"/>
              <w:left w:val="nil"/>
              <w:bottom w:val="single" w:sz="4" w:space="0" w:color="auto"/>
              <w:right w:val="nil"/>
            </w:tcBorders>
            <w:vAlign w:val="center"/>
          </w:tcPr>
          <w:p w14:paraId="3460373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326F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OTONA ŽUPANČIČA SLOVENSKA BISTRICA</w:t>
            </w:r>
          </w:p>
        </w:tc>
      </w:tr>
      <w:tr w:rsidR="00072A69" w:rsidRPr="00DC6DF9" w14:paraId="429254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E707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1949</w:t>
            </w:r>
          </w:p>
        </w:tc>
        <w:tc>
          <w:tcPr>
            <w:tcW w:w="1036" w:type="dxa"/>
            <w:tcBorders>
              <w:top w:val="nil"/>
              <w:left w:val="nil"/>
              <w:bottom w:val="single" w:sz="4" w:space="0" w:color="auto"/>
              <w:right w:val="single" w:sz="4" w:space="0" w:color="auto"/>
            </w:tcBorders>
            <w:shd w:val="clear" w:color="auto" w:fill="auto"/>
            <w:noWrap/>
            <w:vAlign w:val="center"/>
            <w:hideMark/>
          </w:tcPr>
          <w:p w14:paraId="1BB450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5259266000</w:t>
            </w:r>
          </w:p>
        </w:tc>
        <w:tc>
          <w:tcPr>
            <w:tcW w:w="1036" w:type="dxa"/>
            <w:tcBorders>
              <w:top w:val="nil"/>
              <w:left w:val="nil"/>
              <w:bottom w:val="single" w:sz="4" w:space="0" w:color="auto"/>
              <w:right w:val="single" w:sz="4" w:space="0" w:color="auto"/>
            </w:tcBorders>
            <w:shd w:val="clear" w:color="auto" w:fill="auto"/>
            <w:noWrap/>
            <w:vAlign w:val="center"/>
            <w:hideMark/>
          </w:tcPr>
          <w:p w14:paraId="6F70D8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70142629</w:t>
            </w:r>
          </w:p>
        </w:tc>
        <w:tc>
          <w:tcPr>
            <w:tcW w:w="160" w:type="dxa"/>
            <w:tcBorders>
              <w:top w:val="nil"/>
              <w:left w:val="nil"/>
              <w:bottom w:val="single" w:sz="4" w:space="0" w:color="auto"/>
              <w:right w:val="nil"/>
            </w:tcBorders>
            <w:vAlign w:val="center"/>
          </w:tcPr>
          <w:p w14:paraId="572D5F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2A9AE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PEDENJPED</w:t>
            </w:r>
          </w:p>
        </w:tc>
      </w:tr>
      <w:tr w:rsidR="00072A69" w:rsidRPr="00DC6DF9" w14:paraId="050F89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B1B6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1950</w:t>
            </w:r>
          </w:p>
        </w:tc>
        <w:tc>
          <w:tcPr>
            <w:tcW w:w="1036" w:type="dxa"/>
            <w:tcBorders>
              <w:top w:val="nil"/>
              <w:left w:val="nil"/>
              <w:bottom w:val="single" w:sz="4" w:space="0" w:color="auto"/>
              <w:right w:val="single" w:sz="4" w:space="0" w:color="auto"/>
            </w:tcBorders>
            <w:shd w:val="clear" w:color="auto" w:fill="auto"/>
            <w:noWrap/>
            <w:vAlign w:val="center"/>
            <w:hideMark/>
          </w:tcPr>
          <w:p w14:paraId="76BFA8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1782657000</w:t>
            </w:r>
          </w:p>
        </w:tc>
        <w:tc>
          <w:tcPr>
            <w:tcW w:w="1036" w:type="dxa"/>
            <w:tcBorders>
              <w:top w:val="nil"/>
              <w:left w:val="nil"/>
              <w:bottom w:val="single" w:sz="4" w:space="0" w:color="auto"/>
              <w:right w:val="single" w:sz="4" w:space="0" w:color="auto"/>
            </w:tcBorders>
            <w:shd w:val="clear" w:color="auto" w:fill="auto"/>
            <w:noWrap/>
            <w:vAlign w:val="center"/>
            <w:hideMark/>
          </w:tcPr>
          <w:p w14:paraId="31BA91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71116907</w:t>
            </w:r>
          </w:p>
        </w:tc>
        <w:tc>
          <w:tcPr>
            <w:tcW w:w="160" w:type="dxa"/>
            <w:tcBorders>
              <w:top w:val="nil"/>
              <w:left w:val="nil"/>
              <w:bottom w:val="single" w:sz="4" w:space="0" w:color="auto"/>
              <w:right w:val="nil"/>
            </w:tcBorders>
            <w:vAlign w:val="center"/>
          </w:tcPr>
          <w:p w14:paraId="5D7BC03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F8965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PEDENJPED NOVO MESTO</w:t>
            </w:r>
          </w:p>
        </w:tc>
      </w:tr>
      <w:tr w:rsidR="00072A69" w:rsidRPr="00DC6DF9" w14:paraId="4EFD30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2B13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1951</w:t>
            </w:r>
          </w:p>
        </w:tc>
        <w:tc>
          <w:tcPr>
            <w:tcW w:w="1036" w:type="dxa"/>
            <w:tcBorders>
              <w:top w:val="nil"/>
              <w:left w:val="nil"/>
              <w:bottom w:val="single" w:sz="4" w:space="0" w:color="auto"/>
              <w:right w:val="single" w:sz="4" w:space="0" w:color="auto"/>
            </w:tcBorders>
            <w:shd w:val="clear" w:color="auto" w:fill="auto"/>
            <w:noWrap/>
            <w:vAlign w:val="center"/>
            <w:hideMark/>
          </w:tcPr>
          <w:p w14:paraId="4F923D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5055407000</w:t>
            </w:r>
          </w:p>
        </w:tc>
        <w:tc>
          <w:tcPr>
            <w:tcW w:w="1036" w:type="dxa"/>
            <w:tcBorders>
              <w:top w:val="nil"/>
              <w:left w:val="nil"/>
              <w:bottom w:val="single" w:sz="4" w:space="0" w:color="auto"/>
              <w:right w:val="single" w:sz="4" w:space="0" w:color="auto"/>
            </w:tcBorders>
            <w:shd w:val="clear" w:color="auto" w:fill="auto"/>
            <w:noWrap/>
            <w:vAlign w:val="center"/>
            <w:hideMark/>
          </w:tcPr>
          <w:p w14:paraId="385822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37248855</w:t>
            </w:r>
          </w:p>
        </w:tc>
        <w:tc>
          <w:tcPr>
            <w:tcW w:w="160" w:type="dxa"/>
            <w:tcBorders>
              <w:top w:val="nil"/>
              <w:left w:val="nil"/>
              <w:bottom w:val="single" w:sz="4" w:space="0" w:color="auto"/>
              <w:right w:val="nil"/>
            </w:tcBorders>
            <w:vAlign w:val="center"/>
          </w:tcPr>
          <w:p w14:paraId="281F40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EB67E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POBREŽJE MARIBOR</w:t>
            </w:r>
          </w:p>
        </w:tc>
      </w:tr>
      <w:tr w:rsidR="00072A69" w:rsidRPr="00DC6DF9" w14:paraId="3DF99E0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40518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1952</w:t>
            </w:r>
          </w:p>
        </w:tc>
        <w:tc>
          <w:tcPr>
            <w:tcW w:w="1036" w:type="dxa"/>
            <w:tcBorders>
              <w:top w:val="nil"/>
              <w:left w:val="nil"/>
              <w:bottom w:val="single" w:sz="4" w:space="0" w:color="auto"/>
              <w:right w:val="single" w:sz="4" w:space="0" w:color="auto"/>
            </w:tcBorders>
            <w:shd w:val="clear" w:color="auto" w:fill="auto"/>
            <w:noWrap/>
            <w:vAlign w:val="center"/>
            <w:hideMark/>
          </w:tcPr>
          <w:p w14:paraId="58859B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1942875000</w:t>
            </w:r>
          </w:p>
        </w:tc>
        <w:tc>
          <w:tcPr>
            <w:tcW w:w="1036" w:type="dxa"/>
            <w:tcBorders>
              <w:top w:val="nil"/>
              <w:left w:val="nil"/>
              <w:bottom w:val="single" w:sz="4" w:space="0" w:color="auto"/>
              <w:right w:val="single" w:sz="4" w:space="0" w:color="auto"/>
            </w:tcBorders>
            <w:shd w:val="clear" w:color="auto" w:fill="auto"/>
            <w:noWrap/>
            <w:vAlign w:val="center"/>
            <w:hideMark/>
          </w:tcPr>
          <w:p w14:paraId="189B87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65082753</w:t>
            </w:r>
          </w:p>
        </w:tc>
        <w:tc>
          <w:tcPr>
            <w:tcW w:w="160" w:type="dxa"/>
            <w:tcBorders>
              <w:top w:val="nil"/>
              <w:left w:val="nil"/>
              <w:bottom w:val="single" w:sz="4" w:space="0" w:color="auto"/>
              <w:right w:val="nil"/>
            </w:tcBorders>
            <w:vAlign w:val="center"/>
          </w:tcPr>
          <w:p w14:paraId="21A6C0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461E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POD GRADOM</w:t>
            </w:r>
          </w:p>
        </w:tc>
      </w:tr>
      <w:tr w:rsidR="00072A69" w:rsidRPr="00DC6DF9" w14:paraId="3C80587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3107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1953</w:t>
            </w:r>
          </w:p>
        </w:tc>
        <w:tc>
          <w:tcPr>
            <w:tcW w:w="1036" w:type="dxa"/>
            <w:tcBorders>
              <w:top w:val="nil"/>
              <w:left w:val="nil"/>
              <w:bottom w:val="single" w:sz="4" w:space="0" w:color="auto"/>
              <w:right w:val="single" w:sz="4" w:space="0" w:color="auto"/>
            </w:tcBorders>
            <w:shd w:val="clear" w:color="auto" w:fill="auto"/>
            <w:noWrap/>
            <w:vAlign w:val="center"/>
            <w:hideMark/>
          </w:tcPr>
          <w:p w14:paraId="6FEA5A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5050731000</w:t>
            </w:r>
          </w:p>
        </w:tc>
        <w:tc>
          <w:tcPr>
            <w:tcW w:w="1036" w:type="dxa"/>
            <w:tcBorders>
              <w:top w:val="nil"/>
              <w:left w:val="nil"/>
              <w:bottom w:val="single" w:sz="4" w:space="0" w:color="auto"/>
              <w:right w:val="single" w:sz="4" w:space="0" w:color="auto"/>
            </w:tcBorders>
            <w:shd w:val="clear" w:color="auto" w:fill="auto"/>
            <w:noWrap/>
            <w:vAlign w:val="center"/>
            <w:hideMark/>
          </w:tcPr>
          <w:p w14:paraId="0CB1A75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26279789</w:t>
            </w:r>
          </w:p>
        </w:tc>
        <w:tc>
          <w:tcPr>
            <w:tcW w:w="160" w:type="dxa"/>
            <w:tcBorders>
              <w:top w:val="nil"/>
              <w:left w:val="nil"/>
              <w:bottom w:val="single" w:sz="4" w:space="0" w:color="auto"/>
              <w:right w:val="nil"/>
            </w:tcBorders>
            <w:vAlign w:val="center"/>
          </w:tcPr>
          <w:p w14:paraId="166E02E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7174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PTUJ</w:t>
            </w:r>
          </w:p>
        </w:tc>
      </w:tr>
      <w:tr w:rsidR="00072A69" w:rsidRPr="00DC6DF9" w14:paraId="30AE7BF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CEEE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1954</w:t>
            </w:r>
          </w:p>
        </w:tc>
        <w:tc>
          <w:tcPr>
            <w:tcW w:w="1036" w:type="dxa"/>
            <w:tcBorders>
              <w:top w:val="nil"/>
              <w:left w:val="nil"/>
              <w:bottom w:val="single" w:sz="4" w:space="0" w:color="auto"/>
              <w:right w:val="single" w:sz="4" w:space="0" w:color="auto"/>
            </w:tcBorders>
            <w:shd w:val="clear" w:color="auto" w:fill="auto"/>
            <w:noWrap/>
            <w:vAlign w:val="center"/>
            <w:hideMark/>
          </w:tcPr>
          <w:p w14:paraId="77B0D3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5050901000</w:t>
            </w:r>
          </w:p>
        </w:tc>
        <w:tc>
          <w:tcPr>
            <w:tcW w:w="1036" w:type="dxa"/>
            <w:tcBorders>
              <w:top w:val="nil"/>
              <w:left w:val="nil"/>
              <w:bottom w:val="single" w:sz="4" w:space="0" w:color="auto"/>
              <w:right w:val="single" w:sz="4" w:space="0" w:color="auto"/>
            </w:tcBorders>
            <w:shd w:val="clear" w:color="auto" w:fill="auto"/>
            <w:noWrap/>
            <w:vAlign w:val="center"/>
            <w:hideMark/>
          </w:tcPr>
          <w:p w14:paraId="55A2B1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82002665</w:t>
            </w:r>
          </w:p>
        </w:tc>
        <w:tc>
          <w:tcPr>
            <w:tcW w:w="160" w:type="dxa"/>
            <w:tcBorders>
              <w:top w:val="nil"/>
              <w:left w:val="nil"/>
              <w:bottom w:val="single" w:sz="4" w:space="0" w:color="auto"/>
              <w:right w:val="nil"/>
            </w:tcBorders>
            <w:vAlign w:val="center"/>
          </w:tcPr>
          <w:p w14:paraId="5D7301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09BD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RADENCI - RADENSKI MEHURČKI</w:t>
            </w:r>
          </w:p>
        </w:tc>
      </w:tr>
      <w:tr w:rsidR="00072A69" w:rsidRPr="00DC6DF9" w14:paraId="2BD58E3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D5CD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1955</w:t>
            </w:r>
          </w:p>
        </w:tc>
        <w:tc>
          <w:tcPr>
            <w:tcW w:w="1036" w:type="dxa"/>
            <w:tcBorders>
              <w:top w:val="nil"/>
              <w:left w:val="nil"/>
              <w:bottom w:val="single" w:sz="4" w:space="0" w:color="auto"/>
              <w:right w:val="single" w:sz="4" w:space="0" w:color="auto"/>
            </w:tcBorders>
            <w:shd w:val="clear" w:color="auto" w:fill="auto"/>
            <w:noWrap/>
            <w:vAlign w:val="center"/>
            <w:hideMark/>
          </w:tcPr>
          <w:p w14:paraId="152B39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5056047000</w:t>
            </w:r>
          </w:p>
        </w:tc>
        <w:tc>
          <w:tcPr>
            <w:tcW w:w="1036" w:type="dxa"/>
            <w:tcBorders>
              <w:top w:val="nil"/>
              <w:left w:val="nil"/>
              <w:bottom w:val="single" w:sz="4" w:space="0" w:color="auto"/>
              <w:right w:val="single" w:sz="4" w:space="0" w:color="auto"/>
            </w:tcBorders>
            <w:shd w:val="clear" w:color="auto" w:fill="auto"/>
            <w:noWrap/>
            <w:vAlign w:val="center"/>
            <w:hideMark/>
          </w:tcPr>
          <w:p w14:paraId="363BDE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24132497</w:t>
            </w:r>
          </w:p>
        </w:tc>
        <w:tc>
          <w:tcPr>
            <w:tcW w:w="160" w:type="dxa"/>
            <w:tcBorders>
              <w:top w:val="nil"/>
              <w:left w:val="nil"/>
              <w:bottom w:val="single" w:sz="4" w:space="0" w:color="auto"/>
              <w:right w:val="nil"/>
            </w:tcBorders>
            <w:vAlign w:val="center"/>
          </w:tcPr>
          <w:p w14:paraId="31E1946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06541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RADOVLJICA</w:t>
            </w:r>
          </w:p>
        </w:tc>
      </w:tr>
      <w:tr w:rsidR="00072A69" w:rsidRPr="00DC6DF9" w14:paraId="244D84D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ABD97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1956</w:t>
            </w:r>
          </w:p>
        </w:tc>
        <w:tc>
          <w:tcPr>
            <w:tcW w:w="1036" w:type="dxa"/>
            <w:tcBorders>
              <w:top w:val="nil"/>
              <w:left w:val="nil"/>
              <w:bottom w:val="single" w:sz="4" w:space="0" w:color="auto"/>
              <w:right w:val="single" w:sz="4" w:space="0" w:color="auto"/>
            </w:tcBorders>
            <w:shd w:val="clear" w:color="auto" w:fill="auto"/>
            <w:noWrap/>
            <w:vAlign w:val="center"/>
            <w:hideMark/>
          </w:tcPr>
          <w:p w14:paraId="1677E8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1563785000</w:t>
            </w:r>
          </w:p>
        </w:tc>
        <w:tc>
          <w:tcPr>
            <w:tcW w:w="1036" w:type="dxa"/>
            <w:tcBorders>
              <w:top w:val="nil"/>
              <w:left w:val="nil"/>
              <w:bottom w:val="single" w:sz="4" w:space="0" w:color="auto"/>
              <w:right w:val="single" w:sz="4" w:space="0" w:color="auto"/>
            </w:tcBorders>
            <w:shd w:val="clear" w:color="auto" w:fill="auto"/>
            <w:noWrap/>
            <w:vAlign w:val="center"/>
            <w:hideMark/>
          </w:tcPr>
          <w:p w14:paraId="112CDE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37513192</w:t>
            </w:r>
          </w:p>
        </w:tc>
        <w:tc>
          <w:tcPr>
            <w:tcW w:w="160" w:type="dxa"/>
            <w:tcBorders>
              <w:top w:val="nil"/>
              <w:left w:val="nil"/>
              <w:bottom w:val="single" w:sz="4" w:space="0" w:color="auto"/>
              <w:right w:val="nil"/>
            </w:tcBorders>
            <w:vAlign w:val="center"/>
          </w:tcPr>
          <w:p w14:paraId="016BE5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48360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RAVNE NA KOROŠKEM</w:t>
            </w:r>
          </w:p>
        </w:tc>
      </w:tr>
      <w:tr w:rsidR="00072A69" w:rsidRPr="00DC6DF9" w14:paraId="1F5273F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CEDC0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1957</w:t>
            </w:r>
          </w:p>
        </w:tc>
        <w:tc>
          <w:tcPr>
            <w:tcW w:w="1036" w:type="dxa"/>
            <w:tcBorders>
              <w:top w:val="nil"/>
              <w:left w:val="nil"/>
              <w:bottom w:val="single" w:sz="4" w:space="0" w:color="auto"/>
              <w:right w:val="single" w:sz="4" w:space="0" w:color="auto"/>
            </w:tcBorders>
            <w:shd w:val="clear" w:color="auto" w:fill="auto"/>
            <w:noWrap/>
            <w:vAlign w:val="center"/>
            <w:hideMark/>
          </w:tcPr>
          <w:p w14:paraId="57EB8F4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5160910000</w:t>
            </w:r>
          </w:p>
        </w:tc>
        <w:tc>
          <w:tcPr>
            <w:tcW w:w="1036" w:type="dxa"/>
            <w:tcBorders>
              <w:top w:val="nil"/>
              <w:left w:val="nil"/>
              <w:bottom w:val="single" w:sz="4" w:space="0" w:color="auto"/>
              <w:right w:val="single" w:sz="4" w:space="0" w:color="auto"/>
            </w:tcBorders>
            <w:shd w:val="clear" w:color="auto" w:fill="auto"/>
            <w:noWrap/>
            <w:vAlign w:val="center"/>
            <w:hideMark/>
          </w:tcPr>
          <w:p w14:paraId="02E5C0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57441138</w:t>
            </w:r>
          </w:p>
        </w:tc>
        <w:tc>
          <w:tcPr>
            <w:tcW w:w="160" w:type="dxa"/>
            <w:tcBorders>
              <w:top w:val="nil"/>
              <w:left w:val="nil"/>
              <w:bottom w:val="single" w:sz="4" w:space="0" w:color="auto"/>
              <w:right w:val="nil"/>
            </w:tcBorders>
            <w:vAlign w:val="center"/>
          </w:tcPr>
          <w:p w14:paraId="432963F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ED65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RIBNICA</w:t>
            </w:r>
          </w:p>
        </w:tc>
      </w:tr>
      <w:tr w:rsidR="00072A69" w:rsidRPr="00DC6DF9" w14:paraId="0016755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3870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1958</w:t>
            </w:r>
          </w:p>
        </w:tc>
        <w:tc>
          <w:tcPr>
            <w:tcW w:w="1036" w:type="dxa"/>
            <w:tcBorders>
              <w:top w:val="nil"/>
              <w:left w:val="nil"/>
              <w:bottom w:val="single" w:sz="4" w:space="0" w:color="auto"/>
              <w:right w:val="single" w:sz="4" w:space="0" w:color="auto"/>
            </w:tcBorders>
            <w:shd w:val="clear" w:color="auto" w:fill="auto"/>
            <w:noWrap/>
            <w:vAlign w:val="center"/>
            <w:hideMark/>
          </w:tcPr>
          <w:p w14:paraId="454766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5929768000</w:t>
            </w:r>
          </w:p>
        </w:tc>
        <w:tc>
          <w:tcPr>
            <w:tcW w:w="1036" w:type="dxa"/>
            <w:tcBorders>
              <w:top w:val="nil"/>
              <w:left w:val="nil"/>
              <w:bottom w:val="single" w:sz="4" w:space="0" w:color="auto"/>
              <w:right w:val="single" w:sz="4" w:space="0" w:color="auto"/>
            </w:tcBorders>
            <w:shd w:val="clear" w:color="auto" w:fill="auto"/>
            <w:noWrap/>
            <w:vAlign w:val="center"/>
            <w:hideMark/>
          </w:tcPr>
          <w:p w14:paraId="5F314B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81674791</w:t>
            </w:r>
          </w:p>
        </w:tc>
        <w:tc>
          <w:tcPr>
            <w:tcW w:w="160" w:type="dxa"/>
            <w:tcBorders>
              <w:top w:val="nil"/>
              <w:left w:val="nil"/>
              <w:bottom w:val="single" w:sz="4" w:space="0" w:color="auto"/>
              <w:right w:val="nil"/>
            </w:tcBorders>
            <w:vAlign w:val="center"/>
          </w:tcPr>
          <w:p w14:paraId="0130EA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CAC11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ROGAŠKA SLATINA</w:t>
            </w:r>
          </w:p>
        </w:tc>
      </w:tr>
      <w:tr w:rsidR="00072A69" w:rsidRPr="00DC6DF9" w14:paraId="4B40E87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89F6A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1959</w:t>
            </w:r>
          </w:p>
        </w:tc>
        <w:tc>
          <w:tcPr>
            <w:tcW w:w="1036" w:type="dxa"/>
            <w:tcBorders>
              <w:top w:val="nil"/>
              <w:left w:val="nil"/>
              <w:bottom w:val="single" w:sz="4" w:space="0" w:color="auto"/>
              <w:right w:val="single" w:sz="4" w:space="0" w:color="auto"/>
            </w:tcBorders>
            <w:shd w:val="clear" w:color="auto" w:fill="auto"/>
            <w:noWrap/>
            <w:vAlign w:val="center"/>
            <w:hideMark/>
          </w:tcPr>
          <w:p w14:paraId="16CD8A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5210437000</w:t>
            </w:r>
          </w:p>
        </w:tc>
        <w:tc>
          <w:tcPr>
            <w:tcW w:w="1036" w:type="dxa"/>
            <w:tcBorders>
              <w:top w:val="nil"/>
              <w:left w:val="nil"/>
              <w:bottom w:val="single" w:sz="4" w:space="0" w:color="auto"/>
              <w:right w:val="single" w:sz="4" w:space="0" w:color="auto"/>
            </w:tcBorders>
            <w:shd w:val="clear" w:color="auto" w:fill="auto"/>
            <w:noWrap/>
            <w:vAlign w:val="center"/>
            <w:hideMark/>
          </w:tcPr>
          <w:p w14:paraId="6638FC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93785046</w:t>
            </w:r>
          </w:p>
        </w:tc>
        <w:tc>
          <w:tcPr>
            <w:tcW w:w="160" w:type="dxa"/>
            <w:tcBorders>
              <w:top w:val="nil"/>
              <w:left w:val="nil"/>
              <w:bottom w:val="single" w:sz="4" w:space="0" w:color="auto"/>
              <w:right w:val="nil"/>
            </w:tcBorders>
            <w:vAlign w:val="center"/>
          </w:tcPr>
          <w:p w14:paraId="333C16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331DE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SEŽANA</w:t>
            </w:r>
          </w:p>
        </w:tc>
      </w:tr>
      <w:tr w:rsidR="00072A69" w:rsidRPr="00DC6DF9" w14:paraId="2484E26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423A9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1960</w:t>
            </w:r>
          </w:p>
        </w:tc>
        <w:tc>
          <w:tcPr>
            <w:tcW w:w="1036" w:type="dxa"/>
            <w:tcBorders>
              <w:top w:val="nil"/>
              <w:left w:val="nil"/>
              <w:bottom w:val="single" w:sz="4" w:space="0" w:color="auto"/>
              <w:right w:val="single" w:sz="4" w:space="0" w:color="auto"/>
            </w:tcBorders>
            <w:shd w:val="clear" w:color="auto" w:fill="auto"/>
            <w:noWrap/>
            <w:vAlign w:val="center"/>
            <w:hideMark/>
          </w:tcPr>
          <w:p w14:paraId="371B0B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1121847000</w:t>
            </w:r>
          </w:p>
        </w:tc>
        <w:tc>
          <w:tcPr>
            <w:tcW w:w="1036" w:type="dxa"/>
            <w:tcBorders>
              <w:top w:val="nil"/>
              <w:left w:val="nil"/>
              <w:bottom w:val="single" w:sz="4" w:space="0" w:color="auto"/>
              <w:right w:val="single" w:sz="4" w:space="0" w:color="auto"/>
            </w:tcBorders>
            <w:shd w:val="clear" w:color="auto" w:fill="auto"/>
            <w:noWrap/>
            <w:vAlign w:val="center"/>
            <w:hideMark/>
          </w:tcPr>
          <w:p w14:paraId="23A5A0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79535810</w:t>
            </w:r>
          </w:p>
        </w:tc>
        <w:tc>
          <w:tcPr>
            <w:tcW w:w="160" w:type="dxa"/>
            <w:tcBorders>
              <w:top w:val="nil"/>
              <w:left w:val="nil"/>
              <w:bottom w:val="single" w:sz="4" w:space="0" w:color="auto"/>
              <w:right w:val="nil"/>
            </w:tcBorders>
            <w:vAlign w:val="center"/>
          </w:tcPr>
          <w:p w14:paraId="240080B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25727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SLOV. KONJICE</w:t>
            </w:r>
          </w:p>
        </w:tc>
      </w:tr>
      <w:tr w:rsidR="00072A69" w:rsidRPr="00DC6DF9" w14:paraId="305E78C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ED37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1961</w:t>
            </w:r>
          </w:p>
        </w:tc>
        <w:tc>
          <w:tcPr>
            <w:tcW w:w="1036" w:type="dxa"/>
            <w:tcBorders>
              <w:top w:val="nil"/>
              <w:left w:val="nil"/>
              <w:bottom w:val="single" w:sz="4" w:space="0" w:color="auto"/>
              <w:right w:val="single" w:sz="4" w:space="0" w:color="auto"/>
            </w:tcBorders>
            <w:shd w:val="clear" w:color="auto" w:fill="auto"/>
            <w:noWrap/>
            <w:vAlign w:val="center"/>
            <w:hideMark/>
          </w:tcPr>
          <w:p w14:paraId="5F89F1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5050456000</w:t>
            </w:r>
          </w:p>
        </w:tc>
        <w:tc>
          <w:tcPr>
            <w:tcW w:w="1036" w:type="dxa"/>
            <w:tcBorders>
              <w:top w:val="nil"/>
              <w:left w:val="nil"/>
              <w:bottom w:val="single" w:sz="4" w:space="0" w:color="auto"/>
              <w:right w:val="single" w:sz="4" w:space="0" w:color="auto"/>
            </w:tcBorders>
            <w:shd w:val="clear" w:color="auto" w:fill="auto"/>
            <w:noWrap/>
            <w:vAlign w:val="center"/>
            <w:hideMark/>
          </w:tcPr>
          <w:p w14:paraId="49F626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14644231</w:t>
            </w:r>
          </w:p>
        </w:tc>
        <w:tc>
          <w:tcPr>
            <w:tcW w:w="160" w:type="dxa"/>
            <w:tcBorders>
              <w:top w:val="nil"/>
              <w:left w:val="nil"/>
              <w:bottom w:val="single" w:sz="4" w:space="0" w:color="auto"/>
              <w:right w:val="nil"/>
            </w:tcBorders>
            <w:vAlign w:val="center"/>
          </w:tcPr>
          <w:p w14:paraId="032B720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C2CD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STUDENCI MARIBOR</w:t>
            </w:r>
          </w:p>
        </w:tc>
      </w:tr>
      <w:tr w:rsidR="00072A69" w:rsidRPr="00DC6DF9" w14:paraId="2ED2010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34C87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1962</w:t>
            </w:r>
          </w:p>
        </w:tc>
        <w:tc>
          <w:tcPr>
            <w:tcW w:w="1036" w:type="dxa"/>
            <w:tcBorders>
              <w:top w:val="nil"/>
              <w:left w:val="nil"/>
              <w:bottom w:val="single" w:sz="4" w:space="0" w:color="auto"/>
              <w:right w:val="single" w:sz="4" w:space="0" w:color="auto"/>
            </w:tcBorders>
            <w:shd w:val="clear" w:color="auto" w:fill="auto"/>
            <w:noWrap/>
            <w:vAlign w:val="center"/>
            <w:hideMark/>
          </w:tcPr>
          <w:p w14:paraId="1A0249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5050707000</w:t>
            </w:r>
          </w:p>
        </w:tc>
        <w:tc>
          <w:tcPr>
            <w:tcW w:w="1036" w:type="dxa"/>
            <w:tcBorders>
              <w:top w:val="nil"/>
              <w:left w:val="nil"/>
              <w:bottom w:val="single" w:sz="4" w:space="0" w:color="auto"/>
              <w:right w:val="single" w:sz="4" w:space="0" w:color="auto"/>
            </w:tcBorders>
            <w:shd w:val="clear" w:color="auto" w:fill="auto"/>
            <w:noWrap/>
            <w:vAlign w:val="center"/>
            <w:hideMark/>
          </w:tcPr>
          <w:p w14:paraId="64C0A8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68729707</w:t>
            </w:r>
          </w:p>
        </w:tc>
        <w:tc>
          <w:tcPr>
            <w:tcW w:w="160" w:type="dxa"/>
            <w:tcBorders>
              <w:top w:val="nil"/>
              <w:left w:val="nil"/>
              <w:bottom w:val="single" w:sz="4" w:space="0" w:color="auto"/>
              <w:right w:val="nil"/>
            </w:tcBorders>
            <w:vAlign w:val="center"/>
          </w:tcPr>
          <w:p w14:paraId="4E1A07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994A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ŠENTJUR OBČINA ŠENTJUR PRI CELJU</w:t>
            </w:r>
          </w:p>
        </w:tc>
      </w:tr>
      <w:tr w:rsidR="00072A69" w:rsidRPr="00DC6DF9" w14:paraId="4B7CA7C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97D1B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1963</w:t>
            </w:r>
          </w:p>
        </w:tc>
        <w:tc>
          <w:tcPr>
            <w:tcW w:w="1036" w:type="dxa"/>
            <w:tcBorders>
              <w:top w:val="nil"/>
              <w:left w:val="nil"/>
              <w:bottom w:val="single" w:sz="4" w:space="0" w:color="auto"/>
              <w:right w:val="single" w:sz="4" w:space="0" w:color="auto"/>
            </w:tcBorders>
            <w:shd w:val="clear" w:color="auto" w:fill="auto"/>
            <w:noWrap/>
            <w:vAlign w:val="center"/>
            <w:hideMark/>
          </w:tcPr>
          <w:p w14:paraId="5F8337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5057043000</w:t>
            </w:r>
          </w:p>
        </w:tc>
        <w:tc>
          <w:tcPr>
            <w:tcW w:w="1036" w:type="dxa"/>
            <w:tcBorders>
              <w:top w:val="nil"/>
              <w:left w:val="nil"/>
              <w:bottom w:val="single" w:sz="4" w:space="0" w:color="auto"/>
              <w:right w:val="single" w:sz="4" w:space="0" w:color="auto"/>
            </w:tcBorders>
            <w:shd w:val="clear" w:color="auto" w:fill="auto"/>
            <w:noWrap/>
            <w:vAlign w:val="center"/>
            <w:hideMark/>
          </w:tcPr>
          <w:p w14:paraId="47FEE1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78844908</w:t>
            </w:r>
          </w:p>
        </w:tc>
        <w:tc>
          <w:tcPr>
            <w:tcW w:w="160" w:type="dxa"/>
            <w:tcBorders>
              <w:top w:val="nil"/>
              <w:left w:val="nil"/>
              <w:bottom w:val="single" w:sz="4" w:space="0" w:color="auto"/>
              <w:right w:val="nil"/>
            </w:tcBorders>
            <w:vAlign w:val="center"/>
          </w:tcPr>
          <w:p w14:paraId="18140A9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E677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ŠENTVID</w:t>
            </w:r>
          </w:p>
        </w:tc>
      </w:tr>
      <w:tr w:rsidR="00072A69" w:rsidRPr="00DC6DF9" w14:paraId="4C9CACB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3C99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1964</w:t>
            </w:r>
          </w:p>
        </w:tc>
        <w:tc>
          <w:tcPr>
            <w:tcW w:w="1036" w:type="dxa"/>
            <w:tcBorders>
              <w:top w:val="nil"/>
              <w:left w:val="nil"/>
              <w:bottom w:val="single" w:sz="4" w:space="0" w:color="auto"/>
              <w:right w:val="single" w:sz="4" w:space="0" w:color="auto"/>
            </w:tcBorders>
            <w:shd w:val="clear" w:color="auto" w:fill="auto"/>
            <w:noWrap/>
            <w:vAlign w:val="center"/>
            <w:hideMark/>
          </w:tcPr>
          <w:p w14:paraId="17EA6B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5050774000</w:t>
            </w:r>
          </w:p>
        </w:tc>
        <w:tc>
          <w:tcPr>
            <w:tcW w:w="1036" w:type="dxa"/>
            <w:tcBorders>
              <w:top w:val="nil"/>
              <w:left w:val="nil"/>
              <w:bottom w:val="single" w:sz="4" w:space="0" w:color="auto"/>
              <w:right w:val="single" w:sz="4" w:space="0" w:color="auto"/>
            </w:tcBorders>
            <w:shd w:val="clear" w:color="auto" w:fill="auto"/>
            <w:noWrap/>
            <w:vAlign w:val="center"/>
            <w:hideMark/>
          </w:tcPr>
          <w:p w14:paraId="172DA2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68343663</w:t>
            </w:r>
          </w:p>
        </w:tc>
        <w:tc>
          <w:tcPr>
            <w:tcW w:w="160" w:type="dxa"/>
            <w:tcBorders>
              <w:top w:val="nil"/>
              <w:left w:val="nil"/>
              <w:bottom w:val="single" w:sz="4" w:space="0" w:color="auto"/>
              <w:right w:val="nil"/>
            </w:tcBorders>
            <w:vAlign w:val="center"/>
          </w:tcPr>
          <w:p w14:paraId="4CC56F4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D4AE0B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ŠKOFJA LOKA</w:t>
            </w:r>
          </w:p>
        </w:tc>
      </w:tr>
      <w:tr w:rsidR="00072A69" w:rsidRPr="00DC6DF9" w14:paraId="14A2630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9AE4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1965</w:t>
            </w:r>
          </w:p>
        </w:tc>
        <w:tc>
          <w:tcPr>
            <w:tcW w:w="1036" w:type="dxa"/>
            <w:tcBorders>
              <w:top w:val="nil"/>
              <w:left w:val="nil"/>
              <w:bottom w:val="single" w:sz="4" w:space="0" w:color="auto"/>
              <w:right w:val="single" w:sz="4" w:space="0" w:color="auto"/>
            </w:tcBorders>
            <w:shd w:val="clear" w:color="auto" w:fill="auto"/>
            <w:noWrap/>
            <w:vAlign w:val="center"/>
            <w:hideMark/>
          </w:tcPr>
          <w:p w14:paraId="1E3F3A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6284949000</w:t>
            </w:r>
          </w:p>
        </w:tc>
        <w:tc>
          <w:tcPr>
            <w:tcW w:w="1036" w:type="dxa"/>
            <w:tcBorders>
              <w:top w:val="nil"/>
              <w:left w:val="nil"/>
              <w:bottom w:val="single" w:sz="4" w:space="0" w:color="auto"/>
              <w:right w:val="single" w:sz="4" w:space="0" w:color="auto"/>
            </w:tcBorders>
            <w:shd w:val="clear" w:color="auto" w:fill="auto"/>
            <w:noWrap/>
            <w:vAlign w:val="center"/>
            <w:hideMark/>
          </w:tcPr>
          <w:p w14:paraId="7AAEB1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73044296</w:t>
            </w:r>
          </w:p>
        </w:tc>
        <w:tc>
          <w:tcPr>
            <w:tcW w:w="160" w:type="dxa"/>
            <w:tcBorders>
              <w:top w:val="nil"/>
              <w:left w:val="nil"/>
              <w:bottom w:val="single" w:sz="4" w:space="0" w:color="auto"/>
              <w:right w:val="nil"/>
            </w:tcBorders>
            <w:vAlign w:val="center"/>
          </w:tcPr>
          <w:p w14:paraId="1AD443D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3C69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ŠKOFLJICA</w:t>
            </w:r>
          </w:p>
        </w:tc>
      </w:tr>
      <w:tr w:rsidR="00072A69" w:rsidRPr="00DC6DF9" w14:paraId="4502600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BE12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1966</w:t>
            </w:r>
          </w:p>
        </w:tc>
        <w:tc>
          <w:tcPr>
            <w:tcW w:w="1036" w:type="dxa"/>
            <w:tcBorders>
              <w:top w:val="nil"/>
              <w:left w:val="nil"/>
              <w:bottom w:val="single" w:sz="4" w:space="0" w:color="auto"/>
              <w:right w:val="single" w:sz="4" w:space="0" w:color="auto"/>
            </w:tcBorders>
            <w:shd w:val="clear" w:color="auto" w:fill="auto"/>
            <w:noWrap/>
            <w:vAlign w:val="center"/>
            <w:hideMark/>
          </w:tcPr>
          <w:p w14:paraId="7AE16E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3356884000</w:t>
            </w:r>
          </w:p>
        </w:tc>
        <w:tc>
          <w:tcPr>
            <w:tcW w:w="1036" w:type="dxa"/>
            <w:tcBorders>
              <w:top w:val="nil"/>
              <w:left w:val="nil"/>
              <w:bottom w:val="single" w:sz="4" w:space="0" w:color="auto"/>
              <w:right w:val="single" w:sz="4" w:space="0" w:color="auto"/>
            </w:tcBorders>
            <w:shd w:val="clear" w:color="auto" w:fill="auto"/>
            <w:noWrap/>
            <w:vAlign w:val="center"/>
            <w:hideMark/>
          </w:tcPr>
          <w:p w14:paraId="354D3A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47230916</w:t>
            </w:r>
          </w:p>
        </w:tc>
        <w:tc>
          <w:tcPr>
            <w:tcW w:w="160" w:type="dxa"/>
            <w:tcBorders>
              <w:top w:val="nil"/>
              <w:left w:val="nil"/>
              <w:bottom w:val="single" w:sz="4" w:space="0" w:color="auto"/>
              <w:right w:val="nil"/>
            </w:tcBorders>
            <w:vAlign w:val="center"/>
          </w:tcPr>
          <w:p w14:paraId="6EDC2E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0258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ŠKRATEK SVIT VODICE</w:t>
            </w:r>
          </w:p>
        </w:tc>
      </w:tr>
      <w:tr w:rsidR="00072A69" w:rsidRPr="00DC6DF9" w14:paraId="3341083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72A04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1967</w:t>
            </w:r>
          </w:p>
        </w:tc>
        <w:tc>
          <w:tcPr>
            <w:tcW w:w="1036" w:type="dxa"/>
            <w:tcBorders>
              <w:top w:val="nil"/>
              <w:left w:val="nil"/>
              <w:bottom w:val="single" w:sz="4" w:space="0" w:color="auto"/>
              <w:right w:val="single" w:sz="4" w:space="0" w:color="auto"/>
            </w:tcBorders>
            <w:shd w:val="clear" w:color="auto" w:fill="auto"/>
            <w:noWrap/>
            <w:vAlign w:val="center"/>
            <w:hideMark/>
          </w:tcPr>
          <w:p w14:paraId="720E5D1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5924774000</w:t>
            </w:r>
          </w:p>
        </w:tc>
        <w:tc>
          <w:tcPr>
            <w:tcW w:w="1036" w:type="dxa"/>
            <w:tcBorders>
              <w:top w:val="nil"/>
              <w:left w:val="nil"/>
              <w:bottom w:val="single" w:sz="4" w:space="0" w:color="auto"/>
              <w:right w:val="single" w:sz="4" w:space="0" w:color="auto"/>
            </w:tcBorders>
            <w:shd w:val="clear" w:color="auto" w:fill="auto"/>
            <w:noWrap/>
            <w:vAlign w:val="center"/>
            <w:hideMark/>
          </w:tcPr>
          <w:p w14:paraId="2C1512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21421382</w:t>
            </w:r>
          </w:p>
        </w:tc>
        <w:tc>
          <w:tcPr>
            <w:tcW w:w="160" w:type="dxa"/>
            <w:tcBorders>
              <w:top w:val="nil"/>
              <w:left w:val="nil"/>
              <w:bottom w:val="single" w:sz="4" w:space="0" w:color="auto"/>
              <w:right w:val="nil"/>
            </w:tcBorders>
            <w:vAlign w:val="center"/>
          </w:tcPr>
          <w:p w14:paraId="3F61102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9B657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ŠMARJE PRI JELŠAH</w:t>
            </w:r>
          </w:p>
        </w:tc>
      </w:tr>
      <w:tr w:rsidR="00072A69" w:rsidRPr="00DC6DF9" w14:paraId="3F468D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0E4B9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1968</w:t>
            </w:r>
          </w:p>
        </w:tc>
        <w:tc>
          <w:tcPr>
            <w:tcW w:w="1036" w:type="dxa"/>
            <w:tcBorders>
              <w:top w:val="nil"/>
              <w:left w:val="nil"/>
              <w:bottom w:val="single" w:sz="4" w:space="0" w:color="auto"/>
              <w:right w:val="single" w:sz="4" w:space="0" w:color="auto"/>
            </w:tcBorders>
            <w:shd w:val="clear" w:color="auto" w:fill="auto"/>
            <w:noWrap/>
            <w:vAlign w:val="center"/>
            <w:hideMark/>
          </w:tcPr>
          <w:p w14:paraId="41A046E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5057124000</w:t>
            </w:r>
          </w:p>
        </w:tc>
        <w:tc>
          <w:tcPr>
            <w:tcW w:w="1036" w:type="dxa"/>
            <w:tcBorders>
              <w:top w:val="nil"/>
              <w:left w:val="nil"/>
              <w:bottom w:val="single" w:sz="4" w:space="0" w:color="auto"/>
              <w:right w:val="single" w:sz="4" w:space="0" w:color="auto"/>
            </w:tcBorders>
            <w:shd w:val="clear" w:color="auto" w:fill="auto"/>
            <w:noWrap/>
            <w:vAlign w:val="center"/>
            <w:hideMark/>
          </w:tcPr>
          <w:p w14:paraId="3CCD63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77409949</w:t>
            </w:r>
          </w:p>
        </w:tc>
        <w:tc>
          <w:tcPr>
            <w:tcW w:w="160" w:type="dxa"/>
            <w:tcBorders>
              <w:top w:val="nil"/>
              <w:left w:val="nil"/>
              <w:bottom w:val="single" w:sz="4" w:space="0" w:color="auto"/>
              <w:right w:val="nil"/>
            </w:tcBorders>
            <w:vAlign w:val="center"/>
          </w:tcPr>
          <w:p w14:paraId="2E7CDB7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6FD522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ŠOŠTANJ</w:t>
            </w:r>
          </w:p>
        </w:tc>
      </w:tr>
      <w:tr w:rsidR="00072A69" w:rsidRPr="00DC6DF9" w14:paraId="276CF8A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B4D2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1969</w:t>
            </w:r>
          </w:p>
        </w:tc>
        <w:tc>
          <w:tcPr>
            <w:tcW w:w="1036" w:type="dxa"/>
            <w:tcBorders>
              <w:top w:val="nil"/>
              <w:left w:val="nil"/>
              <w:bottom w:val="single" w:sz="4" w:space="0" w:color="auto"/>
              <w:right w:val="single" w:sz="4" w:space="0" w:color="auto"/>
            </w:tcBorders>
            <w:shd w:val="clear" w:color="auto" w:fill="auto"/>
            <w:noWrap/>
            <w:vAlign w:val="center"/>
            <w:hideMark/>
          </w:tcPr>
          <w:p w14:paraId="03ECFD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5051282000</w:t>
            </w:r>
          </w:p>
        </w:tc>
        <w:tc>
          <w:tcPr>
            <w:tcW w:w="1036" w:type="dxa"/>
            <w:tcBorders>
              <w:top w:val="nil"/>
              <w:left w:val="nil"/>
              <w:bottom w:val="single" w:sz="4" w:space="0" w:color="auto"/>
              <w:right w:val="single" w:sz="4" w:space="0" w:color="auto"/>
            </w:tcBorders>
            <w:shd w:val="clear" w:color="auto" w:fill="auto"/>
            <w:noWrap/>
            <w:vAlign w:val="center"/>
            <w:hideMark/>
          </w:tcPr>
          <w:p w14:paraId="35B85C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59040688</w:t>
            </w:r>
          </w:p>
        </w:tc>
        <w:tc>
          <w:tcPr>
            <w:tcW w:w="160" w:type="dxa"/>
            <w:tcBorders>
              <w:top w:val="nil"/>
              <w:left w:val="nil"/>
              <w:bottom w:val="single" w:sz="4" w:space="0" w:color="auto"/>
              <w:right w:val="nil"/>
            </w:tcBorders>
            <w:vAlign w:val="center"/>
          </w:tcPr>
          <w:p w14:paraId="7CB3B9E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EFB1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TEZNO MARIBOR</w:t>
            </w:r>
          </w:p>
        </w:tc>
      </w:tr>
      <w:tr w:rsidR="00072A69" w:rsidRPr="00DC6DF9" w14:paraId="52AF921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A8C92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1970</w:t>
            </w:r>
          </w:p>
        </w:tc>
        <w:tc>
          <w:tcPr>
            <w:tcW w:w="1036" w:type="dxa"/>
            <w:tcBorders>
              <w:top w:val="nil"/>
              <w:left w:val="nil"/>
              <w:bottom w:val="single" w:sz="4" w:space="0" w:color="auto"/>
              <w:right w:val="single" w:sz="4" w:space="0" w:color="auto"/>
            </w:tcBorders>
            <w:shd w:val="clear" w:color="auto" w:fill="auto"/>
            <w:noWrap/>
            <w:vAlign w:val="center"/>
            <w:hideMark/>
          </w:tcPr>
          <w:p w14:paraId="1DDC7B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5050863000</w:t>
            </w:r>
          </w:p>
        </w:tc>
        <w:tc>
          <w:tcPr>
            <w:tcW w:w="1036" w:type="dxa"/>
            <w:tcBorders>
              <w:top w:val="nil"/>
              <w:left w:val="nil"/>
              <w:bottom w:val="single" w:sz="4" w:space="0" w:color="auto"/>
              <w:right w:val="single" w:sz="4" w:space="0" w:color="auto"/>
            </w:tcBorders>
            <w:shd w:val="clear" w:color="auto" w:fill="auto"/>
            <w:noWrap/>
            <w:vAlign w:val="center"/>
            <w:hideMark/>
          </w:tcPr>
          <w:p w14:paraId="2E6CAA4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74474146</w:t>
            </w:r>
          </w:p>
        </w:tc>
        <w:tc>
          <w:tcPr>
            <w:tcW w:w="160" w:type="dxa"/>
            <w:tcBorders>
              <w:top w:val="nil"/>
              <w:left w:val="nil"/>
              <w:bottom w:val="single" w:sz="4" w:space="0" w:color="auto"/>
              <w:right w:val="nil"/>
            </w:tcBorders>
            <w:vAlign w:val="center"/>
          </w:tcPr>
          <w:p w14:paraId="19CC76D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3F7561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TONČKE ČEČEVE</w:t>
            </w:r>
          </w:p>
        </w:tc>
      </w:tr>
      <w:tr w:rsidR="00072A69" w:rsidRPr="00DC6DF9" w14:paraId="069FA70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846A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1971</w:t>
            </w:r>
          </w:p>
        </w:tc>
        <w:tc>
          <w:tcPr>
            <w:tcW w:w="1036" w:type="dxa"/>
            <w:tcBorders>
              <w:top w:val="nil"/>
              <w:left w:val="nil"/>
              <w:bottom w:val="single" w:sz="4" w:space="0" w:color="auto"/>
              <w:right w:val="single" w:sz="4" w:space="0" w:color="auto"/>
            </w:tcBorders>
            <w:shd w:val="clear" w:color="auto" w:fill="auto"/>
            <w:noWrap/>
            <w:vAlign w:val="center"/>
            <w:hideMark/>
          </w:tcPr>
          <w:p w14:paraId="56F0CB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1943367000</w:t>
            </w:r>
          </w:p>
        </w:tc>
        <w:tc>
          <w:tcPr>
            <w:tcW w:w="1036" w:type="dxa"/>
            <w:tcBorders>
              <w:top w:val="nil"/>
              <w:left w:val="nil"/>
              <w:bottom w:val="single" w:sz="4" w:space="0" w:color="auto"/>
              <w:right w:val="single" w:sz="4" w:space="0" w:color="auto"/>
            </w:tcBorders>
            <w:shd w:val="clear" w:color="auto" w:fill="auto"/>
            <w:noWrap/>
            <w:vAlign w:val="center"/>
            <w:hideMark/>
          </w:tcPr>
          <w:p w14:paraId="6EAA68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87247216</w:t>
            </w:r>
          </w:p>
        </w:tc>
        <w:tc>
          <w:tcPr>
            <w:tcW w:w="160" w:type="dxa"/>
            <w:tcBorders>
              <w:top w:val="nil"/>
              <w:left w:val="nil"/>
              <w:bottom w:val="single" w:sz="4" w:space="0" w:color="auto"/>
              <w:right w:val="nil"/>
            </w:tcBorders>
            <w:vAlign w:val="center"/>
          </w:tcPr>
          <w:p w14:paraId="1A8041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4F19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TRNOVO</w:t>
            </w:r>
          </w:p>
        </w:tc>
      </w:tr>
      <w:tr w:rsidR="00072A69" w:rsidRPr="00DC6DF9" w14:paraId="4C89A7B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5D666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1972</w:t>
            </w:r>
          </w:p>
        </w:tc>
        <w:tc>
          <w:tcPr>
            <w:tcW w:w="1036" w:type="dxa"/>
            <w:tcBorders>
              <w:top w:val="nil"/>
              <w:left w:val="nil"/>
              <w:bottom w:val="single" w:sz="4" w:space="0" w:color="auto"/>
              <w:right w:val="single" w:sz="4" w:space="0" w:color="auto"/>
            </w:tcBorders>
            <w:shd w:val="clear" w:color="auto" w:fill="auto"/>
            <w:noWrap/>
            <w:vAlign w:val="center"/>
            <w:hideMark/>
          </w:tcPr>
          <w:p w14:paraId="7D29B2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5055881000</w:t>
            </w:r>
          </w:p>
        </w:tc>
        <w:tc>
          <w:tcPr>
            <w:tcW w:w="1036" w:type="dxa"/>
            <w:tcBorders>
              <w:top w:val="nil"/>
              <w:left w:val="nil"/>
              <w:bottom w:val="single" w:sz="4" w:space="0" w:color="auto"/>
              <w:right w:val="single" w:sz="4" w:space="0" w:color="auto"/>
            </w:tcBorders>
            <w:shd w:val="clear" w:color="auto" w:fill="auto"/>
            <w:noWrap/>
            <w:vAlign w:val="center"/>
            <w:hideMark/>
          </w:tcPr>
          <w:p w14:paraId="439F78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14279673</w:t>
            </w:r>
          </w:p>
        </w:tc>
        <w:tc>
          <w:tcPr>
            <w:tcW w:w="160" w:type="dxa"/>
            <w:tcBorders>
              <w:top w:val="nil"/>
              <w:left w:val="nil"/>
              <w:bottom w:val="single" w:sz="4" w:space="0" w:color="auto"/>
              <w:right w:val="nil"/>
            </w:tcBorders>
            <w:vAlign w:val="center"/>
          </w:tcPr>
          <w:p w14:paraId="57EC3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C7842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TRŽIČ</w:t>
            </w:r>
          </w:p>
        </w:tc>
      </w:tr>
      <w:tr w:rsidR="00072A69" w:rsidRPr="00DC6DF9" w14:paraId="5D3C1D3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7F4C3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1973</w:t>
            </w:r>
          </w:p>
        </w:tc>
        <w:tc>
          <w:tcPr>
            <w:tcW w:w="1036" w:type="dxa"/>
            <w:tcBorders>
              <w:top w:val="nil"/>
              <w:left w:val="nil"/>
              <w:bottom w:val="single" w:sz="4" w:space="0" w:color="auto"/>
              <w:right w:val="single" w:sz="4" w:space="0" w:color="auto"/>
            </w:tcBorders>
            <w:shd w:val="clear" w:color="auto" w:fill="auto"/>
            <w:noWrap/>
            <w:vAlign w:val="center"/>
            <w:hideMark/>
          </w:tcPr>
          <w:p w14:paraId="63EB5E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1228102000</w:t>
            </w:r>
          </w:p>
        </w:tc>
        <w:tc>
          <w:tcPr>
            <w:tcW w:w="1036" w:type="dxa"/>
            <w:tcBorders>
              <w:top w:val="nil"/>
              <w:left w:val="nil"/>
              <w:bottom w:val="single" w:sz="4" w:space="0" w:color="auto"/>
              <w:right w:val="single" w:sz="4" w:space="0" w:color="auto"/>
            </w:tcBorders>
            <w:shd w:val="clear" w:color="auto" w:fill="auto"/>
            <w:noWrap/>
            <w:vAlign w:val="center"/>
            <w:hideMark/>
          </w:tcPr>
          <w:p w14:paraId="579454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67013457</w:t>
            </w:r>
          </w:p>
        </w:tc>
        <w:tc>
          <w:tcPr>
            <w:tcW w:w="160" w:type="dxa"/>
            <w:tcBorders>
              <w:top w:val="nil"/>
              <w:left w:val="nil"/>
              <w:bottom w:val="single" w:sz="4" w:space="0" w:color="auto"/>
              <w:right w:val="nil"/>
            </w:tcBorders>
            <w:vAlign w:val="center"/>
          </w:tcPr>
          <w:p w14:paraId="706FE9B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6712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URŠA</w:t>
            </w:r>
          </w:p>
        </w:tc>
      </w:tr>
      <w:tr w:rsidR="00072A69" w:rsidRPr="00DC6DF9" w14:paraId="5946018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38E9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1974</w:t>
            </w:r>
          </w:p>
        </w:tc>
        <w:tc>
          <w:tcPr>
            <w:tcW w:w="1036" w:type="dxa"/>
            <w:tcBorders>
              <w:top w:val="nil"/>
              <w:left w:val="nil"/>
              <w:bottom w:val="single" w:sz="4" w:space="0" w:color="auto"/>
              <w:right w:val="single" w:sz="4" w:space="0" w:color="auto"/>
            </w:tcBorders>
            <w:shd w:val="clear" w:color="auto" w:fill="auto"/>
            <w:noWrap/>
            <w:vAlign w:val="center"/>
            <w:hideMark/>
          </w:tcPr>
          <w:p w14:paraId="305BC6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5050812000</w:t>
            </w:r>
          </w:p>
        </w:tc>
        <w:tc>
          <w:tcPr>
            <w:tcW w:w="1036" w:type="dxa"/>
            <w:tcBorders>
              <w:top w:val="nil"/>
              <w:left w:val="nil"/>
              <w:bottom w:val="single" w:sz="4" w:space="0" w:color="auto"/>
              <w:right w:val="single" w:sz="4" w:space="0" w:color="auto"/>
            </w:tcBorders>
            <w:shd w:val="clear" w:color="auto" w:fill="auto"/>
            <w:noWrap/>
            <w:vAlign w:val="center"/>
            <w:hideMark/>
          </w:tcPr>
          <w:p w14:paraId="4BE1D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37857142</w:t>
            </w:r>
          </w:p>
        </w:tc>
        <w:tc>
          <w:tcPr>
            <w:tcW w:w="160" w:type="dxa"/>
            <w:tcBorders>
              <w:top w:val="nil"/>
              <w:left w:val="nil"/>
              <w:bottom w:val="single" w:sz="4" w:space="0" w:color="auto"/>
              <w:right w:val="nil"/>
            </w:tcBorders>
            <w:vAlign w:val="center"/>
          </w:tcPr>
          <w:p w14:paraId="32FC2F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A8C9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VELENJE</w:t>
            </w:r>
          </w:p>
        </w:tc>
      </w:tr>
      <w:tr w:rsidR="00072A69" w:rsidRPr="00DC6DF9" w14:paraId="7EAD17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B622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1975</w:t>
            </w:r>
          </w:p>
        </w:tc>
        <w:tc>
          <w:tcPr>
            <w:tcW w:w="1036" w:type="dxa"/>
            <w:tcBorders>
              <w:top w:val="nil"/>
              <w:left w:val="nil"/>
              <w:bottom w:val="single" w:sz="4" w:space="0" w:color="auto"/>
              <w:right w:val="single" w:sz="4" w:space="0" w:color="auto"/>
            </w:tcBorders>
            <w:shd w:val="clear" w:color="auto" w:fill="auto"/>
            <w:noWrap/>
            <w:vAlign w:val="center"/>
            <w:hideMark/>
          </w:tcPr>
          <w:p w14:paraId="7F55EB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1943375000</w:t>
            </w:r>
          </w:p>
        </w:tc>
        <w:tc>
          <w:tcPr>
            <w:tcW w:w="1036" w:type="dxa"/>
            <w:tcBorders>
              <w:top w:val="nil"/>
              <w:left w:val="nil"/>
              <w:bottom w:val="single" w:sz="4" w:space="0" w:color="auto"/>
              <w:right w:val="single" w:sz="4" w:space="0" w:color="auto"/>
            </w:tcBorders>
            <w:shd w:val="clear" w:color="auto" w:fill="auto"/>
            <w:noWrap/>
            <w:vAlign w:val="center"/>
            <w:hideMark/>
          </w:tcPr>
          <w:p w14:paraId="1E49C1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53491467</w:t>
            </w:r>
          </w:p>
        </w:tc>
        <w:tc>
          <w:tcPr>
            <w:tcW w:w="160" w:type="dxa"/>
            <w:tcBorders>
              <w:top w:val="nil"/>
              <w:left w:val="nil"/>
              <w:bottom w:val="single" w:sz="4" w:space="0" w:color="auto"/>
              <w:right w:val="nil"/>
            </w:tcBorders>
            <w:vAlign w:val="center"/>
          </w:tcPr>
          <w:p w14:paraId="0E9852E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4B068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VIŠKI GAJ</w:t>
            </w:r>
          </w:p>
        </w:tc>
      </w:tr>
      <w:tr w:rsidR="00072A69" w:rsidRPr="00DC6DF9" w14:paraId="7661921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771A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1976</w:t>
            </w:r>
          </w:p>
        </w:tc>
        <w:tc>
          <w:tcPr>
            <w:tcW w:w="1036" w:type="dxa"/>
            <w:tcBorders>
              <w:top w:val="nil"/>
              <w:left w:val="nil"/>
              <w:bottom w:val="single" w:sz="4" w:space="0" w:color="auto"/>
              <w:right w:val="single" w:sz="4" w:space="0" w:color="auto"/>
            </w:tcBorders>
            <w:shd w:val="clear" w:color="auto" w:fill="auto"/>
            <w:noWrap/>
            <w:vAlign w:val="center"/>
            <w:hideMark/>
          </w:tcPr>
          <w:p w14:paraId="615178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5249813000</w:t>
            </w:r>
          </w:p>
        </w:tc>
        <w:tc>
          <w:tcPr>
            <w:tcW w:w="1036" w:type="dxa"/>
            <w:tcBorders>
              <w:top w:val="nil"/>
              <w:left w:val="nil"/>
              <w:bottom w:val="single" w:sz="4" w:space="0" w:color="auto"/>
              <w:right w:val="single" w:sz="4" w:space="0" w:color="auto"/>
            </w:tcBorders>
            <w:shd w:val="clear" w:color="auto" w:fill="auto"/>
            <w:noWrap/>
            <w:vAlign w:val="center"/>
            <w:hideMark/>
          </w:tcPr>
          <w:p w14:paraId="0D9AD8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48694282</w:t>
            </w:r>
          </w:p>
        </w:tc>
        <w:tc>
          <w:tcPr>
            <w:tcW w:w="160" w:type="dxa"/>
            <w:tcBorders>
              <w:top w:val="nil"/>
              <w:left w:val="nil"/>
              <w:bottom w:val="single" w:sz="4" w:space="0" w:color="auto"/>
              <w:right w:val="nil"/>
            </w:tcBorders>
            <w:vAlign w:val="center"/>
          </w:tcPr>
          <w:p w14:paraId="086129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8794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VODMAT</w:t>
            </w:r>
          </w:p>
        </w:tc>
      </w:tr>
      <w:tr w:rsidR="00072A69" w:rsidRPr="00DC6DF9" w14:paraId="046B70D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82E53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1977</w:t>
            </w:r>
          </w:p>
        </w:tc>
        <w:tc>
          <w:tcPr>
            <w:tcW w:w="1036" w:type="dxa"/>
            <w:tcBorders>
              <w:top w:val="nil"/>
              <w:left w:val="nil"/>
              <w:bottom w:val="single" w:sz="4" w:space="0" w:color="auto"/>
              <w:right w:val="single" w:sz="4" w:space="0" w:color="auto"/>
            </w:tcBorders>
            <w:shd w:val="clear" w:color="auto" w:fill="auto"/>
            <w:noWrap/>
            <w:vAlign w:val="center"/>
            <w:hideMark/>
          </w:tcPr>
          <w:p w14:paraId="4437B3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1943359000</w:t>
            </w:r>
          </w:p>
        </w:tc>
        <w:tc>
          <w:tcPr>
            <w:tcW w:w="1036" w:type="dxa"/>
            <w:tcBorders>
              <w:top w:val="nil"/>
              <w:left w:val="nil"/>
              <w:bottom w:val="single" w:sz="4" w:space="0" w:color="auto"/>
              <w:right w:val="single" w:sz="4" w:space="0" w:color="auto"/>
            </w:tcBorders>
            <w:shd w:val="clear" w:color="auto" w:fill="auto"/>
            <w:noWrap/>
            <w:vAlign w:val="center"/>
            <w:hideMark/>
          </w:tcPr>
          <w:p w14:paraId="27E5EE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54520410</w:t>
            </w:r>
          </w:p>
        </w:tc>
        <w:tc>
          <w:tcPr>
            <w:tcW w:w="160" w:type="dxa"/>
            <w:tcBorders>
              <w:top w:val="nil"/>
              <w:left w:val="nil"/>
              <w:bottom w:val="single" w:sz="4" w:space="0" w:color="auto"/>
              <w:right w:val="nil"/>
            </w:tcBorders>
            <w:vAlign w:val="center"/>
          </w:tcPr>
          <w:p w14:paraId="3AF5F6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ECED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VRHOVCI</w:t>
            </w:r>
          </w:p>
        </w:tc>
      </w:tr>
      <w:tr w:rsidR="00072A69" w:rsidRPr="00DC6DF9" w14:paraId="52E12A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8D5D2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1978</w:t>
            </w:r>
          </w:p>
        </w:tc>
        <w:tc>
          <w:tcPr>
            <w:tcW w:w="1036" w:type="dxa"/>
            <w:tcBorders>
              <w:top w:val="nil"/>
              <w:left w:val="nil"/>
              <w:bottom w:val="single" w:sz="4" w:space="0" w:color="auto"/>
              <w:right w:val="single" w:sz="4" w:space="0" w:color="auto"/>
            </w:tcBorders>
            <w:shd w:val="clear" w:color="auto" w:fill="auto"/>
            <w:noWrap/>
            <w:vAlign w:val="center"/>
            <w:hideMark/>
          </w:tcPr>
          <w:p w14:paraId="2DFD7BF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5088445000</w:t>
            </w:r>
          </w:p>
        </w:tc>
        <w:tc>
          <w:tcPr>
            <w:tcW w:w="1036" w:type="dxa"/>
            <w:tcBorders>
              <w:top w:val="nil"/>
              <w:left w:val="nil"/>
              <w:bottom w:val="single" w:sz="4" w:space="0" w:color="auto"/>
              <w:right w:val="single" w:sz="4" w:space="0" w:color="auto"/>
            </w:tcBorders>
            <w:shd w:val="clear" w:color="auto" w:fill="auto"/>
            <w:noWrap/>
            <w:vAlign w:val="center"/>
            <w:hideMark/>
          </w:tcPr>
          <w:p w14:paraId="7089B60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28104072</w:t>
            </w:r>
          </w:p>
        </w:tc>
        <w:tc>
          <w:tcPr>
            <w:tcW w:w="160" w:type="dxa"/>
            <w:tcBorders>
              <w:top w:val="nil"/>
              <w:left w:val="nil"/>
              <w:bottom w:val="single" w:sz="4" w:space="0" w:color="auto"/>
              <w:right w:val="nil"/>
            </w:tcBorders>
            <w:vAlign w:val="center"/>
          </w:tcPr>
          <w:p w14:paraId="6E1827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A473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ZAGORJE OB SAVI</w:t>
            </w:r>
          </w:p>
        </w:tc>
      </w:tr>
      <w:tr w:rsidR="00072A69" w:rsidRPr="00DC6DF9" w14:paraId="0275C7F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2954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1979</w:t>
            </w:r>
          </w:p>
        </w:tc>
        <w:tc>
          <w:tcPr>
            <w:tcW w:w="1036" w:type="dxa"/>
            <w:tcBorders>
              <w:top w:val="nil"/>
              <w:left w:val="nil"/>
              <w:bottom w:val="single" w:sz="4" w:space="0" w:color="auto"/>
              <w:right w:val="single" w:sz="4" w:space="0" w:color="auto"/>
            </w:tcBorders>
            <w:shd w:val="clear" w:color="auto" w:fill="auto"/>
            <w:noWrap/>
            <w:vAlign w:val="center"/>
            <w:hideMark/>
          </w:tcPr>
          <w:p w14:paraId="03A391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5049547000</w:t>
            </w:r>
          </w:p>
        </w:tc>
        <w:tc>
          <w:tcPr>
            <w:tcW w:w="1036" w:type="dxa"/>
            <w:tcBorders>
              <w:top w:val="nil"/>
              <w:left w:val="nil"/>
              <w:bottom w:val="single" w:sz="4" w:space="0" w:color="auto"/>
              <w:right w:val="single" w:sz="4" w:space="0" w:color="auto"/>
            </w:tcBorders>
            <w:shd w:val="clear" w:color="auto" w:fill="auto"/>
            <w:noWrap/>
            <w:vAlign w:val="center"/>
            <w:hideMark/>
          </w:tcPr>
          <w:p w14:paraId="35129F7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47532203</w:t>
            </w:r>
          </w:p>
        </w:tc>
        <w:tc>
          <w:tcPr>
            <w:tcW w:w="160" w:type="dxa"/>
            <w:tcBorders>
              <w:top w:val="nil"/>
              <w:left w:val="nil"/>
              <w:bottom w:val="single" w:sz="4" w:space="0" w:color="auto"/>
              <w:right w:val="nil"/>
            </w:tcBorders>
            <w:vAlign w:val="center"/>
          </w:tcPr>
          <w:p w14:paraId="267D6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10C5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ZARJA</w:t>
            </w:r>
          </w:p>
        </w:tc>
      </w:tr>
      <w:tr w:rsidR="00072A69" w:rsidRPr="00DC6DF9" w14:paraId="7507C00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845FD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1980</w:t>
            </w:r>
          </w:p>
        </w:tc>
        <w:tc>
          <w:tcPr>
            <w:tcW w:w="1036" w:type="dxa"/>
            <w:tcBorders>
              <w:top w:val="nil"/>
              <w:left w:val="nil"/>
              <w:bottom w:val="single" w:sz="4" w:space="0" w:color="auto"/>
              <w:right w:val="single" w:sz="4" w:space="0" w:color="auto"/>
            </w:tcBorders>
            <w:shd w:val="clear" w:color="auto" w:fill="auto"/>
            <w:noWrap/>
            <w:vAlign w:val="center"/>
            <w:hideMark/>
          </w:tcPr>
          <w:p w14:paraId="205D75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5057175000</w:t>
            </w:r>
          </w:p>
        </w:tc>
        <w:tc>
          <w:tcPr>
            <w:tcW w:w="1036" w:type="dxa"/>
            <w:tcBorders>
              <w:top w:val="nil"/>
              <w:left w:val="nil"/>
              <w:bottom w:val="single" w:sz="4" w:space="0" w:color="auto"/>
              <w:right w:val="single" w:sz="4" w:space="0" w:color="auto"/>
            </w:tcBorders>
            <w:shd w:val="clear" w:color="auto" w:fill="auto"/>
            <w:noWrap/>
            <w:vAlign w:val="center"/>
            <w:hideMark/>
          </w:tcPr>
          <w:p w14:paraId="3C6527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93605943</w:t>
            </w:r>
          </w:p>
        </w:tc>
        <w:tc>
          <w:tcPr>
            <w:tcW w:w="160" w:type="dxa"/>
            <w:tcBorders>
              <w:top w:val="nil"/>
              <w:left w:val="nil"/>
              <w:bottom w:val="single" w:sz="4" w:space="0" w:color="auto"/>
              <w:right w:val="nil"/>
            </w:tcBorders>
            <w:vAlign w:val="center"/>
          </w:tcPr>
          <w:p w14:paraId="0FA63F8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E05A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ZELENA JAMA</w:t>
            </w:r>
          </w:p>
        </w:tc>
      </w:tr>
      <w:tr w:rsidR="00072A69" w:rsidRPr="00DC6DF9" w14:paraId="100F40A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60072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1981</w:t>
            </w:r>
          </w:p>
        </w:tc>
        <w:tc>
          <w:tcPr>
            <w:tcW w:w="1036" w:type="dxa"/>
            <w:tcBorders>
              <w:top w:val="nil"/>
              <w:left w:val="nil"/>
              <w:bottom w:val="single" w:sz="4" w:space="0" w:color="auto"/>
              <w:right w:val="single" w:sz="4" w:space="0" w:color="auto"/>
            </w:tcBorders>
            <w:shd w:val="clear" w:color="auto" w:fill="auto"/>
            <w:noWrap/>
            <w:vAlign w:val="center"/>
            <w:hideMark/>
          </w:tcPr>
          <w:p w14:paraId="0FFEEE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5987296000</w:t>
            </w:r>
          </w:p>
        </w:tc>
        <w:tc>
          <w:tcPr>
            <w:tcW w:w="1036" w:type="dxa"/>
            <w:tcBorders>
              <w:top w:val="nil"/>
              <w:left w:val="nil"/>
              <w:bottom w:val="single" w:sz="4" w:space="0" w:color="auto"/>
              <w:right w:val="single" w:sz="4" w:space="0" w:color="auto"/>
            </w:tcBorders>
            <w:shd w:val="clear" w:color="auto" w:fill="auto"/>
            <w:noWrap/>
            <w:vAlign w:val="center"/>
            <w:hideMark/>
          </w:tcPr>
          <w:p w14:paraId="420FCE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51997100</w:t>
            </w:r>
          </w:p>
        </w:tc>
        <w:tc>
          <w:tcPr>
            <w:tcW w:w="160" w:type="dxa"/>
            <w:tcBorders>
              <w:top w:val="nil"/>
              <w:left w:val="nil"/>
              <w:bottom w:val="single" w:sz="4" w:space="0" w:color="auto"/>
              <w:right w:val="nil"/>
            </w:tcBorders>
            <w:vAlign w:val="center"/>
          </w:tcPr>
          <w:p w14:paraId="738270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E10A8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VRTEC ZREČE</w:t>
            </w:r>
          </w:p>
        </w:tc>
      </w:tr>
      <w:tr w:rsidR="00072A69" w:rsidRPr="00DC6DF9" w14:paraId="289E1B2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2F01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1982</w:t>
            </w:r>
          </w:p>
        </w:tc>
        <w:tc>
          <w:tcPr>
            <w:tcW w:w="1036" w:type="dxa"/>
            <w:tcBorders>
              <w:top w:val="nil"/>
              <w:left w:val="nil"/>
              <w:bottom w:val="single" w:sz="4" w:space="0" w:color="auto"/>
              <w:right w:val="single" w:sz="4" w:space="0" w:color="auto"/>
            </w:tcBorders>
            <w:shd w:val="clear" w:color="auto" w:fill="auto"/>
            <w:noWrap/>
            <w:vAlign w:val="center"/>
            <w:hideMark/>
          </w:tcPr>
          <w:p w14:paraId="0A6BDB7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5269792000</w:t>
            </w:r>
          </w:p>
        </w:tc>
        <w:tc>
          <w:tcPr>
            <w:tcW w:w="1036" w:type="dxa"/>
            <w:tcBorders>
              <w:top w:val="nil"/>
              <w:left w:val="nil"/>
              <w:bottom w:val="single" w:sz="4" w:space="0" w:color="auto"/>
              <w:right w:val="single" w:sz="4" w:space="0" w:color="auto"/>
            </w:tcBorders>
            <w:shd w:val="clear" w:color="auto" w:fill="auto"/>
            <w:noWrap/>
            <w:vAlign w:val="center"/>
            <w:hideMark/>
          </w:tcPr>
          <w:p w14:paraId="66CE4F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36985198</w:t>
            </w:r>
          </w:p>
        </w:tc>
        <w:tc>
          <w:tcPr>
            <w:tcW w:w="160" w:type="dxa"/>
            <w:tcBorders>
              <w:top w:val="nil"/>
              <w:left w:val="nil"/>
              <w:bottom w:val="single" w:sz="4" w:space="0" w:color="auto"/>
              <w:right w:val="nil"/>
            </w:tcBorders>
            <w:vAlign w:val="center"/>
          </w:tcPr>
          <w:p w14:paraId="13BB66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76213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VVZ ILKE DEVETAK BIGNAMI TOLMIN</w:t>
            </w:r>
          </w:p>
        </w:tc>
      </w:tr>
      <w:tr w:rsidR="00072A69" w:rsidRPr="00DC6DF9" w14:paraId="53901EA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48386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1983</w:t>
            </w:r>
          </w:p>
        </w:tc>
        <w:tc>
          <w:tcPr>
            <w:tcW w:w="1036" w:type="dxa"/>
            <w:tcBorders>
              <w:top w:val="nil"/>
              <w:left w:val="nil"/>
              <w:bottom w:val="single" w:sz="4" w:space="0" w:color="auto"/>
              <w:right w:val="single" w:sz="4" w:space="0" w:color="auto"/>
            </w:tcBorders>
            <w:shd w:val="clear" w:color="auto" w:fill="auto"/>
            <w:noWrap/>
            <w:vAlign w:val="center"/>
            <w:hideMark/>
          </w:tcPr>
          <w:p w14:paraId="54C3EC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5049873000</w:t>
            </w:r>
          </w:p>
        </w:tc>
        <w:tc>
          <w:tcPr>
            <w:tcW w:w="1036" w:type="dxa"/>
            <w:tcBorders>
              <w:top w:val="nil"/>
              <w:left w:val="nil"/>
              <w:bottom w:val="single" w:sz="4" w:space="0" w:color="auto"/>
              <w:right w:val="single" w:sz="4" w:space="0" w:color="auto"/>
            </w:tcBorders>
            <w:shd w:val="clear" w:color="auto" w:fill="auto"/>
            <w:noWrap/>
            <w:vAlign w:val="center"/>
            <w:hideMark/>
          </w:tcPr>
          <w:p w14:paraId="7B464B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78184754</w:t>
            </w:r>
          </w:p>
        </w:tc>
        <w:tc>
          <w:tcPr>
            <w:tcW w:w="160" w:type="dxa"/>
            <w:tcBorders>
              <w:top w:val="nil"/>
              <w:left w:val="nil"/>
              <w:bottom w:val="single" w:sz="4" w:space="0" w:color="auto"/>
              <w:right w:val="nil"/>
            </w:tcBorders>
            <w:vAlign w:val="center"/>
          </w:tcPr>
          <w:p w14:paraId="52C30A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6A7E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VZGOJNI ZAVOD KRANJ</w:t>
            </w:r>
          </w:p>
        </w:tc>
      </w:tr>
      <w:tr w:rsidR="00072A69" w:rsidRPr="00DC6DF9" w14:paraId="7FF8EA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AF490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1984</w:t>
            </w:r>
          </w:p>
        </w:tc>
        <w:tc>
          <w:tcPr>
            <w:tcW w:w="1036" w:type="dxa"/>
            <w:tcBorders>
              <w:top w:val="nil"/>
              <w:left w:val="nil"/>
              <w:bottom w:val="single" w:sz="4" w:space="0" w:color="auto"/>
              <w:right w:val="single" w:sz="4" w:space="0" w:color="auto"/>
            </w:tcBorders>
            <w:shd w:val="clear" w:color="auto" w:fill="auto"/>
            <w:noWrap/>
            <w:vAlign w:val="center"/>
            <w:hideMark/>
          </w:tcPr>
          <w:p w14:paraId="7354D84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5050570000</w:t>
            </w:r>
          </w:p>
        </w:tc>
        <w:tc>
          <w:tcPr>
            <w:tcW w:w="1036" w:type="dxa"/>
            <w:tcBorders>
              <w:top w:val="nil"/>
              <w:left w:val="nil"/>
              <w:bottom w:val="single" w:sz="4" w:space="0" w:color="auto"/>
              <w:right w:val="single" w:sz="4" w:space="0" w:color="auto"/>
            </w:tcBorders>
            <w:shd w:val="clear" w:color="auto" w:fill="auto"/>
            <w:noWrap/>
            <w:vAlign w:val="center"/>
            <w:hideMark/>
          </w:tcPr>
          <w:p w14:paraId="18F9BD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59604212</w:t>
            </w:r>
          </w:p>
        </w:tc>
        <w:tc>
          <w:tcPr>
            <w:tcW w:w="160" w:type="dxa"/>
            <w:tcBorders>
              <w:top w:val="nil"/>
              <w:left w:val="nil"/>
              <w:bottom w:val="single" w:sz="4" w:space="0" w:color="auto"/>
              <w:right w:val="nil"/>
            </w:tcBorders>
            <w:vAlign w:val="center"/>
          </w:tcPr>
          <w:p w14:paraId="3FF679D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AC24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VZGOJNI ZAVOD PLANINA</w:t>
            </w:r>
          </w:p>
        </w:tc>
      </w:tr>
      <w:tr w:rsidR="00072A69" w:rsidRPr="00DC6DF9" w14:paraId="5416130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546B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1985</w:t>
            </w:r>
          </w:p>
        </w:tc>
        <w:tc>
          <w:tcPr>
            <w:tcW w:w="1036" w:type="dxa"/>
            <w:tcBorders>
              <w:top w:val="nil"/>
              <w:left w:val="nil"/>
              <w:bottom w:val="single" w:sz="4" w:space="0" w:color="auto"/>
              <w:right w:val="single" w:sz="4" w:space="0" w:color="auto"/>
            </w:tcBorders>
            <w:shd w:val="clear" w:color="auto" w:fill="auto"/>
            <w:noWrap/>
            <w:vAlign w:val="center"/>
            <w:hideMark/>
          </w:tcPr>
          <w:p w14:paraId="40B498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5050162000</w:t>
            </w:r>
          </w:p>
        </w:tc>
        <w:tc>
          <w:tcPr>
            <w:tcW w:w="1036" w:type="dxa"/>
            <w:tcBorders>
              <w:top w:val="nil"/>
              <w:left w:val="nil"/>
              <w:bottom w:val="single" w:sz="4" w:space="0" w:color="auto"/>
              <w:right w:val="single" w:sz="4" w:space="0" w:color="auto"/>
            </w:tcBorders>
            <w:shd w:val="clear" w:color="auto" w:fill="auto"/>
            <w:noWrap/>
            <w:vAlign w:val="center"/>
            <w:hideMark/>
          </w:tcPr>
          <w:p w14:paraId="6B5ABE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52374866</w:t>
            </w:r>
          </w:p>
        </w:tc>
        <w:tc>
          <w:tcPr>
            <w:tcW w:w="160" w:type="dxa"/>
            <w:tcBorders>
              <w:top w:val="nil"/>
              <w:left w:val="nil"/>
              <w:bottom w:val="single" w:sz="4" w:space="0" w:color="auto"/>
              <w:right w:val="nil"/>
            </w:tcBorders>
            <w:vAlign w:val="center"/>
          </w:tcPr>
          <w:p w14:paraId="13573D2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D1EA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w:t>
            </w:r>
            <w:r>
              <w:rPr>
                <w:rFonts w:ascii="Arial" w:eastAsia="Times New Roman" w:hAnsi="Arial" w:cs="Arial"/>
                <w:color w:val="000000"/>
                <w:sz w:val="16"/>
                <w:szCs w:val="16"/>
                <w:lang w:eastAsia="sl-SI"/>
              </w:rPr>
              <w:t>-</w:t>
            </w:r>
            <w:r w:rsidRPr="00DC6DF9">
              <w:rPr>
                <w:rFonts w:ascii="Arial" w:eastAsia="Times New Roman" w:hAnsi="Arial" w:cs="Arial"/>
                <w:color w:val="000000"/>
                <w:sz w:val="16"/>
                <w:szCs w:val="16"/>
                <w:lang w:eastAsia="sl-SI"/>
              </w:rPr>
              <w:t>IZOBRAŽEVALNI ZAVOD FRANA MILČINSKEGA SMLEDNIK</w:t>
            </w:r>
          </w:p>
        </w:tc>
      </w:tr>
      <w:tr w:rsidR="00072A69" w:rsidRPr="00DC6DF9" w14:paraId="6380F8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DE45D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1986</w:t>
            </w:r>
          </w:p>
        </w:tc>
        <w:tc>
          <w:tcPr>
            <w:tcW w:w="1036" w:type="dxa"/>
            <w:tcBorders>
              <w:top w:val="nil"/>
              <w:left w:val="nil"/>
              <w:bottom w:val="single" w:sz="4" w:space="0" w:color="auto"/>
              <w:right w:val="single" w:sz="4" w:space="0" w:color="auto"/>
            </w:tcBorders>
            <w:shd w:val="clear" w:color="auto" w:fill="auto"/>
            <w:noWrap/>
            <w:vAlign w:val="center"/>
            <w:hideMark/>
          </w:tcPr>
          <w:p w14:paraId="6CD5FC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5050839000</w:t>
            </w:r>
          </w:p>
        </w:tc>
        <w:tc>
          <w:tcPr>
            <w:tcW w:w="1036" w:type="dxa"/>
            <w:tcBorders>
              <w:top w:val="nil"/>
              <w:left w:val="nil"/>
              <w:bottom w:val="single" w:sz="4" w:space="0" w:color="auto"/>
              <w:right w:val="single" w:sz="4" w:space="0" w:color="auto"/>
            </w:tcBorders>
            <w:shd w:val="clear" w:color="auto" w:fill="auto"/>
            <w:noWrap/>
            <w:vAlign w:val="center"/>
            <w:hideMark/>
          </w:tcPr>
          <w:p w14:paraId="683188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13403010</w:t>
            </w:r>
          </w:p>
        </w:tc>
        <w:tc>
          <w:tcPr>
            <w:tcW w:w="160" w:type="dxa"/>
            <w:tcBorders>
              <w:top w:val="nil"/>
              <w:left w:val="nil"/>
              <w:bottom w:val="single" w:sz="4" w:space="0" w:color="auto"/>
              <w:right w:val="nil"/>
            </w:tcBorders>
            <w:vAlign w:val="center"/>
          </w:tcPr>
          <w:p w14:paraId="4F527ED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AD90A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ANTONIJE KUCLER VRHNIKA</w:t>
            </w:r>
          </w:p>
        </w:tc>
      </w:tr>
      <w:tr w:rsidR="00072A69" w:rsidRPr="00DC6DF9" w14:paraId="19F1390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D49F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1987</w:t>
            </w:r>
          </w:p>
        </w:tc>
        <w:tc>
          <w:tcPr>
            <w:tcW w:w="1036" w:type="dxa"/>
            <w:tcBorders>
              <w:top w:val="nil"/>
              <w:left w:val="nil"/>
              <w:bottom w:val="single" w:sz="4" w:space="0" w:color="auto"/>
              <w:right w:val="single" w:sz="4" w:space="0" w:color="auto"/>
            </w:tcBorders>
            <w:shd w:val="clear" w:color="auto" w:fill="auto"/>
            <w:noWrap/>
            <w:vAlign w:val="center"/>
            <w:hideMark/>
          </w:tcPr>
          <w:p w14:paraId="28FD3D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5087970000</w:t>
            </w:r>
          </w:p>
        </w:tc>
        <w:tc>
          <w:tcPr>
            <w:tcW w:w="1036" w:type="dxa"/>
            <w:tcBorders>
              <w:top w:val="nil"/>
              <w:left w:val="nil"/>
              <w:bottom w:val="single" w:sz="4" w:space="0" w:color="auto"/>
              <w:right w:val="single" w:sz="4" w:space="0" w:color="auto"/>
            </w:tcBorders>
            <w:shd w:val="clear" w:color="auto" w:fill="auto"/>
            <w:noWrap/>
            <w:vAlign w:val="center"/>
            <w:hideMark/>
          </w:tcPr>
          <w:p w14:paraId="161A3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98183443</w:t>
            </w:r>
          </w:p>
        </w:tc>
        <w:tc>
          <w:tcPr>
            <w:tcW w:w="160" w:type="dxa"/>
            <w:tcBorders>
              <w:top w:val="nil"/>
              <w:left w:val="nil"/>
              <w:bottom w:val="single" w:sz="4" w:space="0" w:color="auto"/>
              <w:right w:val="nil"/>
            </w:tcBorders>
            <w:vAlign w:val="center"/>
          </w:tcPr>
          <w:p w14:paraId="06690D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3867C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OSNOVNA ŠOLA ROGATEC</w:t>
            </w:r>
          </w:p>
        </w:tc>
      </w:tr>
      <w:tr w:rsidR="00072A69" w:rsidRPr="00DC6DF9" w14:paraId="77AF009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2644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1988</w:t>
            </w:r>
          </w:p>
        </w:tc>
        <w:tc>
          <w:tcPr>
            <w:tcW w:w="1036" w:type="dxa"/>
            <w:tcBorders>
              <w:top w:val="nil"/>
              <w:left w:val="nil"/>
              <w:bottom w:val="single" w:sz="4" w:space="0" w:color="auto"/>
              <w:right w:val="single" w:sz="4" w:space="0" w:color="auto"/>
            </w:tcBorders>
            <w:shd w:val="clear" w:color="auto" w:fill="auto"/>
            <w:noWrap/>
            <w:vAlign w:val="center"/>
            <w:hideMark/>
          </w:tcPr>
          <w:p w14:paraId="1518CC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5085128000</w:t>
            </w:r>
          </w:p>
        </w:tc>
        <w:tc>
          <w:tcPr>
            <w:tcW w:w="1036" w:type="dxa"/>
            <w:tcBorders>
              <w:top w:val="nil"/>
              <w:left w:val="nil"/>
              <w:bottom w:val="single" w:sz="4" w:space="0" w:color="auto"/>
              <w:right w:val="single" w:sz="4" w:space="0" w:color="auto"/>
            </w:tcBorders>
            <w:shd w:val="clear" w:color="auto" w:fill="auto"/>
            <w:noWrap/>
            <w:vAlign w:val="center"/>
            <w:hideMark/>
          </w:tcPr>
          <w:p w14:paraId="736FA6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83806547</w:t>
            </w:r>
          </w:p>
        </w:tc>
        <w:tc>
          <w:tcPr>
            <w:tcW w:w="160" w:type="dxa"/>
            <w:tcBorders>
              <w:top w:val="nil"/>
              <w:left w:val="nil"/>
              <w:bottom w:val="single" w:sz="4" w:space="0" w:color="auto"/>
              <w:right w:val="nil"/>
            </w:tcBorders>
            <w:vAlign w:val="center"/>
          </w:tcPr>
          <w:p w14:paraId="1D4A4D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695B0D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OŠ KERENČIČEVIH PESNICA</w:t>
            </w:r>
          </w:p>
        </w:tc>
      </w:tr>
      <w:tr w:rsidR="00072A69" w:rsidRPr="00DC6DF9" w14:paraId="4F43FD3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B7DB0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1989</w:t>
            </w:r>
          </w:p>
        </w:tc>
        <w:tc>
          <w:tcPr>
            <w:tcW w:w="1036" w:type="dxa"/>
            <w:tcBorders>
              <w:top w:val="nil"/>
              <w:left w:val="nil"/>
              <w:bottom w:val="single" w:sz="4" w:space="0" w:color="auto"/>
              <w:right w:val="single" w:sz="4" w:space="0" w:color="auto"/>
            </w:tcBorders>
            <w:shd w:val="clear" w:color="auto" w:fill="auto"/>
            <w:noWrap/>
            <w:vAlign w:val="center"/>
            <w:hideMark/>
          </w:tcPr>
          <w:p w14:paraId="1B59B0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5088844000</w:t>
            </w:r>
          </w:p>
        </w:tc>
        <w:tc>
          <w:tcPr>
            <w:tcW w:w="1036" w:type="dxa"/>
            <w:tcBorders>
              <w:top w:val="nil"/>
              <w:left w:val="nil"/>
              <w:bottom w:val="single" w:sz="4" w:space="0" w:color="auto"/>
              <w:right w:val="single" w:sz="4" w:space="0" w:color="auto"/>
            </w:tcBorders>
            <w:shd w:val="clear" w:color="auto" w:fill="auto"/>
            <w:noWrap/>
            <w:vAlign w:val="center"/>
            <w:hideMark/>
          </w:tcPr>
          <w:p w14:paraId="5ACE16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26152363</w:t>
            </w:r>
          </w:p>
        </w:tc>
        <w:tc>
          <w:tcPr>
            <w:tcW w:w="160" w:type="dxa"/>
            <w:tcBorders>
              <w:top w:val="nil"/>
              <w:left w:val="nil"/>
              <w:bottom w:val="single" w:sz="4" w:space="0" w:color="auto"/>
              <w:right w:val="nil"/>
            </w:tcBorders>
            <w:vAlign w:val="center"/>
          </w:tcPr>
          <w:p w14:paraId="2F3E34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06C213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OŠ MARJAN BANTAN STOJAN JARENINA</w:t>
            </w:r>
          </w:p>
        </w:tc>
      </w:tr>
      <w:tr w:rsidR="00072A69" w:rsidRPr="00DC6DF9" w14:paraId="5D3C313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573C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1990</w:t>
            </w:r>
          </w:p>
        </w:tc>
        <w:tc>
          <w:tcPr>
            <w:tcW w:w="1036" w:type="dxa"/>
            <w:tcBorders>
              <w:top w:val="nil"/>
              <w:left w:val="nil"/>
              <w:bottom w:val="single" w:sz="4" w:space="0" w:color="auto"/>
              <w:right w:val="single" w:sz="4" w:space="0" w:color="auto"/>
            </w:tcBorders>
            <w:shd w:val="clear" w:color="auto" w:fill="auto"/>
            <w:noWrap/>
            <w:vAlign w:val="center"/>
            <w:hideMark/>
          </w:tcPr>
          <w:p w14:paraId="73C4140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5050928000</w:t>
            </w:r>
          </w:p>
        </w:tc>
        <w:tc>
          <w:tcPr>
            <w:tcW w:w="1036" w:type="dxa"/>
            <w:tcBorders>
              <w:top w:val="nil"/>
              <w:left w:val="nil"/>
              <w:bottom w:val="single" w:sz="4" w:space="0" w:color="auto"/>
              <w:right w:val="single" w:sz="4" w:space="0" w:color="auto"/>
            </w:tcBorders>
            <w:shd w:val="clear" w:color="auto" w:fill="auto"/>
            <w:vAlign w:val="center"/>
            <w:hideMark/>
          </w:tcPr>
          <w:p w14:paraId="444254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56317450</w:t>
            </w:r>
          </w:p>
        </w:tc>
        <w:tc>
          <w:tcPr>
            <w:tcW w:w="160" w:type="dxa"/>
            <w:tcBorders>
              <w:top w:val="nil"/>
              <w:left w:val="nil"/>
              <w:bottom w:val="single" w:sz="4" w:space="0" w:color="auto"/>
              <w:right w:val="nil"/>
            </w:tcBorders>
            <w:vAlign w:val="center"/>
          </w:tcPr>
          <w:p w14:paraId="3FBFC01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3A39FA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VIŠNJA GORA</w:t>
            </w:r>
          </w:p>
        </w:tc>
      </w:tr>
      <w:tr w:rsidR="00072A69" w:rsidRPr="00DC6DF9" w14:paraId="45CB425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3954F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1991</w:t>
            </w:r>
          </w:p>
        </w:tc>
        <w:tc>
          <w:tcPr>
            <w:tcW w:w="1036" w:type="dxa"/>
            <w:tcBorders>
              <w:top w:val="nil"/>
              <w:left w:val="nil"/>
              <w:bottom w:val="single" w:sz="4" w:space="0" w:color="auto"/>
              <w:right w:val="single" w:sz="4" w:space="0" w:color="auto"/>
            </w:tcBorders>
            <w:shd w:val="clear" w:color="auto" w:fill="auto"/>
            <w:noWrap/>
            <w:vAlign w:val="center"/>
            <w:hideMark/>
          </w:tcPr>
          <w:p w14:paraId="577E3C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5996465000</w:t>
            </w:r>
          </w:p>
        </w:tc>
        <w:tc>
          <w:tcPr>
            <w:tcW w:w="1036" w:type="dxa"/>
            <w:tcBorders>
              <w:top w:val="nil"/>
              <w:left w:val="nil"/>
              <w:bottom w:val="single" w:sz="4" w:space="0" w:color="auto"/>
              <w:right w:val="single" w:sz="4" w:space="0" w:color="auto"/>
            </w:tcBorders>
            <w:shd w:val="clear" w:color="auto" w:fill="auto"/>
            <w:noWrap/>
            <w:vAlign w:val="center"/>
            <w:hideMark/>
          </w:tcPr>
          <w:p w14:paraId="20DE76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71491481</w:t>
            </w:r>
          </w:p>
        </w:tc>
        <w:tc>
          <w:tcPr>
            <w:tcW w:w="160" w:type="dxa"/>
            <w:tcBorders>
              <w:top w:val="nil"/>
              <w:left w:val="nil"/>
              <w:bottom w:val="single" w:sz="4" w:space="0" w:color="auto"/>
              <w:right w:val="nil"/>
            </w:tcBorders>
            <w:vAlign w:val="center"/>
          </w:tcPr>
          <w:p w14:paraId="1164C33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A303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VRTCI BREZOVICA</w:t>
            </w:r>
          </w:p>
        </w:tc>
      </w:tr>
      <w:tr w:rsidR="00072A69" w:rsidRPr="00DC6DF9" w14:paraId="310D1FA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BDA7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1992</w:t>
            </w:r>
          </w:p>
        </w:tc>
        <w:tc>
          <w:tcPr>
            <w:tcW w:w="1036" w:type="dxa"/>
            <w:tcBorders>
              <w:top w:val="nil"/>
              <w:left w:val="nil"/>
              <w:bottom w:val="single" w:sz="4" w:space="0" w:color="auto"/>
              <w:right w:val="single" w:sz="4" w:space="0" w:color="auto"/>
            </w:tcBorders>
            <w:shd w:val="clear" w:color="auto" w:fill="auto"/>
            <w:noWrap/>
            <w:vAlign w:val="center"/>
            <w:hideMark/>
          </w:tcPr>
          <w:p w14:paraId="03E1F2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5049733000</w:t>
            </w:r>
          </w:p>
        </w:tc>
        <w:tc>
          <w:tcPr>
            <w:tcW w:w="1036" w:type="dxa"/>
            <w:tcBorders>
              <w:top w:val="nil"/>
              <w:left w:val="nil"/>
              <w:bottom w:val="single" w:sz="4" w:space="0" w:color="auto"/>
              <w:right w:val="single" w:sz="4" w:space="0" w:color="auto"/>
            </w:tcBorders>
            <w:shd w:val="clear" w:color="auto" w:fill="auto"/>
            <w:noWrap/>
            <w:vAlign w:val="center"/>
            <w:hideMark/>
          </w:tcPr>
          <w:p w14:paraId="0E21A3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80676731</w:t>
            </w:r>
          </w:p>
        </w:tc>
        <w:tc>
          <w:tcPr>
            <w:tcW w:w="160" w:type="dxa"/>
            <w:tcBorders>
              <w:top w:val="nil"/>
              <w:left w:val="nil"/>
              <w:bottom w:val="single" w:sz="4" w:space="0" w:color="auto"/>
              <w:right w:val="nil"/>
            </w:tcBorders>
            <w:vAlign w:val="center"/>
          </w:tcPr>
          <w:p w14:paraId="3B9772E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1FF52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VRTEC MAVRICA IZOLA</w:t>
            </w:r>
          </w:p>
        </w:tc>
      </w:tr>
      <w:tr w:rsidR="00072A69" w:rsidRPr="00DC6DF9" w14:paraId="5FA157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8429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1993</w:t>
            </w:r>
          </w:p>
        </w:tc>
        <w:tc>
          <w:tcPr>
            <w:tcW w:w="1036" w:type="dxa"/>
            <w:tcBorders>
              <w:top w:val="nil"/>
              <w:left w:val="nil"/>
              <w:bottom w:val="single" w:sz="4" w:space="0" w:color="auto"/>
              <w:right w:val="single" w:sz="4" w:space="0" w:color="auto"/>
            </w:tcBorders>
            <w:shd w:val="clear" w:color="auto" w:fill="auto"/>
            <w:noWrap/>
            <w:vAlign w:val="center"/>
            <w:hideMark/>
          </w:tcPr>
          <w:p w14:paraId="6C4758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5168309000</w:t>
            </w:r>
          </w:p>
        </w:tc>
        <w:tc>
          <w:tcPr>
            <w:tcW w:w="1036" w:type="dxa"/>
            <w:tcBorders>
              <w:top w:val="nil"/>
              <w:left w:val="nil"/>
              <w:bottom w:val="single" w:sz="4" w:space="0" w:color="auto"/>
              <w:right w:val="single" w:sz="4" w:space="0" w:color="auto"/>
            </w:tcBorders>
            <w:shd w:val="clear" w:color="auto" w:fill="auto"/>
            <w:noWrap/>
            <w:vAlign w:val="center"/>
            <w:hideMark/>
          </w:tcPr>
          <w:p w14:paraId="082A90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34676422</w:t>
            </w:r>
          </w:p>
        </w:tc>
        <w:tc>
          <w:tcPr>
            <w:tcW w:w="160" w:type="dxa"/>
            <w:tcBorders>
              <w:top w:val="nil"/>
              <w:left w:val="nil"/>
              <w:bottom w:val="single" w:sz="4" w:space="0" w:color="auto"/>
              <w:right w:val="nil"/>
            </w:tcBorders>
            <w:vAlign w:val="center"/>
          </w:tcPr>
          <w:p w14:paraId="63FC1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2BDB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VZGOJNO-IZOBRAŽEVALNI ZAVOD VRTEC ORMOŽ</w:t>
            </w:r>
          </w:p>
        </w:tc>
      </w:tr>
      <w:tr w:rsidR="00072A69" w:rsidRPr="00DC6DF9" w14:paraId="601FFF0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9A8D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1994</w:t>
            </w:r>
          </w:p>
        </w:tc>
        <w:tc>
          <w:tcPr>
            <w:tcW w:w="1036" w:type="dxa"/>
            <w:tcBorders>
              <w:top w:val="nil"/>
              <w:left w:val="nil"/>
              <w:bottom w:val="single" w:sz="4" w:space="0" w:color="auto"/>
              <w:right w:val="single" w:sz="4" w:space="0" w:color="auto"/>
            </w:tcBorders>
            <w:shd w:val="clear" w:color="auto" w:fill="auto"/>
            <w:noWrap/>
            <w:vAlign w:val="center"/>
            <w:hideMark/>
          </w:tcPr>
          <w:p w14:paraId="03324E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5056683000</w:t>
            </w:r>
          </w:p>
        </w:tc>
        <w:tc>
          <w:tcPr>
            <w:tcW w:w="1036" w:type="dxa"/>
            <w:tcBorders>
              <w:top w:val="nil"/>
              <w:left w:val="nil"/>
              <w:bottom w:val="single" w:sz="4" w:space="0" w:color="auto"/>
              <w:right w:val="single" w:sz="4" w:space="0" w:color="auto"/>
            </w:tcBorders>
            <w:shd w:val="clear" w:color="auto" w:fill="auto"/>
            <w:noWrap/>
            <w:vAlign w:val="center"/>
            <w:hideMark/>
          </w:tcPr>
          <w:p w14:paraId="3BF19B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68798555</w:t>
            </w:r>
          </w:p>
        </w:tc>
        <w:tc>
          <w:tcPr>
            <w:tcW w:w="160" w:type="dxa"/>
            <w:tcBorders>
              <w:top w:val="nil"/>
              <w:left w:val="nil"/>
              <w:bottom w:val="single" w:sz="4" w:space="0" w:color="auto"/>
              <w:right w:val="nil"/>
            </w:tcBorders>
            <w:vAlign w:val="center"/>
          </w:tcPr>
          <w:p w14:paraId="3EF33FE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E63F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VZGOJNO-VARSTVENI ZAVOD KEKEC GROSUPLJE</w:t>
            </w:r>
          </w:p>
        </w:tc>
      </w:tr>
      <w:tr w:rsidR="00072A69" w:rsidRPr="00DC6DF9" w14:paraId="15772BF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867E7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1995</w:t>
            </w:r>
          </w:p>
        </w:tc>
        <w:tc>
          <w:tcPr>
            <w:tcW w:w="1036" w:type="dxa"/>
            <w:tcBorders>
              <w:top w:val="nil"/>
              <w:left w:val="nil"/>
              <w:bottom w:val="single" w:sz="4" w:space="0" w:color="auto"/>
              <w:right w:val="single" w:sz="4" w:space="0" w:color="auto"/>
            </w:tcBorders>
            <w:shd w:val="clear" w:color="auto" w:fill="auto"/>
            <w:noWrap/>
            <w:vAlign w:val="center"/>
            <w:hideMark/>
          </w:tcPr>
          <w:p w14:paraId="30AF52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5055822000</w:t>
            </w:r>
          </w:p>
        </w:tc>
        <w:tc>
          <w:tcPr>
            <w:tcW w:w="1036" w:type="dxa"/>
            <w:tcBorders>
              <w:top w:val="nil"/>
              <w:left w:val="nil"/>
              <w:bottom w:val="single" w:sz="4" w:space="0" w:color="auto"/>
              <w:right w:val="single" w:sz="4" w:space="0" w:color="auto"/>
            </w:tcBorders>
            <w:shd w:val="clear" w:color="auto" w:fill="auto"/>
            <w:noWrap/>
            <w:vAlign w:val="center"/>
            <w:hideMark/>
          </w:tcPr>
          <w:p w14:paraId="510D66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87232979</w:t>
            </w:r>
          </w:p>
        </w:tc>
        <w:tc>
          <w:tcPr>
            <w:tcW w:w="160" w:type="dxa"/>
            <w:tcBorders>
              <w:top w:val="nil"/>
              <w:left w:val="nil"/>
              <w:bottom w:val="single" w:sz="4" w:space="0" w:color="auto"/>
              <w:right w:val="nil"/>
            </w:tcBorders>
            <w:vAlign w:val="center"/>
          </w:tcPr>
          <w:p w14:paraId="0A19884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8D3D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VZGOJNO-VARSTVENI ZAVOD SLOVENJ GRADEC</w:t>
            </w:r>
          </w:p>
        </w:tc>
      </w:tr>
      <w:tr w:rsidR="00072A69" w:rsidRPr="00DC6DF9" w14:paraId="25304A4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7DF6C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1996</w:t>
            </w:r>
          </w:p>
        </w:tc>
        <w:tc>
          <w:tcPr>
            <w:tcW w:w="1036" w:type="dxa"/>
            <w:tcBorders>
              <w:top w:val="nil"/>
              <w:left w:val="nil"/>
              <w:bottom w:val="single" w:sz="4" w:space="0" w:color="auto"/>
              <w:right w:val="single" w:sz="4" w:space="0" w:color="auto"/>
            </w:tcBorders>
            <w:shd w:val="clear" w:color="auto" w:fill="auto"/>
            <w:noWrap/>
            <w:vAlign w:val="center"/>
            <w:hideMark/>
          </w:tcPr>
          <w:p w14:paraId="7157A0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5050294000</w:t>
            </w:r>
          </w:p>
        </w:tc>
        <w:tc>
          <w:tcPr>
            <w:tcW w:w="1036" w:type="dxa"/>
            <w:tcBorders>
              <w:top w:val="nil"/>
              <w:left w:val="nil"/>
              <w:bottom w:val="single" w:sz="4" w:space="0" w:color="auto"/>
              <w:right w:val="single" w:sz="4" w:space="0" w:color="auto"/>
            </w:tcBorders>
            <w:shd w:val="clear" w:color="auto" w:fill="auto"/>
            <w:noWrap/>
            <w:vAlign w:val="center"/>
            <w:hideMark/>
          </w:tcPr>
          <w:p w14:paraId="49AF6F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42184746</w:t>
            </w:r>
          </w:p>
        </w:tc>
        <w:tc>
          <w:tcPr>
            <w:tcW w:w="160" w:type="dxa"/>
            <w:tcBorders>
              <w:top w:val="nil"/>
              <w:left w:val="nil"/>
              <w:bottom w:val="single" w:sz="4" w:space="0" w:color="auto"/>
              <w:right w:val="nil"/>
            </w:tcBorders>
            <w:vAlign w:val="center"/>
          </w:tcPr>
          <w:p w14:paraId="6A4984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611A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VZGOJNO-VARSTVENI ZAVOD VRTEC KURIRČEK LOGATEC</w:t>
            </w:r>
          </w:p>
        </w:tc>
      </w:tr>
      <w:tr w:rsidR="00072A69" w:rsidRPr="00DC6DF9" w14:paraId="35082C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9F11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1997</w:t>
            </w:r>
          </w:p>
        </w:tc>
        <w:tc>
          <w:tcPr>
            <w:tcW w:w="1036" w:type="dxa"/>
            <w:tcBorders>
              <w:top w:val="nil"/>
              <w:left w:val="nil"/>
              <w:bottom w:val="single" w:sz="4" w:space="0" w:color="auto"/>
              <w:right w:val="single" w:sz="4" w:space="0" w:color="auto"/>
            </w:tcBorders>
            <w:shd w:val="clear" w:color="auto" w:fill="auto"/>
            <w:noWrap/>
            <w:vAlign w:val="center"/>
            <w:hideMark/>
          </w:tcPr>
          <w:p w14:paraId="1972886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5238676000</w:t>
            </w:r>
          </w:p>
        </w:tc>
        <w:tc>
          <w:tcPr>
            <w:tcW w:w="1036" w:type="dxa"/>
            <w:tcBorders>
              <w:top w:val="nil"/>
              <w:left w:val="nil"/>
              <w:bottom w:val="single" w:sz="4" w:space="0" w:color="auto"/>
              <w:right w:val="single" w:sz="4" w:space="0" w:color="auto"/>
            </w:tcBorders>
            <w:shd w:val="clear" w:color="auto" w:fill="auto"/>
            <w:noWrap/>
            <w:vAlign w:val="center"/>
            <w:hideMark/>
          </w:tcPr>
          <w:p w14:paraId="59E69F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90961030</w:t>
            </w:r>
          </w:p>
        </w:tc>
        <w:tc>
          <w:tcPr>
            <w:tcW w:w="160" w:type="dxa"/>
            <w:tcBorders>
              <w:top w:val="nil"/>
              <w:left w:val="nil"/>
              <w:bottom w:val="single" w:sz="4" w:space="0" w:color="auto"/>
              <w:right w:val="nil"/>
            </w:tcBorders>
            <w:vAlign w:val="center"/>
          </w:tcPr>
          <w:p w14:paraId="7F7DBB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5889D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VZGOJNO-VARSTVENI ZAVOD VRTEC MAVRICA TREBNJE</w:t>
            </w:r>
          </w:p>
        </w:tc>
      </w:tr>
      <w:tr w:rsidR="00072A69" w:rsidRPr="00DC6DF9" w14:paraId="65DA349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5B06D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1998</w:t>
            </w:r>
          </w:p>
        </w:tc>
        <w:tc>
          <w:tcPr>
            <w:tcW w:w="1036" w:type="dxa"/>
            <w:tcBorders>
              <w:top w:val="nil"/>
              <w:left w:val="nil"/>
              <w:bottom w:val="single" w:sz="4" w:space="0" w:color="auto"/>
              <w:right w:val="single" w:sz="4" w:space="0" w:color="auto"/>
            </w:tcBorders>
            <w:shd w:val="clear" w:color="auto" w:fill="auto"/>
            <w:noWrap/>
            <w:vAlign w:val="center"/>
            <w:hideMark/>
          </w:tcPr>
          <w:p w14:paraId="2C6B1B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2516217000</w:t>
            </w:r>
          </w:p>
        </w:tc>
        <w:tc>
          <w:tcPr>
            <w:tcW w:w="1036" w:type="dxa"/>
            <w:tcBorders>
              <w:top w:val="nil"/>
              <w:left w:val="nil"/>
              <w:bottom w:val="single" w:sz="4" w:space="0" w:color="auto"/>
              <w:right w:val="single" w:sz="4" w:space="0" w:color="auto"/>
            </w:tcBorders>
            <w:shd w:val="clear" w:color="auto" w:fill="auto"/>
            <w:noWrap/>
            <w:vAlign w:val="center"/>
            <w:hideMark/>
          </w:tcPr>
          <w:p w14:paraId="241823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55103308</w:t>
            </w:r>
          </w:p>
        </w:tc>
        <w:tc>
          <w:tcPr>
            <w:tcW w:w="160" w:type="dxa"/>
            <w:tcBorders>
              <w:top w:val="nil"/>
              <w:left w:val="nil"/>
              <w:bottom w:val="single" w:sz="4" w:space="0" w:color="auto"/>
              <w:right w:val="nil"/>
            </w:tcBorders>
            <w:vAlign w:val="center"/>
          </w:tcPr>
          <w:p w14:paraId="4D18E2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BA8D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ZAGOVORNIK NAČELA ENAKOSTI</w:t>
            </w:r>
          </w:p>
        </w:tc>
      </w:tr>
      <w:tr w:rsidR="00072A69" w:rsidRPr="00DC6DF9" w14:paraId="46D23DA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F2039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1999</w:t>
            </w:r>
          </w:p>
        </w:tc>
        <w:tc>
          <w:tcPr>
            <w:tcW w:w="1036" w:type="dxa"/>
            <w:tcBorders>
              <w:top w:val="nil"/>
              <w:left w:val="nil"/>
              <w:bottom w:val="single" w:sz="4" w:space="0" w:color="auto"/>
              <w:right w:val="single" w:sz="4" w:space="0" w:color="auto"/>
            </w:tcBorders>
            <w:shd w:val="clear" w:color="auto" w:fill="auto"/>
            <w:noWrap/>
            <w:vAlign w:val="center"/>
            <w:hideMark/>
          </w:tcPr>
          <w:p w14:paraId="124344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5090229000</w:t>
            </w:r>
          </w:p>
        </w:tc>
        <w:tc>
          <w:tcPr>
            <w:tcW w:w="1036" w:type="dxa"/>
            <w:tcBorders>
              <w:top w:val="nil"/>
              <w:left w:val="nil"/>
              <w:bottom w:val="single" w:sz="4" w:space="0" w:color="auto"/>
              <w:right w:val="single" w:sz="4" w:space="0" w:color="auto"/>
            </w:tcBorders>
            <w:shd w:val="clear" w:color="auto" w:fill="auto"/>
            <w:noWrap/>
            <w:vAlign w:val="center"/>
            <w:hideMark/>
          </w:tcPr>
          <w:p w14:paraId="39B5E9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54936314</w:t>
            </w:r>
          </w:p>
        </w:tc>
        <w:tc>
          <w:tcPr>
            <w:tcW w:w="160" w:type="dxa"/>
            <w:tcBorders>
              <w:top w:val="nil"/>
              <w:left w:val="nil"/>
              <w:bottom w:val="single" w:sz="4" w:space="0" w:color="auto"/>
              <w:right w:val="nil"/>
            </w:tcBorders>
            <w:vAlign w:val="center"/>
          </w:tcPr>
          <w:p w14:paraId="12C2AFC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DDD8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ZASAVSKA LJUDSKA UNIVERZA</w:t>
            </w:r>
          </w:p>
        </w:tc>
      </w:tr>
      <w:tr w:rsidR="00072A69" w:rsidRPr="00DC6DF9" w14:paraId="2402243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9531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2000</w:t>
            </w:r>
          </w:p>
        </w:tc>
        <w:tc>
          <w:tcPr>
            <w:tcW w:w="1036" w:type="dxa"/>
            <w:tcBorders>
              <w:top w:val="nil"/>
              <w:left w:val="nil"/>
              <w:bottom w:val="single" w:sz="4" w:space="0" w:color="auto"/>
              <w:right w:val="single" w:sz="4" w:space="0" w:color="auto"/>
            </w:tcBorders>
            <w:shd w:val="clear" w:color="auto" w:fill="auto"/>
            <w:noWrap/>
            <w:vAlign w:val="center"/>
            <w:hideMark/>
          </w:tcPr>
          <w:p w14:paraId="18A912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5108764000</w:t>
            </w:r>
          </w:p>
        </w:tc>
        <w:tc>
          <w:tcPr>
            <w:tcW w:w="1036" w:type="dxa"/>
            <w:tcBorders>
              <w:top w:val="nil"/>
              <w:left w:val="nil"/>
              <w:bottom w:val="single" w:sz="4" w:space="0" w:color="auto"/>
              <w:right w:val="single" w:sz="4" w:space="0" w:color="auto"/>
            </w:tcBorders>
            <w:shd w:val="clear" w:color="auto" w:fill="auto"/>
            <w:noWrap/>
            <w:vAlign w:val="center"/>
            <w:hideMark/>
          </w:tcPr>
          <w:p w14:paraId="292F55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92092683</w:t>
            </w:r>
          </w:p>
        </w:tc>
        <w:tc>
          <w:tcPr>
            <w:tcW w:w="160" w:type="dxa"/>
            <w:tcBorders>
              <w:top w:val="nil"/>
              <w:left w:val="nil"/>
              <w:bottom w:val="single" w:sz="4" w:space="0" w:color="auto"/>
              <w:right w:val="nil"/>
            </w:tcBorders>
            <w:vAlign w:val="center"/>
          </w:tcPr>
          <w:p w14:paraId="17EC5D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1C37F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ZASAVSKE LEKARNE TRBOVLJE</w:t>
            </w:r>
          </w:p>
        </w:tc>
      </w:tr>
      <w:tr w:rsidR="00072A69" w:rsidRPr="00DC6DF9" w14:paraId="235F9D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34F8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2001</w:t>
            </w:r>
          </w:p>
        </w:tc>
        <w:tc>
          <w:tcPr>
            <w:tcW w:w="1036" w:type="dxa"/>
            <w:tcBorders>
              <w:top w:val="nil"/>
              <w:left w:val="nil"/>
              <w:bottom w:val="single" w:sz="4" w:space="0" w:color="auto"/>
              <w:right w:val="single" w:sz="4" w:space="0" w:color="auto"/>
            </w:tcBorders>
            <w:shd w:val="clear" w:color="auto" w:fill="auto"/>
            <w:noWrap/>
            <w:vAlign w:val="center"/>
            <w:hideMark/>
          </w:tcPr>
          <w:p w14:paraId="684046D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2212358000</w:t>
            </w:r>
          </w:p>
        </w:tc>
        <w:tc>
          <w:tcPr>
            <w:tcW w:w="1036" w:type="dxa"/>
            <w:tcBorders>
              <w:top w:val="nil"/>
              <w:left w:val="nil"/>
              <w:bottom w:val="single" w:sz="4" w:space="0" w:color="auto"/>
              <w:right w:val="single" w:sz="4" w:space="0" w:color="auto"/>
            </w:tcBorders>
            <w:shd w:val="clear" w:color="auto" w:fill="auto"/>
            <w:noWrap/>
            <w:vAlign w:val="center"/>
            <w:hideMark/>
          </w:tcPr>
          <w:p w14:paraId="04EB87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58743359</w:t>
            </w:r>
          </w:p>
        </w:tc>
        <w:tc>
          <w:tcPr>
            <w:tcW w:w="160" w:type="dxa"/>
            <w:tcBorders>
              <w:top w:val="nil"/>
              <w:left w:val="nil"/>
              <w:bottom w:val="single" w:sz="4" w:space="0" w:color="auto"/>
              <w:right w:val="nil"/>
            </w:tcBorders>
            <w:vAlign w:val="center"/>
          </w:tcPr>
          <w:p w14:paraId="5AB5FD5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C4CFA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ENERGETSKA AGENCIJA ZA SAVINJSKO, ŠALEŠKO IN KOROŠKO, VELENJE</w:t>
            </w:r>
          </w:p>
        </w:tc>
      </w:tr>
      <w:tr w:rsidR="00072A69" w:rsidRPr="00DC6DF9" w14:paraId="35CE2C7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2B05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2002</w:t>
            </w:r>
          </w:p>
        </w:tc>
        <w:tc>
          <w:tcPr>
            <w:tcW w:w="1036" w:type="dxa"/>
            <w:tcBorders>
              <w:top w:val="nil"/>
              <w:left w:val="nil"/>
              <w:bottom w:val="single" w:sz="4" w:space="0" w:color="auto"/>
              <w:right w:val="single" w:sz="4" w:space="0" w:color="auto"/>
            </w:tcBorders>
            <w:shd w:val="clear" w:color="auto" w:fill="auto"/>
            <w:noWrap/>
            <w:vAlign w:val="center"/>
            <w:hideMark/>
          </w:tcPr>
          <w:p w14:paraId="5B85C2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2143526000</w:t>
            </w:r>
          </w:p>
        </w:tc>
        <w:tc>
          <w:tcPr>
            <w:tcW w:w="1036" w:type="dxa"/>
            <w:tcBorders>
              <w:top w:val="nil"/>
              <w:left w:val="nil"/>
              <w:bottom w:val="single" w:sz="4" w:space="0" w:color="auto"/>
              <w:right w:val="single" w:sz="4" w:space="0" w:color="auto"/>
            </w:tcBorders>
            <w:shd w:val="clear" w:color="auto" w:fill="auto"/>
            <w:noWrap/>
            <w:vAlign w:val="center"/>
            <w:hideMark/>
          </w:tcPr>
          <w:p w14:paraId="358542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63246147</w:t>
            </w:r>
          </w:p>
        </w:tc>
        <w:tc>
          <w:tcPr>
            <w:tcW w:w="160" w:type="dxa"/>
            <w:tcBorders>
              <w:top w:val="nil"/>
              <w:left w:val="nil"/>
              <w:bottom w:val="single" w:sz="4" w:space="0" w:color="auto"/>
              <w:right w:val="nil"/>
            </w:tcBorders>
            <w:vAlign w:val="center"/>
          </w:tcPr>
          <w:p w14:paraId="545A2F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DDE6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IVANA CANKARJA ZA KULTURO, ŠPORT IN TURIZEM VRHNIKA</w:t>
            </w:r>
          </w:p>
        </w:tc>
      </w:tr>
      <w:tr w:rsidR="00072A69" w:rsidRPr="00DC6DF9" w14:paraId="2CA5718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8C21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2003</w:t>
            </w:r>
          </w:p>
        </w:tc>
        <w:tc>
          <w:tcPr>
            <w:tcW w:w="1036" w:type="dxa"/>
            <w:tcBorders>
              <w:top w:val="nil"/>
              <w:left w:val="nil"/>
              <w:bottom w:val="single" w:sz="4" w:space="0" w:color="auto"/>
              <w:right w:val="single" w:sz="4" w:space="0" w:color="auto"/>
            </w:tcBorders>
            <w:shd w:val="clear" w:color="auto" w:fill="auto"/>
            <w:noWrap/>
            <w:vAlign w:val="center"/>
            <w:hideMark/>
          </w:tcPr>
          <w:p w14:paraId="37EB30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5022959000</w:t>
            </w:r>
          </w:p>
        </w:tc>
        <w:tc>
          <w:tcPr>
            <w:tcW w:w="1036" w:type="dxa"/>
            <w:tcBorders>
              <w:top w:val="nil"/>
              <w:left w:val="nil"/>
              <w:bottom w:val="single" w:sz="4" w:space="0" w:color="auto"/>
              <w:right w:val="single" w:sz="4" w:space="0" w:color="auto"/>
            </w:tcBorders>
            <w:shd w:val="clear" w:color="auto" w:fill="auto"/>
            <w:noWrap/>
            <w:vAlign w:val="center"/>
            <w:hideMark/>
          </w:tcPr>
          <w:p w14:paraId="54BB4E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34375848</w:t>
            </w:r>
          </w:p>
        </w:tc>
        <w:tc>
          <w:tcPr>
            <w:tcW w:w="160" w:type="dxa"/>
            <w:tcBorders>
              <w:top w:val="nil"/>
              <w:left w:val="nil"/>
              <w:bottom w:val="single" w:sz="4" w:space="0" w:color="auto"/>
              <w:right w:val="nil"/>
            </w:tcBorders>
            <w:vAlign w:val="center"/>
          </w:tcPr>
          <w:p w14:paraId="30CD1E7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816C5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REPUBLIKE SLOVENIJE ZA BLAGOVNE REZERVE</w:t>
            </w:r>
          </w:p>
        </w:tc>
      </w:tr>
      <w:tr w:rsidR="00072A69" w:rsidRPr="00DC6DF9" w14:paraId="37F5D2E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0181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2004</w:t>
            </w:r>
          </w:p>
        </w:tc>
        <w:tc>
          <w:tcPr>
            <w:tcW w:w="1036" w:type="dxa"/>
            <w:tcBorders>
              <w:top w:val="nil"/>
              <w:left w:val="nil"/>
              <w:bottom w:val="single" w:sz="4" w:space="0" w:color="auto"/>
              <w:right w:val="single" w:sz="4" w:space="0" w:color="auto"/>
            </w:tcBorders>
            <w:shd w:val="clear" w:color="auto" w:fill="auto"/>
            <w:noWrap/>
            <w:vAlign w:val="center"/>
            <w:hideMark/>
          </w:tcPr>
          <w:p w14:paraId="6EC8E8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1594451000</w:t>
            </w:r>
          </w:p>
        </w:tc>
        <w:tc>
          <w:tcPr>
            <w:tcW w:w="1036" w:type="dxa"/>
            <w:tcBorders>
              <w:top w:val="nil"/>
              <w:left w:val="nil"/>
              <w:bottom w:val="single" w:sz="4" w:space="0" w:color="auto"/>
              <w:right w:val="single" w:sz="4" w:space="0" w:color="auto"/>
            </w:tcBorders>
            <w:shd w:val="clear" w:color="auto" w:fill="auto"/>
            <w:noWrap/>
            <w:vAlign w:val="center"/>
            <w:hideMark/>
          </w:tcPr>
          <w:p w14:paraId="2C7E90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53164563</w:t>
            </w:r>
          </w:p>
        </w:tc>
        <w:tc>
          <w:tcPr>
            <w:tcW w:w="160" w:type="dxa"/>
            <w:tcBorders>
              <w:top w:val="nil"/>
              <w:left w:val="nil"/>
              <w:bottom w:val="single" w:sz="4" w:space="0" w:color="auto"/>
              <w:right w:val="nil"/>
            </w:tcBorders>
            <w:vAlign w:val="center"/>
          </w:tcPr>
          <w:p w14:paraId="0E6C474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F79A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REPUBLIKE SLOVENIJE ZA PRESADITVE ORGANOV IN TKIV SLOVENIJA TRANSPLANT</w:t>
            </w:r>
          </w:p>
        </w:tc>
      </w:tr>
      <w:tr w:rsidR="00072A69" w:rsidRPr="00DC6DF9" w14:paraId="0B160A6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CA91C6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2005</w:t>
            </w:r>
          </w:p>
        </w:tc>
        <w:tc>
          <w:tcPr>
            <w:tcW w:w="1036" w:type="dxa"/>
            <w:tcBorders>
              <w:top w:val="nil"/>
              <w:left w:val="nil"/>
              <w:bottom w:val="single" w:sz="4" w:space="0" w:color="auto"/>
              <w:right w:val="single" w:sz="4" w:space="0" w:color="auto"/>
            </w:tcBorders>
            <w:shd w:val="clear" w:color="auto" w:fill="auto"/>
            <w:noWrap/>
            <w:vAlign w:val="center"/>
            <w:hideMark/>
          </w:tcPr>
          <w:p w14:paraId="2EB424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5911338000</w:t>
            </w:r>
          </w:p>
        </w:tc>
        <w:tc>
          <w:tcPr>
            <w:tcW w:w="1036" w:type="dxa"/>
            <w:tcBorders>
              <w:top w:val="nil"/>
              <w:left w:val="nil"/>
              <w:bottom w:val="single" w:sz="4" w:space="0" w:color="auto"/>
              <w:right w:val="single" w:sz="4" w:space="0" w:color="auto"/>
            </w:tcBorders>
            <w:shd w:val="clear" w:color="auto" w:fill="auto"/>
            <w:noWrap/>
            <w:vAlign w:val="center"/>
            <w:hideMark/>
          </w:tcPr>
          <w:p w14:paraId="4FEF67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43696767</w:t>
            </w:r>
          </w:p>
        </w:tc>
        <w:tc>
          <w:tcPr>
            <w:tcW w:w="160" w:type="dxa"/>
            <w:tcBorders>
              <w:top w:val="nil"/>
              <w:left w:val="nil"/>
              <w:bottom w:val="single" w:sz="4" w:space="0" w:color="auto"/>
              <w:right w:val="nil"/>
            </w:tcBorders>
            <w:vAlign w:val="center"/>
          </w:tcPr>
          <w:p w14:paraId="2E71A9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98980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REPUBLIKE SLOVENIJE ZA ŠOLSTVO</w:t>
            </w:r>
          </w:p>
        </w:tc>
      </w:tr>
      <w:tr w:rsidR="00072A69" w:rsidRPr="00DC6DF9" w14:paraId="2248F44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99CF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2006</w:t>
            </w:r>
          </w:p>
        </w:tc>
        <w:tc>
          <w:tcPr>
            <w:tcW w:w="1036" w:type="dxa"/>
            <w:tcBorders>
              <w:top w:val="nil"/>
              <w:left w:val="nil"/>
              <w:bottom w:val="single" w:sz="4" w:space="0" w:color="auto"/>
              <w:right w:val="single" w:sz="4" w:space="0" w:color="auto"/>
            </w:tcBorders>
            <w:shd w:val="clear" w:color="auto" w:fill="auto"/>
            <w:noWrap/>
            <w:vAlign w:val="center"/>
            <w:hideMark/>
          </w:tcPr>
          <w:p w14:paraId="12AA45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5053960000</w:t>
            </w:r>
          </w:p>
        </w:tc>
        <w:tc>
          <w:tcPr>
            <w:tcW w:w="1036" w:type="dxa"/>
            <w:tcBorders>
              <w:top w:val="nil"/>
              <w:left w:val="nil"/>
              <w:bottom w:val="single" w:sz="4" w:space="0" w:color="auto"/>
              <w:right w:val="single" w:sz="4" w:space="0" w:color="auto"/>
            </w:tcBorders>
            <w:shd w:val="clear" w:color="auto" w:fill="auto"/>
            <w:noWrap/>
            <w:vAlign w:val="center"/>
            <w:hideMark/>
          </w:tcPr>
          <w:p w14:paraId="293076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24041262</w:t>
            </w:r>
          </w:p>
        </w:tc>
        <w:tc>
          <w:tcPr>
            <w:tcW w:w="160" w:type="dxa"/>
            <w:tcBorders>
              <w:top w:val="nil"/>
              <w:left w:val="nil"/>
              <w:bottom w:val="single" w:sz="4" w:space="0" w:color="auto"/>
              <w:right w:val="nil"/>
            </w:tcBorders>
            <w:vAlign w:val="center"/>
          </w:tcPr>
          <w:p w14:paraId="434A97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A89A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REPUBLIKE SLOVENIJE ZA TRANSFUZIJSKO MEDICINO</w:t>
            </w:r>
          </w:p>
        </w:tc>
      </w:tr>
      <w:tr w:rsidR="00072A69" w:rsidRPr="00DC6DF9" w14:paraId="40F7EA5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D0679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2007</w:t>
            </w:r>
          </w:p>
        </w:tc>
        <w:tc>
          <w:tcPr>
            <w:tcW w:w="1036" w:type="dxa"/>
            <w:tcBorders>
              <w:top w:val="nil"/>
              <w:left w:val="nil"/>
              <w:bottom w:val="single" w:sz="4" w:space="0" w:color="auto"/>
              <w:right w:val="single" w:sz="4" w:space="0" w:color="auto"/>
            </w:tcBorders>
            <w:shd w:val="clear" w:color="auto" w:fill="auto"/>
            <w:noWrap/>
            <w:vAlign w:val="center"/>
            <w:hideMark/>
          </w:tcPr>
          <w:p w14:paraId="4D23DC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1684884000</w:t>
            </w:r>
          </w:p>
        </w:tc>
        <w:tc>
          <w:tcPr>
            <w:tcW w:w="1036" w:type="dxa"/>
            <w:tcBorders>
              <w:top w:val="nil"/>
              <w:left w:val="nil"/>
              <w:bottom w:val="single" w:sz="4" w:space="0" w:color="auto"/>
              <w:right w:val="single" w:sz="4" w:space="0" w:color="auto"/>
            </w:tcBorders>
            <w:shd w:val="clear" w:color="auto" w:fill="auto"/>
            <w:noWrap/>
            <w:vAlign w:val="center"/>
            <w:hideMark/>
          </w:tcPr>
          <w:p w14:paraId="73D7E4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53845285</w:t>
            </w:r>
          </w:p>
        </w:tc>
        <w:tc>
          <w:tcPr>
            <w:tcW w:w="160" w:type="dxa"/>
            <w:tcBorders>
              <w:top w:val="nil"/>
              <w:left w:val="nil"/>
              <w:bottom w:val="single" w:sz="4" w:space="0" w:color="auto"/>
              <w:right w:val="nil"/>
            </w:tcBorders>
            <w:vAlign w:val="center"/>
          </w:tcPr>
          <w:p w14:paraId="3C7711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ED9B4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REPUBLIKE SLOVENIJE ZA VARSTVO NARAVE</w:t>
            </w:r>
          </w:p>
        </w:tc>
      </w:tr>
      <w:tr w:rsidR="00072A69" w:rsidRPr="00DC6DF9" w14:paraId="70891A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E5D5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2008</w:t>
            </w:r>
          </w:p>
        </w:tc>
        <w:tc>
          <w:tcPr>
            <w:tcW w:w="1036" w:type="dxa"/>
            <w:tcBorders>
              <w:top w:val="nil"/>
              <w:left w:val="nil"/>
              <w:bottom w:val="single" w:sz="4" w:space="0" w:color="auto"/>
              <w:right w:val="single" w:sz="4" w:space="0" w:color="auto"/>
            </w:tcBorders>
            <w:shd w:val="clear" w:color="auto" w:fill="auto"/>
            <w:noWrap/>
            <w:vAlign w:val="center"/>
            <w:hideMark/>
          </w:tcPr>
          <w:p w14:paraId="692D7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5300410000</w:t>
            </w:r>
          </w:p>
        </w:tc>
        <w:tc>
          <w:tcPr>
            <w:tcW w:w="1036" w:type="dxa"/>
            <w:tcBorders>
              <w:top w:val="nil"/>
              <w:left w:val="nil"/>
              <w:bottom w:val="single" w:sz="4" w:space="0" w:color="auto"/>
              <w:right w:val="single" w:sz="4" w:space="0" w:color="auto"/>
            </w:tcBorders>
            <w:shd w:val="clear" w:color="auto" w:fill="auto"/>
            <w:noWrap/>
            <w:vAlign w:val="center"/>
            <w:hideMark/>
          </w:tcPr>
          <w:p w14:paraId="0FD2B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16669762</w:t>
            </w:r>
          </w:p>
        </w:tc>
        <w:tc>
          <w:tcPr>
            <w:tcW w:w="160" w:type="dxa"/>
            <w:tcBorders>
              <w:top w:val="nil"/>
              <w:left w:val="nil"/>
              <w:bottom w:val="single" w:sz="4" w:space="0" w:color="auto"/>
              <w:right w:val="nil"/>
            </w:tcBorders>
            <w:vAlign w:val="center"/>
          </w:tcPr>
          <w:p w14:paraId="20E591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1090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REPUBLIKE SLOVENIJE ZA ZAPOSLOVANJE</w:t>
            </w:r>
          </w:p>
        </w:tc>
      </w:tr>
      <w:tr w:rsidR="00072A69" w:rsidRPr="00DC6DF9" w14:paraId="7931AA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C59C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2009</w:t>
            </w:r>
          </w:p>
        </w:tc>
        <w:tc>
          <w:tcPr>
            <w:tcW w:w="1036" w:type="dxa"/>
            <w:tcBorders>
              <w:top w:val="nil"/>
              <w:left w:val="nil"/>
              <w:bottom w:val="single" w:sz="4" w:space="0" w:color="auto"/>
              <w:right w:val="single" w:sz="4" w:space="0" w:color="auto"/>
            </w:tcBorders>
            <w:shd w:val="clear" w:color="auto" w:fill="auto"/>
            <w:noWrap/>
            <w:vAlign w:val="center"/>
            <w:hideMark/>
          </w:tcPr>
          <w:p w14:paraId="762332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5537711000</w:t>
            </w:r>
          </w:p>
        </w:tc>
        <w:tc>
          <w:tcPr>
            <w:tcW w:w="1036" w:type="dxa"/>
            <w:tcBorders>
              <w:top w:val="nil"/>
              <w:left w:val="nil"/>
              <w:bottom w:val="single" w:sz="4" w:space="0" w:color="auto"/>
              <w:right w:val="single" w:sz="4" w:space="0" w:color="auto"/>
            </w:tcBorders>
            <w:shd w:val="clear" w:color="auto" w:fill="auto"/>
            <w:noWrap/>
            <w:vAlign w:val="center"/>
            <w:hideMark/>
          </w:tcPr>
          <w:p w14:paraId="3F668D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91755379</w:t>
            </w:r>
          </w:p>
        </w:tc>
        <w:tc>
          <w:tcPr>
            <w:tcW w:w="160" w:type="dxa"/>
            <w:tcBorders>
              <w:top w:val="nil"/>
              <w:left w:val="nil"/>
              <w:bottom w:val="single" w:sz="4" w:space="0" w:color="auto"/>
              <w:right w:val="nil"/>
            </w:tcBorders>
            <w:vAlign w:val="center"/>
          </w:tcPr>
          <w:p w14:paraId="5C44310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F1A90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GASILNO IN REŠEVALNO SLUŽBO SEŽANA</w:t>
            </w:r>
          </w:p>
        </w:tc>
      </w:tr>
      <w:tr w:rsidR="00072A69" w:rsidRPr="00DC6DF9" w14:paraId="65921C5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15809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2010</w:t>
            </w:r>
          </w:p>
        </w:tc>
        <w:tc>
          <w:tcPr>
            <w:tcW w:w="1036" w:type="dxa"/>
            <w:tcBorders>
              <w:top w:val="nil"/>
              <w:left w:val="nil"/>
              <w:bottom w:val="single" w:sz="4" w:space="0" w:color="auto"/>
              <w:right w:val="single" w:sz="4" w:space="0" w:color="auto"/>
            </w:tcBorders>
            <w:shd w:val="clear" w:color="auto" w:fill="auto"/>
            <w:noWrap/>
            <w:vAlign w:val="center"/>
            <w:hideMark/>
          </w:tcPr>
          <w:p w14:paraId="297A13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5695252000</w:t>
            </w:r>
          </w:p>
        </w:tc>
        <w:tc>
          <w:tcPr>
            <w:tcW w:w="1036" w:type="dxa"/>
            <w:tcBorders>
              <w:top w:val="nil"/>
              <w:left w:val="nil"/>
              <w:bottom w:val="single" w:sz="4" w:space="0" w:color="auto"/>
              <w:right w:val="single" w:sz="4" w:space="0" w:color="auto"/>
            </w:tcBorders>
            <w:shd w:val="clear" w:color="auto" w:fill="auto"/>
            <w:noWrap/>
            <w:vAlign w:val="center"/>
            <w:hideMark/>
          </w:tcPr>
          <w:p w14:paraId="4B522F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57421838</w:t>
            </w:r>
          </w:p>
        </w:tc>
        <w:tc>
          <w:tcPr>
            <w:tcW w:w="160" w:type="dxa"/>
            <w:tcBorders>
              <w:top w:val="nil"/>
              <w:left w:val="nil"/>
              <w:bottom w:val="single" w:sz="4" w:space="0" w:color="auto"/>
              <w:right w:val="nil"/>
            </w:tcBorders>
            <w:vAlign w:val="center"/>
          </w:tcPr>
          <w:p w14:paraId="2AE556C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3E71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GLUHE IN NAGLUŠNE LJUBLJANA</w:t>
            </w:r>
          </w:p>
        </w:tc>
      </w:tr>
      <w:tr w:rsidR="00072A69" w:rsidRPr="00DC6DF9" w14:paraId="47B4AD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1571D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2011</w:t>
            </w:r>
          </w:p>
        </w:tc>
        <w:tc>
          <w:tcPr>
            <w:tcW w:w="1036" w:type="dxa"/>
            <w:tcBorders>
              <w:top w:val="nil"/>
              <w:left w:val="nil"/>
              <w:bottom w:val="single" w:sz="4" w:space="0" w:color="auto"/>
              <w:right w:val="single" w:sz="4" w:space="0" w:color="auto"/>
            </w:tcBorders>
            <w:shd w:val="clear" w:color="auto" w:fill="auto"/>
            <w:noWrap/>
            <w:vAlign w:val="center"/>
            <w:hideMark/>
          </w:tcPr>
          <w:p w14:paraId="761BA7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5786380000</w:t>
            </w:r>
          </w:p>
        </w:tc>
        <w:tc>
          <w:tcPr>
            <w:tcW w:w="1036" w:type="dxa"/>
            <w:tcBorders>
              <w:top w:val="nil"/>
              <w:left w:val="nil"/>
              <w:bottom w:val="single" w:sz="4" w:space="0" w:color="auto"/>
              <w:right w:val="single" w:sz="4" w:space="0" w:color="auto"/>
            </w:tcBorders>
            <w:shd w:val="clear" w:color="auto" w:fill="auto"/>
            <w:noWrap/>
            <w:vAlign w:val="center"/>
            <w:hideMark/>
          </w:tcPr>
          <w:p w14:paraId="1DF9D3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91496080</w:t>
            </w:r>
          </w:p>
        </w:tc>
        <w:tc>
          <w:tcPr>
            <w:tcW w:w="160" w:type="dxa"/>
            <w:tcBorders>
              <w:top w:val="nil"/>
              <w:left w:val="nil"/>
              <w:bottom w:val="single" w:sz="4" w:space="0" w:color="auto"/>
              <w:right w:val="nil"/>
            </w:tcBorders>
            <w:vAlign w:val="center"/>
          </w:tcPr>
          <w:p w14:paraId="1420A43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484C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GOZDOVE SLOVENIJE</w:t>
            </w:r>
          </w:p>
        </w:tc>
      </w:tr>
      <w:tr w:rsidR="00072A69" w:rsidRPr="00DC6DF9" w14:paraId="4584346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96097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2012</w:t>
            </w:r>
          </w:p>
        </w:tc>
        <w:tc>
          <w:tcPr>
            <w:tcW w:w="1036" w:type="dxa"/>
            <w:tcBorders>
              <w:top w:val="nil"/>
              <w:left w:val="nil"/>
              <w:bottom w:val="single" w:sz="4" w:space="0" w:color="auto"/>
              <w:right w:val="single" w:sz="4" w:space="0" w:color="auto"/>
            </w:tcBorders>
            <w:shd w:val="clear" w:color="auto" w:fill="auto"/>
            <w:noWrap/>
            <w:vAlign w:val="center"/>
            <w:hideMark/>
          </w:tcPr>
          <w:p w14:paraId="09A115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5866324000</w:t>
            </w:r>
          </w:p>
        </w:tc>
        <w:tc>
          <w:tcPr>
            <w:tcW w:w="1036" w:type="dxa"/>
            <w:tcBorders>
              <w:top w:val="nil"/>
              <w:left w:val="nil"/>
              <w:bottom w:val="single" w:sz="4" w:space="0" w:color="auto"/>
              <w:right w:val="single" w:sz="4" w:space="0" w:color="auto"/>
            </w:tcBorders>
            <w:shd w:val="clear" w:color="auto" w:fill="auto"/>
            <w:noWrap/>
            <w:vAlign w:val="center"/>
            <w:hideMark/>
          </w:tcPr>
          <w:p w14:paraId="03BE7BF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43950019</w:t>
            </w:r>
          </w:p>
        </w:tc>
        <w:tc>
          <w:tcPr>
            <w:tcW w:w="160" w:type="dxa"/>
            <w:tcBorders>
              <w:top w:val="nil"/>
              <w:left w:val="nil"/>
              <w:bottom w:val="single" w:sz="4" w:space="0" w:color="auto"/>
              <w:right w:val="nil"/>
            </w:tcBorders>
            <w:vAlign w:val="center"/>
          </w:tcPr>
          <w:p w14:paraId="3DA6760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60A55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GRADBENIŠTVO SLOVENIJE</w:t>
            </w:r>
          </w:p>
        </w:tc>
      </w:tr>
      <w:tr w:rsidR="00072A69" w:rsidRPr="00DC6DF9" w14:paraId="2884CB8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BDBBD6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2013</w:t>
            </w:r>
          </w:p>
        </w:tc>
        <w:tc>
          <w:tcPr>
            <w:tcW w:w="1036" w:type="dxa"/>
            <w:tcBorders>
              <w:top w:val="nil"/>
              <w:left w:val="nil"/>
              <w:bottom w:val="single" w:sz="4" w:space="0" w:color="auto"/>
              <w:right w:val="single" w:sz="4" w:space="0" w:color="auto"/>
            </w:tcBorders>
            <w:shd w:val="clear" w:color="auto" w:fill="auto"/>
            <w:noWrap/>
            <w:vAlign w:val="center"/>
            <w:hideMark/>
          </w:tcPr>
          <w:p w14:paraId="37FE95D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5052467000</w:t>
            </w:r>
          </w:p>
        </w:tc>
        <w:tc>
          <w:tcPr>
            <w:tcW w:w="1036" w:type="dxa"/>
            <w:tcBorders>
              <w:top w:val="nil"/>
              <w:left w:val="nil"/>
              <w:bottom w:val="single" w:sz="4" w:space="0" w:color="auto"/>
              <w:right w:val="single" w:sz="4" w:space="0" w:color="auto"/>
            </w:tcBorders>
            <w:shd w:val="clear" w:color="auto" w:fill="auto"/>
            <w:noWrap/>
            <w:vAlign w:val="center"/>
            <w:hideMark/>
          </w:tcPr>
          <w:p w14:paraId="3CC6A5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92914730</w:t>
            </w:r>
          </w:p>
        </w:tc>
        <w:tc>
          <w:tcPr>
            <w:tcW w:w="160" w:type="dxa"/>
            <w:tcBorders>
              <w:top w:val="nil"/>
              <w:left w:val="nil"/>
              <w:bottom w:val="single" w:sz="4" w:space="0" w:color="auto"/>
              <w:right w:val="nil"/>
            </w:tcBorders>
            <w:vAlign w:val="center"/>
          </w:tcPr>
          <w:p w14:paraId="2BC733C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1945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IZOBRAŽEVANJE IN KULTURO ČRNOMELJ</w:t>
            </w:r>
          </w:p>
        </w:tc>
      </w:tr>
      <w:tr w:rsidR="00072A69" w:rsidRPr="00DC6DF9" w14:paraId="7483E3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7FEB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2014</w:t>
            </w:r>
          </w:p>
        </w:tc>
        <w:tc>
          <w:tcPr>
            <w:tcW w:w="1036" w:type="dxa"/>
            <w:tcBorders>
              <w:top w:val="nil"/>
              <w:left w:val="nil"/>
              <w:bottom w:val="single" w:sz="4" w:space="0" w:color="auto"/>
              <w:right w:val="single" w:sz="4" w:space="0" w:color="auto"/>
            </w:tcBorders>
            <w:shd w:val="clear" w:color="auto" w:fill="auto"/>
            <w:noWrap/>
            <w:vAlign w:val="center"/>
            <w:hideMark/>
          </w:tcPr>
          <w:p w14:paraId="0B7E67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2144271000</w:t>
            </w:r>
          </w:p>
        </w:tc>
        <w:tc>
          <w:tcPr>
            <w:tcW w:w="1036" w:type="dxa"/>
            <w:tcBorders>
              <w:top w:val="nil"/>
              <w:left w:val="nil"/>
              <w:bottom w:val="single" w:sz="4" w:space="0" w:color="auto"/>
              <w:right w:val="single" w:sz="4" w:space="0" w:color="auto"/>
            </w:tcBorders>
            <w:shd w:val="clear" w:color="auto" w:fill="auto"/>
            <w:noWrap/>
            <w:vAlign w:val="center"/>
            <w:hideMark/>
          </w:tcPr>
          <w:p w14:paraId="0B5C7E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63893207</w:t>
            </w:r>
          </w:p>
        </w:tc>
        <w:tc>
          <w:tcPr>
            <w:tcW w:w="160" w:type="dxa"/>
            <w:tcBorders>
              <w:top w:val="nil"/>
              <w:left w:val="nil"/>
              <w:bottom w:val="single" w:sz="4" w:space="0" w:color="auto"/>
              <w:right w:val="nil"/>
            </w:tcBorders>
            <w:vAlign w:val="center"/>
          </w:tcPr>
          <w:p w14:paraId="7664BA6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513C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KULTURNE PRIREDITVE IN TURIZEM CELEIA CELJE</w:t>
            </w:r>
          </w:p>
        </w:tc>
      </w:tr>
      <w:tr w:rsidR="00072A69" w:rsidRPr="00DC6DF9" w14:paraId="758FE0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2B55A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2015</w:t>
            </w:r>
          </w:p>
        </w:tc>
        <w:tc>
          <w:tcPr>
            <w:tcW w:w="1036" w:type="dxa"/>
            <w:tcBorders>
              <w:top w:val="nil"/>
              <w:left w:val="nil"/>
              <w:bottom w:val="single" w:sz="4" w:space="0" w:color="auto"/>
              <w:right w:val="single" w:sz="4" w:space="0" w:color="auto"/>
            </w:tcBorders>
            <w:shd w:val="clear" w:color="auto" w:fill="auto"/>
            <w:noWrap/>
            <w:vAlign w:val="center"/>
            <w:hideMark/>
          </w:tcPr>
          <w:p w14:paraId="0258B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2062348000</w:t>
            </w:r>
          </w:p>
        </w:tc>
        <w:tc>
          <w:tcPr>
            <w:tcW w:w="1036" w:type="dxa"/>
            <w:tcBorders>
              <w:top w:val="nil"/>
              <w:left w:val="nil"/>
              <w:bottom w:val="single" w:sz="4" w:space="0" w:color="auto"/>
              <w:right w:val="single" w:sz="4" w:space="0" w:color="auto"/>
            </w:tcBorders>
            <w:shd w:val="clear" w:color="auto" w:fill="auto"/>
            <w:noWrap/>
            <w:vAlign w:val="center"/>
            <w:hideMark/>
          </w:tcPr>
          <w:p w14:paraId="20CC10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41694473</w:t>
            </w:r>
          </w:p>
        </w:tc>
        <w:tc>
          <w:tcPr>
            <w:tcW w:w="160" w:type="dxa"/>
            <w:tcBorders>
              <w:top w:val="nil"/>
              <w:left w:val="nil"/>
              <w:bottom w:val="single" w:sz="4" w:space="0" w:color="auto"/>
              <w:right w:val="nil"/>
            </w:tcBorders>
            <w:vAlign w:val="center"/>
          </w:tcPr>
          <w:p w14:paraId="4F97AA6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7117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BLED</w:t>
            </w:r>
          </w:p>
        </w:tc>
      </w:tr>
      <w:tr w:rsidR="00072A69" w:rsidRPr="00DC6DF9" w14:paraId="7AFD090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B9978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2016</w:t>
            </w:r>
          </w:p>
        </w:tc>
        <w:tc>
          <w:tcPr>
            <w:tcW w:w="1036" w:type="dxa"/>
            <w:tcBorders>
              <w:top w:val="nil"/>
              <w:left w:val="nil"/>
              <w:bottom w:val="single" w:sz="4" w:space="0" w:color="auto"/>
              <w:right w:val="single" w:sz="4" w:space="0" w:color="auto"/>
            </w:tcBorders>
            <w:shd w:val="clear" w:color="auto" w:fill="auto"/>
            <w:noWrap/>
            <w:vAlign w:val="center"/>
            <w:hideMark/>
          </w:tcPr>
          <w:p w14:paraId="39AD840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5052998000</w:t>
            </w:r>
          </w:p>
        </w:tc>
        <w:tc>
          <w:tcPr>
            <w:tcW w:w="1036" w:type="dxa"/>
            <w:tcBorders>
              <w:top w:val="nil"/>
              <w:left w:val="nil"/>
              <w:bottom w:val="single" w:sz="4" w:space="0" w:color="auto"/>
              <w:right w:val="single" w:sz="4" w:space="0" w:color="auto"/>
            </w:tcBorders>
            <w:shd w:val="clear" w:color="auto" w:fill="auto"/>
            <w:noWrap/>
            <w:vAlign w:val="center"/>
            <w:hideMark/>
          </w:tcPr>
          <w:p w14:paraId="50ADD9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81509561</w:t>
            </w:r>
          </w:p>
        </w:tc>
        <w:tc>
          <w:tcPr>
            <w:tcW w:w="160" w:type="dxa"/>
            <w:tcBorders>
              <w:top w:val="nil"/>
              <w:left w:val="nil"/>
              <w:bottom w:val="single" w:sz="4" w:space="0" w:color="auto"/>
              <w:right w:val="nil"/>
            </w:tcBorders>
            <w:vAlign w:val="center"/>
          </w:tcPr>
          <w:p w14:paraId="38878E3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367AA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DELAVSKI DOM TRBOVLJE</w:t>
            </w:r>
          </w:p>
        </w:tc>
      </w:tr>
      <w:tr w:rsidR="00072A69" w:rsidRPr="00DC6DF9" w14:paraId="30790CE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8509F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2017</w:t>
            </w:r>
          </w:p>
        </w:tc>
        <w:tc>
          <w:tcPr>
            <w:tcW w:w="1036" w:type="dxa"/>
            <w:tcBorders>
              <w:top w:val="nil"/>
              <w:left w:val="nil"/>
              <w:bottom w:val="single" w:sz="4" w:space="0" w:color="auto"/>
              <w:right w:val="single" w:sz="4" w:space="0" w:color="auto"/>
            </w:tcBorders>
            <w:shd w:val="clear" w:color="auto" w:fill="auto"/>
            <w:noWrap/>
            <w:vAlign w:val="center"/>
            <w:hideMark/>
          </w:tcPr>
          <w:p w14:paraId="2812F7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1708805000</w:t>
            </w:r>
          </w:p>
        </w:tc>
        <w:tc>
          <w:tcPr>
            <w:tcW w:w="1036" w:type="dxa"/>
            <w:tcBorders>
              <w:top w:val="nil"/>
              <w:left w:val="nil"/>
              <w:bottom w:val="single" w:sz="4" w:space="0" w:color="auto"/>
              <w:right w:val="single" w:sz="4" w:space="0" w:color="auto"/>
            </w:tcBorders>
            <w:shd w:val="clear" w:color="auto" w:fill="auto"/>
            <w:noWrap/>
            <w:vAlign w:val="center"/>
            <w:hideMark/>
          </w:tcPr>
          <w:p w14:paraId="7AA6EA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40351599</w:t>
            </w:r>
          </w:p>
        </w:tc>
        <w:tc>
          <w:tcPr>
            <w:tcW w:w="160" w:type="dxa"/>
            <w:tcBorders>
              <w:top w:val="nil"/>
              <w:left w:val="nil"/>
              <w:bottom w:val="single" w:sz="4" w:space="0" w:color="auto"/>
              <w:right w:val="nil"/>
            </w:tcBorders>
            <w:vAlign w:val="center"/>
          </w:tcPr>
          <w:p w14:paraId="7080A39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10FA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ŠOŠTANJ</w:t>
            </w:r>
          </w:p>
        </w:tc>
      </w:tr>
      <w:tr w:rsidR="00072A69" w:rsidRPr="00DC6DF9" w14:paraId="141C0D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EF1E4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2018</w:t>
            </w:r>
          </w:p>
        </w:tc>
        <w:tc>
          <w:tcPr>
            <w:tcW w:w="1036" w:type="dxa"/>
            <w:tcBorders>
              <w:top w:val="nil"/>
              <w:left w:val="nil"/>
              <w:bottom w:val="single" w:sz="4" w:space="0" w:color="auto"/>
              <w:right w:val="single" w:sz="4" w:space="0" w:color="auto"/>
            </w:tcBorders>
            <w:shd w:val="clear" w:color="auto" w:fill="auto"/>
            <w:noWrap/>
            <w:vAlign w:val="center"/>
            <w:hideMark/>
          </w:tcPr>
          <w:p w14:paraId="10DA944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1197339000</w:t>
            </w:r>
          </w:p>
        </w:tc>
        <w:tc>
          <w:tcPr>
            <w:tcW w:w="1036" w:type="dxa"/>
            <w:tcBorders>
              <w:top w:val="nil"/>
              <w:left w:val="nil"/>
              <w:bottom w:val="single" w:sz="4" w:space="0" w:color="auto"/>
              <w:right w:val="single" w:sz="4" w:space="0" w:color="auto"/>
            </w:tcBorders>
            <w:shd w:val="clear" w:color="auto" w:fill="auto"/>
            <w:noWrap/>
            <w:vAlign w:val="center"/>
            <w:hideMark/>
          </w:tcPr>
          <w:p w14:paraId="2C7716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14541556</w:t>
            </w:r>
          </w:p>
        </w:tc>
        <w:tc>
          <w:tcPr>
            <w:tcW w:w="160" w:type="dxa"/>
            <w:tcBorders>
              <w:top w:val="nil"/>
              <w:left w:val="nil"/>
              <w:bottom w:val="single" w:sz="4" w:space="0" w:color="auto"/>
              <w:right w:val="nil"/>
            </w:tcBorders>
            <w:vAlign w:val="center"/>
          </w:tcPr>
          <w:p w14:paraId="6F97A0A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FB5C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ŠPORT IN MLADINO OBČINE TOLMIN</w:t>
            </w:r>
          </w:p>
        </w:tc>
      </w:tr>
      <w:tr w:rsidR="00072A69" w:rsidRPr="00DC6DF9" w14:paraId="6EF0809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35048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2019</w:t>
            </w:r>
          </w:p>
        </w:tc>
        <w:tc>
          <w:tcPr>
            <w:tcW w:w="1036" w:type="dxa"/>
            <w:tcBorders>
              <w:top w:val="nil"/>
              <w:left w:val="nil"/>
              <w:bottom w:val="single" w:sz="4" w:space="0" w:color="auto"/>
              <w:right w:val="single" w:sz="4" w:space="0" w:color="auto"/>
            </w:tcBorders>
            <w:shd w:val="clear" w:color="auto" w:fill="auto"/>
            <w:noWrap/>
            <w:vAlign w:val="center"/>
            <w:hideMark/>
          </w:tcPr>
          <w:p w14:paraId="09FCD75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1708473000</w:t>
            </w:r>
          </w:p>
        </w:tc>
        <w:tc>
          <w:tcPr>
            <w:tcW w:w="1036" w:type="dxa"/>
            <w:tcBorders>
              <w:top w:val="nil"/>
              <w:left w:val="nil"/>
              <w:bottom w:val="single" w:sz="4" w:space="0" w:color="auto"/>
              <w:right w:val="single" w:sz="4" w:space="0" w:color="auto"/>
            </w:tcBorders>
            <w:shd w:val="clear" w:color="auto" w:fill="auto"/>
            <w:noWrap/>
            <w:vAlign w:val="center"/>
            <w:hideMark/>
          </w:tcPr>
          <w:p w14:paraId="43DDF7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34099921</w:t>
            </w:r>
          </w:p>
        </w:tc>
        <w:tc>
          <w:tcPr>
            <w:tcW w:w="160" w:type="dxa"/>
            <w:tcBorders>
              <w:top w:val="nil"/>
              <w:left w:val="nil"/>
              <w:bottom w:val="single" w:sz="4" w:space="0" w:color="auto"/>
              <w:right w:val="nil"/>
            </w:tcBorders>
            <w:vAlign w:val="center"/>
          </w:tcPr>
          <w:p w14:paraId="35661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8E832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ŠPORT IN TURIZEM ŽALEC</w:t>
            </w:r>
          </w:p>
        </w:tc>
      </w:tr>
      <w:tr w:rsidR="00072A69" w:rsidRPr="00DC6DF9" w14:paraId="786C61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80FBB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2020</w:t>
            </w:r>
          </w:p>
        </w:tc>
        <w:tc>
          <w:tcPr>
            <w:tcW w:w="1036" w:type="dxa"/>
            <w:tcBorders>
              <w:top w:val="nil"/>
              <w:left w:val="nil"/>
              <w:bottom w:val="single" w:sz="4" w:space="0" w:color="auto"/>
              <w:right w:val="single" w:sz="4" w:space="0" w:color="auto"/>
            </w:tcBorders>
            <w:shd w:val="clear" w:color="auto" w:fill="auto"/>
            <w:noWrap/>
            <w:vAlign w:val="center"/>
            <w:hideMark/>
          </w:tcPr>
          <w:p w14:paraId="3E4568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6078460000</w:t>
            </w:r>
          </w:p>
        </w:tc>
        <w:tc>
          <w:tcPr>
            <w:tcW w:w="1036" w:type="dxa"/>
            <w:tcBorders>
              <w:top w:val="nil"/>
              <w:left w:val="nil"/>
              <w:bottom w:val="single" w:sz="4" w:space="0" w:color="auto"/>
              <w:right w:val="single" w:sz="4" w:space="0" w:color="auto"/>
            </w:tcBorders>
            <w:shd w:val="clear" w:color="auto" w:fill="auto"/>
            <w:noWrap/>
            <w:vAlign w:val="center"/>
            <w:hideMark/>
          </w:tcPr>
          <w:p w14:paraId="07C432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42771986</w:t>
            </w:r>
          </w:p>
        </w:tc>
        <w:tc>
          <w:tcPr>
            <w:tcW w:w="160" w:type="dxa"/>
            <w:tcBorders>
              <w:top w:val="nil"/>
              <w:left w:val="nil"/>
              <w:bottom w:val="single" w:sz="4" w:space="0" w:color="auto"/>
              <w:right w:val="nil"/>
            </w:tcBorders>
            <w:vAlign w:val="center"/>
          </w:tcPr>
          <w:p w14:paraId="0CDA0F1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80B3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ŠPORT, TURIZEM IN MLADINSKE DEJAVNOSTI RAVNE NA KOROŠKEM</w:t>
            </w:r>
          </w:p>
        </w:tc>
      </w:tr>
      <w:tr w:rsidR="00072A69" w:rsidRPr="00DC6DF9" w14:paraId="563B71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D8D6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2021</w:t>
            </w:r>
          </w:p>
        </w:tc>
        <w:tc>
          <w:tcPr>
            <w:tcW w:w="1036" w:type="dxa"/>
            <w:tcBorders>
              <w:top w:val="nil"/>
              <w:left w:val="nil"/>
              <w:bottom w:val="single" w:sz="4" w:space="0" w:color="auto"/>
              <w:right w:val="single" w:sz="4" w:space="0" w:color="auto"/>
            </w:tcBorders>
            <w:shd w:val="clear" w:color="auto" w:fill="auto"/>
            <w:noWrap/>
            <w:vAlign w:val="center"/>
            <w:hideMark/>
          </w:tcPr>
          <w:p w14:paraId="499702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3726843000</w:t>
            </w:r>
          </w:p>
        </w:tc>
        <w:tc>
          <w:tcPr>
            <w:tcW w:w="1036" w:type="dxa"/>
            <w:tcBorders>
              <w:top w:val="nil"/>
              <w:left w:val="nil"/>
              <w:bottom w:val="single" w:sz="4" w:space="0" w:color="auto"/>
              <w:right w:val="single" w:sz="4" w:space="0" w:color="auto"/>
            </w:tcBorders>
            <w:shd w:val="clear" w:color="auto" w:fill="auto"/>
            <w:noWrap/>
            <w:vAlign w:val="center"/>
            <w:hideMark/>
          </w:tcPr>
          <w:p w14:paraId="4154AC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56481667</w:t>
            </w:r>
          </w:p>
        </w:tc>
        <w:tc>
          <w:tcPr>
            <w:tcW w:w="160" w:type="dxa"/>
            <w:tcBorders>
              <w:top w:val="nil"/>
              <w:left w:val="nil"/>
              <w:bottom w:val="single" w:sz="4" w:space="0" w:color="auto"/>
              <w:right w:val="nil"/>
            </w:tcBorders>
            <w:vAlign w:val="center"/>
          </w:tcPr>
          <w:p w14:paraId="685E0B6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E8F6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TURIZEM IN ŠPORT MURSKA SOBOTA</w:t>
            </w:r>
          </w:p>
        </w:tc>
      </w:tr>
      <w:tr w:rsidR="00072A69" w:rsidRPr="00DC6DF9" w14:paraId="2478F0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7878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2022</w:t>
            </w:r>
          </w:p>
        </w:tc>
        <w:tc>
          <w:tcPr>
            <w:tcW w:w="1036" w:type="dxa"/>
            <w:tcBorders>
              <w:top w:val="nil"/>
              <w:left w:val="nil"/>
              <w:bottom w:val="single" w:sz="4" w:space="0" w:color="auto"/>
              <w:right w:val="single" w:sz="4" w:space="0" w:color="auto"/>
            </w:tcBorders>
            <w:shd w:val="clear" w:color="auto" w:fill="auto"/>
            <w:noWrap/>
            <w:vAlign w:val="center"/>
            <w:hideMark/>
          </w:tcPr>
          <w:p w14:paraId="45BFAB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1695703000</w:t>
            </w:r>
          </w:p>
        </w:tc>
        <w:tc>
          <w:tcPr>
            <w:tcW w:w="1036" w:type="dxa"/>
            <w:tcBorders>
              <w:top w:val="nil"/>
              <w:left w:val="nil"/>
              <w:bottom w:val="single" w:sz="4" w:space="0" w:color="auto"/>
              <w:right w:val="single" w:sz="4" w:space="0" w:color="auto"/>
            </w:tcBorders>
            <w:shd w:val="clear" w:color="auto" w:fill="auto"/>
            <w:noWrap/>
            <w:vAlign w:val="center"/>
            <w:hideMark/>
          </w:tcPr>
          <w:p w14:paraId="652B516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23047399</w:t>
            </w:r>
          </w:p>
        </w:tc>
        <w:tc>
          <w:tcPr>
            <w:tcW w:w="160" w:type="dxa"/>
            <w:tcBorders>
              <w:top w:val="nil"/>
              <w:left w:val="nil"/>
              <w:bottom w:val="single" w:sz="4" w:space="0" w:color="auto"/>
              <w:right w:val="nil"/>
            </w:tcBorders>
            <w:vAlign w:val="center"/>
          </w:tcPr>
          <w:p w14:paraId="49DE2ED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BB89D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KULTURO, TURIZEM IN ŠPORT VRANSKO</w:t>
            </w:r>
          </w:p>
        </w:tc>
      </w:tr>
      <w:tr w:rsidR="00072A69" w:rsidRPr="00DC6DF9" w14:paraId="40E78D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EA63C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2023</w:t>
            </w:r>
          </w:p>
        </w:tc>
        <w:tc>
          <w:tcPr>
            <w:tcW w:w="1036" w:type="dxa"/>
            <w:tcBorders>
              <w:top w:val="nil"/>
              <w:left w:val="nil"/>
              <w:bottom w:val="single" w:sz="4" w:space="0" w:color="auto"/>
              <w:right w:val="single" w:sz="4" w:space="0" w:color="auto"/>
            </w:tcBorders>
            <w:shd w:val="clear" w:color="auto" w:fill="auto"/>
            <w:noWrap/>
            <w:vAlign w:val="center"/>
            <w:hideMark/>
          </w:tcPr>
          <w:p w14:paraId="5A7134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1710923000</w:t>
            </w:r>
          </w:p>
        </w:tc>
        <w:tc>
          <w:tcPr>
            <w:tcW w:w="1036" w:type="dxa"/>
            <w:tcBorders>
              <w:top w:val="nil"/>
              <w:left w:val="nil"/>
              <w:bottom w:val="single" w:sz="4" w:space="0" w:color="auto"/>
              <w:right w:val="single" w:sz="4" w:space="0" w:color="auto"/>
            </w:tcBorders>
            <w:shd w:val="clear" w:color="auto" w:fill="auto"/>
            <w:noWrap/>
            <w:vAlign w:val="center"/>
            <w:hideMark/>
          </w:tcPr>
          <w:p w14:paraId="43F9B7F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79470408</w:t>
            </w:r>
          </w:p>
        </w:tc>
        <w:tc>
          <w:tcPr>
            <w:tcW w:w="160" w:type="dxa"/>
            <w:tcBorders>
              <w:top w:val="nil"/>
              <w:left w:val="nil"/>
              <w:bottom w:val="single" w:sz="4" w:space="0" w:color="auto"/>
              <w:right w:val="nil"/>
            </w:tcBorders>
            <w:vAlign w:val="center"/>
          </w:tcPr>
          <w:p w14:paraId="5E12BD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0F95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OSKRBO NA DOMU LJUBLJANA</w:t>
            </w:r>
          </w:p>
        </w:tc>
      </w:tr>
      <w:tr w:rsidR="00072A69" w:rsidRPr="00DC6DF9" w14:paraId="0F188F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1BB4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2024</w:t>
            </w:r>
          </w:p>
        </w:tc>
        <w:tc>
          <w:tcPr>
            <w:tcW w:w="1036" w:type="dxa"/>
            <w:tcBorders>
              <w:top w:val="nil"/>
              <w:left w:val="nil"/>
              <w:bottom w:val="single" w:sz="4" w:space="0" w:color="auto"/>
              <w:right w:val="single" w:sz="4" w:space="0" w:color="auto"/>
            </w:tcBorders>
            <w:shd w:val="clear" w:color="auto" w:fill="auto"/>
            <w:noWrap/>
            <w:vAlign w:val="center"/>
            <w:hideMark/>
          </w:tcPr>
          <w:p w14:paraId="57DAC9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1331264000</w:t>
            </w:r>
          </w:p>
        </w:tc>
        <w:tc>
          <w:tcPr>
            <w:tcW w:w="1036" w:type="dxa"/>
            <w:tcBorders>
              <w:top w:val="nil"/>
              <w:left w:val="nil"/>
              <w:bottom w:val="single" w:sz="4" w:space="0" w:color="auto"/>
              <w:right w:val="single" w:sz="4" w:space="0" w:color="auto"/>
            </w:tcBorders>
            <w:shd w:val="clear" w:color="auto" w:fill="auto"/>
            <w:noWrap/>
            <w:vAlign w:val="center"/>
            <w:hideMark/>
          </w:tcPr>
          <w:p w14:paraId="7F7700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22560343</w:t>
            </w:r>
          </w:p>
        </w:tc>
        <w:tc>
          <w:tcPr>
            <w:tcW w:w="160" w:type="dxa"/>
            <w:tcBorders>
              <w:top w:val="nil"/>
              <w:left w:val="nil"/>
              <w:bottom w:val="single" w:sz="4" w:space="0" w:color="auto"/>
              <w:right w:val="nil"/>
            </w:tcBorders>
            <w:vAlign w:val="center"/>
          </w:tcPr>
          <w:p w14:paraId="134ECFD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88FB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PODJETNIŠTVO, TURIZEM IN MLADINO BREŽICE</w:t>
            </w:r>
          </w:p>
        </w:tc>
      </w:tr>
      <w:tr w:rsidR="00072A69" w:rsidRPr="00DC6DF9" w14:paraId="674F483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354E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2025</w:t>
            </w:r>
          </w:p>
        </w:tc>
        <w:tc>
          <w:tcPr>
            <w:tcW w:w="1036" w:type="dxa"/>
            <w:tcBorders>
              <w:top w:val="nil"/>
              <w:left w:val="nil"/>
              <w:bottom w:val="single" w:sz="4" w:space="0" w:color="auto"/>
              <w:right w:val="single" w:sz="4" w:space="0" w:color="auto"/>
            </w:tcBorders>
            <w:shd w:val="clear" w:color="auto" w:fill="auto"/>
            <w:noWrap/>
            <w:vAlign w:val="center"/>
            <w:hideMark/>
          </w:tcPr>
          <w:p w14:paraId="642391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5156700000</w:t>
            </w:r>
          </w:p>
        </w:tc>
        <w:tc>
          <w:tcPr>
            <w:tcW w:w="1036" w:type="dxa"/>
            <w:tcBorders>
              <w:top w:val="nil"/>
              <w:left w:val="nil"/>
              <w:bottom w:val="single" w:sz="4" w:space="0" w:color="auto"/>
              <w:right w:val="single" w:sz="4" w:space="0" w:color="auto"/>
            </w:tcBorders>
            <w:shd w:val="clear" w:color="auto" w:fill="auto"/>
            <w:noWrap/>
            <w:vAlign w:val="center"/>
            <w:hideMark/>
          </w:tcPr>
          <w:p w14:paraId="438FF7A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85876500</w:t>
            </w:r>
          </w:p>
        </w:tc>
        <w:tc>
          <w:tcPr>
            <w:tcW w:w="160" w:type="dxa"/>
            <w:tcBorders>
              <w:top w:val="nil"/>
              <w:left w:val="nil"/>
              <w:bottom w:val="single" w:sz="4" w:space="0" w:color="auto"/>
              <w:right w:val="nil"/>
            </w:tcBorders>
            <w:vAlign w:val="center"/>
          </w:tcPr>
          <w:p w14:paraId="051D1D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01DB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POKOJNINSKO IN INVALIDSKO ZAVAROVANJE SLOVENIJE</w:t>
            </w:r>
          </w:p>
        </w:tc>
      </w:tr>
      <w:tr w:rsidR="00072A69" w:rsidRPr="00DC6DF9" w14:paraId="3409AC7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79364F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2026</w:t>
            </w:r>
          </w:p>
        </w:tc>
        <w:tc>
          <w:tcPr>
            <w:tcW w:w="1036" w:type="dxa"/>
            <w:tcBorders>
              <w:top w:val="nil"/>
              <w:left w:val="nil"/>
              <w:bottom w:val="single" w:sz="4" w:space="0" w:color="auto"/>
              <w:right w:val="single" w:sz="4" w:space="0" w:color="auto"/>
            </w:tcBorders>
            <w:shd w:val="clear" w:color="auto" w:fill="auto"/>
            <w:noWrap/>
            <w:vAlign w:val="center"/>
            <w:hideMark/>
          </w:tcPr>
          <w:p w14:paraId="1C94330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5888093001</w:t>
            </w:r>
          </w:p>
        </w:tc>
        <w:tc>
          <w:tcPr>
            <w:tcW w:w="1036" w:type="dxa"/>
            <w:tcBorders>
              <w:top w:val="nil"/>
              <w:left w:val="nil"/>
              <w:bottom w:val="single" w:sz="4" w:space="0" w:color="auto"/>
              <w:right w:val="single" w:sz="4" w:space="0" w:color="auto"/>
            </w:tcBorders>
            <w:shd w:val="clear" w:color="auto" w:fill="auto"/>
            <w:noWrap/>
            <w:vAlign w:val="center"/>
            <w:hideMark/>
          </w:tcPr>
          <w:p w14:paraId="7C76D70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26731622</w:t>
            </w:r>
          </w:p>
        </w:tc>
        <w:tc>
          <w:tcPr>
            <w:tcW w:w="160" w:type="dxa"/>
            <w:tcBorders>
              <w:top w:val="nil"/>
              <w:left w:val="nil"/>
              <w:bottom w:val="single" w:sz="4" w:space="0" w:color="auto"/>
              <w:right w:val="nil"/>
            </w:tcBorders>
            <w:vAlign w:val="center"/>
          </w:tcPr>
          <w:p w14:paraId="762423E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8302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PRESTAJANJE KAZNI ZAPORA DOB PRI MIRNI</w:t>
            </w:r>
          </w:p>
        </w:tc>
      </w:tr>
      <w:tr w:rsidR="00072A69" w:rsidRPr="00DC6DF9" w14:paraId="40DD9E1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2B1F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2027</w:t>
            </w:r>
          </w:p>
        </w:tc>
        <w:tc>
          <w:tcPr>
            <w:tcW w:w="1036" w:type="dxa"/>
            <w:tcBorders>
              <w:top w:val="nil"/>
              <w:left w:val="nil"/>
              <w:bottom w:val="single" w:sz="4" w:space="0" w:color="auto"/>
              <w:right w:val="single" w:sz="4" w:space="0" w:color="auto"/>
            </w:tcBorders>
            <w:shd w:val="clear" w:color="auto" w:fill="auto"/>
            <w:noWrap/>
            <w:vAlign w:val="center"/>
            <w:hideMark/>
          </w:tcPr>
          <w:p w14:paraId="7B721C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5164117000</w:t>
            </w:r>
          </w:p>
        </w:tc>
        <w:tc>
          <w:tcPr>
            <w:tcW w:w="1036" w:type="dxa"/>
            <w:tcBorders>
              <w:top w:val="nil"/>
              <w:left w:val="nil"/>
              <w:bottom w:val="single" w:sz="4" w:space="0" w:color="auto"/>
              <w:right w:val="single" w:sz="4" w:space="0" w:color="auto"/>
            </w:tcBorders>
            <w:shd w:val="clear" w:color="auto" w:fill="auto"/>
            <w:noWrap/>
            <w:vAlign w:val="center"/>
            <w:hideMark/>
          </w:tcPr>
          <w:p w14:paraId="63C400E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83921419</w:t>
            </w:r>
          </w:p>
        </w:tc>
        <w:tc>
          <w:tcPr>
            <w:tcW w:w="160" w:type="dxa"/>
            <w:tcBorders>
              <w:top w:val="nil"/>
              <w:left w:val="nil"/>
              <w:bottom w:val="single" w:sz="4" w:space="0" w:color="auto"/>
              <w:right w:val="nil"/>
            </w:tcBorders>
            <w:vAlign w:val="center"/>
          </w:tcPr>
          <w:p w14:paraId="7162895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C3B7A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RIBIŠTVO SLOVENIJE</w:t>
            </w:r>
          </w:p>
        </w:tc>
      </w:tr>
      <w:tr w:rsidR="00072A69" w:rsidRPr="00DC6DF9" w14:paraId="40CCB7A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1073D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2028</w:t>
            </w:r>
          </w:p>
        </w:tc>
        <w:tc>
          <w:tcPr>
            <w:tcW w:w="1036" w:type="dxa"/>
            <w:tcBorders>
              <w:top w:val="nil"/>
              <w:left w:val="nil"/>
              <w:bottom w:val="single" w:sz="4" w:space="0" w:color="auto"/>
              <w:right w:val="single" w:sz="4" w:space="0" w:color="auto"/>
            </w:tcBorders>
            <w:shd w:val="clear" w:color="auto" w:fill="auto"/>
            <w:noWrap/>
            <w:vAlign w:val="center"/>
            <w:hideMark/>
          </w:tcPr>
          <w:p w14:paraId="5DC609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1434268000</w:t>
            </w:r>
          </w:p>
        </w:tc>
        <w:tc>
          <w:tcPr>
            <w:tcW w:w="1036" w:type="dxa"/>
            <w:tcBorders>
              <w:top w:val="nil"/>
              <w:left w:val="nil"/>
              <w:bottom w:val="single" w:sz="4" w:space="0" w:color="auto"/>
              <w:right w:val="single" w:sz="4" w:space="0" w:color="auto"/>
            </w:tcBorders>
            <w:shd w:val="clear" w:color="auto" w:fill="auto"/>
            <w:noWrap/>
            <w:vAlign w:val="center"/>
            <w:hideMark/>
          </w:tcPr>
          <w:p w14:paraId="117315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59164301</w:t>
            </w:r>
          </w:p>
        </w:tc>
        <w:tc>
          <w:tcPr>
            <w:tcW w:w="160" w:type="dxa"/>
            <w:tcBorders>
              <w:top w:val="nil"/>
              <w:left w:val="nil"/>
              <w:bottom w:val="single" w:sz="4" w:space="0" w:color="auto"/>
              <w:right w:val="nil"/>
            </w:tcBorders>
            <w:vAlign w:val="center"/>
          </w:tcPr>
          <w:p w14:paraId="07013EE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5D754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AJDOVŠČINA</w:t>
            </w:r>
          </w:p>
        </w:tc>
      </w:tr>
      <w:tr w:rsidR="00072A69" w:rsidRPr="00DC6DF9" w14:paraId="22B077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8AE2D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2029</w:t>
            </w:r>
          </w:p>
        </w:tc>
        <w:tc>
          <w:tcPr>
            <w:tcW w:w="1036" w:type="dxa"/>
            <w:tcBorders>
              <w:top w:val="nil"/>
              <w:left w:val="nil"/>
              <w:bottom w:val="single" w:sz="4" w:space="0" w:color="auto"/>
              <w:right w:val="single" w:sz="4" w:space="0" w:color="auto"/>
            </w:tcBorders>
            <w:shd w:val="clear" w:color="auto" w:fill="auto"/>
            <w:noWrap/>
            <w:vAlign w:val="center"/>
            <w:hideMark/>
          </w:tcPr>
          <w:p w14:paraId="1D1FEAC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1722808000</w:t>
            </w:r>
          </w:p>
        </w:tc>
        <w:tc>
          <w:tcPr>
            <w:tcW w:w="1036" w:type="dxa"/>
            <w:tcBorders>
              <w:top w:val="nil"/>
              <w:left w:val="nil"/>
              <w:bottom w:val="single" w:sz="4" w:space="0" w:color="auto"/>
              <w:right w:val="single" w:sz="4" w:space="0" w:color="auto"/>
            </w:tcBorders>
            <w:shd w:val="clear" w:color="auto" w:fill="auto"/>
            <w:noWrap/>
            <w:vAlign w:val="center"/>
            <w:hideMark/>
          </w:tcPr>
          <w:p w14:paraId="6C7F0EA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72188286</w:t>
            </w:r>
          </w:p>
        </w:tc>
        <w:tc>
          <w:tcPr>
            <w:tcW w:w="160" w:type="dxa"/>
            <w:tcBorders>
              <w:top w:val="nil"/>
              <w:left w:val="nil"/>
              <w:bottom w:val="single" w:sz="4" w:space="0" w:color="auto"/>
              <w:right w:val="nil"/>
            </w:tcBorders>
            <w:vAlign w:val="center"/>
          </w:tcPr>
          <w:p w14:paraId="616179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37D2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IN REKREACIJO DOMŽALE</w:t>
            </w:r>
          </w:p>
        </w:tc>
      </w:tr>
      <w:tr w:rsidR="00072A69" w:rsidRPr="00DC6DF9" w14:paraId="171C2F4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D88DA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2030</w:t>
            </w:r>
          </w:p>
        </w:tc>
        <w:tc>
          <w:tcPr>
            <w:tcW w:w="1036" w:type="dxa"/>
            <w:tcBorders>
              <w:top w:val="nil"/>
              <w:left w:val="nil"/>
              <w:bottom w:val="single" w:sz="4" w:space="0" w:color="auto"/>
              <w:right w:val="single" w:sz="4" w:space="0" w:color="auto"/>
            </w:tcBorders>
            <w:shd w:val="clear" w:color="auto" w:fill="auto"/>
            <w:noWrap/>
            <w:vAlign w:val="center"/>
            <w:hideMark/>
          </w:tcPr>
          <w:p w14:paraId="1CBF22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1638629000</w:t>
            </w:r>
          </w:p>
        </w:tc>
        <w:tc>
          <w:tcPr>
            <w:tcW w:w="1036" w:type="dxa"/>
            <w:tcBorders>
              <w:top w:val="nil"/>
              <w:left w:val="nil"/>
              <w:bottom w:val="single" w:sz="4" w:space="0" w:color="auto"/>
              <w:right w:val="single" w:sz="4" w:space="0" w:color="auto"/>
            </w:tcBorders>
            <w:shd w:val="clear" w:color="auto" w:fill="auto"/>
            <w:noWrap/>
            <w:vAlign w:val="center"/>
            <w:hideMark/>
          </w:tcPr>
          <w:p w14:paraId="6B8CF30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33564540</w:t>
            </w:r>
          </w:p>
        </w:tc>
        <w:tc>
          <w:tcPr>
            <w:tcW w:w="160" w:type="dxa"/>
            <w:tcBorders>
              <w:top w:val="nil"/>
              <w:left w:val="nil"/>
              <w:bottom w:val="single" w:sz="4" w:space="0" w:color="auto"/>
              <w:right w:val="nil"/>
            </w:tcBorders>
            <w:vAlign w:val="center"/>
          </w:tcPr>
          <w:p w14:paraId="19541F6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4452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JESENICE</w:t>
            </w:r>
          </w:p>
        </w:tc>
      </w:tr>
      <w:tr w:rsidR="00072A69" w:rsidRPr="00DC6DF9" w14:paraId="3B81E29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4E189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2031</w:t>
            </w:r>
          </w:p>
        </w:tc>
        <w:tc>
          <w:tcPr>
            <w:tcW w:w="1036" w:type="dxa"/>
            <w:tcBorders>
              <w:top w:val="nil"/>
              <w:left w:val="nil"/>
              <w:bottom w:val="single" w:sz="4" w:space="0" w:color="auto"/>
              <w:right w:val="single" w:sz="4" w:space="0" w:color="auto"/>
            </w:tcBorders>
            <w:shd w:val="clear" w:color="auto" w:fill="auto"/>
            <w:noWrap/>
            <w:vAlign w:val="center"/>
            <w:hideMark/>
          </w:tcPr>
          <w:p w14:paraId="621277B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1488783000</w:t>
            </w:r>
          </w:p>
        </w:tc>
        <w:tc>
          <w:tcPr>
            <w:tcW w:w="1036" w:type="dxa"/>
            <w:tcBorders>
              <w:top w:val="nil"/>
              <w:left w:val="nil"/>
              <w:bottom w:val="single" w:sz="4" w:space="0" w:color="auto"/>
              <w:right w:val="single" w:sz="4" w:space="0" w:color="auto"/>
            </w:tcBorders>
            <w:shd w:val="clear" w:color="auto" w:fill="auto"/>
            <w:noWrap/>
            <w:vAlign w:val="center"/>
            <w:hideMark/>
          </w:tcPr>
          <w:p w14:paraId="798711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23453958</w:t>
            </w:r>
          </w:p>
        </w:tc>
        <w:tc>
          <w:tcPr>
            <w:tcW w:w="160" w:type="dxa"/>
            <w:tcBorders>
              <w:top w:val="nil"/>
              <w:left w:val="nil"/>
              <w:bottom w:val="single" w:sz="4" w:space="0" w:color="auto"/>
              <w:right w:val="nil"/>
            </w:tcBorders>
            <w:vAlign w:val="center"/>
          </w:tcPr>
          <w:p w14:paraId="4DACB9E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665D3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KRANJ</w:t>
            </w:r>
          </w:p>
        </w:tc>
      </w:tr>
      <w:tr w:rsidR="00072A69" w:rsidRPr="00DC6DF9" w14:paraId="01C730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0DF24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2032</w:t>
            </w:r>
          </w:p>
        </w:tc>
        <w:tc>
          <w:tcPr>
            <w:tcW w:w="1036" w:type="dxa"/>
            <w:tcBorders>
              <w:top w:val="nil"/>
              <w:left w:val="nil"/>
              <w:bottom w:val="single" w:sz="4" w:space="0" w:color="auto"/>
              <w:right w:val="single" w:sz="4" w:space="0" w:color="auto"/>
            </w:tcBorders>
            <w:shd w:val="clear" w:color="auto" w:fill="auto"/>
            <w:noWrap/>
            <w:vAlign w:val="center"/>
            <w:hideMark/>
          </w:tcPr>
          <w:p w14:paraId="0B8A4A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3577970000</w:t>
            </w:r>
          </w:p>
        </w:tc>
        <w:tc>
          <w:tcPr>
            <w:tcW w:w="1036" w:type="dxa"/>
            <w:tcBorders>
              <w:top w:val="nil"/>
              <w:left w:val="nil"/>
              <w:bottom w:val="single" w:sz="4" w:space="0" w:color="auto"/>
              <w:right w:val="single" w:sz="4" w:space="0" w:color="auto"/>
            </w:tcBorders>
            <w:shd w:val="clear" w:color="auto" w:fill="auto"/>
            <w:noWrap/>
            <w:vAlign w:val="center"/>
            <w:hideMark/>
          </w:tcPr>
          <w:p w14:paraId="5346E4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85753823</w:t>
            </w:r>
          </w:p>
        </w:tc>
        <w:tc>
          <w:tcPr>
            <w:tcW w:w="160" w:type="dxa"/>
            <w:tcBorders>
              <w:top w:val="nil"/>
              <w:left w:val="nil"/>
              <w:bottom w:val="single" w:sz="4" w:space="0" w:color="auto"/>
              <w:right w:val="nil"/>
            </w:tcBorders>
            <w:vAlign w:val="center"/>
          </w:tcPr>
          <w:p w14:paraId="61C0C3E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27D2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REPUBLIKE SLOVENIJE PLANICA</w:t>
            </w:r>
          </w:p>
        </w:tc>
      </w:tr>
      <w:tr w:rsidR="00072A69" w:rsidRPr="00DC6DF9" w14:paraId="339A6A1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9A38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2033</w:t>
            </w:r>
          </w:p>
        </w:tc>
        <w:tc>
          <w:tcPr>
            <w:tcW w:w="1036" w:type="dxa"/>
            <w:tcBorders>
              <w:top w:val="nil"/>
              <w:left w:val="nil"/>
              <w:bottom w:val="single" w:sz="4" w:space="0" w:color="auto"/>
              <w:right w:val="single" w:sz="4" w:space="0" w:color="auto"/>
            </w:tcBorders>
            <w:shd w:val="clear" w:color="auto" w:fill="auto"/>
            <w:noWrap/>
            <w:vAlign w:val="center"/>
            <w:hideMark/>
          </w:tcPr>
          <w:p w14:paraId="247135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5829321000</w:t>
            </w:r>
          </w:p>
        </w:tc>
        <w:tc>
          <w:tcPr>
            <w:tcW w:w="1036" w:type="dxa"/>
            <w:tcBorders>
              <w:top w:val="nil"/>
              <w:left w:val="nil"/>
              <w:bottom w:val="single" w:sz="4" w:space="0" w:color="auto"/>
              <w:right w:val="single" w:sz="4" w:space="0" w:color="auto"/>
            </w:tcBorders>
            <w:shd w:val="clear" w:color="auto" w:fill="auto"/>
            <w:noWrap/>
            <w:vAlign w:val="center"/>
            <w:hideMark/>
          </w:tcPr>
          <w:p w14:paraId="261ABD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47605502</w:t>
            </w:r>
          </w:p>
        </w:tc>
        <w:tc>
          <w:tcPr>
            <w:tcW w:w="160" w:type="dxa"/>
            <w:tcBorders>
              <w:top w:val="nil"/>
              <w:left w:val="nil"/>
              <w:bottom w:val="single" w:sz="4" w:space="0" w:color="auto"/>
              <w:right w:val="nil"/>
            </w:tcBorders>
            <w:vAlign w:val="center"/>
          </w:tcPr>
          <w:p w14:paraId="6AEABEE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AAB95B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SLOVENSKE KONJICE</w:t>
            </w:r>
          </w:p>
        </w:tc>
      </w:tr>
      <w:tr w:rsidR="00072A69" w:rsidRPr="00DC6DF9" w14:paraId="7193B53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E3BB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2034</w:t>
            </w:r>
          </w:p>
        </w:tc>
        <w:tc>
          <w:tcPr>
            <w:tcW w:w="1036" w:type="dxa"/>
            <w:tcBorders>
              <w:top w:val="nil"/>
              <w:left w:val="nil"/>
              <w:bottom w:val="single" w:sz="4" w:space="0" w:color="auto"/>
              <w:right w:val="single" w:sz="4" w:space="0" w:color="auto"/>
            </w:tcBorders>
            <w:shd w:val="clear" w:color="auto" w:fill="auto"/>
            <w:noWrap/>
            <w:vAlign w:val="center"/>
            <w:hideMark/>
          </w:tcPr>
          <w:p w14:paraId="4CA01F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1123050000</w:t>
            </w:r>
          </w:p>
        </w:tc>
        <w:tc>
          <w:tcPr>
            <w:tcW w:w="1036" w:type="dxa"/>
            <w:tcBorders>
              <w:top w:val="nil"/>
              <w:left w:val="nil"/>
              <w:bottom w:val="single" w:sz="4" w:space="0" w:color="auto"/>
              <w:right w:val="single" w:sz="4" w:space="0" w:color="auto"/>
            </w:tcBorders>
            <w:shd w:val="clear" w:color="auto" w:fill="auto"/>
            <w:noWrap/>
            <w:vAlign w:val="center"/>
            <w:hideMark/>
          </w:tcPr>
          <w:p w14:paraId="35F162D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73023558</w:t>
            </w:r>
          </w:p>
        </w:tc>
        <w:tc>
          <w:tcPr>
            <w:tcW w:w="160" w:type="dxa"/>
            <w:tcBorders>
              <w:top w:val="nil"/>
              <w:left w:val="nil"/>
              <w:bottom w:val="single" w:sz="4" w:space="0" w:color="auto"/>
              <w:right w:val="nil"/>
            </w:tcBorders>
            <w:vAlign w:val="center"/>
          </w:tcPr>
          <w:p w14:paraId="086A1B7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AB74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ŠKOFJA LOKA</w:t>
            </w:r>
          </w:p>
        </w:tc>
      </w:tr>
      <w:tr w:rsidR="00072A69" w:rsidRPr="00DC6DF9" w14:paraId="12ADCAC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9AD50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2035</w:t>
            </w:r>
          </w:p>
        </w:tc>
        <w:tc>
          <w:tcPr>
            <w:tcW w:w="1036" w:type="dxa"/>
            <w:tcBorders>
              <w:top w:val="nil"/>
              <w:left w:val="nil"/>
              <w:bottom w:val="single" w:sz="4" w:space="0" w:color="auto"/>
              <w:right w:val="single" w:sz="4" w:space="0" w:color="auto"/>
            </w:tcBorders>
            <w:shd w:val="clear" w:color="auto" w:fill="auto"/>
            <w:noWrap/>
            <w:vAlign w:val="center"/>
            <w:hideMark/>
          </w:tcPr>
          <w:p w14:paraId="30EBE2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1694758000</w:t>
            </w:r>
          </w:p>
        </w:tc>
        <w:tc>
          <w:tcPr>
            <w:tcW w:w="1036" w:type="dxa"/>
            <w:tcBorders>
              <w:top w:val="nil"/>
              <w:left w:val="nil"/>
              <w:bottom w:val="single" w:sz="4" w:space="0" w:color="auto"/>
              <w:right w:val="single" w:sz="4" w:space="0" w:color="auto"/>
            </w:tcBorders>
            <w:shd w:val="clear" w:color="auto" w:fill="auto"/>
            <w:noWrap/>
            <w:vAlign w:val="center"/>
            <w:hideMark/>
          </w:tcPr>
          <w:p w14:paraId="6456C0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62608037</w:t>
            </w:r>
          </w:p>
        </w:tc>
        <w:tc>
          <w:tcPr>
            <w:tcW w:w="160" w:type="dxa"/>
            <w:tcBorders>
              <w:top w:val="nil"/>
              <w:left w:val="nil"/>
              <w:bottom w:val="single" w:sz="4" w:space="0" w:color="auto"/>
              <w:right w:val="nil"/>
            </w:tcBorders>
            <w:vAlign w:val="center"/>
          </w:tcPr>
          <w:p w14:paraId="6F3058B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C813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TRBOVLJE</w:t>
            </w:r>
          </w:p>
        </w:tc>
      </w:tr>
      <w:tr w:rsidR="00072A69" w:rsidRPr="00DC6DF9" w14:paraId="5CE098B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0497D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2036</w:t>
            </w:r>
          </w:p>
        </w:tc>
        <w:tc>
          <w:tcPr>
            <w:tcW w:w="1036" w:type="dxa"/>
            <w:tcBorders>
              <w:top w:val="nil"/>
              <w:left w:val="nil"/>
              <w:bottom w:val="single" w:sz="4" w:space="0" w:color="auto"/>
              <w:right w:val="single" w:sz="4" w:space="0" w:color="auto"/>
            </w:tcBorders>
            <w:shd w:val="clear" w:color="auto" w:fill="auto"/>
            <w:noWrap/>
            <w:vAlign w:val="center"/>
            <w:hideMark/>
          </w:tcPr>
          <w:p w14:paraId="0E56E03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5283230000</w:t>
            </w:r>
          </w:p>
        </w:tc>
        <w:tc>
          <w:tcPr>
            <w:tcW w:w="1036" w:type="dxa"/>
            <w:tcBorders>
              <w:top w:val="nil"/>
              <w:left w:val="nil"/>
              <w:bottom w:val="single" w:sz="4" w:space="0" w:color="auto"/>
              <w:right w:val="single" w:sz="4" w:space="0" w:color="auto"/>
            </w:tcBorders>
            <w:shd w:val="clear" w:color="auto" w:fill="auto"/>
            <w:noWrap/>
            <w:vAlign w:val="center"/>
            <w:hideMark/>
          </w:tcPr>
          <w:p w14:paraId="35E52B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16241207</w:t>
            </w:r>
          </w:p>
        </w:tc>
        <w:tc>
          <w:tcPr>
            <w:tcW w:w="160" w:type="dxa"/>
            <w:tcBorders>
              <w:top w:val="nil"/>
              <w:left w:val="nil"/>
              <w:bottom w:val="single" w:sz="4" w:space="0" w:color="auto"/>
              <w:right w:val="nil"/>
            </w:tcBorders>
            <w:vAlign w:val="center"/>
          </w:tcPr>
          <w:p w14:paraId="33BFAEF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BA826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KULTURO, TURIZEM IN MLADINO NOVO MESTO</w:t>
            </w:r>
          </w:p>
        </w:tc>
      </w:tr>
      <w:tr w:rsidR="00072A69" w:rsidRPr="00DC6DF9" w14:paraId="2C6115C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502E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2037</w:t>
            </w:r>
          </w:p>
        </w:tc>
        <w:tc>
          <w:tcPr>
            <w:tcW w:w="1036" w:type="dxa"/>
            <w:tcBorders>
              <w:top w:val="nil"/>
              <w:left w:val="nil"/>
              <w:bottom w:val="single" w:sz="4" w:space="0" w:color="auto"/>
              <w:right w:val="single" w:sz="4" w:space="0" w:color="auto"/>
            </w:tcBorders>
            <w:shd w:val="clear" w:color="auto" w:fill="auto"/>
            <w:noWrap/>
            <w:vAlign w:val="center"/>
            <w:hideMark/>
          </w:tcPr>
          <w:p w14:paraId="321991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1305832000</w:t>
            </w:r>
          </w:p>
        </w:tc>
        <w:tc>
          <w:tcPr>
            <w:tcW w:w="1036" w:type="dxa"/>
            <w:tcBorders>
              <w:top w:val="nil"/>
              <w:left w:val="nil"/>
              <w:bottom w:val="single" w:sz="4" w:space="0" w:color="auto"/>
              <w:right w:val="single" w:sz="4" w:space="0" w:color="auto"/>
            </w:tcBorders>
            <w:shd w:val="clear" w:color="auto" w:fill="auto"/>
            <w:noWrap/>
            <w:vAlign w:val="center"/>
            <w:hideMark/>
          </w:tcPr>
          <w:p w14:paraId="19E28D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27406199</w:t>
            </w:r>
          </w:p>
        </w:tc>
        <w:tc>
          <w:tcPr>
            <w:tcW w:w="160" w:type="dxa"/>
            <w:tcBorders>
              <w:top w:val="nil"/>
              <w:left w:val="nil"/>
              <w:bottom w:val="single" w:sz="4" w:space="0" w:color="auto"/>
              <w:right w:val="nil"/>
            </w:tcBorders>
            <w:vAlign w:val="center"/>
          </w:tcPr>
          <w:p w14:paraId="236DF05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BA8F8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TURIZEM IN PROSTI ČAS SEŽANA</w:t>
            </w:r>
          </w:p>
        </w:tc>
      </w:tr>
      <w:tr w:rsidR="00072A69" w:rsidRPr="00DC6DF9" w14:paraId="55FBB6E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38D29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2038</w:t>
            </w:r>
          </w:p>
        </w:tc>
        <w:tc>
          <w:tcPr>
            <w:tcW w:w="1036" w:type="dxa"/>
            <w:tcBorders>
              <w:top w:val="nil"/>
              <w:left w:val="nil"/>
              <w:bottom w:val="single" w:sz="4" w:space="0" w:color="auto"/>
              <w:right w:val="single" w:sz="4" w:space="0" w:color="auto"/>
            </w:tcBorders>
            <w:shd w:val="clear" w:color="auto" w:fill="auto"/>
            <w:noWrap/>
            <w:vAlign w:val="center"/>
            <w:hideMark/>
          </w:tcPr>
          <w:p w14:paraId="798540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2148528000</w:t>
            </w:r>
          </w:p>
        </w:tc>
        <w:tc>
          <w:tcPr>
            <w:tcW w:w="1036" w:type="dxa"/>
            <w:tcBorders>
              <w:top w:val="nil"/>
              <w:left w:val="nil"/>
              <w:bottom w:val="single" w:sz="4" w:space="0" w:color="auto"/>
              <w:right w:val="single" w:sz="4" w:space="0" w:color="auto"/>
            </w:tcBorders>
            <w:shd w:val="clear" w:color="auto" w:fill="auto"/>
            <w:noWrap/>
            <w:vAlign w:val="center"/>
            <w:hideMark/>
          </w:tcPr>
          <w:p w14:paraId="07FC90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43651348</w:t>
            </w:r>
          </w:p>
        </w:tc>
        <w:tc>
          <w:tcPr>
            <w:tcW w:w="160" w:type="dxa"/>
            <w:tcBorders>
              <w:top w:val="nil"/>
              <w:left w:val="nil"/>
              <w:bottom w:val="single" w:sz="4" w:space="0" w:color="auto"/>
              <w:right w:val="nil"/>
            </w:tcBorders>
            <w:vAlign w:val="center"/>
          </w:tcPr>
          <w:p w14:paraId="7F381D5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6CB07E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ŠPORT, TURIZEM, KULTURO IN MLADINO MEDVODE</w:t>
            </w:r>
          </w:p>
        </w:tc>
      </w:tr>
      <w:tr w:rsidR="00072A69" w:rsidRPr="00DC6DF9" w14:paraId="593D407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A3E7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2039</w:t>
            </w:r>
          </w:p>
        </w:tc>
        <w:tc>
          <w:tcPr>
            <w:tcW w:w="1036" w:type="dxa"/>
            <w:tcBorders>
              <w:top w:val="nil"/>
              <w:left w:val="nil"/>
              <w:bottom w:val="single" w:sz="4" w:space="0" w:color="auto"/>
              <w:right w:val="single" w:sz="4" w:space="0" w:color="auto"/>
            </w:tcBorders>
            <w:shd w:val="clear" w:color="auto" w:fill="auto"/>
            <w:noWrap/>
            <w:vAlign w:val="center"/>
            <w:hideMark/>
          </w:tcPr>
          <w:p w14:paraId="0EEB525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3805999000</w:t>
            </w:r>
          </w:p>
        </w:tc>
        <w:tc>
          <w:tcPr>
            <w:tcW w:w="1036" w:type="dxa"/>
            <w:tcBorders>
              <w:top w:val="nil"/>
              <w:left w:val="nil"/>
              <w:bottom w:val="single" w:sz="4" w:space="0" w:color="auto"/>
              <w:right w:val="single" w:sz="4" w:space="0" w:color="auto"/>
            </w:tcBorders>
            <w:shd w:val="clear" w:color="auto" w:fill="auto"/>
            <w:noWrap/>
            <w:vAlign w:val="center"/>
            <w:hideMark/>
          </w:tcPr>
          <w:p w14:paraId="74C300D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51208296</w:t>
            </w:r>
          </w:p>
        </w:tc>
        <w:tc>
          <w:tcPr>
            <w:tcW w:w="160" w:type="dxa"/>
            <w:tcBorders>
              <w:top w:val="nil"/>
              <w:left w:val="nil"/>
              <w:bottom w:val="single" w:sz="4" w:space="0" w:color="auto"/>
              <w:right w:val="nil"/>
            </w:tcBorders>
            <w:vAlign w:val="center"/>
          </w:tcPr>
          <w:p w14:paraId="7804102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EEC45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IDRIJA</w:t>
            </w:r>
          </w:p>
        </w:tc>
      </w:tr>
      <w:tr w:rsidR="00072A69" w:rsidRPr="00DC6DF9" w14:paraId="604F1F8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DE6A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2040</w:t>
            </w:r>
          </w:p>
        </w:tc>
        <w:tc>
          <w:tcPr>
            <w:tcW w:w="1036" w:type="dxa"/>
            <w:tcBorders>
              <w:top w:val="nil"/>
              <w:left w:val="nil"/>
              <w:bottom w:val="single" w:sz="4" w:space="0" w:color="auto"/>
              <w:right w:val="single" w:sz="4" w:space="0" w:color="auto"/>
            </w:tcBorders>
            <w:shd w:val="clear" w:color="auto" w:fill="auto"/>
            <w:noWrap/>
            <w:vAlign w:val="center"/>
            <w:hideMark/>
          </w:tcPr>
          <w:p w14:paraId="789DDC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1658484000</w:t>
            </w:r>
          </w:p>
        </w:tc>
        <w:tc>
          <w:tcPr>
            <w:tcW w:w="1036" w:type="dxa"/>
            <w:tcBorders>
              <w:top w:val="nil"/>
              <w:left w:val="nil"/>
              <w:bottom w:val="single" w:sz="4" w:space="0" w:color="auto"/>
              <w:right w:val="single" w:sz="4" w:space="0" w:color="auto"/>
            </w:tcBorders>
            <w:shd w:val="clear" w:color="auto" w:fill="auto"/>
            <w:noWrap/>
            <w:vAlign w:val="center"/>
            <w:hideMark/>
          </w:tcPr>
          <w:p w14:paraId="5B212B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52125653</w:t>
            </w:r>
          </w:p>
        </w:tc>
        <w:tc>
          <w:tcPr>
            <w:tcW w:w="160" w:type="dxa"/>
            <w:tcBorders>
              <w:top w:val="nil"/>
              <w:left w:val="nil"/>
              <w:bottom w:val="single" w:sz="4" w:space="0" w:color="auto"/>
              <w:right w:val="nil"/>
            </w:tcBorders>
            <w:vAlign w:val="center"/>
          </w:tcPr>
          <w:p w14:paraId="229C7F7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D221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IN KULTURO KRANJ</w:t>
            </w:r>
          </w:p>
        </w:tc>
      </w:tr>
      <w:tr w:rsidR="00072A69" w:rsidRPr="00DC6DF9" w14:paraId="297D277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7A2F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2041</w:t>
            </w:r>
          </w:p>
        </w:tc>
        <w:tc>
          <w:tcPr>
            <w:tcW w:w="1036" w:type="dxa"/>
            <w:tcBorders>
              <w:top w:val="nil"/>
              <w:left w:val="nil"/>
              <w:bottom w:val="single" w:sz="4" w:space="0" w:color="auto"/>
              <w:right w:val="single" w:sz="4" w:space="0" w:color="auto"/>
            </w:tcBorders>
            <w:shd w:val="clear" w:color="auto" w:fill="auto"/>
            <w:noWrap/>
            <w:vAlign w:val="center"/>
            <w:hideMark/>
          </w:tcPr>
          <w:p w14:paraId="286FB7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2041014000</w:t>
            </w:r>
          </w:p>
        </w:tc>
        <w:tc>
          <w:tcPr>
            <w:tcW w:w="1036" w:type="dxa"/>
            <w:tcBorders>
              <w:top w:val="nil"/>
              <w:left w:val="nil"/>
              <w:bottom w:val="single" w:sz="4" w:space="0" w:color="auto"/>
              <w:right w:val="single" w:sz="4" w:space="0" w:color="auto"/>
            </w:tcBorders>
            <w:shd w:val="clear" w:color="auto" w:fill="auto"/>
            <w:noWrap/>
            <w:vAlign w:val="center"/>
            <w:hideMark/>
          </w:tcPr>
          <w:p w14:paraId="60D4C7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43016782</w:t>
            </w:r>
          </w:p>
        </w:tc>
        <w:tc>
          <w:tcPr>
            <w:tcW w:w="160" w:type="dxa"/>
            <w:tcBorders>
              <w:top w:val="nil"/>
              <w:left w:val="nil"/>
              <w:bottom w:val="single" w:sz="4" w:space="0" w:color="auto"/>
              <w:right w:val="nil"/>
            </w:tcBorders>
            <w:vAlign w:val="center"/>
          </w:tcPr>
          <w:p w14:paraId="5DEA99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11FF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IN KULTURO ŽIROVNICA</w:t>
            </w:r>
          </w:p>
        </w:tc>
      </w:tr>
      <w:tr w:rsidR="00072A69" w:rsidRPr="00DC6DF9" w14:paraId="44C4058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5EB91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2042</w:t>
            </w:r>
          </w:p>
        </w:tc>
        <w:tc>
          <w:tcPr>
            <w:tcW w:w="1036" w:type="dxa"/>
            <w:tcBorders>
              <w:top w:val="nil"/>
              <w:left w:val="nil"/>
              <w:bottom w:val="single" w:sz="4" w:space="0" w:color="auto"/>
              <w:right w:val="single" w:sz="4" w:space="0" w:color="auto"/>
            </w:tcBorders>
            <w:shd w:val="clear" w:color="auto" w:fill="auto"/>
            <w:noWrap/>
            <w:vAlign w:val="center"/>
            <w:hideMark/>
          </w:tcPr>
          <w:p w14:paraId="69EEC9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6354564000</w:t>
            </w:r>
          </w:p>
        </w:tc>
        <w:tc>
          <w:tcPr>
            <w:tcW w:w="1036" w:type="dxa"/>
            <w:tcBorders>
              <w:top w:val="nil"/>
              <w:left w:val="nil"/>
              <w:bottom w:val="single" w:sz="4" w:space="0" w:color="auto"/>
              <w:right w:val="single" w:sz="4" w:space="0" w:color="auto"/>
            </w:tcBorders>
            <w:shd w:val="clear" w:color="auto" w:fill="auto"/>
            <w:noWrap/>
            <w:vAlign w:val="center"/>
            <w:hideMark/>
          </w:tcPr>
          <w:p w14:paraId="08A2AAB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72731249</w:t>
            </w:r>
          </w:p>
        </w:tc>
        <w:tc>
          <w:tcPr>
            <w:tcW w:w="160" w:type="dxa"/>
            <w:tcBorders>
              <w:top w:val="nil"/>
              <w:left w:val="nil"/>
              <w:bottom w:val="single" w:sz="4" w:space="0" w:color="auto"/>
              <w:right w:val="nil"/>
            </w:tcBorders>
            <w:vAlign w:val="center"/>
          </w:tcPr>
          <w:p w14:paraId="637C2FE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45BF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IN RAZVOJ LENDAVA</w:t>
            </w:r>
          </w:p>
        </w:tc>
      </w:tr>
      <w:tr w:rsidR="00072A69" w:rsidRPr="00DC6DF9" w14:paraId="382D254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14E0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2043</w:t>
            </w:r>
          </w:p>
        </w:tc>
        <w:tc>
          <w:tcPr>
            <w:tcW w:w="1036" w:type="dxa"/>
            <w:tcBorders>
              <w:top w:val="nil"/>
              <w:left w:val="nil"/>
              <w:bottom w:val="single" w:sz="4" w:space="0" w:color="auto"/>
              <w:right w:val="single" w:sz="4" w:space="0" w:color="auto"/>
            </w:tcBorders>
            <w:shd w:val="clear" w:color="auto" w:fill="auto"/>
            <w:noWrap/>
            <w:vAlign w:val="center"/>
            <w:hideMark/>
          </w:tcPr>
          <w:p w14:paraId="4EEC4A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2000148000</w:t>
            </w:r>
          </w:p>
        </w:tc>
        <w:tc>
          <w:tcPr>
            <w:tcW w:w="1036" w:type="dxa"/>
            <w:tcBorders>
              <w:top w:val="nil"/>
              <w:left w:val="nil"/>
              <w:bottom w:val="single" w:sz="4" w:space="0" w:color="auto"/>
              <w:right w:val="single" w:sz="4" w:space="0" w:color="auto"/>
            </w:tcBorders>
            <w:shd w:val="clear" w:color="auto" w:fill="auto"/>
            <w:noWrap/>
            <w:vAlign w:val="center"/>
            <w:hideMark/>
          </w:tcPr>
          <w:p w14:paraId="59F1DF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36005410</w:t>
            </w:r>
          </w:p>
        </w:tc>
        <w:tc>
          <w:tcPr>
            <w:tcW w:w="160" w:type="dxa"/>
            <w:tcBorders>
              <w:top w:val="nil"/>
              <w:left w:val="nil"/>
              <w:bottom w:val="single" w:sz="4" w:space="0" w:color="auto"/>
              <w:right w:val="nil"/>
            </w:tcBorders>
            <w:vAlign w:val="center"/>
          </w:tcPr>
          <w:p w14:paraId="2F18C9C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02D1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IN ŠPORT RADENCI</w:t>
            </w:r>
          </w:p>
        </w:tc>
      </w:tr>
      <w:tr w:rsidR="00072A69" w:rsidRPr="00DC6DF9" w14:paraId="3A6C203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6FACF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2044</w:t>
            </w:r>
          </w:p>
        </w:tc>
        <w:tc>
          <w:tcPr>
            <w:tcW w:w="1036" w:type="dxa"/>
            <w:tcBorders>
              <w:top w:val="nil"/>
              <w:left w:val="nil"/>
              <w:bottom w:val="single" w:sz="4" w:space="0" w:color="auto"/>
              <w:right w:val="single" w:sz="4" w:space="0" w:color="auto"/>
            </w:tcBorders>
            <w:shd w:val="clear" w:color="auto" w:fill="auto"/>
            <w:noWrap/>
            <w:vAlign w:val="center"/>
            <w:hideMark/>
          </w:tcPr>
          <w:p w14:paraId="4F001DB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1526022000</w:t>
            </w:r>
          </w:p>
        </w:tc>
        <w:tc>
          <w:tcPr>
            <w:tcW w:w="1036" w:type="dxa"/>
            <w:tcBorders>
              <w:top w:val="nil"/>
              <w:left w:val="nil"/>
              <w:bottom w:val="single" w:sz="4" w:space="0" w:color="auto"/>
              <w:right w:val="single" w:sz="4" w:space="0" w:color="auto"/>
            </w:tcBorders>
            <w:shd w:val="clear" w:color="auto" w:fill="auto"/>
            <w:noWrap/>
            <w:vAlign w:val="center"/>
            <w:hideMark/>
          </w:tcPr>
          <w:p w14:paraId="5280B4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70464600</w:t>
            </w:r>
          </w:p>
        </w:tc>
        <w:tc>
          <w:tcPr>
            <w:tcW w:w="160" w:type="dxa"/>
            <w:tcBorders>
              <w:top w:val="nil"/>
              <w:left w:val="nil"/>
              <w:bottom w:val="single" w:sz="4" w:space="0" w:color="auto"/>
              <w:right w:val="nil"/>
            </w:tcBorders>
            <w:vAlign w:val="center"/>
          </w:tcPr>
          <w:p w14:paraId="2EA1DC5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29007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MARIBOR - POHORJE</w:t>
            </w:r>
          </w:p>
        </w:tc>
      </w:tr>
      <w:tr w:rsidR="00072A69" w:rsidRPr="00DC6DF9" w14:paraId="6055B2F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11CE6A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2045</w:t>
            </w:r>
          </w:p>
        </w:tc>
        <w:tc>
          <w:tcPr>
            <w:tcW w:w="1036" w:type="dxa"/>
            <w:tcBorders>
              <w:top w:val="nil"/>
              <w:left w:val="nil"/>
              <w:bottom w:val="single" w:sz="4" w:space="0" w:color="auto"/>
              <w:right w:val="single" w:sz="4" w:space="0" w:color="auto"/>
            </w:tcBorders>
            <w:shd w:val="clear" w:color="auto" w:fill="auto"/>
            <w:noWrap/>
            <w:vAlign w:val="center"/>
            <w:hideMark/>
          </w:tcPr>
          <w:p w14:paraId="2CC954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1451316000</w:t>
            </w:r>
          </w:p>
        </w:tc>
        <w:tc>
          <w:tcPr>
            <w:tcW w:w="1036" w:type="dxa"/>
            <w:tcBorders>
              <w:top w:val="nil"/>
              <w:left w:val="nil"/>
              <w:bottom w:val="single" w:sz="4" w:space="0" w:color="auto"/>
              <w:right w:val="single" w:sz="4" w:space="0" w:color="auto"/>
            </w:tcBorders>
            <w:shd w:val="clear" w:color="auto" w:fill="auto"/>
            <w:noWrap/>
            <w:vAlign w:val="center"/>
            <w:hideMark/>
          </w:tcPr>
          <w:p w14:paraId="42AD70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15285367</w:t>
            </w:r>
          </w:p>
        </w:tc>
        <w:tc>
          <w:tcPr>
            <w:tcW w:w="160" w:type="dxa"/>
            <w:tcBorders>
              <w:top w:val="nil"/>
              <w:left w:val="nil"/>
              <w:bottom w:val="single" w:sz="4" w:space="0" w:color="auto"/>
              <w:right w:val="nil"/>
            </w:tcBorders>
            <w:vAlign w:val="center"/>
          </w:tcPr>
          <w:p w14:paraId="12BEB16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8A9AC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ŠALEŠKE DOLINE</w:t>
            </w:r>
          </w:p>
        </w:tc>
      </w:tr>
      <w:tr w:rsidR="00072A69" w:rsidRPr="00DC6DF9" w14:paraId="13BCA1F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BEBC4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2046</w:t>
            </w:r>
          </w:p>
        </w:tc>
        <w:tc>
          <w:tcPr>
            <w:tcW w:w="1036" w:type="dxa"/>
            <w:tcBorders>
              <w:top w:val="nil"/>
              <w:left w:val="nil"/>
              <w:bottom w:val="single" w:sz="4" w:space="0" w:color="auto"/>
              <w:right w:val="single" w:sz="4" w:space="0" w:color="auto"/>
            </w:tcBorders>
            <w:shd w:val="clear" w:color="auto" w:fill="auto"/>
            <w:noWrap/>
            <w:vAlign w:val="center"/>
            <w:hideMark/>
          </w:tcPr>
          <w:p w14:paraId="7A4A3C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3738027000</w:t>
            </w:r>
          </w:p>
        </w:tc>
        <w:tc>
          <w:tcPr>
            <w:tcW w:w="1036" w:type="dxa"/>
            <w:tcBorders>
              <w:top w:val="nil"/>
              <w:left w:val="nil"/>
              <w:bottom w:val="single" w:sz="4" w:space="0" w:color="auto"/>
              <w:right w:val="single" w:sz="4" w:space="0" w:color="auto"/>
            </w:tcBorders>
            <w:shd w:val="clear" w:color="auto" w:fill="auto"/>
            <w:noWrap/>
            <w:vAlign w:val="center"/>
            <w:hideMark/>
          </w:tcPr>
          <w:p w14:paraId="0D02972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29021995</w:t>
            </w:r>
          </w:p>
        </w:tc>
        <w:tc>
          <w:tcPr>
            <w:tcW w:w="160" w:type="dxa"/>
            <w:tcBorders>
              <w:top w:val="nil"/>
              <w:left w:val="nil"/>
              <w:bottom w:val="single" w:sz="4" w:space="0" w:color="auto"/>
              <w:right w:val="nil"/>
            </w:tcBorders>
            <w:vAlign w:val="center"/>
          </w:tcPr>
          <w:p w14:paraId="376CFB5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AF352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KULTURO, MLADINO IN ŠPORT BRDA</w:t>
            </w:r>
          </w:p>
        </w:tc>
      </w:tr>
      <w:tr w:rsidR="00072A69" w:rsidRPr="00DC6DF9" w14:paraId="31D7C88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9F828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2047</w:t>
            </w:r>
          </w:p>
        </w:tc>
        <w:tc>
          <w:tcPr>
            <w:tcW w:w="1036" w:type="dxa"/>
            <w:tcBorders>
              <w:top w:val="nil"/>
              <w:left w:val="nil"/>
              <w:bottom w:val="single" w:sz="4" w:space="0" w:color="auto"/>
              <w:right w:val="single" w:sz="4" w:space="0" w:color="auto"/>
            </w:tcBorders>
            <w:shd w:val="clear" w:color="auto" w:fill="auto"/>
            <w:noWrap/>
            <w:vAlign w:val="center"/>
            <w:hideMark/>
          </w:tcPr>
          <w:p w14:paraId="705FA5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1511181000</w:t>
            </w:r>
          </w:p>
        </w:tc>
        <w:tc>
          <w:tcPr>
            <w:tcW w:w="1036" w:type="dxa"/>
            <w:tcBorders>
              <w:top w:val="nil"/>
              <w:left w:val="nil"/>
              <w:bottom w:val="single" w:sz="4" w:space="0" w:color="auto"/>
              <w:right w:val="single" w:sz="4" w:space="0" w:color="auto"/>
            </w:tcBorders>
            <w:shd w:val="clear" w:color="auto" w:fill="auto"/>
            <w:noWrap/>
            <w:vAlign w:val="center"/>
            <w:hideMark/>
          </w:tcPr>
          <w:p w14:paraId="206B4F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80971423</w:t>
            </w:r>
          </w:p>
        </w:tc>
        <w:tc>
          <w:tcPr>
            <w:tcW w:w="160" w:type="dxa"/>
            <w:tcBorders>
              <w:top w:val="nil"/>
              <w:left w:val="nil"/>
              <w:bottom w:val="single" w:sz="4" w:space="0" w:color="auto"/>
              <w:right w:val="nil"/>
            </w:tcBorders>
            <w:vAlign w:val="center"/>
          </w:tcPr>
          <w:p w14:paraId="4FDA91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F0AF1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TURIZEM, ŠPORT IN KULTURO KAMNIK</w:t>
            </w:r>
          </w:p>
        </w:tc>
      </w:tr>
      <w:tr w:rsidR="00072A69" w:rsidRPr="00DC6DF9" w14:paraId="3006B97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E33B2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2048</w:t>
            </w:r>
          </w:p>
        </w:tc>
        <w:tc>
          <w:tcPr>
            <w:tcW w:w="1036" w:type="dxa"/>
            <w:tcBorders>
              <w:top w:val="nil"/>
              <w:left w:val="nil"/>
              <w:bottom w:val="single" w:sz="4" w:space="0" w:color="auto"/>
              <w:right w:val="single" w:sz="4" w:space="0" w:color="auto"/>
            </w:tcBorders>
            <w:shd w:val="clear" w:color="auto" w:fill="auto"/>
            <w:noWrap/>
            <w:vAlign w:val="center"/>
            <w:hideMark/>
          </w:tcPr>
          <w:p w14:paraId="605FA7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1779206000</w:t>
            </w:r>
          </w:p>
        </w:tc>
        <w:tc>
          <w:tcPr>
            <w:tcW w:w="1036" w:type="dxa"/>
            <w:tcBorders>
              <w:top w:val="nil"/>
              <w:left w:val="nil"/>
              <w:bottom w:val="single" w:sz="4" w:space="0" w:color="auto"/>
              <w:right w:val="single" w:sz="4" w:space="0" w:color="auto"/>
            </w:tcBorders>
            <w:shd w:val="clear" w:color="auto" w:fill="auto"/>
            <w:noWrap/>
            <w:vAlign w:val="center"/>
            <w:hideMark/>
          </w:tcPr>
          <w:p w14:paraId="5096E29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19326785</w:t>
            </w:r>
          </w:p>
        </w:tc>
        <w:tc>
          <w:tcPr>
            <w:tcW w:w="160" w:type="dxa"/>
            <w:tcBorders>
              <w:top w:val="nil"/>
              <w:left w:val="nil"/>
              <w:bottom w:val="single" w:sz="4" w:space="0" w:color="auto"/>
              <w:right w:val="nil"/>
            </w:tcBorders>
            <w:vAlign w:val="center"/>
          </w:tcPr>
          <w:p w14:paraId="477EFBF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D9609E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UPRAVLJANJE KULTURNE DEDIŠČINE GRAD</w:t>
            </w:r>
          </w:p>
        </w:tc>
      </w:tr>
      <w:tr w:rsidR="00072A69" w:rsidRPr="00DC6DF9" w14:paraId="1F78534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D05B5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2049</w:t>
            </w:r>
          </w:p>
        </w:tc>
        <w:tc>
          <w:tcPr>
            <w:tcW w:w="1036" w:type="dxa"/>
            <w:tcBorders>
              <w:top w:val="nil"/>
              <w:left w:val="nil"/>
              <w:bottom w:val="single" w:sz="4" w:space="0" w:color="auto"/>
              <w:right w:val="single" w:sz="4" w:space="0" w:color="auto"/>
            </w:tcBorders>
            <w:shd w:val="clear" w:color="auto" w:fill="auto"/>
            <w:noWrap/>
            <w:vAlign w:val="center"/>
            <w:hideMark/>
          </w:tcPr>
          <w:p w14:paraId="2F20A7E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5050596000</w:t>
            </w:r>
          </w:p>
        </w:tc>
        <w:tc>
          <w:tcPr>
            <w:tcW w:w="1036" w:type="dxa"/>
            <w:tcBorders>
              <w:top w:val="nil"/>
              <w:left w:val="nil"/>
              <w:bottom w:val="single" w:sz="4" w:space="0" w:color="auto"/>
              <w:right w:val="single" w:sz="4" w:space="0" w:color="auto"/>
            </w:tcBorders>
            <w:shd w:val="clear" w:color="auto" w:fill="auto"/>
            <w:noWrap/>
            <w:vAlign w:val="center"/>
            <w:hideMark/>
          </w:tcPr>
          <w:p w14:paraId="12D51C5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30910854</w:t>
            </w:r>
          </w:p>
        </w:tc>
        <w:tc>
          <w:tcPr>
            <w:tcW w:w="160" w:type="dxa"/>
            <w:tcBorders>
              <w:top w:val="nil"/>
              <w:left w:val="nil"/>
              <w:bottom w:val="single" w:sz="4" w:space="0" w:color="auto"/>
              <w:right w:val="nil"/>
            </w:tcBorders>
            <w:vAlign w:val="center"/>
          </w:tcPr>
          <w:p w14:paraId="14ADC30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2084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USPOSABLJANJE, DELO IN VARSTVO DR. MARIJANA BORŠTNARJA DORNAVA</w:t>
            </w:r>
          </w:p>
        </w:tc>
      </w:tr>
      <w:tr w:rsidR="00072A69" w:rsidRPr="00DC6DF9" w14:paraId="3E65144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6208ED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2050</w:t>
            </w:r>
          </w:p>
        </w:tc>
        <w:tc>
          <w:tcPr>
            <w:tcW w:w="1036" w:type="dxa"/>
            <w:tcBorders>
              <w:top w:val="nil"/>
              <w:left w:val="nil"/>
              <w:bottom w:val="single" w:sz="4" w:space="0" w:color="auto"/>
              <w:right w:val="single" w:sz="4" w:space="0" w:color="auto"/>
            </w:tcBorders>
            <w:shd w:val="clear" w:color="auto" w:fill="auto"/>
            <w:noWrap/>
            <w:vAlign w:val="center"/>
            <w:hideMark/>
          </w:tcPr>
          <w:p w14:paraId="0A15584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5051223000</w:t>
            </w:r>
          </w:p>
        </w:tc>
        <w:tc>
          <w:tcPr>
            <w:tcW w:w="1036" w:type="dxa"/>
            <w:tcBorders>
              <w:top w:val="nil"/>
              <w:left w:val="nil"/>
              <w:bottom w:val="single" w:sz="4" w:space="0" w:color="auto"/>
              <w:right w:val="single" w:sz="4" w:space="0" w:color="auto"/>
            </w:tcBorders>
            <w:shd w:val="clear" w:color="auto" w:fill="auto"/>
            <w:vAlign w:val="center"/>
            <w:hideMark/>
          </w:tcPr>
          <w:p w14:paraId="6FE7704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96476915</w:t>
            </w:r>
          </w:p>
        </w:tc>
        <w:tc>
          <w:tcPr>
            <w:tcW w:w="160" w:type="dxa"/>
            <w:tcBorders>
              <w:top w:val="nil"/>
              <w:left w:val="nil"/>
              <w:bottom w:val="single" w:sz="4" w:space="0" w:color="auto"/>
              <w:right w:val="nil"/>
            </w:tcBorders>
            <w:vAlign w:val="center"/>
          </w:tcPr>
          <w:p w14:paraId="1CCB5C9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vAlign w:val="center"/>
            <w:hideMark/>
          </w:tcPr>
          <w:p w14:paraId="40ACC09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ZAVOD ZA VZGOJO IN IZOBRAŽEVANJE LOGATEC </w:t>
            </w:r>
            <w:proofErr w:type="spellStart"/>
            <w:r w:rsidRPr="00DC6DF9">
              <w:rPr>
                <w:rFonts w:ascii="Arial" w:eastAsia="Times New Roman" w:hAnsi="Arial" w:cs="Arial"/>
                <w:color w:val="000000"/>
                <w:sz w:val="16"/>
                <w:szCs w:val="16"/>
                <w:lang w:eastAsia="sl-SI"/>
              </w:rPr>
              <w:t>LOGATEC</w:t>
            </w:r>
            <w:proofErr w:type="spellEnd"/>
          </w:p>
        </w:tc>
      </w:tr>
      <w:tr w:rsidR="00072A69" w:rsidRPr="00DC6DF9" w14:paraId="354B546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C6F2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2051</w:t>
            </w:r>
          </w:p>
        </w:tc>
        <w:tc>
          <w:tcPr>
            <w:tcW w:w="1036" w:type="dxa"/>
            <w:tcBorders>
              <w:top w:val="nil"/>
              <w:left w:val="nil"/>
              <w:bottom w:val="single" w:sz="4" w:space="0" w:color="auto"/>
              <w:right w:val="single" w:sz="4" w:space="0" w:color="auto"/>
            </w:tcBorders>
            <w:shd w:val="clear" w:color="auto" w:fill="auto"/>
            <w:noWrap/>
            <w:vAlign w:val="center"/>
            <w:hideMark/>
          </w:tcPr>
          <w:p w14:paraId="5958DAB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5554195000</w:t>
            </w:r>
          </w:p>
        </w:tc>
        <w:tc>
          <w:tcPr>
            <w:tcW w:w="1036" w:type="dxa"/>
            <w:tcBorders>
              <w:top w:val="nil"/>
              <w:left w:val="nil"/>
              <w:bottom w:val="single" w:sz="4" w:space="0" w:color="auto"/>
              <w:right w:val="single" w:sz="4" w:space="0" w:color="auto"/>
            </w:tcBorders>
            <w:shd w:val="clear" w:color="auto" w:fill="auto"/>
            <w:noWrap/>
            <w:vAlign w:val="center"/>
            <w:hideMark/>
          </w:tcPr>
          <w:p w14:paraId="40CBB90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41698070</w:t>
            </w:r>
          </w:p>
        </w:tc>
        <w:tc>
          <w:tcPr>
            <w:tcW w:w="160" w:type="dxa"/>
            <w:tcBorders>
              <w:top w:val="nil"/>
              <w:left w:val="nil"/>
              <w:bottom w:val="single" w:sz="4" w:space="0" w:color="auto"/>
              <w:right w:val="nil"/>
            </w:tcBorders>
            <w:vAlign w:val="center"/>
          </w:tcPr>
          <w:p w14:paraId="628743B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A3DF0C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ZA ZDRAVSTVENO ZAVAROVANJE SLOVENIJE</w:t>
            </w:r>
          </w:p>
        </w:tc>
      </w:tr>
      <w:tr w:rsidR="00072A69" w:rsidRPr="00DC6DF9" w14:paraId="51C0DF7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F166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2052</w:t>
            </w:r>
          </w:p>
        </w:tc>
        <w:tc>
          <w:tcPr>
            <w:tcW w:w="1036" w:type="dxa"/>
            <w:tcBorders>
              <w:top w:val="nil"/>
              <w:left w:val="nil"/>
              <w:bottom w:val="single" w:sz="4" w:space="0" w:color="auto"/>
              <w:right w:val="single" w:sz="4" w:space="0" w:color="auto"/>
            </w:tcBorders>
            <w:shd w:val="clear" w:color="auto" w:fill="auto"/>
            <w:noWrap/>
            <w:vAlign w:val="center"/>
            <w:hideMark/>
          </w:tcPr>
          <w:p w14:paraId="38F460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5052289000</w:t>
            </w:r>
          </w:p>
        </w:tc>
        <w:tc>
          <w:tcPr>
            <w:tcW w:w="1036" w:type="dxa"/>
            <w:tcBorders>
              <w:top w:val="nil"/>
              <w:left w:val="nil"/>
              <w:bottom w:val="single" w:sz="4" w:space="0" w:color="auto"/>
              <w:right w:val="single" w:sz="4" w:space="0" w:color="auto"/>
            </w:tcBorders>
            <w:shd w:val="clear" w:color="auto" w:fill="auto"/>
            <w:noWrap/>
            <w:vAlign w:val="center"/>
            <w:hideMark/>
          </w:tcPr>
          <w:p w14:paraId="1216ED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96416254</w:t>
            </w:r>
          </w:p>
        </w:tc>
        <w:tc>
          <w:tcPr>
            <w:tcW w:w="160" w:type="dxa"/>
            <w:tcBorders>
              <w:top w:val="nil"/>
              <w:left w:val="nil"/>
              <w:bottom w:val="single" w:sz="4" w:space="0" w:color="auto"/>
              <w:right w:val="nil"/>
            </w:tcBorders>
            <w:vAlign w:val="center"/>
          </w:tcPr>
          <w:p w14:paraId="14A9F7B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9031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ZAVOD ZNANJE POSTOJNA</w:t>
            </w:r>
          </w:p>
        </w:tc>
      </w:tr>
      <w:tr w:rsidR="00072A69" w:rsidRPr="00DC6DF9" w14:paraId="2369A3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F49DF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2053</w:t>
            </w:r>
          </w:p>
        </w:tc>
        <w:tc>
          <w:tcPr>
            <w:tcW w:w="1036" w:type="dxa"/>
            <w:tcBorders>
              <w:top w:val="nil"/>
              <w:left w:val="nil"/>
              <w:bottom w:val="single" w:sz="4" w:space="0" w:color="auto"/>
              <w:right w:val="single" w:sz="4" w:space="0" w:color="auto"/>
            </w:tcBorders>
            <w:shd w:val="clear" w:color="auto" w:fill="auto"/>
            <w:noWrap/>
            <w:vAlign w:val="center"/>
            <w:hideMark/>
          </w:tcPr>
          <w:p w14:paraId="001A9F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5107164000</w:t>
            </w:r>
          </w:p>
        </w:tc>
        <w:tc>
          <w:tcPr>
            <w:tcW w:w="1036" w:type="dxa"/>
            <w:tcBorders>
              <w:top w:val="nil"/>
              <w:left w:val="nil"/>
              <w:bottom w:val="single" w:sz="4" w:space="0" w:color="auto"/>
              <w:right w:val="single" w:sz="4" w:space="0" w:color="auto"/>
            </w:tcBorders>
            <w:shd w:val="clear" w:color="auto" w:fill="auto"/>
            <w:noWrap/>
            <w:vAlign w:val="center"/>
            <w:hideMark/>
          </w:tcPr>
          <w:p w14:paraId="185EF85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39847128</w:t>
            </w:r>
          </w:p>
        </w:tc>
        <w:tc>
          <w:tcPr>
            <w:tcW w:w="160" w:type="dxa"/>
            <w:tcBorders>
              <w:top w:val="nil"/>
              <w:left w:val="nil"/>
              <w:bottom w:val="single" w:sz="4" w:space="0" w:color="auto"/>
              <w:right w:val="nil"/>
            </w:tcBorders>
            <w:vAlign w:val="center"/>
          </w:tcPr>
          <w:p w14:paraId="0E68E1A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8A52A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AJDOVŠČINA</w:t>
            </w:r>
          </w:p>
        </w:tc>
      </w:tr>
      <w:tr w:rsidR="00072A69" w:rsidRPr="00DC6DF9" w14:paraId="61C7603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6BDBAC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2054</w:t>
            </w:r>
          </w:p>
        </w:tc>
        <w:tc>
          <w:tcPr>
            <w:tcW w:w="1036" w:type="dxa"/>
            <w:tcBorders>
              <w:top w:val="nil"/>
              <w:left w:val="nil"/>
              <w:bottom w:val="single" w:sz="4" w:space="0" w:color="auto"/>
              <w:right w:val="single" w:sz="4" w:space="0" w:color="auto"/>
            </w:tcBorders>
            <w:shd w:val="clear" w:color="auto" w:fill="auto"/>
            <w:noWrap/>
            <w:vAlign w:val="center"/>
            <w:hideMark/>
          </w:tcPr>
          <w:p w14:paraId="57B32CD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5056268000</w:t>
            </w:r>
          </w:p>
        </w:tc>
        <w:tc>
          <w:tcPr>
            <w:tcW w:w="1036" w:type="dxa"/>
            <w:tcBorders>
              <w:top w:val="nil"/>
              <w:left w:val="nil"/>
              <w:bottom w:val="single" w:sz="4" w:space="0" w:color="auto"/>
              <w:right w:val="single" w:sz="4" w:space="0" w:color="auto"/>
            </w:tcBorders>
            <w:shd w:val="clear" w:color="auto" w:fill="auto"/>
            <w:noWrap/>
            <w:vAlign w:val="center"/>
            <w:hideMark/>
          </w:tcPr>
          <w:p w14:paraId="0FCB6D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69835853</w:t>
            </w:r>
          </w:p>
        </w:tc>
        <w:tc>
          <w:tcPr>
            <w:tcW w:w="160" w:type="dxa"/>
            <w:tcBorders>
              <w:top w:val="nil"/>
              <w:left w:val="nil"/>
              <w:bottom w:val="single" w:sz="4" w:space="0" w:color="auto"/>
              <w:right w:val="nil"/>
            </w:tcBorders>
            <w:vAlign w:val="center"/>
          </w:tcPr>
          <w:p w14:paraId="0A43E2D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61A36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BREŽICE</w:t>
            </w:r>
          </w:p>
        </w:tc>
      </w:tr>
      <w:tr w:rsidR="00072A69" w:rsidRPr="00DC6DF9" w14:paraId="4BFCBC5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C3131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2055</w:t>
            </w:r>
          </w:p>
        </w:tc>
        <w:tc>
          <w:tcPr>
            <w:tcW w:w="1036" w:type="dxa"/>
            <w:tcBorders>
              <w:top w:val="nil"/>
              <w:left w:val="nil"/>
              <w:bottom w:val="single" w:sz="4" w:space="0" w:color="auto"/>
              <w:right w:val="single" w:sz="4" w:space="0" w:color="auto"/>
            </w:tcBorders>
            <w:shd w:val="clear" w:color="auto" w:fill="auto"/>
            <w:noWrap/>
            <w:vAlign w:val="center"/>
            <w:hideMark/>
          </w:tcPr>
          <w:p w14:paraId="2EC055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5619017000</w:t>
            </w:r>
          </w:p>
        </w:tc>
        <w:tc>
          <w:tcPr>
            <w:tcW w:w="1036" w:type="dxa"/>
            <w:tcBorders>
              <w:top w:val="nil"/>
              <w:left w:val="nil"/>
              <w:bottom w:val="single" w:sz="4" w:space="0" w:color="auto"/>
              <w:right w:val="single" w:sz="4" w:space="0" w:color="auto"/>
            </w:tcBorders>
            <w:shd w:val="clear" w:color="auto" w:fill="auto"/>
            <w:noWrap/>
            <w:vAlign w:val="center"/>
            <w:hideMark/>
          </w:tcPr>
          <w:p w14:paraId="23ABBAF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56373538</w:t>
            </w:r>
          </w:p>
        </w:tc>
        <w:tc>
          <w:tcPr>
            <w:tcW w:w="160" w:type="dxa"/>
            <w:tcBorders>
              <w:top w:val="nil"/>
              <w:left w:val="nil"/>
              <w:bottom w:val="single" w:sz="4" w:space="0" w:color="auto"/>
              <w:right w:val="nil"/>
            </w:tcBorders>
            <w:vAlign w:val="center"/>
          </w:tcPr>
          <w:p w14:paraId="0E302C8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2859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CELJE</w:t>
            </w:r>
          </w:p>
        </w:tc>
      </w:tr>
      <w:tr w:rsidR="00072A69" w:rsidRPr="00DC6DF9" w14:paraId="71E524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9D313F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2056</w:t>
            </w:r>
          </w:p>
        </w:tc>
        <w:tc>
          <w:tcPr>
            <w:tcW w:w="1036" w:type="dxa"/>
            <w:tcBorders>
              <w:top w:val="nil"/>
              <w:left w:val="nil"/>
              <w:bottom w:val="single" w:sz="4" w:space="0" w:color="auto"/>
              <w:right w:val="single" w:sz="4" w:space="0" w:color="auto"/>
            </w:tcBorders>
            <w:shd w:val="clear" w:color="auto" w:fill="auto"/>
            <w:noWrap/>
            <w:vAlign w:val="center"/>
            <w:hideMark/>
          </w:tcPr>
          <w:p w14:paraId="71B22FA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5054605000</w:t>
            </w:r>
          </w:p>
        </w:tc>
        <w:tc>
          <w:tcPr>
            <w:tcW w:w="1036" w:type="dxa"/>
            <w:tcBorders>
              <w:top w:val="nil"/>
              <w:left w:val="nil"/>
              <w:bottom w:val="single" w:sz="4" w:space="0" w:color="auto"/>
              <w:right w:val="single" w:sz="4" w:space="0" w:color="auto"/>
            </w:tcBorders>
            <w:shd w:val="clear" w:color="auto" w:fill="auto"/>
            <w:noWrap/>
            <w:vAlign w:val="center"/>
            <w:hideMark/>
          </w:tcPr>
          <w:p w14:paraId="5BDA8D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21020442</w:t>
            </w:r>
          </w:p>
        </w:tc>
        <w:tc>
          <w:tcPr>
            <w:tcW w:w="160" w:type="dxa"/>
            <w:tcBorders>
              <w:top w:val="nil"/>
              <w:left w:val="nil"/>
              <w:bottom w:val="single" w:sz="4" w:space="0" w:color="auto"/>
              <w:right w:val="nil"/>
            </w:tcBorders>
            <w:vAlign w:val="center"/>
          </w:tcPr>
          <w:p w14:paraId="6A82C35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8CB41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ČRNOMELJ</w:t>
            </w:r>
          </w:p>
        </w:tc>
      </w:tr>
      <w:tr w:rsidR="00072A69" w:rsidRPr="00DC6DF9" w14:paraId="3E224C5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EA5F1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2057</w:t>
            </w:r>
          </w:p>
        </w:tc>
        <w:tc>
          <w:tcPr>
            <w:tcW w:w="1036" w:type="dxa"/>
            <w:tcBorders>
              <w:top w:val="nil"/>
              <w:left w:val="nil"/>
              <w:bottom w:val="single" w:sz="4" w:space="0" w:color="auto"/>
              <w:right w:val="single" w:sz="4" w:space="0" w:color="auto"/>
            </w:tcBorders>
            <w:shd w:val="clear" w:color="auto" w:fill="auto"/>
            <w:noWrap/>
            <w:vAlign w:val="center"/>
            <w:hideMark/>
          </w:tcPr>
          <w:p w14:paraId="3F354E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5500931000</w:t>
            </w:r>
          </w:p>
        </w:tc>
        <w:tc>
          <w:tcPr>
            <w:tcW w:w="1036" w:type="dxa"/>
            <w:tcBorders>
              <w:top w:val="nil"/>
              <w:left w:val="nil"/>
              <w:bottom w:val="single" w:sz="4" w:space="0" w:color="auto"/>
              <w:right w:val="single" w:sz="4" w:space="0" w:color="auto"/>
            </w:tcBorders>
            <w:shd w:val="clear" w:color="auto" w:fill="auto"/>
            <w:noWrap/>
            <w:vAlign w:val="center"/>
            <w:hideMark/>
          </w:tcPr>
          <w:p w14:paraId="7B14E17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88946347</w:t>
            </w:r>
          </w:p>
        </w:tc>
        <w:tc>
          <w:tcPr>
            <w:tcW w:w="160" w:type="dxa"/>
            <w:tcBorders>
              <w:top w:val="nil"/>
              <w:left w:val="nil"/>
              <w:bottom w:val="single" w:sz="4" w:space="0" w:color="auto"/>
              <w:right w:val="nil"/>
            </w:tcBorders>
            <w:vAlign w:val="center"/>
          </w:tcPr>
          <w:p w14:paraId="6B1AF1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3AA7A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DOMŽALE</w:t>
            </w:r>
          </w:p>
        </w:tc>
      </w:tr>
      <w:tr w:rsidR="00072A69" w:rsidRPr="00DC6DF9" w14:paraId="33DEF03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D674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2058</w:t>
            </w:r>
          </w:p>
        </w:tc>
        <w:tc>
          <w:tcPr>
            <w:tcW w:w="1036" w:type="dxa"/>
            <w:tcBorders>
              <w:top w:val="nil"/>
              <w:left w:val="nil"/>
              <w:bottom w:val="single" w:sz="4" w:space="0" w:color="auto"/>
              <w:right w:val="single" w:sz="4" w:space="0" w:color="auto"/>
            </w:tcBorders>
            <w:shd w:val="clear" w:color="auto" w:fill="auto"/>
            <w:noWrap/>
            <w:vAlign w:val="center"/>
            <w:hideMark/>
          </w:tcPr>
          <w:p w14:paraId="723977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5054095000</w:t>
            </w:r>
          </w:p>
        </w:tc>
        <w:tc>
          <w:tcPr>
            <w:tcW w:w="1036" w:type="dxa"/>
            <w:tcBorders>
              <w:top w:val="nil"/>
              <w:left w:val="nil"/>
              <w:bottom w:val="single" w:sz="4" w:space="0" w:color="auto"/>
              <w:right w:val="single" w:sz="4" w:space="0" w:color="auto"/>
            </w:tcBorders>
            <w:shd w:val="clear" w:color="auto" w:fill="auto"/>
            <w:noWrap/>
            <w:vAlign w:val="center"/>
            <w:hideMark/>
          </w:tcPr>
          <w:p w14:paraId="219C2B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49672509</w:t>
            </w:r>
          </w:p>
        </w:tc>
        <w:tc>
          <w:tcPr>
            <w:tcW w:w="160" w:type="dxa"/>
            <w:tcBorders>
              <w:top w:val="nil"/>
              <w:left w:val="nil"/>
              <w:bottom w:val="single" w:sz="4" w:space="0" w:color="auto"/>
              <w:right w:val="nil"/>
            </w:tcBorders>
            <w:vAlign w:val="center"/>
          </w:tcPr>
          <w:p w14:paraId="7F30E5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1F30A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DR. ADOLFA DROLCA MARIBOR</w:t>
            </w:r>
          </w:p>
        </w:tc>
      </w:tr>
      <w:tr w:rsidR="00072A69" w:rsidRPr="00DC6DF9" w14:paraId="3F0B6D1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B2F3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2059</w:t>
            </w:r>
          </w:p>
        </w:tc>
        <w:tc>
          <w:tcPr>
            <w:tcW w:w="1036" w:type="dxa"/>
            <w:tcBorders>
              <w:top w:val="nil"/>
              <w:left w:val="nil"/>
              <w:bottom w:val="single" w:sz="4" w:space="0" w:color="auto"/>
              <w:right w:val="single" w:sz="4" w:space="0" w:color="auto"/>
            </w:tcBorders>
            <w:shd w:val="clear" w:color="auto" w:fill="auto"/>
            <w:noWrap/>
            <w:vAlign w:val="center"/>
            <w:hideMark/>
          </w:tcPr>
          <w:p w14:paraId="0E338CA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5158842000</w:t>
            </w:r>
          </w:p>
        </w:tc>
        <w:tc>
          <w:tcPr>
            <w:tcW w:w="1036" w:type="dxa"/>
            <w:tcBorders>
              <w:top w:val="nil"/>
              <w:left w:val="nil"/>
              <w:bottom w:val="single" w:sz="4" w:space="0" w:color="auto"/>
              <w:right w:val="single" w:sz="4" w:space="0" w:color="auto"/>
            </w:tcBorders>
            <w:shd w:val="clear" w:color="auto" w:fill="auto"/>
            <w:noWrap/>
            <w:vAlign w:val="center"/>
            <w:hideMark/>
          </w:tcPr>
          <w:p w14:paraId="6AA89E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83479007</w:t>
            </w:r>
          </w:p>
        </w:tc>
        <w:tc>
          <w:tcPr>
            <w:tcW w:w="160" w:type="dxa"/>
            <w:tcBorders>
              <w:top w:val="nil"/>
              <w:left w:val="nil"/>
              <w:bottom w:val="single" w:sz="4" w:space="0" w:color="auto"/>
              <w:right w:val="nil"/>
            </w:tcBorders>
            <w:vAlign w:val="center"/>
          </w:tcPr>
          <w:p w14:paraId="61CC733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B6DD18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DR. BOŽIDARJA LAVRIČA - CERKNICA</w:t>
            </w:r>
          </w:p>
        </w:tc>
      </w:tr>
      <w:tr w:rsidR="00072A69" w:rsidRPr="00DC6DF9" w14:paraId="1962273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4644DB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2060</w:t>
            </w:r>
          </w:p>
        </w:tc>
        <w:tc>
          <w:tcPr>
            <w:tcW w:w="1036" w:type="dxa"/>
            <w:tcBorders>
              <w:top w:val="nil"/>
              <w:left w:val="nil"/>
              <w:bottom w:val="single" w:sz="4" w:space="0" w:color="auto"/>
              <w:right w:val="single" w:sz="4" w:space="0" w:color="auto"/>
            </w:tcBorders>
            <w:shd w:val="clear" w:color="auto" w:fill="auto"/>
            <w:noWrap/>
            <w:vAlign w:val="center"/>
            <w:hideMark/>
          </w:tcPr>
          <w:p w14:paraId="070546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5779138000</w:t>
            </w:r>
          </w:p>
        </w:tc>
        <w:tc>
          <w:tcPr>
            <w:tcW w:w="1036" w:type="dxa"/>
            <w:tcBorders>
              <w:top w:val="nil"/>
              <w:left w:val="nil"/>
              <w:bottom w:val="single" w:sz="4" w:space="0" w:color="auto"/>
              <w:right w:val="single" w:sz="4" w:space="0" w:color="auto"/>
            </w:tcBorders>
            <w:shd w:val="clear" w:color="auto" w:fill="auto"/>
            <w:noWrap/>
            <w:vAlign w:val="center"/>
            <w:hideMark/>
          </w:tcPr>
          <w:p w14:paraId="70680C3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72234911</w:t>
            </w:r>
          </w:p>
        </w:tc>
        <w:tc>
          <w:tcPr>
            <w:tcW w:w="160" w:type="dxa"/>
            <w:tcBorders>
              <w:top w:val="nil"/>
              <w:left w:val="nil"/>
              <w:bottom w:val="single" w:sz="4" w:space="0" w:color="auto"/>
              <w:right w:val="nil"/>
            </w:tcBorders>
            <w:vAlign w:val="center"/>
          </w:tcPr>
          <w:p w14:paraId="62A94B9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C576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DR. FRANCA AMBROŽIČA, POSTOJNA</w:t>
            </w:r>
          </w:p>
        </w:tc>
      </w:tr>
      <w:tr w:rsidR="00072A69" w:rsidRPr="00DC6DF9" w14:paraId="21991BE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587259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2061</w:t>
            </w:r>
          </w:p>
        </w:tc>
        <w:tc>
          <w:tcPr>
            <w:tcW w:w="1036" w:type="dxa"/>
            <w:tcBorders>
              <w:top w:val="nil"/>
              <w:left w:val="nil"/>
              <w:bottom w:val="single" w:sz="4" w:space="0" w:color="auto"/>
              <w:right w:val="single" w:sz="4" w:space="0" w:color="auto"/>
            </w:tcBorders>
            <w:shd w:val="clear" w:color="auto" w:fill="auto"/>
            <w:noWrap/>
            <w:vAlign w:val="center"/>
            <w:hideMark/>
          </w:tcPr>
          <w:p w14:paraId="0CBA366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5169992000</w:t>
            </w:r>
          </w:p>
        </w:tc>
        <w:tc>
          <w:tcPr>
            <w:tcW w:w="1036" w:type="dxa"/>
            <w:tcBorders>
              <w:top w:val="nil"/>
              <w:left w:val="nil"/>
              <w:bottom w:val="single" w:sz="4" w:space="0" w:color="auto"/>
              <w:right w:val="single" w:sz="4" w:space="0" w:color="auto"/>
            </w:tcBorders>
            <w:shd w:val="clear" w:color="auto" w:fill="auto"/>
            <w:noWrap/>
            <w:vAlign w:val="center"/>
            <w:hideMark/>
          </w:tcPr>
          <w:p w14:paraId="5EC5BC6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99071703</w:t>
            </w:r>
          </w:p>
        </w:tc>
        <w:tc>
          <w:tcPr>
            <w:tcW w:w="160" w:type="dxa"/>
            <w:tcBorders>
              <w:top w:val="nil"/>
              <w:left w:val="nil"/>
              <w:bottom w:val="single" w:sz="4" w:space="0" w:color="auto"/>
              <w:right w:val="nil"/>
            </w:tcBorders>
            <w:vAlign w:val="center"/>
          </w:tcPr>
          <w:p w14:paraId="62D96A9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9DC40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DR. JANEZA ORAŽMA RIBNICA</w:t>
            </w:r>
          </w:p>
        </w:tc>
      </w:tr>
      <w:tr w:rsidR="00072A69" w:rsidRPr="00DC6DF9" w14:paraId="6A488FF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D072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2062</w:t>
            </w:r>
          </w:p>
        </w:tc>
        <w:tc>
          <w:tcPr>
            <w:tcW w:w="1036" w:type="dxa"/>
            <w:tcBorders>
              <w:top w:val="nil"/>
              <w:left w:val="nil"/>
              <w:bottom w:val="single" w:sz="4" w:space="0" w:color="auto"/>
              <w:right w:val="single" w:sz="4" w:space="0" w:color="auto"/>
            </w:tcBorders>
            <w:shd w:val="clear" w:color="auto" w:fill="auto"/>
            <w:noWrap/>
            <w:vAlign w:val="center"/>
            <w:hideMark/>
          </w:tcPr>
          <w:p w14:paraId="1CC606A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5636540000</w:t>
            </w:r>
          </w:p>
        </w:tc>
        <w:tc>
          <w:tcPr>
            <w:tcW w:w="1036" w:type="dxa"/>
            <w:tcBorders>
              <w:top w:val="nil"/>
              <w:left w:val="nil"/>
              <w:bottom w:val="single" w:sz="4" w:space="0" w:color="auto"/>
              <w:right w:val="single" w:sz="4" w:space="0" w:color="auto"/>
            </w:tcBorders>
            <w:shd w:val="clear" w:color="auto" w:fill="auto"/>
            <w:noWrap/>
            <w:vAlign w:val="center"/>
            <w:hideMark/>
          </w:tcPr>
          <w:p w14:paraId="73F8E55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16739116</w:t>
            </w:r>
          </w:p>
        </w:tc>
        <w:tc>
          <w:tcPr>
            <w:tcW w:w="160" w:type="dxa"/>
            <w:tcBorders>
              <w:top w:val="nil"/>
              <w:left w:val="nil"/>
              <w:bottom w:val="single" w:sz="4" w:space="0" w:color="auto"/>
              <w:right w:val="nil"/>
            </w:tcBorders>
            <w:vAlign w:val="center"/>
          </w:tcPr>
          <w:p w14:paraId="2E832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01709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DR. JOŽETA POTRATE ŽALEC</w:t>
            </w:r>
          </w:p>
        </w:tc>
      </w:tr>
      <w:tr w:rsidR="00072A69" w:rsidRPr="00DC6DF9" w14:paraId="4B25FAE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CC7EB8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2063</w:t>
            </w:r>
          </w:p>
        </w:tc>
        <w:tc>
          <w:tcPr>
            <w:tcW w:w="1036" w:type="dxa"/>
            <w:tcBorders>
              <w:top w:val="nil"/>
              <w:left w:val="nil"/>
              <w:bottom w:val="single" w:sz="4" w:space="0" w:color="auto"/>
              <w:right w:val="single" w:sz="4" w:space="0" w:color="auto"/>
            </w:tcBorders>
            <w:shd w:val="clear" w:color="auto" w:fill="auto"/>
            <w:noWrap/>
            <w:vAlign w:val="center"/>
            <w:hideMark/>
          </w:tcPr>
          <w:p w14:paraId="1CA414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5056853000</w:t>
            </w:r>
          </w:p>
        </w:tc>
        <w:tc>
          <w:tcPr>
            <w:tcW w:w="1036" w:type="dxa"/>
            <w:tcBorders>
              <w:top w:val="nil"/>
              <w:left w:val="nil"/>
              <w:bottom w:val="single" w:sz="4" w:space="0" w:color="auto"/>
              <w:right w:val="single" w:sz="4" w:space="0" w:color="auto"/>
            </w:tcBorders>
            <w:shd w:val="clear" w:color="auto" w:fill="auto"/>
            <w:noWrap/>
            <w:vAlign w:val="center"/>
            <w:hideMark/>
          </w:tcPr>
          <w:p w14:paraId="5DA602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15049736</w:t>
            </w:r>
          </w:p>
        </w:tc>
        <w:tc>
          <w:tcPr>
            <w:tcW w:w="160" w:type="dxa"/>
            <w:tcBorders>
              <w:top w:val="nil"/>
              <w:left w:val="nil"/>
              <w:bottom w:val="single" w:sz="4" w:space="0" w:color="auto"/>
              <w:right w:val="nil"/>
            </w:tcBorders>
            <w:vAlign w:val="center"/>
          </w:tcPr>
          <w:p w14:paraId="44B2E73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E5C04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DR. JULIJA POLCA KAMNIK</w:t>
            </w:r>
          </w:p>
        </w:tc>
      </w:tr>
      <w:tr w:rsidR="00072A69" w:rsidRPr="00DC6DF9" w14:paraId="709DA19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B16ECD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2064</w:t>
            </w:r>
          </w:p>
        </w:tc>
        <w:tc>
          <w:tcPr>
            <w:tcW w:w="1036" w:type="dxa"/>
            <w:tcBorders>
              <w:top w:val="nil"/>
              <w:left w:val="nil"/>
              <w:bottom w:val="single" w:sz="4" w:space="0" w:color="auto"/>
              <w:right w:val="single" w:sz="4" w:space="0" w:color="auto"/>
            </w:tcBorders>
            <w:shd w:val="clear" w:color="auto" w:fill="auto"/>
            <w:noWrap/>
            <w:vAlign w:val="center"/>
            <w:hideMark/>
          </w:tcPr>
          <w:p w14:paraId="0989098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5858267000</w:t>
            </w:r>
          </w:p>
        </w:tc>
        <w:tc>
          <w:tcPr>
            <w:tcW w:w="1036" w:type="dxa"/>
            <w:tcBorders>
              <w:top w:val="nil"/>
              <w:left w:val="nil"/>
              <w:bottom w:val="single" w:sz="4" w:space="0" w:color="auto"/>
              <w:right w:val="single" w:sz="4" w:space="0" w:color="auto"/>
            </w:tcBorders>
            <w:shd w:val="clear" w:color="auto" w:fill="auto"/>
            <w:noWrap/>
            <w:vAlign w:val="center"/>
            <w:hideMark/>
          </w:tcPr>
          <w:p w14:paraId="693EC7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25782568</w:t>
            </w:r>
          </w:p>
        </w:tc>
        <w:tc>
          <w:tcPr>
            <w:tcW w:w="160" w:type="dxa"/>
            <w:tcBorders>
              <w:top w:val="nil"/>
              <w:left w:val="nil"/>
              <w:bottom w:val="single" w:sz="4" w:space="0" w:color="auto"/>
              <w:right w:val="nil"/>
            </w:tcBorders>
            <w:vAlign w:val="center"/>
          </w:tcPr>
          <w:p w14:paraId="2882C0F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B31628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GORNJA RADGONA</w:t>
            </w:r>
          </w:p>
        </w:tc>
      </w:tr>
      <w:tr w:rsidR="00072A69" w:rsidRPr="00DC6DF9" w14:paraId="2A02B8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4E1CA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2065</w:t>
            </w:r>
          </w:p>
        </w:tc>
        <w:tc>
          <w:tcPr>
            <w:tcW w:w="1036" w:type="dxa"/>
            <w:tcBorders>
              <w:top w:val="nil"/>
              <w:left w:val="nil"/>
              <w:bottom w:val="single" w:sz="4" w:space="0" w:color="auto"/>
              <w:right w:val="single" w:sz="4" w:space="0" w:color="auto"/>
            </w:tcBorders>
            <w:shd w:val="clear" w:color="auto" w:fill="auto"/>
            <w:noWrap/>
            <w:vAlign w:val="center"/>
            <w:hideMark/>
          </w:tcPr>
          <w:p w14:paraId="51AE7F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1192582000</w:t>
            </w:r>
          </w:p>
        </w:tc>
        <w:tc>
          <w:tcPr>
            <w:tcW w:w="1036" w:type="dxa"/>
            <w:tcBorders>
              <w:top w:val="nil"/>
              <w:left w:val="nil"/>
              <w:bottom w:val="single" w:sz="4" w:space="0" w:color="auto"/>
              <w:right w:val="single" w:sz="4" w:space="0" w:color="auto"/>
            </w:tcBorders>
            <w:shd w:val="clear" w:color="auto" w:fill="auto"/>
            <w:noWrap/>
            <w:vAlign w:val="center"/>
            <w:hideMark/>
          </w:tcPr>
          <w:p w14:paraId="2E67A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55156614</w:t>
            </w:r>
          </w:p>
        </w:tc>
        <w:tc>
          <w:tcPr>
            <w:tcW w:w="160" w:type="dxa"/>
            <w:tcBorders>
              <w:top w:val="nil"/>
              <w:left w:val="nil"/>
              <w:bottom w:val="single" w:sz="4" w:space="0" w:color="auto"/>
              <w:right w:val="nil"/>
            </w:tcBorders>
            <w:vAlign w:val="center"/>
          </w:tcPr>
          <w:p w14:paraId="58BE84C8"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FF8E1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GROSUPLJE</w:t>
            </w:r>
          </w:p>
        </w:tc>
      </w:tr>
      <w:tr w:rsidR="00072A69" w:rsidRPr="00DC6DF9" w14:paraId="70928D9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566F7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2066</w:t>
            </w:r>
          </w:p>
        </w:tc>
        <w:tc>
          <w:tcPr>
            <w:tcW w:w="1036" w:type="dxa"/>
            <w:tcBorders>
              <w:top w:val="nil"/>
              <w:left w:val="nil"/>
              <w:bottom w:val="single" w:sz="4" w:space="0" w:color="auto"/>
              <w:right w:val="single" w:sz="4" w:space="0" w:color="auto"/>
            </w:tcBorders>
            <w:shd w:val="clear" w:color="auto" w:fill="auto"/>
            <w:noWrap/>
            <w:vAlign w:val="center"/>
            <w:hideMark/>
          </w:tcPr>
          <w:p w14:paraId="1A304E8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5063086000</w:t>
            </w:r>
          </w:p>
        </w:tc>
        <w:tc>
          <w:tcPr>
            <w:tcW w:w="1036" w:type="dxa"/>
            <w:tcBorders>
              <w:top w:val="nil"/>
              <w:left w:val="nil"/>
              <w:bottom w:val="single" w:sz="4" w:space="0" w:color="auto"/>
              <w:right w:val="single" w:sz="4" w:space="0" w:color="auto"/>
            </w:tcBorders>
            <w:shd w:val="clear" w:color="auto" w:fill="auto"/>
            <w:noWrap/>
            <w:vAlign w:val="center"/>
            <w:hideMark/>
          </w:tcPr>
          <w:p w14:paraId="4A4035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40459454</w:t>
            </w:r>
          </w:p>
        </w:tc>
        <w:tc>
          <w:tcPr>
            <w:tcW w:w="160" w:type="dxa"/>
            <w:tcBorders>
              <w:top w:val="nil"/>
              <w:left w:val="nil"/>
              <w:bottom w:val="single" w:sz="4" w:space="0" w:color="auto"/>
              <w:right w:val="nil"/>
            </w:tcBorders>
            <w:vAlign w:val="center"/>
          </w:tcPr>
          <w:p w14:paraId="1C5CE73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32013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HRASTNIK</w:t>
            </w:r>
          </w:p>
        </w:tc>
      </w:tr>
      <w:tr w:rsidR="00072A69" w:rsidRPr="00DC6DF9" w14:paraId="1B527E9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14F321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2067</w:t>
            </w:r>
          </w:p>
        </w:tc>
        <w:tc>
          <w:tcPr>
            <w:tcW w:w="1036" w:type="dxa"/>
            <w:tcBorders>
              <w:top w:val="nil"/>
              <w:left w:val="nil"/>
              <w:bottom w:val="single" w:sz="4" w:space="0" w:color="auto"/>
              <w:right w:val="single" w:sz="4" w:space="0" w:color="auto"/>
            </w:tcBorders>
            <w:shd w:val="clear" w:color="auto" w:fill="auto"/>
            <w:noWrap/>
            <w:vAlign w:val="center"/>
            <w:hideMark/>
          </w:tcPr>
          <w:p w14:paraId="1641CB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5158869000</w:t>
            </w:r>
          </w:p>
        </w:tc>
        <w:tc>
          <w:tcPr>
            <w:tcW w:w="1036" w:type="dxa"/>
            <w:tcBorders>
              <w:top w:val="nil"/>
              <w:left w:val="nil"/>
              <w:bottom w:val="single" w:sz="4" w:space="0" w:color="auto"/>
              <w:right w:val="single" w:sz="4" w:space="0" w:color="auto"/>
            </w:tcBorders>
            <w:shd w:val="clear" w:color="auto" w:fill="auto"/>
            <w:noWrap/>
            <w:vAlign w:val="center"/>
            <w:hideMark/>
          </w:tcPr>
          <w:p w14:paraId="75219AE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58621334</w:t>
            </w:r>
          </w:p>
        </w:tc>
        <w:tc>
          <w:tcPr>
            <w:tcW w:w="160" w:type="dxa"/>
            <w:tcBorders>
              <w:top w:val="nil"/>
              <w:left w:val="nil"/>
              <w:bottom w:val="single" w:sz="4" w:space="0" w:color="auto"/>
              <w:right w:val="nil"/>
            </w:tcBorders>
            <w:vAlign w:val="center"/>
          </w:tcPr>
          <w:p w14:paraId="254127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FA580F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IDRIJA</w:t>
            </w:r>
          </w:p>
        </w:tc>
      </w:tr>
      <w:tr w:rsidR="00072A69" w:rsidRPr="00DC6DF9" w14:paraId="398F492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6CE68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2068</w:t>
            </w:r>
          </w:p>
        </w:tc>
        <w:tc>
          <w:tcPr>
            <w:tcW w:w="1036" w:type="dxa"/>
            <w:tcBorders>
              <w:top w:val="nil"/>
              <w:left w:val="nil"/>
              <w:bottom w:val="single" w:sz="4" w:space="0" w:color="auto"/>
              <w:right w:val="single" w:sz="4" w:space="0" w:color="auto"/>
            </w:tcBorders>
            <w:shd w:val="clear" w:color="auto" w:fill="auto"/>
            <w:noWrap/>
            <w:vAlign w:val="center"/>
            <w:hideMark/>
          </w:tcPr>
          <w:p w14:paraId="779B32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5779081000</w:t>
            </w:r>
          </w:p>
        </w:tc>
        <w:tc>
          <w:tcPr>
            <w:tcW w:w="1036" w:type="dxa"/>
            <w:tcBorders>
              <w:top w:val="nil"/>
              <w:left w:val="nil"/>
              <w:bottom w:val="single" w:sz="4" w:space="0" w:color="auto"/>
              <w:right w:val="single" w:sz="4" w:space="0" w:color="auto"/>
            </w:tcBorders>
            <w:shd w:val="clear" w:color="auto" w:fill="auto"/>
            <w:noWrap/>
            <w:vAlign w:val="center"/>
            <w:hideMark/>
          </w:tcPr>
          <w:p w14:paraId="17F87D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55050077</w:t>
            </w:r>
          </w:p>
        </w:tc>
        <w:tc>
          <w:tcPr>
            <w:tcW w:w="160" w:type="dxa"/>
            <w:tcBorders>
              <w:top w:val="nil"/>
              <w:left w:val="nil"/>
              <w:bottom w:val="single" w:sz="4" w:space="0" w:color="auto"/>
              <w:right w:val="nil"/>
            </w:tcBorders>
            <w:vAlign w:val="center"/>
          </w:tcPr>
          <w:p w14:paraId="32F4472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05BB7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ILIRSKA BISTRICA</w:t>
            </w:r>
          </w:p>
        </w:tc>
      </w:tr>
      <w:tr w:rsidR="00072A69" w:rsidRPr="00DC6DF9" w14:paraId="6CAF572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8F58CF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2069</w:t>
            </w:r>
          </w:p>
        </w:tc>
        <w:tc>
          <w:tcPr>
            <w:tcW w:w="1036" w:type="dxa"/>
            <w:tcBorders>
              <w:top w:val="nil"/>
              <w:left w:val="nil"/>
              <w:bottom w:val="single" w:sz="4" w:space="0" w:color="auto"/>
              <w:right w:val="single" w:sz="4" w:space="0" w:color="auto"/>
            </w:tcBorders>
            <w:shd w:val="clear" w:color="auto" w:fill="auto"/>
            <w:noWrap/>
            <w:vAlign w:val="center"/>
            <w:hideMark/>
          </w:tcPr>
          <w:p w14:paraId="0F2EDE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1192574000</w:t>
            </w:r>
          </w:p>
        </w:tc>
        <w:tc>
          <w:tcPr>
            <w:tcW w:w="1036" w:type="dxa"/>
            <w:tcBorders>
              <w:top w:val="nil"/>
              <w:left w:val="nil"/>
              <w:bottom w:val="single" w:sz="4" w:space="0" w:color="auto"/>
              <w:right w:val="single" w:sz="4" w:space="0" w:color="auto"/>
            </w:tcBorders>
            <w:shd w:val="clear" w:color="auto" w:fill="auto"/>
            <w:noWrap/>
            <w:vAlign w:val="center"/>
            <w:hideMark/>
          </w:tcPr>
          <w:p w14:paraId="1427AD8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92521045</w:t>
            </w:r>
          </w:p>
        </w:tc>
        <w:tc>
          <w:tcPr>
            <w:tcW w:w="160" w:type="dxa"/>
            <w:tcBorders>
              <w:top w:val="nil"/>
              <w:left w:val="nil"/>
              <w:bottom w:val="single" w:sz="4" w:space="0" w:color="auto"/>
              <w:right w:val="nil"/>
            </w:tcBorders>
            <w:vAlign w:val="center"/>
          </w:tcPr>
          <w:p w14:paraId="5139029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2425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IVANČNA GORICA</w:t>
            </w:r>
          </w:p>
        </w:tc>
      </w:tr>
      <w:tr w:rsidR="00072A69" w:rsidRPr="00DC6DF9" w14:paraId="614BAFA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DAEE8F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2070</w:t>
            </w:r>
          </w:p>
        </w:tc>
        <w:tc>
          <w:tcPr>
            <w:tcW w:w="1036" w:type="dxa"/>
            <w:tcBorders>
              <w:top w:val="nil"/>
              <w:left w:val="nil"/>
              <w:bottom w:val="single" w:sz="4" w:space="0" w:color="auto"/>
              <w:right w:val="single" w:sz="4" w:space="0" w:color="auto"/>
            </w:tcBorders>
            <w:shd w:val="clear" w:color="auto" w:fill="auto"/>
            <w:noWrap/>
            <w:vAlign w:val="center"/>
            <w:hideMark/>
          </w:tcPr>
          <w:p w14:paraId="5A2CA4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5748569000</w:t>
            </w:r>
          </w:p>
        </w:tc>
        <w:tc>
          <w:tcPr>
            <w:tcW w:w="1036" w:type="dxa"/>
            <w:tcBorders>
              <w:top w:val="nil"/>
              <w:left w:val="nil"/>
              <w:bottom w:val="single" w:sz="4" w:space="0" w:color="auto"/>
              <w:right w:val="single" w:sz="4" w:space="0" w:color="auto"/>
            </w:tcBorders>
            <w:shd w:val="clear" w:color="auto" w:fill="auto"/>
            <w:noWrap/>
            <w:vAlign w:val="center"/>
            <w:hideMark/>
          </w:tcPr>
          <w:p w14:paraId="7D9E496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98216007</w:t>
            </w:r>
          </w:p>
        </w:tc>
        <w:tc>
          <w:tcPr>
            <w:tcW w:w="160" w:type="dxa"/>
            <w:tcBorders>
              <w:top w:val="nil"/>
              <w:left w:val="nil"/>
              <w:bottom w:val="single" w:sz="4" w:space="0" w:color="auto"/>
              <w:right w:val="nil"/>
            </w:tcBorders>
            <w:vAlign w:val="center"/>
          </w:tcPr>
          <w:p w14:paraId="3C730DF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4EADD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IZOLA</w:t>
            </w:r>
          </w:p>
        </w:tc>
      </w:tr>
      <w:tr w:rsidR="00072A69" w:rsidRPr="00DC6DF9" w14:paraId="32BAE76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9D892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2071</w:t>
            </w:r>
          </w:p>
        </w:tc>
        <w:tc>
          <w:tcPr>
            <w:tcW w:w="1036" w:type="dxa"/>
            <w:tcBorders>
              <w:top w:val="nil"/>
              <w:left w:val="nil"/>
              <w:bottom w:val="single" w:sz="4" w:space="0" w:color="auto"/>
              <w:right w:val="single" w:sz="4" w:space="0" w:color="auto"/>
            </w:tcBorders>
            <w:shd w:val="clear" w:color="auto" w:fill="auto"/>
            <w:noWrap/>
            <w:vAlign w:val="center"/>
            <w:hideMark/>
          </w:tcPr>
          <w:p w14:paraId="49A2A8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5170001000</w:t>
            </w:r>
          </w:p>
        </w:tc>
        <w:tc>
          <w:tcPr>
            <w:tcW w:w="1036" w:type="dxa"/>
            <w:tcBorders>
              <w:top w:val="nil"/>
              <w:left w:val="nil"/>
              <w:bottom w:val="single" w:sz="4" w:space="0" w:color="auto"/>
              <w:right w:val="single" w:sz="4" w:space="0" w:color="auto"/>
            </w:tcBorders>
            <w:shd w:val="clear" w:color="auto" w:fill="auto"/>
            <w:noWrap/>
            <w:vAlign w:val="center"/>
            <w:hideMark/>
          </w:tcPr>
          <w:p w14:paraId="00245DF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55897550</w:t>
            </w:r>
          </w:p>
        </w:tc>
        <w:tc>
          <w:tcPr>
            <w:tcW w:w="160" w:type="dxa"/>
            <w:tcBorders>
              <w:top w:val="nil"/>
              <w:left w:val="nil"/>
              <w:bottom w:val="single" w:sz="4" w:space="0" w:color="auto"/>
              <w:right w:val="nil"/>
            </w:tcBorders>
            <w:vAlign w:val="center"/>
          </w:tcPr>
          <w:p w14:paraId="0E3512E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225F9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KOČEVJE</w:t>
            </w:r>
          </w:p>
        </w:tc>
      </w:tr>
      <w:tr w:rsidR="00072A69" w:rsidRPr="00DC6DF9" w14:paraId="28BCF11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74B3C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2072</w:t>
            </w:r>
          </w:p>
        </w:tc>
        <w:tc>
          <w:tcPr>
            <w:tcW w:w="1036" w:type="dxa"/>
            <w:tcBorders>
              <w:top w:val="nil"/>
              <w:left w:val="nil"/>
              <w:bottom w:val="single" w:sz="4" w:space="0" w:color="auto"/>
              <w:right w:val="single" w:sz="4" w:space="0" w:color="auto"/>
            </w:tcBorders>
            <w:shd w:val="clear" w:color="auto" w:fill="auto"/>
            <w:noWrap/>
            <w:vAlign w:val="center"/>
            <w:hideMark/>
          </w:tcPr>
          <w:p w14:paraId="2C4A66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5728231000</w:t>
            </w:r>
          </w:p>
        </w:tc>
        <w:tc>
          <w:tcPr>
            <w:tcW w:w="1036" w:type="dxa"/>
            <w:tcBorders>
              <w:top w:val="nil"/>
              <w:left w:val="nil"/>
              <w:bottom w:val="single" w:sz="4" w:space="0" w:color="auto"/>
              <w:right w:val="single" w:sz="4" w:space="0" w:color="auto"/>
            </w:tcBorders>
            <w:shd w:val="clear" w:color="auto" w:fill="auto"/>
            <w:noWrap/>
            <w:vAlign w:val="center"/>
            <w:hideMark/>
          </w:tcPr>
          <w:p w14:paraId="3D3BEE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41729358</w:t>
            </w:r>
          </w:p>
        </w:tc>
        <w:tc>
          <w:tcPr>
            <w:tcW w:w="160" w:type="dxa"/>
            <w:tcBorders>
              <w:top w:val="nil"/>
              <w:left w:val="nil"/>
              <w:bottom w:val="single" w:sz="4" w:space="0" w:color="auto"/>
              <w:right w:val="nil"/>
            </w:tcBorders>
            <w:vAlign w:val="center"/>
          </w:tcPr>
          <w:p w14:paraId="3F49E12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04E59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KOPER</w:t>
            </w:r>
          </w:p>
        </w:tc>
      </w:tr>
      <w:tr w:rsidR="00072A69" w:rsidRPr="00DC6DF9" w14:paraId="07EB9A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37902F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2073</w:t>
            </w:r>
          </w:p>
        </w:tc>
        <w:tc>
          <w:tcPr>
            <w:tcW w:w="1036" w:type="dxa"/>
            <w:tcBorders>
              <w:top w:val="nil"/>
              <w:left w:val="nil"/>
              <w:bottom w:val="single" w:sz="4" w:space="0" w:color="auto"/>
              <w:right w:val="single" w:sz="4" w:space="0" w:color="auto"/>
            </w:tcBorders>
            <w:shd w:val="clear" w:color="auto" w:fill="auto"/>
            <w:noWrap/>
            <w:vAlign w:val="center"/>
            <w:hideMark/>
          </w:tcPr>
          <w:p w14:paraId="0473F6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5054575000</w:t>
            </w:r>
          </w:p>
        </w:tc>
        <w:tc>
          <w:tcPr>
            <w:tcW w:w="1036" w:type="dxa"/>
            <w:tcBorders>
              <w:top w:val="nil"/>
              <w:left w:val="nil"/>
              <w:bottom w:val="single" w:sz="4" w:space="0" w:color="auto"/>
              <w:right w:val="single" w:sz="4" w:space="0" w:color="auto"/>
            </w:tcBorders>
            <w:shd w:val="clear" w:color="auto" w:fill="auto"/>
            <w:noWrap/>
            <w:vAlign w:val="center"/>
            <w:hideMark/>
          </w:tcPr>
          <w:p w14:paraId="6FC769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89128028</w:t>
            </w:r>
          </w:p>
        </w:tc>
        <w:tc>
          <w:tcPr>
            <w:tcW w:w="160" w:type="dxa"/>
            <w:tcBorders>
              <w:top w:val="nil"/>
              <w:left w:val="nil"/>
              <w:bottom w:val="single" w:sz="4" w:space="0" w:color="auto"/>
              <w:right w:val="nil"/>
            </w:tcBorders>
            <w:vAlign w:val="center"/>
          </w:tcPr>
          <w:p w14:paraId="5032B5B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472EC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KRŠKO</w:t>
            </w:r>
          </w:p>
        </w:tc>
      </w:tr>
      <w:tr w:rsidR="00072A69" w:rsidRPr="00DC6DF9" w14:paraId="29EC0DD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49B8F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2074</w:t>
            </w:r>
          </w:p>
        </w:tc>
        <w:tc>
          <w:tcPr>
            <w:tcW w:w="1036" w:type="dxa"/>
            <w:tcBorders>
              <w:top w:val="nil"/>
              <w:left w:val="nil"/>
              <w:bottom w:val="single" w:sz="4" w:space="0" w:color="auto"/>
              <w:right w:val="single" w:sz="4" w:space="0" w:color="auto"/>
            </w:tcBorders>
            <w:shd w:val="clear" w:color="auto" w:fill="auto"/>
            <w:noWrap/>
            <w:vAlign w:val="center"/>
            <w:hideMark/>
          </w:tcPr>
          <w:p w14:paraId="0EE41CA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5683114000</w:t>
            </w:r>
          </w:p>
        </w:tc>
        <w:tc>
          <w:tcPr>
            <w:tcW w:w="1036" w:type="dxa"/>
            <w:tcBorders>
              <w:top w:val="nil"/>
              <w:left w:val="nil"/>
              <w:bottom w:val="single" w:sz="4" w:space="0" w:color="auto"/>
              <w:right w:val="single" w:sz="4" w:space="0" w:color="auto"/>
            </w:tcBorders>
            <w:shd w:val="clear" w:color="auto" w:fill="auto"/>
            <w:noWrap/>
            <w:vAlign w:val="center"/>
            <w:hideMark/>
          </w:tcPr>
          <w:p w14:paraId="602C9BC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92281753</w:t>
            </w:r>
          </w:p>
        </w:tc>
        <w:tc>
          <w:tcPr>
            <w:tcW w:w="160" w:type="dxa"/>
            <w:tcBorders>
              <w:top w:val="nil"/>
              <w:left w:val="nil"/>
              <w:bottom w:val="single" w:sz="4" w:space="0" w:color="auto"/>
              <w:right w:val="nil"/>
            </w:tcBorders>
            <w:vAlign w:val="center"/>
          </w:tcPr>
          <w:p w14:paraId="2A60B1A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A8B37E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LAŠKO</w:t>
            </w:r>
          </w:p>
        </w:tc>
      </w:tr>
      <w:tr w:rsidR="00072A69" w:rsidRPr="00DC6DF9" w14:paraId="6809370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DB5C5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2075</w:t>
            </w:r>
          </w:p>
        </w:tc>
        <w:tc>
          <w:tcPr>
            <w:tcW w:w="1036" w:type="dxa"/>
            <w:tcBorders>
              <w:top w:val="nil"/>
              <w:left w:val="nil"/>
              <w:bottom w:val="single" w:sz="4" w:space="0" w:color="auto"/>
              <w:right w:val="single" w:sz="4" w:space="0" w:color="auto"/>
            </w:tcBorders>
            <w:shd w:val="clear" w:color="auto" w:fill="auto"/>
            <w:noWrap/>
            <w:vAlign w:val="center"/>
            <w:hideMark/>
          </w:tcPr>
          <w:p w14:paraId="7D72B67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5091870000</w:t>
            </w:r>
          </w:p>
        </w:tc>
        <w:tc>
          <w:tcPr>
            <w:tcW w:w="1036" w:type="dxa"/>
            <w:tcBorders>
              <w:top w:val="nil"/>
              <w:left w:val="nil"/>
              <w:bottom w:val="single" w:sz="4" w:space="0" w:color="auto"/>
              <w:right w:val="single" w:sz="4" w:space="0" w:color="auto"/>
            </w:tcBorders>
            <w:shd w:val="clear" w:color="auto" w:fill="auto"/>
            <w:noWrap/>
            <w:vAlign w:val="center"/>
            <w:hideMark/>
          </w:tcPr>
          <w:p w14:paraId="34CF084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77498844</w:t>
            </w:r>
          </w:p>
        </w:tc>
        <w:tc>
          <w:tcPr>
            <w:tcW w:w="160" w:type="dxa"/>
            <w:tcBorders>
              <w:top w:val="nil"/>
              <w:left w:val="nil"/>
              <w:bottom w:val="single" w:sz="4" w:space="0" w:color="auto"/>
              <w:right w:val="nil"/>
            </w:tcBorders>
            <w:vAlign w:val="center"/>
          </w:tcPr>
          <w:p w14:paraId="057CD71F"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557F8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LENART</w:t>
            </w:r>
          </w:p>
        </w:tc>
      </w:tr>
      <w:tr w:rsidR="00072A69" w:rsidRPr="00DC6DF9" w14:paraId="20C70BD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90E6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2076</w:t>
            </w:r>
          </w:p>
        </w:tc>
        <w:tc>
          <w:tcPr>
            <w:tcW w:w="1036" w:type="dxa"/>
            <w:tcBorders>
              <w:top w:val="nil"/>
              <w:left w:val="nil"/>
              <w:bottom w:val="single" w:sz="4" w:space="0" w:color="auto"/>
              <w:right w:val="single" w:sz="4" w:space="0" w:color="auto"/>
            </w:tcBorders>
            <w:shd w:val="clear" w:color="auto" w:fill="auto"/>
            <w:noWrap/>
            <w:vAlign w:val="center"/>
            <w:hideMark/>
          </w:tcPr>
          <w:p w14:paraId="05D856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5801923000</w:t>
            </w:r>
          </w:p>
        </w:tc>
        <w:tc>
          <w:tcPr>
            <w:tcW w:w="1036" w:type="dxa"/>
            <w:tcBorders>
              <w:top w:val="nil"/>
              <w:left w:val="nil"/>
              <w:bottom w:val="single" w:sz="4" w:space="0" w:color="auto"/>
              <w:right w:val="single" w:sz="4" w:space="0" w:color="auto"/>
            </w:tcBorders>
            <w:shd w:val="clear" w:color="auto" w:fill="auto"/>
            <w:noWrap/>
            <w:vAlign w:val="center"/>
            <w:hideMark/>
          </w:tcPr>
          <w:p w14:paraId="576CEB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36612235</w:t>
            </w:r>
          </w:p>
        </w:tc>
        <w:tc>
          <w:tcPr>
            <w:tcW w:w="160" w:type="dxa"/>
            <w:tcBorders>
              <w:top w:val="nil"/>
              <w:left w:val="nil"/>
              <w:bottom w:val="single" w:sz="4" w:space="0" w:color="auto"/>
              <w:right w:val="nil"/>
            </w:tcBorders>
            <w:vAlign w:val="center"/>
          </w:tcPr>
          <w:p w14:paraId="08A3EF4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41FBD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LENDAVA</w:t>
            </w:r>
          </w:p>
        </w:tc>
      </w:tr>
      <w:tr w:rsidR="00072A69" w:rsidRPr="00DC6DF9" w14:paraId="37BA667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1DF48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2077</w:t>
            </w:r>
          </w:p>
        </w:tc>
        <w:tc>
          <w:tcPr>
            <w:tcW w:w="1036" w:type="dxa"/>
            <w:tcBorders>
              <w:top w:val="nil"/>
              <w:left w:val="nil"/>
              <w:bottom w:val="single" w:sz="4" w:space="0" w:color="auto"/>
              <w:right w:val="single" w:sz="4" w:space="0" w:color="auto"/>
            </w:tcBorders>
            <w:shd w:val="clear" w:color="auto" w:fill="auto"/>
            <w:noWrap/>
            <w:vAlign w:val="center"/>
            <w:hideMark/>
          </w:tcPr>
          <w:p w14:paraId="0B3B76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5056845000</w:t>
            </w:r>
          </w:p>
        </w:tc>
        <w:tc>
          <w:tcPr>
            <w:tcW w:w="1036" w:type="dxa"/>
            <w:tcBorders>
              <w:top w:val="nil"/>
              <w:left w:val="nil"/>
              <w:bottom w:val="single" w:sz="4" w:space="0" w:color="auto"/>
              <w:right w:val="single" w:sz="4" w:space="0" w:color="auto"/>
            </w:tcBorders>
            <w:shd w:val="clear" w:color="auto" w:fill="auto"/>
            <w:noWrap/>
            <w:vAlign w:val="center"/>
            <w:hideMark/>
          </w:tcPr>
          <w:p w14:paraId="0341C0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16823192</w:t>
            </w:r>
          </w:p>
        </w:tc>
        <w:tc>
          <w:tcPr>
            <w:tcW w:w="160" w:type="dxa"/>
            <w:tcBorders>
              <w:top w:val="nil"/>
              <w:left w:val="nil"/>
              <w:bottom w:val="single" w:sz="4" w:space="0" w:color="auto"/>
              <w:right w:val="nil"/>
            </w:tcBorders>
            <w:vAlign w:val="center"/>
          </w:tcPr>
          <w:p w14:paraId="0C7BE37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7D2A9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LITIJA</w:t>
            </w:r>
          </w:p>
        </w:tc>
      </w:tr>
      <w:tr w:rsidR="00072A69" w:rsidRPr="00DC6DF9" w14:paraId="6C97EB6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4FAF1A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2078</w:t>
            </w:r>
          </w:p>
        </w:tc>
        <w:tc>
          <w:tcPr>
            <w:tcW w:w="1036" w:type="dxa"/>
            <w:tcBorders>
              <w:top w:val="nil"/>
              <w:left w:val="nil"/>
              <w:bottom w:val="single" w:sz="4" w:space="0" w:color="auto"/>
              <w:right w:val="single" w:sz="4" w:space="0" w:color="auto"/>
            </w:tcBorders>
            <w:shd w:val="clear" w:color="auto" w:fill="auto"/>
            <w:noWrap/>
            <w:vAlign w:val="center"/>
            <w:hideMark/>
          </w:tcPr>
          <w:p w14:paraId="2A156C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5056063000</w:t>
            </w:r>
          </w:p>
        </w:tc>
        <w:tc>
          <w:tcPr>
            <w:tcW w:w="1036" w:type="dxa"/>
            <w:tcBorders>
              <w:top w:val="nil"/>
              <w:left w:val="nil"/>
              <w:bottom w:val="single" w:sz="4" w:space="0" w:color="auto"/>
              <w:right w:val="single" w:sz="4" w:space="0" w:color="auto"/>
            </w:tcBorders>
            <w:shd w:val="clear" w:color="auto" w:fill="auto"/>
            <w:noWrap/>
            <w:vAlign w:val="center"/>
            <w:hideMark/>
          </w:tcPr>
          <w:p w14:paraId="12F467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80683568</w:t>
            </w:r>
          </w:p>
        </w:tc>
        <w:tc>
          <w:tcPr>
            <w:tcW w:w="160" w:type="dxa"/>
            <w:tcBorders>
              <w:top w:val="nil"/>
              <w:left w:val="nil"/>
              <w:bottom w:val="single" w:sz="4" w:space="0" w:color="auto"/>
              <w:right w:val="nil"/>
            </w:tcBorders>
            <w:vAlign w:val="center"/>
          </w:tcPr>
          <w:p w14:paraId="45318B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8B82C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LJUBLJANA</w:t>
            </w:r>
          </w:p>
        </w:tc>
      </w:tr>
      <w:tr w:rsidR="00072A69" w:rsidRPr="00DC6DF9" w14:paraId="206BFDB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2EAB7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2079</w:t>
            </w:r>
          </w:p>
        </w:tc>
        <w:tc>
          <w:tcPr>
            <w:tcW w:w="1036" w:type="dxa"/>
            <w:tcBorders>
              <w:top w:val="nil"/>
              <w:left w:val="nil"/>
              <w:bottom w:val="single" w:sz="4" w:space="0" w:color="auto"/>
              <w:right w:val="single" w:sz="4" w:space="0" w:color="auto"/>
            </w:tcBorders>
            <w:shd w:val="clear" w:color="auto" w:fill="auto"/>
            <w:noWrap/>
            <w:vAlign w:val="center"/>
            <w:hideMark/>
          </w:tcPr>
          <w:p w14:paraId="687558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5817269000</w:t>
            </w:r>
          </w:p>
        </w:tc>
        <w:tc>
          <w:tcPr>
            <w:tcW w:w="1036" w:type="dxa"/>
            <w:tcBorders>
              <w:top w:val="nil"/>
              <w:left w:val="nil"/>
              <w:bottom w:val="single" w:sz="4" w:space="0" w:color="auto"/>
              <w:right w:val="single" w:sz="4" w:space="0" w:color="auto"/>
            </w:tcBorders>
            <w:shd w:val="clear" w:color="auto" w:fill="auto"/>
            <w:noWrap/>
            <w:vAlign w:val="center"/>
            <w:hideMark/>
          </w:tcPr>
          <w:p w14:paraId="78C6EBB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30959829</w:t>
            </w:r>
          </w:p>
        </w:tc>
        <w:tc>
          <w:tcPr>
            <w:tcW w:w="160" w:type="dxa"/>
            <w:tcBorders>
              <w:top w:val="nil"/>
              <w:left w:val="nil"/>
              <w:bottom w:val="single" w:sz="4" w:space="0" w:color="auto"/>
              <w:right w:val="nil"/>
            </w:tcBorders>
            <w:vAlign w:val="center"/>
          </w:tcPr>
          <w:p w14:paraId="024E616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FB07E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LJUTOMER</w:t>
            </w:r>
          </w:p>
        </w:tc>
      </w:tr>
      <w:tr w:rsidR="00072A69" w:rsidRPr="00DC6DF9" w14:paraId="4865EEB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F064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2080</w:t>
            </w:r>
          </w:p>
        </w:tc>
        <w:tc>
          <w:tcPr>
            <w:tcW w:w="1036" w:type="dxa"/>
            <w:tcBorders>
              <w:top w:val="nil"/>
              <w:left w:val="nil"/>
              <w:bottom w:val="single" w:sz="4" w:space="0" w:color="auto"/>
              <w:right w:val="single" w:sz="4" w:space="0" w:color="auto"/>
            </w:tcBorders>
            <w:shd w:val="clear" w:color="auto" w:fill="auto"/>
            <w:noWrap/>
            <w:vAlign w:val="center"/>
            <w:hideMark/>
          </w:tcPr>
          <w:p w14:paraId="463AAD5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5158877000</w:t>
            </w:r>
          </w:p>
        </w:tc>
        <w:tc>
          <w:tcPr>
            <w:tcW w:w="1036" w:type="dxa"/>
            <w:tcBorders>
              <w:top w:val="nil"/>
              <w:left w:val="nil"/>
              <w:bottom w:val="single" w:sz="4" w:space="0" w:color="auto"/>
              <w:right w:val="single" w:sz="4" w:space="0" w:color="auto"/>
            </w:tcBorders>
            <w:shd w:val="clear" w:color="auto" w:fill="auto"/>
            <w:noWrap/>
            <w:vAlign w:val="center"/>
            <w:hideMark/>
          </w:tcPr>
          <w:p w14:paraId="54180C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80487866</w:t>
            </w:r>
          </w:p>
        </w:tc>
        <w:tc>
          <w:tcPr>
            <w:tcW w:w="160" w:type="dxa"/>
            <w:tcBorders>
              <w:top w:val="nil"/>
              <w:left w:val="nil"/>
              <w:bottom w:val="single" w:sz="4" w:space="0" w:color="auto"/>
              <w:right w:val="nil"/>
            </w:tcBorders>
            <w:vAlign w:val="center"/>
          </w:tcPr>
          <w:p w14:paraId="39B3421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CFB86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LOGATEC</w:t>
            </w:r>
          </w:p>
        </w:tc>
      </w:tr>
      <w:tr w:rsidR="00072A69" w:rsidRPr="00DC6DF9" w14:paraId="0DCF9A7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984E43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2081</w:t>
            </w:r>
          </w:p>
        </w:tc>
        <w:tc>
          <w:tcPr>
            <w:tcW w:w="1036" w:type="dxa"/>
            <w:tcBorders>
              <w:top w:val="nil"/>
              <w:left w:val="nil"/>
              <w:bottom w:val="single" w:sz="4" w:space="0" w:color="auto"/>
              <w:right w:val="single" w:sz="4" w:space="0" w:color="auto"/>
            </w:tcBorders>
            <w:shd w:val="clear" w:color="auto" w:fill="auto"/>
            <w:noWrap/>
            <w:vAlign w:val="center"/>
            <w:hideMark/>
          </w:tcPr>
          <w:p w14:paraId="4A33C8C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1430726000</w:t>
            </w:r>
          </w:p>
        </w:tc>
        <w:tc>
          <w:tcPr>
            <w:tcW w:w="1036" w:type="dxa"/>
            <w:tcBorders>
              <w:top w:val="nil"/>
              <w:left w:val="nil"/>
              <w:bottom w:val="single" w:sz="4" w:space="0" w:color="auto"/>
              <w:right w:val="single" w:sz="4" w:space="0" w:color="auto"/>
            </w:tcBorders>
            <w:shd w:val="clear" w:color="auto" w:fill="auto"/>
            <w:noWrap/>
            <w:vAlign w:val="center"/>
            <w:hideMark/>
          </w:tcPr>
          <w:p w14:paraId="3FA96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99423162</w:t>
            </w:r>
          </w:p>
        </w:tc>
        <w:tc>
          <w:tcPr>
            <w:tcW w:w="160" w:type="dxa"/>
            <w:tcBorders>
              <w:top w:val="nil"/>
              <w:left w:val="nil"/>
              <w:bottom w:val="single" w:sz="4" w:space="0" w:color="auto"/>
              <w:right w:val="nil"/>
            </w:tcBorders>
            <w:vAlign w:val="center"/>
          </w:tcPr>
          <w:p w14:paraId="60A729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80047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MEDVODE</w:t>
            </w:r>
          </w:p>
        </w:tc>
      </w:tr>
      <w:tr w:rsidR="00072A69" w:rsidRPr="00DC6DF9" w14:paraId="7F2B5D2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0652E3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2082</w:t>
            </w:r>
          </w:p>
        </w:tc>
        <w:tc>
          <w:tcPr>
            <w:tcW w:w="1036" w:type="dxa"/>
            <w:tcBorders>
              <w:top w:val="nil"/>
              <w:left w:val="nil"/>
              <w:bottom w:val="single" w:sz="4" w:space="0" w:color="auto"/>
              <w:right w:val="single" w:sz="4" w:space="0" w:color="auto"/>
            </w:tcBorders>
            <w:shd w:val="clear" w:color="auto" w:fill="auto"/>
            <w:noWrap/>
            <w:vAlign w:val="center"/>
            <w:hideMark/>
          </w:tcPr>
          <w:p w14:paraId="74AA67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5054591000</w:t>
            </w:r>
          </w:p>
        </w:tc>
        <w:tc>
          <w:tcPr>
            <w:tcW w:w="1036" w:type="dxa"/>
            <w:tcBorders>
              <w:top w:val="nil"/>
              <w:left w:val="nil"/>
              <w:bottom w:val="single" w:sz="4" w:space="0" w:color="auto"/>
              <w:right w:val="single" w:sz="4" w:space="0" w:color="auto"/>
            </w:tcBorders>
            <w:shd w:val="clear" w:color="auto" w:fill="auto"/>
            <w:noWrap/>
            <w:vAlign w:val="center"/>
            <w:hideMark/>
          </w:tcPr>
          <w:p w14:paraId="485033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40635112</w:t>
            </w:r>
          </w:p>
        </w:tc>
        <w:tc>
          <w:tcPr>
            <w:tcW w:w="160" w:type="dxa"/>
            <w:tcBorders>
              <w:top w:val="nil"/>
              <w:left w:val="nil"/>
              <w:bottom w:val="single" w:sz="4" w:space="0" w:color="auto"/>
              <w:right w:val="nil"/>
            </w:tcBorders>
            <w:vAlign w:val="center"/>
          </w:tcPr>
          <w:p w14:paraId="47DC0A0E"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7AA5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METLIKA</w:t>
            </w:r>
          </w:p>
        </w:tc>
      </w:tr>
      <w:tr w:rsidR="00072A69" w:rsidRPr="00DC6DF9" w14:paraId="483D7E9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DA2DDC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2083</w:t>
            </w:r>
          </w:p>
        </w:tc>
        <w:tc>
          <w:tcPr>
            <w:tcW w:w="1036" w:type="dxa"/>
            <w:tcBorders>
              <w:top w:val="nil"/>
              <w:left w:val="nil"/>
              <w:bottom w:val="single" w:sz="4" w:space="0" w:color="auto"/>
              <w:right w:val="single" w:sz="4" w:space="0" w:color="auto"/>
            </w:tcBorders>
            <w:shd w:val="clear" w:color="auto" w:fill="auto"/>
            <w:noWrap/>
            <w:vAlign w:val="center"/>
            <w:hideMark/>
          </w:tcPr>
          <w:p w14:paraId="2C23893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5801915000</w:t>
            </w:r>
          </w:p>
        </w:tc>
        <w:tc>
          <w:tcPr>
            <w:tcW w:w="1036" w:type="dxa"/>
            <w:tcBorders>
              <w:top w:val="nil"/>
              <w:left w:val="nil"/>
              <w:bottom w:val="single" w:sz="4" w:space="0" w:color="auto"/>
              <w:right w:val="single" w:sz="4" w:space="0" w:color="auto"/>
            </w:tcBorders>
            <w:shd w:val="clear" w:color="auto" w:fill="auto"/>
            <w:noWrap/>
            <w:vAlign w:val="center"/>
            <w:hideMark/>
          </w:tcPr>
          <w:p w14:paraId="6A52EB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94095400</w:t>
            </w:r>
          </w:p>
        </w:tc>
        <w:tc>
          <w:tcPr>
            <w:tcW w:w="160" w:type="dxa"/>
            <w:tcBorders>
              <w:top w:val="nil"/>
              <w:left w:val="nil"/>
              <w:bottom w:val="single" w:sz="4" w:space="0" w:color="auto"/>
              <w:right w:val="nil"/>
            </w:tcBorders>
            <w:vAlign w:val="center"/>
          </w:tcPr>
          <w:p w14:paraId="0A20768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A6FA5E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MURSKA SOBOTA</w:t>
            </w:r>
          </w:p>
        </w:tc>
      </w:tr>
      <w:tr w:rsidR="00072A69" w:rsidRPr="00DC6DF9" w14:paraId="177C70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A2E4C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2084</w:t>
            </w:r>
          </w:p>
        </w:tc>
        <w:tc>
          <w:tcPr>
            <w:tcW w:w="1036" w:type="dxa"/>
            <w:tcBorders>
              <w:top w:val="nil"/>
              <w:left w:val="nil"/>
              <w:bottom w:val="single" w:sz="4" w:space="0" w:color="auto"/>
              <w:right w:val="single" w:sz="4" w:space="0" w:color="auto"/>
            </w:tcBorders>
            <w:shd w:val="clear" w:color="auto" w:fill="auto"/>
            <w:noWrap/>
            <w:vAlign w:val="center"/>
            <w:hideMark/>
          </w:tcPr>
          <w:p w14:paraId="5D3DC9C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5054613000</w:t>
            </w:r>
          </w:p>
        </w:tc>
        <w:tc>
          <w:tcPr>
            <w:tcW w:w="1036" w:type="dxa"/>
            <w:tcBorders>
              <w:top w:val="nil"/>
              <w:left w:val="nil"/>
              <w:bottom w:val="single" w:sz="4" w:space="0" w:color="auto"/>
              <w:right w:val="single" w:sz="4" w:space="0" w:color="auto"/>
            </w:tcBorders>
            <w:shd w:val="clear" w:color="auto" w:fill="auto"/>
            <w:noWrap/>
            <w:vAlign w:val="center"/>
            <w:hideMark/>
          </w:tcPr>
          <w:p w14:paraId="2672875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18631380</w:t>
            </w:r>
          </w:p>
        </w:tc>
        <w:tc>
          <w:tcPr>
            <w:tcW w:w="160" w:type="dxa"/>
            <w:tcBorders>
              <w:top w:val="nil"/>
              <w:left w:val="nil"/>
              <w:bottom w:val="single" w:sz="4" w:space="0" w:color="auto"/>
              <w:right w:val="nil"/>
            </w:tcBorders>
            <w:vAlign w:val="center"/>
          </w:tcPr>
          <w:p w14:paraId="12BE3F3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8AEB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NOVO MESTO</w:t>
            </w:r>
          </w:p>
        </w:tc>
      </w:tr>
      <w:tr w:rsidR="00072A69" w:rsidRPr="00DC6DF9" w14:paraId="6C2F10B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BE6298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2085</w:t>
            </w:r>
          </w:p>
        </w:tc>
        <w:tc>
          <w:tcPr>
            <w:tcW w:w="1036" w:type="dxa"/>
            <w:tcBorders>
              <w:top w:val="nil"/>
              <w:left w:val="nil"/>
              <w:bottom w:val="single" w:sz="4" w:space="0" w:color="auto"/>
              <w:right w:val="single" w:sz="4" w:space="0" w:color="auto"/>
            </w:tcBorders>
            <w:shd w:val="clear" w:color="auto" w:fill="auto"/>
            <w:noWrap/>
            <w:vAlign w:val="center"/>
            <w:hideMark/>
          </w:tcPr>
          <w:p w14:paraId="67D513A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5054699000</w:t>
            </w:r>
          </w:p>
        </w:tc>
        <w:tc>
          <w:tcPr>
            <w:tcW w:w="1036" w:type="dxa"/>
            <w:tcBorders>
              <w:top w:val="nil"/>
              <w:left w:val="nil"/>
              <w:bottom w:val="single" w:sz="4" w:space="0" w:color="auto"/>
              <w:right w:val="single" w:sz="4" w:space="0" w:color="auto"/>
            </w:tcBorders>
            <w:shd w:val="clear" w:color="auto" w:fill="auto"/>
            <w:noWrap/>
            <w:vAlign w:val="center"/>
            <w:hideMark/>
          </w:tcPr>
          <w:p w14:paraId="74611E6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93436173</w:t>
            </w:r>
          </w:p>
        </w:tc>
        <w:tc>
          <w:tcPr>
            <w:tcW w:w="160" w:type="dxa"/>
            <w:tcBorders>
              <w:top w:val="nil"/>
              <w:left w:val="nil"/>
              <w:bottom w:val="single" w:sz="4" w:space="0" w:color="auto"/>
              <w:right w:val="nil"/>
            </w:tcBorders>
            <w:vAlign w:val="center"/>
          </w:tcPr>
          <w:p w14:paraId="4CD7481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F5F7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ORMOŽ</w:t>
            </w:r>
          </w:p>
        </w:tc>
      </w:tr>
      <w:tr w:rsidR="00072A69" w:rsidRPr="00DC6DF9" w14:paraId="2BE1A5A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4A20A4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2086</w:t>
            </w:r>
          </w:p>
        </w:tc>
        <w:tc>
          <w:tcPr>
            <w:tcW w:w="1036" w:type="dxa"/>
            <w:tcBorders>
              <w:top w:val="nil"/>
              <w:left w:val="nil"/>
              <w:bottom w:val="single" w:sz="4" w:space="0" w:color="auto"/>
              <w:right w:val="single" w:sz="4" w:space="0" w:color="auto"/>
            </w:tcBorders>
            <w:shd w:val="clear" w:color="auto" w:fill="auto"/>
            <w:noWrap/>
            <w:vAlign w:val="center"/>
            <w:hideMark/>
          </w:tcPr>
          <w:p w14:paraId="3771747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5107148000</w:t>
            </w:r>
          </w:p>
        </w:tc>
        <w:tc>
          <w:tcPr>
            <w:tcW w:w="1036" w:type="dxa"/>
            <w:tcBorders>
              <w:top w:val="nil"/>
              <w:left w:val="nil"/>
              <w:bottom w:val="single" w:sz="4" w:space="0" w:color="auto"/>
              <w:right w:val="single" w:sz="4" w:space="0" w:color="auto"/>
            </w:tcBorders>
            <w:shd w:val="clear" w:color="auto" w:fill="auto"/>
            <w:noWrap/>
            <w:vAlign w:val="center"/>
            <w:hideMark/>
          </w:tcPr>
          <w:p w14:paraId="168D492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77057767</w:t>
            </w:r>
          </w:p>
        </w:tc>
        <w:tc>
          <w:tcPr>
            <w:tcW w:w="160" w:type="dxa"/>
            <w:tcBorders>
              <w:top w:val="nil"/>
              <w:left w:val="nil"/>
              <w:bottom w:val="single" w:sz="4" w:space="0" w:color="auto"/>
              <w:right w:val="nil"/>
            </w:tcBorders>
            <w:vAlign w:val="center"/>
          </w:tcPr>
          <w:p w14:paraId="453B394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C120F4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OSNOVNO VARSTVO NOVA GORICA</w:t>
            </w:r>
          </w:p>
        </w:tc>
      </w:tr>
      <w:tr w:rsidR="00072A69" w:rsidRPr="00DC6DF9" w14:paraId="68507D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A9D101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2087</w:t>
            </w:r>
          </w:p>
        </w:tc>
        <w:tc>
          <w:tcPr>
            <w:tcW w:w="1036" w:type="dxa"/>
            <w:tcBorders>
              <w:top w:val="nil"/>
              <w:left w:val="nil"/>
              <w:bottom w:val="single" w:sz="4" w:space="0" w:color="auto"/>
              <w:right w:val="single" w:sz="4" w:space="0" w:color="auto"/>
            </w:tcBorders>
            <w:shd w:val="clear" w:color="auto" w:fill="auto"/>
            <w:noWrap/>
            <w:vAlign w:val="center"/>
            <w:hideMark/>
          </w:tcPr>
          <w:p w14:paraId="467E6DE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5502420000</w:t>
            </w:r>
          </w:p>
        </w:tc>
        <w:tc>
          <w:tcPr>
            <w:tcW w:w="1036" w:type="dxa"/>
            <w:tcBorders>
              <w:top w:val="nil"/>
              <w:left w:val="nil"/>
              <w:bottom w:val="single" w:sz="4" w:space="0" w:color="auto"/>
              <w:right w:val="single" w:sz="4" w:space="0" w:color="auto"/>
            </w:tcBorders>
            <w:shd w:val="clear" w:color="auto" w:fill="auto"/>
            <w:noWrap/>
            <w:vAlign w:val="center"/>
            <w:hideMark/>
          </w:tcPr>
          <w:p w14:paraId="7B4B68A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30102090</w:t>
            </w:r>
          </w:p>
        </w:tc>
        <w:tc>
          <w:tcPr>
            <w:tcW w:w="160" w:type="dxa"/>
            <w:tcBorders>
              <w:top w:val="nil"/>
              <w:left w:val="nil"/>
              <w:bottom w:val="single" w:sz="4" w:space="0" w:color="auto"/>
              <w:right w:val="nil"/>
            </w:tcBorders>
            <w:vAlign w:val="center"/>
          </w:tcPr>
          <w:p w14:paraId="16FA7C7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852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PTUJ</w:t>
            </w:r>
          </w:p>
        </w:tc>
      </w:tr>
      <w:tr w:rsidR="00072A69" w:rsidRPr="00DC6DF9" w14:paraId="08C409B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2DC48C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2088</w:t>
            </w:r>
          </w:p>
        </w:tc>
        <w:tc>
          <w:tcPr>
            <w:tcW w:w="1036" w:type="dxa"/>
            <w:tcBorders>
              <w:top w:val="nil"/>
              <w:left w:val="nil"/>
              <w:bottom w:val="single" w:sz="4" w:space="0" w:color="auto"/>
              <w:right w:val="single" w:sz="4" w:space="0" w:color="auto"/>
            </w:tcBorders>
            <w:shd w:val="clear" w:color="auto" w:fill="auto"/>
            <w:noWrap/>
            <w:vAlign w:val="center"/>
            <w:hideMark/>
          </w:tcPr>
          <w:p w14:paraId="07E1D21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5683106000</w:t>
            </w:r>
          </w:p>
        </w:tc>
        <w:tc>
          <w:tcPr>
            <w:tcW w:w="1036" w:type="dxa"/>
            <w:tcBorders>
              <w:top w:val="nil"/>
              <w:left w:val="nil"/>
              <w:bottom w:val="single" w:sz="4" w:space="0" w:color="auto"/>
              <w:right w:val="single" w:sz="4" w:space="0" w:color="auto"/>
            </w:tcBorders>
            <w:shd w:val="clear" w:color="auto" w:fill="auto"/>
            <w:noWrap/>
            <w:vAlign w:val="center"/>
            <w:hideMark/>
          </w:tcPr>
          <w:p w14:paraId="7D4497B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52013430</w:t>
            </w:r>
          </w:p>
        </w:tc>
        <w:tc>
          <w:tcPr>
            <w:tcW w:w="160" w:type="dxa"/>
            <w:tcBorders>
              <w:top w:val="nil"/>
              <w:left w:val="nil"/>
              <w:bottom w:val="single" w:sz="4" w:space="0" w:color="auto"/>
              <w:right w:val="nil"/>
            </w:tcBorders>
            <w:vAlign w:val="center"/>
          </w:tcPr>
          <w:p w14:paraId="4B7E05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C93AF9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RADEČE</w:t>
            </w:r>
          </w:p>
        </w:tc>
      </w:tr>
      <w:tr w:rsidR="00072A69" w:rsidRPr="00DC6DF9" w14:paraId="4C473671"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B5DE3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2089</w:t>
            </w:r>
          </w:p>
        </w:tc>
        <w:tc>
          <w:tcPr>
            <w:tcW w:w="1036" w:type="dxa"/>
            <w:tcBorders>
              <w:top w:val="nil"/>
              <w:left w:val="nil"/>
              <w:bottom w:val="single" w:sz="4" w:space="0" w:color="auto"/>
              <w:right w:val="single" w:sz="4" w:space="0" w:color="auto"/>
            </w:tcBorders>
            <w:shd w:val="clear" w:color="auto" w:fill="auto"/>
            <w:noWrap/>
            <w:vAlign w:val="center"/>
            <w:hideMark/>
          </w:tcPr>
          <w:p w14:paraId="5319CB6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5054907000</w:t>
            </w:r>
          </w:p>
        </w:tc>
        <w:tc>
          <w:tcPr>
            <w:tcW w:w="1036" w:type="dxa"/>
            <w:tcBorders>
              <w:top w:val="nil"/>
              <w:left w:val="nil"/>
              <w:bottom w:val="single" w:sz="4" w:space="0" w:color="auto"/>
              <w:right w:val="single" w:sz="4" w:space="0" w:color="auto"/>
            </w:tcBorders>
            <w:shd w:val="clear" w:color="auto" w:fill="auto"/>
            <w:noWrap/>
            <w:vAlign w:val="center"/>
            <w:hideMark/>
          </w:tcPr>
          <w:p w14:paraId="1F9DF5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56251432</w:t>
            </w:r>
          </w:p>
        </w:tc>
        <w:tc>
          <w:tcPr>
            <w:tcW w:w="160" w:type="dxa"/>
            <w:tcBorders>
              <w:top w:val="nil"/>
              <w:left w:val="nil"/>
              <w:bottom w:val="single" w:sz="4" w:space="0" w:color="auto"/>
              <w:right w:val="nil"/>
            </w:tcBorders>
            <w:vAlign w:val="center"/>
          </w:tcPr>
          <w:p w14:paraId="09D9847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8BB80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RAVNE NA KOROŠKEM</w:t>
            </w:r>
          </w:p>
        </w:tc>
      </w:tr>
      <w:tr w:rsidR="00072A69" w:rsidRPr="00DC6DF9" w14:paraId="499BBD1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3006E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2090</w:t>
            </w:r>
          </w:p>
        </w:tc>
        <w:tc>
          <w:tcPr>
            <w:tcW w:w="1036" w:type="dxa"/>
            <w:tcBorders>
              <w:top w:val="nil"/>
              <w:left w:val="nil"/>
              <w:bottom w:val="single" w:sz="4" w:space="0" w:color="auto"/>
              <w:right w:val="single" w:sz="4" w:space="0" w:color="auto"/>
            </w:tcBorders>
            <w:shd w:val="clear" w:color="auto" w:fill="auto"/>
            <w:noWrap/>
            <w:vAlign w:val="center"/>
            <w:hideMark/>
          </w:tcPr>
          <w:p w14:paraId="228BFE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5636558000</w:t>
            </w:r>
          </w:p>
        </w:tc>
        <w:tc>
          <w:tcPr>
            <w:tcW w:w="1036" w:type="dxa"/>
            <w:tcBorders>
              <w:top w:val="nil"/>
              <w:left w:val="nil"/>
              <w:bottom w:val="single" w:sz="4" w:space="0" w:color="auto"/>
              <w:right w:val="single" w:sz="4" w:space="0" w:color="auto"/>
            </w:tcBorders>
            <w:shd w:val="clear" w:color="auto" w:fill="auto"/>
            <w:noWrap/>
            <w:vAlign w:val="center"/>
            <w:hideMark/>
          </w:tcPr>
          <w:p w14:paraId="6F9F5F6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94492077</w:t>
            </w:r>
          </w:p>
        </w:tc>
        <w:tc>
          <w:tcPr>
            <w:tcW w:w="160" w:type="dxa"/>
            <w:tcBorders>
              <w:top w:val="nil"/>
              <w:left w:val="nil"/>
              <w:bottom w:val="single" w:sz="4" w:space="0" w:color="auto"/>
              <w:right w:val="nil"/>
            </w:tcBorders>
            <w:vAlign w:val="center"/>
          </w:tcPr>
          <w:p w14:paraId="501B7185"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7DECE4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SEVNICA</w:t>
            </w:r>
          </w:p>
        </w:tc>
      </w:tr>
      <w:tr w:rsidR="00072A69" w:rsidRPr="00DC6DF9" w14:paraId="055CDCC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76B2635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2091</w:t>
            </w:r>
          </w:p>
        </w:tc>
        <w:tc>
          <w:tcPr>
            <w:tcW w:w="1036" w:type="dxa"/>
            <w:tcBorders>
              <w:top w:val="nil"/>
              <w:left w:val="nil"/>
              <w:bottom w:val="single" w:sz="4" w:space="0" w:color="auto"/>
              <w:right w:val="single" w:sz="4" w:space="0" w:color="auto"/>
            </w:tcBorders>
            <w:shd w:val="clear" w:color="auto" w:fill="auto"/>
            <w:noWrap/>
            <w:vAlign w:val="center"/>
            <w:hideMark/>
          </w:tcPr>
          <w:p w14:paraId="3499D2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5107105000</w:t>
            </w:r>
          </w:p>
        </w:tc>
        <w:tc>
          <w:tcPr>
            <w:tcW w:w="1036" w:type="dxa"/>
            <w:tcBorders>
              <w:top w:val="nil"/>
              <w:left w:val="nil"/>
              <w:bottom w:val="single" w:sz="4" w:space="0" w:color="auto"/>
              <w:right w:val="single" w:sz="4" w:space="0" w:color="auto"/>
            </w:tcBorders>
            <w:shd w:val="clear" w:color="auto" w:fill="auto"/>
            <w:noWrap/>
            <w:vAlign w:val="center"/>
            <w:hideMark/>
          </w:tcPr>
          <w:p w14:paraId="0C3606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87069610</w:t>
            </w:r>
          </w:p>
        </w:tc>
        <w:tc>
          <w:tcPr>
            <w:tcW w:w="160" w:type="dxa"/>
            <w:tcBorders>
              <w:top w:val="nil"/>
              <w:left w:val="nil"/>
              <w:bottom w:val="single" w:sz="4" w:space="0" w:color="auto"/>
              <w:right w:val="nil"/>
            </w:tcBorders>
            <w:vAlign w:val="center"/>
          </w:tcPr>
          <w:p w14:paraId="0FA09FA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0194AF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SEŽANA</w:t>
            </w:r>
          </w:p>
        </w:tc>
      </w:tr>
      <w:tr w:rsidR="00072A69" w:rsidRPr="00DC6DF9" w14:paraId="661F49F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68DFD2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2092</w:t>
            </w:r>
          </w:p>
        </w:tc>
        <w:tc>
          <w:tcPr>
            <w:tcW w:w="1036" w:type="dxa"/>
            <w:tcBorders>
              <w:top w:val="nil"/>
              <w:left w:val="nil"/>
              <w:bottom w:val="single" w:sz="4" w:space="0" w:color="auto"/>
              <w:right w:val="single" w:sz="4" w:space="0" w:color="auto"/>
            </w:tcBorders>
            <w:shd w:val="clear" w:color="auto" w:fill="auto"/>
            <w:noWrap/>
            <w:vAlign w:val="center"/>
            <w:hideMark/>
          </w:tcPr>
          <w:p w14:paraId="2036AD7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5054915000</w:t>
            </w:r>
          </w:p>
        </w:tc>
        <w:tc>
          <w:tcPr>
            <w:tcW w:w="1036" w:type="dxa"/>
            <w:tcBorders>
              <w:top w:val="nil"/>
              <w:left w:val="nil"/>
              <w:bottom w:val="single" w:sz="4" w:space="0" w:color="auto"/>
              <w:right w:val="single" w:sz="4" w:space="0" w:color="auto"/>
            </w:tcBorders>
            <w:shd w:val="clear" w:color="auto" w:fill="auto"/>
            <w:noWrap/>
            <w:vAlign w:val="center"/>
            <w:hideMark/>
          </w:tcPr>
          <w:p w14:paraId="6CA9B3A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88801292</w:t>
            </w:r>
          </w:p>
        </w:tc>
        <w:tc>
          <w:tcPr>
            <w:tcW w:w="160" w:type="dxa"/>
            <w:tcBorders>
              <w:top w:val="nil"/>
              <w:left w:val="nil"/>
              <w:bottom w:val="single" w:sz="4" w:space="0" w:color="auto"/>
              <w:right w:val="nil"/>
            </w:tcBorders>
            <w:vAlign w:val="center"/>
          </w:tcPr>
          <w:p w14:paraId="455EE0F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3E8695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SLOVENJ GRADEC</w:t>
            </w:r>
          </w:p>
        </w:tc>
      </w:tr>
      <w:tr w:rsidR="00072A69" w:rsidRPr="00DC6DF9" w14:paraId="53A95227"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965442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2093</w:t>
            </w:r>
          </w:p>
        </w:tc>
        <w:tc>
          <w:tcPr>
            <w:tcW w:w="1036" w:type="dxa"/>
            <w:tcBorders>
              <w:top w:val="nil"/>
              <w:left w:val="nil"/>
              <w:bottom w:val="single" w:sz="4" w:space="0" w:color="auto"/>
              <w:right w:val="single" w:sz="4" w:space="0" w:color="auto"/>
            </w:tcBorders>
            <w:shd w:val="clear" w:color="auto" w:fill="auto"/>
            <w:noWrap/>
            <w:vAlign w:val="center"/>
            <w:hideMark/>
          </w:tcPr>
          <w:p w14:paraId="1CF4413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5114357000</w:t>
            </w:r>
          </w:p>
        </w:tc>
        <w:tc>
          <w:tcPr>
            <w:tcW w:w="1036" w:type="dxa"/>
            <w:tcBorders>
              <w:top w:val="nil"/>
              <w:left w:val="nil"/>
              <w:bottom w:val="single" w:sz="4" w:space="0" w:color="auto"/>
              <w:right w:val="single" w:sz="4" w:space="0" w:color="auto"/>
            </w:tcBorders>
            <w:shd w:val="clear" w:color="auto" w:fill="auto"/>
            <w:noWrap/>
            <w:vAlign w:val="center"/>
            <w:hideMark/>
          </w:tcPr>
          <w:p w14:paraId="6176CBE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97979287</w:t>
            </w:r>
          </w:p>
        </w:tc>
        <w:tc>
          <w:tcPr>
            <w:tcW w:w="160" w:type="dxa"/>
            <w:tcBorders>
              <w:top w:val="nil"/>
              <w:left w:val="nil"/>
              <w:bottom w:val="single" w:sz="4" w:space="0" w:color="auto"/>
              <w:right w:val="nil"/>
            </w:tcBorders>
            <w:vAlign w:val="center"/>
          </w:tcPr>
          <w:p w14:paraId="2579062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EECF6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SLOVENSKA BISTRICA</w:t>
            </w:r>
          </w:p>
        </w:tc>
      </w:tr>
      <w:tr w:rsidR="00072A69" w:rsidRPr="00DC6DF9" w14:paraId="09695D1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1C189C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2094</w:t>
            </w:r>
          </w:p>
        </w:tc>
        <w:tc>
          <w:tcPr>
            <w:tcW w:w="1036" w:type="dxa"/>
            <w:tcBorders>
              <w:top w:val="nil"/>
              <w:left w:val="nil"/>
              <w:bottom w:val="single" w:sz="4" w:space="0" w:color="auto"/>
              <w:right w:val="single" w:sz="4" w:space="0" w:color="auto"/>
            </w:tcBorders>
            <w:shd w:val="clear" w:color="auto" w:fill="auto"/>
            <w:noWrap/>
            <w:vAlign w:val="center"/>
            <w:hideMark/>
          </w:tcPr>
          <w:p w14:paraId="18D0129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5630525000</w:t>
            </w:r>
          </w:p>
        </w:tc>
        <w:tc>
          <w:tcPr>
            <w:tcW w:w="1036" w:type="dxa"/>
            <w:tcBorders>
              <w:top w:val="nil"/>
              <w:left w:val="nil"/>
              <w:bottom w:val="single" w:sz="4" w:space="0" w:color="auto"/>
              <w:right w:val="single" w:sz="4" w:space="0" w:color="auto"/>
            </w:tcBorders>
            <w:shd w:val="clear" w:color="auto" w:fill="auto"/>
            <w:noWrap/>
            <w:vAlign w:val="center"/>
            <w:hideMark/>
          </w:tcPr>
          <w:p w14:paraId="0166805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72048131</w:t>
            </w:r>
          </w:p>
        </w:tc>
        <w:tc>
          <w:tcPr>
            <w:tcW w:w="160" w:type="dxa"/>
            <w:tcBorders>
              <w:top w:val="nil"/>
              <w:left w:val="nil"/>
              <w:bottom w:val="single" w:sz="4" w:space="0" w:color="auto"/>
              <w:right w:val="nil"/>
            </w:tcBorders>
            <w:vAlign w:val="center"/>
          </w:tcPr>
          <w:p w14:paraId="5455DCF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0A26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SLOVENSKE KONJICE</w:t>
            </w:r>
          </w:p>
        </w:tc>
      </w:tr>
      <w:tr w:rsidR="00072A69" w:rsidRPr="00DC6DF9" w14:paraId="44C9CAD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A25AD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2095</w:t>
            </w:r>
          </w:p>
        </w:tc>
        <w:tc>
          <w:tcPr>
            <w:tcW w:w="1036" w:type="dxa"/>
            <w:tcBorders>
              <w:top w:val="nil"/>
              <w:left w:val="nil"/>
              <w:bottom w:val="single" w:sz="4" w:space="0" w:color="auto"/>
              <w:right w:val="single" w:sz="4" w:space="0" w:color="auto"/>
            </w:tcBorders>
            <w:shd w:val="clear" w:color="auto" w:fill="auto"/>
            <w:noWrap/>
            <w:vAlign w:val="center"/>
            <w:hideMark/>
          </w:tcPr>
          <w:p w14:paraId="02706A9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5630509000</w:t>
            </w:r>
          </w:p>
        </w:tc>
        <w:tc>
          <w:tcPr>
            <w:tcW w:w="1036" w:type="dxa"/>
            <w:tcBorders>
              <w:top w:val="nil"/>
              <w:left w:val="nil"/>
              <w:bottom w:val="single" w:sz="4" w:space="0" w:color="auto"/>
              <w:right w:val="single" w:sz="4" w:space="0" w:color="auto"/>
            </w:tcBorders>
            <w:shd w:val="clear" w:color="auto" w:fill="auto"/>
            <w:noWrap/>
            <w:vAlign w:val="center"/>
            <w:hideMark/>
          </w:tcPr>
          <w:p w14:paraId="2DB4F5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45417539</w:t>
            </w:r>
          </w:p>
        </w:tc>
        <w:tc>
          <w:tcPr>
            <w:tcW w:w="160" w:type="dxa"/>
            <w:tcBorders>
              <w:top w:val="nil"/>
              <w:left w:val="nil"/>
              <w:bottom w:val="single" w:sz="4" w:space="0" w:color="auto"/>
              <w:right w:val="nil"/>
            </w:tcBorders>
            <w:vAlign w:val="center"/>
          </w:tcPr>
          <w:p w14:paraId="123710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58BF1D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ŠENTJUR</w:t>
            </w:r>
          </w:p>
        </w:tc>
      </w:tr>
      <w:tr w:rsidR="00072A69" w:rsidRPr="00DC6DF9" w14:paraId="3A6EDC2C"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C77EF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2096</w:t>
            </w:r>
          </w:p>
        </w:tc>
        <w:tc>
          <w:tcPr>
            <w:tcW w:w="1036" w:type="dxa"/>
            <w:tcBorders>
              <w:top w:val="nil"/>
              <w:left w:val="nil"/>
              <w:bottom w:val="single" w:sz="4" w:space="0" w:color="auto"/>
              <w:right w:val="single" w:sz="4" w:space="0" w:color="auto"/>
            </w:tcBorders>
            <w:shd w:val="clear" w:color="auto" w:fill="auto"/>
            <w:noWrap/>
            <w:vAlign w:val="center"/>
            <w:hideMark/>
          </w:tcPr>
          <w:p w14:paraId="703766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5630517000</w:t>
            </w:r>
          </w:p>
        </w:tc>
        <w:tc>
          <w:tcPr>
            <w:tcW w:w="1036" w:type="dxa"/>
            <w:tcBorders>
              <w:top w:val="nil"/>
              <w:left w:val="nil"/>
              <w:bottom w:val="single" w:sz="4" w:space="0" w:color="auto"/>
              <w:right w:val="single" w:sz="4" w:space="0" w:color="auto"/>
            </w:tcBorders>
            <w:shd w:val="clear" w:color="auto" w:fill="auto"/>
            <w:noWrap/>
            <w:vAlign w:val="center"/>
            <w:hideMark/>
          </w:tcPr>
          <w:p w14:paraId="186FFD2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58073868</w:t>
            </w:r>
          </w:p>
        </w:tc>
        <w:tc>
          <w:tcPr>
            <w:tcW w:w="160" w:type="dxa"/>
            <w:tcBorders>
              <w:top w:val="nil"/>
              <w:left w:val="nil"/>
              <w:bottom w:val="single" w:sz="4" w:space="0" w:color="auto"/>
              <w:right w:val="nil"/>
            </w:tcBorders>
            <w:vAlign w:val="center"/>
          </w:tcPr>
          <w:p w14:paraId="1B4F6EA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154B9F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ŠMARJE PRI JELŠAH</w:t>
            </w:r>
          </w:p>
        </w:tc>
      </w:tr>
      <w:tr w:rsidR="00072A69" w:rsidRPr="00DC6DF9" w14:paraId="10C3885F"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A015A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2097</w:t>
            </w:r>
          </w:p>
        </w:tc>
        <w:tc>
          <w:tcPr>
            <w:tcW w:w="1036" w:type="dxa"/>
            <w:tcBorders>
              <w:top w:val="nil"/>
              <w:left w:val="nil"/>
              <w:bottom w:val="single" w:sz="4" w:space="0" w:color="auto"/>
              <w:right w:val="single" w:sz="4" w:space="0" w:color="auto"/>
            </w:tcBorders>
            <w:shd w:val="clear" w:color="auto" w:fill="auto"/>
            <w:noWrap/>
            <w:vAlign w:val="center"/>
            <w:hideMark/>
          </w:tcPr>
          <w:p w14:paraId="30FD9EE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5107156000</w:t>
            </w:r>
          </w:p>
        </w:tc>
        <w:tc>
          <w:tcPr>
            <w:tcW w:w="1036" w:type="dxa"/>
            <w:tcBorders>
              <w:top w:val="nil"/>
              <w:left w:val="nil"/>
              <w:bottom w:val="single" w:sz="4" w:space="0" w:color="auto"/>
              <w:right w:val="single" w:sz="4" w:space="0" w:color="auto"/>
            </w:tcBorders>
            <w:shd w:val="clear" w:color="auto" w:fill="auto"/>
            <w:noWrap/>
            <w:vAlign w:val="center"/>
            <w:hideMark/>
          </w:tcPr>
          <w:p w14:paraId="0CC5353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51727781</w:t>
            </w:r>
          </w:p>
        </w:tc>
        <w:tc>
          <w:tcPr>
            <w:tcW w:w="160" w:type="dxa"/>
            <w:tcBorders>
              <w:top w:val="nil"/>
              <w:left w:val="nil"/>
              <w:bottom w:val="single" w:sz="4" w:space="0" w:color="auto"/>
              <w:right w:val="nil"/>
            </w:tcBorders>
            <w:vAlign w:val="center"/>
          </w:tcPr>
          <w:p w14:paraId="049870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70DA01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TOLMIN</w:t>
            </w:r>
          </w:p>
        </w:tc>
      </w:tr>
      <w:tr w:rsidR="00072A69" w:rsidRPr="00DC6DF9" w14:paraId="6B45735A"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8535B3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2098</w:t>
            </w:r>
          </w:p>
        </w:tc>
        <w:tc>
          <w:tcPr>
            <w:tcW w:w="1036" w:type="dxa"/>
            <w:tcBorders>
              <w:top w:val="nil"/>
              <w:left w:val="nil"/>
              <w:bottom w:val="single" w:sz="4" w:space="0" w:color="auto"/>
              <w:right w:val="single" w:sz="4" w:space="0" w:color="auto"/>
            </w:tcBorders>
            <w:shd w:val="clear" w:color="auto" w:fill="auto"/>
            <w:noWrap/>
            <w:vAlign w:val="center"/>
            <w:hideMark/>
          </w:tcPr>
          <w:p w14:paraId="70DEF10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5063094000</w:t>
            </w:r>
          </w:p>
        </w:tc>
        <w:tc>
          <w:tcPr>
            <w:tcW w:w="1036" w:type="dxa"/>
            <w:tcBorders>
              <w:top w:val="nil"/>
              <w:left w:val="nil"/>
              <w:bottom w:val="single" w:sz="4" w:space="0" w:color="auto"/>
              <w:right w:val="single" w:sz="4" w:space="0" w:color="auto"/>
            </w:tcBorders>
            <w:shd w:val="clear" w:color="auto" w:fill="auto"/>
            <w:noWrap/>
            <w:vAlign w:val="center"/>
            <w:hideMark/>
          </w:tcPr>
          <w:p w14:paraId="33D134D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17119324</w:t>
            </w:r>
          </w:p>
        </w:tc>
        <w:tc>
          <w:tcPr>
            <w:tcW w:w="160" w:type="dxa"/>
            <w:tcBorders>
              <w:top w:val="nil"/>
              <w:left w:val="nil"/>
              <w:bottom w:val="single" w:sz="4" w:space="0" w:color="auto"/>
              <w:right w:val="nil"/>
            </w:tcBorders>
            <w:vAlign w:val="center"/>
          </w:tcPr>
          <w:p w14:paraId="7BE4144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7EA1C1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TRBOVLJE</w:t>
            </w:r>
          </w:p>
        </w:tc>
      </w:tr>
      <w:tr w:rsidR="00072A69" w:rsidRPr="00DC6DF9" w14:paraId="77E3650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267366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2099</w:t>
            </w:r>
          </w:p>
        </w:tc>
        <w:tc>
          <w:tcPr>
            <w:tcW w:w="1036" w:type="dxa"/>
            <w:tcBorders>
              <w:top w:val="nil"/>
              <w:left w:val="nil"/>
              <w:bottom w:val="single" w:sz="4" w:space="0" w:color="auto"/>
              <w:right w:val="single" w:sz="4" w:space="0" w:color="auto"/>
            </w:tcBorders>
            <w:shd w:val="clear" w:color="auto" w:fill="auto"/>
            <w:noWrap/>
            <w:vAlign w:val="center"/>
            <w:hideMark/>
          </w:tcPr>
          <w:p w14:paraId="2C9F379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5054583000</w:t>
            </w:r>
          </w:p>
        </w:tc>
        <w:tc>
          <w:tcPr>
            <w:tcW w:w="1036" w:type="dxa"/>
            <w:tcBorders>
              <w:top w:val="nil"/>
              <w:left w:val="nil"/>
              <w:bottom w:val="single" w:sz="4" w:space="0" w:color="auto"/>
              <w:right w:val="single" w:sz="4" w:space="0" w:color="auto"/>
            </w:tcBorders>
            <w:shd w:val="clear" w:color="auto" w:fill="auto"/>
            <w:noWrap/>
            <w:vAlign w:val="center"/>
            <w:hideMark/>
          </w:tcPr>
          <w:p w14:paraId="7324160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99797275</w:t>
            </w:r>
          </w:p>
        </w:tc>
        <w:tc>
          <w:tcPr>
            <w:tcW w:w="160" w:type="dxa"/>
            <w:tcBorders>
              <w:top w:val="nil"/>
              <w:left w:val="nil"/>
              <w:bottom w:val="single" w:sz="4" w:space="0" w:color="auto"/>
              <w:right w:val="nil"/>
            </w:tcBorders>
            <w:vAlign w:val="center"/>
          </w:tcPr>
          <w:p w14:paraId="4A6D447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CE9295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TREBNJE</w:t>
            </w:r>
          </w:p>
        </w:tc>
      </w:tr>
      <w:tr w:rsidR="00072A69" w:rsidRPr="00DC6DF9" w14:paraId="753905C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9A71A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2100</w:t>
            </w:r>
          </w:p>
        </w:tc>
        <w:tc>
          <w:tcPr>
            <w:tcW w:w="1036" w:type="dxa"/>
            <w:tcBorders>
              <w:top w:val="nil"/>
              <w:left w:val="nil"/>
              <w:bottom w:val="single" w:sz="4" w:space="0" w:color="auto"/>
              <w:right w:val="single" w:sz="4" w:space="0" w:color="auto"/>
            </w:tcBorders>
            <w:shd w:val="clear" w:color="auto" w:fill="auto"/>
            <w:noWrap/>
            <w:vAlign w:val="center"/>
            <w:hideMark/>
          </w:tcPr>
          <w:p w14:paraId="4AB8338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5820456000</w:t>
            </w:r>
          </w:p>
        </w:tc>
        <w:tc>
          <w:tcPr>
            <w:tcW w:w="1036" w:type="dxa"/>
            <w:tcBorders>
              <w:top w:val="nil"/>
              <w:left w:val="nil"/>
              <w:bottom w:val="single" w:sz="4" w:space="0" w:color="auto"/>
              <w:right w:val="single" w:sz="4" w:space="0" w:color="auto"/>
            </w:tcBorders>
            <w:shd w:val="clear" w:color="auto" w:fill="auto"/>
            <w:noWrap/>
            <w:vAlign w:val="center"/>
            <w:hideMark/>
          </w:tcPr>
          <w:p w14:paraId="179E58A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13920235</w:t>
            </w:r>
          </w:p>
        </w:tc>
        <w:tc>
          <w:tcPr>
            <w:tcW w:w="160" w:type="dxa"/>
            <w:tcBorders>
              <w:top w:val="nil"/>
              <w:left w:val="nil"/>
              <w:bottom w:val="single" w:sz="4" w:space="0" w:color="auto"/>
              <w:right w:val="nil"/>
            </w:tcBorders>
            <w:vAlign w:val="center"/>
          </w:tcPr>
          <w:p w14:paraId="30BAD901"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B23BDE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VELENJE</w:t>
            </w:r>
          </w:p>
        </w:tc>
      </w:tr>
      <w:tr w:rsidR="00072A69" w:rsidRPr="00DC6DF9" w14:paraId="1DE252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79FB2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2101</w:t>
            </w:r>
          </w:p>
        </w:tc>
        <w:tc>
          <w:tcPr>
            <w:tcW w:w="1036" w:type="dxa"/>
            <w:tcBorders>
              <w:top w:val="nil"/>
              <w:left w:val="nil"/>
              <w:bottom w:val="single" w:sz="4" w:space="0" w:color="auto"/>
              <w:right w:val="single" w:sz="4" w:space="0" w:color="auto"/>
            </w:tcBorders>
            <w:shd w:val="clear" w:color="auto" w:fill="auto"/>
            <w:noWrap/>
            <w:vAlign w:val="center"/>
            <w:hideMark/>
          </w:tcPr>
          <w:p w14:paraId="349796B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5158834000</w:t>
            </w:r>
          </w:p>
        </w:tc>
        <w:tc>
          <w:tcPr>
            <w:tcW w:w="1036" w:type="dxa"/>
            <w:tcBorders>
              <w:top w:val="nil"/>
              <w:left w:val="nil"/>
              <w:bottom w:val="single" w:sz="4" w:space="0" w:color="auto"/>
              <w:right w:val="single" w:sz="4" w:space="0" w:color="auto"/>
            </w:tcBorders>
            <w:shd w:val="clear" w:color="auto" w:fill="auto"/>
            <w:noWrap/>
            <w:vAlign w:val="center"/>
            <w:hideMark/>
          </w:tcPr>
          <w:p w14:paraId="367D662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19577460</w:t>
            </w:r>
          </w:p>
        </w:tc>
        <w:tc>
          <w:tcPr>
            <w:tcW w:w="160" w:type="dxa"/>
            <w:tcBorders>
              <w:top w:val="nil"/>
              <w:left w:val="nil"/>
              <w:bottom w:val="single" w:sz="4" w:space="0" w:color="auto"/>
              <w:right w:val="nil"/>
            </w:tcBorders>
            <w:vAlign w:val="center"/>
          </w:tcPr>
          <w:p w14:paraId="03C4120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13F44AB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VRHNIKA</w:t>
            </w:r>
          </w:p>
        </w:tc>
      </w:tr>
      <w:tr w:rsidR="00072A69" w:rsidRPr="00DC6DF9" w14:paraId="52DEDF20"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E7D14D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2102</w:t>
            </w:r>
          </w:p>
        </w:tc>
        <w:tc>
          <w:tcPr>
            <w:tcW w:w="1036" w:type="dxa"/>
            <w:tcBorders>
              <w:top w:val="nil"/>
              <w:left w:val="nil"/>
              <w:bottom w:val="single" w:sz="4" w:space="0" w:color="auto"/>
              <w:right w:val="single" w:sz="4" w:space="0" w:color="auto"/>
            </w:tcBorders>
            <w:shd w:val="clear" w:color="auto" w:fill="auto"/>
            <w:noWrap/>
            <w:vAlign w:val="center"/>
            <w:hideMark/>
          </w:tcPr>
          <w:p w14:paraId="6F94678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5700817000</w:t>
            </w:r>
          </w:p>
        </w:tc>
        <w:tc>
          <w:tcPr>
            <w:tcW w:w="1036" w:type="dxa"/>
            <w:tcBorders>
              <w:top w:val="nil"/>
              <w:left w:val="nil"/>
              <w:bottom w:val="single" w:sz="4" w:space="0" w:color="auto"/>
              <w:right w:val="single" w:sz="4" w:space="0" w:color="auto"/>
            </w:tcBorders>
            <w:shd w:val="clear" w:color="auto" w:fill="auto"/>
            <w:noWrap/>
            <w:vAlign w:val="center"/>
            <w:hideMark/>
          </w:tcPr>
          <w:p w14:paraId="2B54521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42997186</w:t>
            </w:r>
          </w:p>
        </w:tc>
        <w:tc>
          <w:tcPr>
            <w:tcW w:w="160" w:type="dxa"/>
            <w:tcBorders>
              <w:top w:val="nil"/>
              <w:left w:val="nil"/>
              <w:bottom w:val="single" w:sz="4" w:space="0" w:color="auto"/>
              <w:right w:val="nil"/>
            </w:tcBorders>
            <w:vAlign w:val="center"/>
          </w:tcPr>
          <w:p w14:paraId="5CDE81C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F2614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ZA ŠTUDENTE UNIVERZE V LJUBLJANI</w:t>
            </w:r>
          </w:p>
        </w:tc>
      </w:tr>
      <w:tr w:rsidR="00072A69" w:rsidRPr="00DC6DF9" w14:paraId="26EBEF8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229DC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2103</w:t>
            </w:r>
          </w:p>
        </w:tc>
        <w:tc>
          <w:tcPr>
            <w:tcW w:w="1036" w:type="dxa"/>
            <w:tcBorders>
              <w:top w:val="nil"/>
              <w:left w:val="nil"/>
              <w:bottom w:val="single" w:sz="4" w:space="0" w:color="auto"/>
              <w:right w:val="single" w:sz="4" w:space="0" w:color="auto"/>
            </w:tcBorders>
            <w:shd w:val="clear" w:color="auto" w:fill="auto"/>
            <w:noWrap/>
            <w:vAlign w:val="center"/>
            <w:hideMark/>
          </w:tcPr>
          <w:p w14:paraId="0A0AA1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5063108000</w:t>
            </w:r>
          </w:p>
        </w:tc>
        <w:tc>
          <w:tcPr>
            <w:tcW w:w="1036" w:type="dxa"/>
            <w:tcBorders>
              <w:top w:val="nil"/>
              <w:left w:val="nil"/>
              <w:bottom w:val="single" w:sz="4" w:space="0" w:color="auto"/>
              <w:right w:val="single" w:sz="4" w:space="0" w:color="auto"/>
            </w:tcBorders>
            <w:shd w:val="clear" w:color="auto" w:fill="auto"/>
            <w:noWrap/>
            <w:vAlign w:val="center"/>
            <w:hideMark/>
          </w:tcPr>
          <w:p w14:paraId="54DE86F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89472861</w:t>
            </w:r>
          </w:p>
        </w:tc>
        <w:tc>
          <w:tcPr>
            <w:tcW w:w="160" w:type="dxa"/>
            <w:tcBorders>
              <w:top w:val="nil"/>
              <w:left w:val="nil"/>
              <w:bottom w:val="single" w:sz="4" w:space="0" w:color="auto"/>
              <w:right w:val="nil"/>
            </w:tcBorders>
            <w:vAlign w:val="center"/>
          </w:tcPr>
          <w:p w14:paraId="77EBB0E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7EF6B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ZAGORJE OB SAVI</w:t>
            </w:r>
          </w:p>
        </w:tc>
      </w:tr>
      <w:tr w:rsidR="00072A69" w:rsidRPr="00DC6DF9" w14:paraId="7070655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451D5C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2104</w:t>
            </w:r>
          </w:p>
        </w:tc>
        <w:tc>
          <w:tcPr>
            <w:tcW w:w="1036" w:type="dxa"/>
            <w:tcBorders>
              <w:top w:val="nil"/>
              <w:left w:val="nil"/>
              <w:bottom w:val="single" w:sz="4" w:space="0" w:color="auto"/>
              <w:right w:val="single" w:sz="4" w:space="0" w:color="auto"/>
            </w:tcBorders>
            <w:shd w:val="clear" w:color="auto" w:fill="auto"/>
            <w:noWrap/>
            <w:vAlign w:val="center"/>
            <w:hideMark/>
          </w:tcPr>
          <w:p w14:paraId="1283202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5107172000</w:t>
            </w:r>
          </w:p>
        </w:tc>
        <w:tc>
          <w:tcPr>
            <w:tcW w:w="1036" w:type="dxa"/>
            <w:tcBorders>
              <w:top w:val="nil"/>
              <w:left w:val="nil"/>
              <w:bottom w:val="single" w:sz="4" w:space="0" w:color="auto"/>
              <w:right w:val="single" w:sz="4" w:space="0" w:color="auto"/>
            </w:tcBorders>
            <w:shd w:val="clear" w:color="auto" w:fill="auto"/>
            <w:noWrap/>
            <w:vAlign w:val="center"/>
            <w:hideMark/>
          </w:tcPr>
          <w:p w14:paraId="4B75C22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22312650</w:t>
            </w:r>
          </w:p>
        </w:tc>
        <w:tc>
          <w:tcPr>
            <w:tcW w:w="160" w:type="dxa"/>
            <w:tcBorders>
              <w:top w:val="nil"/>
              <w:left w:val="nil"/>
              <w:bottom w:val="single" w:sz="4" w:space="0" w:color="auto"/>
              <w:right w:val="nil"/>
            </w:tcBorders>
            <w:vAlign w:val="center"/>
          </w:tcPr>
          <w:p w14:paraId="7FA706C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45BCA0C4"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DOM ZOBOZDRAVSTVENO VARSTVO NOVA GORICA</w:t>
            </w:r>
          </w:p>
        </w:tc>
      </w:tr>
      <w:tr w:rsidR="00072A69" w:rsidRPr="00DC6DF9" w14:paraId="5C687263"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2EC377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2105</w:t>
            </w:r>
          </w:p>
        </w:tc>
        <w:tc>
          <w:tcPr>
            <w:tcW w:w="1036" w:type="dxa"/>
            <w:tcBorders>
              <w:top w:val="nil"/>
              <w:left w:val="nil"/>
              <w:bottom w:val="single" w:sz="4" w:space="0" w:color="auto"/>
              <w:right w:val="single" w:sz="4" w:space="0" w:color="auto"/>
            </w:tcBorders>
            <w:shd w:val="clear" w:color="auto" w:fill="auto"/>
            <w:noWrap/>
            <w:vAlign w:val="center"/>
            <w:hideMark/>
          </w:tcPr>
          <w:p w14:paraId="5B186B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5875048000</w:t>
            </w:r>
          </w:p>
        </w:tc>
        <w:tc>
          <w:tcPr>
            <w:tcW w:w="1036" w:type="dxa"/>
            <w:tcBorders>
              <w:top w:val="nil"/>
              <w:left w:val="nil"/>
              <w:bottom w:val="single" w:sz="4" w:space="0" w:color="auto"/>
              <w:right w:val="single" w:sz="4" w:space="0" w:color="auto"/>
            </w:tcBorders>
            <w:shd w:val="clear" w:color="auto" w:fill="auto"/>
            <w:noWrap/>
            <w:vAlign w:val="center"/>
            <w:hideMark/>
          </w:tcPr>
          <w:p w14:paraId="52E9B1C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61552160</w:t>
            </w:r>
          </w:p>
        </w:tc>
        <w:tc>
          <w:tcPr>
            <w:tcW w:w="160" w:type="dxa"/>
            <w:tcBorders>
              <w:top w:val="nil"/>
              <w:left w:val="nil"/>
              <w:bottom w:val="single" w:sz="4" w:space="0" w:color="auto"/>
              <w:right w:val="nil"/>
            </w:tcBorders>
            <w:vAlign w:val="center"/>
          </w:tcPr>
          <w:p w14:paraId="6A5739F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F57F54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ZDRAVSTVENI INŠPEKTORAT REPUBLIKE SLOVENIJE</w:t>
            </w:r>
          </w:p>
        </w:tc>
      </w:tr>
      <w:tr w:rsidR="00072A69" w:rsidRPr="00DC6DF9" w14:paraId="14FEDD1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DF92D8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2106</w:t>
            </w:r>
          </w:p>
        </w:tc>
        <w:tc>
          <w:tcPr>
            <w:tcW w:w="1036" w:type="dxa"/>
            <w:tcBorders>
              <w:top w:val="nil"/>
              <w:left w:val="nil"/>
              <w:bottom w:val="single" w:sz="4" w:space="0" w:color="auto"/>
              <w:right w:val="single" w:sz="4" w:space="0" w:color="auto"/>
            </w:tcBorders>
            <w:shd w:val="clear" w:color="auto" w:fill="auto"/>
            <w:noWrap/>
            <w:vAlign w:val="center"/>
            <w:hideMark/>
          </w:tcPr>
          <w:p w14:paraId="4B53C37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5054923000</w:t>
            </w:r>
          </w:p>
        </w:tc>
        <w:tc>
          <w:tcPr>
            <w:tcW w:w="1036" w:type="dxa"/>
            <w:tcBorders>
              <w:top w:val="nil"/>
              <w:left w:val="nil"/>
              <w:bottom w:val="single" w:sz="4" w:space="0" w:color="auto"/>
              <w:right w:val="single" w:sz="4" w:space="0" w:color="auto"/>
            </w:tcBorders>
            <w:shd w:val="clear" w:color="auto" w:fill="auto"/>
            <w:noWrap/>
            <w:vAlign w:val="center"/>
            <w:hideMark/>
          </w:tcPr>
          <w:p w14:paraId="677FAED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60994614</w:t>
            </w:r>
          </w:p>
        </w:tc>
        <w:tc>
          <w:tcPr>
            <w:tcW w:w="160" w:type="dxa"/>
            <w:tcBorders>
              <w:top w:val="nil"/>
              <w:left w:val="nil"/>
              <w:bottom w:val="single" w:sz="4" w:space="0" w:color="auto"/>
              <w:right w:val="nil"/>
            </w:tcBorders>
            <w:vAlign w:val="center"/>
          </w:tcPr>
          <w:p w14:paraId="286411F4"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21183E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ZDRAVSTVENO REŠEVALNI CENTER KOROŠKE</w:t>
            </w:r>
          </w:p>
        </w:tc>
      </w:tr>
      <w:tr w:rsidR="00072A69" w:rsidRPr="00DC6DF9" w14:paraId="7E62CE84"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107555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2107</w:t>
            </w:r>
          </w:p>
        </w:tc>
        <w:tc>
          <w:tcPr>
            <w:tcW w:w="1036" w:type="dxa"/>
            <w:tcBorders>
              <w:top w:val="nil"/>
              <w:left w:val="nil"/>
              <w:bottom w:val="single" w:sz="4" w:space="0" w:color="auto"/>
              <w:right w:val="single" w:sz="4" w:space="0" w:color="auto"/>
            </w:tcBorders>
            <w:shd w:val="clear" w:color="auto" w:fill="auto"/>
            <w:noWrap/>
            <w:vAlign w:val="center"/>
            <w:hideMark/>
          </w:tcPr>
          <w:p w14:paraId="0070841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1621645000</w:t>
            </w:r>
          </w:p>
        </w:tc>
        <w:tc>
          <w:tcPr>
            <w:tcW w:w="1036" w:type="dxa"/>
            <w:tcBorders>
              <w:top w:val="nil"/>
              <w:left w:val="nil"/>
              <w:bottom w:val="single" w:sz="4" w:space="0" w:color="auto"/>
              <w:right w:val="single" w:sz="4" w:space="0" w:color="auto"/>
            </w:tcBorders>
            <w:shd w:val="clear" w:color="auto" w:fill="auto"/>
            <w:noWrap/>
            <w:vAlign w:val="center"/>
            <w:hideMark/>
          </w:tcPr>
          <w:p w14:paraId="7787E3C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14486199</w:t>
            </w:r>
          </w:p>
        </w:tc>
        <w:tc>
          <w:tcPr>
            <w:tcW w:w="160" w:type="dxa"/>
            <w:tcBorders>
              <w:top w:val="nil"/>
              <w:left w:val="nil"/>
              <w:bottom w:val="single" w:sz="4" w:space="0" w:color="auto"/>
              <w:right w:val="nil"/>
            </w:tcBorders>
            <w:vAlign w:val="center"/>
          </w:tcPr>
          <w:p w14:paraId="333B4F4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055DE69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ZDRUŽENJE OBČIN SLOVENIJE</w:t>
            </w:r>
          </w:p>
        </w:tc>
      </w:tr>
      <w:tr w:rsidR="00072A69" w:rsidRPr="00DC6DF9" w14:paraId="3EE6F13B"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F99A49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2108</w:t>
            </w:r>
          </w:p>
        </w:tc>
        <w:tc>
          <w:tcPr>
            <w:tcW w:w="1036" w:type="dxa"/>
            <w:tcBorders>
              <w:top w:val="nil"/>
              <w:left w:val="nil"/>
              <w:bottom w:val="single" w:sz="4" w:space="0" w:color="auto"/>
              <w:right w:val="single" w:sz="4" w:space="0" w:color="auto"/>
            </w:tcBorders>
            <w:shd w:val="clear" w:color="auto" w:fill="auto"/>
            <w:noWrap/>
            <w:vAlign w:val="center"/>
            <w:hideMark/>
          </w:tcPr>
          <w:p w14:paraId="344C6B28"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5054087000</w:t>
            </w:r>
          </w:p>
        </w:tc>
        <w:tc>
          <w:tcPr>
            <w:tcW w:w="1036" w:type="dxa"/>
            <w:tcBorders>
              <w:top w:val="nil"/>
              <w:left w:val="nil"/>
              <w:bottom w:val="single" w:sz="4" w:space="0" w:color="auto"/>
              <w:right w:val="single" w:sz="4" w:space="0" w:color="auto"/>
            </w:tcBorders>
            <w:shd w:val="clear" w:color="auto" w:fill="auto"/>
            <w:noWrap/>
            <w:vAlign w:val="center"/>
            <w:hideMark/>
          </w:tcPr>
          <w:p w14:paraId="72B7B4B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19145837</w:t>
            </w:r>
          </w:p>
        </w:tc>
        <w:tc>
          <w:tcPr>
            <w:tcW w:w="160" w:type="dxa"/>
            <w:tcBorders>
              <w:top w:val="nil"/>
              <w:left w:val="nil"/>
              <w:bottom w:val="single" w:sz="4" w:space="0" w:color="auto"/>
              <w:right w:val="nil"/>
            </w:tcBorders>
            <w:vAlign w:val="center"/>
          </w:tcPr>
          <w:p w14:paraId="0C9DEDB7"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1B52F5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ZDRUŽENJE ZDRAVSTVENIH ZAVODOV SLOVENIJE</w:t>
            </w:r>
          </w:p>
        </w:tc>
      </w:tr>
      <w:tr w:rsidR="00072A69" w:rsidRPr="00DC6DF9" w14:paraId="3A0AFE59"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CC134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2109</w:t>
            </w:r>
          </w:p>
        </w:tc>
        <w:tc>
          <w:tcPr>
            <w:tcW w:w="1036" w:type="dxa"/>
            <w:tcBorders>
              <w:top w:val="nil"/>
              <w:left w:val="nil"/>
              <w:bottom w:val="single" w:sz="4" w:space="0" w:color="auto"/>
              <w:right w:val="single" w:sz="4" w:space="0" w:color="auto"/>
            </w:tcBorders>
            <w:shd w:val="clear" w:color="auto" w:fill="auto"/>
            <w:noWrap/>
            <w:vAlign w:val="center"/>
            <w:hideMark/>
          </w:tcPr>
          <w:p w14:paraId="5AFDA66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5052459000</w:t>
            </w:r>
          </w:p>
        </w:tc>
        <w:tc>
          <w:tcPr>
            <w:tcW w:w="1036" w:type="dxa"/>
            <w:tcBorders>
              <w:top w:val="nil"/>
              <w:left w:val="nil"/>
              <w:bottom w:val="single" w:sz="4" w:space="0" w:color="auto"/>
              <w:right w:val="single" w:sz="4" w:space="0" w:color="auto"/>
            </w:tcBorders>
            <w:shd w:val="clear" w:color="auto" w:fill="auto"/>
            <w:noWrap/>
            <w:vAlign w:val="center"/>
            <w:hideMark/>
          </w:tcPr>
          <w:p w14:paraId="4FE6B2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47341785</w:t>
            </w:r>
          </w:p>
        </w:tc>
        <w:tc>
          <w:tcPr>
            <w:tcW w:w="160" w:type="dxa"/>
            <w:tcBorders>
              <w:top w:val="nil"/>
              <w:left w:val="nil"/>
              <w:bottom w:val="single" w:sz="4" w:space="0" w:color="auto"/>
              <w:right w:val="nil"/>
            </w:tcBorders>
            <w:vAlign w:val="center"/>
          </w:tcPr>
          <w:p w14:paraId="605A27CC"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DB5946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ZGODOVINSKI ARHIV CELJE</w:t>
            </w:r>
          </w:p>
        </w:tc>
      </w:tr>
      <w:tr w:rsidR="00072A69" w:rsidRPr="00DC6DF9" w14:paraId="1FD594F5"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2CC686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2110</w:t>
            </w:r>
          </w:p>
        </w:tc>
        <w:tc>
          <w:tcPr>
            <w:tcW w:w="1036" w:type="dxa"/>
            <w:tcBorders>
              <w:top w:val="nil"/>
              <w:left w:val="nil"/>
              <w:bottom w:val="single" w:sz="4" w:space="0" w:color="auto"/>
              <w:right w:val="single" w:sz="4" w:space="0" w:color="auto"/>
            </w:tcBorders>
            <w:shd w:val="clear" w:color="auto" w:fill="auto"/>
            <w:noWrap/>
            <w:vAlign w:val="center"/>
            <w:hideMark/>
          </w:tcPr>
          <w:p w14:paraId="06CD5F7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5206642000</w:t>
            </w:r>
          </w:p>
        </w:tc>
        <w:tc>
          <w:tcPr>
            <w:tcW w:w="1036" w:type="dxa"/>
            <w:tcBorders>
              <w:top w:val="nil"/>
              <w:left w:val="nil"/>
              <w:bottom w:val="single" w:sz="4" w:space="0" w:color="auto"/>
              <w:right w:val="single" w:sz="4" w:space="0" w:color="auto"/>
            </w:tcBorders>
            <w:shd w:val="clear" w:color="auto" w:fill="auto"/>
            <w:noWrap/>
            <w:vAlign w:val="center"/>
            <w:hideMark/>
          </w:tcPr>
          <w:p w14:paraId="0FD3B58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43345654</w:t>
            </w:r>
          </w:p>
        </w:tc>
        <w:tc>
          <w:tcPr>
            <w:tcW w:w="160" w:type="dxa"/>
            <w:tcBorders>
              <w:top w:val="nil"/>
              <w:left w:val="nil"/>
              <w:bottom w:val="single" w:sz="4" w:space="0" w:color="auto"/>
              <w:right w:val="nil"/>
            </w:tcBorders>
            <w:vAlign w:val="center"/>
          </w:tcPr>
          <w:p w14:paraId="47E84526"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4B1B0BA"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ZGORNJESAVINJSKI ZDRAVSTVENI DOM NAZARJE</w:t>
            </w:r>
          </w:p>
        </w:tc>
      </w:tr>
      <w:tr w:rsidR="00072A69" w:rsidRPr="00DC6DF9" w14:paraId="3E0B4318"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C0361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2111</w:t>
            </w:r>
          </w:p>
        </w:tc>
        <w:tc>
          <w:tcPr>
            <w:tcW w:w="1036" w:type="dxa"/>
            <w:tcBorders>
              <w:top w:val="nil"/>
              <w:left w:val="nil"/>
              <w:bottom w:val="single" w:sz="4" w:space="0" w:color="auto"/>
              <w:right w:val="single" w:sz="4" w:space="0" w:color="auto"/>
            </w:tcBorders>
            <w:shd w:val="clear" w:color="auto" w:fill="auto"/>
            <w:noWrap/>
            <w:vAlign w:val="center"/>
            <w:hideMark/>
          </w:tcPr>
          <w:p w14:paraId="6BE9292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5105498000</w:t>
            </w:r>
          </w:p>
        </w:tc>
        <w:tc>
          <w:tcPr>
            <w:tcW w:w="1036" w:type="dxa"/>
            <w:tcBorders>
              <w:top w:val="nil"/>
              <w:left w:val="nil"/>
              <w:bottom w:val="single" w:sz="4" w:space="0" w:color="auto"/>
              <w:right w:val="single" w:sz="4" w:space="0" w:color="auto"/>
            </w:tcBorders>
            <w:shd w:val="clear" w:color="auto" w:fill="auto"/>
            <w:noWrap/>
            <w:vAlign w:val="center"/>
            <w:hideMark/>
          </w:tcPr>
          <w:p w14:paraId="6ADD0B4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38048183</w:t>
            </w:r>
          </w:p>
        </w:tc>
        <w:tc>
          <w:tcPr>
            <w:tcW w:w="160" w:type="dxa"/>
            <w:tcBorders>
              <w:top w:val="nil"/>
              <w:left w:val="nil"/>
              <w:bottom w:val="single" w:sz="4" w:space="0" w:color="auto"/>
              <w:right w:val="nil"/>
            </w:tcBorders>
            <w:vAlign w:val="center"/>
          </w:tcPr>
          <w:p w14:paraId="3D0730C3"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7E66DB3" w14:textId="2D982389"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ZNANSTVENO</w:t>
            </w:r>
            <w:r w:rsidR="00C62394">
              <w:rPr>
                <w:rFonts w:ascii="Arial" w:eastAsia="Times New Roman" w:hAnsi="Arial" w:cs="Arial"/>
                <w:color w:val="000000"/>
                <w:sz w:val="16"/>
                <w:szCs w:val="16"/>
                <w:lang w:eastAsia="sl-SI"/>
              </w:rPr>
              <w:t>-</w:t>
            </w:r>
            <w:r w:rsidRPr="00DC6DF9">
              <w:rPr>
                <w:rFonts w:ascii="Arial" w:eastAsia="Times New Roman" w:hAnsi="Arial" w:cs="Arial"/>
                <w:color w:val="000000"/>
                <w:sz w:val="16"/>
                <w:szCs w:val="16"/>
                <w:lang w:eastAsia="sl-SI"/>
              </w:rPr>
              <w:t>RAZISKOVALNI CENTER SLOVENSKE AKADEMIJE ZNANOSTI IN UMETNOSTI</w:t>
            </w:r>
          </w:p>
        </w:tc>
      </w:tr>
      <w:tr w:rsidR="00072A69" w:rsidRPr="00DC6DF9" w14:paraId="4E07753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119CC1B"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2112</w:t>
            </w:r>
          </w:p>
        </w:tc>
        <w:tc>
          <w:tcPr>
            <w:tcW w:w="1036" w:type="dxa"/>
            <w:tcBorders>
              <w:top w:val="nil"/>
              <w:left w:val="nil"/>
              <w:bottom w:val="single" w:sz="4" w:space="0" w:color="auto"/>
              <w:right w:val="single" w:sz="4" w:space="0" w:color="auto"/>
            </w:tcBorders>
            <w:shd w:val="clear" w:color="auto" w:fill="auto"/>
            <w:noWrap/>
            <w:vAlign w:val="center"/>
            <w:hideMark/>
          </w:tcPr>
          <w:p w14:paraId="65B8003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5844975000</w:t>
            </w:r>
          </w:p>
        </w:tc>
        <w:tc>
          <w:tcPr>
            <w:tcW w:w="1036" w:type="dxa"/>
            <w:tcBorders>
              <w:top w:val="nil"/>
              <w:left w:val="nil"/>
              <w:bottom w:val="single" w:sz="4" w:space="0" w:color="auto"/>
              <w:right w:val="single" w:sz="4" w:space="0" w:color="auto"/>
            </w:tcBorders>
            <w:shd w:val="clear" w:color="auto" w:fill="auto"/>
            <w:noWrap/>
            <w:vAlign w:val="center"/>
            <w:hideMark/>
          </w:tcPr>
          <w:p w14:paraId="5EED716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55581218</w:t>
            </w:r>
          </w:p>
        </w:tc>
        <w:tc>
          <w:tcPr>
            <w:tcW w:w="160" w:type="dxa"/>
            <w:tcBorders>
              <w:top w:val="nil"/>
              <w:left w:val="nil"/>
              <w:bottom w:val="single" w:sz="4" w:space="0" w:color="auto"/>
              <w:right w:val="nil"/>
            </w:tcBorders>
            <w:vAlign w:val="center"/>
          </w:tcPr>
          <w:p w14:paraId="56258A49"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7936FFF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ZNANSTVENO-RAZISKOVALNO SREDIŠČE BISTRA PTUJ</w:t>
            </w:r>
          </w:p>
        </w:tc>
      </w:tr>
      <w:tr w:rsidR="00072A69" w:rsidRPr="00DC6DF9" w14:paraId="7A6CEEC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0F286C7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2113</w:t>
            </w:r>
          </w:p>
        </w:tc>
        <w:tc>
          <w:tcPr>
            <w:tcW w:w="1036" w:type="dxa"/>
            <w:tcBorders>
              <w:top w:val="nil"/>
              <w:left w:val="nil"/>
              <w:bottom w:val="single" w:sz="4" w:space="0" w:color="auto"/>
              <w:right w:val="single" w:sz="4" w:space="0" w:color="auto"/>
            </w:tcBorders>
            <w:shd w:val="clear" w:color="auto" w:fill="auto"/>
            <w:noWrap/>
            <w:vAlign w:val="center"/>
            <w:hideMark/>
          </w:tcPr>
          <w:p w14:paraId="1CD5CE86"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7187416000</w:t>
            </w:r>
          </w:p>
        </w:tc>
        <w:tc>
          <w:tcPr>
            <w:tcW w:w="1036" w:type="dxa"/>
            <w:tcBorders>
              <w:top w:val="nil"/>
              <w:left w:val="nil"/>
              <w:bottom w:val="single" w:sz="4" w:space="0" w:color="auto"/>
              <w:right w:val="single" w:sz="4" w:space="0" w:color="auto"/>
            </w:tcBorders>
            <w:shd w:val="clear" w:color="auto" w:fill="auto"/>
            <w:noWrap/>
            <w:vAlign w:val="center"/>
            <w:hideMark/>
          </w:tcPr>
          <w:p w14:paraId="5160B47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38108674</w:t>
            </w:r>
          </w:p>
        </w:tc>
        <w:tc>
          <w:tcPr>
            <w:tcW w:w="160" w:type="dxa"/>
            <w:tcBorders>
              <w:top w:val="nil"/>
              <w:left w:val="nil"/>
              <w:bottom w:val="single" w:sz="4" w:space="0" w:color="auto"/>
              <w:right w:val="nil"/>
            </w:tcBorders>
            <w:vAlign w:val="center"/>
          </w:tcPr>
          <w:p w14:paraId="05F8CFAB"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354385B3"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ZNANSTVENO-RAZISKOVALNO SREDIŠČE KOPER</w:t>
            </w:r>
          </w:p>
        </w:tc>
      </w:tr>
      <w:tr w:rsidR="00072A69" w:rsidRPr="00DC6DF9" w14:paraId="5E6B0B1E"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01239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2114</w:t>
            </w:r>
          </w:p>
        </w:tc>
        <w:tc>
          <w:tcPr>
            <w:tcW w:w="1036" w:type="dxa"/>
            <w:tcBorders>
              <w:top w:val="nil"/>
              <w:left w:val="nil"/>
              <w:bottom w:val="single" w:sz="4" w:space="0" w:color="auto"/>
              <w:right w:val="single" w:sz="4" w:space="0" w:color="auto"/>
            </w:tcBorders>
            <w:shd w:val="clear" w:color="auto" w:fill="auto"/>
            <w:noWrap/>
            <w:vAlign w:val="center"/>
            <w:hideMark/>
          </w:tcPr>
          <w:p w14:paraId="162DA23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1254405000</w:t>
            </w:r>
          </w:p>
        </w:tc>
        <w:tc>
          <w:tcPr>
            <w:tcW w:w="1036" w:type="dxa"/>
            <w:tcBorders>
              <w:top w:val="nil"/>
              <w:left w:val="nil"/>
              <w:bottom w:val="single" w:sz="4" w:space="0" w:color="auto"/>
              <w:right w:val="single" w:sz="4" w:space="0" w:color="auto"/>
            </w:tcBorders>
            <w:shd w:val="clear" w:color="auto" w:fill="auto"/>
            <w:noWrap/>
            <w:vAlign w:val="center"/>
            <w:hideMark/>
          </w:tcPr>
          <w:p w14:paraId="6FB5880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25505041</w:t>
            </w:r>
          </w:p>
        </w:tc>
        <w:tc>
          <w:tcPr>
            <w:tcW w:w="160" w:type="dxa"/>
            <w:tcBorders>
              <w:top w:val="nil"/>
              <w:left w:val="nil"/>
              <w:bottom w:val="single" w:sz="4" w:space="0" w:color="auto"/>
              <w:right w:val="nil"/>
            </w:tcBorders>
            <w:vAlign w:val="center"/>
          </w:tcPr>
          <w:p w14:paraId="223133AA"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97CB9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ZPO CELJE, D. O. O. </w:t>
            </w:r>
          </w:p>
        </w:tc>
      </w:tr>
      <w:tr w:rsidR="00072A69" w:rsidRPr="00DC6DF9" w14:paraId="501B3A56"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4B9669DF"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2115</w:t>
            </w:r>
          </w:p>
        </w:tc>
        <w:tc>
          <w:tcPr>
            <w:tcW w:w="1036" w:type="dxa"/>
            <w:tcBorders>
              <w:top w:val="nil"/>
              <w:left w:val="nil"/>
              <w:bottom w:val="single" w:sz="4" w:space="0" w:color="auto"/>
              <w:right w:val="single" w:sz="4" w:space="0" w:color="auto"/>
            </w:tcBorders>
            <w:shd w:val="clear" w:color="auto" w:fill="auto"/>
            <w:noWrap/>
            <w:vAlign w:val="center"/>
            <w:hideMark/>
          </w:tcPr>
          <w:p w14:paraId="64686009"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5554195057</w:t>
            </w:r>
          </w:p>
        </w:tc>
        <w:tc>
          <w:tcPr>
            <w:tcW w:w="1036" w:type="dxa"/>
            <w:tcBorders>
              <w:top w:val="nil"/>
              <w:left w:val="nil"/>
              <w:bottom w:val="single" w:sz="4" w:space="0" w:color="auto"/>
              <w:right w:val="single" w:sz="4" w:space="0" w:color="auto"/>
            </w:tcBorders>
            <w:shd w:val="clear" w:color="auto" w:fill="auto"/>
            <w:noWrap/>
            <w:vAlign w:val="center"/>
            <w:hideMark/>
          </w:tcPr>
          <w:p w14:paraId="133912D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41698070</w:t>
            </w:r>
          </w:p>
        </w:tc>
        <w:tc>
          <w:tcPr>
            <w:tcW w:w="160" w:type="dxa"/>
            <w:tcBorders>
              <w:top w:val="nil"/>
              <w:left w:val="nil"/>
              <w:bottom w:val="single" w:sz="4" w:space="0" w:color="auto"/>
              <w:right w:val="nil"/>
            </w:tcBorders>
            <w:vAlign w:val="center"/>
          </w:tcPr>
          <w:p w14:paraId="0F936B5D"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258A92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ZZZS, PODROČNA ENOTA INFORMACIJSKI CENTER LJUBLJANA</w:t>
            </w:r>
          </w:p>
        </w:tc>
      </w:tr>
      <w:tr w:rsidR="00072A69" w:rsidRPr="00DC6DF9" w14:paraId="481A1772"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3F99CF15"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lastRenderedPageBreak/>
              <w:t>2116</w:t>
            </w:r>
          </w:p>
        </w:tc>
        <w:tc>
          <w:tcPr>
            <w:tcW w:w="1036" w:type="dxa"/>
            <w:tcBorders>
              <w:top w:val="nil"/>
              <w:left w:val="nil"/>
              <w:bottom w:val="single" w:sz="4" w:space="0" w:color="auto"/>
              <w:right w:val="single" w:sz="4" w:space="0" w:color="auto"/>
            </w:tcBorders>
            <w:shd w:val="clear" w:color="auto" w:fill="auto"/>
            <w:noWrap/>
            <w:vAlign w:val="center"/>
            <w:hideMark/>
          </w:tcPr>
          <w:p w14:paraId="0AAA2A4E"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5015669000</w:t>
            </w:r>
          </w:p>
        </w:tc>
        <w:tc>
          <w:tcPr>
            <w:tcW w:w="1036" w:type="dxa"/>
            <w:tcBorders>
              <w:top w:val="nil"/>
              <w:left w:val="nil"/>
              <w:bottom w:val="single" w:sz="4" w:space="0" w:color="auto"/>
              <w:right w:val="single" w:sz="4" w:space="0" w:color="auto"/>
            </w:tcBorders>
            <w:shd w:val="clear" w:color="auto" w:fill="auto"/>
            <w:noWrap/>
            <w:vAlign w:val="center"/>
            <w:hideMark/>
          </w:tcPr>
          <w:p w14:paraId="3D25A55D"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39470628</w:t>
            </w:r>
          </w:p>
        </w:tc>
        <w:tc>
          <w:tcPr>
            <w:tcW w:w="160" w:type="dxa"/>
            <w:tcBorders>
              <w:top w:val="nil"/>
              <w:left w:val="nil"/>
              <w:bottom w:val="single" w:sz="4" w:space="0" w:color="auto"/>
              <w:right w:val="nil"/>
            </w:tcBorders>
            <w:vAlign w:val="center"/>
          </w:tcPr>
          <w:p w14:paraId="6845AF02"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5457D1D7"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 xml:space="preserve">ŽALE, D. O. O. </w:t>
            </w:r>
          </w:p>
        </w:tc>
      </w:tr>
      <w:tr w:rsidR="00072A69" w:rsidRPr="00DC6DF9" w14:paraId="47036A6D" w14:textId="77777777" w:rsidTr="00AC1F17">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C02514C"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2117</w:t>
            </w:r>
          </w:p>
        </w:tc>
        <w:tc>
          <w:tcPr>
            <w:tcW w:w="1036" w:type="dxa"/>
            <w:tcBorders>
              <w:top w:val="nil"/>
              <w:left w:val="nil"/>
              <w:bottom w:val="single" w:sz="4" w:space="0" w:color="auto"/>
              <w:right w:val="single" w:sz="4" w:space="0" w:color="auto"/>
            </w:tcBorders>
            <w:shd w:val="clear" w:color="auto" w:fill="auto"/>
            <w:noWrap/>
            <w:vAlign w:val="center"/>
            <w:hideMark/>
          </w:tcPr>
          <w:p w14:paraId="6FF5A520"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5052700000</w:t>
            </w:r>
          </w:p>
        </w:tc>
        <w:tc>
          <w:tcPr>
            <w:tcW w:w="1036" w:type="dxa"/>
            <w:tcBorders>
              <w:top w:val="nil"/>
              <w:left w:val="nil"/>
              <w:bottom w:val="single" w:sz="4" w:space="0" w:color="auto"/>
              <w:right w:val="single" w:sz="4" w:space="0" w:color="auto"/>
            </w:tcBorders>
            <w:shd w:val="clear" w:color="auto" w:fill="auto"/>
            <w:noWrap/>
            <w:vAlign w:val="center"/>
            <w:hideMark/>
          </w:tcPr>
          <w:p w14:paraId="3DCCB8A2"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44188960</w:t>
            </w:r>
          </w:p>
        </w:tc>
        <w:tc>
          <w:tcPr>
            <w:tcW w:w="160" w:type="dxa"/>
            <w:tcBorders>
              <w:top w:val="nil"/>
              <w:left w:val="nil"/>
              <w:bottom w:val="single" w:sz="4" w:space="0" w:color="auto"/>
              <w:right w:val="nil"/>
            </w:tcBorders>
            <w:vAlign w:val="center"/>
          </w:tcPr>
          <w:p w14:paraId="71D3EA00" w14:textId="77777777" w:rsidR="00072A69" w:rsidRPr="00DC6DF9" w:rsidRDefault="00072A69" w:rsidP="00AC1F17">
            <w:pPr>
              <w:spacing w:after="0" w:line="240" w:lineRule="auto"/>
              <w:rPr>
                <w:rFonts w:ascii="Arial" w:eastAsia="Times New Roman" w:hAnsi="Arial" w:cs="Arial"/>
                <w:color w:val="000000"/>
                <w:sz w:val="16"/>
                <w:szCs w:val="16"/>
                <w:lang w:eastAsia="sl-SI"/>
              </w:rPr>
            </w:pPr>
          </w:p>
        </w:tc>
        <w:tc>
          <w:tcPr>
            <w:tcW w:w="6186" w:type="dxa"/>
            <w:tcBorders>
              <w:top w:val="nil"/>
              <w:left w:val="nil"/>
              <w:bottom w:val="single" w:sz="4" w:space="0" w:color="auto"/>
              <w:right w:val="single" w:sz="4" w:space="0" w:color="auto"/>
            </w:tcBorders>
            <w:shd w:val="clear" w:color="auto" w:fill="auto"/>
            <w:noWrap/>
            <w:vAlign w:val="center"/>
            <w:hideMark/>
          </w:tcPr>
          <w:p w14:paraId="69C50951" w14:textId="77777777" w:rsidR="00072A69" w:rsidRPr="00DC6DF9" w:rsidRDefault="00072A69" w:rsidP="00AC1F17">
            <w:pPr>
              <w:spacing w:after="0" w:line="240" w:lineRule="auto"/>
              <w:rPr>
                <w:rFonts w:ascii="Arial" w:eastAsia="Times New Roman" w:hAnsi="Arial" w:cs="Arial"/>
                <w:color w:val="000000"/>
                <w:sz w:val="16"/>
                <w:szCs w:val="16"/>
                <w:lang w:eastAsia="sl-SI"/>
              </w:rPr>
            </w:pPr>
            <w:r w:rsidRPr="00DC6DF9">
              <w:rPr>
                <w:rFonts w:ascii="Arial" w:eastAsia="Times New Roman" w:hAnsi="Arial" w:cs="Arial"/>
                <w:color w:val="000000"/>
                <w:sz w:val="16"/>
                <w:szCs w:val="16"/>
                <w:lang w:eastAsia="sl-SI"/>
              </w:rPr>
              <w:t>ŽIVALSKI VRT LJUBLJANA</w:t>
            </w:r>
          </w:p>
        </w:tc>
      </w:tr>
    </w:tbl>
    <w:p w14:paraId="6916B70E" w14:textId="77777777" w:rsidR="00072A69" w:rsidRPr="00D008CB" w:rsidRDefault="00072A69" w:rsidP="00072A69">
      <w:pPr>
        <w:pStyle w:val="ZADEVA"/>
        <w:spacing w:line="312" w:lineRule="auto"/>
        <w:ind w:left="0" w:firstLine="0"/>
        <w:jc w:val="both"/>
        <w:rPr>
          <w:rFonts w:cs="Arial"/>
          <w:b w:val="0"/>
          <w:szCs w:val="20"/>
          <w:lang w:val="sl-SI"/>
        </w:rPr>
      </w:pPr>
    </w:p>
    <w:p w14:paraId="1849E253" w14:textId="77777777" w:rsidR="008C226D" w:rsidRPr="00D008CB" w:rsidRDefault="008C226D" w:rsidP="008C226D">
      <w:pPr>
        <w:pStyle w:val="ZADEVA"/>
        <w:spacing w:line="312" w:lineRule="auto"/>
        <w:jc w:val="both"/>
        <w:rPr>
          <w:rFonts w:cs="Arial"/>
          <w:b w:val="0"/>
          <w:szCs w:val="20"/>
          <w:lang w:val="sl-SI"/>
        </w:rPr>
      </w:pPr>
    </w:p>
    <w:sectPr w:rsidR="008C226D" w:rsidRPr="00D008CB" w:rsidSect="002B7414">
      <w:footerReference w:type="default" r:id="rId13"/>
      <w:headerReference w:type="first" r:id="rId14"/>
      <w:type w:val="continuous"/>
      <w:pgSz w:w="11906" w:h="16838"/>
      <w:pgMar w:top="1417" w:right="1417" w:bottom="1417" w:left="1417"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A0BED" w14:textId="77777777" w:rsidR="002B7414" w:rsidRDefault="002B7414" w:rsidP="00FF6099">
      <w:pPr>
        <w:spacing w:after="0" w:line="240" w:lineRule="auto"/>
      </w:pPr>
      <w:r>
        <w:separator/>
      </w:r>
    </w:p>
  </w:endnote>
  <w:endnote w:type="continuationSeparator" w:id="0">
    <w:p w14:paraId="7B47A9E1" w14:textId="77777777" w:rsidR="002B7414" w:rsidRDefault="002B7414" w:rsidP="00FF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92635"/>
      <w:docPartObj>
        <w:docPartGallery w:val="Page Numbers (Bottom of Page)"/>
        <w:docPartUnique/>
      </w:docPartObj>
    </w:sdtPr>
    <w:sdtEndPr/>
    <w:sdtContent>
      <w:p w14:paraId="4EC213D0" w14:textId="21DE44D3" w:rsidR="002B7414" w:rsidRDefault="002B7414">
        <w:pPr>
          <w:pStyle w:val="Noga"/>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49CEC" w14:textId="77777777" w:rsidR="002B7414" w:rsidRDefault="002B7414" w:rsidP="00FF6099">
      <w:pPr>
        <w:spacing w:after="0" w:line="240" w:lineRule="auto"/>
      </w:pPr>
      <w:r>
        <w:separator/>
      </w:r>
    </w:p>
  </w:footnote>
  <w:footnote w:type="continuationSeparator" w:id="0">
    <w:p w14:paraId="59E1205E" w14:textId="77777777" w:rsidR="002B7414" w:rsidRDefault="002B7414" w:rsidP="00FF6099">
      <w:pPr>
        <w:spacing w:after="0" w:line="240" w:lineRule="auto"/>
      </w:pPr>
      <w:r>
        <w:continuationSeparator/>
      </w:r>
    </w:p>
  </w:footnote>
  <w:footnote w:id="1">
    <w:p w14:paraId="42136525" w14:textId="5F3756AE" w:rsidR="002B7414" w:rsidRPr="00800E19" w:rsidRDefault="002B7414" w:rsidP="00775DED">
      <w:pPr>
        <w:spacing w:after="0" w:line="240" w:lineRule="auto"/>
        <w:rPr>
          <w:rFonts w:ascii="Arial" w:hAnsi="Arial" w:cs="Arial"/>
          <w:sz w:val="18"/>
          <w:szCs w:val="18"/>
        </w:rPr>
      </w:pPr>
      <w:r w:rsidRPr="00800E19">
        <w:rPr>
          <w:rStyle w:val="Sprotnaopomba-sklic"/>
          <w:rFonts w:ascii="Arial" w:hAnsi="Arial" w:cs="Arial"/>
          <w:sz w:val="18"/>
          <w:szCs w:val="18"/>
        </w:rPr>
        <w:footnoteRef/>
      </w:r>
      <w:r w:rsidRPr="00800E19">
        <w:rPr>
          <w:rFonts w:ascii="Arial" w:hAnsi="Arial" w:cs="Arial"/>
          <w:sz w:val="18"/>
          <w:szCs w:val="18"/>
        </w:rPr>
        <w:t xml:space="preserve"> Vir:</w:t>
      </w:r>
      <w:r>
        <w:t xml:space="preserve"> </w:t>
      </w:r>
      <w:hyperlink r:id="rId1" w:history="1">
        <w:r w:rsidRPr="005A5062">
          <w:rPr>
            <w:rStyle w:val="Hiperpovezava"/>
            <w:rFonts w:ascii="Arial" w:hAnsi="Arial" w:cs="Arial"/>
            <w:sz w:val="18"/>
            <w:szCs w:val="18"/>
          </w:rPr>
          <w:t>https://pxweb.stat.si/SiStatDb/pxweb/sl/HITRE_Repozitorij/HITRE_Repozitorij/H236S.px/table/tableViewLayout2/</w:t>
        </w:r>
      </w:hyperlink>
      <w:r>
        <w:rPr>
          <w:rFonts w:ascii="Arial" w:hAnsi="Arial" w:cs="Arial"/>
          <w:sz w:val="18"/>
          <w:szCs w:val="18"/>
        </w:rPr>
        <w:t>, 26. junij 2019.</w:t>
      </w:r>
      <w:r w:rsidRPr="00800E19">
        <w:rPr>
          <w:rFonts w:ascii="Arial" w:hAnsi="Arial" w:cs="Arial"/>
          <w:sz w:val="18"/>
          <w:szCs w:val="18"/>
        </w:rPr>
        <w:t xml:space="preserve"> </w:t>
      </w:r>
    </w:p>
    <w:p w14:paraId="7D1C23D7" w14:textId="77777777" w:rsidR="002B7414" w:rsidRPr="006507A8" w:rsidRDefault="002B7414" w:rsidP="00775DED">
      <w:pPr>
        <w:pStyle w:val="Sprotnaopomba-besedilo"/>
        <w:jc w:val="left"/>
        <w:rPr>
          <w:rFonts w:cs="Arial"/>
          <w:sz w:val="18"/>
          <w:szCs w:val="18"/>
        </w:rPr>
      </w:pPr>
    </w:p>
  </w:footnote>
  <w:footnote w:id="2">
    <w:p w14:paraId="4B93B7DD" w14:textId="2F85C38F" w:rsidR="002B7414" w:rsidRPr="0058611B" w:rsidRDefault="002B7414" w:rsidP="009867C3">
      <w:pPr>
        <w:pStyle w:val="Sprotnaopomba-besedilo"/>
        <w:rPr>
          <w:rFonts w:cs="Arial"/>
          <w:sz w:val="18"/>
          <w:szCs w:val="18"/>
        </w:rPr>
      </w:pPr>
      <w:r w:rsidRPr="00760B82">
        <w:rPr>
          <w:rStyle w:val="Sprotnaopomba-sklic"/>
        </w:rPr>
        <w:footnoteRef/>
      </w:r>
      <w:r w:rsidRPr="00760B82">
        <w:t xml:space="preserve"> </w:t>
      </w:r>
      <w:r w:rsidRPr="00F20CF1">
        <w:rPr>
          <w:sz w:val="18"/>
          <w:szCs w:val="18"/>
        </w:rPr>
        <w:t>Predlog zaključnega računa proračuna Republike Slovenije (</w:t>
      </w:r>
      <w:hyperlink r:id="rId2" w:history="1">
        <w:r w:rsidRPr="00F20CF1">
          <w:rPr>
            <w:rStyle w:val="Hiperpovezava"/>
            <w:sz w:val="18"/>
            <w:szCs w:val="18"/>
          </w:rPr>
          <w:t>https://www.gov.si/assets/ministrstva/MF/Proracun-direktorat/Drzavni-proracun/Zakljucni-racun/2018-ZR/01-ZR/Splosni-del-zakljucnega-racuna-proracuna.pdf</w:t>
        </w:r>
      </w:hyperlink>
      <w:r w:rsidRPr="00760B82">
        <w:rPr>
          <w:rFonts w:cs="Arial"/>
          <w:sz w:val="18"/>
          <w:szCs w:val="18"/>
        </w:rPr>
        <w:t>, 5. avgust 2019.</w:t>
      </w:r>
    </w:p>
  </w:footnote>
  <w:footnote w:id="3">
    <w:p w14:paraId="7D0180FC" w14:textId="40C43319" w:rsidR="002B7414" w:rsidRDefault="002B7414" w:rsidP="009867C3">
      <w:pPr>
        <w:pStyle w:val="Sprotnaopomba-besedilo"/>
      </w:pPr>
      <w:r>
        <w:rPr>
          <w:rStyle w:val="Sprotnaopomba-sklic"/>
        </w:rPr>
        <w:footnoteRef/>
      </w:r>
      <w:hyperlink r:id="rId3" w:history="1">
        <w:r w:rsidRPr="00B52B06">
          <w:rPr>
            <w:rStyle w:val="Hiperpovezava"/>
            <w:rFonts w:cs="Arial"/>
            <w:sz w:val="18"/>
            <w:szCs w:val="18"/>
          </w:rPr>
          <w:t>http://www.mf.gov.si/si/delovna_podrocja/lokalne_skupnosti/statistika/bilance_proracunov_obcin/</w:t>
        </w:r>
      </w:hyperlink>
      <w:r>
        <w:rPr>
          <w:rFonts w:cs="Arial"/>
          <w:sz w:val="18"/>
          <w:szCs w:val="18"/>
        </w:rPr>
        <w:t>, 26</w:t>
      </w:r>
      <w:r w:rsidRPr="00800E19">
        <w:rPr>
          <w:rFonts w:cs="Arial"/>
          <w:sz w:val="18"/>
          <w:szCs w:val="18"/>
        </w:rPr>
        <w:t xml:space="preserve">. </w:t>
      </w:r>
      <w:r>
        <w:rPr>
          <w:rFonts w:cs="Arial"/>
          <w:sz w:val="18"/>
          <w:szCs w:val="18"/>
        </w:rPr>
        <w:t>junij 2019.</w:t>
      </w:r>
    </w:p>
    <w:p w14:paraId="3DBE2C5F" w14:textId="77777777" w:rsidR="002B7414" w:rsidRDefault="002B7414" w:rsidP="009867C3">
      <w:pPr>
        <w:pStyle w:val="Sprotnaopomba-besedilo"/>
      </w:pPr>
    </w:p>
  </w:footnote>
  <w:footnote w:id="4">
    <w:p w14:paraId="0909C2AB" w14:textId="77777777" w:rsidR="002B7414" w:rsidRPr="003E3A36" w:rsidRDefault="002B7414" w:rsidP="00C13751">
      <w:pPr>
        <w:pStyle w:val="Sprotnaopomba-besedilo"/>
        <w:rPr>
          <w:sz w:val="18"/>
        </w:rPr>
      </w:pPr>
      <w:r w:rsidRPr="003E3A36">
        <w:rPr>
          <w:rStyle w:val="Sprotnaopomba-sklic"/>
          <w:sz w:val="18"/>
        </w:rPr>
        <w:footnoteRef/>
      </w:r>
      <w:r w:rsidRPr="003E3A36">
        <w:rPr>
          <w:sz w:val="18"/>
        </w:rPr>
        <w:t xml:space="preserve"> Naročila</w:t>
      </w:r>
      <w:r>
        <w:rPr>
          <w:sz w:val="18"/>
        </w:rPr>
        <w:t>,</w:t>
      </w:r>
      <w:r w:rsidRPr="003E3A36">
        <w:rPr>
          <w:sz w:val="18"/>
        </w:rPr>
        <w:t xml:space="preserve"> oddana na podlagi petega odstavka 73. člena ZJN-3.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B4C50" w14:textId="1E107522" w:rsidR="002B7414" w:rsidRDefault="002B7414">
    <w:pPr>
      <w:pStyle w:val="Glava"/>
    </w:pPr>
    <w:r>
      <w:rPr>
        <w:noProof/>
      </w:rPr>
      <w:drawing>
        <wp:inline distT="0" distB="0" distL="0" distR="0" wp14:anchorId="7AAD4737" wp14:editId="3A2B626A">
          <wp:extent cx="5753100" cy="1508760"/>
          <wp:effectExtent l="0" t="0" r="0" b="0"/>
          <wp:docPr id="12" name="Slika 12" descr="Logo Ministrstva za javno upravo, Direktorata za javno naro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Logo Ministrstva za javno upravo, Direktorata za javno naroč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08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095F"/>
    <w:multiLevelType w:val="hybridMultilevel"/>
    <w:tmpl w:val="5DE8E32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DC3BF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123F0"/>
    <w:multiLevelType w:val="hybridMultilevel"/>
    <w:tmpl w:val="553EB680"/>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AC47D3"/>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ED3063"/>
    <w:multiLevelType w:val="hybridMultilevel"/>
    <w:tmpl w:val="EF8A4920"/>
    <w:lvl w:ilvl="0" w:tplc="B436EEFA">
      <w:start w:val="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28632C"/>
    <w:multiLevelType w:val="hybridMultilevel"/>
    <w:tmpl w:val="8EA6ECF0"/>
    <w:lvl w:ilvl="0" w:tplc="01100B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66533B"/>
    <w:multiLevelType w:val="hybridMultilevel"/>
    <w:tmpl w:val="9ECEB216"/>
    <w:lvl w:ilvl="0" w:tplc="01100B9A">
      <w:start w:val="3"/>
      <w:numFmt w:val="bullet"/>
      <w:lvlText w:val="-"/>
      <w:lvlJc w:val="left"/>
      <w:pPr>
        <w:ind w:left="1944" w:hanging="360"/>
      </w:pPr>
      <w:rPr>
        <w:rFonts w:ascii="Arial" w:eastAsia="Times New Roman" w:hAnsi="Arial" w:cs="Arial" w:hint="default"/>
      </w:rPr>
    </w:lvl>
    <w:lvl w:ilvl="1" w:tplc="04240003" w:tentative="1">
      <w:start w:val="1"/>
      <w:numFmt w:val="bullet"/>
      <w:lvlText w:val="o"/>
      <w:lvlJc w:val="left"/>
      <w:pPr>
        <w:ind w:left="2664" w:hanging="360"/>
      </w:pPr>
      <w:rPr>
        <w:rFonts w:ascii="Courier New" w:hAnsi="Courier New" w:cs="Courier New" w:hint="default"/>
      </w:rPr>
    </w:lvl>
    <w:lvl w:ilvl="2" w:tplc="04240005" w:tentative="1">
      <w:start w:val="1"/>
      <w:numFmt w:val="bullet"/>
      <w:lvlText w:val=""/>
      <w:lvlJc w:val="left"/>
      <w:pPr>
        <w:ind w:left="3384" w:hanging="360"/>
      </w:pPr>
      <w:rPr>
        <w:rFonts w:ascii="Wingdings" w:hAnsi="Wingdings" w:hint="default"/>
      </w:rPr>
    </w:lvl>
    <w:lvl w:ilvl="3" w:tplc="04240001" w:tentative="1">
      <w:start w:val="1"/>
      <w:numFmt w:val="bullet"/>
      <w:lvlText w:val=""/>
      <w:lvlJc w:val="left"/>
      <w:pPr>
        <w:ind w:left="4104" w:hanging="360"/>
      </w:pPr>
      <w:rPr>
        <w:rFonts w:ascii="Symbol" w:hAnsi="Symbol" w:hint="default"/>
      </w:rPr>
    </w:lvl>
    <w:lvl w:ilvl="4" w:tplc="04240003" w:tentative="1">
      <w:start w:val="1"/>
      <w:numFmt w:val="bullet"/>
      <w:lvlText w:val="o"/>
      <w:lvlJc w:val="left"/>
      <w:pPr>
        <w:ind w:left="4824" w:hanging="360"/>
      </w:pPr>
      <w:rPr>
        <w:rFonts w:ascii="Courier New" w:hAnsi="Courier New" w:cs="Courier New" w:hint="default"/>
      </w:rPr>
    </w:lvl>
    <w:lvl w:ilvl="5" w:tplc="04240005" w:tentative="1">
      <w:start w:val="1"/>
      <w:numFmt w:val="bullet"/>
      <w:lvlText w:val=""/>
      <w:lvlJc w:val="left"/>
      <w:pPr>
        <w:ind w:left="5544" w:hanging="360"/>
      </w:pPr>
      <w:rPr>
        <w:rFonts w:ascii="Wingdings" w:hAnsi="Wingdings" w:hint="default"/>
      </w:rPr>
    </w:lvl>
    <w:lvl w:ilvl="6" w:tplc="04240001" w:tentative="1">
      <w:start w:val="1"/>
      <w:numFmt w:val="bullet"/>
      <w:lvlText w:val=""/>
      <w:lvlJc w:val="left"/>
      <w:pPr>
        <w:ind w:left="6264" w:hanging="360"/>
      </w:pPr>
      <w:rPr>
        <w:rFonts w:ascii="Symbol" w:hAnsi="Symbol" w:hint="default"/>
      </w:rPr>
    </w:lvl>
    <w:lvl w:ilvl="7" w:tplc="04240003" w:tentative="1">
      <w:start w:val="1"/>
      <w:numFmt w:val="bullet"/>
      <w:lvlText w:val="o"/>
      <w:lvlJc w:val="left"/>
      <w:pPr>
        <w:ind w:left="6984" w:hanging="360"/>
      </w:pPr>
      <w:rPr>
        <w:rFonts w:ascii="Courier New" w:hAnsi="Courier New" w:cs="Courier New" w:hint="default"/>
      </w:rPr>
    </w:lvl>
    <w:lvl w:ilvl="8" w:tplc="04240005" w:tentative="1">
      <w:start w:val="1"/>
      <w:numFmt w:val="bullet"/>
      <w:lvlText w:val=""/>
      <w:lvlJc w:val="left"/>
      <w:pPr>
        <w:ind w:left="7704" w:hanging="360"/>
      </w:pPr>
      <w:rPr>
        <w:rFonts w:ascii="Wingdings" w:hAnsi="Wingdings" w:hint="default"/>
      </w:rPr>
    </w:lvl>
  </w:abstractNum>
  <w:abstractNum w:abstractNumId="7" w15:restartNumberingAfterBreak="0">
    <w:nsid w:val="22EA2925"/>
    <w:multiLevelType w:val="hybridMultilevel"/>
    <w:tmpl w:val="5DAE5604"/>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53427F"/>
    <w:multiLevelType w:val="hybridMultilevel"/>
    <w:tmpl w:val="81287FF8"/>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954348A"/>
    <w:multiLevelType w:val="hybridMultilevel"/>
    <w:tmpl w:val="82684158"/>
    <w:lvl w:ilvl="0" w:tplc="E228D6F8">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9F10DF"/>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4945AC8"/>
    <w:multiLevelType w:val="hybridMultilevel"/>
    <w:tmpl w:val="64CEB7F8"/>
    <w:lvl w:ilvl="0" w:tplc="83D638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9F93724"/>
    <w:multiLevelType w:val="hybridMultilevel"/>
    <w:tmpl w:val="9182C2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FB137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56326D"/>
    <w:multiLevelType w:val="hybridMultilevel"/>
    <w:tmpl w:val="01EAA4BC"/>
    <w:lvl w:ilvl="0" w:tplc="5BD20A3C">
      <w:start w:val="519"/>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0274F8"/>
    <w:multiLevelType w:val="hybridMultilevel"/>
    <w:tmpl w:val="6140510A"/>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F6851"/>
    <w:multiLevelType w:val="hybridMultilevel"/>
    <w:tmpl w:val="977634DA"/>
    <w:lvl w:ilvl="0" w:tplc="0EA8933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85B15"/>
    <w:multiLevelType w:val="hybridMultilevel"/>
    <w:tmpl w:val="DADA8EA8"/>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286DA6"/>
    <w:multiLevelType w:val="hybridMultilevel"/>
    <w:tmpl w:val="7BF277EE"/>
    <w:lvl w:ilvl="0" w:tplc="8B9C6902">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EBD6981"/>
    <w:multiLevelType w:val="hybridMultilevel"/>
    <w:tmpl w:val="B4EC694E"/>
    <w:lvl w:ilvl="0" w:tplc="9F5877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331A9B"/>
    <w:multiLevelType w:val="hybridMultilevel"/>
    <w:tmpl w:val="AC1A0884"/>
    <w:lvl w:ilvl="0" w:tplc="83D6389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F714ACB"/>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1454D80"/>
    <w:multiLevelType w:val="hybridMultilevel"/>
    <w:tmpl w:val="BD423A9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E61BFB"/>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C51FEF"/>
    <w:multiLevelType w:val="hybridMultilevel"/>
    <w:tmpl w:val="B7E20D0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CF66B7A"/>
    <w:multiLevelType w:val="hybridMultilevel"/>
    <w:tmpl w:val="DAF6BF06"/>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A616C2"/>
    <w:multiLevelType w:val="hybridMultilevel"/>
    <w:tmpl w:val="67EC3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306148"/>
    <w:multiLevelType w:val="hybridMultilevel"/>
    <w:tmpl w:val="82BA8AEA"/>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27B175B"/>
    <w:multiLevelType w:val="hybridMultilevel"/>
    <w:tmpl w:val="613803E2"/>
    <w:lvl w:ilvl="0" w:tplc="9F58776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2F02455"/>
    <w:multiLevelType w:val="hybridMultilevel"/>
    <w:tmpl w:val="5368139A"/>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C1356E"/>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28"/>
  </w:num>
  <w:num w:numId="3">
    <w:abstractNumId w:val="18"/>
  </w:num>
  <w:num w:numId="4">
    <w:abstractNumId w:val="14"/>
  </w:num>
  <w:num w:numId="5">
    <w:abstractNumId w:val="6"/>
  </w:num>
  <w:num w:numId="6">
    <w:abstractNumId w:val="11"/>
  </w:num>
  <w:num w:numId="7">
    <w:abstractNumId w:val="5"/>
  </w:num>
  <w:num w:numId="8">
    <w:abstractNumId w:val="19"/>
  </w:num>
  <w:num w:numId="9">
    <w:abstractNumId w:val="20"/>
  </w:num>
  <w:num w:numId="10">
    <w:abstractNumId w:val="27"/>
  </w:num>
  <w:num w:numId="11">
    <w:abstractNumId w:val="21"/>
  </w:num>
  <w:num w:numId="12">
    <w:abstractNumId w:val="15"/>
  </w:num>
  <w:num w:numId="13">
    <w:abstractNumId w:val="25"/>
  </w:num>
  <w:num w:numId="14">
    <w:abstractNumId w:val="26"/>
  </w:num>
  <w:num w:numId="15">
    <w:abstractNumId w:val="8"/>
  </w:num>
  <w:num w:numId="16">
    <w:abstractNumId w:val="20"/>
  </w:num>
  <w:num w:numId="17">
    <w:abstractNumId w:val="2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24"/>
  </w:num>
  <w:num w:numId="22">
    <w:abstractNumId w:val="9"/>
  </w:num>
  <w:num w:numId="23">
    <w:abstractNumId w:val="7"/>
  </w:num>
  <w:num w:numId="24">
    <w:abstractNumId w:val="0"/>
  </w:num>
  <w:num w:numId="25">
    <w:abstractNumId w:val="22"/>
  </w:num>
  <w:num w:numId="26">
    <w:abstractNumId w:val="16"/>
  </w:num>
  <w:num w:numId="27">
    <w:abstractNumId w:val="2"/>
  </w:num>
  <w:num w:numId="28">
    <w:abstractNumId w:val="23"/>
  </w:num>
  <w:num w:numId="29">
    <w:abstractNumId w:val="13"/>
  </w:num>
  <w:num w:numId="30">
    <w:abstractNumId w:val="30"/>
  </w:num>
  <w:num w:numId="31">
    <w:abstractNumId w:val="1"/>
  </w:num>
  <w:num w:numId="32">
    <w:abstractNumId w:val="17"/>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49"/>
    <w:rsid w:val="0000037D"/>
    <w:rsid w:val="0000208F"/>
    <w:rsid w:val="00002230"/>
    <w:rsid w:val="00002DAF"/>
    <w:rsid w:val="00002F6E"/>
    <w:rsid w:val="00003250"/>
    <w:rsid w:val="00003CBF"/>
    <w:rsid w:val="00003CDA"/>
    <w:rsid w:val="00003EDB"/>
    <w:rsid w:val="00004A71"/>
    <w:rsid w:val="00005087"/>
    <w:rsid w:val="000050E5"/>
    <w:rsid w:val="00007909"/>
    <w:rsid w:val="000109D4"/>
    <w:rsid w:val="00010BC0"/>
    <w:rsid w:val="00011288"/>
    <w:rsid w:val="000112C0"/>
    <w:rsid w:val="00011771"/>
    <w:rsid w:val="00011B5B"/>
    <w:rsid w:val="00013B4D"/>
    <w:rsid w:val="00014EFB"/>
    <w:rsid w:val="00015000"/>
    <w:rsid w:val="0001586C"/>
    <w:rsid w:val="000158A3"/>
    <w:rsid w:val="00016BB0"/>
    <w:rsid w:val="00016C2E"/>
    <w:rsid w:val="0001737D"/>
    <w:rsid w:val="00017D08"/>
    <w:rsid w:val="000210E2"/>
    <w:rsid w:val="000216D2"/>
    <w:rsid w:val="00022825"/>
    <w:rsid w:val="00022C8F"/>
    <w:rsid w:val="00023F19"/>
    <w:rsid w:val="00024A2B"/>
    <w:rsid w:val="000256CD"/>
    <w:rsid w:val="00026063"/>
    <w:rsid w:val="00026BF0"/>
    <w:rsid w:val="00026C19"/>
    <w:rsid w:val="00026FEE"/>
    <w:rsid w:val="00027159"/>
    <w:rsid w:val="000271E4"/>
    <w:rsid w:val="00027AB9"/>
    <w:rsid w:val="00027B84"/>
    <w:rsid w:val="00030899"/>
    <w:rsid w:val="00030CF0"/>
    <w:rsid w:val="00031108"/>
    <w:rsid w:val="00032A5B"/>
    <w:rsid w:val="000331D2"/>
    <w:rsid w:val="00034E48"/>
    <w:rsid w:val="000364D4"/>
    <w:rsid w:val="00037D5F"/>
    <w:rsid w:val="000407CD"/>
    <w:rsid w:val="00043238"/>
    <w:rsid w:val="00044804"/>
    <w:rsid w:val="000448B2"/>
    <w:rsid w:val="000466A4"/>
    <w:rsid w:val="0004757C"/>
    <w:rsid w:val="0005082F"/>
    <w:rsid w:val="00050C9F"/>
    <w:rsid w:val="00051E48"/>
    <w:rsid w:val="00052AF4"/>
    <w:rsid w:val="00054277"/>
    <w:rsid w:val="000544F9"/>
    <w:rsid w:val="00054903"/>
    <w:rsid w:val="000554B6"/>
    <w:rsid w:val="00055926"/>
    <w:rsid w:val="00056EDD"/>
    <w:rsid w:val="00057A3B"/>
    <w:rsid w:val="00060D75"/>
    <w:rsid w:val="00061F65"/>
    <w:rsid w:val="0006295C"/>
    <w:rsid w:val="00063233"/>
    <w:rsid w:val="0006360B"/>
    <w:rsid w:val="00063FD4"/>
    <w:rsid w:val="0006577C"/>
    <w:rsid w:val="00065806"/>
    <w:rsid w:val="000668CA"/>
    <w:rsid w:val="00067846"/>
    <w:rsid w:val="00067DD4"/>
    <w:rsid w:val="0007099B"/>
    <w:rsid w:val="0007149E"/>
    <w:rsid w:val="00072A69"/>
    <w:rsid w:val="000731FD"/>
    <w:rsid w:val="00074155"/>
    <w:rsid w:val="0007470C"/>
    <w:rsid w:val="00074E01"/>
    <w:rsid w:val="00074E70"/>
    <w:rsid w:val="00074FF5"/>
    <w:rsid w:val="000758EF"/>
    <w:rsid w:val="00075C43"/>
    <w:rsid w:val="00075D92"/>
    <w:rsid w:val="000767E3"/>
    <w:rsid w:val="00081617"/>
    <w:rsid w:val="00081B31"/>
    <w:rsid w:val="00081E70"/>
    <w:rsid w:val="00082EC3"/>
    <w:rsid w:val="000830D2"/>
    <w:rsid w:val="00083F3C"/>
    <w:rsid w:val="000857BF"/>
    <w:rsid w:val="000859A5"/>
    <w:rsid w:val="00086008"/>
    <w:rsid w:val="00086322"/>
    <w:rsid w:val="00087D4B"/>
    <w:rsid w:val="0009088A"/>
    <w:rsid w:val="00091935"/>
    <w:rsid w:val="00092767"/>
    <w:rsid w:val="0009308E"/>
    <w:rsid w:val="0009449A"/>
    <w:rsid w:val="0009505B"/>
    <w:rsid w:val="00095E75"/>
    <w:rsid w:val="000979E7"/>
    <w:rsid w:val="000A24D7"/>
    <w:rsid w:val="000A3944"/>
    <w:rsid w:val="000A40D8"/>
    <w:rsid w:val="000A57B9"/>
    <w:rsid w:val="000A67FE"/>
    <w:rsid w:val="000A7F11"/>
    <w:rsid w:val="000B0538"/>
    <w:rsid w:val="000B0640"/>
    <w:rsid w:val="000B1CF7"/>
    <w:rsid w:val="000B2F3B"/>
    <w:rsid w:val="000B3577"/>
    <w:rsid w:val="000B4602"/>
    <w:rsid w:val="000B4B90"/>
    <w:rsid w:val="000B4C74"/>
    <w:rsid w:val="000B56EC"/>
    <w:rsid w:val="000B5B5F"/>
    <w:rsid w:val="000B6197"/>
    <w:rsid w:val="000B65F5"/>
    <w:rsid w:val="000B6669"/>
    <w:rsid w:val="000B6757"/>
    <w:rsid w:val="000B67CB"/>
    <w:rsid w:val="000B68F8"/>
    <w:rsid w:val="000B6CA5"/>
    <w:rsid w:val="000B74A3"/>
    <w:rsid w:val="000B77E2"/>
    <w:rsid w:val="000B7D68"/>
    <w:rsid w:val="000C0E46"/>
    <w:rsid w:val="000C1024"/>
    <w:rsid w:val="000C17EA"/>
    <w:rsid w:val="000C19F4"/>
    <w:rsid w:val="000C250D"/>
    <w:rsid w:val="000C3FC9"/>
    <w:rsid w:val="000C439F"/>
    <w:rsid w:val="000C58E8"/>
    <w:rsid w:val="000C59DC"/>
    <w:rsid w:val="000C657B"/>
    <w:rsid w:val="000D0CF7"/>
    <w:rsid w:val="000D1BFD"/>
    <w:rsid w:val="000D3C05"/>
    <w:rsid w:val="000D3FEA"/>
    <w:rsid w:val="000D470F"/>
    <w:rsid w:val="000D4812"/>
    <w:rsid w:val="000D4BE3"/>
    <w:rsid w:val="000D4DC6"/>
    <w:rsid w:val="000D51A6"/>
    <w:rsid w:val="000D6C2D"/>
    <w:rsid w:val="000D6D5A"/>
    <w:rsid w:val="000D7107"/>
    <w:rsid w:val="000E05A0"/>
    <w:rsid w:val="000E194B"/>
    <w:rsid w:val="000E2011"/>
    <w:rsid w:val="000E23B9"/>
    <w:rsid w:val="000E283B"/>
    <w:rsid w:val="000E3AC7"/>
    <w:rsid w:val="000E3AFC"/>
    <w:rsid w:val="000E3EBA"/>
    <w:rsid w:val="000E45F4"/>
    <w:rsid w:val="000E4796"/>
    <w:rsid w:val="000E4C20"/>
    <w:rsid w:val="000E5A20"/>
    <w:rsid w:val="000E5C91"/>
    <w:rsid w:val="000E65C8"/>
    <w:rsid w:val="000E716D"/>
    <w:rsid w:val="000E7515"/>
    <w:rsid w:val="000E7E67"/>
    <w:rsid w:val="000F0845"/>
    <w:rsid w:val="000F1184"/>
    <w:rsid w:val="000F2B07"/>
    <w:rsid w:val="000F36FC"/>
    <w:rsid w:val="000F5210"/>
    <w:rsid w:val="000F524D"/>
    <w:rsid w:val="000F52A9"/>
    <w:rsid w:val="000F61CF"/>
    <w:rsid w:val="000F62B6"/>
    <w:rsid w:val="000F6A90"/>
    <w:rsid w:val="000F6AB9"/>
    <w:rsid w:val="00100EEC"/>
    <w:rsid w:val="00102794"/>
    <w:rsid w:val="00103F32"/>
    <w:rsid w:val="00104FD1"/>
    <w:rsid w:val="001050F1"/>
    <w:rsid w:val="00105331"/>
    <w:rsid w:val="00105AEC"/>
    <w:rsid w:val="00105F07"/>
    <w:rsid w:val="00105F39"/>
    <w:rsid w:val="00110396"/>
    <w:rsid w:val="001107AD"/>
    <w:rsid w:val="001114A2"/>
    <w:rsid w:val="00112C90"/>
    <w:rsid w:val="00113889"/>
    <w:rsid w:val="00113E89"/>
    <w:rsid w:val="00113F61"/>
    <w:rsid w:val="00113F8C"/>
    <w:rsid w:val="001153D3"/>
    <w:rsid w:val="00116B69"/>
    <w:rsid w:val="00116B76"/>
    <w:rsid w:val="00117438"/>
    <w:rsid w:val="00117502"/>
    <w:rsid w:val="00117E3B"/>
    <w:rsid w:val="00120B2A"/>
    <w:rsid w:val="00121049"/>
    <w:rsid w:val="0012106C"/>
    <w:rsid w:val="00122850"/>
    <w:rsid w:val="00124B73"/>
    <w:rsid w:val="00124E05"/>
    <w:rsid w:val="00125B07"/>
    <w:rsid w:val="00126567"/>
    <w:rsid w:val="00126B24"/>
    <w:rsid w:val="00126C4B"/>
    <w:rsid w:val="00127002"/>
    <w:rsid w:val="00127F65"/>
    <w:rsid w:val="0013103D"/>
    <w:rsid w:val="00132238"/>
    <w:rsid w:val="001329E4"/>
    <w:rsid w:val="0013304E"/>
    <w:rsid w:val="00133784"/>
    <w:rsid w:val="00133DDB"/>
    <w:rsid w:val="00134087"/>
    <w:rsid w:val="0013426F"/>
    <w:rsid w:val="001345A6"/>
    <w:rsid w:val="00137086"/>
    <w:rsid w:val="00137D9B"/>
    <w:rsid w:val="001409E3"/>
    <w:rsid w:val="00141021"/>
    <w:rsid w:val="00141C15"/>
    <w:rsid w:val="00144095"/>
    <w:rsid w:val="00145968"/>
    <w:rsid w:val="001464B8"/>
    <w:rsid w:val="00146E78"/>
    <w:rsid w:val="001470F5"/>
    <w:rsid w:val="0015039C"/>
    <w:rsid w:val="00150BDE"/>
    <w:rsid w:val="00150C9A"/>
    <w:rsid w:val="00150E69"/>
    <w:rsid w:val="00151571"/>
    <w:rsid w:val="001542AD"/>
    <w:rsid w:val="00154A47"/>
    <w:rsid w:val="00154CFC"/>
    <w:rsid w:val="0015500A"/>
    <w:rsid w:val="00155413"/>
    <w:rsid w:val="00155983"/>
    <w:rsid w:val="00157259"/>
    <w:rsid w:val="0016064B"/>
    <w:rsid w:val="00160958"/>
    <w:rsid w:val="00160C98"/>
    <w:rsid w:val="0016123B"/>
    <w:rsid w:val="001613FC"/>
    <w:rsid w:val="00161637"/>
    <w:rsid w:val="00161FEC"/>
    <w:rsid w:val="00162101"/>
    <w:rsid w:val="00162670"/>
    <w:rsid w:val="001626F3"/>
    <w:rsid w:val="001627AB"/>
    <w:rsid w:val="00162CA3"/>
    <w:rsid w:val="00163B2D"/>
    <w:rsid w:val="0016403A"/>
    <w:rsid w:val="00164E3D"/>
    <w:rsid w:val="001676B0"/>
    <w:rsid w:val="00167855"/>
    <w:rsid w:val="00170C9C"/>
    <w:rsid w:val="00171600"/>
    <w:rsid w:val="001723E5"/>
    <w:rsid w:val="00173F6A"/>
    <w:rsid w:val="00174D35"/>
    <w:rsid w:val="001750C6"/>
    <w:rsid w:val="001766DB"/>
    <w:rsid w:val="0017776C"/>
    <w:rsid w:val="00177953"/>
    <w:rsid w:val="0017798E"/>
    <w:rsid w:val="00177A03"/>
    <w:rsid w:val="00177D22"/>
    <w:rsid w:val="00180722"/>
    <w:rsid w:val="00180D5C"/>
    <w:rsid w:val="0018117B"/>
    <w:rsid w:val="0018131D"/>
    <w:rsid w:val="00183532"/>
    <w:rsid w:val="00183B73"/>
    <w:rsid w:val="00183ED8"/>
    <w:rsid w:val="00184260"/>
    <w:rsid w:val="001842DF"/>
    <w:rsid w:val="00185AED"/>
    <w:rsid w:val="001866F1"/>
    <w:rsid w:val="001868CF"/>
    <w:rsid w:val="00186E88"/>
    <w:rsid w:val="00186F1C"/>
    <w:rsid w:val="00187CC9"/>
    <w:rsid w:val="00190146"/>
    <w:rsid w:val="00192864"/>
    <w:rsid w:val="00192C09"/>
    <w:rsid w:val="00193C03"/>
    <w:rsid w:val="00194299"/>
    <w:rsid w:val="001947C2"/>
    <w:rsid w:val="001949AF"/>
    <w:rsid w:val="00194F96"/>
    <w:rsid w:val="00195533"/>
    <w:rsid w:val="00195CAA"/>
    <w:rsid w:val="00195D25"/>
    <w:rsid w:val="001960BC"/>
    <w:rsid w:val="001962E9"/>
    <w:rsid w:val="0019740A"/>
    <w:rsid w:val="00197AB8"/>
    <w:rsid w:val="001A12F1"/>
    <w:rsid w:val="001A29D6"/>
    <w:rsid w:val="001A3829"/>
    <w:rsid w:val="001A4324"/>
    <w:rsid w:val="001A58CB"/>
    <w:rsid w:val="001A59DD"/>
    <w:rsid w:val="001A59E2"/>
    <w:rsid w:val="001A709E"/>
    <w:rsid w:val="001A7685"/>
    <w:rsid w:val="001A7FBB"/>
    <w:rsid w:val="001B1E16"/>
    <w:rsid w:val="001B2032"/>
    <w:rsid w:val="001B2C71"/>
    <w:rsid w:val="001B339C"/>
    <w:rsid w:val="001B3568"/>
    <w:rsid w:val="001B6D8C"/>
    <w:rsid w:val="001B7D25"/>
    <w:rsid w:val="001C053B"/>
    <w:rsid w:val="001C08E5"/>
    <w:rsid w:val="001C21F9"/>
    <w:rsid w:val="001C2ADE"/>
    <w:rsid w:val="001C370F"/>
    <w:rsid w:val="001C48A9"/>
    <w:rsid w:val="001C517C"/>
    <w:rsid w:val="001C5B6E"/>
    <w:rsid w:val="001C6865"/>
    <w:rsid w:val="001D0152"/>
    <w:rsid w:val="001D07FB"/>
    <w:rsid w:val="001D1611"/>
    <w:rsid w:val="001D28B4"/>
    <w:rsid w:val="001D307B"/>
    <w:rsid w:val="001D33D5"/>
    <w:rsid w:val="001D3733"/>
    <w:rsid w:val="001D45FC"/>
    <w:rsid w:val="001D4A09"/>
    <w:rsid w:val="001D4AA9"/>
    <w:rsid w:val="001D513F"/>
    <w:rsid w:val="001D5E90"/>
    <w:rsid w:val="001D63CA"/>
    <w:rsid w:val="001D65FF"/>
    <w:rsid w:val="001D734A"/>
    <w:rsid w:val="001D792B"/>
    <w:rsid w:val="001E1FE8"/>
    <w:rsid w:val="001E219B"/>
    <w:rsid w:val="001E36F0"/>
    <w:rsid w:val="001E398D"/>
    <w:rsid w:val="001E4753"/>
    <w:rsid w:val="001E4E35"/>
    <w:rsid w:val="001E678C"/>
    <w:rsid w:val="001E6811"/>
    <w:rsid w:val="001E6A48"/>
    <w:rsid w:val="001E6D56"/>
    <w:rsid w:val="001F0077"/>
    <w:rsid w:val="001F27C4"/>
    <w:rsid w:val="001F2B2F"/>
    <w:rsid w:val="001F3697"/>
    <w:rsid w:val="001F3FDA"/>
    <w:rsid w:val="001F441E"/>
    <w:rsid w:val="001F445A"/>
    <w:rsid w:val="001F46E5"/>
    <w:rsid w:val="001F58D4"/>
    <w:rsid w:val="001F633C"/>
    <w:rsid w:val="001F6CF7"/>
    <w:rsid w:val="001F7C35"/>
    <w:rsid w:val="00201893"/>
    <w:rsid w:val="00202585"/>
    <w:rsid w:val="00202E6B"/>
    <w:rsid w:val="00203977"/>
    <w:rsid w:val="00203C3B"/>
    <w:rsid w:val="00204972"/>
    <w:rsid w:val="00204BAE"/>
    <w:rsid w:val="00204C3C"/>
    <w:rsid w:val="00205678"/>
    <w:rsid w:val="00206022"/>
    <w:rsid w:val="00206050"/>
    <w:rsid w:val="00206175"/>
    <w:rsid w:val="0020619E"/>
    <w:rsid w:val="00206D8E"/>
    <w:rsid w:val="002072B9"/>
    <w:rsid w:val="00207378"/>
    <w:rsid w:val="002108C5"/>
    <w:rsid w:val="00210F47"/>
    <w:rsid w:val="0021179D"/>
    <w:rsid w:val="002123D7"/>
    <w:rsid w:val="00213411"/>
    <w:rsid w:val="0021355F"/>
    <w:rsid w:val="00213C13"/>
    <w:rsid w:val="00213C1D"/>
    <w:rsid w:val="00213DD3"/>
    <w:rsid w:val="0021468C"/>
    <w:rsid w:val="00214980"/>
    <w:rsid w:val="002149C7"/>
    <w:rsid w:val="0021523F"/>
    <w:rsid w:val="00215818"/>
    <w:rsid w:val="00216983"/>
    <w:rsid w:val="00217654"/>
    <w:rsid w:val="0022040E"/>
    <w:rsid w:val="002204FF"/>
    <w:rsid w:val="00221D4D"/>
    <w:rsid w:val="00221E45"/>
    <w:rsid w:val="0022207A"/>
    <w:rsid w:val="002229D4"/>
    <w:rsid w:val="00223908"/>
    <w:rsid w:val="002240CA"/>
    <w:rsid w:val="00226AE1"/>
    <w:rsid w:val="00226EE5"/>
    <w:rsid w:val="00227345"/>
    <w:rsid w:val="002277AA"/>
    <w:rsid w:val="00230319"/>
    <w:rsid w:val="0023122B"/>
    <w:rsid w:val="00231D77"/>
    <w:rsid w:val="00231FC7"/>
    <w:rsid w:val="00232353"/>
    <w:rsid w:val="00232DB0"/>
    <w:rsid w:val="00234940"/>
    <w:rsid w:val="002350F5"/>
    <w:rsid w:val="002366CD"/>
    <w:rsid w:val="0023697D"/>
    <w:rsid w:val="00237538"/>
    <w:rsid w:val="00240638"/>
    <w:rsid w:val="00242703"/>
    <w:rsid w:val="0024522C"/>
    <w:rsid w:val="00246C96"/>
    <w:rsid w:val="0024765B"/>
    <w:rsid w:val="00250834"/>
    <w:rsid w:val="002519AC"/>
    <w:rsid w:val="00251B9A"/>
    <w:rsid w:val="00251CDF"/>
    <w:rsid w:val="00251D08"/>
    <w:rsid w:val="00251F1D"/>
    <w:rsid w:val="00252272"/>
    <w:rsid w:val="0025250E"/>
    <w:rsid w:val="00254501"/>
    <w:rsid w:val="002547CB"/>
    <w:rsid w:val="00254CE9"/>
    <w:rsid w:val="00255103"/>
    <w:rsid w:val="00256123"/>
    <w:rsid w:val="00256563"/>
    <w:rsid w:val="002568B3"/>
    <w:rsid w:val="002613C4"/>
    <w:rsid w:val="002614F4"/>
    <w:rsid w:val="00262FEB"/>
    <w:rsid w:val="0026312F"/>
    <w:rsid w:val="0026330A"/>
    <w:rsid w:val="00263E9B"/>
    <w:rsid w:val="002649B1"/>
    <w:rsid w:val="00264FA9"/>
    <w:rsid w:val="00265B5C"/>
    <w:rsid w:val="00265C12"/>
    <w:rsid w:val="00267133"/>
    <w:rsid w:val="00267DD3"/>
    <w:rsid w:val="002702FB"/>
    <w:rsid w:val="00270733"/>
    <w:rsid w:val="00272791"/>
    <w:rsid w:val="00272F8F"/>
    <w:rsid w:val="00273825"/>
    <w:rsid w:val="00273898"/>
    <w:rsid w:val="00274F3C"/>
    <w:rsid w:val="002758F0"/>
    <w:rsid w:val="0027680C"/>
    <w:rsid w:val="00276E5B"/>
    <w:rsid w:val="00277561"/>
    <w:rsid w:val="002819C3"/>
    <w:rsid w:val="00281C97"/>
    <w:rsid w:val="002857C3"/>
    <w:rsid w:val="00286CD9"/>
    <w:rsid w:val="00290B91"/>
    <w:rsid w:val="00291A92"/>
    <w:rsid w:val="00291D29"/>
    <w:rsid w:val="00291F11"/>
    <w:rsid w:val="00292110"/>
    <w:rsid w:val="00292A0F"/>
    <w:rsid w:val="0029304C"/>
    <w:rsid w:val="00294092"/>
    <w:rsid w:val="0029442D"/>
    <w:rsid w:val="00294ED7"/>
    <w:rsid w:val="00294FB0"/>
    <w:rsid w:val="00297102"/>
    <w:rsid w:val="002A1622"/>
    <w:rsid w:val="002A4764"/>
    <w:rsid w:val="002A48C8"/>
    <w:rsid w:val="002A4F36"/>
    <w:rsid w:val="002A5FF5"/>
    <w:rsid w:val="002A779B"/>
    <w:rsid w:val="002A7AD5"/>
    <w:rsid w:val="002A7E0C"/>
    <w:rsid w:val="002B0110"/>
    <w:rsid w:val="002B0443"/>
    <w:rsid w:val="002B065E"/>
    <w:rsid w:val="002B205A"/>
    <w:rsid w:val="002B25B1"/>
    <w:rsid w:val="002B298B"/>
    <w:rsid w:val="002B2EF1"/>
    <w:rsid w:val="002B3E22"/>
    <w:rsid w:val="002B437C"/>
    <w:rsid w:val="002B45C6"/>
    <w:rsid w:val="002B4E8D"/>
    <w:rsid w:val="002B5D82"/>
    <w:rsid w:val="002B6A01"/>
    <w:rsid w:val="002B7414"/>
    <w:rsid w:val="002B74A3"/>
    <w:rsid w:val="002B7C52"/>
    <w:rsid w:val="002B7F6F"/>
    <w:rsid w:val="002C0157"/>
    <w:rsid w:val="002C0EF5"/>
    <w:rsid w:val="002C1179"/>
    <w:rsid w:val="002C219C"/>
    <w:rsid w:val="002C234D"/>
    <w:rsid w:val="002C2BC6"/>
    <w:rsid w:val="002C3505"/>
    <w:rsid w:val="002C3612"/>
    <w:rsid w:val="002C3B36"/>
    <w:rsid w:val="002C422A"/>
    <w:rsid w:val="002C42CF"/>
    <w:rsid w:val="002C5E73"/>
    <w:rsid w:val="002C5FF6"/>
    <w:rsid w:val="002C7FDD"/>
    <w:rsid w:val="002D18FD"/>
    <w:rsid w:val="002D2364"/>
    <w:rsid w:val="002D26D3"/>
    <w:rsid w:val="002D2D76"/>
    <w:rsid w:val="002D3927"/>
    <w:rsid w:val="002D635E"/>
    <w:rsid w:val="002D72B5"/>
    <w:rsid w:val="002D73FA"/>
    <w:rsid w:val="002D77E5"/>
    <w:rsid w:val="002D7BF8"/>
    <w:rsid w:val="002E0EEE"/>
    <w:rsid w:val="002E0F8A"/>
    <w:rsid w:val="002E1B12"/>
    <w:rsid w:val="002E2678"/>
    <w:rsid w:val="002E2AD3"/>
    <w:rsid w:val="002E3B81"/>
    <w:rsid w:val="002E3BA9"/>
    <w:rsid w:val="002E5E9B"/>
    <w:rsid w:val="002E6FDA"/>
    <w:rsid w:val="002E7845"/>
    <w:rsid w:val="002F1045"/>
    <w:rsid w:val="002F174C"/>
    <w:rsid w:val="002F2ECE"/>
    <w:rsid w:val="002F5532"/>
    <w:rsid w:val="002F56B9"/>
    <w:rsid w:val="002F6AA2"/>
    <w:rsid w:val="002F7146"/>
    <w:rsid w:val="002F769F"/>
    <w:rsid w:val="002F7837"/>
    <w:rsid w:val="003004C8"/>
    <w:rsid w:val="0030126F"/>
    <w:rsid w:val="00301627"/>
    <w:rsid w:val="00301722"/>
    <w:rsid w:val="00302C43"/>
    <w:rsid w:val="00303F18"/>
    <w:rsid w:val="0030478F"/>
    <w:rsid w:val="003049A6"/>
    <w:rsid w:val="00304CD9"/>
    <w:rsid w:val="0030593C"/>
    <w:rsid w:val="0030781D"/>
    <w:rsid w:val="00310231"/>
    <w:rsid w:val="0031031F"/>
    <w:rsid w:val="003108D8"/>
    <w:rsid w:val="00310BEF"/>
    <w:rsid w:val="0031156E"/>
    <w:rsid w:val="00311D43"/>
    <w:rsid w:val="00312155"/>
    <w:rsid w:val="00313219"/>
    <w:rsid w:val="00313F6C"/>
    <w:rsid w:val="00314827"/>
    <w:rsid w:val="00315326"/>
    <w:rsid w:val="003156F5"/>
    <w:rsid w:val="00315C26"/>
    <w:rsid w:val="00316073"/>
    <w:rsid w:val="0031660A"/>
    <w:rsid w:val="00317401"/>
    <w:rsid w:val="00320437"/>
    <w:rsid w:val="003207AB"/>
    <w:rsid w:val="00322A21"/>
    <w:rsid w:val="00322AF2"/>
    <w:rsid w:val="00323355"/>
    <w:rsid w:val="00323C87"/>
    <w:rsid w:val="00324247"/>
    <w:rsid w:val="003247C6"/>
    <w:rsid w:val="00325434"/>
    <w:rsid w:val="0033088F"/>
    <w:rsid w:val="0033089D"/>
    <w:rsid w:val="00331104"/>
    <w:rsid w:val="003319B4"/>
    <w:rsid w:val="003322A0"/>
    <w:rsid w:val="00332B82"/>
    <w:rsid w:val="00334366"/>
    <w:rsid w:val="0033534F"/>
    <w:rsid w:val="003364E7"/>
    <w:rsid w:val="00337CA1"/>
    <w:rsid w:val="00337D75"/>
    <w:rsid w:val="0034008E"/>
    <w:rsid w:val="0034014B"/>
    <w:rsid w:val="0034045E"/>
    <w:rsid w:val="00340483"/>
    <w:rsid w:val="00341176"/>
    <w:rsid w:val="00344420"/>
    <w:rsid w:val="003449E7"/>
    <w:rsid w:val="0034502A"/>
    <w:rsid w:val="00345AB4"/>
    <w:rsid w:val="00346230"/>
    <w:rsid w:val="0034775F"/>
    <w:rsid w:val="00351125"/>
    <w:rsid w:val="0035377C"/>
    <w:rsid w:val="003548B3"/>
    <w:rsid w:val="00354C54"/>
    <w:rsid w:val="00355D04"/>
    <w:rsid w:val="00356B75"/>
    <w:rsid w:val="00360427"/>
    <w:rsid w:val="0036068D"/>
    <w:rsid w:val="003606AD"/>
    <w:rsid w:val="00360E66"/>
    <w:rsid w:val="00361887"/>
    <w:rsid w:val="0036281E"/>
    <w:rsid w:val="003645C0"/>
    <w:rsid w:val="00364785"/>
    <w:rsid w:val="003647B3"/>
    <w:rsid w:val="003647F1"/>
    <w:rsid w:val="00365255"/>
    <w:rsid w:val="003665AD"/>
    <w:rsid w:val="00367C4F"/>
    <w:rsid w:val="00367DFE"/>
    <w:rsid w:val="00370274"/>
    <w:rsid w:val="00370F07"/>
    <w:rsid w:val="00371042"/>
    <w:rsid w:val="0037106B"/>
    <w:rsid w:val="003713E6"/>
    <w:rsid w:val="00372DCB"/>
    <w:rsid w:val="00373786"/>
    <w:rsid w:val="0037432E"/>
    <w:rsid w:val="003777A5"/>
    <w:rsid w:val="003778EF"/>
    <w:rsid w:val="003809F4"/>
    <w:rsid w:val="00380A59"/>
    <w:rsid w:val="00380CA3"/>
    <w:rsid w:val="00381287"/>
    <w:rsid w:val="00381C88"/>
    <w:rsid w:val="00384F74"/>
    <w:rsid w:val="00385F85"/>
    <w:rsid w:val="00387CEC"/>
    <w:rsid w:val="003909CE"/>
    <w:rsid w:val="00391021"/>
    <w:rsid w:val="0039129F"/>
    <w:rsid w:val="00391780"/>
    <w:rsid w:val="00391B5D"/>
    <w:rsid w:val="00393466"/>
    <w:rsid w:val="003947BA"/>
    <w:rsid w:val="00395310"/>
    <w:rsid w:val="00395BCC"/>
    <w:rsid w:val="00396050"/>
    <w:rsid w:val="00396CDD"/>
    <w:rsid w:val="003971C2"/>
    <w:rsid w:val="003972E1"/>
    <w:rsid w:val="003A01EF"/>
    <w:rsid w:val="003A03FE"/>
    <w:rsid w:val="003A09B1"/>
    <w:rsid w:val="003A12A1"/>
    <w:rsid w:val="003A150A"/>
    <w:rsid w:val="003A2DB9"/>
    <w:rsid w:val="003A344F"/>
    <w:rsid w:val="003A38A5"/>
    <w:rsid w:val="003A3919"/>
    <w:rsid w:val="003A463B"/>
    <w:rsid w:val="003A4642"/>
    <w:rsid w:val="003A46F4"/>
    <w:rsid w:val="003A5831"/>
    <w:rsid w:val="003A59F9"/>
    <w:rsid w:val="003A6C9F"/>
    <w:rsid w:val="003A716C"/>
    <w:rsid w:val="003B0384"/>
    <w:rsid w:val="003B0709"/>
    <w:rsid w:val="003B0E12"/>
    <w:rsid w:val="003B0F38"/>
    <w:rsid w:val="003B2497"/>
    <w:rsid w:val="003B3059"/>
    <w:rsid w:val="003B33FC"/>
    <w:rsid w:val="003B4BB3"/>
    <w:rsid w:val="003B4D0B"/>
    <w:rsid w:val="003B5382"/>
    <w:rsid w:val="003B5408"/>
    <w:rsid w:val="003B574C"/>
    <w:rsid w:val="003B6287"/>
    <w:rsid w:val="003B67FF"/>
    <w:rsid w:val="003B6A8B"/>
    <w:rsid w:val="003B7C33"/>
    <w:rsid w:val="003C0F61"/>
    <w:rsid w:val="003C13BB"/>
    <w:rsid w:val="003C1B07"/>
    <w:rsid w:val="003C1E1E"/>
    <w:rsid w:val="003C238D"/>
    <w:rsid w:val="003C2605"/>
    <w:rsid w:val="003C3423"/>
    <w:rsid w:val="003C4C97"/>
    <w:rsid w:val="003C4E9E"/>
    <w:rsid w:val="003C5315"/>
    <w:rsid w:val="003C5B7A"/>
    <w:rsid w:val="003C5EDA"/>
    <w:rsid w:val="003C639D"/>
    <w:rsid w:val="003D0C68"/>
    <w:rsid w:val="003D140C"/>
    <w:rsid w:val="003D19B9"/>
    <w:rsid w:val="003D2DB7"/>
    <w:rsid w:val="003D30BF"/>
    <w:rsid w:val="003D30C6"/>
    <w:rsid w:val="003D33A6"/>
    <w:rsid w:val="003D3CD6"/>
    <w:rsid w:val="003D3D5C"/>
    <w:rsid w:val="003D417A"/>
    <w:rsid w:val="003D56CD"/>
    <w:rsid w:val="003D5DE9"/>
    <w:rsid w:val="003D5F82"/>
    <w:rsid w:val="003D5FF9"/>
    <w:rsid w:val="003D6D30"/>
    <w:rsid w:val="003D72A6"/>
    <w:rsid w:val="003D7D6F"/>
    <w:rsid w:val="003E1C71"/>
    <w:rsid w:val="003E1FC6"/>
    <w:rsid w:val="003E3A36"/>
    <w:rsid w:val="003E4A6B"/>
    <w:rsid w:val="003E6EF6"/>
    <w:rsid w:val="003E73BF"/>
    <w:rsid w:val="003E771B"/>
    <w:rsid w:val="003F0478"/>
    <w:rsid w:val="003F074F"/>
    <w:rsid w:val="003F0EAB"/>
    <w:rsid w:val="003F2230"/>
    <w:rsid w:val="003F282D"/>
    <w:rsid w:val="003F29DC"/>
    <w:rsid w:val="003F2F76"/>
    <w:rsid w:val="003F32B8"/>
    <w:rsid w:val="003F3B34"/>
    <w:rsid w:val="003F3E12"/>
    <w:rsid w:val="003F43CF"/>
    <w:rsid w:val="003F4603"/>
    <w:rsid w:val="003F4A39"/>
    <w:rsid w:val="003F51AD"/>
    <w:rsid w:val="003F5C42"/>
    <w:rsid w:val="003F5E83"/>
    <w:rsid w:val="003F622D"/>
    <w:rsid w:val="003F74BC"/>
    <w:rsid w:val="004011C9"/>
    <w:rsid w:val="00401F4E"/>
    <w:rsid w:val="00401FAC"/>
    <w:rsid w:val="0040251A"/>
    <w:rsid w:val="00402ADF"/>
    <w:rsid w:val="00402CE8"/>
    <w:rsid w:val="00402D95"/>
    <w:rsid w:val="004040D8"/>
    <w:rsid w:val="00405D1A"/>
    <w:rsid w:val="00405FB4"/>
    <w:rsid w:val="004073D3"/>
    <w:rsid w:val="00407998"/>
    <w:rsid w:val="00410FB1"/>
    <w:rsid w:val="00411176"/>
    <w:rsid w:val="0041179A"/>
    <w:rsid w:val="004125FB"/>
    <w:rsid w:val="00412ECF"/>
    <w:rsid w:val="00413DB5"/>
    <w:rsid w:val="004147E5"/>
    <w:rsid w:val="00414E0B"/>
    <w:rsid w:val="004156E7"/>
    <w:rsid w:val="004157E2"/>
    <w:rsid w:val="00415E9F"/>
    <w:rsid w:val="00416265"/>
    <w:rsid w:val="00416593"/>
    <w:rsid w:val="00416E3E"/>
    <w:rsid w:val="00416E6E"/>
    <w:rsid w:val="004171C3"/>
    <w:rsid w:val="00417FC0"/>
    <w:rsid w:val="00420D22"/>
    <w:rsid w:val="004212C9"/>
    <w:rsid w:val="00422CFD"/>
    <w:rsid w:val="004234C7"/>
    <w:rsid w:val="004244A8"/>
    <w:rsid w:val="004245B3"/>
    <w:rsid w:val="0042489D"/>
    <w:rsid w:val="0042492E"/>
    <w:rsid w:val="00424E1D"/>
    <w:rsid w:val="00425A08"/>
    <w:rsid w:val="00425C7F"/>
    <w:rsid w:val="00426597"/>
    <w:rsid w:val="00426EE5"/>
    <w:rsid w:val="00430814"/>
    <w:rsid w:val="004309C5"/>
    <w:rsid w:val="004326EA"/>
    <w:rsid w:val="004333EA"/>
    <w:rsid w:val="004339BC"/>
    <w:rsid w:val="0043444C"/>
    <w:rsid w:val="00436CC3"/>
    <w:rsid w:val="004404F0"/>
    <w:rsid w:val="004413E6"/>
    <w:rsid w:val="004415C9"/>
    <w:rsid w:val="00442FFB"/>
    <w:rsid w:val="0044334D"/>
    <w:rsid w:val="0044570B"/>
    <w:rsid w:val="00446CA8"/>
    <w:rsid w:val="00447F82"/>
    <w:rsid w:val="00450374"/>
    <w:rsid w:val="0045098C"/>
    <w:rsid w:val="00450D38"/>
    <w:rsid w:val="004511ED"/>
    <w:rsid w:val="00451A26"/>
    <w:rsid w:val="0045294C"/>
    <w:rsid w:val="004541AC"/>
    <w:rsid w:val="00454242"/>
    <w:rsid w:val="00454EE5"/>
    <w:rsid w:val="00455401"/>
    <w:rsid w:val="00456791"/>
    <w:rsid w:val="00456A92"/>
    <w:rsid w:val="00457664"/>
    <w:rsid w:val="004611B6"/>
    <w:rsid w:val="004611E7"/>
    <w:rsid w:val="00461246"/>
    <w:rsid w:val="00462116"/>
    <w:rsid w:val="00462272"/>
    <w:rsid w:val="0046317B"/>
    <w:rsid w:val="00463819"/>
    <w:rsid w:val="00464760"/>
    <w:rsid w:val="00464F10"/>
    <w:rsid w:val="00465A89"/>
    <w:rsid w:val="0046644C"/>
    <w:rsid w:val="0046668F"/>
    <w:rsid w:val="00467121"/>
    <w:rsid w:val="00467C11"/>
    <w:rsid w:val="0047138E"/>
    <w:rsid w:val="00471A68"/>
    <w:rsid w:val="004728B9"/>
    <w:rsid w:val="004737AE"/>
    <w:rsid w:val="004740CB"/>
    <w:rsid w:val="00474678"/>
    <w:rsid w:val="00474F6F"/>
    <w:rsid w:val="0047510F"/>
    <w:rsid w:val="00475151"/>
    <w:rsid w:val="004753F6"/>
    <w:rsid w:val="00475740"/>
    <w:rsid w:val="00475C0E"/>
    <w:rsid w:val="004774D7"/>
    <w:rsid w:val="0047761A"/>
    <w:rsid w:val="00477CE0"/>
    <w:rsid w:val="00477F64"/>
    <w:rsid w:val="00480CBA"/>
    <w:rsid w:val="00481C68"/>
    <w:rsid w:val="00481D91"/>
    <w:rsid w:val="00481DB1"/>
    <w:rsid w:val="00482978"/>
    <w:rsid w:val="00483326"/>
    <w:rsid w:val="00483FD3"/>
    <w:rsid w:val="00484482"/>
    <w:rsid w:val="004844B2"/>
    <w:rsid w:val="004857F0"/>
    <w:rsid w:val="00485934"/>
    <w:rsid w:val="00485C05"/>
    <w:rsid w:val="00486CA3"/>
    <w:rsid w:val="00486ECC"/>
    <w:rsid w:val="004876E4"/>
    <w:rsid w:val="00490446"/>
    <w:rsid w:val="00490BF5"/>
    <w:rsid w:val="004916EC"/>
    <w:rsid w:val="00491E1B"/>
    <w:rsid w:val="00492400"/>
    <w:rsid w:val="00492AA8"/>
    <w:rsid w:val="00492B36"/>
    <w:rsid w:val="00492D1B"/>
    <w:rsid w:val="00492EE8"/>
    <w:rsid w:val="004940DF"/>
    <w:rsid w:val="004941C2"/>
    <w:rsid w:val="00494450"/>
    <w:rsid w:val="00495A95"/>
    <w:rsid w:val="004961AC"/>
    <w:rsid w:val="004964EF"/>
    <w:rsid w:val="00496EF3"/>
    <w:rsid w:val="004972AE"/>
    <w:rsid w:val="004A21A3"/>
    <w:rsid w:val="004A2F8B"/>
    <w:rsid w:val="004A350F"/>
    <w:rsid w:val="004A3E41"/>
    <w:rsid w:val="004A42E6"/>
    <w:rsid w:val="004A461D"/>
    <w:rsid w:val="004A52A4"/>
    <w:rsid w:val="004A613D"/>
    <w:rsid w:val="004A61BD"/>
    <w:rsid w:val="004A65AD"/>
    <w:rsid w:val="004A67FB"/>
    <w:rsid w:val="004A7479"/>
    <w:rsid w:val="004A79DF"/>
    <w:rsid w:val="004B0127"/>
    <w:rsid w:val="004B1298"/>
    <w:rsid w:val="004B1C14"/>
    <w:rsid w:val="004B1E53"/>
    <w:rsid w:val="004B1EF0"/>
    <w:rsid w:val="004B290E"/>
    <w:rsid w:val="004B2D1D"/>
    <w:rsid w:val="004B3AD8"/>
    <w:rsid w:val="004B3B69"/>
    <w:rsid w:val="004B4515"/>
    <w:rsid w:val="004B4FA1"/>
    <w:rsid w:val="004B505A"/>
    <w:rsid w:val="004B5143"/>
    <w:rsid w:val="004B5894"/>
    <w:rsid w:val="004B598C"/>
    <w:rsid w:val="004B5F0A"/>
    <w:rsid w:val="004C0DD3"/>
    <w:rsid w:val="004C0F36"/>
    <w:rsid w:val="004C1C06"/>
    <w:rsid w:val="004C33DE"/>
    <w:rsid w:val="004C39EE"/>
    <w:rsid w:val="004C3F5D"/>
    <w:rsid w:val="004C5015"/>
    <w:rsid w:val="004C6186"/>
    <w:rsid w:val="004C7BB1"/>
    <w:rsid w:val="004C7C23"/>
    <w:rsid w:val="004D1B3A"/>
    <w:rsid w:val="004D2640"/>
    <w:rsid w:val="004D274A"/>
    <w:rsid w:val="004D3E5C"/>
    <w:rsid w:val="004D5A1F"/>
    <w:rsid w:val="004D6D62"/>
    <w:rsid w:val="004D6F9F"/>
    <w:rsid w:val="004D7336"/>
    <w:rsid w:val="004D7E0B"/>
    <w:rsid w:val="004E0797"/>
    <w:rsid w:val="004E1DF3"/>
    <w:rsid w:val="004E44C4"/>
    <w:rsid w:val="004E4D1D"/>
    <w:rsid w:val="004E4DF2"/>
    <w:rsid w:val="004E54B4"/>
    <w:rsid w:val="004E576C"/>
    <w:rsid w:val="004E5CF7"/>
    <w:rsid w:val="004E6519"/>
    <w:rsid w:val="004E69E6"/>
    <w:rsid w:val="004E6C2B"/>
    <w:rsid w:val="004E6C42"/>
    <w:rsid w:val="004E7E4B"/>
    <w:rsid w:val="004F0828"/>
    <w:rsid w:val="004F0BF2"/>
    <w:rsid w:val="004F0F58"/>
    <w:rsid w:val="004F22C9"/>
    <w:rsid w:val="004F339F"/>
    <w:rsid w:val="004F3E8D"/>
    <w:rsid w:val="004F46ED"/>
    <w:rsid w:val="004F4843"/>
    <w:rsid w:val="004F5B4A"/>
    <w:rsid w:val="004F66A0"/>
    <w:rsid w:val="004F6936"/>
    <w:rsid w:val="004F69DF"/>
    <w:rsid w:val="004F7165"/>
    <w:rsid w:val="005000F4"/>
    <w:rsid w:val="0050066E"/>
    <w:rsid w:val="00500FDD"/>
    <w:rsid w:val="0050206D"/>
    <w:rsid w:val="005023AF"/>
    <w:rsid w:val="005028B6"/>
    <w:rsid w:val="00503C79"/>
    <w:rsid w:val="00503F8A"/>
    <w:rsid w:val="00504FA5"/>
    <w:rsid w:val="00505AFA"/>
    <w:rsid w:val="00506A6A"/>
    <w:rsid w:val="0051017C"/>
    <w:rsid w:val="005103EB"/>
    <w:rsid w:val="00510B38"/>
    <w:rsid w:val="00510B41"/>
    <w:rsid w:val="00510B50"/>
    <w:rsid w:val="00511FD2"/>
    <w:rsid w:val="005135C0"/>
    <w:rsid w:val="0051381A"/>
    <w:rsid w:val="00513900"/>
    <w:rsid w:val="00515569"/>
    <w:rsid w:val="00515917"/>
    <w:rsid w:val="0051659F"/>
    <w:rsid w:val="00517746"/>
    <w:rsid w:val="005207CA"/>
    <w:rsid w:val="0052167C"/>
    <w:rsid w:val="00523726"/>
    <w:rsid w:val="00523E6A"/>
    <w:rsid w:val="005247E5"/>
    <w:rsid w:val="00524EA4"/>
    <w:rsid w:val="00525278"/>
    <w:rsid w:val="00526115"/>
    <w:rsid w:val="00526D5F"/>
    <w:rsid w:val="00527981"/>
    <w:rsid w:val="0053070B"/>
    <w:rsid w:val="00531538"/>
    <w:rsid w:val="00532650"/>
    <w:rsid w:val="005327A9"/>
    <w:rsid w:val="00532A0B"/>
    <w:rsid w:val="0053328D"/>
    <w:rsid w:val="005332B8"/>
    <w:rsid w:val="00533615"/>
    <w:rsid w:val="00534C3C"/>
    <w:rsid w:val="00535695"/>
    <w:rsid w:val="00535AA4"/>
    <w:rsid w:val="00535D61"/>
    <w:rsid w:val="005408FC"/>
    <w:rsid w:val="00541D31"/>
    <w:rsid w:val="00541DF6"/>
    <w:rsid w:val="00543476"/>
    <w:rsid w:val="00543C34"/>
    <w:rsid w:val="00544A88"/>
    <w:rsid w:val="0054671E"/>
    <w:rsid w:val="00546999"/>
    <w:rsid w:val="00546CEE"/>
    <w:rsid w:val="0054789C"/>
    <w:rsid w:val="00550208"/>
    <w:rsid w:val="005508D5"/>
    <w:rsid w:val="00550C22"/>
    <w:rsid w:val="00550F55"/>
    <w:rsid w:val="00551603"/>
    <w:rsid w:val="00552121"/>
    <w:rsid w:val="005522FF"/>
    <w:rsid w:val="005533F3"/>
    <w:rsid w:val="00555154"/>
    <w:rsid w:val="005570EF"/>
    <w:rsid w:val="005574A7"/>
    <w:rsid w:val="00557F27"/>
    <w:rsid w:val="00557F38"/>
    <w:rsid w:val="00557FFE"/>
    <w:rsid w:val="005609C0"/>
    <w:rsid w:val="00560D63"/>
    <w:rsid w:val="00560E43"/>
    <w:rsid w:val="00561138"/>
    <w:rsid w:val="005617E6"/>
    <w:rsid w:val="005634E1"/>
    <w:rsid w:val="005651C1"/>
    <w:rsid w:val="00565394"/>
    <w:rsid w:val="00566029"/>
    <w:rsid w:val="005660EF"/>
    <w:rsid w:val="0056621F"/>
    <w:rsid w:val="00570982"/>
    <w:rsid w:val="005711E8"/>
    <w:rsid w:val="0057145D"/>
    <w:rsid w:val="0057271C"/>
    <w:rsid w:val="005732EF"/>
    <w:rsid w:val="00573EBB"/>
    <w:rsid w:val="0057404D"/>
    <w:rsid w:val="0057553C"/>
    <w:rsid w:val="00575827"/>
    <w:rsid w:val="00575CFA"/>
    <w:rsid w:val="00576EDA"/>
    <w:rsid w:val="0058030E"/>
    <w:rsid w:val="00580B35"/>
    <w:rsid w:val="005822D7"/>
    <w:rsid w:val="0058272E"/>
    <w:rsid w:val="00582832"/>
    <w:rsid w:val="005833AF"/>
    <w:rsid w:val="00583FD2"/>
    <w:rsid w:val="0058437C"/>
    <w:rsid w:val="00584BE8"/>
    <w:rsid w:val="00584C0D"/>
    <w:rsid w:val="00584FE7"/>
    <w:rsid w:val="005859AC"/>
    <w:rsid w:val="00585D08"/>
    <w:rsid w:val="00585E24"/>
    <w:rsid w:val="00586DD2"/>
    <w:rsid w:val="005870CA"/>
    <w:rsid w:val="005875E2"/>
    <w:rsid w:val="00590152"/>
    <w:rsid w:val="00591F9B"/>
    <w:rsid w:val="005925FE"/>
    <w:rsid w:val="00592AB9"/>
    <w:rsid w:val="00592B1E"/>
    <w:rsid w:val="005932E7"/>
    <w:rsid w:val="00593329"/>
    <w:rsid w:val="005937EC"/>
    <w:rsid w:val="005954B6"/>
    <w:rsid w:val="00597226"/>
    <w:rsid w:val="005A1285"/>
    <w:rsid w:val="005A22F3"/>
    <w:rsid w:val="005A271A"/>
    <w:rsid w:val="005A2A0E"/>
    <w:rsid w:val="005A2EDF"/>
    <w:rsid w:val="005A31DE"/>
    <w:rsid w:val="005A3613"/>
    <w:rsid w:val="005A36CE"/>
    <w:rsid w:val="005A3777"/>
    <w:rsid w:val="005A3CB7"/>
    <w:rsid w:val="005A420A"/>
    <w:rsid w:val="005A5062"/>
    <w:rsid w:val="005A70C5"/>
    <w:rsid w:val="005A77A5"/>
    <w:rsid w:val="005A7AC7"/>
    <w:rsid w:val="005B0EBA"/>
    <w:rsid w:val="005B2D5D"/>
    <w:rsid w:val="005B41F0"/>
    <w:rsid w:val="005B4CEC"/>
    <w:rsid w:val="005B50E9"/>
    <w:rsid w:val="005B59DE"/>
    <w:rsid w:val="005B7535"/>
    <w:rsid w:val="005B781B"/>
    <w:rsid w:val="005C014E"/>
    <w:rsid w:val="005C0DFE"/>
    <w:rsid w:val="005C17C5"/>
    <w:rsid w:val="005C1A53"/>
    <w:rsid w:val="005C1D69"/>
    <w:rsid w:val="005C27A5"/>
    <w:rsid w:val="005C2F28"/>
    <w:rsid w:val="005C364A"/>
    <w:rsid w:val="005C3E0C"/>
    <w:rsid w:val="005C3F11"/>
    <w:rsid w:val="005C4191"/>
    <w:rsid w:val="005C4BDD"/>
    <w:rsid w:val="005C4F6A"/>
    <w:rsid w:val="005C549F"/>
    <w:rsid w:val="005C6111"/>
    <w:rsid w:val="005C6424"/>
    <w:rsid w:val="005D075B"/>
    <w:rsid w:val="005D0D4A"/>
    <w:rsid w:val="005D16AC"/>
    <w:rsid w:val="005D2A2D"/>
    <w:rsid w:val="005D3D88"/>
    <w:rsid w:val="005D3DE7"/>
    <w:rsid w:val="005D4DB0"/>
    <w:rsid w:val="005D4F1D"/>
    <w:rsid w:val="005D556E"/>
    <w:rsid w:val="005D58B8"/>
    <w:rsid w:val="005D59EF"/>
    <w:rsid w:val="005D5E12"/>
    <w:rsid w:val="005D672B"/>
    <w:rsid w:val="005D6780"/>
    <w:rsid w:val="005D6AF2"/>
    <w:rsid w:val="005D6B4C"/>
    <w:rsid w:val="005D6CB4"/>
    <w:rsid w:val="005D7868"/>
    <w:rsid w:val="005E0333"/>
    <w:rsid w:val="005E136A"/>
    <w:rsid w:val="005E16A6"/>
    <w:rsid w:val="005E1EAD"/>
    <w:rsid w:val="005E2277"/>
    <w:rsid w:val="005E2559"/>
    <w:rsid w:val="005E2782"/>
    <w:rsid w:val="005E2D18"/>
    <w:rsid w:val="005E3192"/>
    <w:rsid w:val="005E40D6"/>
    <w:rsid w:val="005E4314"/>
    <w:rsid w:val="005E4E40"/>
    <w:rsid w:val="005E5108"/>
    <w:rsid w:val="005E56B8"/>
    <w:rsid w:val="005E5708"/>
    <w:rsid w:val="005E789E"/>
    <w:rsid w:val="005F1048"/>
    <w:rsid w:val="005F151C"/>
    <w:rsid w:val="005F41FE"/>
    <w:rsid w:val="005F42C1"/>
    <w:rsid w:val="005F4D8D"/>
    <w:rsid w:val="005F5784"/>
    <w:rsid w:val="005F6257"/>
    <w:rsid w:val="005F64F2"/>
    <w:rsid w:val="005F6B8F"/>
    <w:rsid w:val="005F7AA0"/>
    <w:rsid w:val="0060098F"/>
    <w:rsid w:val="006009C0"/>
    <w:rsid w:val="00600D13"/>
    <w:rsid w:val="006010E1"/>
    <w:rsid w:val="006011DB"/>
    <w:rsid w:val="00601A40"/>
    <w:rsid w:val="00602164"/>
    <w:rsid w:val="00602492"/>
    <w:rsid w:val="00602762"/>
    <w:rsid w:val="00603456"/>
    <w:rsid w:val="0060348E"/>
    <w:rsid w:val="00603638"/>
    <w:rsid w:val="006039B4"/>
    <w:rsid w:val="00603BB5"/>
    <w:rsid w:val="00603FA9"/>
    <w:rsid w:val="006108E4"/>
    <w:rsid w:val="0061162D"/>
    <w:rsid w:val="00611AFC"/>
    <w:rsid w:val="006128C0"/>
    <w:rsid w:val="00612CAA"/>
    <w:rsid w:val="00612FF5"/>
    <w:rsid w:val="0061304D"/>
    <w:rsid w:val="0061417B"/>
    <w:rsid w:val="00615E69"/>
    <w:rsid w:val="00616302"/>
    <w:rsid w:val="00617A11"/>
    <w:rsid w:val="00617E9A"/>
    <w:rsid w:val="00621C5A"/>
    <w:rsid w:val="00622E78"/>
    <w:rsid w:val="00623009"/>
    <w:rsid w:val="0062418D"/>
    <w:rsid w:val="00624DED"/>
    <w:rsid w:val="00624EFE"/>
    <w:rsid w:val="00625969"/>
    <w:rsid w:val="00626C73"/>
    <w:rsid w:val="00627B2D"/>
    <w:rsid w:val="00633A06"/>
    <w:rsid w:val="006341A4"/>
    <w:rsid w:val="006345E8"/>
    <w:rsid w:val="00635267"/>
    <w:rsid w:val="006359DE"/>
    <w:rsid w:val="00636734"/>
    <w:rsid w:val="00636913"/>
    <w:rsid w:val="0063748B"/>
    <w:rsid w:val="00640086"/>
    <w:rsid w:val="006402BB"/>
    <w:rsid w:val="00643610"/>
    <w:rsid w:val="00643D5F"/>
    <w:rsid w:val="00644171"/>
    <w:rsid w:val="00646B24"/>
    <w:rsid w:val="00650640"/>
    <w:rsid w:val="006507A8"/>
    <w:rsid w:val="00650A52"/>
    <w:rsid w:val="00650EA5"/>
    <w:rsid w:val="00650FC5"/>
    <w:rsid w:val="00651290"/>
    <w:rsid w:val="00651EDC"/>
    <w:rsid w:val="00652692"/>
    <w:rsid w:val="006530EA"/>
    <w:rsid w:val="00653914"/>
    <w:rsid w:val="00654E3C"/>
    <w:rsid w:val="00657EAE"/>
    <w:rsid w:val="006619FB"/>
    <w:rsid w:val="00661AED"/>
    <w:rsid w:val="00661C5D"/>
    <w:rsid w:val="00661E24"/>
    <w:rsid w:val="00662672"/>
    <w:rsid w:val="00662735"/>
    <w:rsid w:val="00662D80"/>
    <w:rsid w:val="00663697"/>
    <w:rsid w:val="0066413C"/>
    <w:rsid w:val="00664C3D"/>
    <w:rsid w:val="00664C5B"/>
    <w:rsid w:val="00665216"/>
    <w:rsid w:val="00665BA8"/>
    <w:rsid w:val="00665E88"/>
    <w:rsid w:val="00666A54"/>
    <w:rsid w:val="00667290"/>
    <w:rsid w:val="00667D92"/>
    <w:rsid w:val="006712AE"/>
    <w:rsid w:val="00671A3C"/>
    <w:rsid w:val="00671B22"/>
    <w:rsid w:val="006725B4"/>
    <w:rsid w:val="00673A7D"/>
    <w:rsid w:val="00674610"/>
    <w:rsid w:val="006756BC"/>
    <w:rsid w:val="006758F0"/>
    <w:rsid w:val="006777AC"/>
    <w:rsid w:val="00677F36"/>
    <w:rsid w:val="00680D9B"/>
    <w:rsid w:val="00680FDE"/>
    <w:rsid w:val="006838A4"/>
    <w:rsid w:val="00683B6A"/>
    <w:rsid w:val="00684F2D"/>
    <w:rsid w:val="006855D6"/>
    <w:rsid w:val="00685E19"/>
    <w:rsid w:val="006900D2"/>
    <w:rsid w:val="00690446"/>
    <w:rsid w:val="00690FB0"/>
    <w:rsid w:val="00691346"/>
    <w:rsid w:val="0069174C"/>
    <w:rsid w:val="00691CD7"/>
    <w:rsid w:val="006929DB"/>
    <w:rsid w:val="00692A85"/>
    <w:rsid w:val="006935D4"/>
    <w:rsid w:val="00693824"/>
    <w:rsid w:val="00693B40"/>
    <w:rsid w:val="006947E7"/>
    <w:rsid w:val="0069486A"/>
    <w:rsid w:val="006962B4"/>
    <w:rsid w:val="00697720"/>
    <w:rsid w:val="00697DCF"/>
    <w:rsid w:val="006A0A09"/>
    <w:rsid w:val="006A147B"/>
    <w:rsid w:val="006A1B5C"/>
    <w:rsid w:val="006A1E90"/>
    <w:rsid w:val="006A1F91"/>
    <w:rsid w:val="006A2B41"/>
    <w:rsid w:val="006A33D9"/>
    <w:rsid w:val="006A33FA"/>
    <w:rsid w:val="006A3A58"/>
    <w:rsid w:val="006A4C49"/>
    <w:rsid w:val="006A4C94"/>
    <w:rsid w:val="006A60AE"/>
    <w:rsid w:val="006A7118"/>
    <w:rsid w:val="006A7229"/>
    <w:rsid w:val="006B168E"/>
    <w:rsid w:val="006B1BD7"/>
    <w:rsid w:val="006B3B71"/>
    <w:rsid w:val="006B45F4"/>
    <w:rsid w:val="006B4D6F"/>
    <w:rsid w:val="006B62C7"/>
    <w:rsid w:val="006B65D1"/>
    <w:rsid w:val="006B6B8E"/>
    <w:rsid w:val="006B6D18"/>
    <w:rsid w:val="006B722C"/>
    <w:rsid w:val="006B7A33"/>
    <w:rsid w:val="006B7A7D"/>
    <w:rsid w:val="006B7CA2"/>
    <w:rsid w:val="006B7F00"/>
    <w:rsid w:val="006C01B7"/>
    <w:rsid w:val="006C0B5C"/>
    <w:rsid w:val="006C0E49"/>
    <w:rsid w:val="006C0EB0"/>
    <w:rsid w:val="006C165C"/>
    <w:rsid w:val="006C2244"/>
    <w:rsid w:val="006C243C"/>
    <w:rsid w:val="006C25D2"/>
    <w:rsid w:val="006C2895"/>
    <w:rsid w:val="006C2C2F"/>
    <w:rsid w:val="006C2F0A"/>
    <w:rsid w:val="006C3494"/>
    <w:rsid w:val="006C392A"/>
    <w:rsid w:val="006C39DD"/>
    <w:rsid w:val="006C3E3D"/>
    <w:rsid w:val="006C503B"/>
    <w:rsid w:val="006C5507"/>
    <w:rsid w:val="006C6030"/>
    <w:rsid w:val="006C6FDE"/>
    <w:rsid w:val="006D0CEE"/>
    <w:rsid w:val="006D1DCC"/>
    <w:rsid w:val="006D2DE2"/>
    <w:rsid w:val="006D3FF9"/>
    <w:rsid w:val="006D4542"/>
    <w:rsid w:val="006D4912"/>
    <w:rsid w:val="006D4D74"/>
    <w:rsid w:val="006D52C0"/>
    <w:rsid w:val="006D61C0"/>
    <w:rsid w:val="006D620F"/>
    <w:rsid w:val="006D6398"/>
    <w:rsid w:val="006D784E"/>
    <w:rsid w:val="006E1741"/>
    <w:rsid w:val="006E1927"/>
    <w:rsid w:val="006E1939"/>
    <w:rsid w:val="006E2AEC"/>
    <w:rsid w:val="006E2EA0"/>
    <w:rsid w:val="006E3F05"/>
    <w:rsid w:val="006E442D"/>
    <w:rsid w:val="006E4504"/>
    <w:rsid w:val="006E455E"/>
    <w:rsid w:val="006E4AF9"/>
    <w:rsid w:val="006E503D"/>
    <w:rsid w:val="006F1DFA"/>
    <w:rsid w:val="006F21B0"/>
    <w:rsid w:val="006F3021"/>
    <w:rsid w:val="006F4E31"/>
    <w:rsid w:val="006F6517"/>
    <w:rsid w:val="006F655A"/>
    <w:rsid w:val="006F6C88"/>
    <w:rsid w:val="006F709C"/>
    <w:rsid w:val="00701C10"/>
    <w:rsid w:val="00702136"/>
    <w:rsid w:val="00703770"/>
    <w:rsid w:val="00703D8B"/>
    <w:rsid w:val="007057C6"/>
    <w:rsid w:val="00705BAB"/>
    <w:rsid w:val="00705D48"/>
    <w:rsid w:val="007062A8"/>
    <w:rsid w:val="00706B68"/>
    <w:rsid w:val="0070766E"/>
    <w:rsid w:val="007076F7"/>
    <w:rsid w:val="00707F61"/>
    <w:rsid w:val="0071012C"/>
    <w:rsid w:val="007114A0"/>
    <w:rsid w:val="0071163C"/>
    <w:rsid w:val="00711BBD"/>
    <w:rsid w:val="00711BE8"/>
    <w:rsid w:val="00711C40"/>
    <w:rsid w:val="0071214A"/>
    <w:rsid w:val="007137B9"/>
    <w:rsid w:val="00714D34"/>
    <w:rsid w:val="00714D4B"/>
    <w:rsid w:val="007157F1"/>
    <w:rsid w:val="00715873"/>
    <w:rsid w:val="007164D1"/>
    <w:rsid w:val="00716F4F"/>
    <w:rsid w:val="0071728C"/>
    <w:rsid w:val="007174E1"/>
    <w:rsid w:val="00717A3A"/>
    <w:rsid w:val="00717C71"/>
    <w:rsid w:val="00717CB6"/>
    <w:rsid w:val="00720222"/>
    <w:rsid w:val="00720FFD"/>
    <w:rsid w:val="0072113B"/>
    <w:rsid w:val="00722014"/>
    <w:rsid w:val="00723A36"/>
    <w:rsid w:val="00724621"/>
    <w:rsid w:val="00725662"/>
    <w:rsid w:val="00725711"/>
    <w:rsid w:val="00725D00"/>
    <w:rsid w:val="007260E3"/>
    <w:rsid w:val="00730985"/>
    <w:rsid w:val="00731C4D"/>
    <w:rsid w:val="00733BAB"/>
    <w:rsid w:val="007348B7"/>
    <w:rsid w:val="007348DB"/>
    <w:rsid w:val="00734E10"/>
    <w:rsid w:val="007350B2"/>
    <w:rsid w:val="007359F9"/>
    <w:rsid w:val="00735F8B"/>
    <w:rsid w:val="00736C97"/>
    <w:rsid w:val="00741BF1"/>
    <w:rsid w:val="007425C8"/>
    <w:rsid w:val="00744520"/>
    <w:rsid w:val="00744BB0"/>
    <w:rsid w:val="00745D4D"/>
    <w:rsid w:val="00745E5D"/>
    <w:rsid w:val="00746788"/>
    <w:rsid w:val="00746829"/>
    <w:rsid w:val="00747492"/>
    <w:rsid w:val="00747738"/>
    <w:rsid w:val="00747BC0"/>
    <w:rsid w:val="00747E50"/>
    <w:rsid w:val="00750909"/>
    <w:rsid w:val="00751237"/>
    <w:rsid w:val="0075173A"/>
    <w:rsid w:val="00752642"/>
    <w:rsid w:val="00752BFF"/>
    <w:rsid w:val="00753B1F"/>
    <w:rsid w:val="00753CA0"/>
    <w:rsid w:val="007541E1"/>
    <w:rsid w:val="00754C10"/>
    <w:rsid w:val="00754D48"/>
    <w:rsid w:val="0075544E"/>
    <w:rsid w:val="007555CA"/>
    <w:rsid w:val="00755C38"/>
    <w:rsid w:val="00756490"/>
    <w:rsid w:val="00757C15"/>
    <w:rsid w:val="00760B82"/>
    <w:rsid w:val="0076104A"/>
    <w:rsid w:val="0076310F"/>
    <w:rsid w:val="007657FB"/>
    <w:rsid w:val="00765B66"/>
    <w:rsid w:val="00765CC0"/>
    <w:rsid w:val="007661A6"/>
    <w:rsid w:val="007662B8"/>
    <w:rsid w:val="007668A6"/>
    <w:rsid w:val="00766E1E"/>
    <w:rsid w:val="00766EC9"/>
    <w:rsid w:val="00767DC5"/>
    <w:rsid w:val="00767E0F"/>
    <w:rsid w:val="00770C67"/>
    <w:rsid w:val="00771343"/>
    <w:rsid w:val="00771E42"/>
    <w:rsid w:val="00771EA1"/>
    <w:rsid w:val="0077336E"/>
    <w:rsid w:val="00773548"/>
    <w:rsid w:val="00773579"/>
    <w:rsid w:val="0077392D"/>
    <w:rsid w:val="007747B5"/>
    <w:rsid w:val="00774ED6"/>
    <w:rsid w:val="00775DED"/>
    <w:rsid w:val="0077649C"/>
    <w:rsid w:val="007772CC"/>
    <w:rsid w:val="00780489"/>
    <w:rsid w:val="00780821"/>
    <w:rsid w:val="00781A08"/>
    <w:rsid w:val="00781A66"/>
    <w:rsid w:val="00782528"/>
    <w:rsid w:val="00782C80"/>
    <w:rsid w:val="007830C2"/>
    <w:rsid w:val="007834B3"/>
    <w:rsid w:val="00783B03"/>
    <w:rsid w:val="00784646"/>
    <w:rsid w:val="007852C0"/>
    <w:rsid w:val="00785DBC"/>
    <w:rsid w:val="0078692D"/>
    <w:rsid w:val="007869A2"/>
    <w:rsid w:val="0078791F"/>
    <w:rsid w:val="007905A2"/>
    <w:rsid w:val="00790784"/>
    <w:rsid w:val="00790CBB"/>
    <w:rsid w:val="00791693"/>
    <w:rsid w:val="00791A19"/>
    <w:rsid w:val="00792229"/>
    <w:rsid w:val="007929BC"/>
    <w:rsid w:val="007937CE"/>
    <w:rsid w:val="0079457E"/>
    <w:rsid w:val="00795A49"/>
    <w:rsid w:val="00796AF7"/>
    <w:rsid w:val="0079766B"/>
    <w:rsid w:val="0079781E"/>
    <w:rsid w:val="007A055B"/>
    <w:rsid w:val="007A0C27"/>
    <w:rsid w:val="007A0D51"/>
    <w:rsid w:val="007A1376"/>
    <w:rsid w:val="007A167F"/>
    <w:rsid w:val="007A2ECE"/>
    <w:rsid w:val="007A3546"/>
    <w:rsid w:val="007A3897"/>
    <w:rsid w:val="007A3E35"/>
    <w:rsid w:val="007A4412"/>
    <w:rsid w:val="007A4837"/>
    <w:rsid w:val="007A4AEF"/>
    <w:rsid w:val="007A666C"/>
    <w:rsid w:val="007A68CE"/>
    <w:rsid w:val="007A7004"/>
    <w:rsid w:val="007B2162"/>
    <w:rsid w:val="007B3D46"/>
    <w:rsid w:val="007B4106"/>
    <w:rsid w:val="007B41EF"/>
    <w:rsid w:val="007B461D"/>
    <w:rsid w:val="007B5479"/>
    <w:rsid w:val="007B5AE3"/>
    <w:rsid w:val="007B5C52"/>
    <w:rsid w:val="007B6972"/>
    <w:rsid w:val="007C0BE0"/>
    <w:rsid w:val="007C0ED2"/>
    <w:rsid w:val="007C1875"/>
    <w:rsid w:val="007C1CF3"/>
    <w:rsid w:val="007C442B"/>
    <w:rsid w:val="007C49EC"/>
    <w:rsid w:val="007C4AB4"/>
    <w:rsid w:val="007C528C"/>
    <w:rsid w:val="007C5FBB"/>
    <w:rsid w:val="007C7F28"/>
    <w:rsid w:val="007D0120"/>
    <w:rsid w:val="007D0E3C"/>
    <w:rsid w:val="007D2A53"/>
    <w:rsid w:val="007D3FD7"/>
    <w:rsid w:val="007D5540"/>
    <w:rsid w:val="007D7402"/>
    <w:rsid w:val="007D74D2"/>
    <w:rsid w:val="007D77FC"/>
    <w:rsid w:val="007E011E"/>
    <w:rsid w:val="007E0D0D"/>
    <w:rsid w:val="007E151F"/>
    <w:rsid w:val="007E20A4"/>
    <w:rsid w:val="007E3883"/>
    <w:rsid w:val="007E3A21"/>
    <w:rsid w:val="007E40D0"/>
    <w:rsid w:val="007E4E08"/>
    <w:rsid w:val="007E55A1"/>
    <w:rsid w:val="007E62AC"/>
    <w:rsid w:val="007E6A07"/>
    <w:rsid w:val="007E6A22"/>
    <w:rsid w:val="007E6D2B"/>
    <w:rsid w:val="007E7E37"/>
    <w:rsid w:val="007F05F4"/>
    <w:rsid w:val="007F063A"/>
    <w:rsid w:val="007F0F66"/>
    <w:rsid w:val="007F1388"/>
    <w:rsid w:val="007F3DED"/>
    <w:rsid w:val="007F3F2D"/>
    <w:rsid w:val="007F45FB"/>
    <w:rsid w:val="007F4BC3"/>
    <w:rsid w:val="007F5B5E"/>
    <w:rsid w:val="007F77E2"/>
    <w:rsid w:val="00800E19"/>
    <w:rsid w:val="008012BF"/>
    <w:rsid w:val="008023FE"/>
    <w:rsid w:val="00802786"/>
    <w:rsid w:val="0080315B"/>
    <w:rsid w:val="00803968"/>
    <w:rsid w:val="00806D51"/>
    <w:rsid w:val="00806D8E"/>
    <w:rsid w:val="00806E96"/>
    <w:rsid w:val="00807726"/>
    <w:rsid w:val="00807FCE"/>
    <w:rsid w:val="008115B2"/>
    <w:rsid w:val="00813B74"/>
    <w:rsid w:val="008146F3"/>
    <w:rsid w:val="00815600"/>
    <w:rsid w:val="00815852"/>
    <w:rsid w:val="0081590F"/>
    <w:rsid w:val="008169FF"/>
    <w:rsid w:val="00816B73"/>
    <w:rsid w:val="008209DD"/>
    <w:rsid w:val="00821795"/>
    <w:rsid w:val="00821A8E"/>
    <w:rsid w:val="00822053"/>
    <w:rsid w:val="008227C4"/>
    <w:rsid w:val="00823154"/>
    <w:rsid w:val="0082469C"/>
    <w:rsid w:val="008261D5"/>
    <w:rsid w:val="00826D59"/>
    <w:rsid w:val="00826F93"/>
    <w:rsid w:val="00830AE2"/>
    <w:rsid w:val="00830DA0"/>
    <w:rsid w:val="008312C5"/>
    <w:rsid w:val="008314FF"/>
    <w:rsid w:val="00831908"/>
    <w:rsid w:val="00831F64"/>
    <w:rsid w:val="00832289"/>
    <w:rsid w:val="008322FD"/>
    <w:rsid w:val="00833AEB"/>
    <w:rsid w:val="00833D4A"/>
    <w:rsid w:val="00834AED"/>
    <w:rsid w:val="008354FC"/>
    <w:rsid w:val="008357FC"/>
    <w:rsid w:val="00836001"/>
    <w:rsid w:val="00836FD3"/>
    <w:rsid w:val="0083702C"/>
    <w:rsid w:val="00837B47"/>
    <w:rsid w:val="00837D83"/>
    <w:rsid w:val="00837F41"/>
    <w:rsid w:val="00840196"/>
    <w:rsid w:val="00840215"/>
    <w:rsid w:val="00840598"/>
    <w:rsid w:val="0084179E"/>
    <w:rsid w:val="00843BB1"/>
    <w:rsid w:val="00843E55"/>
    <w:rsid w:val="00844C27"/>
    <w:rsid w:val="00844E49"/>
    <w:rsid w:val="0084538A"/>
    <w:rsid w:val="00846E1A"/>
    <w:rsid w:val="008476B8"/>
    <w:rsid w:val="00847898"/>
    <w:rsid w:val="008509C0"/>
    <w:rsid w:val="00851624"/>
    <w:rsid w:val="00851D65"/>
    <w:rsid w:val="008523E3"/>
    <w:rsid w:val="008525F2"/>
    <w:rsid w:val="00852825"/>
    <w:rsid w:val="00852FA4"/>
    <w:rsid w:val="0085369D"/>
    <w:rsid w:val="00853FB7"/>
    <w:rsid w:val="00854405"/>
    <w:rsid w:val="008564AE"/>
    <w:rsid w:val="0085675B"/>
    <w:rsid w:val="00856997"/>
    <w:rsid w:val="00860510"/>
    <w:rsid w:val="00861B03"/>
    <w:rsid w:val="0086209A"/>
    <w:rsid w:val="0086246F"/>
    <w:rsid w:val="0086274C"/>
    <w:rsid w:val="00862D6E"/>
    <w:rsid w:val="00864042"/>
    <w:rsid w:val="00866A6C"/>
    <w:rsid w:val="00866E07"/>
    <w:rsid w:val="00866E0D"/>
    <w:rsid w:val="008679DA"/>
    <w:rsid w:val="008702D6"/>
    <w:rsid w:val="008710C8"/>
    <w:rsid w:val="00871463"/>
    <w:rsid w:val="00872257"/>
    <w:rsid w:val="008729F1"/>
    <w:rsid w:val="00872AB8"/>
    <w:rsid w:val="00873618"/>
    <w:rsid w:val="00873FB8"/>
    <w:rsid w:val="00874520"/>
    <w:rsid w:val="008758FA"/>
    <w:rsid w:val="00875B8F"/>
    <w:rsid w:val="00875D18"/>
    <w:rsid w:val="008770AC"/>
    <w:rsid w:val="00877475"/>
    <w:rsid w:val="00881899"/>
    <w:rsid w:val="00881EA7"/>
    <w:rsid w:val="00882470"/>
    <w:rsid w:val="00883199"/>
    <w:rsid w:val="00883707"/>
    <w:rsid w:val="0088376F"/>
    <w:rsid w:val="008839E3"/>
    <w:rsid w:val="00883D84"/>
    <w:rsid w:val="00885400"/>
    <w:rsid w:val="00886C53"/>
    <w:rsid w:val="0089067C"/>
    <w:rsid w:val="00891473"/>
    <w:rsid w:val="00892636"/>
    <w:rsid w:val="00894A0D"/>
    <w:rsid w:val="008950B6"/>
    <w:rsid w:val="00895279"/>
    <w:rsid w:val="0089534B"/>
    <w:rsid w:val="00896021"/>
    <w:rsid w:val="00896243"/>
    <w:rsid w:val="00897125"/>
    <w:rsid w:val="0089722F"/>
    <w:rsid w:val="008978F1"/>
    <w:rsid w:val="008A1CA5"/>
    <w:rsid w:val="008A377D"/>
    <w:rsid w:val="008A419B"/>
    <w:rsid w:val="008A434C"/>
    <w:rsid w:val="008A4EE4"/>
    <w:rsid w:val="008A57D2"/>
    <w:rsid w:val="008A61FD"/>
    <w:rsid w:val="008A77F8"/>
    <w:rsid w:val="008B0406"/>
    <w:rsid w:val="008B0518"/>
    <w:rsid w:val="008B0E33"/>
    <w:rsid w:val="008B11D1"/>
    <w:rsid w:val="008B1E31"/>
    <w:rsid w:val="008B331E"/>
    <w:rsid w:val="008B384E"/>
    <w:rsid w:val="008B3F42"/>
    <w:rsid w:val="008B41DC"/>
    <w:rsid w:val="008B4D0A"/>
    <w:rsid w:val="008B503C"/>
    <w:rsid w:val="008C07E8"/>
    <w:rsid w:val="008C1A77"/>
    <w:rsid w:val="008C226D"/>
    <w:rsid w:val="008C3954"/>
    <w:rsid w:val="008C4C51"/>
    <w:rsid w:val="008C5208"/>
    <w:rsid w:val="008C55F7"/>
    <w:rsid w:val="008C59E2"/>
    <w:rsid w:val="008C5C46"/>
    <w:rsid w:val="008C609E"/>
    <w:rsid w:val="008C6A0E"/>
    <w:rsid w:val="008C6C6D"/>
    <w:rsid w:val="008C7622"/>
    <w:rsid w:val="008D0794"/>
    <w:rsid w:val="008D101C"/>
    <w:rsid w:val="008D271F"/>
    <w:rsid w:val="008D419F"/>
    <w:rsid w:val="008D46F4"/>
    <w:rsid w:val="008D4C98"/>
    <w:rsid w:val="008D4D79"/>
    <w:rsid w:val="008D541C"/>
    <w:rsid w:val="008D54B0"/>
    <w:rsid w:val="008D567A"/>
    <w:rsid w:val="008D61B8"/>
    <w:rsid w:val="008D66AE"/>
    <w:rsid w:val="008D78B8"/>
    <w:rsid w:val="008D7A2B"/>
    <w:rsid w:val="008D7AC5"/>
    <w:rsid w:val="008D7E82"/>
    <w:rsid w:val="008E08B4"/>
    <w:rsid w:val="008E09B2"/>
    <w:rsid w:val="008E0D23"/>
    <w:rsid w:val="008E0E84"/>
    <w:rsid w:val="008E151A"/>
    <w:rsid w:val="008E1C0B"/>
    <w:rsid w:val="008E2338"/>
    <w:rsid w:val="008E2D09"/>
    <w:rsid w:val="008E2D96"/>
    <w:rsid w:val="008E33E4"/>
    <w:rsid w:val="008E5B56"/>
    <w:rsid w:val="008E60B3"/>
    <w:rsid w:val="008E70D5"/>
    <w:rsid w:val="008E7664"/>
    <w:rsid w:val="008F052B"/>
    <w:rsid w:val="008F055A"/>
    <w:rsid w:val="008F0A9D"/>
    <w:rsid w:val="008F16D7"/>
    <w:rsid w:val="008F1E3F"/>
    <w:rsid w:val="008F206E"/>
    <w:rsid w:val="008F31C0"/>
    <w:rsid w:val="008F3E8A"/>
    <w:rsid w:val="008F41D6"/>
    <w:rsid w:val="008F57C8"/>
    <w:rsid w:val="008F5893"/>
    <w:rsid w:val="008F687D"/>
    <w:rsid w:val="008F71D5"/>
    <w:rsid w:val="008F7759"/>
    <w:rsid w:val="00900AB8"/>
    <w:rsid w:val="009010CD"/>
    <w:rsid w:val="00903922"/>
    <w:rsid w:val="0090421B"/>
    <w:rsid w:val="00904CAE"/>
    <w:rsid w:val="00907CE8"/>
    <w:rsid w:val="009112DF"/>
    <w:rsid w:val="009112E2"/>
    <w:rsid w:val="00912288"/>
    <w:rsid w:val="00912BEF"/>
    <w:rsid w:val="00914883"/>
    <w:rsid w:val="00915080"/>
    <w:rsid w:val="009154EE"/>
    <w:rsid w:val="0091553B"/>
    <w:rsid w:val="009155CC"/>
    <w:rsid w:val="009158AE"/>
    <w:rsid w:val="00917389"/>
    <w:rsid w:val="00924F6E"/>
    <w:rsid w:val="00926150"/>
    <w:rsid w:val="00926385"/>
    <w:rsid w:val="0092667E"/>
    <w:rsid w:val="00927AF5"/>
    <w:rsid w:val="00927F12"/>
    <w:rsid w:val="00930537"/>
    <w:rsid w:val="009307C8"/>
    <w:rsid w:val="00931477"/>
    <w:rsid w:val="0093150A"/>
    <w:rsid w:val="009318DA"/>
    <w:rsid w:val="00931B6E"/>
    <w:rsid w:val="00931FB1"/>
    <w:rsid w:val="00932A7D"/>
    <w:rsid w:val="00932C68"/>
    <w:rsid w:val="009337EC"/>
    <w:rsid w:val="009342B4"/>
    <w:rsid w:val="009342B8"/>
    <w:rsid w:val="00935C32"/>
    <w:rsid w:val="009402BD"/>
    <w:rsid w:val="00940D1B"/>
    <w:rsid w:val="0094215C"/>
    <w:rsid w:val="00942623"/>
    <w:rsid w:val="00942C25"/>
    <w:rsid w:val="0094461D"/>
    <w:rsid w:val="00946436"/>
    <w:rsid w:val="009475BD"/>
    <w:rsid w:val="00951392"/>
    <w:rsid w:val="009534DC"/>
    <w:rsid w:val="0095367A"/>
    <w:rsid w:val="00954375"/>
    <w:rsid w:val="009561AA"/>
    <w:rsid w:val="00956525"/>
    <w:rsid w:val="00956BE4"/>
    <w:rsid w:val="009571C2"/>
    <w:rsid w:val="0096056E"/>
    <w:rsid w:val="00960D48"/>
    <w:rsid w:val="009610CE"/>
    <w:rsid w:val="0096196E"/>
    <w:rsid w:val="00962132"/>
    <w:rsid w:val="009630FA"/>
    <w:rsid w:val="00963449"/>
    <w:rsid w:val="009646FE"/>
    <w:rsid w:val="00964C9F"/>
    <w:rsid w:val="00964E57"/>
    <w:rsid w:val="009652C4"/>
    <w:rsid w:val="00965594"/>
    <w:rsid w:val="00965748"/>
    <w:rsid w:val="00965B97"/>
    <w:rsid w:val="00965E46"/>
    <w:rsid w:val="00966970"/>
    <w:rsid w:val="00966AE0"/>
    <w:rsid w:val="00966D80"/>
    <w:rsid w:val="0097098A"/>
    <w:rsid w:val="00970E51"/>
    <w:rsid w:val="00971C8C"/>
    <w:rsid w:val="009720DF"/>
    <w:rsid w:val="0097354D"/>
    <w:rsid w:val="00973AA6"/>
    <w:rsid w:val="0097517D"/>
    <w:rsid w:val="00975670"/>
    <w:rsid w:val="009809BD"/>
    <w:rsid w:val="0098149D"/>
    <w:rsid w:val="009820C4"/>
    <w:rsid w:val="009826DE"/>
    <w:rsid w:val="00982D61"/>
    <w:rsid w:val="009830B6"/>
    <w:rsid w:val="00983C0E"/>
    <w:rsid w:val="009847F8"/>
    <w:rsid w:val="00984BE6"/>
    <w:rsid w:val="009865C3"/>
    <w:rsid w:val="009867C3"/>
    <w:rsid w:val="00986980"/>
    <w:rsid w:val="00987C98"/>
    <w:rsid w:val="00991374"/>
    <w:rsid w:val="009915D1"/>
    <w:rsid w:val="00991A90"/>
    <w:rsid w:val="0099207C"/>
    <w:rsid w:val="00992170"/>
    <w:rsid w:val="009922CF"/>
    <w:rsid w:val="009931AB"/>
    <w:rsid w:val="0099346D"/>
    <w:rsid w:val="00993C84"/>
    <w:rsid w:val="00996146"/>
    <w:rsid w:val="00996E6F"/>
    <w:rsid w:val="009A0D0B"/>
    <w:rsid w:val="009A2EE2"/>
    <w:rsid w:val="009A38EB"/>
    <w:rsid w:val="009A3FA8"/>
    <w:rsid w:val="009A67F8"/>
    <w:rsid w:val="009A6B85"/>
    <w:rsid w:val="009A7620"/>
    <w:rsid w:val="009B1D73"/>
    <w:rsid w:val="009B1F9D"/>
    <w:rsid w:val="009B2054"/>
    <w:rsid w:val="009B2527"/>
    <w:rsid w:val="009B2CFC"/>
    <w:rsid w:val="009B4467"/>
    <w:rsid w:val="009B4BFE"/>
    <w:rsid w:val="009B5937"/>
    <w:rsid w:val="009B615B"/>
    <w:rsid w:val="009B6510"/>
    <w:rsid w:val="009B792F"/>
    <w:rsid w:val="009B7D8E"/>
    <w:rsid w:val="009C0B59"/>
    <w:rsid w:val="009C1986"/>
    <w:rsid w:val="009C26D8"/>
    <w:rsid w:val="009C3AC7"/>
    <w:rsid w:val="009C42BE"/>
    <w:rsid w:val="009C4364"/>
    <w:rsid w:val="009C4445"/>
    <w:rsid w:val="009C4ACE"/>
    <w:rsid w:val="009C5860"/>
    <w:rsid w:val="009C6147"/>
    <w:rsid w:val="009C708C"/>
    <w:rsid w:val="009C7108"/>
    <w:rsid w:val="009C7185"/>
    <w:rsid w:val="009C78F1"/>
    <w:rsid w:val="009C7AA6"/>
    <w:rsid w:val="009D02DF"/>
    <w:rsid w:val="009D050D"/>
    <w:rsid w:val="009D3C9E"/>
    <w:rsid w:val="009D54E7"/>
    <w:rsid w:val="009D5DA2"/>
    <w:rsid w:val="009D6636"/>
    <w:rsid w:val="009D69AF"/>
    <w:rsid w:val="009D6DC5"/>
    <w:rsid w:val="009D7E68"/>
    <w:rsid w:val="009E0505"/>
    <w:rsid w:val="009E1F32"/>
    <w:rsid w:val="009E3010"/>
    <w:rsid w:val="009E40A1"/>
    <w:rsid w:val="009E4526"/>
    <w:rsid w:val="009E5786"/>
    <w:rsid w:val="009E5889"/>
    <w:rsid w:val="009E6C75"/>
    <w:rsid w:val="009F0F89"/>
    <w:rsid w:val="009F1C9C"/>
    <w:rsid w:val="009F1DCD"/>
    <w:rsid w:val="009F209E"/>
    <w:rsid w:val="009F2187"/>
    <w:rsid w:val="009F2404"/>
    <w:rsid w:val="009F2774"/>
    <w:rsid w:val="009F3ACC"/>
    <w:rsid w:val="009F405C"/>
    <w:rsid w:val="009F439E"/>
    <w:rsid w:val="009F5906"/>
    <w:rsid w:val="009F5FF1"/>
    <w:rsid w:val="009F712C"/>
    <w:rsid w:val="00A001B4"/>
    <w:rsid w:val="00A0075E"/>
    <w:rsid w:val="00A00A59"/>
    <w:rsid w:val="00A00DED"/>
    <w:rsid w:val="00A01581"/>
    <w:rsid w:val="00A01B3D"/>
    <w:rsid w:val="00A0253E"/>
    <w:rsid w:val="00A027A3"/>
    <w:rsid w:val="00A0323B"/>
    <w:rsid w:val="00A03511"/>
    <w:rsid w:val="00A03608"/>
    <w:rsid w:val="00A049C3"/>
    <w:rsid w:val="00A04FCB"/>
    <w:rsid w:val="00A102A0"/>
    <w:rsid w:val="00A107B2"/>
    <w:rsid w:val="00A10EAC"/>
    <w:rsid w:val="00A11EE0"/>
    <w:rsid w:val="00A11F48"/>
    <w:rsid w:val="00A13BDD"/>
    <w:rsid w:val="00A15006"/>
    <w:rsid w:val="00A15416"/>
    <w:rsid w:val="00A15487"/>
    <w:rsid w:val="00A1583E"/>
    <w:rsid w:val="00A17A3B"/>
    <w:rsid w:val="00A20476"/>
    <w:rsid w:val="00A20C47"/>
    <w:rsid w:val="00A21D6A"/>
    <w:rsid w:val="00A22587"/>
    <w:rsid w:val="00A22E08"/>
    <w:rsid w:val="00A23309"/>
    <w:rsid w:val="00A23AB7"/>
    <w:rsid w:val="00A23B42"/>
    <w:rsid w:val="00A250A9"/>
    <w:rsid w:val="00A25104"/>
    <w:rsid w:val="00A25CC2"/>
    <w:rsid w:val="00A261D5"/>
    <w:rsid w:val="00A26FE8"/>
    <w:rsid w:val="00A2717B"/>
    <w:rsid w:val="00A27543"/>
    <w:rsid w:val="00A315DE"/>
    <w:rsid w:val="00A32109"/>
    <w:rsid w:val="00A32836"/>
    <w:rsid w:val="00A33FC4"/>
    <w:rsid w:val="00A352A4"/>
    <w:rsid w:val="00A352D4"/>
    <w:rsid w:val="00A359F1"/>
    <w:rsid w:val="00A3653B"/>
    <w:rsid w:val="00A36852"/>
    <w:rsid w:val="00A37043"/>
    <w:rsid w:val="00A402D7"/>
    <w:rsid w:val="00A41641"/>
    <w:rsid w:val="00A4288B"/>
    <w:rsid w:val="00A43ADA"/>
    <w:rsid w:val="00A4427D"/>
    <w:rsid w:val="00A4438F"/>
    <w:rsid w:val="00A4598D"/>
    <w:rsid w:val="00A463D9"/>
    <w:rsid w:val="00A4663C"/>
    <w:rsid w:val="00A47820"/>
    <w:rsid w:val="00A501A4"/>
    <w:rsid w:val="00A5037F"/>
    <w:rsid w:val="00A50CDD"/>
    <w:rsid w:val="00A511B3"/>
    <w:rsid w:val="00A52755"/>
    <w:rsid w:val="00A52CFD"/>
    <w:rsid w:val="00A53508"/>
    <w:rsid w:val="00A5603D"/>
    <w:rsid w:val="00A576EB"/>
    <w:rsid w:val="00A57B07"/>
    <w:rsid w:val="00A57F90"/>
    <w:rsid w:val="00A60164"/>
    <w:rsid w:val="00A60DBB"/>
    <w:rsid w:val="00A61EB9"/>
    <w:rsid w:val="00A62816"/>
    <w:rsid w:val="00A63BD3"/>
    <w:rsid w:val="00A64064"/>
    <w:rsid w:val="00A6482D"/>
    <w:rsid w:val="00A64B6D"/>
    <w:rsid w:val="00A659FB"/>
    <w:rsid w:val="00A65E6D"/>
    <w:rsid w:val="00A66F05"/>
    <w:rsid w:val="00A66FBE"/>
    <w:rsid w:val="00A674CB"/>
    <w:rsid w:val="00A67783"/>
    <w:rsid w:val="00A67B14"/>
    <w:rsid w:val="00A7010D"/>
    <w:rsid w:val="00A717FA"/>
    <w:rsid w:val="00A72732"/>
    <w:rsid w:val="00A72E31"/>
    <w:rsid w:val="00A72EE8"/>
    <w:rsid w:val="00A73E5C"/>
    <w:rsid w:val="00A7513D"/>
    <w:rsid w:val="00A768E0"/>
    <w:rsid w:val="00A7708F"/>
    <w:rsid w:val="00A8024C"/>
    <w:rsid w:val="00A826AE"/>
    <w:rsid w:val="00A831DF"/>
    <w:rsid w:val="00A83A44"/>
    <w:rsid w:val="00A83ED7"/>
    <w:rsid w:val="00A84A86"/>
    <w:rsid w:val="00A8533B"/>
    <w:rsid w:val="00A85849"/>
    <w:rsid w:val="00A86544"/>
    <w:rsid w:val="00A8659F"/>
    <w:rsid w:val="00A865B0"/>
    <w:rsid w:val="00A866E3"/>
    <w:rsid w:val="00A878AA"/>
    <w:rsid w:val="00A9062B"/>
    <w:rsid w:val="00A9122E"/>
    <w:rsid w:val="00A92F86"/>
    <w:rsid w:val="00A9383B"/>
    <w:rsid w:val="00A95163"/>
    <w:rsid w:val="00A95D62"/>
    <w:rsid w:val="00A96351"/>
    <w:rsid w:val="00A96C4C"/>
    <w:rsid w:val="00A96D8D"/>
    <w:rsid w:val="00A97223"/>
    <w:rsid w:val="00AA0812"/>
    <w:rsid w:val="00AA0EF3"/>
    <w:rsid w:val="00AA2294"/>
    <w:rsid w:val="00AA305B"/>
    <w:rsid w:val="00AA33FC"/>
    <w:rsid w:val="00AA368B"/>
    <w:rsid w:val="00AA3F9D"/>
    <w:rsid w:val="00AA4F9E"/>
    <w:rsid w:val="00AA5A3E"/>
    <w:rsid w:val="00AA7070"/>
    <w:rsid w:val="00AA714B"/>
    <w:rsid w:val="00AA71AD"/>
    <w:rsid w:val="00AA74AA"/>
    <w:rsid w:val="00AB0085"/>
    <w:rsid w:val="00AB149F"/>
    <w:rsid w:val="00AB171F"/>
    <w:rsid w:val="00AB23E9"/>
    <w:rsid w:val="00AB2EAF"/>
    <w:rsid w:val="00AB348D"/>
    <w:rsid w:val="00AB452E"/>
    <w:rsid w:val="00AB46C8"/>
    <w:rsid w:val="00AB5280"/>
    <w:rsid w:val="00AB5B37"/>
    <w:rsid w:val="00AB6C3B"/>
    <w:rsid w:val="00AB6F68"/>
    <w:rsid w:val="00AB7646"/>
    <w:rsid w:val="00AB77A5"/>
    <w:rsid w:val="00AB7875"/>
    <w:rsid w:val="00AC107B"/>
    <w:rsid w:val="00AC12DD"/>
    <w:rsid w:val="00AC1F17"/>
    <w:rsid w:val="00AC3909"/>
    <w:rsid w:val="00AC404F"/>
    <w:rsid w:val="00AC44FC"/>
    <w:rsid w:val="00AC5558"/>
    <w:rsid w:val="00AC6C32"/>
    <w:rsid w:val="00AC79B9"/>
    <w:rsid w:val="00AD0855"/>
    <w:rsid w:val="00AD110C"/>
    <w:rsid w:val="00AD12FD"/>
    <w:rsid w:val="00AD1D18"/>
    <w:rsid w:val="00AD2269"/>
    <w:rsid w:val="00AD25B8"/>
    <w:rsid w:val="00AD2AB0"/>
    <w:rsid w:val="00AD2C14"/>
    <w:rsid w:val="00AD2F06"/>
    <w:rsid w:val="00AD3294"/>
    <w:rsid w:val="00AD58F2"/>
    <w:rsid w:val="00AD5E4E"/>
    <w:rsid w:val="00AD5FD8"/>
    <w:rsid w:val="00AD69EF"/>
    <w:rsid w:val="00AD6AFB"/>
    <w:rsid w:val="00AD6E70"/>
    <w:rsid w:val="00AD71E4"/>
    <w:rsid w:val="00AD749E"/>
    <w:rsid w:val="00AD7E0F"/>
    <w:rsid w:val="00AE01F5"/>
    <w:rsid w:val="00AE18EF"/>
    <w:rsid w:val="00AE1B4F"/>
    <w:rsid w:val="00AE2C4B"/>
    <w:rsid w:val="00AE3124"/>
    <w:rsid w:val="00AE378A"/>
    <w:rsid w:val="00AE4904"/>
    <w:rsid w:val="00AE5DF3"/>
    <w:rsid w:val="00AE6519"/>
    <w:rsid w:val="00AE6839"/>
    <w:rsid w:val="00AE6C63"/>
    <w:rsid w:val="00AE7174"/>
    <w:rsid w:val="00AF0C8A"/>
    <w:rsid w:val="00AF16C3"/>
    <w:rsid w:val="00AF221A"/>
    <w:rsid w:val="00AF22D1"/>
    <w:rsid w:val="00AF5C5D"/>
    <w:rsid w:val="00AF66CE"/>
    <w:rsid w:val="00AF6AA2"/>
    <w:rsid w:val="00AF7C1C"/>
    <w:rsid w:val="00AF7D6B"/>
    <w:rsid w:val="00B00C4A"/>
    <w:rsid w:val="00B00C9D"/>
    <w:rsid w:val="00B0296D"/>
    <w:rsid w:val="00B035BA"/>
    <w:rsid w:val="00B03975"/>
    <w:rsid w:val="00B06E63"/>
    <w:rsid w:val="00B07038"/>
    <w:rsid w:val="00B0752B"/>
    <w:rsid w:val="00B103F2"/>
    <w:rsid w:val="00B10822"/>
    <w:rsid w:val="00B11580"/>
    <w:rsid w:val="00B11D69"/>
    <w:rsid w:val="00B12184"/>
    <w:rsid w:val="00B13797"/>
    <w:rsid w:val="00B13FC9"/>
    <w:rsid w:val="00B16993"/>
    <w:rsid w:val="00B2083B"/>
    <w:rsid w:val="00B21019"/>
    <w:rsid w:val="00B2147B"/>
    <w:rsid w:val="00B237C6"/>
    <w:rsid w:val="00B2385F"/>
    <w:rsid w:val="00B23D69"/>
    <w:rsid w:val="00B24A26"/>
    <w:rsid w:val="00B25794"/>
    <w:rsid w:val="00B26198"/>
    <w:rsid w:val="00B26C82"/>
    <w:rsid w:val="00B27A27"/>
    <w:rsid w:val="00B27D38"/>
    <w:rsid w:val="00B300E1"/>
    <w:rsid w:val="00B32D46"/>
    <w:rsid w:val="00B333AF"/>
    <w:rsid w:val="00B33B16"/>
    <w:rsid w:val="00B33CD4"/>
    <w:rsid w:val="00B346C9"/>
    <w:rsid w:val="00B35A24"/>
    <w:rsid w:val="00B36141"/>
    <w:rsid w:val="00B36445"/>
    <w:rsid w:val="00B36CDA"/>
    <w:rsid w:val="00B37E65"/>
    <w:rsid w:val="00B37EB8"/>
    <w:rsid w:val="00B417A4"/>
    <w:rsid w:val="00B417B3"/>
    <w:rsid w:val="00B4256F"/>
    <w:rsid w:val="00B4262C"/>
    <w:rsid w:val="00B426BC"/>
    <w:rsid w:val="00B4349B"/>
    <w:rsid w:val="00B4367F"/>
    <w:rsid w:val="00B438B8"/>
    <w:rsid w:val="00B45EE0"/>
    <w:rsid w:val="00B465AC"/>
    <w:rsid w:val="00B47683"/>
    <w:rsid w:val="00B511B3"/>
    <w:rsid w:val="00B51A07"/>
    <w:rsid w:val="00B524C4"/>
    <w:rsid w:val="00B525E9"/>
    <w:rsid w:val="00B52618"/>
    <w:rsid w:val="00B52B0C"/>
    <w:rsid w:val="00B52E80"/>
    <w:rsid w:val="00B52FE2"/>
    <w:rsid w:val="00B53934"/>
    <w:rsid w:val="00B54912"/>
    <w:rsid w:val="00B54C17"/>
    <w:rsid w:val="00B54F9E"/>
    <w:rsid w:val="00B57484"/>
    <w:rsid w:val="00B57693"/>
    <w:rsid w:val="00B576C9"/>
    <w:rsid w:val="00B60374"/>
    <w:rsid w:val="00B60C0B"/>
    <w:rsid w:val="00B61202"/>
    <w:rsid w:val="00B62BE1"/>
    <w:rsid w:val="00B62D07"/>
    <w:rsid w:val="00B63B35"/>
    <w:rsid w:val="00B671A3"/>
    <w:rsid w:val="00B6760B"/>
    <w:rsid w:val="00B67E80"/>
    <w:rsid w:val="00B72016"/>
    <w:rsid w:val="00B7303A"/>
    <w:rsid w:val="00B737F5"/>
    <w:rsid w:val="00B74D66"/>
    <w:rsid w:val="00B74E6E"/>
    <w:rsid w:val="00B74F4F"/>
    <w:rsid w:val="00B75609"/>
    <w:rsid w:val="00B75C24"/>
    <w:rsid w:val="00B762BC"/>
    <w:rsid w:val="00B7725A"/>
    <w:rsid w:val="00B777FD"/>
    <w:rsid w:val="00B77C28"/>
    <w:rsid w:val="00B802BB"/>
    <w:rsid w:val="00B80ADA"/>
    <w:rsid w:val="00B80B92"/>
    <w:rsid w:val="00B82014"/>
    <w:rsid w:val="00B824C7"/>
    <w:rsid w:val="00B82EF2"/>
    <w:rsid w:val="00B83352"/>
    <w:rsid w:val="00B83849"/>
    <w:rsid w:val="00B84D1C"/>
    <w:rsid w:val="00B85185"/>
    <w:rsid w:val="00B8524C"/>
    <w:rsid w:val="00B85806"/>
    <w:rsid w:val="00B86104"/>
    <w:rsid w:val="00B87127"/>
    <w:rsid w:val="00B87919"/>
    <w:rsid w:val="00B905EB"/>
    <w:rsid w:val="00B90B8D"/>
    <w:rsid w:val="00B932F3"/>
    <w:rsid w:val="00B937D1"/>
    <w:rsid w:val="00B93A76"/>
    <w:rsid w:val="00B94D6D"/>
    <w:rsid w:val="00B95FF4"/>
    <w:rsid w:val="00B96967"/>
    <w:rsid w:val="00B97AA7"/>
    <w:rsid w:val="00BA14A3"/>
    <w:rsid w:val="00BA239F"/>
    <w:rsid w:val="00BA295D"/>
    <w:rsid w:val="00BA2F06"/>
    <w:rsid w:val="00BA3005"/>
    <w:rsid w:val="00BA4142"/>
    <w:rsid w:val="00BA4B34"/>
    <w:rsid w:val="00BA5E29"/>
    <w:rsid w:val="00BB1504"/>
    <w:rsid w:val="00BB1A1C"/>
    <w:rsid w:val="00BB2255"/>
    <w:rsid w:val="00BB3564"/>
    <w:rsid w:val="00BB42F9"/>
    <w:rsid w:val="00BB4C01"/>
    <w:rsid w:val="00BB5D70"/>
    <w:rsid w:val="00BB63A6"/>
    <w:rsid w:val="00BB6A86"/>
    <w:rsid w:val="00BB6E65"/>
    <w:rsid w:val="00BB70C3"/>
    <w:rsid w:val="00BC082A"/>
    <w:rsid w:val="00BC0F4F"/>
    <w:rsid w:val="00BC0FF5"/>
    <w:rsid w:val="00BC1956"/>
    <w:rsid w:val="00BC2791"/>
    <w:rsid w:val="00BC41E3"/>
    <w:rsid w:val="00BC49C7"/>
    <w:rsid w:val="00BC4C69"/>
    <w:rsid w:val="00BC56E1"/>
    <w:rsid w:val="00BC5DD6"/>
    <w:rsid w:val="00BD0178"/>
    <w:rsid w:val="00BD265F"/>
    <w:rsid w:val="00BD3009"/>
    <w:rsid w:val="00BD311C"/>
    <w:rsid w:val="00BD344D"/>
    <w:rsid w:val="00BD3F87"/>
    <w:rsid w:val="00BD4570"/>
    <w:rsid w:val="00BD4E7F"/>
    <w:rsid w:val="00BD4EF8"/>
    <w:rsid w:val="00BD5CEC"/>
    <w:rsid w:val="00BD610B"/>
    <w:rsid w:val="00BD6306"/>
    <w:rsid w:val="00BD691F"/>
    <w:rsid w:val="00BD695D"/>
    <w:rsid w:val="00BD6B05"/>
    <w:rsid w:val="00BD6B2E"/>
    <w:rsid w:val="00BD6C59"/>
    <w:rsid w:val="00BD6E4A"/>
    <w:rsid w:val="00BD72A3"/>
    <w:rsid w:val="00BD7A99"/>
    <w:rsid w:val="00BD7F77"/>
    <w:rsid w:val="00BE0EAD"/>
    <w:rsid w:val="00BE156B"/>
    <w:rsid w:val="00BE177D"/>
    <w:rsid w:val="00BE1D83"/>
    <w:rsid w:val="00BE1DCA"/>
    <w:rsid w:val="00BE3653"/>
    <w:rsid w:val="00BE48E5"/>
    <w:rsid w:val="00BE4B81"/>
    <w:rsid w:val="00BE4BA9"/>
    <w:rsid w:val="00BE5955"/>
    <w:rsid w:val="00BE7B1D"/>
    <w:rsid w:val="00BF3708"/>
    <w:rsid w:val="00BF4FA8"/>
    <w:rsid w:val="00BF52D1"/>
    <w:rsid w:val="00BF6340"/>
    <w:rsid w:val="00C00115"/>
    <w:rsid w:val="00C00458"/>
    <w:rsid w:val="00C00704"/>
    <w:rsid w:val="00C00C49"/>
    <w:rsid w:val="00C01A2E"/>
    <w:rsid w:val="00C01B21"/>
    <w:rsid w:val="00C02047"/>
    <w:rsid w:val="00C033A7"/>
    <w:rsid w:val="00C05AFF"/>
    <w:rsid w:val="00C06931"/>
    <w:rsid w:val="00C072D6"/>
    <w:rsid w:val="00C10B49"/>
    <w:rsid w:val="00C11263"/>
    <w:rsid w:val="00C11818"/>
    <w:rsid w:val="00C13751"/>
    <w:rsid w:val="00C13C03"/>
    <w:rsid w:val="00C154BE"/>
    <w:rsid w:val="00C15A07"/>
    <w:rsid w:val="00C15B04"/>
    <w:rsid w:val="00C15EA6"/>
    <w:rsid w:val="00C16194"/>
    <w:rsid w:val="00C16DE2"/>
    <w:rsid w:val="00C17633"/>
    <w:rsid w:val="00C177B7"/>
    <w:rsid w:val="00C203AE"/>
    <w:rsid w:val="00C205E0"/>
    <w:rsid w:val="00C20B00"/>
    <w:rsid w:val="00C21F0C"/>
    <w:rsid w:val="00C22535"/>
    <w:rsid w:val="00C2383A"/>
    <w:rsid w:val="00C23D01"/>
    <w:rsid w:val="00C257DB"/>
    <w:rsid w:val="00C27B17"/>
    <w:rsid w:val="00C27B36"/>
    <w:rsid w:val="00C307CB"/>
    <w:rsid w:val="00C3119C"/>
    <w:rsid w:val="00C31C93"/>
    <w:rsid w:val="00C320EE"/>
    <w:rsid w:val="00C3285D"/>
    <w:rsid w:val="00C32AA6"/>
    <w:rsid w:val="00C33EBC"/>
    <w:rsid w:val="00C34625"/>
    <w:rsid w:val="00C37684"/>
    <w:rsid w:val="00C37786"/>
    <w:rsid w:val="00C4049F"/>
    <w:rsid w:val="00C42023"/>
    <w:rsid w:val="00C43679"/>
    <w:rsid w:val="00C43BC7"/>
    <w:rsid w:val="00C44197"/>
    <w:rsid w:val="00C45C5A"/>
    <w:rsid w:val="00C45FF9"/>
    <w:rsid w:val="00C462BD"/>
    <w:rsid w:val="00C472BD"/>
    <w:rsid w:val="00C4750B"/>
    <w:rsid w:val="00C477FC"/>
    <w:rsid w:val="00C47991"/>
    <w:rsid w:val="00C47C25"/>
    <w:rsid w:val="00C50104"/>
    <w:rsid w:val="00C50EEA"/>
    <w:rsid w:val="00C5144B"/>
    <w:rsid w:val="00C51E78"/>
    <w:rsid w:val="00C54055"/>
    <w:rsid w:val="00C5483F"/>
    <w:rsid w:val="00C558DF"/>
    <w:rsid w:val="00C5601E"/>
    <w:rsid w:val="00C573EA"/>
    <w:rsid w:val="00C6069C"/>
    <w:rsid w:val="00C60D0A"/>
    <w:rsid w:val="00C61830"/>
    <w:rsid w:val="00C62394"/>
    <w:rsid w:val="00C6284B"/>
    <w:rsid w:val="00C634E2"/>
    <w:rsid w:val="00C63E46"/>
    <w:rsid w:val="00C64A51"/>
    <w:rsid w:val="00C66562"/>
    <w:rsid w:val="00C671D1"/>
    <w:rsid w:val="00C70298"/>
    <w:rsid w:val="00C709E6"/>
    <w:rsid w:val="00C71500"/>
    <w:rsid w:val="00C717D2"/>
    <w:rsid w:val="00C73889"/>
    <w:rsid w:val="00C7392D"/>
    <w:rsid w:val="00C759C9"/>
    <w:rsid w:val="00C76D16"/>
    <w:rsid w:val="00C77330"/>
    <w:rsid w:val="00C77DD6"/>
    <w:rsid w:val="00C8023B"/>
    <w:rsid w:val="00C81699"/>
    <w:rsid w:val="00C82337"/>
    <w:rsid w:val="00C82466"/>
    <w:rsid w:val="00C82474"/>
    <w:rsid w:val="00C84551"/>
    <w:rsid w:val="00C847B5"/>
    <w:rsid w:val="00C84AD6"/>
    <w:rsid w:val="00C8549B"/>
    <w:rsid w:val="00C862CB"/>
    <w:rsid w:val="00C86E94"/>
    <w:rsid w:val="00C8761E"/>
    <w:rsid w:val="00C87C3C"/>
    <w:rsid w:val="00C9086F"/>
    <w:rsid w:val="00C91176"/>
    <w:rsid w:val="00C923B1"/>
    <w:rsid w:val="00C940DB"/>
    <w:rsid w:val="00C941E4"/>
    <w:rsid w:val="00C9427E"/>
    <w:rsid w:val="00C942CD"/>
    <w:rsid w:val="00C95540"/>
    <w:rsid w:val="00C95A91"/>
    <w:rsid w:val="00C97FE0"/>
    <w:rsid w:val="00CA04D2"/>
    <w:rsid w:val="00CA08C7"/>
    <w:rsid w:val="00CA0B01"/>
    <w:rsid w:val="00CA0ED0"/>
    <w:rsid w:val="00CA127F"/>
    <w:rsid w:val="00CA1B75"/>
    <w:rsid w:val="00CA1C8A"/>
    <w:rsid w:val="00CA253A"/>
    <w:rsid w:val="00CA3124"/>
    <w:rsid w:val="00CA36F5"/>
    <w:rsid w:val="00CA4A91"/>
    <w:rsid w:val="00CA4D1B"/>
    <w:rsid w:val="00CA57A5"/>
    <w:rsid w:val="00CA6D7F"/>
    <w:rsid w:val="00CA71C0"/>
    <w:rsid w:val="00CB04F0"/>
    <w:rsid w:val="00CB0D8D"/>
    <w:rsid w:val="00CB1576"/>
    <w:rsid w:val="00CB1C50"/>
    <w:rsid w:val="00CB213D"/>
    <w:rsid w:val="00CB4520"/>
    <w:rsid w:val="00CB5246"/>
    <w:rsid w:val="00CB5A00"/>
    <w:rsid w:val="00CB617D"/>
    <w:rsid w:val="00CB619C"/>
    <w:rsid w:val="00CB7972"/>
    <w:rsid w:val="00CB7AA8"/>
    <w:rsid w:val="00CB7EAA"/>
    <w:rsid w:val="00CC0567"/>
    <w:rsid w:val="00CC084D"/>
    <w:rsid w:val="00CC14BB"/>
    <w:rsid w:val="00CC1EB4"/>
    <w:rsid w:val="00CC3FAA"/>
    <w:rsid w:val="00CC40DF"/>
    <w:rsid w:val="00CC5EDF"/>
    <w:rsid w:val="00CC6F8C"/>
    <w:rsid w:val="00CC7D81"/>
    <w:rsid w:val="00CD0E40"/>
    <w:rsid w:val="00CD10B9"/>
    <w:rsid w:val="00CD1C20"/>
    <w:rsid w:val="00CD2EF1"/>
    <w:rsid w:val="00CD3138"/>
    <w:rsid w:val="00CD34DB"/>
    <w:rsid w:val="00CD3539"/>
    <w:rsid w:val="00CD419C"/>
    <w:rsid w:val="00CD4249"/>
    <w:rsid w:val="00CD4647"/>
    <w:rsid w:val="00CD497B"/>
    <w:rsid w:val="00CD56F6"/>
    <w:rsid w:val="00CD5886"/>
    <w:rsid w:val="00CD5A4B"/>
    <w:rsid w:val="00CD717C"/>
    <w:rsid w:val="00CD7245"/>
    <w:rsid w:val="00CD7CF4"/>
    <w:rsid w:val="00CE0F33"/>
    <w:rsid w:val="00CE15B6"/>
    <w:rsid w:val="00CE1E1A"/>
    <w:rsid w:val="00CE2CC9"/>
    <w:rsid w:val="00CE3937"/>
    <w:rsid w:val="00CE4378"/>
    <w:rsid w:val="00CE47AC"/>
    <w:rsid w:val="00CE515B"/>
    <w:rsid w:val="00CE561C"/>
    <w:rsid w:val="00CE6963"/>
    <w:rsid w:val="00CE755C"/>
    <w:rsid w:val="00CE7C73"/>
    <w:rsid w:val="00CF067D"/>
    <w:rsid w:val="00CF146D"/>
    <w:rsid w:val="00CF14EA"/>
    <w:rsid w:val="00CF1F77"/>
    <w:rsid w:val="00CF250E"/>
    <w:rsid w:val="00CF2836"/>
    <w:rsid w:val="00CF29C9"/>
    <w:rsid w:val="00CF3448"/>
    <w:rsid w:val="00CF4C38"/>
    <w:rsid w:val="00CF76AB"/>
    <w:rsid w:val="00CF7995"/>
    <w:rsid w:val="00CF7BCA"/>
    <w:rsid w:val="00D00395"/>
    <w:rsid w:val="00D008CB"/>
    <w:rsid w:val="00D00A13"/>
    <w:rsid w:val="00D01624"/>
    <w:rsid w:val="00D0174D"/>
    <w:rsid w:val="00D018A4"/>
    <w:rsid w:val="00D02F7E"/>
    <w:rsid w:val="00D0526E"/>
    <w:rsid w:val="00D05AA7"/>
    <w:rsid w:val="00D06C33"/>
    <w:rsid w:val="00D11BC8"/>
    <w:rsid w:val="00D12695"/>
    <w:rsid w:val="00D126AA"/>
    <w:rsid w:val="00D13015"/>
    <w:rsid w:val="00D130AA"/>
    <w:rsid w:val="00D133E1"/>
    <w:rsid w:val="00D1628D"/>
    <w:rsid w:val="00D201D7"/>
    <w:rsid w:val="00D207E6"/>
    <w:rsid w:val="00D21E65"/>
    <w:rsid w:val="00D221FC"/>
    <w:rsid w:val="00D23EC0"/>
    <w:rsid w:val="00D252D7"/>
    <w:rsid w:val="00D25A8A"/>
    <w:rsid w:val="00D25B2D"/>
    <w:rsid w:val="00D2690F"/>
    <w:rsid w:val="00D304BB"/>
    <w:rsid w:val="00D3249F"/>
    <w:rsid w:val="00D33417"/>
    <w:rsid w:val="00D33988"/>
    <w:rsid w:val="00D33A37"/>
    <w:rsid w:val="00D33B00"/>
    <w:rsid w:val="00D34469"/>
    <w:rsid w:val="00D346AF"/>
    <w:rsid w:val="00D351FF"/>
    <w:rsid w:val="00D36455"/>
    <w:rsid w:val="00D37019"/>
    <w:rsid w:val="00D37591"/>
    <w:rsid w:val="00D40363"/>
    <w:rsid w:val="00D406CC"/>
    <w:rsid w:val="00D41145"/>
    <w:rsid w:val="00D4172D"/>
    <w:rsid w:val="00D41EF5"/>
    <w:rsid w:val="00D4238E"/>
    <w:rsid w:val="00D42E8F"/>
    <w:rsid w:val="00D43345"/>
    <w:rsid w:val="00D45552"/>
    <w:rsid w:val="00D479D8"/>
    <w:rsid w:val="00D5000A"/>
    <w:rsid w:val="00D5063A"/>
    <w:rsid w:val="00D52867"/>
    <w:rsid w:val="00D53E93"/>
    <w:rsid w:val="00D54956"/>
    <w:rsid w:val="00D5518D"/>
    <w:rsid w:val="00D55321"/>
    <w:rsid w:val="00D5619C"/>
    <w:rsid w:val="00D56925"/>
    <w:rsid w:val="00D56C5F"/>
    <w:rsid w:val="00D5737A"/>
    <w:rsid w:val="00D60892"/>
    <w:rsid w:val="00D60C03"/>
    <w:rsid w:val="00D60FD5"/>
    <w:rsid w:val="00D613F8"/>
    <w:rsid w:val="00D64426"/>
    <w:rsid w:val="00D64ABD"/>
    <w:rsid w:val="00D6524D"/>
    <w:rsid w:val="00D65CBF"/>
    <w:rsid w:val="00D7074E"/>
    <w:rsid w:val="00D70FA1"/>
    <w:rsid w:val="00D71565"/>
    <w:rsid w:val="00D7227E"/>
    <w:rsid w:val="00D72C95"/>
    <w:rsid w:val="00D73667"/>
    <w:rsid w:val="00D7384F"/>
    <w:rsid w:val="00D76708"/>
    <w:rsid w:val="00D76D81"/>
    <w:rsid w:val="00D76FDF"/>
    <w:rsid w:val="00D77D82"/>
    <w:rsid w:val="00D8261E"/>
    <w:rsid w:val="00D83077"/>
    <w:rsid w:val="00D85469"/>
    <w:rsid w:val="00D86D76"/>
    <w:rsid w:val="00D9053F"/>
    <w:rsid w:val="00D907DA"/>
    <w:rsid w:val="00D9091A"/>
    <w:rsid w:val="00D91830"/>
    <w:rsid w:val="00D927F0"/>
    <w:rsid w:val="00D9376D"/>
    <w:rsid w:val="00D93C31"/>
    <w:rsid w:val="00D942AB"/>
    <w:rsid w:val="00D95737"/>
    <w:rsid w:val="00D96678"/>
    <w:rsid w:val="00D9790B"/>
    <w:rsid w:val="00D97FC0"/>
    <w:rsid w:val="00DA0108"/>
    <w:rsid w:val="00DA0AE6"/>
    <w:rsid w:val="00DA0F05"/>
    <w:rsid w:val="00DA1150"/>
    <w:rsid w:val="00DA241A"/>
    <w:rsid w:val="00DA3EE6"/>
    <w:rsid w:val="00DA4707"/>
    <w:rsid w:val="00DA4F16"/>
    <w:rsid w:val="00DA587E"/>
    <w:rsid w:val="00DA5CC5"/>
    <w:rsid w:val="00DA60BE"/>
    <w:rsid w:val="00DA6435"/>
    <w:rsid w:val="00DA645D"/>
    <w:rsid w:val="00DA64BE"/>
    <w:rsid w:val="00DB0399"/>
    <w:rsid w:val="00DB22A2"/>
    <w:rsid w:val="00DB319D"/>
    <w:rsid w:val="00DB412B"/>
    <w:rsid w:val="00DB4573"/>
    <w:rsid w:val="00DB5452"/>
    <w:rsid w:val="00DB5822"/>
    <w:rsid w:val="00DB590B"/>
    <w:rsid w:val="00DB6477"/>
    <w:rsid w:val="00DB6DE7"/>
    <w:rsid w:val="00DB739E"/>
    <w:rsid w:val="00DC0F5C"/>
    <w:rsid w:val="00DC2466"/>
    <w:rsid w:val="00DC2870"/>
    <w:rsid w:val="00DC2AA3"/>
    <w:rsid w:val="00DC3269"/>
    <w:rsid w:val="00DC41EA"/>
    <w:rsid w:val="00DC4720"/>
    <w:rsid w:val="00DC4799"/>
    <w:rsid w:val="00DC4AB7"/>
    <w:rsid w:val="00DC5BBB"/>
    <w:rsid w:val="00DC5D60"/>
    <w:rsid w:val="00DC615D"/>
    <w:rsid w:val="00DC64BB"/>
    <w:rsid w:val="00DC6DF9"/>
    <w:rsid w:val="00DC754D"/>
    <w:rsid w:val="00DD1815"/>
    <w:rsid w:val="00DD1BAA"/>
    <w:rsid w:val="00DD1FD7"/>
    <w:rsid w:val="00DD20B6"/>
    <w:rsid w:val="00DD2501"/>
    <w:rsid w:val="00DD2B64"/>
    <w:rsid w:val="00DD32D5"/>
    <w:rsid w:val="00DD33BD"/>
    <w:rsid w:val="00DD3892"/>
    <w:rsid w:val="00DD4AF2"/>
    <w:rsid w:val="00DD4C9A"/>
    <w:rsid w:val="00DD7121"/>
    <w:rsid w:val="00DD7386"/>
    <w:rsid w:val="00DE021F"/>
    <w:rsid w:val="00DE16FC"/>
    <w:rsid w:val="00DE2C9B"/>
    <w:rsid w:val="00DE3765"/>
    <w:rsid w:val="00DE4468"/>
    <w:rsid w:val="00DE44B8"/>
    <w:rsid w:val="00DE4B58"/>
    <w:rsid w:val="00DE6640"/>
    <w:rsid w:val="00DE79C2"/>
    <w:rsid w:val="00DE7D42"/>
    <w:rsid w:val="00DF0430"/>
    <w:rsid w:val="00DF2EF4"/>
    <w:rsid w:val="00DF3138"/>
    <w:rsid w:val="00DF3A3E"/>
    <w:rsid w:val="00DF43CF"/>
    <w:rsid w:val="00DF53CD"/>
    <w:rsid w:val="00DF5B61"/>
    <w:rsid w:val="00DF6224"/>
    <w:rsid w:val="00DF6C51"/>
    <w:rsid w:val="00DF75F0"/>
    <w:rsid w:val="00DF7C33"/>
    <w:rsid w:val="00E009F9"/>
    <w:rsid w:val="00E00E88"/>
    <w:rsid w:val="00E01A19"/>
    <w:rsid w:val="00E01FC9"/>
    <w:rsid w:val="00E0245E"/>
    <w:rsid w:val="00E02A9E"/>
    <w:rsid w:val="00E03C73"/>
    <w:rsid w:val="00E04E3D"/>
    <w:rsid w:val="00E05A57"/>
    <w:rsid w:val="00E07225"/>
    <w:rsid w:val="00E0758D"/>
    <w:rsid w:val="00E079E2"/>
    <w:rsid w:val="00E1038F"/>
    <w:rsid w:val="00E1326D"/>
    <w:rsid w:val="00E13581"/>
    <w:rsid w:val="00E13BB4"/>
    <w:rsid w:val="00E13F64"/>
    <w:rsid w:val="00E14233"/>
    <w:rsid w:val="00E1481A"/>
    <w:rsid w:val="00E14B7E"/>
    <w:rsid w:val="00E14B9E"/>
    <w:rsid w:val="00E15CC7"/>
    <w:rsid w:val="00E1662A"/>
    <w:rsid w:val="00E20E63"/>
    <w:rsid w:val="00E213DC"/>
    <w:rsid w:val="00E2275F"/>
    <w:rsid w:val="00E241EF"/>
    <w:rsid w:val="00E2476A"/>
    <w:rsid w:val="00E25978"/>
    <w:rsid w:val="00E2608B"/>
    <w:rsid w:val="00E2627E"/>
    <w:rsid w:val="00E272C0"/>
    <w:rsid w:val="00E301F2"/>
    <w:rsid w:val="00E31395"/>
    <w:rsid w:val="00E32B4E"/>
    <w:rsid w:val="00E33138"/>
    <w:rsid w:val="00E33841"/>
    <w:rsid w:val="00E35AB5"/>
    <w:rsid w:val="00E36A05"/>
    <w:rsid w:val="00E36FEA"/>
    <w:rsid w:val="00E3728D"/>
    <w:rsid w:val="00E3737B"/>
    <w:rsid w:val="00E37718"/>
    <w:rsid w:val="00E37885"/>
    <w:rsid w:val="00E40208"/>
    <w:rsid w:val="00E40826"/>
    <w:rsid w:val="00E41171"/>
    <w:rsid w:val="00E4164F"/>
    <w:rsid w:val="00E41EB7"/>
    <w:rsid w:val="00E4229E"/>
    <w:rsid w:val="00E426BE"/>
    <w:rsid w:val="00E430F6"/>
    <w:rsid w:val="00E43A6E"/>
    <w:rsid w:val="00E4425F"/>
    <w:rsid w:val="00E44620"/>
    <w:rsid w:val="00E4469E"/>
    <w:rsid w:val="00E44F64"/>
    <w:rsid w:val="00E463A3"/>
    <w:rsid w:val="00E46A84"/>
    <w:rsid w:val="00E500EF"/>
    <w:rsid w:val="00E50446"/>
    <w:rsid w:val="00E5190B"/>
    <w:rsid w:val="00E51C1B"/>
    <w:rsid w:val="00E530D2"/>
    <w:rsid w:val="00E53102"/>
    <w:rsid w:val="00E54246"/>
    <w:rsid w:val="00E55206"/>
    <w:rsid w:val="00E57635"/>
    <w:rsid w:val="00E57884"/>
    <w:rsid w:val="00E57D77"/>
    <w:rsid w:val="00E601A4"/>
    <w:rsid w:val="00E60C35"/>
    <w:rsid w:val="00E61134"/>
    <w:rsid w:val="00E62385"/>
    <w:rsid w:val="00E62F8C"/>
    <w:rsid w:val="00E6313F"/>
    <w:rsid w:val="00E631B4"/>
    <w:rsid w:val="00E63227"/>
    <w:rsid w:val="00E63E57"/>
    <w:rsid w:val="00E66DE5"/>
    <w:rsid w:val="00E71F9A"/>
    <w:rsid w:val="00E74372"/>
    <w:rsid w:val="00E774B5"/>
    <w:rsid w:val="00E81212"/>
    <w:rsid w:val="00E822ED"/>
    <w:rsid w:val="00E82A42"/>
    <w:rsid w:val="00E8361B"/>
    <w:rsid w:val="00E8393D"/>
    <w:rsid w:val="00E84446"/>
    <w:rsid w:val="00E84B07"/>
    <w:rsid w:val="00E8515A"/>
    <w:rsid w:val="00E853CC"/>
    <w:rsid w:val="00E90509"/>
    <w:rsid w:val="00E909C0"/>
    <w:rsid w:val="00E90FAB"/>
    <w:rsid w:val="00E91281"/>
    <w:rsid w:val="00E913F2"/>
    <w:rsid w:val="00E9150F"/>
    <w:rsid w:val="00E9152A"/>
    <w:rsid w:val="00E928E9"/>
    <w:rsid w:val="00E93524"/>
    <w:rsid w:val="00E940CC"/>
    <w:rsid w:val="00E9417B"/>
    <w:rsid w:val="00E94456"/>
    <w:rsid w:val="00E94653"/>
    <w:rsid w:val="00E94D03"/>
    <w:rsid w:val="00E953CF"/>
    <w:rsid w:val="00E954AC"/>
    <w:rsid w:val="00E954B0"/>
    <w:rsid w:val="00E958E9"/>
    <w:rsid w:val="00E95F1B"/>
    <w:rsid w:val="00E96696"/>
    <w:rsid w:val="00E97630"/>
    <w:rsid w:val="00E97949"/>
    <w:rsid w:val="00EA1C03"/>
    <w:rsid w:val="00EA1C28"/>
    <w:rsid w:val="00EA304C"/>
    <w:rsid w:val="00EA3425"/>
    <w:rsid w:val="00EA3639"/>
    <w:rsid w:val="00EA46D2"/>
    <w:rsid w:val="00EA4E6F"/>
    <w:rsid w:val="00EA5C52"/>
    <w:rsid w:val="00EA6026"/>
    <w:rsid w:val="00EA70B3"/>
    <w:rsid w:val="00EA72A8"/>
    <w:rsid w:val="00EB1F35"/>
    <w:rsid w:val="00EB25C7"/>
    <w:rsid w:val="00EB2A7A"/>
    <w:rsid w:val="00EB2D86"/>
    <w:rsid w:val="00EB3DDC"/>
    <w:rsid w:val="00EB4423"/>
    <w:rsid w:val="00EB4C22"/>
    <w:rsid w:val="00EB50EF"/>
    <w:rsid w:val="00EB599F"/>
    <w:rsid w:val="00EB6128"/>
    <w:rsid w:val="00EB61BD"/>
    <w:rsid w:val="00EB76C4"/>
    <w:rsid w:val="00EB7E64"/>
    <w:rsid w:val="00EB7EDE"/>
    <w:rsid w:val="00EC0237"/>
    <w:rsid w:val="00EC0B43"/>
    <w:rsid w:val="00EC1386"/>
    <w:rsid w:val="00EC1BBF"/>
    <w:rsid w:val="00EC1CCB"/>
    <w:rsid w:val="00EC29BF"/>
    <w:rsid w:val="00EC2F63"/>
    <w:rsid w:val="00EC2F89"/>
    <w:rsid w:val="00EC39E3"/>
    <w:rsid w:val="00EC39F6"/>
    <w:rsid w:val="00EC3CE9"/>
    <w:rsid w:val="00EC45C5"/>
    <w:rsid w:val="00EC526F"/>
    <w:rsid w:val="00EC5367"/>
    <w:rsid w:val="00EC580F"/>
    <w:rsid w:val="00EC6FA0"/>
    <w:rsid w:val="00ED0DC0"/>
    <w:rsid w:val="00ED3F2D"/>
    <w:rsid w:val="00ED4617"/>
    <w:rsid w:val="00ED4CE1"/>
    <w:rsid w:val="00ED5B29"/>
    <w:rsid w:val="00ED5ED6"/>
    <w:rsid w:val="00ED60F1"/>
    <w:rsid w:val="00ED6299"/>
    <w:rsid w:val="00ED7170"/>
    <w:rsid w:val="00ED743B"/>
    <w:rsid w:val="00EE18F1"/>
    <w:rsid w:val="00EE1C7B"/>
    <w:rsid w:val="00EE2BDD"/>
    <w:rsid w:val="00EE3640"/>
    <w:rsid w:val="00EE3686"/>
    <w:rsid w:val="00EE4405"/>
    <w:rsid w:val="00EE4C56"/>
    <w:rsid w:val="00EE4F5B"/>
    <w:rsid w:val="00EE547C"/>
    <w:rsid w:val="00EE5CA0"/>
    <w:rsid w:val="00EE60C3"/>
    <w:rsid w:val="00EE75A3"/>
    <w:rsid w:val="00EE7A95"/>
    <w:rsid w:val="00EF04BF"/>
    <w:rsid w:val="00EF0563"/>
    <w:rsid w:val="00EF0FC4"/>
    <w:rsid w:val="00EF124E"/>
    <w:rsid w:val="00EF1D62"/>
    <w:rsid w:val="00EF2304"/>
    <w:rsid w:val="00EF2D0B"/>
    <w:rsid w:val="00EF4601"/>
    <w:rsid w:val="00EF5CB1"/>
    <w:rsid w:val="00EF636B"/>
    <w:rsid w:val="00F00294"/>
    <w:rsid w:val="00F00D26"/>
    <w:rsid w:val="00F01254"/>
    <w:rsid w:val="00F01767"/>
    <w:rsid w:val="00F019ED"/>
    <w:rsid w:val="00F01A8F"/>
    <w:rsid w:val="00F01E72"/>
    <w:rsid w:val="00F0544D"/>
    <w:rsid w:val="00F05ED5"/>
    <w:rsid w:val="00F0675B"/>
    <w:rsid w:val="00F0766F"/>
    <w:rsid w:val="00F07BC6"/>
    <w:rsid w:val="00F10331"/>
    <w:rsid w:val="00F113D4"/>
    <w:rsid w:val="00F115C3"/>
    <w:rsid w:val="00F1160E"/>
    <w:rsid w:val="00F11B13"/>
    <w:rsid w:val="00F1223A"/>
    <w:rsid w:val="00F13464"/>
    <w:rsid w:val="00F15431"/>
    <w:rsid w:val="00F155EE"/>
    <w:rsid w:val="00F15FBF"/>
    <w:rsid w:val="00F16D4A"/>
    <w:rsid w:val="00F200FA"/>
    <w:rsid w:val="00F20CC1"/>
    <w:rsid w:val="00F20CF1"/>
    <w:rsid w:val="00F2202C"/>
    <w:rsid w:val="00F245FD"/>
    <w:rsid w:val="00F252ED"/>
    <w:rsid w:val="00F25385"/>
    <w:rsid w:val="00F25812"/>
    <w:rsid w:val="00F30804"/>
    <w:rsid w:val="00F30D5E"/>
    <w:rsid w:val="00F30D65"/>
    <w:rsid w:val="00F30D93"/>
    <w:rsid w:val="00F3110A"/>
    <w:rsid w:val="00F3131B"/>
    <w:rsid w:val="00F31CDB"/>
    <w:rsid w:val="00F32DDE"/>
    <w:rsid w:val="00F32FF4"/>
    <w:rsid w:val="00F33C54"/>
    <w:rsid w:val="00F34F31"/>
    <w:rsid w:val="00F35EBB"/>
    <w:rsid w:val="00F3604D"/>
    <w:rsid w:val="00F364F5"/>
    <w:rsid w:val="00F3652B"/>
    <w:rsid w:val="00F375E5"/>
    <w:rsid w:val="00F37A5E"/>
    <w:rsid w:val="00F404B0"/>
    <w:rsid w:val="00F4080A"/>
    <w:rsid w:val="00F40BCD"/>
    <w:rsid w:val="00F42512"/>
    <w:rsid w:val="00F448CF"/>
    <w:rsid w:val="00F45115"/>
    <w:rsid w:val="00F45253"/>
    <w:rsid w:val="00F464BC"/>
    <w:rsid w:val="00F4651C"/>
    <w:rsid w:val="00F4665E"/>
    <w:rsid w:val="00F46DAB"/>
    <w:rsid w:val="00F47410"/>
    <w:rsid w:val="00F47F02"/>
    <w:rsid w:val="00F50650"/>
    <w:rsid w:val="00F510BD"/>
    <w:rsid w:val="00F513C9"/>
    <w:rsid w:val="00F52482"/>
    <w:rsid w:val="00F525B9"/>
    <w:rsid w:val="00F53713"/>
    <w:rsid w:val="00F53DAE"/>
    <w:rsid w:val="00F53FB7"/>
    <w:rsid w:val="00F55D6A"/>
    <w:rsid w:val="00F61215"/>
    <w:rsid w:val="00F61B0B"/>
    <w:rsid w:val="00F62465"/>
    <w:rsid w:val="00F62822"/>
    <w:rsid w:val="00F62E5F"/>
    <w:rsid w:val="00F63473"/>
    <w:rsid w:val="00F63E63"/>
    <w:rsid w:val="00F64986"/>
    <w:rsid w:val="00F64A51"/>
    <w:rsid w:val="00F66074"/>
    <w:rsid w:val="00F663F0"/>
    <w:rsid w:val="00F67DF8"/>
    <w:rsid w:val="00F706AE"/>
    <w:rsid w:val="00F72CAC"/>
    <w:rsid w:val="00F72F04"/>
    <w:rsid w:val="00F742E4"/>
    <w:rsid w:val="00F7626D"/>
    <w:rsid w:val="00F77DB3"/>
    <w:rsid w:val="00F81313"/>
    <w:rsid w:val="00F81D74"/>
    <w:rsid w:val="00F81DC4"/>
    <w:rsid w:val="00F83525"/>
    <w:rsid w:val="00F83DD4"/>
    <w:rsid w:val="00F8433F"/>
    <w:rsid w:val="00F847DA"/>
    <w:rsid w:val="00F85430"/>
    <w:rsid w:val="00F859E3"/>
    <w:rsid w:val="00F86463"/>
    <w:rsid w:val="00F86D41"/>
    <w:rsid w:val="00F87388"/>
    <w:rsid w:val="00F875BD"/>
    <w:rsid w:val="00F879DB"/>
    <w:rsid w:val="00F87D8F"/>
    <w:rsid w:val="00F91742"/>
    <w:rsid w:val="00F92362"/>
    <w:rsid w:val="00F92565"/>
    <w:rsid w:val="00F935CB"/>
    <w:rsid w:val="00F93F7E"/>
    <w:rsid w:val="00F9538C"/>
    <w:rsid w:val="00F96E4C"/>
    <w:rsid w:val="00F971D8"/>
    <w:rsid w:val="00F9780B"/>
    <w:rsid w:val="00F97B72"/>
    <w:rsid w:val="00FA0E58"/>
    <w:rsid w:val="00FA0EF9"/>
    <w:rsid w:val="00FA2201"/>
    <w:rsid w:val="00FA2E18"/>
    <w:rsid w:val="00FA336C"/>
    <w:rsid w:val="00FA38E7"/>
    <w:rsid w:val="00FA3D01"/>
    <w:rsid w:val="00FA54CA"/>
    <w:rsid w:val="00FA6897"/>
    <w:rsid w:val="00FA79D5"/>
    <w:rsid w:val="00FB092E"/>
    <w:rsid w:val="00FB0CC3"/>
    <w:rsid w:val="00FB18DE"/>
    <w:rsid w:val="00FB1D39"/>
    <w:rsid w:val="00FB2C60"/>
    <w:rsid w:val="00FB37E4"/>
    <w:rsid w:val="00FB4DBB"/>
    <w:rsid w:val="00FB562A"/>
    <w:rsid w:val="00FB60AA"/>
    <w:rsid w:val="00FB618D"/>
    <w:rsid w:val="00FB69A8"/>
    <w:rsid w:val="00FB6EA2"/>
    <w:rsid w:val="00FC00EC"/>
    <w:rsid w:val="00FC0718"/>
    <w:rsid w:val="00FC189B"/>
    <w:rsid w:val="00FC363F"/>
    <w:rsid w:val="00FC5C94"/>
    <w:rsid w:val="00FC6016"/>
    <w:rsid w:val="00FC6BD1"/>
    <w:rsid w:val="00FD1952"/>
    <w:rsid w:val="00FD1E71"/>
    <w:rsid w:val="00FD21E7"/>
    <w:rsid w:val="00FD2A81"/>
    <w:rsid w:val="00FD4717"/>
    <w:rsid w:val="00FD48CF"/>
    <w:rsid w:val="00FD5104"/>
    <w:rsid w:val="00FD5F37"/>
    <w:rsid w:val="00FD6737"/>
    <w:rsid w:val="00FD70BD"/>
    <w:rsid w:val="00FD78D8"/>
    <w:rsid w:val="00FE0942"/>
    <w:rsid w:val="00FE0D0E"/>
    <w:rsid w:val="00FE2189"/>
    <w:rsid w:val="00FE3934"/>
    <w:rsid w:val="00FE4EE0"/>
    <w:rsid w:val="00FE4F89"/>
    <w:rsid w:val="00FE5059"/>
    <w:rsid w:val="00FE640F"/>
    <w:rsid w:val="00FE7620"/>
    <w:rsid w:val="00FE7B1F"/>
    <w:rsid w:val="00FF08D4"/>
    <w:rsid w:val="00FF0C80"/>
    <w:rsid w:val="00FF2869"/>
    <w:rsid w:val="00FF2A06"/>
    <w:rsid w:val="00FF49C2"/>
    <w:rsid w:val="00FF5442"/>
    <w:rsid w:val="00FF58C4"/>
    <w:rsid w:val="00FF5F34"/>
    <w:rsid w:val="00FF6099"/>
    <w:rsid w:val="00FF6121"/>
    <w:rsid w:val="00FF62F8"/>
    <w:rsid w:val="00FF68C7"/>
    <w:rsid w:val="00FF6AB3"/>
    <w:rsid w:val="00FF6F1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4CA730"/>
  <w15:docId w15:val="{06EA4D16-4A8F-42FB-BD29-D5022E43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D2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D2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3A6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5C1A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21E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D21E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3A6C9F"/>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5C1A53"/>
    <w:rPr>
      <w:rFonts w:asciiTheme="majorHAnsi" w:eastAsiaTheme="majorEastAsia" w:hAnsiTheme="majorHAnsi" w:cstheme="majorBidi"/>
      <w:i/>
      <w:iCs/>
      <w:color w:val="2F5496" w:themeColor="accent1" w:themeShade="BF"/>
    </w:rPr>
  </w:style>
  <w:style w:type="paragraph" w:styleId="NaslovTOC">
    <w:name w:val="TOC Heading"/>
    <w:basedOn w:val="Naslov1"/>
    <w:next w:val="Navaden"/>
    <w:uiPriority w:val="39"/>
    <w:unhideWhenUsed/>
    <w:qFormat/>
    <w:rsid w:val="00FD21E7"/>
    <w:pPr>
      <w:outlineLvl w:val="9"/>
    </w:pPr>
    <w:rPr>
      <w:lang w:eastAsia="sl-SI"/>
    </w:rPr>
  </w:style>
  <w:style w:type="paragraph" w:styleId="Kazalovsebine1">
    <w:name w:val="toc 1"/>
    <w:basedOn w:val="Navaden"/>
    <w:next w:val="Navaden"/>
    <w:autoRedefine/>
    <w:uiPriority w:val="39"/>
    <w:unhideWhenUsed/>
    <w:rsid w:val="00FD21E7"/>
    <w:pPr>
      <w:spacing w:after="100"/>
    </w:pPr>
  </w:style>
  <w:style w:type="paragraph" w:styleId="Kazalovsebine2">
    <w:name w:val="toc 2"/>
    <w:basedOn w:val="Navaden"/>
    <w:next w:val="Navaden"/>
    <w:autoRedefine/>
    <w:uiPriority w:val="39"/>
    <w:unhideWhenUsed/>
    <w:rsid w:val="00FD21E7"/>
    <w:pPr>
      <w:spacing w:after="100"/>
      <w:ind w:left="220"/>
    </w:pPr>
  </w:style>
  <w:style w:type="character" w:styleId="Hiperpovezava">
    <w:name w:val="Hyperlink"/>
    <w:basedOn w:val="Privzetapisavaodstavka"/>
    <w:uiPriority w:val="99"/>
    <w:unhideWhenUsed/>
    <w:rsid w:val="00FD21E7"/>
    <w:rPr>
      <w:color w:val="0563C1" w:themeColor="hyperlink"/>
      <w:u w:val="single"/>
    </w:rPr>
  </w:style>
  <w:style w:type="paragraph" w:styleId="Glava">
    <w:name w:val="header"/>
    <w:basedOn w:val="Navaden"/>
    <w:link w:val="GlavaZnak"/>
    <w:uiPriority w:val="99"/>
    <w:unhideWhenUsed/>
    <w:rsid w:val="00FF6099"/>
    <w:pPr>
      <w:tabs>
        <w:tab w:val="center" w:pos="4536"/>
        <w:tab w:val="right" w:pos="9072"/>
      </w:tabs>
      <w:spacing w:after="0" w:line="240" w:lineRule="auto"/>
    </w:pPr>
  </w:style>
  <w:style w:type="character" w:customStyle="1" w:styleId="GlavaZnak">
    <w:name w:val="Glava Znak"/>
    <w:basedOn w:val="Privzetapisavaodstavka"/>
    <w:link w:val="Glava"/>
    <w:uiPriority w:val="99"/>
    <w:rsid w:val="00FF6099"/>
  </w:style>
  <w:style w:type="paragraph" w:styleId="Noga">
    <w:name w:val="footer"/>
    <w:basedOn w:val="Navaden"/>
    <w:link w:val="NogaZnak"/>
    <w:uiPriority w:val="99"/>
    <w:unhideWhenUsed/>
    <w:rsid w:val="00FF6099"/>
    <w:pPr>
      <w:tabs>
        <w:tab w:val="center" w:pos="4536"/>
        <w:tab w:val="right" w:pos="9072"/>
      </w:tabs>
      <w:spacing w:after="0" w:line="240" w:lineRule="auto"/>
    </w:pPr>
  </w:style>
  <w:style w:type="character" w:customStyle="1" w:styleId="NogaZnak">
    <w:name w:val="Noga Znak"/>
    <w:basedOn w:val="Privzetapisavaodstavka"/>
    <w:link w:val="Noga"/>
    <w:uiPriority w:val="99"/>
    <w:rsid w:val="00FF6099"/>
  </w:style>
  <w:style w:type="paragraph" w:styleId="Odstavekseznama">
    <w:name w:val="List Paragraph"/>
    <w:basedOn w:val="Navaden"/>
    <w:uiPriority w:val="34"/>
    <w:qFormat/>
    <w:rsid w:val="005103EB"/>
    <w:pPr>
      <w:spacing w:after="0" w:line="240" w:lineRule="auto"/>
      <w:ind w:left="720"/>
      <w:contextualSpacing/>
      <w:jc w:val="both"/>
    </w:pPr>
    <w:rPr>
      <w:rFonts w:ascii="Arial" w:eastAsia="Times New Roman" w:hAnsi="Arial" w:cs="Times New Roman"/>
      <w:szCs w:val="24"/>
    </w:rPr>
  </w:style>
  <w:style w:type="paragraph" w:customStyle="1" w:styleId="ZADEVA">
    <w:name w:val="ZADEVA"/>
    <w:basedOn w:val="Navaden"/>
    <w:uiPriority w:val="99"/>
    <w:rsid w:val="00854405"/>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Navadensplet">
    <w:name w:val="Normal (Web)"/>
    <w:basedOn w:val="Navaden"/>
    <w:uiPriority w:val="99"/>
    <w:unhideWhenUsed/>
    <w:rsid w:val="00854405"/>
    <w:pPr>
      <w:spacing w:before="100" w:beforeAutospacing="1" w:after="100" w:afterAutospacing="1" w:line="240" w:lineRule="auto"/>
    </w:pPr>
    <w:rPr>
      <w:rFonts w:ascii="Times New Roman" w:eastAsia="Calibri" w:hAnsi="Times New Roman" w:cs="Times New Roman"/>
      <w:sz w:val="24"/>
      <w:szCs w:val="24"/>
      <w:lang w:eastAsia="sl-SI"/>
    </w:rPr>
  </w:style>
  <w:style w:type="paragraph" w:styleId="Kazalovsebine3">
    <w:name w:val="toc 3"/>
    <w:basedOn w:val="Navaden"/>
    <w:next w:val="Navaden"/>
    <w:autoRedefine/>
    <w:uiPriority w:val="39"/>
    <w:unhideWhenUsed/>
    <w:rsid w:val="00854405"/>
    <w:pPr>
      <w:spacing w:after="100"/>
      <w:ind w:left="440"/>
    </w:pPr>
    <w:rPr>
      <w:rFonts w:eastAsiaTheme="minorEastAsia" w:cs="Times New Roman"/>
      <w:lang w:eastAsia="sl-SI"/>
    </w:rPr>
  </w:style>
  <w:style w:type="paragraph" w:styleId="Telobesedila">
    <w:name w:val="Body Text"/>
    <w:basedOn w:val="Navaden"/>
    <w:link w:val="TelobesedilaZnak"/>
    <w:rsid w:val="005C1A53"/>
    <w:pPr>
      <w:spacing w:after="0"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5C1A53"/>
    <w:rPr>
      <w:rFonts w:ascii="Times New Roman" w:eastAsia="Times New Roman" w:hAnsi="Times New Roman" w:cs="Times New Roman"/>
      <w:sz w:val="24"/>
      <w:szCs w:val="24"/>
    </w:rPr>
  </w:style>
  <w:style w:type="paragraph" w:styleId="Kazalovsebine4">
    <w:name w:val="toc 4"/>
    <w:basedOn w:val="Navaden"/>
    <w:next w:val="Navaden"/>
    <w:autoRedefine/>
    <w:uiPriority w:val="39"/>
    <w:unhideWhenUsed/>
    <w:rsid w:val="00AE378A"/>
    <w:pPr>
      <w:spacing w:after="100"/>
      <w:ind w:left="660"/>
    </w:pPr>
  </w:style>
  <w:style w:type="table" w:styleId="Tabelamrea">
    <w:name w:val="Table Grid"/>
    <w:basedOn w:val="Navadnatabela"/>
    <w:rsid w:val="003B6A8B"/>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6A8B"/>
    <w:pPr>
      <w:suppressAutoHyphens/>
      <w:autoSpaceDN w:val="0"/>
      <w:spacing w:after="0" w:line="240" w:lineRule="auto"/>
      <w:jc w:val="both"/>
      <w:textAlignment w:val="baseline"/>
    </w:pPr>
    <w:rPr>
      <w:rFonts w:ascii="Arial" w:eastAsia="Times New Roman" w:hAnsi="Arial" w:cs="Times New Roman"/>
      <w:kern w:val="3"/>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IFZ f"/>
    <w:basedOn w:val="Navaden"/>
    <w:link w:val="Sprotnaopomba-besediloZnak"/>
    <w:rsid w:val="004073D3"/>
    <w:pPr>
      <w:spacing w:after="0" w:line="240" w:lineRule="auto"/>
      <w:jc w:val="both"/>
    </w:pPr>
    <w:rPr>
      <w:rFonts w:ascii="Arial" w:eastAsia="Times New Roman"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IFZ f Znak"/>
    <w:basedOn w:val="Privzetapisavaodstavka"/>
    <w:link w:val="Sprotnaopomba-besedilo"/>
    <w:rsid w:val="004073D3"/>
    <w:rPr>
      <w:rFonts w:ascii="Arial" w:eastAsia="Times New Roman" w:hAnsi="Arial" w:cs="Times New Roman"/>
      <w:sz w:val="20"/>
      <w:szCs w:val="20"/>
    </w:rPr>
  </w:style>
  <w:style w:type="character" w:styleId="Sprotnaopomba-sklic">
    <w:name w:val="footnote reference"/>
    <w:aliases w:val="Fussnota,Footnote symbol,Footnote,Footnote number,-E Fußnotenzeichen"/>
    <w:rsid w:val="004073D3"/>
    <w:rPr>
      <w:vertAlign w:val="superscript"/>
    </w:rPr>
  </w:style>
  <w:style w:type="character" w:styleId="Krepko">
    <w:name w:val="Strong"/>
    <w:qFormat/>
    <w:rsid w:val="00EB25C7"/>
    <w:rPr>
      <w:b/>
      <w:bCs/>
    </w:rPr>
  </w:style>
  <w:style w:type="paragraph" w:styleId="Golobesedilo">
    <w:name w:val="Plain Text"/>
    <w:basedOn w:val="Navaden"/>
    <w:link w:val="GolobesediloZnak"/>
    <w:uiPriority w:val="99"/>
    <w:rsid w:val="002149C7"/>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uiPriority w:val="99"/>
    <w:rsid w:val="002149C7"/>
    <w:rPr>
      <w:rFonts w:ascii="Courier New" w:eastAsia="Times New Roman" w:hAnsi="Courier New" w:cs="Courier New"/>
      <w:sz w:val="20"/>
      <w:szCs w:val="20"/>
      <w:lang w:eastAsia="sl-SI"/>
    </w:rPr>
  </w:style>
  <w:style w:type="character" w:styleId="Pripombasklic">
    <w:name w:val="annotation reference"/>
    <w:uiPriority w:val="99"/>
    <w:rsid w:val="00F83DD4"/>
    <w:rPr>
      <w:sz w:val="16"/>
      <w:szCs w:val="16"/>
    </w:rPr>
  </w:style>
  <w:style w:type="paragraph" w:styleId="Pripombabesedilo">
    <w:name w:val="annotation text"/>
    <w:basedOn w:val="Navaden"/>
    <w:link w:val="PripombabesediloZnak"/>
    <w:uiPriority w:val="99"/>
    <w:semiHidden/>
    <w:rsid w:val="00F83DD4"/>
    <w:pPr>
      <w:spacing w:after="0" w:line="240" w:lineRule="auto"/>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F83DD4"/>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F83DD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3DD4"/>
    <w:rPr>
      <w:rFonts w:ascii="Segoe UI" w:hAnsi="Segoe UI" w:cs="Segoe UI"/>
      <w:sz w:val="18"/>
      <w:szCs w:val="18"/>
    </w:rPr>
  </w:style>
  <w:style w:type="paragraph" w:customStyle="1" w:styleId="alineazaodstavkom1">
    <w:name w:val="alineazaodstavkom1"/>
    <w:basedOn w:val="Navaden"/>
    <w:rsid w:val="00F83DD4"/>
    <w:pPr>
      <w:spacing w:after="0" w:line="240" w:lineRule="auto"/>
      <w:ind w:left="425" w:hanging="425"/>
      <w:jc w:val="both"/>
    </w:pPr>
    <w:rPr>
      <w:rFonts w:ascii="Arial" w:eastAsia="Times New Roman" w:hAnsi="Arial" w:cs="Arial"/>
      <w:lang w:eastAsia="sl-SI"/>
    </w:rPr>
  </w:style>
  <w:style w:type="paragraph" w:customStyle="1" w:styleId="odstavek1">
    <w:name w:val="odstavek1"/>
    <w:basedOn w:val="Navaden"/>
    <w:rsid w:val="00F83DD4"/>
    <w:pPr>
      <w:spacing w:before="240" w:after="0" w:line="240" w:lineRule="auto"/>
      <w:ind w:firstLine="1021"/>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DB739E"/>
    <w:rPr>
      <w:color w:val="954F72"/>
      <w:u w:val="single"/>
    </w:rPr>
  </w:style>
  <w:style w:type="paragraph" w:customStyle="1" w:styleId="msonormal0">
    <w:name w:val="msonormal"/>
    <w:basedOn w:val="Navaden"/>
    <w:rsid w:val="00DB739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01">
    <w:name w:val="xl101"/>
    <w:basedOn w:val="Navaden"/>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2">
    <w:name w:val="xl102"/>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3">
    <w:name w:val="xl103"/>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4">
    <w:name w:val="xl104"/>
    <w:basedOn w:val="Navaden"/>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5">
    <w:name w:val="xl105"/>
    <w:basedOn w:val="Navaden"/>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6">
    <w:name w:val="xl106"/>
    <w:basedOn w:val="Navaden"/>
    <w:rsid w:val="00DB739E"/>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107">
    <w:name w:val="xl107"/>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8">
    <w:name w:val="xl108"/>
    <w:basedOn w:val="Navaden"/>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character" w:customStyle="1" w:styleId="Nerazreenaomemba1">
    <w:name w:val="Nerazrešena omemba1"/>
    <w:basedOn w:val="Privzetapisavaodstavka"/>
    <w:uiPriority w:val="99"/>
    <w:semiHidden/>
    <w:unhideWhenUsed/>
    <w:rsid w:val="00800E19"/>
    <w:rPr>
      <w:color w:val="808080"/>
      <w:shd w:val="clear" w:color="auto" w:fill="E6E6E6"/>
    </w:rPr>
  </w:style>
  <w:style w:type="character" w:customStyle="1" w:styleId="Nerazreenaomemba2">
    <w:name w:val="Nerazrešena omemba2"/>
    <w:basedOn w:val="Privzetapisavaodstavka"/>
    <w:uiPriority w:val="99"/>
    <w:semiHidden/>
    <w:unhideWhenUsed/>
    <w:rsid w:val="00FA54CA"/>
    <w:rPr>
      <w:color w:val="808080"/>
      <w:shd w:val="clear" w:color="auto" w:fill="E6E6E6"/>
    </w:rPr>
  </w:style>
  <w:style w:type="paragraph" w:customStyle="1" w:styleId="xl67">
    <w:name w:val="xl67"/>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8">
    <w:name w:val="xl68"/>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69">
    <w:name w:val="xl69"/>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0">
    <w:name w:val="xl70"/>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5">
    <w:name w:val="xl65"/>
    <w:basedOn w:val="Navaden"/>
    <w:rsid w:val="00DC6DF9"/>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66">
    <w:name w:val="xl66"/>
    <w:basedOn w:val="Navaden"/>
    <w:rsid w:val="00DC6D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16"/>
      <w:szCs w:val="16"/>
      <w:lang w:eastAsia="sl-SI"/>
    </w:rPr>
  </w:style>
  <w:style w:type="character" w:styleId="Nerazreenaomemba">
    <w:name w:val="Unresolved Mention"/>
    <w:basedOn w:val="Privzetapisavaodstavka"/>
    <w:uiPriority w:val="99"/>
    <w:semiHidden/>
    <w:unhideWhenUsed/>
    <w:rsid w:val="00072A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8437">
      <w:bodyDiv w:val="1"/>
      <w:marLeft w:val="0"/>
      <w:marRight w:val="0"/>
      <w:marTop w:val="0"/>
      <w:marBottom w:val="0"/>
      <w:divBdr>
        <w:top w:val="none" w:sz="0" w:space="0" w:color="auto"/>
        <w:left w:val="none" w:sz="0" w:space="0" w:color="auto"/>
        <w:bottom w:val="none" w:sz="0" w:space="0" w:color="auto"/>
        <w:right w:val="none" w:sz="0" w:space="0" w:color="auto"/>
      </w:divBdr>
    </w:div>
    <w:div w:id="41444679">
      <w:bodyDiv w:val="1"/>
      <w:marLeft w:val="0"/>
      <w:marRight w:val="0"/>
      <w:marTop w:val="0"/>
      <w:marBottom w:val="0"/>
      <w:divBdr>
        <w:top w:val="none" w:sz="0" w:space="0" w:color="auto"/>
        <w:left w:val="none" w:sz="0" w:space="0" w:color="auto"/>
        <w:bottom w:val="none" w:sz="0" w:space="0" w:color="auto"/>
        <w:right w:val="none" w:sz="0" w:space="0" w:color="auto"/>
      </w:divBdr>
    </w:div>
    <w:div w:id="67073668">
      <w:bodyDiv w:val="1"/>
      <w:marLeft w:val="0"/>
      <w:marRight w:val="0"/>
      <w:marTop w:val="0"/>
      <w:marBottom w:val="0"/>
      <w:divBdr>
        <w:top w:val="none" w:sz="0" w:space="0" w:color="auto"/>
        <w:left w:val="none" w:sz="0" w:space="0" w:color="auto"/>
        <w:bottom w:val="none" w:sz="0" w:space="0" w:color="auto"/>
        <w:right w:val="none" w:sz="0" w:space="0" w:color="auto"/>
      </w:divBdr>
    </w:div>
    <w:div w:id="72699582">
      <w:bodyDiv w:val="1"/>
      <w:marLeft w:val="0"/>
      <w:marRight w:val="0"/>
      <w:marTop w:val="0"/>
      <w:marBottom w:val="0"/>
      <w:divBdr>
        <w:top w:val="none" w:sz="0" w:space="0" w:color="auto"/>
        <w:left w:val="none" w:sz="0" w:space="0" w:color="auto"/>
        <w:bottom w:val="none" w:sz="0" w:space="0" w:color="auto"/>
        <w:right w:val="none" w:sz="0" w:space="0" w:color="auto"/>
      </w:divBdr>
    </w:div>
    <w:div w:id="77530765">
      <w:bodyDiv w:val="1"/>
      <w:marLeft w:val="0"/>
      <w:marRight w:val="0"/>
      <w:marTop w:val="0"/>
      <w:marBottom w:val="0"/>
      <w:divBdr>
        <w:top w:val="none" w:sz="0" w:space="0" w:color="auto"/>
        <w:left w:val="none" w:sz="0" w:space="0" w:color="auto"/>
        <w:bottom w:val="none" w:sz="0" w:space="0" w:color="auto"/>
        <w:right w:val="none" w:sz="0" w:space="0" w:color="auto"/>
      </w:divBdr>
    </w:div>
    <w:div w:id="78335727">
      <w:bodyDiv w:val="1"/>
      <w:marLeft w:val="0"/>
      <w:marRight w:val="0"/>
      <w:marTop w:val="0"/>
      <w:marBottom w:val="0"/>
      <w:divBdr>
        <w:top w:val="none" w:sz="0" w:space="0" w:color="auto"/>
        <w:left w:val="none" w:sz="0" w:space="0" w:color="auto"/>
        <w:bottom w:val="none" w:sz="0" w:space="0" w:color="auto"/>
        <w:right w:val="none" w:sz="0" w:space="0" w:color="auto"/>
      </w:divBdr>
    </w:div>
    <w:div w:id="79763129">
      <w:bodyDiv w:val="1"/>
      <w:marLeft w:val="0"/>
      <w:marRight w:val="0"/>
      <w:marTop w:val="0"/>
      <w:marBottom w:val="0"/>
      <w:divBdr>
        <w:top w:val="none" w:sz="0" w:space="0" w:color="auto"/>
        <w:left w:val="none" w:sz="0" w:space="0" w:color="auto"/>
        <w:bottom w:val="none" w:sz="0" w:space="0" w:color="auto"/>
        <w:right w:val="none" w:sz="0" w:space="0" w:color="auto"/>
      </w:divBdr>
    </w:div>
    <w:div w:id="82532506">
      <w:bodyDiv w:val="1"/>
      <w:marLeft w:val="0"/>
      <w:marRight w:val="0"/>
      <w:marTop w:val="0"/>
      <w:marBottom w:val="0"/>
      <w:divBdr>
        <w:top w:val="none" w:sz="0" w:space="0" w:color="auto"/>
        <w:left w:val="none" w:sz="0" w:space="0" w:color="auto"/>
        <w:bottom w:val="none" w:sz="0" w:space="0" w:color="auto"/>
        <w:right w:val="none" w:sz="0" w:space="0" w:color="auto"/>
      </w:divBdr>
    </w:div>
    <w:div w:id="96293030">
      <w:bodyDiv w:val="1"/>
      <w:marLeft w:val="0"/>
      <w:marRight w:val="0"/>
      <w:marTop w:val="0"/>
      <w:marBottom w:val="0"/>
      <w:divBdr>
        <w:top w:val="none" w:sz="0" w:space="0" w:color="auto"/>
        <w:left w:val="none" w:sz="0" w:space="0" w:color="auto"/>
        <w:bottom w:val="none" w:sz="0" w:space="0" w:color="auto"/>
        <w:right w:val="none" w:sz="0" w:space="0" w:color="auto"/>
      </w:divBdr>
    </w:div>
    <w:div w:id="105468443">
      <w:bodyDiv w:val="1"/>
      <w:marLeft w:val="0"/>
      <w:marRight w:val="0"/>
      <w:marTop w:val="0"/>
      <w:marBottom w:val="0"/>
      <w:divBdr>
        <w:top w:val="none" w:sz="0" w:space="0" w:color="auto"/>
        <w:left w:val="none" w:sz="0" w:space="0" w:color="auto"/>
        <w:bottom w:val="none" w:sz="0" w:space="0" w:color="auto"/>
        <w:right w:val="none" w:sz="0" w:space="0" w:color="auto"/>
      </w:divBdr>
    </w:div>
    <w:div w:id="105737457">
      <w:bodyDiv w:val="1"/>
      <w:marLeft w:val="0"/>
      <w:marRight w:val="0"/>
      <w:marTop w:val="0"/>
      <w:marBottom w:val="0"/>
      <w:divBdr>
        <w:top w:val="none" w:sz="0" w:space="0" w:color="auto"/>
        <w:left w:val="none" w:sz="0" w:space="0" w:color="auto"/>
        <w:bottom w:val="none" w:sz="0" w:space="0" w:color="auto"/>
        <w:right w:val="none" w:sz="0" w:space="0" w:color="auto"/>
      </w:divBdr>
    </w:div>
    <w:div w:id="114639512">
      <w:bodyDiv w:val="1"/>
      <w:marLeft w:val="0"/>
      <w:marRight w:val="0"/>
      <w:marTop w:val="0"/>
      <w:marBottom w:val="0"/>
      <w:divBdr>
        <w:top w:val="none" w:sz="0" w:space="0" w:color="auto"/>
        <w:left w:val="none" w:sz="0" w:space="0" w:color="auto"/>
        <w:bottom w:val="none" w:sz="0" w:space="0" w:color="auto"/>
        <w:right w:val="none" w:sz="0" w:space="0" w:color="auto"/>
      </w:divBdr>
    </w:div>
    <w:div w:id="125859992">
      <w:bodyDiv w:val="1"/>
      <w:marLeft w:val="0"/>
      <w:marRight w:val="0"/>
      <w:marTop w:val="0"/>
      <w:marBottom w:val="0"/>
      <w:divBdr>
        <w:top w:val="none" w:sz="0" w:space="0" w:color="auto"/>
        <w:left w:val="none" w:sz="0" w:space="0" w:color="auto"/>
        <w:bottom w:val="none" w:sz="0" w:space="0" w:color="auto"/>
        <w:right w:val="none" w:sz="0" w:space="0" w:color="auto"/>
      </w:divBdr>
    </w:div>
    <w:div w:id="135488532">
      <w:bodyDiv w:val="1"/>
      <w:marLeft w:val="0"/>
      <w:marRight w:val="0"/>
      <w:marTop w:val="0"/>
      <w:marBottom w:val="0"/>
      <w:divBdr>
        <w:top w:val="none" w:sz="0" w:space="0" w:color="auto"/>
        <w:left w:val="none" w:sz="0" w:space="0" w:color="auto"/>
        <w:bottom w:val="none" w:sz="0" w:space="0" w:color="auto"/>
        <w:right w:val="none" w:sz="0" w:space="0" w:color="auto"/>
      </w:divBdr>
    </w:div>
    <w:div w:id="139425809">
      <w:bodyDiv w:val="1"/>
      <w:marLeft w:val="0"/>
      <w:marRight w:val="0"/>
      <w:marTop w:val="0"/>
      <w:marBottom w:val="0"/>
      <w:divBdr>
        <w:top w:val="none" w:sz="0" w:space="0" w:color="auto"/>
        <w:left w:val="none" w:sz="0" w:space="0" w:color="auto"/>
        <w:bottom w:val="none" w:sz="0" w:space="0" w:color="auto"/>
        <w:right w:val="none" w:sz="0" w:space="0" w:color="auto"/>
      </w:divBdr>
    </w:div>
    <w:div w:id="142702692">
      <w:bodyDiv w:val="1"/>
      <w:marLeft w:val="0"/>
      <w:marRight w:val="0"/>
      <w:marTop w:val="0"/>
      <w:marBottom w:val="0"/>
      <w:divBdr>
        <w:top w:val="none" w:sz="0" w:space="0" w:color="auto"/>
        <w:left w:val="none" w:sz="0" w:space="0" w:color="auto"/>
        <w:bottom w:val="none" w:sz="0" w:space="0" w:color="auto"/>
        <w:right w:val="none" w:sz="0" w:space="0" w:color="auto"/>
      </w:divBdr>
    </w:div>
    <w:div w:id="142738455">
      <w:bodyDiv w:val="1"/>
      <w:marLeft w:val="0"/>
      <w:marRight w:val="0"/>
      <w:marTop w:val="0"/>
      <w:marBottom w:val="0"/>
      <w:divBdr>
        <w:top w:val="none" w:sz="0" w:space="0" w:color="auto"/>
        <w:left w:val="none" w:sz="0" w:space="0" w:color="auto"/>
        <w:bottom w:val="none" w:sz="0" w:space="0" w:color="auto"/>
        <w:right w:val="none" w:sz="0" w:space="0" w:color="auto"/>
      </w:divBdr>
    </w:div>
    <w:div w:id="146676900">
      <w:bodyDiv w:val="1"/>
      <w:marLeft w:val="0"/>
      <w:marRight w:val="0"/>
      <w:marTop w:val="0"/>
      <w:marBottom w:val="0"/>
      <w:divBdr>
        <w:top w:val="none" w:sz="0" w:space="0" w:color="auto"/>
        <w:left w:val="none" w:sz="0" w:space="0" w:color="auto"/>
        <w:bottom w:val="none" w:sz="0" w:space="0" w:color="auto"/>
        <w:right w:val="none" w:sz="0" w:space="0" w:color="auto"/>
      </w:divBdr>
    </w:div>
    <w:div w:id="151874944">
      <w:bodyDiv w:val="1"/>
      <w:marLeft w:val="0"/>
      <w:marRight w:val="0"/>
      <w:marTop w:val="0"/>
      <w:marBottom w:val="0"/>
      <w:divBdr>
        <w:top w:val="none" w:sz="0" w:space="0" w:color="auto"/>
        <w:left w:val="none" w:sz="0" w:space="0" w:color="auto"/>
        <w:bottom w:val="none" w:sz="0" w:space="0" w:color="auto"/>
        <w:right w:val="none" w:sz="0" w:space="0" w:color="auto"/>
      </w:divBdr>
    </w:div>
    <w:div w:id="151944844">
      <w:bodyDiv w:val="1"/>
      <w:marLeft w:val="0"/>
      <w:marRight w:val="0"/>
      <w:marTop w:val="0"/>
      <w:marBottom w:val="0"/>
      <w:divBdr>
        <w:top w:val="none" w:sz="0" w:space="0" w:color="auto"/>
        <w:left w:val="none" w:sz="0" w:space="0" w:color="auto"/>
        <w:bottom w:val="none" w:sz="0" w:space="0" w:color="auto"/>
        <w:right w:val="none" w:sz="0" w:space="0" w:color="auto"/>
      </w:divBdr>
    </w:div>
    <w:div w:id="154998758">
      <w:bodyDiv w:val="1"/>
      <w:marLeft w:val="0"/>
      <w:marRight w:val="0"/>
      <w:marTop w:val="0"/>
      <w:marBottom w:val="0"/>
      <w:divBdr>
        <w:top w:val="none" w:sz="0" w:space="0" w:color="auto"/>
        <w:left w:val="none" w:sz="0" w:space="0" w:color="auto"/>
        <w:bottom w:val="none" w:sz="0" w:space="0" w:color="auto"/>
        <w:right w:val="none" w:sz="0" w:space="0" w:color="auto"/>
      </w:divBdr>
    </w:div>
    <w:div w:id="157156827">
      <w:bodyDiv w:val="1"/>
      <w:marLeft w:val="0"/>
      <w:marRight w:val="0"/>
      <w:marTop w:val="0"/>
      <w:marBottom w:val="0"/>
      <w:divBdr>
        <w:top w:val="none" w:sz="0" w:space="0" w:color="auto"/>
        <w:left w:val="none" w:sz="0" w:space="0" w:color="auto"/>
        <w:bottom w:val="none" w:sz="0" w:space="0" w:color="auto"/>
        <w:right w:val="none" w:sz="0" w:space="0" w:color="auto"/>
      </w:divBdr>
    </w:div>
    <w:div w:id="159808665">
      <w:bodyDiv w:val="1"/>
      <w:marLeft w:val="0"/>
      <w:marRight w:val="0"/>
      <w:marTop w:val="0"/>
      <w:marBottom w:val="0"/>
      <w:divBdr>
        <w:top w:val="none" w:sz="0" w:space="0" w:color="auto"/>
        <w:left w:val="none" w:sz="0" w:space="0" w:color="auto"/>
        <w:bottom w:val="none" w:sz="0" w:space="0" w:color="auto"/>
        <w:right w:val="none" w:sz="0" w:space="0" w:color="auto"/>
      </w:divBdr>
    </w:div>
    <w:div w:id="161556463">
      <w:bodyDiv w:val="1"/>
      <w:marLeft w:val="0"/>
      <w:marRight w:val="0"/>
      <w:marTop w:val="0"/>
      <w:marBottom w:val="0"/>
      <w:divBdr>
        <w:top w:val="none" w:sz="0" w:space="0" w:color="auto"/>
        <w:left w:val="none" w:sz="0" w:space="0" w:color="auto"/>
        <w:bottom w:val="none" w:sz="0" w:space="0" w:color="auto"/>
        <w:right w:val="none" w:sz="0" w:space="0" w:color="auto"/>
      </w:divBdr>
    </w:div>
    <w:div w:id="163401277">
      <w:bodyDiv w:val="1"/>
      <w:marLeft w:val="0"/>
      <w:marRight w:val="0"/>
      <w:marTop w:val="0"/>
      <w:marBottom w:val="0"/>
      <w:divBdr>
        <w:top w:val="none" w:sz="0" w:space="0" w:color="auto"/>
        <w:left w:val="none" w:sz="0" w:space="0" w:color="auto"/>
        <w:bottom w:val="none" w:sz="0" w:space="0" w:color="auto"/>
        <w:right w:val="none" w:sz="0" w:space="0" w:color="auto"/>
      </w:divBdr>
    </w:div>
    <w:div w:id="166870818">
      <w:bodyDiv w:val="1"/>
      <w:marLeft w:val="0"/>
      <w:marRight w:val="0"/>
      <w:marTop w:val="0"/>
      <w:marBottom w:val="0"/>
      <w:divBdr>
        <w:top w:val="none" w:sz="0" w:space="0" w:color="auto"/>
        <w:left w:val="none" w:sz="0" w:space="0" w:color="auto"/>
        <w:bottom w:val="none" w:sz="0" w:space="0" w:color="auto"/>
        <w:right w:val="none" w:sz="0" w:space="0" w:color="auto"/>
      </w:divBdr>
    </w:div>
    <w:div w:id="167789445">
      <w:bodyDiv w:val="1"/>
      <w:marLeft w:val="0"/>
      <w:marRight w:val="0"/>
      <w:marTop w:val="0"/>
      <w:marBottom w:val="0"/>
      <w:divBdr>
        <w:top w:val="none" w:sz="0" w:space="0" w:color="auto"/>
        <w:left w:val="none" w:sz="0" w:space="0" w:color="auto"/>
        <w:bottom w:val="none" w:sz="0" w:space="0" w:color="auto"/>
        <w:right w:val="none" w:sz="0" w:space="0" w:color="auto"/>
      </w:divBdr>
    </w:div>
    <w:div w:id="170216620">
      <w:bodyDiv w:val="1"/>
      <w:marLeft w:val="0"/>
      <w:marRight w:val="0"/>
      <w:marTop w:val="0"/>
      <w:marBottom w:val="0"/>
      <w:divBdr>
        <w:top w:val="none" w:sz="0" w:space="0" w:color="auto"/>
        <w:left w:val="none" w:sz="0" w:space="0" w:color="auto"/>
        <w:bottom w:val="none" w:sz="0" w:space="0" w:color="auto"/>
        <w:right w:val="none" w:sz="0" w:space="0" w:color="auto"/>
      </w:divBdr>
    </w:div>
    <w:div w:id="170268557">
      <w:bodyDiv w:val="1"/>
      <w:marLeft w:val="0"/>
      <w:marRight w:val="0"/>
      <w:marTop w:val="0"/>
      <w:marBottom w:val="0"/>
      <w:divBdr>
        <w:top w:val="none" w:sz="0" w:space="0" w:color="auto"/>
        <w:left w:val="none" w:sz="0" w:space="0" w:color="auto"/>
        <w:bottom w:val="none" w:sz="0" w:space="0" w:color="auto"/>
        <w:right w:val="none" w:sz="0" w:space="0" w:color="auto"/>
      </w:divBdr>
    </w:div>
    <w:div w:id="179468547">
      <w:bodyDiv w:val="1"/>
      <w:marLeft w:val="0"/>
      <w:marRight w:val="0"/>
      <w:marTop w:val="0"/>
      <w:marBottom w:val="0"/>
      <w:divBdr>
        <w:top w:val="none" w:sz="0" w:space="0" w:color="auto"/>
        <w:left w:val="none" w:sz="0" w:space="0" w:color="auto"/>
        <w:bottom w:val="none" w:sz="0" w:space="0" w:color="auto"/>
        <w:right w:val="none" w:sz="0" w:space="0" w:color="auto"/>
      </w:divBdr>
    </w:div>
    <w:div w:id="193494891">
      <w:bodyDiv w:val="1"/>
      <w:marLeft w:val="0"/>
      <w:marRight w:val="0"/>
      <w:marTop w:val="0"/>
      <w:marBottom w:val="0"/>
      <w:divBdr>
        <w:top w:val="none" w:sz="0" w:space="0" w:color="auto"/>
        <w:left w:val="none" w:sz="0" w:space="0" w:color="auto"/>
        <w:bottom w:val="none" w:sz="0" w:space="0" w:color="auto"/>
        <w:right w:val="none" w:sz="0" w:space="0" w:color="auto"/>
      </w:divBdr>
    </w:div>
    <w:div w:id="210188602">
      <w:bodyDiv w:val="1"/>
      <w:marLeft w:val="0"/>
      <w:marRight w:val="0"/>
      <w:marTop w:val="0"/>
      <w:marBottom w:val="0"/>
      <w:divBdr>
        <w:top w:val="none" w:sz="0" w:space="0" w:color="auto"/>
        <w:left w:val="none" w:sz="0" w:space="0" w:color="auto"/>
        <w:bottom w:val="none" w:sz="0" w:space="0" w:color="auto"/>
        <w:right w:val="none" w:sz="0" w:space="0" w:color="auto"/>
      </w:divBdr>
    </w:div>
    <w:div w:id="217278989">
      <w:bodyDiv w:val="1"/>
      <w:marLeft w:val="0"/>
      <w:marRight w:val="0"/>
      <w:marTop w:val="0"/>
      <w:marBottom w:val="0"/>
      <w:divBdr>
        <w:top w:val="none" w:sz="0" w:space="0" w:color="auto"/>
        <w:left w:val="none" w:sz="0" w:space="0" w:color="auto"/>
        <w:bottom w:val="none" w:sz="0" w:space="0" w:color="auto"/>
        <w:right w:val="none" w:sz="0" w:space="0" w:color="auto"/>
      </w:divBdr>
    </w:div>
    <w:div w:id="218172026">
      <w:bodyDiv w:val="1"/>
      <w:marLeft w:val="0"/>
      <w:marRight w:val="0"/>
      <w:marTop w:val="0"/>
      <w:marBottom w:val="0"/>
      <w:divBdr>
        <w:top w:val="none" w:sz="0" w:space="0" w:color="auto"/>
        <w:left w:val="none" w:sz="0" w:space="0" w:color="auto"/>
        <w:bottom w:val="none" w:sz="0" w:space="0" w:color="auto"/>
        <w:right w:val="none" w:sz="0" w:space="0" w:color="auto"/>
      </w:divBdr>
    </w:div>
    <w:div w:id="220795563">
      <w:bodyDiv w:val="1"/>
      <w:marLeft w:val="0"/>
      <w:marRight w:val="0"/>
      <w:marTop w:val="0"/>
      <w:marBottom w:val="0"/>
      <w:divBdr>
        <w:top w:val="none" w:sz="0" w:space="0" w:color="auto"/>
        <w:left w:val="none" w:sz="0" w:space="0" w:color="auto"/>
        <w:bottom w:val="none" w:sz="0" w:space="0" w:color="auto"/>
        <w:right w:val="none" w:sz="0" w:space="0" w:color="auto"/>
      </w:divBdr>
    </w:div>
    <w:div w:id="226767131">
      <w:bodyDiv w:val="1"/>
      <w:marLeft w:val="0"/>
      <w:marRight w:val="0"/>
      <w:marTop w:val="0"/>
      <w:marBottom w:val="0"/>
      <w:divBdr>
        <w:top w:val="none" w:sz="0" w:space="0" w:color="auto"/>
        <w:left w:val="none" w:sz="0" w:space="0" w:color="auto"/>
        <w:bottom w:val="none" w:sz="0" w:space="0" w:color="auto"/>
        <w:right w:val="none" w:sz="0" w:space="0" w:color="auto"/>
      </w:divBdr>
    </w:div>
    <w:div w:id="238833318">
      <w:bodyDiv w:val="1"/>
      <w:marLeft w:val="0"/>
      <w:marRight w:val="0"/>
      <w:marTop w:val="0"/>
      <w:marBottom w:val="0"/>
      <w:divBdr>
        <w:top w:val="none" w:sz="0" w:space="0" w:color="auto"/>
        <w:left w:val="none" w:sz="0" w:space="0" w:color="auto"/>
        <w:bottom w:val="none" w:sz="0" w:space="0" w:color="auto"/>
        <w:right w:val="none" w:sz="0" w:space="0" w:color="auto"/>
      </w:divBdr>
    </w:div>
    <w:div w:id="243683158">
      <w:bodyDiv w:val="1"/>
      <w:marLeft w:val="0"/>
      <w:marRight w:val="0"/>
      <w:marTop w:val="0"/>
      <w:marBottom w:val="0"/>
      <w:divBdr>
        <w:top w:val="none" w:sz="0" w:space="0" w:color="auto"/>
        <w:left w:val="none" w:sz="0" w:space="0" w:color="auto"/>
        <w:bottom w:val="none" w:sz="0" w:space="0" w:color="auto"/>
        <w:right w:val="none" w:sz="0" w:space="0" w:color="auto"/>
      </w:divBdr>
    </w:div>
    <w:div w:id="246498361">
      <w:bodyDiv w:val="1"/>
      <w:marLeft w:val="0"/>
      <w:marRight w:val="0"/>
      <w:marTop w:val="0"/>
      <w:marBottom w:val="0"/>
      <w:divBdr>
        <w:top w:val="none" w:sz="0" w:space="0" w:color="auto"/>
        <w:left w:val="none" w:sz="0" w:space="0" w:color="auto"/>
        <w:bottom w:val="none" w:sz="0" w:space="0" w:color="auto"/>
        <w:right w:val="none" w:sz="0" w:space="0" w:color="auto"/>
      </w:divBdr>
    </w:div>
    <w:div w:id="251400935">
      <w:bodyDiv w:val="1"/>
      <w:marLeft w:val="0"/>
      <w:marRight w:val="0"/>
      <w:marTop w:val="0"/>
      <w:marBottom w:val="0"/>
      <w:divBdr>
        <w:top w:val="none" w:sz="0" w:space="0" w:color="auto"/>
        <w:left w:val="none" w:sz="0" w:space="0" w:color="auto"/>
        <w:bottom w:val="none" w:sz="0" w:space="0" w:color="auto"/>
        <w:right w:val="none" w:sz="0" w:space="0" w:color="auto"/>
      </w:divBdr>
    </w:div>
    <w:div w:id="252711967">
      <w:bodyDiv w:val="1"/>
      <w:marLeft w:val="0"/>
      <w:marRight w:val="0"/>
      <w:marTop w:val="0"/>
      <w:marBottom w:val="0"/>
      <w:divBdr>
        <w:top w:val="none" w:sz="0" w:space="0" w:color="auto"/>
        <w:left w:val="none" w:sz="0" w:space="0" w:color="auto"/>
        <w:bottom w:val="none" w:sz="0" w:space="0" w:color="auto"/>
        <w:right w:val="none" w:sz="0" w:space="0" w:color="auto"/>
      </w:divBdr>
    </w:div>
    <w:div w:id="253127804">
      <w:bodyDiv w:val="1"/>
      <w:marLeft w:val="0"/>
      <w:marRight w:val="0"/>
      <w:marTop w:val="0"/>
      <w:marBottom w:val="0"/>
      <w:divBdr>
        <w:top w:val="none" w:sz="0" w:space="0" w:color="auto"/>
        <w:left w:val="none" w:sz="0" w:space="0" w:color="auto"/>
        <w:bottom w:val="none" w:sz="0" w:space="0" w:color="auto"/>
        <w:right w:val="none" w:sz="0" w:space="0" w:color="auto"/>
      </w:divBdr>
    </w:div>
    <w:div w:id="257565912">
      <w:bodyDiv w:val="1"/>
      <w:marLeft w:val="0"/>
      <w:marRight w:val="0"/>
      <w:marTop w:val="0"/>
      <w:marBottom w:val="0"/>
      <w:divBdr>
        <w:top w:val="none" w:sz="0" w:space="0" w:color="auto"/>
        <w:left w:val="none" w:sz="0" w:space="0" w:color="auto"/>
        <w:bottom w:val="none" w:sz="0" w:space="0" w:color="auto"/>
        <w:right w:val="none" w:sz="0" w:space="0" w:color="auto"/>
      </w:divBdr>
    </w:div>
    <w:div w:id="258222915">
      <w:bodyDiv w:val="1"/>
      <w:marLeft w:val="0"/>
      <w:marRight w:val="0"/>
      <w:marTop w:val="0"/>
      <w:marBottom w:val="0"/>
      <w:divBdr>
        <w:top w:val="none" w:sz="0" w:space="0" w:color="auto"/>
        <w:left w:val="none" w:sz="0" w:space="0" w:color="auto"/>
        <w:bottom w:val="none" w:sz="0" w:space="0" w:color="auto"/>
        <w:right w:val="none" w:sz="0" w:space="0" w:color="auto"/>
      </w:divBdr>
    </w:div>
    <w:div w:id="258637458">
      <w:bodyDiv w:val="1"/>
      <w:marLeft w:val="0"/>
      <w:marRight w:val="0"/>
      <w:marTop w:val="0"/>
      <w:marBottom w:val="0"/>
      <w:divBdr>
        <w:top w:val="none" w:sz="0" w:space="0" w:color="auto"/>
        <w:left w:val="none" w:sz="0" w:space="0" w:color="auto"/>
        <w:bottom w:val="none" w:sz="0" w:space="0" w:color="auto"/>
        <w:right w:val="none" w:sz="0" w:space="0" w:color="auto"/>
      </w:divBdr>
    </w:div>
    <w:div w:id="265814599">
      <w:bodyDiv w:val="1"/>
      <w:marLeft w:val="0"/>
      <w:marRight w:val="0"/>
      <w:marTop w:val="0"/>
      <w:marBottom w:val="0"/>
      <w:divBdr>
        <w:top w:val="none" w:sz="0" w:space="0" w:color="auto"/>
        <w:left w:val="none" w:sz="0" w:space="0" w:color="auto"/>
        <w:bottom w:val="none" w:sz="0" w:space="0" w:color="auto"/>
        <w:right w:val="none" w:sz="0" w:space="0" w:color="auto"/>
      </w:divBdr>
    </w:div>
    <w:div w:id="267125360">
      <w:bodyDiv w:val="1"/>
      <w:marLeft w:val="0"/>
      <w:marRight w:val="0"/>
      <w:marTop w:val="0"/>
      <w:marBottom w:val="0"/>
      <w:divBdr>
        <w:top w:val="none" w:sz="0" w:space="0" w:color="auto"/>
        <w:left w:val="none" w:sz="0" w:space="0" w:color="auto"/>
        <w:bottom w:val="none" w:sz="0" w:space="0" w:color="auto"/>
        <w:right w:val="none" w:sz="0" w:space="0" w:color="auto"/>
      </w:divBdr>
    </w:div>
    <w:div w:id="268203985">
      <w:bodyDiv w:val="1"/>
      <w:marLeft w:val="0"/>
      <w:marRight w:val="0"/>
      <w:marTop w:val="0"/>
      <w:marBottom w:val="0"/>
      <w:divBdr>
        <w:top w:val="none" w:sz="0" w:space="0" w:color="auto"/>
        <w:left w:val="none" w:sz="0" w:space="0" w:color="auto"/>
        <w:bottom w:val="none" w:sz="0" w:space="0" w:color="auto"/>
        <w:right w:val="none" w:sz="0" w:space="0" w:color="auto"/>
      </w:divBdr>
    </w:div>
    <w:div w:id="271324308">
      <w:bodyDiv w:val="1"/>
      <w:marLeft w:val="0"/>
      <w:marRight w:val="0"/>
      <w:marTop w:val="0"/>
      <w:marBottom w:val="0"/>
      <w:divBdr>
        <w:top w:val="none" w:sz="0" w:space="0" w:color="auto"/>
        <w:left w:val="none" w:sz="0" w:space="0" w:color="auto"/>
        <w:bottom w:val="none" w:sz="0" w:space="0" w:color="auto"/>
        <w:right w:val="none" w:sz="0" w:space="0" w:color="auto"/>
      </w:divBdr>
    </w:div>
    <w:div w:id="274097531">
      <w:bodyDiv w:val="1"/>
      <w:marLeft w:val="0"/>
      <w:marRight w:val="0"/>
      <w:marTop w:val="0"/>
      <w:marBottom w:val="0"/>
      <w:divBdr>
        <w:top w:val="none" w:sz="0" w:space="0" w:color="auto"/>
        <w:left w:val="none" w:sz="0" w:space="0" w:color="auto"/>
        <w:bottom w:val="none" w:sz="0" w:space="0" w:color="auto"/>
        <w:right w:val="none" w:sz="0" w:space="0" w:color="auto"/>
      </w:divBdr>
    </w:div>
    <w:div w:id="275259227">
      <w:bodyDiv w:val="1"/>
      <w:marLeft w:val="0"/>
      <w:marRight w:val="0"/>
      <w:marTop w:val="0"/>
      <w:marBottom w:val="0"/>
      <w:divBdr>
        <w:top w:val="none" w:sz="0" w:space="0" w:color="auto"/>
        <w:left w:val="none" w:sz="0" w:space="0" w:color="auto"/>
        <w:bottom w:val="none" w:sz="0" w:space="0" w:color="auto"/>
        <w:right w:val="none" w:sz="0" w:space="0" w:color="auto"/>
      </w:divBdr>
    </w:div>
    <w:div w:id="277414116">
      <w:bodyDiv w:val="1"/>
      <w:marLeft w:val="0"/>
      <w:marRight w:val="0"/>
      <w:marTop w:val="0"/>
      <w:marBottom w:val="0"/>
      <w:divBdr>
        <w:top w:val="none" w:sz="0" w:space="0" w:color="auto"/>
        <w:left w:val="none" w:sz="0" w:space="0" w:color="auto"/>
        <w:bottom w:val="none" w:sz="0" w:space="0" w:color="auto"/>
        <w:right w:val="none" w:sz="0" w:space="0" w:color="auto"/>
      </w:divBdr>
    </w:div>
    <w:div w:id="287666294">
      <w:bodyDiv w:val="1"/>
      <w:marLeft w:val="0"/>
      <w:marRight w:val="0"/>
      <w:marTop w:val="0"/>
      <w:marBottom w:val="0"/>
      <w:divBdr>
        <w:top w:val="none" w:sz="0" w:space="0" w:color="auto"/>
        <w:left w:val="none" w:sz="0" w:space="0" w:color="auto"/>
        <w:bottom w:val="none" w:sz="0" w:space="0" w:color="auto"/>
        <w:right w:val="none" w:sz="0" w:space="0" w:color="auto"/>
      </w:divBdr>
    </w:div>
    <w:div w:id="289240333">
      <w:bodyDiv w:val="1"/>
      <w:marLeft w:val="0"/>
      <w:marRight w:val="0"/>
      <w:marTop w:val="0"/>
      <w:marBottom w:val="0"/>
      <w:divBdr>
        <w:top w:val="none" w:sz="0" w:space="0" w:color="auto"/>
        <w:left w:val="none" w:sz="0" w:space="0" w:color="auto"/>
        <w:bottom w:val="none" w:sz="0" w:space="0" w:color="auto"/>
        <w:right w:val="none" w:sz="0" w:space="0" w:color="auto"/>
      </w:divBdr>
    </w:div>
    <w:div w:id="289744132">
      <w:bodyDiv w:val="1"/>
      <w:marLeft w:val="0"/>
      <w:marRight w:val="0"/>
      <w:marTop w:val="0"/>
      <w:marBottom w:val="0"/>
      <w:divBdr>
        <w:top w:val="none" w:sz="0" w:space="0" w:color="auto"/>
        <w:left w:val="none" w:sz="0" w:space="0" w:color="auto"/>
        <w:bottom w:val="none" w:sz="0" w:space="0" w:color="auto"/>
        <w:right w:val="none" w:sz="0" w:space="0" w:color="auto"/>
      </w:divBdr>
    </w:div>
    <w:div w:id="290283376">
      <w:bodyDiv w:val="1"/>
      <w:marLeft w:val="0"/>
      <w:marRight w:val="0"/>
      <w:marTop w:val="0"/>
      <w:marBottom w:val="0"/>
      <w:divBdr>
        <w:top w:val="none" w:sz="0" w:space="0" w:color="auto"/>
        <w:left w:val="none" w:sz="0" w:space="0" w:color="auto"/>
        <w:bottom w:val="none" w:sz="0" w:space="0" w:color="auto"/>
        <w:right w:val="none" w:sz="0" w:space="0" w:color="auto"/>
      </w:divBdr>
    </w:div>
    <w:div w:id="294410148">
      <w:bodyDiv w:val="1"/>
      <w:marLeft w:val="0"/>
      <w:marRight w:val="0"/>
      <w:marTop w:val="0"/>
      <w:marBottom w:val="0"/>
      <w:divBdr>
        <w:top w:val="none" w:sz="0" w:space="0" w:color="auto"/>
        <w:left w:val="none" w:sz="0" w:space="0" w:color="auto"/>
        <w:bottom w:val="none" w:sz="0" w:space="0" w:color="auto"/>
        <w:right w:val="none" w:sz="0" w:space="0" w:color="auto"/>
      </w:divBdr>
    </w:div>
    <w:div w:id="301809410">
      <w:bodyDiv w:val="1"/>
      <w:marLeft w:val="0"/>
      <w:marRight w:val="0"/>
      <w:marTop w:val="0"/>
      <w:marBottom w:val="0"/>
      <w:divBdr>
        <w:top w:val="none" w:sz="0" w:space="0" w:color="auto"/>
        <w:left w:val="none" w:sz="0" w:space="0" w:color="auto"/>
        <w:bottom w:val="none" w:sz="0" w:space="0" w:color="auto"/>
        <w:right w:val="none" w:sz="0" w:space="0" w:color="auto"/>
      </w:divBdr>
    </w:div>
    <w:div w:id="302319838">
      <w:bodyDiv w:val="1"/>
      <w:marLeft w:val="0"/>
      <w:marRight w:val="0"/>
      <w:marTop w:val="0"/>
      <w:marBottom w:val="0"/>
      <w:divBdr>
        <w:top w:val="none" w:sz="0" w:space="0" w:color="auto"/>
        <w:left w:val="none" w:sz="0" w:space="0" w:color="auto"/>
        <w:bottom w:val="none" w:sz="0" w:space="0" w:color="auto"/>
        <w:right w:val="none" w:sz="0" w:space="0" w:color="auto"/>
      </w:divBdr>
    </w:div>
    <w:div w:id="303780498">
      <w:bodyDiv w:val="1"/>
      <w:marLeft w:val="0"/>
      <w:marRight w:val="0"/>
      <w:marTop w:val="0"/>
      <w:marBottom w:val="0"/>
      <w:divBdr>
        <w:top w:val="none" w:sz="0" w:space="0" w:color="auto"/>
        <w:left w:val="none" w:sz="0" w:space="0" w:color="auto"/>
        <w:bottom w:val="none" w:sz="0" w:space="0" w:color="auto"/>
        <w:right w:val="none" w:sz="0" w:space="0" w:color="auto"/>
      </w:divBdr>
    </w:div>
    <w:div w:id="308437498">
      <w:bodyDiv w:val="1"/>
      <w:marLeft w:val="0"/>
      <w:marRight w:val="0"/>
      <w:marTop w:val="0"/>
      <w:marBottom w:val="0"/>
      <w:divBdr>
        <w:top w:val="none" w:sz="0" w:space="0" w:color="auto"/>
        <w:left w:val="none" w:sz="0" w:space="0" w:color="auto"/>
        <w:bottom w:val="none" w:sz="0" w:space="0" w:color="auto"/>
        <w:right w:val="none" w:sz="0" w:space="0" w:color="auto"/>
      </w:divBdr>
    </w:div>
    <w:div w:id="324478226">
      <w:bodyDiv w:val="1"/>
      <w:marLeft w:val="0"/>
      <w:marRight w:val="0"/>
      <w:marTop w:val="0"/>
      <w:marBottom w:val="0"/>
      <w:divBdr>
        <w:top w:val="none" w:sz="0" w:space="0" w:color="auto"/>
        <w:left w:val="none" w:sz="0" w:space="0" w:color="auto"/>
        <w:bottom w:val="none" w:sz="0" w:space="0" w:color="auto"/>
        <w:right w:val="none" w:sz="0" w:space="0" w:color="auto"/>
      </w:divBdr>
    </w:div>
    <w:div w:id="326179591">
      <w:bodyDiv w:val="1"/>
      <w:marLeft w:val="0"/>
      <w:marRight w:val="0"/>
      <w:marTop w:val="0"/>
      <w:marBottom w:val="0"/>
      <w:divBdr>
        <w:top w:val="none" w:sz="0" w:space="0" w:color="auto"/>
        <w:left w:val="none" w:sz="0" w:space="0" w:color="auto"/>
        <w:bottom w:val="none" w:sz="0" w:space="0" w:color="auto"/>
        <w:right w:val="none" w:sz="0" w:space="0" w:color="auto"/>
      </w:divBdr>
    </w:div>
    <w:div w:id="327296336">
      <w:bodyDiv w:val="1"/>
      <w:marLeft w:val="0"/>
      <w:marRight w:val="0"/>
      <w:marTop w:val="0"/>
      <w:marBottom w:val="0"/>
      <w:divBdr>
        <w:top w:val="none" w:sz="0" w:space="0" w:color="auto"/>
        <w:left w:val="none" w:sz="0" w:space="0" w:color="auto"/>
        <w:bottom w:val="none" w:sz="0" w:space="0" w:color="auto"/>
        <w:right w:val="none" w:sz="0" w:space="0" w:color="auto"/>
      </w:divBdr>
    </w:div>
    <w:div w:id="330258853">
      <w:bodyDiv w:val="1"/>
      <w:marLeft w:val="0"/>
      <w:marRight w:val="0"/>
      <w:marTop w:val="0"/>
      <w:marBottom w:val="0"/>
      <w:divBdr>
        <w:top w:val="none" w:sz="0" w:space="0" w:color="auto"/>
        <w:left w:val="none" w:sz="0" w:space="0" w:color="auto"/>
        <w:bottom w:val="none" w:sz="0" w:space="0" w:color="auto"/>
        <w:right w:val="none" w:sz="0" w:space="0" w:color="auto"/>
      </w:divBdr>
    </w:div>
    <w:div w:id="336813710">
      <w:bodyDiv w:val="1"/>
      <w:marLeft w:val="0"/>
      <w:marRight w:val="0"/>
      <w:marTop w:val="0"/>
      <w:marBottom w:val="0"/>
      <w:divBdr>
        <w:top w:val="none" w:sz="0" w:space="0" w:color="auto"/>
        <w:left w:val="none" w:sz="0" w:space="0" w:color="auto"/>
        <w:bottom w:val="none" w:sz="0" w:space="0" w:color="auto"/>
        <w:right w:val="none" w:sz="0" w:space="0" w:color="auto"/>
      </w:divBdr>
    </w:div>
    <w:div w:id="349261181">
      <w:bodyDiv w:val="1"/>
      <w:marLeft w:val="0"/>
      <w:marRight w:val="0"/>
      <w:marTop w:val="0"/>
      <w:marBottom w:val="0"/>
      <w:divBdr>
        <w:top w:val="none" w:sz="0" w:space="0" w:color="auto"/>
        <w:left w:val="none" w:sz="0" w:space="0" w:color="auto"/>
        <w:bottom w:val="none" w:sz="0" w:space="0" w:color="auto"/>
        <w:right w:val="none" w:sz="0" w:space="0" w:color="auto"/>
      </w:divBdr>
    </w:div>
    <w:div w:id="368841529">
      <w:bodyDiv w:val="1"/>
      <w:marLeft w:val="0"/>
      <w:marRight w:val="0"/>
      <w:marTop w:val="0"/>
      <w:marBottom w:val="0"/>
      <w:divBdr>
        <w:top w:val="none" w:sz="0" w:space="0" w:color="auto"/>
        <w:left w:val="none" w:sz="0" w:space="0" w:color="auto"/>
        <w:bottom w:val="none" w:sz="0" w:space="0" w:color="auto"/>
        <w:right w:val="none" w:sz="0" w:space="0" w:color="auto"/>
      </w:divBdr>
    </w:div>
    <w:div w:id="371614738">
      <w:bodyDiv w:val="1"/>
      <w:marLeft w:val="0"/>
      <w:marRight w:val="0"/>
      <w:marTop w:val="0"/>
      <w:marBottom w:val="0"/>
      <w:divBdr>
        <w:top w:val="none" w:sz="0" w:space="0" w:color="auto"/>
        <w:left w:val="none" w:sz="0" w:space="0" w:color="auto"/>
        <w:bottom w:val="none" w:sz="0" w:space="0" w:color="auto"/>
        <w:right w:val="none" w:sz="0" w:space="0" w:color="auto"/>
      </w:divBdr>
    </w:div>
    <w:div w:id="375474279">
      <w:bodyDiv w:val="1"/>
      <w:marLeft w:val="0"/>
      <w:marRight w:val="0"/>
      <w:marTop w:val="0"/>
      <w:marBottom w:val="0"/>
      <w:divBdr>
        <w:top w:val="none" w:sz="0" w:space="0" w:color="auto"/>
        <w:left w:val="none" w:sz="0" w:space="0" w:color="auto"/>
        <w:bottom w:val="none" w:sz="0" w:space="0" w:color="auto"/>
        <w:right w:val="none" w:sz="0" w:space="0" w:color="auto"/>
      </w:divBdr>
    </w:div>
    <w:div w:id="379860385">
      <w:bodyDiv w:val="1"/>
      <w:marLeft w:val="0"/>
      <w:marRight w:val="0"/>
      <w:marTop w:val="0"/>
      <w:marBottom w:val="0"/>
      <w:divBdr>
        <w:top w:val="none" w:sz="0" w:space="0" w:color="auto"/>
        <w:left w:val="none" w:sz="0" w:space="0" w:color="auto"/>
        <w:bottom w:val="none" w:sz="0" w:space="0" w:color="auto"/>
        <w:right w:val="none" w:sz="0" w:space="0" w:color="auto"/>
      </w:divBdr>
    </w:div>
    <w:div w:id="383531562">
      <w:bodyDiv w:val="1"/>
      <w:marLeft w:val="0"/>
      <w:marRight w:val="0"/>
      <w:marTop w:val="0"/>
      <w:marBottom w:val="0"/>
      <w:divBdr>
        <w:top w:val="none" w:sz="0" w:space="0" w:color="auto"/>
        <w:left w:val="none" w:sz="0" w:space="0" w:color="auto"/>
        <w:bottom w:val="none" w:sz="0" w:space="0" w:color="auto"/>
        <w:right w:val="none" w:sz="0" w:space="0" w:color="auto"/>
      </w:divBdr>
    </w:div>
    <w:div w:id="387001045">
      <w:bodyDiv w:val="1"/>
      <w:marLeft w:val="0"/>
      <w:marRight w:val="0"/>
      <w:marTop w:val="0"/>
      <w:marBottom w:val="0"/>
      <w:divBdr>
        <w:top w:val="none" w:sz="0" w:space="0" w:color="auto"/>
        <w:left w:val="none" w:sz="0" w:space="0" w:color="auto"/>
        <w:bottom w:val="none" w:sz="0" w:space="0" w:color="auto"/>
        <w:right w:val="none" w:sz="0" w:space="0" w:color="auto"/>
      </w:divBdr>
    </w:div>
    <w:div w:id="387842564">
      <w:bodyDiv w:val="1"/>
      <w:marLeft w:val="0"/>
      <w:marRight w:val="0"/>
      <w:marTop w:val="0"/>
      <w:marBottom w:val="0"/>
      <w:divBdr>
        <w:top w:val="none" w:sz="0" w:space="0" w:color="auto"/>
        <w:left w:val="none" w:sz="0" w:space="0" w:color="auto"/>
        <w:bottom w:val="none" w:sz="0" w:space="0" w:color="auto"/>
        <w:right w:val="none" w:sz="0" w:space="0" w:color="auto"/>
      </w:divBdr>
    </w:div>
    <w:div w:id="390349699">
      <w:bodyDiv w:val="1"/>
      <w:marLeft w:val="0"/>
      <w:marRight w:val="0"/>
      <w:marTop w:val="0"/>
      <w:marBottom w:val="0"/>
      <w:divBdr>
        <w:top w:val="none" w:sz="0" w:space="0" w:color="auto"/>
        <w:left w:val="none" w:sz="0" w:space="0" w:color="auto"/>
        <w:bottom w:val="none" w:sz="0" w:space="0" w:color="auto"/>
        <w:right w:val="none" w:sz="0" w:space="0" w:color="auto"/>
      </w:divBdr>
    </w:div>
    <w:div w:id="394352816">
      <w:bodyDiv w:val="1"/>
      <w:marLeft w:val="0"/>
      <w:marRight w:val="0"/>
      <w:marTop w:val="0"/>
      <w:marBottom w:val="0"/>
      <w:divBdr>
        <w:top w:val="none" w:sz="0" w:space="0" w:color="auto"/>
        <w:left w:val="none" w:sz="0" w:space="0" w:color="auto"/>
        <w:bottom w:val="none" w:sz="0" w:space="0" w:color="auto"/>
        <w:right w:val="none" w:sz="0" w:space="0" w:color="auto"/>
      </w:divBdr>
    </w:div>
    <w:div w:id="396130899">
      <w:bodyDiv w:val="1"/>
      <w:marLeft w:val="0"/>
      <w:marRight w:val="0"/>
      <w:marTop w:val="0"/>
      <w:marBottom w:val="0"/>
      <w:divBdr>
        <w:top w:val="none" w:sz="0" w:space="0" w:color="auto"/>
        <w:left w:val="none" w:sz="0" w:space="0" w:color="auto"/>
        <w:bottom w:val="none" w:sz="0" w:space="0" w:color="auto"/>
        <w:right w:val="none" w:sz="0" w:space="0" w:color="auto"/>
      </w:divBdr>
    </w:div>
    <w:div w:id="400173522">
      <w:bodyDiv w:val="1"/>
      <w:marLeft w:val="0"/>
      <w:marRight w:val="0"/>
      <w:marTop w:val="0"/>
      <w:marBottom w:val="0"/>
      <w:divBdr>
        <w:top w:val="none" w:sz="0" w:space="0" w:color="auto"/>
        <w:left w:val="none" w:sz="0" w:space="0" w:color="auto"/>
        <w:bottom w:val="none" w:sz="0" w:space="0" w:color="auto"/>
        <w:right w:val="none" w:sz="0" w:space="0" w:color="auto"/>
      </w:divBdr>
    </w:div>
    <w:div w:id="403338842">
      <w:bodyDiv w:val="1"/>
      <w:marLeft w:val="0"/>
      <w:marRight w:val="0"/>
      <w:marTop w:val="0"/>
      <w:marBottom w:val="0"/>
      <w:divBdr>
        <w:top w:val="none" w:sz="0" w:space="0" w:color="auto"/>
        <w:left w:val="none" w:sz="0" w:space="0" w:color="auto"/>
        <w:bottom w:val="none" w:sz="0" w:space="0" w:color="auto"/>
        <w:right w:val="none" w:sz="0" w:space="0" w:color="auto"/>
      </w:divBdr>
    </w:div>
    <w:div w:id="410352911">
      <w:bodyDiv w:val="1"/>
      <w:marLeft w:val="0"/>
      <w:marRight w:val="0"/>
      <w:marTop w:val="0"/>
      <w:marBottom w:val="0"/>
      <w:divBdr>
        <w:top w:val="none" w:sz="0" w:space="0" w:color="auto"/>
        <w:left w:val="none" w:sz="0" w:space="0" w:color="auto"/>
        <w:bottom w:val="none" w:sz="0" w:space="0" w:color="auto"/>
        <w:right w:val="none" w:sz="0" w:space="0" w:color="auto"/>
      </w:divBdr>
    </w:div>
    <w:div w:id="417362501">
      <w:bodyDiv w:val="1"/>
      <w:marLeft w:val="0"/>
      <w:marRight w:val="0"/>
      <w:marTop w:val="0"/>
      <w:marBottom w:val="0"/>
      <w:divBdr>
        <w:top w:val="none" w:sz="0" w:space="0" w:color="auto"/>
        <w:left w:val="none" w:sz="0" w:space="0" w:color="auto"/>
        <w:bottom w:val="none" w:sz="0" w:space="0" w:color="auto"/>
        <w:right w:val="none" w:sz="0" w:space="0" w:color="auto"/>
      </w:divBdr>
    </w:div>
    <w:div w:id="435634855">
      <w:bodyDiv w:val="1"/>
      <w:marLeft w:val="0"/>
      <w:marRight w:val="0"/>
      <w:marTop w:val="0"/>
      <w:marBottom w:val="0"/>
      <w:divBdr>
        <w:top w:val="none" w:sz="0" w:space="0" w:color="auto"/>
        <w:left w:val="none" w:sz="0" w:space="0" w:color="auto"/>
        <w:bottom w:val="none" w:sz="0" w:space="0" w:color="auto"/>
        <w:right w:val="none" w:sz="0" w:space="0" w:color="auto"/>
      </w:divBdr>
    </w:div>
    <w:div w:id="435946163">
      <w:bodyDiv w:val="1"/>
      <w:marLeft w:val="0"/>
      <w:marRight w:val="0"/>
      <w:marTop w:val="0"/>
      <w:marBottom w:val="0"/>
      <w:divBdr>
        <w:top w:val="none" w:sz="0" w:space="0" w:color="auto"/>
        <w:left w:val="none" w:sz="0" w:space="0" w:color="auto"/>
        <w:bottom w:val="none" w:sz="0" w:space="0" w:color="auto"/>
        <w:right w:val="none" w:sz="0" w:space="0" w:color="auto"/>
      </w:divBdr>
    </w:div>
    <w:div w:id="442119412">
      <w:bodyDiv w:val="1"/>
      <w:marLeft w:val="0"/>
      <w:marRight w:val="0"/>
      <w:marTop w:val="0"/>
      <w:marBottom w:val="0"/>
      <w:divBdr>
        <w:top w:val="none" w:sz="0" w:space="0" w:color="auto"/>
        <w:left w:val="none" w:sz="0" w:space="0" w:color="auto"/>
        <w:bottom w:val="none" w:sz="0" w:space="0" w:color="auto"/>
        <w:right w:val="none" w:sz="0" w:space="0" w:color="auto"/>
      </w:divBdr>
    </w:div>
    <w:div w:id="442657051">
      <w:bodyDiv w:val="1"/>
      <w:marLeft w:val="0"/>
      <w:marRight w:val="0"/>
      <w:marTop w:val="0"/>
      <w:marBottom w:val="0"/>
      <w:divBdr>
        <w:top w:val="none" w:sz="0" w:space="0" w:color="auto"/>
        <w:left w:val="none" w:sz="0" w:space="0" w:color="auto"/>
        <w:bottom w:val="none" w:sz="0" w:space="0" w:color="auto"/>
        <w:right w:val="none" w:sz="0" w:space="0" w:color="auto"/>
      </w:divBdr>
    </w:div>
    <w:div w:id="447431673">
      <w:bodyDiv w:val="1"/>
      <w:marLeft w:val="0"/>
      <w:marRight w:val="0"/>
      <w:marTop w:val="0"/>
      <w:marBottom w:val="0"/>
      <w:divBdr>
        <w:top w:val="none" w:sz="0" w:space="0" w:color="auto"/>
        <w:left w:val="none" w:sz="0" w:space="0" w:color="auto"/>
        <w:bottom w:val="none" w:sz="0" w:space="0" w:color="auto"/>
        <w:right w:val="none" w:sz="0" w:space="0" w:color="auto"/>
      </w:divBdr>
    </w:div>
    <w:div w:id="451633665">
      <w:bodyDiv w:val="1"/>
      <w:marLeft w:val="0"/>
      <w:marRight w:val="0"/>
      <w:marTop w:val="0"/>
      <w:marBottom w:val="0"/>
      <w:divBdr>
        <w:top w:val="none" w:sz="0" w:space="0" w:color="auto"/>
        <w:left w:val="none" w:sz="0" w:space="0" w:color="auto"/>
        <w:bottom w:val="none" w:sz="0" w:space="0" w:color="auto"/>
        <w:right w:val="none" w:sz="0" w:space="0" w:color="auto"/>
      </w:divBdr>
    </w:div>
    <w:div w:id="451678976">
      <w:bodyDiv w:val="1"/>
      <w:marLeft w:val="0"/>
      <w:marRight w:val="0"/>
      <w:marTop w:val="0"/>
      <w:marBottom w:val="0"/>
      <w:divBdr>
        <w:top w:val="none" w:sz="0" w:space="0" w:color="auto"/>
        <w:left w:val="none" w:sz="0" w:space="0" w:color="auto"/>
        <w:bottom w:val="none" w:sz="0" w:space="0" w:color="auto"/>
        <w:right w:val="none" w:sz="0" w:space="0" w:color="auto"/>
      </w:divBdr>
    </w:div>
    <w:div w:id="456263101">
      <w:bodyDiv w:val="1"/>
      <w:marLeft w:val="0"/>
      <w:marRight w:val="0"/>
      <w:marTop w:val="0"/>
      <w:marBottom w:val="0"/>
      <w:divBdr>
        <w:top w:val="none" w:sz="0" w:space="0" w:color="auto"/>
        <w:left w:val="none" w:sz="0" w:space="0" w:color="auto"/>
        <w:bottom w:val="none" w:sz="0" w:space="0" w:color="auto"/>
        <w:right w:val="none" w:sz="0" w:space="0" w:color="auto"/>
      </w:divBdr>
    </w:div>
    <w:div w:id="457646497">
      <w:bodyDiv w:val="1"/>
      <w:marLeft w:val="0"/>
      <w:marRight w:val="0"/>
      <w:marTop w:val="0"/>
      <w:marBottom w:val="0"/>
      <w:divBdr>
        <w:top w:val="none" w:sz="0" w:space="0" w:color="auto"/>
        <w:left w:val="none" w:sz="0" w:space="0" w:color="auto"/>
        <w:bottom w:val="none" w:sz="0" w:space="0" w:color="auto"/>
        <w:right w:val="none" w:sz="0" w:space="0" w:color="auto"/>
      </w:divBdr>
    </w:div>
    <w:div w:id="461925384">
      <w:bodyDiv w:val="1"/>
      <w:marLeft w:val="0"/>
      <w:marRight w:val="0"/>
      <w:marTop w:val="0"/>
      <w:marBottom w:val="0"/>
      <w:divBdr>
        <w:top w:val="none" w:sz="0" w:space="0" w:color="auto"/>
        <w:left w:val="none" w:sz="0" w:space="0" w:color="auto"/>
        <w:bottom w:val="none" w:sz="0" w:space="0" w:color="auto"/>
        <w:right w:val="none" w:sz="0" w:space="0" w:color="auto"/>
      </w:divBdr>
    </w:div>
    <w:div w:id="467479024">
      <w:bodyDiv w:val="1"/>
      <w:marLeft w:val="0"/>
      <w:marRight w:val="0"/>
      <w:marTop w:val="0"/>
      <w:marBottom w:val="0"/>
      <w:divBdr>
        <w:top w:val="none" w:sz="0" w:space="0" w:color="auto"/>
        <w:left w:val="none" w:sz="0" w:space="0" w:color="auto"/>
        <w:bottom w:val="none" w:sz="0" w:space="0" w:color="auto"/>
        <w:right w:val="none" w:sz="0" w:space="0" w:color="auto"/>
      </w:divBdr>
    </w:div>
    <w:div w:id="468207128">
      <w:bodyDiv w:val="1"/>
      <w:marLeft w:val="0"/>
      <w:marRight w:val="0"/>
      <w:marTop w:val="0"/>
      <w:marBottom w:val="0"/>
      <w:divBdr>
        <w:top w:val="none" w:sz="0" w:space="0" w:color="auto"/>
        <w:left w:val="none" w:sz="0" w:space="0" w:color="auto"/>
        <w:bottom w:val="none" w:sz="0" w:space="0" w:color="auto"/>
        <w:right w:val="none" w:sz="0" w:space="0" w:color="auto"/>
      </w:divBdr>
    </w:div>
    <w:div w:id="471942904">
      <w:bodyDiv w:val="1"/>
      <w:marLeft w:val="0"/>
      <w:marRight w:val="0"/>
      <w:marTop w:val="0"/>
      <w:marBottom w:val="0"/>
      <w:divBdr>
        <w:top w:val="none" w:sz="0" w:space="0" w:color="auto"/>
        <w:left w:val="none" w:sz="0" w:space="0" w:color="auto"/>
        <w:bottom w:val="none" w:sz="0" w:space="0" w:color="auto"/>
        <w:right w:val="none" w:sz="0" w:space="0" w:color="auto"/>
      </w:divBdr>
    </w:div>
    <w:div w:id="472717890">
      <w:bodyDiv w:val="1"/>
      <w:marLeft w:val="0"/>
      <w:marRight w:val="0"/>
      <w:marTop w:val="0"/>
      <w:marBottom w:val="0"/>
      <w:divBdr>
        <w:top w:val="none" w:sz="0" w:space="0" w:color="auto"/>
        <w:left w:val="none" w:sz="0" w:space="0" w:color="auto"/>
        <w:bottom w:val="none" w:sz="0" w:space="0" w:color="auto"/>
        <w:right w:val="none" w:sz="0" w:space="0" w:color="auto"/>
      </w:divBdr>
    </w:div>
    <w:div w:id="481235847">
      <w:bodyDiv w:val="1"/>
      <w:marLeft w:val="0"/>
      <w:marRight w:val="0"/>
      <w:marTop w:val="0"/>
      <w:marBottom w:val="0"/>
      <w:divBdr>
        <w:top w:val="none" w:sz="0" w:space="0" w:color="auto"/>
        <w:left w:val="none" w:sz="0" w:space="0" w:color="auto"/>
        <w:bottom w:val="none" w:sz="0" w:space="0" w:color="auto"/>
        <w:right w:val="none" w:sz="0" w:space="0" w:color="auto"/>
      </w:divBdr>
    </w:div>
    <w:div w:id="481312326">
      <w:bodyDiv w:val="1"/>
      <w:marLeft w:val="0"/>
      <w:marRight w:val="0"/>
      <w:marTop w:val="0"/>
      <w:marBottom w:val="0"/>
      <w:divBdr>
        <w:top w:val="none" w:sz="0" w:space="0" w:color="auto"/>
        <w:left w:val="none" w:sz="0" w:space="0" w:color="auto"/>
        <w:bottom w:val="none" w:sz="0" w:space="0" w:color="auto"/>
        <w:right w:val="none" w:sz="0" w:space="0" w:color="auto"/>
      </w:divBdr>
    </w:div>
    <w:div w:id="492456702">
      <w:bodyDiv w:val="1"/>
      <w:marLeft w:val="0"/>
      <w:marRight w:val="0"/>
      <w:marTop w:val="0"/>
      <w:marBottom w:val="0"/>
      <w:divBdr>
        <w:top w:val="none" w:sz="0" w:space="0" w:color="auto"/>
        <w:left w:val="none" w:sz="0" w:space="0" w:color="auto"/>
        <w:bottom w:val="none" w:sz="0" w:space="0" w:color="auto"/>
        <w:right w:val="none" w:sz="0" w:space="0" w:color="auto"/>
      </w:divBdr>
    </w:div>
    <w:div w:id="493642424">
      <w:bodyDiv w:val="1"/>
      <w:marLeft w:val="0"/>
      <w:marRight w:val="0"/>
      <w:marTop w:val="0"/>
      <w:marBottom w:val="0"/>
      <w:divBdr>
        <w:top w:val="none" w:sz="0" w:space="0" w:color="auto"/>
        <w:left w:val="none" w:sz="0" w:space="0" w:color="auto"/>
        <w:bottom w:val="none" w:sz="0" w:space="0" w:color="auto"/>
        <w:right w:val="none" w:sz="0" w:space="0" w:color="auto"/>
      </w:divBdr>
    </w:div>
    <w:div w:id="496459210">
      <w:bodyDiv w:val="1"/>
      <w:marLeft w:val="0"/>
      <w:marRight w:val="0"/>
      <w:marTop w:val="0"/>
      <w:marBottom w:val="0"/>
      <w:divBdr>
        <w:top w:val="none" w:sz="0" w:space="0" w:color="auto"/>
        <w:left w:val="none" w:sz="0" w:space="0" w:color="auto"/>
        <w:bottom w:val="none" w:sz="0" w:space="0" w:color="auto"/>
        <w:right w:val="none" w:sz="0" w:space="0" w:color="auto"/>
      </w:divBdr>
    </w:div>
    <w:div w:id="499853461">
      <w:bodyDiv w:val="1"/>
      <w:marLeft w:val="0"/>
      <w:marRight w:val="0"/>
      <w:marTop w:val="0"/>
      <w:marBottom w:val="0"/>
      <w:divBdr>
        <w:top w:val="none" w:sz="0" w:space="0" w:color="auto"/>
        <w:left w:val="none" w:sz="0" w:space="0" w:color="auto"/>
        <w:bottom w:val="none" w:sz="0" w:space="0" w:color="auto"/>
        <w:right w:val="none" w:sz="0" w:space="0" w:color="auto"/>
      </w:divBdr>
    </w:div>
    <w:div w:id="513805807">
      <w:bodyDiv w:val="1"/>
      <w:marLeft w:val="0"/>
      <w:marRight w:val="0"/>
      <w:marTop w:val="0"/>
      <w:marBottom w:val="0"/>
      <w:divBdr>
        <w:top w:val="none" w:sz="0" w:space="0" w:color="auto"/>
        <w:left w:val="none" w:sz="0" w:space="0" w:color="auto"/>
        <w:bottom w:val="none" w:sz="0" w:space="0" w:color="auto"/>
        <w:right w:val="none" w:sz="0" w:space="0" w:color="auto"/>
      </w:divBdr>
    </w:div>
    <w:div w:id="519127715">
      <w:bodyDiv w:val="1"/>
      <w:marLeft w:val="0"/>
      <w:marRight w:val="0"/>
      <w:marTop w:val="0"/>
      <w:marBottom w:val="0"/>
      <w:divBdr>
        <w:top w:val="none" w:sz="0" w:space="0" w:color="auto"/>
        <w:left w:val="none" w:sz="0" w:space="0" w:color="auto"/>
        <w:bottom w:val="none" w:sz="0" w:space="0" w:color="auto"/>
        <w:right w:val="none" w:sz="0" w:space="0" w:color="auto"/>
      </w:divBdr>
    </w:div>
    <w:div w:id="522326033">
      <w:bodyDiv w:val="1"/>
      <w:marLeft w:val="0"/>
      <w:marRight w:val="0"/>
      <w:marTop w:val="0"/>
      <w:marBottom w:val="0"/>
      <w:divBdr>
        <w:top w:val="none" w:sz="0" w:space="0" w:color="auto"/>
        <w:left w:val="none" w:sz="0" w:space="0" w:color="auto"/>
        <w:bottom w:val="none" w:sz="0" w:space="0" w:color="auto"/>
        <w:right w:val="none" w:sz="0" w:space="0" w:color="auto"/>
      </w:divBdr>
    </w:div>
    <w:div w:id="523448061">
      <w:bodyDiv w:val="1"/>
      <w:marLeft w:val="0"/>
      <w:marRight w:val="0"/>
      <w:marTop w:val="0"/>
      <w:marBottom w:val="0"/>
      <w:divBdr>
        <w:top w:val="none" w:sz="0" w:space="0" w:color="auto"/>
        <w:left w:val="none" w:sz="0" w:space="0" w:color="auto"/>
        <w:bottom w:val="none" w:sz="0" w:space="0" w:color="auto"/>
        <w:right w:val="none" w:sz="0" w:space="0" w:color="auto"/>
      </w:divBdr>
    </w:div>
    <w:div w:id="542985128">
      <w:bodyDiv w:val="1"/>
      <w:marLeft w:val="0"/>
      <w:marRight w:val="0"/>
      <w:marTop w:val="0"/>
      <w:marBottom w:val="0"/>
      <w:divBdr>
        <w:top w:val="none" w:sz="0" w:space="0" w:color="auto"/>
        <w:left w:val="none" w:sz="0" w:space="0" w:color="auto"/>
        <w:bottom w:val="none" w:sz="0" w:space="0" w:color="auto"/>
        <w:right w:val="none" w:sz="0" w:space="0" w:color="auto"/>
      </w:divBdr>
    </w:div>
    <w:div w:id="545797270">
      <w:bodyDiv w:val="1"/>
      <w:marLeft w:val="0"/>
      <w:marRight w:val="0"/>
      <w:marTop w:val="0"/>
      <w:marBottom w:val="0"/>
      <w:divBdr>
        <w:top w:val="none" w:sz="0" w:space="0" w:color="auto"/>
        <w:left w:val="none" w:sz="0" w:space="0" w:color="auto"/>
        <w:bottom w:val="none" w:sz="0" w:space="0" w:color="auto"/>
        <w:right w:val="none" w:sz="0" w:space="0" w:color="auto"/>
      </w:divBdr>
    </w:div>
    <w:div w:id="548301417">
      <w:bodyDiv w:val="1"/>
      <w:marLeft w:val="0"/>
      <w:marRight w:val="0"/>
      <w:marTop w:val="0"/>
      <w:marBottom w:val="0"/>
      <w:divBdr>
        <w:top w:val="none" w:sz="0" w:space="0" w:color="auto"/>
        <w:left w:val="none" w:sz="0" w:space="0" w:color="auto"/>
        <w:bottom w:val="none" w:sz="0" w:space="0" w:color="auto"/>
        <w:right w:val="none" w:sz="0" w:space="0" w:color="auto"/>
      </w:divBdr>
    </w:div>
    <w:div w:id="561217449">
      <w:bodyDiv w:val="1"/>
      <w:marLeft w:val="0"/>
      <w:marRight w:val="0"/>
      <w:marTop w:val="0"/>
      <w:marBottom w:val="0"/>
      <w:divBdr>
        <w:top w:val="none" w:sz="0" w:space="0" w:color="auto"/>
        <w:left w:val="none" w:sz="0" w:space="0" w:color="auto"/>
        <w:bottom w:val="none" w:sz="0" w:space="0" w:color="auto"/>
        <w:right w:val="none" w:sz="0" w:space="0" w:color="auto"/>
      </w:divBdr>
    </w:div>
    <w:div w:id="568345459">
      <w:bodyDiv w:val="1"/>
      <w:marLeft w:val="0"/>
      <w:marRight w:val="0"/>
      <w:marTop w:val="0"/>
      <w:marBottom w:val="0"/>
      <w:divBdr>
        <w:top w:val="none" w:sz="0" w:space="0" w:color="auto"/>
        <w:left w:val="none" w:sz="0" w:space="0" w:color="auto"/>
        <w:bottom w:val="none" w:sz="0" w:space="0" w:color="auto"/>
        <w:right w:val="none" w:sz="0" w:space="0" w:color="auto"/>
      </w:divBdr>
    </w:div>
    <w:div w:id="569190767">
      <w:bodyDiv w:val="1"/>
      <w:marLeft w:val="0"/>
      <w:marRight w:val="0"/>
      <w:marTop w:val="0"/>
      <w:marBottom w:val="0"/>
      <w:divBdr>
        <w:top w:val="none" w:sz="0" w:space="0" w:color="auto"/>
        <w:left w:val="none" w:sz="0" w:space="0" w:color="auto"/>
        <w:bottom w:val="none" w:sz="0" w:space="0" w:color="auto"/>
        <w:right w:val="none" w:sz="0" w:space="0" w:color="auto"/>
      </w:divBdr>
    </w:div>
    <w:div w:id="570239599">
      <w:bodyDiv w:val="1"/>
      <w:marLeft w:val="0"/>
      <w:marRight w:val="0"/>
      <w:marTop w:val="0"/>
      <w:marBottom w:val="0"/>
      <w:divBdr>
        <w:top w:val="none" w:sz="0" w:space="0" w:color="auto"/>
        <w:left w:val="none" w:sz="0" w:space="0" w:color="auto"/>
        <w:bottom w:val="none" w:sz="0" w:space="0" w:color="auto"/>
        <w:right w:val="none" w:sz="0" w:space="0" w:color="auto"/>
      </w:divBdr>
    </w:div>
    <w:div w:id="573587094">
      <w:bodyDiv w:val="1"/>
      <w:marLeft w:val="0"/>
      <w:marRight w:val="0"/>
      <w:marTop w:val="0"/>
      <w:marBottom w:val="0"/>
      <w:divBdr>
        <w:top w:val="none" w:sz="0" w:space="0" w:color="auto"/>
        <w:left w:val="none" w:sz="0" w:space="0" w:color="auto"/>
        <w:bottom w:val="none" w:sz="0" w:space="0" w:color="auto"/>
        <w:right w:val="none" w:sz="0" w:space="0" w:color="auto"/>
      </w:divBdr>
    </w:div>
    <w:div w:id="594480950">
      <w:bodyDiv w:val="1"/>
      <w:marLeft w:val="0"/>
      <w:marRight w:val="0"/>
      <w:marTop w:val="0"/>
      <w:marBottom w:val="0"/>
      <w:divBdr>
        <w:top w:val="none" w:sz="0" w:space="0" w:color="auto"/>
        <w:left w:val="none" w:sz="0" w:space="0" w:color="auto"/>
        <w:bottom w:val="none" w:sz="0" w:space="0" w:color="auto"/>
        <w:right w:val="none" w:sz="0" w:space="0" w:color="auto"/>
      </w:divBdr>
    </w:div>
    <w:div w:id="603925523">
      <w:bodyDiv w:val="1"/>
      <w:marLeft w:val="0"/>
      <w:marRight w:val="0"/>
      <w:marTop w:val="0"/>
      <w:marBottom w:val="0"/>
      <w:divBdr>
        <w:top w:val="none" w:sz="0" w:space="0" w:color="auto"/>
        <w:left w:val="none" w:sz="0" w:space="0" w:color="auto"/>
        <w:bottom w:val="none" w:sz="0" w:space="0" w:color="auto"/>
        <w:right w:val="none" w:sz="0" w:space="0" w:color="auto"/>
      </w:divBdr>
    </w:div>
    <w:div w:id="606428464">
      <w:bodyDiv w:val="1"/>
      <w:marLeft w:val="0"/>
      <w:marRight w:val="0"/>
      <w:marTop w:val="0"/>
      <w:marBottom w:val="0"/>
      <w:divBdr>
        <w:top w:val="none" w:sz="0" w:space="0" w:color="auto"/>
        <w:left w:val="none" w:sz="0" w:space="0" w:color="auto"/>
        <w:bottom w:val="none" w:sz="0" w:space="0" w:color="auto"/>
        <w:right w:val="none" w:sz="0" w:space="0" w:color="auto"/>
      </w:divBdr>
    </w:div>
    <w:div w:id="621808886">
      <w:bodyDiv w:val="1"/>
      <w:marLeft w:val="0"/>
      <w:marRight w:val="0"/>
      <w:marTop w:val="0"/>
      <w:marBottom w:val="0"/>
      <w:divBdr>
        <w:top w:val="none" w:sz="0" w:space="0" w:color="auto"/>
        <w:left w:val="none" w:sz="0" w:space="0" w:color="auto"/>
        <w:bottom w:val="none" w:sz="0" w:space="0" w:color="auto"/>
        <w:right w:val="none" w:sz="0" w:space="0" w:color="auto"/>
      </w:divBdr>
    </w:div>
    <w:div w:id="627979357">
      <w:bodyDiv w:val="1"/>
      <w:marLeft w:val="0"/>
      <w:marRight w:val="0"/>
      <w:marTop w:val="0"/>
      <w:marBottom w:val="0"/>
      <w:divBdr>
        <w:top w:val="none" w:sz="0" w:space="0" w:color="auto"/>
        <w:left w:val="none" w:sz="0" w:space="0" w:color="auto"/>
        <w:bottom w:val="none" w:sz="0" w:space="0" w:color="auto"/>
        <w:right w:val="none" w:sz="0" w:space="0" w:color="auto"/>
      </w:divBdr>
    </w:div>
    <w:div w:id="629171106">
      <w:bodyDiv w:val="1"/>
      <w:marLeft w:val="0"/>
      <w:marRight w:val="0"/>
      <w:marTop w:val="0"/>
      <w:marBottom w:val="0"/>
      <w:divBdr>
        <w:top w:val="none" w:sz="0" w:space="0" w:color="auto"/>
        <w:left w:val="none" w:sz="0" w:space="0" w:color="auto"/>
        <w:bottom w:val="none" w:sz="0" w:space="0" w:color="auto"/>
        <w:right w:val="none" w:sz="0" w:space="0" w:color="auto"/>
      </w:divBdr>
    </w:div>
    <w:div w:id="630552132">
      <w:bodyDiv w:val="1"/>
      <w:marLeft w:val="0"/>
      <w:marRight w:val="0"/>
      <w:marTop w:val="0"/>
      <w:marBottom w:val="0"/>
      <w:divBdr>
        <w:top w:val="none" w:sz="0" w:space="0" w:color="auto"/>
        <w:left w:val="none" w:sz="0" w:space="0" w:color="auto"/>
        <w:bottom w:val="none" w:sz="0" w:space="0" w:color="auto"/>
        <w:right w:val="none" w:sz="0" w:space="0" w:color="auto"/>
      </w:divBdr>
    </w:div>
    <w:div w:id="636569881">
      <w:bodyDiv w:val="1"/>
      <w:marLeft w:val="0"/>
      <w:marRight w:val="0"/>
      <w:marTop w:val="0"/>
      <w:marBottom w:val="0"/>
      <w:divBdr>
        <w:top w:val="none" w:sz="0" w:space="0" w:color="auto"/>
        <w:left w:val="none" w:sz="0" w:space="0" w:color="auto"/>
        <w:bottom w:val="none" w:sz="0" w:space="0" w:color="auto"/>
        <w:right w:val="none" w:sz="0" w:space="0" w:color="auto"/>
      </w:divBdr>
    </w:div>
    <w:div w:id="647633080">
      <w:bodyDiv w:val="1"/>
      <w:marLeft w:val="0"/>
      <w:marRight w:val="0"/>
      <w:marTop w:val="0"/>
      <w:marBottom w:val="0"/>
      <w:divBdr>
        <w:top w:val="none" w:sz="0" w:space="0" w:color="auto"/>
        <w:left w:val="none" w:sz="0" w:space="0" w:color="auto"/>
        <w:bottom w:val="none" w:sz="0" w:space="0" w:color="auto"/>
        <w:right w:val="none" w:sz="0" w:space="0" w:color="auto"/>
      </w:divBdr>
    </w:div>
    <w:div w:id="649478482">
      <w:bodyDiv w:val="1"/>
      <w:marLeft w:val="0"/>
      <w:marRight w:val="0"/>
      <w:marTop w:val="0"/>
      <w:marBottom w:val="0"/>
      <w:divBdr>
        <w:top w:val="none" w:sz="0" w:space="0" w:color="auto"/>
        <w:left w:val="none" w:sz="0" w:space="0" w:color="auto"/>
        <w:bottom w:val="none" w:sz="0" w:space="0" w:color="auto"/>
        <w:right w:val="none" w:sz="0" w:space="0" w:color="auto"/>
      </w:divBdr>
    </w:div>
    <w:div w:id="649939457">
      <w:bodyDiv w:val="1"/>
      <w:marLeft w:val="0"/>
      <w:marRight w:val="0"/>
      <w:marTop w:val="0"/>
      <w:marBottom w:val="0"/>
      <w:divBdr>
        <w:top w:val="none" w:sz="0" w:space="0" w:color="auto"/>
        <w:left w:val="none" w:sz="0" w:space="0" w:color="auto"/>
        <w:bottom w:val="none" w:sz="0" w:space="0" w:color="auto"/>
        <w:right w:val="none" w:sz="0" w:space="0" w:color="auto"/>
      </w:divBdr>
    </w:div>
    <w:div w:id="653877784">
      <w:bodyDiv w:val="1"/>
      <w:marLeft w:val="0"/>
      <w:marRight w:val="0"/>
      <w:marTop w:val="0"/>
      <w:marBottom w:val="0"/>
      <w:divBdr>
        <w:top w:val="none" w:sz="0" w:space="0" w:color="auto"/>
        <w:left w:val="none" w:sz="0" w:space="0" w:color="auto"/>
        <w:bottom w:val="none" w:sz="0" w:space="0" w:color="auto"/>
        <w:right w:val="none" w:sz="0" w:space="0" w:color="auto"/>
      </w:divBdr>
    </w:div>
    <w:div w:id="657195375">
      <w:bodyDiv w:val="1"/>
      <w:marLeft w:val="0"/>
      <w:marRight w:val="0"/>
      <w:marTop w:val="0"/>
      <w:marBottom w:val="0"/>
      <w:divBdr>
        <w:top w:val="none" w:sz="0" w:space="0" w:color="auto"/>
        <w:left w:val="none" w:sz="0" w:space="0" w:color="auto"/>
        <w:bottom w:val="none" w:sz="0" w:space="0" w:color="auto"/>
        <w:right w:val="none" w:sz="0" w:space="0" w:color="auto"/>
      </w:divBdr>
    </w:div>
    <w:div w:id="663896709">
      <w:bodyDiv w:val="1"/>
      <w:marLeft w:val="0"/>
      <w:marRight w:val="0"/>
      <w:marTop w:val="0"/>
      <w:marBottom w:val="0"/>
      <w:divBdr>
        <w:top w:val="none" w:sz="0" w:space="0" w:color="auto"/>
        <w:left w:val="none" w:sz="0" w:space="0" w:color="auto"/>
        <w:bottom w:val="none" w:sz="0" w:space="0" w:color="auto"/>
        <w:right w:val="none" w:sz="0" w:space="0" w:color="auto"/>
      </w:divBdr>
    </w:div>
    <w:div w:id="677201044">
      <w:bodyDiv w:val="1"/>
      <w:marLeft w:val="0"/>
      <w:marRight w:val="0"/>
      <w:marTop w:val="0"/>
      <w:marBottom w:val="0"/>
      <w:divBdr>
        <w:top w:val="none" w:sz="0" w:space="0" w:color="auto"/>
        <w:left w:val="none" w:sz="0" w:space="0" w:color="auto"/>
        <w:bottom w:val="none" w:sz="0" w:space="0" w:color="auto"/>
        <w:right w:val="none" w:sz="0" w:space="0" w:color="auto"/>
      </w:divBdr>
    </w:div>
    <w:div w:id="684744656">
      <w:bodyDiv w:val="1"/>
      <w:marLeft w:val="0"/>
      <w:marRight w:val="0"/>
      <w:marTop w:val="0"/>
      <w:marBottom w:val="0"/>
      <w:divBdr>
        <w:top w:val="none" w:sz="0" w:space="0" w:color="auto"/>
        <w:left w:val="none" w:sz="0" w:space="0" w:color="auto"/>
        <w:bottom w:val="none" w:sz="0" w:space="0" w:color="auto"/>
        <w:right w:val="none" w:sz="0" w:space="0" w:color="auto"/>
      </w:divBdr>
    </w:div>
    <w:div w:id="687214077">
      <w:bodyDiv w:val="1"/>
      <w:marLeft w:val="0"/>
      <w:marRight w:val="0"/>
      <w:marTop w:val="0"/>
      <w:marBottom w:val="0"/>
      <w:divBdr>
        <w:top w:val="none" w:sz="0" w:space="0" w:color="auto"/>
        <w:left w:val="none" w:sz="0" w:space="0" w:color="auto"/>
        <w:bottom w:val="none" w:sz="0" w:space="0" w:color="auto"/>
        <w:right w:val="none" w:sz="0" w:space="0" w:color="auto"/>
      </w:divBdr>
    </w:div>
    <w:div w:id="690032094">
      <w:bodyDiv w:val="1"/>
      <w:marLeft w:val="0"/>
      <w:marRight w:val="0"/>
      <w:marTop w:val="0"/>
      <w:marBottom w:val="0"/>
      <w:divBdr>
        <w:top w:val="none" w:sz="0" w:space="0" w:color="auto"/>
        <w:left w:val="none" w:sz="0" w:space="0" w:color="auto"/>
        <w:bottom w:val="none" w:sz="0" w:space="0" w:color="auto"/>
        <w:right w:val="none" w:sz="0" w:space="0" w:color="auto"/>
      </w:divBdr>
    </w:div>
    <w:div w:id="693310306">
      <w:bodyDiv w:val="1"/>
      <w:marLeft w:val="0"/>
      <w:marRight w:val="0"/>
      <w:marTop w:val="0"/>
      <w:marBottom w:val="0"/>
      <w:divBdr>
        <w:top w:val="none" w:sz="0" w:space="0" w:color="auto"/>
        <w:left w:val="none" w:sz="0" w:space="0" w:color="auto"/>
        <w:bottom w:val="none" w:sz="0" w:space="0" w:color="auto"/>
        <w:right w:val="none" w:sz="0" w:space="0" w:color="auto"/>
      </w:divBdr>
    </w:div>
    <w:div w:id="695693540">
      <w:bodyDiv w:val="1"/>
      <w:marLeft w:val="0"/>
      <w:marRight w:val="0"/>
      <w:marTop w:val="0"/>
      <w:marBottom w:val="0"/>
      <w:divBdr>
        <w:top w:val="none" w:sz="0" w:space="0" w:color="auto"/>
        <w:left w:val="none" w:sz="0" w:space="0" w:color="auto"/>
        <w:bottom w:val="none" w:sz="0" w:space="0" w:color="auto"/>
        <w:right w:val="none" w:sz="0" w:space="0" w:color="auto"/>
      </w:divBdr>
    </w:div>
    <w:div w:id="714622843">
      <w:bodyDiv w:val="1"/>
      <w:marLeft w:val="0"/>
      <w:marRight w:val="0"/>
      <w:marTop w:val="0"/>
      <w:marBottom w:val="0"/>
      <w:divBdr>
        <w:top w:val="none" w:sz="0" w:space="0" w:color="auto"/>
        <w:left w:val="none" w:sz="0" w:space="0" w:color="auto"/>
        <w:bottom w:val="none" w:sz="0" w:space="0" w:color="auto"/>
        <w:right w:val="none" w:sz="0" w:space="0" w:color="auto"/>
      </w:divBdr>
    </w:div>
    <w:div w:id="724910165">
      <w:bodyDiv w:val="1"/>
      <w:marLeft w:val="0"/>
      <w:marRight w:val="0"/>
      <w:marTop w:val="0"/>
      <w:marBottom w:val="0"/>
      <w:divBdr>
        <w:top w:val="none" w:sz="0" w:space="0" w:color="auto"/>
        <w:left w:val="none" w:sz="0" w:space="0" w:color="auto"/>
        <w:bottom w:val="none" w:sz="0" w:space="0" w:color="auto"/>
        <w:right w:val="none" w:sz="0" w:space="0" w:color="auto"/>
      </w:divBdr>
    </w:div>
    <w:div w:id="736708301">
      <w:bodyDiv w:val="1"/>
      <w:marLeft w:val="0"/>
      <w:marRight w:val="0"/>
      <w:marTop w:val="0"/>
      <w:marBottom w:val="0"/>
      <w:divBdr>
        <w:top w:val="none" w:sz="0" w:space="0" w:color="auto"/>
        <w:left w:val="none" w:sz="0" w:space="0" w:color="auto"/>
        <w:bottom w:val="none" w:sz="0" w:space="0" w:color="auto"/>
        <w:right w:val="none" w:sz="0" w:space="0" w:color="auto"/>
      </w:divBdr>
    </w:div>
    <w:div w:id="739865806">
      <w:bodyDiv w:val="1"/>
      <w:marLeft w:val="0"/>
      <w:marRight w:val="0"/>
      <w:marTop w:val="0"/>
      <w:marBottom w:val="0"/>
      <w:divBdr>
        <w:top w:val="none" w:sz="0" w:space="0" w:color="auto"/>
        <w:left w:val="none" w:sz="0" w:space="0" w:color="auto"/>
        <w:bottom w:val="none" w:sz="0" w:space="0" w:color="auto"/>
        <w:right w:val="none" w:sz="0" w:space="0" w:color="auto"/>
      </w:divBdr>
    </w:div>
    <w:div w:id="740636240">
      <w:bodyDiv w:val="1"/>
      <w:marLeft w:val="0"/>
      <w:marRight w:val="0"/>
      <w:marTop w:val="0"/>
      <w:marBottom w:val="0"/>
      <w:divBdr>
        <w:top w:val="none" w:sz="0" w:space="0" w:color="auto"/>
        <w:left w:val="none" w:sz="0" w:space="0" w:color="auto"/>
        <w:bottom w:val="none" w:sz="0" w:space="0" w:color="auto"/>
        <w:right w:val="none" w:sz="0" w:space="0" w:color="auto"/>
      </w:divBdr>
    </w:div>
    <w:div w:id="747651726">
      <w:bodyDiv w:val="1"/>
      <w:marLeft w:val="0"/>
      <w:marRight w:val="0"/>
      <w:marTop w:val="0"/>
      <w:marBottom w:val="0"/>
      <w:divBdr>
        <w:top w:val="none" w:sz="0" w:space="0" w:color="auto"/>
        <w:left w:val="none" w:sz="0" w:space="0" w:color="auto"/>
        <w:bottom w:val="none" w:sz="0" w:space="0" w:color="auto"/>
        <w:right w:val="none" w:sz="0" w:space="0" w:color="auto"/>
      </w:divBdr>
    </w:div>
    <w:div w:id="756171405">
      <w:bodyDiv w:val="1"/>
      <w:marLeft w:val="0"/>
      <w:marRight w:val="0"/>
      <w:marTop w:val="0"/>
      <w:marBottom w:val="0"/>
      <w:divBdr>
        <w:top w:val="none" w:sz="0" w:space="0" w:color="auto"/>
        <w:left w:val="none" w:sz="0" w:space="0" w:color="auto"/>
        <w:bottom w:val="none" w:sz="0" w:space="0" w:color="auto"/>
        <w:right w:val="none" w:sz="0" w:space="0" w:color="auto"/>
      </w:divBdr>
    </w:div>
    <w:div w:id="777988928">
      <w:bodyDiv w:val="1"/>
      <w:marLeft w:val="0"/>
      <w:marRight w:val="0"/>
      <w:marTop w:val="0"/>
      <w:marBottom w:val="0"/>
      <w:divBdr>
        <w:top w:val="none" w:sz="0" w:space="0" w:color="auto"/>
        <w:left w:val="none" w:sz="0" w:space="0" w:color="auto"/>
        <w:bottom w:val="none" w:sz="0" w:space="0" w:color="auto"/>
        <w:right w:val="none" w:sz="0" w:space="0" w:color="auto"/>
      </w:divBdr>
    </w:div>
    <w:div w:id="783768885">
      <w:bodyDiv w:val="1"/>
      <w:marLeft w:val="0"/>
      <w:marRight w:val="0"/>
      <w:marTop w:val="0"/>
      <w:marBottom w:val="0"/>
      <w:divBdr>
        <w:top w:val="none" w:sz="0" w:space="0" w:color="auto"/>
        <w:left w:val="none" w:sz="0" w:space="0" w:color="auto"/>
        <w:bottom w:val="none" w:sz="0" w:space="0" w:color="auto"/>
        <w:right w:val="none" w:sz="0" w:space="0" w:color="auto"/>
      </w:divBdr>
    </w:div>
    <w:div w:id="787621227">
      <w:bodyDiv w:val="1"/>
      <w:marLeft w:val="0"/>
      <w:marRight w:val="0"/>
      <w:marTop w:val="0"/>
      <w:marBottom w:val="0"/>
      <w:divBdr>
        <w:top w:val="none" w:sz="0" w:space="0" w:color="auto"/>
        <w:left w:val="none" w:sz="0" w:space="0" w:color="auto"/>
        <w:bottom w:val="none" w:sz="0" w:space="0" w:color="auto"/>
        <w:right w:val="none" w:sz="0" w:space="0" w:color="auto"/>
      </w:divBdr>
    </w:div>
    <w:div w:id="788160050">
      <w:bodyDiv w:val="1"/>
      <w:marLeft w:val="0"/>
      <w:marRight w:val="0"/>
      <w:marTop w:val="0"/>
      <w:marBottom w:val="0"/>
      <w:divBdr>
        <w:top w:val="none" w:sz="0" w:space="0" w:color="auto"/>
        <w:left w:val="none" w:sz="0" w:space="0" w:color="auto"/>
        <w:bottom w:val="none" w:sz="0" w:space="0" w:color="auto"/>
        <w:right w:val="none" w:sz="0" w:space="0" w:color="auto"/>
      </w:divBdr>
    </w:div>
    <w:div w:id="795611582">
      <w:bodyDiv w:val="1"/>
      <w:marLeft w:val="0"/>
      <w:marRight w:val="0"/>
      <w:marTop w:val="0"/>
      <w:marBottom w:val="0"/>
      <w:divBdr>
        <w:top w:val="none" w:sz="0" w:space="0" w:color="auto"/>
        <w:left w:val="none" w:sz="0" w:space="0" w:color="auto"/>
        <w:bottom w:val="none" w:sz="0" w:space="0" w:color="auto"/>
        <w:right w:val="none" w:sz="0" w:space="0" w:color="auto"/>
      </w:divBdr>
    </w:div>
    <w:div w:id="810287306">
      <w:bodyDiv w:val="1"/>
      <w:marLeft w:val="0"/>
      <w:marRight w:val="0"/>
      <w:marTop w:val="0"/>
      <w:marBottom w:val="0"/>
      <w:divBdr>
        <w:top w:val="none" w:sz="0" w:space="0" w:color="auto"/>
        <w:left w:val="none" w:sz="0" w:space="0" w:color="auto"/>
        <w:bottom w:val="none" w:sz="0" w:space="0" w:color="auto"/>
        <w:right w:val="none" w:sz="0" w:space="0" w:color="auto"/>
      </w:divBdr>
    </w:div>
    <w:div w:id="812334072">
      <w:bodyDiv w:val="1"/>
      <w:marLeft w:val="0"/>
      <w:marRight w:val="0"/>
      <w:marTop w:val="0"/>
      <w:marBottom w:val="0"/>
      <w:divBdr>
        <w:top w:val="none" w:sz="0" w:space="0" w:color="auto"/>
        <w:left w:val="none" w:sz="0" w:space="0" w:color="auto"/>
        <w:bottom w:val="none" w:sz="0" w:space="0" w:color="auto"/>
        <w:right w:val="none" w:sz="0" w:space="0" w:color="auto"/>
      </w:divBdr>
    </w:div>
    <w:div w:id="819074283">
      <w:bodyDiv w:val="1"/>
      <w:marLeft w:val="0"/>
      <w:marRight w:val="0"/>
      <w:marTop w:val="0"/>
      <w:marBottom w:val="0"/>
      <w:divBdr>
        <w:top w:val="none" w:sz="0" w:space="0" w:color="auto"/>
        <w:left w:val="none" w:sz="0" w:space="0" w:color="auto"/>
        <w:bottom w:val="none" w:sz="0" w:space="0" w:color="auto"/>
        <w:right w:val="none" w:sz="0" w:space="0" w:color="auto"/>
      </w:divBdr>
    </w:div>
    <w:div w:id="824858014">
      <w:bodyDiv w:val="1"/>
      <w:marLeft w:val="0"/>
      <w:marRight w:val="0"/>
      <w:marTop w:val="0"/>
      <w:marBottom w:val="0"/>
      <w:divBdr>
        <w:top w:val="none" w:sz="0" w:space="0" w:color="auto"/>
        <w:left w:val="none" w:sz="0" w:space="0" w:color="auto"/>
        <w:bottom w:val="none" w:sz="0" w:space="0" w:color="auto"/>
        <w:right w:val="none" w:sz="0" w:space="0" w:color="auto"/>
      </w:divBdr>
    </w:div>
    <w:div w:id="836043713">
      <w:bodyDiv w:val="1"/>
      <w:marLeft w:val="0"/>
      <w:marRight w:val="0"/>
      <w:marTop w:val="0"/>
      <w:marBottom w:val="0"/>
      <w:divBdr>
        <w:top w:val="none" w:sz="0" w:space="0" w:color="auto"/>
        <w:left w:val="none" w:sz="0" w:space="0" w:color="auto"/>
        <w:bottom w:val="none" w:sz="0" w:space="0" w:color="auto"/>
        <w:right w:val="none" w:sz="0" w:space="0" w:color="auto"/>
      </w:divBdr>
    </w:div>
    <w:div w:id="839344936">
      <w:bodyDiv w:val="1"/>
      <w:marLeft w:val="0"/>
      <w:marRight w:val="0"/>
      <w:marTop w:val="0"/>
      <w:marBottom w:val="0"/>
      <w:divBdr>
        <w:top w:val="none" w:sz="0" w:space="0" w:color="auto"/>
        <w:left w:val="none" w:sz="0" w:space="0" w:color="auto"/>
        <w:bottom w:val="none" w:sz="0" w:space="0" w:color="auto"/>
        <w:right w:val="none" w:sz="0" w:space="0" w:color="auto"/>
      </w:divBdr>
    </w:div>
    <w:div w:id="841049932">
      <w:bodyDiv w:val="1"/>
      <w:marLeft w:val="0"/>
      <w:marRight w:val="0"/>
      <w:marTop w:val="0"/>
      <w:marBottom w:val="0"/>
      <w:divBdr>
        <w:top w:val="none" w:sz="0" w:space="0" w:color="auto"/>
        <w:left w:val="none" w:sz="0" w:space="0" w:color="auto"/>
        <w:bottom w:val="none" w:sz="0" w:space="0" w:color="auto"/>
        <w:right w:val="none" w:sz="0" w:space="0" w:color="auto"/>
      </w:divBdr>
    </w:div>
    <w:div w:id="841627612">
      <w:bodyDiv w:val="1"/>
      <w:marLeft w:val="0"/>
      <w:marRight w:val="0"/>
      <w:marTop w:val="0"/>
      <w:marBottom w:val="0"/>
      <w:divBdr>
        <w:top w:val="none" w:sz="0" w:space="0" w:color="auto"/>
        <w:left w:val="none" w:sz="0" w:space="0" w:color="auto"/>
        <w:bottom w:val="none" w:sz="0" w:space="0" w:color="auto"/>
        <w:right w:val="none" w:sz="0" w:space="0" w:color="auto"/>
      </w:divBdr>
    </w:div>
    <w:div w:id="844049859">
      <w:bodyDiv w:val="1"/>
      <w:marLeft w:val="0"/>
      <w:marRight w:val="0"/>
      <w:marTop w:val="0"/>
      <w:marBottom w:val="0"/>
      <w:divBdr>
        <w:top w:val="none" w:sz="0" w:space="0" w:color="auto"/>
        <w:left w:val="none" w:sz="0" w:space="0" w:color="auto"/>
        <w:bottom w:val="none" w:sz="0" w:space="0" w:color="auto"/>
        <w:right w:val="none" w:sz="0" w:space="0" w:color="auto"/>
      </w:divBdr>
    </w:div>
    <w:div w:id="849834414">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74387555">
      <w:bodyDiv w:val="1"/>
      <w:marLeft w:val="0"/>
      <w:marRight w:val="0"/>
      <w:marTop w:val="0"/>
      <w:marBottom w:val="0"/>
      <w:divBdr>
        <w:top w:val="none" w:sz="0" w:space="0" w:color="auto"/>
        <w:left w:val="none" w:sz="0" w:space="0" w:color="auto"/>
        <w:bottom w:val="none" w:sz="0" w:space="0" w:color="auto"/>
        <w:right w:val="none" w:sz="0" w:space="0" w:color="auto"/>
      </w:divBdr>
    </w:div>
    <w:div w:id="876310960">
      <w:bodyDiv w:val="1"/>
      <w:marLeft w:val="0"/>
      <w:marRight w:val="0"/>
      <w:marTop w:val="0"/>
      <w:marBottom w:val="0"/>
      <w:divBdr>
        <w:top w:val="none" w:sz="0" w:space="0" w:color="auto"/>
        <w:left w:val="none" w:sz="0" w:space="0" w:color="auto"/>
        <w:bottom w:val="none" w:sz="0" w:space="0" w:color="auto"/>
        <w:right w:val="none" w:sz="0" w:space="0" w:color="auto"/>
      </w:divBdr>
    </w:div>
    <w:div w:id="891428346">
      <w:bodyDiv w:val="1"/>
      <w:marLeft w:val="0"/>
      <w:marRight w:val="0"/>
      <w:marTop w:val="0"/>
      <w:marBottom w:val="0"/>
      <w:divBdr>
        <w:top w:val="none" w:sz="0" w:space="0" w:color="auto"/>
        <w:left w:val="none" w:sz="0" w:space="0" w:color="auto"/>
        <w:bottom w:val="none" w:sz="0" w:space="0" w:color="auto"/>
        <w:right w:val="none" w:sz="0" w:space="0" w:color="auto"/>
      </w:divBdr>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6623703">
      <w:bodyDiv w:val="1"/>
      <w:marLeft w:val="0"/>
      <w:marRight w:val="0"/>
      <w:marTop w:val="0"/>
      <w:marBottom w:val="0"/>
      <w:divBdr>
        <w:top w:val="none" w:sz="0" w:space="0" w:color="auto"/>
        <w:left w:val="none" w:sz="0" w:space="0" w:color="auto"/>
        <w:bottom w:val="none" w:sz="0" w:space="0" w:color="auto"/>
        <w:right w:val="none" w:sz="0" w:space="0" w:color="auto"/>
      </w:divBdr>
    </w:div>
    <w:div w:id="908806907">
      <w:bodyDiv w:val="1"/>
      <w:marLeft w:val="0"/>
      <w:marRight w:val="0"/>
      <w:marTop w:val="0"/>
      <w:marBottom w:val="0"/>
      <w:divBdr>
        <w:top w:val="none" w:sz="0" w:space="0" w:color="auto"/>
        <w:left w:val="none" w:sz="0" w:space="0" w:color="auto"/>
        <w:bottom w:val="none" w:sz="0" w:space="0" w:color="auto"/>
        <w:right w:val="none" w:sz="0" w:space="0" w:color="auto"/>
      </w:divBdr>
    </w:div>
    <w:div w:id="911162287">
      <w:bodyDiv w:val="1"/>
      <w:marLeft w:val="0"/>
      <w:marRight w:val="0"/>
      <w:marTop w:val="0"/>
      <w:marBottom w:val="0"/>
      <w:divBdr>
        <w:top w:val="none" w:sz="0" w:space="0" w:color="auto"/>
        <w:left w:val="none" w:sz="0" w:space="0" w:color="auto"/>
        <w:bottom w:val="none" w:sz="0" w:space="0" w:color="auto"/>
        <w:right w:val="none" w:sz="0" w:space="0" w:color="auto"/>
      </w:divBdr>
    </w:div>
    <w:div w:id="912197528">
      <w:bodyDiv w:val="1"/>
      <w:marLeft w:val="0"/>
      <w:marRight w:val="0"/>
      <w:marTop w:val="0"/>
      <w:marBottom w:val="0"/>
      <w:divBdr>
        <w:top w:val="none" w:sz="0" w:space="0" w:color="auto"/>
        <w:left w:val="none" w:sz="0" w:space="0" w:color="auto"/>
        <w:bottom w:val="none" w:sz="0" w:space="0" w:color="auto"/>
        <w:right w:val="none" w:sz="0" w:space="0" w:color="auto"/>
      </w:divBdr>
    </w:div>
    <w:div w:id="916669793">
      <w:bodyDiv w:val="1"/>
      <w:marLeft w:val="0"/>
      <w:marRight w:val="0"/>
      <w:marTop w:val="0"/>
      <w:marBottom w:val="0"/>
      <w:divBdr>
        <w:top w:val="none" w:sz="0" w:space="0" w:color="auto"/>
        <w:left w:val="none" w:sz="0" w:space="0" w:color="auto"/>
        <w:bottom w:val="none" w:sz="0" w:space="0" w:color="auto"/>
        <w:right w:val="none" w:sz="0" w:space="0" w:color="auto"/>
      </w:divBdr>
    </w:div>
    <w:div w:id="932476002">
      <w:bodyDiv w:val="1"/>
      <w:marLeft w:val="0"/>
      <w:marRight w:val="0"/>
      <w:marTop w:val="0"/>
      <w:marBottom w:val="0"/>
      <w:divBdr>
        <w:top w:val="none" w:sz="0" w:space="0" w:color="auto"/>
        <w:left w:val="none" w:sz="0" w:space="0" w:color="auto"/>
        <w:bottom w:val="none" w:sz="0" w:space="0" w:color="auto"/>
        <w:right w:val="none" w:sz="0" w:space="0" w:color="auto"/>
      </w:divBdr>
    </w:div>
    <w:div w:id="936131381">
      <w:bodyDiv w:val="1"/>
      <w:marLeft w:val="0"/>
      <w:marRight w:val="0"/>
      <w:marTop w:val="0"/>
      <w:marBottom w:val="0"/>
      <w:divBdr>
        <w:top w:val="none" w:sz="0" w:space="0" w:color="auto"/>
        <w:left w:val="none" w:sz="0" w:space="0" w:color="auto"/>
        <w:bottom w:val="none" w:sz="0" w:space="0" w:color="auto"/>
        <w:right w:val="none" w:sz="0" w:space="0" w:color="auto"/>
      </w:divBdr>
    </w:div>
    <w:div w:id="936399975">
      <w:bodyDiv w:val="1"/>
      <w:marLeft w:val="0"/>
      <w:marRight w:val="0"/>
      <w:marTop w:val="0"/>
      <w:marBottom w:val="0"/>
      <w:divBdr>
        <w:top w:val="none" w:sz="0" w:space="0" w:color="auto"/>
        <w:left w:val="none" w:sz="0" w:space="0" w:color="auto"/>
        <w:bottom w:val="none" w:sz="0" w:space="0" w:color="auto"/>
        <w:right w:val="none" w:sz="0" w:space="0" w:color="auto"/>
      </w:divBdr>
    </w:div>
    <w:div w:id="940185603">
      <w:bodyDiv w:val="1"/>
      <w:marLeft w:val="0"/>
      <w:marRight w:val="0"/>
      <w:marTop w:val="0"/>
      <w:marBottom w:val="0"/>
      <w:divBdr>
        <w:top w:val="none" w:sz="0" w:space="0" w:color="auto"/>
        <w:left w:val="none" w:sz="0" w:space="0" w:color="auto"/>
        <w:bottom w:val="none" w:sz="0" w:space="0" w:color="auto"/>
        <w:right w:val="none" w:sz="0" w:space="0" w:color="auto"/>
      </w:divBdr>
    </w:div>
    <w:div w:id="940260504">
      <w:bodyDiv w:val="1"/>
      <w:marLeft w:val="0"/>
      <w:marRight w:val="0"/>
      <w:marTop w:val="0"/>
      <w:marBottom w:val="0"/>
      <w:divBdr>
        <w:top w:val="none" w:sz="0" w:space="0" w:color="auto"/>
        <w:left w:val="none" w:sz="0" w:space="0" w:color="auto"/>
        <w:bottom w:val="none" w:sz="0" w:space="0" w:color="auto"/>
        <w:right w:val="none" w:sz="0" w:space="0" w:color="auto"/>
      </w:divBdr>
    </w:div>
    <w:div w:id="943147605">
      <w:bodyDiv w:val="1"/>
      <w:marLeft w:val="0"/>
      <w:marRight w:val="0"/>
      <w:marTop w:val="0"/>
      <w:marBottom w:val="0"/>
      <w:divBdr>
        <w:top w:val="none" w:sz="0" w:space="0" w:color="auto"/>
        <w:left w:val="none" w:sz="0" w:space="0" w:color="auto"/>
        <w:bottom w:val="none" w:sz="0" w:space="0" w:color="auto"/>
        <w:right w:val="none" w:sz="0" w:space="0" w:color="auto"/>
      </w:divBdr>
    </w:div>
    <w:div w:id="946353191">
      <w:bodyDiv w:val="1"/>
      <w:marLeft w:val="0"/>
      <w:marRight w:val="0"/>
      <w:marTop w:val="0"/>
      <w:marBottom w:val="0"/>
      <w:divBdr>
        <w:top w:val="none" w:sz="0" w:space="0" w:color="auto"/>
        <w:left w:val="none" w:sz="0" w:space="0" w:color="auto"/>
        <w:bottom w:val="none" w:sz="0" w:space="0" w:color="auto"/>
        <w:right w:val="none" w:sz="0" w:space="0" w:color="auto"/>
      </w:divBdr>
    </w:div>
    <w:div w:id="947927780">
      <w:bodyDiv w:val="1"/>
      <w:marLeft w:val="0"/>
      <w:marRight w:val="0"/>
      <w:marTop w:val="0"/>
      <w:marBottom w:val="0"/>
      <w:divBdr>
        <w:top w:val="none" w:sz="0" w:space="0" w:color="auto"/>
        <w:left w:val="none" w:sz="0" w:space="0" w:color="auto"/>
        <w:bottom w:val="none" w:sz="0" w:space="0" w:color="auto"/>
        <w:right w:val="none" w:sz="0" w:space="0" w:color="auto"/>
      </w:divBdr>
    </w:div>
    <w:div w:id="954408927">
      <w:bodyDiv w:val="1"/>
      <w:marLeft w:val="0"/>
      <w:marRight w:val="0"/>
      <w:marTop w:val="0"/>
      <w:marBottom w:val="0"/>
      <w:divBdr>
        <w:top w:val="none" w:sz="0" w:space="0" w:color="auto"/>
        <w:left w:val="none" w:sz="0" w:space="0" w:color="auto"/>
        <w:bottom w:val="none" w:sz="0" w:space="0" w:color="auto"/>
        <w:right w:val="none" w:sz="0" w:space="0" w:color="auto"/>
      </w:divBdr>
    </w:div>
    <w:div w:id="955133610">
      <w:bodyDiv w:val="1"/>
      <w:marLeft w:val="0"/>
      <w:marRight w:val="0"/>
      <w:marTop w:val="0"/>
      <w:marBottom w:val="0"/>
      <w:divBdr>
        <w:top w:val="none" w:sz="0" w:space="0" w:color="auto"/>
        <w:left w:val="none" w:sz="0" w:space="0" w:color="auto"/>
        <w:bottom w:val="none" w:sz="0" w:space="0" w:color="auto"/>
        <w:right w:val="none" w:sz="0" w:space="0" w:color="auto"/>
      </w:divBdr>
    </w:div>
    <w:div w:id="955210976">
      <w:bodyDiv w:val="1"/>
      <w:marLeft w:val="0"/>
      <w:marRight w:val="0"/>
      <w:marTop w:val="0"/>
      <w:marBottom w:val="0"/>
      <w:divBdr>
        <w:top w:val="none" w:sz="0" w:space="0" w:color="auto"/>
        <w:left w:val="none" w:sz="0" w:space="0" w:color="auto"/>
        <w:bottom w:val="none" w:sz="0" w:space="0" w:color="auto"/>
        <w:right w:val="none" w:sz="0" w:space="0" w:color="auto"/>
      </w:divBdr>
    </w:div>
    <w:div w:id="967777729">
      <w:bodyDiv w:val="1"/>
      <w:marLeft w:val="0"/>
      <w:marRight w:val="0"/>
      <w:marTop w:val="0"/>
      <w:marBottom w:val="0"/>
      <w:divBdr>
        <w:top w:val="none" w:sz="0" w:space="0" w:color="auto"/>
        <w:left w:val="none" w:sz="0" w:space="0" w:color="auto"/>
        <w:bottom w:val="none" w:sz="0" w:space="0" w:color="auto"/>
        <w:right w:val="none" w:sz="0" w:space="0" w:color="auto"/>
      </w:divBdr>
    </w:div>
    <w:div w:id="969170827">
      <w:bodyDiv w:val="1"/>
      <w:marLeft w:val="0"/>
      <w:marRight w:val="0"/>
      <w:marTop w:val="0"/>
      <w:marBottom w:val="0"/>
      <w:divBdr>
        <w:top w:val="none" w:sz="0" w:space="0" w:color="auto"/>
        <w:left w:val="none" w:sz="0" w:space="0" w:color="auto"/>
        <w:bottom w:val="none" w:sz="0" w:space="0" w:color="auto"/>
        <w:right w:val="none" w:sz="0" w:space="0" w:color="auto"/>
      </w:divBdr>
    </w:div>
    <w:div w:id="969818986">
      <w:bodyDiv w:val="1"/>
      <w:marLeft w:val="0"/>
      <w:marRight w:val="0"/>
      <w:marTop w:val="0"/>
      <w:marBottom w:val="0"/>
      <w:divBdr>
        <w:top w:val="none" w:sz="0" w:space="0" w:color="auto"/>
        <w:left w:val="none" w:sz="0" w:space="0" w:color="auto"/>
        <w:bottom w:val="none" w:sz="0" w:space="0" w:color="auto"/>
        <w:right w:val="none" w:sz="0" w:space="0" w:color="auto"/>
      </w:divBdr>
    </w:div>
    <w:div w:id="976841139">
      <w:bodyDiv w:val="1"/>
      <w:marLeft w:val="0"/>
      <w:marRight w:val="0"/>
      <w:marTop w:val="0"/>
      <w:marBottom w:val="0"/>
      <w:divBdr>
        <w:top w:val="none" w:sz="0" w:space="0" w:color="auto"/>
        <w:left w:val="none" w:sz="0" w:space="0" w:color="auto"/>
        <w:bottom w:val="none" w:sz="0" w:space="0" w:color="auto"/>
        <w:right w:val="none" w:sz="0" w:space="0" w:color="auto"/>
      </w:divBdr>
    </w:div>
    <w:div w:id="981622001">
      <w:bodyDiv w:val="1"/>
      <w:marLeft w:val="0"/>
      <w:marRight w:val="0"/>
      <w:marTop w:val="0"/>
      <w:marBottom w:val="0"/>
      <w:divBdr>
        <w:top w:val="none" w:sz="0" w:space="0" w:color="auto"/>
        <w:left w:val="none" w:sz="0" w:space="0" w:color="auto"/>
        <w:bottom w:val="none" w:sz="0" w:space="0" w:color="auto"/>
        <w:right w:val="none" w:sz="0" w:space="0" w:color="auto"/>
      </w:divBdr>
    </w:div>
    <w:div w:id="988243252">
      <w:bodyDiv w:val="1"/>
      <w:marLeft w:val="0"/>
      <w:marRight w:val="0"/>
      <w:marTop w:val="0"/>
      <w:marBottom w:val="0"/>
      <w:divBdr>
        <w:top w:val="none" w:sz="0" w:space="0" w:color="auto"/>
        <w:left w:val="none" w:sz="0" w:space="0" w:color="auto"/>
        <w:bottom w:val="none" w:sz="0" w:space="0" w:color="auto"/>
        <w:right w:val="none" w:sz="0" w:space="0" w:color="auto"/>
      </w:divBdr>
    </w:div>
    <w:div w:id="990525883">
      <w:bodyDiv w:val="1"/>
      <w:marLeft w:val="0"/>
      <w:marRight w:val="0"/>
      <w:marTop w:val="0"/>
      <w:marBottom w:val="0"/>
      <w:divBdr>
        <w:top w:val="none" w:sz="0" w:space="0" w:color="auto"/>
        <w:left w:val="none" w:sz="0" w:space="0" w:color="auto"/>
        <w:bottom w:val="none" w:sz="0" w:space="0" w:color="auto"/>
        <w:right w:val="none" w:sz="0" w:space="0" w:color="auto"/>
      </w:divBdr>
    </w:div>
    <w:div w:id="999575696">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18111">
      <w:bodyDiv w:val="1"/>
      <w:marLeft w:val="0"/>
      <w:marRight w:val="0"/>
      <w:marTop w:val="0"/>
      <w:marBottom w:val="0"/>
      <w:divBdr>
        <w:top w:val="none" w:sz="0" w:space="0" w:color="auto"/>
        <w:left w:val="none" w:sz="0" w:space="0" w:color="auto"/>
        <w:bottom w:val="none" w:sz="0" w:space="0" w:color="auto"/>
        <w:right w:val="none" w:sz="0" w:space="0" w:color="auto"/>
      </w:divBdr>
    </w:div>
    <w:div w:id="1006901071">
      <w:bodyDiv w:val="1"/>
      <w:marLeft w:val="0"/>
      <w:marRight w:val="0"/>
      <w:marTop w:val="0"/>
      <w:marBottom w:val="0"/>
      <w:divBdr>
        <w:top w:val="none" w:sz="0" w:space="0" w:color="auto"/>
        <w:left w:val="none" w:sz="0" w:space="0" w:color="auto"/>
        <w:bottom w:val="none" w:sz="0" w:space="0" w:color="auto"/>
        <w:right w:val="none" w:sz="0" w:space="0" w:color="auto"/>
      </w:divBdr>
    </w:div>
    <w:div w:id="1025180926">
      <w:bodyDiv w:val="1"/>
      <w:marLeft w:val="0"/>
      <w:marRight w:val="0"/>
      <w:marTop w:val="0"/>
      <w:marBottom w:val="0"/>
      <w:divBdr>
        <w:top w:val="none" w:sz="0" w:space="0" w:color="auto"/>
        <w:left w:val="none" w:sz="0" w:space="0" w:color="auto"/>
        <w:bottom w:val="none" w:sz="0" w:space="0" w:color="auto"/>
        <w:right w:val="none" w:sz="0" w:space="0" w:color="auto"/>
      </w:divBdr>
    </w:div>
    <w:div w:id="1031614410">
      <w:bodyDiv w:val="1"/>
      <w:marLeft w:val="0"/>
      <w:marRight w:val="0"/>
      <w:marTop w:val="0"/>
      <w:marBottom w:val="0"/>
      <w:divBdr>
        <w:top w:val="none" w:sz="0" w:space="0" w:color="auto"/>
        <w:left w:val="none" w:sz="0" w:space="0" w:color="auto"/>
        <w:bottom w:val="none" w:sz="0" w:space="0" w:color="auto"/>
        <w:right w:val="none" w:sz="0" w:space="0" w:color="auto"/>
      </w:divBdr>
    </w:div>
    <w:div w:id="1038117436">
      <w:bodyDiv w:val="1"/>
      <w:marLeft w:val="0"/>
      <w:marRight w:val="0"/>
      <w:marTop w:val="0"/>
      <w:marBottom w:val="0"/>
      <w:divBdr>
        <w:top w:val="none" w:sz="0" w:space="0" w:color="auto"/>
        <w:left w:val="none" w:sz="0" w:space="0" w:color="auto"/>
        <w:bottom w:val="none" w:sz="0" w:space="0" w:color="auto"/>
        <w:right w:val="none" w:sz="0" w:space="0" w:color="auto"/>
      </w:divBdr>
    </w:div>
    <w:div w:id="1040325407">
      <w:bodyDiv w:val="1"/>
      <w:marLeft w:val="0"/>
      <w:marRight w:val="0"/>
      <w:marTop w:val="0"/>
      <w:marBottom w:val="0"/>
      <w:divBdr>
        <w:top w:val="none" w:sz="0" w:space="0" w:color="auto"/>
        <w:left w:val="none" w:sz="0" w:space="0" w:color="auto"/>
        <w:bottom w:val="none" w:sz="0" w:space="0" w:color="auto"/>
        <w:right w:val="none" w:sz="0" w:space="0" w:color="auto"/>
      </w:divBdr>
    </w:div>
    <w:div w:id="1042247032">
      <w:bodyDiv w:val="1"/>
      <w:marLeft w:val="0"/>
      <w:marRight w:val="0"/>
      <w:marTop w:val="0"/>
      <w:marBottom w:val="0"/>
      <w:divBdr>
        <w:top w:val="none" w:sz="0" w:space="0" w:color="auto"/>
        <w:left w:val="none" w:sz="0" w:space="0" w:color="auto"/>
        <w:bottom w:val="none" w:sz="0" w:space="0" w:color="auto"/>
        <w:right w:val="none" w:sz="0" w:space="0" w:color="auto"/>
      </w:divBdr>
    </w:div>
    <w:div w:id="1042904760">
      <w:bodyDiv w:val="1"/>
      <w:marLeft w:val="0"/>
      <w:marRight w:val="0"/>
      <w:marTop w:val="0"/>
      <w:marBottom w:val="0"/>
      <w:divBdr>
        <w:top w:val="none" w:sz="0" w:space="0" w:color="auto"/>
        <w:left w:val="none" w:sz="0" w:space="0" w:color="auto"/>
        <w:bottom w:val="none" w:sz="0" w:space="0" w:color="auto"/>
        <w:right w:val="none" w:sz="0" w:space="0" w:color="auto"/>
      </w:divBdr>
    </w:div>
    <w:div w:id="1043750134">
      <w:bodyDiv w:val="1"/>
      <w:marLeft w:val="0"/>
      <w:marRight w:val="0"/>
      <w:marTop w:val="0"/>
      <w:marBottom w:val="0"/>
      <w:divBdr>
        <w:top w:val="none" w:sz="0" w:space="0" w:color="auto"/>
        <w:left w:val="none" w:sz="0" w:space="0" w:color="auto"/>
        <w:bottom w:val="none" w:sz="0" w:space="0" w:color="auto"/>
        <w:right w:val="none" w:sz="0" w:space="0" w:color="auto"/>
      </w:divBdr>
    </w:div>
    <w:div w:id="1045107835">
      <w:bodyDiv w:val="1"/>
      <w:marLeft w:val="0"/>
      <w:marRight w:val="0"/>
      <w:marTop w:val="0"/>
      <w:marBottom w:val="0"/>
      <w:divBdr>
        <w:top w:val="none" w:sz="0" w:space="0" w:color="auto"/>
        <w:left w:val="none" w:sz="0" w:space="0" w:color="auto"/>
        <w:bottom w:val="none" w:sz="0" w:space="0" w:color="auto"/>
        <w:right w:val="none" w:sz="0" w:space="0" w:color="auto"/>
      </w:divBdr>
    </w:div>
    <w:div w:id="1046878920">
      <w:bodyDiv w:val="1"/>
      <w:marLeft w:val="0"/>
      <w:marRight w:val="0"/>
      <w:marTop w:val="0"/>
      <w:marBottom w:val="0"/>
      <w:divBdr>
        <w:top w:val="none" w:sz="0" w:space="0" w:color="auto"/>
        <w:left w:val="none" w:sz="0" w:space="0" w:color="auto"/>
        <w:bottom w:val="none" w:sz="0" w:space="0" w:color="auto"/>
        <w:right w:val="none" w:sz="0" w:space="0" w:color="auto"/>
      </w:divBdr>
    </w:div>
    <w:div w:id="1048607606">
      <w:bodyDiv w:val="1"/>
      <w:marLeft w:val="0"/>
      <w:marRight w:val="0"/>
      <w:marTop w:val="0"/>
      <w:marBottom w:val="0"/>
      <w:divBdr>
        <w:top w:val="none" w:sz="0" w:space="0" w:color="auto"/>
        <w:left w:val="none" w:sz="0" w:space="0" w:color="auto"/>
        <w:bottom w:val="none" w:sz="0" w:space="0" w:color="auto"/>
        <w:right w:val="none" w:sz="0" w:space="0" w:color="auto"/>
      </w:divBdr>
    </w:div>
    <w:div w:id="1060783791">
      <w:bodyDiv w:val="1"/>
      <w:marLeft w:val="0"/>
      <w:marRight w:val="0"/>
      <w:marTop w:val="0"/>
      <w:marBottom w:val="0"/>
      <w:divBdr>
        <w:top w:val="none" w:sz="0" w:space="0" w:color="auto"/>
        <w:left w:val="none" w:sz="0" w:space="0" w:color="auto"/>
        <w:bottom w:val="none" w:sz="0" w:space="0" w:color="auto"/>
        <w:right w:val="none" w:sz="0" w:space="0" w:color="auto"/>
      </w:divBdr>
    </w:div>
    <w:div w:id="1061906491">
      <w:bodyDiv w:val="1"/>
      <w:marLeft w:val="0"/>
      <w:marRight w:val="0"/>
      <w:marTop w:val="0"/>
      <w:marBottom w:val="0"/>
      <w:divBdr>
        <w:top w:val="none" w:sz="0" w:space="0" w:color="auto"/>
        <w:left w:val="none" w:sz="0" w:space="0" w:color="auto"/>
        <w:bottom w:val="none" w:sz="0" w:space="0" w:color="auto"/>
        <w:right w:val="none" w:sz="0" w:space="0" w:color="auto"/>
      </w:divBdr>
    </w:div>
    <w:div w:id="1068846548">
      <w:bodyDiv w:val="1"/>
      <w:marLeft w:val="0"/>
      <w:marRight w:val="0"/>
      <w:marTop w:val="0"/>
      <w:marBottom w:val="0"/>
      <w:divBdr>
        <w:top w:val="none" w:sz="0" w:space="0" w:color="auto"/>
        <w:left w:val="none" w:sz="0" w:space="0" w:color="auto"/>
        <w:bottom w:val="none" w:sz="0" w:space="0" w:color="auto"/>
        <w:right w:val="none" w:sz="0" w:space="0" w:color="auto"/>
      </w:divBdr>
    </w:div>
    <w:div w:id="1078139302">
      <w:bodyDiv w:val="1"/>
      <w:marLeft w:val="0"/>
      <w:marRight w:val="0"/>
      <w:marTop w:val="0"/>
      <w:marBottom w:val="0"/>
      <w:divBdr>
        <w:top w:val="none" w:sz="0" w:space="0" w:color="auto"/>
        <w:left w:val="none" w:sz="0" w:space="0" w:color="auto"/>
        <w:bottom w:val="none" w:sz="0" w:space="0" w:color="auto"/>
        <w:right w:val="none" w:sz="0" w:space="0" w:color="auto"/>
      </w:divBdr>
    </w:div>
    <w:div w:id="1079475632">
      <w:bodyDiv w:val="1"/>
      <w:marLeft w:val="0"/>
      <w:marRight w:val="0"/>
      <w:marTop w:val="0"/>
      <w:marBottom w:val="0"/>
      <w:divBdr>
        <w:top w:val="none" w:sz="0" w:space="0" w:color="auto"/>
        <w:left w:val="none" w:sz="0" w:space="0" w:color="auto"/>
        <w:bottom w:val="none" w:sz="0" w:space="0" w:color="auto"/>
        <w:right w:val="none" w:sz="0" w:space="0" w:color="auto"/>
      </w:divBdr>
    </w:div>
    <w:div w:id="1087389753">
      <w:bodyDiv w:val="1"/>
      <w:marLeft w:val="0"/>
      <w:marRight w:val="0"/>
      <w:marTop w:val="0"/>
      <w:marBottom w:val="0"/>
      <w:divBdr>
        <w:top w:val="none" w:sz="0" w:space="0" w:color="auto"/>
        <w:left w:val="none" w:sz="0" w:space="0" w:color="auto"/>
        <w:bottom w:val="none" w:sz="0" w:space="0" w:color="auto"/>
        <w:right w:val="none" w:sz="0" w:space="0" w:color="auto"/>
      </w:divBdr>
    </w:div>
    <w:div w:id="1106388764">
      <w:bodyDiv w:val="1"/>
      <w:marLeft w:val="0"/>
      <w:marRight w:val="0"/>
      <w:marTop w:val="0"/>
      <w:marBottom w:val="0"/>
      <w:divBdr>
        <w:top w:val="none" w:sz="0" w:space="0" w:color="auto"/>
        <w:left w:val="none" w:sz="0" w:space="0" w:color="auto"/>
        <w:bottom w:val="none" w:sz="0" w:space="0" w:color="auto"/>
        <w:right w:val="none" w:sz="0" w:space="0" w:color="auto"/>
      </w:divBdr>
    </w:div>
    <w:div w:id="1109159825">
      <w:bodyDiv w:val="1"/>
      <w:marLeft w:val="0"/>
      <w:marRight w:val="0"/>
      <w:marTop w:val="0"/>
      <w:marBottom w:val="0"/>
      <w:divBdr>
        <w:top w:val="none" w:sz="0" w:space="0" w:color="auto"/>
        <w:left w:val="none" w:sz="0" w:space="0" w:color="auto"/>
        <w:bottom w:val="none" w:sz="0" w:space="0" w:color="auto"/>
        <w:right w:val="none" w:sz="0" w:space="0" w:color="auto"/>
      </w:divBdr>
    </w:div>
    <w:div w:id="1118721148">
      <w:bodyDiv w:val="1"/>
      <w:marLeft w:val="0"/>
      <w:marRight w:val="0"/>
      <w:marTop w:val="0"/>
      <w:marBottom w:val="0"/>
      <w:divBdr>
        <w:top w:val="none" w:sz="0" w:space="0" w:color="auto"/>
        <w:left w:val="none" w:sz="0" w:space="0" w:color="auto"/>
        <w:bottom w:val="none" w:sz="0" w:space="0" w:color="auto"/>
        <w:right w:val="none" w:sz="0" w:space="0" w:color="auto"/>
      </w:divBdr>
    </w:div>
    <w:div w:id="1122458440">
      <w:bodyDiv w:val="1"/>
      <w:marLeft w:val="0"/>
      <w:marRight w:val="0"/>
      <w:marTop w:val="0"/>
      <w:marBottom w:val="0"/>
      <w:divBdr>
        <w:top w:val="none" w:sz="0" w:space="0" w:color="auto"/>
        <w:left w:val="none" w:sz="0" w:space="0" w:color="auto"/>
        <w:bottom w:val="none" w:sz="0" w:space="0" w:color="auto"/>
        <w:right w:val="none" w:sz="0" w:space="0" w:color="auto"/>
      </w:divBdr>
    </w:div>
    <w:div w:id="1122729388">
      <w:bodyDiv w:val="1"/>
      <w:marLeft w:val="0"/>
      <w:marRight w:val="0"/>
      <w:marTop w:val="0"/>
      <w:marBottom w:val="0"/>
      <w:divBdr>
        <w:top w:val="none" w:sz="0" w:space="0" w:color="auto"/>
        <w:left w:val="none" w:sz="0" w:space="0" w:color="auto"/>
        <w:bottom w:val="none" w:sz="0" w:space="0" w:color="auto"/>
        <w:right w:val="none" w:sz="0" w:space="0" w:color="auto"/>
      </w:divBdr>
    </w:div>
    <w:div w:id="1127964748">
      <w:bodyDiv w:val="1"/>
      <w:marLeft w:val="0"/>
      <w:marRight w:val="0"/>
      <w:marTop w:val="0"/>
      <w:marBottom w:val="0"/>
      <w:divBdr>
        <w:top w:val="none" w:sz="0" w:space="0" w:color="auto"/>
        <w:left w:val="none" w:sz="0" w:space="0" w:color="auto"/>
        <w:bottom w:val="none" w:sz="0" w:space="0" w:color="auto"/>
        <w:right w:val="none" w:sz="0" w:space="0" w:color="auto"/>
      </w:divBdr>
    </w:div>
    <w:div w:id="1134297703">
      <w:bodyDiv w:val="1"/>
      <w:marLeft w:val="0"/>
      <w:marRight w:val="0"/>
      <w:marTop w:val="0"/>
      <w:marBottom w:val="0"/>
      <w:divBdr>
        <w:top w:val="none" w:sz="0" w:space="0" w:color="auto"/>
        <w:left w:val="none" w:sz="0" w:space="0" w:color="auto"/>
        <w:bottom w:val="none" w:sz="0" w:space="0" w:color="auto"/>
        <w:right w:val="none" w:sz="0" w:space="0" w:color="auto"/>
      </w:divBdr>
    </w:div>
    <w:div w:id="1142310531">
      <w:bodyDiv w:val="1"/>
      <w:marLeft w:val="0"/>
      <w:marRight w:val="0"/>
      <w:marTop w:val="0"/>
      <w:marBottom w:val="0"/>
      <w:divBdr>
        <w:top w:val="none" w:sz="0" w:space="0" w:color="auto"/>
        <w:left w:val="none" w:sz="0" w:space="0" w:color="auto"/>
        <w:bottom w:val="none" w:sz="0" w:space="0" w:color="auto"/>
        <w:right w:val="none" w:sz="0" w:space="0" w:color="auto"/>
      </w:divBdr>
    </w:div>
    <w:div w:id="1142962105">
      <w:bodyDiv w:val="1"/>
      <w:marLeft w:val="0"/>
      <w:marRight w:val="0"/>
      <w:marTop w:val="0"/>
      <w:marBottom w:val="0"/>
      <w:divBdr>
        <w:top w:val="none" w:sz="0" w:space="0" w:color="auto"/>
        <w:left w:val="none" w:sz="0" w:space="0" w:color="auto"/>
        <w:bottom w:val="none" w:sz="0" w:space="0" w:color="auto"/>
        <w:right w:val="none" w:sz="0" w:space="0" w:color="auto"/>
      </w:divBdr>
    </w:div>
    <w:div w:id="1152336715">
      <w:bodyDiv w:val="1"/>
      <w:marLeft w:val="0"/>
      <w:marRight w:val="0"/>
      <w:marTop w:val="0"/>
      <w:marBottom w:val="0"/>
      <w:divBdr>
        <w:top w:val="none" w:sz="0" w:space="0" w:color="auto"/>
        <w:left w:val="none" w:sz="0" w:space="0" w:color="auto"/>
        <w:bottom w:val="none" w:sz="0" w:space="0" w:color="auto"/>
        <w:right w:val="none" w:sz="0" w:space="0" w:color="auto"/>
      </w:divBdr>
    </w:div>
    <w:div w:id="1155534329">
      <w:bodyDiv w:val="1"/>
      <w:marLeft w:val="0"/>
      <w:marRight w:val="0"/>
      <w:marTop w:val="0"/>
      <w:marBottom w:val="0"/>
      <w:divBdr>
        <w:top w:val="none" w:sz="0" w:space="0" w:color="auto"/>
        <w:left w:val="none" w:sz="0" w:space="0" w:color="auto"/>
        <w:bottom w:val="none" w:sz="0" w:space="0" w:color="auto"/>
        <w:right w:val="none" w:sz="0" w:space="0" w:color="auto"/>
      </w:divBdr>
    </w:div>
    <w:div w:id="1159690861">
      <w:bodyDiv w:val="1"/>
      <w:marLeft w:val="0"/>
      <w:marRight w:val="0"/>
      <w:marTop w:val="0"/>
      <w:marBottom w:val="0"/>
      <w:divBdr>
        <w:top w:val="none" w:sz="0" w:space="0" w:color="auto"/>
        <w:left w:val="none" w:sz="0" w:space="0" w:color="auto"/>
        <w:bottom w:val="none" w:sz="0" w:space="0" w:color="auto"/>
        <w:right w:val="none" w:sz="0" w:space="0" w:color="auto"/>
      </w:divBdr>
    </w:div>
    <w:div w:id="1165509798">
      <w:bodyDiv w:val="1"/>
      <w:marLeft w:val="0"/>
      <w:marRight w:val="0"/>
      <w:marTop w:val="0"/>
      <w:marBottom w:val="0"/>
      <w:divBdr>
        <w:top w:val="none" w:sz="0" w:space="0" w:color="auto"/>
        <w:left w:val="none" w:sz="0" w:space="0" w:color="auto"/>
        <w:bottom w:val="none" w:sz="0" w:space="0" w:color="auto"/>
        <w:right w:val="none" w:sz="0" w:space="0" w:color="auto"/>
      </w:divBdr>
    </w:div>
    <w:div w:id="1170407606">
      <w:bodyDiv w:val="1"/>
      <w:marLeft w:val="0"/>
      <w:marRight w:val="0"/>
      <w:marTop w:val="0"/>
      <w:marBottom w:val="0"/>
      <w:divBdr>
        <w:top w:val="none" w:sz="0" w:space="0" w:color="auto"/>
        <w:left w:val="none" w:sz="0" w:space="0" w:color="auto"/>
        <w:bottom w:val="none" w:sz="0" w:space="0" w:color="auto"/>
        <w:right w:val="none" w:sz="0" w:space="0" w:color="auto"/>
      </w:divBdr>
    </w:div>
    <w:div w:id="1200775689">
      <w:bodyDiv w:val="1"/>
      <w:marLeft w:val="0"/>
      <w:marRight w:val="0"/>
      <w:marTop w:val="0"/>
      <w:marBottom w:val="0"/>
      <w:divBdr>
        <w:top w:val="none" w:sz="0" w:space="0" w:color="auto"/>
        <w:left w:val="none" w:sz="0" w:space="0" w:color="auto"/>
        <w:bottom w:val="none" w:sz="0" w:space="0" w:color="auto"/>
        <w:right w:val="none" w:sz="0" w:space="0" w:color="auto"/>
      </w:divBdr>
    </w:div>
    <w:div w:id="1202671048">
      <w:bodyDiv w:val="1"/>
      <w:marLeft w:val="0"/>
      <w:marRight w:val="0"/>
      <w:marTop w:val="0"/>
      <w:marBottom w:val="0"/>
      <w:divBdr>
        <w:top w:val="none" w:sz="0" w:space="0" w:color="auto"/>
        <w:left w:val="none" w:sz="0" w:space="0" w:color="auto"/>
        <w:bottom w:val="none" w:sz="0" w:space="0" w:color="auto"/>
        <w:right w:val="none" w:sz="0" w:space="0" w:color="auto"/>
      </w:divBdr>
    </w:div>
    <w:div w:id="1203134412">
      <w:bodyDiv w:val="1"/>
      <w:marLeft w:val="0"/>
      <w:marRight w:val="0"/>
      <w:marTop w:val="0"/>
      <w:marBottom w:val="0"/>
      <w:divBdr>
        <w:top w:val="none" w:sz="0" w:space="0" w:color="auto"/>
        <w:left w:val="none" w:sz="0" w:space="0" w:color="auto"/>
        <w:bottom w:val="none" w:sz="0" w:space="0" w:color="auto"/>
        <w:right w:val="none" w:sz="0" w:space="0" w:color="auto"/>
      </w:divBdr>
    </w:div>
    <w:div w:id="1206142026">
      <w:bodyDiv w:val="1"/>
      <w:marLeft w:val="0"/>
      <w:marRight w:val="0"/>
      <w:marTop w:val="0"/>
      <w:marBottom w:val="0"/>
      <w:divBdr>
        <w:top w:val="none" w:sz="0" w:space="0" w:color="auto"/>
        <w:left w:val="none" w:sz="0" w:space="0" w:color="auto"/>
        <w:bottom w:val="none" w:sz="0" w:space="0" w:color="auto"/>
        <w:right w:val="none" w:sz="0" w:space="0" w:color="auto"/>
      </w:divBdr>
    </w:div>
    <w:div w:id="1209219124">
      <w:bodyDiv w:val="1"/>
      <w:marLeft w:val="0"/>
      <w:marRight w:val="0"/>
      <w:marTop w:val="0"/>
      <w:marBottom w:val="0"/>
      <w:divBdr>
        <w:top w:val="none" w:sz="0" w:space="0" w:color="auto"/>
        <w:left w:val="none" w:sz="0" w:space="0" w:color="auto"/>
        <w:bottom w:val="none" w:sz="0" w:space="0" w:color="auto"/>
        <w:right w:val="none" w:sz="0" w:space="0" w:color="auto"/>
      </w:divBdr>
    </w:div>
    <w:div w:id="1209295986">
      <w:bodyDiv w:val="1"/>
      <w:marLeft w:val="0"/>
      <w:marRight w:val="0"/>
      <w:marTop w:val="0"/>
      <w:marBottom w:val="0"/>
      <w:divBdr>
        <w:top w:val="none" w:sz="0" w:space="0" w:color="auto"/>
        <w:left w:val="none" w:sz="0" w:space="0" w:color="auto"/>
        <w:bottom w:val="none" w:sz="0" w:space="0" w:color="auto"/>
        <w:right w:val="none" w:sz="0" w:space="0" w:color="auto"/>
      </w:divBdr>
    </w:div>
    <w:div w:id="1213955351">
      <w:bodyDiv w:val="1"/>
      <w:marLeft w:val="0"/>
      <w:marRight w:val="0"/>
      <w:marTop w:val="0"/>
      <w:marBottom w:val="0"/>
      <w:divBdr>
        <w:top w:val="none" w:sz="0" w:space="0" w:color="auto"/>
        <w:left w:val="none" w:sz="0" w:space="0" w:color="auto"/>
        <w:bottom w:val="none" w:sz="0" w:space="0" w:color="auto"/>
        <w:right w:val="none" w:sz="0" w:space="0" w:color="auto"/>
      </w:divBdr>
    </w:div>
    <w:div w:id="1218976376">
      <w:bodyDiv w:val="1"/>
      <w:marLeft w:val="0"/>
      <w:marRight w:val="0"/>
      <w:marTop w:val="0"/>
      <w:marBottom w:val="0"/>
      <w:divBdr>
        <w:top w:val="none" w:sz="0" w:space="0" w:color="auto"/>
        <w:left w:val="none" w:sz="0" w:space="0" w:color="auto"/>
        <w:bottom w:val="none" w:sz="0" w:space="0" w:color="auto"/>
        <w:right w:val="none" w:sz="0" w:space="0" w:color="auto"/>
      </w:divBdr>
    </w:div>
    <w:div w:id="1219587193">
      <w:bodyDiv w:val="1"/>
      <w:marLeft w:val="0"/>
      <w:marRight w:val="0"/>
      <w:marTop w:val="0"/>
      <w:marBottom w:val="0"/>
      <w:divBdr>
        <w:top w:val="none" w:sz="0" w:space="0" w:color="auto"/>
        <w:left w:val="none" w:sz="0" w:space="0" w:color="auto"/>
        <w:bottom w:val="none" w:sz="0" w:space="0" w:color="auto"/>
        <w:right w:val="none" w:sz="0" w:space="0" w:color="auto"/>
      </w:divBdr>
    </w:div>
    <w:div w:id="1225139832">
      <w:bodyDiv w:val="1"/>
      <w:marLeft w:val="0"/>
      <w:marRight w:val="0"/>
      <w:marTop w:val="0"/>
      <w:marBottom w:val="0"/>
      <w:divBdr>
        <w:top w:val="none" w:sz="0" w:space="0" w:color="auto"/>
        <w:left w:val="none" w:sz="0" w:space="0" w:color="auto"/>
        <w:bottom w:val="none" w:sz="0" w:space="0" w:color="auto"/>
        <w:right w:val="none" w:sz="0" w:space="0" w:color="auto"/>
      </w:divBdr>
    </w:div>
    <w:div w:id="1229922591">
      <w:bodyDiv w:val="1"/>
      <w:marLeft w:val="0"/>
      <w:marRight w:val="0"/>
      <w:marTop w:val="0"/>
      <w:marBottom w:val="0"/>
      <w:divBdr>
        <w:top w:val="none" w:sz="0" w:space="0" w:color="auto"/>
        <w:left w:val="none" w:sz="0" w:space="0" w:color="auto"/>
        <w:bottom w:val="none" w:sz="0" w:space="0" w:color="auto"/>
        <w:right w:val="none" w:sz="0" w:space="0" w:color="auto"/>
      </w:divBdr>
    </w:div>
    <w:div w:id="1243376178">
      <w:bodyDiv w:val="1"/>
      <w:marLeft w:val="0"/>
      <w:marRight w:val="0"/>
      <w:marTop w:val="0"/>
      <w:marBottom w:val="0"/>
      <w:divBdr>
        <w:top w:val="none" w:sz="0" w:space="0" w:color="auto"/>
        <w:left w:val="none" w:sz="0" w:space="0" w:color="auto"/>
        <w:bottom w:val="none" w:sz="0" w:space="0" w:color="auto"/>
        <w:right w:val="none" w:sz="0" w:space="0" w:color="auto"/>
      </w:divBdr>
    </w:div>
    <w:div w:id="1246188727">
      <w:bodyDiv w:val="1"/>
      <w:marLeft w:val="0"/>
      <w:marRight w:val="0"/>
      <w:marTop w:val="0"/>
      <w:marBottom w:val="0"/>
      <w:divBdr>
        <w:top w:val="none" w:sz="0" w:space="0" w:color="auto"/>
        <w:left w:val="none" w:sz="0" w:space="0" w:color="auto"/>
        <w:bottom w:val="none" w:sz="0" w:space="0" w:color="auto"/>
        <w:right w:val="none" w:sz="0" w:space="0" w:color="auto"/>
      </w:divBdr>
    </w:div>
    <w:div w:id="1263104029">
      <w:bodyDiv w:val="1"/>
      <w:marLeft w:val="0"/>
      <w:marRight w:val="0"/>
      <w:marTop w:val="0"/>
      <w:marBottom w:val="0"/>
      <w:divBdr>
        <w:top w:val="none" w:sz="0" w:space="0" w:color="auto"/>
        <w:left w:val="none" w:sz="0" w:space="0" w:color="auto"/>
        <w:bottom w:val="none" w:sz="0" w:space="0" w:color="auto"/>
        <w:right w:val="none" w:sz="0" w:space="0" w:color="auto"/>
      </w:divBdr>
    </w:div>
    <w:div w:id="1266498582">
      <w:bodyDiv w:val="1"/>
      <w:marLeft w:val="0"/>
      <w:marRight w:val="0"/>
      <w:marTop w:val="0"/>
      <w:marBottom w:val="0"/>
      <w:divBdr>
        <w:top w:val="none" w:sz="0" w:space="0" w:color="auto"/>
        <w:left w:val="none" w:sz="0" w:space="0" w:color="auto"/>
        <w:bottom w:val="none" w:sz="0" w:space="0" w:color="auto"/>
        <w:right w:val="none" w:sz="0" w:space="0" w:color="auto"/>
      </w:divBdr>
    </w:div>
    <w:div w:id="1269463214">
      <w:bodyDiv w:val="1"/>
      <w:marLeft w:val="0"/>
      <w:marRight w:val="0"/>
      <w:marTop w:val="0"/>
      <w:marBottom w:val="0"/>
      <w:divBdr>
        <w:top w:val="none" w:sz="0" w:space="0" w:color="auto"/>
        <w:left w:val="none" w:sz="0" w:space="0" w:color="auto"/>
        <w:bottom w:val="none" w:sz="0" w:space="0" w:color="auto"/>
        <w:right w:val="none" w:sz="0" w:space="0" w:color="auto"/>
      </w:divBdr>
    </w:div>
    <w:div w:id="1273513035">
      <w:bodyDiv w:val="1"/>
      <w:marLeft w:val="0"/>
      <w:marRight w:val="0"/>
      <w:marTop w:val="0"/>
      <w:marBottom w:val="0"/>
      <w:divBdr>
        <w:top w:val="none" w:sz="0" w:space="0" w:color="auto"/>
        <w:left w:val="none" w:sz="0" w:space="0" w:color="auto"/>
        <w:bottom w:val="none" w:sz="0" w:space="0" w:color="auto"/>
        <w:right w:val="none" w:sz="0" w:space="0" w:color="auto"/>
      </w:divBdr>
    </w:div>
    <w:div w:id="1277903388">
      <w:bodyDiv w:val="1"/>
      <w:marLeft w:val="0"/>
      <w:marRight w:val="0"/>
      <w:marTop w:val="0"/>
      <w:marBottom w:val="0"/>
      <w:divBdr>
        <w:top w:val="none" w:sz="0" w:space="0" w:color="auto"/>
        <w:left w:val="none" w:sz="0" w:space="0" w:color="auto"/>
        <w:bottom w:val="none" w:sz="0" w:space="0" w:color="auto"/>
        <w:right w:val="none" w:sz="0" w:space="0" w:color="auto"/>
      </w:divBdr>
    </w:div>
    <w:div w:id="1282112567">
      <w:bodyDiv w:val="1"/>
      <w:marLeft w:val="0"/>
      <w:marRight w:val="0"/>
      <w:marTop w:val="0"/>
      <w:marBottom w:val="0"/>
      <w:divBdr>
        <w:top w:val="none" w:sz="0" w:space="0" w:color="auto"/>
        <w:left w:val="none" w:sz="0" w:space="0" w:color="auto"/>
        <w:bottom w:val="none" w:sz="0" w:space="0" w:color="auto"/>
        <w:right w:val="none" w:sz="0" w:space="0" w:color="auto"/>
      </w:divBdr>
    </w:div>
    <w:div w:id="1296906940">
      <w:bodyDiv w:val="1"/>
      <w:marLeft w:val="0"/>
      <w:marRight w:val="0"/>
      <w:marTop w:val="0"/>
      <w:marBottom w:val="0"/>
      <w:divBdr>
        <w:top w:val="none" w:sz="0" w:space="0" w:color="auto"/>
        <w:left w:val="none" w:sz="0" w:space="0" w:color="auto"/>
        <w:bottom w:val="none" w:sz="0" w:space="0" w:color="auto"/>
        <w:right w:val="none" w:sz="0" w:space="0" w:color="auto"/>
      </w:divBdr>
    </w:div>
    <w:div w:id="1298098804">
      <w:bodyDiv w:val="1"/>
      <w:marLeft w:val="0"/>
      <w:marRight w:val="0"/>
      <w:marTop w:val="0"/>
      <w:marBottom w:val="0"/>
      <w:divBdr>
        <w:top w:val="none" w:sz="0" w:space="0" w:color="auto"/>
        <w:left w:val="none" w:sz="0" w:space="0" w:color="auto"/>
        <w:bottom w:val="none" w:sz="0" w:space="0" w:color="auto"/>
        <w:right w:val="none" w:sz="0" w:space="0" w:color="auto"/>
      </w:divBdr>
    </w:div>
    <w:div w:id="1307585646">
      <w:bodyDiv w:val="1"/>
      <w:marLeft w:val="0"/>
      <w:marRight w:val="0"/>
      <w:marTop w:val="0"/>
      <w:marBottom w:val="0"/>
      <w:divBdr>
        <w:top w:val="none" w:sz="0" w:space="0" w:color="auto"/>
        <w:left w:val="none" w:sz="0" w:space="0" w:color="auto"/>
        <w:bottom w:val="none" w:sz="0" w:space="0" w:color="auto"/>
        <w:right w:val="none" w:sz="0" w:space="0" w:color="auto"/>
      </w:divBdr>
    </w:div>
    <w:div w:id="1315835541">
      <w:bodyDiv w:val="1"/>
      <w:marLeft w:val="0"/>
      <w:marRight w:val="0"/>
      <w:marTop w:val="0"/>
      <w:marBottom w:val="0"/>
      <w:divBdr>
        <w:top w:val="none" w:sz="0" w:space="0" w:color="auto"/>
        <w:left w:val="none" w:sz="0" w:space="0" w:color="auto"/>
        <w:bottom w:val="none" w:sz="0" w:space="0" w:color="auto"/>
        <w:right w:val="none" w:sz="0" w:space="0" w:color="auto"/>
      </w:divBdr>
    </w:div>
    <w:div w:id="1317539101">
      <w:bodyDiv w:val="1"/>
      <w:marLeft w:val="0"/>
      <w:marRight w:val="0"/>
      <w:marTop w:val="0"/>
      <w:marBottom w:val="0"/>
      <w:divBdr>
        <w:top w:val="none" w:sz="0" w:space="0" w:color="auto"/>
        <w:left w:val="none" w:sz="0" w:space="0" w:color="auto"/>
        <w:bottom w:val="none" w:sz="0" w:space="0" w:color="auto"/>
        <w:right w:val="none" w:sz="0" w:space="0" w:color="auto"/>
      </w:divBdr>
    </w:div>
    <w:div w:id="1319766516">
      <w:bodyDiv w:val="1"/>
      <w:marLeft w:val="0"/>
      <w:marRight w:val="0"/>
      <w:marTop w:val="0"/>
      <w:marBottom w:val="0"/>
      <w:divBdr>
        <w:top w:val="none" w:sz="0" w:space="0" w:color="auto"/>
        <w:left w:val="none" w:sz="0" w:space="0" w:color="auto"/>
        <w:bottom w:val="none" w:sz="0" w:space="0" w:color="auto"/>
        <w:right w:val="none" w:sz="0" w:space="0" w:color="auto"/>
      </w:divBdr>
    </w:div>
    <w:div w:id="1323699055">
      <w:bodyDiv w:val="1"/>
      <w:marLeft w:val="0"/>
      <w:marRight w:val="0"/>
      <w:marTop w:val="0"/>
      <w:marBottom w:val="0"/>
      <w:divBdr>
        <w:top w:val="none" w:sz="0" w:space="0" w:color="auto"/>
        <w:left w:val="none" w:sz="0" w:space="0" w:color="auto"/>
        <w:bottom w:val="none" w:sz="0" w:space="0" w:color="auto"/>
        <w:right w:val="none" w:sz="0" w:space="0" w:color="auto"/>
      </w:divBdr>
    </w:div>
    <w:div w:id="1327903688">
      <w:bodyDiv w:val="1"/>
      <w:marLeft w:val="0"/>
      <w:marRight w:val="0"/>
      <w:marTop w:val="0"/>
      <w:marBottom w:val="0"/>
      <w:divBdr>
        <w:top w:val="none" w:sz="0" w:space="0" w:color="auto"/>
        <w:left w:val="none" w:sz="0" w:space="0" w:color="auto"/>
        <w:bottom w:val="none" w:sz="0" w:space="0" w:color="auto"/>
        <w:right w:val="none" w:sz="0" w:space="0" w:color="auto"/>
      </w:divBdr>
    </w:div>
    <w:div w:id="1336957292">
      <w:bodyDiv w:val="1"/>
      <w:marLeft w:val="0"/>
      <w:marRight w:val="0"/>
      <w:marTop w:val="0"/>
      <w:marBottom w:val="0"/>
      <w:divBdr>
        <w:top w:val="none" w:sz="0" w:space="0" w:color="auto"/>
        <w:left w:val="none" w:sz="0" w:space="0" w:color="auto"/>
        <w:bottom w:val="none" w:sz="0" w:space="0" w:color="auto"/>
        <w:right w:val="none" w:sz="0" w:space="0" w:color="auto"/>
      </w:divBdr>
    </w:div>
    <w:div w:id="1350183630">
      <w:bodyDiv w:val="1"/>
      <w:marLeft w:val="0"/>
      <w:marRight w:val="0"/>
      <w:marTop w:val="0"/>
      <w:marBottom w:val="0"/>
      <w:divBdr>
        <w:top w:val="none" w:sz="0" w:space="0" w:color="auto"/>
        <w:left w:val="none" w:sz="0" w:space="0" w:color="auto"/>
        <w:bottom w:val="none" w:sz="0" w:space="0" w:color="auto"/>
        <w:right w:val="none" w:sz="0" w:space="0" w:color="auto"/>
      </w:divBdr>
    </w:div>
    <w:div w:id="1353216417">
      <w:bodyDiv w:val="1"/>
      <w:marLeft w:val="0"/>
      <w:marRight w:val="0"/>
      <w:marTop w:val="0"/>
      <w:marBottom w:val="0"/>
      <w:divBdr>
        <w:top w:val="none" w:sz="0" w:space="0" w:color="auto"/>
        <w:left w:val="none" w:sz="0" w:space="0" w:color="auto"/>
        <w:bottom w:val="none" w:sz="0" w:space="0" w:color="auto"/>
        <w:right w:val="none" w:sz="0" w:space="0" w:color="auto"/>
      </w:divBdr>
    </w:div>
    <w:div w:id="1357190943">
      <w:bodyDiv w:val="1"/>
      <w:marLeft w:val="0"/>
      <w:marRight w:val="0"/>
      <w:marTop w:val="0"/>
      <w:marBottom w:val="0"/>
      <w:divBdr>
        <w:top w:val="none" w:sz="0" w:space="0" w:color="auto"/>
        <w:left w:val="none" w:sz="0" w:space="0" w:color="auto"/>
        <w:bottom w:val="none" w:sz="0" w:space="0" w:color="auto"/>
        <w:right w:val="none" w:sz="0" w:space="0" w:color="auto"/>
      </w:divBdr>
    </w:div>
    <w:div w:id="1377193880">
      <w:bodyDiv w:val="1"/>
      <w:marLeft w:val="0"/>
      <w:marRight w:val="0"/>
      <w:marTop w:val="0"/>
      <w:marBottom w:val="0"/>
      <w:divBdr>
        <w:top w:val="none" w:sz="0" w:space="0" w:color="auto"/>
        <w:left w:val="none" w:sz="0" w:space="0" w:color="auto"/>
        <w:bottom w:val="none" w:sz="0" w:space="0" w:color="auto"/>
        <w:right w:val="none" w:sz="0" w:space="0" w:color="auto"/>
      </w:divBdr>
    </w:div>
    <w:div w:id="1385180315">
      <w:bodyDiv w:val="1"/>
      <w:marLeft w:val="0"/>
      <w:marRight w:val="0"/>
      <w:marTop w:val="0"/>
      <w:marBottom w:val="0"/>
      <w:divBdr>
        <w:top w:val="none" w:sz="0" w:space="0" w:color="auto"/>
        <w:left w:val="none" w:sz="0" w:space="0" w:color="auto"/>
        <w:bottom w:val="none" w:sz="0" w:space="0" w:color="auto"/>
        <w:right w:val="none" w:sz="0" w:space="0" w:color="auto"/>
      </w:divBdr>
    </w:div>
    <w:div w:id="1387685896">
      <w:bodyDiv w:val="1"/>
      <w:marLeft w:val="0"/>
      <w:marRight w:val="0"/>
      <w:marTop w:val="0"/>
      <w:marBottom w:val="0"/>
      <w:divBdr>
        <w:top w:val="none" w:sz="0" w:space="0" w:color="auto"/>
        <w:left w:val="none" w:sz="0" w:space="0" w:color="auto"/>
        <w:bottom w:val="none" w:sz="0" w:space="0" w:color="auto"/>
        <w:right w:val="none" w:sz="0" w:space="0" w:color="auto"/>
      </w:divBdr>
    </w:div>
    <w:div w:id="1394817739">
      <w:bodyDiv w:val="1"/>
      <w:marLeft w:val="0"/>
      <w:marRight w:val="0"/>
      <w:marTop w:val="0"/>
      <w:marBottom w:val="0"/>
      <w:divBdr>
        <w:top w:val="none" w:sz="0" w:space="0" w:color="auto"/>
        <w:left w:val="none" w:sz="0" w:space="0" w:color="auto"/>
        <w:bottom w:val="none" w:sz="0" w:space="0" w:color="auto"/>
        <w:right w:val="none" w:sz="0" w:space="0" w:color="auto"/>
      </w:divBdr>
    </w:div>
    <w:div w:id="1396010088">
      <w:bodyDiv w:val="1"/>
      <w:marLeft w:val="0"/>
      <w:marRight w:val="0"/>
      <w:marTop w:val="0"/>
      <w:marBottom w:val="0"/>
      <w:divBdr>
        <w:top w:val="none" w:sz="0" w:space="0" w:color="auto"/>
        <w:left w:val="none" w:sz="0" w:space="0" w:color="auto"/>
        <w:bottom w:val="none" w:sz="0" w:space="0" w:color="auto"/>
        <w:right w:val="none" w:sz="0" w:space="0" w:color="auto"/>
      </w:divBdr>
    </w:div>
    <w:div w:id="1396584436">
      <w:bodyDiv w:val="1"/>
      <w:marLeft w:val="0"/>
      <w:marRight w:val="0"/>
      <w:marTop w:val="0"/>
      <w:marBottom w:val="0"/>
      <w:divBdr>
        <w:top w:val="none" w:sz="0" w:space="0" w:color="auto"/>
        <w:left w:val="none" w:sz="0" w:space="0" w:color="auto"/>
        <w:bottom w:val="none" w:sz="0" w:space="0" w:color="auto"/>
        <w:right w:val="none" w:sz="0" w:space="0" w:color="auto"/>
      </w:divBdr>
    </w:div>
    <w:div w:id="1396929612">
      <w:bodyDiv w:val="1"/>
      <w:marLeft w:val="0"/>
      <w:marRight w:val="0"/>
      <w:marTop w:val="0"/>
      <w:marBottom w:val="0"/>
      <w:divBdr>
        <w:top w:val="none" w:sz="0" w:space="0" w:color="auto"/>
        <w:left w:val="none" w:sz="0" w:space="0" w:color="auto"/>
        <w:bottom w:val="none" w:sz="0" w:space="0" w:color="auto"/>
        <w:right w:val="none" w:sz="0" w:space="0" w:color="auto"/>
      </w:divBdr>
    </w:div>
    <w:div w:id="1413967359">
      <w:bodyDiv w:val="1"/>
      <w:marLeft w:val="0"/>
      <w:marRight w:val="0"/>
      <w:marTop w:val="0"/>
      <w:marBottom w:val="0"/>
      <w:divBdr>
        <w:top w:val="none" w:sz="0" w:space="0" w:color="auto"/>
        <w:left w:val="none" w:sz="0" w:space="0" w:color="auto"/>
        <w:bottom w:val="none" w:sz="0" w:space="0" w:color="auto"/>
        <w:right w:val="none" w:sz="0" w:space="0" w:color="auto"/>
      </w:divBdr>
    </w:div>
    <w:div w:id="1415130605">
      <w:bodyDiv w:val="1"/>
      <w:marLeft w:val="0"/>
      <w:marRight w:val="0"/>
      <w:marTop w:val="0"/>
      <w:marBottom w:val="0"/>
      <w:divBdr>
        <w:top w:val="none" w:sz="0" w:space="0" w:color="auto"/>
        <w:left w:val="none" w:sz="0" w:space="0" w:color="auto"/>
        <w:bottom w:val="none" w:sz="0" w:space="0" w:color="auto"/>
        <w:right w:val="none" w:sz="0" w:space="0" w:color="auto"/>
      </w:divBdr>
    </w:div>
    <w:div w:id="1420907106">
      <w:bodyDiv w:val="1"/>
      <w:marLeft w:val="0"/>
      <w:marRight w:val="0"/>
      <w:marTop w:val="0"/>
      <w:marBottom w:val="0"/>
      <w:divBdr>
        <w:top w:val="none" w:sz="0" w:space="0" w:color="auto"/>
        <w:left w:val="none" w:sz="0" w:space="0" w:color="auto"/>
        <w:bottom w:val="none" w:sz="0" w:space="0" w:color="auto"/>
        <w:right w:val="none" w:sz="0" w:space="0" w:color="auto"/>
      </w:divBdr>
    </w:div>
    <w:div w:id="1427727610">
      <w:bodyDiv w:val="1"/>
      <w:marLeft w:val="0"/>
      <w:marRight w:val="0"/>
      <w:marTop w:val="0"/>
      <w:marBottom w:val="0"/>
      <w:divBdr>
        <w:top w:val="none" w:sz="0" w:space="0" w:color="auto"/>
        <w:left w:val="none" w:sz="0" w:space="0" w:color="auto"/>
        <w:bottom w:val="none" w:sz="0" w:space="0" w:color="auto"/>
        <w:right w:val="none" w:sz="0" w:space="0" w:color="auto"/>
      </w:divBdr>
    </w:div>
    <w:div w:id="1432042315">
      <w:bodyDiv w:val="1"/>
      <w:marLeft w:val="0"/>
      <w:marRight w:val="0"/>
      <w:marTop w:val="0"/>
      <w:marBottom w:val="0"/>
      <w:divBdr>
        <w:top w:val="none" w:sz="0" w:space="0" w:color="auto"/>
        <w:left w:val="none" w:sz="0" w:space="0" w:color="auto"/>
        <w:bottom w:val="none" w:sz="0" w:space="0" w:color="auto"/>
        <w:right w:val="none" w:sz="0" w:space="0" w:color="auto"/>
      </w:divBdr>
    </w:div>
    <w:div w:id="1437099343">
      <w:bodyDiv w:val="1"/>
      <w:marLeft w:val="0"/>
      <w:marRight w:val="0"/>
      <w:marTop w:val="0"/>
      <w:marBottom w:val="0"/>
      <w:divBdr>
        <w:top w:val="none" w:sz="0" w:space="0" w:color="auto"/>
        <w:left w:val="none" w:sz="0" w:space="0" w:color="auto"/>
        <w:bottom w:val="none" w:sz="0" w:space="0" w:color="auto"/>
        <w:right w:val="none" w:sz="0" w:space="0" w:color="auto"/>
      </w:divBdr>
    </w:div>
    <w:div w:id="1443109272">
      <w:bodyDiv w:val="1"/>
      <w:marLeft w:val="0"/>
      <w:marRight w:val="0"/>
      <w:marTop w:val="0"/>
      <w:marBottom w:val="0"/>
      <w:divBdr>
        <w:top w:val="none" w:sz="0" w:space="0" w:color="auto"/>
        <w:left w:val="none" w:sz="0" w:space="0" w:color="auto"/>
        <w:bottom w:val="none" w:sz="0" w:space="0" w:color="auto"/>
        <w:right w:val="none" w:sz="0" w:space="0" w:color="auto"/>
      </w:divBdr>
    </w:div>
    <w:div w:id="1446079387">
      <w:bodyDiv w:val="1"/>
      <w:marLeft w:val="0"/>
      <w:marRight w:val="0"/>
      <w:marTop w:val="0"/>
      <w:marBottom w:val="0"/>
      <w:divBdr>
        <w:top w:val="none" w:sz="0" w:space="0" w:color="auto"/>
        <w:left w:val="none" w:sz="0" w:space="0" w:color="auto"/>
        <w:bottom w:val="none" w:sz="0" w:space="0" w:color="auto"/>
        <w:right w:val="none" w:sz="0" w:space="0" w:color="auto"/>
      </w:divBdr>
    </w:div>
    <w:div w:id="1448348323">
      <w:bodyDiv w:val="1"/>
      <w:marLeft w:val="0"/>
      <w:marRight w:val="0"/>
      <w:marTop w:val="0"/>
      <w:marBottom w:val="0"/>
      <w:divBdr>
        <w:top w:val="none" w:sz="0" w:space="0" w:color="auto"/>
        <w:left w:val="none" w:sz="0" w:space="0" w:color="auto"/>
        <w:bottom w:val="none" w:sz="0" w:space="0" w:color="auto"/>
        <w:right w:val="none" w:sz="0" w:space="0" w:color="auto"/>
      </w:divBdr>
    </w:div>
    <w:div w:id="1453935824">
      <w:bodyDiv w:val="1"/>
      <w:marLeft w:val="0"/>
      <w:marRight w:val="0"/>
      <w:marTop w:val="0"/>
      <w:marBottom w:val="0"/>
      <w:divBdr>
        <w:top w:val="none" w:sz="0" w:space="0" w:color="auto"/>
        <w:left w:val="none" w:sz="0" w:space="0" w:color="auto"/>
        <w:bottom w:val="none" w:sz="0" w:space="0" w:color="auto"/>
        <w:right w:val="none" w:sz="0" w:space="0" w:color="auto"/>
      </w:divBdr>
    </w:div>
    <w:div w:id="1459951014">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2924413">
      <w:bodyDiv w:val="1"/>
      <w:marLeft w:val="0"/>
      <w:marRight w:val="0"/>
      <w:marTop w:val="0"/>
      <w:marBottom w:val="0"/>
      <w:divBdr>
        <w:top w:val="none" w:sz="0" w:space="0" w:color="auto"/>
        <w:left w:val="none" w:sz="0" w:space="0" w:color="auto"/>
        <w:bottom w:val="none" w:sz="0" w:space="0" w:color="auto"/>
        <w:right w:val="none" w:sz="0" w:space="0" w:color="auto"/>
      </w:divBdr>
    </w:div>
    <w:div w:id="1481384194">
      <w:bodyDiv w:val="1"/>
      <w:marLeft w:val="0"/>
      <w:marRight w:val="0"/>
      <w:marTop w:val="0"/>
      <w:marBottom w:val="0"/>
      <w:divBdr>
        <w:top w:val="none" w:sz="0" w:space="0" w:color="auto"/>
        <w:left w:val="none" w:sz="0" w:space="0" w:color="auto"/>
        <w:bottom w:val="none" w:sz="0" w:space="0" w:color="auto"/>
        <w:right w:val="none" w:sz="0" w:space="0" w:color="auto"/>
      </w:divBdr>
    </w:div>
    <w:div w:id="1485273346">
      <w:bodyDiv w:val="1"/>
      <w:marLeft w:val="0"/>
      <w:marRight w:val="0"/>
      <w:marTop w:val="0"/>
      <w:marBottom w:val="0"/>
      <w:divBdr>
        <w:top w:val="none" w:sz="0" w:space="0" w:color="auto"/>
        <w:left w:val="none" w:sz="0" w:space="0" w:color="auto"/>
        <w:bottom w:val="none" w:sz="0" w:space="0" w:color="auto"/>
        <w:right w:val="none" w:sz="0" w:space="0" w:color="auto"/>
      </w:divBdr>
    </w:div>
    <w:div w:id="1486162048">
      <w:bodyDiv w:val="1"/>
      <w:marLeft w:val="0"/>
      <w:marRight w:val="0"/>
      <w:marTop w:val="0"/>
      <w:marBottom w:val="0"/>
      <w:divBdr>
        <w:top w:val="none" w:sz="0" w:space="0" w:color="auto"/>
        <w:left w:val="none" w:sz="0" w:space="0" w:color="auto"/>
        <w:bottom w:val="none" w:sz="0" w:space="0" w:color="auto"/>
        <w:right w:val="none" w:sz="0" w:space="0" w:color="auto"/>
      </w:divBdr>
    </w:div>
    <w:div w:id="1488520602">
      <w:bodyDiv w:val="1"/>
      <w:marLeft w:val="0"/>
      <w:marRight w:val="0"/>
      <w:marTop w:val="0"/>
      <w:marBottom w:val="0"/>
      <w:divBdr>
        <w:top w:val="none" w:sz="0" w:space="0" w:color="auto"/>
        <w:left w:val="none" w:sz="0" w:space="0" w:color="auto"/>
        <w:bottom w:val="none" w:sz="0" w:space="0" w:color="auto"/>
        <w:right w:val="none" w:sz="0" w:space="0" w:color="auto"/>
      </w:divBdr>
    </w:div>
    <w:div w:id="1504280033">
      <w:bodyDiv w:val="1"/>
      <w:marLeft w:val="0"/>
      <w:marRight w:val="0"/>
      <w:marTop w:val="0"/>
      <w:marBottom w:val="0"/>
      <w:divBdr>
        <w:top w:val="none" w:sz="0" w:space="0" w:color="auto"/>
        <w:left w:val="none" w:sz="0" w:space="0" w:color="auto"/>
        <w:bottom w:val="none" w:sz="0" w:space="0" w:color="auto"/>
        <w:right w:val="none" w:sz="0" w:space="0" w:color="auto"/>
      </w:divBdr>
    </w:div>
    <w:div w:id="1510754872">
      <w:bodyDiv w:val="1"/>
      <w:marLeft w:val="0"/>
      <w:marRight w:val="0"/>
      <w:marTop w:val="0"/>
      <w:marBottom w:val="0"/>
      <w:divBdr>
        <w:top w:val="none" w:sz="0" w:space="0" w:color="auto"/>
        <w:left w:val="none" w:sz="0" w:space="0" w:color="auto"/>
        <w:bottom w:val="none" w:sz="0" w:space="0" w:color="auto"/>
        <w:right w:val="none" w:sz="0" w:space="0" w:color="auto"/>
      </w:divBdr>
    </w:div>
    <w:div w:id="1518735527">
      <w:bodyDiv w:val="1"/>
      <w:marLeft w:val="0"/>
      <w:marRight w:val="0"/>
      <w:marTop w:val="0"/>
      <w:marBottom w:val="0"/>
      <w:divBdr>
        <w:top w:val="none" w:sz="0" w:space="0" w:color="auto"/>
        <w:left w:val="none" w:sz="0" w:space="0" w:color="auto"/>
        <w:bottom w:val="none" w:sz="0" w:space="0" w:color="auto"/>
        <w:right w:val="none" w:sz="0" w:space="0" w:color="auto"/>
      </w:divBdr>
    </w:div>
    <w:div w:id="1522353582">
      <w:bodyDiv w:val="1"/>
      <w:marLeft w:val="0"/>
      <w:marRight w:val="0"/>
      <w:marTop w:val="0"/>
      <w:marBottom w:val="0"/>
      <w:divBdr>
        <w:top w:val="none" w:sz="0" w:space="0" w:color="auto"/>
        <w:left w:val="none" w:sz="0" w:space="0" w:color="auto"/>
        <w:bottom w:val="none" w:sz="0" w:space="0" w:color="auto"/>
        <w:right w:val="none" w:sz="0" w:space="0" w:color="auto"/>
      </w:divBdr>
    </w:div>
    <w:div w:id="1531917463">
      <w:bodyDiv w:val="1"/>
      <w:marLeft w:val="0"/>
      <w:marRight w:val="0"/>
      <w:marTop w:val="0"/>
      <w:marBottom w:val="0"/>
      <w:divBdr>
        <w:top w:val="none" w:sz="0" w:space="0" w:color="auto"/>
        <w:left w:val="none" w:sz="0" w:space="0" w:color="auto"/>
        <w:bottom w:val="none" w:sz="0" w:space="0" w:color="auto"/>
        <w:right w:val="none" w:sz="0" w:space="0" w:color="auto"/>
      </w:divBdr>
    </w:div>
    <w:div w:id="1545405387">
      <w:bodyDiv w:val="1"/>
      <w:marLeft w:val="0"/>
      <w:marRight w:val="0"/>
      <w:marTop w:val="0"/>
      <w:marBottom w:val="0"/>
      <w:divBdr>
        <w:top w:val="none" w:sz="0" w:space="0" w:color="auto"/>
        <w:left w:val="none" w:sz="0" w:space="0" w:color="auto"/>
        <w:bottom w:val="none" w:sz="0" w:space="0" w:color="auto"/>
        <w:right w:val="none" w:sz="0" w:space="0" w:color="auto"/>
      </w:divBdr>
    </w:div>
    <w:div w:id="1560170564">
      <w:bodyDiv w:val="1"/>
      <w:marLeft w:val="0"/>
      <w:marRight w:val="0"/>
      <w:marTop w:val="0"/>
      <w:marBottom w:val="0"/>
      <w:divBdr>
        <w:top w:val="none" w:sz="0" w:space="0" w:color="auto"/>
        <w:left w:val="none" w:sz="0" w:space="0" w:color="auto"/>
        <w:bottom w:val="none" w:sz="0" w:space="0" w:color="auto"/>
        <w:right w:val="none" w:sz="0" w:space="0" w:color="auto"/>
      </w:divBdr>
    </w:div>
    <w:div w:id="1563054274">
      <w:bodyDiv w:val="1"/>
      <w:marLeft w:val="0"/>
      <w:marRight w:val="0"/>
      <w:marTop w:val="0"/>
      <w:marBottom w:val="0"/>
      <w:divBdr>
        <w:top w:val="none" w:sz="0" w:space="0" w:color="auto"/>
        <w:left w:val="none" w:sz="0" w:space="0" w:color="auto"/>
        <w:bottom w:val="none" w:sz="0" w:space="0" w:color="auto"/>
        <w:right w:val="none" w:sz="0" w:space="0" w:color="auto"/>
      </w:divBdr>
    </w:div>
    <w:div w:id="1567758555">
      <w:bodyDiv w:val="1"/>
      <w:marLeft w:val="0"/>
      <w:marRight w:val="0"/>
      <w:marTop w:val="0"/>
      <w:marBottom w:val="0"/>
      <w:divBdr>
        <w:top w:val="none" w:sz="0" w:space="0" w:color="auto"/>
        <w:left w:val="none" w:sz="0" w:space="0" w:color="auto"/>
        <w:bottom w:val="none" w:sz="0" w:space="0" w:color="auto"/>
        <w:right w:val="none" w:sz="0" w:space="0" w:color="auto"/>
      </w:divBdr>
    </w:div>
    <w:div w:id="1573730482">
      <w:bodyDiv w:val="1"/>
      <w:marLeft w:val="0"/>
      <w:marRight w:val="0"/>
      <w:marTop w:val="0"/>
      <w:marBottom w:val="0"/>
      <w:divBdr>
        <w:top w:val="none" w:sz="0" w:space="0" w:color="auto"/>
        <w:left w:val="none" w:sz="0" w:space="0" w:color="auto"/>
        <w:bottom w:val="none" w:sz="0" w:space="0" w:color="auto"/>
        <w:right w:val="none" w:sz="0" w:space="0" w:color="auto"/>
      </w:divBdr>
    </w:div>
    <w:div w:id="1573812494">
      <w:bodyDiv w:val="1"/>
      <w:marLeft w:val="0"/>
      <w:marRight w:val="0"/>
      <w:marTop w:val="0"/>
      <w:marBottom w:val="0"/>
      <w:divBdr>
        <w:top w:val="none" w:sz="0" w:space="0" w:color="auto"/>
        <w:left w:val="none" w:sz="0" w:space="0" w:color="auto"/>
        <w:bottom w:val="none" w:sz="0" w:space="0" w:color="auto"/>
        <w:right w:val="none" w:sz="0" w:space="0" w:color="auto"/>
      </w:divBdr>
    </w:div>
    <w:div w:id="1578593318">
      <w:bodyDiv w:val="1"/>
      <w:marLeft w:val="0"/>
      <w:marRight w:val="0"/>
      <w:marTop w:val="0"/>
      <w:marBottom w:val="0"/>
      <w:divBdr>
        <w:top w:val="none" w:sz="0" w:space="0" w:color="auto"/>
        <w:left w:val="none" w:sz="0" w:space="0" w:color="auto"/>
        <w:bottom w:val="none" w:sz="0" w:space="0" w:color="auto"/>
        <w:right w:val="none" w:sz="0" w:space="0" w:color="auto"/>
      </w:divBdr>
    </w:div>
    <w:div w:id="1581016090">
      <w:bodyDiv w:val="1"/>
      <w:marLeft w:val="0"/>
      <w:marRight w:val="0"/>
      <w:marTop w:val="0"/>
      <w:marBottom w:val="0"/>
      <w:divBdr>
        <w:top w:val="none" w:sz="0" w:space="0" w:color="auto"/>
        <w:left w:val="none" w:sz="0" w:space="0" w:color="auto"/>
        <w:bottom w:val="none" w:sz="0" w:space="0" w:color="auto"/>
        <w:right w:val="none" w:sz="0" w:space="0" w:color="auto"/>
      </w:divBdr>
    </w:div>
    <w:div w:id="1587106867">
      <w:bodyDiv w:val="1"/>
      <w:marLeft w:val="0"/>
      <w:marRight w:val="0"/>
      <w:marTop w:val="0"/>
      <w:marBottom w:val="0"/>
      <w:divBdr>
        <w:top w:val="none" w:sz="0" w:space="0" w:color="auto"/>
        <w:left w:val="none" w:sz="0" w:space="0" w:color="auto"/>
        <w:bottom w:val="none" w:sz="0" w:space="0" w:color="auto"/>
        <w:right w:val="none" w:sz="0" w:space="0" w:color="auto"/>
      </w:divBdr>
    </w:div>
    <w:div w:id="1588344316">
      <w:bodyDiv w:val="1"/>
      <w:marLeft w:val="0"/>
      <w:marRight w:val="0"/>
      <w:marTop w:val="0"/>
      <w:marBottom w:val="0"/>
      <w:divBdr>
        <w:top w:val="none" w:sz="0" w:space="0" w:color="auto"/>
        <w:left w:val="none" w:sz="0" w:space="0" w:color="auto"/>
        <w:bottom w:val="none" w:sz="0" w:space="0" w:color="auto"/>
        <w:right w:val="none" w:sz="0" w:space="0" w:color="auto"/>
      </w:divBdr>
    </w:div>
    <w:div w:id="1592274218">
      <w:bodyDiv w:val="1"/>
      <w:marLeft w:val="0"/>
      <w:marRight w:val="0"/>
      <w:marTop w:val="0"/>
      <w:marBottom w:val="0"/>
      <w:divBdr>
        <w:top w:val="none" w:sz="0" w:space="0" w:color="auto"/>
        <w:left w:val="none" w:sz="0" w:space="0" w:color="auto"/>
        <w:bottom w:val="none" w:sz="0" w:space="0" w:color="auto"/>
        <w:right w:val="none" w:sz="0" w:space="0" w:color="auto"/>
      </w:divBdr>
    </w:div>
    <w:div w:id="1597594883">
      <w:bodyDiv w:val="1"/>
      <w:marLeft w:val="0"/>
      <w:marRight w:val="0"/>
      <w:marTop w:val="0"/>
      <w:marBottom w:val="0"/>
      <w:divBdr>
        <w:top w:val="none" w:sz="0" w:space="0" w:color="auto"/>
        <w:left w:val="none" w:sz="0" w:space="0" w:color="auto"/>
        <w:bottom w:val="none" w:sz="0" w:space="0" w:color="auto"/>
        <w:right w:val="none" w:sz="0" w:space="0" w:color="auto"/>
      </w:divBdr>
    </w:div>
    <w:div w:id="1602109492">
      <w:bodyDiv w:val="1"/>
      <w:marLeft w:val="0"/>
      <w:marRight w:val="0"/>
      <w:marTop w:val="0"/>
      <w:marBottom w:val="0"/>
      <w:divBdr>
        <w:top w:val="none" w:sz="0" w:space="0" w:color="auto"/>
        <w:left w:val="none" w:sz="0" w:space="0" w:color="auto"/>
        <w:bottom w:val="none" w:sz="0" w:space="0" w:color="auto"/>
        <w:right w:val="none" w:sz="0" w:space="0" w:color="auto"/>
      </w:divBdr>
    </w:div>
    <w:div w:id="1611546565">
      <w:bodyDiv w:val="1"/>
      <w:marLeft w:val="0"/>
      <w:marRight w:val="0"/>
      <w:marTop w:val="0"/>
      <w:marBottom w:val="0"/>
      <w:divBdr>
        <w:top w:val="none" w:sz="0" w:space="0" w:color="auto"/>
        <w:left w:val="none" w:sz="0" w:space="0" w:color="auto"/>
        <w:bottom w:val="none" w:sz="0" w:space="0" w:color="auto"/>
        <w:right w:val="none" w:sz="0" w:space="0" w:color="auto"/>
      </w:divBdr>
    </w:div>
    <w:div w:id="1617642583">
      <w:bodyDiv w:val="1"/>
      <w:marLeft w:val="0"/>
      <w:marRight w:val="0"/>
      <w:marTop w:val="0"/>
      <w:marBottom w:val="0"/>
      <w:divBdr>
        <w:top w:val="none" w:sz="0" w:space="0" w:color="auto"/>
        <w:left w:val="none" w:sz="0" w:space="0" w:color="auto"/>
        <w:bottom w:val="none" w:sz="0" w:space="0" w:color="auto"/>
        <w:right w:val="none" w:sz="0" w:space="0" w:color="auto"/>
      </w:divBdr>
    </w:div>
    <w:div w:id="1622179279">
      <w:bodyDiv w:val="1"/>
      <w:marLeft w:val="0"/>
      <w:marRight w:val="0"/>
      <w:marTop w:val="0"/>
      <w:marBottom w:val="0"/>
      <w:divBdr>
        <w:top w:val="none" w:sz="0" w:space="0" w:color="auto"/>
        <w:left w:val="none" w:sz="0" w:space="0" w:color="auto"/>
        <w:bottom w:val="none" w:sz="0" w:space="0" w:color="auto"/>
        <w:right w:val="none" w:sz="0" w:space="0" w:color="auto"/>
      </w:divBdr>
    </w:div>
    <w:div w:id="1623875151">
      <w:bodyDiv w:val="1"/>
      <w:marLeft w:val="0"/>
      <w:marRight w:val="0"/>
      <w:marTop w:val="0"/>
      <w:marBottom w:val="0"/>
      <w:divBdr>
        <w:top w:val="none" w:sz="0" w:space="0" w:color="auto"/>
        <w:left w:val="none" w:sz="0" w:space="0" w:color="auto"/>
        <w:bottom w:val="none" w:sz="0" w:space="0" w:color="auto"/>
        <w:right w:val="none" w:sz="0" w:space="0" w:color="auto"/>
      </w:divBdr>
    </w:div>
    <w:div w:id="1625194095">
      <w:bodyDiv w:val="1"/>
      <w:marLeft w:val="0"/>
      <w:marRight w:val="0"/>
      <w:marTop w:val="0"/>
      <w:marBottom w:val="0"/>
      <w:divBdr>
        <w:top w:val="none" w:sz="0" w:space="0" w:color="auto"/>
        <w:left w:val="none" w:sz="0" w:space="0" w:color="auto"/>
        <w:bottom w:val="none" w:sz="0" w:space="0" w:color="auto"/>
        <w:right w:val="none" w:sz="0" w:space="0" w:color="auto"/>
      </w:divBdr>
    </w:div>
    <w:div w:id="1625384341">
      <w:bodyDiv w:val="1"/>
      <w:marLeft w:val="0"/>
      <w:marRight w:val="0"/>
      <w:marTop w:val="0"/>
      <w:marBottom w:val="0"/>
      <w:divBdr>
        <w:top w:val="none" w:sz="0" w:space="0" w:color="auto"/>
        <w:left w:val="none" w:sz="0" w:space="0" w:color="auto"/>
        <w:bottom w:val="none" w:sz="0" w:space="0" w:color="auto"/>
        <w:right w:val="none" w:sz="0" w:space="0" w:color="auto"/>
      </w:divBdr>
    </w:div>
    <w:div w:id="1625768123">
      <w:bodyDiv w:val="1"/>
      <w:marLeft w:val="0"/>
      <w:marRight w:val="0"/>
      <w:marTop w:val="0"/>
      <w:marBottom w:val="0"/>
      <w:divBdr>
        <w:top w:val="none" w:sz="0" w:space="0" w:color="auto"/>
        <w:left w:val="none" w:sz="0" w:space="0" w:color="auto"/>
        <w:bottom w:val="none" w:sz="0" w:space="0" w:color="auto"/>
        <w:right w:val="none" w:sz="0" w:space="0" w:color="auto"/>
      </w:divBdr>
    </w:div>
    <w:div w:id="1634094965">
      <w:bodyDiv w:val="1"/>
      <w:marLeft w:val="0"/>
      <w:marRight w:val="0"/>
      <w:marTop w:val="0"/>
      <w:marBottom w:val="0"/>
      <w:divBdr>
        <w:top w:val="none" w:sz="0" w:space="0" w:color="auto"/>
        <w:left w:val="none" w:sz="0" w:space="0" w:color="auto"/>
        <w:bottom w:val="none" w:sz="0" w:space="0" w:color="auto"/>
        <w:right w:val="none" w:sz="0" w:space="0" w:color="auto"/>
      </w:divBdr>
    </w:div>
    <w:div w:id="1645236853">
      <w:bodyDiv w:val="1"/>
      <w:marLeft w:val="0"/>
      <w:marRight w:val="0"/>
      <w:marTop w:val="0"/>
      <w:marBottom w:val="0"/>
      <w:divBdr>
        <w:top w:val="none" w:sz="0" w:space="0" w:color="auto"/>
        <w:left w:val="none" w:sz="0" w:space="0" w:color="auto"/>
        <w:bottom w:val="none" w:sz="0" w:space="0" w:color="auto"/>
        <w:right w:val="none" w:sz="0" w:space="0" w:color="auto"/>
      </w:divBdr>
    </w:div>
    <w:div w:id="1647784918">
      <w:bodyDiv w:val="1"/>
      <w:marLeft w:val="0"/>
      <w:marRight w:val="0"/>
      <w:marTop w:val="0"/>
      <w:marBottom w:val="0"/>
      <w:divBdr>
        <w:top w:val="none" w:sz="0" w:space="0" w:color="auto"/>
        <w:left w:val="none" w:sz="0" w:space="0" w:color="auto"/>
        <w:bottom w:val="none" w:sz="0" w:space="0" w:color="auto"/>
        <w:right w:val="none" w:sz="0" w:space="0" w:color="auto"/>
      </w:divBdr>
    </w:div>
    <w:div w:id="1654136268">
      <w:bodyDiv w:val="1"/>
      <w:marLeft w:val="0"/>
      <w:marRight w:val="0"/>
      <w:marTop w:val="0"/>
      <w:marBottom w:val="0"/>
      <w:divBdr>
        <w:top w:val="none" w:sz="0" w:space="0" w:color="auto"/>
        <w:left w:val="none" w:sz="0" w:space="0" w:color="auto"/>
        <w:bottom w:val="none" w:sz="0" w:space="0" w:color="auto"/>
        <w:right w:val="none" w:sz="0" w:space="0" w:color="auto"/>
      </w:divBdr>
    </w:div>
    <w:div w:id="1658538287">
      <w:bodyDiv w:val="1"/>
      <w:marLeft w:val="0"/>
      <w:marRight w:val="0"/>
      <w:marTop w:val="0"/>
      <w:marBottom w:val="0"/>
      <w:divBdr>
        <w:top w:val="none" w:sz="0" w:space="0" w:color="auto"/>
        <w:left w:val="none" w:sz="0" w:space="0" w:color="auto"/>
        <w:bottom w:val="none" w:sz="0" w:space="0" w:color="auto"/>
        <w:right w:val="none" w:sz="0" w:space="0" w:color="auto"/>
      </w:divBdr>
    </w:div>
    <w:div w:id="1671567057">
      <w:bodyDiv w:val="1"/>
      <w:marLeft w:val="0"/>
      <w:marRight w:val="0"/>
      <w:marTop w:val="0"/>
      <w:marBottom w:val="0"/>
      <w:divBdr>
        <w:top w:val="none" w:sz="0" w:space="0" w:color="auto"/>
        <w:left w:val="none" w:sz="0" w:space="0" w:color="auto"/>
        <w:bottom w:val="none" w:sz="0" w:space="0" w:color="auto"/>
        <w:right w:val="none" w:sz="0" w:space="0" w:color="auto"/>
      </w:divBdr>
    </w:div>
    <w:div w:id="1678771260">
      <w:bodyDiv w:val="1"/>
      <w:marLeft w:val="0"/>
      <w:marRight w:val="0"/>
      <w:marTop w:val="0"/>
      <w:marBottom w:val="0"/>
      <w:divBdr>
        <w:top w:val="none" w:sz="0" w:space="0" w:color="auto"/>
        <w:left w:val="none" w:sz="0" w:space="0" w:color="auto"/>
        <w:bottom w:val="none" w:sz="0" w:space="0" w:color="auto"/>
        <w:right w:val="none" w:sz="0" w:space="0" w:color="auto"/>
      </w:divBdr>
    </w:div>
    <w:div w:id="1678843490">
      <w:bodyDiv w:val="1"/>
      <w:marLeft w:val="0"/>
      <w:marRight w:val="0"/>
      <w:marTop w:val="0"/>
      <w:marBottom w:val="0"/>
      <w:divBdr>
        <w:top w:val="none" w:sz="0" w:space="0" w:color="auto"/>
        <w:left w:val="none" w:sz="0" w:space="0" w:color="auto"/>
        <w:bottom w:val="none" w:sz="0" w:space="0" w:color="auto"/>
        <w:right w:val="none" w:sz="0" w:space="0" w:color="auto"/>
      </w:divBdr>
    </w:div>
    <w:div w:id="1679042458">
      <w:bodyDiv w:val="1"/>
      <w:marLeft w:val="0"/>
      <w:marRight w:val="0"/>
      <w:marTop w:val="0"/>
      <w:marBottom w:val="0"/>
      <w:divBdr>
        <w:top w:val="none" w:sz="0" w:space="0" w:color="auto"/>
        <w:left w:val="none" w:sz="0" w:space="0" w:color="auto"/>
        <w:bottom w:val="none" w:sz="0" w:space="0" w:color="auto"/>
        <w:right w:val="none" w:sz="0" w:space="0" w:color="auto"/>
      </w:divBdr>
    </w:div>
    <w:div w:id="1698039134">
      <w:bodyDiv w:val="1"/>
      <w:marLeft w:val="0"/>
      <w:marRight w:val="0"/>
      <w:marTop w:val="0"/>
      <w:marBottom w:val="0"/>
      <w:divBdr>
        <w:top w:val="none" w:sz="0" w:space="0" w:color="auto"/>
        <w:left w:val="none" w:sz="0" w:space="0" w:color="auto"/>
        <w:bottom w:val="none" w:sz="0" w:space="0" w:color="auto"/>
        <w:right w:val="none" w:sz="0" w:space="0" w:color="auto"/>
      </w:divBdr>
    </w:div>
    <w:div w:id="1704137701">
      <w:bodyDiv w:val="1"/>
      <w:marLeft w:val="0"/>
      <w:marRight w:val="0"/>
      <w:marTop w:val="0"/>
      <w:marBottom w:val="0"/>
      <w:divBdr>
        <w:top w:val="none" w:sz="0" w:space="0" w:color="auto"/>
        <w:left w:val="none" w:sz="0" w:space="0" w:color="auto"/>
        <w:bottom w:val="none" w:sz="0" w:space="0" w:color="auto"/>
        <w:right w:val="none" w:sz="0" w:space="0" w:color="auto"/>
      </w:divBdr>
    </w:div>
    <w:div w:id="1704162619">
      <w:bodyDiv w:val="1"/>
      <w:marLeft w:val="0"/>
      <w:marRight w:val="0"/>
      <w:marTop w:val="0"/>
      <w:marBottom w:val="0"/>
      <w:divBdr>
        <w:top w:val="none" w:sz="0" w:space="0" w:color="auto"/>
        <w:left w:val="none" w:sz="0" w:space="0" w:color="auto"/>
        <w:bottom w:val="none" w:sz="0" w:space="0" w:color="auto"/>
        <w:right w:val="none" w:sz="0" w:space="0" w:color="auto"/>
      </w:divBdr>
    </w:div>
    <w:div w:id="1734157474">
      <w:bodyDiv w:val="1"/>
      <w:marLeft w:val="0"/>
      <w:marRight w:val="0"/>
      <w:marTop w:val="0"/>
      <w:marBottom w:val="0"/>
      <w:divBdr>
        <w:top w:val="none" w:sz="0" w:space="0" w:color="auto"/>
        <w:left w:val="none" w:sz="0" w:space="0" w:color="auto"/>
        <w:bottom w:val="none" w:sz="0" w:space="0" w:color="auto"/>
        <w:right w:val="none" w:sz="0" w:space="0" w:color="auto"/>
      </w:divBdr>
    </w:div>
    <w:div w:id="1736851636">
      <w:bodyDiv w:val="1"/>
      <w:marLeft w:val="0"/>
      <w:marRight w:val="0"/>
      <w:marTop w:val="0"/>
      <w:marBottom w:val="0"/>
      <w:divBdr>
        <w:top w:val="none" w:sz="0" w:space="0" w:color="auto"/>
        <w:left w:val="none" w:sz="0" w:space="0" w:color="auto"/>
        <w:bottom w:val="none" w:sz="0" w:space="0" w:color="auto"/>
        <w:right w:val="none" w:sz="0" w:space="0" w:color="auto"/>
      </w:divBdr>
    </w:div>
    <w:div w:id="1740054346">
      <w:bodyDiv w:val="1"/>
      <w:marLeft w:val="0"/>
      <w:marRight w:val="0"/>
      <w:marTop w:val="0"/>
      <w:marBottom w:val="0"/>
      <w:divBdr>
        <w:top w:val="none" w:sz="0" w:space="0" w:color="auto"/>
        <w:left w:val="none" w:sz="0" w:space="0" w:color="auto"/>
        <w:bottom w:val="none" w:sz="0" w:space="0" w:color="auto"/>
        <w:right w:val="none" w:sz="0" w:space="0" w:color="auto"/>
      </w:divBdr>
    </w:div>
    <w:div w:id="1742017369">
      <w:bodyDiv w:val="1"/>
      <w:marLeft w:val="0"/>
      <w:marRight w:val="0"/>
      <w:marTop w:val="0"/>
      <w:marBottom w:val="0"/>
      <w:divBdr>
        <w:top w:val="none" w:sz="0" w:space="0" w:color="auto"/>
        <w:left w:val="none" w:sz="0" w:space="0" w:color="auto"/>
        <w:bottom w:val="none" w:sz="0" w:space="0" w:color="auto"/>
        <w:right w:val="none" w:sz="0" w:space="0" w:color="auto"/>
      </w:divBdr>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
    <w:div w:id="1752000745">
      <w:bodyDiv w:val="1"/>
      <w:marLeft w:val="0"/>
      <w:marRight w:val="0"/>
      <w:marTop w:val="0"/>
      <w:marBottom w:val="0"/>
      <w:divBdr>
        <w:top w:val="none" w:sz="0" w:space="0" w:color="auto"/>
        <w:left w:val="none" w:sz="0" w:space="0" w:color="auto"/>
        <w:bottom w:val="none" w:sz="0" w:space="0" w:color="auto"/>
        <w:right w:val="none" w:sz="0" w:space="0" w:color="auto"/>
      </w:divBdr>
    </w:div>
    <w:div w:id="1752005436">
      <w:bodyDiv w:val="1"/>
      <w:marLeft w:val="0"/>
      <w:marRight w:val="0"/>
      <w:marTop w:val="0"/>
      <w:marBottom w:val="0"/>
      <w:divBdr>
        <w:top w:val="none" w:sz="0" w:space="0" w:color="auto"/>
        <w:left w:val="none" w:sz="0" w:space="0" w:color="auto"/>
        <w:bottom w:val="none" w:sz="0" w:space="0" w:color="auto"/>
        <w:right w:val="none" w:sz="0" w:space="0" w:color="auto"/>
      </w:divBdr>
    </w:div>
    <w:div w:id="1752652647">
      <w:bodyDiv w:val="1"/>
      <w:marLeft w:val="0"/>
      <w:marRight w:val="0"/>
      <w:marTop w:val="0"/>
      <w:marBottom w:val="0"/>
      <w:divBdr>
        <w:top w:val="none" w:sz="0" w:space="0" w:color="auto"/>
        <w:left w:val="none" w:sz="0" w:space="0" w:color="auto"/>
        <w:bottom w:val="none" w:sz="0" w:space="0" w:color="auto"/>
        <w:right w:val="none" w:sz="0" w:space="0" w:color="auto"/>
      </w:divBdr>
    </w:div>
    <w:div w:id="1758742545">
      <w:bodyDiv w:val="1"/>
      <w:marLeft w:val="0"/>
      <w:marRight w:val="0"/>
      <w:marTop w:val="0"/>
      <w:marBottom w:val="0"/>
      <w:divBdr>
        <w:top w:val="none" w:sz="0" w:space="0" w:color="auto"/>
        <w:left w:val="none" w:sz="0" w:space="0" w:color="auto"/>
        <w:bottom w:val="none" w:sz="0" w:space="0" w:color="auto"/>
        <w:right w:val="none" w:sz="0" w:space="0" w:color="auto"/>
      </w:divBdr>
    </w:div>
    <w:div w:id="1762601855">
      <w:bodyDiv w:val="1"/>
      <w:marLeft w:val="0"/>
      <w:marRight w:val="0"/>
      <w:marTop w:val="0"/>
      <w:marBottom w:val="0"/>
      <w:divBdr>
        <w:top w:val="none" w:sz="0" w:space="0" w:color="auto"/>
        <w:left w:val="none" w:sz="0" w:space="0" w:color="auto"/>
        <w:bottom w:val="none" w:sz="0" w:space="0" w:color="auto"/>
        <w:right w:val="none" w:sz="0" w:space="0" w:color="auto"/>
      </w:divBdr>
    </w:div>
    <w:div w:id="1771273363">
      <w:bodyDiv w:val="1"/>
      <w:marLeft w:val="0"/>
      <w:marRight w:val="0"/>
      <w:marTop w:val="0"/>
      <w:marBottom w:val="0"/>
      <w:divBdr>
        <w:top w:val="none" w:sz="0" w:space="0" w:color="auto"/>
        <w:left w:val="none" w:sz="0" w:space="0" w:color="auto"/>
        <w:bottom w:val="none" w:sz="0" w:space="0" w:color="auto"/>
        <w:right w:val="none" w:sz="0" w:space="0" w:color="auto"/>
      </w:divBdr>
    </w:div>
    <w:div w:id="1784811995">
      <w:bodyDiv w:val="1"/>
      <w:marLeft w:val="0"/>
      <w:marRight w:val="0"/>
      <w:marTop w:val="0"/>
      <w:marBottom w:val="0"/>
      <w:divBdr>
        <w:top w:val="none" w:sz="0" w:space="0" w:color="auto"/>
        <w:left w:val="none" w:sz="0" w:space="0" w:color="auto"/>
        <w:bottom w:val="none" w:sz="0" w:space="0" w:color="auto"/>
        <w:right w:val="none" w:sz="0" w:space="0" w:color="auto"/>
      </w:divBdr>
    </w:div>
    <w:div w:id="1793396818">
      <w:bodyDiv w:val="1"/>
      <w:marLeft w:val="0"/>
      <w:marRight w:val="0"/>
      <w:marTop w:val="0"/>
      <w:marBottom w:val="0"/>
      <w:divBdr>
        <w:top w:val="none" w:sz="0" w:space="0" w:color="auto"/>
        <w:left w:val="none" w:sz="0" w:space="0" w:color="auto"/>
        <w:bottom w:val="none" w:sz="0" w:space="0" w:color="auto"/>
        <w:right w:val="none" w:sz="0" w:space="0" w:color="auto"/>
      </w:divBdr>
    </w:div>
    <w:div w:id="1808165626">
      <w:bodyDiv w:val="1"/>
      <w:marLeft w:val="0"/>
      <w:marRight w:val="0"/>
      <w:marTop w:val="0"/>
      <w:marBottom w:val="0"/>
      <w:divBdr>
        <w:top w:val="none" w:sz="0" w:space="0" w:color="auto"/>
        <w:left w:val="none" w:sz="0" w:space="0" w:color="auto"/>
        <w:bottom w:val="none" w:sz="0" w:space="0" w:color="auto"/>
        <w:right w:val="none" w:sz="0" w:space="0" w:color="auto"/>
      </w:divBdr>
    </w:div>
    <w:div w:id="1808736538">
      <w:bodyDiv w:val="1"/>
      <w:marLeft w:val="0"/>
      <w:marRight w:val="0"/>
      <w:marTop w:val="0"/>
      <w:marBottom w:val="0"/>
      <w:divBdr>
        <w:top w:val="none" w:sz="0" w:space="0" w:color="auto"/>
        <w:left w:val="none" w:sz="0" w:space="0" w:color="auto"/>
        <w:bottom w:val="none" w:sz="0" w:space="0" w:color="auto"/>
        <w:right w:val="none" w:sz="0" w:space="0" w:color="auto"/>
      </w:divBdr>
    </w:div>
    <w:div w:id="1814643057">
      <w:bodyDiv w:val="1"/>
      <w:marLeft w:val="0"/>
      <w:marRight w:val="0"/>
      <w:marTop w:val="0"/>
      <w:marBottom w:val="0"/>
      <w:divBdr>
        <w:top w:val="none" w:sz="0" w:space="0" w:color="auto"/>
        <w:left w:val="none" w:sz="0" w:space="0" w:color="auto"/>
        <w:bottom w:val="none" w:sz="0" w:space="0" w:color="auto"/>
        <w:right w:val="none" w:sz="0" w:space="0" w:color="auto"/>
      </w:divBdr>
    </w:div>
    <w:div w:id="1820266706">
      <w:bodyDiv w:val="1"/>
      <w:marLeft w:val="0"/>
      <w:marRight w:val="0"/>
      <w:marTop w:val="0"/>
      <w:marBottom w:val="0"/>
      <w:divBdr>
        <w:top w:val="none" w:sz="0" w:space="0" w:color="auto"/>
        <w:left w:val="none" w:sz="0" w:space="0" w:color="auto"/>
        <w:bottom w:val="none" w:sz="0" w:space="0" w:color="auto"/>
        <w:right w:val="none" w:sz="0" w:space="0" w:color="auto"/>
      </w:divBdr>
    </w:div>
    <w:div w:id="1822499756">
      <w:bodyDiv w:val="1"/>
      <w:marLeft w:val="0"/>
      <w:marRight w:val="0"/>
      <w:marTop w:val="0"/>
      <w:marBottom w:val="0"/>
      <w:divBdr>
        <w:top w:val="none" w:sz="0" w:space="0" w:color="auto"/>
        <w:left w:val="none" w:sz="0" w:space="0" w:color="auto"/>
        <w:bottom w:val="none" w:sz="0" w:space="0" w:color="auto"/>
        <w:right w:val="none" w:sz="0" w:space="0" w:color="auto"/>
      </w:divBdr>
    </w:div>
    <w:div w:id="1835098192">
      <w:bodyDiv w:val="1"/>
      <w:marLeft w:val="0"/>
      <w:marRight w:val="0"/>
      <w:marTop w:val="0"/>
      <w:marBottom w:val="0"/>
      <w:divBdr>
        <w:top w:val="none" w:sz="0" w:space="0" w:color="auto"/>
        <w:left w:val="none" w:sz="0" w:space="0" w:color="auto"/>
        <w:bottom w:val="none" w:sz="0" w:space="0" w:color="auto"/>
        <w:right w:val="none" w:sz="0" w:space="0" w:color="auto"/>
      </w:divBdr>
    </w:div>
    <w:div w:id="1838299451">
      <w:bodyDiv w:val="1"/>
      <w:marLeft w:val="0"/>
      <w:marRight w:val="0"/>
      <w:marTop w:val="0"/>
      <w:marBottom w:val="0"/>
      <w:divBdr>
        <w:top w:val="none" w:sz="0" w:space="0" w:color="auto"/>
        <w:left w:val="none" w:sz="0" w:space="0" w:color="auto"/>
        <w:bottom w:val="none" w:sz="0" w:space="0" w:color="auto"/>
        <w:right w:val="none" w:sz="0" w:space="0" w:color="auto"/>
      </w:divBdr>
    </w:div>
    <w:div w:id="1838379033">
      <w:bodyDiv w:val="1"/>
      <w:marLeft w:val="0"/>
      <w:marRight w:val="0"/>
      <w:marTop w:val="0"/>
      <w:marBottom w:val="0"/>
      <w:divBdr>
        <w:top w:val="none" w:sz="0" w:space="0" w:color="auto"/>
        <w:left w:val="none" w:sz="0" w:space="0" w:color="auto"/>
        <w:bottom w:val="none" w:sz="0" w:space="0" w:color="auto"/>
        <w:right w:val="none" w:sz="0" w:space="0" w:color="auto"/>
      </w:divBdr>
    </w:div>
    <w:div w:id="1843620721">
      <w:bodyDiv w:val="1"/>
      <w:marLeft w:val="0"/>
      <w:marRight w:val="0"/>
      <w:marTop w:val="0"/>
      <w:marBottom w:val="0"/>
      <w:divBdr>
        <w:top w:val="none" w:sz="0" w:space="0" w:color="auto"/>
        <w:left w:val="none" w:sz="0" w:space="0" w:color="auto"/>
        <w:bottom w:val="none" w:sz="0" w:space="0" w:color="auto"/>
        <w:right w:val="none" w:sz="0" w:space="0" w:color="auto"/>
      </w:divBdr>
    </w:div>
    <w:div w:id="1846551660">
      <w:bodyDiv w:val="1"/>
      <w:marLeft w:val="0"/>
      <w:marRight w:val="0"/>
      <w:marTop w:val="0"/>
      <w:marBottom w:val="0"/>
      <w:divBdr>
        <w:top w:val="none" w:sz="0" w:space="0" w:color="auto"/>
        <w:left w:val="none" w:sz="0" w:space="0" w:color="auto"/>
        <w:bottom w:val="none" w:sz="0" w:space="0" w:color="auto"/>
        <w:right w:val="none" w:sz="0" w:space="0" w:color="auto"/>
      </w:divBdr>
    </w:div>
    <w:div w:id="1852529601">
      <w:bodyDiv w:val="1"/>
      <w:marLeft w:val="0"/>
      <w:marRight w:val="0"/>
      <w:marTop w:val="0"/>
      <w:marBottom w:val="0"/>
      <w:divBdr>
        <w:top w:val="none" w:sz="0" w:space="0" w:color="auto"/>
        <w:left w:val="none" w:sz="0" w:space="0" w:color="auto"/>
        <w:bottom w:val="none" w:sz="0" w:space="0" w:color="auto"/>
        <w:right w:val="none" w:sz="0" w:space="0" w:color="auto"/>
      </w:divBdr>
    </w:div>
    <w:div w:id="1854492977">
      <w:bodyDiv w:val="1"/>
      <w:marLeft w:val="0"/>
      <w:marRight w:val="0"/>
      <w:marTop w:val="0"/>
      <w:marBottom w:val="0"/>
      <w:divBdr>
        <w:top w:val="none" w:sz="0" w:space="0" w:color="auto"/>
        <w:left w:val="none" w:sz="0" w:space="0" w:color="auto"/>
        <w:bottom w:val="none" w:sz="0" w:space="0" w:color="auto"/>
        <w:right w:val="none" w:sz="0" w:space="0" w:color="auto"/>
      </w:divBdr>
    </w:div>
    <w:div w:id="1865094759">
      <w:bodyDiv w:val="1"/>
      <w:marLeft w:val="0"/>
      <w:marRight w:val="0"/>
      <w:marTop w:val="0"/>
      <w:marBottom w:val="0"/>
      <w:divBdr>
        <w:top w:val="none" w:sz="0" w:space="0" w:color="auto"/>
        <w:left w:val="none" w:sz="0" w:space="0" w:color="auto"/>
        <w:bottom w:val="none" w:sz="0" w:space="0" w:color="auto"/>
        <w:right w:val="none" w:sz="0" w:space="0" w:color="auto"/>
      </w:divBdr>
    </w:div>
    <w:div w:id="1880390651">
      <w:bodyDiv w:val="1"/>
      <w:marLeft w:val="0"/>
      <w:marRight w:val="0"/>
      <w:marTop w:val="0"/>
      <w:marBottom w:val="0"/>
      <w:divBdr>
        <w:top w:val="none" w:sz="0" w:space="0" w:color="auto"/>
        <w:left w:val="none" w:sz="0" w:space="0" w:color="auto"/>
        <w:bottom w:val="none" w:sz="0" w:space="0" w:color="auto"/>
        <w:right w:val="none" w:sz="0" w:space="0" w:color="auto"/>
      </w:divBdr>
    </w:div>
    <w:div w:id="1880778955">
      <w:bodyDiv w:val="1"/>
      <w:marLeft w:val="0"/>
      <w:marRight w:val="0"/>
      <w:marTop w:val="0"/>
      <w:marBottom w:val="0"/>
      <w:divBdr>
        <w:top w:val="none" w:sz="0" w:space="0" w:color="auto"/>
        <w:left w:val="none" w:sz="0" w:space="0" w:color="auto"/>
        <w:bottom w:val="none" w:sz="0" w:space="0" w:color="auto"/>
        <w:right w:val="none" w:sz="0" w:space="0" w:color="auto"/>
      </w:divBdr>
    </w:div>
    <w:div w:id="1890530223">
      <w:bodyDiv w:val="1"/>
      <w:marLeft w:val="0"/>
      <w:marRight w:val="0"/>
      <w:marTop w:val="0"/>
      <w:marBottom w:val="0"/>
      <w:divBdr>
        <w:top w:val="none" w:sz="0" w:space="0" w:color="auto"/>
        <w:left w:val="none" w:sz="0" w:space="0" w:color="auto"/>
        <w:bottom w:val="none" w:sz="0" w:space="0" w:color="auto"/>
        <w:right w:val="none" w:sz="0" w:space="0" w:color="auto"/>
      </w:divBdr>
    </w:div>
    <w:div w:id="1909420587">
      <w:bodyDiv w:val="1"/>
      <w:marLeft w:val="0"/>
      <w:marRight w:val="0"/>
      <w:marTop w:val="0"/>
      <w:marBottom w:val="0"/>
      <w:divBdr>
        <w:top w:val="none" w:sz="0" w:space="0" w:color="auto"/>
        <w:left w:val="none" w:sz="0" w:space="0" w:color="auto"/>
        <w:bottom w:val="none" w:sz="0" w:space="0" w:color="auto"/>
        <w:right w:val="none" w:sz="0" w:space="0" w:color="auto"/>
      </w:divBdr>
    </w:div>
    <w:div w:id="1919900894">
      <w:bodyDiv w:val="1"/>
      <w:marLeft w:val="0"/>
      <w:marRight w:val="0"/>
      <w:marTop w:val="0"/>
      <w:marBottom w:val="0"/>
      <w:divBdr>
        <w:top w:val="none" w:sz="0" w:space="0" w:color="auto"/>
        <w:left w:val="none" w:sz="0" w:space="0" w:color="auto"/>
        <w:bottom w:val="none" w:sz="0" w:space="0" w:color="auto"/>
        <w:right w:val="none" w:sz="0" w:space="0" w:color="auto"/>
      </w:divBdr>
    </w:div>
    <w:div w:id="1921600842">
      <w:bodyDiv w:val="1"/>
      <w:marLeft w:val="0"/>
      <w:marRight w:val="0"/>
      <w:marTop w:val="0"/>
      <w:marBottom w:val="0"/>
      <w:divBdr>
        <w:top w:val="none" w:sz="0" w:space="0" w:color="auto"/>
        <w:left w:val="none" w:sz="0" w:space="0" w:color="auto"/>
        <w:bottom w:val="none" w:sz="0" w:space="0" w:color="auto"/>
        <w:right w:val="none" w:sz="0" w:space="0" w:color="auto"/>
      </w:divBdr>
    </w:div>
    <w:div w:id="1927885654">
      <w:bodyDiv w:val="1"/>
      <w:marLeft w:val="0"/>
      <w:marRight w:val="0"/>
      <w:marTop w:val="0"/>
      <w:marBottom w:val="0"/>
      <w:divBdr>
        <w:top w:val="none" w:sz="0" w:space="0" w:color="auto"/>
        <w:left w:val="none" w:sz="0" w:space="0" w:color="auto"/>
        <w:bottom w:val="none" w:sz="0" w:space="0" w:color="auto"/>
        <w:right w:val="none" w:sz="0" w:space="0" w:color="auto"/>
      </w:divBdr>
    </w:div>
    <w:div w:id="1928611152">
      <w:bodyDiv w:val="1"/>
      <w:marLeft w:val="0"/>
      <w:marRight w:val="0"/>
      <w:marTop w:val="0"/>
      <w:marBottom w:val="0"/>
      <w:divBdr>
        <w:top w:val="none" w:sz="0" w:space="0" w:color="auto"/>
        <w:left w:val="none" w:sz="0" w:space="0" w:color="auto"/>
        <w:bottom w:val="none" w:sz="0" w:space="0" w:color="auto"/>
        <w:right w:val="none" w:sz="0" w:space="0" w:color="auto"/>
      </w:divBdr>
    </w:div>
    <w:div w:id="1937975940">
      <w:bodyDiv w:val="1"/>
      <w:marLeft w:val="0"/>
      <w:marRight w:val="0"/>
      <w:marTop w:val="0"/>
      <w:marBottom w:val="0"/>
      <w:divBdr>
        <w:top w:val="none" w:sz="0" w:space="0" w:color="auto"/>
        <w:left w:val="none" w:sz="0" w:space="0" w:color="auto"/>
        <w:bottom w:val="none" w:sz="0" w:space="0" w:color="auto"/>
        <w:right w:val="none" w:sz="0" w:space="0" w:color="auto"/>
      </w:divBdr>
    </w:div>
    <w:div w:id="1940214328">
      <w:bodyDiv w:val="1"/>
      <w:marLeft w:val="0"/>
      <w:marRight w:val="0"/>
      <w:marTop w:val="0"/>
      <w:marBottom w:val="0"/>
      <w:divBdr>
        <w:top w:val="none" w:sz="0" w:space="0" w:color="auto"/>
        <w:left w:val="none" w:sz="0" w:space="0" w:color="auto"/>
        <w:bottom w:val="none" w:sz="0" w:space="0" w:color="auto"/>
        <w:right w:val="none" w:sz="0" w:space="0" w:color="auto"/>
      </w:divBdr>
    </w:div>
    <w:div w:id="1949197209">
      <w:bodyDiv w:val="1"/>
      <w:marLeft w:val="0"/>
      <w:marRight w:val="0"/>
      <w:marTop w:val="0"/>
      <w:marBottom w:val="0"/>
      <w:divBdr>
        <w:top w:val="none" w:sz="0" w:space="0" w:color="auto"/>
        <w:left w:val="none" w:sz="0" w:space="0" w:color="auto"/>
        <w:bottom w:val="none" w:sz="0" w:space="0" w:color="auto"/>
        <w:right w:val="none" w:sz="0" w:space="0" w:color="auto"/>
      </w:divBdr>
    </w:div>
    <w:div w:id="1951476044">
      <w:bodyDiv w:val="1"/>
      <w:marLeft w:val="0"/>
      <w:marRight w:val="0"/>
      <w:marTop w:val="0"/>
      <w:marBottom w:val="0"/>
      <w:divBdr>
        <w:top w:val="none" w:sz="0" w:space="0" w:color="auto"/>
        <w:left w:val="none" w:sz="0" w:space="0" w:color="auto"/>
        <w:bottom w:val="none" w:sz="0" w:space="0" w:color="auto"/>
        <w:right w:val="none" w:sz="0" w:space="0" w:color="auto"/>
      </w:divBdr>
    </w:div>
    <w:div w:id="1956015930">
      <w:bodyDiv w:val="1"/>
      <w:marLeft w:val="0"/>
      <w:marRight w:val="0"/>
      <w:marTop w:val="0"/>
      <w:marBottom w:val="0"/>
      <w:divBdr>
        <w:top w:val="none" w:sz="0" w:space="0" w:color="auto"/>
        <w:left w:val="none" w:sz="0" w:space="0" w:color="auto"/>
        <w:bottom w:val="none" w:sz="0" w:space="0" w:color="auto"/>
        <w:right w:val="none" w:sz="0" w:space="0" w:color="auto"/>
      </w:divBdr>
    </w:div>
    <w:div w:id="1962418920">
      <w:bodyDiv w:val="1"/>
      <w:marLeft w:val="0"/>
      <w:marRight w:val="0"/>
      <w:marTop w:val="0"/>
      <w:marBottom w:val="0"/>
      <w:divBdr>
        <w:top w:val="none" w:sz="0" w:space="0" w:color="auto"/>
        <w:left w:val="none" w:sz="0" w:space="0" w:color="auto"/>
        <w:bottom w:val="none" w:sz="0" w:space="0" w:color="auto"/>
        <w:right w:val="none" w:sz="0" w:space="0" w:color="auto"/>
      </w:divBdr>
    </w:div>
    <w:div w:id="1970278641">
      <w:bodyDiv w:val="1"/>
      <w:marLeft w:val="0"/>
      <w:marRight w:val="0"/>
      <w:marTop w:val="0"/>
      <w:marBottom w:val="0"/>
      <w:divBdr>
        <w:top w:val="none" w:sz="0" w:space="0" w:color="auto"/>
        <w:left w:val="none" w:sz="0" w:space="0" w:color="auto"/>
        <w:bottom w:val="none" w:sz="0" w:space="0" w:color="auto"/>
        <w:right w:val="none" w:sz="0" w:space="0" w:color="auto"/>
      </w:divBdr>
    </w:div>
    <w:div w:id="1975526523">
      <w:bodyDiv w:val="1"/>
      <w:marLeft w:val="0"/>
      <w:marRight w:val="0"/>
      <w:marTop w:val="0"/>
      <w:marBottom w:val="0"/>
      <w:divBdr>
        <w:top w:val="none" w:sz="0" w:space="0" w:color="auto"/>
        <w:left w:val="none" w:sz="0" w:space="0" w:color="auto"/>
        <w:bottom w:val="none" w:sz="0" w:space="0" w:color="auto"/>
        <w:right w:val="none" w:sz="0" w:space="0" w:color="auto"/>
      </w:divBdr>
    </w:div>
    <w:div w:id="1975672795">
      <w:bodyDiv w:val="1"/>
      <w:marLeft w:val="0"/>
      <w:marRight w:val="0"/>
      <w:marTop w:val="0"/>
      <w:marBottom w:val="0"/>
      <w:divBdr>
        <w:top w:val="none" w:sz="0" w:space="0" w:color="auto"/>
        <w:left w:val="none" w:sz="0" w:space="0" w:color="auto"/>
        <w:bottom w:val="none" w:sz="0" w:space="0" w:color="auto"/>
        <w:right w:val="none" w:sz="0" w:space="0" w:color="auto"/>
      </w:divBdr>
    </w:div>
    <w:div w:id="1985967004">
      <w:bodyDiv w:val="1"/>
      <w:marLeft w:val="0"/>
      <w:marRight w:val="0"/>
      <w:marTop w:val="0"/>
      <w:marBottom w:val="0"/>
      <w:divBdr>
        <w:top w:val="none" w:sz="0" w:space="0" w:color="auto"/>
        <w:left w:val="none" w:sz="0" w:space="0" w:color="auto"/>
        <w:bottom w:val="none" w:sz="0" w:space="0" w:color="auto"/>
        <w:right w:val="none" w:sz="0" w:space="0" w:color="auto"/>
      </w:divBdr>
    </w:div>
    <w:div w:id="1990940311">
      <w:bodyDiv w:val="1"/>
      <w:marLeft w:val="0"/>
      <w:marRight w:val="0"/>
      <w:marTop w:val="0"/>
      <w:marBottom w:val="0"/>
      <w:divBdr>
        <w:top w:val="none" w:sz="0" w:space="0" w:color="auto"/>
        <w:left w:val="none" w:sz="0" w:space="0" w:color="auto"/>
        <w:bottom w:val="none" w:sz="0" w:space="0" w:color="auto"/>
        <w:right w:val="none" w:sz="0" w:space="0" w:color="auto"/>
      </w:divBdr>
    </w:div>
    <w:div w:id="1991253802">
      <w:bodyDiv w:val="1"/>
      <w:marLeft w:val="0"/>
      <w:marRight w:val="0"/>
      <w:marTop w:val="0"/>
      <w:marBottom w:val="0"/>
      <w:divBdr>
        <w:top w:val="none" w:sz="0" w:space="0" w:color="auto"/>
        <w:left w:val="none" w:sz="0" w:space="0" w:color="auto"/>
        <w:bottom w:val="none" w:sz="0" w:space="0" w:color="auto"/>
        <w:right w:val="none" w:sz="0" w:space="0" w:color="auto"/>
      </w:divBdr>
    </w:div>
    <w:div w:id="2000766656">
      <w:bodyDiv w:val="1"/>
      <w:marLeft w:val="0"/>
      <w:marRight w:val="0"/>
      <w:marTop w:val="0"/>
      <w:marBottom w:val="0"/>
      <w:divBdr>
        <w:top w:val="none" w:sz="0" w:space="0" w:color="auto"/>
        <w:left w:val="none" w:sz="0" w:space="0" w:color="auto"/>
        <w:bottom w:val="none" w:sz="0" w:space="0" w:color="auto"/>
        <w:right w:val="none" w:sz="0" w:space="0" w:color="auto"/>
      </w:divBdr>
    </w:div>
    <w:div w:id="2018850771">
      <w:bodyDiv w:val="1"/>
      <w:marLeft w:val="0"/>
      <w:marRight w:val="0"/>
      <w:marTop w:val="0"/>
      <w:marBottom w:val="0"/>
      <w:divBdr>
        <w:top w:val="none" w:sz="0" w:space="0" w:color="auto"/>
        <w:left w:val="none" w:sz="0" w:space="0" w:color="auto"/>
        <w:bottom w:val="none" w:sz="0" w:space="0" w:color="auto"/>
        <w:right w:val="none" w:sz="0" w:space="0" w:color="auto"/>
      </w:divBdr>
    </w:div>
    <w:div w:id="2020547569">
      <w:bodyDiv w:val="1"/>
      <w:marLeft w:val="0"/>
      <w:marRight w:val="0"/>
      <w:marTop w:val="0"/>
      <w:marBottom w:val="0"/>
      <w:divBdr>
        <w:top w:val="none" w:sz="0" w:space="0" w:color="auto"/>
        <w:left w:val="none" w:sz="0" w:space="0" w:color="auto"/>
        <w:bottom w:val="none" w:sz="0" w:space="0" w:color="auto"/>
        <w:right w:val="none" w:sz="0" w:space="0" w:color="auto"/>
      </w:divBdr>
    </w:div>
    <w:div w:id="2022853402">
      <w:bodyDiv w:val="1"/>
      <w:marLeft w:val="0"/>
      <w:marRight w:val="0"/>
      <w:marTop w:val="0"/>
      <w:marBottom w:val="0"/>
      <w:divBdr>
        <w:top w:val="none" w:sz="0" w:space="0" w:color="auto"/>
        <w:left w:val="none" w:sz="0" w:space="0" w:color="auto"/>
        <w:bottom w:val="none" w:sz="0" w:space="0" w:color="auto"/>
        <w:right w:val="none" w:sz="0" w:space="0" w:color="auto"/>
      </w:divBdr>
    </w:div>
    <w:div w:id="2024241635">
      <w:bodyDiv w:val="1"/>
      <w:marLeft w:val="0"/>
      <w:marRight w:val="0"/>
      <w:marTop w:val="0"/>
      <w:marBottom w:val="0"/>
      <w:divBdr>
        <w:top w:val="none" w:sz="0" w:space="0" w:color="auto"/>
        <w:left w:val="none" w:sz="0" w:space="0" w:color="auto"/>
        <w:bottom w:val="none" w:sz="0" w:space="0" w:color="auto"/>
        <w:right w:val="none" w:sz="0" w:space="0" w:color="auto"/>
      </w:divBdr>
    </w:div>
    <w:div w:id="2026010553">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9408641">
      <w:bodyDiv w:val="1"/>
      <w:marLeft w:val="0"/>
      <w:marRight w:val="0"/>
      <w:marTop w:val="0"/>
      <w:marBottom w:val="0"/>
      <w:divBdr>
        <w:top w:val="none" w:sz="0" w:space="0" w:color="auto"/>
        <w:left w:val="none" w:sz="0" w:space="0" w:color="auto"/>
        <w:bottom w:val="none" w:sz="0" w:space="0" w:color="auto"/>
        <w:right w:val="none" w:sz="0" w:space="0" w:color="auto"/>
      </w:divBdr>
    </w:div>
    <w:div w:id="2031755381">
      <w:bodyDiv w:val="1"/>
      <w:marLeft w:val="0"/>
      <w:marRight w:val="0"/>
      <w:marTop w:val="0"/>
      <w:marBottom w:val="0"/>
      <w:divBdr>
        <w:top w:val="none" w:sz="0" w:space="0" w:color="auto"/>
        <w:left w:val="none" w:sz="0" w:space="0" w:color="auto"/>
        <w:bottom w:val="none" w:sz="0" w:space="0" w:color="auto"/>
        <w:right w:val="none" w:sz="0" w:space="0" w:color="auto"/>
      </w:divBdr>
    </w:div>
    <w:div w:id="2034961879">
      <w:bodyDiv w:val="1"/>
      <w:marLeft w:val="0"/>
      <w:marRight w:val="0"/>
      <w:marTop w:val="0"/>
      <w:marBottom w:val="0"/>
      <w:divBdr>
        <w:top w:val="none" w:sz="0" w:space="0" w:color="auto"/>
        <w:left w:val="none" w:sz="0" w:space="0" w:color="auto"/>
        <w:bottom w:val="none" w:sz="0" w:space="0" w:color="auto"/>
        <w:right w:val="none" w:sz="0" w:space="0" w:color="auto"/>
      </w:divBdr>
    </w:div>
    <w:div w:id="2045910592">
      <w:bodyDiv w:val="1"/>
      <w:marLeft w:val="0"/>
      <w:marRight w:val="0"/>
      <w:marTop w:val="0"/>
      <w:marBottom w:val="0"/>
      <w:divBdr>
        <w:top w:val="none" w:sz="0" w:space="0" w:color="auto"/>
        <w:left w:val="none" w:sz="0" w:space="0" w:color="auto"/>
        <w:bottom w:val="none" w:sz="0" w:space="0" w:color="auto"/>
        <w:right w:val="none" w:sz="0" w:space="0" w:color="auto"/>
      </w:divBdr>
    </w:div>
    <w:div w:id="2047750263">
      <w:bodyDiv w:val="1"/>
      <w:marLeft w:val="0"/>
      <w:marRight w:val="0"/>
      <w:marTop w:val="0"/>
      <w:marBottom w:val="0"/>
      <w:divBdr>
        <w:top w:val="none" w:sz="0" w:space="0" w:color="auto"/>
        <w:left w:val="none" w:sz="0" w:space="0" w:color="auto"/>
        <w:bottom w:val="none" w:sz="0" w:space="0" w:color="auto"/>
        <w:right w:val="none" w:sz="0" w:space="0" w:color="auto"/>
      </w:divBdr>
    </w:div>
    <w:div w:id="2049529130">
      <w:bodyDiv w:val="1"/>
      <w:marLeft w:val="0"/>
      <w:marRight w:val="0"/>
      <w:marTop w:val="0"/>
      <w:marBottom w:val="0"/>
      <w:divBdr>
        <w:top w:val="none" w:sz="0" w:space="0" w:color="auto"/>
        <w:left w:val="none" w:sz="0" w:space="0" w:color="auto"/>
        <w:bottom w:val="none" w:sz="0" w:space="0" w:color="auto"/>
        <w:right w:val="none" w:sz="0" w:space="0" w:color="auto"/>
      </w:divBdr>
    </w:div>
    <w:div w:id="2050301250">
      <w:bodyDiv w:val="1"/>
      <w:marLeft w:val="0"/>
      <w:marRight w:val="0"/>
      <w:marTop w:val="0"/>
      <w:marBottom w:val="0"/>
      <w:divBdr>
        <w:top w:val="none" w:sz="0" w:space="0" w:color="auto"/>
        <w:left w:val="none" w:sz="0" w:space="0" w:color="auto"/>
        <w:bottom w:val="none" w:sz="0" w:space="0" w:color="auto"/>
        <w:right w:val="none" w:sz="0" w:space="0" w:color="auto"/>
      </w:divBdr>
    </w:div>
    <w:div w:id="2065566663">
      <w:bodyDiv w:val="1"/>
      <w:marLeft w:val="0"/>
      <w:marRight w:val="0"/>
      <w:marTop w:val="0"/>
      <w:marBottom w:val="0"/>
      <w:divBdr>
        <w:top w:val="none" w:sz="0" w:space="0" w:color="auto"/>
        <w:left w:val="none" w:sz="0" w:space="0" w:color="auto"/>
        <w:bottom w:val="none" w:sz="0" w:space="0" w:color="auto"/>
        <w:right w:val="none" w:sz="0" w:space="0" w:color="auto"/>
      </w:divBdr>
    </w:div>
    <w:div w:id="2066442871">
      <w:bodyDiv w:val="1"/>
      <w:marLeft w:val="0"/>
      <w:marRight w:val="0"/>
      <w:marTop w:val="0"/>
      <w:marBottom w:val="0"/>
      <w:divBdr>
        <w:top w:val="none" w:sz="0" w:space="0" w:color="auto"/>
        <w:left w:val="none" w:sz="0" w:space="0" w:color="auto"/>
        <w:bottom w:val="none" w:sz="0" w:space="0" w:color="auto"/>
        <w:right w:val="none" w:sz="0" w:space="0" w:color="auto"/>
      </w:divBdr>
    </w:div>
    <w:div w:id="2071922906">
      <w:bodyDiv w:val="1"/>
      <w:marLeft w:val="0"/>
      <w:marRight w:val="0"/>
      <w:marTop w:val="0"/>
      <w:marBottom w:val="0"/>
      <w:divBdr>
        <w:top w:val="none" w:sz="0" w:space="0" w:color="auto"/>
        <w:left w:val="none" w:sz="0" w:space="0" w:color="auto"/>
        <w:bottom w:val="none" w:sz="0" w:space="0" w:color="auto"/>
        <w:right w:val="none" w:sz="0" w:space="0" w:color="auto"/>
      </w:divBdr>
    </w:div>
    <w:div w:id="2075934308">
      <w:bodyDiv w:val="1"/>
      <w:marLeft w:val="0"/>
      <w:marRight w:val="0"/>
      <w:marTop w:val="0"/>
      <w:marBottom w:val="0"/>
      <w:divBdr>
        <w:top w:val="none" w:sz="0" w:space="0" w:color="auto"/>
        <w:left w:val="none" w:sz="0" w:space="0" w:color="auto"/>
        <w:bottom w:val="none" w:sz="0" w:space="0" w:color="auto"/>
        <w:right w:val="none" w:sz="0" w:space="0" w:color="auto"/>
      </w:divBdr>
    </w:div>
    <w:div w:id="2079938154">
      <w:bodyDiv w:val="1"/>
      <w:marLeft w:val="0"/>
      <w:marRight w:val="0"/>
      <w:marTop w:val="0"/>
      <w:marBottom w:val="0"/>
      <w:divBdr>
        <w:top w:val="none" w:sz="0" w:space="0" w:color="auto"/>
        <w:left w:val="none" w:sz="0" w:space="0" w:color="auto"/>
        <w:bottom w:val="none" w:sz="0" w:space="0" w:color="auto"/>
        <w:right w:val="none" w:sz="0" w:space="0" w:color="auto"/>
      </w:divBdr>
    </w:div>
    <w:div w:id="2096782014">
      <w:bodyDiv w:val="1"/>
      <w:marLeft w:val="0"/>
      <w:marRight w:val="0"/>
      <w:marTop w:val="0"/>
      <w:marBottom w:val="0"/>
      <w:divBdr>
        <w:top w:val="none" w:sz="0" w:space="0" w:color="auto"/>
        <w:left w:val="none" w:sz="0" w:space="0" w:color="auto"/>
        <w:bottom w:val="none" w:sz="0" w:space="0" w:color="auto"/>
        <w:right w:val="none" w:sz="0" w:space="0" w:color="auto"/>
      </w:divBdr>
    </w:div>
    <w:div w:id="2098944749">
      <w:bodyDiv w:val="1"/>
      <w:marLeft w:val="0"/>
      <w:marRight w:val="0"/>
      <w:marTop w:val="0"/>
      <w:marBottom w:val="0"/>
      <w:divBdr>
        <w:top w:val="none" w:sz="0" w:space="0" w:color="auto"/>
        <w:left w:val="none" w:sz="0" w:space="0" w:color="auto"/>
        <w:bottom w:val="none" w:sz="0" w:space="0" w:color="auto"/>
        <w:right w:val="none" w:sz="0" w:space="0" w:color="auto"/>
      </w:divBdr>
    </w:div>
    <w:div w:id="2105374480">
      <w:bodyDiv w:val="1"/>
      <w:marLeft w:val="0"/>
      <w:marRight w:val="0"/>
      <w:marTop w:val="0"/>
      <w:marBottom w:val="0"/>
      <w:divBdr>
        <w:top w:val="none" w:sz="0" w:space="0" w:color="auto"/>
        <w:left w:val="none" w:sz="0" w:space="0" w:color="auto"/>
        <w:bottom w:val="none" w:sz="0" w:space="0" w:color="auto"/>
        <w:right w:val="none" w:sz="0" w:space="0" w:color="auto"/>
      </w:divBdr>
    </w:div>
    <w:div w:id="2108038909">
      <w:bodyDiv w:val="1"/>
      <w:marLeft w:val="0"/>
      <w:marRight w:val="0"/>
      <w:marTop w:val="0"/>
      <w:marBottom w:val="0"/>
      <w:divBdr>
        <w:top w:val="none" w:sz="0" w:space="0" w:color="auto"/>
        <w:left w:val="none" w:sz="0" w:space="0" w:color="auto"/>
        <w:bottom w:val="none" w:sz="0" w:space="0" w:color="auto"/>
        <w:right w:val="none" w:sz="0" w:space="0" w:color="auto"/>
      </w:divBdr>
    </w:div>
    <w:div w:id="2108884349">
      <w:bodyDiv w:val="1"/>
      <w:marLeft w:val="0"/>
      <w:marRight w:val="0"/>
      <w:marTop w:val="0"/>
      <w:marBottom w:val="0"/>
      <w:divBdr>
        <w:top w:val="none" w:sz="0" w:space="0" w:color="auto"/>
        <w:left w:val="none" w:sz="0" w:space="0" w:color="auto"/>
        <w:bottom w:val="none" w:sz="0" w:space="0" w:color="auto"/>
        <w:right w:val="none" w:sz="0" w:space="0" w:color="auto"/>
      </w:divBdr>
    </w:div>
    <w:div w:id="2110588679">
      <w:bodyDiv w:val="1"/>
      <w:marLeft w:val="0"/>
      <w:marRight w:val="0"/>
      <w:marTop w:val="0"/>
      <w:marBottom w:val="0"/>
      <w:divBdr>
        <w:top w:val="none" w:sz="0" w:space="0" w:color="auto"/>
        <w:left w:val="none" w:sz="0" w:space="0" w:color="auto"/>
        <w:bottom w:val="none" w:sz="0" w:space="0" w:color="auto"/>
        <w:right w:val="none" w:sz="0" w:space="0" w:color="auto"/>
      </w:divBdr>
    </w:div>
    <w:div w:id="2112237979">
      <w:bodyDiv w:val="1"/>
      <w:marLeft w:val="0"/>
      <w:marRight w:val="0"/>
      <w:marTop w:val="0"/>
      <w:marBottom w:val="0"/>
      <w:divBdr>
        <w:top w:val="none" w:sz="0" w:space="0" w:color="auto"/>
        <w:left w:val="none" w:sz="0" w:space="0" w:color="auto"/>
        <w:bottom w:val="none" w:sz="0" w:space="0" w:color="auto"/>
        <w:right w:val="none" w:sz="0" w:space="0" w:color="auto"/>
      </w:divBdr>
    </w:div>
    <w:div w:id="2131124129">
      <w:bodyDiv w:val="1"/>
      <w:marLeft w:val="0"/>
      <w:marRight w:val="0"/>
      <w:marTop w:val="0"/>
      <w:marBottom w:val="0"/>
      <w:divBdr>
        <w:top w:val="none" w:sz="0" w:space="0" w:color="auto"/>
        <w:left w:val="none" w:sz="0" w:space="0" w:color="auto"/>
        <w:bottom w:val="none" w:sz="0" w:space="0" w:color="auto"/>
        <w:right w:val="none" w:sz="0" w:space="0" w:color="auto"/>
      </w:divBdr>
    </w:div>
    <w:div w:id="2133404505">
      <w:bodyDiv w:val="1"/>
      <w:marLeft w:val="0"/>
      <w:marRight w:val="0"/>
      <w:marTop w:val="0"/>
      <w:marBottom w:val="0"/>
      <w:divBdr>
        <w:top w:val="none" w:sz="0" w:space="0" w:color="auto"/>
        <w:left w:val="none" w:sz="0" w:space="0" w:color="auto"/>
        <w:bottom w:val="none" w:sz="0" w:space="0" w:color="auto"/>
        <w:right w:val="none" w:sz="0" w:space="0" w:color="auto"/>
      </w:divBdr>
    </w:div>
    <w:div w:id="2133938927">
      <w:bodyDiv w:val="1"/>
      <w:marLeft w:val="0"/>
      <w:marRight w:val="0"/>
      <w:marTop w:val="0"/>
      <w:marBottom w:val="0"/>
      <w:divBdr>
        <w:top w:val="none" w:sz="0" w:space="0" w:color="auto"/>
        <w:left w:val="none" w:sz="0" w:space="0" w:color="auto"/>
        <w:bottom w:val="none" w:sz="0" w:space="0" w:color="auto"/>
        <w:right w:val="none" w:sz="0" w:space="0" w:color="auto"/>
      </w:divBdr>
    </w:div>
    <w:div w:id="2134057010">
      <w:bodyDiv w:val="1"/>
      <w:marLeft w:val="0"/>
      <w:marRight w:val="0"/>
      <w:marTop w:val="0"/>
      <w:marBottom w:val="0"/>
      <w:divBdr>
        <w:top w:val="none" w:sz="0" w:space="0" w:color="auto"/>
        <w:left w:val="none" w:sz="0" w:space="0" w:color="auto"/>
        <w:bottom w:val="none" w:sz="0" w:space="0" w:color="auto"/>
        <w:right w:val="none" w:sz="0" w:space="0" w:color="auto"/>
      </w:divBdr>
    </w:div>
    <w:div w:id="2135057466">
      <w:bodyDiv w:val="1"/>
      <w:marLeft w:val="0"/>
      <w:marRight w:val="0"/>
      <w:marTop w:val="0"/>
      <w:marBottom w:val="0"/>
      <w:divBdr>
        <w:top w:val="none" w:sz="0" w:space="0" w:color="auto"/>
        <w:left w:val="none" w:sz="0" w:space="0" w:color="auto"/>
        <w:bottom w:val="none" w:sz="0" w:space="0" w:color="auto"/>
        <w:right w:val="none" w:sz="0" w:space="0" w:color="auto"/>
      </w:divBdr>
    </w:div>
    <w:div w:id="2135057877">
      <w:bodyDiv w:val="1"/>
      <w:marLeft w:val="0"/>
      <w:marRight w:val="0"/>
      <w:marTop w:val="0"/>
      <w:marBottom w:val="0"/>
      <w:divBdr>
        <w:top w:val="none" w:sz="0" w:space="0" w:color="auto"/>
        <w:left w:val="none" w:sz="0" w:space="0" w:color="auto"/>
        <w:bottom w:val="none" w:sz="0" w:space="0" w:color="auto"/>
        <w:right w:val="none" w:sz="0" w:space="0" w:color="auto"/>
      </w:divBdr>
    </w:div>
    <w:div w:id="2144613777">
      <w:bodyDiv w:val="1"/>
      <w:marLeft w:val="0"/>
      <w:marRight w:val="0"/>
      <w:marTop w:val="0"/>
      <w:marBottom w:val="0"/>
      <w:divBdr>
        <w:top w:val="none" w:sz="0" w:space="0" w:color="auto"/>
        <w:left w:val="none" w:sz="0" w:space="0" w:color="auto"/>
        <w:bottom w:val="none" w:sz="0" w:space="0" w:color="auto"/>
        <w:right w:val="none" w:sz="0" w:space="0" w:color="auto"/>
      </w:divBdr>
    </w:div>
    <w:div w:id="21468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f.gov.si/si/delovna_podrocja/lokalne_skupnosti/statistika/bilance_proracunov_obcin/" TargetMode="External"/><Relationship Id="rId2" Type="http://schemas.openxmlformats.org/officeDocument/2006/relationships/hyperlink" Target="https://www.gov.si/assets/ministrstva/MF/Proracun-direktorat/Drzavni-proracun/Zakljucni-racun/2018-ZR/01-ZR/Splosni-del-zakljucnega-racuna-proracuna.pdf" TargetMode="External"/><Relationship Id="rId1" Type="http://schemas.openxmlformats.org/officeDocument/2006/relationships/hyperlink" Target="https://pxweb.stat.si/SiStatDb/pxweb/sl/HITRE_Repozitorij/HITRE_Repozitorij/H236S.px/table/tableViewLayou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194845435987159E-2"/>
          <c:y val="5.2581261950286805E-2"/>
          <c:w val="0.89360145086030918"/>
          <c:h val="0.73713534733659725"/>
        </c:manualLayout>
      </c:layout>
      <c:lineChart>
        <c:grouping val="standard"/>
        <c:varyColors val="0"/>
        <c:ser>
          <c:idx val="0"/>
          <c:order val="0"/>
          <c:tx>
            <c:strRef>
              <c:f>List1!$B$1</c:f>
              <c:strCache>
                <c:ptCount val="1"/>
                <c:pt idx="0">
                  <c:v>Delež javnih naročil v BDP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7,66 %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CC7-4E44-A805-7B083F128B42}"/>
                </c:ext>
              </c:extLst>
            </c:dLbl>
            <c:dLbl>
              <c:idx val="1"/>
              <c:tx>
                <c:rich>
                  <a:bodyPr/>
                  <a:lstStyle/>
                  <a:p>
                    <a:r>
                      <a:rPr lang="en-US"/>
                      <a:t>7,83 %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CC7-4E44-A805-7B083F128B42}"/>
                </c:ext>
              </c:extLst>
            </c:dLbl>
            <c:dLbl>
              <c:idx val="2"/>
              <c:tx>
                <c:rich>
                  <a:bodyPr/>
                  <a:lstStyle/>
                  <a:p>
                    <a:r>
                      <a:rPr lang="en-US"/>
                      <a:t>11,05 %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CC7-4E44-A805-7B083F128B42}"/>
                </c:ext>
              </c:extLst>
            </c:dLbl>
            <c:dLbl>
              <c:idx val="3"/>
              <c:tx>
                <c:rich>
                  <a:bodyPr/>
                  <a:lstStyle/>
                  <a:p>
                    <a:r>
                      <a:rPr lang="en-US"/>
                      <a:t>9,93 %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CC7-4E44-A805-7B083F128B42}"/>
                </c:ext>
              </c:extLst>
            </c:dLbl>
            <c:dLbl>
              <c:idx val="4"/>
              <c:tx>
                <c:rich>
                  <a:bodyPr/>
                  <a:lstStyle/>
                  <a:p>
                    <a:r>
                      <a:rPr lang="en-US"/>
                      <a:t>8,80 %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CC7-4E44-A805-7B083F128B42}"/>
                </c:ext>
              </c:extLst>
            </c:dLbl>
            <c:dLbl>
              <c:idx val="5"/>
              <c:tx>
                <c:rich>
                  <a:bodyPr/>
                  <a:lstStyle/>
                  <a:p>
                    <a:r>
                      <a:rPr lang="en-US"/>
                      <a:t>9,84 %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C7-4E44-A805-7B083F128B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2011</c:v>
                </c:pt>
                <c:pt idx="1">
                  <c:v>2012</c:v>
                </c:pt>
                <c:pt idx="2">
                  <c:v>2013</c:v>
                </c:pt>
                <c:pt idx="3">
                  <c:v>2014</c:v>
                </c:pt>
                <c:pt idx="4">
                  <c:v>2015</c:v>
                </c:pt>
                <c:pt idx="5">
                  <c:v>2016</c:v>
                </c:pt>
                <c:pt idx="6">
                  <c:v>2017</c:v>
                </c:pt>
                <c:pt idx="7">
                  <c:v>2018</c:v>
                </c:pt>
              </c:numCache>
            </c:numRef>
          </c:cat>
          <c:val>
            <c:numRef>
              <c:f>List1!$B$2:$B$9</c:f>
              <c:numCache>
                <c:formatCode>0.00%</c:formatCode>
                <c:ptCount val="8"/>
                <c:pt idx="0">
                  <c:v>7.6600000000000001E-2</c:v>
                </c:pt>
                <c:pt idx="1">
                  <c:v>7.8299999999999995E-2</c:v>
                </c:pt>
                <c:pt idx="2">
                  <c:v>0.1105</c:v>
                </c:pt>
                <c:pt idx="3">
                  <c:v>9.9299999999999999E-2</c:v>
                </c:pt>
                <c:pt idx="4">
                  <c:v>8.7999999999999995E-2</c:v>
                </c:pt>
                <c:pt idx="5">
                  <c:v>9.8400000000000001E-2</c:v>
                </c:pt>
                <c:pt idx="6">
                  <c:v>0.1099</c:v>
                </c:pt>
                <c:pt idx="7">
                  <c:v>0.1002</c:v>
                </c:pt>
              </c:numCache>
            </c:numRef>
          </c:val>
          <c:smooth val="0"/>
          <c:extLst>
            <c:ext xmlns:c16="http://schemas.microsoft.com/office/drawing/2014/chart" uri="{C3380CC4-5D6E-409C-BE32-E72D297353CC}">
              <c16:uniqueId val="{00000000-CF24-42F6-A4C2-CBDC1BF48331}"/>
            </c:ext>
          </c:extLst>
        </c:ser>
        <c:dLbls>
          <c:showLegendKey val="0"/>
          <c:showVal val="0"/>
          <c:showCatName val="0"/>
          <c:showSerName val="0"/>
          <c:showPercent val="0"/>
          <c:showBubbleSize val="0"/>
        </c:dLbls>
        <c:marker val="1"/>
        <c:smooth val="0"/>
        <c:axId val="199530368"/>
        <c:axId val="199531904"/>
      </c:lineChart>
      <c:catAx>
        <c:axId val="19953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99531904"/>
        <c:crosses val="autoZero"/>
        <c:auto val="1"/>
        <c:lblAlgn val="ctr"/>
        <c:lblOffset val="100"/>
        <c:noMultiLvlLbl val="0"/>
      </c:catAx>
      <c:valAx>
        <c:axId val="199531904"/>
        <c:scaling>
          <c:orientation val="minMax"/>
          <c:max val="0.12000000000000001"/>
          <c:min val="6.0000000000000012E-2"/>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9953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1944220371957"/>
          <c:y val="2.9717682020802376E-2"/>
          <c:w val="0.87048504792980286"/>
          <c:h val="0.51769771125548081"/>
        </c:manualLayout>
      </c:layout>
      <c:lineChart>
        <c:grouping val="standard"/>
        <c:varyColors val="0"/>
        <c:ser>
          <c:idx val="0"/>
          <c:order val="0"/>
          <c:tx>
            <c:strRef>
              <c:f>List1!$B$1</c:f>
              <c:strCache>
                <c:ptCount val="1"/>
                <c:pt idx="0">
                  <c:v>Odprti postopek</c:v>
                </c:pt>
              </c:strCache>
            </c:strRef>
          </c:tx>
          <c:spPr>
            <a:ln w="28575" cap="rnd">
              <a:solidFill>
                <a:schemeClr val="accent1"/>
              </a:solidFill>
              <a:round/>
            </a:ln>
            <a:effectLst/>
          </c:spPr>
          <c:marker>
            <c:symbol val="none"/>
          </c:marker>
          <c:dLbls>
            <c:dLbl>
              <c:idx val="0"/>
              <c:tx>
                <c:rich>
                  <a:bodyPr/>
                  <a:lstStyle/>
                  <a:p>
                    <a:r>
                      <a:rPr lang="en-US"/>
                      <a:t>37,28 %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52-4F8E-82FF-306CABE9E820}"/>
                </c:ext>
              </c:extLst>
            </c:dLbl>
            <c:dLbl>
              <c:idx val="1"/>
              <c:tx>
                <c:rich>
                  <a:bodyPr/>
                  <a:lstStyle/>
                  <a:p>
                    <a:r>
                      <a:rPr lang="en-US"/>
                      <a:t>30,10 %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52-4F8E-82FF-306CABE9E820}"/>
                </c:ext>
              </c:extLst>
            </c:dLbl>
            <c:dLbl>
              <c:idx val="2"/>
              <c:tx>
                <c:rich>
                  <a:bodyPr/>
                  <a:lstStyle/>
                  <a:p>
                    <a:r>
                      <a:rPr lang="en-US"/>
                      <a:t>21,92 %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F52-4F8E-82FF-306CABE9E820}"/>
                </c:ext>
              </c:extLst>
            </c:dLbl>
            <c:dLbl>
              <c:idx val="3"/>
              <c:tx>
                <c:rich>
                  <a:bodyPr/>
                  <a:lstStyle/>
                  <a:p>
                    <a:r>
                      <a:rPr lang="en-US"/>
                      <a:t>27,19 %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52-4F8E-82FF-306CABE9E820}"/>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2013</c:v>
                </c:pt>
                <c:pt idx="1">
                  <c:v>2014</c:v>
                </c:pt>
                <c:pt idx="2">
                  <c:v>2015</c:v>
                </c:pt>
                <c:pt idx="3">
                  <c:v>2016</c:v>
                </c:pt>
                <c:pt idx="4">
                  <c:v>2017</c:v>
                </c:pt>
                <c:pt idx="5">
                  <c:v>2018</c:v>
                </c:pt>
              </c:numCache>
            </c:numRef>
          </c:cat>
          <c:val>
            <c:numRef>
              <c:f>List1!$B$2:$B$7</c:f>
              <c:numCache>
                <c:formatCode>0.00%</c:formatCode>
                <c:ptCount val="6"/>
                <c:pt idx="0">
                  <c:v>0.37280000000000002</c:v>
                </c:pt>
                <c:pt idx="1">
                  <c:v>0.30099999999999999</c:v>
                </c:pt>
                <c:pt idx="2">
                  <c:v>0.219236471460341</c:v>
                </c:pt>
                <c:pt idx="3">
                  <c:v>0.27190384950357083</c:v>
                </c:pt>
                <c:pt idx="4">
                  <c:v>0.24840000000000001</c:v>
                </c:pt>
                <c:pt idx="5">
                  <c:v>0.23861106989167533</c:v>
                </c:pt>
              </c:numCache>
            </c:numRef>
          </c:val>
          <c:smooth val="0"/>
          <c:extLst>
            <c:ext xmlns:c16="http://schemas.microsoft.com/office/drawing/2014/chart" uri="{C3380CC4-5D6E-409C-BE32-E72D297353CC}">
              <c16:uniqueId val="{00000000-ABE9-4605-93ED-BACDDA49CED6}"/>
            </c:ext>
          </c:extLst>
        </c:ser>
        <c:ser>
          <c:idx val="1"/>
          <c:order val="1"/>
          <c:tx>
            <c:strRef>
              <c:f>List1!$C$1</c:f>
              <c:strCache>
                <c:ptCount val="1"/>
                <c:pt idx="0">
                  <c:v>Postopek s pogajanji po predhodni objavi</c:v>
                </c:pt>
              </c:strCache>
            </c:strRef>
          </c:tx>
          <c:spPr>
            <a:ln w="28575" cap="rnd">
              <a:solidFill>
                <a:schemeClr val="accent2"/>
              </a:solidFill>
              <a:round/>
            </a:ln>
            <a:effectLst/>
          </c:spPr>
          <c:marker>
            <c:symbol val="none"/>
          </c:marker>
          <c:dLbls>
            <c:dLbl>
              <c:idx val="0"/>
              <c:tx>
                <c:rich>
                  <a:bodyPr/>
                  <a:lstStyle/>
                  <a:p>
                    <a:r>
                      <a:rPr lang="en-US"/>
                      <a:t>5,28 %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F52-4F8E-82FF-306CABE9E820}"/>
                </c:ext>
              </c:extLst>
            </c:dLbl>
            <c:dLbl>
              <c:idx val="1"/>
              <c:tx>
                <c:rich>
                  <a:bodyPr/>
                  <a:lstStyle/>
                  <a:p>
                    <a:r>
                      <a:rPr lang="en-US"/>
                      <a:t>5,20 %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F52-4F8E-82FF-306CABE9E820}"/>
                </c:ext>
              </c:extLst>
            </c:dLbl>
            <c:dLbl>
              <c:idx val="2"/>
              <c:tx>
                <c:rich>
                  <a:bodyPr/>
                  <a:lstStyle/>
                  <a:p>
                    <a:r>
                      <a:rPr lang="en-US"/>
                      <a:t>3,47 %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F52-4F8E-82FF-306CABE9E820}"/>
                </c:ext>
              </c:extLst>
            </c:dLbl>
            <c:dLbl>
              <c:idx val="3"/>
              <c:tx>
                <c:rich>
                  <a:bodyPr/>
                  <a:lstStyle/>
                  <a:p>
                    <a:r>
                      <a:rPr lang="en-US"/>
                      <a:t>2,16 %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F52-4F8E-82FF-306CABE9E820}"/>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2013</c:v>
                </c:pt>
                <c:pt idx="1">
                  <c:v>2014</c:v>
                </c:pt>
                <c:pt idx="2">
                  <c:v>2015</c:v>
                </c:pt>
                <c:pt idx="3">
                  <c:v>2016</c:v>
                </c:pt>
                <c:pt idx="4">
                  <c:v>2017</c:v>
                </c:pt>
                <c:pt idx="5">
                  <c:v>2018</c:v>
                </c:pt>
              </c:numCache>
            </c:numRef>
          </c:cat>
          <c:val>
            <c:numRef>
              <c:f>List1!$C$2:$C$7</c:f>
              <c:numCache>
                <c:formatCode>0.00%</c:formatCode>
                <c:ptCount val="6"/>
                <c:pt idx="0">
                  <c:v>5.28E-2</c:v>
                </c:pt>
                <c:pt idx="1">
                  <c:v>5.1999999999999998E-2</c:v>
                </c:pt>
                <c:pt idx="2">
                  <c:v>3.4655300222386956E-2</c:v>
                </c:pt>
                <c:pt idx="3">
                  <c:v>2.1599024560181153E-2</c:v>
                </c:pt>
                <c:pt idx="4">
                  <c:v>2.3099999999999999E-2</c:v>
                </c:pt>
                <c:pt idx="5">
                  <c:v>1.5729336696839295E-2</c:v>
                </c:pt>
              </c:numCache>
            </c:numRef>
          </c:val>
          <c:smooth val="0"/>
          <c:extLst>
            <c:ext xmlns:c16="http://schemas.microsoft.com/office/drawing/2014/chart" uri="{C3380CC4-5D6E-409C-BE32-E72D297353CC}">
              <c16:uniqueId val="{00000001-ABE9-4605-93ED-BACDDA49CED6}"/>
            </c:ext>
          </c:extLst>
        </c:ser>
        <c:ser>
          <c:idx val="2"/>
          <c:order val="2"/>
          <c:tx>
            <c:strRef>
              <c:f>List1!$D$1</c:f>
              <c:strCache>
                <c:ptCount val="1"/>
                <c:pt idx="0">
                  <c:v>Postopek zbiranja ponudb po predhodni objavi</c:v>
                </c:pt>
              </c:strCache>
            </c:strRef>
          </c:tx>
          <c:spPr>
            <a:ln w="28575" cap="rnd">
              <a:solidFill>
                <a:schemeClr val="accent3"/>
              </a:solidFill>
              <a:round/>
            </a:ln>
            <a:effectLst/>
          </c:spPr>
          <c:marker>
            <c:symbol val="none"/>
          </c:marker>
          <c:dLbls>
            <c:dLbl>
              <c:idx val="0"/>
              <c:tx>
                <c:rich>
                  <a:bodyPr/>
                  <a:lstStyle/>
                  <a:p>
                    <a:r>
                      <a:rPr lang="en-US"/>
                      <a:t>19,60 %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F52-4F8E-82FF-306CABE9E820}"/>
                </c:ext>
              </c:extLst>
            </c:dLbl>
            <c:dLbl>
              <c:idx val="1"/>
              <c:tx>
                <c:rich>
                  <a:bodyPr/>
                  <a:lstStyle/>
                  <a:p>
                    <a:r>
                      <a:rPr lang="en-US"/>
                      <a:t>0,13 %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F52-4F8E-82FF-306CABE9E820}"/>
                </c:ext>
              </c:extLst>
            </c:dLbl>
            <c:dLbl>
              <c:idx val="2"/>
              <c:tx>
                <c:rich>
                  <a:bodyPr/>
                  <a:lstStyle/>
                  <a:p>
                    <a:r>
                      <a:rPr lang="en-US"/>
                      <a:t>0,35 %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F52-4F8E-82FF-306CABE9E820}"/>
                </c:ext>
              </c:extLst>
            </c:dLbl>
            <c:dLbl>
              <c:idx val="3"/>
              <c:tx>
                <c:rich>
                  <a:bodyPr/>
                  <a:lstStyle/>
                  <a:p>
                    <a:r>
                      <a:rPr lang="en-US"/>
                      <a:t>0,24 %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F52-4F8E-82FF-306CABE9E820}"/>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2013</c:v>
                </c:pt>
                <c:pt idx="1">
                  <c:v>2014</c:v>
                </c:pt>
                <c:pt idx="2">
                  <c:v>2015</c:v>
                </c:pt>
                <c:pt idx="3">
                  <c:v>2016</c:v>
                </c:pt>
                <c:pt idx="4">
                  <c:v>2017</c:v>
                </c:pt>
                <c:pt idx="5">
                  <c:v>2018</c:v>
                </c:pt>
              </c:numCache>
            </c:numRef>
          </c:cat>
          <c:val>
            <c:numRef>
              <c:f>List1!$D$2:$D$7</c:f>
              <c:numCache>
                <c:formatCode>0.00%</c:formatCode>
                <c:ptCount val="6"/>
                <c:pt idx="0">
                  <c:v>0.19600000000000001</c:v>
                </c:pt>
                <c:pt idx="1">
                  <c:v>1.2999999999999999E-3</c:v>
                </c:pt>
                <c:pt idx="2">
                  <c:v>3.5000000000000001E-3</c:v>
                </c:pt>
                <c:pt idx="3">
                  <c:v>2.438599547117227E-3</c:v>
                </c:pt>
                <c:pt idx="4">
                  <c:v>3.3E-3</c:v>
                </c:pt>
                <c:pt idx="5">
                  <c:v>1.9290695948953852E-3</c:v>
                </c:pt>
              </c:numCache>
            </c:numRef>
          </c:val>
          <c:smooth val="0"/>
          <c:extLst>
            <c:ext xmlns:c16="http://schemas.microsoft.com/office/drawing/2014/chart" uri="{C3380CC4-5D6E-409C-BE32-E72D297353CC}">
              <c16:uniqueId val="{00000002-ABE9-4605-93ED-BACDDA49CED6}"/>
            </c:ext>
          </c:extLst>
        </c:ser>
        <c:ser>
          <c:idx val="3"/>
          <c:order val="3"/>
          <c:tx>
            <c:strRef>
              <c:f>List1!$E$1</c:f>
              <c:strCache>
                <c:ptCount val="1"/>
                <c:pt idx="0">
                  <c:v>Postopek s pogajanji brez predhodne objave</c:v>
                </c:pt>
              </c:strCache>
            </c:strRef>
          </c:tx>
          <c:spPr>
            <a:ln w="28575" cap="rnd">
              <a:solidFill>
                <a:schemeClr val="accent4"/>
              </a:solidFill>
              <a:round/>
            </a:ln>
            <a:effectLst/>
          </c:spPr>
          <c:marker>
            <c:symbol val="none"/>
          </c:marker>
          <c:dLbls>
            <c:dLbl>
              <c:idx val="0"/>
              <c:tx>
                <c:rich>
                  <a:bodyPr/>
                  <a:lstStyle/>
                  <a:p>
                    <a:r>
                      <a:rPr lang="en-US"/>
                      <a:t>13,86 %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F52-4F8E-82FF-306CABE9E820}"/>
                </c:ext>
              </c:extLst>
            </c:dLbl>
            <c:dLbl>
              <c:idx val="1"/>
              <c:tx>
                <c:rich>
                  <a:bodyPr/>
                  <a:lstStyle/>
                  <a:p>
                    <a:r>
                      <a:rPr lang="en-US"/>
                      <a:t>17,83 %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F52-4F8E-82FF-306CABE9E820}"/>
                </c:ext>
              </c:extLst>
            </c:dLbl>
            <c:dLbl>
              <c:idx val="2"/>
              <c:tx>
                <c:rich>
                  <a:bodyPr/>
                  <a:lstStyle/>
                  <a:p>
                    <a:r>
                      <a:rPr lang="en-US"/>
                      <a:t>19,98 %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F52-4F8E-82FF-306CABE9E820}"/>
                </c:ext>
              </c:extLst>
            </c:dLbl>
            <c:dLbl>
              <c:idx val="3"/>
              <c:tx>
                <c:rich>
                  <a:bodyPr/>
                  <a:lstStyle/>
                  <a:p>
                    <a:r>
                      <a:rPr lang="en-US"/>
                      <a:t>13,52 %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F52-4F8E-82FF-306CABE9E820}"/>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2013</c:v>
                </c:pt>
                <c:pt idx="1">
                  <c:v>2014</c:v>
                </c:pt>
                <c:pt idx="2">
                  <c:v>2015</c:v>
                </c:pt>
                <c:pt idx="3">
                  <c:v>2016</c:v>
                </c:pt>
                <c:pt idx="4">
                  <c:v>2017</c:v>
                </c:pt>
                <c:pt idx="5">
                  <c:v>2018</c:v>
                </c:pt>
              </c:numCache>
            </c:numRef>
          </c:cat>
          <c:val>
            <c:numRef>
              <c:f>List1!$E$2:$E$7</c:f>
              <c:numCache>
                <c:formatCode>0.00%</c:formatCode>
                <c:ptCount val="6"/>
                <c:pt idx="0">
                  <c:v>0.1386</c:v>
                </c:pt>
                <c:pt idx="1">
                  <c:v>0.17829999999999999</c:v>
                </c:pt>
                <c:pt idx="2">
                  <c:v>0.19977761304670125</c:v>
                </c:pt>
                <c:pt idx="3">
                  <c:v>0.13516808918306916</c:v>
                </c:pt>
                <c:pt idx="4">
                  <c:v>0.1069</c:v>
                </c:pt>
                <c:pt idx="5">
                  <c:v>0.11010535687787505</c:v>
                </c:pt>
              </c:numCache>
            </c:numRef>
          </c:val>
          <c:smooth val="0"/>
          <c:extLst>
            <c:ext xmlns:c16="http://schemas.microsoft.com/office/drawing/2014/chart" uri="{C3380CC4-5D6E-409C-BE32-E72D297353CC}">
              <c16:uniqueId val="{00000003-ABE9-4605-93ED-BACDDA49CED6}"/>
            </c:ext>
          </c:extLst>
        </c:ser>
        <c:ser>
          <c:idx val="4"/>
          <c:order val="4"/>
          <c:tx>
            <c:strRef>
              <c:f>List1!$F$1</c:f>
              <c:strCache>
                <c:ptCount val="1"/>
                <c:pt idx="0">
                  <c:v>Postopek naročila male vrednosti</c:v>
                </c:pt>
              </c:strCache>
            </c:strRef>
          </c:tx>
          <c:spPr>
            <a:ln w="28575" cap="rnd">
              <a:solidFill>
                <a:schemeClr val="accent5"/>
              </a:solidFill>
              <a:round/>
            </a:ln>
            <a:effectLst/>
          </c:spPr>
          <c:marker>
            <c:symbol val="none"/>
          </c:marker>
          <c:dLbls>
            <c:dLbl>
              <c:idx val="0"/>
              <c:tx>
                <c:rich>
                  <a:bodyPr/>
                  <a:lstStyle/>
                  <a:p>
                    <a:r>
                      <a:rPr lang="en-US"/>
                      <a:t>39,00 %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AF52-4F8E-82FF-306CABE9E820}"/>
                </c:ext>
              </c:extLst>
            </c:dLbl>
            <c:dLbl>
              <c:idx val="1"/>
              <c:tx>
                <c:rich>
                  <a:bodyPr/>
                  <a:lstStyle/>
                  <a:p>
                    <a:r>
                      <a:rPr lang="en-US"/>
                      <a:t>41,67 %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F52-4F8E-82FF-306CABE9E820}"/>
                </c:ext>
              </c:extLst>
            </c:dLbl>
            <c:dLbl>
              <c:idx val="2"/>
              <c:tx>
                <c:rich>
                  <a:bodyPr/>
                  <a:lstStyle/>
                  <a:p>
                    <a:r>
                      <a:rPr lang="en-US"/>
                      <a:t>49,11 %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AF52-4F8E-82FF-306CABE9E820}"/>
                </c:ext>
              </c:extLst>
            </c:dLbl>
            <c:dLbl>
              <c:idx val="3"/>
              <c:tx>
                <c:rich>
                  <a:bodyPr/>
                  <a:lstStyle/>
                  <a:p>
                    <a:r>
                      <a:rPr lang="en-US"/>
                      <a:t>55,08 %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AF52-4F8E-82FF-306CABE9E820}"/>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List1!$A$2:$A$7</c:f>
              <c:numCache>
                <c:formatCode>General</c:formatCode>
                <c:ptCount val="6"/>
                <c:pt idx="0">
                  <c:v>2013</c:v>
                </c:pt>
                <c:pt idx="1">
                  <c:v>2014</c:v>
                </c:pt>
                <c:pt idx="2">
                  <c:v>2015</c:v>
                </c:pt>
                <c:pt idx="3">
                  <c:v>2016</c:v>
                </c:pt>
                <c:pt idx="4">
                  <c:v>2017</c:v>
                </c:pt>
                <c:pt idx="5">
                  <c:v>2018</c:v>
                </c:pt>
              </c:numCache>
            </c:numRef>
          </c:cat>
          <c:val>
            <c:numRef>
              <c:f>List1!$F$2:$F$7</c:f>
              <c:numCache>
                <c:formatCode>0.00%</c:formatCode>
                <c:ptCount val="6"/>
                <c:pt idx="0">
                  <c:v>0.39</c:v>
                </c:pt>
                <c:pt idx="1">
                  <c:v>0.41670000000000001</c:v>
                </c:pt>
                <c:pt idx="2">
                  <c:v>0.49110452186805043</c:v>
                </c:pt>
                <c:pt idx="3">
                  <c:v>0.55077512628461944</c:v>
                </c:pt>
                <c:pt idx="4">
                  <c:v>0.60070000000000001</c:v>
                </c:pt>
                <c:pt idx="5">
                  <c:v>0.61418608102092298</c:v>
                </c:pt>
              </c:numCache>
            </c:numRef>
          </c:val>
          <c:smooth val="0"/>
          <c:extLst>
            <c:ext xmlns:c16="http://schemas.microsoft.com/office/drawing/2014/chart" uri="{C3380CC4-5D6E-409C-BE32-E72D297353CC}">
              <c16:uniqueId val="{00000004-ABE9-4605-93ED-BACDDA49CED6}"/>
            </c:ext>
          </c:extLst>
        </c:ser>
        <c:ser>
          <c:idx val="5"/>
          <c:order val="5"/>
          <c:tx>
            <c:strRef>
              <c:f>List1!$G$1</c:f>
              <c:strCache>
                <c:ptCount val="1"/>
                <c:pt idx="0">
                  <c:v>Postopek s predhodnim ugotavljanjem sposobnosti, konkurenčni dialog in javni natečaj</c:v>
                </c:pt>
              </c:strCache>
            </c:strRef>
          </c:tx>
          <c:spPr>
            <a:ln w="28575" cap="rnd">
              <a:solidFill>
                <a:schemeClr val="accent6"/>
              </a:solidFill>
              <a:round/>
            </a:ln>
            <a:effectLst/>
          </c:spPr>
          <c:marker>
            <c:symbol val="none"/>
          </c:marker>
          <c:cat>
            <c:numRef>
              <c:f>List1!$A$2:$A$7</c:f>
              <c:numCache>
                <c:formatCode>General</c:formatCode>
                <c:ptCount val="6"/>
                <c:pt idx="0">
                  <c:v>2013</c:v>
                </c:pt>
                <c:pt idx="1">
                  <c:v>2014</c:v>
                </c:pt>
                <c:pt idx="2">
                  <c:v>2015</c:v>
                </c:pt>
                <c:pt idx="3">
                  <c:v>2016</c:v>
                </c:pt>
                <c:pt idx="4">
                  <c:v>2017</c:v>
                </c:pt>
                <c:pt idx="5">
                  <c:v>2018</c:v>
                </c:pt>
              </c:numCache>
            </c:numRef>
          </c:cat>
          <c:val>
            <c:numRef>
              <c:f>List1!$G$2:$G$7</c:f>
              <c:numCache>
                <c:formatCode>0.00%</c:formatCode>
                <c:ptCount val="6"/>
                <c:pt idx="0">
                  <c:v>4.0000000000000001E-3</c:v>
                </c:pt>
                <c:pt idx="1">
                  <c:v>7.7999999999999996E-3</c:v>
                </c:pt>
                <c:pt idx="2">
                  <c:v>1.6679021497405485E-3</c:v>
                </c:pt>
                <c:pt idx="3">
                  <c:v>6.0964988677930671E-3</c:v>
                </c:pt>
                <c:pt idx="4">
                  <c:v>3.1259768677711786E-3</c:v>
                </c:pt>
                <c:pt idx="5">
                  <c:v>2.671019439085918E-3</c:v>
                </c:pt>
              </c:numCache>
            </c:numRef>
          </c:val>
          <c:smooth val="0"/>
          <c:extLst>
            <c:ext xmlns:c16="http://schemas.microsoft.com/office/drawing/2014/chart" uri="{C3380CC4-5D6E-409C-BE32-E72D297353CC}">
              <c16:uniqueId val="{00000005-ABE9-4605-93ED-BACDDA49CED6}"/>
            </c:ext>
          </c:extLst>
        </c:ser>
        <c:dLbls>
          <c:showLegendKey val="0"/>
          <c:showVal val="0"/>
          <c:showCatName val="0"/>
          <c:showSerName val="0"/>
          <c:showPercent val="0"/>
          <c:showBubbleSize val="0"/>
        </c:dLbls>
        <c:smooth val="0"/>
        <c:axId val="247209344"/>
        <c:axId val="247260288"/>
      </c:lineChart>
      <c:catAx>
        <c:axId val="24720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47260288"/>
        <c:crosses val="autoZero"/>
        <c:auto val="1"/>
        <c:lblAlgn val="ctr"/>
        <c:lblOffset val="100"/>
        <c:noMultiLvlLbl val="0"/>
      </c:catAx>
      <c:valAx>
        <c:axId val="247260288"/>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47209344"/>
        <c:crosses val="autoZero"/>
        <c:crossBetween val="between"/>
      </c:valAx>
      <c:spPr>
        <a:noFill/>
        <a:ln>
          <a:noFill/>
        </a:ln>
        <a:effectLst/>
      </c:spPr>
    </c:plotArea>
    <c:legend>
      <c:legendPos val="b"/>
      <c:layout>
        <c:manualLayout>
          <c:xMode val="edge"/>
          <c:yMode val="edge"/>
          <c:x val="0.10418207649602113"/>
          <c:y val="0.64171988705493443"/>
          <c:w val="0.79163568095654713"/>
          <c:h val="0.358280117490188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delež v vrednosti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List1!$A$2:$A$29</c:f>
              <c:strCache>
                <c:ptCount val="28"/>
                <c:pt idx="0">
                  <c:v>Isle of Man</c:v>
                </c:pt>
                <c:pt idx="1">
                  <c:v>Kanada</c:v>
                </c:pt>
                <c:pt idx="2">
                  <c:v>Hong Kong</c:v>
                </c:pt>
                <c:pt idx="3">
                  <c:v>Luksemburg</c:v>
                </c:pt>
                <c:pt idx="4">
                  <c:v>Turčija</c:v>
                </c:pt>
                <c:pt idx="5">
                  <c:v>Srbija</c:v>
                </c:pt>
                <c:pt idx="6">
                  <c:v>Norveška</c:v>
                </c:pt>
                <c:pt idx="7">
                  <c:v>Ruska federacija</c:v>
                </c:pt>
                <c:pt idx="8">
                  <c:v>Madžarska</c:v>
                </c:pt>
                <c:pt idx="9">
                  <c:v>Danska</c:v>
                </c:pt>
                <c:pt idx="10">
                  <c:v>Nekdanja jug. republika Makedonija</c:v>
                </c:pt>
                <c:pt idx="11">
                  <c:v>Slovaška</c:v>
                </c:pt>
                <c:pt idx="12">
                  <c:v>Švedska</c:v>
                </c:pt>
                <c:pt idx="13">
                  <c:v>Francija</c:v>
                </c:pt>
                <c:pt idx="14">
                  <c:v>Nizozemska</c:v>
                </c:pt>
                <c:pt idx="15">
                  <c:v>Španija</c:v>
                </c:pt>
                <c:pt idx="16">
                  <c:v>Belgija</c:v>
                </c:pt>
                <c:pt idx="17">
                  <c:v>Japonska</c:v>
                </c:pt>
                <c:pt idx="18">
                  <c:v>Združeno kraljestvo</c:v>
                </c:pt>
                <c:pt idx="19">
                  <c:v>Češka republika</c:v>
                </c:pt>
                <c:pt idx="20">
                  <c:v>Finska</c:v>
                </c:pt>
                <c:pt idx="21">
                  <c:v>Združene države Amerike</c:v>
                </c:pt>
                <c:pt idx="22">
                  <c:v>Švica</c:v>
                </c:pt>
                <c:pt idx="23">
                  <c:v>Hrvaška</c:v>
                </c:pt>
                <c:pt idx="24">
                  <c:v>Italija</c:v>
                </c:pt>
                <c:pt idx="25">
                  <c:v>Nemčija</c:v>
                </c:pt>
                <c:pt idx="26">
                  <c:v>Avstrija</c:v>
                </c:pt>
                <c:pt idx="27">
                  <c:v>Poljska</c:v>
                </c:pt>
              </c:strCache>
            </c:strRef>
          </c:cat>
          <c:val>
            <c:numRef>
              <c:f>List1!$B$2:$B$29</c:f>
              <c:numCache>
                <c:formatCode>0.00%</c:formatCode>
                <c:ptCount val="28"/>
                <c:pt idx="0">
                  <c:v>1.331257170152609E-5</c:v>
                </c:pt>
                <c:pt idx="1">
                  <c:v>1.7184640801205565E-5</c:v>
                </c:pt>
                <c:pt idx="2">
                  <c:v>7.9111363835182084E-5</c:v>
                </c:pt>
                <c:pt idx="3">
                  <c:v>1.0249761960003676E-4</c:v>
                </c:pt>
                <c:pt idx="4">
                  <c:v>1.0672876563241811E-4</c:v>
                </c:pt>
                <c:pt idx="5">
                  <c:v>1.9453301196719917E-4</c:v>
                </c:pt>
                <c:pt idx="6">
                  <c:v>2.2939396856810955E-4</c:v>
                </c:pt>
                <c:pt idx="7">
                  <c:v>2.8368311153829039E-4</c:v>
                </c:pt>
                <c:pt idx="8">
                  <c:v>3.2955107812302549E-4</c:v>
                </c:pt>
                <c:pt idx="9">
                  <c:v>3.5323850623887723E-4</c:v>
                </c:pt>
                <c:pt idx="10">
                  <c:v>4.1101974090571616E-4</c:v>
                </c:pt>
                <c:pt idx="11">
                  <c:v>5.6418935158801975E-4</c:v>
                </c:pt>
                <c:pt idx="12">
                  <c:v>8.5372802112237435E-4</c:v>
                </c:pt>
                <c:pt idx="13">
                  <c:v>1.2969166695257198E-3</c:v>
                </c:pt>
                <c:pt idx="14">
                  <c:v>1.3780269406370304E-3</c:v>
                </c:pt>
                <c:pt idx="15">
                  <c:v>1.611312850883156E-3</c:v>
                </c:pt>
                <c:pt idx="16">
                  <c:v>1.8659631533637223E-3</c:v>
                </c:pt>
                <c:pt idx="17">
                  <c:v>2.1671560622004834E-3</c:v>
                </c:pt>
                <c:pt idx="18">
                  <c:v>2.9760491481809629E-3</c:v>
                </c:pt>
                <c:pt idx="19">
                  <c:v>3.0591093303838825E-3</c:v>
                </c:pt>
                <c:pt idx="20">
                  <c:v>3.3980015482170719E-3</c:v>
                </c:pt>
                <c:pt idx="21">
                  <c:v>4.0056635354389497E-3</c:v>
                </c:pt>
                <c:pt idx="22">
                  <c:v>4.4287596366213945E-3</c:v>
                </c:pt>
                <c:pt idx="23">
                  <c:v>6.6698684154254187E-3</c:v>
                </c:pt>
                <c:pt idx="24">
                  <c:v>7.338597465352887E-3</c:v>
                </c:pt>
                <c:pt idx="25">
                  <c:v>1.2672825779210504E-2</c:v>
                </c:pt>
                <c:pt idx="26">
                  <c:v>1.831963090561578E-2</c:v>
                </c:pt>
                <c:pt idx="27">
                  <c:v>5.8339955633077784E-2</c:v>
                </c:pt>
              </c:numCache>
            </c:numRef>
          </c:val>
          <c:extLst>
            <c:ext xmlns:c16="http://schemas.microsoft.com/office/drawing/2014/chart" uri="{C3380CC4-5D6E-409C-BE32-E72D297353CC}">
              <c16:uniqueId val="{00000000-B12A-4888-97DD-FBEDA60A14DC}"/>
            </c:ext>
          </c:extLst>
        </c:ser>
        <c:dLbls>
          <c:showLegendKey val="0"/>
          <c:showVal val="0"/>
          <c:showCatName val="0"/>
          <c:showSerName val="0"/>
          <c:showPercent val="0"/>
          <c:showBubbleSize val="0"/>
        </c:dLbls>
        <c:gapWidth val="64"/>
        <c:overlap val="31"/>
        <c:axId val="550102144"/>
        <c:axId val="550102472"/>
      </c:barChart>
      <c:catAx>
        <c:axId val="55010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sl-SI"/>
          </a:p>
        </c:txPr>
        <c:crossAx val="550102472"/>
        <c:crosses val="autoZero"/>
        <c:auto val="1"/>
        <c:lblAlgn val="ctr"/>
        <c:lblOffset val="100"/>
        <c:noMultiLvlLbl val="0"/>
      </c:catAx>
      <c:valAx>
        <c:axId val="5501024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sl-SI"/>
          </a:p>
        </c:txPr>
        <c:crossAx val="55010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4DFA45-0683-4F7F-BA0D-5CE9E027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135</Pages>
  <Words>45984</Words>
  <Characters>262115</Characters>
  <Application>Microsoft Office Word</Application>
  <DocSecurity>0</DocSecurity>
  <Lines>2184</Lines>
  <Paragraphs>614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Statistično poročilo o javnih naročilih oddanih v letu 2018</vt:lpstr>
      <vt:lpstr/>
    </vt:vector>
  </TitlesOfParts>
  <Company/>
  <LinksUpToDate>false</LinksUpToDate>
  <CharactersWithSpaces>307485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Statistično poročilo o javnih naročilih, oddanih v letu 2018</dc:title>
  <dc:subject/>
  <dc:creator/>
  <cp:keywords/>
  <dc:description/>
  <cp:lastModifiedBy>Ajda Kostanjšek</cp:lastModifiedBy>
  <cp:revision>10</cp:revision>
  <cp:lastPrinted>2019-06-26T06:49:00Z</cp:lastPrinted>
  <dcterms:created xsi:type="dcterms:W3CDTF">2020-09-10T12:48:00Z</dcterms:created>
  <dcterms:modified xsi:type="dcterms:W3CDTF">2022-01-05T09:46:00Z</dcterms:modified>
</cp:coreProperties>
</file>